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1FDA" w:rsidRDefault="00CE1FDA">
      <w:pPr>
        <w:spacing w:line="60" w:lineRule="exact"/>
      </w:pPr>
      <w:r>
        <w:rPr>
          <w:rStyle w:val="CommentReference"/>
          <w:rFonts w:hint="eastAsia"/>
          <w:vanish/>
        </w:rPr>
        <w:commentReference w:id="0"/>
      </w:r>
    </w:p>
    <w:p w:rsidR="00CE1FDA" w:rsidRDefault="00CE1FDA">
      <w:pPr>
        <w:pStyle w:val="H1"/>
        <w:spacing w:beforeLines="0" w:before="0"/>
      </w:pPr>
      <w:bookmarkStart w:id="1" w:name="_Toc93172486"/>
      <w:bookmarkStart w:id="2" w:name="_Toc93172672"/>
      <w:r>
        <w:rPr>
          <w:rFonts w:hint="eastAsia"/>
        </w:rPr>
        <w:t>消除对妇女歧视委员会</w:t>
      </w:r>
      <w:bookmarkEnd w:id="1"/>
      <w:bookmarkEnd w:id="2"/>
    </w:p>
    <w:p w:rsidR="00CE1FDA" w:rsidRDefault="00CE1FDA"/>
    <w:p w:rsidR="00CE1FDA" w:rsidRDefault="00CE1FDA">
      <w:pPr>
        <w:pStyle w:val="Date"/>
        <w:rPr>
          <w:rFonts w:hint="eastAsia"/>
        </w:rPr>
      </w:pPr>
    </w:p>
    <w:p w:rsidR="00CE1FDA" w:rsidRDefault="00CE1FDA">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CE1FDA" w:rsidRDefault="00CE1FDA">
      <w:pPr>
        <w:rPr>
          <w:rFonts w:hint="eastAsia"/>
        </w:rPr>
      </w:pPr>
    </w:p>
    <w:p w:rsidR="00CE1FDA" w:rsidRDefault="00CE1FDA">
      <w:pPr>
        <w:pStyle w:val="H1"/>
        <w:spacing w:before="120"/>
        <w:jc w:val="center"/>
        <w:rPr>
          <w:rFonts w:hint="eastAsia"/>
          <w:bCs/>
          <w:u w:val="single"/>
        </w:rPr>
      </w:pPr>
      <w:r>
        <w:rPr>
          <w:rFonts w:hint="eastAsia"/>
          <w:bCs/>
          <w:u w:val="single"/>
        </w:rPr>
        <w:t>缔约国第六次定期报告</w:t>
      </w:r>
    </w:p>
    <w:p w:rsidR="00CE1FDA" w:rsidRDefault="00CE1FDA">
      <w:pPr>
        <w:rPr>
          <w:rFonts w:hint="eastAsia"/>
        </w:rPr>
      </w:pPr>
    </w:p>
    <w:p w:rsidR="00CE1FDA" w:rsidRDefault="00CE1FDA">
      <w:pPr>
        <w:rPr>
          <w:rFonts w:hint="eastAsia"/>
        </w:rPr>
      </w:pPr>
    </w:p>
    <w:p w:rsidR="00CE1FDA" w:rsidRDefault="00CE1FDA">
      <w:pPr>
        <w:pStyle w:val="HCh"/>
        <w:jc w:val="center"/>
        <w:rPr>
          <w:rFonts w:hint="eastAsia"/>
        </w:rPr>
      </w:pPr>
      <w:r>
        <w:rPr>
          <w:rFonts w:hint="eastAsia"/>
        </w:rPr>
        <w:t>匈牙利</w:t>
      </w:r>
      <w:r>
        <w:rPr>
          <w:rFonts w:ascii="Times New Roman" w:hint="eastAsia"/>
          <w:vertAlign w:val="superscript"/>
        </w:rPr>
        <w:t>*</w:t>
      </w:r>
    </w:p>
    <w:p w:rsidR="00CE1FDA" w:rsidRDefault="00CE1FDA">
      <w:pPr>
        <w:pStyle w:val="HCh"/>
        <w:jc w:val="center"/>
      </w:pPr>
    </w:p>
    <w:p w:rsidR="00CE1FDA" w:rsidRDefault="00CE1FDA">
      <w:pPr>
        <w:pStyle w:val="Date"/>
        <w:spacing w:line="60" w:lineRule="exact"/>
        <w:sectPr w:rsidR="00CE1FDA">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 w:name="_Toc77496595"/>
    </w:p>
    <w:bookmarkEnd w:id="3"/>
    <w:p w:rsidR="00CE1FDA" w:rsidRDefault="00CE1FDA">
      <w:pPr>
        <w:pStyle w:val="Date"/>
        <w:spacing w:line="60" w:lineRule="exact"/>
        <w:rPr>
          <w:rFonts w:hint="eastAsia"/>
          <w:lang w:val="en-GB"/>
        </w:rPr>
      </w:pPr>
    </w:p>
    <w:p w:rsidR="00CE1FDA" w:rsidRDefault="00CE1FDA">
      <w:pPr>
        <w:pStyle w:val="HCh"/>
        <w:jc w:val="center"/>
        <w:rPr>
          <w:rFonts w:hint="eastAsia"/>
        </w:rPr>
      </w:pPr>
      <w:r>
        <w:rPr>
          <w:rFonts w:hint="eastAsia"/>
        </w:rPr>
        <w:t>匈牙利共和国根据《消除对妇女一切形式歧视公约》提交的</w:t>
      </w:r>
      <w:r>
        <w:br/>
      </w:r>
      <w:r>
        <w:rPr>
          <w:rFonts w:hint="eastAsia"/>
        </w:rPr>
        <w:t>第六次定期报告</w:t>
      </w:r>
    </w:p>
    <w:p w:rsidR="00CE1FDA" w:rsidRDefault="00CE1FDA">
      <w:pPr>
        <w:spacing w:line="360" w:lineRule="exact"/>
        <w:jc w:val="center"/>
        <w:rPr>
          <w:rFonts w:eastAsia="SimHei" w:hint="eastAsia"/>
          <w:color w:val="FF0000"/>
          <w:sz w:val="28"/>
        </w:rPr>
      </w:pPr>
      <w:r>
        <w:rPr>
          <w:rFonts w:eastAsia="SimHei" w:hint="eastAsia"/>
          <w:color w:val="FF0000"/>
          <w:sz w:val="28"/>
        </w:rPr>
        <w:t>目录</w:t>
      </w:r>
    </w:p>
    <w:p w:rsidR="00CE1FDA" w:rsidRDefault="00CE1FDA">
      <w:pPr>
        <w:tabs>
          <w:tab w:val="center" w:leader="dot" w:pos="9120"/>
          <w:tab w:val="right" w:pos="9720"/>
        </w:tabs>
        <w:spacing w:after="120" w:line="320" w:lineRule="exact"/>
        <w:jc w:val="right"/>
        <w:rPr>
          <w:rFonts w:eastAsia="KaiTi_GB2312" w:hint="eastAsia"/>
          <w:color w:val="0000FF"/>
        </w:rPr>
      </w:pPr>
      <w:r>
        <w:rPr>
          <w:rFonts w:eastAsia="KaiTi_GB2312" w:hint="eastAsia"/>
          <w:color w:val="0000FF"/>
        </w:rPr>
        <w:t>页次</w:t>
      </w:r>
    </w:p>
    <w:p w:rsidR="00CE1FDA" w:rsidRDefault="00CE1FDA">
      <w:pPr>
        <w:pStyle w:val="Date"/>
        <w:tabs>
          <w:tab w:val="center" w:leader="dot" w:pos="9240"/>
          <w:tab w:val="right" w:pos="9840"/>
        </w:tabs>
        <w:spacing w:after="120" w:line="320" w:lineRule="exact"/>
        <w:rPr>
          <w:rFonts w:hint="eastAsia"/>
        </w:rPr>
      </w:pPr>
      <w:r>
        <w:rPr>
          <w:rFonts w:hint="eastAsia"/>
        </w:rPr>
        <w:t>前言</w:t>
      </w:r>
      <w:r>
        <w:tab/>
      </w:r>
      <w:r>
        <w:tab/>
      </w:r>
      <w:r>
        <w:rPr>
          <w:rFonts w:hint="eastAsia"/>
        </w:rPr>
        <w:t>3</w:t>
      </w:r>
    </w:p>
    <w:p w:rsidR="00CE1FDA" w:rsidRDefault="00CE1FDA">
      <w:pPr>
        <w:pStyle w:val="Date"/>
        <w:tabs>
          <w:tab w:val="center" w:leader="dot" w:pos="9240"/>
          <w:tab w:val="right" w:pos="9840"/>
        </w:tabs>
        <w:spacing w:after="120" w:line="320" w:lineRule="exact"/>
      </w:pPr>
      <w:r>
        <w:rPr>
          <w:rFonts w:eastAsia="KaiTi_GB2312" w:hint="eastAsia"/>
          <w:color w:val="0000FF"/>
        </w:rPr>
        <w:t>第一部分</w:t>
      </w:r>
    </w:p>
    <w:p w:rsidR="00CE1FDA" w:rsidRDefault="00CE1FDA">
      <w:pPr>
        <w:pStyle w:val="Date"/>
        <w:tabs>
          <w:tab w:val="center" w:leader="dot" w:pos="9240"/>
          <w:tab w:val="right" w:pos="9840"/>
        </w:tabs>
        <w:spacing w:after="120" w:line="320" w:lineRule="exact"/>
        <w:rPr>
          <w:rFonts w:hint="eastAsia"/>
        </w:rPr>
      </w:pPr>
      <w:r>
        <w:rPr>
          <w:rFonts w:hint="eastAsia"/>
        </w:rPr>
        <w:t>第</w:t>
      </w:r>
      <w:r>
        <w:rPr>
          <w:rFonts w:hint="eastAsia"/>
        </w:rPr>
        <w:t>1</w:t>
      </w:r>
      <w:r>
        <w:rPr>
          <w:rFonts w:hint="eastAsia"/>
        </w:rPr>
        <w:t>条：歧视的定义</w:t>
      </w:r>
      <w:r>
        <w:rPr>
          <w:rFonts w:hint="eastAsia"/>
        </w:rPr>
        <w:tab/>
      </w:r>
      <w:r>
        <w:tab/>
      </w:r>
      <w:r>
        <w:rPr>
          <w:rFonts w:hint="eastAsia"/>
        </w:rPr>
        <w:t>4</w:t>
      </w:r>
    </w:p>
    <w:p w:rsidR="00CE1FDA" w:rsidRDefault="00CE1FDA">
      <w:pPr>
        <w:pStyle w:val="Date"/>
        <w:tabs>
          <w:tab w:val="center" w:leader="dot" w:pos="9240"/>
          <w:tab w:val="right" w:pos="9840"/>
        </w:tabs>
        <w:spacing w:after="120" w:line="320" w:lineRule="exact"/>
        <w:rPr>
          <w:rFonts w:hint="eastAsia"/>
        </w:rPr>
      </w:pPr>
      <w:r>
        <w:rPr>
          <w:rFonts w:hint="eastAsia"/>
        </w:rPr>
        <w:t>第</w:t>
      </w:r>
      <w:r>
        <w:rPr>
          <w:rFonts w:hint="eastAsia"/>
        </w:rPr>
        <w:t>2</w:t>
      </w:r>
      <w:r>
        <w:rPr>
          <w:rFonts w:hint="eastAsia"/>
        </w:rPr>
        <w:t>条：禁止歧视</w:t>
      </w:r>
      <w:r>
        <w:rPr>
          <w:rFonts w:hint="eastAsia"/>
        </w:rPr>
        <w:tab/>
      </w:r>
      <w:r>
        <w:tab/>
      </w:r>
      <w:r>
        <w:rPr>
          <w:rFonts w:hint="eastAsia"/>
        </w:rPr>
        <w:t>6</w:t>
      </w:r>
    </w:p>
    <w:p w:rsidR="00CE1FDA" w:rsidRDefault="00CE1FDA">
      <w:pPr>
        <w:pStyle w:val="Date"/>
        <w:tabs>
          <w:tab w:val="center" w:leader="dot" w:pos="9240"/>
          <w:tab w:val="right" w:pos="9840"/>
        </w:tabs>
        <w:spacing w:after="120" w:line="320" w:lineRule="exact"/>
        <w:rPr>
          <w:rFonts w:hint="eastAsia"/>
        </w:rPr>
      </w:pPr>
      <w:r>
        <w:rPr>
          <w:rFonts w:hint="eastAsia"/>
        </w:rPr>
        <w:t>第</w:t>
      </w:r>
      <w:r>
        <w:rPr>
          <w:rFonts w:hint="eastAsia"/>
        </w:rPr>
        <w:t>3</w:t>
      </w:r>
      <w:r>
        <w:rPr>
          <w:rFonts w:hint="eastAsia"/>
        </w:rPr>
        <w:t>条：保障人权和基本自由</w:t>
      </w:r>
      <w:r>
        <w:rPr>
          <w:rFonts w:hint="eastAsia"/>
        </w:rPr>
        <w:tab/>
      </w:r>
      <w:r>
        <w:tab/>
      </w:r>
      <w:r>
        <w:rPr>
          <w:rFonts w:hint="eastAsia"/>
        </w:rPr>
        <w:t>12</w:t>
      </w:r>
    </w:p>
    <w:p w:rsidR="00CE1FDA" w:rsidRDefault="00CE1FDA">
      <w:pPr>
        <w:pStyle w:val="Date"/>
        <w:tabs>
          <w:tab w:val="center" w:leader="dot" w:pos="9240"/>
          <w:tab w:val="right" w:pos="9840"/>
        </w:tabs>
        <w:spacing w:after="120" w:line="320" w:lineRule="exact"/>
        <w:rPr>
          <w:rFonts w:hint="eastAsia"/>
        </w:rPr>
      </w:pPr>
      <w:r>
        <w:rPr>
          <w:rFonts w:hint="eastAsia"/>
        </w:rPr>
        <w:t>第</w:t>
      </w:r>
      <w:r>
        <w:rPr>
          <w:rFonts w:hint="eastAsia"/>
        </w:rPr>
        <w:t>4</w:t>
      </w:r>
      <w:r>
        <w:rPr>
          <w:rFonts w:hint="eastAsia"/>
        </w:rPr>
        <w:t>条：临时措施</w:t>
      </w:r>
      <w:r>
        <w:rPr>
          <w:rFonts w:hint="eastAsia"/>
        </w:rPr>
        <w:tab/>
      </w:r>
      <w:r>
        <w:tab/>
      </w:r>
      <w:r>
        <w:rPr>
          <w:rFonts w:hint="eastAsia"/>
        </w:rPr>
        <w:t>12</w:t>
      </w:r>
    </w:p>
    <w:p w:rsidR="00CE1FDA" w:rsidRDefault="00CE1FDA">
      <w:pPr>
        <w:pStyle w:val="Date"/>
        <w:tabs>
          <w:tab w:val="center" w:leader="dot" w:pos="9240"/>
          <w:tab w:val="right" w:pos="9840"/>
        </w:tabs>
        <w:spacing w:after="120" w:line="320" w:lineRule="exact"/>
        <w:rPr>
          <w:rFonts w:hint="eastAsia"/>
        </w:rPr>
      </w:pPr>
      <w:r>
        <w:rPr>
          <w:rFonts w:hint="eastAsia"/>
        </w:rPr>
        <w:t>第</w:t>
      </w:r>
      <w:r>
        <w:rPr>
          <w:rFonts w:hint="eastAsia"/>
        </w:rPr>
        <w:t>5</w:t>
      </w:r>
      <w:r>
        <w:rPr>
          <w:rFonts w:hint="eastAsia"/>
        </w:rPr>
        <w:t>条：行为方式，陈规定型观念</w:t>
      </w:r>
      <w:r>
        <w:rPr>
          <w:rFonts w:hint="eastAsia"/>
        </w:rPr>
        <w:tab/>
      </w:r>
      <w:r>
        <w:tab/>
      </w:r>
      <w:r>
        <w:rPr>
          <w:rFonts w:hint="eastAsia"/>
        </w:rPr>
        <w:t>13</w:t>
      </w:r>
    </w:p>
    <w:p w:rsidR="00CE1FDA" w:rsidRDefault="00CE1FDA">
      <w:pPr>
        <w:pStyle w:val="Date"/>
        <w:tabs>
          <w:tab w:val="center" w:leader="dot" w:pos="9240"/>
          <w:tab w:val="right" w:pos="9840"/>
        </w:tabs>
        <w:spacing w:after="120" w:line="320" w:lineRule="exact"/>
        <w:rPr>
          <w:rFonts w:hint="eastAsia"/>
        </w:rPr>
      </w:pPr>
      <w:r>
        <w:rPr>
          <w:rFonts w:hint="eastAsia"/>
        </w:rPr>
        <w:t>第</w:t>
      </w:r>
      <w:r>
        <w:rPr>
          <w:rFonts w:hint="eastAsia"/>
        </w:rPr>
        <w:t>6</w:t>
      </w:r>
      <w:r>
        <w:rPr>
          <w:rFonts w:hint="eastAsia"/>
        </w:rPr>
        <w:t>条：卖淫和贩卖妇女</w:t>
      </w:r>
      <w:r>
        <w:rPr>
          <w:rFonts w:hint="eastAsia"/>
        </w:rPr>
        <w:tab/>
      </w:r>
      <w:r>
        <w:tab/>
      </w:r>
      <w:r>
        <w:rPr>
          <w:rFonts w:hint="eastAsia"/>
        </w:rPr>
        <w:t>15</w:t>
      </w:r>
    </w:p>
    <w:p w:rsidR="00CE1FDA" w:rsidRDefault="00CE1FDA">
      <w:pPr>
        <w:pStyle w:val="Date"/>
        <w:tabs>
          <w:tab w:val="center" w:leader="dot" w:pos="9240"/>
          <w:tab w:val="right" w:pos="9840"/>
        </w:tabs>
        <w:spacing w:after="120" w:line="320" w:lineRule="exact"/>
      </w:pPr>
      <w:r>
        <w:rPr>
          <w:rFonts w:eastAsia="KaiTi_GB2312" w:hint="eastAsia"/>
          <w:color w:val="0000FF"/>
        </w:rPr>
        <w:t>第二部分</w:t>
      </w:r>
    </w:p>
    <w:p w:rsidR="00CE1FDA" w:rsidRDefault="00CE1FDA">
      <w:pPr>
        <w:pStyle w:val="Date"/>
        <w:tabs>
          <w:tab w:val="center" w:leader="dot" w:pos="9240"/>
          <w:tab w:val="right" w:pos="9840"/>
        </w:tabs>
        <w:spacing w:after="120" w:line="320" w:lineRule="exact"/>
        <w:rPr>
          <w:rFonts w:hint="eastAsia"/>
        </w:rPr>
      </w:pPr>
      <w:r>
        <w:rPr>
          <w:rFonts w:hint="eastAsia"/>
        </w:rPr>
        <w:t>第</w:t>
      </w:r>
      <w:r>
        <w:rPr>
          <w:rFonts w:hint="eastAsia"/>
        </w:rPr>
        <w:t>7</w:t>
      </w:r>
      <w:r>
        <w:rPr>
          <w:rFonts w:hint="eastAsia"/>
        </w:rPr>
        <w:t>条：妇女在公共生活中的作用</w:t>
      </w:r>
      <w:r>
        <w:rPr>
          <w:rFonts w:hint="eastAsia"/>
        </w:rPr>
        <w:tab/>
      </w:r>
      <w:r>
        <w:tab/>
      </w:r>
      <w:r>
        <w:rPr>
          <w:rFonts w:hint="eastAsia"/>
        </w:rPr>
        <w:t>18</w:t>
      </w:r>
    </w:p>
    <w:p w:rsidR="00CE1FDA" w:rsidRDefault="00CE1FDA">
      <w:pPr>
        <w:pStyle w:val="Date"/>
        <w:tabs>
          <w:tab w:val="center" w:leader="dot" w:pos="9240"/>
          <w:tab w:val="right" w:pos="9840"/>
        </w:tabs>
        <w:spacing w:after="120" w:line="320" w:lineRule="exact"/>
        <w:rPr>
          <w:rFonts w:hint="eastAsia"/>
        </w:rPr>
      </w:pPr>
      <w:r>
        <w:rPr>
          <w:rFonts w:hint="eastAsia"/>
        </w:rPr>
        <w:t>第</w:t>
      </w:r>
      <w:r>
        <w:rPr>
          <w:rFonts w:hint="eastAsia"/>
        </w:rPr>
        <w:t>8</w:t>
      </w:r>
      <w:r>
        <w:rPr>
          <w:rFonts w:hint="eastAsia"/>
        </w:rPr>
        <w:t>条：国际公共生活</w:t>
      </w:r>
      <w:r>
        <w:rPr>
          <w:rFonts w:hint="eastAsia"/>
        </w:rPr>
        <w:tab/>
      </w:r>
      <w:r>
        <w:tab/>
      </w:r>
      <w:r>
        <w:rPr>
          <w:rFonts w:hint="eastAsia"/>
        </w:rPr>
        <w:t>20</w:t>
      </w:r>
    </w:p>
    <w:p w:rsidR="00CE1FDA" w:rsidRDefault="00CE1FDA">
      <w:pPr>
        <w:pStyle w:val="Date"/>
        <w:tabs>
          <w:tab w:val="center" w:leader="dot" w:pos="9240"/>
          <w:tab w:val="right" w:pos="9840"/>
        </w:tabs>
        <w:spacing w:after="120" w:line="320" w:lineRule="exact"/>
        <w:rPr>
          <w:rFonts w:hint="eastAsia"/>
        </w:rPr>
      </w:pPr>
      <w:r>
        <w:rPr>
          <w:rFonts w:hint="eastAsia"/>
        </w:rPr>
        <w:t>第</w:t>
      </w:r>
      <w:r>
        <w:rPr>
          <w:rFonts w:hint="eastAsia"/>
        </w:rPr>
        <w:t>9</w:t>
      </w:r>
      <w:r>
        <w:rPr>
          <w:rFonts w:hint="eastAsia"/>
        </w:rPr>
        <w:t>条：公民身份问题</w:t>
      </w:r>
      <w:r>
        <w:rPr>
          <w:rFonts w:hint="eastAsia"/>
        </w:rPr>
        <w:tab/>
      </w:r>
      <w:r>
        <w:tab/>
      </w:r>
      <w:r>
        <w:rPr>
          <w:rFonts w:hint="eastAsia"/>
        </w:rPr>
        <w:t>20</w:t>
      </w:r>
    </w:p>
    <w:p w:rsidR="00CE1FDA" w:rsidRDefault="00CE1FDA">
      <w:pPr>
        <w:pStyle w:val="Date"/>
        <w:tabs>
          <w:tab w:val="center" w:leader="dot" w:pos="9240"/>
          <w:tab w:val="right" w:pos="9840"/>
        </w:tabs>
        <w:spacing w:after="120" w:line="320" w:lineRule="exact"/>
      </w:pPr>
      <w:r>
        <w:rPr>
          <w:rFonts w:eastAsia="KaiTi_GB2312" w:hint="eastAsia"/>
          <w:color w:val="0000FF"/>
        </w:rPr>
        <w:t>第三部分</w:t>
      </w:r>
    </w:p>
    <w:p w:rsidR="00CE1FDA" w:rsidRDefault="00CE1FDA">
      <w:pPr>
        <w:pStyle w:val="Date"/>
        <w:tabs>
          <w:tab w:val="center" w:leader="dot" w:pos="9240"/>
          <w:tab w:val="right" w:pos="9840"/>
        </w:tabs>
        <w:spacing w:after="120" w:line="320" w:lineRule="exact"/>
        <w:rPr>
          <w:rFonts w:hint="eastAsia"/>
        </w:rPr>
      </w:pPr>
      <w:r>
        <w:rPr>
          <w:rFonts w:hint="eastAsia"/>
        </w:rPr>
        <w:t>第</w:t>
      </w:r>
      <w:r>
        <w:rPr>
          <w:rFonts w:hint="eastAsia"/>
        </w:rPr>
        <w:t>10</w:t>
      </w:r>
      <w:r>
        <w:rPr>
          <w:rFonts w:hint="eastAsia"/>
        </w:rPr>
        <w:t>条：教育</w:t>
      </w:r>
      <w:r>
        <w:rPr>
          <w:rFonts w:hint="eastAsia"/>
        </w:rPr>
        <w:tab/>
      </w:r>
      <w:r>
        <w:tab/>
      </w:r>
      <w:r>
        <w:rPr>
          <w:rFonts w:hint="eastAsia"/>
        </w:rPr>
        <w:t>20</w:t>
      </w:r>
    </w:p>
    <w:p w:rsidR="00CE1FDA" w:rsidRDefault="00CE1FDA">
      <w:pPr>
        <w:pStyle w:val="Date"/>
        <w:tabs>
          <w:tab w:val="center" w:leader="dot" w:pos="9240"/>
          <w:tab w:val="right" w:pos="9840"/>
        </w:tabs>
        <w:spacing w:after="120" w:line="320" w:lineRule="exact"/>
        <w:rPr>
          <w:rFonts w:hint="eastAsia"/>
        </w:rPr>
      </w:pPr>
      <w:r>
        <w:rPr>
          <w:rFonts w:hint="eastAsia"/>
        </w:rPr>
        <w:t>第</w:t>
      </w:r>
      <w:r>
        <w:rPr>
          <w:rFonts w:hint="eastAsia"/>
        </w:rPr>
        <w:t>11</w:t>
      </w:r>
      <w:r>
        <w:rPr>
          <w:rFonts w:hint="eastAsia"/>
        </w:rPr>
        <w:t>条：就业</w:t>
      </w:r>
      <w:r>
        <w:rPr>
          <w:rFonts w:hint="eastAsia"/>
        </w:rPr>
        <w:tab/>
      </w:r>
      <w:r>
        <w:tab/>
      </w:r>
      <w:r>
        <w:rPr>
          <w:rFonts w:hint="eastAsia"/>
        </w:rPr>
        <w:t>23</w:t>
      </w:r>
    </w:p>
    <w:p w:rsidR="00CE1FDA" w:rsidRDefault="00CE1FDA">
      <w:pPr>
        <w:pStyle w:val="Date"/>
        <w:tabs>
          <w:tab w:val="center" w:leader="dot" w:pos="9240"/>
          <w:tab w:val="right" w:pos="9840"/>
        </w:tabs>
        <w:spacing w:after="120" w:line="320" w:lineRule="exact"/>
        <w:rPr>
          <w:rFonts w:hint="eastAsia"/>
        </w:rPr>
      </w:pPr>
      <w:r>
        <w:rPr>
          <w:rFonts w:hint="eastAsia"/>
        </w:rPr>
        <w:t>第</w:t>
      </w:r>
      <w:r>
        <w:rPr>
          <w:rFonts w:hint="eastAsia"/>
        </w:rPr>
        <w:t>12</w:t>
      </w:r>
      <w:r>
        <w:rPr>
          <w:rFonts w:hint="eastAsia"/>
        </w:rPr>
        <w:t>条：保健</w:t>
      </w:r>
      <w:r>
        <w:rPr>
          <w:rFonts w:hint="eastAsia"/>
        </w:rPr>
        <w:tab/>
      </w:r>
      <w:r>
        <w:tab/>
      </w:r>
      <w:r>
        <w:rPr>
          <w:rFonts w:hint="eastAsia"/>
        </w:rPr>
        <w:t>28</w:t>
      </w:r>
    </w:p>
    <w:p w:rsidR="00CE1FDA" w:rsidRDefault="00CE1FDA">
      <w:pPr>
        <w:pStyle w:val="Date"/>
        <w:tabs>
          <w:tab w:val="center" w:leader="dot" w:pos="9240"/>
          <w:tab w:val="right" w:pos="9840"/>
        </w:tabs>
        <w:spacing w:after="120" w:line="320" w:lineRule="exact"/>
        <w:rPr>
          <w:rFonts w:hint="eastAsia"/>
        </w:rPr>
      </w:pPr>
      <w:r>
        <w:rPr>
          <w:rFonts w:hint="eastAsia"/>
        </w:rPr>
        <w:t>第</w:t>
      </w:r>
      <w:r>
        <w:rPr>
          <w:rFonts w:hint="eastAsia"/>
        </w:rPr>
        <w:t>13</w:t>
      </w:r>
      <w:r>
        <w:rPr>
          <w:rFonts w:hint="eastAsia"/>
        </w:rPr>
        <w:t>条：经济生活和家属津贴中的歧视</w:t>
      </w:r>
      <w:r>
        <w:rPr>
          <w:rFonts w:hint="eastAsia"/>
        </w:rPr>
        <w:tab/>
      </w:r>
      <w:r>
        <w:tab/>
      </w:r>
      <w:r>
        <w:rPr>
          <w:rFonts w:hint="eastAsia"/>
        </w:rPr>
        <w:t>33</w:t>
      </w:r>
    </w:p>
    <w:p w:rsidR="00CE1FDA" w:rsidRDefault="00CE1FDA">
      <w:pPr>
        <w:pStyle w:val="Date"/>
        <w:tabs>
          <w:tab w:val="center" w:leader="dot" w:pos="9240"/>
          <w:tab w:val="right" w:pos="9840"/>
        </w:tabs>
        <w:spacing w:after="120" w:line="320" w:lineRule="exact"/>
        <w:rPr>
          <w:rFonts w:hint="eastAsia"/>
        </w:rPr>
      </w:pPr>
      <w:r>
        <w:rPr>
          <w:rFonts w:hint="eastAsia"/>
        </w:rPr>
        <w:t>第</w:t>
      </w:r>
      <w:r>
        <w:rPr>
          <w:rFonts w:hint="eastAsia"/>
        </w:rPr>
        <w:t>14</w:t>
      </w:r>
      <w:r>
        <w:rPr>
          <w:rFonts w:hint="eastAsia"/>
        </w:rPr>
        <w:t>条：匈牙利农村妇女的地位</w:t>
      </w:r>
      <w:r>
        <w:rPr>
          <w:rFonts w:hint="eastAsia"/>
        </w:rPr>
        <w:tab/>
      </w:r>
      <w:r>
        <w:tab/>
      </w:r>
      <w:r>
        <w:rPr>
          <w:rFonts w:hint="eastAsia"/>
        </w:rPr>
        <w:t>34</w:t>
      </w:r>
    </w:p>
    <w:p w:rsidR="00CE1FDA" w:rsidRDefault="00CE1FDA">
      <w:pPr>
        <w:pStyle w:val="Date"/>
        <w:tabs>
          <w:tab w:val="center" w:leader="dot" w:pos="9240"/>
          <w:tab w:val="right" w:pos="9840"/>
        </w:tabs>
        <w:spacing w:after="120" w:line="320" w:lineRule="exact"/>
      </w:pPr>
      <w:r>
        <w:rPr>
          <w:rFonts w:eastAsia="KaiTi_GB2312" w:hint="eastAsia"/>
          <w:color w:val="0000FF"/>
        </w:rPr>
        <w:t>第四部</w:t>
      </w:r>
    </w:p>
    <w:p w:rsidR="00CE1FDA" w:rsidRDefault="00CE1FDA">
      <w:pPr>
        <w:pStyle w:val="Date"/>
        <w:tabs>
          <w:tab w:val="center" w:leader="dot" w:pos="9240"/>
          <w:tab w:val="right" w:pos="9840"/>
        </w:tabs>
        <w:spacing w:after="120" w:line="320" w:lineRule="exact"/>
        <w:rPr>
          <w:rFonts w:hint="eastAsia"/>
        </w:rPr>
      </w:pPr>
      <w:r>
        <w:rPr>
          <w:rFonts w:hint="eastAsia"/>
        </w:rPr>
        <w:t>第</w:t>
      </w:r>
      <w:r>
        <w:rPr>
          <w:rFonts w:hint="eastAsia"/>
        </w:rPr>
        <w:t>15</w:t>
      </w:r>
      <w:r>
        <w:rPr>
          <w:rFonts w:hint="eastAsia"/>
        </w:rPr>
        <w:t>条：法律面前的平等</w:t>
      </w:r>
      <w:r>
        <w:rPr>
          <w:rFonts w:hint="eastAsia"/>
        </w:rPr>
        <w:tab/>
      </w:r>
      <w:r>
        <w:tab/>
      </w:r>
      <w:r>
        <w:rPr>
          <w:rFonts w:hint="eastAsia"/>
        </w:rPr>
        <w:t>38</w:t>
      </w:r>
    </w:p>
    <w:p w:rsidR="00CE1FDA" w:rsidRDefault="00CE1FDA">
      <w:pPr>
        <w:pStyle w:val="Date"/>
        <w:tabs>
          <w:tab w:val="center" w:leader="dot" w:pos="9240"/>
          <w:tab w:val="right" w:pos="9840"/>
        </w:tabs>
        <w:spacing w:after="120" w:line="320" w:lineRule="exact"/>
        <w:rPr>
          <w:rFonts w:hint="eastAsia"/>
        </w:rPr>
      </w:pPr>
      <w:r>
        <w:rPr>
          <w:rFonts w:hint="eastAsia"/>
        </w:rPr>
        <w:t>第</w:t>
      </w:r>
      <w:r>
        <w:rPr>
          <w:rFonts w:hint="eastAsia"/>
        </w:rPr>
        <w:t>16</w:t>
      </w:r>
      <w:r>
        <w:rPr>
          <w:rFonts w:hint="eastAsia"/>
        </w:rPr>
        <w:t>条：婚姻、平等的家庭生活</w:t>
      </w:r>
      <w:r>
        <w:rPr>
          <w:rFonts w:hint="eastAsia"/>
        </w:rPr>
        <w:tab/>
      </w:r>
      <w:r>
        <w:tab/>
      </w:r>
      <w:r>
        <w:rPr>
          <w:rFonts w:hint="eastAsia"/>
        </w:rPr>
        <w:t>38</w:t>
      </w:r>
    </w:p>
    <w:p w:rsidR="00CE1FDA" w:rsidRDefault="00CE1FDA">
      <w:pPr>
        <w:pStyle w:val="Date"/>
        <w:tabs>
          <w:tab w:val="center" w:leader="dot" w:pos="9240"/>
          <w:tab w:val="right" w:pos="9840"/>
        </w:tabs>
        <w:spacing w:after="120" w:line="320" w:lineRule="exact"/>
        <w:rPr>
          <w:rFonts w:hint="eastAsia"/>
        </w:rPr>
      </w:pPr>
      <w:r>
        <w:rPr>
          <w:rFonts w:hint="eastAsia"/>
        </w:rPr>
        <w:t>附件：表格和补编</w:t>
      </w:r>
      <w:r>
        <w:rPr>
          <w:rFonts w:hint="eastAsia"/>
        </w:rPr>
        <w:tab/>
      </w:r>
      <w:r>
        <w:tab/>
      </w:r>
      <w:r>
        <w:rPr>
          <w:rFonts w:hint="eastAsia"/>
        </w:rPr>
        <w:t>45</w:t>
      </w:r>
    </w:p>
    <w:p w:rsidR="00CE1FDA" w:rsidRDefault="00CE1FDA">
      <w:pPr>
        <w:pStyle w:val="Date"/>
        <w:tabs>
          <w:tab w:val="center" w:leader="dot" w:pos="9240"/>
          <w:tab w:val="right" w:pos="9840"/>
        </w:tabs>
        <w:spacing w:after="120" w:line="320" w:lineRule="exact"/>
        <w:rPr>
          <w:rFonts w:hint="eastAsia"/>
        </w:rPr>
      </w:pPr>
    </w:p>
    <w:p w:rsidR="00CE1FDA" w:rsidRDefault="00CE1FDA">
      <w:pPr>
        <w:spacing w:after="240" w:line="360" w:lineRule="exact"/>
        <w:jc w:val="center"/>
        <w:rPr>
          <w:rFonts w:eastAsia="SimHei" w:hint="eastAsia"/>
          <w:color w:val="FF0000"/>
          <w:sz w:val="28"/>
        </w:rPr>
      </w:pPr>
      <w:r>
        <w:rPr>
          <w:rFonts w:eastAsia="SimHei" w:hint="eastAsia"/>
          <w:color w:val="FF0000"/>
          <w:sz w:val="28"/>
        </w:rPr>
        <w:t>前</w:t>
      </w:r>
      <w:r>
        <w:rPr>
          <w:rFonts w:eastAsia="SimHei" w:hint="eastAsia"/>
          <w:color w:val="FF0000"/>
          <w:sz w:val="28"/>
        </w:rPr>
        <w:t xml:space="preserve"> </w:t>
      </w:r>
      <w:r>
        <w:rPr>
          <w:rFonts w:eastAsia="SimHei" w:hint="eastAsia"/>
          <w:color w:val="FF0000"/>
          <w:sz w:val="28"/>
        </w:rPr>
        <w:t>言</w:t>
      </w:r>
    </w:p>
    <w:p w:rsidR="00CE1FDA" w:rsidRDefault="00CE1FDA" w:rsidP="00AC01AA">
      <w:pPr>
        <w:spacing w:after="240" w:line="340" w:lineRule="exact"/>
        <w:ind w:firstLineChars="200" w:firstLine="31680"/>
        <w:rPr>
          <w:rFonts w:hint="eastAsia"/>
        </w:rPr>
      </w:pPr>
      <w:r>
        <w:rPr>
          <w:rFonts w:hint="eastAsia"/>
        </w:rPr>
        <w:t>匈牙利通过了旨在消除对妇女歧视和促进两性平等的最重要的国际文件，包括《消除对妇女一切形式歧视公约》，</w:t>
      </w:r>
      <w:r>
        <w:rPr>
          <w:rFonts w:hint="eastAsia"/>
        </w:rPr>
        <w:t>1982</w:t>
      </w:r>
      <w:r>
        <w:rPr>
          <w:rFonts w:hint="eastAsia"/>
        </w:rPr>
        <w:t>年第</w:t>
      </w:r>
      <w:r>
        <w:rPr>
          <w:rFonts w:hint="eastAsia"/>
        </w:rPr>
        <w:t>10</w:t>
      </w:r>
      <w:r>
        <w:rPr>
          <w:rFonts w:hint="eastAsia"/>
        </w:rPr>
        <w:t>号法令将《公约》纳入了匈牙利法典。在签署《公约》时，匈牙利承诺随时编写报告，分析在实现男女平等的过程中所取得的进展，以及需要解决的各种难题。根据这项承诺，匈牙利分别于</w:t>
      </w:r>
      <w:r>
        <w:rPr>
          <w:rFonts w:hint="eastAsia"/>
        </w:rPr>
        <w:t>1982</w:t>
      </w:r>
      <w:r>
        <w:rPr>
          <w:rFonts w:hint="eastAsia"/>
        </w:rPr>
        <w:t>年、</w:t>
      </w:r>
      <w:r>
        <w:rPr>
          <w:rFonts w:hint="eastAsia"/>
        </w:rPr>
        <w:t>1986</w:t>
      </w:r>
      <w:r>
        <w:rPr>
          <w:rFonts w:hint="eastAsia"/>
        </w:rPr>
        <w:t>年、</w:t>
      </w:r>
      <w:r>
        <w:rPr>
          <w:rFonts w:hint="eastAsia"/>
        </w:rPr>
        <w:t>1991</w:t>
      </w:r>
      <w:r>
        <w:rPr>
          <w:rFonts w:hint="eastAsia"/>
        </w:rPr>
        <w:t>年和</w:t>
      </w:r>
      <w:r>
        <w:rPr>
          <w:rFonts w:hint="eastAsia"/>
        </w:rPr>
        <w:t>2000</w:t>
      </w:r>
      <w:r>
        <w:rPr>
          <w:rFonts w:hint="eastAsia"/>
        </w:rPr>
        <w:t>年编写了国家报告。</w:t>
      </w:r>
      <w:r>
        <w:rPr>
          <w:rFonts w:hint="eastAsia"/>
        </w:rPr>
        <w:t>2000</w:t>
      </w:r>
      <w:r>
        <w:rPr>
          <w:rFonts w:hint="eastAsia"/>
        </w:rPr>
        <w:t>年编写的合并国家报告已经发表，并尽可能让广大公众了解报告的内容。在编写本报告——第六次报告时，匈牙利根据《公约》规定的义务，介绍了</w:t>
      </w:r>
      <w:r>
        <w:rPr>
          <w:rFonts w:hint="eastAsia"/>
        </w:rPr>
        <w:t>2000-2006</w:t>
      </w:r>
      <w:r>
        <w:rPr>
          <w:rFonts w:hint="eastAsia"/>
        </w:rPr>
        <w:t>年期间所取得的成就和尚未解决的疑难问题。</w:t>
      </w:r>
    </w:p>
    <w:p w:rsidR="00CE1FDA" w:rsidRDefault="00CE1FDA" w:rsidP="00AC01AA">
      <w:pPr>
        <w:spacing w:after="240" w:line="340" w:lineRule="exact"/>
        <w:ind w:firstLineChars="200" w:firstLine="31680"/>
        <w:rPr>
          <w:rFonts w:hint="eastAsia"/>
        </w:rPr>
      </w:pPr>
      <w:r>
        <w:rPr>
          <w:rFonts w:hint="eastAsia"/>
        </w:rPr>
        <w:t>在匈牙利，将性别问题纳入主流是最高一级政府的程序之一。青年、家庭、社会事务和机会平等部部长的一项主要任务，就是推进两性平等，落实国际组织制定的政治和战略目标，努力确保在政府工作中实现男女机会平等。制定并实施男女平等政策是青年、家庭、社会事务和机会平等部两性平等司的一项任务。该司还负责协调和控制《消除对妇女歧视公约》中概述的任务，本报告的编写也是由该司进行协调。</w:t>
      </w:r>
    </w:p>
    <w:p w:rsidR="00CE1FDA" w:rsidRDefault="00CE1FDA" w:rsidP="00AC01AA">
      <w:pPr>
        <w:spacing w:after="240" w:line="340" w:lineRule="exact"/>
        <w:ind w:firstLineChars="200" w:firstLine="31680"/>
        <w:rPr>
          <w:rFonts w:hint="eastAsia"/>
        </w:rPr>
      </w:pPr>
      <w:r>
        <w:rPr>
          <w:rFonts w:hint="eastAsia"/>
        </w:rPr>
        <w:t>本报告是许多专家共同努力的结果，他们提供了各自专业技术领域的重要知识，并对现状进行了全面分析，从而完整客观地反映了报告所涉期间政府采取的各项措施。</w:t>
      </w:r>
    </w:p>
    <w:p w:rsidR="00CE1FDA" w:rsidRDefault="00CE1FDA" w:rsidP="00AC01AA">
      <w:pPr>
        <w:spacing w:after="240" w:line="340" w:lineRule="exact"/>
        <w:ind w:firstLineChars="200" w:firstLine="31680"/>
        <w:rPr>
          <w:rFonts w:hint="eastAsia"/>
        </w:rPr>
      </w:pPr>
      <w:r>
        <w:rPr>
          <w:rFonts w:hint="eastAsia"/>
        </w:rPr>
        <w:t>最近几年匈牙利制定了大量旨在改善妇女状况的措施。《平等待遇与促进平等机会法》已开始生效。该法将妇女定为最重要的目标群体之一。政府为提高妇女在劳动力市场的地位采取了各种行动与措施。家庭支助制度和老年人津贴制度的更新，可能有助于防止和减轻妇女的贫困。为了帮助家庭暴力受害者，实施了一个旨在建立危机管理机制的试点项目，并在该框架内成立了一个地区网络。</w:t>
      </w:r>
      <w:r>
        <w:rPr>
          <w:rFonts w:hint="eastAsia"/>
        </w:rPr>
        <w:t>2005</w:t>
      </w:r>
      <w:r>
        <w:rPr>
          <w:rFonts w:hint="eastAsia"/>
        </w:rPr>
        <w:t>年</w:t>
      </w:r>
      <w:r>
        <w:rPr>
          <w:rFonts w:hint="eastAsia"/>
        </w:rPr>
        <w:t>4</w:t>
      </w:r>
      <w:r>
        <w:rPr>
          <w:rFonts w:hint="eastAsia"/>
        </w:rPr>
        <w:t>月，国家危机管理和咨询电话服务开通。若干针对各项立法的修正案在所述领域内推行，目的在于更有效地保护受害者，抑制家庭暴力。在反对人口贩卖的民间组织、国际移民组织和美国驻匈牙利大使馆的参与下，政府成立了一个工作组，来抑制贩卖人口，尤其是贩卖人口卖淫。另外，还成立了一个庇护所，收容并帮助受害者，有关各部签署了一项协议，以提高向受害者提供援助的效率。</w:t>
      </w:r>
    </w:p>
    <w:p w:rsidR="00CE1FDA" w:rsidRDefault="00CE1FDA" w:rsidP="00AC01AA">
      <w:pPr>
        <w:spacing w:after="240" w:line="340" w:lineRule="exact"/>
        <w:ind w:firstLineChars="200" w:firstLine="31680"/>
        <w:rPr>
          <w:rFonts w:hint="eastAsia"/>
        </w:rPr>
      </w:pPr>
      <w:r>
        <w:rPr>
          <w:rFonts w:hint="eastAsia"/>
        </w:rPr>
        <w:t>政府与非政府部门之间的合作对改善社会弱势群体——包括妇女——的状况是不可缺少的。因此，政府正不断做出努力，协助非政府组织开展活动，并加强与它们的合作。国家非政府组织基金方案为非政府组织提供便利，使其能够申请到运作支助经费，用于提高其工作和运作的可靠性和有效性。</w:t>
      </w:r>
    </w:p>
    <w:p w:rsidR="00CE1FDA" w:rsidRDefault="00CE1FDA" w:rsidP="00AC01AA">
      <w:pPr>
        <w:spacing w:after="240" w:line="340" w:lineRule="exact"/>
        <w:ind w:firstLineChars="200" w:firstLine="31680"/>
        <w:rPr>
          <w:rFonts w:hint="eastAsia"/>
        </w:rPr>
      </w:pPr>
      <w:r>
        <w:rPr>
          <w:rFonts w:hint="eastAsia"/>
        </w:rPr>
        <w:t>妇女组织经常应邀参加政府（确切地说，是青年、家庭、社会事务和机会平等部）组织的各种活动，如讲习班、会议等，这对它们进行实际对话和统一思想很有助益。此外，尤其是在打击家庭暴力和人口贩卖的斗争中，妇女组织与积极支助受害者的组织以及努力开展社会宣传活动的组织建立了十分密切的工作关系。危机管理机制也得以建立，在这些组织的参与下正在发挥作用。</w:t>
      </w:r>
    </w:p>
    <w:p w:rsidR="00CE1FDA" w:rsidRDefault="00CE1FDA" w:rsidP="00AC01AA">
      <w:pPr>
        <w:spacing w:after="240" w:line="360" w:lineRule="exact"/>
        <w:ind w:firstLineChars="200" w:firstLine="31680"/>
        <w:rPr>
          <w:rFonts w:hint="eastAsia"/>
        </w:rPr>
      </w:pPr>
      <w:r>
        <w:rPr>
          <w:rFonts w:hint="eastAsia"/>
        </w:rPr>
        <w:t>迄今所取得的成就是有目共睹的，但是还有一些挑战需要应付。因此仍需采取大量政府与立法措施，以使两性平等成为日常生活中人所共知的现实。</w:t>
      </w:r>
    </w:p>
    <w:p w:rsidR="00CE1FDA" w:rsidRDefault="00CE1FDA" w:rsidP="00AC01AA">
      <w:pPr>
        <w:spacing w:after="240" w:line="360" w:lineRule="exact"/>
        <w:ind w:firstLineChars="200" w:firstLine="31680"/>
        <w:rPr>
          <w:rFonts w:hint="eastAsia"/>
        </w:rPr>
      </w:pPr>
      <w:r>
        <w:rPr>
          <w:rFonts w:hint="eastAsia"/>
        </w:rPr>
        <w:t>匈牙利共和国政府致力于实现法律上的平等，并努力推动公共生活、经济以及其他重要生活领域的两性平等。</w:t>
      </w:r>
    </w:p>
    <w:p w:rsidR="00CE1FDA" w:rsidRDefault="00CE1FDA">
      <w:pPr>
        <w:spacing w:after="240" w:line="360" w:lineRule="exact"/>
        <w:jc w:val="center"/>
        <w:rPr>
          <w:rFonts w:ascii="SimHei" w:eastAsia="SimHei" w:hint="eastAsia"/>
          <w:color w:val="FF0000"/>
          <w:sz w:val="28"/>
        </w:rPr>
      </w:pPr>
      <w:r>
        <w:rPr>
          <w:rFonts w:ascii="SimHei" w:eastAsia="SimHei" w:hint="eastAsia"/>
          <w:color w:val="FF0000"/>
          <w:sz w:val="28"/>
        </w:rPr>
        <w:t>自2000年以来政府所取得的成就和做出的努力</w:t>
      </w:r>
    </w:p>
    <w:p w:rsidR="00CE1FDA" w:rsidRDefault="00CE1FDA">
      <w:pPr>
        <w:spacing w:after="240" w:line="360" w:lineRule="exact"/>
        <w:rPr>
          <w:rFonts w:ascii="SimHei" w:eastAsia="SimHei" w:hint="eastAsia"/>
          <w:color w:val="FF0000"/>
          <w:sz w:val="24"/>
        </w:rPr>
      </w:pPr>
      <w:r>
        <w:rPr>
          <w:rFonts w:ascii="SimHei" w:eastAsia="SimHei" w:hint="eastAsia"/>
          <w:color w:val="FF0000"/>
          <w:sz w:val="24"/>
        </w:rPr>
        <w:t>第1条：歧视的定义</w:t>
      </w:r>
    </w:p>
    <w:p w:rsidR="00CE1FDA" w:rsidRDefault="00CE1FDA">
      <w:pPr>
        <w:spacing w:after="240" w:line="360" w:lineRule="exact"/>
        <w:rPr>
          <w:rFonts w:ascii="SimHei" w:eastAsia="SimHei" w:hint="eastAsia"/>
          <w:color w:val="FF0000"/>
        </w:rPr>
      </w:pPr>
      <w:r>
        <w:rPr>
          <w:rFonts w:ascii="SimHei" w:eastAsia="SimHei" w:hint="eastAsia"/>
          <w:color w:val="FF0000"/>
        </w:rPr>
        <w:t>《宪法》第70/A条</w:t>
      </w:r>
    </w:p>
    <w:p w:rsidR="00CE1FDA" w:rsidRDefault="00CE1FDA" w:rsidP="00AC01AA">
      <w:pPr>
        <w:spacing w:after="240" w:line="340" w:lineRule="exact"/>
        <w:ind w:firstLineChars="200" w:firstLine="31680"/>
        <w:rPr>
          <w:rFonts w:hint="eastAsia"/>
        </w:rPr>
      </w:pPr>
      <w:r>
        <w:rPr>
          <w:rFonts w:hint="eastAsia"/>
        </w:rPr>
        <w:t>该条款仍以《宪法》第</w:t>
      </w:r>
      <w:r>
        <w:rPr>
          <w:rFonts w:hint="eastAsia"/>
        </w:rPr>
        <w:t>70/A</w:t>
      </w:r>
      <w:r>
        <w:rPr>
          <w:rFonts w:hint="eastAsia"/>
        </w:rPr>
        <w:t>（</w:t>
      </w:r>
      <w:r>
        <w:rPr>
          <w:rFonts w:hint="eastAsia"/>
        </w:rPr>
        <w:t>1</w:t>
      </w:r>
      <w:r>
        <w:rPr>
          <w:rFonts w:hint="eastAsia"/>
        </w:rPr>
        <w:t>）条为基础：“</w:t>
      </w:r>
      <w:r>
        <w:rPr>
          <w:rFonts w:eastAsia="KaiTi_GB2312" w:hint="eastAsia"/>
          <w:color w:val="0000FF"/>
        </w:rPr>
        <w:t>匈牙利共和国</w:t>
      </w:r>
      <w:r>
        <w:rPr>
          <w:rFonts w:hint="eastAsia"/>
        </w:rPr>
        <w:t>应尊重本国全体人民的人权和公民权利，不得以种族、肤色、性别、语言、宗教、政治或不同意见、民族血统或社会出身、财务状况、出生或其他任何理由为由实行歧视。”</w:t>
      </w:r>
    </w:p>
    <w:p w:rsidR="00CE1FDA" w:rsidRDefault="00CE1FDA">
      <w:pPr>
        <w:spacing w:after="240" w:line="340" w:lineRule="exact"/>
        <w:rPr>
          <w:rFonts w:ascii="SimHei" w:eastAsia="SimHei" w:hint="eastAsia"/>
          <w:color w:val="FF0000"/>
        </w:rPr>
      </w:pPr>
      <w:r>
        <w:rPr>
          <w:rFonts w:ascii="SimHei" w:eastAsia="SimHei" w:hint="eastAsia"/>
          <w:color w:val="FF0000"/>
        </w:rPr>
        <w:t>平等待遇法案</w:t>
      </w:r>
    </w:p>
    <w:p w:rsidR="00CE1FDA" w:rsidRDefault="00CE1FDA" w:rsidP="00AC01AA">
      <w:pPr>
        <w:spacing w:after="240" w:line="340" w:lineRule="exact"/>
        <w:ind w:firstLineChars="200" w:firstLine="31680"/>
        <w:rPr>
          <w:rFonts w:hint="eastAsia"/>
        </w:rPr>
      </w:pPr>
      <w:r>
        <w:rPr>
          <w:rFonts w:hint="eastAsia"/>
        </w:rPr>
        <w:t>根据《宪法》第</w:t>
      </w:r>
      <w:r>
        <w:rPr>
          <w:rFonts w:hint="eastAsia"/>
        </w:rPr>
        <w:t>70/A</w:t>
      </w:r>
      <w:r>
        <w:rPr>
          <w:rFonts w:hint="eastAsia"/>
        </w:rPr>
        <w:t>条，</w:t>
      </w:r>
      <w:r>
        <w:rPr>
          <w:rFonts w:hint="eastAsia"/>
        </w:rPr>
        <w:t>2003</w:t>
      </w:r>
      <w:r>
        <w:rPr>
          <w:rFonts w:hint="eastAsia"/>
        </w:rPr>
        <w:t>年</w:t>
      </w:r>
      <w:r>
        <w:rPr>
          <w:rFonts w:hint="eastAsia"/>
        </w:rPr>
        <w:t>12</w:t>
      </w:r>
      <w:r>
        <w:rPr>
          <w:rFonts w:hint="eastAsia"/>
        </w:rPr>
        <w:t>月</w:t>
      </w:r>
      <w:r>
        <w:rPr>
          <w:rFonts w:hint="eastAsia"/>
        </w:rPr>
        <w:t>22</w:t>
      </w:r>
      <w:r>
        <w:rPr>
          <w:rFonts w:hint="eastAsia"/>
        </w:rPr>
        <w:t>日，议会通过了关于平等待遇和促进机会平等的</w:t>
      </w:r>
      <w:r>
        <w:rPr>
          <w:rFonts w:hint="eastAsia"/>
        </w:rPr>
        <w:t>2003</w:t>
      </w:r>
      <w:r>
        <w:rPr>
          <w:rFonts w:hint="eastAsia"/>
        </w:rPr>
        <w:t>年第</w:t>
      </w:r>
      <w:r>
        <w:rPr>
          <w:rFonts w:hint="eastAsia"/>
        </w:rPr>
        <w:t>CXXV</w:t>
      </w:r>
      <w:r>
        <w:rPr>
          <w:rFonts w:hint="eastAsia"/>
        </w:rPr>
        <w:t>号法令（以下称：《平等待遇法案》）。《平等待遇法案》旨在为法律体制的完整性界定平等待遇的受益者和义务人，以及平等待遇要求的一般内容，并为权利受到侵犯的人提供有效的法律补救方法。因此，《法案》最重要的部分之一，就是对歧视一词及其范围做出精确定义。《法案》涵盖了所有从事公共活动的组织，以及</w:t>
      </w:r>
    </w:p>
    <w:p w:rsidR="00CE1FDA" w:rsidRDefault="00CE1FDA" w:rsidP="00AC01AA">
      <w:pPr>
        <w:pStyle w:val="1"/>
        <w:adjustRightInd w:val="0"/>
        <w:spacing w:after="240" w:line="340" w:lineRule="exact"/>
        <w:ind w:firstLine="31680"/>
        <w:textAlignment w:val="baseline"/>
        <w:rPr>
          <w:rFonts w:hint="eastAsia"/>
          <w:kern w:val="0"/>
          <w:szCs w:val="20"/>
        </w:rPr>
      </w:pPr>
      <w:r>
        <w:rPr>
          <w:rFonts w:hint="eastAsia"/>
          <w:kern w:val="0"/>
          <w:szCs w:val="20"/>
        </w:rPr>
        <w:t>因此，《平等待遇法案》的涉及面很广，包括了公共和私营部门（私营部门中精确界定的除外，如教堂，政党、私人合同、家庭法规定的关系等）。</w:t>
      </w:r>
    </w:p>
    <w:p w:rsidR="00CE1FDA" w:rsidRDefault="00CE1FDA" w:rsidP="00AC01AA">
      <w:pPr>
        <w:spacing w:after="240" w:line="340" w:lineRule="exact"/>
        <w:ind w:firstLineChars="200" w:firstLine="31680"/>
        <w:rPr>
          <w:rFonts w:hint="eastAsia"/>
        </w:rPr>
      </w:pPr>
      <w:r>
        <w:rPr>
          <w:rFonts w:hint="eastAsia"/>
        </w:rPr>
        <w:t>《平等待遇法案》是一个禁止以“性别、婚姻状况和产妇（怀孕）”为由对妇女实行歧视的普通反歧视法。《平等待遇法案》禁止违反基于</w:t>
      </w:r>
      <w:r>
        <w:rPr>
          <w:rFonts w:hint="eastAsia"/>
        </w:rPr>
        <w:t>18</w:t>
      </w:r>
      <w:r>
        <w:rPr>
          <w:rFonts w:hint="eastAsia"/>
        </w:rPr>
        <w:t>个特征（包括性别）和其他情况的平等待遇要求，因此，它采用了《宪法》第</w:t>
      </w:r>
      <w:r>
        <w:rPr>
          <w:rFonts w:hint="eastAsia"/>
        </w:rPr>
        <w:t>70/A</w:t>
      </w:r>
      <w:r>
        <w:rPr>
          <w:rFonts w:hint="eastAsia"/>
        </w:rPr>
        <w:t>（</w:t>
      </w:r>
      <w:r>
        <w:rPr>
          <w:rFonts w:hint="eastAsia"/>
        </w:rPr>
        <w:t>1</w:t>
      </w:r>
      <w:r>
        <w:rPr>
          <w:rFonts w:hint="eastAsia"/>
        </w:rPr>
        <w:t>）条补充清单。</w:t>
      </w:r>
    </w:p>
    <w:p w:rsidR="00CE1FDA" w:rsidRDefault="00CE1FDA" w:rsidP="00AC01AA">
      <w:pPr>
        <w:spacing w:after="240" w:line="340" w:lineRule="exact"/>
        <w:ind w:firstLineChars="200" w:firstLine="31680"/>
        <w:rPr>
          <w:rFonts w:hint="eastAsia"/>
        </w:rPr>
      </w:pPr>
      <w:r>
        <w:rPr>
          <w:rFonts w:hint="eastAsia"/>
        </w:rPr>
        <w:t>这一理念既遭到了非政府组织的强烈批评，在议会讨论过程中也颇受非议。反对它的主要论点是，针对各种社会团体——尤其是妇女和罗姆人——单独采取行动会更适于解决问题，因为这可以提供个性化的保护。为了制定有效的标准化法律条例，议会坚持采用一般范围的法案。</w:t>
      </w:r>
    </w:p>
    <w:p w:rsidR="00CE1FDA" w:rsidRDefault="00CE1FDA">
      <w:pPr>
        <w:spacing w:after="240" w:line="360" w:lineRule="exact"/>
        <w:rPr>
          <w:rFonts w:ascii="SimHei" w:eastAsia="SimHei" w:hint="eastAsia"/>
          <w:color w:val="FF0000"/>
        </w:rPr>
      </w:pPr>
      <w:r>
        <w:rPr>
          <w:rFonts w:ascii="SimHei" w:eastAsia="SimHei" w:hint="eastAsia"/>
          <w:color w:val="FF0000"/>
        </w:rPr>
        <w:t>平等待遇要求</w:t>
      </w:r>
    </w:p>
    <w:p w:rsidR="00CE1FDA" w:rsidRDefault="00CE1FDA" w:rsidP="00AC01AA">
      <w:pPr>
        <w:spacing w:after="240" w:line="360" w:lineRule="exact"/>
        <w:ind w:firstLineChars="200" w:firstLine="31680"/>
      </w:pPr>
      <w:r>
        <w:rPr>
          <w:rFonts w:hint="eastAsia"/>
        </w:rPr>
        <w:t>事实上，《平等待遇法案》并没有禁止歧视，而是提出了平等待遇要求，</w:t>
      </w:r>
      <w:r>
        <w:rPr>
          <w:rStyle w:val="FootnoteReference"/>
        </w:rPr>
        <w:footnoteReference w:id="1"/>
      </w:r>
      <w:r>
        <w:rPr>
          <w:rFonts w:hint="eastAsia"/>
        </w:rPr>
        <w:t>这似乎是一种象征性变化。但是，这已经引起了真正的实质性变化，因为它规定了可定为违反平等待遇要求的五种不同行为：直接和间接歧视、骚扰、非法隔离和报复——这些行为可能是由作为或不作为引起的。该法案指出，指使某人犯下歧视行为，也应视为违反平等待遇要求。平等待遇要求至关重要，因为各种法律（劳动法、民法等）都必须采用这些反歧视规则。</w:t>
      </w:r>
      <w:r>
        <w:rPr>
          <w:rStyle w:val="FootnoteReference"/>
        </w:rPr>
        <w:footnoteReference w:id="2"/>
      </w:r>
    </w:p>
    <w:p w:rsidR="00CE1FDA" w:rsidRDefault="00CE1FDA" w:rsidP="00AC01AA">
      <w:pPr>
        <w:spacing w:after="240" w:line="360" w:lineRule="exact"/>
        <w:ind w:firstLineChars="200" w:firstLine="31680"/>
        <w:rPr>
          <w:rFonts w:hint="eastAsia"/>
        </w:rPr>
      </w:pPr>
      <w:r>
        <w:rPr>
          <w:rFonts w:hint="eastAsia"/>
        </w:rPr>
        <w:t>匈牙利法律的发展、在适用和执行法律的过程中积累的大量经验以及欧洲联盟的共同体法都要求在《平等待遇法案》中对直接和间接歧视的措词做出准确定义。这在两方面引起了变化。一方面，匈牙利法律中第一次对直接歧视作了定义。另一方面，所有新的措词都必须在各种法律中采用，这与先前在《劳工法》中使用的间接歧视概念有所不同。</w:t>
      </w:r>
    </w:p>
    <w:p w:rsidR="00CE1FDA" w:rsidRDefault="00CE1FDA" w:rsidP="00AC01AA">
      <w:pPr>
        <w:spacing w:after="240" w:line="360" w:lineRule="exact"/>
        <w:ind w:firstLineChars="200" w:firstLine="31680"/>
        <w:rPr>
          <w:rFonts w:hint="eastAsia"/>
        </w:rPr>
      </w:pPr>
      <w:r>
        <w:rPr>
          <w:rFonts w:hint="eastAsia"/>
        </w:rPr>
        <w:t>如果由于一项指令，在同等的情况下，一个人或一个群体因实际的或假设的特点（见上文），其所受的待遇不如另外一个人或一个群体，则应视为直接歧视。</w:t>
      </w:r>
      <w:r>
        <w:rPr>
          <w:rStyle w:val="FootnoteReference"/>
        </w:rPr>
        <w:footnoteReference w:id="3"/>
      </w:r>
      <w:r>
        <w:rPr>
          <w:rFonts w:hint="eastAsia"/>
        </w:rPr>
        <w:t>相对而言，一项不含直接歧视的指示，显然符合平等待遇的要求，如果由于这样一项指令，具备上述特点的个人或群体所受待遇远不如情况类似的个人或群体，则应视为间接歧视。</w:t>
      </w:r>
      <w:r>
        <w:rPr>
          <w:rStyle w:val="FootnoteReference"/>
        </w:rPr>
        <w:footnoteReference w:id="4"/>
      </w:r>
    </w:p>
    <w:p w:rsidR="00CE1FDA" w:rsidRDefault="00CE1FDA" w:rsidP="00AC01AA">
      <w:pPr>
        <w:spacing w:after="240" w:line="360" w:lineRule="exact"/>
        <w:ind w:firstLineChars="200" w:firstLine="31680"/>
        <w:rPr>
          <w:rFonts w:hint="eastAsia"/>
        </w:rPr>
      </w:pPr>
      <w:r>
        <w:rPr>
          <w:rFonts w:hint="eastAsia"/>
        </w:rPr>
        <w:t>除了直接和间接歧视之外，骚扰应视为违反平等待遇要求。法律是否应对性骚扰做出实质性规定，对这一问题也进行了讨论。法案中的一项定义，禁止的范围比性骚扰更大，但是没有对性骚扰本身加以规定。骚扰是一种侵犯人类尊严的行为，与有关人的特点有关，第</w:t>
      </w:r>
      <w:r>
        <w:rPr>
          <w:rFonts w:hint="eastAsia"/>
        </w:rPr>
        <w:t>8</w:t>
      </w:r>
      <w:r>
        <w:rPr>
          <w:rFonts w:hint="eastAsia"/>
        </w:rPr>
        <w:t>条中有规定。骚扰的目的或作用是要造成一种针对个人的恐吓、敌对、侮辱、羞辱或挑衅环境。</w:t>
      </w:r>
    </w:p>
    <w:p w:rsidR="00CE1FDA" w:rsidRDefault="00CE1FDA" w:rsidP="00AC01AA">
      <w:pPr>
        <w:spacing w:after="240" w:line="360" w:lineRule="exact"/>
        <w:ind w:firstLineChars="200" w:firstLine="31680"/>
        <w:rPr>
          <w:rFonts w:hint="eastAsia"/>
        </w:rPr>
      </w:pPr>
      <w:r>
        <w:rPr>
          <w:rFonts w:hint="eastAsia"/>
        </w:rPr>
        <w:t>根据</w:t>
      </w:r>
      <w:r>
        <w:rPr>
          <w:rFonts w:eastAsia="KaiTi_GB2312" w:hint="eastAsia"/>
        </w:rPr>
        <w:t>拟定的关于机会平等主体的各种法案修正案</w:t>
      </w:r>
      <w:r>
        <w:rPr>
          <w:rFonts w:hint="eastAsia"/>
        </w:rPr>
        <w:t>——第</w:t>
      </w:r>
      <w:r>
        <w:rPr>
          <w:rFonts w:hint="eastAsia"/>
        </w:rPr>
        <w:t>T18902</w:t>
      </w:r>
      <w:r>
        <w:rPr>
          <w:rFonts w:hint="eastAsia"/>
        </w:rPr>
        <w:t>号，性骚扰概念正在逐步列入匈牙利法律。</w:t>
      </w:r>
    </w:p>
    <w:p w:rsidR="00CE1FDA" w:rsidRDefault="00CE1FDA" w:rsidP="00AC01AA">
      <w:pPr>
        <w:spacing w:after="240" w:line="360" w:lineRule="exact"/>
        <w:ind w:firstLineChars="200" w:firstLine="31680"/>
        <w:rPr>
          <w:rFonts w:hint="eastAsia"/>
        </w:rPr>
      </w:pPr>
      <w:r>
        <w:rPr>
          <w:rFonts w:hint="eastAsia"/>
        </w:rPr>
        <w:t>众所周知，消极歧视的受害者往往无法对侵犯其权利的人采取法律行动，因为他们害怕打击或报复。这一过程被称为受害，匈牙利法律以前没有以这种形式对此加以禁止。但是，由于歧视而行使自己的权利，这只有在受害人——或任何其他能够对此事提供信息的人——不必担心因自己的作为或行为而陷入不利境地时才会有效。《平等待遇法案》规定，导致侵犯他人权利的行为，因他人提出反对而威胁侵犯其权利的行为，因此类行为而提起或参与针对</w:t>
      </w:r>
      <w:r>
        <w:rPr>
          <w:rStyle w:val="FootnoteReference"/>
        </w:rPr>
        <w:footnoteReference w:id="5"/>
      </w:r>
      <w:r>
        <w:rPr>
          <w:rFonts w:hint="eastAsia"/>
        </w:rPr>
        <w:t>违反平等待遇要求的诉讼，视为报复行为。</w:t>
      </w:r>
    </w:p>
    <w:p w:rsidR="00CE1FDA" w:rsidRDefault="00CE1FDA" w:rsidP="00AC01AA">
      <w:pPr>
        <w:spacing w:after="240" w:line="360" w:lineRule="exact"/>
        <w:ind w:firstLineChars="200" w:firstLine="31680"/>
        <w:rPr>
          <w:rFonts w:hint="eastAsia"/>
        </w:rPr>
      </w:pPr>
      <w:r>
        <w:rPr>
          <w:rFonts w:hint="eastAsia"/>
        </w:rPr>
        <w:t>因此，新条例基于这样的前提，制定对最经常碰到的歧视形式加以准确定义和禁止的法规是对有效执法的协助。这就意味着，除了一般性措词和概念外，《平等待遇法案》中还有具体的禁止，但是都按照负面歧视的领域而不是社群的领域加以分组。因此，该立法试图使法规达到详尽无遗的程度，可以按照各种群体的具体行为做出规定。出于这一原因，法案在下列领域做出了详细的禁止规定：就业、社会保障与保健、教育与培训、货物和服务的使用与消费，以及住房。</w:t>
      </w:r>
    </w:p>
    <w:p w:rsidR="00CE1FDA" w:rsidRDefault="00CE1FDA" w:rsidP="00AC01AA">
      <w:pPr>
        <w:spacing w:after="240" w:line="360" w:lineRule="exact"/>
        <w:ind w:firstLineChars="200" w:firstLine="31680"/>
        <w:rPr>
          <w:rFonts w:hint="eastAsia"/>
        </w:rPr>
      </w:pPr>
      <w:r>
        <w:rPr>
          <w:rFonts w:hint="eastAsia"/>
        </w:rPr>
        <w:t>该条例的概念在关于就业问题的一章中做了清楚的说明，</w:t>
      </w:r>
      <w:r>
        <w:rPr>
          <w:rStyle w:val="FootnoteReference"/>
        </w:rPr>
        <w:footnoteReference w:id="6"/>
      </w:r>
      <w:r>
        <w:rPr>
          <w:rFonts w:hint="eastAsia"/>
        </w:rPr>
        <w:t>因为违反平等待遇要求的行为包括直接或间接歧视，尤其是在就业、公开招聘广告、就业条件、创造和终止就业关系、升级制度等等。同样，专门适用于指定特殊领域的详细禁止规定也载于其他章节。比如，在教育方面，必须贯彻执行平等待遇要求，尤其是在工作申请的评价和决策、业绩评估、学生公寓住宿和提供有关服务方面。</w:t>
      </w:r>
    </w:p>
    <w:p w:rsidR="00CE1FDA" w:rsidRDefault="00CE1FDA">
      <w:pPr>
        <w:pStyle w:val="H2"/>
        <w:rPr>
          <w:rFonts w:ascii="Times New Roman" w:hint="eastAsia"/>
          <w:lang w:val="en-US"/>
        </w:rPr>
      </w:pPr>
      <w:r>
        <w:rPr>
          <w:rFonts w:ascii="Times New Roman" w:hint="eastAsia"/>
          <w:lang w:val="en-US"/>
        </w:rPr>
        <w:t>免责的可能性</w:t>
      </w:r>
    </w:p>
    <w:p w:rsidR="00CE1FDA" w:rsidRDefault="00CE1FDA" w:rsidP="00AC01AA">
      <w:pPr>
        <w:spacing w:after="240" w:line="360" w:lineRule="exact"/>
        <w:ind w:firstLineChars="200" w:firstLine="31680"/>
        <w:rPr>
          <w:rFonts w:hint="eastAsia"/>
        </w:rPr>
      </w:pPr>
      <w:r>
        <w:rPr>
          <w:rFonts w:hint="eastAsia"/>
          <w:spacing w:val="2"/>
        </w:rPr>
        <w:t>在《平等待遇法案》中，免责是指免除责任人违反法律的法律责任，使其可以依法适用差别对待。因此在免责的情况下，《平等待遇法案》和平等待遇要求仍然有效，但是由于某些情况，采用有关程序并不构成非法歧视。可能的免责旨在防止生活中不大可能发生的情况以及与其他基本权利之间的冲突。《平等待遇法案》第</w:t>
      </w:r>
      <w:r>
        <w:rPr>
          <w:rFonts w:hint="eastAsia"/>
          <w:spacing w:val="2"/>
        </w:rPr>
        <w:t>7</w:t>
      </w:r>
      <w:r>
        <w:rPr>
          <w:rFonts w:hint="eastAsia"/>
          <w:spacing w:val="2"/>
        </w:rPr>
        <w:t>（</w:t>
      </w:r>
      <w:r>
        <w:rPr>
          <w:rFonts w:hint="eastAsia"/>
          <w:spacing w:val="2"/>
        </w:rPr>
        <w:t>2</w:t>
      </w:r>
      <w:r>
        <w:rPr>
          <w:rFonts w:hint="eastAsia"/>
          <w:spacing w:val="2"/>
        </w:rPr>
        <w:t>）条对一般免责作了规定，适用于该法规定范围内发生的任何情况。不应防止歧视行为或做法违反平等待遇要求，因为根据一项客观评估，完全有理由认为，这直接涉及到一种特定的法律关系。除了一般免责理由外，《平等待遇法案》还提供了专门的免责选择，与有关部门的具体特点相吻合。例如，在教育领域，如果实行的区别对待正当合理且基于就业方面所有相关的合法物质条件，则不属于违反平等待遇要</w:t>
      </w:r>
      <w:r>
        <w:rPr>
          <w:rFonts w:hint="eastAsia"/>
        </w:rPr>
        <w:t>求</w:t>
      </w:r>
      <w:r>
        <w:rPr>
          <w:rStyle w:val="FootnoteReference"/>
        </w:rPr>
        <w:footnoteReference w:id="7"/>
      </w:r>
      <w:r>
        <w:rPr>
          <w:rFonts w:hint="eastAsia"/>
        </w:rPr>
        <w:t>。</w:t>
      </w:r>
    </w:p>
    <w:p w:rsidR="00CE1FDA" w:rsidRDefault="00CE1FDA">
      <w:pPr>
        <w:spacing w:after="240" w:line="360" w:lineRule="exact"/>
        <w:rPr>
          <w:rFonts w:ascii="SimHei" w:eastAsia="SimHei" w:hint="eastAsia"/>
          <w:color w:val="FF0000"/>
          <w:sz w:val="24"/>
        </w:rPr>
      </w:pPr>
      <w:r>
        <w:rPr>
          <w:rFonts w:ascii="SimHei" w:eastAsia="SimHei" w:hint="eastAsia"/>
          <w:color w:val="FF0000"/>
          <w:sz w:val="24"/>
        </w:rPr>
        <w:t>第2条：禁止歧视</w:t>
      </w:r>
    </w:p>
    <w:p w:rsidR="00CE1FDA" w:rsidRDefault="00CE1FDA">
      <w:pPr>
        <w:pStyle w:val="H2"/>
        <w:rPr>
          <w:rFonts w:ascii="Times New Roman" w:hint="eastAsia"/>
          <w:lang w:val="en-US"/>
        </w:rPr>
      </w:pPr>
      <w:r>
        <w:rPr>
          <w:rFonts w:ascii="Times New Roman" w:hint="eastAsia"/>
          <w:lang w:val="en-US"/>
        </w:rPr>
        <w:t xml:space="preserve">a. </w:t>
      </w:r>
      <w:r>
        <w:rPr>
          <w:rFonts w:ascii="Times New Roman" w:hint="eastAsia"/>
          <w:lang w:val="en-US"/>
        </w:rPr>
        <w:t>宪法</w:t>
      </w:r>
    </w:p>
    <w:p w:rsidR="00CE1FDA" w:rsidRDefault="00CE1FDA" w:rsidP="00AC01AA">
      <w:pPr>
        <w:spacing w:after="240" w:line="360" w:lineRule="exact"/>
        <w:ind w:firstLineChars="200" w:firstLine="31680"/>
        <w:rPr>
          <w:rFonts w:hint="eastAsia"/>
        </w:rPr>
      </w:pPr>
      <w:r>
        <w:rPr>
          <w:rFonts w:hint="eastAsia"/>
        </w:rPr>
        <w:t>《宪法》第</w:t>
      </w:r>
      <w:r>
        <w:rPr>
          <w:rFonts w:hint="eastAsia"/>
        </w:rPr>
        <w:t>70/A-B</w:t>
      </w:r>
      <w:r>
        <w:rPr>
          <w:rFonts w:hint="eastAsia"/>
        </w:rPr>
        <w:t>条以及《关于平等待遇和促进机会均等的</w:t>
      </w:r>
      <w:r>
        <w:rPr>
          <w:rFonts w:hint="eastAsia"/>
        </w:rPr>
        <w:t>2003</w:t>
      </w:r>
      <w:r>
        <w:rPr>
          <w:rFonts w:hint="eastAsia"/>
        </w:rPr>
        <w:t>年第</w:t>
      </w:r>
      <w:r>
        <w:rPr>
          <w:rFonts w:hint="eastAsia"/>
        </w:rPr>
        <w:t>CXXV</w:t>
      </w:r>
      <w:r>
        <w:rPr>
          <w:rFonts w:hint="eastAsia"/>
        </w:rPr>
        <w:t>号法令》的通过和平等待遇机构的成立符合委员会的建议。法律保证和体制保护把保证妇女平等待遇权利推向了一个更高的水平。</w:t>
      </w:r>
    </w:p>
    <w:p w:rsidR="00CE1FDA" w:rsidRDefault="00CE1FDA">
      <w:pPr>
        <w:pStyle w:val="H2"/>
        <w:rPr>
          <w:rFonts w:ascii="Times New Roman" w:hint="eastAsia"/>
          <w:lang w:val="en-US"/>
        </w:rPr>
      </w:pPr>
      <w:r>
        <w:rPr>
          <w:rFonts w:ascii="Times New Roman" w:hint="eastAsia"/>
          <w:lang w:val="en-US"/>
        </w:rPr>
        <w:t>同工同酬原则</w:t>
      </w:r>
    </w:p>
    <w:p w:rsidR="00CE1FDA" w:rsidRDefault="00CE1FDA" w:rsidP="00AC01AA">
      <w:pPr>
        <w:spacing w:after="240" w:line="360" w:lineRule="exact"/>
        <w:ind w:firstLineChars="200" w:firstLine="31680"/>
        <w:rPr>
          <w:rFonts w:hint="eastAsia"/>
        </w:rPr>
      </w:pPr>
      <w:r>
        <w:rPr>
          <w:rFonts w:hint="eastAsia"/>
        </w:rPr>
        <w:t>《宪法》第</w:t>
      </w:r>
      <w:r>
        <w:rPr>
          <w:rFonts w:hint="eastAsia"/>
        </w:rPr>
        <w:t>70/B</w:t>
      </w:r>
      <w:r>
        <w:rPr>
          <w:rFonts w:hint="eastAsia"/>
        </w:rPr>
        <w:t>（</w:t>
      </w:r>
      <w:r>
        <w:rPr>
          <w:rFonts w:hint="eastAsia"/>
        </w:rPr>
        <w:t>2</w:t>
      </w:r>
      <w:r>
        <w:rPr>
          <w:rFonts w:hint="eastAsia"/>
        </w:rPr>
        <w:t>）条中也规定了同工同酬原则：“人人无歧视地享有同工同酬的权利。”因此，该规定适用于妇女，是一项受欢迎的规则，因为任何人都可以把违反这一原则作为立论的根据。但是，该规定还会产生另外一种结果，事实上，人人都会以任何特征或情况为由要求同酬。正是因为这一原因，有必要制定豁免规则。</w:t>
      </w:r>
    </w:p>
    <w:p w:rsidR="00CE1FDA" w:rsidRDefault="00CE1FDA" w:rsidP="00AC01AA">
      <w:pPr>
        <w:spacing w:after="240" w:line="360" w:lineRule="exact"/>
        <w:ind w:firstLineChars="200" w:firstLine="31680"/>
        <w:rPr>
          <w:rFonts w:hint="eastAsia"/>
        </w:rPr>
      </w:pPr>
      <w:r>
        <w:rPr>
          <w:rFonts w:hint="eastAsia"/>
        </w:rPr>
        <w:t>所采取的一项重要步骤，是</w:t>
      </w:r>
      <w:r>
        <w:rPr>
          <w:rFonts w:hint="eastAsia"/>
        </w:rPr>
        <w:t>2001</w:t>
      </w:r>
      <w:r>
        <w:rPr>
          <w:rFonts w:hint="eastAsia"/>
        </w:rPr>
        <w:t>年在《劳动法（</w:t>
      </w:r>
      <w:r>
        <w:rPr>
          <w:rFonts w:hint="eastAsia"/>
        </w:rPr>
        <w:t>1992</w:t>
      </w:r>
      <w:r>
        <w:rPr>
          <w:rFonts w:hint="eastAsia"/>
        </w:rPr>
        <w:t>年第</w:t>
      </w:r>
      <w:r>
        <w:rPr>
          <w:rFonts w:hint="eastAsia"/>
        </w:rPr>
        <w:t>XXII</w:t>
      </w:r>
      <w:r>
        <w:rPr>
          <w:rFonts w:hint="eastAsia"/>
        </w:rPr>
        <w:t>号法令）》中引入了同工同酬概念。《劳动法》第</w:t>
      </w:r>
      <w:r>
        <w:rPr>
          <w:rFonts w:hint="eastAsia"/>
        </w:rPr>
        <w:t>142/A</w:t>
      </w:r>
      <w:r>
        <w:rPr>
          <w:rFonts w:hint="eastAsia"/>
        </w:rPr>
        <w:t>条阐明了同工同酬原则细则，并对同工同酬一词作了详尽而适当的规定。另外，《平等待遇法案》各项条款规定了确定违反同酬原则行为的方法，这意味着，雇主向女雇员支付的工资较低，也可以免除责任，只要他能对雇员工资级别的差异做出合情合理的解释——根据客观评估与特定的法律关系直接相关。如果支付给男女雇员的工资可能不同，则不应适用该规则，因为在这种情况下不能免责。</w:t>
      </w:r>
    </w:p>
    <w:p w:rsidR="00CE1FDA" w:rsidRDefault="00CE1FDA">
      <w:pPr>
        <w:pStyle w:val="H2"/>
        <w:rPr>
          <w:rFonts w:ascii="Times New Roman" w:hint="eastAsia"/>
          <w:lang w:val="en-US"/>
        </w:rPr>
      </w:pPr>
      <w:r>
        <w:rPr>
          <w:rFonts w:ascii="Times New Roman" w:hint="eastAsia"/>
          <w:lang w:val="en-US"/>
        </w:rPr>
        <w:t xml:space="preserve">b.  </w:t>
      </w:r>
      <w:r>
        <w:rPr>
          <w:rFonts w:ascii="Times New Roman" w:hint="eastAsia"/>
          <w:lang w:val="en-US"/>
        </w:rPr>
        <w:t>法律条例</w:t>
      </w:r>
    </w:p>
    <w:p w:rsidR="00CE1FDA" w:rsidRDefault="00CE1FDA" w:rsidP="00AC01AA">
      <w:pPr>
        <w:spacing w:after="240" w:line="360" w:lineRule="exact"/>
        <w:ind w:firstLineChars="200" w:firstLine="31680"/>
        <w:rPr>
          <w:rFonts w:hint="eastAsia"/>
        </w:rPr>
      </w:pPr>
      <w:r>
        <w:rPr>
          <w:rFonts w:hint="eastAsia"/>
        </w:rPr>
        <w:t>见</w:t>
      </w:r>
      <w:r>
        <w:t>c</w:t>
      </w:r>
      <w:r>
        <w:rPr>
          <w:rFonts w:hint="eastAsia"/>
        </w:rPr>
        <w:t>中的内容。</w:t>
      </w:r>
    </w:p>
    <w:p w:rsidR="00CE1FDA" w:rsidRDefault="00CE1FDA">
      <w:pPr>
        <w:pStyle w:val="H2"/>
        <w:rPr>
          <w:rFonts w:ascii="Times New Roman" w:hint="eastAsia"/>
          <w:lang w:val="en-US"/>
        </w:rPr>
      </w:pPr>
      <w:r>
        <w:rPr>
          <w:rFonts w:ascii="Times New Roman" w:hint="eastAsia"/>
          <w:lang w:val="en-US"/>
        </w:rPr>
        <w:t>c.</w:t>
      </w:r>
      <w:r>
        <w:rPr>
          <w:rFonts w:ascii="Times New Roman" w:hint="eastAsia"/>
          <w:lang w:val="en-US"/>
        </w:rPr>
        <w:tab/>
      </w:r>
      <w:r>
        <w:rPr>
          <w:rFonts w:ascii="Times New Roman" w:hint="eastAsia"/>
          <w:lang w:val="en-US"/>
        </w:rPr>
        <w:tab/>
      </w:r>
      <w:r>
        <w:rPr>
          <w:rFonts w:ascii="Times New Roman" w:hint="eastAsia"/>
          <w:lang w:val="en-US"/>
        </w:rPr>
        <w:t>法院和公共机构</w:t>
      </w:r>
    </w:p>
    <w:p w:rsidR="00CE1FDA" w:rsidRDefault="00CE1FDA" w:rsidP="00AC01AA">
      <w:pPr>
        <w:spacing w:after="240" w:line="360" w:lineRule="exact"/>
        <w:ind w:firstLineChars="200" w:firstLine="31680"/>
        <w:rPr>
          <w:rFonts w:hint="eastAsia"/>
        </w:rPr>
      </w:pPr>
      <w:r>
        <w:rPr>
          <w:rFonts w:hint="eastAsia"/>
        </w:rPr>
        <w:t>针对歧视提供法律补救办法的机构体制按《平等待遇法案》进行了实质性改革，建立了平等待遇机构及其咨询机构。虽然民事权利监察员的职权范围没有改变，但他在反歧视斗争中的角色却已发生变化。</w:t>
      </w:r>
    </w:p>
    <w:p w:rsidR="00CE1FDA" w:rsidRDefault="00CE1FDA">
      <w:pPr>
        <w:pStyle w:val="H2"/>
        <w:rPr>
          <w:rFonts w:ascii="Times New Roman" w:hint="eastAsia"/>
          <w:lang w:val="en-US"/>
        </w:rPr>
      </w:pPr>
      <w:r>
        <w:rPr>
          <w:rFonts w:ascii="Times New Roman" w:hint="eastAsia"/>
          <w:lang w:val="en-US"/>
        </w:rPr>
        <w:t>根据委员会关于匈牙利问题的第</w:t>
      </w:r>
      <w:r>
        <w:rPr>
          <w:rFonts w:ascii="Times New Roman" w:hint="eastAsia"/>
          <w:lang w:val="en-US"/>
        </w:rPr>
        <w:t>13</w:t>
      </w:r>
      <w:r>
        <w:rPr>
          <w:rFonts w:ascii="Times New Roman" w:hint="eastAsia"/>
          <w:lang w:val="en-US"/>
        </w:rPr>
        <w:t>和</w:t>
      </w:r>
      <w:r>
        <w:rPr>
          <w:rFonts w:ascii="Times New Roman" w:hint="eastAsia"/>
          <w:lang w:val="en-US"/>
        </w:rPr>
        <w:t>14</w:t>
      </w:r>
      <w:r>
        <w:rPr>
          <w:rFonts w:ascii="Times New Roman" w:hint="eastAsia"/>
          <w:lang w:val="en-US"/>
        </w:rPr>
        <w:t>号建议建立的平等待遇机构</w:t>
      </w:r>
      <w:r>
        <w:rPr>
          <w:rFonts w:ascii="Times New Roman" w:hint="eastAsia"/>
          <w:lang w:val="en-US"/>
        </w:rPr>
        <w:t xml:space="preserve">  </w:t>
      </w:r>
    </w:p>
    <w:p w:rsidR="00CE1FDA" w:rsidRDefault="00CE1FDA" w:rsidP="00AC01AA">
      <w:pPr>
        <w:spacing w:after="240" w:line="360" w:lineRule="exact"/>
        <w:ind w:firstLineChars="200" w:firstLine="31680"/>
        <w:rPr>
          <w:rFonts w:hint="eastAsia"/>
        </w:rPr>
      </w:pPr>
      <w:r>
        <w:rPr>
          <w:rFonts w:hint="eastAsia"/>
        </w:rPr>
        <w:t>在匈牙利第</w:t>
      </w:r>
      <w:r>
        <w:rPr>
          <w:rFonts w:hint="eastAsia"/>
        </w:rPr>
        <w:t>13</w:t>
      </w:r>
      <w:r>
        <w:rPr>
          <w:rFonts w:hint="eastAsia"/>
        </w:rPr>
        <w:t>和</w:t>
      </w:r>
      <w:r>
        <w:rPr>
          <w:rFonts w:hint="eastAsia"/>
        </w:rPr>
        <w:t>14</w:t>
      </w:r>
      <w:r>
        <w:rPr>
          <w:rFonts w:hint="eastAsia"/>
        </w:rPr>
        <w:t>号建议中，委员会建议，免受基于性别歧视的生活权利应在法律体制内得到加强，并应有效执行能够禁止基于性别的歧视的程序。</w:t>
      </w:r>
    </w:p>
    <w:p w:rsidR="00CE1FDA" w:rsidRDefault="00CE1FDA" w:rsidP="00AC01AA">
      <w:pPr>
        <w:spacing w:after="240" w:line="360" w:lineRule="exact"/>
        <w:ind w:firstLineChars="200" w:firstLine="31680"/>
        <w:rPr>
          <w:rFonts w:hint="eastAsia"/>
        </w:rPr>
      </w:pPr>
      <w:r>
        <w:rPr>
          <w:rFonts w:hint="eastAsia"/>
        </w:rPr>
        <w:t>《平等待遇法案》创立了一个公共管理组织，负责确保平等待遇原则得到遵守。平等待遇机构是于</w:t>
      </w:r>
      <w:r>
        <w:rPr>
          <w:rFonts w:hint="eastAsia"/>
        </w:rPr>
        <w:t>2005</w:t>
      </w:r>
      <w:r>
        <w:rPr>
          <w:rFonts w:hint="eastAsia"/>
        </w:rPr>
        <w:t>年</w:t>
      </w:r>
      <w:r>
        <w:rPr>
          <w:rFonts w:hint="eastAsia"/>
        </w:rPr>
        <w:t>2</w:t>
      </w:r>
      <w:r>
        <w:rPr>
          <w:rFonts w:hint="eastAsia"/>
        </w:rPr>
        <w:t>月根据《平等待遇法案》和第</w:t>
      </w:r>
      <w:r>
        <w:rPr>
          <w:rFonts w:hint="eastAsia"/>
        </w:rPr>
        <w:t>362/2004</w:t>
      </w:r>
      <w:r>
        <w:rPr>
          <w:rFonts w:hint="eastAsia"/>
        </w:rPr>
        <w:t>政府命令（</w:t>
      </w:r>
      <w:r>
        <w:rPr>
          <w:rFonts w:hint="eastAsia"/>
        </w:rPr>
        <w:t>XII.26.</w:t>
      </w:r>
      <w:r>
        <w:rPr>
          <w:rFonts w:hint="eastAsia"/>
        </w:rPr>
        <w:t>）的规定成立的。该机构是一个公共管理组织，负责在全国范围内对平等待遇的贯彻落实进行监管，在匈牙利政府的指导下开展活动，并受政府指定的成员监督。</w:t>
      </w:r>
    </w:p>
    <w:p w:rsidR="00CE1FDA" w:rsidRDefault="00CE1FDA" w:rsidP="00AC01AA">
      <w:pPr>
        <w:spacing w:after="240" w:line="360" w:lineRule="exact"/>
        <w:ind w:firstLineChars="200" w:firstLine="31680"/>
        <w:rPr>
          <w:rFonts w:hint="eastAsia"/>
        </w:rPr>
      </w:pPr>
      <w:r>
        <w:rPr>
          <w:rFonts w:hint="eastAsia"/>
        </w:rPr>
        <w:t>在平等待遇机构被授予的</w:t>
      </w:r>
      <w:r>
        <w:rPr>
          <w:rFonts w:hint="eastAsia"/>
        </w:rPr>
        <w:t>10</w:t>
      </w:r>
      <w:r>
        <w:rPr>
          <w:rFonts w:hint="eastAsia"/>
        </w:rPr>
        <w:t>项权力中，下列几项应加以突出强调：“根据一项请求或在此处涉及的案例中，依职</w:t>
      </w:r>
      <w:r>
        <w:rPr>
          <w:rStyle w:val="FootnoteReference"/>
        </w:rPr>
        <w:footnoteReference w:id="8"/>
      </w:r>
      <w:r>
        <w:rPr>
          <w:rFonts w:hint="eastAsia"/>
        </w:rPr>
        <w:t>进行调查，以确定平等待遇要求是否受到了侵犯，并根据调查结果做出决定。”如果该机构发现，关于平等待遇的规定已受到侵犯，它可以采取下列制裁措施：</w:t>
      </w:r>
    </w:p>
    <w:p w:rsidR="00CE1FDA" w:rsidRDefault="00CE1FDA" w:rsidP="00AC01AA">
      <w:pPr>
        <w:spacing w:after="240" w:line="360" w:lineRule="exact"/>
        <w:ind w:firstLineChars="200" w:firstLine="31680"/>
        <w:rPr>
          <w:rFonts w:hint="eastAsia"/>
        </w:rPr>
      </w:pPr>
      <w:r>
        <w:rPr>
          <w:rFonts w:hint="eastAsia"/>
        </w:rPr>
        <w:t>a</w:t>
      </w:r>
      <w:r>
        <w:rPr>
          <w:rFonts w:hint="eastAsia"/>
        </w:rPr>
        <w:t>）</w:t>
      </w:r>
      <w:r>
        <w:rPr>
          <w:rFonts w:hint="eastAsia"/>
        </w:rPr>
        <w:t xml:space="preserve"> </w:t>
      </w:r>
      <w:r>
        <w:rPr>
          <w:rFonts w:hint="eastAsia"/>
        </w:rPr>
        <w:t>下令终止构成侵犯的状态；</w:t>
      </w:r>
    </w:p>
    <w:p w:rsidR="00CE1FDA" w:rsidRDefault="00CE1FDA" w:rsidP="00AC01AA">
      <w:pPr>
        <w:pStyle w:val="NormalIndent"/>
        <w:spacing w:after="240" w:line="360" w:lineRule="exact"/>
        <w:ind w:firstLineChars="200" w:firstLine="31680"/>
        <w:rPr>
          <w:rFonts w:hint="eastAsia"/>
          <w:kern w:val="0"/>
        </w:rPr>
      </w:pPr>
      <w:r>
        <w:rPr>
          <w:rFonts w:hint="eastAsia"/>
        </w:rPr>
        <w:t>b</w:t>
      </w:r>
      <w:r>
        <w:rPr>
          <w:rFonts w:hint="eastAsia"/>
        </w:rPr>
        <w:t>）</w:t>
      </w:r>
      <w:r>
        <w:rPr>
          <w:rFonts w:hint="eastAsia"/>
        </w:rPr>
        <w:t xml:space="preserve"> </w:t>
      </w:r>
      <w:r>
        <w:rPr>
          <w:rFonts w:hint="eastAsia"/>
          <w:kern w:val="0"/>
        </w:rPr>
        <w:t>禁止构成侵犯的行为持续下去；</w:t>
      </w:r>
    </w:p>
    <w:p w:rsidR="00CE1FDA" w:rsidRDefault="00CE1FDA" w:rsidP="00AC01AA">
      <w:pPr>
        <w:spacing w:after="240" w:line="360" w:lineRule="exact"/>
        <w:ind w:firstLineChars="200" w:firstLine="31680"/>
        <w:rPr>
          <w:rFonts w:hint="eastAsia"/>
        </w:rPr>
      </w:pPr>
      <w:r>
        <w:rPr>
          <w:rFonts w:hint="eastAsia"/>
        </w:rPr>
        <w:t>c</w:t>
      </w:r>
      <w:r>
        <w:rPr>
          <w:rFonts w:hint="eastAsia"/>
        </w:rPr>
        <w:t>）</w:t>
      </w:r>
      <w:r>
        <w:rPr>
          <w:rFonts w:hint="eastAsia"/>
        </w:rPr>
        <w:t xml:space="preserve"> </w:t>
      </w:r>
      <w:r>
        <w:rPr>
          <w:rFonts w:hint="eastAsia"/>
        </w:rPr>
        <w:t>公布确认存在侵犯行为的决定；</w:t>
      </w:r>
    </w:p>
    <w:p w:rsidR="00CE1FDA" w:rsidRDefault="00CE1FDA" w:rsidP="00AC01AA">
      <w:pPr>
        <w:spacing w:after="240" w:line="360" w:lineRule="exact"/>
        <w:ind w:firstLineChars="200" w:firstLine="31680"/>
        <w:rPr>
          <w:rFonts w:hint="eastAsia"/>
        </w:rPr>
      </w:pPr>
      <w:r>
        <w:rPr>
          <w:rFonts w:hint="eastAsia"/>
        </w:rPr>
        <w:t>d</w:t>
      </w:r>
      <w:r>
        <w:rPr>
          <w:rFonts w:hint="eastAsia"/>
        </w:rPr>
        <w:t>）</w:t>
      </w:r>
      <w:r>
        <w:rPr>
          <w:rFonts w:hint="eastAsia"/>
        </w:rPr>
        <w:t xml:space="preserve"> </w:t>
      </w:r>
      <w:r>
        <w:rPr>
          <w:rFonts w:hint="eastAsia"/>
        </w:rPr>
        <w:t>对歧视行为进行罚款。</w:t>
      </w:r>
      <w:r>
        <w:rPr>
          <w:rStyle w:val="FootnoteReference"/>
          <w:rFonts w:hint="eastAsia"/>
        </w:rPr>
        <w:footnoteReference w:id="9"/>
      </w:r>
    </w:p>
    <w:p w:rsidR="00CE1FDA" w:rsidRDefault="00CE1FDA" w:rsidP="00AC01AA">
      <w:pPr>
        <w:spacing w:after="240" w:line="360" w:lineRule="exact"/>
        <w:ind w:firstLineChars="200" w:firstLine="31680"/>
        <w:rPr>
          <w:rFonts w:hint="eastAsia"/>
        </w:rPr>
      </w:pPr>
      <w:r>
        <w:rPr>
          <w:rFonts w:hint="eastAsia"/>
        </w:rPr>
        <w:t>对歧视行为罚款的数额——这确实是该规定的一个新特点——可从</w:t>
      </w:r>
      <w:r>
        <w:rPr>
          <w:rFonts w:hint="eastAsia"/>
        </w:rPr>
        <w:t>50 000</w:t>
      </w:r>
      <w:r>
        <w:rPr>
          <w:rFonts w:hint="eastAsia"/>
        </w:rPr>
        <w:t>福林增加到</w:t>
      </w:r>
      <w:r>
        <w:rPr>
          <w:rFonts w:hint="eastAsia"/>
        </w:rPr>
        <w:t>600</w:t>
      </w:r>
      <w:r>
        <w:rPr>
          <w:rFonts w:hint="eastAsia"/>
        </w:rPr>
        <w:t>万福林。另一个重要的变化是有关程序的实施速度：平等待遇机构必须在</w:t>
      </w:r>
      <w:r>
        <w:rPr>
          <w:rFonts w:hint="eastAsia"/>
        </w:rPr>
        <w:t>75</w:t>
      </w:r>
      <w:r>
        <w:rPr>
          <w:rFonts w:hint="eastAsia"/>
        </w:rPr>
        <w:t>天之内就案情实质做出决定。对该机构的决定可以启动两级法庭程序。除了平等待遇机构的程序外，消费者保护机构的反歧视权限和劳动监督也得以保留，顾客可对已有的程序做出选择。</w:t>
      </w:r>
    </w:p>
    <w:p w:rsidR="00CE1FDA" w:rsidRDefault="00CE1FDA" w:rsidP="00AC01AA">
      <w:pPr>
        <w:spacing w:after="240" w:line="360" w:lineRule="exact"/>
        <w:ind w:firstLineChars="200" w:firstLine="31680"/>
        <w:rPr>
          <w:rFonts w:hint="eastAsia"/>
        </w:rPr>
      </w:pPr>
      <w:r>
        <w:rPr>
          <w:rFonts w:hint="eastAsia"/>
        </w:rPr>
        <w:t>平等待遇机构的其他权限包括：</w:t>
      </w:r>
    </w:p>
    <w:p w:rsidR="00CE1FDA" w:rsidRDefault="00CE1FDA">
      <w:pPr>
        <w:numPr>
          <w:ilvl w:val="0"/>
          <w:numId w:val="23"/>
        </w:numPr>
        <w:spacing w:after="240" w:line="360" w:lineRule="exact"/>
        <w:rPr>
          <w:rFonts w:hint="eastAsia"/>
        </w:rPr>
      </w:pPr>
      <w:r>
        <w:rPr>
          <w:rFonts w:hint="eastAsia"/>
        </w:rPr>
        <w:t>在行使权利时提起法律诉讼，以执行符合公众利益的要求，保护权利受到侵犯的人和团体的权利；</w:t>
      </w:r>
    </w:p>
    <w:p w:rsidR="00CE1FDA" w:rsidRDefault="00CE1FDA">
      <w:pPr>
        <w:numPr>
          <w:ilvl w:val="0"/>
          <w:numId w:val="23"/>
        </w:numPr>
        <w:spacing w:after="240" w:line="360" w:lineRule="exact"/>
        <w:rPr>
          <w:rFonts w:hint="eastAsia"/>
        </w:rPr>
      </w:pPr>
      <w:r>
        <w:rPr>
          <w:rFonts w:hint="eastAsia"/>
        </w:rPr>
        <w:t>对影响平等待遇的法案做出评论；</w:t>
      </w:r>
    </w:p>
    <w:p w:rsidR="00CE1FDA" w:rsidRDefault="00CE1FDA">
      <w:pPr>
        <w:numPr>
          <w:ilvl w:val="0"/>
          <w:numId w:val="23"/>
        </w:numPr>
        <w:spacing w:after="240" w:line="360" w:lineRule="exact"/>
        <w:rPr>
          <w:rFonts w:hint="eastAsia"/>
        </w:rPr>
      </w:pPr>
      <w:r>
        <w:rPr>
          <w:rFonts w:hint="eastAsia"/>
        </w:rPr>
        <w:t>对影响平等待遇的政府决定和法律规章提出建议；</w:t>
      </w:r>
    </w:p>
    <w:p w:rsidR="00CE1FDA" w:rsidRDefault="00CE1FDA">
      <w:pPr>
        <w:numPr>
          <w:ilvl w:val="0"/>
          <w:numId w:val="23"/>
        </w:numPr>
        <w:spacing w:after="240" w:line="360" w:lineRule="exact"/>
        <w:rPr>
          <w:rFonts w:hint="eastAsia"/>
        </w:rPr>
      </w:pPr>
      <w:r>
        <w:rPr>
          <w:rFonts w:hint="eastAsia"/>
        </w:rPr>
        <w:t>定期将平等待遇的情况告知普通公众和政府；</w:t>
      </w:r>
    </w:p>
    <w:p w:rsidR="00CE1FDA" w:rsidRDefault="00CE1FDA">
      <w:pPr>
        <w:numPr>
          <w:ilvl w:val="0"/>
          <w:numId w:val="23"/>
        </w:numPr>
        <w:spacing w:after="240" w:line="360" w:lineRule="exact"/>
        <w:rPr>
          <w:rFonts w:hint="eastAsia"/>
        </w:rPr>
      </w:pPr>
      <w:r>
        <w:rPr>
          <w:rFonts w:hint="eastAsia"/>
        </w:rPr>
        <w:t>在履行任务的过程中与代表社会利益的组织以及有关的国家机构合作；</w:t>
      </w:r>
    </w:p>
    <w:p w:rsidR="00CE1FDA" w:rsidRDefault="00CE1FDA">
      <w:pPr>
        <w:numPr>
          <w:ilvl w:val="0"/>
          <w:numId w:val="23"/>
        </w:numPr>
        <w:spacing w:after="240" w:line="360" w:lineRule="exact"/>
        <w:rPr>
          <w:rFonts w:hint="eastAsia"/>
        </w:rPr>
      </w:pPr>
      <w:r>
        <w:rPr>
          <w:rFonts w:hint="eastAsia"/>
        </w:rPr>
        <w:t>继续为有关个人提供信息和援助，促进采取行动禁止违反平等待遇要求的行为；</w:t>
      </w:r>
    </w:p>
    <w:p w:rsidR="00CE1FDA" w:rsidRDefault="00CE1FDA">
      <w:pPr>
        <w:numPr>
          <w:ilvl w:val="0"/>
          <w:numId w:val="23"/>
        </w:numPr>
        <w:spacing w:after="240" w:line="360" w:lineRule="exact"/>
        <w:rPr>
          <w:rFonts w:hint="eastAsia"/>
        </w:rPr>
      </w:pPr>
      <w:r>
        <w:rPr>
          <w:rFonts w:hint="eastAsia"/>
        </w:rPr>
        <w:t>参与为国际组织特别是欧洲委员会编写的与平等待遇要求有关的政府报告；</w:t>
      </w:r>
    </w:p>
    <w:p w:rsidR="00CE1FDA" w:rsidRDefault="00CE1FDA">
      <w:pPr>
        <w:numPr>
          <w:ilvl w:val="0"/>
          <w:numId w:val="23"/>
        </w:numPr>
        <w:spacing w:after="240" w:line="360" w:lineRule="exact"/>
        <w:rPr>
          <w:rFonts w:hint="eastAsia"/>
        </w:rPr>
      </w:pPr>
      <w:r>
        <w:rPr>
          <w:rFonts w:hint="eastAsia"/>
        </w:rPr>
        <w:t>参与编写向欧洲联盟委员会提交的报告，说明有关平等待遇的指示是否得到遵守；</w:t>
      </w:r>
    </w:p>
    <w:p w:rsidR="00CE1FDA" w:rsidRDefault="00CE1FDA">
      <w:pPr>
        <w:numPr>
          <w:ilvl w:val="0"/>
          <w:numId w:val="23"/>
        </w:numPr>
        <w:spacing w:after="240" w:line="360" w:lineRule="exact"/>
        <w:rPr>
          <w:rFonts w:hint="eastAsia"/>
        </w:rPr>
      </w:pPr>
      <w:r>
        <w:rPr>
          <w:rFonts w:hint="eastAsia"/>
        </w:rPr>
        <w:t>为政府编写年度报告，说明该机构的运作情况，以及贯彻落实《平等待遇法案》的经验。</w:t>
      </w:r>
    </w:p>
    <w:p w:rsidR="00CE1FDA" w:rsidRDefault="00CE1FDA" w:rsidP="00AC01AA">
      <w:pPr>
        <w:spacing w:after="240" w:line="360" w:lineRule="exact"/>
        <w:ind w:firstLineChars="200" w:firstLine="31680"/>
        <w:rPr>
          <w:rFonts w:hint="eastAsia"/>
        </w:rPr>
      </w:pPr>
      <w:r>
        <w:rPr>
          <w:rFonts w:hint="eastAsia"/>
        </w:rPr>
        <w:t>因此，该机构应要求或针对公共部门依职权调查，平等待遇要求是否在特定的领域受到侵犯，在执行符合公众利益的要求时，该机构还有权提起诉讼。此外，该机构具有政府咨询职权（对法案做出评论，对决定和规章提出建议），它向公众和政府介绍（每年一次）平等待遇原则执行情况，同时还参与为欧洲委员会和欧洲联盟编写政府报告。在运作的过程中，该机构必须与相关政府和非政府机构合作。</w:t>
      </w:r>
    </w:p>
    <w:p w:rsidR="00CE1FDA" w:rsidRDefault="00CE1FDA" w:rsidP="00AC01AA">
      <w:pPr>
        <w:spacing w:after="240" w:line="360" w:lineRule="exact"/>
        <w:ind w:firstLineChars="200" w:firstLine="31680"/>
        <w:rPr>
          <w:rFonts w:hint="eastAsia"/>
        </w:rPr>
      </w:pPr>
      <w:r>
        <w:rPr>
          <w:rFonts w:hint="eastAsia"/>
        </w:rPr>
        <w:t>该机构与由总理邀请的个人所组成的咨询机构合作，来履行自己的任务。咨询机构成员都是在保护人权和执行平等待遇要求方面具有丰富经验的独立专家。咨询机构成立于</w:t>
      </w:r>
      <w:r>
        <w:rPr>
          <w:rFonts w:hint="eastAsia"/>
        </w:rPr>
        <w:t>2005</w:t>
      </w:r>
      <w:r>
        <w:rPr>
          <w:rFonts w:hint="eastAsia"/>
        </w:rPr>
        <w:t>年，已通过数份立场说明，涉及如与为歧视案件提供证据有关的问题。</w:t>
      </w:r>
    </w:p>
    <w:p w:rsidR="00CE1FDA" w:rsidRDefault="00CE1FDA" w:rsidP="00AC01AA">
      <w:pPr>
        <w:spacing w:after="240" w:line="380" w:lineRule="exact"/>
        <w:ind w:firstLineChars="200" w:firstLine="31680"/>
        <w:rPr>
          <w:rFonts w:hint="eastAsia"/>
        </w:rPr>
      </w:pPr>
      <w:r>
        <w:rPr>
          <w:rFonts w:hint="eastAsia"/>
        </w:rPr>
        <w:t>在运作的头十个月，该机构只应要求开展工作。</w:t>
      </w:r>
      <w:r>
        <w:rPr>
          <w:rFonts w:hint="eastAsia"/>
        </w:rPr>
        <w:t>2005</w:t>
      </w:r>
      <w:r>
        <w:rPr>
          <w:rFonts w:hint="eastAsia"/>
        </w:rPr>
        <w:t>年，提交投诉</w:t>
      </w:r>
      <w:r>
        <w:rPr>
          <w:rFonts w:hint="eastAsia"/>
        </w:rPr>
        <w:t>500</w:t>
      </w:r>
      <w:r>
        <w:rPr>
          <w:rFonts w:hint="eastAsia"/>
        </w:rPr>
        <w:t>多份，只有一小部分与针对妇女的歧视有关。尽管有可能在</w:t>
      </w:r>
      <w:r>
        <w:rPr>
          <w:rFonts w:hint="eastAsia"/>
        </w:rPr>
        <w:t>75</w:t>
      </w:r>
      <w:r>
        <w:rPr>
          <w:rFonts w:hint="eastAsia"/>
        </w:rPr>
        <w:t>天之内采取法律补救办法，但是针对妇女的歧视的投诉数量很小。这表明，妇女们没有像她们原本可以做到的那样经常利用这个机会来寻求法律补救，而且致力于保护妇女权利的组织也不是很积极。因此，将妇女的权利和现有的法律补救办法更加有效地告知有关各方，以及加强妇女非政府组织是非常重要的。</w:t>
      </w:r>
    </w:p>
    <w:p w:rsidR="00CE1FDA" w:rsidRDefault="00CE1FDA" w:rsidP="00AC01AA">
      <w:pPr>
        <w:spacing w:after="240" w:line="380" w:lineRule="exact"/>
        <w:ind w:firstLineChars="200" w:firstLine="31680"/>
        <w:rPr>
          <w:rFonts w:hint="eastAsia"/>
        </w:rPr>
      </w:pPr>
      <w:r>
        <w:rPr>
          <w:rFonts w:hint="eastAsia"/>
        </w:rPr>
        <w:t>该机构做出的一些决定列在附件中。</w:t>
      </w:r>
    </w:p>
    <w:p w:rsidR="00CE1FDA" w:rsidRDefault="00CE1FDA">
      <w:pPr>
        <w:pStyle w:val="H2"/>
        <w:spacing w:line="380" w:lineRule="exact"/>
        <w:rPr>
          <w:rFonts w:ascii="Times New Roman" w:hint="eastAsia"/>
          <w:lang w:val="en-US"/>
        </w:rPr>
      </w:pPr>
      <w:r>
        <w:rPr>
          <w:rFonts w:ascii="Times New Roman" w:hint="eastAsia"/>
          <w:lang w:val="en-US"/>
        </w:rPr>
        <w:t>有助于有效行使权利的程序</w:t>
      </w:r>
    </w:p>
    <w:p w:rsidR="00CE1FDA" w:rsidRDefault="00CE1FDA" w:rsidP="00AC01AA">
      <w:pPr>
        <w:spacing w:after="240" w:line="380" w:lineRule="exact"/>
        <w:ind w:firstLineChars="200" w:firstLine="31680"/>
        <w:rPr>
          <w:rFonts w:hint="eastAsia"/>
        </w:rPr>
      </w:pPr>
      <w:r>
        <w:rPr>
          <w:rFonts w:hint="eastAsia"/>
        </w:rPr>
        <w:t>从提供有效的法律补救办法来看，法律程序非常必要。在这一领域，《平等待遇法案》创立了一个新的法律制度，即强制执行符合公众利益的权利要求，该法案还调整了反向举证责任规则。</w:t>
      </w:r>
    </w:p>
    <w:p w:rsidR="00CE1FDA" w:rsidRDefault="00CE1FDA" w:rsidP="00AC01AA">
      <w:pPr>
        <w:spacing w:after="240" w:line="380" w:lineRule="exact"/>
        <w:ind w:firstLineChars="200" w:firstLine="31680"/>
        <w:rPr>
          <w:rFonts w:hint="eastAsia"/>
        </w:rPr>
      </w:pPr>
      <w:r>
        <w:rPr>
          <w:rFonts w:hint="eastAsia"/>
        </w:rPr>
        <w:t>强制执行符合公众利益的权利要求在欧洲法律体制中并不常用，甚至在匈牙利它也是一种新的法律制度。强制执行符合公众利益的权利要求，意味着与人格权有关的诉讼可能会因违反平等待遇要求，比如构成法案中所规定的侵犯行为，而被检察官、平等待遇机构和相关法律援助组织提出。如果歧视所影响的群体较大，无法准确界定。这些组织有权从公众利益出发提起诉讼。</w:t>
      </w:r>
      <w:r>
        <w:rPr>
          <w:rStyle w:val="FootnoteReference"/>
          <w:rFonts w:hint="eastAsia"/>
        </w:rPr>
        <w:footnoteReference w:id="10"/>
      </w:r>
      <w:r>
        <w:rPr>
          <w:rFonts w:hint="eastAsia"/>
        </w:rPr>
        <w:t>在因违反平等待遇要求而引发的其他诉讼中，代表社会利益的组织和该机构可以在权利受侵犯者的授权下，代表其提起诉讼。</w:t>
      </w:r>
      <w:r>
        <w:rPr>
          <w:rStyle w:val="FootnoteReference"/>
          <w:rFonts w:hint="eastAsia"/>
        </w:rPr>
        <w:footnoteReference w:id="11"/>
      </w:r>
      <w:r>
        <w:rPr>
          <w:rFonts w:hint="eastAsia"/>
        </w:rPr>
        <w:t>在公共管理诉讼中，代表社会利益的组织拥有委托人的权利。</w:t>
      </w:r>
    </w:p>
    <w:p w:rsidR="00CE1FDA" w:rsidRDefault="00CE1FDA" w:rsidP="00AC01AA">
      <w:pPr>
        <w:spacing w:after="240" w:line="380" w:lineRule="exact"/>
        <w:ind w:firstLineChars="200" w:firstLine="31680"/>
        <w:rPr>
          <w:rFonts w:hint="eastAsia"/>
        </w:rPr>
      </w:pPr>
      <w:r>
        <w:rPr>
          <w:rFonts w:hint="eastAsia"/>
        </w:rPr>
        <w:t>会员国有义务根据欧洲联盟共同体法（欧盟第</w:t>
      </w:r>
      <w:r>
        <w:rPr>
          <w:rFonts w:hint="eastAsia"/>
        </w:rPr>
        <w:t>97/80/</w:t>
      </w:r>
      <w:r>
        <w:rPr>
          <w:rFonts w:hint="eastAsia"/>
        </w:rPr>
        <w:t>号指令）履行反向举证责任。《平等待遇法案》对在所有情况下的反向举证责任做了硬性规定。为确保有效适用法律补救方法，该法案划分了实施侵权的被告与权利受到侵犯的原告之间的举证责任。但是，原告必须证明自己具备该法案所规定的特征，即被告适用的程序对其不利。如果这一点得到证明，任何其他证据都必须由被告提供。</w:t>
      </w:r>
    </w:p>
    <w:p w:rsidR="00CE1FDA" w:rsidRDefault="00CE1FDA">
      <w:pPr>
        <w:pStyle w:val="H2"/>
        <w:spacing w:line="380" w:lineRule="exact"/>
        <w:rPr>
          <w:rFonts w:ascii="Times New Roman" w:hint="eastAsia"/>
          <w:lang w:val="en-US"/>
        </w:rPr>
      </w:pPr>
      <w:r>
        <w:rPr>
          <w:rFonts w:ascii="Times New Roman" w:hint="eastAsia"/>
          <w:lang w:val="en-US"/>
        </w:rPr>
        <w:t>根据委员会关于匈牙利问题的第</w:t>
      </w:r>
      <w:r>
        <w:rPr>
          <w:rFonts w:ascii="Times New Roman" w:hint="eastAsia"/>
          <w:lang w:val="en-US"/>
        </w:rPr>
        <w:t>17</w:t>
      </w:r>
      <w:r>
        <w:rPr>
          <w:rFonts w:ascii="Times New Roman" w:hint="eastAsia"/>
          <w:lang w:val="en-US"/>
        </w:rPr>
        <w:t>和</w:t>
      </w:r>
      <w:r>
        <w:rPr>
          <w:rFonts w:ascii="Times New Roman" w:hint="eastAsia"/>
          <w:lang w:val="en-US"/>
        </w:rPr>
        <w:t>18</w:t>
      </w:r>
      <w:r>
        <w:rPr>
          <w:rFonts w:ascii="Times New Roman" w:hint="eastAsia"/>
          <w:lang w:val="en-US"/>
        </w:rPr>
        <w:t>号建议设立的民权监察员</w:t>
      </w:r>
    </w:p>
    <w:p w:rsidR="00CE1FDA" w:rsidRDefault="00CE1FDA" w:rsidP="00AC01AA">
      <w:pPr>
        <w:pStyle w:val="1"/>
        <w:adjustRightInd w:val="0"/>
        <w:spacing w:after="240" w:line="380" w:lineRule="exact"/>
        <w:ind w:firstLine="31680"/>
        <w:textAlignment w:val="baseline"/>
        <w:rPr>
          <w:rFonts w:hint="eastAsia"/>
          <w:kern w:val="0"/>
          <w:szCs w:val="20"/>
        </w:rPr>
      </w:pPr>
      <w:r>
        <w:rPr>
          <w:rFonts w:hint="eastAsia"/>
          <w:kern w:val="0"/>
          <w:szCs w:val="20"/>
        </w:rPr>
        <w:t>在三个监察员中，一般监察员的职权包括保护妇女权利。根据数据保护监察员以及少数人权利监察员工作职能的具体特点，可以认为，他们只能在职权范围内处理对妇女的间接歧视（以保护少数人的权利或与数据保护有关的权利）。根据数据保护监察员和少数人权利监察员提供的资料，在该机构运作的十年中，尚未遇到过这种情况。</w:t>
      </w:r>
    </w:p>
    <w:p w:rsidR="00CE1FDA" w:rsidRDefault="00CE1FDA">
      <w:pPr>
        <w:pStyle w:val="H2"/>
        <w:rPr>
          <w:rFonts w:ascii="Times New Roman" w:hint="eastAsia"/>
          <w:lang w:val="en-US"/>
        </w:rPr>
      </w:pPr>
      <w:r>
        <w:rPr>
          <w:rFonts w:ascii="Times New Roman" w:hint="eastAsia"/>
          <w:lang w:val="en-US"/>
        </w:rPr>
        <w:t>政府机构</w:t>
      </w:r>
    </w:p>
    <w:p w:rsidR="00CE1FDA" w:rsidRDefault="00CE1FDA" w:rsidP="00AC01AA">
      <w:pPr>
        <w:spacing w:after="240" w:line="360" w:lineRule="exact"/>
        <w:ind w:firstLineChars="200" w:firstLine="31680"/>
        <w:rPr>
          <w:rFonts w:hint="eastAsia"/>
        </w:rPr>
      </w:pPr>
      <w:r>
        <w:rPr>
          <w:rFonts w:hint="eastAsia"/>
        </w:rPr>
        <w:t>第一个政府机构——劳动部平等机会秘书处——成立于</w:t>
      </w:r>
      <w:r>
        <w:rPr>
          <w:rFonts w:hint="eastAsia"/>
        </w:rPr>
        <w:t>1995</w:t>
      </w:r>
      <w:r>
        <w:rPr>
          <w:rFonts w:hint="eastAsia"/>
        </w:rPr>
        <w:t>年，任务是推动男女权利平等。从</w:t>
      </w:r>
      <w:r>
        <w:rPr>
          <w:rFonts w:hint="eastAsia"/>
        </w:rPr>
        <w:t>1998</w:t>
      </w:r>
      <w:r>
        <w:rPr>
          <w:rFonts w:hint="eastAsia"/>
        </w:rPr>
        <w:t>年起，该组织单位在社会和家庭事务部内，以妇女代表权秘书处的名义继续活动。</w:t>
      </w:r>
      <w:r>
        <w:rPr>
          <w:rFonts w:hint="eastAsia"/>
        </w:rPr>
        <w:t>2002</w:t>
      </w:r>
      <w:r>
        <w:rPr>
          <w:rFonts w:hint="eastAsia"/>
        </w:rPr>
        <w:t>年，它发展成为劳动和就业政策部机会平等局，劳动和就业政策部的设立是为了促进将性别观点主流化。</w:t>
      </w:r>
      <w:r>
        <w:rPr>
          <w:rFonts w:hint="eastAsia"/>
        </w:rPr>
        <w:t>2003</w:t>
      </w:r>
      <w:r>
        <w:rPr>
          <w:rFonts w:hint="eastAsia"/>
        </w:rPr>
        <w:t>年</w:t>
      </w:r>
      <w:r>
        <w:rPr>
          <w:rFonts w:hint="eastAsia"/>
        </w:rPr>
        <w:t>5</w:t>
      </w:r>
      <w:r>
        <w:rPr>
          <w:rFonts w:hint="eastAsia"/>
        </w:rPr>
        <w:t>月，机会平等局局长被任命为不管部部长，在政府活动中负责执行机会平等要求。</w:t>
      </w:r>
      <w:r>
        <w:rPr>
          <w:rFonts w:hint="eastAsia"/>
        </w:rPr>
        <w:t>2004</w:t>
      </w:r>
      <w:r>
        <w:rPr>
          <w:rFonts w:hint="eastAsia"/>
        </w:rPr>
        <w:t>年</w:t>
      </w:r>
      <w:r>
        <w:rPr>
          <w:rFonts w:hint="eastAsia"/>
        </w:rPr>
        <w:t>1</w:t>
      </w:r>
      <w:r>
        <w:rPr>
          <w:rFonts w:hint="eastAsia"/>
        </w:rPr>
        <w:t>月，平等机会政府办公室成立，由负责平等机会的不管部部长掌管。平等机会政府办公室的一项基本任务是促进男女权利和机会平等。</w:t>
      </w:r>
    </w:p>
    <w:p w:rsidR="00CE1FDA" w:rsidRDefault="00CE1FDA" w:rsidP="00AC01AA">
      <w:pPr>
        <w:spacing w:after="240" w:line="360" w:lineRule="exact"/>
        <w:ind w:firstLineChars="200" w:firstLine="31680"/>
        <w:rPr>
          <w:rFonts w:hint="eastAsia"/>
        </w:rPr>
      </w:pPr>
      <w:r>
        <w:rPr>
          <w:rFonts w:hint="eastAsia"/>
        </w:rPr>
        <w:t>2004</w:t>
      </w:r>
      <w:r>
        <w:rPr>
          <w:rFonts w:hint="eastAsia"/>
        </w:rPr>
        <w:t>年，几个部，包括机会平等政府办公室，进行合并之后，青年、家庭、社会事务和机会平等部成立。部长的主要任务是促进将性别观点主流化。这包括从事如下工作：协调和管理《消除对妇女歧视公约》的执行，以及编写关于《公约》条款贯彻落实情况的报告。在该部的组织结构内，两性平等司履行以下与专业直接相关的任务：</w:t>
      </w:r>
    </w:p>
    <w:p w:rsidR="00CE1FDA" w:rsidRDefault="00CE1FDA" w:rsidP="00AC01AA">
      <w:pPr>
        <w:spacing w:after="240" w:line="360" w:lineRule="exact"/>
        <w:ind w:leftChars="150" w:left="31680" w:hangingChars="250" w:firstLine="31680"/>
        <w:rPr>
          <w:rFonts w:hint="eastAsia"/>
        </w:rPr>
      </w:pPr>
      <w:r>
        <w:rPr>
          <w:rFonts w:hint="eastAsia"/>
        </w:rPr>
        <w:t>（</w:t>
      </w:r>
      <w:r>
        <w:rPr>
          <w:rFonts w:hint="eastAsia"/>
        </w:rPr>
        <w:t>1</w:t>
      </w:r>
      <w:r>
        <w:rPr>
          <w:rFonts w:hint="eastAsia"/>
        </w:rPr>
        <w:t>）在其与实现两性平等有关的协调、计划和战略任务范围内，该司：</w:t>
      </w:r>
    </w:p>
    <w:p w:rsidR="00CE1FDA" w:rsidRDefault="00CE1FDA" w:rsidP="00AC01AA">
      <w:pPr>
        <w:spacing w:after="240" w:line="360" w:lineRule="exact"/>
        <w:ind w:leftChars="400" w:left="31680" w:hangingChars="200" w:firstLine="31680"/>
        <w:rPr>
          <w:rFonts w:hint="eastAsia"/>
        </w:rPr>
      </w:pPr>
      <w:r>
        <w:rPr>
          <w:rFonts w:hint="eastAsia"/>
        </w:rPr>
        <w:t>a</w:t>
      </w:r>
      <w:r>
        <w:rPr>
          <w:rFonts w:hint="eastAsia"/>
        </w:rPr>
        <w:t>）</w:t>
      </w:r>
      <w:r>
        <w:rPr>
          <w:rFonts w:hint="eastAsia"/>
        </w:rPr>
        <w:tab/>
      </w:r>
      <w:r>
        <w:rPr>
          <w:rFonts w:hint="eastAsia"/>
        </w:rPr>
        <w:t>拟订题为“国家行动方案”的战略文件，强调旨在确保男女平等、相关政策方向和发展观、行动与技术方案的政策，并监督其执行；</w:t>
      </w:r>
    </w:p>
    <w:p w:rsidR="00CE1FDA" w:rsidRDefault="00CE1FDA" w:rsidP="00AC01AA">
      <w:pPr>
        <w:spacing w:after="240" w:line="360" w:lineRule="exact"/>
        <w:ind w:leftChars="400" w:left="31680" w:hangingChars="200" w:firstLine="31680"/>
        <w:rPr>
          <w:rFonts w:hint="eastAsia"/>
        </w:rPr>
      </w:pPr>
      <w:r>
        <w:rPr>
          <w:rFonts w:hint="eastAsia"/>
        </w:rPr>
        <w:t>b</w:t>
      </w:r>
      <w:r>
        <w:rPr>
          <w:rFonts w:hint="eastAsia"/>
        </w:rPr>
        <w:t>）</w:t>
      </w:r>
      <w:r>
        <w:rPr>
          <w:rFonts w:hint="eastAsia"/>
        </w:rPr>
        <w:tab/>
      </w:r>
      <w:r>
        <w:rPr>
          <w:rFonts w:hint="eastAsia"/>
        </w:rPr>
        <w:t>协助制定和执行以若干部门和职能领域男女平等为目标的方案。</w:t>
      </w:r>
    </w:p>
    <w:p w:rsidR="00CE1FDA" w:rsidRDefault="00CE1FDA" w:rsidP="00AC01AA">
      <w:pPr>
        <w:spacing w:after="240" w:line="360" w:lineRule="exact"/>
        <w:ind w:leftChars="150" w:left="31680" w:hangingChars="250" w:firstLine="31680"/>
        <w:rPr>
          <w:rFonts w:hint="eastAsia"/>
        </w:rPr>
      </w:pPr>
      <w:r>
        <w:rPr>
          <w:rFonts w:hint="eastAsia"/>
        </w:rPr>
        <w:t>（</w:t>
      </w:r>
      <w:r>
        <w:rPr>
          <w:rFonts w:hint="eastAsia"/>
        </w:rPr>
        <w:t>2</w:t>
      </w:r>
      <w:r>
        <w:rPr>
          <w:rFonts w:hint="eastAsia"/>
        </w:rPr>
        <w:t>）在其支助与发展任务范围内，两性平等司：</w:t>
      </w:r>
    </w:p>
    <w:p w:rsidR="00CE1FDA" w:rsidRDefault="00CE1FDA" w:rsidP="00AC01AA">
      <w:pPr>
        <w:spacing w:after="240" w:line="360" w:lineRule="exact"/>
        <w:ind w:leftChars="400" w:left="31680" w:hangingChars="200" w:firstLine="31680"/>
        <w:rPr>
          <w:rFonts w:hint="eastAsia"/>
        </w:rPr>
      </w:pPr>
      <w:r>
        <w:rPr>
          <w:rFonts w:hint="eastAsia"/>
        </w:rPr>
        <w:t>a</w:t>
      </w:r>
      <w:r>
        <w:rPr>
          <w:rFonts w:hint="eastAsia"/>
        </w:rPr>
        <w:t>）</w:t>
      </w:r>
      <w:r>
        <w:rPr>
          <w:rFonts w:hint="eastAsia"/>
        </w:rPr>
        <w:t xml:space="preserve"> </w:t>
      </w:r>
      <w:r>
        <w:rPr>
          <w:rFonts w:hint="eastAsia"/>
        </w:rPr>
        <w:tab/>
      </w:r>
      <w:r>
        <w:rPr>
          <w:rFonts w:hint="eastAsia"/>
        </w:rPr>
        <w:t>实施促进两性平等的应用计划；</w:t>
      </w:r>
    </w:p>
    <w:p w:rsidR="00CE1FDA" w:rsidRDefault="00CE1FDA" w:rsidP="00AC01AA">
      <w:pPr>
        <w:spacing w:after="240" w:line="360" w:lineRule="exact"/>
        <w:ind w:leftChars="400" w:left="31680" w:hangingChars="200" w:firstLine="31680"/>
        <w:rPr>
          <w:rFonts w:hint="eastAsia"/>
        </w:rPr>
      </w:pPr>
      <w:r>
        <w:rPr>
          <w:rFonts w:hint="eastAsia"/>
        </w:rPr>
        <w:t>b</w:t>
      </w:r>
      <w:r>
        <w:rPr>
          <w:rFonts w:hint="eastAsia"/>
        </w:rPr>
        <w:t>）</w:t>
      </w:r>
      <w:r>
        <w:rPr>
          <w:rFonts w:hint="eastAsia"/>
        </w:rPr>
        <w:t xml:space="preserve"> </w:t>
      </w:r>
      <w:r>
        <w:rPr>
          <w:rFonts w:hint="eastAsia"/>
        </w:rPr>
        <w:t>在促进两性平等国际基金使用方面加强技术含量。</w:t>
      </w:r>
    </w:p>
    <w:p w:rsidR="00CE1FDA" w:rsidRDefault="00CE1FDA" w:rsidP="00AC01AA">
      <w:pPr>
        <w:spacing w:after="240" w:line="360" w:lineRule="exact"/>
        <w:ind w:leftChars="150" w:left="31680" w:hangingChars="250" w:firstLine="31680"/>
        <w:rPr>
          <w:rFonts w:hint="eastAsia"/>
        </w:rPr>
      </w:pPr>
      <w:r>
        <w:rPr>
          <w:rFonts w:hint="eastAsia"/>
        </w:rPr>
        <w:t>（</w:t>
      </w:r>
      <w:r>
        <w:rPr>
          <w:rFonts w:hint="eastAsia"/>
        </w:rPr>
        <w:t>3</w:t>
      </w:r>
      <w:r>
        <w:rPr>
          <w:rFonts w:hint="eastAsia"/>
        </w:rPr>
        <w:t>）两性平等司的国际任务：</w:t>
      </w:r>
    </w:p>
    <w:p w:rsidR="00CE1FDA" w:rsidRDefault="00CE1FDA" w:rsidP="00AC01AA">
      <w:pPr>
        <w:spacing w:after="240" w:line="360" w:lineRule="exact"/>
        <w:ind w:leftChars="400" w:left="31680" w:hangingChars="200" w:firstLine="31680"/>
        <w:rPr>
          <w:rFonts w:hint="eastAsia"/>
        </w:rPr>
      </w:pPr>
      <w:r>
        <w:rPr>
          <w:rFonts w:hint="eastAsia"/>
        </w:rPr>
        <w:t>a</w:t>
      </w:r>
      <w:r>
        <w:rPr>
          <w:rFonts w:hint="eastAsia"/>
        </w:rPr>
        <w:t>）</w:t>
      </w:r>
      <w:r>
        <w:rPr>
          <w:rFonts w:hint="eastAsia"/>
        </w:rPr>
        <w:t xml:space="preserve"> </w:t>
      </w:r>
      <w:r>
        <w:rPr>
          <w:rFonts w:hint="eastAsia"/>
        </w:rPr>
        <w:tab/>
      </w:r>
      <w:r>
        <w:rPr>
          <w:rFonts w:hint="eastAsia"/>
        </w:rPr>
        <w:t>编写定期报告，介绍《消除对妇女歧视公约》和委员会建议的执行情况，以及实现联合国第四次妇女问题世界会议目标的情况；</w:t>
      </w:r>
    </w:p>
    <w:p w:rsidR="00CE1FDA" w:rsidRDefault="00CE1FDA" w:rsidP="00AC01AA">
      <w:pPr>
        <w:spacing w:after="240" w:line="360" w:lineRule="exact"/>
        <w:ind w:leftChars="400" w:left="31680" w:hangingChars="200" w:firstLine="31680"/>
        <w:rPr>
          <w:rFonts w:hint="eastAsia"/>
        </w:rPr>
      </w:pPr>
      <w:r>
        <w:rPr>
          <w:rFonts w:hint="eastAsia"/>
        </w:rPr>
        <w:t>b</w:t>
      </w:r>
      <w:r>
        <w:rPr>
          <w:rFonts w:hint="eastAsia"/>
        </w:rPr>
        <w:t>）</w:t>
      </w:r>
      <w:r>
        <w:rPr>
          <w:rFonts w:hint="eastAsia"/>
        </w:rPr>
        <w:tab/>
      </w:r>
      <w:r>
        <w:rPr>
          <w:rFonts w:hint="eastAsia"/>
        </w:rPr>
        <w:t>参与解决与《消除对妇女歧视公约》规定有关的涉及匈牙利的诉讼。</w:t>
      </w:r>
    </w:p>
    <w:p w:rsidR="00CE1FDA" w:rsidRDefault="00CE1FDA" w:rsidP="00AC01AA">
      <w:pPr>
        <w:spacing w:after="240" w:line="360" w:lineRule="exact"/>
        <w:ind w:leftChars="150" w:left="31680" w:hangingChars="250" w:firstLine="31680"/>
        <w:rPr>
          <w:rFonts w:hint="eastAsia"/>
        </w:rPr>
      </w:pPr>
      <w:r>
        <w:rPr>
          <w:rFonts w:hint="eastAsia"/>
        </w:rPr>
        <w:t>（</w:t>
      </w:r>
      <w:r>
        <w:rPr>
          <w:rFonts w:hint="eastAsia"/>
        </w:rPr>
        <w:t>4</w:t>
      </w:r>
      <w:r>
        <w:rPr>
          <w:rFonts w:hint="eastAsia"/>
        </w:rPr>
        <w:t>）两性平等司负责管理妇女代表权委员会。</w:t>
      </w:r>
    </w:p>
    <w:p w:rsidR="00CE1FDA" w:rsidRDefault="00CE1FDA" w:rsidP="00AC01AA">
      <w:pPr>
        <w:spacing w:after="240" w:line="360" w:lineRule="exact"/>
        <w:ind w:leftChars="150" w:left="31680" w:hangingChars="250" w:firstLine="31680"/>
        <w:rPr>
          <w:rFonts w:hint="eastAsia"/>
        </w:rPr>
      </w:pPr>
      <w:r>
        <w:rPr>
          <w:rFonts w:hint="eastAsia"/>
        </w:rPr>
        <w:t>（</w:t>
      </w:r>
      <w:r>
        <w:rPr>
          <w:rFonts w:hint="eastAsia"/>
        </w:rPr>
        <w:t>5</w:t>
      </w:r>
      <w:r>
        <w:rPr>
          <w:rFonts w:hint="eastAsia"/>
        </w:rPr>
        <w:t>）两性平等司参与开发两性平等统计资料提供系统。</w:t>
      </w:r>
    </w:p>
    <w:p w:rsidR="00CE1FDA" w:rsidRDefault="00CE1FDA">
      <w:pPr>
        <w:pStyle w:val="H2"/>
        <w:rPr>
          <w:rFonts w:ascii="Times New Roman" w:hint="eastAsia"/>
          <w:lang w:val="en-US"/>
        </w:rPr>
      </w:pPr>
    </w:p>
    <w:p w:rsidR="00CE1FDA" w:rsidRDefault="00CE1FDA">
      <w:pPr>
        <w:spacing w:after="240" w:line="360" w:lineRule="exact"/>
        <w:rPr>
          <w:rFonts w:ascii="SimHei" w:eastAsia="SimHei" w:hint="eastAsia"/>
          <w:color w:val="FF0000"/>
        </w:rPr>
      </w:pPr>
      <w:r>
        <w:rPr>
          <w:rFonts w:ascii="SimHei" w:eastAsia="SimHei" w:hint="eastAsia"/>
          <w:color w:val="FF0000"/>
        </w:rPr>
        <w:t>妇女代表委员会</w:t>
      </w:r>
    </w:p>
    <w:p w:rsidR="00CE1FDA" w:rsidRDefault="00CE1FDA" w:rsidP="00AC01AA">
      <w:pPr>
        <w:spacing w:after="240" w:line="360" w:lineRule="exact"/>
        <w:ind w:firstLineChars="200" w:firstLine="31680"/>
        <w:rPr>
          <w:rFonts w:hint="eastAsia"/>
        </w:rPr>
      </w:pPr>
      <w:r>
        <w:rPr>
          <w:rFonts w:hint="eastAsia"/>
        </w:rPr>
        <w:t>1999</w:t>
      </w:r>
      <w:r>
        <w:rPr>
          <w:rFonts w:hint="eastAsia"/>
        </w:rPr>
        <w:t>年政府成立了妇女代表委员会，以促进执行有利于妇女平等的立法和政府方案，并让代表妇女利益的组织参加。该委员会是一个咨询机构，在政府准备做出决定时，对有关问题、法案及提案发表意见，并在制定对妇女平等具有影响的立法和措施的过程中行使评论权。虽然该委员会已经建立，但自</w:t>
      </w:r>
      <w:r>
        <w:rPr>
          <w:rFonts w:hint="eastAsia"/>
        </w:rPr>
        <w:t>2002</w:t>
      </w:r>
      <w:r>
        <w:rPr>
          <w:rFonts w:hint="eastAsia"/>
        </w:rPr>
        <w:t>年以来，它只举行过三次会议。因此，应该对该委员会的职责、权限和运作规则进行审查，使其能够履行职责。</w:t>
      </w:r>
    </w:p>
    <w:p w:rsidR="00CE1FDA" w:rsidRDefault="00CE1FDA">
      <w:pPr>
        <w:spacing w:after="240" w:line="360" w:lineRule="exact"/>
        <w:rPr>
          <w:rFonts w:ascii="SimHei" w:eastAsia="SimHei" w:hint="eastAsia"/>
          <w:color w:val="FF0000"/>
        </w:rPr>
      </w:pPr>
      <w:r>
        <w:rPr>
          <w:rFonts w:ascii="SimHei" w:eastAsia="SimHei" w:hint="eastAsia"/>
          <w:color w:val="FF0000"/>
        </w:rPr>
        <w:t>国家机会平等网络</w:t>
      </w:r>
    </w:p>
    <w:p w:rsidR="00CE1FDA" w:rsidRDefault="00CE1FDA" w:rsidP="00AC01AA">
      <w:pPr>
        <w:spacing w:after="240" w:line="360" w:lineRule="exact"/>
        <w:ind w:firstLineChars="200" w:firstLine="31680"/>
        <w:rPr>
          <w:rFonts w:hint="eastAsia"/>
        </w:rPr>
      </w:pPr>
      <w:r>
        <w:rPr>
          <w:rFonts w:hint="eastAsia"/>
        </w:rPr>
        <w:t>国家机会平等网络的开发始于</w:t>
      </w:r>
      <w:r>
        <w:rPr>
          <w:rFonts w:hint="eastAsia"/>
        </w:rPr>
        <w:t>2004</w:t>
      </w:r>
      <w:r>
        <w:rPr>
          <w:rFonts w:hint="eastAsia"/>
        </w:rPr>
        <w:t>年。</w:t>
      </w:r>
      <w:r>
        <w:rPr>
          <w:rFonts w:hint="eastAsia"/>
        </w:rPr>
        <w:t>2006</w:t>
      </w:r>
      <w:r>
        <w:rPr>
          <w:rFonts w:hint="eastAsia"/>
        </w:rPr>
        <w:t>年，在</w:t>
      </w:r>
      <w:r>
        <w:rPr>
          <w:rFonts w:hint="eastAsia"/>
        </w:rPr>
        <w:t>16</w:t>
      </w:r>
      <w:r>
        <w:rPr>
          <w:rFonts w:hint="eastAsia"/>
        </w:rPr>
        <w:t>个地县设有平等机会协调办公室（机会平等机构）。该网络的目的在于参与预防一切形式的歧视，与在本地区开展活动的组织和机构进行合作，以减少偏见。该网络的主要目标群体是妇女、儿童、罗姆人群体、老年人以及残疾人。该网络的任务包括支助机会平等部发起的方案，以促进机会平等，并宣传各种融入政策，促进弱势社会群体融入社会。为预防一切形式的有害歧视，该网络与其他有关组织合作，为不同部门和职能领域的代表组织各种活动。该网络各单位正在发挥平等机会论坛的作用，为技术</w:t>
      </w:r>
      <w:r>
        <w:rPr>
          <w:rFonts w:hint="eastAsia"/>
        </w:rPr>
        <w:t>/</w:t>
      </w:r>
      <w:r>
        <w:rPr>
          <w:rFonts w:hint="eastAsia"/>
        </w:rPr>
        <w:t>专业协调提供机会。他们的优先任务是制造公共舆论，消除社会上仍然存在的偏见，并加强社会团结。</w:t>
      </w:r>
    </w:p>
    <w:p w:rsidR="00CE1FDA" w:rsidRDefault="00CE1FDA">
      <w:pPr>
        <w:spacing w:after="240" w:line="360" w:lineRule="exact"/>
        <w:rPr>
          <w:rFonts w:ascii="SimHei" w:eastAsia="SimHei" w:hint="eastAsia"/>
          <w:color w:val="FF0000"/>
        </w:rPr>
      </w:pPr>
      <w:r>
        <w:rPr>
          <w:rFonts w:ascii="SimHei" w:eastAsia="SimHei" w:hint="eastAsia"/>
          <w:color w:val="FF0000"/>
        </w:rPr>
        <w:t>歧视性做法</w:t>
      </w:r>
    </w:p>
    <w:p w:rsidR="00CE1FDA" w:rsidRDefault="00CE1FDA" w:rsidP="00AC01AA">
      <w:pPr>
        <w:spacing w:after="240" w:line="360" w:lineRule="exact"/>
        <w:ind w:firstLineChars="200" w:firstLine="31680"/>
        <w:rPr>
          <w:rFonts w:hint="eastAsia"/>
        </w:rPr>
      </w:pPr>
      <w:r>
        <w:rPr>
          <w:rFonts w:hint="eastAsia"/>
        </w:rPr>
        <w:t>见要点</w:t>
      </w:r>
      <w:r>
        <w:rPr>
          <w:rFonts w:hint="eastAsia"/>
        </w:rPr>
        <w:t>c</w:t>
      </w:r>
      <w:r>
        <w:rPr>
          <w:rFonts w:hint="eastAsia"/>
        </w:rPr>
        <w:t>（法院和公共机构，第</w:t>
      </w:r>
      <w:r>
        <w:rPr>
          <w:rFonts w:hint="eastAsia"/>
        </w:rPr>
        <w:t>12</w:t>
      </w:r>
      <w:r>
        <w:rPr>
          <w:rFonts w:hint="eastAsia"/>
        </w:rPr>
        <w:t>页）。</w:t>
      </w:r>
    </w:p>
    <w:p w:rsidR="00CE1FDA" w:rsidRDefault="00CE1FDA">
      <w:pPr>
        <w:spacing w:after="240" w:line="360" w:lineRule="exact"/>
        <w:rPr>
          <w:rFonts w:ascii="SimHei" w:eastAsia="SimHei" w:hint="eastAsia"/>
          <w:color w:val="FF0000"/>
        </w:rPr>
      </w:pPr>
      <w:r>
        <w:rPr>
          <w:rFonts w:ascii="SimHei" w:eastAsia="SimHei" w:hint="eastAsia"/>
          <w:color w:val="FF0000"/>
        </w:rPr>
        <w:t>特殊措施</w:t>
      </w:r>
    </w:p>
    <w:p w:rsidR="00CE1FDA" w:rsidRDefault="00CE1FDA" w:rsidP="00AC01AA">
      <w:pPr>
        <w:spacing w:after="240" w:line="360" w:lineRule="exact"/>
        <w:ind w:firstLineChars="200" w:firstLine="31680"/>
        <w:rPr>
          <w:rFonts w:hint="eastAsia"/>
        </w:rPr>
      </w:pPr>
      <w:r>
        <w:rPr>
          <w:rFonts w:hint="eastAsia"/>
        </w:rPr>
        <w:t>见要点</w:t>
      </w:r>
      <w:r>
        <w:rPr>
          <w:rFonts w:hint="eastAsia"/>
        </w:rPr>
        <w:t>c</w:t>
      </w:r>
      <w:r>
        <w:rPr>
          <w:rFonts w:hint="eastAsia"/>
        </w:rPr>
        <w:t>（法院和公共机构，第</w:t>
      </w:r>
      <w:r>
        <w:rPr>
          <w:rFonts w:hint="eastAsia"/>
        </w:rPr>
        <w:t>12</w:t>
      </w:r>
      <w:r>
        <w:rPr>
          <w:rFonts w:hint="eastAsia"/>
        </w:rPr>
        <w:t>页）。</w:t>
      </w:r>
    </w:p>
    <w:p w:rsidR="00CE1FDA" w:rsidRDefault="00CE1FDA">
      <w:pPr>
        <w:spacing w:after="240" w:line="360" w:lineRule="exact"/>
        <w:rPr>
          <w:rFonts w:ascii="SimHei" w:eastAsia="SimHei" w:hint="eastAsia"/>
          <w:color w:val="FF0000"/>
        </w:rPr>
      </w:pPr>
      <w:r>
        <w:rPr>
          <w:rFonts w:ascii="SimHei" w:eastAsia="SimHei" w:hint="eastAsia"/>
          <w:color w:val="FF0000"/>
        </w:rPr>
        <w:t>改变法律惯例</w:t>
      </w:r>
    </w:p>
    <w:p w:rsidR="00CE1FDA" w:rsidRDefault="00CE1FDA">
      <w:pPr>
        <w:spacing w:after="240" w:line="360" w:lineRule="exact"/>
        <w:rPr>
          <w:rFonts w:ascii="SimHei" w:eastAsia="SimHei" w:hint="eastAsia"/>
          <w:color w:val="FF0000"/>
        </w:rPr>
      </w:pPr>
      <w:r>
        <w:rPr>
          <w:rFonts w:ascii="SimHei" w:eastAsia="SimHei" w:hint="eastAsia"/>
          <w:color w:val="FF0000"/>
        </w:rPr>
        <w:t>第14号建议——法官培训</w:t>
      </w:r>
    </w:p>
    <w:p w:rsidR="00CE1FDA" w:rsidRDefault="00CE1FDA">
      <w:pPr>
        <w:spacing w:after="240" w:line="360" w:lineRule="exact"/>
        <w:rPr>
          <w:rFonts w:ascii="SimHei" w:eastAsia="SimHei" w:hint="eastAsia"/>
          <w:color w:val="FF0000"/>
        </w:rPr>
      </w:pPr>
      <w:r>
        <w:rPr>
          <w:rFonts w:ascii="SimHei" w:eastAsia="SimHei" w:hint="eastAsia"/>
          <w:color w:val="FF0000"/>
        </w:rPr>
        <w:t>关于匈牙利问题的委员会第14号建议</w:t>
      </w:r>
    </w:p>
    <w:p w:rsidR="00CE1FDA" w:rsidRDefault="00CE1FDA" w:rsidP="00AC01AA">
      <w:pPr>
        <w:spacing w:after="240" w:line="360" w:lineRule="exact"/>
        <w:ind w:firstLineChars="200" w:firstLine="31680"/>
        <w:rPr>
          <w:rFonts w:hint="eastAsia"/>
        </w:rPr>
      </w:pPr>
      <w:r>
        <w:rPr>
          <w:rFonts w:hint="eastAsia"/>
        </w:rPr>
        <w:t>劳动与就业政策部和国家司法委员会一直定期为专事劳动法和民法的法官组织培训班。他们还支持发行有关出版物，介绍反歧视立法的实际适用和执行情况。</w:t>
      </w:r>
    </w:p>
    <w:p w:rsidR="00CE1FDA" w:rsidRDefault="00CE1FDA">
      <w:pPr>
        <w:spacing w:after="240" w:line="360" w:lineRule="exact"/>
        <w:rPr>
          <w:rFonts w:ascii="SimHei" w:eastAsia="SimHei" w:hint="eastAsia"/>
          <w:color w:val="FF0000"/>
        </w:rPr>
      </w:pPr>
      <w:r>
        <w:rPr>
          <w:rFonts w:ascii="SimHei" w:eastAsia="SimHei" w:hint="eastAsia"/>
          <w:color w:val="FF0000"/>
        </w:rPr>
        <w:t>刑法所涉及的歧视</w:t>
      </w:r>
    </w:p>
    <w:p w:rsidR="00CE1FDA" w:rsidRDefault="00CE1FDA" w:rsidP="00AC01AA">
      <w:pPr>
        <w:spacing w:after="240" w:line="360" w:lineRule="exact"/>
        <w:ind w:firstLineChars="200" w:firstLine="31680"/>
        <w:rPr>
          <w:rFonts w:hint="eastAsia"/>
        </w:rPr>
      </w:pPr>
      <w:r>
        <w:rPr>
          <w:rFonts w:hint="eastAsia"/>
        </w:rPr>
        <w:t>见上次的报告（</w:t>
      </w:r>
      <w:r>
        <w:rPr>
          <w:rFonts w:hint="eastAsia"/>
        </w:rPr>
        <w:t>CEDAW/C/HUN/4-5</w:t>
      </w:r>
      <w:r>
        <w:rPr>
          <w:rFonts w:hint="eastAsia"/>
        </w:rPr>
        <w:t>）。</w:t>
      </w:r>
    </w:p>
    <w:p w:rsidR="00CE1FDA" w:rsidRDefault="00CE1FDA">
      <w:pPr>
        <w:spacing w:after="240" w:line="360" w:lineRule="exact"/>
        <w:rPr>
          <w:rFonts w:ascii="SimHei" w:eastAsia="SimHei" w:hint="eastAsia"/>
          <w:color w:val="FF0000"/>
          <w:sz w:val="24"/>
        </w:rPr>
      </w:pPr>
      <w:r>
        <w:rPr>
          <w:rFonts w:ascii="SimHei" w:eastAsia="SimHei" w:hint="eastAsia"/>
          <w:color w:val="FF0000"/>
          <w:sz w:val="24"/>
        </w:rPr>
        <w:t>第3条：保证人权和基本自由</w:t>
      </w:r>
    </w:p>
    <w:p w:rsidR="00CE1FDA" w:rsidRDefault="00CE1FDA" w:rsidP="00AC01AA">
      <w:pPr>
        <w:spacing w:after="240" w:line="360" w:lineRule="exact"/>
        <w:ind w:firstLineChars="200" w:firstLine="31680"/>
        <w:rPr>
          <w:rFonts w:hint="eastAsia"/>
        </w:rPr>
      </w:pPr>
      <w:r>
        <w:rPr>
          <w:rFonts w:hint="eastAsia"/>
        </w:rPr>
        <w:t>《宪法》第</w:t>
      </w:r>
      <w:r>
        <w:rPr>
          <w:rFonts w:hint="eastAsia"/>
        </w:rPr>
        <w:t>66</w:t>
      </w:r>
      <w:r>
        <w:rPr>
          <w:rFonts w:hint="eastAsia"/>
        </w:rPr>
        <w:t>（</w:t>
      </w:r>
      <w:r>
        <w:rPr>
          <w:rFonts w:hint="eastAsia"/>
        </w:rPr>
        <w:t>1</w:t>
      </w:r>
      <w:r>
        <w:rPr>
          <w:rFonts w:hint="eastAsia"/>
        </w:rPr>
        <w:t>）条仍然全面禁止对两性的歧视，该条规定，“匈牙利共和国在所有民事、政治、经济、社会和文化权利方面保证男女平等。”关于平等待遇和促进机会平等的第</w:t>
      </w:r>
      <w:r>
        <w:rPr>
          <w:rFonts w:hint="eastAsia"/>
        </w:rPr>
        <w:t>CXXV</w:t>
      </w:r>
      <w:r>
        <w:rPr>
          <w:rFonts w:hint="eastAsia"/>
        </w:rPr>
        <w:t>号法案规定，在所有领域中尤其禁止基于性别的歧视，特别是行使政治、经济或社会权利的领域。</w:t>
      </w:r>
    </w:p>
    <w:p w:rsidR="00CE1FDA" w:rsidRDefault="00CE1FDA" w:rsidP="00AC01AA">
      <w:pPr>
        <w:spacing w:after="240" w:line="360" w:lineRule="exact"/>
        <w:ind w:firstLineChars="200" w:firstLine="31680"/>
        <w:rPr>
          <w:rFonts w:hint="eastAsia"/>
        </w:rPr>
      </w:pPr>
      <w:r>
        <w:rPr>
          <w:rFonts w:hint="eastAsia"/>
        </w:rPr>
        <w:t>2001</w:t>
      </w:r>
      <w:r>
        <w:rPr>
          <w:rFonts w:hint="eastAsia"/>
        </w:rPr>
        <w:t>年，匈牙利通过了《〈消除对妇女歧视公约〉补充议定书》。消除对妇女歧视委员会的建议已译成匈牙利文，并于</w:t>
      </w:r>
      <w:r>
        <w:rPr>
          <w:rFonts w:hint="eastAsia"/>
        </w:rPr>
        <w:t>2003</w:t>
      </w:r>
      <w:r>
        <w:rPr>
          <w:rFonts w:hint="eastAsia"/>
        </w:rPr>
        <w:t>年秋季出版。该议定书正向各类使用者散发。</w:t>
      </w:r>
    </w:p>
    <w:p w:rsidR="00CE1FDA" w:rsidRDefault="00CE1FDA" w:rsidP="00AC01AA">
      <w:pPr>
        <w:spacing w:after="240" w:line="360" w:lineRule="exact"/>
        <w:ind w:firstLineChars="200" w:firstLine="31680"/>
        <w:rPr>
          <w:rFonts w:hint="eastAsia"/>
        </w:rPr>
      </w:pPr>
      <w:r>
        <w:rPr>
          <w:rFonts w:hint="eastAsia"/>
        </w:rPr>
        <w:t>在议会组织结构内运作的常设委员会于</w:t>
      </w:r>
      <w:r>
        <w:rPr>
          <w:rFonts w:hint="eastAsia"/>
        </w:rPr>
        <w:t>1998</w:t>
      </w:r>
      <w:r>
        <w:rPr>
          <w:rFonts w:hint="eastAsia"/>
        </w:rPr>
        <w:t>年在人权、少数民族和宗教事务委员会框架内成立了一个妇女权利小组委员会。</w:t>
      </w:r>
      <w:r>
        <w:rPr>
          <w:rFonts w:hint="eastAsia"/>
        </w:rPr>
        <w:t>2002</w:t>
      </w:r>
      <w:r>
        <w:rPr>
          <w:rFonts w:hint="eastAsia"/>
        </w:rPr>
        <w:t>年大选之后，平等待遇小组委员会于</w:t>
      </w:r>
      <w:r>
        <w:rPr>
          <w:rFonts w:hint="eastAsia"/>
        </w:rPr>
        <w:t>2003</w:t>
      </w:r>
      <w:r>
        <w:rPr>
          <w:rFonts w:hint="eastAsia"/>
        </w:rPr>
        <w:t>年</w:t>
      </w:r>
      <w:r>
        <w:rPr>
          <w:rFonts w:hint="eastAsia"/>
        </w:rPr>
        <w:t>6</w:t>
      </w:r>
      <w:r>
        <w:rPr>
          <w:rFonts w:hint="eastAsia"/>
        </w:rPr>
        <w:t>月成立。然而，该委员会没有把自己的任务仅限于与妇女有关的问题。他们通常还解决弱势社会群体的问题。许多议会委员会（如就业政策委员会、社会委员会）都处理了两性平等问题。</w:t>
      </w:r>
    </w:p>
    <w:p w:rsidR="00CE1FDA" w:rsidRDefault="00CE1FDA" w:rsidP="00AC01AA">
      <w:pPr>
        <w:spacing w:after="240" w:line="360" w:lineRule="exact"/>
        <w:ind w:firstLineChars="200" w:firstLine="31680"/>
        <w:rPr>
          <w:rFonts w:hint="eastAsia"/>
        </w:rPr>
      </w:pPr>
      <w:r>
        <w:rPr>
          <w:rFonts w:hint="eastAsia"/>
        </w:rPr>
        <w:t>下文要涉及另外一些措施。</w:t>
      </w:r>
    </w:p>
    <w:p w:rsidR="00CE1FDA" w:rsidRDefault="00CE1FDA">
      <w:pPr>
        <w:spacing w:after="240" w:line="360" w:lineRule="exact"/>
        <w:rPr>
          <w:rFonts w:ascii="SimHei" w:eastAsia="SimHei" w:hint="eastAsia"/>
          <w:color w:val="FF0000"/>
          <w:sz w:val="24"/>
        </w:rPr>
      </w:pPr>
      <w:r>
        <w:rPr>
          <w:rFonts w:ascii="SimHei" w:eastAsia="SimHei" w:hint="eastAsia"/>
          <w:color w:val="FF0000"/>
          <w:sz w:val="24"/>
        </w:rPr>
        <w:t>第4条：临时措施</w:t>
      </w:r>
    </w:p>
    <w:p w:rsidR="00CE1FDA" w:rsidRDefault="00CE1FDA">
      <w:pPr>
        <w:pStyle w:val="H2"/>
        <w:rPr>
          <w:rFonts w:hint="eastAsia"/>
          <w:lang w:val="en-US"/>
        </w:rPr>
      </w:pPr>
      <w:r>
        <w:rPr>
          <w:rFonts w:hint="eastAsia"/>
          <w:lang w:val="en-US"/>
        </w:rPr>
        <w:t>1.</w:t>
      </w:r>
      <w:r>
        <w:rPr>
          <w:rFonts w:hint="eastAsia"/>
          <w:lang w:val="en-US"/>
        </w:rPr>
        <w:tab/>
        <w:t>实现事实上的平等</w:t>
      </w:r>
    </w:p>
    <w:p w:rsidR="00CE1FDA" w:rsidRDefault="00CE1FDA" w:rsidP="00AC01AA">
      <w:pPr>
        <w:spacing w:after="240" w:line="360" w:lineRule="exact"/>
        <w:ind w:firstLineChars="200" w:firstLine="31680"/>
        <w:rPr>
          <w:rFonts w:hint="eastAsia"/>
        </w:rPr>
      </w:pPr>
      <w:r>
        <w:rPr>
          <w:rFonts w:hint="eastAsia"/>
        </w:rPr>
        <w:t>《平等待遇法案》保证法律上的男女平等，这是两性享有平等待遇的权利，但是要实现事实上的平等，仍有很多工作要做。这需要积极的措施来实现真正的平等。</w:t>
      </w:r>
    </w:p>
    <w:p w:rsidR="00CE1FDA" w:rsidRDefault="00CE1FDA">
      <w:pPr>
        <w:spacing w:after="240" w:line="360" w:lineRule="exact"/>
        <w:rPr>
          <w:rFonts w:eastAsia="SimHei" w:hint="eastAsia"/>
          <w:color w:val="FF0000"/>
        </w:rPr>
      </w:pPr>
      <w:r>
        <w:rPr>
          <w:rFonts w:eastAsia="SimHei" w:hint="eastAsia"/>
          <w:color w:val="FF0000"/>
        </w:rPr>
        <w:t>提供优先权</w:t>
      </w:r>
    </w:p>
    <w:p w:rsidR="00CE1FDA" w:rsidRDefault="00CE1FDA" w:rsidP="00AC01AA">
      <w:pPr>
        <w:spacing w:after="240" w:line="360" w:lineRule="exact"/>
        <w:ind w:firstLineChars="200" w:firstLine="31680"/>
        <w:rPr>
          <w:rFonts w:hint="eastAsia"/>
        </w:rPr>
      </w:pPr>
      <w:r>
        <w:rPr>
          <w:rFonts w:hint="eastAsia"/>
        </w:rPr>
        <w:t>《平等待遇法案》中关于歧视问题的一个最突出的概念，是积极的区别对待，该法案对它的限制性作了界定。由于人们对“积极的区别对待”这一说法有争议，而且它不符合现行法律制度的内容，因此，该法案使用了“优先权”一词。《宪法》第</w:t>
      </w:r>
      <w:r>
        <w:rPr>
          <w:rFonts w:hint="eastAsia"/>
        </w:rPr>
        <w:t>70/A</w:t>
      </w:r>
      <w:r>
        <w:rPr>
          <w:rFonts w:hint="eastAsia"/>
        </w:rPr>
        <w:t>（</w:t>
      </w:r>
      <w:r>
        <w:rPr>
          <w:rFonts w:hint="eastAsia"/>
        </w:rPr>
        <w:t>1</w:t>
      </w:r>
      <w:r>
        <w:rPr>
          <w:rFonts w:hint="eastAsia"/>
        </w:rPr>
        <w:t>）条为优先权奠定了宪法基础。宪法法院认为，禁止歧视并不意味着禁止一切形式的区别对待——甚至是那些旨在提供机会平等的区别对待。有些狭义上的平等是无法实现的，因此，只有放弃这种平等，某项社会目标——与《宪法》相符——才能实现，或某项宪法权利才能行使，就此而言，积极的区别对待就不能视为与《宪法》相悖。然而，积极的区别对待并非没有限度。对它加以限制是为了禁止歧视和实现《宪法》载明的基本权利。</w:t>
      </w:r>
    </w:p>
    <w:p w:rsidR="00CE1FDA" w:rsidRDefault="00CE1FDA" w:rsidP="00AC01AA">
      <w:pPr>
        <w:spacing w:after="240" w:line="360" w:lineRule="exact"/>
        <w:ind w:firstLineChars="200" w:firstLine="31680"/>
        <w:rPr>
          <w:rFonts w:hint="eastAsia"/>
        </w:rPr>
      </w:pPr>
      <w:r>
        <w:rPr>
          <w:rFonts w:hint="eastAsia"/>
        </w:rPr>
        <w:t>《平等待遇法案》</w:t>
      </w:r>
      <w:r>
        <w:rPr>
          <w:rStyle w:val="FootnoteReference"/>
          <w:rFonts w:hint="eastAsia"/>
        </w:rPr>
        <w:footnoteReference w:id="12"/>
      </w:r>
      <w:r>
        <w:rPr>
          <w:rFonts w:hint="eastAsia"/>
        </w:rPr>
        <w:t>顾及了所有这些问题，并说明，如果一项指令的目的是要在客观评估的基础上消除一个精确界定的社会群体中存在的机会不平等，那么，该指令没有违反平等待遇要求。</w:t>
      </w:r>
    </w:p>
    <w:p w:rsidR="00CE1FDA" w:rsidRDefault="00CE1FDA" w:rsidP="00AC01AA">
      <w:pPr>
        <w:spacing w:after="240" w:line="360" w:lineRule="exact"/>
        <w:ind w:firstLineChars="200" w:firstLine="31680"/>
        <w:rPr>
          <w:rFonts w:hint="eastAsia"/>
          <w:spacing w:val="2"/>
        </w:rPr>
      </w:pPr>
      <w:r>
        <w:rPr>
          <w:rFonts w:hint="eastAsia"/>
          <w:spacing w:val="2"/>
        </w:rPr>
        <w:t>然而，提供优先权可以有两种形式。一方面，它可以一项法案、一项政府法令或集体协议为基础，但在这种情况下，它只能涵盖一段特定时间，或延续到某项具体条件得到满足为止。因此，这类规定完全符合《消除对妇女歧视公约》。实行限额制度和其他优惠规则也就有了法律上的可能，但是，此类措施更多地应用于罗姆社区，而不是妇女面对的问题。根据《平等待遇法案》，可以在选举一个政党的执行机构和代表机构，或提名候选人时给予优先权。迄今只有一个政党对其候选人和管理机构实行了</w:t>
      </w:r>
      <w:r>
        <w:rPr>
          <w:rFonts w:hint="eastAsia"/>
          <w:spacing w:val="2"/>
        </w:rPr>
        <w:t>20%</w:t>
      </w:r>
      <w:r>
        <w:rPr>
          <w:rFonts w:hint="eastAsia"/>
          <w:spacing w:val="2"/>
        </w:rPr>
        <w:t>的配额。在两种情况下，优先权受到限制，因为它不能侵犯任何人的基本权利，不能提供无条件的优先权，也不能将对个别问题的考虑排除在外。因此，基准是客观评估，或者说是理性。从实质上讲，该法案允许适用配额制，并规定了限度。</w:t>
      </w:r>
    </w:p>
    <w:p w:rsidR="00CE1FDA" w:rsidRDefault="00CE1FDA">
      <w:pPr>
        <w:spacing w:after="240" w:line="360" w:lineRule="exact"/>
        <w:rPr>
          <w:rFonts w:eastAsia="SimHei" w:hint="eastAsia"/>
          <w:color w:val="FF0000"/>
        </w:rPr>
      </w:pPr>
      <w:r>
        <w:rPr>
          <w:rFonts w:eastAsia="SimHei" w:hint="eastAsia"/>
          <w:color w:val="FF0000"/>
        </w:rPr>
        <w:t>平等机会计划</w:t>
      </w:r>
    </w:p>
    <w:p w:rsidR="00CE1FDA" w:rsidRDefault="00CE1FDA" w:rsidP="00AC01AA">
      <w:pPr>
        <w:spacing w:after="240" w:line="360" w:lineRule="exact"/>
        <w:ind w:firstLineChars="200" w:firstLine="31680"/>
        <w:rPr>
          <w:rFonts w:hint="eastAsia"/>
        </w:rPr>
      </w:pPr>
      <w:r>
        <w:rPr>
          <w:rFonts w:hint="eastAsia"/>
        </w:rPr>
        <w:t>“平等机会计划”是提供优先权的一种特殊手段，《平等待遇法案》规定必须强制实行该计划。根据利益协调达成的妥协，《平等待遇法案》规定该义务只限于公共部门。因此，雇用人数超过</w:t>
      </w:r>
      <w:r>
        <w:t>50</w:t>
      </w:r>
      <w:r>
        <w:rPr>
          <w:rFonts w:hint="eastAsia"/>
        </w:rPr>
        <w:t>人的大多数国有预算组织和雇主必须制定平等机会计划。</w:t>
      </w:r>
      <w:r>
        <w:rPr>
          <w:rStyle w:val="FootnoteReference"/>
          <w:rFonts w:hint="eastAsia"/>
        </w:rPr>
        <w:footnoteReference w:id="13"/>
      </w:r>
      <w:r>
        <w:rPr>
          <w:rFonts w:hint="eastAsia"/>
        </w:rPr>
        <w:t>雇主和工会在一定时期内采用机会平等计划。其他雇主可酌情采用这种计划。</w:t>
      </w:r>
    </w:p>
    <w:p w:rsidR="00CE1FDA" w:rsidRDefault="00CE1FDA" w:rsidP="00AC01AA">
      <w:pPr>
        <w:spacing w:after="240" w:line="360" w:lineRule="exact"/>
        <w:ind w:firstLineChars="200" w:firstLine="31680"/>
        <w:rPr>
          <w:rFonts w:hint="eastAsia"/>
        </w:rPr>
      </w:pPr>
      <w:r>
        <w:rPr>
          <w:rFonts w:hint="eastAsia"/>
        </w:rPr>
        <w:t>平等机会计划涵盖了处于弱势的雇员群体，尤其包括养育两个以上</w:t>
      </w:r>
      <w:r>
        <w:rPr>
          <w:rFonts w:hint="eastAsia"/>
        </w:rPr>
        <w:t>10</w:t>
      </w:r>
      <w:r>
        <w:rPr>
          <w:rFonts w:hint="eastAsia"/>
        </w:rPr>
        <w:t>岁以下子女的妇女和雇员，或带有</w:t>
      </w:r>
      <w:r>
        <w:rPr>
          <w:rFonts w:hint="eastAsia"/>
        </w:rPr>
        <w:t>10</w:t>
      </w:r>
      <w:r>
        <w:rPr>
          <w:rFonts w:hint="eastAsia"/>
        </w:rPr>
        <w:t>岁以下子女的单身母亲。该计划对有关雇员的就业状况——他们的工资、工作条件、晋级机会、培训等——以及为指定年份规定的雇主的目标和手段进行了分析。</w:t>
      </w:r>
      <w:r>
        <w:rPr>
          <w:rStyle w:val="FootnoteReference"/>
          <w:rFonts w:hint="eastAsia"/>
        </w:rPr>
        <w:footnoteReference w:id="14"/>
      </w:r>
      <w:r>
        <w:rPr>
          <w:rFonts w:hint="eastAsia"/>
        </w:rPr>
        <w:t>对于没有按规定制定平等机会计划的雇主，该法案没有做出处罚规定。因此，不能利用处罚手段逼迫雇主制定这类计划。</w:t>
      </w:r>
    </w:p>
    <w:p w:rsidR="00CE1FDA" w:rsidRDefault="00CE1FDA">
      <w:pPr>
        <w:pStyle w:val="H2"/>
        <w:rPr>
          <w:rFonts w:hint="eastAsia"/>
          <w:lang w:val="en-US"/>
        </w:rPr>
      </w:pPr>
      <w:r>
        <w:rPr>
          <w:rFonts w:hint="eastAsia"/>
          <w:lang w:val="en-US"/>
        </w:rPr>
        <w:t>2.  与产妇有关的特别措施</w:t>
      </w:r>
    </w:p>
    <w:p w:rsidR="00CE1FDA" w:rsidRDefault="00CE1FDA" w:rsidP="00AC01AA">
      <w:pPr>
        <w:spacing w:after="240" w:line="360" w:lineRule="exact"/>
        <w:ind w:firstLineChars="200" w:firstLine="31680"/>
        <w:rPr>
          <w:rFonts w:hint="eastAsia"/>
        </w:rPr>
      </w:pPr>
      <w:r>
        <w:rPr>
          <w:rFonts w:hint="eastAsia"/>
        </w:rPr>
        <w:t>便利妇女就业和使养育子女的妇女重返劳动力市场，这是政府的一项特殊目标。为实现此目标，近几年来实施了各种措施，帮助妇女在劳动力市场获得成功。这一点将在第</w:t>
      </w:r>
      <w:r>
        <w:rPr>
          <w:rFonts w:hint="eastAsia"/>
        </w:rPr>
        <w:t>11</w:t>
      </w:r>
      <w:r>
        <w:rPr>
          <w:rFonts w:hint="eastAsia"/>
        </w:rPr>
        <w:t>条中详细讨论。</w:t>
      </w:r>
    </w:p>
    <w:p w:rsidR="00CE1FDA" w:rsidRDefault="00CE1FDA">
      <w:pPr>
        <w:spacing w:after="240" w:line="360" w:lineRule="exact"/>
        <w:rPr>
          <w:rFonts w:ascii="SimHei" w:eastAsia="SimHei" w:hint="eastAsia"/>
          <w:color w:val="FF0000"/>
          <w:sz w:val="24"/>
        </w:rPr>
      </w:pPr>
      <w:r>
        <w:rPr>
          <w:rFonts w:ascii="SimHei" w:eastAsia="SimHei" w:hint="eastAsia"/>
          <w:color w:val="FF0000"/>
          <w:sz w:val="24"/>
        </w:rPr>
        <w:t>第5条：行为方式，陈规定型观念</w:t>
      </w:r>
    </w:p>
    <w:p w:rsidR="00CE1FDA" w:rsidRDefault="00CE1FDA">
      <w:pPr>
        <w:spacing w:after="240" w:line="360" w:lineRule="exact"/>
        <w:rPr>
          <w:rFonts w:eastAsia="SimHei" w:hint="eastAsia"/>
          <w:color w:val="FF0000"/>
        </w:rPr>
      </w:pPr>
      <w:r>
        <w:rPr>
          <w:rFonts w:eastAsia="SimHei" w:hint="eastAsia"/>
          <w:color w:val="FF0000"/>
        </w:rPr>
        <w:t>a.</w:t>
      </w:r>
      <w:r>
        <w:rPr>
          <w:rFonts w:eastAsia="SimHei" w:hint="eastAsia"/>
          <w:color w:val="FF0000"/>
        </w:rPr>
        <w:tab/>
        <w:t xml:space="preserve"> </w:t>
      </w:r>
      <w:r>
        <w:rPr>
          <w:rFonts w:eastAsia="SimHei" w:hint="eastAsia"/>
          <w:color w:val="FF0000"/>
        </w:rPr>
        <w:t>社会与文化行为的形式</w:t>
      </w:r>
    </w:p>
    <w:p w:rsidR="00CE1FDA" w:rsidRDefault="00CE1FDA" w:rsidP="00AC01AA">
      <w:pPr>
        <w:spacing w:after="240" w:line="360" w:lineRule="exact"/>
        <w:ind w:firstLineChars="200" w:firstLine="31680"/>
      </w:pPr>
      <w:r>
        <w:rPr>
          <w:rFonts w:hint="eastAsia"/>
        </w:rPr>
        <w:t>在</w:t>
      </w:r>
      <w:r>
        <w:rPr>
          <w:rFonts w:hint="eastAsia"/>
        </w:rPr>
        <w:t>1989</w:t>
      </w:r>
      <w:r>
        <w:rPr>
          <w:rFonts w:hint="eastAsia"/>
        </w:rPr>
        <w:t>年转型后的数年中，对性别角色的看法连续发生了转变。通常，匈牙利人对社会性别角色某些方面的看法（比如，妇女外出工作，结婚、生孩子）比邻国保守。</w:t>
      </w:r>
      <w:r>
        <w:rPr>
          <w:rFonts w:hint="eastAsia"/>
        </w:rPr>
        <w:t xml:space="preserve"> </w:t>
      </w:r>
      <w:r>
        <w:rPr>
          <w:rFonts w:hint="eastAsia"/>
        </w:rPr>
        <w:t>然而，观念往往比实际行为更为保守。随着妇女就业人数的减少，越来越多的人开始认为，妇女适合从事不带薪工作。然而，最近的调查表明，对妇女外出工作的看法表现出适应现代需要的迹象。人们把妇女非全日就业看作一种越来越具吸引力的选择，而在</w:t>
      </w:r>
      <w:r>
        <w:rPr>
          <w:rFonts w:hint="eastAsia"/>
        </w:rPr>
        <w:t>2004</w:t>
      </w:r>
      <w:r>
        <w:rPr>
          <w:rFonts w:hint="eastAsia"/>
        </w:rPr>
        <w:t>年，</w:t>
      </w:r>
      <w:r>
        <w:rPr>
          <w:rFonts w:hint="eastAsia"/>
        </w:rPr>
        <w:t>3.2%</w:t>
      </w:r>
      <w:r>
        <w:rPr>
          <w:rFonts w:hint="eastAsia"/>
        </w:rPr>
        <w:t>的男子和</w:t>
      </w:r>
      <w:r>
        <w:rPr>
          <w:rFonts w:hint="eastAsia"/>
        </w:rPr>
        <w:t>6.3%</w:t>
      </w:r>
      <w:r>
        <w:rPr>
          <w:rFonts w:hint="eastAsia"/>
        </w:rPr>
        <w:t>的妇女从事非全日工作。</w:t>
      </w:r>
    </w:p>
    <w:p w:rsidR="00CE1FDA" w:rsidRDefault="00CE1FDA" w:rsidP="00AC01AA">
      <w:pPr>
        <w:spacing w:after="240" w:line="360" w:lineRule="exact"/>
        <w:ind w:firstLineChars="200" w:firstLine="31680"/>
        <w:rPr>
          <w:rFonts w:hint="eastAsia"/>
        </w:rPr>
      </w:pPr>
      <w:r>
        <w:rPr>
          <w:rFonts w:hint="eastAsia"/>
        </w:rPr>
        <w:t>关于妇女出现于媒体上的问题，应该强调，在关于日常生活话题的报道中，妇女（甚至是社会地位高的妇女或女名人）往往作为一个保持家庭团结的人物出现。在交往中，妇女通常被说成理应满足男子需要的人（比如，在家服侍男子）。一项关于欧盟代表选举活动的调查表明，在全国发行的主要日报刊登的文章中，只有约</w:t>
      </w:r>
      <w:r>
        <w:rPr>
          <w:rFonts w:hint="eastAsia"/>
        </w:rPr>
        <w:t>1%</w:t>
      </w:r>
      <w:r>
        <w:rPr>
          <w:rFonts w:hint="eastAsia"/>
        </w:rPr>
        <w:t>涉及到两性问题（</w:t>
      </w:r>
      <w:r>
        <w:rPr>
          <w:rFonts w:hint="eastAsia"/>
        </w:rPr>
        <w:t>Ilonszky</w:t>
      </w:r>
      <w:r>
        <w:rPr>
          <w:rFonts w:hint="eastAsia"/>
        </w:rPr>
        <w:t>，</w:t>
      </w:r>
      <w:r>
        <w:rPr>
          <w:rFonts w:hint="eastAsia"/>
        </w:rPr>
        <w:t>2005</w:t>
      </w:r>
      <w:r>
        <w:rPr>
          <w:rFonts w:hint="eastAsia"/>
        </w:rPr>
        <w:t>年）。媒体调查表明，娱乐节目成了电视的主要内容（肥皂剧、轻松娱乐</w:t>
      </w:r>
      <w:r>
        <w:rPr>
          <w:rFonts w:hint="eastAsia"/>
        </w:rPr>
        <w:t>/</w:t>
      </w:r>
      <w:r>
        <w:rPr>
          <w:rFonts w:hint="eastAsia"/>
        </w:rPr>
        <w:t>音乐节目）。电视连续剧通常按照西方模式制作，照搬他们的剧情、角色和价值观（</w:t>
      </w:r>
      <w:r>
        <w:rPr>
          <w:rFonts w:hint="eastAsia"/>
        </w:rPr>
        <w:t>Antal</w:t>
      </w:r>
      <w:r>
        <w:t>ó</w:t>
      </w:r>
      <w:r>
        <w:rPr>
          <w:rFonts w:hint="eastAsia"/>
        </w:rPr>
        <w:t>czy</w:t>
      </w:r>
      <w:r>
        <w:rPr>
          <w:rFonts w:hint="eastAsia"/>
        </w:rPr>
        <w:t>，</w:t>
      </w:r>
      <w:r>
        <w:rPr>
          <w:rFonts w:hint="eastAsia"/>
        </w:rPr>
        <w:t>2001</w:t>
      </w:r>
      <w:r>
        <w:rPr>
          <w:rFonts w:hint="eastAsia"/>
        </w:rPr>
        <w:t>年）。</w:t>
      </w:r>
    </w:p>
    <w:p w:rsidR="00CE1FDA" w:rsidRDefault="00CE1FDA" w:rsidP="00AC01AA">
      <w:pPr>
        <w:spacing w:after="240" w:line="360" w:lineRule="exact"/>
        <w:ind w:firstLineChars="200" w:firstLine="31680"/>
        <w:rPr>
          <w:rFonts w:hint="eastAsia"/>
        </w:rPr>
      </w:pPr>
      <w:r>
        <w:rPr>
          <w:rFonts w:hint="eastAsia"/>
        </w:rPr>
        <w:t>在体制变化后的时期中，最典型的变化之一，是匈牙利商业电视频道也日益接受带有色情内容的节目（这在过去是受到严格控制的）。此外，媒体日益关注这个领域，在日常生活中介绍色情内容：一方面，色情男女演员被捧为明星；另一方面，“正常”明星的私生活被色情化。色情节目的过分发展在估计数上也有体现，它表明，大约一半的因特网在下载色情内容（</w:t>
      </w:r>
      <w:r>
        <w:rPr>
          <w:rFonts w:hint="eastAsia"/>
        </w:rPr>
        <w:t>Sziget</w:t>
      </w:r>
      <w:r>
        <w:t>i</w:t>
      </w:r>
      <w:r>
        <w:rPr>
          <w:rFonts w:hint="eastAsia"/>
        </w:rPr>
        <w:t>，</w:t>
      </w:r>
      <w:r>
        <w:rPr>
          <w:rFonts w:hint="eastAsia"/>
        </w:rPr>
        <w:t>2005</w:t>
      </w:r>
      <w:r>
        <w:rPr>
          <w:rFonts w:hint="eastAsia"/>
        </w:rPr>
        <w:t>年）。性产业的影响力还体现在，很多小报每天登载裸体妇女（甚至登在头版）。妇女常常作为性玩物出现在巨型海报上，妇女的身体成为促销此类产品的手段，通常是以“附带”的方式。衣着暴露的妇女没有任何遮掩地被拍照（突出她们的体型），有时候照片上只出现她们身体的某些部分，目的是激发性冲动。</w:t>
      </w:r>
    </w:p>
    <w:p w:rsidR="00CE1FDA" w:rsidRDefault="00CE1FDA" w:rsidP="00AC01AA">
      <w:pPr>
        <w:spacing w:after="240" w:line="360" w:lineRule="exact"/>
        <w:ind w:firstLineChars="200" w:firstLine="31680"/>
        <w:rPr>
          <w:rFonts w:hint="eastAsia"/>
        </w:rPr>
      </w:pPr>
      <w:r>
        <w:rPr>
          <w:rFonts w:hint="eastAsia"/>
        </w:rPr>
        <w:t>2005</w:t>
      </w:r>
      <w:r>
        <w:rPr>
          <w:rFonts w:hint="eastAsia"/>
        </w:rPr>
        <w:t>年</w:t>
      </w:r>
      <w:r>
        <w:rPr>
          <w:rFonts w:hint="eastAsia"/>
        </w:rPr>
        <w:t>12</w:t>
      </w:r>
      <w:r>
        <w:rPr>
          <w:rFonts w:hint="eastAsia"/>
        </w:rPr>
        <w:t>月，青年、家庭、社会事务和机会平等部以“媒体中的妇女”为题发起一系列方案，在各地县开展活动的平等机会机构参与了这些方案，以便在社会范围内和专业人士中提倡社会男女机会平等的理念。该机构正在各地县组织圆桌讨论，有地方和国家媒体以及地方非政府组织的代表参加，重点讨论媒体中妇女的角色和表现。</w:t>
      </w:r>
    </w:p>
    <w:p w:rsidR="00CE1FDA" w:rsidRDefault="00CE1FDA" w:rsidP="00AC01AA">
      <w:pPr>
        <w:spacing w:after="240" w:line="360" w:lineRule="exact"/>
        <w:ind w:firstLineChars="200" w:firstLine="31680"/>
        <w:rPr>
          <w:rFonts w:hint="eastAsia"/>
        </w:rPr>
      </w:pPr>
      <w:r>
        <w:rPr>
          <w:rFonts w:hint="eastAsia"/>
        </w:rPr>
        <w:t>1996</w:t>
      </w:r>
      <w:r>
        <w:rPr>
          <w:rFonts w:hint="eastAsia"/>
        </w:rPr>
        <w:t>年关于广播电视的第一号法案给由议会中的社会组织和政党代表组成的各理事会指定了一项重要职责，要求他们对公共媒体进行监督。公共媒体发布的内容由国家广播电视委员会负责监督。该法案没有规定保障措施，来阻止发布侵犯少数民族利益的内容，也没有对宣传性别方面的陈规定型观念加以管制。</w:t>
      </w:r>
    </w:p>
    <w:p w:rsidR="00CE1FDA" w:rsidRDefault="00CE1FDA">
      <w:pPr>
        <w:spacing w:after="240" w:line="360" w:lineRule="exact"/>
        <w:rPr>
          <w:rFonts w:ascii="SimHei" w:eastAsia="SimHei" w:hint="eastAsia"/>
          <w:color w:val="FF0000"/>
        </w:rPr>
      </w:pPr>
      <w:r>
        <w:rPr>
          <w:rFonts w:ascii="SimHei" w:eastAsia="SimHei" w:hint="eastAsia"/>
          <w:color w:val="FF0000"/>
        </w:rPr>
        <w:t>b.  家务的分担</w:t>
      </w:r>
    </w:p>
    <w:p w:rsidR="00CE1FDA" w:rsidRDefault="00CE1FDA" w:rsidP="00AC01AA">
      <w:pPr>
        <w:spacing w:after="240" w:line="360" w:lineRule="exact"/>
        <w:ind w:firstLineChars="200" w:firstLine="31680"/>
        <w:rPr>
          <w:rFonts w:hint="eastAsia"/>
        </w:rPr>
      </w:pPr>
      <w:r>
        <w:rPr>
          <w:rFonts w:hint="eastAsia"/>
        </w:rPr>
        <w:t>已注意到在婚姻和养育子女方面，态度与实际行为之间存在着重大差异。虽然最近的调查表明，大多数人一致认为，已婚者比其他人更幸福，但新婚数量却在持续下降，人们第一次结婚的年龄越来越大，而且未婚同居的情侣越来越多。从他们的自我界定可以看出，妇女特别重视生育，但是这种看重孩子的态度并没有在出生数量上反映出来。</w:t>
      </w:r>
    </w:p>
    <w:p w:rsidR="00CE1FDA" w:rsidRDefault="00CE1FDA" w:rsidP="00AC01AA">
      <w:pPr>
        <w:spacing w:after="240" w:line="360" w:lineRule="exact"/>
        <w:ind w:firstLineChars="200" w:firstLine="31680"/>
        <w:rPr>
          <w:rFonts w:hint="eastAsia"/>
        </w:rPr>
      </w:pPr>
      <w:r>
        <w:rPr>
          <w:rFonts w:hint="eastAsia"/>
        </w:rPr>
        <w:t>家务分担不论在事实上还是在观念上都非常保守。根据对时间平衡的研究，大多数家务是由妇女操持的，在夫妻双方都有工作的家庭也是如此。比较年轻和受教育程度较高的人对性别陈规定型观念的看法也并不很新颖。与父母角色有关的共同责任原则、父亲照管子女的责任，以及在工作场所对家庭义务的期待上容忍度的提高最近已成为两性平等司某些倡议的目标，比如“兼顾家庭的工作场所”申请计划或“宝贝孩子”图片展和国际研讨会。</w:t>
      </w:r>
    </w:p>
    <w:p w:rsidR="00CE1FDA" w:rsidRDefault="00CE1FDA">
      <w:pPr>
        <w:spacing w:after="240" w:line="360" w:lineRule="exact"/>
        <w:rPr>
          <w:rFonts w:ascii="SimHei" w:eastAsia="SimHei" w:hint="eastAsia"/>
          <w:color w:val="FF0000"/>
          <w:sz w:val="24"/>
        </w:rPr>
      </w:pPr>
      <w:r>
        <w:rPr>
          <w:rFonts w:ascii="SimHei" w:eastAsia="SimHei" w:hint="eastAsia"/>
          <w:color w:val="FF0000"/>
          <w:sz w:val="24"/>
        </w:rPr>
        <w:t>第6条：卖淫和贩卖妇女</w:t>
      </w:r>
    </w:p>
    <w:p w:rsidR="00CE1FDA" w:rsidRDefault="00CE1FDA">
      <w:pPr>
        <w:spacing w:after="240" w:line="360" w:lineRule="exact"/>
        <w:rPr>
          <w:rFonts w:ascii="SimHei" w:eastAsia="SimHei" w:hint="eastAsia"/>
          <w:color w:val="FF0000"/>
        </w:rPr>
      </w:pPr>
      <w:r>
        <w:rPr>
          <w:rFonts w:ascii="SimHei" w:eastAsia="SimHei" w:hint="eastAsia"/>
          <w:color w:val="FF0000"/>
        </w:rPr>
        <w:t>a. 卖淫</w:t>
      </w:r>
    </w:p>
    <w:p w:rsidR="00CE1FDA" w:rsidRDefault="00CE1FDA" w:rsidP="00AC01AA">
      <w:pPr>
        <w:spacing w:after="240" w:line="360" w:lineRule="exact"/>
        <w:ind w:firstLineChars="200" w:firstLine="31680"/>
        <w:rPr>
          <w:rFonts w:hint="eastAsia"/>
        </w:rPr>
      </w:pPr>
      <w:r>
        <w:rPr>
          <w:rFonts w:hint="eastAsia"/>
        </w:rPr>
        <w:t>自最近发表（第四和五次）《消除对妇女歧视公约》执行情况报告以来，</w:t>
      </w:r>
      <w:r>
        <w:rPr>
          <w:rFonts w:eastAsia="KaiTi_GB2312" w:hint="eastAsia"/>
          <w:color w:val="0000FF"/>
        </w:rPr>
        <w:t>关于卖淫问题的法律条例</w:t>
      </w:r>
      <w:r>
        <w:rPr>
          <w:rFonts w:hint="eastAsia"/>
        </w:rPr>
        <w:t>一直没有改变。划定所谓宽容区的问题没有取得任何进展，这属于地方政府的权限。不过，为解决这一问题已做了大量协调工作。议会民权监察员总代表也针对这一问题发表了意见。</w:t>
      </w:r>
    </w:p>
    <w:p w:rsidR="00CE1FDA" w:rsidRDefault="00CE1FDA" w:rsidP="00AC01AA">
      <w:pPr>
        <w:spacing w:after="240" w:line="360" w:lineRule="exact"/>
        <w:ind w:firstLineChars="200" w:firstLine="31680"/>
        <w:rPr>
          <w:rFonts w:hint="eastAsia"/>
        </w:rPr>
      </w:pPr>
      <w:r>
        <w:rPr>
          <w:rFonts w:hint="eastAsia"/>
        </w:rPr>
        <w:t>2005</w:t>
      </w:r>
      <w:r>
        <w:rPr>
          <w:rFonts w:hint="eastAsia"/>
        </w:rPr>
        <w:t>年，内政部</w:t>
      </w:r>
      <w:r>
        <w:rPr>
          <w:rFonts w:eastAsia="KaiTi_GB2312" w:hint="eastAsia"/>
        </w:rPr>
        <w:t>拟定了一个新的概念</w:t>
      </w:r>
      <w:r>
        <w:rPr>
          <w:rFonts w:hint="eastAsia"/>
        </w:rPr>
        <w:t>，它总结了现行管理体制存在的问题和向前迈进的可行办法。同时还采取各种步骤，制定了一项国家方案，目的在于防止贩卖人口，帮助受害者，并使他们能够重新融入社会。</w:t>
      </w:r>
    </w:p>
    <w:p w:rsidR="00CE1FDA" w:rsidRDefault="00CE1FDA" w:rsidP="00AC01AA">
      <w:pPr>
        <w:spacing w:after="240" w:line="360" w:lineRule="exact"/>
        <w:ind w:firstLineChars="200" w:firstLine="31680"/>
        <w:rPr>
          <w:rFonts w:hint="eastAsia"/>
        </w:rPr>
      </w:pPr>
      <w:r>
        <w:rPr>
          <w:rFonts w:hint="eastAsia"/>
        </w:rPr>
        <w:t>刑法就与卖淫有关的寄生性犯罪行为所作的规定，符合</w:t>
      </w:r>
      <w:r>
        <w:rPr>
          <w:rFonts w:hint="eastAsia"/>
        </w:rPr>
        <w:t>1955</w:t>
      </w:r>
      <w:r>
        <w:rPr>
          <w:rFonts w:hint="eastAsia"/>
        </w:rPr>
        <w:t>年第</w:t>
      </w:r>
      <w:r>
        <w:rPr>
          <w:rFonts w:hint="eastAsia"/>
        </w:rPr>
        <w:t>34</w:t>
      </w:r>
      <w:r>
        <w:rPr>
          <w:rFonts w:hint="eastAsia"/>
        </w:rPr>
        <w:t>号法令的规定，该法令要求宣传</w:t>
      </w:r>
      <w:r>
        <w:rPr>
          <w:rFonts w:hint="eastAsia"/>
        </w:rPr>
        <w:t>1950</w:t>
      </w:r>
      <w:r>
        <w:rPr>
          <w:rFonts w:hint="eastAsia"/>
        </w:rPr>
        <w:t>年</w:t>
      </w:r>
      <w:r>
        <w:rPr>
          <w:rFonts w:hint="eastAsia"/>
        </w:rPr>
        <w:t>3</w:t>
      </w:r>
      <w:r>
        <w:rPr>
          <w:rFonts w:hint="eastAsia"/>
        </w:rPr>
        <w:t>月</w:t>
      </w:r>
      <w:r>
        <w:rPr>
          <w:rFonts w:hint="eastAsia"/>
        </w:rPr>
        <w:t>21</w:t>
      </w:r>
      <w:r>
        <w:rPr>
          <w:rFonts w:hint="eastAsia"/>
        </w:rPr>
        <w:t>日在纽约通过的一项国际公约，即《禁止贩卖人口及取缔意图营利使人卖淫的公约》（纽约，</w:t>
      </w:r>
      <w:r>
        <w:rPr>
          <w:rFonts w:hint="eastAsia"/>
        </w:rPr>
        <w:t>1950</w:t>
      </w:r>
      <w:r>
        <w:rPr>
          <w:rFonts w:hint="eastAsia"/>
        </w:rPr>
        <w:t>年</w:t>
      </w:r>
      <w:r>
        <w:rPr>
          <w:rFonts w:hint="eastAsia"/>
        </w:rPr>
        <w:t>3</w:t>
      </w:r>
      <w:r>
        <w:rPr>
          <w:rFonts w:hint="eastAsia"/>
        </w:rPr>
        <w:t>月</w:t>
      </w:r>
      <w:r>
        <w:rPr>
          <w:rFonts w:hint="eastAsia"/>
        </w:rPr>
        <w:t>21</w:t>
      </w:r>
      <w:r>
        <w:rPr>
          <w:rFonts w:hint="eastAsia"/>
        </w:rPr>
        <w:t>日）（有关犯罪行为：怂恿卖淫，拉皮条）。</w:t>
      </w:r>
      <w:r>
        <w:rPr>
          <w:rFonts w:ascii="KaiTi_GB2312" w:eastAsia="KaiTi_GB2312" w:hint="eastAsia"/>
          <w:color w:val="0000FF"/>
        </w:rPr>
        <w:t>2001年第CXXI号法案修订了关于《刑法典》1978年第四号法令</w:t>
      </w:r>
      <w:r>
        <w:rPr>
          <w:rFonts w:hint="eastAsia"/>
        </w:rPr>
        <w:t>，对相关的刑事案件定义做了更改。它从怂恿卖淫和拉皮条的严重犯罪案件中排除了犯罪组织成员所犯的有关罪行，因为《刑法典》第五章关于判决问题的第</w:t>
      </w:r>
      <w:r>
        <w:rPr>
          <w:rFonts w:hint="eastAsia"/>
        </w:rPr>
        <w:t>98</w:t>
      </w:r>
      <w:r>
        <w:rPr>
          <w:rFonts w:hint="eastAsia"/>
        </w:rPr>
        <w:t>条已对犯罪组织成员的犯罪行为作了规定，这样做明显加大了惩罚有关罪行的力度。</w:t>
      </w:r>
      <w:r>
        <w:rPr>
          <w:rFonts w:hint="eastAsia"/>
        </w:rPr>
        <w:t xml:space="preserve"> </w:t>
      </w:r>
    </w:p>
    <w:p w:rsidR="00CE1FDA" w:rsidRDefault="00CE1FDA" w:rsidP="00AC01AA">
      <w:pPr>
        <w:spacing w:after="240" w:line="360" w:lineRule="exact"/>
        <w:ind w:firstLineChars="200" w:firstLine="31680"/>
        <w:rPr>
          <w:rFonts w:hint="eastAsia"/>
        </w:rPr>
      </w:pPr>
      <w:r>
        <w:rPr>
          <w:rFonts w:hint="eastAsia"/>
        </w:rPr>
        <w:t>最近几年，《犯罪统计》记录的犯罪行为数量有所下降（见表</w:t>
      </w:r>
      <w:r>
        <w:rPr>
          <w:rFonts w:hint="eastAsia"/>
        </w:rPr>
        <w:t>6.1</w:t>
      </w:r>
      <w:r>
        <w:rPr>
          <w:rFonts w:hint="eastAsia"/>
        </w:rPr>
        <w:t>。应该注意的是，在该领域肯定存在很高的潜伏期）。</w:t>
      </w:r>
    </w:p>
    <w:p w:rsidR="00CE1FDA" w:rsidRDefault="00CE1FDA" w:rsidP="00AC01AA">
      <w:pPr>
        <w:spacing w:after="240" w:line="360" w:lineRule="exact"/>
        <w:ind w:firstLineChars="200" w:firstLine="31680"/>
        <w:rPr>
          <w:rFonts w:hint="eastAsia"/>
        </w:rPr>
      </w:pPr>
      <w:r>
        <w:rPr>
          <w:rFonts w:hint="eastAsia"/>
        </w:rPr>
        <w:t>2005</w:t>
      </w:r>
      <w:r>
        <w:rPr>
          <w:rFonts w:hint="eastAsia"/>
        </w:rPr>
        <w:t>年</w:t>
      </w:r>
      <w:r>
        <w:rPr>
          <w:rFonts w:hint="eastAsia"/>
        </w:rPr>
        <w:t>12</w:t>
      </w:r>
      <w:r>
        <w:rPr>
          <w:rFonts w:hint="eastAsia"/>
        </w:rPr>
        <w:t>月，卫生部发起一项试点项目，对存在较高健康风险的妓女进行流动性体检。体检按规定时间，沿事先确定的路线，在一辆巴士上进行，由代表妓女利益的组织通知目标群体。体检并非免费：根据国家医务人员服务处国家职业健康研究所确定的关税额度，全面进行身体检查需花费</w:t>
      </w:r>
      <w:r>
        <w:rPr>
          <w:rFonts w:hint="eastAsia"/>
        </w:rPr>
        <w:t>10 000</w:t>
      </w:r>
      <w:r>
        <w:rPr>
          <w:rFonts w:hint="eastAsia"/>
        </w:rPr>
        <w:t>福林。</w:t>
      </w:r>
    </w:p>
    <w:p w:rsidR="00CE1FDA" w:rsidRDefault="00CE1FDA">
      <w:pPr>
        <w:spacing w:after="240" w:line="360" w:lineRule="exact"/>
        <w:rPr>
          <w:rFonts w:ascii="SimHei" w:eastAsia="SimHei" w:hint="eastAsia"/>
          <w:color w:val="FF0000"/>
        </w:rPr>
      </w:pPr>
      <w:r>
        <w:rPr>
          <w:rFonts w:ascii="SimHei" w:eastAsia="SimHei" w:hint="eastAsia"/>
          <w:color w:val="FF0000"/>
        </w:rPr>
        <w:t>b. 贩卖人口</w:t>
      </w:r>
    </w:p>
    <w:p w:rsidR="00CE1FDA" w:rsidRDefault="00CE1FDA">
      <w:pPr>
        <w:pStyle w:val="H2"/>
        <w:rPr>
          <w:rFonts w:ascii="Times New Roman" w:hint="eastAsia"/>
          <w:lang w:val="en-US"/>
        </w:rPr>
      </w:pPr>
      <w:r>
        <w:rPr>
          <w:rFonts w:ascii="Times New Roman" w:hint="eastAsia"/>
          <w:lang w:val="en-US"/>
        </w:rPr>
        <w:t>刑法规定和犯罪统计</w:t>
      </w:r>
    </w:p>
    <w:p w:rsidR="00CE1FDA" w:rsidRDefault="00CE1FDA" w:rsidP="00AC01AA">
      <w:pPr>
        <w:spacing w:after="240" w:line="360" w:lineRule="exact"/>
        <w:ind w:firstLineChars="200" w:firstLine="31680"/>
        <w:rPr>
          <w:rFonts w:hint="eastAsia"/>
        </w:rPr>
      </w:pPr>
      <w:r>
        <w:rPr>
          <w:rFonts w:hint="eastAsia"/>
        </w:rPr>
        <w:t>在侵害自由和人的尊严的犯罪（《刑法典》第</w:t>
      </w:r>
      <w:r>
        <w:rPr>
          <w:rFonts w:hint="eastAsia"/>
        </w:rPr>
        <w:t>175/B</w:t>
      </w:r>
      <w:r>
        <w:rPr>
          <w:rFonts w:hint="eastAsia"/>
        </w:rPr>
        <w:t>条）中，</w:t>
      </w:r>
      <w:r>
        <w:rPr>
          <w:rStyle w:val="FootnoteReference"/>
        </w:rPr>
        <w:footnoteReference w:id="15"/>
      </w:r>
      <w:r>
        <w:rPr>
          <w:rFonts w:hint="eastAsia"/>
        </w:rPr>
        <w:t>对《刑法典》做了修正的</w:t>
      </w:r>
      <w:r>
        <w:rPr>
          <w:rFonts w:ascii="KaiTi_GB2312" w:eastAsia="KaiTi_GB2312" w:hint="eastAsia"/>
          <w:color w:val="0000FF"/>
        </w:rPr>
        <w:t>1998年第LXXXVII号法案</w:t>
      </w:r>
      <w:r>
        <w:rPr>
          <w:rFonts w:hint="eastAsia"/>
        </w:rPr>
        <w:t>首先把贩卖人口的犯罪行为定为单独的犯罪行为。</w:t>
      </w:r>
      <w:r>
        <w:rPr>
          <w:rStyle w:val="FootnoteReference"/>
        </w:rPr>
        <w:footnoteReference w:id="16"/>
      </w:r>
      <w:r>
        <w:rPr>
          <w:rFonts w:hint="eastAsia"/>
        </w:rPr>
        <w:t>自</w:t>
      </w:r>
      <w:r>
        <w:rPr>
          <w:rFonts w:hint="eastAsia"/>
        </w:rPr>
        <w:t>2002</w:t>
      </w:r>
      <w:r>
        <w:rPr>
          <w:rFonts w:hint="eastAsia"/>
        </w:rPr>
        <w:t>年</w:t>
      </w:r>
      <w:r>
        <w:rPr>
          <w:rFonts w:hint="eastAsia"/>
        </w:rPr>
        <w:t>4</w:t>
      </w:r>
      <w:r>
        <w:rPr>
          <w:rFonts w:hint="eastAsia"/>
        </w:rPr>
        <w:t>月</w:t>
      </w:r>
      <w:r>
        <w:rPr>
          <w:rFonts w:hint="eastAsia"/>
        </w:rPr>
        <w:t>1</w:t>
      </w:r>
      <w:r>
        <w:rPr>
          <w:rFonts w:hint="eastAsia"/>
        </w:rPr>
        <w:t>日以来，某些犯罪行为的定义已经修改，包括人口贩卖和色情制品条例（《刑法典》第</w:t>
      </w:r>
      <w:r>
        <w:rPr>
          <w:rFonts w:hint="eastAsia"/>
        </w:rPr>
        <w:t>175/B</w:t>
      </w:r>
      <w:r>
        <w:rPr>
          <w:rFonts w:hint="eastAsia"/>
        </w:rPr>
        <w:t>条）。这些修正符合《</w:t>
      </w:r>
      <w:r>
        <w:t>联合国打击跨国有组织犯罪公约关于预防、禁止和惩治贩运人口特别是妇女和儿童行为的补充议定书</w:t>
      </w:r>
      <w:r>
        <w:rPr>
          <w:rFonts w:hint="eastAsia"/>
        </w:rPr>
        <w:t>》各项规定。此类严重案件要分别处以</w:t>
      </w:r>
      <w:r>
        <w:rPr>
          <w:rFonts w:hint="eastAsia"/>
        </w:rPr>
        <w:t>1-5</w:t>
      </w:r>
      <w:r>
        <w:rPr>
          <w:rFonts w:hint="eastAsia"/>
        </w:rPr>
        <w:t>年、</w:t>
      </w:r>
      <w:r>
        <w:rPr>
          <w:rFonts w:hint="eastAsia"/>
        </w:rPr>
        <w:t>2-8</w:t>
      </w:r>
      <w:r>
        <w:rPr>
          <w:rFonts w:hint="eastAsia"/>
        </w:rPr>
        <w:t>年、</w:t>
      </w:r>
      <w:r>
        <w:rPr>
          <w:rFonts w:hint="eastAsia"/>
        </w:rPr>
        <w:t>5-10</w:t>
      </w:r>
      <w:r>
        <w:rPr>
          <w:rFonts w:hint="eastAsia"/>
        </w:rPr>
        <w:t>年和</w:t>
      </w:r>
      <w:r>
        <w:rPr>
          <w:rFonts w:hint="eastAsia"/>
        </w:rPr>
        <w:t>5-15</w:t>
      </w:r>
      <w:r>
        <w:rPr>
          <w:rFonts w:hint="eastAsia"/>
        </w:rPr>
        <w:t>年的监禁，或是终身监禁。一项特别重要的规定是（根据第</w:t>
      </w:r>
      <w:r>
        <w:rPr>
          <w:rFonts w:hint="eastAsia"/>
        </w:rPr>
        <w:t>69</w:t>
      </w:r>
      <w:r>
        <w:rPr>
          <w:rFonts w:hint="eastAsia"/>
        </w:rPr>
        <w:t>款），即便是筹划此类犯罪也要受到处罚。</w:t>
      </w:r>
    </w:p>
    <w:p w:rsidR="00CE1FDA" w:rsidRDefault="00CE1FDA" w:rsidP="00AC01AA">
      <w:pPr>
        <w:spacing w:after="240" w:line="360" w:lineRule="exact"/>
        <w:ind w:firstLineChars="200" w:firstLine="31680"/>
        <w:rPr>
          <w:rFonts w:hint="eastAsia"/>
        </w:rPr>
      </w:pPr>
      <w:r>
        <w:rPr>
          <w:rFonts w:hint="eastAsia"/>
        </w:rPr>
        <w:t>除了贩卖人口的犯罪行为之外，“在贩卖人口中执意剥夺被贩卖者应有的人身自由，强迫受害人工作”，这种行为在《刑法典》第</w:t>
      </w:r>
      <w:r>
        <w:rPr>
          <w:rFonts w:hint="eastAsia"/>
        </w:rPr>
        <w:t>175</w:t>
      </w:r>
      <w:r>
        <w:rPr>
          <w:rFonts w:hint="eastAsia"/>
        </w:rPr>
        <w:t>（</w:t>
      </w:r>
      <w:r>
        <w:rPr>
          <w:rFonts w:hint="eastAsia"/>
        </w:rPr>
        <w:t>2</w:t>
      </w:r>
      <w:r>
        <w:rPr>
          <w:rFonts w:hint="eastAsia"/>
        </w:rPr>
        <w:t>）和（</w:t>
      </w:r>
      <w:r>
        <w:rPr>
          <w:rFonts w:hint="eastAsia"/>
        </w:rPr>
        <w:t>3</w:t>
      </w:r>
      <w:r>
        <w:rPr>
          <w:rFonts w:hint="eastAsia"/>
        </w:rPr>
        <w:t>）条中被定为典型的侵犯人身自由的犯罪行为。该罪行要被处以</w:t>
      </w:r>
      <w:r>
        <w:rPr>
          <w:rFonts w:hint="eastAsia"/>
        </w:rPr>
        <w:t>2-8</w:t>
      </w:r>
      <w:r>
        <w:rPr>
          <w:rFonts w:hint="eastAsia"/>
        </w:rPr>
        <w:t>年的监禁。参照第（</w:t>
      </w:r>
      <w:r>
        <w:rPr>
          <w:rFonts w:hint="eastAsia"/>
        </w:rPr>
        <w:t>3</w:t>
      </w:r>
      <w:r>
        <w:rPr>
          <w:rFonts w:hint="eastAsia"/>
        </w:rPr>
        <w:t>）款，如果情节严重，要被处以</w:t>
      </w:r>
      <w:r>
        <w:rPr>
          <w:rFonts w:hint="eastAsia"/>
        </w:rPr>
        <w:t>5-10</w:t>
      </w:r>
      <w:r>
        <w:rPr>
          <w:rFonts w:hint="eastAsia"/>
        </w:rPr>
        <w:t>年监禁，即如果犯罪是针对</w:t>
      </w:r>
      <w:r>
        <w:rPr>
          <w:rFonts w:hint="eastAsia"/>
        </w:rPr>
        <w:t>18</w:t>
      </w:r>
      <w:r>
        <w:rPr>
          <w:rFonts w:hint="eastAsia"/>
        </w:rPr>
        <w:t>岁以下的受害者，为了一个无耻的理由或目的，以正式程序为借口，折磨受害者，导致严重侵犯受害者利益（统计数字，见表</w:t>
      </w:r>
      <w:r>
        <w:rPr>
          <w:rFonts w:hint="eastAsia"/>
        </w:rPr>
        <w:t>6.2</w:t>
      </w:r>
      <w:r>
        <w:rPr>
          <w:rFonts w:hint="eastAsia"/>
        </w:rPr>
        <w:t>）。</w:t>
      </w:r>
    </w:p>
    <w:p w:rsidR="00CE1FDA" w:rsidRDefault="00CE1FDA">
      <w:pPr>
        <w:pStyle w:val="H2"/>
        <w:rPr>
          <w:rFonts w:ascii="Times New Roman" w:hint="eastAsia"/>
          <w:lang w:val="en-US"/>
        </w:rPr>
      </w:pPr>
      <w:r>
        <w:rPr>
          <w:rFonts w:ascii="Times New Roman" w:hint="eastAsia"/>
          <w:lang w:val="en-US"/>
        </w:rPr>
        <w:t>受害者的权利、受害者的保护和刑事诉讼中证人保护</w:t>
      </w:r>
    </w:p>
    <w:p w:rsidR="00CE1FDA" w:rsidRDefault="00CE1FDA" w:rsidP="00AC01AA">
      <w:pPr>
        <w:spacing w:after="240" w:line="360" w:lineRule="exact"/>
        <w:ind w:firstLineChars="200" w:firstLine="31680"/>
        <w:rPr>
          <w:rFonts w:hint="eastAsia"/>
        </w:rPr>
      </w:pPr>
      <w:r>
        <w:rPr>
          <w:rFonts w:hint="eastAsia"/>
        </w:rPr>
        <w:t>近几年，在保护和支助人口贩卖的受害者方面已采取了大量步骤。这种积极的变革一部分在总体保护受害者的框架中得以实施，一部分是有针对性地实施，重点是人口贩卖的受害者。</w:t>
      </w:r>
    </w:p>
    <w:p w:rsidR="00CE1FDA" w:rsidRDefault="00CE1FDA" w:rsidP="00AC01AA">
      <w:pPr>
        <w:spacing w:after="240" w:line="360" w:lineRule="exact"/>
        <w:ind w:firstLineChars="200" w:firstLine="31680"/>
        <w:rPr>
          <w:rFonts w:hint="eastAsia"/>
        </w:rPr>
      </w:pPr>
      <w:r>
        <w:rPr>
          <w:rFonts w:hint="eastAsia"/>
        </w:rPr>
        <w:t>最近十年中，对拓宽受害者的权利范围、行使权利以及保护受害者和证人越来越受到重视。根据</w:t>
      </w:r>
      <w:r>
        <w:rPr>
          <w:rFonts w:ascii="KaiTi_GB2312" w:eastAsia="KaiTi_GB2312" w:hint="eastAsia"/>
          <w:color w:val="0000FF"/>
        </w:rPr>
        <w:t>关于刑事诉讼的1998年第XIX号单一法案</w:t>
      </w:r>
      <w:r>
        <w:rPr>
          <w:rFonts w:hint="eastAsia"/>
        </w:rPr>
        <w:t>及其修正案，犯罪受害者在刑事诉讼中享有较为广泛的权利。特别需要提及的是替代民事诉讼制度的重新引入，</w:t>
      </w:r>
      <w:r>
        <w:rPr>
          <w:rFonts w:ascii="KaiTi_GB2312" w:eastAsia="KaiTi_GB2312" w:hint="eastAsia"/>
          <w:color w:val="0000FF"/>
        </w:rPr>
        <w:t>就代表权而言，还要提及民间组织的作用，这类组织依照该法案第58（3）条为受害者提供保护。按该条规定，如果公共事业组织法所涉及的公共事业组织之建立，是为了代表某些受害群体的利益，则这类组织在诉讼中也可代表受害者</w:t>
      </w:r>
      <w:r>
        <w:rPr>
          <w:rFonts w:hint="eastAsia"/>
        </w:rPr>
        <w:t>。</w:t>
      </w:r>
    </w:p>
    <w:p w:rsidR="00CE1FDA" w:rsidRDefault="00CE1FDA" w:rsidP="00AC01AA">
      <w:pPr>
        <w:spacing w:after="240" w:line="360" w:lineRule="exact"/>
        <w:ind w:firstLineChars="200" w:firstLine="31680"/>
        <w:rPr>
          <w:rFonts w:hint="eastAsia"/>
        </w:rPr>
      </w:pPr>
      <w:r>
        <w:rPr>
          <w:rFonts w:hint="eastAsia"/>
        </w:rPr>
        <w:t>《刑事诉讼法》第</w:t>
      </w:r>
      <w:r>
        <w:rPr>
          <w:rFonts w:hint="eastAsia"/>
        </w:rPr>
        <w:t>95</w:t>
      </w:r>
      <w:r>
        <w:rPr>
          <w:rFonts w:hint="eastAsia"/>
        </w:rPr>
        <w:t>条规定，为了保护证人的生活、人身安全和个人自由，并使证人能够履行其提供证据的义务，以及提供证据时不受恐吓，</w:t>
      </w:r>
      <w:r>
        <w:rPr>
          <w:rFonts w:eastAsia="KaiTi_GB2312" w:hint="eastAsia"/>
          <w:color w:val="0000FF"/>
        </w:rPr>
        <w:t>必须为证人提供保护</w:t>
      </w:r>
      <w:r>
        <w:rPr>
          <w:rFonts w:hint="eastAsia"/>
        </w:rPr>
        <w:t>。一项单独法案——</w:t>
      </w:r>
      <w:r>
        <w:rPr>
          <w:rFonts w:ascii="KaiTi_GB2312" w:eastAsia="KaiTi_GB2312" w:hint="eastAsia"/>
          <w:color w:val="0000FF"/>
        </w:rPr>
        <w:t>2001年第LXXXV号法案</w:t>
      </w:r>
      <w:r>
        <w:rPr>
          <w:rFonts w:hint="eastAsia"/>
        </w:rPr>
        <w:t>——要求</w:t>
      </w:r>
      <w:r>
        <w:rPr>
          <w:rFonts w:hint="eastAsia"/>
        </w:rPr>
        <w:t xml:space="preserve"> </w:t>
      </w:r>
      <w:r>
        <w:rPr>
          <w:rFonts w:hint="eastAsia"/>
        </w:rPr>
        <w:t>“</w:t>
      </w:r>
      <w:r>
        <w:rPr>
          <w:rFonts w:eastAsia="KaiTi_GB2312" w:hint="eastAsia"/>
          <w:color w:val="0000FF"/>
        </w:rPr>
        <w:t>通过保护方案，为参与刑事诉讼和协助司法行政的人提供保护</w:t>
      </w:r>
      <w:r>
        <w:rPr>
          <w:rFonts w:hint="eastAsia"/>
        </w:rPr>
        <w:t>”。保护“可在刑事诉讼期间，甚至是诉讼结束后适用”。</w:t>
      </w:r>
    </w:p>
    <w:p w:rsidR="00CE1FDA" w:rsidRDefault="00CE1FDA">
      <w:pPr>
        <w:pStyle w:val="H2"/>
        <w:rPr>
          <w:rFonts w:ascii="Times New Roman" w:hint="eastAsia"/>
          <w:lang w:val="en-US"/>
        </w:rPr>
      </w:pPr>
      <w:r>
        <w:rPr>
          <w:rFonts w:ascii="Times New Roman" w:hint="eastAsia"/>
          <w:lang w:val="en-US"/>
        </w:rPr>
        <w:t>协助受害者，减轻损害</w:t>
      </w:r>
    </w:p>
    <w:p w:rsidR="00CE1FDA" w:rsidRDefault="00CE1FDA" w:rsidP="00AC01AA">
      <w:pPr>
        <w:spacing w:after="240" w:line="360" w:lineRule="exact"/>
        <w:ind w:firstLineChars="200" w:firstLine="31680"/>
        <w:rPr>
          <w:rFonts w:hint="eastAsia"/>
        </w:rPr>
      </w:pPr>
      <w:r>
        <w:rPr>
          <w:rFonts w:ascii="KaiTi_GB2312" w:eastAsia="KaiTi_GB2312" w:hint="eastAsia"/>
          <w:color w:val="0000FF"/>
        </w:rPr>
        <w:t>2005年第CXXXV号法案</w:t>
      </w:r>
      <w:r>
        <w:rPr>
          <w:rFonts w:hint="eastAsia"/>
        </w:rPr>
        <w:t>要求协助犯罪受害人并减轻受损状况，该法案把人口贩卖的受害者明确归入它所涵盖的受害者之列。</w:t>
      </w:r>
    </w:p>
    <w:p w:rsidR="00CE1FDA" w:rsidRDefault="00CE1FDA" w:rsidP="00AC01AA">
      <w:pPr>
        <w:spacing w:after="240" w:line="360" w:lineRule="exact"/>
        <w:ind w:firstLineChars="200" w:firstLine="31680"/>
        <w:rPr>
          <w:rFonts w:hint="eastAsia"/>
        </w:rPr>
      </w:pPr>
      <w:r>
        <w:rPr>
          <w:rFonts w:hint="eastAsia"/>
        </w:rPr>
        <w:t>（</w:t>
      </w:r>
      <w:r>
        <w:rPr>
          <w:rFonts w:hint="eastAsia"/>
        </w:rPr>
        <w:t>a</w:t>
      </w:r>
      <w:r>
        <w:rPr>
          <w:rFonts w:hint="eastAsia"/>
        </w:rPr>
        <w:t>）</w:t>
      </w:r>
      <w:r>
        <w:rPr>
          <w:rFonts w:hint="eastAsia"/>
        </w:rPr>
        <w:t xml:space="preserve"> </w:t>
      </w:r>
      <w:r>
        <w:rPr>
          <w:rFonts w:hint="eastAsia"/>
        </w:rPr>
        <w:t>在以协助受害者的方式提供的服务中，国家促进加强受害者的利益，提供及时的财政援助和专门的法律援助。</w:t>
      </w:r>
    </w:p>
    <w:p w:rsidR="00CE1FDA" w:rsidRDefault="00CE1FDA" w:rsidP="00AC01AA">
      <w:pPr>
        <w:spacing w:after="240" w:line="360" w:lineRule="exact"/>
        <w:ind w:firstLineChars="200" w:firstLine="31680"/>
        <w:rPr>
          <w:rFonts w:hint="eastAsia"/>
        </w:rPr>
      </w:pPr>
      <w:r>
        <w:rPr>
          <w:rFonts w:hint="eastAsia"/>
        </w:rPr>
        <w:t>在进一步</w:t>
      </w:r>
      <w:r>
        <w:rPr>
          <w:rFonts w:eastAsia="KaiTi_GB2312" w:hint="eastAsia"/>
          <w:color w:val="0000FF"/>
        </w:rPr>
        <w:t>加强受害者利益</w:t>
      </w:r>
      <w:r>
        <w:rPr>
          <w:rFonts w:hint="eastAsia"/>
        </w:rPr>
        <w:t>的框架内，司法厅的受害者援助服务部帮助受害者行使他们的基本权利，并获得健康、健康保险和社会服务。</w:t>
      </w:r>
    </w:p>
    <w:p w:rsidR="00CE1FDA" w:rsidRDefault="00CE1FDA" w:rsidP="00AC01AA">
      <w:pPr>
        <w:spacing w:after="240" w:line="360" w:lineRule="exact"/>
        <w:ind w:firstLineChars="200" w:firstLine="31680"/>
        <w:rPr>
          <w:rFonts w:hint="eastAsia"/>
        </w:rPr>
      </w:pPr>
      <w:r>
        <w:rPr>
          <w:rFonts w:hint="eastAsia"/>
        </w:rPr>
        <w:t>在匈牙利，规定为受害者提供的援助是一种</w:t>
      </w:r>
      <w:r>
        <w:rPr>
          <w:rFonts w:eastAsia="KaiTi_GB2312" w:hint="eastAsia"/>
          <w:color w:val="0000FF"/>
        </w:rPr>
        <w:t>及时的经济救助</w:t>
      </w:r>
      <w:r>
        <w:rPr>
          <w:rFonts w:hint="eastAsia"/>
        </w:rPr>
        <w:t>，包含了与衣食住行、健康和丧葬有关的临时费用，提供给那些无力支付这些费用的受害者。</w:t>
      </w:r>
    </w:p>
    <w:p w:rsidR="00CE1FDA" w:rsidRDefault="00CE1FDA" w:rsidP="00AC01AA">
      <w:pPr>
        <w:spacing w:after="240" w:line="360" w:lineRule="exact"/>
        <w:ind w:firstLineChars="200" w:firstLine="31680"/>
        <w:rPr>
          <w:rFonts w:hint="eastAsia"/>
        </w:rPr>
      </w:pPr>
      <w:r>
        <w:rPr>
          <w:rFonts w:hint="eastAsia"/>
        </w:rPr>
        <w:t>在</w:t>
      </w:r>
      <w:r>
        <w:rPr>
          <w:rFonts w:eastAsia="KaiTi_GB2312" w:hint="eastAsia"/>
          <w:color w:val="0000FF"/>
        </w:rPr>
        <w:t>专门的法律援</w:t>
      </w:r>
      <w:r>
        <w:rPr>
          <w:rFonts w:hint="eastAsia"/>
        </w:rPr>
        <w:t>助框架内，国家为关于法律援助的</w:t>
      </w:r>
      <w:r>
        <w:rPr>
          <w:rFonts w:ascii="KaiTi_GB2312" w:eastAsia="KaiTi_GB2312" w:hint="eastAsia"/>
          <w:color w:val="0000FF"/>
        </w:rPr>
        <w:t>2003年第LXXX号法案</w:t>
      </w:r>
      <w:r>
        <w:rPr>
          <w:rFonts w:hint="eastAsia"/>
        </w:rPr>
        <w:t>规定的受害者提供援助。</w:t>
      </w:r>
    </w:p>
    <w:p w:rsidR="00CE1FDA" w:rsidRDefault="00CE1FDA" w:rsidP="00AC01AA">
      <w:pPr>
        <w:spacing w:after="240" w:line="360" w:lineRule="exact"/>
        <w:ind w:firstLineChars="200" w:firstLine="31680"/>
        <w:rPr>
          <w:rFonts w:hint="eastAsia"/>
        </w:rPr>
      </w:pPr>
      <w:r>
        <w:rPr>
          <w:rFonts w:hint="eastAsia"/>
        </w:rPr>
        <w:t>（</w:t>
      </w:r>
      <w:r>
        <w:rPr>
          <w:rFonts w:hint="eastAsia"/>
        </w:rPr>
        <w:t>b</w:t>
      </w:r>
      <w:r>
        <w:rPr>
          <w:rFonts w:hint="eastAsia"/>
        </w:rPr>
        <w:t>）</w:t>
      </w:r>
      <w:r>
        <w:rPr>
          <w:rFonts w:hint="eastAsia"/>
        </w:rPr>
        <w:t xml:space="preserve"> </w:t>
      </w:r>
      <w:r>
        <w:rPr>
          <w:rFonts w:hint="eastAsia"/>
        </w:rPr>
        <w:t>如果受害者受到该法所述蓄意暴力犯罪行为的侵害，其人身安全和健康因此受到严重损伤，则必要时，受害者也有权根据该法要求</w:t>
      </w:r>
      <w:r>
        <w:rPr>
          <w:rFonts w:eastAsia="KaiTi_GB2312" w:hint="eastAsia"/>
          <w:color w:val="0000FF"/>
        </w:rPr>
        <w:t>减轻损害</w:t>
      </w:r>
      <w:r>
        <w:rPr>
          <w:rFonts w:hint="eastAsia"/>
        </w:rPr>
        <w:t>。</w:t>
      </w:r>
    </w:p>
    <w:p w:rsidR="00CE1FDA" w:rsidRDefault="00CE1FDA" w:rsidP="00AC01AA">
      <w:pPr>
        <w:spacing w:after="240" w:line="360" w:lineRule="exact"/>
        <w:ind w:firstLineChars="200" w:firstLine="31680"/>
        <w:rPr>
          <w:rFonts w:hint="eastAsia"/>
        </w:rPr>
      </w:pPr>
      <w:r>
        <w:rPr>
          <w:rFonts w:hint="eastAsia"/>
        </w:rPr>
        <w:t>人口贩卖的受害者也受到许多非政府组织的援助。大量不同形式的援助包括为受害者提供安全住所。很长时间以来，现有援助举措中一直没有包括设立庇护所，为人口贩卖的受害者提供长期照顾和安全保护。这一缺陷去年得到解决。自</w:t>
      </w:r>
      <w:r>
        <w:rPr>
          <w:rFonts w:hint="eastAsia"/>
        </w:rPr>
        <w:t>2005</w:t>
      </w:r>
      <w:r>
        <w:rPr>
          <w:rFonts w:hint="eastAsia"/>
        </w:rPr>
        <w:t>年</w:t>
      </w:r>
      <w:r>
        <w:rPr>
          <w:rFonts w:hint="eastAsia"/>
        </w:rPr>
        <w:t>3</w:t>
      </w:r>
      <w:r>
        <w:rPr>
          <w:rFonts w:hint="eastAsia"/>
        </w:rPr>
        <w:t>月起，面向人口贩卖受害者的庇护所开始运作，政府为庇护所提供了一块地皮，由四个单独的建筑组成。该庇护所由一个非政府组织经管，其数据按机密资料对待。</w:t>
      </w:r>
    </w:p>
    <w:p w:rsidR="00CE1FDA" w:rsidRDefault="00CE1FDA" w:rsidP="00AC01AA">
      <w:pPr>
        <w:spacing w:after="240" w:line="360" w:lineRule="exact"/>
        <w:ind w:firstLineChars="200" w:firstLine="31680"/>
        <w:rPr>
          <w:rFonts w:hint="eastAsia"/>
        </w:rPr>
      </w:pPr>
      <w:r>
        <w:rPr>
          <w:rFonts w:hint="eastAsia"/>
        </w:rPr>
        <w:t>人口贩卖受害者要想进入庇护所，可以得到警察、入境移民管理局、难民管理机构、领事馆以及青年、家庭、社会事务和机会平等部开设的电话服务热线帮助。国家危机管理和电话服务局开通了一条电话线，在匈牙利任何地方全天</w:t>
      </w:r>
      <w:r>
        <w:rPr>
          <w:rFonts w:hint="eastAsia"/>
        </w:rPr>
        <w:t>24</w:t>
      </w:r>
      <w:r>
        <w:rPr>
          <w:rFonts w:hint="eastAsia"/>
        </w:rPr>
        <w:t>小时提供免费服务，它在该部的监督下运作，聘用会讲多种外语的专业人士（社会工作者、律师、心理学家）。此外，</w:t>
      </w:r>
      <w:r>
        <w:rPr>
          <w:rFonts w:hint="eastAsia"/>
        </w:rPr>
        <w:t>NANE</w:t>
      </w:r>
      <w:r>
        <w:rPr>
          <w:rFonts w:hint="eastAsia"/>
        </w:rPr>
        <w:t>协会（妇女为自身利益抵制暴力）和</w:t>
      </w:r>
      <w:r>
        <w:rPr>
          <w:rFonts w:hint="eastAsia"/>
        </w:rPr>
        <w:t>NANE-IOM</w:t>
      </w:r>
      <w:r>
        <w:rPr>
          <w:rFonts w:hint="eastAsia"/>
        </w:rPr>
        <w:t>也为遭受暴力的妇女包括人口贩卖受害者提供电话服务。</w:t>
      </w:r>
    </w:p>
    <w:p w:rsidR="00CE1FDA" w:rsidRDefault="00CE1FDA">
      <w:pPr>
        <w:pStyle w:val="H2"/>
        <w:rPr>
          <w:rFonts w:ascii="Times New Roman" w:hint="eastAsia"/>
          <w:lang w:val="en-US"/>
        </w:rPr>
      </w:pPr>
      <w:r>
        <w:rPr>
          <w:rFonts w:ascii="Times New Roman" w:hint="eastAsia"/>
          <w:lang w:val="en-US"/>
        </w:rPr>
        <w:t>行动计划</w:t>
      </w:r>
    </w:p>
    <w:p w:rsidR="00CE1FDA" w:rsidRDefault="00CE1FDA" w:rsidP="00AC01AA">
      <w:pPr>
        <w:spacing w:after="240" w:line="360" w:lineRule="exact"/>
        <w:ind w:firstLineChars="200" w:firstLine="31680"/>
        <w:rPr>
          <w:rFonts w:hint="eastAsia"/>
        </w:rPr>
      </w:pPr>
      <w:r>
        <w:rPr>
          <w:rFonts w:hint="eastAsia"/>
        </w:rPr>
        <w:t>内政部制定了一项“打击贩卖人口行动计划”，为执法部门制定了具体任务，以便：</w:t>
      </w:r>
    </w:p>
    <w:p w:rsidR="00CE1FDA" w:rsidRDefault="00CE1FDA">
      <w:pPr>
        <w:numPr>
          <w:ilvl w:val="0"/>
          <w:numId w:val="25"/>
        </w:numPr>
        <w:spacing w:after="240" w:line="360" w:lineRule="exact"/>
        <w:rPr>
          <w:rFonts w:hint="eastAsia"/>
        </w:rPr>
      </w:pPr>
      <w:r>
        <w:rPr>
          <w:rFonts w:hint="eastAsia"/>
        </w:rPr>
        <w:t>进行预防，</w:t>
      </w:r>
    </w:p>
    <w:p w:rsidR="00CE1FDA" w:rsidRDefault="00CE1FDA">
      <w:pPr>
        <w:numPr>
          <w:ilvl w:val="0"/>
          <w:numId w:val="25"/>
        </w:numPr>
        <w:spacing w:after="240" w:line="360" w:lineRule="exact"/>
        <w:rPr>
          <w:rFonts w:hint="eastAsia"/>
        </w:rPr>
      </w:pPr>
      <w:r>
        <w:rPr>
          <w:rFonts w:hint="eastAsia"/>
        </w:rPr>
        <w:t>提高打击贩卖人口的效率，以及</w:t>
      </w:r>
    </w:p>
    <w:p w:rsidR="00CE1FDA" w:rsidRDefault="00CE1FDA">
      <w:pPr>
        <w:numPr>
          <w:ilvl w:val="0"/>
          <w:numId w:val="25"/>
        </w:numPr>
        <w:spacing w:after="240" w:line="360" w:lineRule="exact"/>
        <w:rPr>
          <w:rFonts w:hint="eastAsia"/>
        </w:rPr>
      </w:pPr>
      <w:r>
        <w:rPr>
          <w:rFonts w:hint="eastAsia"/>
        </w:rPr>
        <w:t>保护受害者。</w:t>
      </w:r>
    </w:p>
    <w:p w:rsidR="00CE1FDA" w:rsidRDefault="00CE1FDA" w:rsidP="00AC01AA">
      <w:pPr>
        <w:spacing w:after="240" w:line="360" w:lineRule="exact"/>
        <w:ind w:firstLineChars="200" w:firstLine="31680"/>
        <w:rPr>
          <w:rFonts w:hint="eastAsia"/>
        </w:rPr>
      </w:pPr>
      <w:r>
        <w:rPr>
          <w:rFonts w:hint="eastAsia"/>
        </w:rPr>
        <w:t>该行动计划涉及能力建设培训和坚持高技术</w:t>
      </w:r>
      <w:r>
        <w:rPr>
          <w:rFonts w:hint="eastAsia"/>
        </w:rPr>
        <w:t>/</w:t>
      </w:r>
      <w:r>
        <w:rPr>
          <w:rFonts w:hint="eastAsia"/>
        </w:rPr>
        <w:t>专业标准。培训方案包括人权问题和儿童权利。有效打击人口贩卖活动所要求的一切要素必须纳入警察和其他参与刑事调查的机构培训当中。一项必不可少的要求是，受伤者须按重罪受害者对待，须得到保护，以免反复受害。</w:t>
      </w:r>
    </w:p>
    <w:p w:rsidR="00CE1FDA" w:rsidRDefault="00CE1FDA" w:rsidP="00AC01AA">
      <w:pPr>
        <w:spacing w:after="240" w:line="360" w:lineRule="exact"/>
        <w:ind w:firstLineChars="200" w:firstLine="31680"/>
        <w:rPr>
          <w:rFonts w:hint="eastAsia"/>
        </w:rPr>
      </w:pPr>
      <w:r>
        <w:rPr>
          <w:rFonts w:hint="eastAsia"/>
        </w:rPr>
        <w:t>在国家调查局框架内成立了一个特别刑事调查组，专门负责调查与贩卖人口有关的罪行。这有利于知识和专业的扩展，确保该领域所积累的经验的收集与利用。</w:t>
      </w:r>
    </w:p>
    <w:p w:rsidR="00CE1FDA" w:rsidRDefault="00CE1FDA">
      <w:pPr>
        <w:pStyle w:val="H2"/>
        <w:rPr>
          <w:rFonts w:ascii="Times New Roman" w:hint="eastAsia"/>
          <w:lang w:val="en-US"/>
        </w:rPr>
      </w:pPr>
      <w:r>
        <w:rPr>
          <w:rFonts w:ascii="Times New Roman" w:hint="eastAsia"/>
          <w:lang w:val="en-US"/>
        </w:rPr>
        <w:t>提高认识运动和培训班</w:t>
      </w:r>
    </w:p>
    <w:p w:rsidR="00CE1FDA" w:rsidRDefault="00CE1FDA" w:rsidP="00AC01AA">
      <w:pPr>
        <w:spacing w:after="240" w:line="380" w:lineRule="exact"/>
        <w:ind w:firstLineChars="200" w:firstLine="31680"/>
        <w:rPr>
          <w:rFonts w:hint="eastAsia"/>
        </w:rPr>
      </w:pPr>
      <w:r>
        <w:rPr>
          <w:rFonts w:hint="eastAsia"/>
        </w:rPr>
        <w:t>近几年来，</w:t>
      </w:r>
      <w:r>
        <w:rPr>
          <w:rFonts w:hint="eastAsia"/>
        </w:rPr>
        <w:t>IOM</w:t>
      </w:r>
      <w:r>
        <w:rPr>
          <w:rFonts w:eastAsia="KaiTi_GB2312" w:hint="eastAsia"/>
          <w:color w:val="0000FF"/>
        </w:rPr>
        <w:t>组织了多次提高认识运动，开设了数期培训班</w:t>
      </w:r>
      <w:r>
        <w:rPr>
          <w:rFonts w:hint="eastAsia"/>
        </w:rPr>
        <w:t>，以加强打击人口贩卖活动的力度。匈牙利内政部和外交部也参与了</w:t>
      </w:r>
      <w:r>
        <w:rPr>
          <w:rFonts w:hint="eastAsia"/>
        </w:rPr>
        <w:t>2005</w:t>
      </w:r>
      <w:r>
        <w:rPr>
          <w:rFonts w:hint="eastAsia"/>
        </w:rPr>
        <w:t>年春季启动的活动，意大利内政部提供了财政援助。该活动还印发了传单，在电视上和电影院播放了公益广告，印制了免费的《每周方案手册》，还在一个流行杂志上刊载了活动材料，目标群体是小学高年级学生和中学生。国际移</w:t>
      </w:r>
      <w:r>
        <w:rPr>
          <w:rFonts w:ascii="SimSun" w:hAnsi="SimSun" w:hint="eastAsia"/>
        </w:rPr>
        <w:t>徙</w:t>
      </w:r>
      <w:r>
        <w:rPr>
          <w:rFonts w:hint="eastAsia"/>
        </w:rPr>
        <w:t>组织——依靠匈牙利政府提供的专业援助——为执法机构、检察官、媒体和民间组织举行所谓的“培训培训者”课程。此外，出版了一套四卷关于人口贩卖问题的手册（一般性知识和方法、执法机构、司法领域的工作人员和非政府组织的工作人员），制作了一个</w:t>
      </w:r>
      <w:r>
        <w:rPr>
          <w:rFonts w:hint="eastAsia"/>
        </w:rPr>
        <w:t>CD-ROM</w:t>
      </w:r>
      <w:r>
        <w:rPr>
          <w:rFonts w:hint="eastAsia"/>
        </w:rPr>
        <w:t>，内容包括相关的法律法规、国内国际文件以及向受害者提供援助的主要非政府组织的数据资料，目的在于进行培训和推广培训。</w:t>
      </w:r>
    </w:p>
    <w:p w:rsidR="00CE1FDA" w:rsidRDefault="00CE1FDA">
      <w:pPr>
        <w:pStyle w:val="H2"/>
        <w:spacing w:line="380" w:lineRule="exact"/>
        <w:rPr>
          <w:rFonts w:ascii="Times New Roman" w:hint="eastAsia"/>
          <w:lang w:val="en-US"/>
        </w:rPr>
      </w:pPr>
      <w:r>
        <w:rPr>
          <w:rFonts w:ascii="Times New Roman" w:hint="eastAsia"/>
          <w:lang w:val="en-US"/>
        </w:rPr>
        <w:t>科学研究和会议</w:t>
      </w:r>
    </w:p>
    <w:p w:rsidR="00CE1FDA" w:rsidRDefault="00CE1FDA" w:rsidP="00AC01AA">
      <w:pPr>
        <w:spacing w:after="240" w:line="380" w:lineRule="exact"/>
        <w:ind w:firstLineChars="200" w:firstLine="31680"/>
        <w:rPr>
          <w:rFonts w:hint="eastAsia"/>
        </w:rPr>
      </w:pPr>
      <w:r>
        <w:rPr>
          <w:rFonts w:hint="eastAsia"/>
        </w:rPr>
        <w:t>在科学研究项目中，国家犯罪学研究所于</w:t>
      </w:r>
      <w:r>
        <w:rPr>
          <w:rFonts w:hint="eastAsia"/>
        </w:rPr>
        <w:t>2003</w:t>
      </w:r>
      <w:r>
        <w:rPr>
          <w:rFonts w:hint="eastAsia"/>
        </w:rPr>
        <w:t>年和</w:t>
      </w:r>
      <w:r>
        <w:rPr>
          <w:rFonts w:hint="eastAsia"/>
        </w:rPr>
        <w:t>2005</w:t>
      </w:r>
      <w:r>
        <w:rPr>
          <w:rFonts w:hint="eastAsia"/>
        </w:rPr>
        <w:t>年分别对人口贩卖和人口偷运进行了经验性调查。匈牙利科学研究基金的研究方案还包括一项以国际人口贩卖问题为重点的方案（</w:t>
      </w:r>
      <w:r>
        <w:rPr>
          <w:rFonts w:hint="eastAsia"/>
        </w:rPr>
        <w:t>2004-2007</w:t>
      </w:r>
      <w:r>
        <w:rPr>
          <w:rFonts w:hint="eastAsia"/>
        </w:rPr>
        <w:t>年），研究期结束时，匈牙利科学院法学研究所将编写一本专著，作为研究方案的收尾。贩卖人口问题近几年也被列入在匈牙利举办的很多科学会议和其他活动的议程。</w:t>
      </w:r>
    </w:p>
    <w:p w:rsidR="00CE1FDA" w:rsidRDefault="00CE1FDA" w:rsidP="00AC01AA">
      <w:pPr>
        <w:spacing w:after="240" w:line="380" w:lineRule="exact"/>
        <w:ind w:firstLineChars="200" w:firstLine="31680"/>
        <w:rPr>
          <w:rFonts w:hint="eastAsia"/>
        </w:rPr>
      </w:pPr>
      <w:r>
        <w:rPr>
          <w:rFonts w:hint="eastAsia"/>
        </w:rPr>
        <w:t>第</w:t>
      </w:r>
      <w:r>
        <w:rPr>
          <w:rFonts w:hint="eastAsia"/>
        </w:rPr>
        <w:t>14</w:t>
      </w:r>
      <w:r>
        <w:rPr>
          <w:rFonts w:hint="eastAsia"/>
        </w:rPr>
        <w:t>届刑事犯罪博览会——一个关于安全、预防犯罪、刑事调查、司法行政、灾害保护以及信息技术的国际会议和展览会——是由内政部、检察长办公室、国家检察长协会和安全匈牙利公益基金会于</w:t>
      </w:r>
      <w:r>
        <w:rPr>
          <w:rFonts w:hint="eastAsia"/>
        </w:rPr>
        <w:t>2005</w:t>
      </w:r>
      <w:r>
        <w:rPr>
          <w:rFonts w:hint="eastAsia"/>
        </w:rPr>
        <w:t>年</w:t>
      </w:r>
      <w:r>
        <w:rPr>
          <w:rFonts w:hint="eastAsia"/>
        </w:rPr>
        <w:t>11</w:t>
      </w:r>
      <w:r>
        <w:rPr>
          <w:rFonts w:hint="eastAsia"/>
        </w:rPr>
        <w:t>月联合组织的。一个最重要的主题，是由青年、家庭、社会事务和机会平等部介绍民间部门与政府合作打击人口贩卖活动的经验。</w:t>
      </w:r>
    </w:p>
    <w:p w:rsidR="00CE1FDA" w:rsidRDefault="00CE1FDA">
      <w:pPr>
        <w:pStyle w:val="H2"/>
        <w:rPr>
          <w:rFonts w:hint="eastAsia"/>
          <w:sz w:val="24"/>
          <w:lang w:val="en-US"/>
        </w:rPr>
      </w:pPr>
      <w:r>
        <w:rPr>
          <w:rFonts w:hint="eastAsia"/>
          <w:sz w:val="24"/>
          <w:lang w:val="en-US"/>
        </w:rPr>
        <w:t>第7条：妇女在公共生活中的作用</w:t>
      </w:r>
    </w:p>
    <w:p w:rsidR="00CE1FDA" w:rsidRDefault="00CE1FDA">
      <w:pPr>
        <w:pStyle w:val="H2"/>
        <w:rPr>
          <w:rFonts w:ascii="Times New Roman" w:hint="eastAsia"/>
          <w:lang w:val="en-US"/>
        </w:rPr>
      </w:pPr>
      <w:r>
        <w:rPr>
          <w:rFonts w:ascii="Times New Roman" w:hint="eastAsia"/>
          <w:lang w:val="en-US"/>
        </w:rPr>
        <w:t xml:space="preserve">a.  </w:t>
      </w:r>
      <w:r>
        <w:rPr>
          <w:rFonts w:ascii="Times New Roman" w:hint="eastAsia"/>
          <w:lang w:val="en-US"/>
        </w:rPr>
        <w:t>选举与被选举权</w:t>
      </w:r>
    </w:p>
    <w:p w:rsidR="00CE1FDA" w:rsidRDefault="00CE1FDA" w:rsidP="00AC01AA">
      <w:pPr>
        <w:spacing w:after="240" w:line="360" w:lineRule="exact"/>
        <w:ind w:firstLineChars="200" w:firstLine="31680"/>
        <w:rPr>
          <w:rFonts w:hint="eastAsia"/>
        </w:rPr>
      </w:pPr>
      <w:r>
        <w:rPr>
          <w:rFonts w:hint="eastAsia"/>
        </w:rPr>
        <w:t>被选举权规则以及通常情况下的选举规则自上次报告以来没有什么变化。妇女具有普遍的投票权。然而，男女参加国家选举的比例的差距日益加大（表</w:t>
      </w:r>
      <w:r>
        <w:rPr>
          <w:rFonts w:hint="eastAsia"/>
        </w:rPr>
        <w:t>7.1</w:t>
      </w:r>
      <w:r>
        <w:rPr>
          <w:rFonts w:hint="eastAsia"/>
        </w:rPr>
        <w:t>）。当然，该表是以代表样本为基础的（原因是秘密投票）。这些数字表明了</w:t>
      </w:r>
      <w:r>
        <w:rPr>
          <w:rFonts w:hint="eastAsia"/>
        </w:rPr>
        <w:t>1998</w:t>
      </w:r>
      <w:r>
        <w:rPr>
          <w:rFonts w:hint="eastAsia"/>
        </w:rPr>
        <w:t>年投票的男女比例（分别为</w:t>
      </w:r>
      <w:r>
        <w:rPr>
          <w:rFonts w:hint="eastAsia"/>
        </w:rPr>
        <w:t>67.9%</w:t>
      </w:r>
      <w:r>
        <w:rPr>
          <w:rFonts w:hint="eastAsia"/>
        </w:rPr>
        <w:t>和</w:t>
      </w:r>
      <w:r>
        <w:rPr>
          <w:rFonts w:hint="eastAsia"/>
        </w:rPr>
        <w:t>67.4%</w:t>
      </w:r>
      <w:r>
        <w:rPr>
          <w:rFonts w:hint="eastAsia"/>
        </w:rPr>
        <w:t>），但是在</w:t>
      </w:r>
      <w:r>
        <w:rPr>
          <w:rFonts w:hint="eastAsia"/>
        </w:rPr>
        <w:t>2002</w:t>
      </w:r>
      <w:r>
        <w:rPr>
          <w:rFonts w:hint="eastAsia"/>
        </w:rPr>
        <w:t>年，这两个比率之间的差异几乎为</w:t>
      </w:r>
      <w:r>
        <w:rPr>
          <w:rFonts w:hint="eastAsia"/>
        </w:rPr>
        <w:t>3%</w:t>
      </w:r>
      <w:r>
        <w:rPr>
          <w:rFonts w:hint="eastAsia"/>
        </w:rPr>
        <w:t>。除了对政治的关注下降之外，政治氛围发生变化也是一个原因。</w:t>
      </w:r>
    </w:p>
    <w:p w:rsidR="00CE1FDA" w:rsidRDefault="00CE1FDA">
      <w:pPr>
        <w:pStyle w:val="H2"/>
        <w:rPr>
          <w:rFonts w:ascii="Times New Roman" w:hint="eastAsia"/>
          <w:lang w:val="en-US"/>
        </w:rPr>
      </w:pPr>
      <w:r>
        <w:rPr>
          <w:rFonts w:ascii="Times New Roman" w:hint="eastAsia"/>
          <w:lang w:val="en-US"/>
        </w:rPr>
        <w:t>b.</w:t>
      </w:r>
      <w:r>
        <w:rPr>
          <w:rFonts w:ascii="Times New Roman" w:hint="eastAsia"/>
          <w:lang w:val="en-US"/>
        </w:rPr>
        <w:tab/>
        <w:t xml:space="preserve"> </w:t>
      </w:r>
      <w:r>
        <w:rPr>
          <w:rFonts w:ascii="Times New Roman" w:hint="eastAsia"/>
          <w:lang w:val="en-US"/>
        </w:rPr>
        <w:t>参与政府决策</w:t>
      </w:r>
    </w:p>
    <w:p w:rsidR="00CE1FDA" w:rsidRDefault="00CE1FDA" w:rsidP="00AC01AA">
      <w:pPr>
        <w:spacing w:after="240" w:line="340" w:lineRule="exact"/>
        <w:ind w:firstLineChars="200" w:firstLine="31680"/>
        <w:rPr>
          <w:rFonts w:hint="eastAsia"/>
        </w:rPr>
      </w:pPr>
      <w:r>
        <w:rPr>
          <w:rFonts w:hint="eastAsia"/>
        </w:rPr>
        <w:t>关于《公约》第</w:t>
      </w:r>
      <w:r>
        <w:rPr>
          <w:rFonts w:hint="eastAsia"/>
        </w:rPr>
        <w:t>7</w:t>
      </w:r>
      <w:r>
        <w:rPr>
          <w:rFonts w:hint="eastAsia"/>
        </w:rPr>
        <w:t>（</w:t>
      </w:r>
      <w:r>
        <w:rPr>
          <w:rFonts w:hint="eastAsia"/>
        </w:rPr>
        <w:t>b</w:t>
      </w:r>
      <w:r>
        <w:rPr>
          <w:rFonts w:hint="eastAsia"/>
        </w:rPr>
        <w:t>）条，一般性建议（</w:t>
      </w:r>
      <w:r>
        <w:rPr>
          <w:rFonts w:hint="eastAsia"/>
        </w:rPr>
        <w:t>1997</w:t>
      </w:r>
      <w:r>
        <w:rPr>
          <w:rFonts w:hint="eastAsia"/>
        </w:rPr>
        <w:t>年，第</w:t>
      </w:r>
      <w:r>
        <w:rPr>
          <w:rFonts w:hint="eastAsia"/>
        </w:rPr>
        <w:t>29</w:t>
      </w:r>
      <w:r>
        <w:rPr>
          <w:rFonts w:hint="eastAsia"/>
        </w:rPr>
        <w:t>点）规定的一些方法，有助于妇女在政府、公共管理部门和公共机构任职。但是目前，这些方法还没有落实实施。</w:t>
      </w:r>
    </w:p>
    <w:p w:rsidR="00CE1FDA" w:rsidRDefault="00CE1FDA" w:rsidP="00AC01AA">
      <w:pPr>
        <w:spacing w:after="240" w:line="340" w:lineRule="exact"/>
        <w:ind w:firstLineChars="200" w:firstLine="31680"/>
        <w:rPr>
          <w:rFonts w:hint="eastAsia"/>
        </w:rPr>
      </w:pPr>
      <w:r>
        <w:rPr>
          <w:rFonts w:hint="eastAsia"/>
        </w:rPr>
        <w:t>2002</w:t>
      </w:r>
      <w:r>
        <w:rPr>
          <w:rFonts w:hint="eastAsia"/>
        </w:rPr>
        <w:t>年大选后形成了社会主义</w:t>
      </w:r>
      <w:r>
        <w:rPr>
          <w:rFonts w:hint="eastAsia"/>
        </w:rPr>
        <w:t>/</w:t>
      </w:r>
      <w:r>
        <w:rPr>
          <w:rFonts w:hint="eastAsia"/>
        </w:rPr>
        <w:t>自由联盟政府方案，明确要求根据社会、经济和就业政策，尊重并促进实现机会平等，包括男女平等。</w:t>
      </w:r>
    </w:p>
    <w:p w:rsidR="00CE1FDA" w:rsidRDefault="00CE1FDA" w:rsidP="00AC01AA">
      <w:pPr>
        <w:spacing w:after="240" w:line="340" w:lineRule="exact"/>
        <w:ind w:firstLineChars="200" w:firstLine="31680"/>
        <w:rPr>
          <w:rFonts w:hint="eastAsia"/>
        </w:rPr>
      </w:pPr>
      <w:r>
        <w:rPr>
          <w:rFonts w:hint="eastAsia"/>
        </w:rPr>
        <w:t>2002</w:t>
      </w:r>
      <w:r>
        <w:rPr>
          <w:rFonts w:hint="eastAsia"/>
        </w:rPr>
        <w:t>年成立的联盟首先任命了三名女部长：内政部长、卫生、社会与家庭事务部长和环境保护与水管理部长。但是</w:t>
      </w:r>
      <w:r>
        <w:rPr>
          <w:rFonts w:hint="eastAsia"/>
        </w:rPr>
        <w:t>2003</w:t>
      </w:r>
      <w:r>
        <w:rPr>
          <w:rFonts w:hint="eastAsia"/>
        </w:rPr>
        <w:t>年，后两名部长被男子取代，一名不管部女部长被任命负责机会平等问题，因此就有了两名女部长。</w:t>
      </w:r>
      <w:r>
        <w:rPr>
          <w:rFonts w:hint="eastAsia"/>
        </w:rPr>
        <w:t>2004</w:t>
      </w:r>
      <w:r>
        <w:rPr>
          <w:rFonts w:hint="eastAsia"/>
        </w:rPr>
        <w:t>年，该部解散，总理被取代，政府换届，两名部长级职位由妇女担任，这有望保持到本届政府任期结束。除了内政部之外，新成立的青年、家庭、社会事务和机会平等部（负责促进男女平等）也是由女部长领导。负责促进男女平等的国家机构作为该部内的一个部门开展活动。</w:t>
      </w:r>
    </w:p>
    <w:p w:rsidR="00CE1FDA" w:rsidRDefault="00CE1FDA" w:rsidP="00AC01AA">
      <w:pPr>
        <w:spacing w:after="240" w:line="340" w:lineRule="exact"/>
        <w:ind w:firstLineChars="200" w:firstLine="31680"/>
        <w:rPr>
          <w:rFonts w:hint="eastAsia"/>
        </w:rPr>
      </w:pPr>
      <w:r>
        <w:rPr>
          <w:rFonts w:hint="eastAsia"/>
        </w:rPr>
        <w:t>政府最高层的妇女人数很少。政治和行政国务秘书中，妇女人数不超过一两名（表</w:t>
      </w:r>
      <w:r>
        <w:rPr>
          <w:rFonts w:hint="eastAsia"/>
        </w:rPr>
        <w:t>7.2</w:t>
      </w:r>
      <w:r>
        <w:rPr>
          <w:rFonts w:hint="eastAsia"/>
        </w:rPr>
        <w:t>）。副国务秘书中约</w:t>
      </w:r>
      <w:r>
        <w:rPr>
          <w:rFonts w:hint="eastAsia"/>
        </w:rPr>
        <w:t>26%</w:t>
      </w:r>
      <w:r>
        <w:rPr>
          <w:rFonts w:hint="eastAsia"/>
        </w:rPr>
        <w:t>为妇女。在一些部（农业、外事）中，根本没有女高级官员。应强调说明的是，官方登记的数字不完整；没有按性别进行统计。由于改组，国务秘书职位的数量发生了变化，因此，这种计算是以各部工作人员最多时为基础的。如果一名妇女担任一种以上职务，就被认为计算了多次。</w:t>
      </w:r>
    </w:p>
    <w:p w:rsidR="00CE1FDA" w:rsidRDefault="00CE1FDA" w:rsidP="00AC01AA">
      <w:pPr>
        <w:spacing w:after="240" w:line="340" w:lineRule="exact"/>
        <w:ind w:firstLineChars="200" w:firstLine="31680"/>
        <w:rPr>
          <w:rFonts w:hint="eastAsia"/>
        </w:rPr>
      </w:pPr>
      <w:r>
        <w:rPr>
          <w:rFonts w:hint="eastAsia"/>
        </w:rPr>
        <w:t>议会委员会被视为决策一级，因为他们不仅仅在选举和政党层面发挥重要作用，在制定立法时，它还是政府的一个重要合作伙伴。他们的任务包括修改提案和提交新立法提案。</w:t>
      </w:r>
      <w:r>
        <w:rPr>
          <w:rFonts w:hint="eastAsia"/>
        </w:rPr>
        <w:t>1998-2002</w:t>
      </w:r>
      <w:r>
        <w:rPr>
          <w:rFonts w:hint="eastAsia"/>
        </w:rPr>
        <w:t>年，只有一个委员会（人权）由妇女领导，另外五个委员会都是由妇女担任副主席。目前这届政府中，四个委员会的主席均由妇女担任，其中两个只在任期的某段时间担任。九名副主席也是妇女，其中五个任期未满。应该强调的是，委员会和职位的数量也大幅度增加，部分地说明了在这些职位上妇女数量增加的原因。两个任期内全由妇女领导的委员会中，指导委员会在政府决策方面没有发挥重要作用，而另一个，社会和家庭事务委员会被视为妇女公共政策的一个领域。</w:t>
      </w:r>
    </w:p>
    <w:p w:rsidR="00CE1FDA" w:rsidRDefault="00CE1FDA" w:rsidP="00AC01AA">
      <w:pPr>
        <w:spacing w:after="240" w:line="340" w:lineRule="exact"/>
        <w:ind w:firstLineChars="200" w:firstLine="31680"/>
        <w:rPr>
          <w:rFonts w:hint="eastAsia"/>
        </w:rPr>
      </w:pPr>
      <w:r>
        <w:rPr>
          <w:rFonts w:hint="eastAsia"/>
        </w:rPr>
        <w:t>在上一届政府任期内，共有</w:t>
      </w:r>
      <w:r>
        <w:rPr>
          <w:rFonts w:hint="eastAsia"/>
        </w:rPr>
        <w:t>8.3%</w:t>
      </w:r>
      <w:r>
        <w:rPr>
          <w:rFonts w:hint="eastAsia"/>
        </w:rPr>
        <w:t>的议员是妇女，但她们在委员会成员中所占的比例较低。在现政府任期里，共有</w:t>
      </w:r>
      <w:r>
        <w:rPr>
          <w:rFonts w:hint="eastAsia"/>
        </w:rPr>
        <w:t>9.1%</w:t>
      </w:r>
      <w:r>
        <w:rPr>
          <w:rFonts w:hint="eastAsia"/>
        </w:rPr>
        <w:t>的议员是妇女，他们担任了</w:t>
      </w:r>
      <w:r>
        <w:rPr>
          <w:rFonts w:hint="eastAsia"/>
        </w:rPr>
        <w:t>25</w:t>
      </w:r>
      <w:r>
        <w:rPr>
          <w:rFonts w:hint="eastAsia"/>
        </w:rPr>
        <w:t>个常设职位。</w:t>
      </w:r>
    </w:p>
    <w:p w:rsidR="00CE1FDA" w:rsidRDefault="00CE1FDA" w:rsidP="00AC01AA">
      <w:pPr>
        <w:spacing w:after="240" w:line="340" w:lineRule="exact"/>
        <w:ind w:firstLineChars="200" w:firstLine="31680"/>
        <w:rPr>
          <w:rFonts w:hint="eastAsia"/>
        </w:rPr>
      </w:pPr>
      <w:r>
        <w:rPr>
          <w:rFonts w:hint="eastAsia"/>
        </w:rPr>
        <w:t>在地方政府一级，正式数据没有或只有部分地含有男女比例。但是，总数据表明，</w:t>
      </w:r>
      <w:r>
        <w:rPr>
          <w:rFonts w:hint="eastAsia"/>
        </w:rPr>
        <w:t>14.8%</w:t>
      </w:r>
      <w:r>
        <w:rPr>
          <w:rFonts w:hint="eastAsia"/>
        </w:rPr>
        <w:t>的当选市长为妇女。不同类型社区之间存在实质性区别：城市越大，妇女的职位越弱（表</w:t>
      </w:r>
      <w:r>
        <w:rPr>
          <w:rFonts w:hint="eastAsia"/>
        </w:rPr>
        <w:t>7.3</w:t>
      </w:r>
      <w:r>
        <w:rPr>
          <w:rFonts w:hint="eastAsia"/>
        </w:rPr>
        <w:t>）。将</w:t>
      </w:r>
      <w:r>
        <w:rPr>
          <w:rFonts w:hint="eastAsia"/>
        </w:rPr>
        <w:t>1998</w:t>
      </w:r>
      <w:r>
        <w:rPr>
          <w:rFonts w:hint="eastAsia"/>
        </w:rPr>
        <w:t>年和</w:t>
      </w:r>
      <w:r>
        <w:rPr>
          <w:rFonts w:hint="eastAsia"/>
        </w:rPr>
        <w:t>2002</w:t>
      </w:r>
      <w:r>
        <w:rPr>
          <w:rFonts w:hint="eastAsia"/>
        </w:rPr>
        <w:t>年的政府选举数据进行比较显示，妇女当选人数略有增加，但它还表明，妇女在这一级的代表名额不足（表</w:t>
      </w:r>
      <w:r>
        <w:rPr>
          <w:rFonts w:hint="eastAsia"/>
        </w:rPr>
        <w:t>7.4</w:t>
      </w:r>
      <w:r>
        <w:rPr>
          <w:rFonts w:hint="eastAsia"/>
        </w:rPr>
        <w:t>）。</w:t>
      </w:r>
    </w:p>
    <w:p w:rsidR="00CE1FDA" w:rsidRDefault="00CE1FDA">
      <w:pPr>
        <w:pStyle w:val="H2"/>
        <w:rPr>
          <w:rFonts w:ascii="Times New Roman" w:hint="eastAsia"/>
          <w:lang w:val="en-US"/>
        </w:rPr>
      </w:pPr>
      <w:r>
        <w:rPr>
          <w:rFonts w:ascii="Times New Roman" w:hint="eastAsia"/>
          <w:lang w:val="en-US"/>
        </w:rPr>
        <w:t>c.</w:t>
      </w:r>
      <w:r>
        <w:rPr>
          <w:rFonts w:ascii="Times New Roman" w:hint="eastAsia"/>
          <w:lang w:val="en-US"/>
        </w:rPr>
        <w:tab/>
      </w:r>
      <w:r>
        <w:rPr>
          <w:rFonts w:ascii="Times New Roman" w:hint="eastAsia"/>
          <w:lang w:val="en-US"/>
        </w:rPr>
        <w:tab/>
      </w:r>
      <w:r>
        <w:rPr>
          <w:rFonts w:ascii="Times New Roman" w:hint="eastAsia"/>
          <w:lang w:val="en-US"/>
        </w:rPr>
        <w:t>在政治和公共生活中的作用</w:t>
      </w:r>
    </w:p>
    <w:p w:rsidR="00CE1FDA" w:rsidRDefault="00CE1FDA" w:rsidP="00AC01AA">
      <w:pPr>
        <w:spacing w:after="240" w:line="360" w:lineRule="exact"/>
        <w:ind w:firstLineChars="200" w:firstLine="31680"/>
        <w:rPr>
          <w:rFonts w:hint="eastAsia"/>
        </w:rPr>
      </w:pPr>
      <w:r>
        <w:rPr>
          <w:rFonts w:hint="eastAsia"/>
        </w:rPr>
        <w:t>在政党领导中，男子的优势非常明显：议会四个政党中，三个政党最高机关的女成员比例从</w:t>
      </w:r>
      <w:r>
        <w:rPr>
          <w:rFonts w:hint="eastAsia"/>
        </w:rPr>
        <w:t>0%</w:t>
      </w:r>
      <w:r>
        <w:rPr>
          <w:rFonts w:hint="eastAsia"/>
        </w:rPr>
        <w:t>到</w:t>
      </w:r>
      <w:r>
        <w:rPr>
          <w:rFonts w:hint="eastAsia"/>
        </w:rPr>
        <w:t>10%</w:t>
      </w:r>
      <w:r>
        <w:rPr>
          <w:rFonts w:hint="eastAsia"/>
        </w:rPr>
        <w:t>不等。只有匈牙利社会主义党例外，它有一个公认的妇女部门，网络遍布全国。</w:t>
      </w:r>
    </w:p>
    <w:p w:rsidR="00CE1FDA" w:rsidRDefault="00CE1FDA" w:rsidP="00AC01AA">
      <w:pPr>
        <w:spacing w:after="240" w:line="360" w:lineRule="exact"/>
        <w:ind w:firstLineChars="200" w:firstLine="31680"/>
        <w:rPr>
          <w:rFonts w:hint="eastAsia"/>
        </w:rPr>
      </w:pPr>
      <w:r>
        <w:rPr>
          <w:rFonts w:hint="eastAsia"/>
        </w:rPr>
        <w:t>自上次报告以来，联合选举制没有改变（个体选民加上地区</w:t>
      </w:r>
      <w:r>
        <w:rPr>
          <w:rFonts w:hint="eastAsia"/>
        </w:rPr>
        <w:t>/</w:t>
      </w:r>
      <w:r>
        <w:rPr>
          <w:rFonts w:hint="eastAsia"/>
        </w:rPr>
        <w:t>全国补偿清单）。</w:t>
      </w:r>
      <w:r>
        <w:rPr>
          <w:rFonts w:hint="eastAsia"/>
        </w:rPr>
        <w:t xml:space="preserve"> </w:t>
      </w:r>
      <w:r>
        <w:rPr>
          <w:rFonts w:hint="eastAsia"/>
        </w:rPr>
        <w:t>妇女候选人的比例很低，但</w:t>
      </w:r>
      <w:r>
        <w:rPr>
          <w:rFonts w:hint="eastAsia"/>
        </w:rPr>
        <w:t>2002</w:t>
      </w:r>
      <w:r>
        <w:rPr>
          <w:rFonts w:hint="eastAsia"/>
        </w:rPr>
        <w:t>年，她们在社会主义党和自由党所占的比例都有增长（表</w:t>
      </w:r>
      <w:r>
        <w:rPr>
          <w:rFonts w:hint="eastAsia"/>
        </w:rPr>
        <w:t>7.5</w:t>
      </w:r>
      <w:r>
        <w:rPr>
          <w:rFonts w:hint="eastAsia"/>
        </w:rPr>
        <w:t>）。然而，进入政党候选人名单上的妇女能否在选举中获胜还受其所任职位的影响（表</w:t>
      </w:r>
      <w:r>
        <w:rPr>
          <w:rFonts w:hint="eastAsia"/>
        </w:rPr>
        <w:t>7.6</w:t>
      </w:r>
      <w:r>
        <w:rPr>
          <w:rFonts w:hint="eastAsia"/>
        </w:rPr>
        <w:t>）。</w:t>
      </w:r>
    </w:p>
    <w:p w:rsidR="00CE1FDA" w:rsidRDefault="00CE1FDA" w:rsidP="00AC01AA">
      <w:pPr>
        <w:spacing w:after="240" w:line="360" w:lineRule="exact"/>
        <w:ind w:firstLineChars="200" w:firstLine="31680"/>
        <w:rPr>
          <w:rFonts w:hint="eastAsia"/>
        </w:rPr>
      </w:pPr>
      <w:r>
        <w:rPr>
          <w:rFonts w:hint="eastAsia"/>
        </w:rPr>
        <w:t>选举制度的影响和后果之一就是妇女在议会议员中的比例很小。</w:t>
      </w:r>
      <w:r>
        <w:rPr>
          <w:rFonts w:hint="eastAsia"/>
        </w:rPr>
        <w:t>2002</w:t>
      </w:r>
      <w:r>
        <w:rPr>
          <w:rFonts w:hint="eastAsia"/>
        </w:rPr>
        <w:t>年选举之后，一共只有</w:t>
      </w:r>
      <w:r>
        <w:rPr>
          <w:rFonts w:hint="eastAsia"/>
        </w:rPr>
        <w:t>35</w:t>
      </w:r>
      <w:r>
        <w:rPr>
          <w:rFonts w:hint="eastAsia"/>
        </w:rPr>
        <w:t>名女议会议员（占所有议会议员的</w:t>
      </w:r>
      <w:r>
        <w:rPr>
          <w:rFonts w:hint="eastAsia"/>
        </w:rPr>
        <w:t>9.1%</w:t>
      </w:r>
      <w:r>
        <w:rPr>
          <w:rFonts w:hint="eastAsia"/>
        </w:rPr>
        <w:t>）开始在匈牙利议会工作。</w:t>
      </w:r>
    </w:p>
    <w:p w:rsidR="00CE1FDA" w:rsidRDefault="00CE1FDA" w:rsidP="00AC01AA">
      <w:pPr>
        <w:spacing w:after="240" w:line="360" w:lineRule="exact"/>
        <w:ind w:firstLineChars="200" w:firstLine="31680"/>
        <w:rPr>
          <w:rFonts w:hint="eastAsia"/>
        </w:rPr>
      </w:pPr>
      <w:r>
        <w:rPr>
          <w:rFonts w:hint="eastAsia"/>
        </w:rPr>
        <w:t>欧洲议会是一个新的代表场所。在匈牙利代表团成员中，妇女占</w:t>
      </w:r>
      <w:r>
        <w:rPr>
          <w:rFonts w:hint="eastAsia"/>
        </w:rPr>
        <w:t>37.5%</w:t>
      </w:r>
      <w:r>
        <w:rPr>
          <w:rFonts w:hint="eastAsia"/>
        </w:rPr>
        <w:t>（</w:t>
      </w:r>
      <w:r>
        <w:rPr>
          <w:rFonts w:hint="eastAsia"/>
        </w:rPr>
        <w:t>24</w:t>
      </w:r>
      <w:r>
        <w:rPr>
          <w:rFonts w:hint="eastAsia"/>
        </w:rPr>
        <w:t>人中有</w:t>
      </w:r>
      <w:r>
        <w:rPr>
          <w:rFonts w:hint="eastAsia"/>
        </w:rPr>
        <w:t>9</w:t>
      </w:r>
      <w:r>
        <w:rPr>
          <w:rFonts w:hint="eastAsia"/>
        </w:rPr>
        <w:t>名妇女），高于其他共产党国家的平均数</w:t>
      </w:r>
      <w:r>
        <w:rPr>
          <w:rFonts w:hint="eastAsia"/>
        </w:rPr>
        <w:t>22.8%</w:t>
      </w:r>
      <w:r>
        <w:rPr>
          <w:rFonts w:hint="eastAsia"/>
        </w:rPr>
        <w:t>，也高于资格较老的成员国的</w:t>
      </w:r>
      <w:r>
        <w:rPr>
          <w:rFonts w:hint="eastAsia"/>
        </w:rPr>
        <w:t>32.5%</w:t>
      </w:r>
      <w:r>
        <w:rPr>
          <w:rFonts w:hint="eastAsia"/>
        </w:rPr>
        <w:t>。各政党提名候选人时的战略清楚地表明了它们的意图：社会主义政党只提名名单上因其地位很有可能取胜的女候选人。从选举程序中还可以清楚地看出，欧盟和通常的国际预期对促成男女平等具有积极的影响。</w:t>
      </w:r>
    </w:p>
    <w:p w:rsidR="00CE1FDA" w:rsidRDefault="00CE1FDA">
      <w:pPr>
        <w:pStyle w:val="H2"/>
        <w:rPr>
          <w:rFonts w:hint="eastAsia"/>
          <w:sz w:val="24"/>
          <w:lang w:val="en-US"/>
        </w:rPr>
      </w:pPr>
      <w:r>
        <w:rPr>
          <w:rFonts w:hint="eastAsia"/>
          <w:sz w:val="24"/>
          <w:lang w:val="en-US"/>
        </w:rPr>
        <w:t>第8条：国际公共生活</w:t>
      </w:r>
    </w:p>
    <w:p w:rsidR="00CE1FDA" w:rsidRDefault="00CE1FDA">
      <w:pPr>
        <w:pStyle w:val="H2"/>
        <w:rPr>
          <w:rFonts w:ascii="Times New Roman" w:hint="eastAsia"/>
          <w:lang w:val="en-US"/>
        </w:rPr>
      </w:pPr>
      <w:r>
        <w:rPr>
          <w:rFonts w:ascii="Times New Roman" w:hint="eastAsia"/>
          <w:lang w:val="en-US"/>
        </w:rPr>
        <w:t>妇女在国际上的代表性</w:t>
      </w:r>
    </w:p>
    <w:p w:rsidR="00CE1FDA" w:rsidRDefault="00CE1FDA" w:rsidP="00AC01AA">
      <w:pPr>
        <w:spacing w:after="240" w:line="360" w:lineRule="exact"/>
        <w:ind w:firstLineChars="200" w:firstLine="31680"/>
        <w:rPr>
          <w:rFonts w:hint="eastAsia"/>
        </w:rPr>
      </w:pPr>
      <w:r>
        <w:rPr>
          <w:rFonts w:hint="eastAsia"/>
        </w:rPr>
        <w:t>在过去的五年中，外交官中妇女的比例进一步增加。外事部门常设人员中约三分之一为女性，具有“外交官”地位的人员中，妇女比例与此相同。但应强调的是，在高级职位上，尤其是在海外，妇女的任职人数仍然偏低，外交部特有的工作形式和生活方式是其中的部分原因。</w:t>
      </w:r>
    </w:p>
    <w:p w:rsidR="00CE1FDA" w:rsidRDefault="00CE1FDA" w:rsidP="00AC01AA">
      <w:pPr>
        <w:spacing w:after="240" w:line="360" w:lineRule="exact"/>
        <w:ind w:firstLineChars="200" w:firstLine="31680"/>
        <w:rPr>
          <w:rFonts w:hint="eastAsia"/>
        </w:rPr>
      </w:pPr>
      <w:r>
        <w:rPr>
          <w:rFonts w:hint="eastAsia"/>
        </w:rPr>
        <w:t>外交部工作人员可以参加高等教育及毕业后教育和培训，以及其他培训和时间长短不一的推广培训课程。自匈牙利加入欧盟（</w:t>
      </w:r>
      <w:r>
        <w:rPr>
          <w:rFonts w:hint="eastAsia"/>
        </w:rPr>
        <w:t>2004</w:t>
      </w:r>
      <w:r>
        <w:rPr>
          <w:rFonts w:hint="eastAsia"/>
        </w:rPr>
        <w:t>年）以来，各种可能的培训课程在范围上明显扩大，申请者均可参加。</w:t>
      </w:r>
    </w:p>
    <w:p w:rsidR="00CE1FDA" w:rsidRDefault="00CE1FDA" w:rsidP="00AC01AA">
      <w:pPr>
        <w:spacing w:after="240" w:line="360" w:lineRule="exact"/>
        <w:ind w:firstLineChars="200" w:firstLine="31680"/>
        <w:rPr>
          <w:rFonts w:hint="eastAsia"/>
        </w:rPr>
      </w:pPr>
      <w:r>
        <w:rPr>
          <w:rFonts w:hint="eastAsia"/>
        </w:rPr>
        <w:t>在联合国及其专门机构中，匈牙利雇员的男女比例约为</w:t>
      </w:r>
      <w:r>
        <w:rPr>
          <w:rFonts w:hint="eastAsia"/>
        </w:rPr>
        <w:t>1</w:t>
      </w:r>
      <w:r>
        <w:rPr>
          <w:rFonts w:hint="eastAsia"/>
        </w:rPr>
        <w:t>：</w:t>
      </w:r>
      <w:r>
        <w:rPr>
          <w:rFonts w:hint="eastAsia"/>
        </w:rPr>
        <w:t>9</w:t>
      </w:r>
      <w:r>
        <w:rPr>
          <w:rFonts w:hint="eastAsia"/>
        </w:rPr>
        <w:t>，这只是根据多种登记所作的估计。</w:t>
      </w:r>
    </w:p>
    <w:p w:rsidR="00CE1FDA" w:rsidRDefault="00CE1FDA" w:rsidP="00AC01AA">
      <w:pPr>
        <w:spacing w:after="240" w:line="360" w:lineRule="exact"/>
        <w:ind w:firstLineChars="200" w:firstLine="31680"/>
        <w:rPr>
          <w:rFonts w:hint="eastAsia"/>
        </w:rPr>
      </w:pPr>
      <w:r>
        <w:rPr>
          <w:rFonts w:hint="eastAsia"/>
        </w:rPr>
        <w:t>在北大西洋公约组织，匈牙利男女雇员的比例较为均衡（</w:t>
      </w:r>
      <w:r>
        <w:rPr>
          <w:rFonts w:hint="eastAsia"/>
        </w:rPr>
        <w:t>50%</w:t>
      </w:r>
      <w:r>
        <w:rPr>
          <w:rFonts w:hint="eastAsia"/>
        </w:rPr>
        <w:t>），而在欧洲委员会，匈牙利雇员</w:t>
      </w:r>
      <w:r>
        <w:rPr>
          <w:rFonts w:hint="eastAsia"/>
        </w:rPr>
        <w:t>40%</w:t>
      </w:r>
      <w:r>
        <w:rPr>
          <w:rFonts w:hint="eastAsia"/>
        </w:rPr>
        <w:t>为女性，</w:t>
      </w:r>
      <w:r>
        <w:rPr>
          <w:rFonts w:hint="eastAsia"/>
        </w:rPr>
        <w:t>60%</w:t>
      </w:r>
      <w:r>
        <w:rPr>
          <w:rFonts w:hint="eastAsia"/>
        </w:rPr>
        <w:t>为男性。根据临时合同，欧洲委员会的匈牙利官员和雇员中约</w:t>
      </w:r>
      <w:r>
        <w:rPr>
          <w:rFonts w:hint="eastAsia"/>
        </w:rPr>
        <w:t>78%</w:t>
      </w:r>
      <w:r>
        <w:rPr>
          <w:rFonts w:hint="eastAsia"/>
        </w:rPr>
        <w:t>为妇女。</w:t>
      </w:r>
    </w:p>
    <w:p w:rsidR="00CE1FDA" w:rsidRDefault="00CE1FDA">
      <w:pPr>
        <w:pStyle w:val="H2"/>
        <w:rPr>
          <w:rFonts w:hint="eastAsia"/>
          <w:sz w:val="24"/>
          <w:lang w:val="en-US"/>
        </w:rPr>
      </w:pPr>
      <w:r>
        <w:rPr>
          <w:rFonts w:hint="eastAsia"/>
          <w:sz w:val="24"/>
          <w:lang w:val="en-US"/>
        </w:rPr>
        <w:t>第9条：公民身份问题</w:t>
      </w:r>
    </w:p>
    <w:p w:rsidR="00CE1FDA" w:rsidRDefault="00CE1FDA" w:rsidP="00AC01AA">
      <w:pPr>
        <w:spacing w:after="240" w:line="360" w:lineRule="exact"/>
        <w:ind w:firstLineChars="200" w:firstLine="31680"/>
        <w:rPr>
          <w:rFonts w:hint="eastAsia"/>
        </w:rPr>
      </w:pPr>
      <w:r>
        <w:rPr>
          <w:rFonts w:hint="eastAsia"/>
        </w:rPr>
        <w:t>自合并政府报告发表以来，该法律条例没有实质性变化（见</w:t>
      </w:r>
      <w:r>
        <w:rPr>
          <w:rFonts w:hint="eastAsia"/>
        </w:rPr>
        <w:t>CEDAW/C/HUN/4-5</w:t>
      </w:r>
      <w:r>
        <w:rPr>
          <w:rFonts w:hint="eastAsia"/>
        </w:rPr>
        <w:t>）。</w:t>
      </w:r>
    </w:p>
    <w:p w:rsidR="00CE1FDA" w:rsidRDefault="00CE1FDA">
      <w:pPr>
        <w:pStyle w:val="H2"/>
        <w:rPr>
          <w:rFonts w:hint="eastAsia"/>
          <w:sz w:val="24"/>
          <w:lang w:val="en-US"/>
        </w:rPr>
      </w:pPr>
      <w:r>
        <w:rPr>
          <w:rFonts w:hint="eastAsia"/>
          <w:sz w:val="24"/>
          <w:lang w:val="en-US"/>
        </w:rPr>
        <w:t>第10条：教育</w:t>
      </w:r>
    </w:p>
    <w:p w:rsidR="00CE1FDA" w:rsidRDefault="00CE1FDA">
      <w:pPr>
        <w:pStyle w:val="H2"/>
        <w:rPr>
          <w:rFonts w:hint="eastAsia"/>
          <w:lang w:val="en-US"/>
        </w:rPr>
      </w:pPr>
      <w:r>
        <w:rPr>
          <w:rFonts w:hint="eastAsia"/>
          <w:lang w:val="en-US"/>
        </w:rPr>
        <w:t>教育机会平等法律框架</w:t>
      </w:r>
    </w:p>
    <w:p w:rsidR="00CE1FDA" w:rsidRDefault="00CE1FDA" w:rsidP="00AC01AA">
      <w:pPr>
        <w:spacing w:after="240" w:line="360" w:lineRule="exact"/>
        <w:ind w:firstLineChars="200" w:firstLine="31680"/>
        <w:rPr>
          <w:rFonts w:hint="eastAsia"/>
        </w:rPr>
      </w:pPr>
      <w:r>
        <w:rPr>
          <w:rFonts w:hint="eastAsia"/>
        </w:rPr>
        <w:t>上一次报告已详细说明（见</w:t>
      </w:r>
      <w:r>
        <w:rPr>
          <w:rFonts w:hint="eastAsia"/>
        </w:rPr>
        <w:t>CEDAW/C/HUN/4-5</w:t>
      </w:r>
      <w:r>
        <w:rPr>
          <w:rFonts w:hint="eastAsia"/>
        </w:rPr>
        <w:t>），</w:t>
      </w:r>
      <w:r>
        <w:rPr>
          <w:rFonts w:hint="eastAsia"/>
        </w:rPr>
        <w:t>1993</w:t>
      </w:r>
      <w:r>
        <w:rPr>
          <w:rFonts w:hint="eastAsia"/>
        </w:rPr>
        <w:t>年通过、</w:t>
      </w:r>
      <w:r>
        <w:rPr>
          <w:rFonts w:hint="eastAsia"/>
        </w:rPr>
        <w:t>2002</w:t>
      </w:r>
      <w:r>
        <w:rPr>
          <w:rFonts w:hint="eastAsia"/>
        </w:rPr>
        <w:t>年和</w:t>
      </w:r>
      <w:r>
        <w:rPr>
          <w:rFonts w:hint="eastAsia"/>
        </w:rPr>
        <w:t>2003</w:t>
      </w:r>
      <w:r>
        <w:rPr>
          <w:rFonts w:hint="eastAsia"/>
        </w:rPr>
        <w:t>年修正后仍有效的公共教育法重视在所有教育领域消除基于性别的歧视。自匈牙利加入欧盟后，最大的变化就是推行了高等教育法规。关于高等教育问题的</w:t>
      </w:r>
      <w:r>
        <w:rPr>
          <w:rFonts w:ascii="KaiTi_GB2312" w:eastAsia="KaiTi_GB2312" w:hint="eastAsia"/>
          <w:color w:val="0000FF"/>
        </w:rPr>
        <w:t>2005年第CXXXIX号法案</w:t>
      </w:r>
      <w:r>
        <w:rPr>
          <w:rFonts w:hint="eastAsia"/>
        </w:rPr>
        <w:t>根据《博洛尼亚公约》引入了高等教育制度。因此，从</w:t>
      </w:r>
      <w:r>
        <w:rPr>
          <w:rFonts w:hint="eastAsia"/>
        </w:rPr>
        <w:t>2006</w:t>
      </w:r>
      <w:r>
        <w:rPr>
          <w:rFonts w:hint="eastAsia"/>
        </w:rPr>
        <w:t>年起，新的高等教育结构将由基础课程</w:t>
      </w:r>
      <w:r>
        <w:rPr>
          <w:rFonts w:ascii="SimSun" w:hAnsi="SimSun" w:hint="eastAsia"/>
        </w:rPr>
        <w:t>-学士-硕</w:t>
      </w:r>
      <w:r>
        <w:rPr>
          <w:rFonts w:hint="eastAsia"/>
        </w:rPr>
        <w:t>士，博士、高等职业培训和专门推广培训构成。该法第</w:t>
      </w:r>
      <w:r>
        <w:rPr>
          <w:rFonts w:hint="eastAsia"/>
        </w:rPr>
        <w:t>2</w:t>
      </w:r>
      <w:r>
        <w:rPr>
          <w:rFonts w:hint="eastAsia"/>
        </w:rPr>
        <w:t>条（</w:t>
      </w:r>
      <w:r>
        <w:rPr>
          <w:rFonts w:hint="eastAsia"/>
        </w:rPr>
        <w:t>1</w:t>
      </w:r>
      <w:r>
        <w:rPr>
          <w:rFonts w:hint="eastAsia"/>
        </w:rPr>
        <w:t>）（</w:t>
      </w:r>
      <w:r>
        <w:rPr>
          <w:rFonts w:hint="eastAsia"/>
        </w:rPr>
        <w:t>h</w:t>
      </w:r>
      <w:r>
        <w:rPr>
          <w:rFonts w:hint="eastAsia"/>
        </w:rPr>
        <w:t>）规定的一项任务，是确保遵守平等待遇和高等教育机会平等的要求。</w:t>
      </w:r>
    </w:p>
    <w:p w:rsidR="00CE1FDA" w:rsidRDefault="00CE1FDA" w:rsidP="00AC01AA">
      <w:pPr>
        <w:spacing w:after="240" w:line="360" w:lineRule="exact"/>
        <w:ind w:firstLineChars="200" w:firstLine="31680"/>
        <w:rPr>
          <w:rFonts w:hint="eastAsia"/>
        </w:rPr>
      </w:pPr>
      <w:r>
        <w:rPr>
          <w:rFonts w:hint="eastAsia"/>
        </w:rPr>
        <w:t>根据该法律，在完成社会科学基础课程之后，可以在硕士一级，以“机会平等性别研究者和专业政治家”为题开展性别研究。</w:t>
      </w:r>
    </w:p>
    <w:p w:rsidR="00CE1FDA" w:rsidRDefault="00CE1FDA">
      <w:pPr>
        <w:pStyle w:val="H2"/>
        <w:spacing w:line="340" w:lineRule="exact"/>
        <w:rPr>
          <w:rFonts w:hint="eastAsia"/>
          <w:lang w:val="en-US"/>
        </w:rPr>
      </w:pPr>
      <w:r>
        <w:rPr>
          <w:rFonts w:hint="eastAsia"/>
          <w:lang w:val="en-US"/>
        </w:rPr>
        <w:t>a. 各类型学校为学生取得文凭提供平等机会</w:t>
      </w:r>
    </w:p>
    <w:p w:rsidR="00CE1FDA" w:rsidRDefault="00CE1FDA" w:rsidP="00AC01AA">
      <w:pPr>
        <w:spacing w:after="240" w:line="340" w:lineRule="exact"/>
        <w:ind w:firstLineChars="200" w:firstLine="31680"/>
        <w:rPr>
          <w:rFonts w:hint="eastAsia"/>
        </w:rPr>
      </w:pPr>
      <w:r>
        <w:rPr>
          <w:rFonts w:hint="eastAsia"/>
        </w:rPr>
        <w:t>在匈牙利，妇女受教育的水平一般略高于男子。在劳动适龄人口中，拥有中等或高等资格的妇女在比例上高于同等年龄的男子（表</w:t>
      </w:r>
      <w:r>
        <w:rPr>
          <w:rFonts w:hint="eastAsia"/>
        </w:rPr>
        <w:t>10.1</w:t>
      </w:r>
      <w:r>
        <w:rPr>
          <w:rFonts w:hint="eastAsia"/>
        </w:rPr>
        <w:t>）。相比之下，拥有文凭、具有职业资格的男子比例较高。</w:t>
      </w:r>
    </w:p>
    <w:p w:rsidR="00CE1FDA" w:rsidRDefault="00CE1FDA">
      <w:pPr>
        <w:spacing w:after="240" w:line="340" w:lineRule="exact"/>
        <w:rPr>
          <w:rFonts w:eastAsia="KaiTi_GB2312" w:hint="eastAsia"/>
          <w:color w:val="0000FF"/>
        </w:rPr>
      </w:pPr>
      <w:r>
        <w:rPr>
          <w:rFonts w:eastAsia="KaiTi_GB2312" w:hint="eastAsia"/>
          <w:color w:val="0000FF"/>
        </w:rPr>
        <w:t>初等和中等教育</w:t>
      </w:r>
    </w:p>
    <w:p w:rsidR="00CE1FDA" w:rsidRDefault="00CE1FDA" w:rsidP="00AC01AA">
      <w:pPr>
        <w:spacing w:after="240" w:line="340" w:lineRule="exact"/>
        <w:ind w:firstLineChars="200" w:firstLine="31680"/>
        <w:rPr>
          <w:rFonts w:hint="eastAsia"/>
        </w:rPr>
      </w:pPr>
      <w:r>
        <w:rPr>
          <w:rFonts w:hint="eastAsia"/>
        </w:rPr>
        <w:t>在过去的十五年中，中小学中女孩的比例逐步上升（见上次报告中的历史数据汇编）。在</w:t>
      </w:r>
      <w:r>
        <w:rPr>
          <w:rFonts w:hint="eastAsia"/>
        </w:rPr>
        <w:t>2005/2006</w:t>
      </w:r>
      <w:r>
        <w:rPr>
          <w:rFonts w:hint="eastAsia"/>
        </w:rPr>
        <w:t>学年，女孩在幼儿园和小学的比例与她们在总人口中的比例相当（表</w:t>
      </w:r>
      <w:r>
        <w:rPr>
          <w:rFonts w:hint="eastAsia"/>
        </w:rPr>
        <w:t>10.2</w:t>
      </w:r>
      <w:r>
        <w:rPr>
          <w:rFonts w:hint="eastAsia"/>
        </w:rPr>
        <w:t>）。女孩在文法学校的人数明显增多，而在职业学校则严重不足。这说明，女孩所接受的往往是普通中等教育，在这个层次上获得职业资格的女孩比例较低。</w:t>
      </w:r>
    </w:p>
    <w:p w:rsidR="00CE1FDA" w:rsidRDefault="00CE1FDA" w:rsidP="00AC01AA">
      <w:pPr>
        <w:spacing w:after="240" w:line="340" w:lineRule="exact"/>
        <w:ind w:firstLineChars="200" w:firstLine="31680"/>
        <w:rPr>
          <w:rFonts w:hint="eastAsia"/>
        </w:rPr>
      </w:pPr>
      <w:r>
        <w:rPr>
          <w:rFonts w:hint="eastAsia"/>
        </w:rPr>
        <w:t>在中等教育中女孩人数较多。不过，在各类中等教育和职业选择上，通常存在着一定的性别隔离现象：女孩一般都选择在贸易和轻工业就职，很少选择重工业或技术型职业，而很多重工业或技术型职业往往提供报酬更高的就业机会。</w:t>
      </w:r>
    </w:p>
    <w:p w:rsidR="00CE1FDA" w:rsidRDefault="00CE1FDA" w:rsidP="00AC01AA">
      <w:pPr>
        <w:spacing w:after="240" w:line="340" w:lineRule="exact"/>
        <w:ind w:firstLineChars="200" w:firstLine="31680"/>
        <w:rPr>
          <w:rFonts w:hint="eastAsia"/>
        </w:rPr>
      </w:pPr>
      <w:r>
        <w:rPr>
          <w:rFonts w:hint="eastAsia"/>
        </w:rPr>
        <w:t>与上述一般趋势相比，罗马妇女在接受教育方面处于十分不利的境地。调查表明，约</w:t>
      </w:r>
      <w:r>
        <w:rPr>
          <w:rFonts w:hint="eastAsia"/>
        </w:rPr>
        <w:t>35-40%</w:t>
      </w:r>
      <w:r>
        <w:rPr>
          <w:rFonts w:hint="eastAsia"/>
        </w:rPr>
        <w:t>的罗马妇女没有读完小学。这一比例要比罗马男子高出约</w:t>
      </w:r>
      <w:r>
        <w:rPr>
          <w:rFonts w:hint="eastAsia"/>
        </w:rPr>
        <w:t>10</w:t>
      </w:r>
      <w:r>
        <w:rPr>
          <w:rFonts w:hint="eastAsia"/>
        </w:rPr>
        <w:t>个百分点，表明罗马妇女由于种族和性别而处于劣势。类似的不平等还出现在更高等级的教育当中。</w:t>
      </w:r>
    </w:p>
    <w:p w:rsidR="00CE1FDA" w:rsidRDefault="00CE1FDA">
      <w:pPr>
        <w:spacing w:after="240" w:line="340" w:lineRule="exact"/>
        <w:rPr>
          <w:rFonts w:eastAsia="KaiTi_GB2312" w:hint="eastAsia"/>
          <w:color w:val="0000FF"/>
        </w:rPr>
      </w:pPr>
      <w:r>
        <w:rPr>
          <w:rFonts w:eastAsia="KaiTi_GB2312" w:hint="eastAsia"/>
          <w:color w:val="0000FF"/>
        </w:rPr>
        <w:t>高等教育</w:t>
      </w:r>
    </w:p>
    <w:p w:rsidR="00CE1FDA" w:rsidRDefault="00CE1FDA" w:rsidP="00AC01AA">
      <w:pPr>
        <w:spacing w:after="240" w:line="340" w:lineRule="exact"/>
        <w:ind w:firstLineChars="200" w:firstLine="31680"/>
        <w:rPr>
          <w:rFonts w:hint="eastAsia"/>
        </w:rPr>
      </w:pPr>
      <w:r>
        <w:rPr>
          <w:rFonts w:hint="eastAsia"/>
        </w:rPr>
        <w:t>在高等教育以及拥有高等教育文凭的人中，妇女所占的比例超过了男子。在</w:t>
      </w:r>
      <w:r>
        <w:rPr>
          <w:rFonts w:hint="eastAsia"/>
        </w:rPr>
        <w:t>2005/2006</w:t>
      </w:r>
      <w:r>
        <w:rPr>
          <w:rFonts w:hint="eastAsia"/>
        </w:rPr>
        <w:t>学年中，约</w:t>
      </w:r>
      <w:r>
        <w:rPr>
          <w:rFonts w:hint="eastAsia"/>
        </w:rPr>
        <w:t>58%</w:t>
      </w:r>
      <w:r>
        <w:rPr>
          <w:rFonts w:hint="eastAsia"/>
        </w:rPr>
        <w:t>的大学生是女性。虽然妇女在较低层次的高等教育中占有较高比例（学院，</w:t>
      </w:r>
      <w:r>
        <w:rPr>
          <w:rFonts w:hint="eastAsia"/>
        </w:rPr>
        <w:t>62%</w:t>
      </w:r>
      <w:r>
        <w:rPr>
          <w:rFonts w:hint="eastAsia"/>
        </w:rPr>
        <w:t>），但是，他们在较高的教育层次（大学）上占多数，为</w:t>
      </w:r>
      <w:r>
        <w:rPr>
          <w:rFonts w:hint="eastAsia"/>
        </w:rPr>
        <w:t>55%</w:t>
      </w:r>
      <w:r>
        <w:rPr>
          <w:rFonts w:hint="eastAsia"/>
        </w:rPr>
        <w:t>。男子只在最高层次的教育（博士学位）中占较高比例，但并不明显，因为在</w:t>
      </w:r>
      <w:r>
        <w:rPr>
          <w:rFonts w:hint="eastAsia"/>
        </w:rPr>
        <w:t>2005/2006</w:t>
      </w:r>
      <w:r>
        <w:rPr>
          <w:rFonts w:hint="eastAsia"/>
        </w:rPr>
        <w:t>学年，</w:t>
      </w:r>
      <w:r>
        <w:rPr>
          <w:rFonts w:hint="eastAsia"/>
        </w:rPr>
        <w:t>PhD</w:t>
      </w:r>
      <w:r>
        <w:rPr>
          <w:rFonts w:hint="eastAsia"/>
        </w:rPr>
        <w:t>学生中</w:t>
      </w:r>
      <w:r>
        <w:rPr>
          <w:rFonts w:hint="eastAsia"/>
        </w:rPr>
        <w:t>47%</w:t>
      </w:r>
      <w:r>
        <w:rPr>
          <w:rFonts w:hint="eastAsia"/>
        </w:rPr>
        <w:t>是女性。</w:t>
      </w:r>
    </w:p>
    <w:p w:rsidR="00CE1FDA" w:rsidRDefault="00CE1FDA" w:rsidP="00AC01AA">
      <w:pPr>
        <w:spacing w:after="240" w:line="340" w:lineRule="exact"/>
        <w:ind w:firstLineChars="200" w:firstLine="31680"/>
        <w:rPr>
          <w:rFonts w:hint="eastAsia"/>
        </w:rPr>
      </w:pPr>
      <w:r>
        <w:rPr>
          <w:rFonts w:hint="eastAsia"/>
        </w:rPr>
        <w:t>与中等教育一样，在高等教育中，职业选择也存在着严重的性别歧视。在匈牙利接受高等教师培训的学生中，约</w:t>
      </w:r>
      <w:r>
        <w:rPr>
          <w:rFonts w:hint="eastAsia"/>
        </w:rPr>
        <w:t>70%</w:t>
      </w:r>
      <w:r>
        <w:rPr>
          <w:rFonts w:hint="eastAsia"/>
        </w:rPr>
        <w:t>是妇女，而她们在工程专业学生中的比例不足</w:t>
      </w:r>
      <w:r>
        <w:rPr>
          <w:rFonts w:hint="eastAsia"/>
        </w:rPr>
        <w:t>10%</w:t>
      </w:r>
      <w:r>
        <w:rPr>
          <w:rFonts w:hint="eastAsia"/>
        </w:rPr>
        <w:t>。在选修法律和经济学的学生中，妇女约占</w:t>
      </w:r>
      <w:r>
        <w:rPr>
          <w:rFonts w:hint="eastAsia"/>
        </w:rPr>
        <w:t>60%</w:t>
      </w:r>
      <w:r>
        <w:rPr>
          <w:rFonts w:hint="eastAsia"/>
        </w:rPr>
        <w:t>，学习管理和医学的妇女分别占</w:t>
      </w:r>
      <w:r>
        <w:rPr>
          <w:rFonts w:hint="eastAsia"/>
        </w:rPr>
        <w:t>67%</w:t>
      </w:r>
      <w:r>
        <w:rPr>
          <w:rFonts w:hint="eastAsia"/>
        </w:rPr>
        <w:t>和</w:t>
      </w:r>
      <w:r>
        <w:rPr>
          <w:rFonts w:hint="eastAsia"/>
        </w:rPr>
        <w:t>54%</w:t>
      </w:r>
      <w:r>
        <w:rPr>
          <w:rFonts w:hint="eastAsia"/>
        </w:rPr>
        <w:t>。在过去的十年中，性别歧视现象有所减少，妇女在这几类学生中的比例增长了</w:t>
      </w:r>
      <w:r>
        <w:rPr>
          <w:rFonts w:hint="eastAsia"/>
        </w:rPr>
        <w:t>5%</w:t>
      </w:r>
      <w:r>
        <w:rPr>
          <w:rFonts w:hint="eastAsia"/>
        </w:rPr>
        <w:t>。</w:t>
      </w:r>
    </w:p>
    <w:p w:rsidR="00CE1FDA" w:rsidRDefault="00CE1FDA" w:rsidP="00AC01AA">
      <w:pPr>
        <w:spacing w:after="240" w:line="360" w:lineRule="exact"/>
        <w:ind w:firstLineChars="200" w:firstLine="31680"/>
        <w:rPr>
          <w:rFonts w:hint="eastAsia"/>
        </w:rPr>
      </w:pPr>
      <w:r>
        <w:rPr>
          <w:rFonts w:hint="eastAsia"/>
        </w:rPr>
        <w:t>就参加全日制课程、夜校或函授班而言，不存在实质性的男女区别</w:t>
      </w:r>
      <w:r>
        <w:rPr>
          <w:rFonts w:hint="eastAsia"/>
        </w:rPr>
        <w:t xml:space="preserve">, </w:t>
      </w:r>
      <w:r>
        <w:rPr>
          <w:rFonts w:hint="eastAsia"/>
        </w:rPr>
        <w:t>但是更多的妇女选择了上夜校和函授班。</w:t>
      </w:r>
    </w:p>
    <w:p w:rsidR="00CE1FDA" w:rsidRDefault="00CE1FDA">
      <w:pPr>
        <w:spacing w:after="240" w:line="360" w:lineRule="exact"/>
        <w:rPr>
          <w:rFonts w:eastAsia="KaiTi_GB2312" w:hint="eastAsia"/>
          <w:color w:val="0000FF"/>
        </w:rPr>
      </w:pPr>
      <w:r>
        <w:rPr>
          <w:rFonts w:eastAsia="KaiTi_GB2312" w:hint="eastAsia"/>
          <w:color w:val="0000FF"/>
        </w:rPr>
        <w:t>学生宿舍</w:t>
      </w:r>
    </w:p>
    <w:p w:rsidR="00CE1FDA" w:rsidRDefault="00CE1FDA" w:rsidP="00AC01AA">
      <w:pPr>
        <w:spacing w:after="240" w:line="360" w:lineRule="exact"/>
        <w:ind w:firstLineChars="200" w:firstLine="31680"/>
        <w:rPr>
          <w:rFonts w:hint="eastAsia"/>
        </w:rPr>
      </w:pPr>
      <w:r>
        <w:rPr>
          <w:rFonts w:hint="eastAsia"/>
        </w:rPr>
        <w:t>在匈牙利，住在学生宿舍的中学生中约</w:t>
      </w:r>
      <w:r>
        <w:rPr>
          <w:rFonts w:hint="eastAsia"/>
        </w:rPr>
        <w:t>46%</w:t>
      </w:r>
      <w:r>
        <w:rPr>
          <w:rFonts w:hint="eastAsia"/>
        </w:rPr>
        <w:t>是女孩。</w:t>
      </w:r>
    </w:p>
    <w:p w:rsidR="00CE1FDA" w:rsidRDefault="00CE1FDA">
      <w:pPr>
        <w:spacing w:after="240" w:line="360" w:lineRule="exact"/>
        <w:rPr>
          <w:rFonts w:ascii="SimHei" w:eastAsia="SimHei" w:hint="eastAsia"/>
          <w:color w:val="FF0000"/>
        </w:rPr>
      </w:pPr>
      <w:r>
        <w:rPr>
          <w:rFonts w:ascii="SimHei" w:eastAsia="SimHei" w:hint="eastAsia"/>
          <w:color w:val="FF0000"/>
        </w:rPr>
        <w:t>b.  教师——学校等级制度中的歧视</w:t>
      </w:r>
    </w:p>
    <w:p w:rsidR="00CE1FDA" w:rsidRDefault="00CE1FDA" w:rsidP="00AC01AA">
      <w:pPr>
        <w:spacing w:after="240" w:line="360" w:lineRule="exact"/>
        <w:ind w:firstLineChars="200" w:firstLine="31680"/>
        <w:rPr>
          <w:rFonts w:hint="eastAsia"/>
        </w:rPr>
      </w:pPr>
      <w:r>
        <w:rPr>
          <w:rFonts w:hint="eastAsia"/>
        </w:rPr>
        <w:t>匈牙利学校和劳动力市场一样，也存在着性别歧视。虽然教师中妇女的比例很高，但是名气和管理水平越高，妇女的比例越低。虽然约</w:t>
      </w:r>
      <w:r>
        <w:rPr>
          <w:rFonts w:hint="eastAsia"/>
        </w:rPr>
        <w:t>87%</w:t>
      </w:r>
      <w:r>
        <w:rPr>
          <w:rFonts w:hint="eastAsia"/>
        </w:rPr>
        <w:t>的小学教师是妇女，但是只有</w:t>
      </w:r>
      <w:r>
        <w:rPr>
          <w:rFonts w:hint="eastAsia"/>
        </w:rPr>
        <w:t>62%</w:t>
      </w:r>
      <w:r>
        <w:rPr>
          <w:rFonts w:hint="eastAsia"/>
        </w:rPr>
        <w:t>的学校是由女校长管理，女副校长占</w:t>
      </w:r>
      <w:r>
        <w:rPr>
          <w:rFonts w:hint="eastAsia"/>
        </w:rPr>
        <w:t>86%</w:t>
      </w:r>
      <w:r>
        <w:rPr>
          <w:rFonts w:hint="eastAsia"/>
        </w:rPr>
        <w:t>。这些“显而易见的”现象清楚地表明：妇女只能在等级制的较低层次担任管理职务，而且担任较高职务的可能性比男子小。</w:t>
      </w:r>
    </w:p>
    <w:p w:rsidR="00CE1FDA" w:rsidRDefault="00CE1FDA" w:rsidP="00AC01AA">
      <w:pPr>
        <w:spacing w:after="240" w:line="360" w:lineRule="exact"/>
        <w:ind w:firstLineChars="200" w:firstLine="31680"/>
        <w:rPr>
          <w:rFonts w:hint="eastAsia"/>
        </w:rPr>
      </w:pPr>
      <w:r>
        <w:rPr>
          <w:rFonts w:hint="eastAsia"/>
        </w:rPr>
        <w:t>在有名望的文法学校，妇女在领导职位的人数更为不足：</w:t>
      </w:r>
      <w:r>
        <w:rPr>
          <w:rFonts w:hint="eastAsia"/>
        </w:rPr>
        <w:t>71%</w:t>
      </w:r>
      <w:r>
        <w:rPr>
          <w:rFonts w:hint="eastAsia"/>
        </w:rPr>
        <w:t>的教师为女性，女校长只占</w:t>
      </w:r>
      <w:r>
        <w:rPr>
          <w:rFonts w:hint="eastAsia"/>
        </w:rPr>
        <w:t>38%</w:t>
      </w:r>
      <w:r>
        <w:rPr>
          <w:rFonts w:hint="eastAsia"/>
        </w:rPr>
        <w:t>，女副校长占</w:t>
      </w:r>
      <w:r>
        <w:rPr>
          <w:rFonts w:hint="eastAsia"/>
        </w:rPr>
        <w:t>61%</w:t>
      </w:r>
      <w:r>
        <w:rPr>
          <w:rFonts w:hint="eastAsia"/>
        </w:rPr>
        <w:t>。</w:t>
      </w:r>
    </w:p>
    <w:p w:rsidR="00CE1FDA" w:rsidRDefault="00CE1FDA" w:rsidP="00AC01AA">
      <w:pPr>
        <w:spacing w:after="240" w:line="360" w:lineRule="exact"/>
        <w:ind w:firstLineChars="200" w:firstLine="31680"/>
        <w:rPr>
          <w:rFonts w:hint="eastAsia"/>
        </w:rPr>
      </w:pPr>
      <w:r>
        <w:rPr>
          <w:rFonts w:hint="eastAsia"/>
        </w:rPr>
        <w:t>在大学教师中，妇女的比例更低（</w:t>
      </w:r>
      <w:r>
        <w:rPr>
          <w:rFonts w:hint="eastAsia"/>
        </w:rPr>
        <w:t>2004/2005</w:t>
      </w:r>
      <w:r>
        <w:rPr>
          <w:rFonts w:hint="eastAsia"/>
        </w:rPr>
        <w:t>学年为</w:t>
      </w:r>
      <w:r>
        <w:rPr>
          <w:rFonts w:hint="eastAsia"/>
        </w:rPr>
        <w:t>38%</w:t>
      </w:r>
      <w:r>
        <w:rPr>
          <w:rFonts w:hint="eastAsia"/>
        </w:rPr>
        <w:t>）。妇女在全职教师中的比例与之相同，即从其工作的稳定性来看，她们并非处于条件不利的状况。然而，在大学等级制的较高层次，妇女比例有所下降。只有</w:t>
      </w:r>
      <w:r>
        <w:rPr>
          <w:rFonts w:hint="eastAsia"/>
        </w:rPr>
        <w:t>7%</w:t>
      </w:r>
      <w:r>
        <w:rPr>
          <w:rFonts w:hint="eastAsia"/>
        </w:rPr>
        <w:t>的大学教授和</w:t>
      </w:r>
      <w:r>
        <w:rPr>
          <w:rFonts w:hint="eastAsia"/>
        </w:rPr>
        <w:t>24%</w:t>
      </w:r>
      <w:r>
        <w:rPr>
          <w:rFonts w:hint="eastAsia"/>
        </w:rPr>
        <w:t>的副教授、讲师是女性。匈牙利科学院成员中女性不到</w:t>
      </w:r>
      <w:r>
        <w:rPr>
          <w:rFonts w:hint="eastAsia"/>
        </w:rPr>
        <w:t>4%</w:t>
      </w:r>
      <w:r>
        <w:rPr>
          <w:rFonts w:hint="eastAsia"/>
        </w:rPr>
        <w:t>（见附件图</w:t>
      </w:r>
      <w:r>
        <w:rPr>
          <w:rFonts w:hint="eastAsia"/>
        </w:rPr>
        <w:t>10.1</w:t>
      </w:r>
      <w:r>
        <w:rPr>
          <w:rFonts w:hint="eastAsia"/>
        </w:rPr>
        <w:t>，在科学领域男女晋升机会的比较）。</w:t>
      </w:r>
    </w:p>
    <w:p w:rsidR="00CE1FDA" w:rsidRDefault="00CE1FDA">
      <w:pPr>
        <w:spacing w:after="240" w:line="360" w:lineRule="exact"/>
        <w:rPr>
          <w:rFonts w:ascii="SimHei" w:eastAsia="SimHei" w:hint="eastAsia"/>
          <w:color w:val="FF0000"/>
        </w:rPr>
      </w:pPr>
      <w:r>
        <w:rPr>
          <w:rFonts w:ascii="SimHei" w:eastAsia="SimHei" w:hint="eastAsia"/>
          <w:color w:val="FF0000"/>
        </w:rPr>
        <w:t>c.  性别角色</w:t>
      </w:r>
    </w:p>
    <w:p w:rsidR="00CE1FDA" w:rsidRDefault="00CE1FDA" w:rsidP="00AC01AA">
      <w:pPr>
        <w:spacing w:after="240" w:line="360" w:lineRule="exact"/>
        <w:ind w:firstLineChars="200" w:firstLine="31680"/>
        <w:rPr>
          <w:rFonts w:hint="eastAsia"/>
        </w:rPr>
      </w:pPr>
      <w:r>
        <w:rPr>
          <w:rFonts w:hint="eastAsia"/>
        </w:rPr>
        <w:t>关于学校教材中包含的社会性别陈规定型观念，一些研究项目</w:t>
      </w:r>
      <w:r>
        <w:rPr>
          <w:rStyle w:val="FootnoteReference"/>
        </w:rPr>
        <w:footnoteReference w:id="17"/>
      </w:r>
      <w:r>
        <w:rPr>
          <w:rFonts w:hint="eastAsia"/>
        </w:rPr>
        <w:t>就下列问题得出了相同结论：</w:t>
      </w:r>
      <w:r>
        <w:rPr>
          <w:rFonts w:hint="eastAsia"/>
        </w:rPr>
        <w:t>1</w:t>
      </w:r>
      <w:r>
        <w:rPr>
          <w:rFonts w:hint="eastAsia"/>
        </w:rPr>
        <w:t>．学校教材中经常提到男孩</w:t>
      </w:r>
      <w:r>
        <w:rPr>
          <w:rFonts w:hint="eastAsia"/>
        </w:rPr>
        <w:t>/</w:t>
      </w:r>
      <w:r>
        <w:rPr>
          <w:rFonts w:hint="eastAsia"/>
        </w:rPr>
        <w:t>男子，而很少提到女孩</w:t>
      </w:r>
      <w:r>
        <w:rPr>
          <w:rFonts w:hint="eastAsia"/>
        </w:rPr>
        <w:t>/</w:t>
      </w:r>
      <w:r>
        <w:rPr>
          <w:rFonts w:hint="eastAsia"/>
        </w:rPr>
        <w:t>妇女；</w:t>
      </w:r>
      <w:r>
        <w:rPr>
          <w:rFonts w:hint="eastAsia"/>
        </w:rPr>
        <w:t>2</w:t>
      </w:r>
      <w:r>
        <w:rPr>
          <w:rFonts w:hint="eastAsia"/>
        </w:rPr>
        <w:t>．文学与历史教学时常提到男子；</w:t>
      </w:r>
      <w:r>
        <w:rPr>
          <w:rFonts w:hint="eastAsia"/>
        </w:rPr>
        <w:t>3</w:t>
      </w:r>
      <w:r>
        <w:rPr>
          <w:rFonts w:hint="eastAsia"/>
        </w:rPr>
        <w:t>．家庭和社会性别角色体现在陈规定型模式中——只有少数例外。内容分析证明，学校教材显然对男女角色在工作场所、家庭和其他社会阶层中的主要作用做了陈规定型的区分。大多数教材没有对家庭外的妇女进行描述。按性别向女孩和男孩提供的职业十分有限。</w:t>
      </w:r>
    </w:p>
    <w:p w:rsidR="00CE1FDA" w:rsidRDefault="00CE1FDA" w:rsidP="00AC01AA">
      <w:pPr>
        <w:spacing w:after="240" w:line="360" w:lineRule="exact"/>
        <w:ind w:firstLineChars="200" w:firstLine="31680"/>
        <w:rPr>
          <w:rFonts w:hint="eastAsia"/>
        </w:rPr>
      </w:pPr>
      <w:r>
        <w:rPr>
          <w:rFonts w:hint="eastAsia"/>
        </w:rPr>
        <w:t>目前规定的教师推广培训项目大纲没有包含两性平等问题。</w:t>
      </w:r>
    </w:p>
    <w:p w:rsidR="00CE1FDA" w:rsidRDefault="00CE1FDA">
      <w:pPr>
        <w:spacing w:after="240" w:line="360" w:lineRule="exact"/>
        <w:rPr>
          <w:rFonts w:ascii="SimHei" w:eastAsia="SimHei" w:hint="eastAsia"/>
          <w:color w:val="FF0000"/>
        </w:rPr>
      </w:pPr>
      <w:r>
        <w:rPr>
          <w:rFonts w:ascii="SimHei" w:eastAsia="SimHei" w:hint="eastAsia"/>
          <w:color w:val="FF0000"/>
        </w:rPr>
        <w:t>d.  学习补助与研究奖学金</w:t>
      </w:r>
    </w:p>
    <w:p w:rsidR="00CE1FDA" w:rsidRDefault="00CE1FDA" w:rsidP="00AC01AA">
      <w:pPr>
        <w:spacing w:after="240" w:line="360" w:lineRule="exact"/>
        <w:ind w:firstLineChars="200" w:firstLine="31680"/>
        <w:rPr>
          <w:rFonts w:hint="eastAsia"/>
        </w:rPr>
      </w:pPr>
      <w:r>
        <w:rPr>
          <w:rFonts w:hint="eastAsia"/>
        </w:rPr>
        <w:t>上一次报告说明，在国家教育机构，享受儿童保育援助或儿童保育费的学生免除四个学期的学费。此外，在儿童保育援助或儿童保育补助支付期内，学生贷款的偿还可以暂停。这些优惠条款主要是为大专院校的女学生提供的。在匈牙利，</w:t>
      </w:r>
      <w:r>
        <w:rPr>
          <w:rFonts w:hint="eastAsia"/>
        </w:rPr>
        <w:t>35.1%</w:t>
      </w:r>
      <w:r>
        <w:rPr>
          <w:rFonts w:hint="eastAsia"/>
        </w:rPr>
        <w:t>的研究人员、</w:t>
      </w:r>
      <w:r>
        <w:rPr>
          <w:rFonts w:hint="eastAsia"/>
        </w:rPr>
        <w:t>64.1%</w:t>
      </w:r>
      <w:r>
        <w:rPr>
          <w:rFonts w:hint="eastAsia"/>
        </w:rPr>
        <w:t>的研究助理和</w:t>
      </w:r>
      <w:r>
        <w:rPr>
          <w:rFonts w:hint="eastAsia"/>
        </w:rPr>
        <w:t>65.3%</w:t>
      </w:r>
      <w:r>
        <w:rPr>
          <w:rFonts w:hint="eastAsia"/>
        </w:rPr>
        <w:t>的其他研究雇员是妇女。</w:t>
      </w:r>
      <w:r>
        <w:rPr>
          <w:rFonts w:hint="eastAsia"/>
        </w:rPr>
        <w:t>1990-2002</w:t>
      </w:r>
      <w:r>
        <w:rPr>
          <w:rFonts w:hint="eastAsia"/>
        </w:rPr>
        <w:t>年，预算机构的研究人员中，妇女比率从</w:t>
      </w:r>
      <w:r>
        <w:rPr>
          <w:rFonts w:hint="eastAsia"/>
        </w:rPr>
        <w:t>31.1%</w:t>
      </w:r>
      <w:r>
        <w:rPr>
          <w:rFonts w:hint="eastAsia"/>
        </w:rPr>
        <w:t>上升至</w:t>
      </w:r>
      <w:r>
        <w:rPr>
          <w:rFonts w:hint="eastAsia"/>
        </w:rPr>
        <w:t>39.9%</w:t>
      </w:r>
      <w:r>
        <w:rPr>
          <w:rFonts w:hint="eastAsia"/>
        </w:rPr>
        <w:t>，在高等机构研究单位工作的妇女比率从</w:t>
      </w:r>
      <w:r>
        <w:rPr>
          <w:rFonts w:hint="eastAsia"/>
        </w:rPr>
        <w:t>29.1%</w:t>
      </w:r>
      <w:r>
        <w:rPr>
          <w:rFonts w:hint="eastAsia"/>
        </w:rPr>
        <w:t>上升至</w:t>
      </w:r>
      <w:r>
        <w:rPr>
          <w:rFonts w:hint="eastAsia"/>
        </w:rPr>
        <w:t>36.8%</w:t>
      </w:r>
      <w:r>
        <w:rPr>
          <w:rFonts w:hint="eastAsia"/>
        </w:rPr>
        <w:t>。</w:t>
      </w:r>
    </w:p>
    <w:p w:rsidR="00CE1FDA" w:rsidRDefault="00CE1FDA">
      <w:pPr>
        <w:spacing w:after="240" w:line="360" w:lineRule="exact"/>
        <w:rPr>
          <w:rFonts w:ascii="SimHei" w:eastAsia="SimHei" w:hint="eastAsia"/>
          <w:color w:val="FF0000"/>
        </w:rPr>
      </w:pPr>
      <w:r>
        <w:rPr>
          <w:rFonts w:ascii="SimHei" w:eastAsia="SimHei" w:hint="eastAsia"/>
          <w:color w:val="FF0000"/>
        </w:rPr>
        <w:t>e-f. 成人教育</w:t>
      </w:r>
    </w:p>
    <w:p w:rsidR="00CE1FDA" w:rsidRDefault="00CE1FDA" w:rsidP="00AC01AA">
      <w:pPr>
        <w:spacing w:after="240" w:line="360" w:lineRule="exact"/>
        <w:ind w:firstLineChars="200" w:firstLine="31680"/>
        <w:rPr>
          <w:rFonts w:hint="eastAsia"/>
        </w:rPr>
      </w:pPr>
      <w:r>
        <w:rPr>
          <w:rFonts w:hint="eastAsia"/>
        </w:rPr>
        <w:t>接受成人教育的人中妇女的比例较高。</w:t>
      </w:r>
      <w:r>
        <w:rPr>
          <w:rFonts w:hint="eastAsia"/>
        </w:rPr>
        <w:t>2004/2005</w:t>
      </w:r>
      <w:r>
        <w:rPr>
          <w:rFonts w:hint="eastAsia"/>
        </w:rPr>
        <w:t>学年，在学校系统之外（培训班、远程培训、研讨班和私人课程）接受教育的共有</w:t>
      </w:r>
      <w:r>
        <w:rPr>
          <w:rFonts w:hint="eastAsia"/>
        </w:rPr>
        <w:t>350 000</w:t>
      </w:r>
      <w:r>
        <w:rPr>
          <w:rFonts w:hint="eastAsia"/>
        </w:rPr>
        <w:t>人，妇女约占</w:t>
      </w:r>
      <w:r>
        <w:rPr>
          <w:rFonts w:hint="eastAsia"/>
        </w:rPr>
        <w:t>56%</w:t>
      </w:r>
      <w:r>
        <w:rPr>
          <w:rFonts w:hint="eastAsia"/>
        </w:rPr>
        <w:t>。参加学校系统成人培训的妇女比男子多。比如，在</w:t>
      </w:r>
      <w:r>
        <w:rPr>
          <w:rFonts w:hint="eastAsia"/>
        </w:rPr>
        <w:t>35-44</w:t>
      </w:r>
      <w:r>
        <w:rPr>
          <w:rFonts w:hint="eastAsia"/>
        </w:rPr>
        <w:t>岁年龄组中，参加培训的妇女占</w:t>
      </w:r>
      <w:r>
        <w:rPr>
          <w:rFonts w:hint="eastAsia"/>
        </w:rPr>
        <w:t>3.1%</w:t>
      </w:r>
      <w:r>
        <w:rPr>
          <w:rFonts w:hint="eastAsia"/>
        </w:rPr>
        <w:t>，男子只占</w:t>
      </w:r>
      <w:r>
        <w:rPr>
          <w:rFonts w:hint="eastAsia"/>
        </w:rPr>
        <w:t>1.6%</w:t>
      </w:r>
      <w:r>
        <w:rPr>
          <w:rFonts w:hint="eastAsia"/>
        </w:rPr>
        <w:t>。其他年龄组存在类似的差异。成人培训中也出现了类似的不平衡趋势：攻读工业、技术和建筑学科的人中妇女不足</w:t>
      </w:r>
      <w:r>
        <w:rPr>
          <w:rFonts w:hint="eastAsia"/>
        </w:rPr>
        <w:t>20%</w:t>
      </w:r>
      <w:r>
        <w:rPr>
          <w:rFonts w:hint="eastAsia"/>
        </w:rPr>
        <w:t>，而攻读教育、文化和个人服务学科的人中</w:t>
      </w:r>
      <w:r>
        <w:rPr>
          <w:rFonts w:hint="eastAsia"/>
        </w:rPr>
        <w:t>70-80%</w:t>
      </w:r>
      <w:r>
        <w:rPr>
          <w:rFonts w:hint="eastAsia"/>
        </w:rPr>
        <w:t>是妇女。</w:t>
      </w:r>
    </w:p>
    <w:p w:rsidR="00CE1FDA" w:rsidRDefault="00CE1FDA">
      <w:pPr>
        <w:spacing w:after="240" w:line="360" w:lineRule="exact"/>
        <w:rPr>
          <w:rFonts w:ascii="SimHei" w:eastAsia="SimHei" w:hint="eastAsia"/>
          <w:color w:val="FF0000"/>
        </w:rPr>
      </w:pPr>
      <w:r>
        <w:rPr>
          <w:rFonts w:ascii="SimHei" w:eastAsia="SimHei" w:hint="eastAsia"/>
          <w:color w:val="FF0000"/>
        </w:rPr>
        <w:t>g. 体育方面的机会平等</w:t>
      </w:r>
    </w:p>
    <w:p w:rsidR="00CE1FDA" w:rsidRDefault="00CE1FDA" w:rsidP="00AC01AA">
      <w:pPr>
        <w:spacing w:after="240" w:line="360" w:lineRule="exact"/>
        <w:ind w:firstLineChars="200" w:firstLine="31680"/>
        <w:rPr>
          <w:rFonts w:hint="eastAsia"/>
        </w:rPr>
      </w:pPr>
      <w:r>
        <w:rPr>
          <w:rFonts w:hint="eastAsia"/>
        </w:rPr>
        <w:t>在学校，男孩和女孩每周都必须参加数量相同的体育课。但是，女孩参加课外体育活动的比例略低一些，学生体育俱乐部成员中女孩只占</w:t>
      </w:r>
      <w:r>
        <w:rPr>
          <w:rFonts w:hint="eastAsia"/>
        </w:rPr>
        <w:t>46%</w:t>
      </w:r>
      <w:r>
        <w:rPr>
          <w:rFonts w:hint="eastAsia"/>
        </w:rPr>
        <w:t>。</w:t>
      </w:r>
    </w:p>
    <w:p w:rsidR="00CE1FDA" w:rsidRDefault="00CE1FDA">
      <w:pPr>
        <w:spacing w:after="240" w:line="360" w:lineRule="exact"/>
        <w:rPr>
          <w:rFonts w:ascii="SimHei" w:eastAsia="SimHei" w:hint="eastAsia"/>
          <w:color w:val="FF0000"/>
        </w:rPr>
      </w:pPr>
      <w:r>
        <w:rPr>
          <w:rFonts w:ascii="SimHei" w:eastAsia="SimHei" w:hint="eastAsia"/>
          <w:color w:val="FF0000"/>
        </w:rPr>
        <w:t>h. 健康教育</w:t>
      </w:r>
    </w:p>
    <w:p w:rsidR="00CE1FDA" w:rsidRDefault="00CE1FDA" w:rsidP="00AC01AA">
      <w:pPr>
        <w:spacing w:after="240" w:line="360" w:lineRule="exact"/>
        <w:ind w:firstLineChars="200" w:firstLine="31680"/>
        <w:rPr>
          <w:rFonts w:hint="eastAsia"/>
        </w:rPr>
      </w:pPr>
      <w:r>
        <w:rPr>
          <w:rFonts w:hint="eastAsia"/>
        </w:rPr>
        <w:t>关于健康教育，没有按性别细分的数据。</w:t>
      </w:r>
    </w:p>
    <w:p w:rsidR="00CE1FDA" w:rsidRDefault="00CE1FDA">
      <w:pPr>
        <w:spacing w:after="240" w:line="360" w:lineRule="exact"/>
        <w:rPr>
          <w:rFonts w:ascii="SimHei" w:eastAsia="SimHei" w:hint="eastAsia"/>
          <w:color w:val="FF0000"/>
          <w:sz w:val="24"/>
        </w:rPr>
      </w:pPr>
      <w:r>
        <w:rPr>
          <w:rFonts w:ascii="SimHei" w:eastAsia="SimHei" w:hint="eastAsia"/>
          <w:color w:val="FF0000"/>
          <w:sz w:val="24"/>
        </w:rPr>
        <w:t>第11条：就业</w:t>
      </w:r>
    </w:p>
    <w:p w:rsidR="00CE1FDA" w:rsidRDefault="00CE1FDA" w:rsidP="00AC01AA">
      <w:pPr>
        <w:spacing w:after="240" w:line="360" w:lineRule="exact"/>
        <w:ind w:firstLineChars="200" w:firstLine="31680"/>
        <w:rPr>
          <w:rFonts w:hint="eastAsia"/>
        </w:rPr>
      </w:pPr>
      <w:r>
        <w:rPr>
          <w:rFonts w:hint="eastAsia"/>
        </w:rPr>
        <w:t>2000-2005</w:t>
      </w:r>
      <w:r>
        <w:rPr>
          <w:rFonts w:hint="eastAsia"/>
        </w:rPr>
        <w:t>年，在匈牙利</w:t>
      </w:r>
      <w:r>
        <w:rPr>
          <w:rFonts w:hint="eastAsia"/>
        </w:rPr>
        <w:t>15-64</w:t>
      </w:r>
      <w:r>
        <w:rPr>
          <w:rFonts w:hint="eastAsia"/>
        </w:rPr>
        <w:t>岁年龄组中，就业人数只增加了</w:t>
      </w:r>
      <w:r>
        <w:rPr>
          <w:rFonts w:hint="eastAsia"/>
        </w:rPr>
        <w:t>1.2%</w:t>
      </w:r>
      <w:r>
        <w:rPr>
          <w:rFonts w:hint="eastAsia"/>
        </w:rPr>
        <w:t>。其中，男女就业率分别增长了</w:t>
      </w:r>
      <w:r>
        <w:rPr>
          <w:rFonts w:hint="eastAsia"/>
        </w:rPr>
        <w:t>2.1%</w:t>
      </w:r>
      <w:r>
        <w:rPr>
          <w:rFonts w:hint="eastAsia"/>
        </w:rPr>
        <w:t>和</w:t>
      </w:r>
      <w:r>
        <w:rPr>
          <w:rFonts w:hint="eastAsia"/>
        </w:rPr>
        <w:t>0.5%</w:t>
      </w:r>
      <w:r>
        <w:rPr>
          <w:rFonts w:hint="eastAsia"/>
        </w:rPr>
        <w:t>。妇女就业率过去低于男子</w:t>
      </w:r>
      <w:r>
        <w:rPr>
          <w:rFonts w:hint="eastAsia"/>
        </w:rPr>
        <w:t>13.1%</w:t>
      </w:r>
      <w:r>
        <w:rPr>
          <w:rFonts w:hint="eastAsia"/>
        </w:rPr>
        <w:t>，但到目前为止，这一差距缩小为</w:t>
      </w:r>
      <w:r>
        <w:rPr>
          <w:rFonts w:hint="eastAsia"/>
        </w:rPr>
        <w:t>12.1%</w:t>
      </w:r>
      <w:r>
        <w:rPr>
          <w:rFonts w:hint="eastAsia"/>
        </w:rPr>
        <w:t>。</w:t>
      </w:r>
      <w:r>
        <w:rPr>
          <w:rFonts w:hint="eastAsia"/>
        </w:rPr>
        <w:t>2005</w:t>
      </w:r>
      <w:r>
        <w:rPr>
          <w:rFonts w:hint="eastAsia"/>
        </w:rPr>
        <w:t>年，</w:t>
      </w:r>
      <w:r>
        <w:rPr>
          <w:rFonts w:hint="eastAsia"/>
        </w:rPr>
        <w:t xml:space="preserve"> 15-64</w:t>
      </w:r>
      <w:r>
        <w:rPr>
          <w:rFonts w:hint="eastAsia"/>
        </w:rPr>
        <w:t>岁从事有薪工作的妇女占</w:t>
      </w:r>
      <w:r>
        <w:rPr>
          <w:rFonts w:hint="eastAsia"/>
        </w:rPr>
        <w:t>51%</w:t>
      </w:r>
      <w:r>
        <w:rPr>
          <w:rFonts w:hint="eastAsia"/>
        </w:rPr>
        <w:t>，而</w:t>
      </w:r>
      <w:r>
        <w:rPr>
          <w:rFonts w:hint="eastAsia"/>
        </w:rPr>
        <w:t>2000</w:t>
      </w:r>
      <w:r>
        <w:rPr>
          <w:rFonts w:hint="eastAsia"/>
        </w:rPr>
        <w:t>年为</w:t>
      </w:r>
      <w:r>
        <w:rPr>
          <w:rFonts w:hint="eastAsia"/>
        </w:rPr>
        <w:t>49.6%</w:t>
      </w:r>
      <w:r>
        <w:rPr>
          <w:rFonts w:hint="eastAsia"/>
        </w:rPr>
        <w:t>。</w:t>
      </w:r>
      <w:r>
        <w:rPr>
          <w:rFonts w:hint="eastAsia"/>
        </w:rPr>
        <w:t xml:space="preserve"> </w:t>
      </w:r>
      <w:r>
        <w:rPr>
          <w:rFonts w:hint="eastAsia"/>
        </w:rPr>
        <w:t>男子相应的比率从</w:t>
      </w:r>
      <w:r>
        <w:rPr>
          <w:rFonts w:hint="eastAsia"/>
        </w:rPr>
        <w:t>62.7%</w:t>
      </w:r>
      <w:r>
        <w:rPr>
          <w:rFonts w:hint="eastAsia"/>
        </w:rPr>
        <w:t>增加到</w:t>
      </w:r>
      <w:r>
        <w:rPr>
          <w:rFonts w:hint="eastAsia"/>
        </w:rPr>
        <w:t>63.1%</w:t>
      </w:r>
      <w:r>
        <w:rPr>
          <w:rFonts w:hint="eastAsia"/>
        </w:rPr>
        <w:t>。</w:t>
      </w:r>
    </w:p>
    <w:p w:rsidR="00CE1FDA" w:rsidRDefault="00CE1FDA">
      <w:pPr>
        <w:spacing w:after="240" w:line="360" w:lineRule="exact"/>
        <w:rPr>
          <w:rFonts w:ascii="SimHei" w:eastAsia="SimHei" w:hint="eastAsia"/>
          <w:color w:val="FF0000"/>
        </w:rPr>
      </w:pPr>
      <w:r>
        <w:rPr>
          <w:rFonts w:ascii="SimHei" w:eastAsia="SimHei" w:hint="eastAsia"/>
          <w:color w:val="FF0000"/>
        </w:rPr>
        <w:t>1． 就业歧视</w:t>
      </w:r>
    </w:p>
    <w:p w:rsidR="00CE1FDA" w:rsidRDefault="00CE1FDA">
      <w:pPr>
        <w:spacing w:after="240" w:line="360" w:lineRule="exact"/>
        <w:rPr>
          <w:rFonts w:ascii="SimHei" w:eastAsia="SimHei" w:hint="eastAsia"/>
          <w:color w:val="FF0000"/>
        </w:rPr>
      </w:pPr>
      <w:r>
        <w:rPr>
          <w:rFonts w:ascii="SimHei" w:eastAsia="SimHei" w:hint="eastAsia"/>
          <w:color w:val="FF0000"/>
        </w:rPr>
        <w:t>（a）从事有薪工作的机会</w:t>
      </w:r>
    </w:p>
    <w:p w:rsidR="00CE1FDA" w:rsidRDefault="00CE1FDA">
      <w:pPr>
        <w:spacing w:after="240" w:line="360" w:lineRule="exact"/>
        <w:rPr>
          <w:rFonts w:eastAsia="KaiTi_GB2312" w:hint="eastAsia"/>
          <w:color w:val="0000FF"/>
        </w:rPr>
      </w:pPr>
      <w:r>
        <w:rPr>
          <w:rFonts w:eastAsia="KaiTi_GB2312" w:hint="eastAsia"/>
          <w:color w:val="0000FF"/>
        </w:rPr>
        <w:t>就业率</w:t>
      </w:r>
    </w:p>
    <w:p w:rsidR="00CE1FDA" w:rsidRDefault="00CE1FDA" w:rsidP="00AC01AA">
      <w:pPr>
        <w:spacing w:after="240" w:line="360" w:lineRule="exact"/>
        <w:ind w:firstLineChars="200" w:firstLine="31680"/>
        <w:rPr>
          <w:rFonts w:hint="eastAsia"/>
        </w:rPr>
      </w:pPr>
      <w:r>
        <w:rPr>
          <w:rFonts w:hint="eastAsia"/>
        </w:rPr>
        <w:t>自</w:t>
      </w:r>
      <w:r>
        <w:rPr>
          <w:rFonts w:hint="eastAsia"/>
        </w:rPr>
        <w:t>2000</w:t>
      </w:r>
      <w:r>
        <w:rPr>
          <w:rFonts w:hint="eastAsia"/>
        </w:rPr>
        <w:t>年以来，匈牙利劳动力市场经历了重大的结构变革，与男子相比，这一转变更有利于妇女，使男女之间的就业率差距从</w:t>
      </w:r>
      <w:r>
        <w:rPr>
          <w:rFonts w:hint="eastAsia"/>
        </w:rPr>
        <w:t>2000</w:t>
      </w:r>
      <w:r>
        <w:rPr>
          <w:rFonts w:hint="eastAsia"/>
        </w:rPr>
        <w:t>年的</w:t>
      </w:r>
      <w:r>
        <w:rPr>
          <w:rFonts w:hint="eastAsia"/>
        </w:rPr>
        <w:t>13.1%</w:t>
      </w:r>
      <w:r>
        <w:rPr>
          <w:rFonts w:hint="eastAsia"/>
        </w:rPr>
        <w:t>缩小到</w:t>
      </w:r>
      <w:r>
        <w:rPr>
          <w:rFonts w:hint="eastAsia"/>
        </w:rPr>
        <w:t>2005</w:t>
      </w:r>
      <w:r>
        <w:rPr>
          <w:rFonts w:hint="eastAsia"/>
        </w:rPr>
        <w:t>年的</w:t>
      </w:r>
      <w:r>
        <w:rPr>
          <w:rFonts w:hint="eastAsia"/>
        </w:rPr>
        <w:t>12.1%</w:t>
      </w:r>
      <w:r>
        <w:rPr>
          <w:rFonts w:hint="eastAsia"/>
        </w:rPr>
        <w:t>（表</w:t>
      </w:r>
      <w:r>
        <w:rPr>
          <w:rFonts w:hint="eastAsia"/>
        </w:rPr>
        <w:t>11.1</w:t>
      </w:r>
      <w:r>
        <w:rPr>
          <w:rFonts w:hint="eastAsia"/>
        </w:rPr>
        <w:t>）。国内就业率实际上仍低于</w:t>
      </w:r>
      <w:r>
        <w:rPr>
          <w:rFonts w:hint="eastAsia"/>
        </w:rPr>
        <w:t>25</w:t>
      </w:r>
      <w:r>
        <w:rPr>
          <w:rFonts w:hint="eastAsia"/>
        </w:rPr>
        <w:t>个欧盟成员国的平均数。</w:t>
      </w:r>
      <w:r>
        <w:rPr>
          <w:rFonts w:hint="eastAsia"/>
        </w:rPr>
        <w:t>2004</w:t>
      </w:r>
      <w:r>
        <w:rPr>
          <w:rFonts w:hint="eastAsia"/>
        </w:rPr>
        <w:t>年，男女就业率分别为</w:t>
      </w:r>
      <w:r>
        <w:t>5</w:t>
      </w:r>
      <w:r>
        <w:rPr>
          <w:rFonts w:hint="eastAsia"/>
        </w:rPr>
        <w:t>%</w:t>
      </w:r>
      <w:r>
        <w:rPr>
          <w:rFonts w:hint="eastAsia"/>
        </w:rPr>
        <w:t>和</w:t>
      </w:r>
      <w:r>
        <w:rPr>
          <w:rFonts w:hint="eastAsia"/>
        </w:rPr>
        <w:t>7</w:t>
      </w:r>
      <w:r>
        <w:t>.8</w:t>
      </w:r>
      <w:r>
        <w:rPr>
          <w:rFonts w:hint="eastAsia"/>
        </w:rPr>
        <w:t>%</w:t>
      </w:r>
      <w:r>
        <w:rPr>
          <w:rFonts w:hint="eastAsia"/>
        </w:rPr>
        <w:t>，低于欧盟的平均数（表</w:t>
      </w:r>
      <w:r>
        <w:rPr>
          <w:rFonts w:hint="eastAsia"/>
        </w:rPr>
        <w:t>11.2</w:t>
      </w:r>
      <w:r>
        <w:rPr>
          <w:rFonts w:hint="eastAsia"/>
        </w:rPr>
        <w:t>）。</w:t>
      </w:r>
      <w:r>
        <w:rPr>
          <w:rFonts w:hint="eastAsia"/>
        </w:rPr>
        <w:t>24-54</w:t>
      </w:r>
      <w:r>
        <w:rPr>
          <w:rFonts w:hint="eastAsia"/>
        </w:rPr>
        <w:t>岁年龄组的就业率——从就业方面讲是最理想的年龄组——只低于欧盟</w:t>
      </w:r>
      <w:r>
        <w:rPr>
          <w:rFonts w:hint="eastAsia"/>
        </w:rPr>
        <w:t>25</w:t>
      </w:r>
      <w:r>
        <w:rPr>
          <w:rFonts w:hint="eastAsia"/>
        </w:rPr>
        <w:t>国平均数的</w:t>
      </w:r>
      <w:r>
        <w:rPr>
          <w:rFonts w:hint="eastAsia"/>
        </w:rPr>
        <w:t>1.5%</w:t>
      </w:r>
      <w:r>
        <w:rPr>
          <w:rFonts w:hint="eastAsia"/>
        </w:rPr>
        <w:t>。相比之下，男子就业率低于欧盟平均数的</w:t>
      </w:r>
      <w:r>
        <w:rPr>
          <w:rFonts w:hint="eastAsia"/>
        </w:rPr>
        <w:t>6%</w:t>
      </w:r>
      <w:r>
        <w:rPr>
          <w:rFonts w:hint="eastAsia"/>
        </w:rPr>
        <w:t>。其原因可能是很多人在“非正式”部门或有组织的劳动力市场之外工作。就业率较低还与非全日就业率低有关，至少妇女是这样。</w:t>
      </w:r>
      <w:r>
        <w:rPr>
          <w:rFonts w:hint="eastAsia"/>
        </w:rPr>
        <w:t>2004</w:t>
      </w:r>
      <w:r>
        <w:rPr>
          <w:rFonts w:hint="eastAsia"/>
        </w:rPr>
        <w:t>年，匈牙利</w:t>
      </w:r>
      <w:r>
        <w:rPr>
          <w:rFonts w:hint="eastAsia"/>
        </w:rPr>
        <w:t>3.2%</w:t>
      </w:r>
      <w:r>
        <w:rPr>
          <w:rFonts w:hint="eastAsia"/>
        </w:rPr>
        <w:t>的男子和</w:t>
      </w:r>
      <w:r>
        <w:rPr>
          <w:rFonts w:hint="eastAsia"/>
        </w:rPr>
        <w:t>6.3%</w:t>
      </w:r>
      <w:r>
        <w:rPr>
          <w:rFonts w:hint="eastAsia"/>
        </w:rPr>
        <w:t>的妇女从事非全日工作，欧盟</w:t>
      </w:r>
      <w:r>
        <w:rPr>
          <w:rFonts w:hint="eastAsia"/>
        </w:rPr>
        <w:t>25</w:t>
      </w:r>
      <w:r>
        <w:rPr>
          <w:rFonts w:hint="eastAsia"/>
        </w:rPr>
        <w:t>国相应的数字为</w:t>
      </w:r>
      <w:r>
        <w:rPr>
          <w:rFonts w:hint="eastAsia"/>
        </w:rPr>
        <w:t>7%</w:t>
      </w:r>
      <w:r>
        <w:rPr>
          <w:rFonts w:hint="eastAsia"/>
        </w:rPr>
        <w:t>和</w:t>
      </w:r>
      <w:r>
        <w:rPr>
          <w:rFonts w:hint="eastAsia"/>
        </w:rPr>
        <w:t>31.4%</w:t>
      </w:r>
      <w:r>
        <w:rPr>
          <w:rFonts w:hint="eastAsia"/>
        </w:rPr>
        <w:t>（表</w:t>
      </w:r>
      <w:r>
        <w:rPr>
          <w:rFonts w:hint="eastAsia"/>
        </w:rPr>
        <w:t>11.3</w:t>
      </w:r>
      <w:r>
        <w:rPr>
          <w:rFonts w:hint="eastAsia"/>
        </w:rPr>
        <w:t>）。</w:t>
      </w:r>
    </w:p>
    <w:p w:rsidR="00CE1FDA" w:rsidRDefault="00CE1FDA">
      <w:pPr>
        <w:spacing w:after="240" w:line="360" w:lineRule="exact"/>
        <w:rPr>
          <w:rFonts w:eastAsia="KaiTi_GB2312" w:hint="eastAsia"/>
          <w:color w:val="0000FF"/>
        </w:rPr>
      </w:pPr>
      <w:r>
        <w:rPr>
          <w:rFonts w:eastAsia="KaiTi_GB2312" w:hint="eastAsia"/>
          <w:color w:val="0000FF"/>
        </w:rPr>
        <w:t>失业情况</w:t>
      </w:r>
    </w:p>
    <w:p w:rsidR="00CE1FDA" w:rsidRDefault="00CE1FDA" w:rsidP="00AC01AA">
      <w:pPr>
        <w:spacing w:after="240" w:line="360" w:lineRule="exact"/>
        <w:ind w:firstLineChars="200" w:firstLine="31680"/>
        <w:rPr>
          <w:rFonts w:hint="eastAsia"/>
        </w:rPr>
      </w:pPr>
      <w:r>
        <w:rPr>
          <w:rFonts w:hint="eastAsia"/>
        </w:rPr>
        <w:t>到</w:t>
      </w:r>
      <w:r>
        <w:rPr>
          <w:rFonts w:hint="eastAsia"/>
        </w:rPr>
        <w:t>2004</w:t>
      </w:r>
      <w:r>
        <w:rPr>
          <w:rFonts w:hint="eastAsia"/>
        </w:rPr>
        <w:t>年，男女失业率趋于平衡（表</w:t>
      </w:r>
      <w:r>
        <w:rPr>
          <w:rFonts w:hint="eastAsia"/>
        </w:rPr>
        <w:t>11.5</w:t>
      </w:r>
      <w:r>
        <w:rPr>
          <w:rFonts w:hint="eastAsia"/>
        </w:rPr>
        <w:t>）。</w:t>
      </w:r>
      <w:r>
        <w:rPr>
          <w:rFonts w:hint="eastAsia"/>
        </w:rPr>
        <w:t>2005</w:t>
      </w:r>
      <w:r>
        <w:rPr>
          <w:rFonts w:hint="eastAsia"/>
        </w:rPr>
        <w:t>年，这一方面是因为越来越多的工厂倒闭，另一方面是存在一些有利的条件，促使非就业者寻求就业——失业人数增长越来越快，妇女失业率达到</w:t>
      </w:r>
      <w:r>
        <w:rPr>
          <w:rFonts w:hint="eastAsia"/>
        </w:rPr>
        <w:t>7.5%</w:t>
      </w:r>
      <w:r>
        <w:rPr>
          <w:rFonts w:hint="eastAsia"/>
        </w:rPr>
        <w:t>，超过男子</w:t>
      </w:r>
      <w:r>
        <w:rPr>
          <w:rFonts w:hint="eastAsia"/>
        </w:rPr>
        <w:t>7%</w:t>
      </w:r>
      <w:r>
        <w:rPr>
          <w:rFonts w:hint="eastAsia"/>
        </w:rPr>
        <w:t>的失业率。</w:t>
      </w:r>
      <w:r>
        <w:rPr>
          <w:rFonts w:hint="eastAsia"/>
        </w:rPr>
        <w:t>2005</w:t>
      </w:r>
      <w:r>
        <w:rPr>
          <w:rFonts w:hint="eastAsia"/>
        </w:rPr>
        <w:t>年，长期失业（即超过一年）的男女分别占</w:t>
      </w:r>
      <w:r>
        <w:rPr>
          <w:rFonts w:hint="eastAsia"/>
        </w:rPr>
        <w:t>46.9%</w:t>
      </w:r>
      <w:r>
        <w:rPr>
          <w:rFonts w:hint="eastAsia"/>
        </w:rPr>
        <w:t>和</w:t>
      </w:r>
      <w:r>
        <w:rPr>
          <w:rFonts w:hint="eastAsia"/>
        </w:rPr>
        <w:t>43.3%</w:t>
      </w:r>
      <w:r>
        <w:rPr>
          <w:rFonts w:hint="eastAsia"/>
        </w:rPr>
        <w:t>。妇女平均失业时间比男子短大约两个月（分别为</w:t>
      </w:r>
      <w:r>
        <w:rPr>
          <w:rFonts w:hint="eastAsia"/>
        </w:rPr>
        <w:t>15</w:t>
      </w:r>
      <w:r>
        <w:rPr>
          <w:rFonts w:hint="eastAsia"/>
        </w:rPr>
        <w:t>个月或</w:t>
      </w:r>
      <w:r>
        <w:rPr>
          <w:rFonts w:hint="eastAsia"/>
        </w:rPr>
        <w:t>16.9</w:t>
      </w:r>
      <w:r>
        <w:rPr>
          <w:rFonts w:hint="eastAsia"/>
        </w:rPr>
        <w:t>个月）。</w:t>
      </w:r>
    </w:p>
    <w:p w:rsidR="00CE1FDA" w:rsidRDefault="00CE1FDA">
      <w:pPr>
        <w:spacing w:after="240" w:line="360" w:lineRule="exact"/>
        <w:rPr>
          <w:rFonts w:eastAsia="KaiTi_GB2312" w:hint="eastAsia"/>
          <w:color w:val="0000FF"/>
        </w:rPr>
      </w:pPr>
      <w:r>
        <w:rPr>
          <w:rFonts w:eastAsia="KaiTi_GB2312" w:hint="eastAsia"/>
          <w:color w:val="0000FF"/>
        </w:rPr>
        <w:t>未进入劳动力市场</w:t>
      </w:r>
    </w:p>
    <w:p w:rsidR="00CE1FDA" w:rsidRDefault="00CE1FDA" w:rsidP="00AC01AA">
      <w:pPr>
        <w:spacing w:after="240" w:line="360" w:lineRule="exact"/>
        <w:ind w:firstLineChars="200" w:firstLine="31680"/>
        <w:rPr>
          <w:rFonts w:hint="eastAsia"/>
          <w:spacing w:val="-4"/>
        </w:rPr>
      </w:pPr>
      <w:r>
        <w:rPr>
          <w:rFonts w:hint="eastAsia"/>
          <w:spacing w:val="-4"/>
        </w:rPr>
        <w:t>属在业年龄的非在业人员群体由四类人员构成：学生、养恤金领取者、依靠子女补助金生活者（儿童保育援助、儿童保育津贴、儿童保育支助费）以及所谓的“其他”非在业者群体。他们大多数——近</w:t>
      </w:r>
      <w:r>
        <w:rPr>
          <w:rFonts w:hint="eastAsia"/>
          <w:spacing w:val="-4"/>
        </w:rPr>
        <w:t>60%</w:t>
      </w:r>
      <w:r>
        <w:rPr>
          <w:rFonts w:hint="eastAsia"/>
          <w:spacing w:val="-4"/>
        </w:rPr>
        <w:t>——是妇女。</w:t>
      </w:r>
    </w:p>
    <w:p w:rsidR="00CE1FDA" w:rsidRDefault="00CE1FDA" w:rsidP="00AC01AA">
      <w:pPr>
        <w:spacing w:after="240" w:line="360" w:lineRule="exact"/>
        <w:ind w:firstLineChars="200" w:firstLine="31680"/>
        <w:rPr>
          <w:rFonts w:hint="eastAsia"/>
        </w:rPr>
      </w:pPr>
      <w:r>
        <w:rPr>
          <w:rFonts w:hint="eastAsia"/>
        </w:rPr>
        <w:t>约三分之一的非在业者继续他们的学业。新千年到来之后，教育仍在继续扩大。年轻人获得更高资格的比例越来越大，由此提高了其就业机会，并能够挣到更高的工资。全日制教育中，女孩和男孩的相对比例——就绝对数字而言——几年来大致保持不变。</w:t>
      </w:r>
    </w:p>
    <w:p w:rsidR="00CE1FDA" w:rsidRDefault="00CE1FDA" w:rsidP="00AC01AA">
      <w:pPr>
        <w:spacing w:after="240" w:line="360" w:lineRule="exact"/>
        <w:ind w:firstLineChars="200" w:firstLine="31680"/>
        <w:rPr>
          <w:rFonts w:hint="eastAsia"/>
        </w:rPr>
      </w:pPr>
      <w:r>
        <w:rPr>
          <w:rFonts w:hint="eastAsia"/>
        </w:rPr>
        <w:t>提前退休也成为一种主要的非就业形式（</w:t>
      </w:r>
      <w:r>
        <w:rPr>
          <w:rFonts w:hint="eastAsia"/>
        </w:rPr>
        <w:t>31%</w:t>
      </w:r>
      <w:r>
        <w:rPr>
          <w:rFonts w:hint="eastAsia"/>
        </w:rPr>
        <w:t>）。自</w:t>
      </w:r>
      <w:r>
        <w:rPr>
          <w:rFonts w:hint="eastAsia"/>
        </w:rPr>
        <w:t>2000</w:t>
      </w:r>
      <w:r>
        <w:rPr>
          <w:rFonts w:hint="eastAsia"/>
        </w:rPr>
        <w:t>年以来，这个大群体的人数有所增加，男女分别增长了</w:t>
      </w:r>
      <w:r>
        <w:rPr>
          <w:rFonts w:hint="eastAsia"/>
        </w:rPr>
        <w:t>28%</w:t>
      </w:r>
      <w:r>
        <w:rPr>
          <w:rFonts w:hint="eastAsia"/>
        </w:rPr>
        <w:t>和</w:t>
      </w:r>
      <w:r>
        <w:rPr>
          <w:rFonts w:hint="eastAsia"/>
        </w:rPr>
        <w:t>5%</w:t>
      </w:r>
      <w:r>
        <w:rPr>
          <w:rFonts w:hint="eastAsia"/>
        </w:rPr>
        <w:t>。在业年龄的养恤金领取者中，妇女的比率没有变化；</w:t>
      </w:r>
      <w:r>
        <w:rPr>
          <w:rFonts w:hint="eastAsia"/>
        </w:rPr>
        <w:t>2000</w:t>
      </w:r>
      <w:r>
        <w:rPr>
          <w:rFonts w:hint="eastAsia"/>
        </w:rPr>
        <w:t>年和</w:t>
      </w:r>
      <w:r>
        <w:rPr>
          <w:rFonts w:hint="eastAsia"/>
        </w:rPr>
        <w:t>2005</w:t>
      </w:r>
      <w:r>
        <w:rPr>
          <w:rFonts w:hint="eastAsia"/>
        </w:rPr>
        <w:t>年大约为</w:t>
      </w:r>
      <w:r>
        <w:rPr>
          <w:rFonts w:hint="eastAsia"/>
        </w:rPr>
        <w:t>42-43%</w:t>
      </w:r>
      <w:r>
        <w:rPr>
          <w:rFonts w:hint="eastAsia"/>
        </w:rPr>
        <w:t>。由于工作环境的原因（比如，采矿、武装组织、铁路公司等），许多妇女还未到正式退休年龄就辞退了工作。另一个大的退休群体由有健康缺陷者构成。最初，养恤金领取者退休人数增加是由劳动力市场的状况造成的，但是如今，这类退休实际上已不可能。如果快到退休年龄的人已经过了领取定期失业救济金的时间段，可以向他们提供退休前失业补助。近年来，已采取了某些措施，帮助养恤金领取者就业。</w:t>
      </w:r>
    </w:p>
    <w:p w:rsidR="00CE1FDA" w:rsidRDefault="00CE1FDA" w:rsidP="00AC01AA">
      <w:pPr>
        <w:spacing w:after="240" w:line="360" w:lineRule="exact"/>
        <w:ind w:firstLineChars="200" w:firstLine="31680"/>
        <w:rPr>
          <w:rFonts w:hint="eastAsia"/>
        </w:rPr>
      </w:pPr>
      <w:r>
        <w:rPr>
          <w:rFonts w:hint="eastAsia"/>
        </w:rPr>
        <w:t>在就业年龄群体中，约</w:t>
      </w:r>
      <w:r>
        <w:rPr>
          <w:rFonts w:hint="eastAsia"/>
        </w:rPr>
        <w:t>8-9%</w:t>
      </w:r>
      <w:r>
        <w:rPr>
          <w:rFonts w:hint="eastAsia"/>
        </w:rPr>
        <w:t>的妇女享有儿童保育假，依靠儿童保育援助、儿童保育补助金和儿童保</w:t>
      </w:r>
      <w:r>
        <w:rPr>
          <w:rFonts w:hint="eastAsia"/>
        </w:rPr>
        <w:t xml:space="preserve">     </w:t>
      </w:r>
      <w:r>
        <w:rPr>
          <w:rFonts w:hint="eastAsia"/>
        </w:rPr>
        <w:t>育支助费生活。其人数从</w:t>
      </w:r>
      <w:r>
        <w:rPr>
          <w:rFonts w:hint="eastAsia"/>
        </w:rPr>
        <w:t>2000</w:t>
      </w:r>
      <w:r>
        <w:rPr>
          <w:rFonts w:hint="eastAsia"/>
        </w:rPr>
        <w:t>年的</w:t>
      </w:r>
      <w:r>
        <w:rPr>
          <w:rFonts w:hint="eastAsia"/>
        </w:rPr>
        <w:t>295 000</w:t>
      </w:r>
      <w:r>
        <w:rPr>
          <w:rFonts w:hint="eastAsia"/>
        </w:rPr>
        <w:t>降到</w:t>
      </w:r>
      <w:r>
        <w:rPr>
          <w:rFonts w:hint="eastAsia"/>
        </w:rPr>
        <w:t>2005</w:t>
      </w:r>
      <w:r>
        <w:rPr>
          <w:rFonts w:hint="eastAsia"/>
        </w:rPr>
        <w:t>年的</w:t>
      </w:r>
      <w:r>
        <w:rPr>
          <w:rFonts w:hint="eastAsia"/>
        </w:rPr>
        <w:t>282 000</w:t>
      </w:r>
      <w:r>
        <w:rPr>
          <w:rFonts w:hint="eastAsia"/>
        </w:rPr>
        <w:t>，但是靠儿童保育补助金的男子人数则从</w:t>
      </w:r>
      <w:r>
        <w:rPr>
          <w:rFonts w:hint="eastAsia"/>
        </w:rPr>
        <w:t>1 000</w:t>
      </w:r>
      <w:r>
        <w:rPr>
          <w:rFonts w:hint="eastAsia"/>
        </w:rPr>
        <w:t>增加到了</w:t>
      </w:r>
      <w:r>
        <w:rPr>
          <w:rFonts w:hint="eastAsia"/>
        </w:rPr>
        <w:t>10 000</w:t>
      </w:r>
      <w:r>
        <w:rPr>
          <w:rFonts w:hint="eastAsia"/>
        </w:rPr>
        <w:t>（更多详情见第</w:t>
      </w:r>
      <w:r>
        <w:rPr>
          <w:rFonts w:hint="eastAsia"/>
        </w:rPr>
        <w:t>2</w:t>
      </w:r>
      <w:r>
        <w:rPr>
          <w:rFonts w:hint="eastAsia"/>
        </w:rPr>
        <w:t>点）。</w:t>
      </w:r>
    </w:p>
    <w:p w:rsidR="00CE1FDA" w:rsidRDefault="00CE1FDA" w:rsidP="00AC01AA">
      <w:pPr>
        <w:spacing w:after="240" w:line="360" w:lineRule="exact"/>
        <w:ind w:firstLineChars="200" w:firstLine="31680"/>
        <w:rPr>
          <w:rFonts w:hint="eastAsia"/>
        </w:rPr>
      </w:pPr>
      <w:r>
        <w:rPr>
          <w:rFonts w:hint="eastAsia"/>
        </w:rPr>
        <w:t>2005</w:t>
      </w:r>
      <w:r>
        <w:rPr>
          <w:rFonts w:hint="eastAsia"/>
        </w:rPr>
        <w:t>年，不学习、不工作和并非失业的人为</w:t>
      </w:r>
      <w:r>
        <w:rPr>
          <w:rFonts w:hint="eastAsia"/>
        </w:rPr>
        <w:t>390 000</w:t>
      </w:r>
      <w:r>
        <w:rPr>
          <w:rFonts w:hint="eastAsia"/>
        </w:rPr>
        <w:t>（占在业年龄人口的</w:t>
      </w:r>
      <w:r>
        <w:rPr>
          <w:rFonts w:hint="eastAsia"/>
        </w:rPr>
        <w:t>6%</w:t>
      </w:r>
      <w:r>
        <w:rPr>
          <w:rFonts w:hint="eastAsia"/>
        </w:rPr>
        <w:t>），比五年前少了约</w:t>
      </w:r>
      <w:r>
        <w:rPr>
          <w:rFonts w:hint="eastAsia"/>
        </w:rPr>
        <w:t>30 000</w:t>
      </w:r>
      <w:r>
        <w:rPr>
          <w:rFonts w:hint="eastAsia"/>
        </w:rPr>
        <w:t>。在这一群体中，妇女所占比例（</w:t>
      </w:r>
      <w:r>
        <w:rPr>
          <w:rFonts w:hint="eastAsia"/>
        </w:rPr>
        <w:t>8%</w:t>
      </w:r>
      <w:r>
        <w:rPr>
          <w:rFonts w:hint="eastAsia"/>
        </w:rPr>
        <w:t>）高于男子（</w:t>
      </w:r>
      <w:r>
        <w:rPr>
          <w:rFonts w:hint="eastAsia"/>
        </w:rPr>
        <w:t>4.2%</w:t>
      </w:r>
      <w:r>
        <w:rPr>
          <w:rFonts w:hint="eastAsia"/>
        </w:rPr>
        <w:t>），其原因是，由于过去十年中实际工资不断下降，妇女为工资而工作越来越不值得。因为她们的报酬大大低于男子，而她们在家庭中的工作比男子更有价值。由于公共部门的工资上涨了</w:t>
      </w:r>
      <w:r>
        <w:rPr>
          <w:rFonts w:hint="eastAsia"/>
        </w:rPr>
        <w:t>50%</w:t>
      </w:r>
      <w:r>
        <w:rPr>
          <w:rFonts w:hint="eastAsia"/>
        </w:rPr>
        <w:t>，这些状况得到改善——但是问题并没有完全解决。</w:t>
      </w:r>
    </w:p>
    <w:p w:rsidR="00CE1FDA" w:rsidRDefault="00CE1FDA">
      <w:pPr>
        <w:spacing w:after="240" w:line="360" w:lineRule="exact"/>
        <w:rPr>
          <w:rFonts w:ascii="SimHei" w:eastAsia="SimHei" w:hint="eastAsia"/>
          <w:color w:val="FF0000"/>
        </w:rPr>
      </w:pPr>
      <w:r>
        <w:rPr>
          <w:rFonts w:ascii="SimHei" w:eastAsia="SimHei" w:hint="eastAsia"/>
          <w:color w:val="FF0000"/>
        </w:rPr>
        <w:t>b.  平等的就业机会</w:t>
      </w:r>
    </w:p>
    <w:p w:rsidR="00CE1FDA" w:rsidRDefault="00CE1FDA">
      <w:pPr>
        <w:spacing w:after="240" w:line="360" w:lineRule="exact"/>
        <w:rPr>
          <w:rFonts w:eastAsia="KaiTi_GB2312" w:hint="eastAsia"/>
          <w:color w:val="0000FF"/>
        </w:rPr>
      </w:pPr>
      <w:r>
        <w:rPr>
          <w:rFonts w:eastAsia="KaiTi_GB2312" w:hint="eastAsia"/>
          <w:color w:val="0000FF"/>
        </w:rPr>
        <w:t>就业男女群体结构上的变化</w:t>
      </w:r>
    </w:p>
    <w:p w:rsidR="00CE1FDA" w:rsidRDefault="00CE1FDA" w:rsidP="00AC01AA">
      <w:pPr>
        <w:spacing w:after="240" w:line="360" w:lineRule="exact"/>
        <w:ind w:firstLineChars="200" w:firstLine="31680"/>
        <w:rPr>
          <w:rFonts w:hint="eastAsia"/>
        </w:rPr>
      </w:pPr>
      <w:r>
        <w:rPr>
          <w:rFonts w:hint="eastAsia"/>
        </w:rPr>
        <w:t>某些群体，主要是教育程度较低的人（只读完小学，甚至没有读完小学）就业人数逐步减少，而拥有高等教育学历的人、熟练技术工人以及中等职业学校毕业生的人数则日益增加。因此，就业人员的教育程度已经提高。</w:t>
      </w:r>
    </w:p>
    <w:p w:rsidR="00CE1FDA" w:rsidRDefault="00CE1FDA" w:rsidP="00AC01AA">
      <w:pPr>
        <w:spacing w:after="240" w:line="360" w:lineRule="exact"/>
        <w:ind w:firstLineChars="200" w:firstLine="31680"/>
        <w:rPr>
          <w:rFonts w:hint="eastAsia"/>
        </w:rPr>
      </w:pPr>
      <w:r>
        <w:rPr>
          <w:rFonts w:hint="eastAsia"/>
        </w:rPr>
        <w:t>属于教育程度较低的妇女在比例上有所减少，而教育程度较高的妇女则日益增多，这表明，教育程度的提高给妇女带来的益处多于男子。一个特别令人满意的事实是，</w:t>
      </w:r>
      <w:r>
        <w:rPr>
          <w:rFonts w:hint="eastAsia"/>
        </w:rPr>
        <w:t>2000</w:t>
      </w:r>
      <w:r>
        <w:rPr>
          <w:rFonts w:hint="eastAsia"/>
        </w:rPr>
        <w:t>年至</w:t>
      </w:r>
      <w:r>
        <w:rPr>
          <w:rFonts w:hint="eastAsia"/>
        </w:rPr>
        <w:t>2005</w:t>
      </w:r>
      <w:r>
        <w:rPr>
          <w:rFonts w:hint="eastAsia"/>
        </w:rPr>
        <w:t>年，具有大专学历的就业妇女从</w:t>
      </w:r>
      <w:r>
        <w:rPr>
          <w:rFonts w:hint="eastAsia"/>
        </w:rPr>
        <w:t>57.9%</w:t>
      </w:r>
      <w:r>
        <w:rPr>
          <w:rFonts w:hint="eastAsia"/>
        </w:rPr>
        <w:t>增加到</w:t>
      </w:r>
      <w:r>
        <w:rPr>
          <w:rFonts w:hint="eastAsia"/>
        </w:rPr>
        <w:t>58.9%</w:t>
      </w:r>
      <w:r>
        <w:rPr>
          <w:rFonts w:hint="eastAsia"/>
        </w:rPr>
        <w:t>，其中具有大学学历的就业妇女从</w:t>
      </w:r>
      <w:r>
        <w:rPr>
          <w:rFonts w:hint="eastAsia"/>
        </w:rPr>
        <w:t>39.9%</w:t>
      </w:r>
      <w:r>
        <w:rPr>
          <w:rFonts w:hint="eastAsia"/>
        </w:rPr>
        <w:t>增加到</w:t>
      </w:r>
      <w:r>
        <w:rPr>
          <w:rFonts w:hint="eastAsia"/>
        </w:rPr>
        <w:t>43.4%</w:t>
      </w:r>
      <w:r>
        <w:rPr>
          <w:rFonts w:hint="eastAsia"/>
        </w:rPr>
        <w:t>。然而，还应注意到有关的实际职业，即这些资格持有者是否拥有高收入的工作，或是否拥有资格却难以找到工作。</w:t>
      </w:r>
    </w:p>
    <w:p w:rsidR="00CE1FDA" w:rsidRDefault="00CE1FDA">
      <w:pPr>
        <w:spacing w:after="240" w:line="360" w:lineRule="exact"/>
        <w:rPr>
          <w:rFonts w:eastAsia="KaiTi_GB2312" w:hint="eastAsia"/>
          <w:color w:val="0000FF"/>
        </w:rPr>
      </w:pPr>
      <w:r>
        <w:rPr>
          <w:rFonts w:eastAsia="KaiTi_GB2312" w:hint="eastAsia"/>
          <w:color w:val="0000FF"/>
        </w:rPr>
        <w:t>按部门和经济分支划分的就业结构</w:t>
      </w:r>
    </w:p>
    <w:p w:rsidR="00CE1FDA" w:rsidRDefault="00CE1FDA" w:rsidP="00AC01AA">
      <w:pPr>
        <w:spacing w:after="240" w:line="360" w:lineRule="exact"/>
        <w:ind w:firstLineChars="200" w:firstLine="31680"/>
        <w:rPr>
          <w:rFonts w:hint="eastAsia"/>
        </w:rPr>
      </w:pPr>
      <w:r>
        <w:rPr>
          <w:rFonts w:hint="eastAsia"/>
        </w:rPr>
        <w:t>男子和妇女集中于不同的经济分支，但是即使他们在同一分支工作，妇女的职位也与男子不同（表</w:t>
      </w:r>
      <w:r>
        <w:rPr>
          <w:rFonts w:hint="eastAsia"/>
        </w:rPr>
        <w:t>11.5</w:t>
      </w:r>
      <w:r>
        <w:rPr>
          <w:rFonts w:hint="eastAsia"/>
        </w:rPr>
        <w:t>）。所有挣工资的妇女中，从事农业工作的比例从</w:t>
      </w:r>
      <w:r>
        <w:rPr>
          <w:rFonts w:hint="eastAsia"/>
        </w:rPr>
        <w:t>2000</w:t>
      </w:r>
      <w:r>
        <w:rPr>
          <w:rFonts w:hint="eastAsia"/>
        </w:rPr>
        <w:t>年的</w:t>
      </w:r>
      <w:r>
        <w:rPr>
          <w:rFonts w:hint="eastAsia"/>
        </w:rPr>
        <w:t>3.6%</w:t>
      </w:r>
      <w:r>
        <w:rPr>
          <w:rFonts w:hint="eastAsia"/>
        </w:rPr>
        <w:t>下降至</w:t>
      </w:r>
      <w:r>
        <w:rPr>
          <w:rFonts w:hint="eastAsia"/>
        </w:rPr>
        <w:t>2005</w:t>
      </w:r>
      <w:r>
        <w:rPr>
          <w:rFonts w:hint="eastAsia"/>
        </w:rPr>
        <w:t>年的</w:t>
      </w:r>
      <w:r>
        <w:rPr>
          <w:rFonts w:hint="eastAsia"/>
        </w:rPr>
        <w:t>2.7%</w:t>
      </w:r>
      <w:r>
        <w:rPr>
          <w:rFonts w:hint="eastAsia"/>
        </w:rPr>
        <w:t>。相比较而言，从事农业工作的男子的比例仍为</w:t>
      </w:r>
      <w:r>
        <w:rPr>
          <w:rFonts w:hint="eastAsia"/>
        </w:rPr>
        <w:t>6.9%</w:t>
      </w:r>
      <w:r>
        <w:rPr>
          <w:rFonts w:hint="eastAsia"/>
        </w:rPr>
        <w:t>。在工业行业就业的比例也有所下降，但是下降的只是妇女：</w:t>
      </w:r>
      <w:r>
        <w:rPr>
          <w:rFonts w:hint="eastAsia"/>
        </w:rPr>
        <w:t>2000</w:t>
      </w:r>
      <w:r>
        <w:rPr>
          <w:rFonts w:hint="eastAsia"/>
        </w:rPr>
        <w:t>年和</w:t>
      </w:r>
      <w:r>
        <w:rPr>
          <w:rFonts w:hint="eastAsia"/>
        </w:rPr>
        <w:t>2005</w:t>
      </w:r>
      <w:r>
        <w:rPr>
          <w:rFonts w:hint="eastAsia"/>
        </w:rPr>
        <w:t>年，在工业部门工作的妇女比例分别为</w:t>
      </w:r>
      <w:r>
        <w:rPr>
          <w:rFonts w:hint="eastAsia"/>
        </w:rPr>
        <w:t>21.5%</w:t>
      </w:r>
      <w:r>
        <w:rPr>
          <w:rFonts w:hint="eastAsia"/>
        </w:rPr>
        <w:t>和</w:t>
      </w:r>
      <w:r>
        <w:rPr>
          <w:rFonts w:hint="eastAsia"/>
        </w:rPr>
        <w:t>21.2%</w:t>
      </w:r>
      <w:r>
        <w:rPr>
          <w:rFonts w:hint="eastAsia"/>
        </w:rPr>
        <w:t>。</w:t>
      </w:r>
    </w:p>
    <w:p w:rsidR="00CE1FDA" w:rsidRDefault="00CE1FDA" w:rsidP="00AC01AA">
      <w:pPr>
        <w:spacing w:after="240" w:line="360" w:lineRule="exact"/>
        <w:ind w:firstLineChars="200" w:firstLine="31680"/>
        <w:rPr>
          <w:rFonts w:hint="eastAsia"/>
        </w:rPr>
      </w:pPr>
      <w:r>
        <w:rPr>
          <w:rFonts w:hint="eastAsia"/>
        </w:rPr>
        <w:t>在服务部门工作的妇女比例从</w:t>
      </w:r>
      <w:r>
        <w:rPr>
          <w:rFonts w:hint="eastAsia"/>
        </w:rPr>
        <w:t>2000</w:t>
      </w:r>
      <w:r>
        <w:rPr>
          <w:rFonts w:hint="eastAsia"/>
        </w:rPr>
        <w:t>年的</w:t>
      </w:r>
      <w:r>
        <w:rPr>
          <w:rFonts w:hint="eastAsia"/>
        </w:rPr>
        <w:t>71.3%</w:t>
      </w:r>
      <w:r>
        <w:rPr>
          <w:rFonts w:hint="eastAsia"/>
        </w:rPr>
        <w:t>上升到</w:t>
      </w:r>
      <w:r>
        <w:rPr>
          <w:rFonts w:hint="eastAsia"/>
        </w:rPr>
        <w:t>2005</w:t>
      </w:r>
      <w:r>
        <w:rPr>
          <w:rFonts w:hint="eastAsia"/>
        </w:rPr>
        <w:t>年的</w:t>
      </w:r>
      <w:r>
        <w:rPr>
          <w:rFonts w:hint="eastAsia"/>
        </w:rPr>
        <w:t>76.1%</w:t>
      </w:r>
      <w:r>
        <w:rPr>
          <w:rFonts w:hint="eastAsia"/>
        </w:rPr>
        <w:t>（表</w:t>
      </w:r>
      <w:r>
        <w:rPr>
          <w:rFonts w:hint="eastAsia"/>
        </w:rPr>
        <w:t>11.6</w:t>
      </w:r>
      <w:r>
        <w:rPr>
          <w:rFonts w:hint="eastAsia"/>
        </w:rPr>
        <w:t>）。到</w:t>
      </w:r>
      <w:r>
        <w:rPr>
          <w:rFonts w:hint="eastAsia"/>
        </w:rPr>
        <w:t>2005</w:t>
      </w:r>
      <w:r>
        <w:rPr>
          <w:rFonts w:hint="eastAsia"/>
        </w:rPr>
        <w:t>年，在第三产业部门就业的总人数中，妇女的比例从</w:t>
      </w:r>
      <w:r>
        <w:rPr>
          <w:rFonts w:hint="eastAsia"/>
        </w:rPr>
        <w:t>2000</w:t>
      </w:r>
      <w:r>
        <w:rPr>
          <w:rFonts w:hint="eastAsia"/>
        </w:rPr>
        <w:t>年的</w:t>
      </w:r>
      <w:r>
        <w:rPr>
          <w:rFonts w:hint="eastAsia"/>
        </w:rPr>
        <w:t>54.4%</w:t>
      </w:r>
      <w:r>
        <w:rPr>
          <w:rFonts w:hint="eastAsia"/>
        </w:rPr>
        <w:t>上升到</w:t>
      </w:r>
      <w:r>
        <w:rPr>
          <w:rFonts w:hint="eastAsia"/>
        </w:rPr>
        <w:t>55.6%</w:t>
      </w:r>
      <w:r>
        <w:rPr>
          <w:rFonts w:hint="eastAsia"/>
        </w:rPr>
        <w:t>。在“其他社区服务”类、贸易、商业接待、公共管理和卫生</w:t>
      </w:r>
      <w:r>
        <w:rPr>
          <w:rFonts w:hint="eastAsia"/>
        </w:rPr>
        <w:t>/</w:t>
      </w:r>
      <w:r>
        <w:rPr>
          <w:rFonts w:hint="eastAsia"/>
        </w:rPr>
        <w:t>社会</w:t>
      </w:r>
      <w:r>
        <w:rPr>
          <w:rFonts w:hint="eastAsia"/>
        </w:rPr>
        <w:t>/</w:t>
      </w:r>
      <w:r>
        <w:rPr>
          <w:rFonts w:hint="eastAsia"/>
        </w:rPr>
        <w:t>福利部门（这些部门事先都已女性化），妇女的比例上升相对很大。在财政部门，妇女有三分之一的比例已经稳定，但是在其他部门，妇女的比例有所下降（交通</w:t>
      </w:r>
      <w:r>
        <w:rPr>
          <w:rFonts w:hint="eastAsia"/>
        </w:rPr>
        <w:t>/</w:t>
      </w:r>
      <w:r>
        <w:rPr>
          <w:rFonts w:hint="eastAsia"/>
        </w:rPr>
        <w:t>房地产交易、教育和培训）。</w:t>
      </w:r>
    </w:p>
    <w:p w:rsidR="00CE1FDA" w:rsidRDefault="00CE1FDA">
      <w:pPr>
        <w:spacing w:after="240" w:line="360" w:lineRule="exact"/>
        <w:rPr>
          <w:rFonts w:eastAsia="KaiTi_GB2312" w:hint="eastAsia"/>
          <w:color w:val="0000FF"/>
        </w:rPr>
      </w:pPr>
      <w:r>
        <w:rPr>
          <w:rFonts w:eastAsia="KaiTi_GB2312" w:hint="eastAsia"/>
          <w:color w:val="0000FF"/>
        </w:rPr>
        <w:t>横向隔离</w:t>
      </w:r>
    </w:p>
    <w:p w:rsidR="00CE1FDA" w:rsidRDefault="00CE1FDA" w:rsidP="00AC01AA">
      <w:pPr>
        <w:spacing w:after="240" w:line="360" w:lineRule="exact"/>
        <w:ind w:firstLineChars="200" w:firstLine="31680"/>
        <w:rPr>
          <w:rFonts w:hint="eastAsia"/>
          <w:spacing w:val="-4"/>
        </w:rPr>
      </w:pPr>
      <w:r>
        <w:rPr>
          <w:rFonts w:hint="eastAsia"/>
          <w:spacing w:val="-4"/>
        </w:rPr>
        <w:t>所有职业中大约四分之一已完全女性化：女雇员占三分之一以上，男雇员约占</w:t>
      </w:r>
      <w:r>
        <w:rPr>
          <w:rFonts w:hint="eastAsia"/>
          <w:spacing w:val="-4"/>
        </w:rPr>
        <w:t>1</w:t>
      </w:r>
      <w:r>
        <w:rPr>
          <w:spacing w:val="-4"/>
        </w:rPr>
        <w:t>.4%</w:t>
      </w:r>
      <w:r>
        <w:rPr>
          <w:rFonts w:hint="eastAsia"/>
          <w:spacing w:val="-4"/>
        </w:rPr>
        <w:t>（表</w:t>
      </w:r>
      <w:r>
        <w:rPr>
          <w:rFonts w:hint="eastAsia"/>
          <w:spacing w:val="-4"/>
        </w:rPr>
        <w:t>11</w:t>
      </w:r>
      <w:r>
        <w:rPr>
          <w:spacing w:val="-4"/>
        </w:rPr>
        <w:t>.7</w:t>
      </w:r>
      <w:r>
        <w:rPr>
          <w:rFonts w:hint="eastAsia"/>
          <w:spacing w:val="-4"/>
        </w:rPr>
        <w:t>）。另一方面是以男性为主的工作：</w:t>
      </w:r>
      <w:r>
        <w:rPr>
          <w:rFonts w:ascii="KaiTi_GB2312" w:eastAsia="KaiTi_GB2312" w:hint="eastAsia"/>
          <w:color w:val="0000FF"/>
          <w:spacing w:val="-4"/>
        </w:rPr>
        <w:t>男雇员占43</w:t>
      </w:r>
      <w:r>
        <w:rPr>
          <w:rFonts w:ascii="KaiTi_GB2312" w:eastAsia="KaiTi_GB2312"/>
          <w:color w:val="0000FF"/>
          <w:spacing w:val="-4"/>
        </w:rPr>
        <w:t>.9%</w:t>
      </w:r>
      <w:r>
        <w:rPr>
          <w:rFonts w:ascii="KaiTi_GB2312" w:eastAsia="KaiTi_GB2312" w:hint="eastAsia"/>
          <w:color w:val="0000FF"/>
          <w:spacing w:val="-4"/>
        </w:rPr>
        <w:t>，女雇员约占</w:t>
      </w:r>
      <w:r>
        <w:rPr>
          <w:rFonts w:ascii="KaiTi_GB2312" w:eastAsia="KaiTi_GB2312"/>
          <w:color w:val="0000FF"/>
          <w:spacing w:val="-4"/>
        </w:rPr>
        <w:t>1.1</w:t>
      </w:r>
      <w:r>
        <w:rPr>
          <w:rFonts w:ascii="KaiTi_GB2312" w:eastAsia="KaiTi_GB2312" w:hint="eastAsia"/>
          <w:color w:val="0000FF"/>
          <w:spacing w:val="-4"/>
        </w:rPr>
        <w:t>%。性别平衡的职业比例很小（15-16</w:t>
      </w:r>
      <w:r>
        <w:rPr>
          <w:rFonts w:ascii="KaiTi_GB2312" w:eastAsia="KaiTi_GB2312"/>
          <w:color w:val="0000FF"/>
          <w:spacing w:val="-4"/>
        </w:rPr>
        <w:t>%</w:t>
      </w:r>
      <w:r>
        <w:rPr>
          <w:rFonts w:ascii="KaiTi_GB2312" w:eastAsia="KaiTi_GB2312" w:hint="eastAsia"/>
          <w:color w:val="0000FF"/>
          <w:spacing w:val="-4"/>
        </w:rPr>
        <w:t>），在这些领域就业的男女比例更小。52%的职业基本上或完全以男性为主，近四分之三挣工资的男性从事这类职业，另外30%的职业以女性为主，从事这类职业的妇女约占同样的比例，由于这种情况，劳动力市场的用人标准很不灵活</w:t>
      </w:r>
      <w:r>
        <w:rPr>
          <w:rFonts w:hint="eastAsia"/>
          <w:spacing w:val="-4"/>
        </w:rPr>
        <w:t>。</w:t>
      </w:r>
    </w:p>
    <w:p w:rsidR="00CE1FDA" w:rsidRDefault="00CE1FDA">
      <w:pPr>
        <w:spacing w:after="240" w:line="360" w:lineRule="exact"/>
        <w:rPr>
          <w:rFonts w:ascii="SimHei" w:eastAsia="SimHei" w:hint="eastAsia"/>
          <w:color w:val="FF0000"/>
        </w:rPr>
      </w:pPr>
      <w:r>
        <w:rPr>
          <w:rFonts w:ascii="SimHei" w:eastAsia="SimHei" w:hint="eastAsia"/>
          <w:color w:val="FF0000"/>
        </w:rPr>
        <w:t>c.  提升和创业的平等权利</w:t>
      </w:r>
    </w:p>
    <w:p w:rsidR="00CE1FDA" w:rsidRDefault="00CE1FDA" w:rsidP="00AC01AA">
      <w:pPr>
        <w:spacing w:after="240" w:line="360" w:lineRule="exact"/>
        <w:ind w:firstLineChars="200" w:firstLine="31680"/>
        <w:rPr>
          <w:rFonts w:hint="eastAsia"/>
        </w:rPr>
      </w:pPr>
      <w:r>
        <w:rPr>
          <w:rFonts w:hint="eastAsia"/>
        </w:rPr>
        <w:t>可以从男女的工作等级上衡量纵向隔离的情况。</w:t>
      </w:r>
      <w:r>
        <w:rPr>
          <w:rFonts w:hint="eastAsia"/>
        </w:rPr>
        <w:t>2000-2005</w:t>
      </w:r>
      <w:r>
        <w:rPr>
          <w:rFonts w:hint="eastAsia"/>
        </w:rPr>
        <w:t>年，从事高级</w:t>
      </w:r>
      <w:r>
        <w:rPr>
          <w:rFonts w:hint="eastAsia"/>
        </w:rPr>
        <w:t>/</w:t>
      </w:r>
      <w:r>
        <w:rPr>
          <w:rFonts w:hint="eastAsia"/>
        </w:rPr>
        <w:t>管理工作的男女人数进一步增加，但是妇女的比例没有变化。仍约为三分之一，这表明妇女虽然在就业人员中占</w:t>
      </w:r>
      <w:r>
        <w:rPr>
          <w:rFonts w:hint="eastAsia"/>
        </w:rPr>
        <w:t>45.8%</w:t>
      </w:r>
      <w:r>
        <w:rPr>
          <w:rFonts w:hint="eastAsia"/>
        </w:rPr>
        <w:t>，但其实际就业人数仍然不足。通过审查妇女在私营和公营部门管理岗位的比例，可能会发现更大的差异。</w:t>
      </w:r>
    </w:p>
    <w:p w:rsidR="00CE1FDA" w:rsidRDefault="00CE1FDA" w:rsidP="00AC01AA">
      <w:pPr>
        <w:spacing w:after="240" w:line="360" w:lineRule="exact"/>
        <w:ind w:firstLineChars="200" w:firstLine="31680"/>
        <w:rPr>
          <w:rFonts w:hint="eastAsia"/>
        </w:rPr>
      </w:pPr>
      <w:r>
        <w:rPr>
          <w:rFonts w:hint="eastAsia"/>
        </w:rPr>
        <w:t>从就业状况看，男女也存在着很大的差异。</w:t>
      </w:r>
      <w:r>
        <w:rPr>
          <w:rFonts w:hint="eastAsia"/>
        </w:rPr>
        <w:t>2005</w:t>
      </w:r>
      <w:r>
        <w:rPr>
          <w:rFonts w:hint="eastAsia"/>
        </w:rPr>
        <w:t>年，十名妇女中有九名为获得收入而工作，而十名男子中只有八名。妇女企业家的比例仍然低于三分之一。</w:t>
      </w:r>
    </w:p>
    <w:p w:rsidR="00CE1FDA" w:rsidRDefault="00CE1FDA">
      <w:pPr>
        <w:spacing w:after="240" w:line="360" w:lineRule="exact"/>
        <w:rPr>
          <w:rFonts w:ascii="SimHei" w:eastAsia="SimHei" w:hint="eastAsia"/>
          <w:color w:val="FF0000"/>
        </w:rPr>
      </w:pPr>
      <w:r>
        <w:rPr>
          <w:rFonts w:ascii="SimHei" w:eastAsia="SimHei" w:hint="eastAsia"/>
          <w:color w:val="FF0000"/>
        </w:rPr>
        <w:t>d.  收入差距</w:t>
      </w:r>
    </w:p>
    <w:p w:rsidR="00CE1FDA" w:rsidRDefault="00CE1FDA" w:rsidP="00AC01AA">
      <w:pPr>
        <w:spacing w:after="240" w:line="360" w:lineRule="exact"/>
        <w:ind w:firstLineChars="200" w:firstLine="31680"/>
        <w:rPr>
          <w:rFonts w:hint="eastAsia"/>
        </w:rPr>
      </w:pPr>
      <w:r>
        <w:rPr>
          <w:rFonts w:hint="eastAsia"/>
        </w:rPr>
        <w:t>根据欧统处的数据，</w:t>
      </w:r>
      <w:r>
        <w:rPr>
          <w:rFonts w:hint="eastAsia"/>
        </w:rPr>
        <w:t>2001</w:t>
      </w:r>
      <w:r>
        <w:rPr>
          <w:rFonts w:hint="eastAsia"/>
        </w:rPr>
        <w:t>年，男女平均总工资的差距为</w:t>
      </w:r>
      <w:r>
        <w:rPr>
          <w:rFonts w:hint="eastAsia"/>
        </w:rPr>
        <w:t>21%</w:t>
      </w:r>
      <w:r>
        <w:rPr>
          <w:rFonts w:hint="eastAsia"/>
        </w:rPr>
        <w:t>，</w:t>
      </w:r>
      <w:r>
        <w:rPr>
          <w:rFonts w:hint="eastAsia"/>
        </w:rPr>
        <w:t>2004</w:t>
      </w:r>
      <w:r>
        <w:rPr>
          <w:rFonts w:hint="eastAsia"/>
        </w:rPr>
        <w:t>年只有</w:t>
      </w:r>
      <w:r>
        <w:rPr>
          <w:rFonts w:hint="eastAsia"/>
        </w:rPr>
        <w:t>11%</w:t>
      </w:r>
      <w:r>
        <w:rPr>
          <w:rFonts w:hint="eastAsia"/>
        </w:rPr>
        <w:t>。在私营部门——这里男子较多——平均工资较高，男女工资差距也比较大。</w:t>
      </w:r>
    </w:p>
    <w:p w:rsidR="00CE1FDA" w:rsidRDefault="00CE1FDA">
      <w:pPr>
        <w:spacing w:after="240" w:line="360" w:lineRule="exact"/>
        <w:rPr>
          <w:rFonts w:ascii="SimHei" w:eastAsia="SimHei" w:hint="eastAsia"/>
          <w:color w:val="FF0000"/>
        </w:rPr>
      </w:pPr>
      <w:r>
        <w:rPr>
          <w:rFonts w:ascii="SimHei" w:eastAsia="SimHei" w:hint="eastAsia"/>
          <w:color w:val="FF0000"/>
        </w:rPr>
        <w:t>e.  享有社会保障和养恤金的权利</w:t>
      </w:r>
    </w:p>
    <w:p w:rsidR="00CE1FDA" w:rsidRDefault="00CE1FDA">
      <w:pPr>
        <w:spacing w:after="240" w:line="360" w:lineRule="exact"/>
        <w:rPr>
          <w:rFonts w:ascii="SimHei" w:eastAsia="SimHei" w:hint="eastAsia"/>
          <w:color w:val="FF0000"/>
        </w:rPr>
      </w:pPr>
      <w:r>
        <w:rPr>
          <w:rFonts w:ascii="SimHei" w:eastAsia="SimHei" w:hint="eastAsia"/>
          <w:color w:val="FF0000"/>
        </w:rPr>
        <w:t>f.  健康的工作环境</w:t>
      </w:r>
    </w:p>
    <w:p w:rsidR="00CE1FDA" w:rsidRDefault="00CE1FDA" w:rsidP="00AC01AA">
      <w:pPr>
        <w:tabs>
          <w:tab w:val="left" w:pos="630"/>
        </w:tabs>
        <w:spacing w:after="240" w:line="360" w:lineRule="exact"/>
        <w:ind w:firstLineChars="200" w:firstLine="31680"/>
        <w:rPr>
          <w:rFonts w:hint="eastAsia"/>
        </w:rPr>
      </w:pPr>
      <w:r>
        <w:rPr>
          <w:rFonts w:hint="eastAsia"/>
        </w:rPr>
        <w:t>更多信息见</w:t>
      </w:r>
      <w:r>
        <w:rPr>
          <w:rFonts w:hint="eastAsia"/>
        </w:rPr>
        <w:t>12.2</w:t>
      </w:r>
      <w:r>
        <w:rPr>
          <w:rFonts w:hint="eastAsia"/>
        </w:rPr>
        <w:t>。</w:t>
      </w:r>
    </w:p>
    <w:p w:rsidR="00CE1FDA" w:rsidRDefault="00CE1FDA">
      <w:pPr>
        <w:spacing w:after="240" w:line="360" w:lineRule="exact"/>
        <w:rPr>
          <w:rFonts w:ascii="SimHei" w:eastAsia="SimHei" w:hint="eastAsia"/>
          <w:color w:val="FF0000"/>
        </w:rPr>
      </w:pPr>
      <w:r>
        <w:rPr>
          <w:rFonts w:ascii="SimHei" w:eastAsia="SimHei" w:hint="eastAsia"/>
          <w:color w:val="FF0000"/>
        </w:rPr>
        <w:t>2a-d. 儿童抚养、就业，劳动力市场对父母的保护</w:t>
      </w:r>
    </w:p>
    <w:p w:rsidR="00CE1FDA" w:rsidRDefault="00CE1FDA" w:rsidP="00AC01AA">
      <w:pPr>
        <w:spacing w:after="240" w:line="360" w:lineRule="exact"/>
        <w:ind w:firstLineChars="200" w:firstLine="31680"/>
        <w:rPr>
          <w:rFonts w:hint="eastAsia"/>
        </w:rPr>
      </w:pPr>
      <w:r>
        <w:rPr>
          <w:rFonts w:hint="eastAsia"/>
        </w:rPr>
        <w:t>由于有需要照料的小孩，妇女通常无法从事有偿工作。</w:t>
      </w:r>
      <w:r>
        <w:rPr>
          <w:rFonts w:hint="eastAsia"/>
        </w:rPr>
        <w:t>2002</w:t>
      </w:r>
      <w:r>
        <w:rPr>
          <w:rFonts w:hint="eastAsia"/>
        </w:rPr>
        <w:t>年，没有小孩和有小孩的妇女平均就业率相差近</w:t>
      </w:r>
      <w:r>
        <w:rPr>
          <w:rFonts w:hint="eastAsia"/>
        </w:rPr>
        <w:t>45%</w:t>
      </w:r>
      <w:r>
        <w:rPr>
          <w:rFonts w:hint="eastAsia"/>
        </w:rPr>
        <w:t>。</w:t>
      </w:r>
      <w:r>
        <w:rPr>
          <w:rFonts w:ascii="KaiTi_GB2312" w:eastAsia="KaiTi_GB2312" w:hint="eastAsia"/>
          <w:color w:val="0000FF"/>
        </w:rPr>
        <w:t>相比之下，因有小孩而不得不从事工作的男子在比例上高于没有小孩的男子。必须提及的是，在欧盟成员国中，25-44岁至少有一个未成年子女的妇女就业率在匈牙利是最低的</w:t>
      </w:r>
      <w:r>
        <w:rPr>
          <w:rFonts w:hint="eastAsia"/>
        </w:rPr>
        <w:t>。</w:t>
      </w:r>
    </w:p>
    <w:p w:rsidR="00CE1FDA" w:rsidRDefault="00CE1FDA" w:rsidP="00AC01AA">
      <w:pPr>
        <w:spacing w:after="240" w:line="360" w:lineRule="exact"/>
        <w:ind w:firstLineChars="200" w:firstLine="31680"/>
        <w:rPr>
          <w:rFonts w:hint="eastAsia"/>
        </w:rPr>
      </w:pPr>
      <w:r>
        <w:rPr>
          <w:rFonts w:hint="eastAsia"/>
        </w:rPr>
        <w:t>造成这种趋势的一个最主要因素是托儿支助体制，它的持续时间很长（但不是在数量方面），其接受者被视为非就业者（该体制的主要部分自</w:t>
      </w:r>
      <w:r>
        <w:rPr>
          <w:rFonts w:hint="eastAsia"/>
        </w:rPr>
        <w:t>1980</w:t>
      </w:r>
      <w:r>
        <w:rPr>
          <w:rFonts w:hint="eastAsia"/>
        </w:rPr>
        <w:t>年代起就已开始生效。）但是，这种分类对托儿费的接受者来说是有争议的。因为托儿费在有关儿童出生后的第二年结束之前是一种保险类补助，可以支付给那些在申请托儿费之前的两年中至少有</w:t>
      </w:r>
      <w:r>
        <w:rPr>
          <w:rFonts w:hint="eastAsia"/>
        </w:rPr>
        <w:t>180</w:t>
      </w:r>
      <w:r>
        <w:rPr>
          <w:rFonts w:hint="eastAsia"/>
        </w:rPr>
        <w:t>天享受保险的人。该支助与收入成正比例。接受托儿费的父母有权返回在孩子出生之前他们工作过的单位，而且在</w:t>
      </w:r>
      <w:r>
        <w:rPr>
          <w:rFonts w:hint="eastAsia"/>
        </w:rPr>
        <w:t>30</w:t>
      </w:r>
      <w:r>
        <w:rPr>
          <w:rFonts w:hint="eastAsia"/>
        </w:rPr>
        <w:t>天内，不能将他们解雇。</w:t>
      </w:r>
    </w:p>
    <w:p w:rsidR="00CE1FDA" w:rsidRDefault="00CE1FDA" w:rsidP="00AC01AA">
      <w:pPr>
        <w:spacing w:after="240" w:line="360" w:lineRule="exact"/>
        <w:ind w:firstLineChars="200" w:firstLine="31680"/>
        <w:rPr>
          <w:rFonts w:hint="eastAsia"/>
        </w:rPr>
      </w:pPr>
      <w:r>
        <w:rPr>
          <w:rFonts w:hint="eastAsia"/>
        </w:rPr>
        <w:t>虽然父母为养育孩子有权离职三年（该制度在</w:t>
      </w:r>
      <w:r>
        <w:rPr>
          <w:rFonts w:hint="eastAsia"/>
        </w:rPr>
        <w:t>CEDAW/C/HUN/4-5</w:t>
      </w:r>
      <w:r>
        <w:rPr>
          <w:rFonts w:hint="eastAsia"/>
        </w:rPr>
        <w:t>号报告第</w:t>
      </w:r>
      <w:r>
        <w:rPr>
          <w:rFonts w:hint="eastAsia"/>
        </w:rPr>
        <w:t>13</w:t>
      </w:r>
      <w:r>
        <w:rPr>
          <w:rFonts w:hint="eastAsia"/>
        </w:rPr>
        <w:t>条中作了讨论）</w:t>
      </w:r>
      <w:r>
        <w:rPr>
          <w:rFonts w:hint="eastAsia"/>
        </w:rPr>
        <w:t>,</w:t>
      </w:r>
      <w:r>
        <w:rPr>
          <w:rFonts w:hint="eastAsia"/>
        </w:rPr>
        <w:t>但是这影响了妇女与劳动力市场的联系，降低了她们返回工作岗位的可能性，特别是她们为养育数个孩子而连续利用这个机会的情况下。最近已采取许多措施，来协调抚养子女与就业的关系（更多的详情，见下文——例如，在父母休育儿假期间，教育系统或劳动力市场协助开展了培训活动；实行“由祖父母帮助照看儿童”为父母就业创造条件，等）。此外，从</w:t>
      </w:r>
      <w:r>
        <w:rPr>
          <w:rFonts w:hint="eastAsia"/>
        </w:rPr>
        <w:t>2005</w:t>
      </w:r>
      <w:r>
        <w:rPr>
          <w:rFonts w:hint="eastAsia"/>
        </w:rPr>
        <w:t>年起，照看孩子的父母可以在孩子满</w:t>
      </w:r>
      <w:r>
        <w:rPr>
          <w:rFonts w:hint="eastAsia"/>
        </w:rPr>
        <w:t>1</w:t>
      </w:r>
      <w:r>
        <w:rPr>
          <w:rFonts w:hint="eastAsia"/>
        </w:rPr>
        <w:t>岁时返回工作岗位，过去是</w:t>
      </w:r>
      <w:r>
        <w:rPr>
          <w:rFonts w:hint="eastAsia"/>
        </w:rPr>
        <w:t>1.5</w:t>
      </w:r>
      <w:r>
        <w:rPr>
          <w:rFonts w:hint="eastAsia"/>
        </w:rPr>
        <w:t>岁。因此，从</w:t>
      </w:r>
      <w:r>
        <w:rPr>
          <w:rFonts w:hint="eastAsia"/>
        </w:rPr>
        <w:t>2006</w:t>
      </w:r>
      <w:r>
        <w:rPr>
          <w:rFonts w:hint="eastAsia"/>
        </w:rPr>
        <w:t>年起，有关人员就可以从事全日工作了，而在以前，他们只能从事非全日工作。不过，儿童保育费领取者不能工作，也就是说，分娩之前有至少</w:t>
      </w:r>
      <w:r>
        <w:rPr>
          <w:rFonts w:hint="eastAsia"/>
        </w:rPr>
        <w:t>180</w:t>
      </w:r>
      <w:r>
        <w:rPr>
          <w:rFonts w:hint="eastAsia"/>
        </w:rPr>
        <w:t>天保险的父母，只有在孩子满两岁时才可以外出工作，而有权享有儿童保育援助的父母在孩子满</w:t>
      </w:r>
      <w:r>
        <w:rPr>
          <w:rFonts w:hint="eastAsia"/>
        </w:rPr>
        <w:t>1</w:t>
      </w:r>
      <w:r>
        <w:rPr>
          <w:rFonts w:hint="eastAsia"/>
        </w:rPr>
        <w:t>岁时就可以外出工作。儿童保育假之后返回工作岗位的人过去往往受到保护，禁止在</w:t>
      </w:r>
      <w:r>
        <w:rPr>
          <w:rFonts w:hint="eastAsia"/>
        </w:rPr>
        <w:t>90</w:t>
      </w:r>
      <w:r>
        <w:rPr>
          <w:rFonts w:hint="eastAsia"/>
        </w:rPr>
        <w:t>天内将他们解雇。在本报告所述期间，这一时间段被减少到</w:t>
      </w:r>
      <w:r>
        <w:rPr>
          <w:rFonts w:hint="eastAsia"/>
        </w:rPr>
        <w:t>30</w:t>
      </w:r>
      <w:r>
        <w:rPr>
          <w:rFonts w:hint="eastAsia"/>
        </w:rPr>
        <w:t>天。</w:t>
      </w:r>
    </w:p>
    <w:p w:rsidR="00CE1FDA" w:rsidRDefault="00CE1FDA" w:rsidP="00AC01AA">
      <w:pPr>
        <w:spacing w:after="240" w:line="360" w:lineRule="exact"/>
        <w:ind w:firstLineChars="200" w:firstLine="31680"/>
        <w:rPr>
          <w:rFonts w:hint="eastAsia"/>
        </w:rPr>
      </w:pPr>
      <w:r>
        <w:rPr>
          <w:rFonts w:hint="eastAsia"/>
        </w:rPr>
        <w:t>为了使有小孩的妇女能够就业，应建立向这些妇女开放且收费合理的儿童保育机构，这一点十分重要。在</w:t>
      </w:r>
      <w:r>
        <w:rPr>
          <w:rFonts w:hint="eastAsia"/>
        </w:rPr>
        <w:t>1990</w:t>
      </w:r>
      <w:r>
        <w:rPr>
          <w:rFonts w:hint="eastAsia"/>
        </w:rPr>
        <w:t>年代，由于选择家庭儿童保育的妇女人数增多，在协助开展儿童保育工作的传统服务机构，某些部门（比如，工作场所设立的托儿所）已被关闭，地方政府建立的儿童保育机构的容纳能力也有下降，尤其是托儿所。</w:t>
      </w:r>
      <w:r>
        <w:rPr>
          <w:rFonts w:hint="eastAsia"/>
        </w:rPr>
        <w:t>2000-2005</w:t>
      </w:r>
      <w:r>
        <w:rPr>
          <w:rFonts w:hint="eastAsia"/>
        </w:rPr>
        <w:t>年，这些机构的数量减少了约</w:t>
      </w:r>
      <w:r>
        <w:rPr>
          <w:rFonts w:hint="eastAsia"/>
        </w:rPr>
        <w:t>50%</w:t>
      </w:r>
      <w:r>
        <w:rPr>
          <w:rFonts w:hint="eastAsia"/>
        </w:rPr>
        <w:t>，容纳能力缩小了三分之二。剩下的儿童保育机构人满为患。</w:t>
      </w:r>
      <w:r>
        <w:rPr>
          <w:rFonts w:hint="eastAsia"/>
        </w:rPr>
        <w:t>2004</w:t>
      </w:r>
      <w:r>
        <w:rPr>
          <w:rFonts w:hint="eastAsia"/>
        </w:rPr>
        <w:t>年，每</w:t>
      </w:r>
      <w:r>
        <w:rPr>
          <w:rFonts w:hint="eastAsia"/>
        </w:rPr>
        <w:t>100</w:t>
      </w:r>
      <w:r>
        <w:rPr>
          <w:rFonts w:hint="eastAsia"/>
        </w:rPr>
        <w:t>个处于哺乳期的婴儿可享有</w:t>
      </w:r>
      <w:r>
        <w:rPr>
          <w:rFonts w:hint="eastAsia"/>
        </w:rPr>
        <w:t>8.4</w:t>
      </w:r>
      <w:r>
        <w:rPr>
          <w:rFonts w:hint="eastAsia"/>
        </w:rPr>
        <w:t>的空间。</w:t>
      </w:r>
      <w:r>
        <w:rPr>
          <w:rFonts w:hint="eastAsia"/>
        </w:rPr>
        <w:t>3</w:t>
      </w:r>
      <w:r>
        <w:rPr>
          <w:rFonts w:hint="eastAsia"/>
        </w:rPr>
        <w:t>岁以上儿童的日托由幼儿园提供。幼儿园的数量不像托儿所下降幅度那么大。</w:t>
      </w:r>
      <w:r>
        <w:rPr>
          <w:rFonts w:hint="eastAsia"/>
        </w:rPr>
        <w:t>2004</w:t>
      </w:r>
      <w:r>
        <w:rPr>
          <w:rFonts w:hint="eastAsia"/>
        </w:rPr>
        <w:t>年，每</w:t>
      </w:r>
      <w:r>
        <w:rPr>
          <w:rFonts w:hint="eastAsia"/>
        </w:rPr>
        <w:t>100</w:t>
      </w:r>
      <w:r>
        <w:rPr>
          <w:rFonts w:hint="eastAsia"/>
        </w:rPr>
        <w:t>个学前儿童可享有的总空间为</w:t>
      </w:r>
      <w:r>
        <w:rPr>
          <w:rFonts w:hint="eastAsia"/>
        </w:rPr>
        <w:t>121.6</w:t>
      </w:r>
      <w:r>
        <w:rPr>
          <w:rFonts w:hint="eastAsia"/>
        </w:rPr>
        <w:t>，而</w:t>
      </w:r>
      <w:r>
        <w:rPr>
          <w:rFonts w:hint="eastAsia"/>
        </w:rPr>
        <w:t>2000</w:t>
      </w:r>
      <w:r>
        <w:rPr>
          <w:rFonts w:hint="eastAsia"/>
        </w:rPr>
        <w:t>年为</w:t>
      </w:r>
      <w:r>
        <w:rPr>
          <w:rFonts w:hint="eastAsia"/>
        </w:rPr>
        <w:t>92.2</w:t>
      </w:r>
      <w:r>
        <w:rPr>
          <w:rFonts w:hint="eastAsia"/>
        </w:rPr>
        <w:t>。调整儿童保育机构的工作时间，使之与父母的工作更相适应，这有利于家务与工作义务的协调。儿童保育机构网络的发展，创立了一个更为灵活的工作时间制度、提供了各种可供选择的儿童保育服务，比如家庭学校或在家里照顾儿童，并使这些服务变得更为方便，有助于防止因缺少儿童保育机构而使越来越多有小孩的妇女放弃就业，因为缺少这类机构，她们的育儿假就不得不延长。</w:t>
      </w:r>
    </w:p>
    <w:p w:rsidR="00CE1FDA" w:rsidRDefault="00CE1FDA">
      <w:pPr>
        <w:spacing w:after="240" w:line="360" w:lineRule="exact"/>
        <w:rPr>
          <w:rFonts w:ascii="SimHei" w:eastAsia="SimHei" w:hint="eastAsia"/>
          <w:color w:val="FF0000"/>
        </w:rPr>
      </w:pPr>
      <w:r>
        <w:rPr>
          <w:rFonts w:ascii="SimHei" w:eastAsia="SimHei" w:hint="eastAsia"/>
          <w:color w:val="FF0000"/>
        </w:rPr>
        <w:t>3．改善妇女就业状况的补充措施</w:t>
      </w:r>
    </w:p>
    <w:p w:rsidR="00CE1FDA" w:rsidRDefault="00CE1FDA" w:rsidP="00AC01AA">
      <w:pPr>
        <w:spacing w:after="240" w:line="360" w:lineRule="exact"/>
        <w:ind w:firstLineChars="200" w:firstLine="31680"/>
        <w:rPr>
          <w:rFonts w:hint="eastAsia"/>
        </w:rPr>
      </w:pPr>
      <w:r>
        <w:rPr>
          <w:rFonts w:hint="eastAsia"/>
        </w:rPr>
        <w:t>匈牙利于</w:t>
      </w:r>
      <w:r>
        <w:rPr>
          <w:rFonts w:hint="eastAsia"/>
        </w:rPr>
        <w:t>2004</w:t>
      </w:r>
      <w:r>
        <w:rPr>
          <w:rFonts w:hint="eastAsia"/>
        </w:rPr>
        <w:t>年加入了欧盟，从此，匈牙利成为从结构基金获得发展基金的合格接受方。根据欧盟的期望和做法，将性别观点主流化是一项基本标准，在制定项目规划和使用基金资源时应予遵守。各种指导方针和专家协助加强了这一基本标准。因此，机会平等日益成为政策制定和公共宣传工作的一个基本问题。此外，发展基金支助了大量积极措施，这些措施直接有利于改善妇女在劳动力市场的地位。</w:t>
      </w:r>
    </w:p>
    <w:p w:rsidR="00CE1FDA" w:rsidRDefault="00CE1FDA" w:rsidP="00AC01AA">
      <w:pPr>
        <w:spacing w:after="240" w:line="360" w:lineRule="exact"/>
        <w:ind w:firstLineChars="200" w:firstLine="31680"/>
        <w:rPr>
          <w:rFonts w:hint="eastAsia"/>
        </w:rPr>
      </w:pPr>
      <w:r>
        <w:rPr>
          <w:rFonts w:hint="eastAsia"/>
        </w:rPr>
        <w:t>在欧洲社会基金的支助下，已实施了大量方案，其主要目的在于改善妇女的就业状况。</w:t>
      </w:r>
      <w:r>
        <w:rPr>
          <w:rFonts w:hint="eastAsia"/>
        </w:rPr>
        <w:t>2004-2006</w:t>
      </w:r>
      <w:r>
        <w:rPr>
          <w:rFonts w:hint="eastAsia"/>
        </w:rPr>
        <w:t>年，提供了总额为</w:t>
      </w:r>
      <w:r>
        <w:rPr>
          <w:rFonts w:hint="eastAsia"/>
        </w:rPr>
        <w:t>21</w:t>
      </w:r>
      <w:r>
        <w:rPr>
          <w:rFonts w:hint="eastAsia"/>
        </w:rPr>
        <w:t>亿福林的款项，用于协助进行各种项目，为处境不利的妇女提供个性化就业支持。</w:t>
      </w:r>
      <w:r>
        <w:rPr>
          <w:rFonts w:hint="eastAsia"/>
        </w:rPr>
        <w:t>2004</w:t>
      </w:r>
      <w:r>
        <w:rPr>
          <w:rFonts w:hint="eastAsia"/>
        </w:rPr>
        <w:t>年还开展了平等社区倡议方案，利用总额</w:t>
      </w:r>
      <w:r>
        <w:rPr>
          <w:rFonts w:hint="eastAsia"/>
        </w:rPr>
        <w:t>8.14</w:t>
      </w:r>
      <w:r>
        <w:rPr>
          <w:rFonts w:hint="eastAsia"/>
        </w:rPr>
        <w:t>亿福林的款项支助创新性实验倡议，以减少劳动力市场男女不平等和性别隔离的现象。</w:t>
      </w:r>
      <w:r>
        <w:rPr>
          <w:rFonts w:hint="eastAsia"/>
        </w:rPr>
        <w:t>2005</w:t>
      </w:r>
      <w:r>
        <w:rPr>
          <w:rFonts w:hint="eastAsia"/>
        </w:rPr>
        <w:t>年启动了一个方案，旨在提高认识并支持进一步创造兼顾家庭的工作，该方案能够通过提供具体的专家援助，帮助采用新的工作组织形式，同时还能促使人们重视在家庭内部更为平等地分担家务。</w:t>
      </w:r>
    </w:p>
    <w:p w:rsidR="00CE1FDA" w:rsidRDefault="00CE1FDA" w:rsidP="00AC01AA">
      <w:pPr>
        <w:spacing w:after="240" w:line="360" w:lineRule="exact"/>
        <w:ind w:firstLineChars="200" w:firstLine="31680"/>
        <w:rPr>
          <w:rFonts w:hint="eastAsia"/>
        </w:rPr>
      </w:pPr>
      <w:r>
        <w:rPr>
          <w:rFonts w:hint="eastAsia"/>
        </w:rPr>
        <w:t>除了上述措施之外，对某些法案的一些修正也有助于促进性别平等和消除歧视，其中最重要的法案如下：</w:t>
      </w:r>
    </w:p>
    <w:p w:rsidR="00CE1FDA" w:rsidRDefault="00CE1FDA" w:rsidP="00AC01AA">
      <w:pPr>
        <w:spacing w:after="240" w:line="360" w:lineRule="exact"/>
        <w:ind w:firstLineChars="200" w:firstLine="31680"/>
        <w:rPr>
          <w:rFonts w:hint="eastAsia"/>
        </w:rPr>
      </w:pPr>
      <w:r>
        <w:rPr>
          <w:rFonts w:hint="eastAsia"/>
        </w:rPr>
        <w:t>（</w:t>
      </w:r>
      <w:r>
        <w:rPr>
          <w:rFonts w:hint="eastAsia"/>
        </w:rPr>
        <w:t>a</w:t>
      </w:r>
      <w:r>
        <w:rPr>
          <w:rFonts w:hint="eastAsia"/>
        </w:rPr>
        <w:t>）</w:t>
      </w:r>
      <w:r>
        <w:rPr>
          <w:rFonts w:ascii="KaiTi_GB2312" w:eastAsia="KaiTi_GB2312" w:hint="eastAsia"/>
          <w:color w:val="0000FF"/>
        </w:rPr>
        <w:t>2004年第CXI号法案</w:t>
      </w:r>
      <w:r>
        <w:rPr>
          <w:rFonts w:hint="eastAsia"/>
        </w:rPr>
        <w:t>，规定颁布国际劳工组织大会第</w:t>
      </w:r>
      <w:r>
        <w:rPr>
          <w:rFonts w:hint="eastAsia"/>
        </w:rPr>
        <w:t>88</w:t>
      </w:r>
      <w:r>
        <w:rPr>
          <w:rFonts w:hint="eastAsia"/>
        </w:rPr>
        <w:t>届会议通过的保护孕产的</w:t>
      </w:r>
      <w:r>
        <w:rPr>
          <w:rFonts w:hint="eastAsia"/>
        </w:rPr>
        <w:t>183</w:t>
      </w:r>
      <w:r>
        <w:rPr>
          <w:rFonts w:hint="eastAsia"/>
        </w:rPr>
        <w:t>号公约，该法案公布后第</w:t>
      </w:r>
      <w:r>
        <w:rPr>
          <w:rFonts w:hint="eastAsia"/>
        </w:rPr>
        <w:t xml:space="preserve">8 </w:t>
      </w:r>
      <w:r>
        <w:rPr>
          <w:rFonts w:hint="eastAsia"/>
        </w:rPr>
        <w:t>天开始生效，但是其规定自</w:t>
      </w:r>
      <w:r>
        <w:rPr>
          <w:rFonts w:hint="eastAsia"/>
        </w:rPr>
        <w:t>2004</w:t>
      </w:r>
      <w:r>
        <w:rPr>
          <w:rFonts w:hint="eastAsia"/>
        </w:rPr>
        <w:t>年</w:t>
      </w:r>
      <w:r>
        <w:rPr>
          <w:rFonts w:hint="eastAsia"/>
        </w:rPr>
        <w:t>11</w:t>
      </w:r>
      <w:r>
        <w:rPr>
          <w:rFonts w:hint="eastAsia"/>
        </w:rPr>
        <w:t>月</w:t>
      </w:r>
      <w:r>
        <w:rPr>
          <w:rFonts w:hint="eastAsia"/>
        </w:rPr>
        <w:t>4</w:t>
      </w:r>
      <w:r>
        <w:rPr>
          <w:rFonts w:hint="eastAsia"/>
        </w:rPr>
        <w:t>日起生效。</w:t>
      </w:r>
    </w:p>
    <w:p w:rsidR="00CE1FDA" w:rsidRDefault="00CE1FDA" w:rsidP="00AC01AA">
      <w:pPr>
        <w:spacing w:after="240" w:line="360" w:lineRule="exact"/>
        <w:ind w:firstLineChars="200" w:firstLine="31680"/>
        <w:rPr>
          <w:rFonts w:hint="eastAsia"/>
        </w:rPr>
      </w:pPr>
      <w:r>
        <w:rPr>
          <w:rFonts w:hint="eastAsia"/>
        </w:rPr>
        <w:t>（</w:t>
      </w:r>
      <w:r>
        <w:rPr>
          <w:rFonts w:hint="eastAsia"/>
        </w:rPr>
        <w:t>b</w:t>
      </w:r>
      <w:r>
        <w:rPr>
          <w:rFonts w:hint="eastAsia"/>
        </w:rPr>
        <w:t>）</w:t>
      </w:r>
      <w:r>
        <w:rPr>
          <w:rFonts w:ascii="KaiTi_GB2312" w:eastAsia="KaiTi_GB2312" w:hint="eastAsia"/>
          <w:color w:val="0000FF"/>
        </w:rPr>
        <w:t>2004年第CXXIII号法案</w:t>
      </w:r>
      <w:r>
        <w:rPr>
          <w:rFonts w:hint="eastAsia"/>
        </w:rPr>
        <w:t>，要求为创业者、年轻人、</w:t>
      </w:r>
      <w:r>
        <w:rPr>
          <w:rFonts w:hint="eastAsia"/>
        </w:rPr>
        <w:t>50</w:t>
      </w:r>
      <w:r>
        <w:rPr>
          <w:rFonts w:hint="eastAsia"/>
        </w:rPr>
        <w:t>岁以上的失业者、不需要再照顾子女或家庭受抚养成员的求职者以及领取奖学金的人就业提供便利，该法案于</w:t>
      </w:r>
      <w:r>
        <w:rPr>
          <w:rFonts w:hint="eastAsia"/>
        </w:rPr>
        <w:t>2005</w:t>
      </w:r>
      <w:r>
        <w:rPr>
          <w:rFonts w:hint="eastAsia"/>
        </w:rPr>
        <w:t>年</w:t>
      </w:r>
      <w:r>
        <w:rPr>
          <w:rFonts w:hint="eastAsia"/>
        </w:rPr>
        <w:t>1</w:t>
      </w:r>
      <w:r>
        <w:rPr>
          <w:rFonts w:hint="eastAsia"/>
        </w:rPr>
        <w:t>月</w:t>
      </w:r>
      <w:r>
        <w:rPr>
          <w:rFonts w:hint="eastAsia"/>
        </w:rPr>
        <w:t>1</w:t>
      </w:r>
      <w:r>
        <w:rPr>
          <w:rFonts w:hint="eastAsia"/>
        </w:rPr>
        <w:t>日生效。立法者发现，对劳动力市场的一些群体来说，导致求职困难的不仅仅是缺乏工作经验，长时间不接触劳动力市场也是一个原因。这包括大多数在不带薪育儿假到期后有意返回劳动力市场的妇女、在亲属护理费享用期结束后有意返回劳动力市场的人，以及</w:t>
      </w:r>
      <w:r>
        <w:rPr>
          <w:rFonts w:hint="eastAsia"/>
        </w:rPr>
        <w:t>50</w:t>
      </w:r>
      <w:r>
        <w:rPr>
          <w:rFonts w:hint="eastAsia"/>
        </w:rPr>
        <w:t>岁以上的求职者。即便这些人的资格符合市场需要，或他们所在地区劳动力短缺，他们仍时常难以找到工作。对这些人进入或重返就业市场应给予帮助。该法案的主要目的不是援助就业者，而是要通过设定一个较低的雇主缴费比例来促进就业，如果雇主从劳动力市场雇用处境不利的人，缴费比例将低于</w:t>
      </w:r>
      <w:r>
        <w:rPr>
          <w:rFonts w:ascii="KaiTi_GB2312" w:eastAsia="KaiTi_GB2312" w:hint="eastAsia"/>
          <w:color w:val="0000FF"/>
        </w:rPr>
        <w:t>1997年第LXXX号法案第19条规定的比例，该法案规定了哪些人有资格获得社会保障系统提供的福利和服务以及私人养恤金，还规定了此类服务的范围，它与政府第</w:t>
      </w:r>
      <w:r>
        <w:rPr>
          <w:rFonts w:ascii="KaiTi_GB2312" w:eastAsia="KaiTi_GB2312"/>
          <w:color w:val="0000FF"/>
        </w:rPr>
        <w:t>195/1997</w:t>
      </w:r>
      <w:r>
        <w:rPr>
          <w:rFonts w:ascii="KaiTi_GB2312" w:eastAsia="KaiTi_GB2312" w:hint="eastAsia"/>
          <w:color w:val="0000FF"/>
        </w:rPr>
        <w:t>（</w:t>
      </w:r>
      <w:r>
        <w:rPr>
          <w:rFonts w:ascii="KaiTi_GB2312" w:eastAsia="KaiTi_GB2312"/>
          <w:color w:val="0000FF"/>
        </w:rPr>
        <w:t>XI.5.</w:t>
      </w:r>
      <w:r>
        <w:rPr>
          <w:rFonts w:ascii="KaiTi_GB2312" w:eastAsia="KaiTi_GB2312" w:hint="eastAsia"/>
          <w:color w:val="0000FF"/>
        </w:rPr>
        <w:t>）号执行法令</w:t>
      </w:r>
      <w:r>
        <w:rPr>
          <w:rFonts w:hint="eastAsia"/>
        </w:rPr>
        <w:t>一同得到落实。立法者打算促使雇主延长受雇者的雇用期。</w:t>
      </w:r>
    </w:p>
    <w:p w:rsidR="00CE1FDA" w:rsidRDefault="00CE1FDA" w:rsidP="00AC01AA">
      <w:pPr>
        <w:spacing w:after="240" w:line="360" w:lineRule="exact"/>
        <w:ind w:firstLineChars="200" w:firstLine="31680"/>
        <w:rPr>
          <w:rFonts w:hint="eastAsia"/>
        </w:rPr>
      </w:pPr>
      <w:r>
        <w:rPr>
          <w:rFonts w:hint="eastAsia"/>
        </w:rPr>
        <w:t>（</w:t>
      </w:r>
      <w:r>
        <w:rPr>
          <w:rFonts w:hint="eastAsia"/>
        </w:rPr>
        <w:t>c</w:t>
      </w:r>
      <w:r>
        <w:rPr>
          <w:rFonts w:hint="eastAsia"/>
        </w:rPr>
        <w:t>）</w:t>
      </w:r>
      <w:r>
        <w:rPr>
          <w:rFonts w:ascii="KaiTi_GB2312" w:eastAsia="KaiTi_GB2312" w:hint="eastAsia"/>
          <w:color w:val="0000FF"/>
        </w:rPr>
        <w:t>2003年关于平等待遇和促进机会平等的第CXXV号法案</w:t>
      </w:r>
      <w:r>
        <w:rPr>
          <w:rFonts w:hint="eastAsia"/>
        </w:rPr>
        <w:t>于</w:t>
      </w:r>
      <w:r>
        <w:rPr>
          <w:rFonts w:hint="eastAsia"/>
        </w:rPr>
        <w:t>2004</w:t>
      </w:r>
      <w:r>
        <w:rPr>
          <w:rFonts w:hint="eastAsia"/>
        </w:rPr>
        <w:t>年</w:t>
      </w:r>
      <w:r>
        <w:rPr>
          <w:rFonts w:hint="eastAsia"/>
        </w:rPr>
        <w:t>1</w:t>
      </w:r>
      <w:r>
        <w:rPr>
          <w:rFonts w:hint="eastAsia"/>
        </w:rPr>
        <w:t>月</w:t>
      </w:r>
      <w:r>
        <w:rPr>
          <w:rFonts w:hint="eastAsia"/>
        </w:rPr>
        <w:t>27</w:t>
      </w:r>
      <w:r>
        <w:rPr>
          <w:rFonts w:hint="eastAsia"/>
        </w:rPr>
        <w:t>日生效，由于该法案的通过，欧盟所有关于平等待遇的指令都纳入了匈牙利法律，因此完成了匈牙利在该领域的法律协调义务。由于它的生效，有关平等待遇的一些规定被转入该法，过去这些规定载在</w:t>
      </w:r>
      <w:r>
        <w:rPr>
          <w:rFonts w:hint="eastAsia"/>
        </w:rPr>
        <w:t>1992</w:t>
      </w:r>
      <w:r>
        <w:rPr>
          <w:rFonts w:hint="eastAsia"/>
        </w:rPr>
        <w:t>年关于《劳动法典》（以下称《劳动法典》）的第</w:t>
      </w:r>
      <w:r>
        <w:rPr>
          <w:rFonts w:hint="eastAsia"/>
        </w:rPr>
        <w:t>XXII</w:t>
      </w:r>
      <w:r>
        <w:rPr>
          <w:rFonts w:hint="eastAsia"/>
        </w:rPr>
        <w:t>号法案中。然而，载入《劳动法典》自</w:t>
      </w:r>
      <w:r>
        <w:rPr>
          <w:rFonts w:hint="eastAsia"/>
        </w:rPr>
        <w:t>2001</w:t>
      </w:r>
      <w:r>
        <w:rPr>
          <w:rFonts w:hint="eastAsia"/>
        </w:rPr>
        <w:t>年</w:t>
      </w:r>
      <w:r>
        <w:rPr>
          <w:rFonts w:hint="eastAsia"/>
        </w:rPr>
        <w:t>7</w:t>
      </w:r>
      <w:r>
        <w:rPr>
          <w:rFonts w:hint="eastAsia"/>
        </w:rPr>
        <w:t>月</w:t>
      </w:r>
      <w:r>
        <w:rPr>
          <w:rFonts w:hint="eastAsia"/>
        </w:rPr>
        <w:t>1</w:t>
      </w:r>
      <w:r>
        <w:rPr>
          <w:rFonts w:hint="eastAsia"/>
        </w:rPr>
        <w:t>日开始生效的等值工作同等报酬原则仍然是《劳动法典》的一部分（第</w:t>
      </w:r>
      <w:r>
        <w:rPr>
          <w:rFonts w:hint="eastAsia"/>
        </w:rPr>
        <w:t>142/A</w:t>
      </w:r>
      <w:r>
        <w:rPr>
          <w:rFonts w:hint="eastAsia"/>
        </w:rPr>
        <w:t>条）。</w:t>
      </w:r>
    </w:p>
    <w:p w:rsidR="00CE1FDA" w:rsidRDefault="00CE1FDA" w:rsidP="00AC01AA">
      <w:pPr>
        <w:spacing w:after="240" w:line="360" w:lineRule="exact"/>
        <w:ind w:firstLineChars="200" w:firstLine="31680"/>
        <w:rPr>
          <w:rFonts w:hint="eastAsia"/>
        </w:rPr>
      </w:pPr>
      <w:r>
        <w:rPr>
          <w:rFonts w:hint="eastAsia"/>
        </w:rPr>
        <w:t>（</w:t>
      </w:r>
      <w:r>
        <w:rPr>
          <w:rFonts w:hint="eastAsia"/>
        </w:rPr>
        <w:t>d</w:t>
      </w:r>
      <w:r>
        <w:rPr>
          <w:rFonts w:hint="eastAsia"/>
        </w:rPr>
        <w:t>）</w:t>
      </w:r>
      <w:r>
        <w:rPr>
          <w:rFonts w:hint="eastAsia"/>
        </w:rPr>
        <w:t>1997</w:t>
      </w:r>
      <w:r>
        <w:rPr>
          <w:rFonts w:hint="eastAsia"/>
        </w:rPr>
        <w:t>年</w:t>
      </w:r>
      <w:r>
        <w:rPr>
          <w:rFonts w:hint="eastAsia"/>
        </w:rPr>
        <w:t>12</w:t>
      </w:r>
      <w:r>
        <w:rPr>
          <w:rFonts w:hint="eastAsia"/>
        </w:rPr>
        <w:t>月</w:t>
      </w:r>
      <w:r>
        <w:rPr>
          <w:rFonts w:hint="eastAsia"/>
        </w:rPr>
        <w:t>15</w:t>
      </w:r>
      <w:r>
        <w:rPr>
          <w:rFonts w:hint="eastAsia"/>
        </w:rPr>
        <w:t>日委员会第</w:t>
      </w:r>
      <w:r>
        <w:rPr>
          <w:rFonts w:hint="eastAsia"/>
        </w:rPr>
        <w:t>97/81/EC</w:t>
      </w:r>
      <w:r>
        <w:rPr>
          <w:rFonts w:hint="eastAsia"/>
        </w:rPr>
        <w:t>号指令涉及儿童基金会、欧洲公共企业中心和欧洲工会联合会缔结的《非全日工作框架协议》，委员会指令引入《劳动法典》，自</w:t>
      </w:r>
      <w:r>
        <w:rPr>
          <w:rFonts w:hint="eastAsia"/>
        </w:rPr>
        <w:t>2003</w:t>
      </w:r>
      <w:r>
        <w:rPr>
          <w:rFonts w:hint="eastAsia"/>
        </w:rPr>
        <w:t>年</w:t>
      </w:r>
      <w:r>
        <w:rPr>
          <w:rFonts w:hint="eastAsia"/>
        </w:rPr>
        <w:t>7</w:t>
      </w:r>
      <w:r>
        <w:rPr>
          <w:rFonts w:hint="eastAsia"/>
        </w:rPr>
        <w:t>月</w:t>
      </w:r>
      <w:r>
        <w:rPr>
          <w:rFonts w:hint="eastAsia"/>
        </w:rPr>
        <w:t>1</w:t>
      </w:r>
      <w:r>
        <w:rPr>
          <w:rFonts w:hint="eastAsia"/>
        </w:rPr>
        <w:t>日开始生效，其主要目标是——在欧洲就业战略框架内——推广非全日就业，以便解决工作和家庭生活的协调问题，除就业外，还提供更为便捷的教育和培训机会。此外，根据欧洲的有关做法，并在审查了相关措施对公共财政的影响后，通过了《关于促进推广非全日就业的第</w:t>
      </w:r>
      <w:r>
        <w:rPr>
          <w:rFonts w:hint="eastAsia"/>
        </w:rPr>
        <w:t>2017/2003</w:t>
      </w:r>
      <w:r>
        <w:rPr>
          <w:rFonts w:hint="eastAsia"/>
        </w:rPr>
        <w:t>号（</w:t>
      </w:r>
      <w:r>
        <w:rPr>
          <w:rFonts w:hint="eastAsia"/>
        </w:rPr>
        <w:t>II.6.</w:t>
      </w:r>
      <w:r>
        <w:rPr>
          <w:rFonts w:hint="eastAsia"/>
        </w:rPr>
        <w:t>）政府决议》，该决议规定，必须根据欧盟的法律协调程序提出一项提案，要求消除阻碍匈牙利非全日就业的各种因素（保健缴款的支付，赋予养恤金资格的服务时间、如果支付雇员的工资少于最低工资，将平均工资视为养恤金基础的规则）该决议中规定的任务执行期限是</w:t>
      </w:r>
      <w:r>
        <w:rPr>
          <w:rFonts w:hint="eastAsia"/>
        </w:rPr>
        <w:t>2003</w:t>
      </w:r>
      <w:r>
        <w:rPr>
          <w:rFonts w:hint="eastAsia"/>
        </w:rPr>
        <w:t>年</w:t>
      </w:r>
      <w:r>
        <w:rPr>
          <w:rFonts w:hint="eastAsia"/>
        </w:rPr>
        <w:t>3</w:t>
      </w:r>
      <w:r>
        <w:rPr>
          <w:rFonts w:hint="eastAsia"/>
        </w:rPr>
        <w:t>月</w:t>
      </w:r>
      <w:r>
        <w:rPr>
          <w:rFonts w:hint="eastAsia"/>
        </w:rPr>
        <w:t>31</w:t>
      </w:r>
      <w:r>
        <w:rPr>
          <w:rFonts w:hint="eastAsia"/>
        </w:rPr>
        <w:t>日。</w:t>
      </w:r>
    </w:p>
    <w:p w:rsidR="00CE1FDA" w:rsidRDefault="00CE1FDA" w:rsidP="00AC01AA">
      <w:pPr>
        <w:spacing w:after="240" w:line="360" w:lineRule="exact"/>
        <w:ind w:firstLineChars="200" w:firstLine="31680"/>
        <w:rPr>
          <w:rFonts w:hint="eastAsia"/>
        </w:rPr>
      </w:pPr>
      <w:r>
        <w:rPr>
          <w:rFonts w:hint="eastAsia"/>
        </w:rPr>
        <w:t>（</w:t>
      </w:r>
      <w:r>
        <w:rPr>
          <w:rFonts w:hint="eastAsia"/>
        </w:rPr>
        <w:t>e</w:t>
      </w:r>
      <w:r>
        <w:rPr>
          <w:rFonts w:hint="eastAsia"/>
        </w:rPr>
        <w:t>）</w:t>
      </w:r>
      <w:r>
        <w:rPr>
          <w:rFonts w:hint="eastAsia"/>
          <w:spacing w:val="-2"/>
        </w:rPr>
        <w:t>《劳动法典》关于父亲工作时间补助的第</w:t>
      </w:r>
      <w:r>
        <w:rPr>
          <w:rFonts w:hint="eastAsia"/>
          <w:spacing w:val="-2"/>
        </w:rPr>
        <w:t>138/A</w:t>
      </w:r>
      <w:r>
        <w:rPr>
          <w:rFonts w:hint="eastAsia"/>
          <w:spacing w:val="-2"/>
        </w:rPr>
        <w:t>条于</w:t>
      </w:r>
      <w:r>
        <w:rPr>
          <w:rFonts w:hint="eastAsia"/>
          <w:spacing w:val="-2"/>
        </w:rPr>
        <w:t>2002</w:t>
      </w:r>
      <w:r>
        <w:rPr>
          <w:rFonts w:hint="eastAsia"/>
          <w:spacing w:val="-2"/>
        </w:rPr>
        <w:t>年</w:t>
      </w:r>
      <w:r>
        <w:rPr>
          <w:rFonts w:hint="eastAsia"/>
          <w:spacing w:val="-2"/>
        </w:rPr>
        <w:t>12</w:t>
      </w:r>
      <w:r>
        <w:rPr>
          <w:rFonts w:hint="eastAsia"/>
          <w:spacing w:val="-2"/>
        </w:rPr>
        <w:t>月</w:t>
      </w:r>
      <w:r>
        <w:rPr>
          <w:rFonts w:hint="eastAsia"/>
          <w:spacing w:val="-2"/>
        </w:rPr>
        <w:t>18</w:t>
      </w:r>
      <w:r>
        <w:rPr>
          <w:rFonts w:hint="eastAsia"/>
          <w:spacing w:val="-2"/>
        </w:rPr>
        <w:t>日生效。该条规定，父亲可领取五个工作日的休假补贴，——由中央预算对雇主进行补偿——在孩子出生后的两个月结束之前，雇主必须应雇员的要求给予补助。即便孩子是死产或出生后死亡，父亲也应得到补助。为了对有资格得到该补助的人下一个确切的定义，必须从工作时间补助的角度，对“父亲”一词加以界定。因此，父亲是指亲生父亲或行使父母监督权的养父。如果是收养，根据一般惯例，在领养子女出生两个月内，养父有权享有工作时间补助。</w:t>
      </w:r>
    </w:p>
    <w:p w:rsidR="00CE1FDA" w:rsidRDefault="00CE1FDA" w:rsidP="00AC01AA">
      <w:pPr>
        <w:spacing w:after="240" w:line="360" w:lineRule="exact"/>
        <w:ind w:firstLineChars="200" w:firstLine="31680"/>
        <w:rPr>
          <w:rFonts w:hint="eastAsia"/>
        </w:rPr>
      </w:pPr>
      <w:r>
        <w:rPr>
          <w:rFonts w:hint="eastAsia"/>
        </w:rPr>
        <w:t>（</w:t>
      </w:r>
      <w:r>
        <w:rPr>
          <w:rFonts w:hint="eastAsia"/>
        </w:rPr>
        <w:t>f</w:t>
      </w:r>
      <w:r>
        <w:rPr>
          <w:rFonts w:hint="eastAsia"/>
        </w:rPr>
        <w:t>）《劳动法典》第</w:t>
      </w:r>
      <w:r>
        <w:rPr>
          <w:rFonts w:hint="eastAsia"/>
        </w:rPr>
        <w:t>124</w:t>
      </w:r>
      <w:r>
        <w:rPr>
          <w:rFonts w:hint="eastAsia"/>
        </w:rPr>
        <w:t>（</w:t>
      </w:r>
      <w:r>
        <w:rPr>
          <w:rFonts w:hint="eastAsia"/>
        </w:rPr>
        <w:t>7</w:t>
      </w:r>
      <w:r>
        <w:rPr>
          <w:rFonts w:hint="eastAsia"/>
        </w:rPr>
        <w:t>）条——自</w:t>
      </w:r>
      <w:r>
        <w:rPr>
          <w:rFonts w:hint="eastAsia"/>
        </w:rPr>
        <w:t>2001</w:t>
      </w:r>
      <w:r>
        <w:rPr>
          <w:rFonts w:hint="eastAsia"/>
        </w:rPr>
        <w:t>年</w:t>
      </w:r>
      <w:r>
        <w:rPr>
          <w:rFonts w:hint="eastAsia"/>
        </w:rPr>
        <w:t>7</w:t>
      </w:r>
      <w:r>
        <w:rPr>
          <w:rFonts w:hint="eastAsia"/>
        </w:rPr>
        <w:t>月</w:t>
      </w:r>
      <w:r>
        <w:rPr>
          <w:rFonts w:hint="eastAsia"/>
        </w:rPr>
        <w:t>1</w:t>
      </w:r>
      <w:r>
        <w:rPr>
          <w:rFonts w:hint="eastAsia"/>
        </w:rPr>
        <w:t>日起生效——规定，女性雇员，从确定怀孕起到孩子</w:t>
      </w:r>
      <w:r>
        <w:rPr>
          <w:rFonts w:hint="eastAsia"/>
        </w:rPr>
        <w:t>1</w:t>
      </w:r>
      <w:r>
        <w:rPr>
          <w:rFonts w:hint="eastAsia"/>
        </w:rPr>
        <w:t>岁，或如独自抚养孩子的男子，到孩子</w:t>
      </w:r>
      <w:r>
        <w:rPr>
          <w:rFonts w:hint="eastAsia"/>
        </w:rPr>
        <w:t>1</w:t>
      </w:r>
      <w:r>
        <w:rPr>
          <w:rFonts w:hint="eastAsia"/>
        </w:rPr>
        <w:t>岁之后，每周的休息日只有经他们同意才能集中使用。该项规定现已列入《劳动法典》同一条第（</w:t>
      </w:r>
      <w:r>
        <w:rPr>
          <w:rFonts w:hint="eastAsia"/>
        </w:rPr>
        <w:t>9</w:t>
      </w:r>
      <w:r>
        <w:rPr>
          <w:rFonts w:hint="eastAsia"/>
        </w:rPr>
        <w:t>）款。</w:t>
      </w:r>
    </w:p>
    <w:p w:rsidR="00CE1FDA" w:rsidRDefault="00CE1FDA">
      <w:pPr>
        <w:spacing w:after="240" w:line="360" w:lineRule="exact"/>
        <w:rPr>
          <w:rFonts w:ascii="SimHei" w:eastAsia="SimHei" w:hint="eastAsia"/>
          <w:color w:val="FF0000"/>
          <w:sz w:val="24"/>
        </w:rPr>
      </w:pPr>
      <w:r>
        <w:rPr>
          <w:rFonts w:ascii="SimHei" w:eastAsia="SimHei" w:hint="eastAsia"/>
          <w:color w:val="FF0000"/>
          <w:sz w:val="24"/>
        </w:rPr>
        <w:t>第12条：保健</w:t>
      </w:r>
    </w:p>
    <w:p w:rsidR="00CE1FDA" w:rsidRDefault="00CE1FDA">
      <w:pPr>
        <w:spacing w:after="240" w:line="360" w:lineRule="exact"/>
        <w:rPr>
          <w:rFonts w:ascii="SimHei" w:eastAsia="SimHei" w:hint="eastAsia"/>
          <w:color w:val="FF0000"/>
        </w:rPr>
      </w:pPr>
      <w:r>
        <w:rPr>
          <w:rFonts w:ascii="SimHei" w:eastAsia="SimHei" w:hint="eastAsia"/>
          <w:color w:val="FF0000"/>
        </w:rPr>
        <w:t>1． 男女的健康状况</w:t>
      </w:r>
    </w:p>
    <w:p w:rsidR="00CE1FDA" w:rsidRDefault="00CE1FDA" w:rsidP="00AC01AA">
      <w:pPr>
        <w:spacing w:after="240" w:line="360" w:lineRule="exact"/>
        <w:ind w:firstLineChars="200" w:firstLine="31680"/>
        <w:rPr>
          <w:rFonts w:hint="eastAsia"/>
        </w:rPr>
      </w:pPr>
      <w:r>
        <w:rPr>
          <w:rFonts w:hint="eastAsia"/>
        </w:rPr>
        <w:t>2003</w:t>
      </w:r>
      <w:r>
        <w:rPr>
          <w:rFonts w:hint="eastAsia"/>
        </w:rPr>
        <w:t>年</w:t>
      </w:r>
      <w:r>
        <w:rPr>
          <w:rFonts w:hint="eastAsia"/>
        </w:rPr>
        <w:t>4</w:t>
      </w:r>
      <w:r>
        <w:rPr>
          <w:rFonts w:hint="eastAsia"/>
        </w:rPr>
        <w:t>月</w:t>
      </w:r>
      <w:r>
        <w:rPr>
          <w:rFonts w:hint="eastAsia"/>
        </w:rPr>
        <w:t>7</w:t>
      </w:r>
      <w:r>
        <w:rPr>
          <w:rFonts w:hint="eastAsia"/>
        </w:rPr>
        <w:t>日议会第</w:t>
      </w:r>
      <w:r>
        <w:rPr>
          <w:rFonts w:hint="eastAsia"/>
        </w:rPr>
        <w:t>46/2003</w:t>
      </w:r>
      <w:r>
        <w:rPr>
          <w:rFonts w:hint="eastAsia"/>
        </w:rPr>
        <w:t>号决议通过的“全国健康十年方案”是在更新和扩展“增进民族健康全国公共卫生方案”的基础上制定的，它为自己设定了一个目标，即改善匈牙利人口的健康状况。最重要的要点包括，通过实现机会平等和在各个生活领域营造促进良好健康的环境，为社会弱势群体提供更多的机会。全国健康十年方案次级方案“健康的青年”规定了一些特别措施，对孕妇、母亲、婴儿、儿童和青少年进行保护，并加强生殖健康。该方案的一个目标是，从</w:t>
      </w:r>
      <w:r>
        <w:rPr>
          <w:rFonts w:hint="eastAsia"/>
        </w:rPr>
        <w:t>2003</w:t>
      </w:r>
      <w:r>
        <w:rPr>
          <w:rFonts w:hint="eastAsia"/>
        </w:rPr>
        <w:t>年起开展计划生育咨询服务，促进对生养孩子的决定更加负责，预防常见慢性病，防止意外怀孕。另一个目标是，在</w:t>
      </w:r>
      <w:r>
        <w:rPr>
          <w:rFonts w:hint="eastAsia"/>
        </w:rPr>
        <w:t>2003</w:t>
      </w:r>
      <w:r>
        <w:rPr>
          <w:rFonts w:hint="eastAsia"/>
        </w:rPr>
        <w:t>年改善社区护理工作的技术</w:t>
      </w:r>
      <w:r>
        <w:rPr>
          <w:rFonts w:hint="eastAsia"/>
        </w:rPr>
        <w:t>/</w:t>
      </w:r>
      <w:r>
        <w:rPr>
          <w:rFonts w:hint="eastAsia"/>
        </w:rPr>
        <w:t>专业条件及其制度背景，并推动与母亲、儿童和婴儿保护有关的活动。建立“方便家属”的产科病房，并采取一切合理的办法促进母乳喂养，使之成为一种普遍的自然做法，并成为该方案的组成部分。</w:t>
      </w:r>
      <w:r>
        <w:rPr>
          <w:rFonts w:hint="eastAsia"/>
        </w:rPr>
        <w:t xml:space="preserve"> </w:t>
      </w:r>
    </w:p>
    <w:p w:rsidR="00CE1FDA" w:rsidRDefault="00CE1FDA">
      <w:pPr>
        <w:spacing w:after="240" w:line="360" w:lineRule="exact"/>
        <w:rPr>
          <w:rFonts w:eastAsia="KaiTi_GB2312" w:hint="eastAsia"/>
          <w:color w:val="0000FF"/>
        </w:rPr>
      </w:pPr>
      <w:r>
        <w:rPr>
          <w:rFonts w:eastAsia="KaiTi_GB2312" w:hint="eastAsia"/>
          <w:color w:val="0000FF"/>
        </w:rPr>
        <w:t>死亡率，妇产科疾病的检查和治疗</w:t>
      </w:r>
    </w:p>
    <w:p w:rsidR="00CE1FDA" w:rsidRDefault="00CE1FDA" w:rsidP="00AC01AA">
      <w:pPr>
        <w:spacing w:after="240" w:line="360" w:lineRule="exact"/>
        <w:ind w:firstLineChars="200" w:firstLine="31680"/>
        <w:rPr>
          <w:rFonts w:hint="eastAsia"/>
        </w:rPr>
      </w:pPr>
      <w:r>
        <w:rPr>
          <w:rFonts w:hint="eastAsia"/>
        </w:rPr>
        <w:t>在匈牙利，男女出生的预期寿命远远低于匈牙利经济发展所应具备的水平。</w:t>
      </w:r>
      <w:r>
        <w:rPr>
          <w:rFonts w:hint="eastAsia"/>
        </w:rPr>
        <w:t>2003</w:t>
      </w:r>
      <w:r>
        <w:rPr>
          <w:rFonts w:hint="eastAsia"/>
        </w:rPr>
        <w:t>年，男子出生的预期寿命为</w:t>
      </w:r>
      <w:r>
        <w:rPr>
          <w:rFonts w:hint="eastAsia"/>
        </w:rPr>
        <w:t>68.4</w:t>
      </w:r>
      <w:r>
        <w:rPr>
          <w:rFonts w:hint="eastAsia"/>
        </w:rPr>
        <w:t>岁，妇女的为</w:t>
      </w:r>
      <w:r>
        <w:rPr>
          <w:rFonts w:hint="eastAsia"/>
        </w:rPr>
        <w:t>76.8</w:t>
      </w:r>
      <w:r>
        <w:rPr>
          <w:rFonts w:hint="eastAsia"/>
        </w:rPr>
        <w:t>岁。预计匈牙利的男子和妇女仍会比其他欧盟国家居民的寿命分别短</w:t>
      </w:r>
      <w:r>
        <w:rPr>
          <w:rFonts w:hint="eastAsia"/>
        </w:rPr>
        <w:t>7</w:t>
      </w:r>
      <w:r>
        <w:rPr>
          <w:rFonts w:hint="eastAsia"/>
        </w:rPr>
        <w:t>年和</w:t>
      </w:r>
      <w:r>
        <w:rPr>
          <w:rFonts w:hint="eastAsia"/>
        </w:rPr>
        <w:t>5</w:t>
      </w:r>
      <w:r>
        <w:rPr>
          <w:rFonts w:hint="eastAsia"/>
        </w:rPr>
        <w:t>年。应该强调的是，在男子中，死亡率与其教育水平相关，而接受过高等教育的妇女的死亡率高于接受过中等教育的妇女。</w:t>
      </w:r>
    </w:p>
    <w:p w:rsidR="00CE1FDA" w:rsidRDefault="00CE1FDA" w:rsidP="00AC01AA">
      <w:pPr>
        <w:spacing w:after="240" w:line="360" w:lineRule="exact"/>
        <w:ind w:firstLineChars="200" w:firstLine="31680"/>
        <w:rPr>
          <w:rFonts w:hint="eastAsia"/>
        </w:rPr>
      </w:pPr>
      <w:r>
        <w:rPr>
          <w:rFonts w:hint="eastAsia"/>
          <w:spacing w:val="-2"/>
        </w:rPr>
        <w:t>世界上没有一个国家的恶性肿瘤死亡率高于匈牙利。</w:t>
      </w:r>
      <w:r>
        <w:rPr>
          <w:rFonts w:hint="eastAsia"/>
          <w:spacing w:val="-2"/>
        </w:rPr>
        <w:t>2004</w:t>
      </w:r>
      <w:r>
        <w:rPr>
          <w:rFonts w:hint="eastAsia"/>
          <w:spacing w:val="-2"/>
        </w:rPr>
        <w:t>年，因肿瘤死亡的人中，患肺癌的妇女死亡率超过了患乳腺癌的妇女死亡率，因此，导致死亡的主要原因是肺癌（</w:t>
      </w:r>
      <w:r>
        <w:rPr>
          <w:rFonts w:hint="eastAsia"/>
          <w:spacing w:val="-2"/>
        </w:rPr>
        <w:t>45.4/100 000</w:t>
      </w:r>
      <w:r>
        <w:rPr>
          <w:rFonts w:hint="eastAsia"/>
          <w:spacing w:val="-2"/>
        </w:rPr>
        <w:t>名妇女）、乳腺癌（</w:t>
      </w:r>
      <w:r>
        <w:rPr>
          <w:rFonts w:hint="eastAsia"/>
          <w:spacing w:val="-2"/>
        </w:rPr>
        <w:t>43/100 000</w:t>
      </w:r>
      <w:r>
        <w:rPr>
          <w:rFonts w:hint="eastAsia"/>
        </w:rPr>
        <w:t>名妇女）以及结肠癌（</w:t>
      </w:r>
      <w:r>
        <w:rPr>
          <w:rFonts w:hint="eastAsia"/>
        </w:rPr>
        <w:t>27.4/100 000</w:t>
      </w:r>
      <w:r>
        <w:rPr>
          <w:rFonts w:hint="eastAsia"/>
        </w:rPr>
        <w:t>名妇女）。在女性生殖器肿瘤中，由卵巢癌导致死亡的比率是最高的（</w:t>
      </w:r>
      <w:r>
        <w:rPr>
          <w:rFonts w:hint="eastAsia"/>
        </w:rPr>
        <w:t>12.5/100 000</w:t>
      </w:r>
      <w:r>
        <w:rPr>
          <w:rFonts w:hint="eastAsia"/>
        </w:rPr>
        <w:t>名妇女）。子宫颈癌的死亡率（</w:t>
      </w:r>
      <w:r>
        <w:rPr>
          <w:rFonts w:hint="eastAsia"/>
        </w:rPr>
        <w:t>9.3/100 000</w:t>
      </w:r>
      <w:r>
        <w:rPr>
          <w:rFonts w:hint="eastAsia"/>
        </w:rPr>
        <w:t>名妇女）和子宫其他部位肿瘤癌（</w:t>
      </w:r>
      <w:r>
        <w:t>7.6/100 000</w:t>
      </w:r>
      <w:r>
        <w:rPr>
          <w:rFonts w:hint="eastAsia"/>
        </w:rPr>
        <w:t>）的死亡率也很高。乳腺癌检查于</w:t>
      </w:r>
      <w:r>
        <w:rPr>
          <w:rFonts w:hint="eastAsia"/>
        </w:rPr>
        <w:t>2000</w:t>
      </w:r>
      <w:r>
        <w:rPr>
          <w:rFonts w:hint="eastAsia"/>
        </w:rPr>
        <w:t>年启动，是全国公共卫生方案的一部分，</w:t>
      </w:r>
      <w:r>
        <w:rPr>
          <w:rFonts w:hint="eastAsia"/>
        </w:rPr>
        <w:t>2003</w:t>
      </w:r>
      <w:r>
        <w:rPr>
          <w:rFonts w:hint="eastAsia"/>
        </w:rPr>
        <w:t>年</w:t>
      </w:r>
      <w:r>
        <w:rPr>
          <w:rFonts w:hint="eastAsia"/>
        </w:rPr>
        <w:t>45-64</w:t>
      </w:r>
      <w:r>
        <w:rPr>
          <w:rFonts w:hint="eastAsia"/>
        </w:rPr>
        <w:t>岁的妇女中，约四分之三参加了这一检查。我们没有妇女参加子宫颈癌检查情况的可靠数据（估计：</w:t>
      </w:r>
      <w:r>
        <w:rPr>
          <w:rFonts w:hint="eastAsia"/>
        </w:rPr>
        <w:t>20-30%</w:t>
      </w:r>
      <w:r>
        <w:rPr>
          <w:rFonts w:hint="eastAsia"/>
        </w:rPr>
        <w:t>的妇女参加了检查）。令人遗憾的一个变化是，妇女患者在妇科接受检查的平均时间为</w:t>
      </w:r>
      <w:r>
        <w:rPr>
          <w:rFonts w:hint="eastAsia"/>
        </w:rPr>
        <w:t>13</w:t>
      </w:r>
      <w:r>
        <w:rPr>
          <w:rFonts w:hint="eastAsia"/>
        </w:rPr>
        <w:t>分钟多，这大大短于</w:t>
      </w:r>
      <w:r>
        <w:rPr>
          <w:rFonts w:hint="eastAsia"/>
        </w:rPr>
        <w:t>2000</w:t>
      </w:r>
      <w:r>
        <w:rPr>
          <w:rFonts w:hint="eastAsia"/>
        </w:rPr>
        <w:t>年记录的</w:t>
      </w:r>
      <w:r>
        <w:rPr>
          <w:rFonts w:hint="eastAsia"/>
        </w:rPr>
        <w:t>24</w:t>
      </w:r>
      <w:r>
        <w:rPr>
          <w:rFonts w:hint="eastAsia"/>
        </w:rPr>
        <w:t>分钟。</w:t>
      </w:r>
    </w:p>
    <w:p w:rsidR="00CE1FDA" w:rsidRDefault="00CE1FDA">
      <w:pPr>
        <w:spacing w:after="240" w:line="360" w:lineRule="exact"/>
        <w:rPr>
          <w:rFonts w:eastAsia="KaiTi_GB2312" w:hint="eastAsia"/>
          <w:color w:val="0000FF"/>
        </w:rPr>
      </w:pPr>
      <w:r>
        <w:rPr>
          <w:rFonts w:eastAsia="KaiTi_GB2312" w:hint="eastAsia"/>
          <w:color w:val="0000FF"/>
        </w:rPr>
        <w:t>艾滋病毒预防</w:t>
      </w:r>
    </w:p>
    <w:p w:rsidR="00CE1FDA" w:rsidRDefault="00CE1FDA" w:rsidP="00AC01AA">
      <w:pPr>
        <w:spacing w:after="240" w:line="360" w:lineRule="exact"/>
        <w:ind w:firstLineChars="200" w:firstLine="31680"/>
        <w:rPr>
          <w:rFonts w:hint="eastAsia"/>
        </w:rPr>
      </w:pPr>
      <w:r>
        <w:rPr>
          <w:rFonts w:hint="eastAsia"/>
        </w:rPr>
        <w:t>2004</w:t>
      </w:r>
      <w:r>
        <w:rPr>
          <w:rFonts w:hint="eastAsia"/>
        </w:rPr>
        <w:t>年，一共有</w:t>
      </w:r>
      <w:r>
        <w:rPr>
          <w:rFonts w:hint="eastAsia"/>
        </w:rPr>
        <w:t>12</w:t>
      </w:r>
      <w:r>
        <w:rPr>
          <w:rFonts w:hint="eastAsia"/>
        </w:rPr>
        <w:t>名妇女和</w:t>
      </w:r>
      <w:r>
        <w:rPr>
          <w:rFonts w:hint="eastAsia"/>
        </w:rPr>
        <w:t>63</w:t>
      </w:r>
      <w:r>
        <w:rPr>
          <w:rFonts w:hint="eastAsia"/>
        </w:rPr>
        <w:t>名男子登记为艾滋病毒阳性患者。同一年，</w:t>
      </w:r>
      <w:r>
        <w:rPr>
          <w:rFonts w:hint="eastAsia"/>
        </w:rPr>
        <w:t>4</w:t>
      </w:r>
      <w:r>
        <w:rPr>
          <w:rFonts w:hint="eastAsia"/>
        </w:rPr>
        <w:t>名妇女和</w:t>
      </w:r>
      <w:r>
        <w:rPr>
          <w:rFonts w:hint="eastAsia"/>
        </w:rPr>
        <w:t>9</w:t>
      </w:r>
      <w:r>
        <w:rPr>
          <w:rFonts w:hint="eastAsia"/>
        </w:rPr>
        <w:t>名男子接受了艾滋病治疗，</w:t>
      </w:r>
      <w:r>
        <w:rPr>
          <w:rFonts w:hint="eastAsia"/>
        </w:rPr>
        <w:t>2</w:t>
      </w:r>
      <w:r>
        <w:rPr>
          <w:rFonts w:hint="eastAsia"/>
        </w:rPr>
        <w:t>名妇女和</w:t>
      </w:r>
      <w:r>
        <w:rPr>
          <w:rFonts w:hint="eastAsia"/>
        </w:rPr>
        <w:t>11</w:t>
      </w:r>
      <w:r>
        <w:rPr>
          <w:rFonts w:hint="eastAsia"/>
        </w:rPr>
        <w:t>名男子死于艾滋病。匈牙利国家艾滋病战略符合千年发展目标和全国公共卫生方案。</w:t>
      </w:r>
    </w:p>
    <w:p w:rsidR="00CE1FDA" w:rsidRDefault="00CE1FDA">
      <w:pPr>
        <w:spacing w:after="240" w:line="360" w:lineRule="exact"/>
        <w:rPr>
          <w:rFonts w:eastAsia="KaiTi_GB2312" w:hint="eastAsia"/>
          <w:color w:val="0000FF"/>
        </w:rPr>
      </w:pPr>
      <w:r>
        <w:rPr>
          <w:rFonts w:eastAsia="KaiTi_GB2312" w:hint="eastAsia"/>
          <w:color w:val="0000FF"/>
        </w:rPr>
        <w:t>吸烟</w:t>
      </w:r>
    </w:p>
    <w:p w:rsidR="00CE1FDA" w:rsidRDefault="00CE1FDA" w:rsidP="00AC01AA">
      <w:pPr>
        <w:spacing w:after="240" w:line="360" w:lineRule="exact"/>
        <w:ind w:firstLineChars="200" w:firstLine="31680"/>
        <w:rPr>
          <w:rFonts w:hint="eastAsia"/>
        </w:rPr>
      </w:pPr>
      <w:r>
        <w:rPr>
          <w:rFonts w:hint="eastAsia"/>
        </w:rPr>
        <w:t>根据匈牙利健康采访调查收集的</w:t>
      </w:r>
      <w:r>
        <w:rPr>
          <w:rFonts w:hint="eastAsia"/>
        </w:rPr>
        <w:t>2000</w:t>
      </w:r>
      <w:r>
        <w:rPr>
          <w:rFonts w:hint="eastAsia"/>
        </w:rPr>
        <w:t>年和</w:t>
      </w:r>
      <w:r>
        <w:rPr>
          <w:rFonts w:hint="eastAsia"/>
        </w:rPr>
        <w:t>2003</w:t>
      </w:r>
      <w:r>
        <w:rPr>
          <w:rFonts w:hint="eastAsia"/>
        </w:rPr>
        <w:t>年数据，</w:t>
      </w:r>
      <w:r>
        <w:rPr>
          <w:rStyle w:val="FootnoteReference"/>
          <w:rFonts w:hint="eastAsia"/>
        </w:rPr>
        <w:footnoteReference w:id="18"/>
      </w:r>
      <w:r>
        <w:rPr>
          <w:rFonts w:hint="eastAsia"/>
        </w:rPr>
        <w:t>2000</w:t>
      </w:r>
      <w:r>
        <w:rPr>
          <w:rFonts w:hint="eastAsia"/>
        </w:rPr>
        <w:t>年后，吸烟人数继续上升，妇女仍在沿袭男子这种不健康的习惯。</w:t>
      </w:r>
      <w:r>
        <w:rPr>
          <w:rFonts w:hint="eastAsia"/>
        </w:rPr>
        <w:t>2000</w:t>
      </w:r>
      <w:r>
        <w:rPr>
          <w:rFonts w:hint="eastAsia"/>
        </w:rPr>
        <w:t>年，每</w:t>
      </w:r>
      <w:r>
        <w:rPr>
          <w:rFonts w:hint="eastAsia"/>
        </w:rPr>
        <w:t>10</w:t>
      </w:r>
      <w:r>
        <w:rPr>
          <w:rFonts w:hint="eastAsia"/>
        </w:rPr>
        <w:t>名妇女中有</w:t>
      </w:r>
      <w:r>
        <w:rPr>
          <w:rFonts w:hint="eastAsia"/>
        </w:rPr>
        <w:t>1</w:t>
      </w:r>
      <w:r>
        <w:rPr>
          <w:rFonts w:hint="eastAsia"/>
        </w:rPr>
        <w:t>人（</w:t>
      </w:r>
      <w:r>
        <w:rPr>
          <w:rFonts w:hint="eastAsia"/>
        </w:rPr>
        <w:t>9.4%</w:t>
      </w:r>
      <w:r>
        <w:rPr>
          <w:rFonts w:hint="eastAsia"/>
        </w:rPr>
        <w:t>），每</w:t>
      </w:r>
      <w:r>
        <w:rPr>
          <w:rFonts w:hint="eastAsia"/>
        </w:rPr>
        <w:t>4</w:t>
      </w:r>
      <w:r>
        <w:rPr>
          <w:rFonts w:hint="eastAsia"/>
        </w:rPr>
        <w:t>名男子中有</w:t>
      </w:r>
      <w:r>
        <w:rPr>
          <w:rFonts w:hint="eastAsia"/>
        </w:rPr>
        <w:t>1</w:t>
      </w:r>
      <w:r>
        <w:rPr>
          <w:rFonts w:hint="eastAsia"/>
        </w:rPr>
        <w:t>人</w:t>
      </w:r>
      <w:r>
        <w:rPr>
          <w:rFonts w:hint="eastAsia"/>
        </w:rPr>
        <w:t xml:space="preserve"> </w:t>
      </w:r>
      <w:r>
        <w:rPr>
          <w:rFonts w:hint="eastAsia"/>
        </w:rPr>
        <w:t>（</w:t>
      </w:r>
      <w:r>
        <w:rPr>
          <w:rFonts w:hint="eastAsia"/>
        </w:rPr>
        <w:t>25%</w:t>
      </w:r>
      <w:r>
        <w:rPr>
          <w:rFonts w:hint="eastAsia"/>
        </w:rPr>
        <w:t>）每天至少吸</w:t>
      </w:r>
      <w:r>
        <w:rPr>
          <w:rFonts w:hint="eastAsia"/>
        </w:rPr>
        <w:t>20</w:t>
      </w:r>
      <w:r>
        <w:rPr>
          <w:rFonts w:hint="eastAsia"/>
        </w:rPr>
        <w:t>支烟。但是一个迈出的步骤是，通过</w:t>
      </w:r>
      <w:r>
        <w:rPr>
          <w:rFonts w:ascii="KaiTi_GB2312" w:eastAsia="KaiTi_GB2312" w:hint="eastAsia"/>
          <w:color w:val="0000FF"/>
        </w:rPr>
        <w:t>2001年第I号法案</w:t>
      </w:r>
      <w:r>
        <w:rPr>
          <w:rFonts w:hint="eastAsia"/>
        </w:rPr>
        <w:t>对关于经济广告活动的</w:t>
      </w:r>
      <w:r>
        <w:rPr>
          <w:rFonts w:ascii="KaiTi_GB2312" w:eastAsia="KaiTi_GB2312" w:hint="eastAsia"/>
          <w:color w:val="0000FF"/>
        </w:rPr>
        <w:t>1997年第LVIII号法案</w:t>
      </w:r>
      <w:r>
        <w:rPr>
          <w:rFonts w:hint="eastAsia"/>
        </w:rPr>
        <w:t>的修正，全面禁止了烟草产品广告。关于烟草产品的标签，匈牙利履行了统一欧盟法律的义务，在关于修改某些健康和社会保障法的</w:t>
      </w:r>
      <w:r>
        <w:rPr>
          <w:rFonts w:ascii="KaiTi_GB2312" w:eastAsia="KaiTi_GB2312" w:hint="eastAsia"/>
          <w:color w:val="0000FF"/>
        </w:rPr>
        <w:t>2002年第LVIII号法案</w:t>
      </w:r>
      <w:r>
        <w:rPr>
          <w:rFonts w:hint="eastAsia"/>
        </w:rPr>
        <w:t>生效时，它根据第</w:t>
      </w:r>
      <w:r>
        <w:rPr>
          <w:rFonts w:hint="eastAsia"/>
        </w:rPr>
        <w:t>2001/37/EC</w:t>
      </w:r>
      <w:r>
        <w:rPr>
          <w:rFonts w:hint="eastAsia"/>
        </w:rPr>
        <w:t>号指令，明确了各种完整计划的细则，以提高健康保护的效力。在反对吸烟的斗争中，政府促进了许多非政府组织的工作。</w:t>
      </w:r>
    </w:p>
    <w:p w:rsidR="00CE1FDA" w:rsidRDefault="00CE1FDA">
      <w:pPr>
        <w:spacing w:after="240" w:line="360" w:lineRule="exact"/>
        <w:rPr>
          <w:rFonts w:eastAsia="KaiTi_GB2312" w:hint="eastAsia"/>
          <w:color w:val="0000FF"/>
        </w:rPr>
      </w:pPr>
      <w:r>
        <w:rPr>
          <w:rFonts w:eastAsia="KaiTi_GB2312" w:hint="eastAsia"/>
          <w:color w:val="0000FF"/>
        </w:rPr>
        <w:t>酒类消费</w:t>
      </w:r>
    </w:p>
    <w:p w:rsidR="00CE1FDA" w:rsidRDefault="00CE1FDA" w:rsidP="00AC01AA">
      <w:pPr>
        <w:spacing w:after="240" w:line="360" w:lineRule="exact"/>
        <w:ind w:firstLineChars="200" w:firstLine="31680"/>
        <w:rPr>
          <w:rFonts w:hint="eastAsia"/>
        </w:rPr>
      </w:pPr>
      <w:r>
        <w:rPr>
          <w:rFonts w:hint="eastAsia"/>
        </w:rPr>
        <w:t>在酒精饮料的消费方面，匈牙利仍然居世界前列。</w:t>
      </w:r>
      <w:r>
        <w:rPr>
          <w:rFonts w:hint="eastAsia"/>
        </w:rPr>
        <w:t>2004</w:t>
      </w:r>
      <w:r>
        <w:rPr>
          <w:rFonts w:hint="eastAsia"/>
        </w:rPr>
        <w:t>年，酒精导致的妇女肝硬化死亡率为</w:t>
      </w:r>
      <w:r>
        <w:rPr>
          <w:rFonts w:hint="eastAsia"/>
        </w:rPr>
        <w:t>0.0233</w:t>
      </w:r>
      <w:r>
        <w:rPr>
          <w:rFonts w:hint="eastAsia"/>
        </w:rPr>
        <w:t>，这在全世界是最高的比率之一。</w:t>
      </w:r>
    </w:p>
    <w:p w:rsidR="00CE1FDA" w:rsidRDefault="00CE1FDA" w:rsidP="00AC01AA">
      <w:pPr>
        <w:spacing w:after="240" w:line="360" w:lineRule="exact"/>
        <w:ind w:firstLineChars="200" w:firstLine="31680"/>
        <w:rPr>
          <w:rFonts w:hint="eastAsia"/>
        </w:rPr>
      </w:pPr>
      <w:r>
        <w:rPr>
          <w:rFonts w:hint="eastAsia"/>
        </w:rPr>
        <w:t>根据</w:t>
      </w:r>
      <w:r>
        <w:rPr>
          <w:rFonts w:hint="eastAsia"/>
        </w:rPr>
        <w:t>2003</w:t>
      </w:r>
      <w:r>
        <w:rPr>
          <w:rFonts w:hint="eastAsia"/>
        </w:rPr>
        <w:t>年的数据，按照人们自己的报告，</w:t>
      </w:r>
      <w:r>
        <w:rPr>
          <w:rFonts w:hint="eastAsia"/>
        </w:rPr>
        <w:t>3%</w:t>
      </w:r>
      <w:r>
        <w:rPr>
          <w:rFonts w:hint="eastAsia"/>
        </w:rPr>
        <w:t>的妇女和</w:t>
      </w:r>
      <w:r>
        <w:rPr>
          <w:rFonts w:hint="eastAsia"/>
        </w:rPr>
        <w:t>18%</w:t>
      </w:r>
      <w:r>
        <w:rPr>
          <w:rFonts w:hint="eastAsia"/>
        </w:rPr>
        <w:t>的男人消费大量的对身体有害的酒精饮料。</w:t>
      </w:r>
    </w:p>
    <w:p w:rsidR="00CE1FDA" w:rsidRDefault="00CE1FDA" w:rsidP="00AC01AA">
      <w:pPr>
        <w:spacing w:after="240" w:line="360" w:lineRule="exact"/>
        <w:ind w:firstLineChars="200" w:firstLine="31680"/>
        <w:rPr>
          <w:rFonts w:hint="eastAsia"/>
        </w:rPr>
      </w:pPr>
      <w:r>
        <w:rPr>
          <w:rFonts w:hint="eastAsia"/>
        </w:rPr>
        <w:t>2004</w:t>
      </w:r>
      <w:r>
        <w:rPr>
          <w:rFonts w:hint="eastAsia"/>
        </w:rPr>
        <w:t>年，在全国公共卫生方案的支助下，为治疗酒精上瘾而提出申请的</w:t>
      </w:r>
      <w:r>
        <w:rPr>
          <w:rFonts w:hint="eastAsia"/>
        </w:rPr>
        <w:t>139</w:t>
      </w:r>
      <w:r>
        <w:rPr>
          <w:rFonts w:hint="eastAsia"/>
        </w:rPr>
        <w:t>人中，约</w:t>
      </w:r>
      <w:r>
        <w:rPr>
          <w:rFonts w:hint="eastAsia"/>
        </w:rPr>
        <w:t>90%</w:t>
      </w:r>
      <w:r>
        <w:rPr>
          <w:rFonts w:hint="eastAsia"/>
        </w:rPr>
        <w:t>为妇女。</w:t>
      </w:r>
    </w:p>
    <w:p w:rsidR="00CE1FDA" w:rsidRDefault="00CE1FDA">
      <w:pPr>
        <w:spacing w:after="240" w:line="360" w:lineRule="exact"/>
        <w:rPr>
          <w:rFonts w:eastAsia="KaiTi_GB2312" w:hint="eastAsia"/>
          <w:color w:val="0000FF"/>
        </w:rPr>
      </w:pPr>
      <w:r>
        <w:rPr>
          <w:rFonts w:eastAsia="KaiTi_GB2312" w:hint="eastAsia"/>
          <w:color w:val="0000FF"/>
        </w:rPr>
        <w:t>毒品消费</w:t>
      </w:r>
    </w:p>
    <w:p w:rsidR="00CE1FDA" w:rsidRDefault="00CE1FDA" w:rsidP="00AC01AA">
      <w:pPr>
        <w:spacing w:after="240" w:line="360" w:lineRule="exact"/>
        <w:ind w:firstLineChars="200" w:firstLine="31680"/>
        <w:rPr>
          <w:rFonts w:hint="eastAsia"/>
        </w:rPr>
      </w:pPr>
      <w:r>
        <w:rPr>
          <w:rFonts w:hint="eastAsia"/>
        </w:rPr>
        <w:t>近几年来，毒品消费问题日益引起注意。滥用毒品在妇女中最为常见；上瘾者往往按这一频率次序使用苯化重氮、眠尔通和复合巴比妥酸盐。自</w:t>
      </w:r>
      <w:r>
        <w:rPr>
          <w:rFonts w:hint="eastAsia"/>
        </w:rPr>
        <w:t>2000</w:t>
      </w:r>
      <w:r>
        <w:rPr>
          <w:rFonts w:hint="eastAsia"/>
        </w:rPr>
        <w:t>年以来，妇女中吸毒者的登记人数下降，但是男子人数上升。中学年龄群体是最易接触毒品的社会群体，但是尝试吸毒的儿童的年龄越来越小。为了有效地处理这一问题，政府制定了一项称为“减少伤害”的目标。由于有了《刑法典》修正案，现在可以利用法律转换机制处理犯滥用毒品罪的吸毒成瘾者以及成瘾之前尝试或使用毒品的人。</w:t>
      </w:r>
    </w:p>
    <w:p w:rsidR="00CE1FDA" w:rsidRDefault="00CE1FDA">
      <w:pPr>
        <w:spacing w:after="240" w:line="360" w:lineRule="exact"/>
        <w:rPr>
          <w:rFonts w:eastAsia="KaiTi_GB2312" w:hint="eastAsia"/>
          <w:color w:val="0000FF"/>
        </w:rPr>
      </w:pPr>
      <w:r>
        <w:rPr>
          <w:rFonts w:eastAsia="KaiTi_GB2312" w:hint="eastAsia"/>
          <w:color w:val="0000FF"/>
        </w:rPr>
        <w:t>暴力</w:t>
      </w:r>
    </w:p>
    <w:p w:rsidR="00CE1FDA" w:rsidRDefault="00CE1FDA" w:rsidP="00AC01AA">
      <w:pPr>
        <w:spacing w:after="240" w:line="360" w:lineRule="exact"/>
        <w:ind w:firstLineChars="200" w:firstLine="31680"/>
        <w:rPr>
          <w:rFonts w:hint="eastAsia"/>
        </w:rPr>
      </w:pPr>
      <w:r>
        <w:rPr>
          <w:rFonts w:hint="eastAsia"/>
        </w:rPr>
        <w:t>2004</w:t>
      </w:r>
      <w:r>
        <w:rPr>
          <w:rFonts w:hint="eastAsia"/>
        </w:rPr>
        <w:t>年</w:t>
      </w:r>
      <w:r>
        <w:rPr>
          <w:rFonts w:hint="eastAsia"/>
        </w:rPr>
        <w:t>1</w:t>
      </w:r>
      <w:r>
        <w:rPr>
          <w:rFonts w:hint="eastAsia"/>
        </w:rPr>
        <w:t>月，政府机会平等办公室启动了一个</w:t>
      </w:r>
      <w:r>
        <w:rPr>
          <w:rFonts w:eastAsia="KaiTi_GB2312" w:hint="eastAsia"/>
          <w:color w:val="0000FF"/>
        </w:rPr>
        <w:t>危机中心服务</w:t>
      </w:r>
      <w:r>
        <w:rPr>
          <w:rFonts w:hint="eastAsia"/>
        </w:rPr>
        <w:t>试点项目，其目的主要是为遭受家庭暴力的妇女或受到其亲属威胁的妇女提供电话服务或个人援助。该办公室依靠青年、家庭、社会事务和机会平等部的模拟实验，启动了一个在匈牙利任何地方都可以获得的</w:t>
      </w:r>
      <w:r>
        <w:rPr>
          <w:rFonts w:hint="eastAsia"/>
        </w:rPr>
        <w:t>24</w:t>
      </w:r>
      <w:r>
        <w:rPr>
          <w:rFonts w:hint="eastAsia"/>
        </w:rPr>
        <w:t>小时援助服务，从而使电话服务得到更新。作为危机中心的取代者，国家危机管理和信息电话服务机构（</w:t>
      </w:r>
      <w:r>
        <w:rPr>
          <w:rFonts w:hint="eastAsia"/>
        </w:rPr>
        <w:t>OKIT</w:t>
      </w:r>
      <w:r>
        <w:rPr>
          <w:rFonts w:hint="eastAsia"/>
        </w:rPr>
        <w:t>）从</w:t>
      </w:r>
      <w:r>
        <w:rPr>
          <w:rFonts w:hint="eastAsia"/>
        </w:rPr>
        <w:t>2005</w:t>
      </w:r>
      <w:r>
        <w:rPr>
          <w:rFonts w:hint="eastAsia"/>
        </w:rPr>
        <w:t>年</w:t>
      </w:r>
      <w:r>
        <w:rPr>
          <w:rFonts w:hint="eastAsia"/>
        </w:rPr>
        <w:t>4</w:t>
      </w:r>
      <w:r>
        <w:rPr>
          <w:rFonts w:hint="eastAsia"/>
        </w:rPr>
        <w:t>月</w:t>
      </w:r>
      <w:r>
        <w:rPr>
          <w:rFonts w:hint="eastAsia"/>
        </w:rPr>
        <w:t>1</w:t>
      </w:r>
      <w:r>
        <w:rPr>
          <w:rFonts w:hint="eastAsia"/>
        </w:rPr>
        <w:t>日开始运作。在需要迅速介入的时候，它可以立刻采取行动，在其他情况下，可以提供信息。</w:t>
      </w:r>
    </w:p>
    <w:p w:rsidR="00CE1FDA" w:rsidRDefault="00CE1FDA" w:rsidP="00AC01AA">
      <w:pPr>
        <w:spacing w:after="240" w:line="360" w:lineRule="exact"/>
        <w:ind w:firstLineChars="200" w:firstLine="31680"/>
        <w:rPr>
          <w:rFonts w:hint="eastAsia"/>
        </w:rPr>
      </w:pPr>
      <w:r>
        <w:rPr>
          <w:rFonts w:hint="eastAsia"/>
        </w:rPr>
        <w:t>有效的管理有助于暴力受害者在一些机构（儿童和家属临时住处）得到安置。但这种管理应能维护儿童的权利，同时还应符合儿童及其父母的利益。为此，有必要提高现有机构收容单独受害者的能力。在匈牙利的七个地区和布达佩斯，</w:t>
      </w:r>
      <w:r>
        <w:rPr>
          <w:rFonts w:hint="eastAsia"/>
        </w:rPr>
        <w:t>2005</w:t>
      </w:r>
      <w:r>
        <w:rPr>
          <w:rFonts w:hint="eastAsia"/>
        </w:rPr>
        <w:t>年上半年，作为一项试点项目，临时家庭住处的收容能力提高了。</w:t>
      </w:r>
      <w:r>
        <w:rPr>
          <w:rFonts w:hint="eastAsia"/>
        </w:rPr>
        <w:t xml:space="preserve"> </w:t>
      </w:r>
    </w:p>
    <w:p w:rsidR="00CE1FDA" w:rsidRDefault="00CE1FDA" w:rsidP="00AC01AA">
      <w:pPr>
        <w:spacing w:after="240" w:line="360" w:lineRule="exact"/>
        <w:ind w:firstLineChars="200" w:firstLine="31680"/>
        <w:rPr>
          <w:rFonts w:hint="eastAsia"/>
        </w:rPr>
      </w:pPr>
      <w:r>
        <w:rPr>
          <w:rFonts w:hint="eastAsia"/>
        </w:rPr>
        <w:t>该方案启动之前，根据工作特点实施了一个为期五天的培训项目，培训对象是承担有关任务的各机构工作人员、在该地区开展活动的儿童福利机构人员，以及方法中心雇员。在该地区工作的民间组织也接到了邀请。</w:t>
      </w:r>
    </w:p>
    <w:p w:rsidR="00CE1FDA" w:rsidRDefault="00CE1FDA" w:rsidP="00AC01AA">
      <w:pPr>
        <w:spacing w:after="240" w:line="360" w:lineRule="exact"/>
        <w:ind w:firstLineChars="200" w:firstLine="31680"/>
        <w:rPr>
          <w:rFonts w:hint="eastAsia"/>
        </w:rPr>
      </w:pPr>
      <w:r>
        <w:rPr>
          <w:rFonts w:hint="eastAsia"/>
        </w:rPr>
        <w:t>试点方案的主要目的是使参与该方案的临时家庭住处能够接纳受到威胁的人（父母</w:t>
      </w:r>
      <w:r>
        <w:rPr>
          <w:rFonts w:ascii="SimSun" w:hAnsi="SimSun" w:hint="eastAsia"/>
        </w:rPr>
        <w:t>-</w:t>
      </w:r>
      <w:r>
        <w:rPr>
          <w:rFonts w:hint="eastAsia"/>
        </w:rPr>
        <w:t>孩子，妇女）或家庭暴力的受害者，可以向他们提供特殊的多元援助。该试点项目的目标群体是父母及其子女，独身妇女以及在家中受到威胁或暴力的孕妇。间接目标群体包括与受害者有关的人（加害者、家人、亲戚、朋友、邻居）。帮助他们是解决问题的前提。从更广泛的意义上说，整个社会就是一个目标群体。预防、社会认识的发展以及提供信息都是该方案的重要组分。</w:t>
      </w:r>
    </w:p>
    <w:p w:rsidR="00CE1FDA" w:rsidRDefault="00CE1FDA" w:rsidP="00AC01AA">
      <w:pPr>
        <w:spacing w:after="240" w:line="360" w:lineRule="exact"/>
        <w:ind w:firstLineChars="200" w:firstLine="31680"/>
        <w:rPr>
          <w:rFonts w:hint="eastAsia"/>
        </w:rPr>
      </w:pPr>
      <w:r>
        <w:rPr>
          <w:rFonts w:hint="eastAsia"/>
        </w:rPr>
        <w:t>该试点方案第一期结束后，参与该方案的临时家庭住处工作人员于</w:t>
      </w:r>
      <w:r>
        <w:rPr>
          <w:rFonts w:hint="eastAsia"/>
        </w:rPr>
        <w:t>2005</w:t>
      </w:r>
      <w:r>
        <w:rPr>
          <w:rFonts w:hint="eastAsia"/>
        </w:rPr>
        <w:t>年</w:t>
      </w:r>
      <w:r>
        <w:rPr>
          <w:rFonts w:hint="eastAsia"/>
        </w:rPr>
        <w:t>7</w:t>
      </w:r>
      <w:r>
        <w:rPr>
          <w:rFonts w:hint="eastAsia"/>
        </w:rPr>
        <w:t>月参加了为期一天的讲习班，该讲习班采纳了上述方案的经验。</w:t>
      </w:r>
    </w:p>
    <w:p w:rsidR="00CE1FDA" w:rsidRDefault="00CE1FDA" w:rsidP="00AC01AA">
      <w:pPr>
        <w:spacing w:after="240" w:line="360" w:lineRule="exact"/>
        <w:ind w:firstLineChars="200" w:firstLine="31680"/>
        <w:rPr>
          <w:rFonts w:hint="eastAsia"/>
        </w:rPr>
      </w:pPr>
      <w:r>
        <w:rPr>
          <w:rFonts w:hint="eastAsia"/>
        </w:rPr>
        <w:t>鉴于从试点方案得出的积极结论，</w:t>
      </w:r>
      <w:r>
        <w:rPr>
          <w:rFonts w:hint="eastAsia"/>
        </w:rPr>
        <w:t>2006</w:t>
      </w:r>
      <w:r>
        <w:rPr>
          <w:rFonts w:hint="eastAsia"/>
        </w:rPr>
        <w:t>年该方案继续进行。</w:t>
      </w:r>
    </w:p>
    <w:p w:rsidR="00CE1FDA" w:rsidRDefault="00CE1FDA" w:rsidP="00AC01AA">
      <w:pPr>
        <w:spacing w:after="240" w:line="360" w:lineRule="exact"/>
        <w:ind w:firstLineChars="200" w:firstLine="31680"/>
        <w:rPr>
          <w:rFonts w:hint="eastAsia"/>
        </w:rPr>
      </w:pPr>
      <w:r>
        <w:rPr>
          <w:rFonts w:hint="eastAsia"/>
        </w:rPr>
        <w:t>参与试点方案的家庭正与国家危机管理和信息电话服务机构、管理当局、儿童保护机构以及其他为服务对象谋利益的机构密切合作。</w:t>
      </w:r>
    </w:p>
    <w:p w:rsidR="00CE1FDA" w:rsidRDefault="00CE1FDA" w:rsidP="00AC01AA">
      <w:pPr>
        <w:spacing w:after="240" w:line="360" w:lineRule="exact"/>
        <w:ind w:firstLineChars="200" w:firstLine="31680"/>
        <w:rPr>
          <w:rFonts w:hint="eastAsia"/>
        </w:rPr>
      </w:pPr>
      <w:r>
        <w:rPr>
          <w:rFonts w:hint="eastAsia"/>
        </w:rPr>
        <w:t>2005</w:t>
      </w:r>
      <w:r>
        <w:rPr>
          <w:rFonts w:hint="eastAsia"/>
        </w:rPr>
        <w:t>年秋季，青年、家庭、社会事务和机会平等部启动了一个方案，旨在向最广大公众提供家庭暴力信息，并告知国家危机管理和信息电话服务机构的电话号码。</w:t>
      </w:r>
    </w:p>
    <w:p w:rsidR="00CE1FDA" w:rsidRDefault="00CE1FDA" w:rsidP="00AC01AA">
      <w:pPr>
        <w:spacing w:after="240" w:line="360" w:lineRule="exact"/>
        <w:ind w:firstLineChars="200" w:firstLine="31680"/>
        <w:rPr>
          <w:rFonts w:hint="eastAsia"/>
        </w:rPr>
      </w:pPr>
      <w:r>
        <w:rPr>
          <w:rFonts w:hint="eastAsia"/>
        </w:rPr>
        <w:t>2006</w:t>
      </w:r>
      <w:r>
        <w:rPr>
          <w:rFonts w:hint="eastAsia"/>
        </w:rPr>
        <w:t>年初，开设了一个秘密庇护所，接纳带着孩子或不带孩子躲避暴力的妇女。</w:t>
      </w:r>
    </w:p>
    <w:p w:rsidR="00CE1FDA" w:rsidRDefault="00CE1FDA">
      <w:pPr>
        <w:spacing w:after="240" w:line="360" w:lineRule="exact"/>
        <w:rPr>
          <w:rFonts w:eastAsia="KaiTi_GB2312" w:hint="eastAsia"/>
          <w:color w:val="0000FF"/>
        </w:rPr>
      </w:pPr>
      <w:r>
        <w:rPr>
          <w:rFonts w:eastAsia="KaiTi_GB2312" w:hint="eastAsia"/>
          <w:color w:val="0000FF"/>
        </w:rPr>
        <w:t>处于不利境地的罗姆族妇女</w:t>
      </w:r>
    </w:p>
    <w:p w:rsidR="00CE1FDA" w:rsidRDefault="00CE1FDA" w:rsidP="00AC01AA">
      <w:pPr>
        <w:spacing w:after="240" w:line="360" w:lineRule="exact"/>
        <w:ind w:firstLineChars="200" w:firstLine="31680"/>
        <w:rPr>
          <w:rFonts w:hint="eastAsia"/>
        </w:rPr>
      </w:pPr>
      <w:r>
        <w:rPr>
          <w:rFonts w:hint="eastAsia"/>
        </w:rPr>
        <w:t>在匈牙利，罗姆族人的住房条件、生活状况（生计）和健康状况远远低于其他社会群体的平均水平。他们的生活质量受到贫穷、偏见和歧视的影响。罗姆族男子和妇女的预期寿命比匈牙利人的平均寿命低大约</w:t>
      </w:r>
      <w:r>
        <w:rPr>
          <w:rFonts w:hint="eastAsia"/>
        </w:rPr>
        <w:t>8-10</w:t>
      </w:r>
      <w:r>
        <w:rPr>
          <w:rFonts w:hint="eastAsia"/>
        </w:rPr>
        <w:t>岁。在死亡率上区域性的不平等排在社会和经济不平等之后。在有罗姆社区的贫穷村庄，平均出生预期寿命低于</w:t>
      </w:r>
      <w:r>
        <w:rPr>
          <w:rFonts w:hint="eastAsia"/>
        </w:rPr>
        <w:t>60</w:t>
      </w:r>
      <w:r>
        <w:rPr>
          <w:rFonts w:hint="eastAsia"/>
        </w:rPr>
        <w:t>岁，但是尚没有关于死亡原因的可靠数据。</w:t>
      </w:r>
    </w:p>
    <w:p w:rsidR="00CE1FDA" w:rsidRDefault="00CE1FDA" w:rsidP="00AC01AA">
      <w:pPr>
        <w:spacing w:after="240" w:line="360" w:lineRule="exact"/>
        <w:ind w:firstLineChars="200" w:firstLine="31680"/>
        <w:rPr>
          <w:rFonts w:hint="eastAsia"/>
        </w:rPr>
      </w:pPr>
      <w:r>
        <w:rPr>
          <w:rFonts w:hint="eastAsia"/>
        </w:rPr>
        <w:t>罗姆族胎儿和婴儿的生命力大大低于非罗姆族匈牙利人。流产、早产、出生体重较低、出生后抚育的生活条件不利等，都源于罗姆族母亲年龄小、她们的生活条件、在质量和数量上因营养不良而导致的体重偏低，以及不健康的行为模式。</w:t>
      </w:r>
    </w:p>
    <w:p w:rsidR="00CE1FDA" w:rsidRDefault="00CE1FDA" w:rsidP="00AC01AA">
      <w:pPr>
        <w:spacing w:after="240" w:line="360" w:lineRule="exact"/>
        <w:ind w:firstLineChars="200" w:firstLine="31680"/>
        <w:rPr>
          <w:rFonts w:hint="eastAsia"/>
        </w:rPr>
      </w:pPr>
      <w:r>
        <w:rPr>
          <w:rFonts w:hint="eastAsia"/>
        </w:rPr>
        <w:t>2002</w:t>
      </w:r>
      <w:r>
        <w:rPr>
          <w:rFonts w:hint="eastAsia"/>
        </w:rPr>
        <w:t>年对罗姆人进行的一项调查表明，</w:t>
      </w:r>
      <w:r>
        <w:rPr>
          <w:rFonts w:hint="eastAsia"/>
        </w:rPr>
        <w:t>40</w:t>
      </w:r>
      <w:r>
        <w:rPr>
          <w:rFonts w:hint="eastAsia"/>
        </w:rPr>
        <w:t>岁以上的年龄群发病率较高。只有五分之一的</w:t>
      </w:r>
      <w:r>
        <w:rPr>
          <w:rFonts w:hint="eastAsia"/>
        </w:rPr>
        <w:t>40-50</w:t>
      </w:r>
      <w:r>
        <w:rPr>
          <w:rFonts w:hint="eastAsia"/>
        </w:rPr>
        <w:t>岁罗姆族人认为他们身体健康，在</w:t>
      </w:r>
      <w:r>
        <w:rPr>
          <w:rFonts w:hint="eastAsia"/>
        </w:rPr>
        <w:t>50</w:t>
      </w:r>
      <w:r>
        <w:rPr>
          <w:rFonts w:hint="eastAsia"/>
        </w:rPr>
        <w:t>岁以上的人中，该比率降至</w:t>
      </w:r>
      <w:r>
        <w:rPr>
          <w:rFonts w:hint="eastAsia"/>
        </w:rPr>
        <w:t>10%</w:t>
      </w:r>
      <w:r>
        <w:rPr>
          <w:rFonts w:hint="eastAsia"/>
        </w:rPr>
        <w:t>以下。年轻罗姆族妇女的抑郁症比同龄的非罗姆妇女更为常见。在其他传染病中，甲型肝炎和乙型肝炎尤为常见。</w:t>
      </w:r>
    </w:p>
    <w:p w:rsidR="00CE1FDA" w:rsidRDefault="00CE1FDA" w:rsidP="00AC01AA">
      <w:pPr>
        <w:spacing w:after="240" w:line="360" w:lineRule="exact"/>
        <w:ind w:firstLineChars="200" w:firstLine="31680"/>
        <w:rPr>
          <w:rFonts w:hint="eastAsia"/>
        </w:rPr>
      </w:pPr>
      <w:r>
        <w:rPr>
          <w:rFonts w:hint="eastAsia"/>
        </w:rPr>
        <w:t>大多数罗姆族妇女采用某种保护方法预防意外怀孕。超过</w:t>
      </w:r>
      <w:r>
        <w:rPr>
          <w:rFonts w:hint="eastAsia"/>
        </w:rPr>
        <w:t>15%</w:t>
      </w:r>
      <w:r>
        <w:rPr>
          <w:rFonts w:hint="eastAsia"/>
        </w:rPr>
        <w:t>的</w:t>
      </w:r>
      <w:r>
        <w:rPr>
          <w:rFonts w:hint="eastAsia"/>
        </w:rPr>
        <w:t>19-55</w:t>
      </w:r>
      <w:r>
        <w:rPr>
          <w:rFonts w:hint="eastAsia"/>
        </w:rPr>
        <w:t>岁罗姆族妇女不使用避孕药，因为她们无力购买。在匈牙利，罗姆族孕妇产科病史是其他妇女的两倍。根据一项关于罗姆族妇女的调查，分娩的罗姆族妇女的体重和分娩的罗姆族妇女中吸烟者的体重分别比其他妇女低</w:t>
      </w:r>
      <w:r>
        <w:rPr>
          <w:rFonts w:hint="eastAsia"/>
        </w:rPr>
        <w:t>3.3</w:t>
      </w:r>
      <w:r>
        <w:rPr>
          <w:rFonts w:hint="eastAsia"/>
        </w:rPr>
        <w:t>公斤和</w:t>
      </w:r>
      <w:r>
        <w:rPr>
          <w:rFonts w:hint="eastAsia"/>
        </w:rPr>
        <w:t>4.0</w:t>
      </w:r>
      <w:r>
        <w:rPr>
          <w:rFonts w:hint="eastAsia"/>
        </w:rPr>
        <w:t>公斤。居住在“定居点”（即居民密度很高和方便程度很低的地方）的罗姆族妇女体重更低，比住在其他地方的罗姆族妇女低</w:t>
      </w:r>
      <w:r>
        <w:rPr>
          <w:rFonts w:hint="eastAsia"/>
        </w:rPr>
        <w:t>2.1</w:t>
      </w:r>
      <w:r>
        <w:rPr>
          <w:rFonts w:hint="eastAsia"/>
        </w:rPr>
        <w:t>公斤。该调查所涉及的妇女中约</w:t>
      </w:r>
      <w:r>
        <w:rPr>
          <w:rFonts w:hint="eastAsia"/>
        </w:rPr>
        <w:t>63%</w:t>
      </w:r>
      <w:r>
        <w:rPr>
          <w:rFonts w:hint="eastAsia"/>
        </w:rPr>
        <w:t>是经常吸烟者，</w:t>
      </w:r>
      <w:r>
        <w:rPr>
          <w:rFonts w:hint="eastAsia"/>
        </w:rPr>
        <w:t>48%</w:t>
      </w:r>
      <w:r>
        <w:rPr>
          <w:rFonts w:hint="eastAsia"/>
        </w:rPr>
        <w:t>居住在卫生条件差或“条件不如定居点”的地点。虽然罗姆人没有被正式排除在卫生服务范围之外，但我们认为，他们只使用了很少一部分高级、昂贵和稀有的卫生服务。罗姆族公民所享用的大多数治疗性干预服务都属于基本的卫生服务。</w:t>
      </w:r>
    </w:p>
    <w:p w:rsidR="00CE1FDA" w:rsidRDefault="00CE1FDA" w:rsidP="00AC01AA">
      <w:pPr>
        <w:spacing w:after="240" w:line="360" w:lineRule="exact"/>
        <w:ind w:firstLineChars="200" w:firstLine="31680"/>
        <w:rPr>
          <w:rFonts w:hint="eastAsia"/>
        </w:rPr>
      </w:pPr>
      <w:r>
        <w:rPr>
          <w:rFonts w:hint="eastAsia"/>
        </w:rPr>
        <w:t>增进民族健康公共卫生方案中单有一章节专门述及面临多重不利条件的社会群体的保健不平等问题。该方案确定了一项目标，即由当地政府培训和聘用来自罗姆族的“保健卫士”，特别是专门培训地区护士，使他们能够更有效地服务于罗姆人，以及启动增进健康特别方案。</w:t>
      </w:r>
    </w:p>
    <w:p w:rsidR="00CE1FDA" w:rsidRDefault="00CE1FDA">
      <w:pPr>
        <w:spacing w:after="240" w:line="360" w:lineRule="exact"/>
        <w:rPr>
          <w:rFonts w:ascii="SimHei" w:eastAsia="SimHei" w:hint="eastAsia"/>
          <w:color w:val="FF0000"/>
        </w:rPr>
      </w:pPr>
      <w:r>
        <w:rPr>
          <w:rFonts w:ascii="SimHei" w:eastAsia="SimHei" w:hint="eastAsia"/>
          <w:color w:val="FF0000"/>
        </w:rPr>
        <w:t>2.  怀孕、分娩</w:t>
      </w:r>
    </w:p>
    <w:p w:rsidR="00CE1FDA" w:rsidRDefault="00CE1FDA" w:rsidP="00AC01AA">
      <w:pPr>
        <w:spacing w:after="240" w:line="360" w:lineRule="exact"/>
        <w:ind w:firstLineChars="200" w:firstLine="31680"/>
        <w:rPr>
          <w:rFonts w:hint="eastAsia"/>
        </w:rPr>
      </w:pPr>
      <w:r>
        <w:rPr>
          <w:rFonts w:hint="eastAsia"/>
        </w:rPr>
        <w:t>在匈牙利，分娩数量不断下降，妇女决定要孩子的年龄越来越大。这种状况在罗姆社区却不同，目前罗姆族妇女要第一个孩子的平均年龄为</w:t>
      </w:r>
      <w:r>
        <w:rPr>
          <w:rFonts w:hint="eastAsia"/>
        </w:rPr>
        <w:t>20</w:t>
      </w:r>
      <w:r>
        <w:rPr>
          <w:rFonts w:hint="eastAsia"/>
        </w:rPr>
        <w:t>岁，</w:t>
      </w:r>
      <w:r>
        <w:rPr>
          <w:rFonts w:hint="eastAsia"/>
        </w:rPr>
        <w:t>30%</w:t>
      </w:r>
      <w:r>
        <w:rPr>
          <w:rFonts w:hint="eastAsia"/>
        </w:rPr>
        <w:t>的妇女在</w:t>
      </w:r>
      <w:r>
        <w:rPr>
          <w:rFonts w:hint="eastAsia"/>
        </w:rPr>
        <w:t>18</w:t>
      </w:r>
      <w:r>
        <w:rPr>
          <w:rFonts w:hint="eastAsia"/>
        </w:rPr>
        <w:t>岁之前就有了第一个孩子。</w:t>
      </w:r>
    </w:p>
    <w:p w:rsidR="00CE1FDA" w:rsidRDefault="00CE1FDA" w:rsidP="00AC01AA">
      <w:pPr>
        <w:spacing w:after="240" w:line="360" w:lineRule="exact"/>
        <w:ind w:firstLineChars="200" w:firstLine="31680"/>
        <w:rPr>
          <w:rFonts w:hint="eastAsia"/>
        </w:rPr>
      </w:pPr>
      <w:r>
        <w:rPr>
          <w:rFonts w:hint="eastAsia"/>
        </w:rPr>
        <w:t>根据中央统计局提供的数字，在</w:t>
      </w:r>
      <w:r>
        <w:rPr>
          <w:rFonts w:hint="eastAsia"/>
        </w:rPr>
        <w:t>2004</w:t>
      </w:r>
      <w:r>
        <w:rPr>
          <w:rFonts w:hint="eastAsia"/>
        </w:rPr>
        <w:t>年，每</w:t>
      </w:r>
      <w:r>
        <w:rPr>
          <w:rFonts w:hint="eastAsia"/>
        </w:rPr>
        <w:t>100</w:t>
      </w:r>
      <w:r>
        <w:rPr>
          <w:rFonts w:hint="eastAsia"/>
        </w:rPr>
        <w:t>个活产儿中有</w:t>
      </w:r>
      <w:r>
        <w:rPr>
          <w:rFonts w:hint="eastAsia"/>
        </w:rPr>
        <w:t>55.7</w:t>
      </w:r>
      <w:r>
        <w:rPr>
          <w:rFonts w:hint="eastAsia"/>
        </w:rPr>
        <w:t>例堕胎。这一数字表明堕胎有下降的趋势，但比例仍然很高。大约</w:t>
      </w:r>
      <w:r>
        <w:rPr>
          <w:rFonts w:hint="eastAsia"/>
        </w:rPr>
        <w:t>12%</w:t>
      </w:r>
      <w:r>
        <w:rPr>
          <w:rFonts w:hint="eastAsia"/>
        </w:rPr>
        <w:t>的堕胎发生在</w:t>
      </w:r>
      <w:r>
        <w:rPr>
          <w:rFonts w:hint="eastAsia"/>
        </w:rPr>
        <w:t>20</w:t>
      </w:r>
      <w:r>
        <w:rPr>
          <w:rFonts w:hint="eastAsia"/>
        </w:rPr>
        <w:t>岁以下的妇女中。现代避孕手段非常昂贵，因此在有些情况下，与使用避孕药具相比，由社会保障系统支付费用的堕胎会更便宜一些。目前，一些医院门外设有早产婴儿保育箱，如果母亲不想抚养她们的孩子，可以把他们放在这里。采用这种办法是为了减少弑婴数量，使妇女生下孩子，而不是去堕胎，使她们能够放弃孩子而不必说出自己的身份。留在早产婴儿保育箱中的婴儿通过加速程序被收养，根据</w:t>
      </w:r>
      <w:r>
        <w:rPr>
          <w:rFonts w:ascii="KaiTi_GB2312" w:eastAsia="KaiTi_GB2312" w:hint="eastAsia"/>
          <w:color w:val="0000FF"/>
        </w:rPr>
        <w:t>关于婚姻、家庭和监护的1952年第IV号法案第48（5）</w:t>
      </w:r>
      <w:r>
        <w:rPr>
          <w:rFonts w:ascii="KaiTi_GB2312" w:eastAsia="KaiTi_GB2312"/>
          <w:color w:val="0000FF"/>
        </w:rPr>
        <w:t>c</w:t>
      </w:r>
      <w:r>
        <w:rPr>
          <w:rFonts w:ascii="KaiTi_GB2312" w:eastAsia="KaiTi_GB2312" w:hint="eastAsia"/>
          <w:color w:val="0000FF"/>
        </w:rPr>
        <w:t>）条</w:t>
      </w:r>
      <w:r>
        <w:rPr>
          <w:rFonts w:hint="eastAsia"/>
        </w:rPr>
        <w:t>，如果父母在</w:t>
      </w:r>
      <w:r>
        <w:rPr>
          <w:rFonts w:hint="eastAsia"/>
        </w:rPr>
        <w:t>6</w:t>
      </w:r>
      <w:r>
        <w:rPr>
          <w:rFonts w:hint="eastAsia"/>
        </w:rPr>
        <w:t>周内不打电话要回孩子，收养可以不经父母同意。同时，该条款规定以这种方式放弃孩子的妇女免予惩罚。</w:t>
      </w:r>
    </w:p>
    <w:p w:rsidR="00CE1FDA" w:rsidRDefault="00CE1FDA" w:rsidP="00AC01AA">
      <w:pPr>
        <w:spacing w:after="240" w:line="360" w:lineRule="exact"/>
        <w:ind w:firstLineChars="200" w:firstLine="31680"/>
        <w:rPr>
          <w:rFonts w:hint="eastAsia"/>
        </w:rPr>
      </w:pPr>
      <w:r>
        <w:rPr>
          <w:rFonts w:hint="eastAsia"/>
        </w:rPr>
        <w:t>让年轻人做好性生活准备是一项非常重要的任务。根据对</w:t>
      </w:r>
      <w:r>
        <w:rPr>
          <w:rFonts w:hint="eastAsia"/>
        </w:rPr>
        <w:t>14-24</w:t>
      </w:r>
      <w:r>
        <w:rPr>
          <w:rFonts w:hint="eastAsia"/>
        </w:rPr>
        <w:t>岁妇女的一项调查结果（</w:t>
      </w:r>
      <w:r>
        <w:rPr>
          <w:rFonts w:hint="eastAsia"/>
        </w:rPr>
        <w:t>2002</w:t>
      </w:r>
      <w:r>
        <w:rPr>
          <w:rFonts w:hint="eastAsia"/>
        </w:rPr>
        <w:t>年），大多数情况下，第一次性经历发生在</w:t>
      </w:r>
      <w:r>
        <w:rPr>
          <w:rFonts w:hint="eastAsia"/>
        </w:rPr>
        <w:t>16-17</w:t>
      </w:r>
      <w:r>
        <w:rPr>
          <w:rFonts w:hint="eastAsia"/>
        </w:rPr>
        <w:t>岁。约</w:t>
      </w:r>
      <w:r>
        <w:rPr>
          <w:rFonts w:hint="eastAsia"/>
        </w:rPr>
        <w:t>80%</w:t>
      </w:r>
      <w:r>
        <w:rPr>
          <w:rFonts w:hint="eastAsia"/>
        </w:rPr>
        <w:t>的年轻妇女使用避孕药具，</w:t>
      </w:r>
      <w:r>
        <w:rPr>
          <w:rFonts w:hint="eastAsia"/>
        </w:rPr>
        <w:t>3.5%</w:t>
      </w:r>
      <w:r>
        <w:rPr>
          <w:rFonts w:hint="eastAsia"/>
        </w:rPr>
        <w:t>的妇女不采用这种方式，因为她们想要孩子，</w:t>
      </w:r>
      <w:r>
        <w:rPr>
          <w:rFonts w:hint="eastAsia"/>
        </w:rPr>
        <w:t>16.5%</w:t>
      </w:r>
      <w:r>
        <w:rPr>
          <w:rFonts w:hint="eastAsia"/>
        </w:rPr>
        <w:t>的妇女根本不用避孕药具。顺便说一下，根本不采用保护手段防止意外怀孕的人数比例在整个女性人口中较高（</w:t>
      </w:r>
      <w:r>
        <w:rPr>
          <w:rFonts w:hint="eastAsia"/>
        </w:rPr>
        <w:t>27.5%</w:t>
      </w:r>
      <w:r>
        <w:rPr>
          <w:rFonts w:hint="eastAsia"/>
        </w:rPr>
        <w:t>）。调查中，</w:t>
      </w:r>
      <w:r>
        <w:rPr>
          <w:rFonts w:hint="eastAsia"/>
        </w:rPr>
        <w:t>6.3%</w:t>
      </w:r>
      <w:r>
        <w:rPr>
          <w:rFonts w:hint="eastAsia"/>
        </w:rPr>
        <w:t>的</w:t>
      </w:r>
      <w:r>
        <w:rPr>
          <w:rFonts w:hint="eastAsia"/>
        </w:rPr>
        <w:t>14-24</w:t>
      </w:r>
      <w:r>
        <w:rPr>
          <w:rFonts w:hint="eastAsia"/>
        </w:rPr>
        <w:t>岁年轻妇女曾进行过人工流产，大多数进行过一次。富裕和教育程度较高的妇女中，进行堕胎的人数比例比不太富裕、教育水平较低的年轻妇女低。</w:t>
      </w:r>
      <w:r>
        <w:rPr>
          <w:rFonts w:hint="eastAsia"/>
        </w:rPr>
        <w:t>1999</w:t>
      </w:r>
      <w:r>
        <w:rPr>
          <w:rFonts w:hint="eastAsia"/>
        </w:rPr>
        <w:t>年成立了青少年救护车网络。</w:t>
      </w:r>
      <w:r>
        <w:rPr>
          <w:rFonts w:hint="eastAsia"/>
        </w:rPr>
        <w:t>2003</w:t>
      </w:r>
      <w:r>
        <w:rPr>
          <w:rFonts w:hint="eastAsia"/>
        </w:rPr>
        <w:t>年，约有</w:t>
      </w:r>
      <w:r>
        <w:rPr>
          <w:rFonts w:hint="eastAsia"/>
        </w:rPr>
        <w:t>60 000</w:t>
      </w:r>
      <w:r>
        <w:rPr>
          <w:rFonts w:hint="eastAsia"/>
        </w:rPr>
        <w:t>名年轻人与该网络进行了联系，他们大多数是想获得性知识、听取卫生方面的建议，或是索取避孕药具。</w:t>
      </w:r>
    </w:p>
    <w:p w:rsidR="00CE1FDA" w:rsidRDefault="00CE1FDA" w:rsidP="00AC01AA">
      <w:pPr>
        <w:spacing w:after="240" w:line="360" w:lineRule="exact"/>
        <w:ind w:firstLineChars="200" w:firstLine="31680"/>
        <w:rPr>
          <w:rFonts w:hint="eastAsia"/>
        </w:rPr>
      </w:pPr>
      <w:r>
        <w:rPr>
          <w:rFonts w:hint="eastAsia"/>
        </w:rPr>
        <w:t>在境内提供了家庭保护服务，以促进计划生育和生殖健康；这些服务是根据微观区域或城市区域原则，与卫生局有关组织一起提供的。最近几年，他们的任务范围因引入遗传咨询、提供有关计划生育的建议、避孕、生育准备以及不育症治疗而扩大。对地区护士和护理人员的专业监督有利于信息传播、继续培训的组织，以及提高产前护理、母婴保护以及儿童保护工作技术</w:t>
      </w:r>
      <w:r>
        <w:rPr>
          <w:rFonts w:hint="eastAsia"/>
        </w:rPr>
        <w:t>/</w:t>
      </w:r>
      <w:r>
        <w:rPr>
          <w:rFonts w:hint="eastAsia"/>
        </w:rPr>
        <w:t>专业水平。</w:t>
      </w:r>
    </w:p>
    <w:p w:rsidR="00CE1FDA" w:rsidRDefault="00CE1FDA" w:rsidP="00AC01AA">
      <w:pPr>
        <w:spacing w:after="240" w:line="360" w:lineRule="exact"/>
        <w:ind w:firstLineChars="200" w:firstLine="31680"/>
        <w:rPr>
          <w:rFonts w:hint="eastAsia"/>
        </w:rPr>
      </w:pPr>
      <w:r>
        <w:rPr>
          <w:rFonts w:hint="eastAsia"/>
        </w:rPr>
        <w:t>每个孩子一出生，家庭就有权获得一次性产妇补助，作为相关费用的一种捐款。领取该费用的一个先决条件，是怀孕期间母亲应使用至少四次免费孕妇咨询服务（或在提前分娩的情况下使用一次）。自</w:t>
      </w:r>
      <w:r>
        <w:rPr>
          <w:rFonts w:hint="eastAsia"/>
        </w:rPr>
        <w:t>2003</w:t>
      </w:r>
      <w:r>
        <w:rPr>
          <w:rFonts w:hint="eastAsia"/>
        </w:rPr>
        <w:t>年</w:t>
      </w:r>
      <w:r>
        <w:rPr>
          <w:rFonts w:hint="eastAsia"/>
        </w:rPr>
        <w:t>1</w:t>
      </w:r>
      <w:r>
        <w:rPr>
          <w:rFonts w:hint="eastAsia"/>
        </w:rPr>
        <w:t>月</w:t>
      </w:r>
      <w:r>
        <w:rPr>
          <w:rFonts w:hint="eastAsia"/>
        </w:rPr>
        <w:t>1</w:t>
      </w:r>
      <w:r>
        <w:rPr>
          <w:rFonts w:hint="eastAsia"/>
        </w:rPr>
        <w:t>日起，每个孩子的分娩补助金相当于孩子出生时生效的养老金最低限额的</w:t>
      </w:r>
      <w:r>
        <w:rPr>
          <w:rFonts w:hint="eastAsia"/>
        </w:rPr>
        <w:t>225%</w:t>
      </w:r>
      <w:r>
        <w:rPr>
          <w:rFonts w:hint="eastAsia"/>
        </w:rPr>
        <w:t>，如果是双胞胎，为</w:t>
      </w:r>
      <w:r>
        <w:rPr>
          <w:rFonts w:hint="eastAsia"/>
        </w:rPr>
        <w:t>300%</w:t>
      </w:r>
      <w:r>
        <w:rPr>
          <w:rFonts w:hint="eastAsia"/>
        </w:rPr>
        <w:t>。</w:t>
      </w:r>
    </w:p>
    <w:p w:rsidR="00CE1FDA" w:rsidRDefault="00CE1FDA" w:rsidP="00AC01AA">
      <w:pPr>
        <w:spacing w:after="240" w:line="360" w:lineRule="exact"/>
        <w:ind w:firstLineChars="200" w:firstLine="31680"/>
        <w:rPr>
          <w:rFonts w:hint="eastAsia"/>
        </w:rPr>
      </w:pPr>
      <w:r>
        <w:rPr>
          <w:rFonts w:hint="eastAsia"/>
        </w:rPr>
        <w:t>在保健服务中，居住在匈牙利共和国境内的所有人——不论他们与社会保障体系是否有法律关系——都有资格享用救护车（救护）、紧急服务和产前服务。在专门的保健服务和由护理机构提供的保健服务中，包括妇科和肿瘤科服务，因此病人不用转诊。</w:t>
      </w:r>
      <w:r>
        <w:rPr>
          <w:rFonts w:ascii="KaiTi_GB2312" w:eastAsia="KaiTi_GB2312" w:hint="eastAsia"/>
          <w:color w:val="0000FF"/>
        </w:rPr>
        <w:t>1997年第LXXXIII号法案第15条涉及由强制性健康保险制度</w:t>
      </w:r>
      <w:r>
        <w:rPr>
          <w:rFonts w:hint="eastAsia"/>
        </w:rPr>
        <w:t>提供的服务。根据该法案，投保人有资格按医疗说明进行子宫内胎儿治疗、父母照料和堕胎。根据其他具体的立法规定，投保人有资格获得母乳供应。投保人还有资格根据医生的指示在其他具体立法规定的情况下进行不育症的治疗。</w:t>
      </w:r>
    </w:p>
    <w:p w:rsidR="00CE1FDA" w:rsidRDefault="00CE1FDA" w:rsidP="00AC01AA">
      <w:pPr>
        <w:spacing w:after="240" w:line="360" w:lineRule="exact"/>
        <w:ind w:firstLineChars="200" w:firstLine="31680"/>
        <w:rPr>
          <w:rFonts w:hint="eastAsia"/>
        </w:rPr>
      </w:pPr>
      <w:r>
        <w:rPr>
          <w:rFonts w:hint="eastAsia"/>
        </w:rPr>
        <w:t>关于劳动保护的</w:t>
      </w:r>
      <w:r>
        <w:rPr>
          <w:rFonts w:ascii="KaiTi_GB2312" w:eastAsia="KaiTi_GB2312" w:hint="eastAsia"/>
          <w:color w:val="0000FF"/>
        </w:rPr>
        <w:t>1993年第XCIII号法案第54（I）</w:t>
      </w:r>
      <w:r>
        <w:rPr>
          <w:rFonts w:hint="eastAsia"/>
        </w:rPr>
        <w:t>条旨在改善工作条件对健康的影响，宣称雇主有责任——为确保安全工作，不危及人身健康——在创造工作场所、选择工作方式和工作过程时将人的因素纳入考虑范围，特别要重视努力减少单调工作或固定的工作时间，注意减少其有害影响和对工作时间进行安排。同时，仍需要进行综合审查，在此基础上，可以就职业健康预防的优先事项做出决定。在决定采取预防行动、进行估计和做出提供补偿的决定时，必须考虑到，在某些部门妇女的比例偏高。</w:t>
      </w:r>
    </w:p>
    <w:p w:rsidR="00CE1FDA" w:rsidRDefault="00CE1FDA">
      <w:pPr>
        <w:spacing w:after="240" w:line="360" w:lineRule="exact"/>
        <w:rPr>
          <w:rFonts w:ascii="SimHei" w:eastAsia="SimHei" w:hint="eastAsia"/>
          <w:color w:val="FF0000"/>
          <w:sz w:val="24"/>
        </w:rPr>
      </w:pPr>
      <w:r>
        <w:rPr>
          <w:rFonts w:ascii="SimHei" w:eastAsia="SimHei" w:hint="eastAsia"/>
          <w:color w:val="FF0000"/>
          <w:sz w:val="24"/>
        </w:rPr>
        <w:t>第13条：经济生活和家属津贴中的歧视</w:t>
      </w:r>
    </w:p>
    <w:p w:rsidR="00CE1FDA" w:rsidRDefault="00CE1FDA">
      <w:pPr>
        <w:spacing w:after="240" w:line="360" w:lineRule="exact"/>
        <w:rPr>
          <w:rFonts w:ascii="SimHei" w:eastAsia="SimHei" w:hint="eastAsia"/>
          <w:color w:val="FF0000"/>
        </w:rPr>
      </w:pPr>
      <w:r>
        <w:rPr>
          <w:rFonts w:ascii="SimHei" w:eastAsia="SimHei" w:hint="eastAsia"/>
          <w:color w:val="FF0000"/>
        </w:rPr>
        <w:t>a.  家属津贴</w:t>
      </w:r>
    </w:p>
    <w:p w:rsidR="00CE1FDA" w:rsidRDefault="00CE1FDA" w:rsidP="00AC01AA">
      <w:pPr>
        <w:spacing w:after="240" w:line="360" w:lineRule="exact"/>
        <w:ind w:firstLineChars="200" w:firstLine="31680"/>
        <w:rPr>
          <w:rFonts w:hint="eastAsia"/>
        </w:rPr>
      </w:pPr>
      <w:r>
        <w:rPr>
          <w:rFonts w:hint="eastAsia"/>
        </w:rPr>
        <w:t>从家属津贴的获取方面来看，匈牙利的法律没有对父亲和母亲加以区分：父母任何一方都可以享受有关福利。唯一的例外就是产前育儿补助和生育后一次性孕妇补助（但如果是收养，父母任何一方都可享受此种补助）。</w:t>
      </w:r>
    </w:p>
    <w:p w:rsidR="00CE1FDA" w:rsidRDefault="00CE1FDA">
      <w:pPr>
        <w:spacing w:after="240" w:line="360" w:lineRule="exact"/>
        <w:rPr>
          <w:rFonts w:ascii="SimHei" w:eastAsia="SimHei" w:hint="eastAsia"/>
          <w:color w:val="FF0000"/>
        </w:rPr>
      </w:pPr>
      <w:r>
        <w:rPr>
          <w:rFonts w:ascii="SimHei" w:eastAsia="SimHei" w:hint="eastAsia"/>
          <w:color w:val="FF0000"/>
        </w:rPr>
        <w:t>b.  经济生活</w:t>
      </w:r>
    </w:p>
    <w:p w:rsidR="00CE1FDA" w:rsidRDefault="00CE1FDA" w:rsidP="00AC01AA">
      <w:pPr>
        <w:spacing w:after="240" w:line="360" w:lineRule="exact"/>
        <w:ind w:firstLineChars="200" w:firstLine="31680"/>
        <w:rPr>
          <w:rFonts w:hint="eastAsia"/>
        </w:rPr>
      </w:pPr>
      <w:r>
        <w:rPr>
          <w:rFonts w:hint="eastAsia"/>
        </w:rPr>
        <w:t>1990</w:t>
      </w:r>
      <w:r>
        <w:rPr>
          <w:rFonts w:hint="eastAsia"/>
        </w:rPr>
        <w:t>年之后，按男女分列收集的数据不足，尤其是关于中小企业。但是自匈牙利加入欧盟以来，为了确保欧盟基金使用的透明度，并满足基金使用会计的要求，越来越需要机构登记处提供关于女雇员、罗姆妇女和残疾女雇员具体情况的数据。</w:t>
      </w:r>
    </w:p>
    <w:p w:rsidR="00CE1FDA" w:rsidRDefault="00CE1FDA" w:rsidP="00AC01AA">
      <w:pPr>
        <w:spacing w:after="240" w:line="360" w:lineRule="exact"/>
        <w:ind w:firstLineChars="200" w:firstLine="31680"/>
        <w:rPr>
          <w:rFonts w:hint="eastAsia"/>
        </w:rPr>
      </w:pPr>
      <w:r>
        <w:rPr>
          <w:rFonts w:hint="eastAsia"/>
        </w:rPr>
        <w:t>有关立法要求按性别分列方法收集数据，但这一要求没有受到多大重视。在讨论关于中小企业以及促进其发展的</w:t>
      </w:r>
      <w:r>
        <w:rPr>
          <w:rFonts w:ascii="KaiTi_GB2312" w:eastAsia="KaiTi_GB2312" w:hint="eastAsia"/>
          <w:color w:val="0000FF"/>
        </w:rPr>
        <w:t>2004年第XXXIV号法案</w:t>
      </w:r>
      <w:r>
        <w:rPr>
          <w:rFonts w:hint="eastAsia"/>
        </w:rPr>
        <w:t>时，有人建议信贷机构按借方的性别分列方法编写报告。该提议没有被接受，但是有两项重要规定列入了该法律。根据其中一项决定，中小企业定向拨款项目可以为有关方案提供财政援助，使这些方案能够为人们获得市场信息提供平等机会。另一项规定是，企业发展委员会在参与战略的制定时，可以邀请——并将咨询权利给予——有关民间组织的代表参加，共同解决与机会平等有关的问题。</w:t>
      </w:r>
    </w:p>
    <w:p w:rsidR="00CE1FDA" w:rsidRDefault="00CE1FDA" w:rsidP="00AC01AA">
      <w:pPr>
        <w:spacing w:after="240" w:line="360" w:lineRule="exact"/>
        <w:ind w:firstLineChars="200" w:firstLine="31680"/>
        <w:rPr>
          <w:rFonts w:hint="eastAsia"/>
        </w:rPr>
      </w:pPr>
      <w:r>
        <w:rPr>
          <w:rFonts w:hint="eastAsia"/>
        </w:rPr>
        <w:t>虽然法律给中央统计局、匈牙利财政监督局和其他机构规定了一项提供数据的一般义务，但是这些机构并没有义务按性别分列方法收集数据。</w:t>
      </w:r>
    </w:p>
    <w:p w:rsidR="00CE1FDA" w:rsidRDefault="00CE1FDA">
      <w:pPr>
        <w:spacing w:after="240" w:line="360" w:lineRule="exact"/>
        <w:rPr>
          <w:rFonts w:ascii="SimHei" w:eastAsia="SimHei" w:hint="eastAsia"/>
          <w:color w:val="FF0000"/>
        </w:rPr>
      </w:pPr>
      <w:r>
        <w:rPr>
          <w:rFonts w:ascii="SimHei" w:eastAsia="SimHei" w:hint="eastAsia"/>
          <w:color w:val="FF0000"/>
        </w:rPr>
        <w:t>只向妇女或也向妇女贷款</w:t>
      </w:r>
    </w:p>
    <w:p w:rsidR="00CE1FDA" w:rsidRDefault="00CE1FDA" w:rsidP="00AC01AA">
      <w:pPr>
        <w:spacing w:after="240" w:line="360" w:lineRule="exact"/>
        <w:ind w:firstLineChars="200" w:firstLine="31680"/>
        <w:rPr>
          <w:rFonts w:hint="eastAsia"/>
        </w:rPr>
      </w:pPr>
      <w:r>
        <w:rPr>
          <w:rFonts w:hint="eastAsia"/>
        </w:rPr>
        <w:t>匈牙利女商人协会——作为世界妇女信贷机构的匈牙利成员——</w:t>
      </w:r>
      <w:r>
        <w:rPr>
          <w:rFonts w:hint="eastAsia"/>
        </w:rPr>
        <w:t>1994</w:t>
      </w:r>
      <w:r>
        <w:rPr>
          <w:rFonts w:hint="eastAsia"/>
        </w:rPr>
        <w:t>年的目标是解决匈牙利微型企业的筹资问题。</w:t>
      </w:r>
      <w:r>
        <w:rPr>
          <w:rFonts w:hint="eastAsia"/>
        </w:rPr>
        <w:t>1999</w:t>
      </w:r>
      <w:r>
        <w:rPr>
          <w:rFonts w:hint="eastAsia"/>
        </w:rPr>
        <w:t>年，花旗银行花旗公司基金会向该公司提供了</w:t>
      </w:r>
      <w:r>
        <w:rPr>
          <w:rFonts w:hint="eastAsia"/>
        </w:rPr>
        <w:t>40 000</w:t>
      </w:r>
      <w:r>
        <w:rPr>
          <w:rFonts w:hint="eastAsia"/>
        </w:rPr>
        <w:t>美元的支助。该数额支助的申请——被称为“信托”小型家庭贷款——可以由该协会成员提交。这些款项由民事储蓄银行支付，利率一贯与中央银行适用的基准利率一致。</w:t>
      </w:r>
    </w:p>
    <w:p w:rsidR="00CE1FDA" w:rsidRDefault="00CE1FDA" w:rsidP="00AC01AA">
      <w:pPr>
        <w:spacing w:after="240" w:line="360" w:lineRule="exact"/>
        <w:ind w:firstLineChars="200" w:firstLine="31680"/>
        <w:rPr>
          <w:rFonts w:hint="eastAsia"/>
        </w:rPr>
      </w:pPr>
      <w:r>
        <w:rPr>
          <w:rFonts w:hint="eastAsia"/>
        </w:rPr>
        <w:t>2005</w:t>
      </w:r>
      <w:r>
        <w:rPr>
          <w:rFonts w:hint="eastAsia"/>
        </w:rPr>
        <w:t>年布达佩斯银行在银行卡业务方面推出了一项被称为女士信用卡的产品，面向私人和女企业家。该信用卡在约</w:t>
      </w:r>
      <w:r>
        <w:rPr>
          <w:rFonts w:hint="eastAsia"/>
        </w:rPr>
        <w:t>6</w:t>
      </w:r>
      <w:r>
        <w:rPr>
          <w:rFonts w:hint="eastAsia"/>
        </w:rPr>
        <w:t>个行业中提供</w:t>
      </w:r>
      <w:r>
        <w:rPr>
          <w:rFonts w:hint="eastAsia"/>
        </w:rPr>
        <w:t>5-10%</w:t>
      </w:r>
      <w:r>
        <w:rPr>
          <w:rFonts w:hint="eastAsia"/>
        </w:rPr>
        <w:t>的折扣，但是使其受到女企业家广泛欢迎的是，它通过一个非常简单的信贷评估程序，提供</w:t>
      </w:r>
      <w:r>
        <w:rPr>
          <w:rFonts w:hint="eastAsia"/>
        </w:rPr>
        <w:t>50 000</w:t>
      </w:r>
      <w:r>
        <w:rPr>
          <w:rFonts w:hint="eastAsia"/>
        </w:rPr>
        <w:t>——</w:t>
      </w:r>
      <w:r>
        <w:rPr>
          <w:rFonts w:hint="eastAsia"/>
        </w:rPr>
        <w:t>10 000 000</w:t>
      </w:r>
      <w:r>
        <w:rPr>
          <w:rFonts w:hint="eastAsia"/>
        </w:rPr>
        <w:t>福林的信用贷款，但利率很高。</w:t>
      </w:r>
    </w:p>
    <w:p w:rsidR="00CE1FDA" w:rsidRDefault="00CE1FDA">
      <w:pPr>
        <w:spacing w:after="240" w:line="360" w:lineRule="exact"/>
        <w:rPr>
          <w:rFonts w:ascii="SimHei" w:eastAsia="SimHei" w:hint="eastAsia"/>
          <w:color w:val="FF0000"/>
        </w:rPr>
      </w:pPr>
      <w:r>
        <w:rPr>
          <w:rFonts w:ascii="SimHei" w:eastAsia="SimHei" w:hint="eastAsia"/>
          <w:color w:val="FF0000"/>
        </w:rPr>
        <w:t>根据研究结果使用财政和信用产品</w:t>
      </w:r>
    </w:p>
    <w:p w:rsidR="00CE1FDA" w:rsidRDefault="00CE1FDA" w:rsidP="00AC01AA">
      <w:pPr>
        <w:spacing w:after="240" w:line="360" w:lineRule="exact"/>
        <w:ind w:firstLineChars="200" w:firstLine="31680"/>
        <w:rPr>
          <w:rFonts w:hint="eastAsia"/>
        </w:rPr>
      </w:pPr>
      <w:r>
        <w:rPr>
          <w:rFonts w:hint="eastAsia"/>
        </w:rPr>
        <w:t>根据早些年的一般情况，男子和妇女在所有企业家中分别占</w:t>
      </w:r>
      <w:r>
        <w:rPr>
          <w:rFonts w:hint="eastAsia"/>
        </w:rPr>
        <w:t>70%</w:t>
      </w:r>
      <w:r>
        <w:rPr>
          <w:rFonts w:hint="eastAsia"/>
        </w:rPr>
        <w:t>和</w:t>
      </w:r>
      <w:r>
        <w:rPr>
          <w:rFonts w:hint="eastAsia"/>
        </w:rPr>
        <w:t>30%</w:t>
      </w:r>
      <w:r>
        <w:rPr>
          <w:rFonts w:hint="eastAsia"/>
        </w:rPr>
        <w:t>。就企业的法定形式而言，妇女在个体企业家中所占比例实际上要高于男子，在有限合伙公司中男子的比例稍高一些，而拥有股份有限公司的男子是妇女的两倍，股份有限公司是一种比较有名的商业形式。按部门分列，工业和建筑业中男子的比例明显较高，而妇女在贸易和服务业中的比例明显较高。关于雇员人数，更多的妇女就职于一个人的公司或雇员不超过</w:t>
      </w:r>
      <w:r>
        <w:rPr>
          <w:rFonts w:hint="eastAsia"/>
        </w:rPr>
        <w:t>10</w:t>
      </w:r>
      <w:r>
        <w:rPr>
          <w:rFonts w:hint="eastAsia"/>
        </w:rPr>
        <w:t>人的公司。从金融工具的使用方面来看，应该注意到，在银行贷款的用户中，男子企业家的比例大大高于妇女。限制使用外部资金是一种总的趋势，</w:t>
      </w:r>
      <w:r>
        <w:rPr>
          <w:rFonts w:hint="eastAsia"/>
        </w:rPr>
        <w:t xml:space="preserve"> Vas County SEED </w:t>
      </w:r>
      <w:r>
        <w:rPr>
          <w:rFonts w:hint="eastAsia"/>
        </w:rPr>
        <w:t>基金会</w:t>
      </w:r>
      <w:r>
        <w:rPr>
          <w:rFonts w:hint="eastAsia"/>
        </w:rPr>
        <w:t>2004</w:t>
      </w:r>
      <w:r>
        <w:rPr>
          <w:rFonts w:hint="eastAsia"/>
        </w:rPr>
        <w:t>年进行的研究也证实了这一点。</w:t>
      </w:r>
      <w:r>
        <w:rPr>
          <w:rFonts w:hint="eastAsia"/>
        </w:rPr>
        <w:t>350</w:t>
      </w:r>
      <w:r>
        <w:rPr>
          <w:rFonts w:hint="eastAsia"/>
        </w:rPr>
        <w:t>名接受调查的妇女中，约</w:t>
      </w:r>
      <w:r>
        <w:rPr>
          <w:rFonts w:hint="eastAsia"/>
        </w:rPr>
        <w:t>77%</w:t>
      </w:r>
      <w:r>
        <w:rPr>
          <w:rFonts w:hint="eastAsia"/>
        </w:rPr>
        <w:t>使用自己的积蓄开始创业，</w:t>
      </w:r>
      <w:r>
        <w:rPr>
          <w:rFonts w:hint="eastAsia"/>
        </w:rPr>
        <w:t>29%</w:t>
      </w:r>
      <w:r>
        <w:rPr>
          <w:rFonts w:hint="eastAsia"/>
        </w:rPr>
        <w:t>借助于家庭成员和朋友的借款，而初期资本金额不断上涨。总的来说，应该注意到，根据该研究得到的数据，女企业家是开立账户服务的用户，她们的传统，家庭援助的重要性和她们对安全保障的需要，使她们远离风险较高的外部资金来源。</w:t>
      </w:r>
    </w:p>
    <w:p w:rsidR="00CE1FDA" w:rsidRDefault="00CE1FDA">
      <w:pPr>
        <w:spacing w:after="240" w:line="360" w:lineRule="exact"/>
        <w:rPr>
          <w:rFonts w:ascii="SimHei" w:eastAsia="SimHei" w:hint="eastAsia"/>
          <w:color w:val="FF0000"/>
          <w:sz w:val="24"/>
        </w:rPr>
      </w:pPr>
      <w:r>
        <w:rPr>
          <w:rFonts w:ascii="SimHei" w:eastAsia="SimHei" w:hint="eastAsia"/>
          <w:color w:val="FF0000"/>
          <w:sz w:val="24"/>
        </w:rPr>
        <w:t>第14条：匈牙利农村妇女的地位</w:t>
      </w:r>
    </w:p>
    <w:p w:rsidR="00CE1FDA" w:rsidRDefault="00CE1FDA" w:rsidP="00AC01AA">
      <w:pPr>
        <w:spacing w:after="240" w:line="360" w:lineRule="exact"/>
        <w:ind w:firstLineChars="200" w:firstLine="31680"/>
        <w:rPr>
          <w:rFonts w:hint="eastAsia"/>
        </w:rPr>
      </w:pPr>
      <w:r>
        <w:rPr>
          <w:rFonts w:hint="eastAsia"/>
        </w:rPr>
        <w:t>在过去的</w:t>
      </w:r>
      <w:r>
        <w:rPr>
          <w:rFonts w:hint="eastAsia"/>
        </w:rPr>
        <w:t>15</w:t>
      </w:r>
      <w:r>
        <w:rPr>
          <w:rFonts w:hint="eastAsia"/>
        </w:rPr>
        <w:t>年中，匈牙利没有对农村妇女的生活状况进行过全面调查或评估。最新的《消除对妇女歧视公约》执行情况报告（见</w:t>
      </w:r>
      <w:r>
        <w:rPr>
          <w:rFonts w:hint="eastAsia"/>
        </w:rPr>
        <w:t>CEDAW/C/HUN/4-5</w:t>
      </w:r>
      <w:r>
        <w:rPr>
          <w:rFonts w:hint="eastAsia"/>
        </w:rPr>
        <w:t>）主要介绍了小村庄妇女的生活状况。</w:t>
      </w:r>
    </w:p>
    <w:p w:rsidR="00CE1FDA" w:rsidRDefault="00CE1FDA" w:rsidP="00AC01AA">
      <w:pPr>
        <w:spacing w:after="240" w:line="360" w:lineRule="exact"/>
        <w:ind w:firstLineChars="200" w:firstLine="31680"/>
        <w:rPr>
          <w:rFonts w:hint="eastAsia"/>
        </w:rPr>
      </w:pPr>
      <w:r>
        <w:rPr>
          <w:rFonts w:hint="eastAsia"/>
        </w:rPr>
        <w:t>匈牙利农村地区缺乏平等机会，不是因为没有做出法律规定；而往往是由于当地缺少有利的条件，这种状况对男女都有影响。但是在某些情况下，它给妇女造成的负担和压力更大。在匈牙利乡村各种传统和妇女无足轻重的角色对妇女的生活具有十分明显的影响，她们要把精力放在家务上，而且时常承担着额外的家务负担。</w:t>
      </w:r>
    </w:p>
    <w:p w:rsidR="00CE1FDA" w:rsidRDefault="00CE1FDA">
      <w:pPr>
        <w:spacing w:after="240" w:line="360" w:lineRule="exact"/>
        <w:rPr>
          <w:rFonts w:ascii="SimHei" w:eastAsia="SimHei" w:hint="eastAsia"/>
          <w:color w:val="FF0000"/>
        </w:rPr>
      </w:pPr>
      <w:r>
        <w:rPr>
          <w:rFonts w:ascii="SimHei" w:eastAsia="SimHei" w:hint="eastAsia"/>
          <w:color w:val="FF0000"/>
        </w:rPr>
        <w:t>a.  参与发展</w:t>
      </w:r>
    </w:p>
    <w:p w:rsidR="00CE1FDA" w:rsidRDefault="00CE1FDA" w:rsidP="00AC01AA">
      <w:pPr>
        <w:spacing w:after="240" w:line="360" w:lineRule="exact"/>
        <w:ind w:firstLineChars="200" w:firstLine="31680"/>
        <w:rPr>
          <w:rFonts w:hint="eastAsia"/>
        </w:rPr>
      </w:pPr>
      <w:r>
        <w:rPr>
          <w:rFonts w:hint="eastAsia"/>
        </w:rPr>
        <w:t>乡村妇女在参与制定发展计划方面有着与男子相似的机会。然而，妇女在乡村的公共生活中却受到限制（因为她们在匈牙利属于其他类型的群体）。</w:t>
      </w:r>
    </w:p>
    <w:p w:rsidR="00CE1FDA" w:rsidRDefault="00CE1FDA">
      <w:pPr>
        <w:spacing w:after="240" w:line="360" w:lineRule="exact"/>
        <w:rPr>
          <w:rFonts w:ascii="SimHei" w:eastAsia="SimHei" w:hint="eastAsia"/>
          <w:color w:val="FF0000"/>
        </w:rPr>
      </w:pPr>
      <w:r>
        <w:rPr>
          <w:rFonts w:ascii="SimHei" w:eastAsia="SimHei" w:hint="eastAsia"/>
          <w:color w:val="FF0000"/>
        </w:rPr>
        <w:t>b.  保健服务</w:t>
      </w:r>
    </w:p>
    <w:p w:rsidR="00CE1FDA" w:rsidRDefault="00CE1FDA" w:rsidP="00AC01AA">
      <w:pPr>
        <w:spacing w:after="240" w:line="360" w:lineRule="exact"/>
        <w:ind w:firstLineChars="200" w:firstLine="31680"/>
        <w:rPr>
          <w:rFonts w:hint="eastAsia"/>
        </w:rPr>
      </w:pPr>
      <w:r>
        <w:rPr>
          <w:rFonts w:hint="eastAsia"/>
        </w:rPr>
        <w:t>居住在乡村的妇女和居住在类似社区中的男子享有类似的保健服务。城市越小，从各级保健机构获得服务的机会就越少，不过，各地区的情况有所不同。交通不便，使最小的乡村和离城镇较远的乡村更难以获得平等的保健服务。</w:t>
      </w:r>
    </w:p>
    <w:p w:rsidR="00CE1FDA" w:rsidRDefault="00CE1FDA" w:rsidP="00AC01AA">
      <w:pPr>
        <w:spacing w:after="240" w:line="360" w:lineRule="exact"/>
        <w:ind w:firstLineChars="200" w:firstLine="31680"/>
        <w:rPr>
          <w:rFonts w:hint="eastAsia"/>
        </w:rPr>
      </w:pPr>
      <w:r>
        <w:rPr>
          <w:rFonts w:hint="eastAsia"/>
        </w:rPr>
        <w:t>在人口学的角度来讲，乡村妇女的行为不同于城镇妇女：在年轻妇女和已过生育期的</w:t>
      </w:r>
      <w:r>
        <w:rPr>
          <w:rFonts w:hint="eastAsia"/>
        </w:rPr>
        <w:t>49</w:t>
      </w:r>
      <w:r>
        <w:rPr>
          <w:rFonts w:hint="eastAsia"/>
        </w:rPr>
        <w:t>岁以上妇女中，乡村每</w:t>
      </w:r>
      <w:r>
        <w:rPr>
          <w:rFonts w:hint="eastAsia"/>
        </w:rPr>
        <w:t>1000</w:t>
      </w:r>
      <w:r>
        <w:rPr>
          <w:rFonts w:hint="eastAsia"/>
        </w:rPr>
        <w:t>名妇女养活的孩子数量高于城镇。这一点表明，在按城市规模分列的细目上，存在着更为明显的差异：社区越小，生活于此的妇女生养的孩子越多。在经济日益衰退的地区，为能获得补助而生养孩子似乎再次成为一种生存手段。</w:t>
      </w:r>
    </w:p>
    <w:p w:rsidR="00CE1FDA" w:rsidRDefault="00CE1FDA" w:rsidP="00AC01AA">
      <w:pPr>
        <w:spacing w:after="240" w:line="360" w:lineRule="exact"/>
        <w:ind w:firstLineChars="200" w:firstLine="31680"/>
        <w:rPr>
          <w:rFonts w:hint="eastAsia"/>
        </w:rPr>
      </w:pPr>
      <w:r>
        <w:rPr>
          <w:rFonts w:hint="eastAsia"/>
        </w:rPr>
        <w:t>尽管生产力水平相对较高，但匈牙利农村妇女外出寻求有薪工作时，可以依靠的儿童机构却较少。为了提高就业率，主要应增加儿童日托机构——尤其接收</w:t>
      </w:r>
      <w:r>
        <w:rPr>
          <w:rFonts w:hint="eastAsia"/>
        </w:rPr>
        <w:t>3</w:t>
      </w:r>
      <w:r>
        <w:rPr>
          <w:rFonts w:hint="eastAsia"/>
        </w:rPr>
        <w:t>岁儿童的日托机构——（目前，有</w:t>
      </w:r>
      <w:r>
        <w:rPr>
          <w:rFonts w:hint="eastAsia"/>
        </w:rPr>
        <w:t>515</w:t>
      </w:r>
      <w:r>
        <w:rPr>
          <w:rFonts w:hint="eastAsia"/>
        </w:rPr>
        <w:t>家这类机构）和日托中心（目前有</w:t>
      </w:r>
      <w:r>
        <w:rPr>
          <w:rFonts w:hint="eastAsia"/>
        </w:rPr>
        <w:t>70</w:t>
      </w:r>
      <w:r>
        <w:rPr>
          <w:rFonts w:hint="eastAsia"/>
        </w:rPr>
        <w:t>家）的数量。由于这个原因，与托儿服务有关的正式资金划拨</w:t>
      </w:r>
      <w:r>
        <w:rPr>
          <w:rFonts w:hint="eastAsia"/>
        </w:rPr>
        <w:t>2005</w:t>
      </w:r>
      <w:r>
        <w:rPr>
          <w:rFonts w:hint="eastAsia"/>
        </w:rPr>
        <w:t>年增加了</w:t>
      </w:r>
      <w:r>
        <w:rPr>
          <w:rFonts w:hint="eastAsia"/>
        </w:rPr>
        <w:t>25%</w:t>
      </w:r>
      <w:r>
        <w:rPr>
          <w:rFonts w:hint="eastAsia"/>
        </w:rPr>
        <w:t>，由家庭学校服务中央预算正式划拨的资金增加了</w:t>
      </w:r>
      <w:r>
        <w:rPr>
          <w:rFonts w:hint="eastAsia"/>
        </w:rPr>
        <w:t>50%</w:t>
      </w:r>
      <w:r>
        <w:rPr>
          <w:rFonts w:hint="eastAsia"/>
        </w:rPr>
        <w:t>。为了增加幼儿园的接收力和改善服务条件，自</w:t>
      </w:r>
      <w:r>
        <w:rPr>
          <w:rFonts w:hint="eastAsia"/>
        </w:rPr>
        <w:t>2005</w:t>
      </w:r>
      <w:r>
        <w:rPr>
          <w:rFonts w:hint="eastAsia"/>
        </w:rPr>
        <w:t>年</w:t>
      </w:r>
      <w:r>
        <w:rPr>
          <w:rFonts w:hint="eastAsia"/>
        </w:rPr>
        <w:t>7</w:t>
      </w:r>
      <w:r>
        <w:rPr>
          <w:rFonts w:hint="eastAsia"/>
        </w:rPr>
        <w:t>月</w:t>
      </w:r>
      <w:r>
        <w:rPr>
          <w:rFonts w:hint="eastAsia"/>
        </w:rPr>
        <w:t>1</w:t>
      </w:r>
      <w:r>
        <w:rPr>
          <w:rFonts w:hint="eastAsia"/>
        </w:rPr>
        <w:t>日起，必须在人口超过</w:t>
      </w:r>
      <w:r>
        <w:rPr>
          <w:rFonts w:hint="eastAsia"/>
        </w:rPr>
        <w:t>10 000</w:t>
      </w:r>
      <w:r>
        <w:rPr>
          <w:rFonts w:hint="eastAsia"/>
        </w:rPr>
        <w:t>的各个城市设立托儿所。</w:t>
      </w:r>
    </w:p>
    <w:p w:rsidR="00CE1FDA" w:rsidRDefault="00CE1FDA" w:rsidP="00AC01AA">
      <w:pPr>
        <w:spacing w:after="240" w:line="360" w:lineRule="exact"/>
        <w:ind w:firstLineChars="200" w:firstLine="31680"/>
        <w:rPr>
          <w:rFonts w:hint="eastAsia"/>
        </w:rPr>
      </w:pPr>
      <w:r>
        <w:rPr>
          <w:rFonts w:hint="eastAsia"/>
        </w:rPr>
        <w:t>匈牙利的目标是，到</w:t>
      </w:r>
      <w:r>
        <w:rPr>
          <w:rFonts w:hint="eastAsia"/>
        </w:rPr>
        <w:t>2007</w:t>
      </w:r>
      <w:r>
        <w:rPr>
          <w:rFonts w:hint="eastAsia"/>
        </w:rPr>
        <w:t>年，将接收</w:t>
      </w:r>
      <w:r>
        <w:rPr>
          <w:rFonts w:hint="eastAsia"/>
        </w:rPr>
        <w:t>3</w:t>
      </w:r>
      <w:r>
        <w:rPr>
          <w:rFonts w:hint="eastAsia"/>
        </w:rPr>
        <w:t>岁婴儿的能力提高</w:t>
      </w:r>
      <w:r>
        <w:rPr>
          <w:rFonts w:hint="eastAsia"/>
        </w:rPr>
        <w:t>10%</w:t>
      </w:r>
      <w:r>
        <w:rPr>
          <w:rFonts w:hint="eastAsia"/>
        </w:rPr>
        <w:t>。在</w:t>
      </w:r>
      <w:r>
        <w:rPr>
          <w:rFonts w:hint="eastAsia"/>
        </w:rPr>
        <w:t>2004-2006</w:t>
      </w:r>
      <w:r>
        <w:rPr>
          <w:rFonts w:hint="eastAsia"/>
        </w:rPr>
        <w:t>年，托儿所接收能力约为</w:t>
      </w:r>
      <w:r>
        <w:rPr>
          <w:rFonts w:hint="eastAsia"/>
        </w:rPr>
        <w:t>1 000</w:t>
      </w:r>
      <w:r>
        <w:rPr>
          <w:rFonts w:hint="eastAsia"/>
        </w:rPr>
        <w:t>个婴儿，这部分得助于欧洲地区发展基金的支持。</w:t>
      </w:r>
    </w:p>
    <w:p w:rsidR="00CE1FDA" w:rsidRDefault="00CE1FDA">
      <w:pPr>
        <w:spacing w:after="240" w:line="360" w:lineRule="exact"/>
        <w:rPr>
          <w:rFonts w:ascii="SimHei" w:eastAsia="SimHei" w:hint="eastAsia"/>
          <w:color w:val="FF0000"/>
        </w:rPr>
      </w:pPr>
      <w:r>
        <w:rPr>
          <w:rFonts w:ascii="SimHei" w:eastAsia="SimHei" w:hint="eastAsia"/>
          <w:color w:val="FF0000"/>
        </w:rPr>
        <w:t>c.  社会保障服务</w:t>
      </w:r>
    </w:p>
    <w:p w:rsidR="00CE1FDA" w:rsidRDefault="00CE1FDA" w:rsidP="00AC01AA">
      <w:pPr>
        <w:spacing w:after="240" w:line="360" w:lineRule="exact"/>
        <w:ind w:firstLineChars="200" w:firstLine="31680"/>
        <w:rPr>
          <w:rFonts w:hint="eastAsia"/>
        </w:rPr>
      </w:pPr>
      <w:r>
        <w:rPr>
          <w:rFonts w:hint="eastAsia"/>
        </w:rPr>
        <w:t>在匈牙利农村地区，妇女平等参与社会保障服务受到法律的保障。同时，男女不同的年龄分布和不同的婚姻状况，时常给妇女造成特殊的困难。在所有</w:t>
      </w:r>
      <w:r>
        <w:rPr>
          <w:rFonts w:hint="eastAsia"/>
        </w:rPr>
        <w:t>60</w:t>
      </w:r>
      <w:r>
        <w:rPr>
          <w:rFonts w:hint="eastAsia"/>
        </w:rPr>
        <w:t>岁以下的年龄群体中，乡村妇女比男子少，而在</w:t>
      </w:r>
      <w:r>
        <w:rPr>
          <w:rFonts w:hint="eastAsia"/>
        </w:rPr>
        <w:t>60</w:t>
      </w:r>
      <w:r>
        <w:rPr>
          <w:rFonts w:hint="eastAsia"/>
        </w:rPr>
        <w:t>岁以上的年龄群体，妇女人数是男子的</w:t>
      </w:r>
      <w:r>
        <w:rPr>
          <w:rFonts w:hint="eastAsia"/>
        </w:rPr>
        <w:t>1.58</w:t>
      </w:r>
      <w:r>
        <w:rPr>
          <w:rFonts w:hint="eastAsia"/>
        </w:rPr>
        <w:t>倍。这意味着，在许多处境不利的乡村人口中，老年妇女的比例很高。此外，根据有关老年妇女婚姻状况的数据，她们很多人都过着单身生活。在乡村，</w:t>
      </w:r>
      <w:r>
        <w:rPr>
          <w:rFonts w:hint="eastAsia"/>
        </w:rPr>
        <w:t>21%</w:t>
      </w:r>
      <w:r>
        <w:rPr>
          <w:rFonts w:hint="eastAsia"/>
        </w:rPr>
        <w:t>的</w:t>
      </w:r>
      <w:r>
        <w:rPr>
          <w:rFonts w:hint="eastAsia"/>
        </w:rPr>
        <w:t>15</w:t>
      </w:r>
      <w:r>
        <w:rPr>
          <w:rFonts w:hint="eastAsia"/>
        </w:rPr>
        <w:t>岁以上妇女没有结婚，</w:t>
      </w:r>
      <w:r>
        <w:rPr>
          <w:rFonts w:hint="eastAsia"/>
        </w:rPr>
        <w:t>51%</w:t>
      </w:r>
      <w:r>
        <w:rPr>
          <w:rFonts w:hint="eastAsia"/>
        </w:rPr>
        <w:t>已婚，离婚和丧夫的分别为</w:t>
      </w:r>
      <w:r>
        <w:rPr>
          <w:rFonts w:hint="eastAsia"/>
        </w:rPr>
        <w:t>7%</w:t>
      </w:r>
      <w:r>
        <w:rPr>
          <w:rFonts w:hint="eastAsia"/>
        </w:rPr>
        <w:t>和</w:t>
      </w:r>
      <w:r>
        <w:rPr>
          <w:rFonts w:hint="eastAsia"/>
        </w:rPr>
        <w:t>21%</w:t>
      </w:r>
      <w:r>
        <w:rPr>
          <w:rFonts w:hint="eastAsia"/>
        </w:rPr>
        <w:t>。乡村寡妇的比例高于城镇（城镇社区为</w:t>
      </w:r>
      <w:r>
        <w:rPr>
          <w:rFonts w:hint="eastAsia"/>
        </w:rPr>
        <w:t>18%</w:t>
      </w:r>
      <w:r>
        <w:rPr>
          <w:rFonts w:hint="eastAsia"/>
        </w:rPr>
        <w:t>），但是，如果把这一比例与居住在乡村的男子人数加以比较，就可以更加明显地看出其中最显著的差别，因为居住在乡村的男子只有大约</w:t>
      </w:r>
      <w:r>
        <w:rPr>
          <w:rFonts w:hint="eastAsia"/>
        </w:rPr>
        <w:t>4%</w:t>
      </w:r>
      <w:r>
        <w:rPr>
          <w:rFonts w:hint="eastAsia"/>
        </w:rPr>
        <w:t>为鳏夫。乡村老年寡妇很有可能生活在贫困线以下，因为她们并不都有属于自己的养恤金；这些妇女大多只能收到遗属的养恤金。甚至一些领取自己养恤金的人也只能靠小额养恤金生活，因为他们可以享受的短期服务已经结束，而且即便在他们从事有薪的工作时，收入也很低。因此，农村老年单身妇女尤其需要某种形式的补充社会</w:t>
      </w:r>
      <w:r>
        <w:rPr>
          <w:rFonts w:hint="eastAsia"/>
        </w:rPr>
        <w:t>/</w:t>
      </w:r>
      <w:r>
        <w:rPr>
          <w:rFonts w:hint="eastAsia"/>
        </w:rPr>
        <w:t>福利服务。</w:t>
      </w:r>
    </w:p>
    <w:p w:rsidR="00CE1FDA" w:rsidRDefault="00CE1FDA" w:rsidP="00AC01AA">
      <w:pPr>
        <w:spacing w:after="240" w:line="360" w:lineRule="exact"/>
        <w:ind w:firstLineChars="200" w:firstLine="31680"/>
        <w:rPr>
          <w:rFonts w:hint="eastAsia"/>
        </w:rPr>
      </w:pPr>
      <w:r>
        <w:rPr>
          <w:rFonts w:hint="eastAsia"/>
        </w:rPr>
        <w:t>2006</w:t>
      </w:r>
      <w:r>
        <w:rPr>
          <w:rFonts w:hint="eastAsia"/>
        </w:rPr>
        <w:t>年和</w:t>
      </w:r>
      <w:r>
        <w:rPr>
          <w:rFonts w:hint="eastAsia"/>
        </w:rPr>
        <w:t>2007</w:t>
      </w:r>
      <w:r>
        <w:rPr>
          <w:rFonts w:hint="eastAsia"/>
        </w:rPr>
        <w:t>年，遗属养恤金将增加</w:t>
      </w:r>
      <w:r>
        <w:rPr>
          <w:rFonts w:hint="eastAsia"/>
        </w:rPr>
        <w:t>50%</w:t>
      </w:r>
      <w:r>
        <w:rPr>
          <w:rFonts w:hint="eastAsia"/>
        </w:rPr>
        <w:t>，第一步是先增加</w:t>
      </w:r>
      <w:r>
        <w:rPr>
          <w:rFonts w:hint="eastAsia"/>
        </w:rPr>
        <w:t>10%</w:t>
      </w:r>
      <w:r>
        <w:rPr>
          <w:rFonts w:hint="eastAsia"/>
        </w:rPr>
        <w:t>（达到</w:t>
      </w:r>
      <w:r>
        <w:rPr>
          <w:rFonts w:hint="eastAsia"/>
        </w:rPr>
        <w:t>55%</w:t>
      </w:r>
      <w:r>
        <w:rPr>
          <w:rFonts w:hint="eastAsia"/>
        </w:rPr>
        <w:t>），自</w:t>
      </w:r>
      <w:r>
        <w:rPr>
          <w:rFonts w:hint="eastAsia"/>
        </w:rPr>
        <w:t>2007</w:t>
      </w:r>
      <w:r>
        <w:rPr>
          <w:rFonts w:hint="eastAsia"/>
        </w:rPr>
        <w:t>年</w:t>
      </w:r>
      <w:r>
        <w:rPr>
          <w:rFonts w:hint="eastAsia"/>
        </w:rPr>
        <w:t>1</w:t>
      </w:r>
      <w:r>
        <w:rPr>
          <w:rFonts w:hint="eastAsia"/>
        </w:rPr>
        <w:t>月</w:t>
      </w:r>
      <w:r>
        <w:rPr>
          <w:rFonts w:hint="eastAsia"/>
        </w:rPr>
        <w:t>1</w:t>
      </w:r>
      <w:r>
        <w:rPr>
          <w:rFonts w:hint="eastAsia"/>
        </w:rPr>
        <w:t>日起，他们的养恤金将提高到</w:t>
      </w:r>
      <w:r>
        <w:rPr>
          <w:rFonts w:hint="eastAsia"/>
        </w:rPr>
        <w:t>60%</w:t>
      </w:r>
      <w:r>
        <w:rPr>
          <w:rFonts w:hint="eastAsia"/>
        </w:rPr>
        <w:t>。</w:t>
      </w:r>
    </w:p>
    <w:p w:rsidR="00CE1FDA" w:rsidRDefault="00CE1FDA">
      <w:pPr>
        <w:spacing w:after="240" w:line="360" w:lineRule="exact"/>
        <w:rPr>
          <w:rFonts w:ascii="SimHei" w:eastAsia="SimHei" w:hint="eastAsia"/>
          <w:color w:val="FF0000"/>
        </w:rPr>
      </w:pPr>
      <w:r>
        <w:rPr>
          <w:rFonts w:ascii="SimHei" w:eastAsia="SimHei"/>
          <w:color w:val="FF0000"/>
        </w:rPr>
        <w:t>d.</w:t>
      </w:r>
      <w:r>
        <w:rPr>
          <w:rFonts w:ascii="SimHei" w:eastAsia="SimHei" w:hint="eastAsia"/>
          <w:color w:val="FF0000"/>
        </w:rPr>
        <w:t xml:space="preserve">  乡村妇女接受教育的比例低于其他各类社区的妇女</w:t>
      </w:r>
    </w:p>
    <w:p w:rsidR="00CE1FDA" w:rsidRDefault="00CE1FDA">
      <w:pPr>
        <w:tabs>
          <w:tab w:val="left" w:pos="630"/>
        </w:tabs>
        <w:spacing w:after="240" w:line="360" w:lineRule="exact"/>
        <w:rPr>
          <w:rFonts w:hint="eastAsia"/>
        </w:rPr>
      </w:pPr>
      <w:r>
        <w:rPr>
          <w:rFonts w:hint="eastAsia"/>
        </w:rPr>
        <w:t>几乎所有生活在布达佩斯的妇女至少都接受过基础教育，但接受过这类教育的乡村妇女只约占</w:t>
      </w:r>
      <w:r>
        <w:rPr>
          <w:rFonts w:hint="eastAsia"/>
        </w:rPr>
        <w:t>85%</w:t>
      </w:r>
      <w:r>
        <w:rPr>
          <w:rFonts w:hint="eastAsia"/>
        </w:rPr>
        <w:t>（表</w:t>
      </w:r>
      <w:r>
        <w:rPr>
          <w:rFonts w:hint="eastAsia"/>
        </w:rPr>
        <w:t>14.1</w:t>
      </w:r>
      <w:r>
        <w:rPr>
          <w:rFonts w:hint="eastAsia"/>
        </w:rPr>
        <w:t>）。城市类别不同，拥有普通中学证书的妇女在比例上甚至有更大的差异（布达佩斯：</w:t>
      </w:r>
      <w:r>
        <w:rPr>
          <w:rFonts w:hint="eastAsia"/>
        </w:rPr>
        <w:t>65%</w:t>
      </w:r>
      <w:r>
        <w:rPr>
          <w:rFonts w:hint="eastAsia"/>
        </w:rPr>
        <w:t>，其他城镇：</w:t>
      </w:r>
      <w:r>
        <w:rPr>
          <w:rFonts w:hint="eastAsia"/>
        </w:rPr>
        <w:t>48%</w:t>
      </w:r>
      <w:r>
        <w:rPr>
          <w:rFonts w:hint="eastAsia"/>
        </w:rPr>
        <w:t>，乡村：</w:t>
      </w:r>
      <w:r>
        <w:rPr>
          <w:rFonts w:hint="eastAsia"/>
        </w:rPr>
        <w:t>3%</w:t>
      </w:r>
      <w:r>
        <w:rPr>
          <w:rFonts w:hint="eastAsia"/>
        </w:rPr>
        <w:t>）。约</w:t>
      </w:r>
      <w:r>
        <w:rPr>
          <w:rFonts w:hint="eastAsia"/>
        </w:rPr>
        <w:t>7%</w:t>
      </w:r>
      <w:r>
        <w:rPr>
          <w:rFonts w:hint="eastAsia"/>
        </w:rPr>
        <w:t>和</w:t>
      </w:r>
      <w:r>
        <w:rPr>
          <w:rFonts w:hint="eastAsia"/>
        </w:rPr>
        <w:t>1%</w:t>
      </w:r>
      <w:r>
        <w:rPr>
          <w:rFonts w:hint="eastAsia"/>
        </w:rPr>
        <w:t>的城镇和乡村妇女拥有高等教育学历。类似的差异还存在于各种城市之间拥有不同资格的男人比例上。实际上，乡村拥有普通中学证书的男子只占</w:t>
      </w:r>
      <w:r>
        <w:rPr>
          <w:rFonts w:hint="eastAsia"/>
        </w:rPr>
        <w:t>25%</w:t>
      </w:r>
      <w:r>
        <w:rPr>
          <w:rFonts w:hint="eastAsia"/>
        </w:rPr>
        <w:t>，与相应的妇女比例不符。在乡村，拥有较高资格的妇女主要就职于教育机构和公共管理部门。由于缺少就业机会（以及存在其他不利条件），素质较高的年轻人纷纷离开较小的社区，或是在较大的城市完成中等或高等学业后，不再返回原来居住的城市或乡村，只有经济较发达地区的城市和靠近大城镇的地方除外。</w:t>
      </w:r>
    </w:p>
    <w:p w:rsidR="00CE1FDA" w:rsidRDefault="00CE1FDA" w:rsidP="00AC01AA">
      <w:pPr>
        <w:spacing w:after="240" w:line="360" w:lineRule="exact"/>
        <w:ind w:firstLineChars="200" w:firstLine="31680"/>
        <w:rPr>
          <w:rFonts w:hint="eastAsia"/>
        </w:rPr>
      </w:pPr>
      <w:r>
        <w:rPr>
          <w:rFonts w:hint="eastAsia"/>
        </w:rPr>
        <w:t>在乡村和城市，教育水平存在着很大的差异。在所有地区（理解书面文本、认知能力、数学思维等等），乡村孩子的表现差于城镇孩子，尤其是生活在布达佩斯的孩子。其原因不仅仅在于乡村学校教学水平较低，而且还在于乡村和城市的家长在教育程度上有差异（</w:t>
      </w:r>
      <w:r>
        <w:rPr>
          <w:rFonts w:hint="eastAsia"/>
        </w:rPr>
        <w:t>OKI</w:t>
      </w:r>
      <w:r>
        <w:rPr>
          <w:rFonts w:hint="eastAsia"/>
        </w:rPr>
        <w:t>，</w:t>
      </w:r>
      <w:r>
        <w:rPr>
          <w:rFonts w:hint="eastAsia"/>
        </w:rPr>
        <w:t>2000</w:t>
      </w:r>
      <w:r>
        <w:rPr>
          <w:rFonts w:hint="eastAsia"/>
        </w:rPr>
        <w:t>年）。</w:t>
      </w:r>
    </w:p>
    <w:p w:rsidR="00CE1FDA" w:rsidRDefault="00CE1FDA">
      <w:pPr>
        <w:spacing w:after="240" w:line="360" w:lineRule="exact"/>
        <w:rPr>
          <w:rFonts w:ascii="SimHei" w:eastAsia="SimHei" w:hint="eastAsia"/>
          <w:color w:val="FF0000"/>
        </w:rPr>
      </w:pPr>
      <w:r>
        <w:rPr>
          <w:rFonts w:ascii="SimHei" w:eastAsia="SimHei"/>
          <w:color w:val="FF0000"/>
        </w:rPr>
        <w:t xml:space="preserve">e. </w:t>
      </w:r>
      <w:r>
        <w:rPr>
          <w:rFonts w:ascii="SimHei" w:eastAsia="SimHei" w:hint="eastAsia"/>
          <w:color w:val="FF0000"/>
        </w:rPr>
        <w:t xml:space="preserve"> 经济机会</w:t>
      </w:r>
    </w:p>
    <w:p w:rsidR="00CE1FDA" w:rsidRDefault="00CE1FDA">
      <w:pPr>
        <w:spacing w:after="240" w:line="360" w:lineRule="exact"/>
        <w:rPr>
          <w:rFonts w:eastAsia="KaiTi_GB2312" w:hint="eastAsia"/>
          <w:color w:val="0000FF"/>
        </w:rPr>
      </w:pPr>
      <w:r>
        <w:rPr>
          <w:rFonts w:eastAsia="KaiTi_GB2312" w:hint="eastAsia"/>
          <w:color w:val="0000FF"/>
        </w:rPr>
        <w:t>就业机会</w:t>
      </w:r>
    </w:p>
    <w:p w:rsidR="00CE1FDA" w:rsidRDefault="00CE1FDA" w:rsidP="00AC01AA">
      <w:pPr>
        <w:spacing w:after="240" w:line="360" w:lineRule="exact"/>
        <w:ind w:firstLineChars="200" w:firstLine="31680"/>
        <w:rPr>
          <w:rFonts w:hint="eastAsia"/>
        </w:rPr>
      </w:pPr>
      <w:r>
        <w:rPr>
          <w:rFonts w:hint="eastAsia"/>
        </w:rPr>
        <w:t>2001</w:t>
      </w:r>
      <w:r>
        <w:rPr>
          <w:rFonts w:hint="eastAsia"/>
        </w:rPr>
        <w:t>年，城乡人口就业率（男女就业率分别为</w:t>
      </w:r>
      <w:r>
        <w:rPr>
          <w:rFonts w:hint="eastAsia"/>
        </w:rPr>
        <w:t>37%</w:t>
      </w:r>
      <w:r>
        <w:rPr>
          <w:rFonts w:hint="eastAsia"/>
        </w:rPr>
        <w:t>和</w:t>
      </w:r>
      <w:r>
        <w:rPr>
          <w:rFonts w:hint="eastAsia"/>
        </w:rPr>
        <w:t>27%</w:t>
      </w:r>
      <w:r>
        <w:rPr>
          <w:rFonts w:hint="eastAsia"/>
        </w:rPr>
        <w:t>）比全国平均水平（男女就业率分别为</w:t>
      </w:r>
      <w:r>
        <w:rPr>
          <w:rFonts w:hint="eastAsia"/>
        </w:rPr>
        <w:t>41%</w:t>
      </w:r>
      <w:r>
        <w:rPr>
          <w:rFonts w:hint="eastAsia"/>
        </w:rPr>
        <w:t>和</w:t>
      </w:r>
      <w:r>
        <w:rPr>
          <w:rFonts w:hint="eastAsia"/>
        </w:rPr>
        <w:t>32%</w:t>
      </w:r>
      <w:r>
        <w:rPr>
          <w:rFonts w:hint="eastAsia"/>
        </w:rPr>
        <w:t>）大约低</w:t>
      </w:r>
      <w:r>
        <w:rPr>
          <w:rFonts w:hint="eastAsia"/>
        </w:rPr>
        <w:t>5</w:t>
      </w:r>
      <w:r>
        <w:rPr>
          <w:rFonts w:hint="eastAsia"/>
        </w:rPr>
        <w:t>个百分点。这表明，男女就业率都出现了实质性的下降，但是比率之间的差距缩小了：</w:t>
      </w:r>
      <w:r>
        <w:rPr>
          <w:rFonts w:hint="eastAsia"/>
        </w:rPr>
        <w:t>1990</w:t>
      </w:r>
      <w:r>
        <w:rPr>
          <w:rFonts w:hint="eastAsia"/>
        </w:rPr>
        <w:t>年，妇女的就业率为男子的</w:t>
      </w:r>
      <w:r>
        <w:rPr>
          <w:rFonts w:hint="eastAsia"/>
        </w:rPr>
        <w:t>68%</w:t>
      </w:r>
      <w:r>
        <w:rPr>
          <w:rFonts w:hint="eastAsia"/>
        </w:rPr>
        <w:t>；</w:t>
      </w:r>
      <w:r>
        <w:rPr>
          <w:rFonts w:hint="eastAsia"/>
        </w:rPr>
        <w:t>2001</w:t>
      </w:r>
      <w:r>
        <w:rPr>
          <w:rFonts w:hint="eastAsia"/>
        </w:rPr>
        <w:t>年相应的比率为</w:t>
      </w:r>
      <w:r>
        <w:rPr>
          <w:rFonts w:hint="eastAsia"/>
        </w:rPr>
        <w:t>73%</w:t>
      </w:r>
      <w:r>
        <w:rPr>
          <w:rFonts w:hint="eastAsia"/>
        </w:rPr>
        <w:t>。</w:t>
      </w:r>
    </w:p>
    <w:p w:rsidR="00CE1FDA" w:rsidRDefault="00CE1FDA" w:rsidP="00AC01AA">
      <w:pPr>
        <w:spacing w:after="240" w:line="360" w:lineRule="exact"/>
        <w:ind w:firstLineChars="200" w:firstLine="31680"/>
        <w:rPr>
          <w:rFonts w:hint="eastAsia"/>
        </w:rPr>
      </w:pPr>
      <w:r>
        <w:rPr>
          <w:rFonts w:hint="eastAsia"/>
        </w:rPr>
        <w:t>2000</w:t>
      </w:r>
      <w:r>
        <w:rPr>
          <w:rFonts w:hint="eastAsia"/>
        </w:rPr>
        <w:t>年，男女就业人数比</w:t>
      </w:r>
      <w:r>
        <w:rPr>
          <w:rFonts w:hint="eastAsia"/>
        </w:rPr>
        <w:t>10</w:t>
      </w:r>
      <w:r>
        <w:rPr>
          <w:rFonts w:hint="eastAsia"/>
        </w:rPr>
        <w:t>年前的相应数字少了</w:t>
      </w:r>
      <w:r>
        <w:rPr>
          <w:rFonts w:hint="eastAsia"/>
        </w:rPr>
        <w:t>248 000</w:t>
      </w:r>
      <w:r>
        <w:rPr>
          <w:rFonts w:hint="eastAsia"/>
        </w:rPr>
        <w:t>和</w:t>
      </w:r>
      <w:r>
        <w:rPr>
          <w:rFonts w:hint="eastAsia"/>
        </w:rPr>
        <w:t>132 000</w:t>
      </w:r>
      <w:r>
        <w:rPr>
          <w:rFonts w:hint="eastAsia"/>
        </w:rPr>
        <w:t>人（分别下降了</w:t>
      </w:r>
      <w:r>
        <w:rPr>
          <w:rFonts w:hint="eastAsia"/>
        </w:rPr>
        <w:t>25%</w:t>
      </w:r>
      <w:r>
        <w:rPr>
          <w:rFonts w:hint="eastAsia"/>
        </w:rPr>
        <w:t>和</w:t>
      </w:r>
      <w:r>
        <w:rPr>
          <w:rFonts w:hint="eastAsia"/>
        </w:rPr>
        <w:t>19%</w:t>
      </w:r>
      <w:r>
        <w:rPr>
          <w:rFonts w:hint="eastAsia"/>
        </w:rPr>
        <w:t>）。因此，由于体制改革，男子就业率低于妇女就业率，但是，妇女的就业率下降</w:t>
      </w:r>
      <w:r>
        <w:rPr>
          <w:rFonts w:hint="eastAsia"/>
        </w:rPr>
        <w:t>19%</w:t>
      </w:r>
      <w:r>
        <w:rPr>
          <w:rFonts w:hint="eastAsia"/>
        </w:rPr>
        <w:t>十分引人注目，因为妇女就业率在</w:t>
      </w:r>
      <w:r>
        <w:rPr>
          <w:rFonts w:hint="eastAsia"/>
        </w:rPr>
        <w:t>1990</w:t>
      </w:r>
      <w:r>
        <w:rPr>
          <w:rFonts w:hint="eastAsia"/>
        </w:rPr>
        <w:t>年就已很低。城市越小，非就业人口的比例就越高，赚取收入的人口比例就越低（表</w:t>
      </w:r>
      <w:r>
        <w:rPr>
          <w:rFonts w:hint="eastAsia"/>
        </w:rPr>
        <w:t>14.2</w:t>
      </w:r>
      <w:r>
        <w:rPr>
          <w:rFonts w:hint="eastAsia"/>
        </w:rPr>
        <w:t>）。这些变化不利于匈牙利农村人口，更不利于农村地区的罗姆人。</w:t>
      </w:r>
    </w:p>
    <w:p w:rsidR="00CE1FDA" w:rsidRDefault="00CE1FDA" w:rsidP="00AC01AA">
      <w:pPr>
        <w:spacing w:after="240" w:line="360" w:lineRule="exact"/>
        <w:ind w:firstLineChars="200" w:firstLine="31680"/>
        <w:rPr>
          <w:rFonts w:hint="eastAsia"/>
        </w:rPr>
      </w:pPr>
      <w:r>
        <w:rPr>
          <w:rFonts w:hint="eastAsia"/>
        </w:rPr>
        <w:t>甚至在体制改革之前，乡村人口的就业条件就较低，这种情况妨碍妇女进入仍在不断萎缩的劳动力市场。从需求方面来看，使劳动力市场不活跃的因素很多，主要包括缺乏足够的工作；往返上班费用高，给到偏远的工作场所工作造成困难（根据调查结果，这使情况最差的妇女不愿意往返上班）；以及劳动力市场在支付男女工资方面，长期严重歧视有小孩的妇女。另一方面，我们看到个人和家庭生活战略十分刻板。生活在小村庄和贫困农村地区的妇女无法找到工作——因为缺少雇主或现有的雇主不容易接近，不管有什么工作，支付的工资都很低，比如非技术性工作，日夜班安排没有考虑到养育孩子的要求——她们为了生存，不得不使自己去适应现有的环境。作为该战略的一部分，让她们自愿对这些环境做出选择，即让她们提高家务和以家务为主的工作的价值，以及自产自销的农业生产的价值，包括养育子女的价值。</w:t>
      </w:r>
    </w:p>
    <w:p w:rsidR="00CE1FDA" w:rsidRDefault="00CE1FDA">
      <w:pPr>
        <w:spacing w:after="240" w:line="360" w:lineRule="exact"/>
        <w:rPr>
          <w:rFonts w:eastAsia="KaiTi_GB2312" w:hint="eastAsia"/>
          <w:color w:val="0000FF"/>
        </w:rPr>
      </w:pPr>
      <w:r>
        <w:rPr>
          <w:rFonts w:eastAsia="KaiTi_GB2312" w:hint="eastAsia"/>
          <w:color w:val="0000FF"/>
        </w:rPr>
        <w:t>务农的类型</w:t>
      </w:r>
    </w:p>
    <w:p w:rsidR="00CE1FDA" w:rsidRDefault="00CE1FDA" w:rsidP="00AC01AA">
      <w:pPr>
        <w:spacing w:after="240" w:line="360" w:lineRule="exact"/>
        <w:ind w:firstLineChars="200" w:firstLine="31680"/>
        <w:rPr>
          <w:rFonts w:hint="eastAsia"/>
        </w:rPr>
      </w:pPr>
      <w:r>
        <w:rPr>
          <w:rFonts w:hint="eastAsia"/>
        </w:rPr>
        <w:t>按性别对</w:t>
      </w:r>
      <w:r>
        <w:rPr>
          <w:rFonts w:hint="eastAsia"/>
        </w:rPr>
        <w:t>959 000</w:t>
      </w:r>
      <w:r>
        <w:rPr>
          <w:rFonts w:hint="eastAsia"/>
        </w:rPr>
        <w:t>名农民进行的归类显示，男女农民分别占</w:t>
      </w:r>
      <w:r>
        <w:rPr>
          <w:rFonts w:hint="eastAsia"/>
        </w:rPr>
        <w:t>76%</w:t>
      </w:r>
      <w:r>
        <w:rPr>
          <w:rFonts w:hint="eastAsia"/>
        </w:rPr>
        <w:t>和</w:t>
      </w:r>
      <w:r>
        <w:rPr>
          <w:rFonts w:hint="eastAsia"/>
        </w:rPr>
        <w:t>24%</w:t>
      </w:r>
      <w:r>
        <w:rPr>
          <w:rFonts w:hint="eastAsia"/>
        </w:rPr>
        <w:t>。务农男子和妇女的平均年龄分别为</w:t>
      </w:r>
      <w:r>
        <w:rPr>
          <w:rFonts w:hint="eastAsia"/>
        </w:rPr>
        <w:t>53</w:t>
      </w:r>
      <w:r>
        <w:rPr>
          <w:rFonts w:hint="eastAsia"/>
        </w:rPr>
        <w:t>岁和</w:t>
      </w:r>
      <w:r>
        <w:rPr>
          <w:rFonts w:hint="eastAsia"/>
        </w:rPr>
        <w:t>60</w:t>
      </w:r>
      <w:r>
        <w:rPr>
          <w:rFonts w:hint="eastAsia"/>
        </w:rPr>
        <w:t>岁。此外，男女农民平均完成的工作日分别为</w:t>
      </w:r>
      <w:r>
        <w:rPr>
          <w:rFonts w:hint="eastAsia"/>
        </w:rPr>
        <w:t>79</w:t>
      </w:r>
      <w:r>
        <w:rPr>
          <w:rFonts w:hint="eastAsia"/>
        </w:rPr>
        <w:t>天和</w:t>
      </w:r>
      <w:r>
        <w:rPr>
          <w:rFonts w:hint="eastAsia"/>
        </w:rPr>
        <w:t>65</w:t>
      </w:r>
      <w:r>
        <w:rPr>
          <w:rFonts w:hint="eastAsia"/>
        </w:rPr>
        <w:t>天。</w:t>
      </w:r>
    </w:p>
    <w:p w:rsidR="00CE1FDA" w:rsidRDefault="00CE1FDA" w:rsidP="00AC01AA">
      <w:pPr>
        <w:spacing w:after="240" w:line="360" w:lineRule="exact"/>
        <w:ind w:firstLineChars="200" w:firstLine="31680"/>
        <w:rPr>
          <w:rFonts w:hint="eastAsia"/>
        </w:rPr>
      </w:pPr>
      <w:r>
        <w:rPr>
          <w:rFonts w:hint="eastAsia"/>
        </w:rPr>
        <w:t>在非农民身份的家庭成员中，男女分别占约</w:t>
      </w:r>
      <w:r>
        <w:rPr>
          <w:rFonts w:hint="eastAsia"/>
        </w:rPr>
        <w:t>74%</w:t>
      </w:r>
      <w:r>
        <w:rPr>
          <w:rFonts w:hint="eastAsia"/>
        </w:rPr>
        <w:t>和</w:t>
      </w:r>
      <w:r>
        <w:rPr>
          <w:rFonts w:hint="eastAsia"/>
        </w:rPr>
        <w:t>26%</w:t>
      </w:r>
      <w:r>
        <w:rPr>
          <w:rFonts w:hint="eastAsia"/>
        </w:rPr>
        <w:t>，平均年龄分别为</w:t>
      </w:r>
      <w:r>
        <w:rPr>
          <w:rFonts w:hint="eastAsia"/>
        </w:rPr>
        <w:t>32</w:t>
      </w:r>
      <w:r>
        <w:rPr>
          <w:rFonts w:hint="eastAsia"/>
        </w:rPr>
        <w:t>岁和</w:t>
      </w:r>
      <w:r>
        <w:rPr>
          <w:rFonts w:hint="eastAsia"/>
        </w:rPr>
        <w:t>46</w:t>
      </w:r>
      <w:r>
        <w:rPr>
          <w:rFonts w:hint="eastAsia"/>
        </w:rPr>
        <w:t>岁，完成的工作天数分别为</w:t>
      </w:r>
      <w:r>
        <w:rPr>
          <w:rFonts w:hint="eastAsia"/>
        </w:rPr>
        <w:t>46</w:t>
      </w:r>
      <w:r>
        <w:rPr>
          <w:rFonts w:hint="eastAsia"/>
        </w:rPr>
        <w:t>天和</w:t>
      </w:r>
      <w:r>
        <w:rPr>
          <w:rFonts w:hint="eastAsia"/>
        </w:rPr>
        <w:t>55</w:t>
      </w:r>
      <w:r>
        <w:rPr>
          <w:rFonts w:hint="eastAsia"/>
        </w:rPr>
        <w:t>天。因此，在农业生产中，妇女的工作天数并不比男子少，但是地位总体上却比男子低（表</w:t>
      </w:r>
      <w:r>
        <w:rPr>
          <w:rFonts w:hint="eastAsia"/>
        </w:rPr>
        <w:t>14.3</w:t>
      </w:r>
      <w:r>
        <w:rPr>
          <w:rFonts w:hint="eastAsia"/>
        </w:rPr>
        <w:t>）。</w:t>
      </w:r>
    </w:p>
    <w:p w:rsidR="00CE1FDA" w:rsidRDefault="00CE1FDA" w:rsidP="00AC01AA">
      <w:pPr>
        <w:spacing w:after="240" w:line="360" w:lineRule="exact"/>
        <w:ind w:firstLineChars="200" w:firstLine="31680"/>
        <w:rPr>
          <w:rFonts w:hint="eastAsia"/>
        </w:rPr>
      </w:pPr>
      <w:r>
        <w:rPr>
          <w:rFonts w:hint="eastAsia"/>
        </w:rPr>
        <w:t>男女之间明显的差异不仅体现在商品生产中，也体现在农事和所有权上。比如，男性农民所拥有的平均可耕地为</w:t>
      </w:r>
      <w:r>
        <w:rPr>
          <w:rFonts w:hint="eastAsia"/>
        </w:rPr>
        <w:t>2.1</w:t>
      </w:r>
      <w:r>
        <w:rPr>
          <w:rFonts w:hint="eastAsia"/>
        </w:rPr>
        <w:t>公顷，是女性农民所拥有的平均</w:t>
      </w:r>
      <w:r>
        <w:rPr>
          <w:rFonts w:hint="eastAsia"/>
        </w:rPr>
        <w:t>1</w:t>
      </w:r>
      <w:r>
        <w:rPr>
          <w:rFonts w:hint="eastAsia"/>
        </w:rPr>
        <w:t>公顷耕地的</w:t>
      </w:r>
      <w:r>
        <w:rPr>
          <w:rFonts w:hint="eastAsia"/>
        </w:rPr>
        <w:t>2</w:t>
      </w:r>
      <w:r>
        <w:rPr>
          <w:rFonts w:hint="eastAsia"/>
        </w:rPr>
        <w:t>倍多。从不同价值的农产品生产上也可以看出男女之间的差异。由于典型的男女比率为</w:t>
      </w:r>
      <w:r>
        <w:rPr>
          <w:rFonts w:hint="eastAsia"/>
        </w:rPr>
        <w:t>1</w:t>
      </w:r>
      <w:r>
        <w:t>:</w:t>
      </w:r>
      <w:r>
        <w:rPr>
          <w:rFonts w:hint="eastAsia"/>
        </w:rPr>
        <w:t>3</w:t>
      </w:r>
      <w:r>
        <w:rPr>
          <w:rFonts w:hint="eastAsia"/>
        </w:rPr>
        <w:t>，通常情况下，农产品价值越低，从事生产的男女比例就越高，反之亦然。两种极端的情况是，如果产品价值低于</w:t>
      </w:r>
      <w:r>
        <w:rPr>
          <w:rFonts w:hint="eastAsia"/>
        </w:rPr>
        <w:t>100 000</w:t>
      </w:r>
      <w:r>
        <w:rPr>
          <w:rFonts w:hint="eastAsia"/>
        </w:rPr>
        <w:t>福林，女性与男性农民的比例为</w:t>
      </w:r>
      <w:r>
        <w:rPr>
          <w:rFonts w:hint="eastAsia"/>
        </w:rPr>
        <w:t>1</w:t>
      </w:r>
      <w:r>
        <w:t>:</w:t>
      </w:r>
      <w:r>
        <w:rPr>
          <w:rFonts w:hint="eastAsia"/>
        </w:rPr>
        <w:t xml:space="preserve">2 </w:t>
      </w:r>
      <w:r>
        <w:rPr>
          <w:rFonts w:hint="eastAsia"/>
        </w:rPr>
        <w:t>，在产品价值最高的类别中，女性与男性的比例为</w:t>
      </w:r>
      <w:r>
        <w:rPr>
          <w:rFonts w:hint="eastAsia"/>
        </w:rPr>
        <w:t>1</w:t>
      </w:r>
      <w:r>
        <w:t>:</w:t>
      </w:r>
      <w:r>
        <w:rPr>
          <w:rFonts w:hint="eastAsia"/>
        </w:rPr>
        <w:t>11</w:t>
      </w:r>
      <w:r>
        <w:rPr>
          <w:rFonts w:hint="eastAsia"/>
        </w:rPr>
        <w:t>。</w:t>
      </w:r>
    </w:p>
    <w:p w:rsidR="00CE1FDA" w:rsidRDefault="00CE1FDA">
      <w:pPr>
        <w:spacing w:after="240" w:line="360" w:lineRule="exact"/>
        <w:rPr>
          <w:rFonts w:ascii="SimHei" w:eastAsia="SimHei" w:hint="eastAsia"/>
          <w:color w:val="FF0000"/>
        </w:rPr>
      </w:pPr>
      <w:r>
        <w:rPr>
          <w:rFonts w:ascii="SimHei" w:eastAsia="SimHei" w:hint="eastAsia"/>
          <w:color w:val="FF0000"/>
        </w:rPr>
        <w:t>f.  自行组织</w:t>
      </w:r>
    </w:p>
    <w:p w:rsidR="00CE1FDA" w:rsidRDefault="00CE1FDA" w:rsidP="00AC01AA">
      <w:pPr>
        <w:spacing w:after="240" w:line="360" w:lineRule="exact"/>
        <w:ind w:firstLineChars="200" w:firstLine="31680"/>
        <w:rPr>
          <w:rFonts w:hint="eastAsia"/>
        </w:rPr>
      </w:pPr>
      <w:r>
        <w:rPr>
          <w:rFonts w:hint="eastAsia"/>
        </w:rPr>
        <w:t>目前，使乡村妇女摆脱多重不利处境的工作几乎没有受到重视。没有什么自行组织形式或倡议是为了将匈牙利农村妇女重新融入劳动力市场，或是为她们提供更多的机会。该方案依赖于有关个人的活动、他们对地方公共生活的参与，以及地方社区的加强。</w:t>
      </w:r>
    </w:p>
    <w:p w:rsidR="00CE1FDA" w:rsidRDefault="00CE1FDA">
      <w:pPr>
        <w:spacing w:after="240" w:line="360" w:lineRule="exact"/>
        <w:rPr>
          <w:rFonts w:ascii="SimHei" w:eastAsia="SimHei" w:hint="eastAsia"/>
          <w:color w:val="FF0000"/>
        </w:rPr>
      </w:pPr>
      <w:r>
        <w:rPr>
          <w:rFonts w:ascii="SimHei" w:eastAsia="SimHei" w:hint="eastAsia"/>
          <w:color w:val="FF0000"/>
        </w:rPr>
        <w:t>g.  所有权，信贷</w:t>
      </w:r>
    </w:p>
    <w:p w:rsidR="00CE1FDA" w:rsidRDefault="00CE1FDA" w:rsidP="00AC01AA">
      <w:pPr>
        <w:spacing w:after="240" w:line="360" w:lineRule="exact"/>
        <w:ind w:firstLineChars="200" w:firstLine="31680"/>
        <w:rPr>
          <w:rFonts w:hint="eastAsia"/>
        </w:rPr>
      </w:pPr>
      <w:r>
        <w:rPr>
          <w:rFonts w:hint="eastAsia"/>
        </w:rPr>
        <w:t>在匈牙利，对妇女拥有农业用地没有任何限制。在这方面也不存在任何歧视。同样，妇女也可以获得跟男子一样的农业贷款和服务。农业企业家人数很少，不过正在缓慢而稳定地增加。</w:t>
      </w:r>
      <w:r>
        <w:rPr>
          <w:rFonts w:hint="eastAsia"/>
        </w:rPr>
        <w:t>2002</w:t>
      </w:r>
      <w:r>
        <w:rPr>
          <w:rFonts w:hint="eastAsia"/>
        </w:rPr>
        <w:t>年，农业女企业家的比例在所有为获得收入而工作的人中占</w:t>
      </w:r>
      <w:r>
        <w:rPr>
          <w:rFonts w:hint="eastAsia"/>
        </w:rPr>
        <w:t>0.7%</w:t>
      </w:r>
      <w:r>
        <w:rPr>
          <w:rFonts w:hint="eastAsia"/>
        </w:rPr>
        <w:t>。农业男企业家在就业结构中所占的比例也很小（</w:t>
      </w:r>
      <w:r>
        <w:rPr>
          <w:rFonts w:hint="eastAsia"/>
        </w:rPr>
        <w:t>2.1%</w:t>
      </w:r>
      <w:r>
        <w:rPr>
          <w:rFonts w:hint="eastAsia"/>
        </w:rPr>
        <w:t>）。据估计，大多数农业男女企业家都是在家庭农场工作。大多数情况下，妇女从事着大部分与农场经营有关的财政、会计和管理工作。</w:t>
      </w:r>
    </w:p>
    <w:p w:rsidR="00CE1FDA" w:rsidRDefault="00CE1FDA">
      <w:pPr>
        <w:spacing w:after="240" w:line="360" w:lineRule="exact"/>
        <w:rPr>
          <w:rFonts w:ascii="SimHei" w:eastAsia="SimHei" w:hint="eastAsia"/>
          <w:color w:val="FF0000"/>
        </w:rPr>
      </w:pPr>
      <w:r>
        <w:rPr>
          <w:rFonts w:ascii="SimHei" w:eastAsia="SimHei" w:hint="eastAsia"/>
          <w:color w:val="FF0000"/>
        </w:rPr>
        <w:t>h.  生活条件</w:t>
      </w:r>
    </w:p>
    <w:p w:rsidR="00CE1FDA" w:rsidRDefault="00CE1FDA" w:rsidP="00AC01AA">
      <w:pPr>
        <w:spacing w:after="240" w:line="360" w:lineRule="exact"/>
        <w:ind w:firstLineChars="200" w:firstLine="31680"/>
        <w:rPr>
          <w:rFonts w:hint="eastAsia"/>
        </w:rPr>
      </w:pPr>
      <w:r>
        <w:rPr>
          <w:rFonts w:hint="eastAsia"/>
        </w:rPr>
        <w:t>上述情况表明，匈牙利农村妇女的生活状况——就业、教育和保健——不如城镇妇女那样理想。还应提到地区差异。在匈牙利经济较好的地区（匈牙利中部、</w:t>
      </w:r>
      <w:r>
        <w:t>西</w:t>
      </w:r>
      <w:r>
        <w:rPr>
          <w:rFonts w:hint="eastAsia"/>
        </w:rPr>
        <w:t>处多瑙</w:t>
      </w:r>
      <w:r>
        <w:t>地区</w:t>
      </w:r>
      <w:r>
        <w:rPr>
          <w:rFonts w:hint="eastAsia"/>
        </w:rPr>
        <w:t>），小村庄妇女的生活状况不比城镇妇女差，但是在经济条件差的地区（主要是匈牙利北部和大平原北部），妇女的处境十分艰难。与男子相比，妇女在劳动力市场的机会和经济地位显然更受地区差异的影响。乡村妇女的生活条件还有另外一些差异，这是由她们在年龄分布、教育水平和就业状况方面的差异造成的。</w:t>
      </w:r>
    </w:p>
    <w:p w:rsidR="00CE1FDA" w:rsidRDefault="00CE1FDA">
      <w:pPr>
        <w:spacing w:after="240" w:line="360" w:lineRule="exact"/>
        <w:rPr>
          <w:rFonts w:ascii="SimHei" w:eastAsia="SimHei" w:hint="eastAsia"/>
          <w:color w:val="FF0000"/>
          <w:sz w:val="24"/>
        </w:rPr>
      </w:pPr>
      <w:r>
        <w:rPr>
          <w:rFonts w:ascii="SimHei" w:eastAsia="SimHei" w:hint="eastAsia"/>
          <w:color w:val="FF0000"/>
          <w:sz w:val="24"/>
        </w:rPr>
        <w:t xml:space="preserve">第15条：法律面前的平等 </w:t>
      </w:r>
    </w:p>
    <w:p w:rsidR="00CE1FDA" w:rsidRDefault="00CE1FDA" w:rsidP="00AC01AA">
      <w:pPr>
        <w:spacing w:after="240" w:line="360" w:lineRule="exact"/>
        <w:ind w:firstLineChars="200" w:firstLine="31680"/>
        <w:rPr>
          <w:rFonts w:hint="eastAsia"/>
        </w:rPr>
      </w:pPr>
      <w:r>
        <w:rPr>
          <w:rFonts w:hint="eastAsia"/>
        </w:rPr>
        <w:t>自上次报告以来，该领域没有发生变化。</w:t>
      </w:r>
    </w:p>
    <w:p w:rsidR="00CE1FDA" w:rsidRDefault="00CE1FDA">
      <w:pPr>
        <w:spacing w:after="240" w:line="360" w:lineRule="exact"/>
        <w:rPr>
          <w:rFonts w:ascii="SimHei" w:eastAsia="SimHei" w:hint="eastAsia"/>
          <w:color w:val="FF0000"/>
          <w:sz w:val="24"/>
        </w:rPr>
      </w:pPr>
      <w:r>
        <w:rPr>
          <w:rFonts w:ascii="SimHei" w:eastAsia="SimHei" w:hint="eastAsia"/>
          <w:color w:val="FF0000"/>
          <w:sz w:val="24"/>
        </w:rPr>
        <w:t>第16条：婚姻，平等的家庭生活</w:t>
      </w:r>
    </w:p>
    <w:p w:rsidR="00CE1FDA" w:rsidRDefault="00CE1FDA">
      <w:pPr>
        <w:spacing w:after="240" w:line="360" w:lineRule="exact"/>
        <w:rPr>
          <w:rFonts w:ascii="SimHei" w:eastAsia="SimHei" w:hint="eastAsia"/>
          <w:color w:val="FF0000"/>
        </w:rPr>
      </w:pPr>
      <w:r>
        <w:rPr>
          <w:rFonts w:ascii="SimHei" w:eastAsia="SimHei" w:hint="eastAsia"/>
          <w:color w:val="FF0000"/>
        </w:rPr>
        <w:t>a.  结婚的权利</w:t>
      </w:r>
    </w:p>
    <w:p w:rsidR="00CE1FDA" w:rsidRDefault="00CE1FDA" w:rsidP="00AC01AA">
      <w:pPr>
        <w:spacing w:after="240" w:line="360" w:lineRule="exact"/>
        <w:ind w:firstLineChars="200" w:firstLine="31680"/>
        <w:rPr>
          <w:rFonts w:hint="eastAsia"/>
        </w:rPr>
      </w:pPr>
      <w:r>
        <w:rPr>
          <w:rFonts w:hint="eastAsia"/>
          <w:spacing w:val="-4"/>
        </w:rPr>
        <w:t>在匈牙利，男女享有相同的结婚权利。自上次报告以来，相关的法律规章没有变化（见</w:t>
      </w:r>
      <w:r>
        <w:rPr>
          <w:spacing w:val="-4"/>
        </w:rPr>
        <w:t>CEDAW/C/HUN/4-5</w:t>
      </w:r>
      <w:r>
        <w:rPr>
          <w:rFonts w:hint="eastAsia"/>
          <w:spacing w:val="-4"/>
        </w:rPr>
        <w:t>）</w:t>
      </w:r>
      <w:r>
        <w:rPr>
          <w:rFonts w:hint="eastAsia"/>
        </w:rPr>
        <w:t>。</w:t>
      </w:r>
    </w:p>
    <w:p w:rsidR="00CE1FDA" w:rsidRDefault="00CE1FDA">
      <w:pPr>
        <w:spacing w:after="240" w:line="360" w:lineRule="exact"/>
        <w:rPr>
          <w:rFonts w:ascii="SimHei" w:eastAsia="SimHei" w:hint="eastAsia"/>
          <w:color w:val="FF0000"/>
        </w:rPr>
      </w:pPr>
      <w:r>
        <w:rPr>
          <w:rFonts w:ascii="SimHei" w:eastAsia="SimHei" w:hint="eastAsia"/>
          <w:color w:val="FF0000"/>
        </w:rPr>
        <w:t>b.  选择配偶的自由</w:t>
      </w:r>
    </w:p>
    <w:p w:rsidR="00CE1FDA" w:rsidRDefault="00CE1FDA" w:rsidP="00AC01AA">
      <w:pPr>
        <w:spacing w:after="240" w:line="360" w:lineRule="exact"/>
        <w:ind w:firstLineChars="200" w:firstLine="31680"/>
        <w:rPr>
          <w:rFonts w:hint="eastAsia"/>
        </w:rPr>
      </w:pPr>
      <w:r>
        <w:rPr>
          <w:rFonts w:hint="eastAsia"/>
        </w:rPr>
        <w:t>匈牙利人的行为——尤其是青少年的行为——已变得与西欧人非常相似。人们通常可以自由地选择配偶和决定他们是否需要结婚。在匈牙利社会，直到</w:t>
      </w:r>
      <w:r>
        <w:rPr>
          <w:rFonts w:hint="eastAsia"/>
        </w:rPr>
        <w:t>1990</w:t>
      </w:r>
      <w:r>
        <w:rPr>
          <w:rFonts w:hint="eastAsia"/>
        </w:rPr>
        <w:t>年代早期，婚姻一直是维系男女关系的一种主要形式——几乎是唯一的形式。然而，自此以来，结婚率大幅下降，生活伴侣人数增加（表</w:t>
      </w:r>
      <w:r>
        <w:rPr>
          <w:rFonts w:hint="eastAsia"/>
        </w:rPr>
        <w:t>16.1</w:t>
      </w:r>
      <w:r>
        <w:rPr>
          <w:rFonts w:hint="eastAsia"/>
        </w:rPr>
        <w:t>）。与西欧国家相比，在有持久男女关系总人数中，匈牙利生活伴侣的比例很小，但一直在上升。根据</w:t>
      </w:r>
      <w:r>
        <w:rPr>
          <w:rFonts w:hint="eastAsia"/>
        </w:rPr>
        <w:t>2001</w:t>
      </w:r>
      <w:r>
        <w:rPr>
          <w:rFonts w:hint="eastAsia"/>
        </w:rPr>
        <w:t>年的人口普查，约</w:t>
      </w:r>
      <w:r>
        <w:rPr>
          <w:rFonts w:hint="eastAsia"/>
        </w:rPr>
        <w:t>11.3%</w:t>
      </w:r>
      <w:r>
        <w:rPr>
          <w:rFonts w:hint="eastAsia"/>
        </w:rPr>
        <w:t>的“婚姻式”关系发生在生活伴侣之间。在匈牙利，无固定伴侣同居或生活的年轻人是一个最大的群体，与几十年前一样，这些年轻人的教育程度最低，生活在经济萧条的地区或小村庄，且无固定工作。</w:t>
      </w:r>
    </w:p>
    <w:p w:rsidR="00CE1FDA" w:rsidRDefault="00CE1FDA" w:rsidP="00AC01AA">
      <w:pPr>
        <w:spacing w:after="240" w:line="360" w:lineRule="exact"/>
        <w:ind w:firstLineChars="200" w:firstLine="31680"/>
        <w:rPr>
          <w:rFonts w:hint="eastAsia"/>
        </w:rPr>
      </w:pPr>
      <w:r>
        <w:rPr>
          <w:rFonts w:hint="eastAsia"/>
        </w:rPr>
        <w:t>目前，匈牙利正在重新编纂民法和家庭法规则。这一项工作也对同居产生了实质性影响。在编纂的过程中，争议最大的问题之一是，根据家庭法，生活伴侣的权利范围应扩大到多大程度。根据一项专家提议，在与婚姻有关的问题得到解决之后，生活伴侣法规应纳入家庭法类别，规定作为法学范畴的同居关系可以在同性或异性成员之间建立，不受限制。该提议将扩大生活伴侣的权利和义务，但不会与已婚夫妇的权利和义务等同。</w:t>
      </w:r>
    </w:p>
    <w:p w:rsidR="00CE1FDA" w:rsidRDefault="00CE1FDA">
      <w:pPr>
        <w:spacing w:after="240" w:line="360" w:lineRule="exact"/>
        <w:rPr>
          <w:rFonts w:ascii="SimHei" w:eastAsia="SimHei" w:hint="eastAsia"/>
          <w:color w:val="FF0000"/>
        </w:rPr>
      </w:pPr>
      <w:r>
        <w:rPr>
          <w:rFonts w:ascii="SimHei" w:eastAsia="SimHei" w:hint="eastAsia"/>
          <w:color w:val="FF0000"/>
        </w:rPr>
        <w:t>c.  离婚</w:t>
      </w:r>
    </w:p>
    <w:p w:rsidR="00CE1FDA" w:rsidRDefault="00CE1FDA" w:rsidP="00AC01AA">
      <w:pPr>
        <w:spacing w:after="240" w:line="360" w:lineRule="exact"/>
        <w:ind w:firstLineChars="200" w:firstLine="31680"/>
        <w:rPr>
          <w:rFonts w:hint="eastAsia"/>
        </w:rPr>
      </w:pPr>
      <w:r>
        <w:rPr>
          <w:rFonts w:hint="eastAsia"/>
        </w:rPr>
        <w:t>自上次报告以来，终止婚姻的法规没有发生变化。</w:t>
      </w:r>
    </w:p>
    <w:p w:rsidR="00CE1FDA" w:rsidRDefault="00CE1FDA">
      <w:pPr>
        <w:spacing w:after="240" w:line="360" w:lineRule="exact"/>
        <w:rPr>
          <w:rFonts w:ascii="SimHei" w:eastAsia="SimHei" w:hint="eastAsia"/>
          <w:color w:val="FF0000"/>
        </w:rPr>
      </w:pPr>
      <w:r>
        <w:rPr>
          <w:rFonts w:ascii="SimHei" w:eastAsia="SimHei" w:hint="eastAsia"/>
          <w:color w:val="FF0000"/>
        </w:rPr>
        <w:t>d.  父母权利</w:t>
      </w:r>
    </w:p>
    <w:p w:rsidR="00CE1FDA" w:rsidRDefault="00CE1FDA" w:rsidP="00AC01AA">
      <w:pPr>
        <w:spacing w:after="240" w:line="360" w:lineRule="exact"/>
        <w:ind w:firstLineChars="200" w:firstLine="31680"/>
        <w:rPr>
          <w:rFonts w:hint="eastAsia"/>
        </w:rPr>
      </w:pPr>
      <w:r>
        <w:rPr>
          <w:rFonts w:hint="eastAsia"/>
        </w:rPr>
        <w:t>自上次报告以来，父母权利的法规没有发生变化。</w:t>
      </w:r>
    </w:p>
    <w:p w:rsidR="00CE1FDA" w:rsidRDefault="00CE1FDA" w:rsidP="00AC01AA">
      <w:pPr>
        <w:spacing w:after="240" w:line="360" w:lineRule="exact"/>
        <w:ind w:firstLineChars="200" w:firstLine="31680"/>
        <w:rPr>
          <w:rFonts w:hint="eastAsia"/>
        </w:rPr>
      </w:pPr>
      <w:r>
        <w:rPr>
          <w:rFonts w:hint="eastAsia"/>
        </w:rPr>
        <w:t>约</w:t>
      </w:r>
      <w:r>
        <w:rPr>
          <w:rFonts w:hint="eastAsia"/>
        </w:rPr>
        <w:t>60%</w:t>
      </w:r>
      <w:r>
        <w:rPr>
          <w:rFonts w:hint="eastAsia"/>
        </w:rPr>
        <w:t>决定离婚的夫妇至少有一个孩子，即在他们生活的某个阶段，生活在单亲家庭的孩子人数在上升。一旦离婚，对孩子进行监督的权利由法院做出裁决。该权利通常给予母亲，但是共同监督的情况也在逐步增加。</w:t>
      </w:r>
    </w:p>
    <w:p w:rsidR="00CE1FDA" w:rsidRDefault="00CE1FDA" w:rsidP="00AC01AA">
      <w:pPr>
        <w:spacing w:after="240" w:line="360" w:lineRule="exact"/>
        <w:ind w:firstLineChars="200" w:firstLine="31680"/>
        <w:rPr>
          <w:rFonts w:hint="eastAsia"/>
        </w:rPr>
      </w:pPr>
      <w:r>
        <w:rPr>
          <w:rFonts w:hint="eastAsia"/>
        </w:rPr>
        <w:t>离婚会造成十分严重的后果，因为离婚父母及其子女暂时或长期陷入贫困境地的可能性更大了。独自养育幼小子女的妇女和居住在小村庄非再婚男子一样，比一般人更有可能陷入贫困的境地。大约一半的无家可归男子——自体制改革以来其人数明显增加——是在离婚后变得无家可归的，原因是住房问题没有解决。匈牙利的家庭福利仍然是以两人挣钱为基准。一旦离婚或失业，这种福利就会丧失，家庭降到贫困线以下的可能性就会大增。</w:t>
      </w:r>
    </w:p>
    <w:p w:rsidR="00CE1FDA" w:rsidRDefault="00CE1FDA">
      <w:pPr>
        <w:spacing w:after="240" w:line="360" w:lineRule="exact"/>
        <w:rPr>
          <w:rFonts w:ascii="SimHei" w:eastAsia="SimHei" w:hint="eastAsia"/>
          <w:color w:val="FF0000"/>
        </w:rPr>
      </w:pPr>
      <w:r>
        <w:rPr>
          <w:rFonts w:ascii="SimHei" w:eastAsia="SimHei" w:hint="eastAsia"/>
          <w:color w:val="FF0000"/>
        </w:rPr>
        <w:t>e.  生养孩子</w:t>
      </w:r>
    </w:p>
    <w:p w:rsidR="00CE1FDA" w:rsidRDefault="00CE1FDA" w:rsidP="00AC01AA">
      <w:pPr>
        <w:spacing w:after="240" w:line="360" w:lineRule="exact"/>
        <w:ind w:firstLineChars="200" w:firstLine="31680"/>
        <w:rPr>
          <w:rFonts w:hint="eastAsia"/>
        </w:rPr>
      </w:pPr>
      <w:r>
        <w:rPr>
          <w:rFonts w:hint="eastAsia"/>
        </w:rPr>
        <w:t>与其他欧洲社会一样，匈牙利也是一个老龄化社会。数十年来，出生人数的下降已成为一个重要的政治问题。由于结婚人数下降，同居的普及和单身者人数的增加，人们决定要孩子的年龄越来越大。</w:t>
      </w:r>
      <w:r>
        <w:rPr>
          <w:rFonts w:hint="eastAsia"/>
        </w:rPr>
        <w:t>1998</w:t>
      </w:r>
      <w:r>
        <w:rPr>
          <w:rFonts w:hint="eastAsia"/>
        </w:rPr>
        <w:t>年，已婚妇女要第一个孩子的平均年龄为</w:t>
      </w:r>
      <w:r>
        <w:rPr>
          <w:rFonts w:hint="eastAsia"/>
        </w:rPr>
        <w:t>25</w:t>
      </w:r>
      <w:r>
        <w:rPr>
          <w:rFonts w:hint="eastAsia"/>
        </w:rPr>
        <w:t>岁，</w:t>
      </w:r>
      <w:r>
        <w:rPr>
          <w:rFonts w:hint="eastAsia"/>
        </w:rPr>
        <w:t>2004</w:t>
      </w:r>
      <w:r>
        <w:rPr>
          <w:rFonts w:hint="eastAsia"/>
        </w:rPr>
        <w:t>年为</w:t>
      </w:r>
      <w:r>
        <w:rPr>
          <w:rFonts w:hint="eastAsia"/>
        </w:rPr>
        <w:t>27.5</w:t>
      </w:r>
      <w:r>
        <w:rPr>
          <w:rFonts w:hint="eastAsia"/>
        </w:rPr>
        <w:t>岁。今天的年轻人约有</w:t>
      </w:r>
      <w:r>
        <w:rPr>
          <w:rFonts w:hint="eastAsia"/>
        </w:rPr>
        <w:t>10-15%</w:t>
      </w:r>
      <w:r>
        <w:rPr>
          <w:rFonts w:hint="eastAsia"/>
        </w:rPr>
        <w:t>憧憬着过没有孩子的生活。</w:t>
      </w:r>
    </w:p>
    <w:p w:rsidR="00CE1FDA" w:rsidRDefault="00CE1FDA" w:rsidP="00AC01AA">
      <w:pPr>
        <w:spacing w:after="240" w:line="360" w:lineRule="exact"/>
        <w:ind w:firstLineChars="200" w:firstLine="31680"/>
        <w:rPr>
          <w:rFonts w:hint="eastAsia"/>
        </w:rPr>
      </w:pPr>
      <w:r>
        <w:rPr>
          <w:rFonts w:hint="eastAsia"/>
        </w:rPr>
        <w:t>结婚人数的下降和公众对传统家庭形式的看法的转变，影响了非婚生子女的数量。</w:t>
      </w:r>
      <w:r>
        <w:rPr>
          <w:rFonts w:hint="eastAsia"/>
        </w:rPr>
        <w:t>1980</w:t>
      </w:r>
      <w:r>
        <w:rPr>
          <w:rFonts w:hint="eastAsia"/>
        </w:rPr>
        <w:t>年，不足</w:t>
      </w:r>
      <w:r>
        <w:rPr>
          <w:rFonts w:hint="eastAsia"/>
        </w:rPr>
        <w:t>10%</w:t>
      </w:r>
      <w:r>
        <w:rPr>
          <w:rFonts w:hint="eastAsia"/>
        </w:rPr>
        <w:t>的孩子是非婚生子女，</w:t>
      </w:r>
      <w:r>
        <w:rPr>
          <w:rFonts w:hint="eastAsia"/>
        </w:rPr>
        <w:t>1990</w:t>
      </w:r>
      <w:r>
        <w:rPr>
          <w:rFonts w:hint="eastAsia"/>
        </w:rPr>
        <w:t>年，这一比例增长至</w:t>
      </w:r>
      <w:r>
        <w:rPr>
          <w:rFonts w:hint="eastAsia"/>
        </w:rPr>
        <w:t>13%</w:t>
      </w:r>
      <w:r>
        <w:rPr>
          <w:rFonts w:hint="eastAsia"/>
        </w:rPr>
        <w:t>，</w:t>
      </w:r>
      <w:r>
        <w:rPr>
          <w:rFonts w:hint="eastAsia"/>
        </w:rPr>
        <w:t>2004</w:t>
      </w:r>
      <w:r>
        <w:rPr>
          <w:rFonts w:hint="eastAsia"/>
        </w:rPr>
        <w:t>年又增长至</w:t>
      </w:r>
      <w:r>
        <w:rPr>
          <w:rFonts w:hint="eastAsia"/>
        </w:rPr>
        <w:t>34%</w:t>
      </w:r>
      <w:r>
        <w:rPr>
          <w:rFonts w:hint="eastAsia"/>
        </w:rPr>
        <w:t>。</w:t>
      </w:r>
      <w:r>
        <w:rPr>
          <w:rFonts w:hint="eastAsia"/>
        </w:rPr>
        <w:t>20</w:t>
      </w:r>
      <w:r>
        <w:rPr>
          <w:rFonts w:hint="eastAsia"/>
        </w:rPr>
        <w:t>岁之前生育第一个孩子的妇女生第一个非婚生子女的比例特别高。事实上，任何非婚生子女都是生活伴侣的孩子。</w:t>
      </w:r>
    </w:p>
    <w:p w:rsidR="00CE1FDA" w:rsidRDefault="00CE1FDA" w:rsidP="00AC01AA">
      <w:pPr>
        <w:spacing w:after="240" w:line="360" w:lineRule="exact"/>
        <w:ind w:firstLineChars="200" w:firstLine="31680"/>
        <w:rPr>
          <w:rFonts w:hint="eastAsia"/>
        </w:rPr>
      </w:pPr>
      <w:r>
        <w:rPr>
          <w:rFonts w:hint="eastAsia"/>
        </w:rPr>
        <w:t>第</w:t>
      </w:r>
      <w:r>
        <w:rPr>
          <w:rFonts w:hint="eastAsia"/>
        </w:rPr>
        <w:t>IV-V</w:t>
      </w:r>
      <w:r>
        <w:rPr>
          <w:rFonts w:hint="eastAsia"/>
        </w:rPr>
        <w:t>号报告中介绍的《关于胎儿生命保护的</w:t>
      </w:r>
      <w:r>
        <w:rPr>
          <w:rFonts w:hint="eastAsia"/>
        </w:rPr>
        <w:t>1992</w:t>
      </w:r>
      <w:r>
        <w:rPr>
          <w:rFonts w:hint="eastAsia"/>
        </w:rPr>
        <w:t>年第</w:t>
      </w:r>
      <w:r>
        <w:rPr>
          <w:rFonts w:hint="eastAsia"/>
        </w:rPr>
        <w:t>LXXIX</w:t>
      </w:r>
      <w:r>
        <w:rPr>
          <w:rFonts w:hint="eastAsia"/>
        </w:rPr>
        <w:t>号法案》于</w:t>
      </w:r>
      <w:r>
        <w:rPr>
          <w:rFonts w:hint="eastAsia"/>
        </w:rPr>
        <w:t>2000</w:t>
      </w:r>
      <w:r>
        <w:rPr>
          <w:rFonts w:hint="eastAsia"/>
        </w:rPr>
        <w:t>年经过修改。</w:t>
      </w:r>
      <w:r>
        <w:rPr>
          <w:rFonts w:hint="eastAsia"/>
        </w:rPr>
        <w:t>1998</w:t>
      </w:r>
      <w:r>
        <w:rPr>
          <w:rFonts w:hint="eastAsia"/>
        </w:rPr>
        <w:t>年宪法法院做出的一个决定使这一修改成为必要，该决定说明，孕妇在危急状态行使法定的堕胎权利不违反宪法，然而，根据该法定权利，使一个母亲拥有无条件的堕胎权利则违反《宪法》。宪法法院申明，必须通过准确界定“危机”概念，或采取新的胎儿生命保护措施，来协调母亲自行决定的权利与国家保护胎儿生命的义务。</w:t>
      </w:r>
    </w:p>
    <w:p w:rsidR="00CE1FDA" w:rsidRDefault="00CE1FDA" w:rsidP="00AC01AA">
      <w:pPr>
        <w:spacing w:after="240" w:line="360" w:lineRule="exact"/>
        <w:ind w:firstLineChars="200" w:firstLine="31680"/>
        <w:rPr>
          <w:rFonts w:hint="eastAsia"/>
        </w:rPr>
      </w:pPr>
      <w:r>
        <w:rPr>
          <w:rFonts w:hint="eastAsia"/>
        </w:rPr>
        <w:t>经修改的该法案第</w:t>
      </w:r>
      <w:r>
        <w:rPr>
          <w:rFonts w:hint="eastAsia"/>
        </w:rPr>
        <w:t>5</w:t>
      </w:r>
      <w:r>
        <w:rPr>
          <w:rFonts w:hint="eastAsia"/>
        </w:rPr>
        <w:t>条规定，只有在孕妇遇到危险或其生命处于危急状态时，才可以终止怀孕。生命处于危急状况是指身体或精神受到损害，或患有社会并发症。然而，该法案仍然没有要求采取任何证明方式，来证明生命确实处于危急状态的情况；母亲的陈述不足以证实。</w:t>
      </w:r>
    </w:p>
    <w:p w:rsidR="00CE1FDA" w:rsidRDefault="00CE1FDA" w:rsidP="00AC01AA">
      <w:pPr>
        <w:spacing w:after="240" w:line="360" w:lineRule="exact"/>
        <w:ind w:firstLineChars="200" w:firstLine="31680"/>
        <w:rPr>
          <w:rFonts w:hint="eastAsia"/>
        </w:rPr>
      </w:pPr>
      <w:r>
        <w:rPr>
          <w:rFonts w:hint="eastAsia"/>
        </w:rPr>
        <w:t>该法规一方面通过与怀孕过程中的咨询有关的任务（持续的而非偶然的），另一方面通过提供援助以解决危机，扩展了家庭保护服务的责任范围。经过培训的家庭保护服务人员，向怀孕妇女提供详细资料，介绍国家对生育孩子的支助和其他支助、领养的可能性，以及国家、地方政府和社会为解决危机提供的各种援助，包括人工堕胎的风险。该法律强调，所有这些都必须尊重怀孕妇女的感情和尊严。</w:t>
      </w:r>
    </w:p>
    <w:p w:rsidR="00CE1FDA" w:rsidRDefault="00CE1FDA" w:rsidP="00AC01AA">
      <w:pPr>
        <w:spacing w:after="240" w:line="360" w:lineRule="exact"/>
        <w:ind w:firstLineChars="200" w:firstLine="31680"/>
        <w:rPr>
          <w:rFonts w:hint="eastAsia"/>
          <w:spacing w:val="-4"/>
        </w:rPr>
      </w:pPr>
      <w:r>
        <w:rPr>
          <w:rFonts w:hint="eastAsia"/>
          <w:spacing w:val="-4"/>
        </w:rPr>
        <w:t>该法律对国家的责任范围做了广泛界定，这不仅是为了保护孕妇，而且还为了预防意外怀孕。它要求家庭保护服务人员提供信息，说明实行计划生育的充分可能性，并根据需要，酌情向服务对象提供防止怀孕的手段。</w:t>
      </w:r>
    </w:p>
    <w:p w:rsidR="00CE1FDA" w:rsidRDefault="00CE1FDA" w:rsidP="00AC01AA">
      <w:pPr>
        <w:spacing w:after="240" w:line="360" w:lineRule="exact"/>
        <w:ind w:firstLineChars="200" w:firstLine="31680"/>
        <w:rPr>
          <w:rFonts w:hint="eastAsia"/>
        </w:rPr>
      </w:pPr>
      <w:r>
        <w:rPr>
          <w:rFonts w:hint="eastAsia"/>
        </w:rPr>
        <w:t>2000</w:t>
      </w:r>
      <w:r>
        <w:rPr>
          <w:rFonts w:hint="eastAsia"/>
        </w:rPr>
        <w:t>年的修正案强调，通过外科手术预防怀孕，在预防意外怀孕方面是效果最明显的一种方法，因此，它把重点放在了发展咨询服务、为需要的人提供避孕用具以及政府与非政府组织进行有效合作上。</w:t>
      </w:r>
    </w:p>
    <w:p w:rsidR="00CE1FDA" w:rsidRDefault="00CE1FDA" w:rsidP="00AC01AA">
      <w:pPr>
        <w:spacing w:after="240" w:line="360" w:lineRule="exact"/>
        <w:ind w:firstLineChars="200" w:firstLine="31680"/>
        <w:rPr>
          <w:rFonts w:hint="eastAsia"/>
        </w:rPr>
      </w:pPr>
      <w:r>
        <w:rPr>
          <w:rFonts w:hint="eastAsia"/>
        </w:rPr>
        <w:t>如果堕胎是出于医疗方面的原因，干预费用由健康保险基金提供。如果堕胎是出于其他原因——由法律做出准确界定——则要收费，由卫生部的一项法令对此做了规定。社会贫困者支付部分费用。</w:t>
      </w:r>
    </w:p>
    <w:p w:rsidR="00CE1FDA" w:rsidRDefault="00CE1FDA" w:rsidP="00AC01AA">
      <w:pPr>
        <w:spacing w:after="240" w:line="360" w:lineRule="exact"/>
        <w:ind w:firstLineChars="200" w:firstLine="31680"/>
        <w:rPr>
          <w:rFonts w:hint="eastAsia"/>
        </w:rPr>
      </w:pPr>
      <w:r>
        <w:rPr>
          <w:rFonts w:hint="eastAsia"/>
        </w:rPr>
        <w:t>因堕胎而丢失的生命数量仍然很高：</w:t>
      </w:r>
      <w:r>
        <w:rPr>
          <w:rFonts w:hint="eastAsia"/>
        </w:rPr>
        <w:t>2000</w:t>
      </w:r>
      <w:r>
        <w:rPr>
          <w:rFonts w:hint="eastAsia"/>
        </w:rPr>
        <w:t>年、</w:t>
      </w:r>
      <w:r>
        <w:rPr>
          <w:rFonts w:hint="eastAsia"/>
        </w:rPr>
        <w:t>2001</w:t>
      </w:r>
      <w:r>
        <w:rPr>
          <w:rFonts w:hint="eastAsia"/>
        </w:rPr>
        <w:t>年、</w:t>
      </w:r>
      <w:r>
        <w:rPr>
          <w:rFonts w:hint="eastAsia"/>
        </w:rPr>
        <w:t>2002</w:t>
      </w:r>
      <w:r>
        <w:rPr>
          <w:rFonts w:hint="eastAsia"/>
        </w:rPr>
        <w:t>年、</w:t>
      </w:r>
      <w:r>
        <w:rPr>
          <w:rFonts w:hint="eastAsia"/>
        </w:rPr>
        <w:t>2003</w:t>
      </w:r>
      <w:r>
        <w:rPr>
          <w:rFonts w:hint="eastAsia"/>
        </w:rPr>
        <w:t>年和</w:t>
      </w:r>
      <w:r>
        <w:rPr>
          <w:rFonts w:hint="eastAsia"/>
        </w:rPr>
        <w:t>2004</w:t>
      </w:r>
      <w:r>
        <w:rPr>
          <w:rFonts w:hint="eastAsia"/>
        </w:rPr>
        <w:t>年的总数分别为</w:t>
      </w:r>
      <w:r>
        <w:rPr>
          <w:rFonts w:hint="eastAsia"/>
        </w:rPr>
        <w:t>59 249</w:t>
      </w:r>
      <w:r>
        <w:rPr>
          <w:rFonts w:hint="eastAsia"/>
        </w:rPr>
        <w:t>、</w:t>
      </w:r>
      <w:r>
        <w:rPr>
          <w:rFonts w:hint="eastAsia"/>
        </w:rPr>
        <w:t>56 404</w:t>
      </w:r>
      <w:r>
        <w:rPr>
          <w:rFonts w:hint="eastAsia"/>
        </w:rPr>
        <w:t>、</w:t>
      </w:r>
      <w:r>
        <w:rPr>
          <w:rFonts w:hint="eastAsia"/>
        </w:rPr>
        <w:t>56 075</w:t>
      </w:r>
      <w:r>
        <w:rPr>
          <w:rFonts w:hint="eastAsia"/>
        </w:rPr>
        <w:t>、</w:t>
      </w:r>
      <w:r>
        <w:rPr>
          <w:rFonts w:hint="eastAsia"/>
        </w:rPr>
        <w:t>53 789</w:t>
      </w:r>
      <w:r>
        <w:rPr>
          <w:rFonts w:hint="eastAsia"/>
        </w:rPr>
        <w:t>、</w:t>
      </w:r>
      <w:r>
        <w:rPr>
          <w:rFonts w:hint="eastAsia"/>
        </w:rPr>
        <w:t>52 539</w:t>
      </w:r>
      <w:r>
        <w:rPr>
          <w:rFonts w:hint="eastAsia"/>
        </w:rPr>
        <w:t>。按年龄组分列，</w:t>
      </w:r>
      <w:r>
        <w:rPr>
          <w:rFonts w:hint="eastAsia"/>
        </w:rPr>
        <w:t>2004</w:t>
      </w:r>
      <w:r>
        <w:rPr>
          <w:rFonts w:hint="eastAsia"/>
        </w:rPr>
        <w:t>年的统计数字——就比例而言——具有前些年的特点。堕胎数量最高的年龄群体是</w:t>
      </w:r>
      <w:r>
        <w:rPr>
          <w:rFonts w:hint="eastAsia"/>
        </w:rPr>
        <w:t>25-29</w:t>
      </w:r>
      <w:r>
        <w:rPr>
          <w:rFonts w:hint="eastAsia"/>
        </w:rPr>
        <w:t>岁，其次是</w:t>
      </w:r>
      <w:r>
        <w:rPr>
          <w:rFonts w:hint="eastAsia"/>
        </w:rPr>
        <w:t>20-24</w:t>
      </w:r>
      <w:r>
        <w:rPr>
          <w:rFonts w:hint="eastAsia"/>
        </w:rPr>
        <w:t>岁和</w:t>
      </w:r>
      <w:r>
        <w:rPr>
          <w:rFonts w:hint="eastAsia"/>
        </w:rPr>
        <w:t>30-34</w:t>
      </w:r>
      <w:r>
        <w:rPr>
          <w:rFonts w:hint="eastAsia"/>
        </w:rPr>
        <w:t>岁：分别为</w:t>
      </w:r>
      <w:r>
        <w:rPr>
          <w:rFonts w:hint="eastAsia"/>
        </w:rPr>
        <w:t>13 678</w:t>
      </w:r>
      <w:r>
        <w:rPr>
          <w:rFonts w:hint="eastAsia"/>
        </w:rPr>
        <w:t>、</w:t>
      </w:r>
      <w:r>
        <w:rPr>
          <w:rFonts w:hint="eastAsia"/>
        </w:rPr>
        <w:t>11 045</w:t>
      </w:r>
      <w:r>
        <w:rPr>
          <w:rFonts w:hint="eastAsia"/>
        </w:rPr>
        <w:t>、</w:t>
      </w:r>
      <w:r>
        <w:rPr>
          <w:rFonts w:hint="eastAsia"/>
        </w:rPr>
        <w:t>10 084</w:t>
      </w:r>
      <w:r>
        <w:rPr>
          <w:rFonts w:hint="eastAsia"/>
        </w:rPr>
        <w:t>。</w:t>
      </w:r>
      <w:r>
        <w:rPr>
          <w:rFonts w:hint="eastAsia"/>
        </w:rPr>
        <w:t>20</w:t>
      </w:r>
      <w:r>
        <w:rPr>
          <w:rFonts w:hint="eastAsia"/>
        </w:rPr>
        <w:t>岁以下的妇女群体中，堕胎的数量较小（但是在绝对数上她们的数量仍然很大）：</w:t>
      </w:r>
      <w:r>
        <w:rPr>
          <w:rFonts w:hint="eastAsia"/>
        </w:rPr>
        <w:t>2004</w:t>
      </w:r>
      <w:r>
        <w:rPr>
          <w:rFonts w:hint="eastAsia"/>
        </w:rPr>
        <w:t>年，</w:t>
      </w:r>
      <w:r>
        <w:rPr>
          <w:rFonts w:hint="eastAsia"/>
        </w:rPr>
        <w:t>15-19</w:t>
      </w:r>
      <w:r>
        <w:rPr>
          <w:rFonts w:hint="eastAsia"/>
        </w:rPr>
        <w:t>岁年龄群体中堕胎数量为</w:t>
      </w:r>
      <w:r>
        <w:rPr>
          <w:rFonts w:hint="eastAsia"/>
        </w:rPr>
        <w:t>5 978</w:t>
      </w:r>
      <w:r>
        <w:rPr>
          <w:rFonts w:hint="eastAsia"/>
        </w:rPr>
        <w:t>例，</w:t>
      </w:r>
      <w:r>
        <w:rPr>
          <w:rFonts w:hint="eastAsia"/>
        </w:rPr>
        <w:t>14</w:t>
      </w:r>
      <w:r>
        <w:rPr>
          <w:rFonts w:hint="eastAsia"/>
        </w:rPr>
        <w:t>岁以下的堕胎数量为</w:t>
      </w:r>
      <w:r>
        <w:rPr>
          <w:rFonts w:hint="eastAsia"/>
        </w:rPr>
        <w:t>203</w:t>
      </w:r>
      <w:r>
        <w:rPr>
          <w:rFonts w:hint="eastAsia"/>
        </w:rPr>
        <w:t>例。</w:t>
      </w:r>
    </w:p>
    <w:p w:rsidR="00CE1FDA" w:rsidRDefault="00CE1FDA">
      <w:pPr>
        <w:spacing w:after="240" w:line="340" w:lineRule="exact"/>
        <w:rPr>
          <w:rFonts w:ascii="SimHei" w:eastAsia="SimHei" w:hint="eastAsia"/>
          <w:color w:val="FF0000"/>
        </w:rPr>
      </w:pPr>
      <w:r>
        <w:rPr>
          <w:rFonts w:ascii="SimHei" w:eastAsia="SimHei"/>
          <w:color w:val="FF0000"/>
        </w:rPr>
        <w:t xml:space="preserve">f. </w:t>
      </w:r>
      <w:r>
        <w:rPr>
          <w:rFonts w:ascii="SimHei" w:eastAsia="SimHei" w:hint="eastAsia"/>
          <w:color w:val="FF0000"/>
        </w:rPr>
        <w:t xml:space="preserve"> 监护</w:t>
      </w:r>
    </w:p>
    <w:p w:rsidR="00CE1FDA" w:rsidRDefault="00CE1FDA" w:rsidP="00AC01AA">
      <w:pPr>
        <w:spacing w:after="240" w:line="340" w:lineRule="exact"/>
        <w:ind w:firstLineChars="200" w:firstLine="31680"/>
        <w:rPr>
          <w:rFonts w:hint="eastAsia"/>
        </w:rPr>
      </w:pPr>
      <w:r>
        <w:rPr>
          <w:rFonts w:hint="eastAsia"/>
        </w:rPr>
        <w:t>与两性相应的权利有关的监护、托管和资产管理的规章没有变化。要突出强调的一个变化与收养有关，它可能对有意领养孩子的单身妇女产生消极影响。</w:t>
      </w:r>
      <w:r>
        <w:rPr>
          <w:rFonts w:hint="eastAsia"/>
        </w:rPr>
        <w:t>2003</w:t>
      </w:r>
      <w:r>
        <w:rPr>
          <w:rFonts w:hint="eastAsia"/>
        </w:rPr>
        <w:t>年以前，已婚夫妇和单身者都可以领养孩子，但是这对于生活伴侣则不可能。自</w:t>
      </w:r>
      <w:r>
        <w:rPr>
          <w:rFonts w:hint="eastAsia"/>
        </w:rPr>
        <w:t>2003</w:t>
      </w:r>
      <w:r>
        <w:rPr>
          <w:rFonts w:hint="eastAsia"/>
        </w:rPr>
        <w:t>年</w:t>
      </w:r>
      <w:r>
        <w:rPr>
          <w:rFonts w:hint="eastAsia"/>
        </w:rPr>
        <w:t>1</w:t>
      </w:r>
      <w:r>
        <w:rPr>
          <w:rFonts w:hint="eastAsia"/>
        </w:rPr>
        <w:t>月起，这种状况发生了变化，因为根据《家庭法》第</w:t>
      </w:r>
      <w:r>
        <w:rPr>
          <w:rFonts w:hint="eastAsia"/>
        </w:rPr>
        <w:t>49</w:t>
      </w:r>
      <w:r>
        <w:rPr>
          <w:rFonts w:hint="eastAsia"/>
        </w:rPr>
        <w:t>条，优先权由批准和办理领养手续的监护机构给予生活在婚姻状态下的领养父母，这符合孩子的利益。</w:t>
      </w:r>
    </w:p>
    <w:p w:rsidR="00CE1FDA" w:rsidRDefault="00CE1FDA">
      <w:pPr>
        <w:spacing w:after="240" w:line="340" w:lineRule="exact"/>
        <w:rPr>
          <w:rFonts w:ascii="SimHei" w:eastAsia="SimHei" w:hint="eastAsia"/>
          <w:color w:val="FF0000"/>
        </w:rPr>
      </w:pPr>
      <w:r>
        <w:rPr>
          <w:rFonts w:ascii="SimHei" w:eastAsia="SimHei" w:hint="eastAsia"/>
          <w:color w:val="FF0000"/>
        </w:rPr>
        <w:t>g</w:t>
      </w:r>
      <w:r>
        <w:rPr>
          <w:rFonts w:ascii="SimHei" w:eastAsia="SimHei"/>
          <w:color w:val="FF0000"/>
        </w:rPr>
        <w:t xml:space="preserve">. </w:t>
      </w:r>
      <w:r>
        <w:rPr>
          <w:rFonts w:ascii="SimHei" w:eastAsia="SimHei" w:hint="eastAsia"/>
          <w:color w:val="FF0000"/>
        </w:rPr>
        <w:t xml:space="preserve"> 职业，姓名选择</w:t>
      </w:r>
    </w:p>
    <w:p w:rsidR="00CE1FDA" w:rsidRDefault="00CE1FDA" w:rsidP="00AC01AA">
      <w:pPr>
        <w:spacing w:after="240" w:line="340" w:lineRule="exact"/>
        <w:ind w:firstLineChars="200" w:firstLine="31680"/>
        <w:rPr>
          <w:rFonts w:hint="eastAsia"/>
        </w:rPr>
      </w:pPr>
      <w:r>
        <w:rPr>
          <w:rFonts w:hint="eastAsia"/>
        </w:rPr>
        <w:t>匈牙利法律在行业和职业选择方面为丈夫和妻子规定了相同的权利——自</w:t>
      </w:r>
      <w:r>
        <w:rPr>
          <w:rFonts w:hint="eastAsia"/>
        </w:rPr>
        <w:t>2005</w:t>
      </w:r>
      <w:r>
        <w:rPr>
          <w:rFonts w:hint="eastAsia"/>
        </w:rPr>
        <w:t>年起，还允许已婚者选择自己的姓氏。丈夫可以采用妻子的名字或与妻子的名字合用，而且以前的规则同样有效，即妻子可以以各种合并方式使用丈夫的名字。</w:t>
      </w:r>
    </w:p>
    <w:p w:rsidR="00CE1FDA" w:rsidRDefault="00CE1FDA">
      <w:pPr>
        <w:spacing w:after="240" w:line="340" w:lineRule="exact"/>
        <w:rPr>
          <w:rFonts w:ascii="SimHei" w:eastAsia="SimHei" w:hint="eastAsia"/>
          <w:color w:val="FF0000"/>
        </w:rPr>
      </w:pPr>
      <w:r>
        <w:rPr>
          <w:rFonts w:ascii="SimHei" w:eastAsia="SimHei"/>
          <w:color w:val="FF0000"/>
        </w:rPr>
        <w:t xml:space="preserve">h. </w:t>
      </w:r>
      <w:r>
        <w:rPr>
          <w:rFonts w:ascii="SimHei" w:eastAsia="SimHei" w:hint="eastAsia"/>
          <w:color w:val="FF0000"/>
        </w:rPr>
        <w:t xml:space="preserve"> 经济权利</w:t>
      </w:r>
    </w:p>
    <w:p w:rsidR="00CE1FDA" w:rsidRDefault="00CE1FDA" w:rsidP="00AC01AA">
      <w:pPr>
        <w:spacing w:after="240" w:line="340" w:lineRule="exact"/>
        <w:ind w:firstLineChars="200" w:firstLine="31680"/>
        <w:rPr>
          <w:rFonts w:hint="eastAsia"/>
        </w:rPr>
      </w:pPr>
      <w:r>
        <w:rPr>
          <w:rFonts w:hint="eastAsia"/>
        </w:rPr>
        <w:t>根据匈牙利的法律，共同财产可以由已婚双方的任何一方管理。但有时候，离婚手续会因双方在如何分配共同所得的财产上无法达成一致而拖延，尤其是在住宅问题上。婚前缔结财产所有权合同在匈牙利仍然是一个几乎无法适用的办法。</w:t>
      </w:r>
    </w:p>
    <w:p w:rsidR="00CE1FDA" w:rsidRDefault="00CE1FDA">
      <w:pPr>
        <w:spacing w:after="240" w:line="340" w:lineRule="exact"/>
        <w:rPr>
          <w:rFonts w:ascii="SimHei" w:eastAsia="SimHei" w:hint="eastAsia"/>
          <w:color w:val="FF0000"/>
        </w:rPr>
      </w:pPr>
      <w:r>
        <w:rPr>
          <w:rFonts w:ascii="SimHei" w:eastAsia="SimHei" w:hint="eastAsia"/>
          <w:color w:val="FF0000"/>
        </w:rPr>
        <w:t>i</w:t>
      </w:r>
      <w:r>
        <w:rPr>
          <w:rFonts w:ascii="SimHei" w:eastAsia="SimHei"/>
          <w:color w:val="FF0000"/>
        </w:rPr>
        <w:t xml:space="preserve">. </w:t>
      </w:r>
      <w:r>
        <w:rPr>
          <w:rFonts w:ascii="SimHei" w:eastAsia="SimHei" w:hint="eastAsia"/>
          <w:color w:val="FF0000"/>
        </w:rPr>
        <w:t xml:space="preserve"> 未成年人的婚姻</w:t>
      </w:r>
    </w:p>
    <w:p w:rsidR="00CE1FDA" w:rsidRDefault="00CE1FDA" w:rsidP="00AC01AA">
      <w:pPr>
        <w:pStyle w:val="1"/>
        <w:adjustRightInd w:val="0"/>
        <w:spacing w:after="240" w:line="360" w:lineRule="exact"/>
        <w:ind w:firstLine="31680"/>
        <w:textAlignment w:val="baseline"/>
        <w:rPr>
          <w:rFonts w:hint="eastAsia"/>
          <w:kern w:val="0"/>
          <w:szCs w:val="20"/>
        </w:rPr>
      </w:pPr>
      <w:r>
        <w:rPr>
          <w:rFonts w:hint="eastAsia"/>
          <w:kern w:val="0"/>
          <w:szCs w:val="20"/>
        </w:rPr>
        <w:t>在匈牙利婚姻受国家管制；任何情况下都要登记。未成年人在得到监护机构颁发的许可证后可以结婚，在这种情况下，当局总会考虑夫妻孩子的利益。</w:t>
      </w:r>
    </w:p>
    <w:p w:rsidR="00CE1FDA" w:rsidRDefault="00CE1FDA">
      <w:pPr>
        <w:spacing w:after="240" w:line="360" w:lineRule="exact"/>
        <w:rPr>
          <w:rFonts w:ascii="SimHei" w:eastAsia="SimHei" w:hint="eastAsia"/>
          <w:color w:val="FF0000"/>
        </w:rPr>
      </w:pPr>
      <w:r>
        <w:rPr>
          <w:rFonts w:ascii="SimHei" w:eastAsia="SimHei" w:hint="eastAsia"/>
          <w:color w:val="FF0000"/>
        </w:rPr>
        <w:t>第16条补充：家庭暴力</w:t>
      </w:r>
    </w:p>
    <w:p w:rsidR="00CE1FDA" w:rsidRDefault="00CE1FDA">
      <w:pPr>
        <w:spacing w:after="240" w:line="360" w:lineRule="exact"/>
        <w:rPr>
          <w:rFonts w:ascii="SimHei" w:eastAsia="SimHei" w:hint="eastAsia"/>
          <w:color w:val="FF0000"/>
        </w:rPr>
      </w:pPr>
      <w:r>
        <w:rPr>
          <w:rFonts w:ascii="SimHei" w:eastAsia="SimHei" w:hint="eastAsia"/>
          <w:color w:val="FF0000"/>
        </w:rPr>
        <w:t>1.</w:t>
      </w:r>
      <w:r>
        <w:rPr>
          <w:rFonts w:ascii="SimHei" w:eastAsia="SimHei"/>
          <w:color w:val="FF0000"/>
        </w:rPr>
        <w:t xml:space="preserve"> </w:t>
      </w:r>
      <w:r>
        <w:rPr>
          <w:rFonts w:ascii="SimHei" w:eastAsia="SimHei" w:hint="eastAsia"/>
          <w:color w:val="FF0000"/>
        </w:rPr>
        <w:t xml:space="preserve"> 目前的情况</w:t>
      </w:r>
    </w:p>
    <w:p w:rsidR="00CE1FDA" w:rsidRDefault="00CE1FDA" w:rsidP="00AC01AA">
      <w:pPr>
        <w:spacing w:after="240" w:line="340" w:lineRule="exact"/>
        <w:ind w:firstLineChars="200" w:firstLine="31680"/>
        <w:rPr>
          <w:rFonts w:hint="eastAsia"/>
        </w:rPr>
      </w:pPr>
      <w:r>
        <w:rPr>
          <w:rFonts w:hint="eastAsia"/>
        </w:rPr>
        <w:t>自上次报告以来，在打击家庭暴力和针对妇女的暴力方面取得了很大进展。</w:t>
      </w:r>
      <w:r>
        <w:rPr>
          <w:rFonts w:hint="eastAsia"/>
        </w:rPr>
        <w:t>2001</w:t>
      </w:r>
      <w:r>
        <w:rPr>
          <w:rFonts w:hint="eastAsia"/>
        </w:rPr>
        <w:t>年年底之前，没有围绕“家庭暴力”这一主题组织过研究、科学出版物和会议，它们把某些受害者和暴力形式作为特殊的个案来处理。但在以后的数年中，大量的研究方案都以家庭暴力为重点，发行的各种出版物都涉及了对妇女的暴力、殴打儿童或家庭暴力等方面的动态、特点或统计数字。</w:t>
      </w:r>
      <w:r>
        <w:rPr>
          <w:rStyle w:val="FootnoteReference"/>
          <w:sz w:val="24"/>
        </w:rPr>
        <w:footnoteReference w:customMarkFollows="1" w:id="19"/>
        <w:t>19</w:t>
      </w:r>
      <w:r>
        <w:rPr>
          <w:rFonts w:hint="eastAsia"/>
        </w:rPr>
        <w:t>根据检察长办公室的一项倡议，国家犯罪研究所在国家预防犯罪委员会（司法部）的支助下，针对这一问题开展了到目前为止最为广泛的研究，分析了</w:t>
      </w:r>
      <w:r>
        <w:rPr>
          <w:rFonts w:hint="eastAsia"/>
        </w:rPr>
        <w:t>1997-2002</w:t>
      </w:r>
      <w:r>
        <w:rPr>
          <w:rFonts w:hint="eastAsia"/>
        </w:rPr>
        <w:t>年期间的犯罪统计数字和</w:t>
      </w:r>
      <w:r>
        <w:rPr>
          <w:rFonts w:hint="eastAsia"/>
        </w:rPr>
        <w:t>1 478</w:t>
      </w:r>
      <w:r>
        <w:rPr>
          <w:rFonts w:hint="eastAsia"/>
        </w:rPr>
        <w:t>宗最终完结的家庭暴力案件。</w:t>
      </w:r>
      <w:r>
        <w:rPr>
          <w:rStyle w:val="FootnoteReference"/>
          <w:sz w:val="24"/>
        </w:rPr>
        <w:footnoteReference w:customMarkFollows="1" w:id="20"/>
        <w:t>20</w:t>
      </w:r>
    </w:p>
    <w:p w:rsidR="00CE1FDA" w:rsidRDefault="00CE1FDA" w:rsidP="00AC01AA">
      <w:pPr>
        <w:spacing w:after="240" w:line="340" w:lineRule="exact"/>
        <w:ind w:firstLineChars="200" w:firstLine="31680"/>
        <w:rPr>
          <w:rFonts w:hint="eastAsia"/>
        </w:rPr>
      </w:pPr>
      <w:r>
        <w:rPr>
          <w:rFonts w:hint="eastAsia"/>
        </w:rPr>
        <w:t>从犯罪统计数字可以清楚地看出，在匈牙利，与所有的犯罪频率相比，家庭内部的犯罪频率微乎其微：所有已知的犯罪人中只有</w:t>
      </w:r>
      <w:r>
        <w:rPr>
          <w:rFonts w:hint="eastAsia"/>
        </w:rPr>
        <w:t>5.6%</w:t>
      </w:r>
      <w:r>
        <w:rPr>
          <w:rFonts w:hint="eastAsia"/>
        </w:rPr>
        <w:t>（一年</w:t>
      </w:r>
      <w:r>
        <w:rPr>
          <w:rFonts w:hint="eastAsia"/>
        </w:rPr>
        <w:t>7 500</w:t>
      </w:r>
      <w:r>
        <w:rPr>
          <w:rFonts w:hint="eastAsia"/>
        </w:rPr>
        <w:t>人）犯有伤害家庭成员或亲属的罪行。然而，在有关的罪行类别中，其发生频率则相当大：所有针对人的犯罪中，四分之一是在家庭中实施的。据有关当局了解，强奸和猥亵的比例相似，而约</w:t>
      </w:r>
      <w:r>
        <w:rPr>
          <w:rFonts w:hint="eastAsia"/>
        </w:rPr>
        <w:t>30%</w:t>
      </w:r>
      <w:r>
        <w:rPr>
          <w:rFonts w:hint="eastAsia"/>
        </w:rPr>
        <w:t>的伤害罪和近一半（</w:t>
      </w:r>
      <w:r>
        <w:rPr>
          <w:rFonts w:hint="eastAsia"/>
        </w:rPr>
        <w:t>45%</w:t>
      </w:r>
      <w:r>
        <w:rPr>
          <w:rFonts w:hint="eastAsia"/>
        </w:rPr>
        <w:t>）的杀人未遂和杀人案件是针对亲属实施的。</w:t>
      </w:r>
    </w:p>
    <w:p w:rsidR="00CE1FDA" w:rsidRDefault="00CE1FDA" w:rsidP="00AC01AA">
      <w:pPr>
        <w:spacing w:after="240" w:line="340" w:lineRule="exact"/>
        <w:ind w:firstLineChars="200" w:firstLine="31680"/>
        <w:rPr>
          <w:rFonts w:hint="eastAsia"/>
        </w:rPr>
      </w:pPr>
      <w:r>
        <w:rPr>
          <w:rFonts w:eastAsia="KaiTi_GB2312" w:hint="eastAsia"/>
        </w:rPr>
        <w:t>家庭暴力施行者中，男子为</w:t>
      </w:r>
      <w:r>
        <w:rPr>
          <w:rFonts w:eastAsia="KaiTi_GB2312" w:hint="eastAsia"/>
        </w:rPr>
        <w:t>83%</w:t>
      </w:r>
      <w:r>
        <w:rPr>
          <w:rFonts w:eastAsia="KaiTi_GB2312" w:hint="eastAsia"/>
        </w:rPr>
        <w:t>（占所有犯罪的一小部分）</w:t>
      </w:r>
      <w:r>
        <w:rPr>
          <w:rFonts w:hint="eastAsia"/>
        </w:rPr>
        <w:t>。妇女很少施行这种犯罪行为，但是几乎在所有的类别中，妇女所犯的罪行都发生于家庭之中。在家庭内部，大多数暴力行为——占家庭内犯罪的</w:t>
      </w:r>
      <w:r>
        <w:rPr>
          <w:rFonts w:hint="eastAsia"/>
        </w:rPr>
        <w:t>43%</w:t>
      </w:r>
      <w:r>
        <w:rPr>
          <w:rFonts w:hint="eastAsia"/>
        </w:rPr>
        <w:t>——是针对实际伴侣或以前的伴侣。不幸的是，父母对孩子施行这种犯罪的比例很大（</w:t>
      </w:r>
      <w:r>
        <w:rPr>
          <w:rFonts w:hint="eastAsia"/>
        </w:rPr>
        <w:t>21%</w:t>
      </w:r>
      <w:r>
        <w:rPr>
          <w:rFonts w:hint="eastAsia"/>
        </w:rPr>
        <w:t>），并且处于上升之势。在家庭中，一些男子的生命会受到最为严重的犯罪伤害。受此伤害的人中，三分之二（</w:t>
      </w:r>
      <w:r>
        <w:rPr>
          <w:rFonts w:hint="eastAsia"/>
        </w:rPr>
        <w:t>63%</w:t>
      </w:r>
      <w:r>
        <w:rPr>
          <w:rFonts w:hint="eastAsia"/>
        </w:rPr>
        <w:t>）是男子，三分之一是妇女。</w:t>
      </w:r>
    </w:p>
    <w:p w:rsidR="00CE1FDA" w:rsidRDefault="00CE1FDA" w:rsidP="00AC01AA">
      <w:pPr>
        <w:spacing w:after="240" w:line="340" w:lineRule="exact"/>
        <w:ind w:firstLineChars="200" w:firstLine="31680"/>
        <w:rPr>
          <w:rFonts w:hint="eastAsia"/>
        </w:rPr>
      </w:pPr>
      <w:r>
        <w:rPr>
          <w:rFonts w:hint="eastAsia"/>
        </w:rPr>
        <w:t>调查表明，当局所了解的大多数家庭暴力案件发生前，都有过长时间的冲突。情节恶劣的伤害罪占犯罪的比例最大，</w:t>
      </w:r>
      <w:r>
        <w:rPr>
          <w:rFonts w:hint="eastAsia"/>
        </w:rPr>
        <w:t>83%</w:t>
      </w:r>
      <w:r>
        <w:rPr>
          <w:rFonts w:hint="eastAsia"/>
        </w:rPr>
        <w:t>的罪行为男子所犯，</w:t>
      </w:r>
      <w:r>
        <w:rPr>
          <w:rFonts w:hint="eastAsia"/>
        </w:rPr>
        <w:t>60%</w:t>
      </w:r>
      <w:r>
        <w:rPr>
          <w:rFonts w:hint="eastAsia"/>
        </w:rPr>
        <w:t>的受害者是妇女（表</w:t>
      </w:r>
      <w:r>
        <w:rPr>
          <w:rFonts w:hint="eastAsia"/>
        </w:rPr>
        <w:t>16.1</w:t>
      </w:r>
      <w:r>
        <w:rPr>
          <w:rFonts w:hint="eastAsia"/>
        </w:rPr>
        <w:t>）。</w:t>
      </w:r>
    </w:p>
    <w:p w:rsidR="00CE1FDA" w:rsidRDefault="00CE1FDA" w:rsidP="00AC01AA">
      <w:pPr>
        <w:spacing w:after="240" w:line="340" w:lineRule="exact"/>
        <w:ind w:firstLineChars="200" w:firstLine="31680"/>
        <w:rPr>
          <w:rFonts w:hint="eastAsia"/>
        </w:rPr>
      </w:pPr>
      <w:r>
        <w:rPr>
          <w:rFonts w:hint="eastAsia"/>
        </w:rPr>
        <w:t>关于针对妇女的暴力行为，已经发现，家庭暴力最经常针对的是伴侣（大多数是妇女）。所调查的</w:t>
      </w:r>
      <w:r>
        <w:rPr>
          <w:rFonts w:hint="eastAsia"/>
        </w:rPr>
        <w:t>1 500</w:t>
      </w:r>
      <w:r>
        <w:rPr>
          <w:rFonts w:hint="eastAsia"/>
        </w:rPr>
        <w:t>个案例中，暴力行为受害者只有妇女或妇女和儿童的案例占</w:t>
      </w:r>
      <w:r>
        <w:rPr>
          <w:rFonts w:hint="eastAsia"/>
        </w:rPr>
        <w:t>40%</w:t>
      </w:r>
      <w:r>
        <w:rPr>
          <w:rFonts w:hint="eastAsia"/>
        </w:rPr>
        <w:t>（</w:t>
      </w:r>
      <w:r>
        <w:rPr>
          <w:rFonts w:hint="eastAsia"/>
        </w:rPr>
        <w:t>600</w:t>
      </w:r>
      <w:r>
        <w:rPr>
          <w:rFonts w:hint="eastAsia"/>
        </w:rPr>
        <w:t>例）。大多数此类案件是情节恶劣的伤害罪。针对妇女的家庭暴力实施者总是男子。典型的行为人是</w:t>
      </w:r>
      <w:r>
        <w:rPr>
          <w:rFonts w:hint="eastAsia"/>
        </w:rPr>
        <w:t>36-45</w:t>
      </w:r>
      <w:r>
        <w:rPr>
          <w:rFonts w:hint="eastAsia"/>
        </w:rPr>
        <w:t>岁的男子，已婚或与生活伴侣生活在一起，抚养着未成年的孩子，资历低（没有完成小学以上或职业教育），社会经济地位低下。</w:t>
      </w:r>
    </w:p>
    <w:p w:rsidR="00CE1FDA" w:rsidRDefault="00CE1FDA" w:rsidP="00AC01AA">
      <w:pPr>
        <w:spacing w:after="240" w:line="340" w:lineRule="exact"/>
        <w:ind w:firstLineChars="200" w:firstLine="31680"/>
        <w:rPr>
          <w:rFonts w:hint="eastAsia"/>
        </w:rPr>
      </w:pPr>
      <w:r>
        <w:rPr>
          <w:rFonts w:hint="eastAsia"/>
        </w:rPr>
        <w:t>在所审查的案件中，妇女遭到粗野的殴打，对孤立的和有依赖性的受害者进行羞辱。在很多情况下，法院——根据附在判决书后面的理由——在审理案件之前不会主动探讨发生冲突和当事双方之间殴打的准确理由（表</w:t>
      </w:r>
      <w:r>
        <w:rPr>
          <w:rFonts w:hint="eastAsia"/>
        </w:rPr>
        <w:t>16.2</w:t>
      </w:r>
      <w:r>
        <w:rPr>
          <w:rFonts w:hint="eastAsia"/>
        </w:rPr>
        <w:t>）。</w:t>
      </w:r>
    </w:p>
    <w:p w:rsidR="00CE1FDA" w:rsidRDefault="00CE1FDA" w:rsidP="00AC01AA">
      <w:pPr>
        <w:spacing w:after="240" w:line="360" w:lineRule="exact"/>
        <w:ind w:firstLineChars="200" w:firstLine="31680"/>
        <w:rPr>
          <w:rFonts w:hint="eastAsia"/>
        </w:rPr>
      </w:pPr>
      <w:r>
        <w:rPr>
          <w:rFonts w:hint="eastAsia"/>
        </w:rPr>
        <w:t>国家行动计划与针对家庭暴力采取的行动</w:t>
      </w:r>
    </w:p>
    <w:p w:rsidR="00CE1FDA" w:rsidRDefault="00CE1FDA" w:rsidP="00AC01AA">
      <w:pPr>
        <w:spacing w:after="240" w:line="360" w:lineRule="exact"/>
        <w:ind w:firstLineChars="200" w:firstLine="31680"/>
        <w:rPr>
          <w:rFonts w:hint="eastAsia"/>
        </w:rPr>
      </w:pPr>
      <w:r>
        <w:rPr>
          <w:rFonts w:ascii="KaiTi_GB2312" w:eastAsia="KaiTi_GB2312" w:hint="eastAsia"/>
          <w:color w:val="0000FF"/>
        </w:rPr>
        <w:t>旨在预防家庭暴力及其有效解决的第45/2003（IV 16）号议会决议</w:t>
      </w:r>
      <w:r>
        <w:rPr>
          <w:rFonts w:hint="eastAsia"/>
        </w:rPr>
        <w:t>对所有形式的暴力，包括辱骂，进行了谴责。该决议把保护所有人的人权作为第一要义，并宣称家庭暴力不是私人的事情。该决议要求制定一项全国战略，来制止家庭暴力，通过政府和民间组织的一致行动，要求各社会机构在预防、帮助受害者和教育领域采取行动。</w:t>
      </w:r>
    </w:p>
    <w:p w:rsidR="00CE1FDA" w:rsidRDefault="00CE1FDA">
      <w:pPr>
        <w:spacing w:after="240" w:line="360" w:lineRule="exact"/>
        <w:rPr>
          <w:rFonts w:ascii="SimHei" w:eastAsia="SimHei" w:hint="eastAsia"/>
          <w:color w:val="FF0000"/>
        </w:rPr>
      </w:pPr>
      <w:r>
        <w:rPr>
          <w:rFonts w:ascii="SimHei" w:eastAsia="SimHei" w:hint="eastAsia"/>
          <w:color w:val="FF0000"/>
        </w:rPr>
        <w:t>2.</w:t>
      </w:r>
      <w:r>
        <w:rPr>
          <w:rFonts w:ascii="SimHei" w:eastAsia="SimHei"/>
          <w:color w:val="FF0000"/>
        </w:rPr>
        <w:t xml:space="preserve"> </w:t>
      </w:r>
      <w:r>
        <w:rPr>
          <w:rFonts w:ascii="SimHei" w:eastAsia="SimHei" w:hint="eastAsia"/>
          <w:color w:val="FF0000"/>
        </w:rPr>
        <w:t xml:space="preserve"> 2001-2005年的立法</w:t>
      </w:r>
    </w:p>
    <w:p w:rsidR="00CE1FDA" w:rsidRDefault="00CE1FDA" w:rsidP="00AC01AA">
      <w:pPr>
        <w:spacing w:after="240" w:line="360" w:lineRule="exact"/>
        <w:ind w:firstLineChars="200" w:firstLine="31680"/>
        <w:rPr>
          <w:rFonts w:hint="eastAsia"/>
        </w:rPr>
      </w:pPr>
      <w:r>
        <w:rPr>
          <w:rFonts w:hint="eastAsia"/>
        </w:rPr>
        <w:t>自</w:t>
      </w:r>
      <w:r>
        <w:rPr>
          <w:rFonts w:hint="eastAsia"/>
        </w:rPr>
        <w:t>2002</w:t>
      </w:r>
      <w:r>
        <w:rPr>
          <w:rFonts w:hint="eastAsia"/>
        </w:rPr>
        <w:t>年以来，颁布了若干立法，涉及家庭暴力、受害者保护和负责法律适用和实施的机构应采取的行动。经过一个漫长的立法过程之后，决定在匈牙利不把家庭暴力行为定为一种特定的罪行。</w:t>
      </w:r>
      <w:r>
        <w:rPr>
          <w:rStyle w:val="FootnoteReference"/>
          <w:sz w:val="24"/>
        </w:rPr>
        <w:footnoteReference w:customMarkFollows="1" w:id="21"/>
        <w:t>21</w:t>
      </w:r>
    </w:p>
    <w:p w:rsidR="00CE1FDA" w:rsidRDefault="00CE1FDA" w:rsidP="00AC01AA">
      <w:pPr>
        <w:spacing w:after="240" w:line="360" w:lineRule="exact"/>
        <w:ind w:firstLineChars="200" w:firstLine="31680"/>
        <w:rPr>
          <w:rFonts w:hint="eastAsia"/>
          <w:spacing w:val="-4"/>
        </w:rPr>
      </w:pPr>
      <w:r>
        <w:rPr>
          <w:rFonts w:hint="eastAsia"/>
          <w:spacing w:val="-4"/>
        </w:rPr>
        <w:t>内政部第</w:t>
      </w:r>
      <w:r>
        <w:rPr>
          <w:rFonts w:hint="eastAsia"/>
          <w:spacing w:val="-4"/>
        </w:rPr>
        <w:t>34/2002</w:t>
      </w:r>
      <w:r>
        <w:rPr>
          <w:rFonts w:hint="eastAsia"/>
          <w:spacing w:val="-4"/>
        </w:rPr>
        <w:t>号指令规定了一些任务，要求采取更加有效的措施，保护家庭暴力受害者。国家警察局长发布了第</w:t>
      </w:r>
      <w:r>
        <w:rPr>
          <w:rFonts w:hint="eastAsia"/>
          <w:spacing w:val="-4"/>
        </w:rPr>
        <w:t>13/2003</w:t>
      </w:r>
      <w:r>
        <w:rPr>
          <w:rFonts w:hint="eastAsia"/>
          <w:spacing w:val="-4"/>
        </w:rPr>
        <w:t>号指令，要求警察执行处理家庭暴力和保护未成年人的任务。</w:t>
      </w:r>
      <w:r>
        <w:rPr>
          <w:rStyle w:val="FootnoteReference"/>
          <w:spacing w:val="-4"/>
        </w:rPr>
        <w:footnoteReference w:customMarkFollows="1" w:id="22"/>
        <w:t>22</w:t>
      </w:r>
      <w:r>
        <w:rPr>
          <w:rFonts w:hint="eastAsia"/>
          <w:spacing w:val="-4"/>
        </w:rPr>
        <w:t>发布了方法指南，组织了培训，在警察组织内部制定了内部法规，以保证受害者和受伤者的安全，并确保有效参与儿童保护信令系统。</w:t>
      </w:r>
      <w:r>
        <w:rPr>
          <w:rStyle w:val="FootnoteReference"/>
          <w:spacing w:val="-4"/>
        </w:rPr>
        <w:footnoteReference w:customMarkFollows="1" w:id="23"/>
        <w:t>23</w:t>
      </w:r>
    </w:p>
    <w:p w:rsidR="00CE1FDA" w:rsidRDefault="00CE1FDA" w:rsidP="00AC01AA">
      <w:pPr>
        <w:spacing w:after="240" w:line="360" w:lineRule="exact"/>
        <w:ind w:firstLineChars="200" w:firstLine="31680"/>
        <w:rPr>
          <w:rFonts w:hint="eastAsia"/>
        </w:rPr>
      </w:pPr>
      <w:r>
        <w:rPr>
          <w:rFonts w:hint="eastAsia"/>
        </w:rPr>
        <w:t>家庭暴力受到政治上的重视，同时媒体对各种民间倡议做了报道，而且开展了广泛的社会讨论。两名议员提交了一项动议，根据这项动议，通过了《关于制定预防和有效处理家庭暴力国家战略的议会决议》（第</w:t>
      </w:r>
      <w:r>
        <w:rPr>
          <w:rFonts w:hint="eastAsia"/>
        </w:rPr>
        <w:t>45/2003</w:t>
      </w:r>
      <w:r>
        <w:rPr>
          <w:rFonts w:hint="eastAsia"/>
        </w:rPr>
        <w:t>号</w:t>
      </w:r>
      <w:r>
        <w:rPr>
          <w:rFonts w:hint="eastAsia"/>
        </w:rPr>
        <w:t>IV.16</w:t>
      </w:r>
      <w:r>
        <w:rPr>
          <w:rFonts w:hint="eastAsia"/>
        </w:rPr>
        <w:t>）。在这方面，国家战略对警察机构和其他调查当局提出了如下要求：</w:t>
      </w:r>
    </w:p>
    <w:p w:rsidR="00CE1FDA" w:rsidRDefault="00CE1FDA" w:rsidP="00AC01AA">
      <w:pPr>
        <w:spacing w:after="240" w:line="360" w:lineRule="exact"/>
        <w:ind w:firstLineChars="200" w:firstLine="31680"/>
        <w:rPr>
          <w:rFonts w:hint="eastAsia"/>
        </w:rPr>
      </w:pPr>
      <w:r>
        <w:rPr>
          <w:rFonts w:hint="eastAsia"/>
        </w:rPr>
        <w:sym w:font="Wingdings 2" w:char="F097"/>
      </w:r>
      <w:r>
        <w:t xml:space="preserve">  </w:t>
      </w:r>
      <w:r>
        <w:rPr>
          <w:rFonts w:hint="eastAsia"/>
        </w:rPr>
        <w:t>对求救做出快速反应</w:t>
      </w:r>
    </w:p>
    <w:p w:rsidR="00CE1FDA" w:rsidRDefault="00CE1FDA" w:rsidP="00AC01AA">
      <w:pPr>
        <w:spacing w:after="240" w:line="360" w:lineRule="exact"/>
        <w:ind w:firstLineChars="200" w:firstLine="31680"/>
        <w:rPr>
          <w:rFonts w:hint="eastAsia"/>
        </w:rPr>
      </w:pPr>
      <w:r>
        <w:rPr>
          <w:rFonts w:hint="eastAsia"/>
        </w:rPr>
        <w:sym w:font="Wingdings 2" w:char="F097"/>
      </w:r>
      <w:r>
        <w:t xml:space="preserve">  </w:t>
      </w:r>
      <w:r>
        <w:rPr>
          <w:rFonts w:hint="eastAsia"/>
        </w:rPr>
        <w:t>迅速向有关机构汇报因儿童受到威胁而进行的调查</w:t>
      </w:r>
    </w:p>
    <w:p w:rsidR="00CE1FDA" w:rsidRDefault="00CE1FDA" w:rsidP="00AC01AA">
      <w:pPr>
        <w:spacing w:after="240" w:line="340" w:lineRule="exact"/>
        <w:ind w:firstLineChars="200" w:firstLine="31680"/>
        <w:rPr>
          <w:rFonts w:hint="eastAsia"/>
        </w:rPr>
      </w:pPr>
      <w:r>
        <w:rPr>
          <w:rFonts w:hint="eastAsia"/>
        </w:rPr>
        <w:t>预防家庭暴力在第</w:t>
      </w:r>
      <w:r>
        <w:rPr>
          <w:rFonts w:hint="eastAsia"/>
        </w:rPr>
        <w:t>115/2003</w:t>
      </w:r>
      <w:r>
        <w:rPr>
          <w:rFonts w:hint="eastAsia"/>
        </w:rPr>
        <w:t>号议会决议中也被确定为优先事项。</w:t>
      </w:r>
      <w:r>
        <w:rPr>
          <w:rStyle w:val="FootnoteReference"/>
          <w:sz w:val="24"/>
        </w:rPr>
        <w:footnoteReference w:customMarkFollows="1" w:id="24"/>
        <w:t>24</w:t>
      </w:r>
      <w:r>
        <w:rPr>
          <w:rFonts w:hint="eastAsia"/>
        </w:rPr>
        <w:t>这之所以需要提及，是因为从犯罪学层面转换该问题已改变了公共言论：大多数民间组织都站在女权主义立场，认为家庭暴力建立在社会和家庭权力，即性别等级制的基础之上。</w:t>
      </w:r>
    </w:p>
    <w:p w:rsidR="00CE1FDA" w:rsidRDefault="00CE1FDA" w:rsidP="00AC01AA">
      <w:pPr>
        <w:spacing w:after="240" w:line="340" w:lineRule="exact"/>
        <w:ind w:firstLineChars="200" w:firstLine="31680"/>
        <w:rPr>
          <w:rFonts w:hint="eastAsia"/>
        </w:rPr>
      </w:pPr>
      <w:r>
        <w:rPr>
          <w:rFonts w:hint="eastAsia"/>
        </w:rPr>
        <w:t xml:space="preserve"> </w:t>
      </w:r>
      <w:r>
        <w:rPr>
          <w:rFonts w:hint="eastAsia"/>
        </w:rPr>
        <w:t>保护受害人的另一项积极措施，是通过了《关于援助犯罪受害人和减轻伤害程度的</w:t>
      </w:r>
      <w:r>
        <w:t>2005</w:t>
      </w:r>
      <w:r>
        <w:rPr>
          <w:rFonts w:hint="eastAsia"/>
        </w:rPr>
        <w:t>年第</w:t>
      </w:r>
      <w:r>
        <w:t>CXXXV</w:t>
      </w:r>
      <w:r>
        <w:rPr>
          <w:rFonts w:hint="eastAsia"/>
        </w:rPr>
        <w:t>号法案》，以便根据社会团结和公正的原则，减少犯罪受害者所遭受的社会、道德和经济损失，这方面的损失有可能降低他们的生活质量。为此，任何直接受到犯罪伤害，尤其是身体或精神伤害的自然人，有权享有经济救助和专门的法律援助。</w:t>
      </w:r>
      <w:r>
        <w:rPr>
          <w:rStyle w:val="FootnoteReference"/>
          <w:sz w:val="24"/>
        </w:rPr>
        <w:footnoteReference w:customMarkFollows="1" w:id="25"/>
        <w:t>25</w:t>
      </w:r>
    </w:p>
    <w:p w:rsidR="00CE1FDA" w:rsidRDefault="00CE1FDA" w:rsidP="00AC01AA">
      <w:pPr>
        <w:spacing w:after="240" w:line="340" w:lineRule="exact"/>
        <w:ind w:firstLineChars="200" w:firstLine="31680"/>
        <w:rPr>
          <w:rFonts w:hint="eastAsia"/>
        </w:rPr>
      </w:pPr>
      <w:r>
        <w:rPr>
          <w:rFonts w:hint="eastAsia"/>
        </w:rPr>
        <w:t>《关于刑法典的</w:t>
      </w:r>
      <w:r>
        <w:t>1978</w:t>
      </w:r>
      <w:r>
        <w:rPr>
          <w:rFonts w:hint="eastAsia"/>
        </w:rPr>
        <w:t>年第</w:t>
      </w:r>
      <w:r>
        <w:t>IV</w:t>
      </w:r>
      <w:r>
        <w:rPr>
          <w:rFonts w:hint="eastAsia"/>
        </w:rPr>
        <w:t>号法案》经</w:t>
      </w:r>
      <w:r>
        <w:t>2005</w:t>
      </w:r>
      <w:r>
        <w:rPr>
          <w:rFonts w:hint="eastAsia"/>
        </w:rPr>
        <w:t>年第</w:t>
      </w:r>
      <w:r>
        <w:t>CXI</w:t>
      </w:r>
      <w:r>
        <w:rPr>
          <w:rFonts w:hint="eastAsia"/>
        </w:rPr>
        <w:t>号法案修改，于</w:t>
      </w:r>
      <w:r>
        <w:t>2005</w:t>
      </w:r>
      <w:r>
        <w:rPr>
          <w:rFonts w:hint="eastAsia"/>
        </w:rPr>
        <w:t>年</w:t>
      </w:r>
      <w:r>
        <w:t>9</w:t>
      </w:r>
      <w:r>
        <w:rPr>
          <w:rFonts w:hint="eastAsia"/>
        </w:rPr>
        <w:t>月</w:t>
      </w:r>
      <w:r>
        <w:t>1</w:t>
      </w:r>
      <w:r>
        <w:rPr>
          <w:rFonts w:hint="eastAsia"/>
        </w:rPr>
        <w:t>日开始生效，在缓刑监视人员实行监督的框架内，将禁止令规定为一种行为规范。根据《刑法典》第</w:t>
      </w:r>
      <w:r>
        <w:t>82</w:t>
      </w:r>
      <w:r>
        <w:rPr>
          <w:rFonts w:hint="eastAsia"/>
        </w:rPr>
        <w:t>（</w:t>
      </w:r>
      <w:r>
        <w:t>5</w:t>
      </w:r>
      <w:r>
        <w:rPr>
          <w:rFonts w:hint="eastAsia"/>
        </w:rPr>
        <w:t>）（</w:t>
      </w:r>
      <w:r>
        <w:t>b</w:t>
      </w:r>
      <w:r>
        <w:rPr>
          <w:rFonts w:hint="eastAsia"/>
        </w:rPr>
        <w:t>）条，法院——如果在试用期推迟制裁的执行，或是暂停刑期或罚款，或是将服刑人员释放假释，或是检举人推迟起诉某个人，法院可以命令受缓刑监视人员监督的人远离犯罪受害者、他们的住宅、工作场所或教育机构。</w:t>
      </w:r>
    </w:p>
    <w:p w:rsidR="00CE1FDA" w:rsidRDefault="00CE1FDA" w:rsidP="00AC01AA">
      <w:pPr>
        <w:spacing w:after="240" w:line="340" w:lineRule="exact"/>
        <w:ind w:firstLineChars="200" w:firstLine="31680"/>
        <w:rPr>
          <w:rFonts w:hint="eastAsia"/>
        </w:rPr>
      </w:pPr>
      <w:r>
        <w:t>2005</w:t>
      </w:r>
      <w:r>
        <w:rPr>
          <w:rFonts w:hint="eastAsia"/>
        </w:rPr>
        <w:t>年</w:t>
      </w:r>
      <w:r>
        <w:t>11</w:t>
      </w:r>
      <w:r>
        <w:rPr>
          <w:rFonts w:hint="eastAsia"/>
        </w:rPr>
        <w:t>月，议会通过了《修改关于民事诉讼的</w:t>
      </w:r>
      <w:r>
        <w:t>19532</w:t>
      </w:r>
      <w:r>
        <w:rPr>
          <w:rFonts w:hint="eastAsia"/>
        </w:rPr>
        <w:t>第</w:t>
      </w:r>
      <w:r>
        <w:t>III</w:t>
      </w:r>
      <w:r>
        <w:rPr>
          <w:rFonts w:hint="eastAsia"/>
        </w:rPr>
        <w:t>号法案的</w:t>
      </w:r>
      <w:r>
        <w:t>2005</w:t>
      </w:r>
      <w:r>
        <w:rPr>
          <w:rFonts w:hint="eastAsia"/>
        </w:rPr>
        <w:t>年第</w:t>
      </w:r>
      <w:r>
        <w:t>CXXX</w:t>
      </w:r>
      <w:r>
        <w:rPr>
          <w:rFonts w:hint="eastAsia"/>
        </w:rPr>
        <w:t>号法案》，其规定于</w:t>
      </w:r>
      <w:r>
        <w:t>2006</w:t>
      </w:r>
      <w:r>
        <w:rPr>
          <w:rFonts w:hint="eastAsia"/>
        </w:rPr>
        <w:t>年</w:t>
      </w:r>
      <w:r>
        <w:t>1</w:t>
      </w:r>
      <w:r>
        <w:rPr>
          <w:rFonts w:hint="eastAsia"/>
        </w:rPr>
        <w:t>月</w:t>
      </w:r>
      <w:r>
        <w:t>1</w:t>
      </w:r>
      <w:r>
        <w:rPr>
          <w:rFonts w:hint="eastAsia"/>
        </w:rPr>
        <w:t>日开始生效。根据该法案，关于民事诉讼的法案第</w:t>
      </w:r>
      <w:r>
        <w:t>287</w:t>
      </w:r>
      <w:r>
        <w:rPr>
          <w:rFonts w:hint="eastAsia"/>
        </w:rPr>
        <w:t>条规定，法院也可以对配偶住宅的使用做出临时决定，从而扩大了可适用于婚姻诉讼的临时措施的范围，该条款可成为减少家庭暴力的一种手段。法院的做法确定了住宅主观不可分割性概念的内容。据此，鉴于早些时候的家庭暴力行为，配偶一方对住宅的使用会严重危害配偶另一方或未成年子女的利益，因此，不能再继续同居。法院必须限制施暴配偶对住宅的使用，并将此因素考虑在内，以减少不幸的情况发生。</w:t>
      </w:r>
    </w:p>
    <w:p w:rsidR="00CE1FDA" w:rsidRDefault="00CE1FDA" w:rsidP="00AC01AA">
      <w:pPr>
        <w:spacing w:after="240" w:line="340" w:lineRule="exact"/>
        <w:ind w:firstLineChars="200" w:firstLine="31680"/>
        <w:rPr>
          <w:rFonts w:hint="eastAsia"/>
        </w:rPr>
      </w:pPr>
      <w:r>
        <w:t>200</w:t>
      </w:r>
      <w:r>
        <w:rPr>
          <w:rFonts w:hint="eastAsia"/>
        </w:rPr>
        <w:t>6</w:t>
      </w:r>
      <w:r>
        <w:rPr>
          <w:rFonts w:hint="eastAsia"/>
        </w:rPr>
        <w:t>年</w:t>
      </w:r>
      <w:r>
        <w:t>2</w:t>
      </w:r>
      <w:r>
        <w:rPr>
          <w:rFonts w:hint="eastAsia"/>
        </w:rPr>
        <w:t>月</w:t>
      </w:r>
      <w:r>
        <w:t>14</w:t>
      </w:r>
      <w:r>
        <w:rPr>
          <w:rFonts w:hint="eastAsia"/>
        </w:rPr>
        <w:t>日，议会通过了《关于刑事诉讼的</w:t>
      </w:r>
      <w:r>
        <w:t>1998</w:t>
      </w:r>
      <w:r>
        <w:rPr>
          <w:rFonts w:hint="eastAsia"/>
        </w:rPr>
        <w:t>年第</w:t>
      </w:r>
      <w:r>
        <w:t>XIX</w:t>
      </w:r>
      <w:r>
        <w:rPr>
          <w:rFonts w:hint="eastAsia"/>
        </w:rPr>
        <w:t>号法案》修正案。根据该修正案，如果有充分理由怀疑某人犯有罪行，可判处徒刑，参与调查的法官可以责令嫌疑人在</w:t>
      </w:r>
      <w:r>
        <w:t>10-30</w:t>
      </w:r>
      <w:r>
        <w:rPr>
          <w:rFonts w:hint="eastAsia"/>
        </w:rPr>
        <w:t>天内远离合用住宅和受害者常去的机构和地方。禁止令也严禁会面和通过电话或其他电子媒体交流。违反该条例将受到拘禁或罚款。</w:t>
      </w:r>
      <w:r>
        <w:rPr>
          <w:rStyle w:val="FootnoteReference"/>
          <w:sz w:val="24"/>
        </w:rPr>
        <w:footnoteReference w:customMarkFollows="1" w:id="26"/>
        <w:t>26</w:t>
      </w:r>
      <w:r>
        <w:rPr>
          <w:rFonts w:hint="eastAsia"/>
        </w:rPr>
        <w:t>禁止令的最大好处在于，它规定了快速程序，即可以就家庭暴力问题做出最终决定，这与要用</w:t>
      </w:r>
      <w:r>
        <w:t>6-12</w:t>
      </w:r>
      <w:r>
        <w:rPr>
          <w:rFonts w:hint="eastAsia"/>
        </w:rPr>
        <w:t>个月完成的程序有所不同。</w:t>
      </w:r>
    </w:p>
    <w:p w:rsidR="00CE1FDA" w:rsidRDefault="00CE1FDA">
      <w:pPr>
        <w:spacing w:after="240" w:line="340" w:lineRule="exact"/>
        <w:rPr>
          <w:rFonts w:ascii="SimHei" w:eastAsia="SimHei" w:hint="eastAsia"/>
          <w:color w:val="FF0000"/>
        </w:rPr>
      </w:pPr>
      <w:r>
        <w:rPr>
          <w:rFonts w:ascii="SimHei" w:eastAsia="SimHei" w:hint="eastAsia"/>
          <w:color w:val="FF0000"/>
        </w:rPr>
        <w:t>3.</w:t>
      </w:r>
      <w:r>
        <w:rPr>
          <w:rFonts w:ascii="SimHei" w:eastAsia="SimHei"/>
          <w:color w:val="FF0000"/>
        </w:rPr>
        <w:t xml:space="preserve"> </w:t>
      </w:r>
      <w:r>
        <w:rPr>
          <w:rFonts w:ascii="SimHei" w:eastAsia="SimHei" w:hint="eastAsia"/>
          <w:color w:val="FF0000"/>
        </w:rPr>
        <w:t xml:space="preserve"> 政治措施</w:t>
      </w:r>
    </w:p>
    <w:p w:rsidR="00CE1FDA" w:rsidRDefault="00CE1FDA" w:rsidP="00AC01AA">
      <w:pPr>
        <w:spacing w:after="240" w:line="340" w:lineRule="exact"/>
        <w:ind w:firstLineChars="200" w:firstLine="31680"/>
        <w:rPr>
          <w:rFonts w:hint="eastAsia"/>
        </w:rPr>
      </w:pPr>
      <w:r>
        <w:rPr>
          <w:rFonts w:hint="eastAsia"/>
        </w:rPr>
        <w:t>为了按一些法律（警察法、儿童保护法等）的规定促进部门间更有效的合作，内政部及青年、家庭、社会事务和机会平等部做出了努力。此外，其他负责制度监督的各部和协助制止此类暴力的机构也开展了各种运动。</w:t>
      </w:r>
      <w:r>
        <w:rPr>
          <w:rFonts w:hint="eastAsia"/>
        </w:rPr>
        <w:t>2003</w:t>
      </w:r>
      <w:r>
        <w:rPr>
          <w:rFonts w:hint="eastAsia"/>
        </w:rPr>
        <w:t>年</w:t>
      </w:r>
      <w:r>
        <w:rPr>
          <w:rFonts w:hint="eastAsia"/>
        </w:rPr>
        <w:t>12</w:t>
      </w:r>
      <w:r>
        <w:rPr>
          <w:rFonts w:hint="eastAsia"/>
        </w:rPr>
        <w:t>月，司法部对公众进行了宣传，随后，</w:t>
      </w:r>
      <w:r>
        <w:rPr>
          <w:rFonts w:hint="eastAsia"/>
        </w:rPr>
        <w:t>2004</w:t>
      </w:r>
      <w:r>
        <w:rPr>
          <w:rFonts w:hint="eastAsia"/>
        </w:rPr>
        <w:t>年</w:t>
      </w:r>
      <w:r>
        <w:rPr>
          <w:rFonts w:hint="eastAsia"/>
        </w:rPr>
        <w:t>4</w:t>
      </w:r>
      <w:r>
        <w:rPr>
          <w:rFonts w:hint="eastAsia"/>
        </w:rPr>
        <w:t>月，青年、家庭、社会事务和机会平等部效而仿之，将人们的注意力吸引到家庭暴力问题上。几乎在同时，内政部与政府机会平等办公室合作，组织了一次运动。该运动的主要目的是引起犯罪受害者身边的人对犯罪行为的注意，并告知他们，必要时可以拨打求助热线，还可以求助于相关的民事组织、专用网页</w:t>
      </w:r>
      <w:r>
        <w:rPr>
          <w:rStyle w:val="FootnoteReference"/>
          <w:sz w:val="24"/>
        </w:rPr>
        <w:footnoteReference w:customMarkFollows="1" w:id="27"/>
        <w:t>27</w:t>
      </w:r>
      <w:r>
        <w:rPr>
          <w:rFonts w:hint="eastAsia"/>
        </w:rPr>
        <w:t>以及警察电话证人方案。所有运动和有关各部都努力促使人们注意该问题及其严重性。关于这些方案的有效性尚未进行调查。</w:t>
      </w:r>
    </w:p>
    <w:p w:rsidR="00CE1FDA" w:rsidRDefault="00CE1FDA" w:rsidP="00AC01AA">
      <w:pPr>
        <w:spacing w:after="240" w:line="340" w:lineRule="exact"/>
        <w:ind w:firstLineChars="200" w:firstLine="31680"/>
        <w:rPr>
          <w:rFonts w:hint="eastAsia"/>
        </w:rPr>
      </w:pPr>
      <w:r>
        <w:rPr>
          <w:rFonts w:hint="eastAsia"/>
        </w:rPr>
        <w:t>2004</w:t>
      </w:r>
      <w:r>
        <w:rPr>
          <w:rFonts w:hint="eastAsia"/>
        </w:rPr>
        <w:t>年春季，有关各部通过媒体组织了一次反对家庭暴力的运动。</w:t>
      </w:r>
    </w:p>
    <w:p w:rsidR="00CE1FDA" w:rsidRDefault="00CE1FDA" w:rsidP="00AC01AA">
      <w:pPr>
        <w:spacing w:after="240" w:line="340" w:lineRule="exact"/>
        <w:ind w:firstLineChars="200" w:firstLine="31680"/>
        <w:rPr>
          <w:rFonts w:hint="eastAsia"/>
        </w:rPr>
      </w:pPr>
      <w:r>
        <w:rPr>
          <w:rFonts w:hint="eastAsia"/>
        </w:rPr>
        <w:t>在开展公共宣传运动之前，</w:t>
      </w:r>
      <w:r>
        <w:rPr>
          <w:rFonts w:hint="eastAsia"/>
        </w:rPr>
        <w:t>2003</w:t>
      </w:r>
      <w:r>
        <w:rPr>
          <w:rFonts w:hint="eastAsia"/>
        </w:rPr>
        <w:t>年针对家庭暴力启动了一个为期一年的</w:t>
      </w:r>
      <w:r>
        <w:rPr>
          <w:rFonts w:hint="eastAsia"/>
        </w:rPr>
        <w:t>ESZTER</w:t>
      </w:r>
      <w:r>
        <w:rPr>
          <w:rFonts w:hint="eastAsia"/>
        </w:rPr>
        <w:t>综合方案。这是一个独一无二的方案，</w:t>
      </w:r>
      <w:r>
        <w:rPr>
          <w:rStyle w:val="FootnoteReference"/>
          <w:sz w:val="24"/>
        </w:rPr>
        <w:footnoteReference w:customMarkFollows="1" w:id="28"/>
        <w:t>28</w:t>
      </w:r>
      <w:r>
        <w:rPr>
          <w:rFonts w:hint="eastAsia"/>
        </w:rPr>
        <w:t>因为它不仅包含传统媒体宣传运动的内容，而且还通过培训专家、组织全国部门间会议和尝试与家庭暴力受害者建立联系，发起了第一个全面的提高社会认识运动。</w:t>
      </w:r>
      <w:r>
        <w:rPr>
          <w:rStyle w:val="FootnoteReference"/>
          <w:sz w:val="24"/>
        </w:rPr>
        <w:footnoteReference w:customMarkFollows="1" w:id="29"/>
        <w:t>29</w:t>
      </w:r>
    </w:p>
    <w:p w:rsidR="00CE1FDA" w:rsidRDefault="00CE1FDA" w:rsidP="00AC01AA">
      <w:pPr>
        <w:spacing w:after="240" w:line="340" w:lineRule="exact"/>
        <w:ind w:firstLineChars="200" w:firstLine="31680"/>
        <w:rPr>
          <w:rFonts w:hint="eastAsia"/>
        </w:rPr>
      </w:pPr>
      <w:r>
        <w:rPr>
          <w:rFonts w:hint="eastAsia"/>
        </w:rPr>
        <w:t>民间运动——通常带有激进的特点——对促进关于家庭暴力的社会辩论无疑具有重要意义。它们这种简单的、情感上可理解的交流和行动，使许多人进一步了解了家庭暴力问题，并表明在法律规章和实际惯例上不允许这种现状存在。一些组织直接参与了官员培训，并通过它们的出版物，努力提高人们对家庭暴力的认识。“沉默的证人”运动的主要组织者，即“女人为自身利益反对暴力”，定期对警察进行培训，使他们了解对妇女的家庭暴力的性质和可能的帮助形式。</w:t>
      </w:r>
      <w:r>
        <w:rPr>
          <w:rStyle w:val="FootnoteReference"/>
          <w:sz w:val="24"/>
        </w:rPr>
        <w:footnoteReference w:customMarkFollows="1" w:id="30"/>
        <w:t>30</w:t>
      </w:r>
    </w:p>
    <w:p w:rsidR="00CE1FDA" w:rsidRDefault="00CE1FDA" w:rsidP="00AC01AA">
      <w:pPr>
        <w:spacing w:after="240" w:line="340" w:lineRule="exact"/>
        <w:ind w:firstLineChars="200" w:firstLine="31680"/>
        <w:rPr>
          <w:rFonts w:hint="eastAsia"/>
        </w:rPr>
      </w:pPr>
      <w:r>
        <w:rPr>
          <w:rFonts w:hint="eastAsia"/>
        </w:rPr>
        <w:t>感受到社会压力的主要是警察，因为在负责法律适用和执行的组织中，警察在采取更加有效的行动防止家庭暴力方面起着主导作用。家庭暴力问题已列入匈牙利负责学校儿童的警察的培训方案。一般来说，警察一直积极参与各种强度的社会对话。</w:t>
      </w:r>
    </w:p>
    <w:p w:rsidR="00CE1FDA" w:rsidRDefault="00CE1FDA" w:rsidP="00AC01AA">
      <w:pPr>
        <w:spacing w:after="240" w:line="340" w:lineRule="exact"/>
        <w:ind w:firstLineChars="200" w:firstLine="31680"/>
        <w:rPr>
          <w:rFonts w:hint="eastAsia"/>
        </w:rPr>
      </w:pPr>
      <w:r>
        <w:rPr>
          <w:rFonts w:hint="eastAsia"/>
        </w:rPr>
        <w:t>所谓的</w:t>
      </w:r>
      <w:r>
        <w:rPr>
          <w:rFonts w:hint="eastAsia"/>
        </w:rPr>
        <w:t>Robot Cop 2000</w:t>
      </w:r>
      <w:r>
        <w:rPr>
          <w:rFonts w:hint="eastAsia"/>
        </w:rPr>
        <w:t>综合管理系统已能够通过电脑处理有关的措施规定，而且现在可以在</w:t>
      </w:r>
      <w:r>
        <w:rPr>
          <w:rFonts w:hint="eastAsia"/>
        </w:rPr>
        <w:t>Net Cop</w:t>
      </w:r>
      <w:r>
        <w:rPr>
          <w:rFonts w:hint="eastAsia"/>
        </w:rPr>
        <w:t>网上了解要调查的暴力案件（在绘制犯罪情况的图表时，可以采用“</w:t>
      </w:r>
      <w:r>
        <w:rPr>
          <w:rFonts w:hint="eastAsia"/>
        </w:rPr>
        <w:t>Net Cop</w:t>
      </w:r>
      <w:r>
        <w:rPr>
          <w:rFonts w:hint="eastAsia"/>
        </w:rPr>
        <w:t>”和“</w:t>
      </w:r>
      <w:r>
        <w:rPr>
          <w:rFonts w:hint="eastAsia"/>
        </w:rPr>
        <w:t>Robocop</w:t>
      </w:r>
      <w:r>
        <w:rPr>
          <w:rFonts w:hint="eastAsia"/>
        </w:rPr>
        <w:t>”数据库的数据）。根据以此获取的数据以及国家警察总部管制部</w:t>
      </w:r>
      <w:r>
        <w:rPr>
          <w:rFonts w:hint="eastAsia"/>
        </w:rPr>
        <w:t>2004</w:t>
      </w:r>
      <w:r>
        <w:rPr>
          <w:rFonts w:hint="eastAsia"/>
        </w:rPr>
        <w:t>年编写的报告，</w:t>
      </w:r>
      <w:r>
        <w:rPr>
          <w:rFonts w:hint="eastAsia"/>
        </w:rPr>
        <w:t>2004</w:t>
      </w:r>
      <w:r>
        <w:rPr>
          <w:rFonts w:hint="eastAsia"/>
        </w:rPr>
        <w:t>年，有关部门下令进行调查，以查明</w:t>
      </w:r>
      <w:r>
        <w:rPr>
          <w:rFonts w:hint="eastAsia"/>
        </w:rPr>
        <w:t>2 010</w:t>
      </w:r>
      <w:r>
        <w:rPr>
          <w:rFonts w:hint="eastAsia"/>
        </w:rPr>
        <w:t>起犯罪行为，根据国家警察总部措施第</w:t>
      </w:r>
      <w:r>
        <w:rPr>
          <w:rFonts w:hint="eastAsia"/>
        </w:rPr>
        <w:t>2</w:t>
      </w:r>
      <w:r>
        <w:rPr>
          <w:rFonts w:hint="eastAsia"/>
        </w:rPr>
        <w:t>部分这些犯罪行为属于家庭暴力。在国家警察总部进行的调查数量最多。在</w:t>
      </w:r>
      <w:r>
        <w:rPr>
          <w:rFonts w:hint="eastAsia"/>
        </w:rPr>
        <w:t>Pest</w:t>
      </w:r>
      <w:r>
        <w:rPr>
          <w:rFonts w:hint="eastAsia"/>
        </w:rPr>
        <w:t>县对</w:t>
      </w:r>
      <w:r>
        <w:rPr>
          <w:rFonts w:hint="eastAsia"/>
        </w:rPr>
        <w:t>212</w:t>
      </w:r>
      <w:r>
        <w:rPr>
          <w:rFonts w:hint="eastAsia"/>
        </w:rPr>
        <w:t>起案件提起诉讼，在</w:t>
      </w:r>
      <w:r>
        <w:rPr>
          <w:rFonts w:hint="eastAsia"/>
        </w:rPr>
        <w:t>Hajd</w:t>
      </w:r>
      <w:r>
        <w:t>ú</w:t>
      </w:r>
      <w:r>
        <w:rPr>
          <w:rFonts w:hint="eastAsia"/>
        </w:rPr>
        <w:t>县对</w:t>
      </w:r>
      <w:r>
        <w:rPr>
          <w:rFonts w:hint="eastAsia"/>
        </w:rPr>
        <w:t>184</w:t>
      </w:r>
      <w:r>
        <w:rPr>
          <w:rFonts w:hint="eastAsia"/>
        </w:rPr>
        <w:t>起案件提起诉讼。根据调查，</w:t>
      </w:r>
      <w:r>
        <w:rPr>
          <w:rFonts w:hint="eastAsia"/>
        </w:rPr>
        <w:t>Vas</w:t>
      </w:r>
      <w:r>
        <w:rPr>
          <w:rFonts w:hint="eastAsia"/>
        </w:rPr>
        <w:t>、</w:t>
      </w:r>
      <w:r>
        <w:rPr>
          <w:rFonts w:hint="eastAsia"/>
        </w:rPr>
        <w:t>Zala</w:t>
      </w:r>
      <w:r>
        <w:rPr>
          <w:rFonts w:hint="eastAsia"/>
        </w:rPr>
        <w:t>和</w:t>
      </w:r>
      <w:r>
        <w:rPr>
          <w:rFonts w:hint="eastAsia"/>
        </w:rPr>
        <w:t>Fej</w:t>
      </w:r>
      <w:r>
        <w:t>é</w:t>
      </w:r>
      <w:r>
        <w:rPr>
          <w:rFonts w:hint="eastAsia"/>
        </w:rPr>
        <w:t>r</w:t>
      </w:r>
      <w:r>
        <w:rPr>
          <w:rFonts w:hint="eastAsia"/>
        </w:rPr>
        <w:t>县发生的家庭暴力最少。共有</w:t>
      </w:r>
      <w:r>
        <w:rPr>
          <w:rFonts w:hint="eastAsia"/>
        </w:rPr>
        <w:t>455</w:t>
      </w:r>
      <w:r>
        <w:rPr>
          <w:rFonts w:hint="eastAsia"/>
        </w:rPr>
        <w:t>起刑事诉讼因提高诉讼费的提议而完结，</w:t>
      </w:r>
      <w:r>
        <w:rPr>
          <w:rFonts w:hint="eastAsia"/>
        </w:rPr>
        <w:t>Szolnok</w:t>
      </w:r>
      <w:r>
        <w:rPr>
          <w:rFonts w:hint="eastAsia"/>
        </w:rPr>
        <w:t>县</w:t>
      </w:r>
      <w:r>
        <w:rPr>
          <w:rFonts w:hint="eastAsia"/>
        </w:rPr>
        <w:t>66</w:t>
      </w:r>
      <w:r>
        <w:rPr>
          <w:rFonts w:hint="eastAsia"/>
        </w:rPr>
        <w:t>起，布达佩斯警察总部主管地区</w:t>
      </w:r>
      <w:r>
        <w:rPr>
          <w:rFonts w:hint="eastAsia"/>
        </w:rPr>
        <w:t>53</w:t>
      </w:r>
      <w:r>
        <w:rPr>
          <w:rFonts w:hint="eastAsia"/>
        </w:rPr>
        <w:t>起，</w:t>
      </w:r>
      <w:r>
        <w:rPr>
          <w:rFonts w:hint="eastAsia"/>
        </w:rPr>
        <w:t>Szabolcs</w:t>
      </w:r>
      <w:r>
        <w:rPr>
          <w:rFonts w:hint="eastAsia"/>
        </w:rPr>
        <w:t>县</w:t>
      </w:r>
      <w:r>
        <w:rPr>
          <w:rFonts w:hint="eastAsia"/>
        </w:rPr>
        <w:t>34</w:t>
      </w:r>
      <w:r>
        <w:rPr>
          <w:rFonts w:hint="eastAsia"/>
        </w:rPr>
        <w:t>起。该项调查在匈牙利最终以</w:t>
      </w:r>
      <w:r>
        <w:rPr>
          <w:rFonts w:hint="eastAsia"/>
        </w:rPr>
        <w:t>274</w:t>
      </w:r>
      <w:r>
        <w:rPr>
          <w:rFonts w:hint="eastAsia"/>
        </w:rPr>
        <w:t>起案件结束（布达佩斯和</w:t>
      </w:r>
      <w:r>
        <w:rPr>
          <w:rFonts w:hint="eastAsia"/>
        </w:rPr>
        <w:t>Pest</w:t>
      </w:r>
      <w:r>
        <w:rPr>
          <w:rFonts w:hint="eastAsia"/>
        </w:rPr>
        <w:t>县分别为</w:t>
      </w:r>
      <w:r>
        <w:rPr>
          <w:rFonts w:hint="eastAsia"/>
        </w:rPr>
        <w:t>32</w:t>
      </w:r>
      <w:r>
        <w:rPr>
          <w:rFonts w:hint="eastAsia"/>
        </w:rPr>
        <w:t>起和</w:t>
      </w:r>
      <w:r>
        <w:rPr>
          <w:rFonts w:hint="eastAsia"/>
        </w:rPr>
        <w:t>19</w:t>
      </w:r>
      <w:r>
        <w:rPr>
          <w:rFonts w:hint="eastAsia"/>
        </w:rPr>
        <w:t>起）。在划为家庭犯罪的罪行中，属于针对婚姻、家庭、青年和性道德的犯罪案件数量最大（</w:t>
      </w:r>
      <w:r>
        <w:rPr>
          <w:rFonts w:hint="eastAsia"/>
        </w:rPr>
        <w:t>935</w:t>
      </w:r>
      <w:r>
        <w:rPr>
          <w:rFonts w:hint="eastAsia"/>
        </w:rPr>
        <w:t>）。在警方接到报案的所有家庭暴力案件中，该类犯罪占</w:t>
      </w:r>
      <w:r>
        <w:rPr>
          <w:rFonts w:hint="eastAsia"/>
        </w:rPr>
        <w:t>47%</w:t>
      </w:r>
      <w:r>
        <w:rPr>
          <w:rFonts w:hint="eastAsia"/>
        </w:rPr>
        <w:t>。在所审查的一组案件中，针对生命、身体完整和健康的犯罪（</w:t>
      </w:r>
      <w:r>
        <w:rPr>
          <w:rFonts w:hint="eastAsia"/>
        </w:rPr>
        <w:t>669</w:t>
      </w:r>
      <w:r>
        <w:rPr>
          <w:rFonts w:hint="eastAsia"/>
        </w:rPr>
        <w:t>）占</w:t>
      </w:r>
      <w:r>
        <w:rPr>
          <w:rFonts w:hint="eastAsia"/>
        </w:rPr>
        <w:t>33%</w:t>
      </w:r>
      <w:r>
        <w:rPr>
          <w:rFonts w:hint="eastAsia"/>
        </w:rPr>
        <w:t>，针对公共法律和秩序以及针对财产的犯罪占</w:t>
      </w:r>
      <w:r>
        <w:rPr>
          <w:rFonts w:hint="eastAsia"/>
        </w:rPr>
        <w:t>14%</w:t>
      </w:r>
      <w:r>
        <w:rPr>
          <w:rFonts w:hint="eastAsia"/>
        </w:rPr>
        <w:t>和</w:t>
      </w:r>
      <w:r>
        <w:rPr>
          <w:rFonts w:hint="eastAsia"/>
        </w:rPr>
        <w:t>6%</w:t>
      </w:r>
      <w:r>
        <w:rPr>
          <w:rFonts w:hint="eastAsia"/>
        </w:rPr>
        <w:t>。</w:t>
      </w:r>
      <w:r>
        <w:rPr>
          <w:rStyle w:val="FootnoteReference"/>
          <w:sz w:val="24"/>
        </w:rPr>
        <w:footnoteReference w:customMarkFollows="1" w:id="31"/>
        <w:t>31</w:t>
      </w:r>
    </w:p>
    <w:p w:rsidR="00CE1FDA" w:rsidRDefault="00CE1FDA" w:rsidP="00AC01AA">
      <w:pPr>
        <w:spacing w:after="240" w:line="360" w:lineRule="exact"/>
        <w:ind w:firstLineChars="200" w:firstLine="31680"/>
        <w:rPr>
          <w:rFonts w:hint="eastAsia"/>
          <w:spacing w:val="-2"/>
        </w:rPr>
      </w:pPr>
      <w:r>
        <w:rPr>
          <w:rFonts w:hint="eastAsia"/>
          <w:spacing w:val="-2"/>
        </w:rPr>
        <w:t>在答复关于政府报告的第</w:t>
      </w:r>
      <w:r>
        <w:rPr>
          <w:rFonts w:hint="eastAsia"/>
          <w:spacing w:val="-2"/>
        </w:rPr>
        <w:t>23</w:t>
      </w:r>
      <w:r>
        <w:rPr>
          <w:rFonts w:hint="eastAsia"/>
          <w:spacing w:val="-2"/>
        </w:rPr>
        <w:t>个问题（见</w:t>
      </w:r>
      <w:r>
        <w:rPr>
          <w:rFonts w:hint="eastAsia"/>
          <w:spacing w:val="-2"/>
        </w:rPr>
        <w:t>CEDAW/C/HUN/4-5</w:t>
      </w:r>
      <w:r>
        <w:rPr>
          <w:rFonts w:hint="eastAsia"/>
          <w:spacing w:val="-2"/>
        </w:rPr>
        <w:t>）时，应说明为了保护受害者，</w:t>
      </w:r>
      <w:r>
        <w:rPr>
          <w:rFonts w:hint="eastAsia"/>
          <w:spacing w:val="-2"/>
        </w:rPr>
        <w:t>2001-2005</w:t>
      </w:r>
      <w:r>
        <w:rPr>
          <w:rFonts w:hint="eastAsia"/>
          <w:spacing w:val="-2"/>
        </w:rPr>
        <w:t>年在所有县设立了所谓的“高效的预审厅”，警察在这里听取遭受实质伤害的儿童或证人或受伤者的证词（比如性暴力受害者），有心理专家参加。</w:t>
      </w:r>
      <w:r>
        <w:rPr>
          <w:rStyle w:val="FootnoteReference"/>
          <w:spacing w:val="-2"/>
          <w:sz w:val="24"/>
        </w:rPr>
        <w:footnoteReference w:customMarkFollows="1" w:id="32"/>
        <w:t>32</w:t>
      </w:r>
      <w:r>
        <w:rPr>
          <w:rFonts w:hint="eastAsia"/>
          <w:spacing w:val="-2"/>
        </w:rPr>
        <w:t>保护受害者的任务通常由就职于警察总部的受害者保护官员履行。</w:t>
      </w:r>
      <w:r>
        <w:rPr>
          <w:rStyle w:val="FootnoteReference"/>
          <w:spacing w:val="-2"/>
          <w:sz w:val="24"/>
        </w:rPr>
        <w:footnoteReference w:customMarkFollows="1" w:id="33"/>
        <w:t>33</w:t>
      </w:r>
    </w:p>
    <w:p w:rsidR="00CE1FDA" w:rsidRDefault="00CE1FDA" w:rsidP="00AC01AA">
      <w:pPr>
        <w:spacing w:after="240" w:line="360" w:lineRule="exact"/>
        <w:ind w:firstLineChars="200" w:firstLine="31680"/>
        <w:rPr>
          <w:rFonts w:hint="eastAsia"/>
        </w:rPr>
      </w:pPr>
      <w:r>
        <w:rPr>
          <w:rFonts w:hint="eastAsia"/>
        </w:rPr>
        <w:t>在提交</w:t>
      </w:r>
      <w:r>
        <w:t>CEDAW/C/HUN/</w:t>
      </w:r>
      <w:r>
        <w:rPr>
          <w:rFonts w:hint="eastAsia"/>
        </w:rPr>
        <w:t>4</w:t>
      </w:r>
      <w:r>
        <w:t>-5</w:t>
      </w:r>
      <w:r>
        <w:rPr>
          <w:rFonts w:hint="eastAsia"/>
        </w:rPr>
        <w:t>报告时，加强匈牙利安全公益基金会已开始运作。暴力受害者（包括家庭暴力）可以向该基金会提交要求经济赔偿的申请。自</w:t>
      </w:r>
      <w:r>
        <w:t>2003</w:t>
      </w:r>
      <w:r>
        <w:rPr>
          <w:rFonts w:hint="eastAsia"/>
        </w:rPr>
        <w:t>年以来，提交给该基金会的申请数量不断下降。今天，公共基金会基本上只接受从个人或客观角度具有可靠依据的案件，即在申请提交之前就展开某种形式的初部审查。尽管如此，在某些情况下，有权获取损失赔偿的人不能以此作为参照理由或其他理由。</w:t>
      </w:r>
    </w:p>
    <w:p w:rsidR="00CE1FDA" w:rsidRDefault="00CE1FDA">
      <w:pPr>
        <w:spacing w:after="240" w:line="360" w:lineRule="exact"/>
        <w:rPr>
          <w:rFonts w:eastAsia="SimHei" w:hint="eastAsia"/>
          <w:color w:val="FF0000"/>
        </w:rPr>
      </w:pPr>
      <w:r>
        <w:rPr>
          <w:rFonts w:eastAsia="SimHei" w:hint="eastAsia"/>
          <w:color w:val="FF0000"/>
        </w:rPr>
        <w:t>附件：表格和补编</w:t>
      </w:r>
    </w:p>
    <w:p w:rsidR="00CE1FDA" w:rsidRDefault="00CE1FDA">
      <w:pPr>
        <w:spacing w:after="240" w:line="360" w:lineRule="exact"/>
        <w:rPr>
          <w:rFonts w:ascii="KaiTi_GB2312" w:eastAsia="KaiTi_GB2312" w:hint="eastAsia"/>
          <w:color w:val="0000FF"/>
        </w:rPr>
      </w:pPr>
      <w:r>
        <w:rPr>
          <w:rFonts w:ascii="KaiTi_GB2312" w:eastAsia="KaiTi_GB2312" w:hint="eastAsia"/>
          <w:color w:val="0000FF"/>
        </w:rPr>
        <w:t>第2条</w:t>
      </w:r>
    </w:p>
    <w:p w:rsidR="00CE1FDA" w:rsidRDefault="00CE1FDA" w:rsidP="00AC01AA">
      <w:pPr>
        <w:spacing w:after="240" w:line="360" w:lineRule="exact"/>
        <w:ind w:firstLineChars="200" w:firstLine="31680"/>
        <w:rPr>
          <w:rFonts w:hint="eastAsia"/>
        </w:rPr>
      </w:pPr>
      <w:r>
        <w:rPr>
          <w:rFonts w:hint="eastAsia"/>
        </w:rPr>
        <w:t>提交平等待遇机构的申请范例</w:t>
      </w:r>
    </w:p>
    <w:p w:rsidR="00CE1FDA" w:rsidRDefault="00CE1FDA" w:rsidP="00AC01AA">
      <w:pPr>
        <w:spacing w:after="240" w:line="360" w:lineRule="exact"/>
        <w:ind w:firstLineChars="200" w:firstLine="31680"/>
        <w:rPr>
          <w:rFonts w:hint="eastAsia"/>
        </w:rPr>
      </w:pPr>
      <w:r>
        <w:rPr>
          <w:rFonts w:hint="eastAsia"/>
        </w:rPr>
        <w:t>2.1.</w:t>
      </w:r>
      <w:r>
        <w:t xml:space="preserve">  </w:t>
      </w:r>
      <w:r>
        <w:rPr>
          <w:rFonts w:hint="eastAsia"/>
        </w:rPr>
        <w:t>一名年轻的母亲由劳动中心推荐给两家可能的雇主，但是因其参加了人工授精方案没有被雇用。该管理机构认为这属于歧视，并禁止雇主继续采取这种违法行为。</w:t>
      </w:r>
    </w:p>
    <w:p w:rsidR="00CE1FDA" w:rsidRDefault="00CE1FDA" w:rsidP="00AC01AA">
      <w:pPr>
        <w:spacing w:after="240" w:line="360" w:lineRule="exact"/>
        <w:ind w:firstLineChars="200" w:firstLine="31680"/>
        <w:rPr>
          <w:rFonts w:hint="eastAsia"/>
        </w:rPr>
      </w:pPr>
      <w:r>
        <w:rPr>
          <w:rFonts w:hint="eastAsia"/>
        </w:rPr>
        <w:t>2.2</w:t>
      </w:r>
      <w:r>
        <w:t>.</w:t>
      </w:r>
      <w:r>
        <w:rPr>
          <w:rFonts w:hint="eastAsia"/>
        </w:rPr>
        <w:t xml:space="preserve"> </w:t>
      </w:r>
      <w:r>
        <w:t xml:space="preserve">  </w:t>
      </w:r>
      <w:r>
        <w:rPr>
          <w:rFonts w:hint="eastAsia"/>
        </w:rPr>
        <w:t>在很多情况下，</w:t>
      </w:r>
      <w:r>
        <w:rPr>
          <w:rFonts w:hint="eastAsia"/>
        </w:rPr>
        <w:t>50</w:t>
      </w:r>
      <w:r>
        <w:rPr>
          <w:rFonts w:hint="eastAsia"/>
        </w:rPr>
        <w:t>岁以上的妇女不再受雇，她们被更年轻的雇员所取代。该管理机构认为这属基于年龄的歧视，并且对雇主处以</w:t>
      </w:r>
      <w:r>
        <w:rPr>
          <w:rFonts w:hint="eastAsia"/>
        </w:rPr>
        <w:t>450 000</w:t>
      </w:r>
      <w:r>
        <w:rPr>
          <w:rFonts w:hint="eastAsia"/>
        </w:rPr>
        <w:t>福林的罚款，但是性别歧视无法得到证明。因裁员方案而到该机构寻求补救方法的大多数妇女都超过了</w:t>
      </w:r>
      <w:r>
        <w:rPr>
          <w:rFonts w:hint="eastAsia"/>
        </w:rPr>
        <w:t>45</w:t>
      </w:r>
      <w:r>
        <w:rPr>
          <w:rFonts w:hint="eastAsia"/>
        </w:rPr>
        <w:t>岁。</w:t>
      </w:r>
    </w:p>
    <w:p w:rsidR="00CE1FDA" w:rsidRDefault="00CE1FDA" w:rsidP="00AC01AA">
      <w:pPr>
        <w:spacing w:after="240" w:line="360" w:lineRule="exact"/>
        <w:ind w:firstLineChars="200" w:firstLine="31680"/>
        <w:rPr>
          <w:rFonts w:hint="eastAsia"/>
        </w:rPr>
      </w:pPr>
      <w:r>
        <w:rPr>
          <w:rFonts w:hint="eastAsia"/>
        </w:rPr>
        <w:t>2.3.</w:t>
      </w:r>
      <w:r>
        <w:t xml:space="preserve">  </w:t>
      </w:r>
      <w:r>
        <w:rPr>
          <w:rFonts w:hint="eastAsia"/>
        </w:rPr>
        <w:t>对违反等值工作同等报酬原则的行为，该机构也可以提起诉讼。在这一方面，申请的数量很小，这可以表明，一旦这一重要原则被违反，雇员没有足够的知识了解如何获得法律补救办法。其他事例显示，申请者常常误解“等值工作”一词：等值工作是指只有两个职位在形式上相同，才能支付同等工资。</w:t>
      </w:r>
    </w:p>
    <w:p w:rsidR="00CE1FDA" w:rsidRDefault="00CE1FDA" w:rsidP="00AC01AA">
      <w:pPr>
        <w:spacing w:after="240" w:line="360" w:lineRule="exact"/>
        <w:ind w:firstLineChars="200" w:firstLine="31680"/>
        <w:rPr>
          <w:rFonts w:hint="eastAsia"/>
        </w:rPr>
      </w:pPr>
      <w:r>
        <w:rPr>
          <w:rFonts w:hint="eastAsia"/>
        </w:rPr>
        <w:t>2.4.</w:t>
      </w:r>
      <w:r>
        <w:t xml:space="preserve">  </w:t>
      </w:r>
      <w:r>
        <w:rPr>
          <w:rFonts w:hint="eastAsia"/>
          <w:spacing w:val="-4"/>
        </w:rPr>
        <w:t>匈牙利妓女利益代表协会投诉地方文化馆拒绝给他们提供地方召开记者招待会。该管理机构认定，投诉方的平等待遇要求受到侵犯，因为该协会的目标是将妓女重新融入社会，即他们的行动符合有关妇女的利益。</w:t>
      </w:r>
    </w:p>
    <w:p w:rsidR="00CE1FDA" w:rsidRDefault="00CE1FDA" w:rsidP="00AC01AA">
      <w:pPr>
        <w:spacing w:after="240" w:line="360" w:lineRule="exact"/>
        <w:ind w:firstLineChars="200" w:firstLine="31680"/>
        <w:rPr>
          <w:rFonts w:hint="eastAsia"/>
        </w:rPr>
      </w:pPr>
      <w:r>
        <w:rPr>
          <w:rFonts w:hint="eastAsia"/>
        </w:rPr>
        <w:t>2.5.</w:t>
      </w:r>
      <w:r>
        <w:t xml:space="preserve">  </w:t>
      </w:r>
      <w:r>
        <w:rPr>
          <w:rFonts w:hint="eastAsia"/>
        </w:rPr>
        <w:t>提交该机构的大量申请都是以性骚扰为由。在诉讼过程中，该机构发现，</w:t>
      </w:r>
      <w:r>
        <w:rPr>
          <w:rFonts w:hint="eastAsia"/>
        </w:rPr>
        <w:t>2003</w:t>
      </w:r>
      <w:r>
        <w:rPr>
          <w:rFonts w:hint="eastAsia"/>
        </w:rPr>
        <w:t>年第</w:t>
      </w:r>
      <w:r>
        <w:rPr>
          <w:rFonts w:hint="eastAsia"/>
        </w:rPr>
        <w:t>CXXV</w:t>
      </w:r>
      <w:r>
        <w:rPr>
          <w:rFonts w:hint="eastAsia"/>
        </w:rPr>
        <w:t>号法案第</w:t>
      </w:r>
      <w:r>
        <w:rPr>
          <w:rFonts w:hint="eastAsia"/>
        </w:rPr>
        <w:t>10</w:t>
      </w:r>
      <w:r>
        <w:rPr>
          <w:rFonts w:hint="eastAsia"/>
        </w:rPr>
        <w:t>条不够详细，它对骚扰的界定很不宽泛。因此，该机构提出，立法者应明确给出一个人们能理解的骚扰，包括性骚扰的定义。</w:t>
      </w:r>
    </w:p>
    <w:p w:rsidR="00CE1FDA" w:rsidRDefault="00CE1FDA" w:rsidP="00AC01AA">
      <w:pPr>
        <w:spacing w:after="240" w:line="360" w:lineRule="exact"/>
        <w:ind w:firstLineChars="200" w:firstLine="31680"/>
        <w:rPr>
          <w:rFonts w:hint="eastAsia"/>
        </w:rPr>
      </w:pPr>
      <w:r>
        <w:rPr>
          <w:rFonts w:hint="eastAsia"/>
        </w:rPr>
        <w:t>2.6.</w:t>
      </w:r>
      <w:r>
        <w:t xml:space="preserve">  </w:t>
      </w:r>
      <w:r>
        <w:rPr>
          <w:rFonts w:hint="eastAsia"/>
        </w:rPr>
        <w:t>该机构对受雇者和控告方之间的一些案件进行了有效的调和，在这些案件中，罗姆妇女失业或不受雇用可能与她们属于罗姆少数民族有关。</w:t>
      </w:r>
    </w:p>
    <w:p w:rsidR="00CE1FDA" w:rsidRDefault="00CE1FDA" w:rsidP="00AC01AA">
      <w:pPr>
        <w:spacing w:after="240" w:line="360" w:lineRule="exact"/>
        <w:ind w:firstLineChars="200" w:firstLine="31680"/>
        <w:rPr>
          <w:rFonts w:hint="eastAsia"/>
        </w:rPr>
      </w:pPr>
      <w:r>
        <w:rPr>
          <w:rFonts w:hint="eastAsia"/>
        </w:rPr>
        <w:t>2.7.</w:t>
      </w:r>
      <w:r>
        <w:t xml:space="preserve">  </w:t>
      </w:r>
      <w:r>
        <w:rPr>
          <w:rFonts w:hint="eastAsia"/>
        </w:rPr>
        <w:t>该机构在一些诉讼中处理了一定时期的就业问题，尤其是公职人员或在公共部门雇员，他们大多是妇女。该机构认定存在违反平等待遇要求的情况，因为在某教师声称自己已怀孕的时候，教育机构没有延长她的固定任期。该机构实施的制裁是将其决定发布在它的主页和开办该学校的地方政府的布告栏上。</w:t>
      </w:r>
    </w:p>
    <w:p w:rsidR="00CE1FDA" w:rsidRDefault="00CE1FDA">
      <w:pPr>
        <w:spacing w:after="240" w:line="360" w:lineRule="exact"/>
        <w:rPr>
          <w:rFonts w:eastAsia="SimHei" w:hint="eastAsia"/>
          <w:color w:val="FF0000"/>
        </w:rPr>
      </w:pPr>
      <w:r>
        <w:rPr>
          <w:rFonts w:eastAsia="SimHei" w:hint="eastAsia"/>
          <w:color w:val="FF0000"/>
        </w:rPr>
        <w:t>图表</w:t>
      </w:r>
    </w:p>
    <w:p w:rsidR="00CE1FDA" w:rsidRDefault="00CE1FDA">
      <w:pPr>
        <w:spacing w:after="240" w:line="360" w:lineRule="exact"/>
        <w:rPr>
          <w:rFonts w:ascii="SimHei" w:eastAsia="SimHei" w:hint="eastAsia"/>
          <w:color w:val="FF0000"/>
        </w:rPr>
      </w:pPr>
      <w:r>
        <w:rPr>
          <w:rFonts w:ascii="SimHei" w:eastAsia="SimHei" w:hint="eastAsia"/>
          <w:color w:val="FF0000"/>
        </w:rPr>
        <w:t>第6条</w:t>
      </w:r>
    </w:p>
    <w:p w:rsidR="00CE1FDA" w:rsidRDefault="00CE1FDA">
      <w:pPr>
        <w:spacing w:after="240" w:line="360" w:lineRule="exact"/>
        <w:rPr>
          <w:rFonts w:ascii="SimHei" w:eastAsia="SimHei" w:hint="eastAsia"/>
          <w:color w:val="FF0000"/>
        </w:rPr>
      </w:pPr>
      <w:r>
        <w:rPr>
          <w:rFonts w:ascii="SimHei" w:eastAsia="SimHei" w:hint="eastAsia"/>
          <w:color w:val="FF0000"/>
        </w:rPr>
        <w:t>6.1</w:t>
      </w:r>
      <w:r>
        <w:rPr>
          <w:rFonts w:eastAsia="SimHei"/>
          <w:color w:val="FF0000"/>
        </w:rPr>
        <w:t>.</w:t>
      </w:r>
      <w:r>
        <w:rPr>
          <w:rFonts w:ascii="SimHei" w:eastAsia="SimHei" w:hint="eastAsia"/>
          <w:color w:val="FF0000"/>
        </w:rPr>
        <w:t xml:space="preserve">  性犯罪登记数量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28"/>
        <w:gridCol w:w="1254"/>
        <w:gridCol w:w="1256"/>
        <w:gridCol w:w="1256"/>
        <w:gridCol w:w="1254"/>
        <w:gridCol w:w="1256"/>
        <w:gridCol w:w="1256"/>
      </w:tblGrid>
      <w:tr w:rsidR="00CE1FDA">
        <w:tblPrEx>
          <w:tblCellMar>
            <w:top w:w="0" w:type="dxa"/>
            <w:left w:w="0" w:type="dxa"/>
            <w:bottom w:w="0" w:type="dxa"/>
            <w:right w:w="0" w:type="dxa"/>
          </w:tblCellMar>
        </w:tblPrEx>
        <w:tc>
          <w:tcPr>
            <w:tcW w:w="1180" w:type="pct"/>
          </w:tcPr>
          <w:p w:rsidR="00CE1FDA" w:rsidRDefault="00CE1FDA" w:rsidP="00AC01AA">
            <w:pPr>
              <w:spacing w:line="360" w:lineRule="exact"/>
              <w:ind w:leftChars="50" w:left="31680" w:rightChars="50" w:right="31680"/>
              <w:rPr>
                <w:rFonts w:ascii="SimHei" w:eastAsia="SimHei" w:hint="eastAsia"/>
                <w:color w:val="FF0000"/>
                <w:sz w:val="18"/>
              </w:rPr>
            </w:pPr>
            <w:r>
              <w:rPr>
                <w:rFonts w:ascii="SimHei" w:eastAsia="SimHei" w:hint="eastAsia"/>
                <w:color w:val="FF0000"/>
                <w:sz w:val="18"/>
              </w:rPr>
              <w:t>犯罪</w:t>
            </w:r>
          </w:p>
        </w:tc>
        <w:tc>
          <w:tcPr>
            <w:tcW w:w="636" w:type="pct"/>
          </w:tcPr>
          <w:p w:rsidR="00CE1FDA" w:rsidRDefault="00CE1FDA" w:rsidP="00AC01AA">
            <w:pPr>
              <w:spacing w:line="360" w:lineRule="exact"/>
              <w:ind w:leftChars="50" w:left="31680" w:rightChars="50" w:right="31680"/>
              <w:jc w:val="center"/>
              <w:rPr>
                <w:rFonts w:ascii="SimHei" w:eastAsia="SimHei" w:hint="eastAsia"/>
                <w:color w:val="FF0000"/>
                <w:sz w:val="18"/>
              </w:rPr>
            </w:pPr>
            <w:r>
              <w:rPr>
                <w:rFonts w:ascii="SimHei" w:eastAsia="SimHei" w:hint="eastAsia"/>
                <w:color w:val="FF0000"/>
                <w:sz w:val="18"/>
              </w:rPr>
              <w:t>1999年</w:t>
            </w:r>
          </w:p>
        </w:tc>
        <w:tc>
          <w:tcPr>
            <w:tcW w:w="637" w:type="pct"/>
          </w:tcPr>
          <w:p w:rsidR="00CE1FDA" w:rsidRDefault="00CE1FDA" w:rsidP="00AC01AA">
            <w:pPr>
              <w:spacing w:line="36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2000年</w:t>
            </w:r>
          </w:p>
        </w:tc>
        <w:tc>
          <w:tcPr>
            <w:tcW w:w="637" w:type="pct"/>
          </w:tcPr>
          <w:p w:rsidR="00CE1FDA" w:rsidRDefault="00CE1FDA" w:rsidP="00AC01AA">
            <w:pPr>
              <w:spacing w:line="36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2001年</w:t>
            </w:r>
          </w:p>
        </w:tc>
        <w:tc>
          <w:tcPr>
            <w:tcW w:w="636" w:type="pct"/>
          </w:tcPr>
          <w:p w:rsidR="00CE1FDA" w:rsidRDefault="00CE1FDA" w:rsidP="00AC01AA">
            <w:pPr>
              <w:spacing w:line="36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2002年</w:t>
            </w:r>
          </w:p>
        </w:tc>
        <w:tc>
          <w:tcPr>
            <w:tcW w:w="637" w:type="pct"/>
          </w:tcPr>
          <w:p w:rsidR="00CE1FDA" w:rsidRDefault="00CE1FDA" w:rsidP="00AC01AA">
            <w:pPr>
              <w:spacing w:line="36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2003年</w:t>
            </w:r>
          </w:p>
        </w:tc>
        <w:tc>
          <w:tcPr>
            <w:tcW w:w="637" w:type="pct"/>
          </w:tcPr>
          <w:p w:rsidR="00CE1FDA" w:rsidRDefault="00CE1FDA" w:rsidP="00AC01AA">
            <w:pPr>
              <w:spacing w:line="36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2004年</w:t>
            </w:r>
          </w:p>
        </w:tc>
      </w:tr>
      <w:tr w:rsidR="00CE1FDA">
        <w:tblPrEx>
          <w:tblCellMar>
            <w:top w:w="0" w:type="dxa"/>
            <w:left w:w="0" w:type="dxa"/>
            <w:bottom w:w="0" w:type="dxa"/>
            <w:right w:w="0" w:type="dxa"/>
          </w:tblCellMar>
        </w:tblPrEx>
        <w:tc>
          <w:tcPr>
            <w:tcW w:w="1180" w:type="pct"/>
          </w:tcPr>
          <w:p w:rsidR="00CE1FDA" w:rsidRDefault="00CE1FDA" w:rsidP="00AC01AA">
            <w:pPr>
              <w:spacing w:line="360" w:lineRule="exact"/>
              <w:ind w:leftChars="50" w:left="31680" w:rightChars="50" w:right="31680"/>
              <w:rPr>
                <w:rFonts w:hint="eastAsia"/>
                <w:sz w:val="18"/>
              </w:rPr>
            </w:pPr>
            <w:r>
              <w:rPr>
                <w:rFonts w:hint="eastAsia"/>
                <w:sz w:val="18"/>
              </w:rPr>
              <w:t>怂恿卖淫第</w:t>
            </w:r>
            <w:r>
              <w:rPr>
                <w:rFonts w:hint="eastAsia"/>
                <w:sz w:val="18"/>
              </w:rPr>
              <w:t>205</w:t>
            </w:r>
            <w:r>
              <w:rPr>
                <w:rFonts w:hint="eastAsia"/>
                <w:sz w:val="18"/>
              </w:rPr>
              <w:t>条</w:t>
            </w:r>
          </w:p>
        </w:tc>
        <w:tc>
          <w:tcPr>
            <w:tcW w:w="636" w:type="pct"/>
          </w:tcPr>
          <w:p w:rsidR="00CE1FDA" w:rsidRDefault="00CE1FDA" w:rsidP="00AC01AA">
            <w:pPr>
              <w:spacing w:line="360" w:lineRule="exact"/>
              <w:ind w:leftChars="50" w:left="31680" w:rightChars="50" w:right="31680"/>
              <w:jc w:val="center"/>
              <w:rPr>
                <w:rFonts w:hint="eastAsia"/>
                <w:sz w:val="18"/>
              </w:rPr>
            </w:pPr>
            <w:r>
              <w:rPr>
                <w:rFonts w:hint="eastAsia"/>
                <w:sz w:val="18"/>
              </w:rPr>
              <w:t>99</w:t>
            </w:r>
          </w:p>
        </w:tc>
        <w:tc>
          <w:tcPr>
            <w:tcW w:w="637" w:type="pct"/>
          </w:tcPr>
          <w:p w:rsidR="00CE1FDA" w:rsidRDefault="00CE1FDA" w:rsidP="00AC01AA">
            <w:pPr>
              <w:spacing w:line="360" w:lineRule="exact"/>
              <w:ind w:leftChars="50" w:left="31680" w:rightChars="50" w:right="31680"/>
              <w:jc w:val="center"/>
              <w:rPr>
                <w:rFonts w:hint="eastAsia"/>
                <w:sz w:val="18"/>
              </w:rPr>
            </w:pPr>
            <w:r>
              <w:rPr>
                <w:rFonts w:hint="eastAsia"/>
                <w:sz w:val="18"/>
              </w:rPr>
              <w:t>77</w:t>
            </w:r>
          </w:p>
        </w:tc>
        <w:tc>
          <w:tcPr>
            <w:tcW w:w="637" w:type="pct"/>
          </w:tcPr>
          <w:p w:rsidR="00CE1FDA" w:rsidRDefault="00CE1FDA" w:rsidP="00AC01AA">
            <w:pPr>
              <w:spacing w:line="360" w:lineRule="exact"/>
              <w:ind w:leftChars="50" w:left="31680" w:rightChars="50" w:right="31680"/>
              <w:jc w:val="center"/>
              <w:rPr>
                <w:rFonts w:hint="eastAsia"/>
                <w:sz w:val="18"/>
              </w:rPr>
            </w:pPr>
            <w:r>
              <w:rPr>
                <w:rFonts w:hint="eastAsia"/>
                <w:sz w:val="18"/>
              </w:rPr>
              <w:t>59</w:t>
            </w:r>
          </w:p>
        </w:tc>
        <w:tc>
          <w:tcPr>
            <w:tcW w:w="636" w:type="pct"/>
          </w:tcPr>
          <w:p w:rsidR="00CE1FDA" w:rsidRDefault="00CE1FDA" w:rsidP="00AC01AA">
            <w:pPr>
              <w:spacing w:line="360" w:lineRule="exact"/>
              <w:ind w:leftChars="50" w:left="31680" w:rightChars="50" w:right="31680"/>
              <w:jc w:val="center"/>
              <w:rPr>
                <w:rFonts w:hint="eastAsia"/>
                <w:sz w:val="18"/>
              </w:rPr>
            </w:pPr>
            <w:r>
              <w:rPr>
                <w:rFonts w:hint="eastAsia"/>
                <w:sz w:val="18"/>
              </w:rPr>
              <w:t>51</w:t>
            </w:r>
          </w:p>
        </w:tc>
        <w:tc>
          <w:tcPr>
            <w:tcW w:w="637" w:type="pct"/>
          </w:tcPr>
          <w:p w:rsidR="00CE1FDA" w:rsidRDefault="00CE1FDA" w:rsidP="00AC01AA">
            <w:pPr>
              <w:spacing w:line="360" w:lineRule="exact"/>
              <w:ind w:leftChars="50" w:left="31680" w:rightChars="50" w:right="31680"/>
              <w:jc w:val="center"/>
              <w:rPr>
                <w:rFonts w:hint="eastAsia"/>
                <w:sz w:val="18"/>
              </w:rPr>
            </w:pPr>
            <w:r>
              <w:rPr>
                <w:rFonts w:hint="eastAsia"/>
                <w:sz w:val="18"/>
              </w:rPr>
              <w:t>45</w:t>
            </w:r>
          </w:p>
        </w:tc>
        <w:tc>
          <w:tcPr>
            <w:tcW w:w="637" w:type="pct"/>
          </w:tcPr>
          <w:p w:rsidR="00CE1FDA" w:rsidRDefault="00CE1FDA" w:rsidP="00AC01AA">
            <w:pPr>
              <w:spacing w:line="360" w:lineRule="exact"/>
              <w:ind w:leftChars="50" w:left="31680" w:rightChars="50" w:right="31680"/>
              <w:jc w:val="center"/>
              <w:rPr>
                <w:rFonts w:hint="eastAsia"/>
                <w:sz w:val="18"/>
              </w:rPr>
            </w:pPr>
            <w:r>
              <w:rPr>
                <w:rFonts w:hint="eastAsia"/>
                <w:sz w:val="18"/>
              </w:rPr>
              <w:t>47</w:t>
            </w:r>
          </w:p>
        </w:tc>
      </w:tr>
      <w:tr w:rsidR="00CE1FDA">
        <w:tblPrEx>
          <w:tblCellMar>
            <w:top w:w="0" w:type="dxa"/>
            <w:left w:w="0" w:type="dxa"/>
            <w:bottom w:w="0" w:type="dxa"/>
            <w:right w:w="0" w:type="dxa"/>
          </w:tblCellMar>
        </w:tblPrEx>
        <w:tc>
          <w:tcPr>
            <w:tcW w:w="1180" w:type="pct"/>
          </w:tcPr>
          <w:p w:rsidR="00CE1FDA" w:rsidRDefault="00CE1FDA" w:rsidP="00AC01AA">
            <w:pPr>
              <w:spacing w:line="360" w:lineRule="exact"/>
              <w:ind w:leftChars="50" w:left="31680" w:rightChars="50" w:right="31680"/>
              <w:rPr>
                <w:rFonts w:hint="eastAsia"/>
                <w:sz w:val="18"/>
              </w:rPr>
            </w:pPr>
            <w:r>
              <w:rPr>
                <w:rFonts w:hint="eastAsia"/>
                <w:sz w:val="18"/>
              </w:rPr>
              <w:t>卖淫第</w:t>
            </w:r>
            <w:r>
              <w:rPr>
                <w:rFonts w:hint="eastAsia"/>
                <w:sz w:val="18"/>
              </w:rPr>
              <w:t>206</w:t>
            </w:r>
            <w:r>
              <w:rPr>
                <w:rFonts w:hint="eastAsia"/>
                <w:sz w:val="18"/>
              </w:rPr>
              <w:t>条</w:t>
            </w:r>
          </w:p>
        </w:tc>
        <w:tc>
          <w:tcPr>
            <w:tcW w:w="636" w:type="pct"/>
          </w:tcPr>
          <w:p w:rsidR="00CE1FDA" w:rsidRDefault="00CE1FDA" w:rsidP="00AC01AA">
            <w:pPr>
              <w:spacing w:line="360" w:lineRule="exact"/>
              <w:ind w:leftChars="50" w:left="31680" w:rightChars="50" w:right="31680"/>
              <w:jc w:val="center"/>
              <w:rPr>
                <w:rFonts w:hint="eastAsia"/>
                <w:sz w:val="18"/>
              </w:rPr>
            </w:pPr>
            <w:r>
              <w:rPr>
                <w:rFonts w:hint="eastAsia"/>
                <w:sz w:val="18"/>
              </w:rPr>
              <w:t>93</w:t>
            </w:r>
          </w:p>
        </w:tc>
        <w:tc>
          <w:tcPr>
            <w:tcW w:w="637" w:type="pct"/>
          </w:tcPr>
          <w:p w:rsidR="00CE1FDA" w:rsidRDefault="00CE1FDA" w:rsidP="00AC01AA">
            <w:pPr>
              <w:spacing w:line="360" w:lineRule="exact"/>
              <w:ind w:leftChars="50" w:left="31680" w:rightChars="50" w:right="31680"/>
              <w:jc w:val="center"/>
              <w:rPr>
                <w:rFonts w:hint="eastAsia"/>
                <w:sz w:val="18"/>
              </w:rPr>
            </w:pPr>
            <w:r>
              <w:rPr>
                <w:rFonts w:hint="eastAsia"/>
                <w:sz w:val="18"/>
              </w:rPr>
              <w:t>59</w:t>
            </w:r>
          </w:p>
        </w:tc>
        <w:tc>
          <w:tcPr>
            <w:tcW w:w="637" w:type="pct"/>
          </w:tcPr>
          <w:p w:rsidR="00CE1FDA" w:rsidRDefault="00CE1FDA" w:rsidP="00AC01AA">
            <w:pPr>
              <w:spacing w:line="360" w:lineRule="exact"/>
              <w:ind w:leftChars="50" w:left="31680" w:rightChars="50" w:right="31680"/>
              <w:jc w:val="center"/>
              <w:rPr>
                <w:rFonts w:hint="eastAsia"/>
                <w:sz w:val="18"/>
              </w:rPr>
            </w:pPr>
            <w:r>
              <w:rPr>
                <w:rFonts w:hint="eastAsia"/>
                <w:sz w:val="18"/>
              </w:rPr>
              <w:t>80</w:t>
            </w:r>
          </w:p>
        </w:tc>
        <w:tc>
          <w:tcPr>
            <w:tcW w:w="636" w:type="pct"/>
          </w:tcPr>
          <w:p w:rsidR="00CE1FDA" w:rsidRDefault="00CE1FDA" w:rsidP="00AC01AA">
            <w:pPr>
              <w:spacing w:line="360" w:lineRule="exact"/>
              <w:ind w:leftChars="50" w:left="31680" w:rightChars="50" w:right="31680"/>
              <w:jc w:val="center"/>
              <w:rPr>
                <w:rFonts w:hint="eastAsia"/>
                <w:sz w:val="18"/>
              </w:rPr>
            </w:pPr>
            <w:r>
              <w:rPr>
                <w:rFonts w:hint="eastAsia"/>
                <w:sz w:val="18"/>
              </w:rPr>
              <w:t>67</w:t>
            </w:r>
          </w:p>
        </w:tc>
        <w:tc>
          <w:tcPr>
            <w:tcW w:w="637" w:type="pct"/>
          </w:tcPr>
          <w:p w:rsidR="00CE1FDA" w:rsidRDefault="00CE1FDA" w:rsidP="00AC01AA">
            <w:pPr>
              <w:spacing w:line="360" w:lineRule="exact"/>
              <w:ind w:leftChars="50" w:left="31680" w:rightChars="50" w:right="31680"/>
              <w:jc w:val="center"/>
              <w:rPr>
                <w:rFonts w:hint="eastAsia"/>
                <w:sz w:val="18"/>
              </w:rPr>
            </w:pPr>
            <w:r>
              <w:rPr>
                <w:rFonts w:hint="eastAsia"/>
                <w:sz w:val="18"/>
              </w:rPr>
              <w:t>69</w:t>
            </w:r>
          </w:p>
        </w:tc>
        <w:tc>
          <w:tcPr>
            <w:tcW w:w="637" w:type="pct"/>
          </w:tcPr>
          <w:p w:rsidR="00CE1FDA" w:rsidRDefault="00CE1FDA" w:rsidP="00AC01AA">
            <w:pPr>
              <w:spacing w:line="360" w:lineRule="exact"/>
              <w:ind w:leftChars="50" w:left="31680" w:rightChars="50" w:right="31680"/>
              <w:jc w:val="center"/>
              <w:rPr>
                <w:rFonts w:hint="eastAsia"/>
                <w:sz w:val="18"/>
              </w:rPr>
            </w:pPr>
            <w:r>
              <w:rPr>
                <w:rFonts w:hint="eastAsia"/>
                <w:sz w:val="18"/>
              </w:rPr>
              <w:t>51</w:t>
            </w:r>
          </w:p>
        </w:tc>
      </w:tr>
      <w:tr w:rsidR="00CE1FDA">
        <w:tblPrEx>
          <w:tblCellMar>
            <w:top w:w="0" w:type="dxa"/>
            <w:left w:w="0" w:type="dxa"/>
            <w:bottom w:w="0" w:type="dxa"/>
            <w:right w:w="0" w:type="dxa"/>
          </w:tblCellMar>
        </w:tblPrEx>
        <w:tc>
          <w:tcPr>
            <w:tcW w:w="1180" w:type="pct"/>
          </w:tcPr>
          <w:p w:rsidR="00CE1FDA" w:rsidRDefault="00CE1FDA" w:rsidP="00AC01AA">
            <w:pPr>
              <w:spacing w:line="360" w:lineRule="exact"/>
              <w:ind w:leftChars="50" w:left="31680" w:rightChars="50" w:right="31680"/>
              <w:rPr>
                <w:rFonts w:hint="eastAsia"/>
                <w:sz w:val="18"/>
              </w:rPr>
            </w:pPr>
            <w:r>
              <w:rPr>
                <w:rFonts w:hint="eastAsia"/>
                <w:sz w:val="18"/>
              </w:rPr>
              <w:t>拉皮条第</w:t>
            </w:r>
            <w:r>
              <w:rPr>
                <w:rFonts w:hint="eastAsia"/>
                <w:sz w:val="18"/>
              </w:rPr>
              <w:t>207</w:t>
            </w:r>
            <w:r>
              <w:rPr>
                <w:rFonts w:hint="eastAsia"/>
                <w:sz w:val="18"/>
              </w:rPr>
              <w:t>条</w:t>
            </w:r>
          </w:p>
        </w:tc>
        <w:tc>
          <w:tcPr>
            <w:tcW w:w="636" w:type="pct"/>
          </w:tcPr>
          <w:p w:rsidR="00CE1FDA" w:rsidRDefault="00CE1FDA" w:rsidP="00AC01AA">
            <w:pPr>
              <w:spacing w:line="360" w:lineRule="exact"/>
              <w:ind w:leftChars="50" w:left="31680" w:rightChars="50" w:right="31680"/>
              <w:jc w:val="center"/>
              <w:rPr>
                <w:rFonts w:hint="eastAsia"/>
                <w:sz w:val="18"/>
              </w:rPr>
            </w:pPr>
            <w:r>
              <w:rPr>
                <w:rFonts w:hint="eastAsia"/>
                <w:sz w:val="18"/>
              </w:rPr>
              <w:t>198</w:t>
            </w:r>
          </w:p>
        </w:tc>
        <w:tc>
          <w:tcPr>
            <w:tcW w:w="637" w:type="pct"/>
          </w:tcPr>
          <w:p w:rsidR="00CE1FDA" w:rsidRDefault="00CE1FDA" w:rsidP="00AC01AA">
            <w:pPr>
              <w:spacing w:line="360" w:lineRule="exact"/>
              <w:ind w:leftChars="50" w:left="31680" w:rightChars="50" w:right="31680"/>
              <w:jc w:val="center"/>
              <w:rPr>
                <w:rFonts w:hint="eastAsia"/>
                <w:sz w:val="18"/>
              </w:rPr>
            </w:pPr>
            <w:r>
              <w:rPr>
                <w:rFonts w:hint="eastAsia"/>
                <w:sz w:val="18"/>
              </w:rPr>
              <w:t>94</w:t>
            </w:r>
          </w:p>
        </w:tc>
        <w:tc>
          <w:tcPr>
            <w:tcW w:w="637" w:type="pct"/>
          </w:tcPr>
          <w:p w:rsidR="00CE1FDA" w:rsidRDefault="00CE1FDA" w:rsidP="00AC01AA">
            <w:pPr>
              <w:spacing w:line="360" w:lineRule="exact"/>
              <w:ind w:leftChars="50" w:left="31680" w:rightChars="50" w:right="31680"/>
              <w:jc w:val="center"/>
              <w:rPr>
                <w:rFonts w:hint="eastAsia"/>
                <w:sz w:val="18"/>
              </w:rPr>
            </w:pPr>
            <w:r>
              <w:rPr>
                <w:rFonts w:hint="eastAsia"/>
                <w:sz w:val="18"/>
              </w:rPr>
              <w:t>116</w:t>
            </w:r>
          </w:p>
        </w:tc>
        <w:tc>
          <w:tcPr>
            <w:tcW w:w="636" w:type="pct"/>
          </w:tcPr>
          <w:p w:rsidR="00CE1FDA" w:rsidRDefault="00CE1FDA" w:rsidP="00AC01AA">
            <w:pPr>
              <w:spacing w:line="360" w:lineRule="exact"/>
              <w:ind w:leftChars="50" w:left="31680" w:rightChars="50" w:right="31680"/>
              <w:jc w:val="center"/>
              <w:rPr>
                <w:rFonts w:hint="eastAsia"/>
                <w:sz w:val="18"/>
              </w:rPr>
            </w:pPr>
            <w:r>
              <w:rPr>
                <w:rFonts w:hint="eastAsia"/>
                <w:sz w:val="18"/>
              </w:rPr>
              <w:t>99</w:t>
            </w:r>
          </w:p>
        </w:tc>
        <w:tc>
          <w:tcPr>
            <w:tcW w:w="637" w:type="pct"/>
          </w:tcPr>
          <w:p w:rsidR="00CE1FDA" w:rsidRDefault="00CE1FDA" w:rsidP="00AC01AA">
            <w:pPr>
              <w:spacing w:line="360" w:lineRule="exact"/>
              <w:ind w:leftChars="50" w:left="31680" w:rightChars="50" w:right="31680"/>
              <w:jc w:val="center"/>
              <w:rPr>
                <w:rFonts w:hint="eastAsia"/>
                <w:sz w:val="18"/>
              </w:rPr>
            </w:pPr>
            <w:r>
              <w:rPr>
                <w:rFonts w:hint="eastAsia"/>
                <w:sz w:val="18"/>
              </w:rPr>
              <w:t>97</w:t>
            </w:r>
          </w:p>
        </w:tc>
        <w:tc>
          <w:tcPr>
            <w:tcW w:w="637" w:type="pct"/>
          </w:tcPr>
          <w:p w:rsidR="00CE1FDA" w:rsidRDefault="00CE1FDA" w:rsidP="00AC01AA">
            <w:pPr>
              <w:spacing w:line="360" w:lineRule="exact"/>
              <w:ind w:leftChars="50" w:left="31680" w:rightChars="50" w:right="31680"/>
              <w:jc w:val="center"/>
              <w:rPr>
                <w:rFonts w:hint="eastAsia"/>
                <w:sz w:val="18"/>
              </w:rPr>
            </w:pPr>
            <w:r>
              <w:rPr>
                <w:rFonts w:hint="eastAsia"/>
                <w:sz w:val="18"/>
              </w:rPr>
              <w:t>76</w:t>
            </w:r>
          </w:p>
        </w:tc>
      </w:tr>
    </w:tbl>
    <w:p w:rsidR="00CE1FDA" w:rsidRDefault="00CE1FDA">
      <w:pPr>
        <w:spacing w:after="240" w:line="360" w:lineRule="exact"/>
        <w:rPr>
          <w:rFonts w:hint="eastAsia"/>
          <w:sz w:val="18"/>
        </w:rPr>
      </w:pPr>
      <w:r>
        <w:rPr>
          <w:rFonts w:eastAsia="KaiTi_GB2312" w:hint="eastAsia"/>
          <w:color w:val="0000FF"/>
          <w:sz w:val="18"/>
        </w:rPr>
        <w:t>资料来源</w:t>
      </w:r>
      <w:r>
        <w:rPr>
          <w:rFonts w:hint="eastAsia"/>
          <w:sz w:val="18"/>
        </w:rPr>
        <w:t>：</w:t>
      </w:r>
      <w:r>
        <w:rPr>
          <w:rFonts w:hint="eastAsia"/>
          <w:sz w:val="18"/>
        </w:rPr>
        <w:t>ER</w:t>
      </w:r>
      <w:r>
        <w:rPr>
          <w:sz w:val="18"/>
        </w:rPr>
        <w:t>Ü</w:t>
      </w:r>
      <w:r>
        <w:rPr>
          <w:rFonts w:hint="eastAsia"/>
          <w:sz w:val="18"/>
        </w:rPr>
        <w:t>BS</w:t>
      </w:r>
      <w:r>
        <w:rPr>
          <w:rFonts w:hint="eastAsia"/>
          <w:sz w:val="18"/>
        </w:rPr>
        <w:t>。</w:t>
      </w:r>
    </w:p>
    <w:p w:rsidR="00CE1FDA" w:rsidRDefault="00CE1FDA">
      <w:pPr>
        <w:spacing w:after="240" w:line="360" w:lineRule="exact"/>
        <w:rPr>
          <w:rFonts w:ascii="SimHei" w:eastAsia="SimHei" w:hint="eastAsia"/>
          <w:color w:val="FF0000"/>
        </w:rPr>
      </w:pPr>
      <w:r>
        <w:rPr>
          <w:rFonts w:ascii="SimHei" w:eastAsia="SimHei" w:hint="eastAsia"/>
          <w:color w:val="FF0000"/>
        </w:rPr>
        <w:t>6.2</w:t>
      </w:r>
      <w:r>
        <w:rPr>
          <w:rFonts w:ascii="SimHei" w:eastAsia="SimHei"/>
          <w:color w:val="FF0000"/>
        </w:rPr>
        <w:t>.</w:t>
      </w:r>
      <w:r>
        <w:rPr>
          <w:rFonts w:ascii="SimHei" w:eastAsia="SimHei" w:hint="eastAsia"/>
          <w:color w:val="FF0000"/>
        </w:rPr>
        <w:t xml:space="preserve">  根据犯罪统计登记的人口贩卖趋势</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52"/>
        <w:gridCol w:w="1252"/>
        <w:gridCol w:w="1252"/>
        <w:gridCol w:w="1252"/>
        <w:gridCol w:w="1252"/>
        <w:gridCol w:w="1252"/>
        <w:gridCol w:w="1248"/>
      </w:tblGrid>
      <w:tr w:rsidR="00CE1FDA">
        <w:tblPrEx>
          <w:tblCellMar>
            <w:top w:w="0" w:type="dxa"/>
            <w:left w:w="0" w:type="dxa"/>
            <w:bottom w:w="0" w:type="dxa"/>
            <w:right w:w="0" w:type="dxa"/>
          </w:tblCellMar>
        </w:tblPrEx>
        <w:tc>
          <w:tcPr>
            <w:tcW w:w="1192" w:type="pct"/>
          </w:tcPr>
          <w:p w:rsidR="00CE1FDA" w:rsidRDefault="00CE1FDA" w:rsidP="00AC01AA">
            <w:pPr>
              <w:spacing w:line="360" w:lineRule="exact"/>
              <w:ind w:leftChars="50" w:left="31680" w:rightChars="50" w:right="31680"/>
              <w:rPr>
                <w:rFonts w:ascii="SimHei" w:eastAsia="SimHei" w:hint="eastAsia"/>
                <w:color w:val="FF0000"/>
                <w:sz w:val="18"/>
              </w:rPr>
            </w:pPr>
            <w:r>
              <w:rPr>
                <w:rFonts w:ascii="SimHei" w:eastAsia="SimHei" w:hint="eastAsia"/>
                <w:color w:val="FF0000"/>
                <w:sz w:val="18"/>
              </w:rPr>
              <w:t>犯罪</w:t>
            </w:r>
          </w:p>
        </w:tc>
        <w:tc>
          <w:tcPr>
            <w:tcW w:w="635" w:type="pct"/>
          </w:tcPr>
          <w:p w:rsidR="00CE1FDA" w:rsidRDefault="00CE1FDA" w:rsidP="00AC01AA">
            <w:pPr>
              <w:spacing w:line="360" w:lineRule="exact"/>
              <w:ind w:leftChars="50" w:left="31680" w:rightChars="50" w:right="31680"/>
              <w:jc w:val="center"/>
              <w:rPr>
                <w:rFonts w:ascii="SimHei" w:eastAsia="SimHei" w:hint="eastAsia"/>
                <w:color w:val="FF0000"/>
                <w:sz w:val="18"/>
              </w:rPr>
            </w:pPr>
            <w:r>
              <w:rPr>
                <w:rFonts w:ascii="SimHei" w:eastAsia="SimHei" w:hint="eastAsia"/>
                <w:color w:val="FF0000"/>
                <w:sz w:val="18"/>
              </w:rPr>
              <w:t>1999年</w:t>
            </w:r>
          </w:p>
        </w:tc>
        <w:tc>
          <w:tcPr>
            <w:tcW w:w="635" w:type="pct"/>
          </w:tcPr>
          <w:p w:rsidR="00CE1FDA" w:rsidRDefault="00CE1FDA" w:rsidP="00AC01AA">
            <w:pPr>
              <w:spacing w:line="36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2000年</w:t>
            </w:r>
          </w:p>
        </w:tc>
        <w:tc>
          <w:tcPr>
            <w:tcW w:w="635" w:type="pct"/>
          </w:tcPr>
          <w:p w:rsidR="00CE1FDA" w:rsidRDefault="00CE1FDA" w:rsidP="00AC01AA">
            <w:pPr>
              <w:spacing w:line="36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2001年</w:t>
            </w:r>
          </w:p>
        </w:tc>
        <w:tc>
          <w:tcPr>
            <w:tcW w:w="635" w:type="pct"/>
          </w:tcPr>
          <w:p w:rsidR="00CE1FDA" w:rsidRDefault="00CE1FDA" w:rsidP="00AC01AA">
            <w:pPr>
              <w:spacing w:line="36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2002年</w:t>
            </w:r>
          </w:p>
        </w:tc>
        <w:tc>
          <w:tcPr>
            <w:tcW w:w="635" w:type="pct"/>
          </w:tcPr>
          <w:p w:rsidR="00CE1FDA" w:rsidRDefault="00CE1FDA" w:rsidP="00AC01AA">
            <w:pPr>
              <w:spacing w:line="36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2003年</w:t>
            </w:r>
          </w:p>
        </w:tc>
        <w:tc>
          <w:tcPr>
            <w:tcW w:w="634" w:type="pct"/>
          </w:tcPr>
          <w:p w:rsidR="00CE1FDA" w:rsidRDefault="00CE1FDA" w:rsidP="00AC01AA">
            <w:pPr>
              <w:spacing w:line="36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2004年</w:t>
            </w:r>
          </w:p>
        </w:tc>
      </w:tr>
      <w:tr w:rsidR="00CE1FDA">
        <w:tblPrEx>
          <w:tblCellMar>
            <w:top w:w="0" w:type="dxa"/>
            <w:left w:w="0" w:type="dxa"/>
            <w:bottom w:w="0" w:type="dxa"/>
            <w:right w:w="0" w:type="dxa"/>
          </w:tblCellMar>
        </w:tblPrEx>
        <w:tc>
          <w:tcPr>
            <w:tcW w:w="1192" w:type="pct"/>
          </w:tcPr>
          <w:p w:rsidR="00CE1FDA" w:rsidRDefault="00CE1FDA" w:rsidP="00AC01AA">
            <w:pPr>
              <w:spacing w:line="360" w:lineRule="exact"/>
              <w:ind w:leftChars="50" w:left="31680" w:rightChars="50" w:right="31680"/>
              <w:rPr>
                <w:rFonts w:hint="eastAsia"/>
                <w:sz w:val="18"/>
              </w:rPr>
            </w:pPr>
            <w:r>
              <w:rPr>
                <w:rFonts w:hint="eastAsia"/>
                <w:sz w:val="18"/>
              </w:rPr>
              <w:t>人口贩卖</w:t>
            </w:r>
          </w:p>
        </w:tc>
        <w:tc>
          <w:tcPr>
            <w:tcW w:w="635" w:type="pct"/>
          </w:tcPr>
          <w:p w:rsidR="00CE1FDA" w:rsidRDefault="00CE1FDA" w:rsidP="00AC01AA">
            <w:pPr>
              <w:spacing w:line="360" w:lineRule="exact"/>
              <w:ind w:leftChars="50" w:left="31680" w:rightChars="50" w:right="31680"/>
              <w:jc w:val="center"/>
              <w:rPr>
                <w:rFonts w:hint="eastAsia"/>
                <w:sz w:val="18"/>
              </w:rPr>
            </w:pPr>
            <w:r>
              <w:rPr>
                <w:rFonts w:hint="eastAsia"/>
                <w:sz w:val="18"/>
              </w:rPr>
              <w:t>2</w:t>
            </w:r>
          </w:p>
        </w:tc>
        <w:tc>
          <w:tcPr>
            <w:tcW w:w="635" w:type="pct"/>
          </w:tcPr>
          <w:p w:rsidR="00CE1FDA" w:rsidRDefault="00CE1FDA" w:rsidP="00AC01AA">
            <w:pPr>
              <w:spacing w:line="360" w:lineRule="exact"/>
              <w:ind w:leftChars="50" w:left="31680" w:rightChars="50" w:right="31680"/>
              <w:jc w:val="center"/>
              <w:rPr>
                <w:rFonts w:hint="eastAsia"/>
                <w:sz w:val="18"/>
              </w:rPr>
            </w:pPr>
            <w:r>
              <w:rPr>
                <w:rFonts w:hint="eastAsia"/>
                <w:sz w:val="18"/>
              </w:rPr>
              <w:t>11</w:t>
            </w:r>
          </w:p>
        </w:tc>
        <w:tc>
          <w:tcPr>
            <w:tcW w:w="635" w:type="pct"/>
          </w:tcPr>
          <w:p w:rsidR="00CE1FDA" w:rsidRDefault="00CE1FDA" w:rsidP="00AC01AA">
            <w:pPr>
              <w:spacing w:line="360" w:lineRule="exact"/>
              <w:ind w:leftChars="50" w:left="31680" w:rightChars="50" w:right="31680"/>
              <w:jc w:val="center"/>
              <w:rPr>
                <w:rFonts w:hint="eastAsia"/>
                <w:sz w:val="18"/>
              </w:rPr>
            </w:pPr>
            <w:r>
              <w:rPr>
                <w:rFonts w:hint="eastAsia"/>
                <w:sz w:val="18"/>
              </w:rPr>
              <w:t>34</w:t>
            </w:r>
          </w:p>
        </w:tc>
        <w:tc>
          <w:tcPr>
            <w:tcW w:w="635" w:type="pct"/>
          </w:tcPr>
          <w:p w:rsidR="00CE1FDA" w:rsidRDefault="00CE1FDA" w:rsidP="00AC01AA">
            <w:pPr>
              <w:spacing w:line="360" w:lineRule="exact"/>
              <w:ind w:leftChars="50" w:left="31680" w:rightChars="50" w:right="31680"/>
              <w:jc w:val="center"/>
              <w:rPr>
                <w:rFonts w:hint="eastAsia"/>
                <w:sz w:val="18"/>
              </w:rPr>
            </w:pPr>
            <w:r>
              <w:rPr>
                <w:rFonts w:hint="eastAsia"/>
                <w:sz w:val="18"/>
              </w:rPr>
              <w:t>34</w:t>
            </w:r>
          </w:p>
        </w:tc>
        <w:tc>
          <w:tcPr>
            <w:tcW w:w="635" w:type="pct"/>
          </w:tcPr>
          <w:p w:rsidR="00CE1FDA" w:rsidRDefault="00CE1FDA" w:rsidP="00AC01AA">
            <w:pPr>
              <w:spacing w:line="360" w:lineRule="exact"/>
              <w:ind w:leftChars="50" w:left="31680" w:rightChars="50" w:right="31680"/>
              <w:jc w:val="center"/>
              <w:rPr>
                <w:rFonts w:hint="eastAsia"/>
                <w:sz w:val="18"/>
              </w:rPr>
            </w:pPr>
            <w:r>
              <w:rPr>
                <w:rFonts w:hint="eastAsia"/>
                <w:sz w:val="18"/>
              </w:rPr>
              <w:t>19</w:t>
            </w:r>
          </w:p>
        </w:tc>
        <w:tc>
          <w:tcPr>
            <w:tcW w:w="634" w:type="pct"/>
          </w:tcPr>
          <w:p w:rsidR="00CE1FDA" w:rsidRDefault="00CE1FDA" w:rsidP="00AC01AA">
            <w:pPr>
              <w:spacing w:line="360" w:lineRule="exact"/>
              <w:ind w:leftChars="50" w:left="31680" w:rightChars="50" w:right="31680"/>
              <w:jc w:val="center"/>
              <w:rPr>
                <w:rFonts w:hint="eastAsia"/>
                <w:sz w:val="18"/>
              </w:rPr>
            </w:pPr>
            <w:r>
              <w:rPr>
                <w:rFonts w:hint="eastAsia"/>
                <w:sz w:val="18"/>
              </w:rPr>
              <w:t>22</w:t>
            </w:r>
          </w:p>
        </w:tc>
      </w:tr>
      <w:tr w:rsidR="00CE1FDA">
        <w:tblPrEx>
          <w:tblCellMar>
            <w:top w:w="0" w:type="dxa"/>
            <w:left w:w="0" w:type="dxa"/>
            <w:bottom w:w="0" w:type="dxa"/>
            <w:right w:w="0" w:type="dxa"/>
          </w:tblCellMar>
        </w:tblPrEx>
        <w:tc>
          <w:tcPr>
            <w:tcW w:w="1192" w:type="pct"/>
          </w:tcPr>
          <w:p w:rsidR="00CE1FDA" w:rsidRDefault="00CE1FDA" w:rsidP="00AC01AA">
            <w:pPr>
              <w:spacing w:after="80" w:line="280" w:lineRule="exact"/>
              <w:ind w:leftChars="50" w:left="31680" w:rightChars="50" w:right="31680"/>
              <w:rPr>
                <w:rFonts w:hint="eastAsia"/>
                <w:sz w:val="18"/>
              </w:rPr>
            </w:pPr>
            <w:r>
              <w:rPr>
                <w:rFonts w:hint="eastAsia"/>
                <w:sz w:val="18"/>
              </w:rPr>
              <w:t>与人口贩卖有关的侵犯人身自由行为</w:t>
            </w:r>
          </w:p>
        </w:tc>
        <w:tc>
          <w:tcPr>
            <w:tcW w:w="635" w:type="pct"/>
          </w:tcPr>
          <w:p w:rsidR="00CE1FDA" w:rsidRDefault="00CE1FDA" w:rsidP="00AC01AA">
            <w:pPr>
              <w:spacing w:line="360" w:lineRule="exact"/>
              <w:ind w:leftChars="50" w:left="31680" w:rightChars="50" w:right="31680"/>
              <w:jc w:val="center"/>
              <w:rPr>
                <w:rFonts w:hint="eastAsia"/>
                <w:sz w:val="18"/>
              </w:rPr>
            </w:pPr>
            <w:r>
              <w:rPr>
                <w:rFonts w:hint="eastAsia"/>
                <w:sz w:val="18"/>
              </w:rPr>
              <w:t>7</w:t>
            </w:r>
          </w:p>
        </w:tc>
        <w:tc>
          <w:tcPr>
            <w:tcW w:w="635" w:type="pct"/>
          </w:tcPr>
          <w:p w:rsidR="00CE1FDA" w:rsidRDefault="00CE1FDA" w:rsidP="00AC01AA">
            <w:pPr>
              <w:spacing w:line="360" w:lineRule="exact"/>
              <w:ind w:leftChars="50" w:left="31680" w:rightChars="50" w:right="31680"/>
              <w:jc w:val="center"/>
              <w:rPr>
                <w:rFonts w:hint="eastAsia"/>
                <w:sz w:val="18"/>
              </w:rPr>
            </w:pPr>
            <w:r>
              <w:rPr>
                <w:rFonts w:hint="eastAsia"/>
                <w:sz w:val="18"/>
              </w:rPr>
              <w:t>6</w:t>
            </w:r>
          </w:p>
        </w:tc>
        <w:tc>
          <w:tcPr>
            <w:tcW w:w="635" w:type="pct"/>
          </w:tcPr>
          <w:p w:rsidR="00CE1FDA" w:rsidRDefault="00CE1FDA" w:rsidP="00AC01AA">
            <w:pPr>
              <w:spacing w:line="360" w:lineRule="exact"/>
              <w:ind w:leftChars="50" w:left="31680" w:rightChars="50" w:right="31680"/>
              <w:jc w:val="center"/>
              <w:rPr>
                <w:rFonts w:hint="eastAsia"/>
                <w:sz w:val="18"/>
              </w:rPr>
            </w:pPr>
            <w:r>
              <w:rPr>
                <w:rFonts w:hint="eastAsia"/>
                <w:sz w:val="18"/>
              </w:rPr>
              <w:t>20</w:t>
            </w:r>
          </w:p>
        </w:tc>
        <w:tc>
          <w:tcPr>
            <w:tcW w:w="635" w:type="pct"/>
          </w:tcPr>
          <w:p w:rsidR="00CE1FDA" w:rsidRDefault="00CE1FDA" w:rsidP="00AC01AA">
            <w:pPr>
              <w:spacing w:line="360" w:lineRule="exact"/>
              <w:ind w:leftChars="50" w:left="31680" w:rightChars="50" w:right="31680"/>
              <w:jc w:val="center"/>
              <w:rPr>
                <w:rFonts w:hint="eastAsia"/>
                <w:sz w:val="18"/>
              </w:rPr>
            </w:pPr>
            <w:r>
              <w:rPr>
                <w:rFonts w:hint="eastAsia"/>
                <w:sz w:val="18"/>
              </w:rPr>
              <w:t>16</w:t>
            </w:r>
          </w:p>
        </w:tc>
        <w:tc>
          <w:tcPr>
            <w:tcW w:w="635" w:type="pct"/>
          </w:tcPr>
          <w:p w:rsidR="00CE1FDA" w:rsidRDefault="00CE1FDA" w:rsidP="00AC01AA">
            <w:pPr>
              <w:spacing w:line="360" w:lineRule="exact"/>
              <w:ind w:leftChars="50" w:left="31680" w:rightChars="50" w:right="31680"/>
              <w:jc w:val="center"/>
              <w:rPr>
                <w:rFonts w:hint="eastAsia"/>
                <w:sz w:val="18"/>
              </w:rPr>
            </w:pPr>
            <w:r>
              <w:rPr>
                <w:rFonts w:hint="eastAsia"/>
                <w:sz w:val="18"/>
              </w:rPr>
              <w:t>11</w:t>
            </w:r>
          </w:p>
        </w:tc>
        <w:tc>
          <w:tcPr>
            <w:tcW w:w="634" w:type="pct"/>
          </w:tcPr>
          <w:p w:rsidR="00CE1FDA" w:rsidRDefault="00CE1FDA" w:rsidP="00AC01AA">
            <w:pPr>
              <w:spacing w:line="360" w:lineRule="exact"/>
              <w:ind w:leftChars="50" w:left="31680" w:rightChars="50" w:right="31680"/>
              <w:jc w:val="center"/>
              <w:rPr>
                <w:rFonts w:hint="eastAsia"/>
                <w:sz w:val="18"/>
              </w:rPr>
            </w:pPr>
            <w:r>
              <w:rPr>
                <w:rFonts w:hint="eastAsia"/>
                <w:sz w:val="18"/>
              </w:rPr>
              <w:t>21</w:t>
            </w:r>
          </w:p>
        </w:tc>
      </w:tr>
    </w:tbl>
    <w:p w:rsidR="00CE1FDA" w:rsidRDefault="00CE1FDA">
      <w:pPr>
        <w:spacing w:after="240" w:line="360" w:lineRule="exact"/>
        <w:rPr>
          <w:rFonts w:hint="eastAsia"/>
        </w:rPr>
      </w:pPr>
      <w:r>
        <w:rPr>
          <w:rFonts w:eastAsia="KaiTi_GB2312" w:hint="eastAsia"/>
          <w:color w:val="0000FF"/>
          <w:sz w:val="18"/>
        </w:rPr>
        <w:t>资料来源</w:t>
      </w:r>
      <w:r>
        <w:rPr>
          <w:rFonts w:hint="eastAsia"/>
          <w:sz w:val="18"/>
        </w:rPr>
        <w:t>：</w:t>
      </w:r>
      <w:r>
        <w:rPr>
          <w:rFonts w:hint="eastAsia"/>
          <w:sz w:val="18"/>
        </w:rPr>
        <w:t>ER</w:t>
      </w:r>
      <w:r>
        <w:rPr>
          <w:sz w:val="18"/>
        </w:rPr>
        <w:t>Ü</w:t>
      </w:r>
      <w:r>
        <w:rPr>
          <w:rFonts w:hint="eastAsia"/>
          <w:sz w:val="18"/>
        </w:rPr>
        <w:t>BS</w:t>
      </w:r>
      <w:r>
        <w:rPr>
          <w:rFonts w:hint="eastAsia"/>
          <w:sz w:val="18"/>
        </w:rPr>
        <w:t>。</w:t>
      </w:r>
    </w:p>
    <w:p w:rsidR="00CE1FDA" w:rsidRDefault="00CE1FDA">
      <w:pPr>
        <w:spacing w:after="240" w:line="360" w:lineRule="exact"/>
        <w:rPr>
          <w:rFonts w:ascii="KaiTi_GB2312" w:eastAsia="KaiTi_GB2312" w:hint="eastAsia"/>
          <w:color w:val="0000FF"/>
        </w:rPr>
      </w:pPr>
      <w:r>
        <w:rPr>
          <w:rFonts w:ascii="KaiTi_GB2312" w:eastAsia="KaiTi_GB2312" w:hint="eastAsia"/>
          <w:color w:val="0000FF"/>
        </w:rPr>
        <w:t>第7条</w:t>
      </w:r>
    </w:p>
    <w:p w:rsidR="00CE1FDA" w:rsidRDefault="00CE1FDA">
      <w:pPr>
        <w:spacing w:after="240" w:line="360" w:lineRule="exact"/>
        <w:rPr>
          <w:rFonts w:ascii="SimHei" w:eastAsia="SimHei" w:hint="eastAsia"/>
          <w:color w:val="FF0000"/>
        </w:rPr>
      </w:pPr>
      <w:r>
        <w:rPr>
          <w:rFonts w:ascii="SimHei" w:eastAsia="SimHei" w:hint="eastAsia"/>
          <w:color w:val="FF0000"/>
        </w:rPr>
        <w:t>7.1</w:t>
      </w:r>
      <w:r>
        <w:rPr>
          <w:rFonts w:ascii="SimHei" w:eastAsia="SimHei"/>
          <w:color w:val="FF0000"/>
        </w:rPr>
        <w:t>.</w:t>
      </w:r>
      <w:r>
        <w:rPr>
          <w:rFonts w:ascii="SimHei" w:eastAsia="SimHei" w:hint="eastAsia"/>
          <w:color w:val="FF0000"/>
        </w:rPr>
        <w:t xml:space="preserve"> 参加国家选举的男女比例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85"/>
        <w:gridCol w:w="1424"/>
        <w:gridCol w:w="1864"/>
        <w:gridCol w:w="1666"/>
        <w:gridCol w:w="1621"/>
      </w:tblGrid>
      <w:tr w:rsidR="00CE1FDA">
        <w:tblPrEx>
          <w:tblCellMar>
            <w:top w:w="0" w:type="dxa"/>
            <w:left w:w="0" w:type="dxa"/>
            <w:bottom w:w="0" w:type="dxa"/>
            <w:right w:w="0" w:type="dxa"/>
          </w:tblCellMar>
        </w:tblPrEx>
        <w:trPr>
          <w:cantSplit/>
        </w:trPr>
        <w:tc>
          <w:tcPr>
            <w:tcW w:w="1666" w:type="pct"/>
            <w:vMerge w:val="restart"/>
            <w:vAlign w:val="center"/>
          </w:tcPr>
          <w:p w:rsidR="00CE1FDA" w:rsidRDefault="00CE1FDA" w:rsidP="00AC01AA">
            <w:pPr>
              <w:spacing w:before="60" w:after="60" w:line="300" w:lineRule="exact"/>
              <w:ind w:leftChars="50" w:left="31680" w:rightChars="50" w:right="31680"/>
              <w:rPr>
                <w:rFonts w:ascii="SimHei" w:eastAsia="SimHei" w:hint="eastAsia"/>
                <w:color w:val="FF0000"/>
                <w:sz w:val="18"/>
              </w:rPr>
            </w:pPr>
            <w:r>
              <w:rPr>
                <w:rFonts w:ascii="SimHei" w:eastAsia="SimHei" w:hint="eastAsia"/>
                <w:color w:val="FF0000"/>
                <w:sz w:val="18"/>
              </w:rPr>
              <w:t>选举年份/被调查者人数</w:t>
            </w:r>
          </w:p>
        </w:tc>
        <w:tc>
          <w:tcPr>
            <w:tcW w:w="1667" w:type="pct"/>
            <w:gridSpan w:val="2"/>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所有被调查者</w:t>
            </w:r>
          </w:p>
        </w:tc>
        <w:tc>
          <w:tcPr>
            <w:tcW w:w="1667" w:type="pct"/>
            <w:gridSpan w:val="2"/>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选举人百分比</w:t>
            </w:r>
          </w:p>
        </w:tc>
      </w:tr>
      <w:tr w:rsidR="00CE1FDA">
        <w:tblPrEx>
          <w:tblCellMar>
            <w:top w:w="0" w:type="dxa"/>
            <w:left w:w="0" w:type="dxa"/>
            <w:bottom w:w="0" w:type="dxa"/>
            <w:right w:w="0" w:type="dxa"/>
          </w:tblCellMar>
        </w:tblPrEx>
        <w:trPr>
          <w:cantSplit/>
        </w:trPr>
        <w:tc>
          <w:tcPr>
            <w:tcW w:w="1666" w:type="pct"/>
            <w:vMerge/>
          </w:tcPr>
          <w:p w:rsidR="00CE1FDA" w:rsidRDefault="00CE1FDA" w:rsidP="00AC01AA">
            <w:pPr>
              <w:spacing w:before="60" w:after="60" w:line="300" w:lineRule="exact"/>
              <w:ind w:leftChars="50" w:left="31680" w:rightChars="50" w:right="31680"/>
              <w:rPr>
                <w:rFonts w:ascii="SimHei" w:eastAsia="SimHei" w:hint="eastAsia"/>
                <w:color w:val="FF0000"/>
                <w:sz w:val="18"/>
              </w:rPr>
            </w:pPr>
          </w:p>
        </w:tc>
        <w:tc>
          <w:tcPr>
            <w:tcW w:w="722"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c>
          <w:tcPr>
            <w:tcW w:w="945"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c>
          <w:tcPr>
            <w:tcW w:w="845"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c>
          <w:tcPr>
            <w:tcW w:w="822"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r>
      <w:tr w:rsidR="00CE1FDA">
        <w:tblPrEx>
          <w:tblCellMar>
            <w:top w:w="0" w:type="dxa"/>
            <w:left w:w="0" w:type="dxa"/>
            <w:bottom w:w="0" w:type="dxa"/>
            <w:right w:w="0" w:type="dxa"/>
          </w:tblCellMar>
        </w:tblPrEx>
        <w:tc>
          <w:tcPr>
            <w:tcW w:w="1666" w:type="pct"/>
          </w:tcPr>
          <w:p w:rsidR="00CE1FDA" w:rsidRDefault="00CE1FDA" w:rsidP="00AC01AA">
            <w:pPr>
              <w:spacing w:before="60" w:after="60" w:line="300" w:lineRule="exact"/>
              <w:ind w:leftChars="50" w:left="31680" w:rightChars="50" w:right="31680"/>
              <w:rPr>
                <w:rFonts w:hint="eastAsia"/>
                <w:sz w:val="18"/>
              </w:rPr>
            </w:pPr>
            <w:r>
              <w:rPr>
                <w:rFonts w:hint="eastAsia"/>
                <w:sz w:val="18"/>
              </w:rPr>
              <w:t>1990/N=886</w:t>
            </w:r>
          </w:p>
        </w:tc>
        <w:tc>
          <w:tcPr>
            <w:tcW w:w="722"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475</w:t>
            </w:r>
          </w:p>
        </w:tc>
        <w:tc>
          <w:tcPr>
            <w:tcW w:w="945"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411</w:t>
            </w:r>
          </w:p>
        </w:tc>
        <w:tc>
          <w:tcPr>
            <w:tcW w:w="845"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77.1</w:t>
            </w:r>
          </w:p>
        </w:tc>
        <w:tc>
          <w:tcPr>
            <w:tcW w:w="822"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78.6</w:t>
            </w:r>
          </w:p>
        </w:tc>
      </w:tr>
      <w:tr w:rsidR="00CE1FDA">
        <w:tblPrEx>
          <w:tblCellMar>
            <w:top w:w="0" w:type="dxa"/>
            <w:left w:w="0" w:type="dxa"/>
            <w:bottom w:w="0" w:type="dxa"/>
            <w:right w:w="0" w:type="dxa"/>
          </w:tblCellMar>
        </w:tblPrEx>
        <w:tc>
          <w:tcPr>
            <w:tcW w:w="1666" w:type="pct"/>
          </w:tcPr>
          <w:p w:rsidR="00CE1FDA" w:rsidRDefault="00CE1FDA" w:rsidP="00AC01AA">
            <w:pPr>
              <w:spacing w:before="60" w:after="60" w:line="300" w:lineRule="exact"/>
              <w:ind w:leftChars="50" w:left="31680" w:rightChars="50" w:right="31680"/>
              <w:rPr>
                <w:rFonts w:hint="eastAsia"/>
                <w:sz w:val="18"/>
              </w:rPr>
            </w:pPr>
            <w:r>
              <w:rPr>
                <w:rFonts w:hint="eastAsia"/>
                <w:sz w:val="18"/>
              </w:rPr>
              <w:t>1994/N=1 289</w:t>
            </w:r>
          </w:p>
        </w:tc>
        <w:tc>
          <w:tcPr>
            <w:tcW w:w="722"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694</w:t>
            </w:r>
          </w:p>
        </w:tc>
        <w:tc>
          <w:tcPr>
            <w:tcW w:w="945"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595</w:t>
            </w:r>
          </w:p>
        </w:tc>
        <w:tc>
          <w:tcPr>
            <w:tcW w:w="845"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77.4</w:t>
            </w:r>
          </w:p>
        </w:tc>
        <w:tc>
          <w:tcPr>
            <w:tcW w:w="822"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78.0</w:t>
            </w:r>
          </w:p>
        </w:tc>
      </w:tr>
      <w:tr w:rsidR="00CE1FDA">
        <w:tblPrEx>
          <w:tblCellMar>
            <w:top w:w="0" w:type="dxa"/>
            <w:left w:w="0" w:type="dxa"/>
            <w:bottom w:w="0" w:type="dxa"/>
            <w:right w:w="0" w:type="dxa"/>
          </w:tblCellMar>
        </w:tblPrEx>
        <w:tc>
          <w:tcPr>
            <w:tcW w:w="1666" w:type="pct"/>
          </w:tcPr>
          <w:p w:rsidR="00CE1FDA" w:rsidRDefault="00CE1FDA" w:rsidP="00AC01AA">
            <w:pPr>
              <w:spacing w:before="60" w:after="60" w:line="300" w:lineRule="exact"/>
              <w:ind w:leftChars="50" w:left="31680" w:rightChars="50" w:right="31680"/>
              <w:rPr>
                <w:rFonts w:hint="eastAsia"/>
                <w:sz w:val="18"/>
              </w:rPr>
            </w:pPr>
            <w:r>
              <w:rPr>
                <w:rFonts w:hint="eastAsia"/>
                <w:sz w:val="18"/>
              </w:rPr>
              <w:t>1998/N=1 500</w:t>
            </w:r>
          </w:p>
        </w:tc>
        <w:tc>
          <w:tcPr>
            <w:tcW w:w="722"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797</w:t>
            </w:r>
          </w:p>
        </w:tc>
        <w:tc>
          <w:tcPr>
            <w:tcW w:w="945"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699</w:t>
            </w:r>
          </w:p>
        </w:tc>
        <w:tc>
          <w:tcPr>
            <w:tcW w:w="845"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67.9</w:t>
            </w:r>
          </w:p>
        </w:tc>
        <w:tc>
          <w:tcPr>
            <w:tcW w:w="822"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67.4</w:t>
            </w:r>
          </w:p>
        </w:tc>
      </w:tr>
      <w:tr w:rsidR="00CE1FDA">
        <w:tblPrEx>
          <w:tblCellMar>
            <w:top w:w="0" w:type="dxa"/>
            <w:left w:w="0" w:type="dxa"/>
            <w:bottom w:w="0" w:type="dxa"/>
            <w:right w:w="0" w:type="dxa"/>
          </w:tblCellMar>
        </w:tblPrEx>
        <w:tc>
          <w:tcPr>
            <w:tcW w:w="1666" w:type="pct"/>
          </w:tcPr>
          <w:p w:rsidR="00CE1FDA" w:rsidRDefault="00CE1FDA" w:rsidP="00AC01AA">
            <w:pPr>
              <w:spacing w:before="60" w:after="60" w:line="300" w:lineRule="exact"/>
              <w:ind w:leftChars="50" w:left="31680" w:rightChars="50" w:right="31680"/>
              <w:rPr>
                <w:rFonts w:hint="eastAsia"/>
                <w:sz w:val="18"/>
              </w:rPr>
            </w:pPr>
            <w:r>
              <w:rPr>
                <w:rFonts w:hint="eastAsia"/>
                <w:sz w:val="18"/>
              </w:rPr>
              <w:t>2002/N=1 523</w:t>
            </w:r>
          </w:p>
        </w:tc>
        <w:tc>
          <w:tcPr>
            <w:tcW w:w="722"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811</w:t>
            </w:r>
          </w:p>
        </w:tc>
        <w:tc>
          <w:tcPr>
            <w:tcW w:w="945"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712</w:t>
            </w:r>
          </w:p>
        </w:tc>
        <w:tc>
          <w:tcPr>
            <w:tcW w:w="845"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81.9</w:t>
            </w:r>
          </w:p>
        </w:tc>
        <w:tc>
          <w:tcPr>
            <w:tcW w:w="822"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84.8</w:t>
            </w:r>
          </w:p>
        </w:tc>
      </w:tr>
    </w:tbl>
    <w:p w:rsidR="00CE1FDA" w:rsidRDefault="00CE1FDA">
      <w:pPr>
        <w:spacing w:after="240" w:line="360" w:lineRule="exact"/>
        <w:rPr>
          <w:rFonts w:hint="eastAsia"/>
          <w:sz w:val="18"/>
        </w:rPr>
      </w:pPr>
      <w:r>
        <w:rPr>
          <w:rFonts w:eastAsia="KaiTi_GB2312" w:hint="eastAsia"/>
          <w:color w:val="0000FF"/>
          <w:sz w:val="18"/>
        </w:rPr>
        <w:t>资料来源</w:t>
      </w:r>
      <w:r>
        <w:rPr>
          <w:rFonts w:hint="eastAsia"/>
          <w:sz w:val="18"/>
        </w:rPr>
        <w:t>：“匈牙利的妇女和男子”，表</w:t>
      </w:r>
      <w:r>
        <w:rPr>
          <w:rFonts w:hint="eastAsia"/>
          <w:sz w:val="18"/>
        </w:rPr>
        <w:t>11.1</w:t>
      </w:r>
      <w:r>
        <w:rPr>
          <w:rFonts w:hint="eastAsia"/>
          <w:sz w:val="18"/>
        </w:rPr>
        <w:t>，</w:t>
      </w:r>
      <w:r>
        <w:rPr>
          <w:rFonts w:hint="eastAsia"/>
          <w:sz w:val="18"/>
        </w:rPr>
        <w:t>2004</w:t>
      </w:r>
      <w:r>
        <w:rPr>
          <w:rFonts w:hint="eastAsia"/>
          <w:sz w:val="18"/>
        </w:rPr>
        <w:t>年，中央统计局。</w:t>
      </w:r>
    </w:p>
    <w:p w:rsidR="00CE1FDA" w:rsidRDefault="00CE1FDA">
      <w:pPr>
        <w:spacing w:after="240" w:line="360" w:lineRule="exact"/>
        <w:rPr>
          <w:rFonts w:ascii="SimHei" w:eastAsia="SimHei" w:hint="eastAsia"/>
          <w:color w:val="FF0000"/>
        </w:rPr>
      </w:pPr>
      <w:r>
        <w:rPr>
          <w:rFonts w:ascii="SimHei" w:eastAsia="SimHei" w:hint="eastAsia"/>
          <w:color w:val="FF0000"/>
        </w:rPr>
        <w:t>7.2</w:t>
      </w:r>
      <w:r>
        <w:rPr>
          <w:rFonts w:ascii="SimHei" w:eastAsia="SimHei"/>
          <w:color w:val="FF0000"/>
        </w:rPr>
        <w:t>.</w:t>
      </w:r>
      <w:r>
        <w:rPr>
          <w:rFonts w:ascii="SimHei" w:eastAsia="SimHei" w:hint="eastAsia"/>
          <w:color w:val="FF0000"/>
        </w:rPr>
        <w:t xml:space="preserve">  2002-2004年最高政府一级的男女比例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05"/>
        <w:gridCol w:w="671"/>
        <w:gridCol w:w="673"/>
        <w:gridCol w:w="671"/>
        <w:gridCol w:w="673"/>
        <w:gridCol w:w="671"/>
        <w:gridCol w:w="672"/>
        <w:gridCol w:w="670"/>
        <w:gridCol w:w="672"/>
        <w:gridCol w:w="670"/>
        <w:gridCol w:w="672"/>
        <w:gridCol w:w="670"/>
        <w:gridCol w:w="670"/>
      </w:tblGrid>
      <w:tr w:rsidR="00CE1FDA">
        <w:tblPrEx>
          <w:tblCellMar>
            <w:top w:w="0" w:type="dxa"/>
            <w:left w:w="0" w:type="dxa"/>
            <w:bottom w:w="0" w:type="dxa"/>
            <w:right w:w="0" w:type="dxa"/>
          </w:tblCellMar>
        </w:tblPrEx>
        <w:tc>
          <w:tcPr>
            <w:tcW w:w="915" w:type="pct"/>
          </w:tcPr>
          <w:p w:rsidR="00CE1FDA" w:rsidRDefault="00CE1FDA" w:rsidP="00AC01AA">
            <w:pPr>
              <w:spacing w:before="60" w:after="60" w:line="300" w:lineRule="exact"/>
              <w:ind w:leftChars="50" w:left="31680" w:rightChars="50" w:right="31680"/>
              <w:rPr>
                <w:rFonts w:ascii="SimHei" w:eastAsia="SimHei" w:hint="eastAsia"/>
                <w:color w:val="FF0000"/>
                <w:sz w:val="18"/>
              </w:rPr>
            </w:pPr>
          </w:p>
        </w:tc>
        <w:tc>
          <w:tcPr>
            <w:tcW w:w="1362" w:type="pct"/>
            <w:gridSpan w:val="4"/>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2002年</w:t>
            </w:r>
          </w:p>
        </w:tc>
        <w:tc>
          <w:tcPr>
            <w:tcW w:w="1362" w:type="pct"/>
            <w:gridSpan w:val="4"/>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2003年</w:t>
            </w:r>
          </w:p>
        </w:tc>
        <w:tc>
          <w:tcPr>
            <w:tcW w:w="1362" w:type="pct"/>
            <w:gridSpan w:val="4"/>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2004年</w:t>
            </w:r>
          </w:p>
        </w:tc>
      </w:tr>
      <w:tr w:rsidR="00CE1FDA">
        <w:tblPrEx>
          <w:tblCellMar>
            <w:top w:w="0" w:type="dxa"/>
            <w:left w:w="0" w:type="dxa"/>
            <w:bottom w:w="0" w:type="dxa"/>
            <w:right w:w="0" w:type="dxa"/>
          </w:tblCellMar>
        </w:tblPrEx>
        <w:trPr>
          <w:trHeight w:val="324"/>
        </w:trPr>
        <w:tc>
          <w:tcPr>
            <w:tcW w:w="915" w:type="pct"/>
          </w:tcPr>
          <w:p w:rsidR="00CE1FDA" w:rsidRDefault="00CE1FDA" w:rsidP="00AC01AA">
            <w:pPr>
              <w:spacing w:before="60" w:after="60" w:line="300" w:lineRule="exact"/>
              <w:ind w:leftChars="50" w:left="31680" w:rightChars="50" w:right="31680"/>
              <w:rPr>
                <w:rFonts w:ascii="SimHei" w:eastAsia="SimHei" w:hint="eastAsia"/>
                <w:color w:val="FF0000"/>
                <w:sz w:val="18"/>
              </w:rPr>
            </w:pPr>
          </w:p>
        </w:tc>
        <w:tc>
          <w:tcPr>
            <w:tcW w:w="681" w:type="pct"/>
            <w:gridSpan w:val="2"/>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c>
          <w:tcPr>
            <w:tcW w:w="681" w:type="pct"/>
            <w:gridSpan w:val="2"/>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c>
          <w:tcPr>
            <w:tcW w:w="681" w:type="pct"/>
            <w:gridSpan w:val="2"/>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c>
          <w:tcPr>
            <w:tcW w:w="681" w:type="pct"/>
            <w:gridSpan w:val="2"/>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c>
          <w:tcPr>
            <w:tcW w:w="681" w:type="pct"/>
            <w:gridSpan w:val="2"/>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c>
          <w:tcPr>
            <w:tcW w:w="681" w:type="pct"/>
            <w:gridSpan w:val="2"/>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r>
      <w:tr w:rsidR="00CE1FDA">
        <w:tblPrEx>
          <w:tblCellMar>
            <w:top w:w="0" w:type="dxa"/>
            <w:left w:w="0" w:type="dxa"/>
            <w:bottom w:w="0" w:type="dxa"/>
            <w:right w:w="0" w:type="dxa"/>
          </w:tblCellMar>
        </w:tblPrEx>
        <w:tc>
          <w:tcPr>
            <w:tcW w:w="915" w:type="pct"/>
          </w:tcPr>
          <w:p w:rsidR="00CE1FDA" w:rsidRDefault="00CE1FDA" w:rsidP="00AC01AA">
            <w:pPr>
              <w:spacing w:before="60" w:after="60" w:line="300" w:lineRule="exact"/>
              <w:ind w:leftChars="50" w:left="31680" w:rightChars="50" w:right="31680"/>
              <w:rPr>
                <w:rFonts w:ascii="SimHei" w:eastAsia="SimHei" w:hint="eastAsia"/>
                <w:color w:val="FF0000"/>
                <w:sz w:val="18"/>
              </w:rPr>
            </w:pPr>
          </w:p>
        </w:tc>
        <w:tc>
          <w:tcPr>
            <w:tcW w:w="340"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人数</w:t>
            </w:r>
          </w:p>
        </w:tc>
        <w:tc>
          <w:tcPr>
            <w:tcW w:w="340"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w:t>
            </w:r>
          </w:p>
        </w:tc>
        <w:tc>
          <w:tcPr>
            <w:tcW w:w="340"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人数</w:t>
            </w:r>
          </w:p>
        </w:tc>
        <w:tc>
          <w:tcPr>
            <w:tcW w:w="341"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w:t>
            </w:r>
          </w:p>
        </w:tc>
        <w:tc>
          <w:tcPr>
            <w:tcW w:w="340"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人数</w:t>
            </w:r>
          </w:p>
        </w:tc>
        <w:tc>
          <w:tcPr>
            <w:tcW w:w="340"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w:t>
            </w:r>
          </w:p>
        </w:tc>
        <w:tc>
          <w:tcPr>
            <w:tcW w:w="340"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人数</w:t>
            </w:r>
          </w:p>
        </w:tc>
        <w:tc>
          <w:tcPr>
            <w:tcW w:w="341"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w:t>
            </w:r>
          </w:p>
        </w:tc>
        <w:tc>
          <w:tcPr>
            <w:tcW w:w="340"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人数</w:t>
            </w:r>
          </w:p>
        </w:tc>
        <w:tc>
          <w:tcPr>
            <w:tcW w:w="340"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w:t>
            </w:r>
          </w:p>
        </w:tc>
        <w:tc>
          <w:tcPr>
            <w:tcW w:w="340"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人数</w:t>
            </w:r>
          </w:p>
        </w:tc>
        <w:tc>
          <w:tcPr>
            <w:tcW w:w="341"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w:t>
            </w:r>
          </w:p>
        </w:tc>
      </w:tr>
      <w:tr w:rsidR="00CE1FDA">
        <w:tblPrEx>
          <w:tblCellMar>
            <w:top w:w="0" w:type="dxa"/>
            <w:left w:w="0" w:type="dxa"/>
            <w:bottom w:w="0" w:type="dxa"/>
            <w:right w:w="0" w:type="dxa"/>
          </w:tblCellMar>
        </w:tblPrEx>
        <w:tc>
          <w:tcPr>
            <w:tcW w:w="915" w:type="pct"/>
          </w:tcPr>
          <w:p w:rsidR="00CE1FDA" w:rsidRDefault="00CE1FDA" w:rsidP="00AC01AA">
            <w:pPr>
              <w:spacing w:before="60" w:after="60" w:line="300" w:lineRule="exact"/>
              <w:ind w:leftChars="50" w:left="31680" w:rightChars="50" w:right="31680"/>
              <w:rPr>
                <w:rFonts w:hint="eastAsia"/>
                <w:sz w:val="18"/>
              </w:rPr>
            </w:pPr>
            <w:r>
              <w:rPr>
                <w:rFonts w:hint="eastAsia"/>
                <w:sz w:val="18"/>
              </w:rPr>
              <w:t>部长</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12</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80</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3</w:t>
            </w:r>
          </w:p>
        </w:tc>
        <w:tc>
          <w:tcPr>
            <w:tcW w:w="341"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20</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15</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88</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2</w:t>
            </w:r>
          </w:p>
        </w:tc>
        <w:tc>
          <w:tcPr>
            <w:tcW w:w="341"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12</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15</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88</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2</w:t>
            </w:r>
          </w:p>
        </w:tc>
        <w:tc>
          <w:tcPr>
            <w:tcW w:w="341"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12</w:t>
            </w:r>
          </w:p>
        </w:tc>
      </w:tr>
      <w:tr w:rsidR="00CE1FDA">
        <w:tblPrEx>
          <w:tblCellMar>
            <w:top w:w="0" w:type="dxa"/>
            <w:left w:w="0" w:type="dxa"/>
            <w:bottom w:w="0" w:type="dxa"/>
            <w:right w:w="0" w:type="dxa"/>
          </w:tblCellMar>
        </w:tblPrEx>
        <w:tc>
          <w:tcPr>
            <w:tcW w:w="915" w:type="pct"/>
          </w:tcPr>
          <w:p w:rsidR="00CE1FDA" w:rsidRDefault="00CE1FDA" w:rsidP="00AC01AA">
            <w:pPr>
              <w:spacing w:before="60" w:after="60" w:line="300" w:lineRule="exact"/>
              <w:ind w:leftChars="50" w:left="31680" w:rightChars="50" w:right="31680"/>
              <w:rPr>
                <w:rFonts w:hint="eastAsia"/>
                <w:sz w:val="18"/>
              </w:rPr>
            </w:pPr>
            <w:r>
              <w:rPr>
                <w:rFonts w:hint="eastAsia"/>
                <w:sz w:val="18"/>
              </w:rPr>
              <w:t>政治国务秘书</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24</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96</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w:t>
            </w:r>
          </w:p>
        </w:tc>
        <w:tc>
          <w:tcPr>
            <w:tcW w:w="341"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4</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13</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87</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2</w:t>
            </w:r>
          </w:p>
        </w:tc>
        <w:tc>
          <w:tcPr>
            <w:tcW w:w="341"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13</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23</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92</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2</w:t>
            </w:r>
          </w:p>
        </w:tc>
        <w:tc>
          <w:tcPr>
            <w:tcW w:w="341"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8</w:t>
            </w:r>
          </w:p>
        </w:tc>
      </w:tr>
      <w:tr w:rsidR="00CE1FDA">
        <w:tblPrEx>
          <w:tblCellMar>
            <w:top w:w="0" w:type="dxa"/>
            <w:left w:w="0" w:type="dxa"/>
            <w:bottom w:w="0" w:type="dxa"/>
            <w:right w:w="0" w:type="dxa"/>
          </w:tblCellMar>
        </w:tblPrEx>
        <w:tc>
          <w:tcPr>
            <w:tcW w:w="915" w:type="pct"/>
          </w:tcPr>
          <w:p w:rsidR="00CE1FDA" w:rsidRDefault="00CE1FDA" w:rsidP="00AC01AA">
            <w:pPr>
              <w:spacing w:before="60" w:after="60" w:line="300" w:lineRule="exact"/>
              <w:ind w:leftChars="50" w:left="31680" w:rightChars="50" w:right="31680"/>
              <w:rPr>
                <w:rFonts w:hint="eastAsia"/>
                <w:sz w:val="18"/>
              </w:rPr>
            </w:pPr>
            <w:r>
              <w:rPr>
                <w:rFonts w:hint="eastAsia"/>
                <w:sz w:val="18"/>
              </w:rPr>
              <w:t>行政国务秘书</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14</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93</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w:t>
            </w:r>
          </w:p>
        </w:tc>
        <w:tc>
          <w:tcPr>
            <w:tcW w:w="341"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7</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22</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92</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2</w:t>
            </w:r>
          </w:p>
        </w:tc>
        <w:tc>
          <w:tcPr>
            <w:tcW w:w="341"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8</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13</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87</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2</w:t>
            </w:r>
          </w:p>
        </w:tc>
        <w:tc>
          <w:tcPr>
            <w:tcW w:w="341"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13</w:t>
            </w:r>
          </w:p>
        </w:tc>
      </w:tr>
      <w:tr w:rsidR="00CE1FDA">
        <w:tblPrEx>
          <w:tblCellMar>
            <w:top w:w="0" w:type="dxa"/>
            <w:left w:w="0" w:type="dxa"/>
            <w:bottom w:w="0" w:type="dxa"/>
            <w:right w:w="0" w:type="dxa"/>
          </w:tblCellMar>
        </w:tblPrEx>
        <w:tc>
          <w:tcPr>
            <w:tcW w:w="915" w:type="pct"/>
          </w:tcPr>
          <w:p w:rsidR="00CE1FDA" w:rsidRDefault="00CE1FDA" w:rsidP="00AC01AA">
            <w:pPr>
              <w:spacing w:before="60" w:after="60" w:line="300" w:lineRule="exact"/>
              <w:ind w:leftChars="50" w:left="31680" w:rightChars="50" w:right="31680"/>
              <w:rPr>
                <w:rFonts w:hint="eastAsia"/>
                <w:sz w:val="18"/>
              </w:rPr>
            </w:pPr>
            <w:r>
              <w:rPr>
                <w:rFonts w:hint="eastAsia"/>
                <w:sz w:val="18"/>
              </w:rPr>
              <w:t>名义国务秘书</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3</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100</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0</w:t>
            </w:r>
          </w:p>
        </w:tc>
        <w:tc>
          <w:tcPr>
            <w:tcW w:w="341"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0</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4</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80</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w:t>
            </w:r>
          </w:p>
        </w:tc>
        <w:tc>
          <w:tcPr>
            <w:tcW w:w="341"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20</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4</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80</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w:t>
            </w:r>
          </w:p>
        </w:tc>
        <w:tc>
          <w:tcPr>
            <w:tcW w:w="341"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20</w:t>
            </w:r>
          </w:p>
        </w:tc>
      </w:tr>
      <w:tr w:rsidR="00CE1FDA">
        <w:tblPrEx>
          <w:tblCellMar>
            <w:top w:w="0" w:type="dxa"/>
            <w:left w:w="0" w:type="dxa"/>
            <w:bottom w:w="0" w:type="dxa"/>
            <w:right w:w="0" w:type="dxa"/>
          </w:tblCellMar>
        </w:tblPrEx>
        <w:tc>
          <w:tcPr>
            <w:tcW w:w="915" w:type="pct"/>
          </w:tcPr>
          <w:p w:rsidR="00CE1FDA" w:rsidRDefault="00CE1FDA" w:rsidP="00AC01AA">
            <w:pPr>
              <w:spacing w:before="60" w:after="60" w:line="300" w:lineRule="exact"/>
              <w:ind w:leftChars="50" w:left="31680" w:rightChars="50" w:right="31680"/>
              <w:rPr>
                <w:rFonts w:hint="eastAsia"/>
                <w:sz w:val="18"/>
              </w:rPr>
            </w:pPr>
            <w:r>
              <w:rPr>
                <w:rFonts w:hint="eastAsia"/>
                <w:sz w:val="18"/>
              </w:rPr>
              <w:t>副国务秘书</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58</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79</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15</w:t>
            </w:r>
          </w:p>
        </w:tc>
        <w:tc>
          <w:tcPr>
            <w:tcW w:w="341"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21</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60</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77</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18</w:t>
            </w:r>
          </w:p>
        </w:tc>
        <w:tc>
          <w:tcPr>
            <w:tcW w:w="341"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23</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60</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74</w:t>
            </w:r>
          </w:p>
        </w:tc>
        <w:tc>
          <w:tcPr>
            <w:tcW w:w="3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21</w:t>
            </w:r>
          </w:p>
        </w:tc>
        <w:tc>
          <w:tcPr>
            <w:tcW w:w="341"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26</w:t>
            </w:r>
          </w:p>
        </w:tc>
      </w:tr>
    </w:tbl>
    <w:p w:rsidR="00CE1FDA" w:rsidRDefault="00CE1FDA">
      <w:pPr>
        <w:spacing w:after="240" w:line="360" w:lineRule="exact"/>
        <w:rPr>
          <w:rFonts w:hint="eastAsia"/>
          <w:sz w:val="18"/>
        </w:rPr>
      </w:pPr>
      <w:r>
        <w:rPr>
          <w:rFonts w:hint="eastAsia"/>
          <w:sz w:val="18"/>
        </w:rPr>
        <w:t>作者根据来自各部主页的数据和相关年份的《匈牙利政治年鉴》进行的估算（编辑</w:t>
      </w:r>
      <w:r>
        <w:rPr>
          <w:rFonts w:hint="eastAsia"/>
          <w:sz w:val="18"/>
        </w:rPr>
        <w:t>Kurt</w:t>
      </w:r>
      <w:r>
        <w:rPr>
          <w:sz w:val="18"/>
        </w:rPr>
        <w:t>á</w:t>
      </w:r>
      <w:r>
        <w:rPr>
          <w:rFonts w:hint="eastAsia"/>
          <w:sz w:val="18"/>
        </w:rPr>
        <w:t xml:space="preserve">n S. </w:t>
      </w:r>
      <w:r>
        <w:rPr>
          <w:sz w:val="18"/>
        </w:rPr>
        <w:t>–</w:t>
      </w:r>
      <w:r>
        <w:rPr>
          <w:rFonts w:hint="eastAsia"/>
          <w:sz w:val="18"/>
        </w:rPr>
        <w:t>S</w:t>
      </w:r>
      <w:r>
        <w:rPr>
          <w:sz w:val="18"/>
        </w:rPr>
        <w:t>á</w:t>
      </w:r>
      <w:r>
        <w:rPr>
          <w:rFonts w:hint="eastAsia"/>
          <w:sz w:val="18"/>
        </w:rPr>
        <w:t>ndor P</w:t>
      </w:r>
      <w:r>
        <w:rPr>
          <w:sz w:val="18"/>
        </w:rPr>
        <w:t>.</w:t>
      </w:r>
      <w:r>
        <w:rPr>
          <w:rFonts w:hint="eastAsia"/>
          <w:sz w:val="18"/>
        </w:rPr>
        <w:t xml:space="preserve"> - Vass L</w:t>
      </w:r>
      <w:r>
        <w:rPr>
          <w:sz w:val="18"/>
        </w:rPr>
        <w:t>.</w:t>
      </w:r>
      <w:r>
        <w:rPr>
          <w:rFonts w:hint="eastAsia"/>
          <w:sz w:val="18"/>
        </w:rPr>
        <w:t>）。</w:t>
      </w:r>
      <w:r>
        <w:rPr>
          <w:rFonts w:hint="eastAsia"/>
          <w:sz w:val="18"/>
        </w:rPr>
        <w:t xml:space="preserve"> </w:t>
      </w:r>
    </w:p>
    <w:p w:rsidR="00CE1FDA" w:rsidRDefault="00CE1FDA">
      <w:pPr>
        <w:spacing w:after="240" w:line="360" w:lineRule="exact"/>
        <w:rPr>
          <w:rFonts w:ascii="SimHei" w:eastAsia="SimHei" w:hint="eastAsia"/>
          <w:color w:val="FF0000"/>
        </w:rPr>
      </w:pPr>
      <w:r>
        <w:rPr>
          <w:rFonts w:ascii="SimHei" w:eastAsia="SimHei" w:hint="eastAsia"/>
          <w:color w:val="FF0000"/>
        </w:rPr>
        <w:t>7.3. 2002年地方政府选举候选人的性别情况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86"/>
        <w:gridCol w:w="1631"/>
        <w:gridCol w:w="1656"/>
        <w:gridCol w:w="1666"/>
        <w:gridCol w:w="1621"/>
      </w:tblGrid>
      <w:tr w:rsidR="00CE1FDA">
        <w:tblPrEx>
          <w:tblCellMar>
            <w:top w:w="0" w:type="dxa"/>
            <w:left w:w="0" w:type="dxa"/>
            <w:bottom w:w="0" w:type="dxa"/>
            <w:right w:w="0" w:type="dxa"/>
          </w:tblCellMar>
        </w:tblPrEx>
        <w:tc>
          <w:tcPr>
            <w:tcW w:w="1666"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p>
        </w:tc>
        <w:tc>
          <w:tcPr>
            <w:tcW w:w="1667" w:type="pct"/>
            <w:gridSpan w:val="2"/>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c>
          <w:tcPr>
            <w:tcW w:w="1667" w:type="pct"/>
            <w:gridSpan w:val="2"/>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r>
      <w:tr w:rsidR="00CE1FDA">
        <w:tblPrEx>
          <w:tblCellMar>
            <w:top w:w="0" w:type="dxa"/>
            <w:left w:w="0" w:type="dxa"/>
            <w:bottom w:w="0" w:type="dxa"/>
            <w:right w:w="0" w:type="dxa"/>
          </w:tblCellMar>
        </w:tblPrEx>
        <w:tc>
          <w:tcPr>
            <w:tcW w:w="1666"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p>
        </w:tc>
        <w:tc>
          <w:tcPr>
            <w:tcW w:w="827"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人数</w:t>
            </w:r>
          </w:p>
        </w:tc>
        <w:tc>
          <w:tcPr>
            <w:tcW w:w="840"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w:t>
            </w:r>
          </w:p>
        </w:tc>
        <w:tc>
          <w:tcPr>
            <w:tcW w:w="845"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人数</w:t>
            </w:r>
          </w:p>
        </w:tc>
        <w:tc>
          <w:tcPr>
            <w:tcW w:w="822" w:type="pct"/>
          </w:tcPr>
          <w:p w:rsidR="00CE1FDA" w:rsidRDefault="00CE1FDA" w:rsidP="00AC01AA">
            <w:pPr>
              <w:spacing w:before="60" w:after="6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w:t>
            </w:r>
          </w:p>
        </w:tc>
      </w:tr>
      <w:tr w:rsidR="00CE1FDA">
        <w:tblPrEx>
          <w:tblCellMar>
            <w:top w:w="0" w:type="dxa"/>
            <w:left w:w="0" w:type="dxa"/>
            <w:bottom w:w="0" w:type="dxa"/>
            <w:right w:w="0" w:type="dxa"/>
          </w:tblCellMar>
        </w:tblPrEx>
        <w:tc>
          <w:tcPr>
            <w:tcW w:w="1666" w:type="pct"/>
          </w:tcPr>
          <w:p w:rsidR="00CE1FDA" w:rsidRDefault="00CE1FDA" w:rsidP="00AC01AA">
            <w:pPr>
              <w:spacing w:before="60" w:after="60" w:line="300" w:lineRule="exact"/>
              <w:ind w:leftChars="50" w:left="31680" w:rightChars="50" w:right="31680"/>
              <w:rPr>
                <w:rFonts w:hint="eastAsia"/>
                <w:sz w:val="18"/>
              </w:rPr>
            </w:pPr>
            <w:r>
              <w:rPr>
                <w:rFonts w:hint="eastAsia"/>
                <w:sz w:val="18"/>
              </w:rPr>
              <w:t>市政府候选人</w:t>
            </w:r>
          </w:p>
        </w:tc>
        <w:tc>
          <w:tcPr>
            <w:tcW w:w="827"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56 906</w:t>
            </w:r>
          </w:p>
        </w:tc>
        <w:tc>
          <w:tcPr>
            <w:tcW w:w="8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72.5%</w:t>
            </w:r>
          </w:p>
        </w:tc>
        <w:tc>
          <w:tcPr>
            <w:tcW w:w="845"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21</w:t>
            </w:r>
            <w:r>
              <w:rPr>
                <w:sz w:val="18"/>
              </w:rPr>
              <w:t xml:space="preserve"> </w:t>
            </w:r>
            <w:r>
              <w:rPr>
                <w:rFonts w:hint="eastAsia"/>
                <w:sz w:val="18"/>
              </w:rPr>
              <w:t>651</w:t>
            </w:r>
          </w:p>
        </w:tc>
        <w:tc>
          <w:tcPr>
            <w:tcW w:w="822"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27.5%</w:t>
            </w:r>
          </w:p>
        </w:tc>
      </w:tr>
      <w:tr w:rsidR="00CE1FDA">
        <w:tblPrEx>
          <w:tblCellMar>
            <w:top w:w="0" w:type="dxa"/>
            <w:left w:w="0" w:type="dxa"/>
            <w:bottom w:w="0" w:type="dxa"/>
            <w:right w:w="0" w:type="dxa"/>
          </w:tblCellMar>
        </w:tblPrEx>
        <w:tc>
          <w:tcPr>
            <w:tcW w:w="1666" w:type="pct"/>
          </w:tcPr>
          <w:p w:rsidR="00CE1FDA" w:rsidRDefault="00CE1FDA" w:rsidP="00AC01AA">
            <w:pPr>
              <w:spacing w:before="60" w:after="60" w:line="300" w:lineRule="exact"/>
              <w:ind w:leftChars="50" w:left="31680" w:rightChars="50" w:right="31680"/>
              <w:rPr>
                <w:rFonts w:hint="eastAsia"/>
                <w:sz w:val="18"/>
              </w:rPr>
            </w:pPr>
            <w:r>
              <w:rPr>
                <w:rFonts w:hint="eastAsia"/>
                <w:sz w:val="18"/>
              </w:rPr>
              <w:t>布达佩斯</w:t>
            </w:r>
            <w:r>
              <w:rPr>
                <w:rFonts w:hint="eastAsia"/>
                <w:sz w:val="18"/>
              </w:rPr>
              <w:t>/</w:t>
            </w:r>
            <w:r>
              <w:rPr>
                <w:rFonts w:hint="eastAsia"/>
                <w:sz w:val="18"/>
              </w:rPr>
              <w:t>县名单上的候选人</w:t>
            </w:r>
          </w:p>
        </w:tc>
        <w:tc>
          <w:tcPr>
            <w:tcW w:w="827"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5 648</w:t>
            </w:r>
          </w:p>
        </w:tc>
        <w:tc>
          <w:tcPr>
            <w:tcW w:w="8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w:t>
            </w:r>
            <w:r>
              <w:rPr>
                <w:sz w:val="18"/>
              </w:rPr>
              <w:t xml:space="preserve"> </w:t>
            </w:r>
            <w:r>
              <w:rPr>
                <w:rFonts w:hint="eastAsia"/>
                <w:sz w:val="18"/>
              </w:rPr>
              <w:t>267</w:t>
            </w:r>
          </w:p>
        </w:tc>
        <w:tc>
          <w:tcPr>
            <w:tcW w:w="845"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81.6%</w:t>
            </w:r>
          </w:p>
        </w:tc>
        <w:tc>
          <w:tcPr>
            <w:tcW w:w="822"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18.4%</w:t>
            </w:r>
          </w:p>
        </w:tc>
      </w:tr>
      <w:tr w:rsidR="00CE1FDA">
        <w:tblPrEx>
          <w:tblCellMar>
            <w:top w:w="0" w:type="dxa"/>
            <w:left w:w="0" w:type="dxa"/>
            <w:bottom w:w="0" w:type="dxa"/>
            <w:right w:w="0" w:type="dxa"/>
          </w:tblCellMar>
        </w:tblPrEx>
        <w:tc>
          <w:tcPr>
            <w:tcW w:w="1666" w:type="pct"/>
          </w:tcPr>
          <w:p w:rsidR="00CE1FDA" w:rsidRDefault="00CE1FDA" w:rsidP="00AC01AA">
            <w:pPr>
              <w:spacing w:before="60" w:after="60" w:line="300" w:lineRule="exact"/>
              <w:ind w:leftChars="50" w:left="31680" w:rightChars="50" w:right="31680"/>
              <w:rPr>
                <w:rFonts w:hint="eastAsia"/>
                <w:sz w:val="18"/>
              </w:rPr>
            </w:pPr>
            <w:r>
              <w:rPr>
                <w:rFonts w:hint="eastAsia"/>
                <w:sz w:val="18"/>
              </w:rPr>
              <w:t>市长候选人</w:t>
            </w:r>
          </w:p>
        </w:tc>
        <w:tc>
          <w:tcPr>
            <w:tcW w:w="827"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6 867</w:t>
            </w:r>
          </w:p>
        </w:tc>
        <w:tc>
          <w:tcPr>
            <w:tcW w:w="840"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w:t>
            </w:r>
            <w:r>
              <w:rPr>
                <w:sz w:val="18"/>
              </w:rPr>
              <w:t xml:space="preserve"> </w:t>
            </w:r>
            <w:r>
              <w:rPr>
                <w:rFonts w:hint="eastAsia"/>
                <w:sz w:val="18"/>
              </w:rPr>
              <w:t>409</w:t>
            </w:r>
          </w:p>
        </w:tc>
        <w:tc>
          <w:tcPr>
            <w:tcW w:w="845"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83%</w:t>
            </w:r>
          </w:p>
        </w:tc>
        <w:tc>
          <w:tcPr>
            <w:tcW w:w="822" w:type="pct"/>
          </w:tcPr>
          <w:p w:rsidR="00CE1FDA" w:rsidRDefault="00CE1FDA" w:rsidP="00AC01AA">
            <w:pPr>
              <w:spacing w:before="60" w:after="60" w:line="300" w:lineRule="exact"/>
              <w:ind w:leftChars="50" w:left="31680" w:rightChars="50" w:right="31680"/>
              <w:jc w:val="center"/>
              <w:rPr>
                <w:rFonts w:hint="eastAsia"/>
                <w:sz w:val="18"/>
              </w:rPr>
            </w:pPr>
            <w:r>
              <w:rPr>
                <w:rFonts w:hint="eastAsia"/>
                <w:sz w:val="18"/>
              </w:rPr>
              <w:t>17.0%</w:t>
            </w:r>
          </w:p>
        </w:tc>
      </w:tr>
    </w:tbl>
    <w:p w:rsidR="00CE1FDA" w:rsidRDefault="00CE1FDA">
      <w:pPr>
        <w:spacing w:after="240" w:line="360" w:lineRule="exact"/>
        <w:rPr>
          <w:rFonts w:hint="eastAsia"/>
          <w:sz w:val="18"/>
        </w:rPr>
      </w:pPr>
      <w:r>
        <w:rPr>
          <w:rFonts w:eastAsia="KaiTi_GB2312" w:hint="eastAsia"/>
          <w:color w:val="0000FF"/>
          <w:sz w:val="18"/>
        </w:rPr>
        <w:t>资料来源</w:t>
      </w:r>
      <w:r>
        <w:rPr>
          <w:rFonts w:hint="eastAsia"/>
          <w:sz w:val="18"/>
        </w:rPr>
        <w:t>：作者根据内政部中央数据处理和登记选举处主页（</w:t>
      </w:r>
      <w:r>
        <w:rPr>
          <w:rFonts w:hint="eastAsia"/>
          <w:color w:val="0000FF"/>
          <w:sz w:val="18"/>
          <w:u w:val="single"/>
        </w:rPr>
        <w:t>www.election.hu</w:t>
      </w:r>
      <w:r>
        <w:rPr>
          <w:rFonts w:hint="eastAsia"/>
          <w:sz w:val="18"/>
        </w:rPr>
        <w:t>）进行的估算。</w:t>
      </w:r>
    </w:p>
    <w:p w:rsidR="00CE1FDA" w:rsidRDefault="00CE1FDA">
      <w:pPr>
        <w:spacing w:after="240" w:line="360" w:lineRule="exact"/>
        <w:rPr>
          <w:rFonts w:ascii="SimHei" w:eastAsia="SimHei" w:hint="eastAsia"/>
          <w:color w:val="FF0000"/>
        </w:rPr>
      </w:pPr>
      <w:r>
        <w:rPr>
          <w:rFonts w:ascii="SimHei" w:eastAsia="SimHei" w:hint="eastAsia"/>
          <w:color w:val="FF0000"/>
        </w:rPr>
        <w:t>7.4. 1998-2002年当选的地方政府代表性别情况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64"/>
        <w:gridCol w:w="1197"/>
        <w:gridCol w:w="1268"/>
        <w:gridCol w:w="1233"/>
        <w:gridCol w:w="1233"/>
        <w:gridCol w:w="1059"/>
        <w:gridCol w:w="1406"/>
      </w:tblGrid>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ascii="SimHei" w:eastAsia="SimHei" w:hint="eastAsia"/>
                <w:color w:val="FF0000"/>
                <w:sz w:val="18"/>
              </w:rPr>
            </w:pPr>
          </w:p>
        </w:tc>
        <w:tc>
          <w:tcPr>
            <w:tcW w:w="1250" w:type="pct"/>
            <w:gridSpan w:val="2"/>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市长</w:t>
            </w:r>
          </w:p>
        </w:tc>
        <w:tc>
          <w:tcPr>
            <w:tcW w:w="1250" w:type="pct"/>
            <w:gridSpan w:val="2"/>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地方政府代表</w:t>
            </w:r>
          </w:p>
        </w:tc>
        <w:tc>
          <w:tcPr>
            <w:tcW w:w="1250" w:type="pct"/>
            <w:gridSpan w:val="2"/>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县议会议员</w:t>
            </w: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ascii="SimHei" w:eastAsia="SimHei" w:hint="eastAsia"/>
                <w:color w:val="FF0000"/>
                <w:sz w:val="18"/>
              </w:rPr>
            </w:pPr>
          </w:p>
        </w:tc>
        <w:tc>
          <w:tcPr>
            <w:tcW w:w="607"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1998年</w:t>
            </w:r>
          </w:p>
        </w:tc>
        <w:tc>
          <w:tcPr>
            <w:tcW w:w="642"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2002年</w:t>
            </w:r>
          </w:p>
        </w:tc>
        <w:tc>
          <w:tcPr>
            <w:tcW w:w="625"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1998年</w:t>
            </w:r>
          </w:p>
        </w:tc>
        <w:tc>
          <w:tcPr>
            <w:tcW w:w="625"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2002年</w:t>
            </w:r>
          </w:p>
        </w:tc>
        <w:tc>
          <w:tcPr>
            <w:tcW w:w="537"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1998年</w:t>
            </w:r>
          </w:p>
        </w:tc>
        <w:tc>
          <w:tcPr>
            <w:tcW w:w="713"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2002年</w:t>
            </w: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男</w:t>
            </w:r>
          </w:p>
        </w:tc>
        <w:tc>
          <w:tcPr>
            <w:tcW w:w="607"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87.4</w:t>
            </w:r>
          </w:p>
        </w:tc>
        <w:tc>
          <w:tcPr>
            <w:tcW w:w="64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85.2</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77.4</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74.5</w:t>
            </w:r>
          </w:p>
        </w:tc>
        <w:tc>
          <w:tcPr>
            <w:tcW w:w="537"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91.1</w:t>
            </w:r>
          </w:p>
        </w:tc>
        <w:tc>
          <w:tcPr>
            <w:tcW w:w="71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88.3</w:t>
            </w: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女</w:t>
            </w:r>
          </w:p>
        </w:tc>
        <w:tc>
          <w:tcPr>
            <w:tcW w:w="607"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12.6</w:t>
            </w:r>
          </w:p>
        </w:tc>
        <w:tc>
          <w:tcPr>
            <w:tcW w:w="64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14.8</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22.6</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25.5</w:t>
            </w:r>
          </w:p>
        </w:tc>
        <w:tc>
          <w:tcPr>
            <w:tcW w:w="537"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8.9</w:t>
            </w:r>
          </w:p>
        </w:tc>
        <w:tc>
          <w:tcPr>
            <w:tcW w:w="71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11.7</w:t>
            </w:r>
          </w:p>
        </w:tc>
      </w:tr>
    </w:tbl>
    <w:p w:rsidR="00CE1FDA" w:rsidRDefault="00CE1FDA">
      <w:pPr>
        <w:spacing w:after="240" w:line="360" w:lineRule="exact"/>
        <w:rPr>
          <w:rFonts w:hint="eastAsia"/>
          <w:sz w:val="18"/>
        </w:rPr>
      </w:pPr>
      <w:r>
        <w:rPr>
          <w:rFonts w:eastAsia="KaiTi_GB2312" w:hint="eastAsia"/>
          <w:color w:val="0000FF"/>
          <w:sz w:val="18"/>
        </w:rPr>
        <w:t>资料来源</w:t>
      </w:r>
      <w:r>
        <w:rPr>
          <w:rFonts w:hint="eastAsia"/>
          <w:sz w:val="18"/>
        </w:rPr>
        <w:t>：</w:t>
      </w:r>
      <w:r>
        <w:rPr>
          <w:rFonts w:hint="eastAsia"/>
          <w:sz w:val="18"/>
        </w:rPr>
        <w:t>Bocz</w:t>
      </w:r>
      <w:r>
        <w:rPr>
          <w:rFonts w:hint="eastAsia"/>
          <w:sz w:val="18"/>
        </w:rPr>
        <w:t>，</w:t>
      </w:r>
      <w:r>
        <w:rPr>
          <w:rFonts w:hint="eastAsia"/>
          <w:sz w:val="18"/>
        </w:rPr>
        <w:t>1995</w:t>
      </w:r>
      <w:r>
        <w:rPr>
          <w:rFonts w:hint="eastAsia"/>
          <w:sz w:val="18"/>
        </w:rPr>
        <w:t>年；</w:t>
      </w:r>
      <w:r>
        <w:rPr>
          <w:rFonts w:hint="eastAsia"/>
          <w:sz w:val="18"/>
        </w:rPr>
        <w:t>Bocz-S</w:t>
      </w:r>
      <w:r>
        <w:rPr>
          <w:sz w:val="18"/>
        </w:rPr>
        <w:t>á</w:t>
      </w:r>
      <w:r>
        <w:rPr>
          <w:rFonts w:hint="eastAsia"/>
          <w:sz w:val="18"/>
        </w:rPr>
        <w:t>ghy, 2003</w:t>
      </w:r>
      <w:r>
        <w:rPr>
          <w:rFonts w:hint="eastAsia"/>
          <w:sz w:val="18"/>
        </w:rPr>
        <w:t>年；</w:t>
      </w:r>
      <w:r>
        <w:rPr>
          <w:rFonts w:hint="eastAsia"/>
          <w:sz w:val="18"/>
        </w:rPr>
        <w:t>Zongor</w:t>
      </w:r>
      <w:r>
        <w:rPr>
          <w:rFonts w:hint="eastAsia"/>
          <w:sz w:val="18"/>
        </w:rPr>
        <w:t>，</w:t>
      </w:r>
      <w:r>
        <w:rPr>
          <w:rFonts w:hint="eastAsia"/>
          <w:sz w:val="18"/>
        </w:rPr>
        <w:t>2004</w:t>
      </w:r>
      <w:r>
        <w:rPr>
          <w:rFonts w:hint="eastAsia"/>
          <w:sz w:val="18"/>
        </w:rPr>
        <w:t>年。</w:t>
      </w:r>
    </w:p>
    <w:p w:rsidR="00CE1FDA" w:rsidRDefault="00CE1FDA">
      <w:pPr>
        <w:spacing w:after="240" w:line="360" w:lineRule="exact"/>
        <w:rPr>
          <w:rFonts w:ascii="SimHei" w:eastAsia="SimHei" w:hint="eastAsia"/>
          <w:color w:val="FF0000"/>
        </w:rPr>
      </w:pPr>
      <w:r>
        <w:rPr>
          <w:rFonts w:ascii="SimHei" w:eastAsia="SimHei" w:hint="eastAsia"/>
          <w:color w:val="FF0000"/>
        </w:rPr>
        <w:t>7.5. 政党女候选人的比例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72"/>
        <w:gridCol w:w="1972"/>
        <w:gridCol w:w="1972"/>
        <w:gridCol w:w="1972"/>
        <w:gridCol w:w="1972"/>
      </w:tblGrid>
      <w:tr w:rsidR="00CE1FDA">
        <w:tblPrEx>
          <w:tblCellMar>
            <w:top w:w="0" w:type="dxa"/>
            <w:left w:w="0" w:type="dxa"/>
            <w:bottom w:w="0" w:type="dxa"/>
            <w:right w:w="0" w:type="dxa"/>
          </w:tblCellMar>
        </w:tblPrEx>
        <w:tc>
          <w:tcPr>
            <w:tcW w:w="1000" w:type="pct"/>
          </w:tcPr>
          <w:p w:rsidR="00CE1FDA" w:rsidRDefault="00CE1FDA" w:rsidP="00AC01AA">
            <w:pPr>
              <w:spacing w:before="60" w:after="60" w:line="320" w:lineRule="exact"/>
              <w:ind w:leftChars="50" w:left="31680" w:rightChars="50" w:right="31680"/>
              <w:rPr>
                <w:rFonts w:ascii="SimHei" w:eastAsia="SimHei" w:hint="eastAsia"/>
                <w:color w:val="FF0000"/>
                <w:sz w:val="18"/>
              </w:rPr>
            </w:pPr>
            <w:r>
              <w:rPr>
                <w:rFonts w:ascii="SimHei" w:eastAsia="SimHei" w:hint="eastAsia"/>
                <w:color w:val="FF0000"/>
                <w:sz w:val="18"/>
              </w:rPr>
              <w:t>政党</w:t>
            </w:r>
          </w:p>
        </w:tc>
        <w:tc>
          <w:tcPr>
            <w:tcW w:w="1000"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1990年</w:t>
            </w:r>
          </w:p>
        </w:tc>
        <w:tc>
          <w:tcPr>
            <w:tcW w:w="1000"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1994年</w:t>
            </w:r>
          </w:p>
        </w:tc>
        <w:tc>
          <w:tcPr>
            <w:tcW w:w="1000"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1998年</w:t>
            </w:r>
          </w:p>
        </w:tc>
        <w:tc>
          <w:tcPr>
            <w:tcW w:w="1000"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2002年</w:t>
            </w:r>
          </w:p>
        </w:tc>
      </w:tr>
      <w:tr w:rsidR="00CE1FDA">
        <w:tblPrEx>
          <w:tblCellMar>
            <w:top w:w="0" w:type="dxa"/>
            <w:left w:w="0" w:type="dxa"/>
            <w:bottom w:w="0" w:type="dxa"/>
            <w:right w:w="0" w:type="dxa"/>
          </w:tblCellMar>
        </w:tblPrEx>
        <w:tc>
          <w:tcPr>
            <w:tcW w:w="1000" w:type="pct"/>
          </w:tcPr>
          <w:p w:rsidR="00CE1FDA" w:rsidRDefault="00CE1FDA" w:rsidP="00AC01AA">
            <w:pPr>
              <w:spacing w:before="60" w:after="60" w:line="320" w:lineRule="exact"/>
              <w:ind w:leftChars="50" w:left="31680" w:rightChars="50" w:right="31680"/>
              <w:rPr>
                <w:rFonts w:hint="eastAsia"/>
                <w:sz w:val="18"/>
              </w:rPr>
            </w:pPr>
            <w:r>
              <w:rPr>
                <w:sz w:val="18"/>
              </w:rPr>
              <w:t>匈牙利社会党</w:t>
            </w:r>
          </w:p>
        </w:tc>
        <w:tc>
          <w:tcPr>
            <w:tcW w:w="100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10.0</w:t>
            </w:r>
          </w:p>
        </w:tc>
        <w:tc>
          <w:tcPr>
            <w:tcW w:w="100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10.8</w:t>
            </w:r>
          </w:p>
        </w:tc>
        <w:tc>
          <w:tcPr>
            <w:tcW w:w="100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8.0</w:t>
            </w:r>
          </w:p>
        </w:tc>
        <w:tc>
          <w:tcPr>
            <w:tcW w:w="100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23.4</w:t>
            </w:r>
          </w:p>
        </w:tc>
      </w:tr>
      <w:tr w:rsidR="00CE1FDA">
        <w:tblPrEx>
          <w:tblCellMar>
            <w:top w:w="0" w:type="dxa"/>
            <w:left w:w="0" w:type="dxa"/>
            <w:bottom w:w="0" w:type="dxa"/>
            <w:right w:w="0" w:type="dxa"/>
          </w:tblCellMar>
        </w:tblPrEx>
        <w:tc>
          <w:tcPr>
            <w:tcW w:w="1000" w:type="pct"/>
          </w:tcPr>
          <w:p w:rsidR="00CE1FDA" w:rsidRDefault="00CE1FDA" w:rsidP="00AC01AA">
            <w:pPr>
              <w:spacing w:before="60" w:after="60" w:line="320" w:lineRule="exact"/>
              <w:ind w:leftChars="50" w:left="31680" w:rightChars="50" w:right="31680"/>
              <w:rPr>
                <w:rFonts w:hint="eastAsia"/>
                <w:sz w:val="18"/>
              </w:rPr>
            </w:pPr>
            <w:r>
              <w:rPr>
                <w:sz w:val="18"/>
              </w:rPr>
              <w:t>自由民主联盟</w:t>
            </w:r>
          </w:p>
        </w:tc>
        <w:tc>
          <w:tcPr>
            <w:tcW w:w="100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11.9</w:t>
            </w:r>
          </w:p>
        </w:tc>
        <w:tc>
          <w:tcPr>
            <w:tcW w:w="100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12.0</w:t>
            </w:r>
          </w:p>
        </w:tc>
        <w:tc>
          <w:tcPr>
            <w:tcW w:w="100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14.1</w:t>
            </w:r>
          </w:p>
        </w:tc>
        <w:tc>
          <w:tcPr>
            <w:tcW w:w="100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18.7</w:t>
            </w:r>
          </w:p>
        </w:tc>
      </w:tr>
      <w:tr w:rsidR="00CE1FDA">
        <w:tblPrEx>
          <w:tblCellMar>
            <w:top w:w="0" w:type="dxa"/>
            <w:left w:w="0" w:type="dxa"/>
            <w:bottom w:w="0" w:type="dxa"/>
            <w:right w:w="0" w:type="dxa"/>
          </w:tblCellMar>
        </w:tblPrEx>
        <w:tc>
          <w:tcPr>
            <w:tcW w:w="1000" w:type="pct"/>
          </w:tcPr>
          <w:p w:rsidR="00CE1FDA" w:rsidRDefault="00CE1FDA" w:rsidP="00AC01AA">
            <w:pPr>
              <w:spacing w:before="60" w:after="60" w:line="320" w:lineRule="exact"/>
              <w:ind w:leftChars="50" w:left="31680" w:rightChars="50" w:right="31680"/>
              <w:rPr>
                <w:rFonts w:hint="eastAsia"/>
                <w:sz w:val="18"/>
              </w:rPr>
            </w:pPr>
            <w:r>
              <w:rPr>
                <w:sz w:val="18"/>
              </w:rPr>
              <w:t>青年民主公民党</w:t>
            </w:r>
          </w:p>
        </w:tc>
        <w:tc>
          <w:tcPr>
            <w:tcW w:w="100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12.3/5.9</w:t>
            </w:r>
          </w:p>
        </w:tc>
        <w:tc>
          <w:tcPr>
            <w:tcW w:w="100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7.9/8.3</w:t>
            </w:r>
          </w:p>
        </w:tc>
        <w:tc>
          <w:tcPr>
            <w:tcW w:w="100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9.1/6.1</w:t>
            </w:r>
          </w:p>
        </w:tc>
        <w:tc>
          <w:tcPr>
            <w:tcW w:w="100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8.5</w:t>
            </w:r>
          </w:p>
        </w:tc>
      </w:tr>
    </w:tbl>
    <w:p w:rsidR="00CE1FDA" w:rsidRDefault="00CE1FDA">
      <w:pPr>
        <w:spacing w:line="360" w:lineRule="exact"/>
        <w:rPr>
          <w:rFonts w:hint="eastAsia"/>
          <w:sz w:val="18"/>
        </w:rPr>
      </w:pPr>
      <w:r>
        <w:rPr>
          <w:color w:val="000000"/>
          <w:sz w:val="18"/>
        </w:rPr>
        <w:t>青年民主公民党</w:t>
      </w:r>
      <w:r>
        <w:rPr>
          <w:rFonts w:hint="eastAsia"/>
          <w:sz w:val="18"/>
        </w:rPr>
        <w:t>和</w:t>
      </w:r>
      <w:r>
        <w:rPr>
          <w:sz w:val="18"/>
        </w:rPr>
        <w:t>匈牙利社</w:t>
      </w:r>
      <w:r>
        <w:rPr>
          <w:color w:val="000000"/>
          <w:sz w:val="18"/>
        </w:rPr>
        <w:t>会党</w:t>
      </w:r>
      <w:r>
        <w:rPr>
          <w:rFonts w:hint="eastAsia"/>
          <w:sz w:val="18"/>
        </w:rPr>
        <w:t>2002</w:t>
      </w:r>
      <w:r>
        <w:rPr>
          <w:rFonts w:hint="eastAsia"/>
          <w:sz w:val="18"/>
        </w:rPr>
        <w:t>年组成了一个选举联盟。</w:t>
      </w:r>
    </w:p>
    <w:p w:rsidR="00CE1FDA" w:rsidRDefault="00CE1FDA">
      <w:pPr>
        <w:spacing w:after="240" w:line="360" w:lineRule="exact"/>
        <w:rPr>
          <w:rFonts w:hint="eastAsia"/>
          <w:sz w:val="18"/>
        </w:rPr>
      </w:pPr>
      <w:r>
        <w:rPr>
          <w:rFonts w:eastAsia="KaiTi_GB2312" w:hint="eastAsia"/>
          <w:color w:val="0000FF"/>
          <w:sz w:val="18"/>
        </w:rPr>
        <w:t>资料来源</w:t>
      </w:r>
      <w:r>
        <w:rPr>
          <w:rFonts w:hint="eastAsia"/>
          <w:sz w:val="18"/>
        </w:rPr>
        <w:t>：</w:t>
      </w:r>
      <w:r>
        <w:rPr>
          <w:rFonts w:hint="eastAsia"/>
          <w:sz w:val="18"/>
        </w:rPr>
        <w:t>Sebest</w:t>
      </w:r>
      <w:r>
        <w:rPr>
          <w:sz w:val="18"/>
        </w:rPr>
        <w:t>é</w:t>
      </w:r>
      <w:r>
        <w:rPr>
          <w:rFonts w:hint="eastAsia"/>
          <w:sz w:val="18"/>
        </w:rPr>
        <w:t>ny</w:t>
      </w:r>
      <w:r>
        <w:rPr>
          <w:rFonts w:hint="eastAsia"/>
          <w:sz w:val="18"/>
        </w:rPr>
        <w:t>，</w:t>
      </w:r>
      <w:r>
        <w:rPr>
          <w:rFonts w:hint="eastAsia"/>
          <w:sz w:val="18"/>
        </w:rPr>
        <w:t>1999</w:t>
      </w:r>
      <w:r>
        <w:rPr>
          <w:rFonts w:hint="eastAsia"/>
          <w:sz w:val="18"/>
        </w:rPr>
        <w:t>年；</w:t>
      </w:r>
      <w:r>
        <w:rPr>
          <w:rFonts w:hint="eastAsia"/>
          <w:sz w:val="18"/>
        </w:rPr>
        <w:t>Ilonszki-Montgomer</w:t>
      </w:r>
      <w:r>
        <w:rPr>
          <w:rFonts w:hint="eastAsia"/>
          <w:sz w:val="18"/>
        </w:rPr>
        <w:t>，</w:t>
      </w:r>
      <w:r>
        <w:rPr>
          <w:rFonts w:hint="eastAsia"/>
          <w:sz w:val="18"/>
        </w:rPr>
        <w:t>2002</w:t>
      </w:r>
      <w:r>
        <w:rPr>
          <w:rFonts w:hint="eastAsia"/>
          <w:sz w:val="18"/>
        </w:rPr>
        <w:t>年：</w:t>
      </w:r>
      <w:r>
        <w:rPr>
          <w:rFonts w:hint="eastAsia"/>
          <w:sz w:val="18"/>
        </w:rPr>
        <w:t>15</w:t>
      </w:r>
      <w:r>
        <w:rPr>
          <w:rFonts w:hint="eastAsia"/>
          <w:sz w:val="18"/>
        </w:rPr>
        <w:t>和作者统计的估算。</w:t>
      </w:r>
    </w:p>
    <w:p w:rsidR="00CE1FDA" w:rsidRDefault="00CE1FDA">
      <w:pPr>
        <w:spacing w:after="240" w:line="360" w:lineRule="exact"/>
        <w:rPr>
          <w:rFonts w:ascii="SimHei" w:eastAsia="SimHei" w:hint="eastAsia"/>
          <w:color w:val="FF0000"/>
        </w:rPr>
      </w:pPr>
      <w:r>
        <w:rPr>
          <w:rFonts w:ascii="SimHei" w:eastAsia="SimHei" w:hint="eastAsia"/>
          <w:color w:val="FF0000"/>
        </w:rPr>
        <w:t>7.6. 列入名单的女候选人数量和职位以及2002年赢得授权的人数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65"/>
        <w:gridCol w:w="2465"/>
        <w:gridCol w:w="2465"/>
        <w:gridCol w:w="2465"/>
      </w:tblGrid>
      <w:tr w:rsidR="00CE1FDA">
        <w:tblPrEx>
          <w:tblCellMar>
            <w:top w:w="0" w:type="dxa"/>
            <w:left w:w="0" w:type="dxa"/>
            <w:bottom w:w="0" w:type="dxa"/>
            <w:right w:w="0" w:type="dxa"/>
          </w:tblCellMar>
        </w:tblPrEx>
        <w:tc>
          <w:tcPr>
            <w:tcW w:w="1250" w:type="pct"/>
            <w:vAlign w:val="center"/>
          </w:tcPr>
          <w:p w:rsidR="00CE1FDA" w:rsidRDefault="00CE1FDA" w:rsidP="00AC01AA">
            <w:pPr>
              <w:spacing w:before="60" w:after="60" w:line="320" w:lineRule="exact"/>
              <w:ind w:leftChars="50" w:left="31680" w:rightChars="50" w:right="31680"/>
              <w:rPr>
                <w:rFonts w:eastAsia="SimHei" w:hint="eastAsia"/>
                <w:color w:val="FF0000"/>
                <w:sz w:val="18"/>
              </w:rPr>
            </w:pPr>
            <w:r>
              <w:rPr>
                <w:rFonts w:eastAsia="SimHei" w:hint="eastAsia"/>
                <w:color w:val="FF0000"/>
                <w:sz w:val="18"/>
              </w:rPr>
              <w:t>政党</w:t>
            </w:r>
          </w:p>
        </w:tc>
        <w:tc>
          <w:tcPr>
            <w:tcW w:w="1250" w:type="pct"/>
            <w:vAlign w:val="center"/>
          </w:tcPr>
          <w:p w:rsidR="00CE1FDA" w:rsidRDefault="00CE1FDA" w:rsidP="00AC01AA">
            <w:pPr>
              <w:spacing w:before="60" w:after="60" w:line="320" w:lineRule="exact"/>
              <w:ind w:leftChars="50" w:left="31680" w:rightChars="50" w:right="31680"/>
              <w:jc w:val="center"/>
              <w:rPr>
                <w:rFonts w:eastAsia="SimHei" w:hint="eastAsia"/>
                <w:color w:val="FF0000"/>
                <w:sz w:val="18"/>
              </w:rPr>
            </w:pPr>
            <w:r>
              <w:rPr>
                <w:rFonts w:eastAsia="SimHei" w:hint="eastAsia"/>
                <w:color w:val="FF0000"/>
                <w:sz w:val="18"/>
              </w:rPr>
              <w:t>名单上妇女的总人数</w:t>
            </w:r>
          </w:p>
        </w:tc>
        <w:tc>
          <w:tcPr>
            <w:tcW w:w="1250" w:type="pct"/>
            <w:vAlign w:val="center"/>
          </w:tcPr>
          <w:p w:rsidR="00CE1FDA" w:rsidRDefault="00CE1FDA" w:rsidP="00AC01AA">
            <w:pPr>
              <w:spacing w:before="60" w:after="60" w:line="320" w:lineRule="exact"/>
              <w:ind w:leftChars="50" w:left="31680" w:rightChars="50" w:right="31680"/>
              <w:jc w:val="center"/>
              <w:rPr>
                <w:rFonts w:eastAsia="SimHei" w:hint="eastAsia"/>
                <w:color w:val="FF0000"/>
                <w:sz w:val="18"/>
              </w:rPr>
            </w:pPr>
            <w:r>
              <w:rPr>
                <w:rFonts w:eastAsia="SimHei" w:hint="eastAsia"/>
                <w:color w:val="FF0000"/>
                <w:sz w:val="18"/>
              </w:rPr>
              <w:t>名单上被认为很有</w:t>
            </w:r>
            <w:r>
              <w:rPr>
                <w:rFonts w:eastAsia="SimHei"/>
                <w:color w:val="FF0000"/>
                <w:sz w:val="18"/>
              </w:rPr>
              <w:br/>
            </w:r>
            <w:r>
              <w:rPr>
                <w:rFonts w:eastAsia="SimHei" w:hint="eastAsia"/>
                <w:color w:val="FF0000"/>
                <w:sz w:val="18"/>
              </w:rPr>
              <w:t>可能当选的人数</w:t>
            </w:r>
          </w:p>
        </w:tc>
        <w:tc>
          <w:tcPr>
            <w:tcW w:w="1250" w:type="pct"/>
            <w:vAlign w:val="center"/>
          </w:tcPr>
          <w:p w:rsidR="00CE1FDA" w:rsidRDefault="00CE1FDA" w:rsidP="00AC01AA">
            <w:pPr>
              <w:spacing w:before="60" w:after="60" w:line="320" w:lineRule="exact"/>
              <w:ind w:leftChars="50" w:left="31680" w:rightChars="50" w:right="31680"/>
              <w:jc w:val="center"/>
              <w:rPr>
                <w:rFonts w:eastAsia="SimHei" w:hint="eastAsia"/>
                <w:color w:val="FF0000"/>
                <w:sz w:val="18"/>
              </w:rPr>
            </w:pPr>
            <w:r>
              <w:rPr>
                <w:rFonts w:eastAsia="SimHei" w:hint="eastAsia"/>
                <w:color w:val="FF0000"/>
                <w:sz w:val="18"/>
              </w:rPr>
              <w:t>名单上实际赢得授权的人数</w:t>
            </w: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hint="eastAsia"/>
                <w:sz w:val="18"/>
              </w:rPr>
            </w:pPr>
            <w:r>
              <w:rPr>
                <w:sz w:val="18"/>
              </w:rPr>
              <w:t>匈牙利社会党</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101</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12</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w:t>
            </w: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hint="eastAsia"/>
                <w:sz w:val="18"/>
              </w:rPr>
            </w:pPr>
            <w:r>
              <w:rPr>
                <w:sz w:val="18"/>
              </w:rPr>
              <w:t>自由民主联盟</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84</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20</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w:t>
            </w: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hint="eastAsia"/>
                <w:sz w:val="18"/>
              </w:rPr>
            </w:pPr>
            <w:r>
              <w:rPr>
                <w:sz w:val="18"/>
              </w:rPr>
              <w:t>青年民主公民党</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39</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11</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w:t>
            </w:r>
          </w:p>
        </w:tc>
      </w:tr>
    </w:tbl>
    <w:p w:rsidR="00CE1FDA" w:rsidRDefault="00CE1FDA">
      <w:pPr>
        <w:spacing w:after="240" w:line="360" w:lineRule="exact"/>
        <w:rPr>
          <w:rFonts w:hint="eastAsia"/>
          <w:sz w:val="18"/>
        </w:rPr>
      </w:pPr>
      <w:r>
        <w:rPr>
          <w:rFonts w:eastAsia="KaiTi_GB2312" w:hint="eastAsia"/>
          <w:color w:val="0000FF"/>
          <w:sz w:val="18"/>
        </w:rPr>
        <w:t>资料来源</w:t>
      </w:r>
      <w:r>
        <w:rPr>
          <w:rFonts w:hint="eastAsia"/>
          <w:sz w:val="18"/>
        </w:rPr>
        <w:t>：作者的估算。</w:t>
      </w:r>
    </w:p>
    <w:p w:rsidR="00CE1FDA" w:rsidRDefault="00CE1FDA">
      <w:pPr>
        <w:spacing w:after="240" w:line="360" w:lineRule="exact"/>
        <w:rPr>
          <w:rFonts w:ascii="KaiTi_GB2312" w:eastAsia="KaiTi_GB2312" w:hint="eastAsia"/>
          <w:color w:val="0000FF"/>
        </w:rPr>
      </w:pPr>
      <w:r>
        <w:rPr>
          <w:rFonts w:ascii="KaiTi_GB2312" w:eastAsia="KaiTi_GB2312" w:hint="eastAsia"/>
          <w:color w:val="0000FF"/>
        </w:rPr>
        <w:t>第10条</w:t>
      </w:r>
    </w:p>
    <w:p w:rsidR="00CE1FDA" w:rsidRDefault="00CE1FDA">
      <w:pPr>
        <w:spacing w:after="240" w:line="360" w:lineRule="exact"/>
        <w:rPr>
          <w:rFonts w:ascii="SimHei" w:eastAsia="SimHei" w:hint="eastAsia"/>
          <w:color w:val="FF0000"/>
        </w:rPr>
      </w:pPr>
      <w:r>
        <w:rPr>
          <w:rFonts w:ascii="SimHei" w:eastAsia="SimHei" w:hint="eastAsia"/>
          <w:color w:val="FF0000"/>
        </w:rPr>
        <w:t>10.1.  2004年15-64岁妇女和男子的教育水平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286"/>
        <w:gridCol w:w="3287"/>
        <w:gridCol w:w="3287"/>
      </w:tblGrid>
      <w:tr w:rsidR="00CE1FDA">
        <w:tblPrEx>
          <w:tblCellMar>
            <w:top w:w="0" w:type="dxa"/>
            <w:left w:w="0" w:type="dxa"/>
            <w:bottom w:w="0" w:type="dxa"/>
            <w:right w:w="0" w:type="dxa"/>
          </w:tblCellMar>
        </w:tblPrEx>
        <w:trPr>
          <w:tblHeader/>
        </w:trPr>
        <w:tc>
          <w:tcPr>
            <w:tcW w:w="1666" w:type="pct"/>
          </w:tcPr>
          <w:p w:rsidR="00CE1FDA" w:rsidRDefault="00CE1FDA" w:rsidP="00AC01AA">
            <w:pPr>
              <w:spacing w:before="60" w:after="60" w:line="320" w:lineRule="exact"/>
              <w:ind w:leftChars="50" w:left="31680" w:rightChars="50" w:right="31680"/>
              <w:rPr>
                <w:rFonts w:eastAsia="SimHei" w:hint="eastAsia"/>
                <w:color w:val="FF0000"/>
                <w:sz w:val="18"/>
              </w:rPr>
            </w:pPr>
          </w:p>
        </w:tc>
        <w:tc>
          <w:tcPr>
            <w:tcW w:w="1667" w:type="pct"/>
          </w:tcPr>
          <w:p w:rsidR="00CE1FDA" w:rsidRDefault="00CE1FDA" w:rsidP="00AC01AA">
            <w:pPr>
              <w:spacing w:before="60" w:after="60" w:line="320" w:lineRule="exact"/>
              <w:ind w:leftChars="50" w:left="31680" w:rightChars="50" w:right="31680"/>
              <w:jc w:val="center"/>
              <w:rPr>
                <w:rFonts w:eastAsia="SimHei" w:hint="eastAsia"/>
                <w:color w:val="FF0000"/>
                <w:sz w:val="18"/>
              </w:rPr>
            </w:pPr>
            <w:r>
              <w:rPr>
                <w:rFonts w:eastAsia="SimHei" w:hint="eastAsia"/>
                <w:color w:val="FF0000"/>
                <w:sz w:val="18"/>
              </w:rPr>
              <w:t>女</w:t>
            </w:r>
          </w:p>
        </w:tc>
        <w:tc>
          <w:tcPr>
            <w:tcW w:w="1667" w:type="pct"/>
          </w:tcPr>
          <w:p w:rsidR="00CE1FDA" w:rsidRDefault="00CE1FDA" w:rsidP="00AC01AA">
            <w:pPr>
              <w:spacing w:before="60" w:after="60" w:line="320" w:lineRule="exact"/>
              <w:ind w:leftChars="50" w:left="31680" w:rightChars="50" w:right="31680"/>
              <w:jc w:val="center"/>
              <w:rPr>
                <w:rFonts w:eastAsia="SimHei" w:hint="eastAsia"/>
                <w:color w:val="FF0000"/>
                <w:sz w:val="18"/>
              </w:rPr>
            </w:pPr>
            <w:r>
              <w:rPr>
                <w:rFonts w:eastAsia="SimHei" w:hint="eastAsia"/>
                <w:color w:val="FF0000"/>
                <w:sz w:val="18"/>
              </w:rPr>
              <w:t>男</w:t>
            </w:r>
          </w:p>
        </w:tc>
      </w:tr>
      <w:tr w:rsidR="00CE1FDA">
        <w:tblPrEx>
          <w:tblCellMar>
            <w:top w:w="0" w:type="dxa"/>
            <w:left w:w="0" w:type="dxa"/>
            <w:bottom w:w="0" w:type="dxa"/>
            <w:right w:w="0" w:type="dxa"/>
          </w:tblCellMar>
        </w:tblPrEx>
        <w:tc>
          <w:tcPr>
            <w:tcW w:w="166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&lt;</w:t>
            </w:r>
            <w:r>
              <w:rPr>
                <w:rFonts w:hint="eastAsia"/>
                <w:sz w:val="18"/>
              </w:rPr>
              <w:t>小学八年级</w:t>
            </w:r>
          </w:p>
        </w:tc>
        <w:tc>
          <w:tcPr>
            <w:tcW w:w="1667"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4.4</w:t>
            </w:r>
          </w:p>
        </w:tc>
        <w:tc>
          <w:tcPr>
            <w:tcW w:w="1667"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3.6</w:t>
            </w:r>
          </w:p>
        </w:tc>
      </w:tr>
      <w:tr w:rsidR="00CE1FDA">
        <w:tblPrEx>
          <w:tblCellMar>
            <w:top w:w="0" w:type="dxa"/>
            <w:left w:w="0" w:type="dxa"/>
            <w:bottom w:w="0" w:type="dxa"/>
            <w:right w:w="0" w:type="dxa"/>
          </w:tblCellMar>
        </w:tblPrEx>
        <w:tc>
          <w:tcPr>
            <w:tcW w:w="166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小学八年级</w:t>
            </w:r>
          </w:p>
        </w:tc>
        <w:tc>
          <w:tcPr>
            <w:tcW w:w="1667"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35.4</w:t>
            </w:r>
          </w:p>
        </w:tc>
        <w:tc>
          <w:tcPr>
            <w:tcW w:w="1667"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30.1</w:t>
            </w:r>
          </w:p>
        </w:tc>
      </w:tr>
      <w:tr w:rsidR="00CE1FDA">
        <w:tblPrEx>
          <w:tblCellMar>
            <w:top w:w="0" w:type="dxa"/>
            <w:left w:w="0" w:type="dxa"/>
            <w:bottom w:w="0" w:type="dxa"/>
            <w:right w:w="0" w:type="dxa"/>
          </w:tblCellMar>
        </w:tblPrEx>
        <w:tc>
          <w:tcPr>
            <w:tcW w:w="166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技术工人</w:t>
            </w:r>
          </w:p>
        </w:tc>
        <w:tc>
          <w:tcPr>
            <w:tcW w:w="1667"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14.8</w:t>
            </w:r>
          </w:p>
        </w:tc>
        <w:tc>
          <w:tcPr>
            <w:tcW w:w="1667"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31.0</w:t>
            </w:r>
          </w:p>
        </w:tc>
      </w:tr>
      <w:tr w:rsidR="00CE1FDA">
        <w:tblPrEx>
          <w:tblCellMar>
            <w:top w:w="0" w:type="dxa"/>
            <w:left w:w="0" w:type="dxa"/>
            <w:bottom w:w="0" w:type="dxa"/>
            <w:right w:w="0" w:type="dxa"/>
          </w:tblCellMar>
        </w:tblPrEx>
        <w:tc>
          <w:tcPr>
            <w:tcW w:w="166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中学</w:t>
            </w:r>
          </w:p>
        </w:tc>
        <w:tc>
          <w:tcPr>
            <w:tcW w:w="1667"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33.0</w:t>
            </w:r>
          </w:p>
        </w:tc>
        <w:tc>
          <w:tcPr>
            <w:tcW w:w="1667"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23.8</w:t>
            </w:r>
          </w:p>
        </w:tc>
      </w:tr>
      <w:tr w:rsidR="00CE1FDA">
        <w:tblPrEx>
          <w:tblCellMar>
            <w:top w:w="0" w:type="dxa"/>
            <w:left w:w="0" w:type="dxa"/>
            <w:bottom w:w="0" w:type="dxa"/>
            <w:right w:w="0" w:type="dxa"/>
          </w:tblCellMar>
        </w:tblPrEx>
        <w:tc>
          <w:tcPr>
            <w:tcW w:w="166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高等教育</w:t>
            </w:r>
          </w:p>
        </w:tc>
        <w:tc>
          <w:tcPr>
            <w:tcW w:w="1667"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12.4</w:t>
            </w:r>
          </w:p>
        </w:tc>
        <w:tc>
          <w:tcPr>
            <w:tcW w:w="1667"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11.4</w:t>
            </w:r>
          </w:p>
        </w:tc>
      </w:tr>
    </w:tbl>
    <w:p w:rsidR="00CE1FDA" w:rsidRDefault="00CE1FDA">
      <w:pPr>
        <w:spacing w:after="240" w:line="360" w:lineRule="exact"/>
        <w:rPr>
          <w:rFonts w:hint="eastAsia"/>
          <w:sz w:val="18"/>
        </w:rPr>
      </w:pPr>
      <w:r>
        <w:rPr>
          <w:rFonts w:eastAsia="KaiTi_GB2312" w:hint="eastAsia"/>
          <w:color w:val="0000FF"/>
          <w:sz w:val="18"/>
        </w:rPr>
        <w:t>资料来源：</w:t>
      </w:r>
      <w:r>
        <w:rPr>
          <w:rFonts w:hint="eastAsia"/>
          <w:sz w:val="18"/>
        </w:rPr>
        <w:t>“匈牙利的妇女和男子”，</w:t>
      </w:r>
      <w:r>
        <w:rPr>
          <w:rFonts w:hint="eastAsia"/>
          <w:sz w:val="18"/>
        </w:rPr>
        <w:t>2004</w:t>
      </w:r>
      <w:r>
        <w:rPr>
          <w:rFonts w:hint="eastAsia"/>
          <w:sz w:val="18"/>
        </w:rPr>
        <w:t>年，</w:t>
      </w:r>
      <w:r>
        <w:rPr>
          <w:sz w:val="18"/>
        </w:rPr>
        <w:t>ICSSZEM</w:t>
      </w:r>
      <w:r>
        <w:rPr>
          <w:rFonts w:hint="eastAsia"/>
          <w:sz w:val="18"/>
        </w:rPr>
        <w:t>。</w:t>
      </w:r>
    </w:p>
    <w:p w:rsidR="00CE1FDA" w:rsidRDefault="00CE1FDA">
      <w:pPr>
        <w:spacing w:after="240" w:line="360" w:lineRule="exact"/>
        <w:rPr>
          <w:rFonts w:ascii="SimHei" w:eastAsia="SimHei" w:hint="eastAsia"/>
          <w:color w:val="FF0000"/>
        </w:rPr>
      </w:pPr>
      <w:r>
        <w:rPr>
          <w:rFonts w:ascii="SimHei" w:eastAsia="SimHei" w:hint="eastAsia"/>
          <w:color w:val="FF0000"/>
        </w:rPr>
        <w:t>10.2. 2005年和2006年妇女在小学和中学的比例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28"/>
        <w:gridCol w:w="4932"/>
      </w:tblGrid>
      <w:tr w:rsidR="00CE1FDA">
        <w:tblPrEx>
          <w:tblCellMar>
            <w:top w:w="0" w:type="dxa"/>
            <w:left w:w="0" w:type="dxa"/>
            <w:bottom w:w="0" w:type="dxa"/>
            <w:right w:w="0" w:type="dxa"/>
          </w:tblCellMar>
        </w:tblPrEx>
        <w:tc>
          <w:tcPr>
            <w:tcW w:w="2499" w:type="pct"/>
          </w:tcPr>
          <w:p w:rsidR="00CE1FDA" w:rsidRDefault="00CE1FDA" w:rsidP="00AC01AA">
            <w:pPr>
              <w:spacing w:before="60" w:after="60" w:line="320" w:lineRule="exact"/>
              <w:ind w:leftChars="50" w:left="31680" w:rightChars="50" w:right="31680"/>
              <w:rPr>
                <w:rFonts w:ascii="SimHei" w:hint="eastAsia"/>
                <w:color w:val="FF0000"/>
                <w:sz w:val="18"/>
              </w:rPr>
            </w:pPr>
          </w:p>
        </w:tc>
        <w:tc>
          <w:tcPr>
            <w:tcW w:w="2501" w:type="pct"/>
          </w:tcPr>
          <w:p w:rsidR="00CE1FDA" w:rsidRDefault="00CE1FDA" w:rsidP="00AC01AA">
            <w:pPr>
              <w:spacing w:before="60" w:after="60" w:line="320" w:lineRule="exact"/>
              <w:ind w:leftChars="50" w:left="31680" w:rightChars="50" w:right="31680"/>
              <w:jc w:val="center"/>
              <w:rPr>
                <w:rFonts w:ascii="SimHei" w:hint="eastAsia"/>
                <w:color w:val="FF0000"/>
                <w:sz w:val="18"/>
              </w:rPr>
            </w:pPr>
            <w:r>
              <w:rPr>
                <w:rFonts w:ascii="SimHei" w:hint="eastAsia"/>
                <w:color w:val="FF0000"/>
                <w:sz w:val="18"/>
              </w:rPr>
              <w:t>2005/2006</w:t>
            </w:r>
          </w:p>
        </w:tc>
      </w:tr>
      <w:tr w:rsidR="00CE1FDA">
        <w:tblPrEx>
          <w:tblCellMar>
            <w:top w:w="0" w:type="dxa"/>
            <w:left w:w="0" w:type="dxa"/>
            <w:bottom w:w="0" w:type="dxa"/>
            <w:right w:w="0" w:type="dxa"/>
          </w:tblCellMar>
        </w:tblPrEx>
        <w:tc>
          <w:tcPr>
            <w:tcW w:w="249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学龄前学校</w:t>
            </w:r>
          </w:p>
        </w:tc>
        <w:tc>
          <w:tcPr>
            <w:tcW w:w="250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48%</w:t>
            </w:r>
          </w:p>
        </w:tc>
      </w:tr>
      <w:tr w:rsidR="00CE1FDA">
        <w:tblPrEx>
          <w:tblCellMar>
            <w:top w:w="0" w:type="dxa"/>
            <w:left w:w="0" w:type="dxa"/>
            <w:bottom w:w="0" w:type="dxa"/>
            <w:right w:w="0" w:type="dxa"/>
          </w:tblCellMar>
        </w:tblPrEx>
        <w:tc>
          <w:tcPr>
            <w:tcW w:w="249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小学</w:t>
            </w:r>
          </w:p>
        </w:tc>
        <w:tc>
          <w:tcPr>
            <w:tcW w:w="250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48%</w:t>
            </w:r>
          </w:p>
        </w:tc>
      </w:tr>
      <w:tr w:rsidR="00CE1FDA">
        <w:tblPrEx>
          <w:tblCellMar>
            <w:top w:w="0" w:type="dxa"/>
            <w:left w:w="0" w:type="dxa"/>
            <w:bottom w:w="0" w:type="dxa"/>
            <w:right w:w="0" w:type="dxa"/>
          </w:tblCellMar>
        </w:tblPrEx>
        <w:tc>
          <w:tcPr>
            <w:tcW w:w="249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职业学校</w:t>
            </w:r>
          </w:p>
        </w:tc>
        <w:tc>
          <w:tcPr>
            <w:tcW w:w="250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38%</w:t>
            </w:r>
          </w:p>
        </w:tc>
      </w:tr>
      <w:tr w:rsidR="00CE1FDA">
        <w:tblPrEx>
          <w:tblCellMar>
            <w:top w:w="0" w:type="dxa"/>
            <w:left w:w="0" w:type="dxa"/>
            <w:bottom w:w="0" w:type="dxa"/>
            <w:right w:w="0" w:type="dxa"/>
          </w:tblCellMar>
        </w:tblPrEx>
        <w:trPr>
          <w:trHeight w:val="375"/>
        </w:trPr>
        <w:tc>
          <w:tcPr>
            <w:tcW w:w="249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文法学校</w:t>
            </w:r>
          </w:p>
        </w:tc>
        <w:tc>
          <w:tcPr>
            <w:tcW w:w="250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58%</w:t>
            </w:r>
          </w:p>
        </w:tc>
      </w:tr>
      <w:tr w:rsidR="00CE1FDA">
        <w:tblPrEx>
          <w:tblCellMar>
            <w:top w:w="0" w:type="dxa"/>
            <w:left w:w="0" w:type="dxa"/>
            <w:bottom w:w="0" w:type="dxa"/>
            <w:right w:w="0" w:type="dxa"/>
          </w:tblCellMar>
        </w:tblPrEx>
        <w:trPr>
          <w:trHeight w:val="450"/>
        </w:trPr>
        <w:tc>
          <w:tcPr>
            <w:tcW w:w="249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中等职业学校</w:t>
            </w:r>
          </w:p>
        </w:tc>
        <w:tc>
          <w:tcPr>
            <w:tcW w:w="250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50%</w:t>
            </w:r>
          </w:p>
        </w:tc>
      </w:tr>
    </w:tbl>
    <w:p w:rsidR="00CE1FDA" w:rsidRDefault="00CE1FDA">
      <w:pPr>
        <w:spacing w:after="240" w:line="360" w:lineRule="exact"/>
        <w:rPr>
          <w:rFonts w:hint="eastAsia"/>
          <w:sz w:val="18"/>
        </w:rPr>
      </w:pPr>
      <w:r>
        <w:rPr>
          <w:rFonts w:eastAsia="KaiTi_GB2312" w:hint="eastAsia"/>
          <w:color w:val="0000FF"/>
          <w:sz w:val="18"/>
        </w:rPr>
        <w:t>资料来源</w:t>
      </w:r>
      <w:r>
        <w:rPr>
          <w:rFonts w:hint="eastAsia"/>
          <w:sz w:val="18"/>
        </w:rPr>
        <w:t>：《教育部年鉴》，</w:t>
      </w:r>
      <w:r>
        <w:rPr>
          <w:rFonts w:hint="eastAsia"/>
          <w:sz w:val="18"/>
        </w:rPr>
        <w:t>2005</w:t>
      </w:r>
      <w:r>
        <w:rPr>
          <w:rFonts w:hint="eastAsia"/>
          <w:sz w:val="18"/>
        </w:rPr>
        <w:t>年。</w:t>
      </w:r>
    </w:p>
    <w:p w:rsidR="00CE1FDA" w:rsidRDefault="00CE1FDA">
      <w:pPr>
        <w:spacing w:after="240" w:line="360" w:lineRule="exact"/>
        <w:rPr>
          <w:rFonts w:ascii="SimHei" w:eastAsia="SimHei" w:hint="eastAsia"/>
          <w:color w:val="FF0000"/>
        </w:rPr>
      </w:pPr>
      <w:r>
        <w:rPr>
          <w:rFonts w:ascii="SimHei" w:eastAsia="SimHei" w:hint="eastAsia"/>
          <w:color w:val="FF0000"/>
        </w:rPr>
        <w:t>10.3. 各类学校教师和管理人员的性别情况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03"/>
        <w:gridCol w:w="1195"/>
        <w:gridCol w:w="1716"/>
        <w:gridCol w:w="1286"/>
        <w:gridCol w:w="1286"/>
        <w:gridCol w:w="1286"/>
        <w:gridCol w:w="1288"/>
      </w:tblGrid>
      <w:tr w:rsidR="00CE1FDA">
        <w:tblPrEx>
          <w:tblCellMar>
            <w:top w:w="0" w:type="dxa"/>
            <w:left w:w="0" w:type="dxa"/>
            <w:bottom w:w="0" w:type="dxa"/>
            <w:right w:w="0" w:type="dxa"/>
          </w:tblCellMar>
        </w:tblPrEx>
        <w:tc>
          <w:tcPr>
            <w:tcW w:w="5000" w:type="pct"/>
            <w:gridSpan w:val="7"/>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全日制教育和成人教育</w:t>
            </w:r>
          </w:p>
        </w:tc>
      </w:tr>
      <w:tr w:rsidR="00CE1FDA">
        <w:tblPrEx>
          <w:tblCellMar>
            <w:top w:w="0" w:type="dxa"/>
            <w:left w:w="0" w:type="dxa"/>
            <w:bottom w:w="0" w:type="dxa"/>
            <w:right w:w="0" w:type="dxa"/>
          </w:tblCellMar>
        </w:tblPrEx>
        <w:tc>
          <w:tcPr>
            <w:tcW w:w="915"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p>
        </w:tc>
        <w:tc>
          <w:tcPr>
            <w:tcW w:w="1476" w:type="pct"/>
            <w:gridSpan w:val="2"/>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小学</w:t>
            </w:r>
          </w:p>
        </w:tc>
        <w:tc>
          <w:tcPr>
            <w:tcW w:w="1304" w:type="pct"/>
            <w:gridSpan w:val="2"/>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文法学校</w:t>
            </w:r>
          </w:p>
        </w:tc>
        <w:tc>
          <w:tcPr>
            <w:tcW w:w="1304" w:type="pct"/>
            <w:gridSpan w:val="2"/>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中等职业学校</w:t>
            </w:r>
          </w:p>
        </w:tc>
      </w:tr>
      <w:tr w:rsidR="00CE1FDA">
        <w:tblPrEx>
          <w:tblCellMar>
            <w:top w:w="0" w:type="dxa"/>
            <w:left w:w="0" w:type="dxa"/>
            <w:bottom w:w="0" w:type="dxa"/>
            <w:right w:w="0" w:type="dxa"/>
          </w:tblCellMar>
        </w:tblPrEx>
        <w:tc>
          <w:tcPr>
            <w:tcW w:w="915"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p>
        </w:tc>
        <w:tc>
          <w:tcPr>
            <w:tcW w:w="606"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校长/</w:t>
            </w:r>
            <w:r>
              <w:rPr>
                <w:rFonts w:ascii="SimHei" w:eastAsia="SimHei"/>
                <w:color w:val="FF0000"/>
                <w:sz w:val="18"/>
              </w:rPr>
              <w:br/>
            </w:r>
            <w:r>
              <w:rPr>
                <w:rFonts w:ascii="SimHei" w:eastAsia="SimHei" w:hint="eastAsia"/>
                <w:color w:val="FF0000"/>
                <w:sz w:val="18"/>
              </w:rPr>
              <w:t>女校长</w:t>
            </w:r>
          </w:p>
        </w:tc>
        <w:tc>
          <w:tcPr>
            <w:tcW w:w="870"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副校长/</w:t>
            </w:r>
            <w:r>
              <w:rPr>
                <w:rFonts w:ascii="SimHei" w:eastAsia="SimHei"/>
                <w:color w:val="FF0000"/>
                <w:sz w:val="18"/>
              </w:rPr>
              <w:br/>
            </w:r>
            <w:r>
              <w:rPr>
                <w:rFonts w:ascii="SimHei" w:eastAsia="SimHei" w:hint="eastAsia"/>
                <w:color w:val="FF0000"/>
                <w:sz w:val="18"/>
              </w:rPr>
              <w:t>女副校长</w:t>
            </w:r>
          </w:p>
        </w:tc>
        <w:tc>
          <w:tcPr>
            <w:tcW w:w="652"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校长/</w:t>
            </w:r>
            <w:r>
              <w:rPr>
                <w:rFonts w:ascii="SimHei" w:eastAsia="SimHei"/>
                <w:color w:val="FF0000"/>
                <w:sz w:val="18"/>
              </w:rPr>
              <w:br/>
            </w:r>
            <w:r>
              <w:rPr>
                <w:rFonts w:ascii="SimHei" w:eastAsia="SimHei" w:hint="eastAsia"/>
                <w:color w:val="FF0000"/>
                <w:sz w:val="18"/>
              </w:rPr>
              <w:t>女校长</w:t>
            </w:r>
          </w:p>
        </w:tc>
        <w:tc>
          <w:tcPr>
            <w:tcW w:w="652"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副校长/</w:t>
            </w:r>
            <w:r>
              <w:rPr>
                <w:rFonts w:ascii="SimHei" w:eastAsia="SimHei"/>
                <w:color w:val="FF0000"/>
                <w:sz w:val="18"/>
              </w:rPr>
              <w:br/>
            </w:r>
            <w:r>
              <w:rPr>
                <w:rFonts w:ascii="SimHei" w:eastAsia="SimHei" w:hint="eastAsia"/>
                <w:color w:val="FF0000"/>
                <w:sz w:val="18"/>
              </w:rPr>
              <w:t>女副校长</w:t>
            </w:r>
          </w:p>
        </w:tc>
        <w:tc>
          <w:tcPr>
            <w:tcW w:w="652"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校长/</w:t>
            </w:r>
            <w:r>
              <w:rPr>
                <w:rFonts w:ascii="SimHei" w:eastAsia="SimHei"/>
                <w:color w:val="FF0000"/>
                <w:sz w:val="18"/>
              </w:rPr>
              <w:br/>
            </w:r>
            <w:r>
              <w:rPr>
                <w:rFonts w:ascii="SimHei" w:eastAsia="SimHei" w:hint="eastAsia"/>
                <w:color w:val="FF0000"/>
                <w:sz w:val="18"/>
              </w:rPr>
              <w:t>女校长</w:t>
            </w:r>
          </w:p>
        </w:tc>
        <w:tc>
          <w:tcPr>
            <w:tcW w:w="652"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副校长/</w:t>
            </w:r>
            <w:r>
              <w:rPr>
                <w:rFonts w:ascii="SimHei" w:eastAsia="SimHei"/>
                <w:color w:val="FF0000"/>
                <w:sz w:val="18"/>
              </w:rPr>
              <w:br/>
            </w:r>
            <w:r>
              <w:rPr>
                <w:rFonts w:ascii="SimHei" w:eastAsia="SimHei" w:hint="eastAsia"/>
                <w:color w:val="FF0000"/>
                <w:sz w:val="18"/>
              </w:rPr>
              <w:t>女副校长</w:t>
            </w:r>
          </w:p>
        </w:tc>
      </w:tr>
      <w:tr w:rsidR="00CE1FDA">
        <w:tblPrEx>
          <w:tblCellMar>
            <w:top w:w="0" w:type="dxa"/>
            <w:left w:w="0" w:type="dxa"/>
            <w:bottom w:w="0" w:type="dxa"/>
            <w:right w:w="0" w:type="dxa"/>
          </w:tblCellMar>
        </w:tblPrEx>
        <w:tc>
          <w:tcPr>
            <w:tcW w:w="915" w:type="pct"/>
          </w:tcPr>
          <w:p w:rsidR="00CE1FDA" w:rsidRDefault="00CE1FDA" w:rsidP="00AC01AA">
            <w:pPr>
              <w:spacing w:before="60" w:after="60" w:line="340" w:lineRule="exact"/>
              <w:ind w:leftChars="50" w:left="31680" w:rightChars="50" w:right="31680"/>
              <w:rPr>
                <w:rFonts w:eastAsia="SimHei" w:hint="eastAsia"/>
                <w:color w:val="FF0000"/>
                <w:sz w:val="18"/>
              </w:rPr>
            </w:pPr>
            <w:r>
              <w:rPr>
                <w:rFonts w:eastAsia="SimHei" w:hint="eastAsia"/>
                <w:color w:val="FF0000"/>
                <w:sz w:val="18"/>
              </w:rPr>
              <w:t>总数</w:t>
            </w:r>
          </w:p>
        </w:tc>
        <w:tc>
          <w:tcPr>
            <w:tcW w:w="606"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3 069</w:t>
            </w:r>
          </w:p>
        </w:tc>
        <w:tc>
          <w:tcPr>
            <w:tcW w:w="870"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3 981</w:t>
            </w:r>
          </w:p>
        </w:tc>
        <w:tc>
          <w:tcPr>
            <w:tcW w:w="652"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462</w:t>
            </w:r>
          </w:p>
        </w:tc>
        <w:tc>
          <w:tcPr>
            <w:tcW w:w="652"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787</w:t>
            </w:r>
          </w:p>
        </w:tc>
        <w:tc>
          <w:tcPr>
            <w:tcW w:w="652"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532</w:t>
            </w:r>
          </w:p>
        </w:tc>
        <w:tc>
          <w:tcPr>
            <w:tcW w:w="652"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985</w:t>
            </w:r>
          </w:p>
        </w:tc>
      </w:tr>
      <w:tr w:rsidR="00CE1FDA">
        <w:tblPrEx>
          <w:tblCellMar>
            <w:top w:w="0" w:type="dxa"/>
            <w:left w:w="0" w:type="dxa"/>
            <w:bottom w:w="0" w:type="dxa"/>
            <w:right w:w="0" w:type="dxa"/>
          </w:tblCellMar>
        </w:tblPrEx>
        <w:tc>
          <w:tcPr>
            <w:tcW w:w="915" w:type="pct"/>
          </w:tcPr>
          <w:p w:rsidR="00CE1FDA" w:rsidRDefault="00CE1FDA" w:rsidP="00AC01AA">
            <w:pPr>
              <w:spacing w:before="60" w:after="60" w:line="340" w:lineRule="exact"/>
              <w:ind w:leftChars="50" w:left="31680" w:rightChars="50" w:right="31680"/>
              <w:rPr>
                <w:rFonts w:eastAsia="SimHei" w:hint="eastAsia"/>
                <w:color w:val="FF0000"/>
                <w:sz w:val="18"/>
              </w:rPr>
            </w:pPr>
            <w:r>
              <w:rPr>
                <w:rFonts w:eastAsia="SimHei" w:hint="eastAsia"/>
                <w:color w:val="FF0000"/>
                <w:sz w:val="18"/>
              </w:rPr>
              <w:t>妇女</w:t>
            </w:r>
          </w:p>
        </w:tc>
        <w:tc>
          <w:tcPr>
            <w:tcW w:w="606"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1 890</w:t>
            </w:r>
          </w:p>
        </w:tc>
        <w:tc>
          <w:tcPr>
            <w:tcW w:w="870"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3 420</w:t>
            </w:r>
          </w:p>
        </w:tc>
        <w:tc>
          <w:tcPr>
            <w:tcW w:w="652"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176</w:t>
            </w:r>
          </w:p>
        </w:tc>
        <w:tc>
          <w:tcPr>
            <w:tcW w:w="652"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496</w:t>
            </w:r>
          </w:p>
        </w:tc>
        <w:tc>
          <w:tcPr>
            <w:tcW w:w="652"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200</w:t>
            </w:r>
          </w:p>
        </w:tc>
        <w:tc>
          <w:tcPr>
            <w:tcW w:w="652"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565</w:t>
            </w:r>
          </w:p>
        </w:tc>
      </w:tr>
      <w:tr w:rsidR="00CE1FDA">
        <w:tblPrEx>
          <w:tblCellMar>
            <w:top w:w="0" w:type="dxa"/>
            <w:left w:w="0" w:type="dxa"/>
            <w:bottom w:w="0" w:type="dxa"/>
            <w:right w:w="0" w:type="dxa"/>
          </w:tblCellMar>
        </w:tblPrEx>
        <w:tc>
          <w:tcPr>
            <w:tcW w:w="915" w:type="pct"/>
          </w:tcPr>
          <w:p w:rsidR="00CE1FDA" w:rsidRDefault="00CE1FDA" w:rsidP="00AC01AA">
            <w:pPr>
              <w:spacing w:before="60" w:after="60" w:line="340" w:lineRule="exact"/>
              <w:ind w:leftChars="50" w:left="31680" w:rightChars="50" w:right="31680"/>
              <w:rPr>
                <w:rFonts w:eastAsia="SimHei" w:hint="eastAsia"/>
                <w:color w:val="FF0000"/>
                <w:sz w:val="18"/>
              </w:rPr>
            </w:pPr>
            <w:r>
              <w:rPr>
                <w:rFonts w:eastAsia="SimHei" w:hint="eastAsia"/>
                <w:color w:val="FF0000"/>
                <w:sz w:val="18"/>
              </w:rPr>
              <w:t>妇女比例</w:t>
            </w:r>
          </w:p>
        </w:tc>
        <w:tc>
          <w:tcPr>
            <w:tcW w:w="606"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61.6</w:t>
            </w:r>
          </w:p>
        </w:tc>
        <w:tc>
          <w:tcPr>
            <w:tcW w:w="870"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85.9</w:t>
            </w:r>
          </w:p>
        </w:tc>
        <w:tc>
          <w:tcPr>
            <w:tcW w:w="652"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38.1</w:t>
            </w:r>
          </w:p>
        </w:tc>
        <w:tc>
          <w:tcPr>
            <w:tcW w:w="652"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63</w:t>
            </w:r>
          </w:p>
        </w:tc>
        <w:tc>
          <w:tcPr>
            <w:tcW w:w="652"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37.6</w:t>
            </w:r>
          </w:p>
        </w:tc>
        <w:tc>
          <w:tcPr>
            <w:tcW w:w="652"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57.4</w:t>
            </w:r>
          </w:p>
        </w:tc>
      </w:tr>
      <w:tr w:rsidR="00CE1FDA">
        <w:tblPrEx>
          <w:tblCellMar>
            <w:top w:w="0" w:type="dxa"/>
            <w:left w:w="0" w:type="dxa"/>
            <w:bottom w:w="0" w:type="dxa"/>
            <w:right w:w="0" w:type="dxa"/>
          </w:tblCellMar>
        </w:tblPrEx>
        <w:tc>
          <w:tcPr>
            <w:tcW w:w="915" w:type="pct"/>
          </w:tcPr>
          <w:p w:rsidR="00CE1FDA" w:rsidRDefault="00CE1FDA" w:rsidP="00AC01AA">
            <w:pPr>
              <w:spacing w:before="60" w:after="60" w:line="340" w:lineRule="exact"/>
              <w:ind w:leftChars="50" w:left="31680" w:rightChars="50" w:right="31680"/>
              <w:rPr>
                <w:rFonts w:eastAsia="SimHei" w:hint="eastAsia"/>
                <w:color w:val="FF0000"/>
                <w:sz w:val="18"/>
              </w:rPr>
            </w:pPr>
            <w:r>
              <w:rPr>
                <w:rFonts w:eastAsia="SimHei" w:hint="eastAsia"/>
                <w:color w:val="FF0000"/>
                <w:sz w:val="18"/>
              </w:rPr>
              <w:t>教师中妇女的比例</w:t>
            </w:r>
          </w:p>
        </w:tc>
        <w:tc>
          <w:tcPr>
            <w:tcW w:w="606"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87.0</w:t>
            </w:r>
          </w:p>
        </w:tc>
        <w:tc>
          <w:tcPr>
            <w:tcW w:w="870"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87.0</w:t>
            </w:r>
          </w:p>
        </w:tc>
        <w:tc>
          <w:tcPr>
            <w:tcW w:w="652"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71.3</w:t>
            </w:r>
          </w:p>
        </w:tc>
        <w:tc>
          <w:tcPr>
            <w:tcW w:w="652"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71.3</w:t>
            </w:r>
          </w:p>
        </w:tc>
        <w:tc>
          <w:tcPr>
            <w:tcW w:w="652"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64.3</w:t>
            </w:r>
          </w:p>
        </w:tc>
        <w:tc>
          <w:tcPr>
            <w:tcW w:w="652" w:type="pct"/>
          </w:tcPr>
          <w:p w:rsidR="00CE1FDA" w:rsidRDefault="00CE1FDA" w:rsidP="00AC01AA">
            <w:pPr>
              <w:spacing w:before="60" w:after="60" w:line="340" w:lineRule="exact"/>
              <w:ind w:leftChars="50" w:left="31680" w:rightChars="50" w:right="31680"/>
              <w:jc w:val="center"/>
              <w:rPr>
                <w:rFonts w:hint="eastAsia"/>
                <w:sz w:val="18"/>
              </w:rPr>
            </w:pPr>
            <w:r>
              <w:rPr>
                <w:rFonts w:hint="eastAsia"/>
                <w:sz w:val="18"/>
              </w:rPr>
              <w:t>64.3</w:t>
            </w:r>
          </w:p>
        </w:tc>
      </w:tr>
    </w:tbl>
    <w:p w:rsidR="00CE1FDA" w:rsidRDefault="00CE1FDA" w:rsidP="00AC01AA">
      <w:pPr>
        <w:spacing w:after="240" w:line="360" w:lineRule="exact"/>
        <w:ind w:firstLineChars="200" w:firstLine="31680"/>
        <w:rPr>
          <w:rFonts w:hint="eastAsia"/>
        </w:rPr>
      </w:pPr>
    </w:p>
    <w:p w:rsidR="00CE1FDA" w:rsidRDefault="00CE1FDA">
      <w:pPr>
        <w:spacing w:after="240" w:line="360" w:lineRule="exact"/>
        <w:rPr>
          <w:rFonts w:ascii="SimHei" w:eastAsia="SimHei" w:hint="eastAsia"/>
          <w:color w:val="FF0000"/>
        </w:rPr>
      </w:pPr>
    </w:p>
    <w:p w:rsidR="00CE1FDA" w:rsidRDefault="00CE1FDA">
      <w:pPr>
        <w:spacing w:after="240" w:line="360" w:lineRule="exact"/>
        <w:rPr>
          <w:rFonts w:ascii="SimHei" w:eastAsia="SimHei" w:hint="eastAsia"/>
          <w:color w:val="FF0000"/>
        </w:rPr>
      </w:pPr>
      <w:r>
        <w:rPr>
          <w:rFonts w:ascii="SimHei" w:eastAsia="SimHei"/>
          <w:noProof/>
          <w:color w:val="FF0000"/>
          <w:sz w:val="20"/>
        </w:rPr>
        <w:pict>
          <v:shapetype id="_x0000_t202" coordsize="21600,21600" o:spt="202" path="m,l,21600r21600,l21600,xe">
            <v:stroke joinstyle="miter"/>
            <v:path gradientshapeok="t" o:connecttype="rect"/>
          </v:shapetype>
          <v:shape id="_x0000_s1148" type="#_x0000_t202" style="position:absolute;left:0;text-align:left;margin-left:36pt;margin-top:20.8pt;width:412.8pt;height:243.8pt;z-index:1" filled="f" stroked="f">
            <v:textbox>
              <w:txbxContent>
                <w:p w:rsidR="00322285" w:rsidRDefault="00322285">
                  <w:pP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98.25pt;height:237pt">
                        <v:imagedata r:id="rId14" o:title=""/>
                      </v:shape>
                    </w:pict>
                  </w:r>
                </w:p>
                <w:p w:rsidR="00322285" w:rsidRDefault="00322285">
                  <w:pPr>
                    <w:rPr>
                      <w:rFonts w:hint="eastAsia"/>
                    </w:rPr>
                  </w:pPr>
                </w:p>
              </w:txbxContent>
            </v:textbox>
          </v:shape>
        </w:pict>
      </w:r>
      <w:r>
        <w:rPr>
          <w:rFonts w:ascii="SimHei" w:eastAsia="SimHei" w:hint="eastAsia"/>
          <w:color w:val="FF0000"/>
        </w:rPr>
        <w:t>图10.4.</w:t>
      </w:r>
    </w:p>
    <w:p w:rsidR="00CE1FDA" w:rsidRDefault="00CE1FDA">
      <w:pPr>
        <w:spacing w:after="240" w:line="360" w:lineRule="exact"/>
        <w:rPr>
          <w:rFonts w:ascii="SimHei" w:eastAsia="SimHei" w:hint="eastAsia"/>
          <w:color w:val="FF0000"/>
        </w:rPr>
      </w:pPr>
    </w:p>
    <w:p w:rsidR="00CE1FDA" w:rsidRDefault="00CE1FDA">
      <w:pPr>
        <w:spacing w:after="240" w:line="360" w:lineRule="exact"/>
        <w:rPr>
          <w:rFonts w:ascii="SimHei" w:eastAsia="SimHei" w:hint="eastAsia"/>
          <w:color w:val="FF0000"/>
        </w:rPr>
      </w:pPr>
    </w:p>
    <w:p w:rsidR="00CE1FDA" w:rsidRDefault="00CE1FDA">
      <w:pPr>
        <w:spacing w:after="240" w:line="360" w:lineRule="exact"/>
        <w:rPr>
          <w:rFonts w:ascii="SimHei" w:eastAsia="SimHei" w:hint="eastAsia"/>
          <w:color w:val="FF0000"/>
        </w:rPr>
      </w:pPr>
      <w:r>
        <w:rPr>
          <w:rFonts w:ascii="SimHei" w:eastAsia="SimHei"/>
          <w:noProof/>
          <w:color w:val="FF0000"/>
          <w:sz w:val="20"/>
        </w:rPr>
        <w:pict>
          <v:shape id="_x0000_s1156" type="#_x0000_t202" style="position:absolute;left:0;text-align:left;margin-left:362.25pt;margin-top:2.85pt;width:78pt;height:62.4pt;z-index:9" filled="f" stroked="f">
            <v:textbox>
              <w:txbxContent>
                <w:p w:rsidR="00322285" w:rsidRDefault="00322285">
                  <w:pPr>
                    <w:spacing w:line="260" w:lineRule="exact"/>
                    <w:rPr>
                      <w:rFonts w:hint="eastAsia"/>
                      <w:sz w:val="18"/>
                    </w:rPr>
                  </w:pPr>
                  <w:r>
                    <w:rPr>
                      <w:rFonts w:hint="eastAsia"/>
                      <w:sz w:val="18"/>
                    </w:rPr>
                    <w:t>2001</w:t>
                  </w:r>
                  <w:r>
                    <w:rPr>
                      <w:rFonts w:hint="eastAsia"/>
                      <w:sz w:val="18"/>
                    </w:rPr>
                    <w:t>年妇女</w:t>
                  </w:r>
                </w:p>
                <w:p w:rsidR="00322285" w:rsidRDefault="00322285">
                  <w:pPr>
                    <w:spacing w:line="260" w:lineRule="exact"/>
                    <w:rPr>
                      <w:rFonts w:hint="eastAsia"/>
                      <w:sz w:val="18"/>
                    </w:rPr>
                  </w:pPr>
                  <w:r>
                    <w:rPr>
                      <w:rFonts w:hint="eastAsia"/>
                      <w:sz w:val="18"/>
                    </w:rPr>
                    <w:t>2001</w:t>
                  </w:r>
                  <w:r>
                    <w:rPr>
                      <w:rFonts w:hint="eastAsia"/>
                      <w:sz w:val="18"/>
                    </w:rPr>
                    <w:t>年男子</w:t>
                  </w:r>
                </w:p>
                <w:p w:rsidR="00322285" w:rsidRDefault="00322285">
                  <w:pPr>
                    <w:spacing w:line="260" w:lineRule="exact"/>
                    <w:rPr>
                      <w:rFonts w:hint="eastAsia"/>
                      <w:sz w:val="18"/>
                    </w:rPr>
                  </w:pPr>
                  <w:r>
                    <w:rPr>
                      <w:rFonts w:hint="eastAsia"/>
                      <w:sz w:val="18"/>
                    </w:rPr>
                    <w:t>2004</w:t>
                  </w:r>
                  <w:r>
                    <w:rPr>
                      <w:rFonts w:hint="eastAsia"/>
                      <w:sz w:val="18"/>
                    </w:rPr>
                    <w:t>年妇女</w:t>
                  </w:r>
                </w:p>
                <w:p w:rsidR="00322285" w:rsidRDefault="00322285">
                  <w:pPr>
                    <w:spacing w:line="260" w:lineRule="exact"/>
                    <w:rPr>
                      <w:rFonts w:hint="eastAsia"/>
                      <w:sz w:val="18"/>
                    </w:rPr>
                  </w:pPr>
                  <w:r>
                    <w:rPr>
                      <w:rFonts w:hint="eastAsia"/>
                      <w:sz w:val="18"/>
                    </w:rPr>
                    <w:t>2004</w:t>
                  </w:r>
                  <w:r>
                    <w:rPr>
                      <w:rFonts w:hint="eastAsia"/>
                      <w:sz w:val="18"/>
                    </w:rPr>
                    <w:t>年男子</w:t>
                  </w:r>
                </w:p>
                <w:p w:rsidR="00322285" w:rsidRDefault="00322285">
                  <w:pPr>
                    <w:spacing w:line="260" w:lineRule="exact"/>
                    <w:rPr>
                      <w:rFonts w:hint="eastAsia"/>
                      <w:sz w:val="18"/>
                    </w:rPr>
                  </w:pPr>
                </w:p>
              </w:txbxContent>
            </v:textbox>
          </v:shape>
        </w:pict>
      </w:r>
    </w:p>
    <w:p w:rsidR="00CE1FDA" w:rsidRDefault="00CE1FDA">
      <w:pPr>
        <w:spacing w:after="240" w:line="360" w:lineRule="exact"/>
        <w:rPr>
          <w:rFonts w:ascii="SimHei" w:eastAsia="SimHei" w:hint="eastAsia"/>
          <w:color w:val="FF0000"/>
        </w:rPr>
      </w:pPr>
    </w:p>
    <w:p w:rsidR="00CE1FDA" w:rsidRDefault="00CE1FDA">
      <w:pPr>
        <w:spacing w:after="240" w:line="360" w:lineRule="exact"/>
        <w:rPr>
          <w:rFonts w:ascii="SimHei" w:eastAsia="SimHei" w:hint="eastAsia"/>
          <w:color w:val="FF0000"/>
        </w:rPr>
      </w:pPr>
    </w:p>
    <w:p w:rsidR="00CE1FDA" w:rsidRDefault="00CE1FDA">
      <w:pPr>
        <w:spacing w:after="240" w:line="360" w:lineRule="exact"/>
        <w:rPr>
          <w:rFonts w:ascii="SimHei" w:eastAsia="SimHei" w:hint="eastAsia"/>
          <w:color w:val="FF0000"/>
        </w:rPr>
      </w:pPr>
    </w:p>
    <w:p w:rsidR="00CE1FDA" w:rsidRDefault="00CE1FDA">
      <w:pPr>
        <w:spacing w:after="240" w:line="360" w:lineRule="exact"/>
        <w:rPr>
          <w:rFonts w:ascii="SimHei" w:eastAsia="SimHei" w:hint="eastAsia"/>
          <w:color w:val="FF0000"/>
        </w:rPr>
      </w:pPr>
      <w:r>
        <w:rPr>
          <w:rFonts w:ascii="SimHei" w:eastAsia="SimHei"/>
          <w:noProof/>
          <w:color w:val="FF0000"/>
          <w:sz w:val="20"/>
        </w:rPr>
        <w:pict>
          <v:shape id="_x0000_s1153" type="#_x0000_t202" style="position:absolute;left:0;text-align:left;margin-left:246pt;margin-top:5.65pt;width:45pt;height:31.2pt;z-index:6" filled="f" stroked="f">
            <v:textbox>
              <w:txbxContent>
                <w:p w:rsidR="00322285" w:rsidRDefault="00322285">
                  <w:pPr>
                    <w:spacing w:line="220" w:lineRule="exact"/>
                    <w:jc w:val="center"/>
                    <w:rPr>
                      <w:rFonts w:hint="eastAsia"/>
                      <w:sz w:val="18"/>
                    </w:rPr>
                  </w:pPr>
                  <w:r>
                    <w:rPr>
                      <w:rFonts w:hint="eastAsia"/>
                      <w:sz w:val="18"/>
                    </w:rPr>
                    <w:t>助理</w:t>
                  </w:r>
                  <w:r>
                    <w:rPr>
                      <w:sz w:val="18"/>
                    </w:rPr>
                    <w:br/>
                  </w:r>
                  <w:r>
                    <w:rPr>
                      <w:rFonts w:hint="eastAsia"/>
                      <w:sz w:val="18"/>
                    </w:rPr>
                    <w:t>教授</w:t>
                  </w:r>
                </w:p>
              </w:txbxContent>
            </v:textbox>
          </v:shape>
        </w:pict>
      </w:r>
      <w:r>
        <w:rPr>
          <w:rFonts w:ascii="SimHei" w:eastAsia="SimHei"/>
          <w:noProof/>
          <w:color w:val="FF0000"/>
          <w:sz w:val="20"/>
        </w:rPr>
        <w:pict>
          <v:shape id="_x0000_s1150" type="#_x0000_t202" style="position:absolute;left:0;text-align:left;margin-left:90pt;margin-top:5.65pt;width:45pt;height:31.2pt;z-index:3" filled="f" stroked="f">
            <v:textbox>
              <w:txbxContent>
                <w:p w:rsidR="00322285" w:rsidRDefault="00322285">
                  <w:pPr>
                    <w:spacing w:line="220" w:lineRule="exact"/>
                    <w:jc w:val="center"/>
                    <w:rPr>
                      <w:rFonts w:hint="eastAsia"/>
                      <w:sz w:val="18"/>
                    </w:rPr>
                  </w:pPr>
                  <w:r>
                    <w:rPr>
                      <w:rFonts w:hint="eastAsia"/>
                      <w:sz w:val="18"/>
                    </w:rPr>
                    <w:t>全日制学生</w:t>
                  </w:r>
                </w:p>
              </w:txbxContent>
            </v:textbox>
          </v:shape>
        </w:pict>
      </w:r>
      <w:r>
        <w:rPr>
          <w:rFonts w:ascii="SimHei" w:eastAsia="SimHei"/>
          <w:noProof/>
          <w:color w:val="FF0000"/>
          <w:sz w:val="20"/>
        </w:rPr>
        <w:pict>
          <v:shape id="_x0000_s1154" type="#_x0000_t202" style="position:absolute;left:0;text-align:left;margin-left:300pt;margin-top:5.65pt;width:45pt;height:31.2pt;z-index:7" filled="f" stroked="f">
            <v:textbox>
              <w:txbxContent>
                <w:p w:rsidR="00322285" w:rsidRDefault="00322285">
                  <w:pPr>
                    <w:spacing w:line="220" w:lineRule="exact"/>
                    <w:jc w:val="center"/>
                    <w:rPr>
                      <w:rFonts w:hint="eastAsia"/>
                      <w:sz w:val="18"/>
                    </w:rPr>
                  </w:pPr>
                  <w:r>
                    <w:rPr>
                      <w:rFonts w:hint="eastAsia"/>
                      <w:sz w:val="18"/>
                    </w:rPr>
                    <w:t>副教授</w:t>
                  </w:r>
                </w:p>
              </w:txbxContent>
            </v:textbox>
          </v:shape>
        </w:pict>
      </w:r>
      <w:r>
        <w:rPr>
          <w:rFonts w:ascii="SimHei" w:eastAsia="SimHei"/>
          <w:noProof/>
          <w:color w:val="FF0000"/>
          <w:sz w:val="20"/>
        </w:rPr>
        <w:pict>
          <v:shape id="_x0000_s1155" type="#_x0000_t202" style="position:absolute;left:0;text-align:left;margin-left:354pt;margin-top:5.65pt;width:45pt;height:31.2pt;z-index:8" filled="f" stroked="f">
            <v:textbox>
              <w:txbxContent>
                <w:p w:rsidR="00322285" w:rsidRDefault="00322285">
                  <w:pPr>
                    <w:spacing w:line="220" w:lineRule="exact"/>
                    <w:jc w:val="center"/>
                    <w:rPr>
                      <w:rFonts w:hint="eastAsia"/>
                      <w:sz w:val="18"/>
                    </w:rPr>
                  </w:pPr>
                  <w:r>
                    <w:rPr>
                      <w:rFonts w:hint="eastAsia"/>
                      <w:sz w:val="18"/>
                    </w:rPr>
                    <w:t>大学</w:t>
                  </w:r>
                  <w:r>
                    <w:rPr>
                      <w:sz w:val="18"/>
                    </w:rPr>
                    <w:br/>
                  </w:r>
                  <w:r>
                    <w:rPr>
                      <w:rFonts w:hint="eastAsia"/>
                      <w:sz w:val="18"/>
                    </w:rPr>
                    <w:t>教授</w:t>
                  </w:r>
                </w:p>
              </w:txbxContent>
            </v:textbox>
          </v:shape>
        </w:pict>
      </w:r>
      <w:r>
        <w:rPr>
          <w:rFonts w:ascii="SimHei" w:eastAsia="SimHei"/>
          <w:noProof/>
          <w:color w:val="FF0000"/>
          <w:sz w:val="20"/>
        </w:rPr>
        <w:pict>
          <v:shape id="_x0000_s1149" type="#_x0000_t202" style="position:absolute;left:0;text-align:left;margin-left:126pt;margin-top:-165.95pt;width:3in;height:31.2pt;z-index:2" filled="f" stroked="f">
            <v:textbox>
              <w:txbxContent>
                <w:p w:rsidR="00322285" w:rsidRDefault="00322285">
                  <w:pPr>
                    <w:jc w:val="center"/>
                    <w:rPr>
                      <w:rFonts w:eastAsia="SimHei" w:hint="eastAsia"/>
                      <w:color w:val="FF0000"/>
                    </w:rPr>
                  </w:pPr>
                  <w:r>
                    <w:rPr>
                      <w:rFonts w:eastAsia="SimHei" w:hint="eastAsia"/>
                      <w:color w:val="FF0000"/>
                    </w:rPr>
                    <w:t>男女的典型学历</w:t>
                  </w:r>
                </w:p>
              </w:txbxContent>
            </v:textbox>
          </v:shape>
        </w:pict>
      </w:r>
      <w:r>
        <w:rPr>
          <w:rFonts w:ascii="SimHei" w:eastAsia="SimHei"/>
          <w:noProof/>
          <w:color w:val="FF0000"/>
          <w:sz w:val="20"/>
        </w:rPr>
        <w:pict>
          <v:shape id="_x0000_s1151" type="#_x0000_t202" style="position:absolute;left:0;text-align:left;margin-left:138pt;margin-top:5.65pt;width:45pt;height:31.2pt;z-index:4" filled="f" stroked="f">
            <v:textbox>
              <w:txbxContent>
                <w:p w:rsidR="00322285" w:rsidRDefault="00322285">
                  <w:pPr>
                    <w:spacing w:line="220" w:lineRule="exact"/>
                    <w:jc w:val="center"/>
                    <w:rPr>
                      <w:rFonts w:hint="eastAsia"/>
                      <w:sz w:val="18"/>
                    </w:rPr>
                  </w:pPr>
                  <w:r>
                    <w:rPr>
                      <w:rFonts w:hint="eastAsia"/>
                      <w:sz w:val="18"/>
                    </w:rPr>
                    <w:t>全日制博士生</w:t>
                  </w:r>
                </w:p>
              </w:txbxContent>
            </v:textbox>
          </v:shape>
        </w:pict>
      </w:r>
      <w:r>
        <w:rPr>
          <w:rFonts w:ascii="SimHei" w:eastAsia="SimHei"/>
          <w:noProof/>
          <w:color w:val="FF0000"/>
          <w:sz w:val="20"/>
        </w:rPr>
        <w:pict>
          <v:shape id="_x0000_s1152" type="#_x0000_t202" style="position:absolute;left:0;text-align:left;margin-left:192pt;margin-top:5.65pt;width:45pt;height:31.2pt;z-index:5" filled="f" stroked="f">
            <v:textbox>
              <w:txbxContent>
                <w:p w:rsidR="00322285" w:rsidRDefault="00322285">
                  <w:pPr>
                    <w:spacing w:line="220" w:lineRule="exact"/>
                    <w:jc w:val="center"/>
                    <w:rPr>
                      <w:rFonts w:hint="eastAsia"/>
                      <w:sz w:val="18"/>
                    </w:rPr>
                  </w:pPr>
                  <w:r>
                    <w:rPr>
                      <w:rFonts w:hint="eastAsia"/>
                      <w:sz w:val="18"/>
                    </w:rPr>
                    <w:t>助教</w:t>
                  </w:r>
                </w:p>
              </w:txbxContent>
            </v:textbox>
          </v:shape>
        </w:pict>
      </w:r>
    </w:p>
    <w:p w:rsidR="00CE1FDA" w:rsidRDefault="00CE1FDA">
      <w:pPr>
        <w:spacing w:after="240" w:line="360" w:lineRule="exact"/>
        <w:rPr>
          <w:rFonts w:ascii="SimHei" w:eastAsia="SimHei" w:hint="eastAsia"/>
          <w:color w:val="FF0000"/>
        </w:rPr>
      </w:pPr>
    </w:p>
    <w:p w:rsidR="00CE1FDA" w:rsidRDefault="00CE1FDA">
      <w:pPr>
        <w:spacing w:after="240" w:line="360" w:lineRule="exact"/>
        <w:rPr>
          <w:rFonts w:ascii="SimHei" w:eastAsia="SimHei" w:hint="eastAsia"/>
          <w:color w:val="FF0000"/>
        </w:rPr>
      </w:pPr>
    </w:p>
    <w:p w:rsidR="00CE1FDA" w:rsidRDefault="00CE1FDA">
      <w:pPr>
        <w:spacing w:after="240" w:line="360" w:lineRule="exact"/>
        <w:rPr>
          <w:rFonts w:ascii="KaiTi_GB2312" w:eastAsia="KaiTi_GB2312" w:hint="eastAsia"/>
          <w:color w:val="0000FF"/>
        </w:rPr>
      </w:pPr>
      <w:r>
        <w:rPr>
          <w:rFonts w:ascii="KaiTi_GB2312" w:eastAsia="KaiTi_GB2312" w:hint="eastAsia"/>
          <w:color w:val="0000FF"/>
        </w:rPr>
        <w:t>第11条</w:t>
      </w:r>
    </w:p>
    <w:p w:rsidR="00CE1FDA" w:rsidRDefault="00CE1FDA">
      <w:pPr>
        <w:spacing w:after="240" w:line="360" w:lineRule="exact"/>
        <w:rPr>
          <w:rFonts w:ascii="SimHei" w:eastAsia="SimHei" w:hint="eastAsia"/>
          <w:color w:val="FF0000"/>
        </w:rPr>
      </w:pPr>
      <w:r>
        <w:rPr>
          <w:rFonts w:ascii="SimHei" w:eastAsia="SimHei" w:hint="eastAsia"/>
          <w:color w:val="FF0000"/>
        </w:rPr>
        <w:t>11.1. 15-64岁人口的就业情况</w:t>
      </w:r>
      <w:r>
        <w:rPr>
          <w:rFonts w:eastAsia="SimHei" w:hint="eastAsia"/>
          <w:color w:val="FF0000"/>
          <w:vertAlign w:val="superscript"/>
        </w:rPr>
        <w:t>*</w:t>
      </w:r>
    </w:p>
    <w:p w:rsidR="00CE1FDA" w:rsidRDefault="00CE1FDA">
      <w:pPr>
        <w:spacing w:after="240" w:line="360" w:lineRule="exact"/>
        <w:rPr>
          <w:rFonts w:ascii="SimHei" w:eastAsia="SimHei" w:hint="eastAsia"/>
          <w:color w:val="FF0000"/>
        </w:rPr>
      </w:pPr>
      <w:r>
        <w:rPr>
          <w:rFonts w:ascii="SimHei" w:eastAsia="SimHei" w:hint="eastAsia"/>
          <w:color w:val="FF0000"/>
        </w:rPr>
        <w:t>1992-2005年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86"/>
        <w:gridCol w:w="1345"/>
        <w:gridCol w:w="1347"/>
        <w:gridCol w:w="1347"/>
        <w:gridCol w:w="1345"/>
        <w:gridCol w:w="1347"/>
        <w:gridCol w:w="1343"/>
      </w:tblGrid>
      <w:tr w:rsidR="00CE1FDA">
        <w:tblPrEx>
          <w:tblCellMar>
            <w:top w:w="0" w:type="dxa"/>
            <w:left w:w="0" w:type="dxa"/>
            <w:bottom w:w="0" w:type="dxa"/>
            <w:right w:w="0" w:type="dxa"/>
          </w:tblCellMar>
        </w:tblPrEx>
        <w:trPr>
          <w:cantSplit/>
          <w:trHeight w:val="300"/>
          <w:tblHeader/>
        </w:trPr>
        <w:tc>
          <w:tcPr>
            <w:tcW w:w="906" w:type="pct"/>
            <w:vMerge w:val="restart"/>
            <w:vAlign w:val="center"/>
          </w:tcPr>
          <w:p w:rsidR="00CE1FDA" w:rsidRDefault="00CE1FDA" w:rsidP="00AC01AA">
            <w:pPr>
              <w:spacing w:before="60" w:after="60" w:line="320" w:lineRule="exact"/>
              <w:ind w:leftChars="50" w:left="31680" w:rightChars="50" w:right="31680"/>
              <w:rPr>
                <w:rFonts w:ascii="SimHei" w:eastAsia="SimHei" w:hint="eastAsia"/>
                <w:color w:val="FF0000"/>
                <w:sz w:val="18"/>
              </w:rPr>
            </w:pPr>
            <w:r>
              <w:rPr>
                <w:rFonts w:ascii="SimHei" w:eastAsia="SimHei" w:hint="eastAsia"/>
                <w:color w:val="FF0000"/>
                <w:sz w:val="18"/>
              </w:rPr>
              <w:t>年份</w:t>
            </w:r>
          </w:p>
        </w:tc>
        <w:tc>
          <w:tcPr>
            <w:tcW w:w="2047" w:type="pct"/>
            <w:gridSpan w:val="3"/>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雇员人数（1 000人）</w:t>
            </w:r>
          </w:p>
        </w:tc>
        <w:tc>
          <w:tcPr>
            <w:tcW w:w="2047" w:type="pct"/>
            <w:gridSpan w:val="3"/>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就业率 百分比</w:t>
            </w:r>
          </w:p>
        </w:tc>
      </w:tr>
      <w:tr w:rsidR="00CE1FDA">
        <w:tblPrEx>
          <w:tblCellMar>
            <w:top w:w="0" w:type="dxa"/>
            <w:left w:w="0" w:type="dxa"/>
            <w:bottom w:w="0" w:type="dxa"/>
            <w:right w:w="0" w:type="dxa"/>
          </w:tblCellMar>
        </w:tblPrEx>
        <w:trPr>
          <w:cantSplit/>
          <w:trHeight w:val="300"/>
          <w:tblHeader/>
        </w:trPr>
        <w:tc>
          <w:tcPr>
            <w:tcW w:w="906" w:type="pct"/>
            <w:vMerge/>
          </w:tcPr>
          <w:p w:rsidR="00CE1FDA" w:rsidRDefault="00CE1FDA" w:rsidP="00AC01AA">
            <w:pPr>
              <w:spacing w:before="60" w:after="60" w:line="320" w:lineRule="exact"/>
              <w:ind w:leftChars="50" w:left="31680" w:rightChars="50" w:right="31680"/>
              <w:rPr>
                <w:rFonts w:ascii="SimHei" w:eastAsia="SimHei" w:hint="eastAsia"/>
                <w:color w:val="FF0000"/>
                <w:sz w:val="18"/>
              </w:rPr>
            </w:pPr>
          </w:p>
        </w:tc>
        <w:tc>
          <w:tcPr>
            <w:tcW w:w="682"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c>
          <w:tcPr>
            <w:tcW w:w="683"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c>
          <w:tcPr>
            <w:tcW w:w="683"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共计</w:t>
            </w:r>
          </w:p>
        </w:tc>
        <w:tc>
          <w:tcPr>
            <w:tcW w:w="682"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c>
          <w:tcPr>
            <w:tcW w:w="683"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c>
          <w:tcPr>
            <w:tcW w:w="683"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共计</w:t>
            </w:r>
          </w:p>
        </w:tc>
      </w:tr>
      <w:tr w:rsidR="00CE1FDA">
        <w:tblPrEx>
          <w:tblCellMar>
            <w:top w:w="0" w:type="dxa"/>
            <w:left w:w="0" w:type="dxa"/>
            <w:bottom w:w="0" w:type="dxa"/>
            <w:right w:w="0" w:type="dxa"/>
          </w:tblCellMar>
        </w:tblPrEx>
        <w:tc>
          <w:tcPr>
            <w:tcW w:w="90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1990</w:t>
            </w:r>
            <w:r>
              <w:rPr>
                <w:rFonts w:hint="eastAsia"/>
                <w:sz w:val="18"/>
                <w:vertAlign w:val="superscript"/>
              </w:rPr>
              <w:t>a</w:t>
            </w:r>
            <w:r>
              <w:rPr>
                <w:rFonts w:hint="eastAsia"/>
                <w:sz w:val="18"/>
                <w:vertAlign w:val="superscript"/>
              </w:rPr>
              <w:t>）</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2 745.1</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2 338.9</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5 084.0</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82.9</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67.3</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74.9</w:t>
            </w:r>
          </w:p>
        </w:tc>
      </w:tr>
      <w:tr w:rsidR="00CE1FDA">
        <w:tblPrEx>
          <w:tblCellMar>
            <w:top w:w="0" w:type="dxa"/>
            <w:left w:w="0" w:type="dxa"/>
            <w:bottom w:w="0" w:type="dxa"/>
            <w:right w:w="0" w:type="dxa"/>
          </w:tblCellMar>
        </w:tblPrEx>
        <w:tc>
          <w:tcPr>
            <w:tcW w:w="90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1992</w:t>
            </w:r>
            <w:r>
              <w:rPr>
                <w:rFonts w:hint="eastAsia"/>
                <w:sz w:val="18"/>
                <w:vertAlign w:val="superscript"/>
              </w:rPr>
              <w:t>b</w:t>
            </w:r>
            <w:r>
              <w:rPr>
                <w:rFonts w:hint="eastAsia"/>
                <w:sz w:val="18"/>
                <w:vertAlign w:val="superscript"/>
              </w:rPr>
              <w:t>）</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2 127.6</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1 838.3</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3 965.9</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64.0</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52.3</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58.0</w:t>
            </w:r>
          </w:p>
        </w:tc>
      </w:tr>
      <w:tr w:rsidR="00CE1FDA">
        <w:tblPrEx>
          <w:tblCellMar>
            <w:top w:w="0" w:type="dxa"/>
            <w:left w:w="0" w:type="dxa"/>
            <w:bottom w:w="0" w:type="dxa"/>
            <w:right w:w="0" w:type="dxa"/>
          </w:tblCellMar>
        </w:tblPrEx>
        <w:tc>
          <w:tcPr>
            <w:tcW w:w="90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1993</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1 994.4</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1 730.8</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3 725.2</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60.0</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49.3</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54.5</w:t>
            </w:r>
          </w:p>
        </w:tc>
      </w:tr>
      <w:tr w:rsidR="00CE1FDA">
        <w:tblPrEx>
          <w:tblCellMar>
            <w:top w:w="0" w:type="dxa"/>
            <w:left w:w="0" w:type="dxa"/>
            <w:bottom w:w="0" w:type="dxa"/>
            <w:right w:w="0" w:type="dxa"/>
          </w:tblCellMar>
        </w:tblPrEx>
        <w:tc>
          <w:tcPr>
            <w:tcW w:w="90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1994</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1 974.0</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1 679.3</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3 653.3</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59.6</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47.8</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53.5</w:t>
            </w:r>
          </w:p>
        </w:tc>
      </w:tr>
      <w:tr w:rsidR="00CE1FDA">
        <w:tblPrEx>
          <w:tblCellMar>
            <w:top w:w="0" w:type="dxa"/>
            <w:left w:w="0" w:type="dxa"/>
            <w:bottom w:w="0" w:type="dxa"/>
            <w:right w:w="0" w:type="dxa"/>
          </w:tblCellMar>
        </w:tblPrEx>
        <w:tc>
          <w:tcPr>
            <w:tcW w:w="90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1995</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1 974.7</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1 615.5</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3 590.2</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56.5</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45.9</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52.5</w:t>
            </w:r>
          </w:p>
        </w:tc>
      </w:tr>
      <w:tr w:rsidR="00CE1FDA">
        <w:tblPrEx>
          <w:tblCellMar>
            <w:top w:w="0" w:type="dxa"/>
            <w:left w:w="0" w:type="dxa"/>
            <w:bottom w:w="0" w:type="dxa"/>
            <w:right w:w="0" w:type="dxa"/>
          </w:tblCellMar>
        </w:tblPrEx>
        <w:tc>
          <w:tcPr>
            <w:tcW w:w="90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1996</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1 978.4</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1 601.1</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3 579.5</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59.6</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45.5</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52.4</w:t>
            </w:r>
          </w:p>
        </w:tc>
      </w:tr>
      <w:tr w:rsidR="00CE1FDA">
        <w:tblPrEx>
          <w:tblCellMar>
            <w:top w:w="0" w:type="dxa"/>
            <w:left w:w="0" w:type="dxa"/>
            <w:bottom w:w="0" w:type="dxa"/>
            <w:right w:w="0" w:type="dxa"/>
          </w:tblCellMar>
        </w:tblPrEx>
        <w:tc>
          <w:tcPr>
            <w:tcW w:w="90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1997</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1 997.2</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1 594.2</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3 591.4</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59.9</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45.4</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52.5</w:t>
            </w:r>
          </w:p>
        </w:tc>
      </w:tr>
      <w:tr w:rsidR="00CE1FDA">
        <w:tblPrEx>
          <w:tblCellMar>
            <w:top w:w="0" w:type="dxa"/>
            <w:left w:w="0" w:type="dxa"/>
            <w:bottom w:w="0" w:type="dxa"/>
            <w:right w:w="0" w:type="dxa"/>
          </w:tblCellMar>
        </w:tblPrEx>
        <w:trPr>
          <w:trHeight w:val="360"/>
        </w:trPr>
        <w:tc>
          <w:tcPr>
            <w:tcW w:w="90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1998</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2 010.4</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1 665.8</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3 676.2</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60.3</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47.3</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53.6</w:t>
            </w:r>
          </w:p>
        </w:tc>
      </w:tr>
      <w:tr w:rsidR="00CE1FDA">
        <w:tblPrEx>
          <w:tblCellMar>
            <w:top w:w="0" w:type="dxa"/>
            <w:left w:w="0" w:type="dxa"/>
            <w:bottom w:w="0" w:type="dxa"/>
            <w:right w:w="0" w:type="dxa"/>
          </w:tblCellMar>
        </w:tblPrEx>
        <w:trPr>
          <w:trHeight w:val="315"/>
        </w:trPr>
        <w:tc>
          <w:tcPr>
            <w:tcW w:w="90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1999</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2 063.3</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1 717.0</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3 786.3</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62.2</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48.9</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55.4</w:t>
            </w:r>
          </w:p>
        </w:tc>
      </w:tr>
      <w:tr w:rsidR="00CE1FDA">
        <w:tblPrEx>
          <w:tblCellMar>
            <w:top w:w="0" w:type="dxa"/>
            <w:left w:w="0" w:type="dxa"/>
            <w:bottom w:w="0" w:type="dxa"/>
            <w:right w:w="0" w:type="dxa"/>
          </w:tblCellMar>
        </w:tblPrEx>
        <w:trPr>
          <w:trHeight w:val="300"/>
        </w:trPr>
        <w:tc>
          <w:tcPr>
            <w:tcW w:w="90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2000</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2 091.6</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1 740.4</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3 832.0</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62.7</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49.6</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56.0</w:t>
            </w:r>
          </w:p>
        </w:tc>
      </w:tr>
      <w:tr w:rsidR="00CE1FDA">
        <w:tblPrEx>
          <w:tblCellMar>
            <w:top w:w="0" w:type="dxa"/>
            <w:left w:w="0" w:type="dxa"/>
            <w:bottom w:w="0" w:type="dxa"/>
            <w:right w:w="0" w:type="dxa"/>
          </w:tblCellMar>
        </w:tblPrEx>
        <w:trPr>
          <w:trHeight w:val="300"/>
        </w:trPr>
        <w:tc>
          <w:tcPr>
            <w:tcW w:w="90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2001</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2 102.4</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1 747.4</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3 849.8</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62.9</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49.8</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56.2</w:t>
            </w:r>
          </w:p>
        </w:tc>
      </w:tr>
      <w:tr w:rsidR="00CE1FDA">
        <w:tblPrEx>
          <w:tblCellMar>
            <w:top w:w="0" w:type="dxa"/>
            <w:left w:w="0" w:type="dxa"/>
            <w:bottom w:w="0" w:type="dxa"/>
            <w:right w:w="0" w:type="dxa"/>
          </w:tblCellMar>
        </w:tblPrEx>
        <w:trPr>
          <w:trHeight w:val="285"/>
        </w:trPr>
        <w:tc>
          <w:tcPr>
            <w:tcW w:w="90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2002</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2 100.3</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1 750.0</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3 850.3</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62.9</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49.8</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56.2</w:t>
            </w:r>
          </w:p>
        </w:tc>
      </w:tr>
      <w:tr w:rsidR="00CE1FDA">
        <w:tblPrEx>
          <w:tblCellMar>
            <w:top w:w="0" w:type="dxa"/>
            <w:left w:w="0" w:type="dxa"/>
            <w:bottom w:w="0" w:type="dxa"/>
            <w:right w:w="0" w:type="dxa"/>
          </w:tblCellMar>
        </w:tblPrEx>
        <w:trPr>
          <w:trHeight w:val="165"/>
        </w:trPr>
        <w:tc>
          <w:tcPr>
            <w:tcW w:w="90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2003</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2 112.7</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1 784.5</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3 897.2</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63.4</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50.9</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57.0</w:t>
            </w:r>
          </w:p>
        </w:tc>
      </w:tr>
      <w:tr w:rsidR="00CE1FDA">
        <w:tblPrEx>
          <w:tblCellMar>
            <w:top w:w="0" w:type="dxa"/>
            <w:left w:w="0" w:type="dxa"/>
            <w:bottom w:w="0" w:type="dxa"/>
            <w:right w:w="0" w:type="dxa"/>
          </w:tblCellMar>
        </w:tblPrEx>
        <w:trPr>
          <w:trHeight w:val="285"/>
        </w:trPr>
        <w:tc>
          <w:tcPr>
            <w:tcW w:w="90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2004</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2 102.0</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1 772.7</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3 874.7</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63.1</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50.7</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56.8</w:t>
            </w:r>
          </w:p>
        </w:tc>
      </w:tr>
      <w:tr w:rsidR="00CE1FDA">
        <w:tblPrEx>
          <w:tblCellMar>
            <w:top w:w="0" w:type="dxa"/>
            <w:left w:w="0" w:type="dxa"/>
            <w:bottom w:w="0" w:type="dxa"/>
            <w:right w:w="0" w:type="dxa"/>
          </w:tblCellMar>
        </w:tblPrEx>
        <w:trPr>
          <w:trHeight w:val="420"/>
        </w:trPr>
        <w:tc>
          <w:tcPr>
            <w:tcW w:w="906" w:type="pct"/>
          </w:tcPr>
          <w:p w:rsidR="00CE1FDA" w:rsidRDefault="00CE1FDA" w:rsidP="00AC01AA">
            <w:pPr>
              <w:spacing w:before="60" w:after="60" w:line="320" w:lineRule="exact"/>
              <w:ind w:leftChars="50" w:left="31680" w:rightChars="50" w:right="31680"/>
              <w:rPr>
                <w:rFonts w:hint="eastAsia"/>
                <w:sz w:val="18"/>
              </w:rPr>
            </w:pPr>
            <w:r>
              <w:rPr>
                <w:rFonts w:hint="eastAsia"/>
                <w:sz w:val="18"/>
              </w:rPr>
              <w:t>2005</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2 101.2</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1 777.4</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3 878.6</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63.1</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51.0</w:t>
            </w:r>
          </w:p>
        </w:tc>
        <w:tc>
          <w:tcPr>
            <w:tcW w:w="68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56.9</w:t>
            </w:r>
          </w:p>
        </w:tc>
      </w:tr>
    </w:tbl>
    <w:p w:rsidR="00CE1FDA" w:rsidRDefault="00CE1FDA">
      <w:pPr>
        <w:spacing w:line="360" w:lineRule="exact"/>
        <w:rPr>
          <w:rFonts w:hint="eastAsia"/>
          <w:sz w:val="18"/>
        </w:rPr>
      </w:pPr>
      <w:r>
        <w:rPr>
          <w:rFonts w:hint="eastAsia"/>
          <w:sz w:val="18"/>
          <w:vertAlign w:val="superscript"/>
        </w:rPr>
        <w:t>*</w:t>
      </w:r>
      <w:r>
        <w:rPr>
          <w:rFonts w:hint="eastAsia"/>
          <w:sz w:val="18"/>
        </w:rPr>
        <w:t xml:space="preserve">  1997</w:t>
      </w:r>
      <w:r>
        <w:rPr>
          <w:rFonts w:hint="eastAsia"/>
          <w:sz w:val="18"/>
        </w:rPr>
        <w:t>年之前为旧的加权因数数据，自</w:t>
      </w:r>
      <w:r>
        <w:rPr>
          <w:rFonts w:hint="eastAsia"/>
          <w:sz w:val="18"/>
        </w:rPr>
        <w:t>1998</w:t>
      </w:r>
      <w:r>
        <w:rPr>
          <w:rFonts w:hint="eastAsia"/>
          <w:sz w:val="18"/>
        </w:rPr>
        <w:t>年，为新的加权因数数据。</w:t>
      </w:r>
    </w:p>
    <w:p w:rsidR="00CE1FDA" w:rsidRDefault="00CE1FDA">
      <w:pPr>
        <w:spacing w:line="360" w:lineRule="exact"/>
        <w:rPr>
          <w:rFonts w:hint="eastAsia"/>
          <w:sz w:val="18"/>
        </w:rPr>
      </w:pPr>
      <w:r>
        <w:rPr>
          <w:sz w:val="18"/>
        </w:rPr>
        <w:t>a</w:t>
      </w:r>
      <w:r>
        <w:rPr>
          <w:rFonts w:hint="eastAsia"/>
          <w:sz w:val="18"/>
        </w:rPr>
        <w:t>）</w:t>
      </w:r>
      <w:r>
        <w:rPr>
          <w:rFonts w:hint="eastAsia"/>
          <w:sz w:val="18"/>
        </w:rPr>
        <w:t>1999</w:t>
      </w:r>
      <w:r>
        <w:rPr>
          <w:rFonts w:hint="eastAsia"/>
          <w:sz w:val="18"/>
        </w:rPr>
        <w:t>年的数据是以</w:t>
      </w:r>
      <w:r>
        <w:rPr>
          <w:rFonts w:hint="eastAsia"/>
          <w:sz w:val="18"/>
        </w:rPr>
        <w:t>1990</w:t>
      </w:r>
      <w:r>
        <w:rPr>
          <w:rFonts w:hint="eastAsia"/>
          <w:sz w:val="18"/>
        </w:rPr>
        <w:t>年</w:t>
      </w:r>
      <w:r>
        <w:rPr>
          <w:rFonts w:hint="eastAsia"/>
          <w:sz w:val="18"/>
        </w:rPr>
        <w:t>1</w:t>
      </w:r>
      <w:r>
        <w:rPr>
          <w:rFonts w:hint="eastAsia"/>
          <w:sz w:val="18"/>
        </w:rPr>
        <w:t>月</w:t>
      </w:r>
      <w:r>
        <w:rPr>
          <w:rFonts w:hint="eastAsia"/>
          <w:sz w:val="18"/>
        </w:rPr>
        <w:t>1</w:t>
      </w:r>
      <w:r>
        <w:rPr>
          <w:rFonts w:hint="eastAsia"/>
          <w:sz w:val="18"/>
        </w:rPr>
        <w:t>日开始的中央统计局</w:t>
      </w:r>
      <w:r>
        <w:rPr>
          <w:rFonts w:hint="eastAsia"/>
          <w:sz w:val="18"/>
        </w:rPr>
        <w:t>1990</w:t>
      </w:r>
      <w:r>
        <w:rPr>
          <w:rFonts w:hint="eastAsia"/>
          <w:sz w:val="18"/>
        </w:rPr>
        <w:t>年人口普查为基础的计算结果。</w:t>
      </w:r>
    </w:p>
    <w:p w:rsidR="00CE1FDA" w:rsidRDefault="00CE1FDA">
      <w:pPr>
        <w:spacing w:line="360" w:lineRule="exact"/>
        <w:rPr>
          <w:rFonts w:hint="eastAsia"/>
          <w:sz w:val="18"/>
        </w:rPr>
      </w:pPr>
      <w:r>
        <w:rPr>
          <w:sz w:val="18"/>
        </w:rPr>
        <w:t>b</w:t>
      </w:r>
      <w:r>
        <w:rPr>
          <w:rFonts w:hint="eastAsia"/>
          <w:sz w:val="18"/>
        </w:rPr>
        <w:t>）第一项劳工调查是</w:t>
      </w:r>
      <w:r>
        <w:rPr>
          <w:rFonts w:hint="eastAsia"/>
          <w:sz w:val="18"/>
        </w:rPr>
        <w:t>1992</w:t>
      </w:r>
      <w:r>
        <w:rPr>
          <w:rFonts w:hint="eastAsia"/>
          <w:sz w:val="18"/>
        </w:rPr>
        <w:t>年进行的。</w:t>
      </w:r>
      <w:r>
        <w:rPr>
          <w:rFonts w:hint="eastAsia"/>
          <w:sz w:val="18"/>
        </w:rPr>
        <w:t>1992-1995</w:t>
      </w:r>
      <w:r>
        <w:rPr>
          <w:rFonts w:hint="eastAsia"/>
          <w:sz w:val="18"/>
        </w:rPr>
        <w:t>年的数据来自中央统计局按时序进行的劳动调查。</w:t>
      </w:r>
    </w:p>
    <w:p w:rsidR="00CE1FDA" w:rsidRDefault="00CE1FDA">
      <w:pPr>
        <w:spacing w:line="360" w:lineRule="exact"/>
        <w:rPr>
          <w:rFonts w:hint="eastAsia"/>
          <w:sz w:val="18"/>
        </w:rPr>
      </w:pPr>
      <w:r>
        <w:rPr>
          <w:rFonts w:eastAsia="KaiTi_GB2312" w:hint="eastAsia"/>
          <w:color w:val="0000FF"/>
          <w:sz w:val="18"/>
        </w:rPr>
        <w:t>资料来源</w:t>
      </w:r>
      <w:r>
        <w:rPr>
          <w:rFonts w:hint="eastAsia"/>
          <w:sz w:val="18"/>
        </w:rPr>
        <w:t>：</w:t>
      </w:r>
      <w:r>
        <w:rPr>
          <w:rFonts w:hint="eastAsia"/>
          <w:sz w:val="18"/>
        </w:rPr>
        <w:t>1992-2000</w:t>
      </w:r>
      <w:r>
        <w:rPr>
          <w:rFonts w:hint="eastAsia"/>
          <w:sz w:val="18"/>
        </w:rPr>
        <w:t>年，劳工调查时序，中央统计局，布达佩斯，</w:t>
      </w:r>
      <w:r>
        <w:rPr>
          <w:rFonts w:hint="eastAsia"/>
          <w:sz w:val="18"/>
        </w:rPr>
        <w:t>2004</w:t>
      </w:r>
      <w:r>
        <w:rPr>
          <w:rFonts w:hint="eastAsia"/>
          <w:sz w:val="18"/>
        </w:rPr>
        <w:t>年。</w:t>
      </w:r>
    </w:p>
    <w:p w:rsidR="00CE1FDA" w:rsidRDefault="00CE1FDA">
      <w:pPr>
        <w:spacing w:line="360" w:lineRule="exact"/>
        <w:rPr>
          <w:rFonts w:hint="eastAsia"/>
          <w:sz w:val="18"/>
        </w:rPr>
      </w:pPr>
      <w:r>
        <w:rPr>
          <w:rFonts w:hint="eastAsia"/>
          <w:sz w:val="18"/>
        </w:rPr>
        <w:t xml:space="preserve">          2003</w:t>
      </w:r>
      <w:r>
        <w:rPr>
          <w:rFonts w:hint="eastAsia"/>
          <w:sz w:val="18"/>
        </w:rPr>
        <w:t>年劳工调查，中央统计局，布达佩斯，</w:t>
      </w:r>
      <w:r>
        <w:rPr>
          <w:rFonts w:hint="eastAsia"/>
          <w:sz w:val="18"/>
        </w:rPr>
        <w:t>2004</w:t>
      </w:r>
      <w:r>
        <w:rPr>
          <w:rFonts w:hint="eastAsia"/>
          <w:sz w:val="18"/>
        </w:rPr>
        <w:t>年</w:t>
      </w:r>
      <w:r>
        <w:rPr>
          <w:rFonts w:hint="eastAsia"/>
          <w:sz w:val="18"/>
        </w:rPr>
        <w:t>/a</w:t>
      </w:r>
    </w:p>
    <w:p w:rsidR="00CE1FDA" w:rsidRDefault="00CE1FDA">
      <w:pPr>
        <w:spacing w:after="240" w:line="360" w:lineRule="exact"/>
        <w:rPr>
          <w:rFonts w:hint="eastAsia"/>
          <w:sz w:val="18"/>
        </w:rPr>
      </w:pPr>
      <w:r>
        <w:rPr>
          <w:rFonts w:hint="eastAsia"/>
          <w:sz w:val="18"/>
        </w:rPr>
        <w:t xml:space="preserve">          2004-2005</w:t>
      </w:r>
      <w:r>
        <w:rPr>
          <w:rFonts w:hint="eastAsia"/>
          <w:sz w:val="18"/>
        </w:rPr>
        <w:t>年的数据：中央统计局劳工调查表</w:t>
      </w:r>
    </w:p>
    <w:p w:rsidR="00CE1FDA" w:rsidRDefault="00CE1FDA">
      <w:pPr>
        <w:spacing w:after="240" w:line="360" w:lineRule="exact"/>
        <w:rPr>
          <w:rFonts w:ascii="SimHei" w:eastAsia="SimHei" w:hint="eastAsia"/>
          <w:color w:val="FF0000"/>
        </w:rPr>
      </w:pPr>
      <w:r>
        <w:rPr>
          <w:rFonts w:ascii="SimHei" w:eastAsia="SimHei" w:hint="eastAsia"/>
          <w:color w:val="FF0000"/>
        </w:rPr>
        <w:t>11.2.</w:t>
      </w:r>
      <w:r>
        <w:rPr>
          <w:rFonts w:ascii="SimHei" w:eastAsia="SimHei"/>
          <w:color w:val="FF0000"/>
        </w:rPr>
        <w:t xml:space="preserve"> </w:t>
      </w:r>
      <w:r>
        <w:rPr>
          <w:rFonts w:ascii="SimHei" w:eastAsia="SimHei" w:hint="eastAsia"/>
          <w:color w:val="FF0000"/>
        </w:rPr>
        <w:t>按年龄组和性别分列的就业率趋势</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45"/>
        <w:gridCol w:w="752"/>
        <w:gridCol w:w="752"/>
        <w:gridCol w:w="754"/>
        <w:gridCol w:w="751"/>
        <w:gridCol w:w="751"/>
        <w:gridCol w:w="751"/>
        <w:gridCol w:w="751"/>
        <w:gridCol w:w="751"/>
        <w:gridCol w:w="751"/>
        <w:gridCol w:w="751"/>
        <w:gridCol w:w="751"/>
        <w:gridCol w:w="749"/>
      </w:tblGrid>
      <w:tr w:rsidR="00CE1FDA">
        <w:tblPrEx>
          <w:tblCellMar>
            <w:top w:w="0" w:type="dxa"/>
            <w:left w:w="0" w:type="dxa"/>
            <w:bottom w:w="0" w:type="dxa"/>
            <w:right w:w="0" w:type="dxa"/>
          </w:tblCellMar>
        </w:tblPrEx>
        <w:trPr>
          <w:cantSplit/>
        </w:trPr>
        <w:tc>
          <w:tcPr>
            <w:tcW w:w="428" w:type="pct"/>
            <w:vMerge w:val="restart"/>
            <w:vAlign w:val="center"/>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年</w:t>
            </w:r>
            <w:r>
              <w:rPr>
                <w:rFonts w:ascii="SimHei" w:eastAsia="SimHei"/>
                <w:color w:val="FF0000"/>
                <w:sz w:val="18"/>
              </w:rPr>
              <w:br/>
            </w:r>
            <w:r>
              <w:rPr>
                <w:rFonts w:ascii="SimHei" w:eastAsia="SimHei" w:hint="eastAsia"/>
                <w:color w:val="FF0000"/>
                <w:sz w:val="18"/>
              </w:rPr>
              <w:t>龄</w:t>
            </w:r>
            <w:r>
              <w:rPr>
                <w:rFonts w:ascii="SimHei" w:eastAsia="SimHei"/>
                <w:color w:val="FF0000"/>
                <w:sz w:val="18"/>
              </w:rPr>
              <w:br/>
            </w:r>
            <w:r>
              <w:rPr>
                <w:rFonts w:ascii="SimHei" w:eastAsia="SimHei" w:hint="eastAsia"/>
                <w:color w:val="FF0000"/>
                <w:sz w:val="18"/>
              </w:rPr>
              <w:t>组</w:t>
            </w:r>
          </w:p>
        </w:tc>
        <w:tc>
          <w:tcPr>
            <w:tcW w:w="2285" w:type="pct"/>
            <w:gridSpan w:val="6"/>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匈牙利</w:t>
            </w:r>
          </w:p>
        </w:tc>
        <w:tc>
          <w:tcPr>
            <w:tcW w:w="2286" w:type="pct"/>
            <w:gridSpan w:val="6"/>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欧盟25国</w:t>
            </w:r>
          </w:p>
        </w:tc>
      </w:tr>
      <w:tr w:rsidR="00CE1FDA">
        <w:tblPrEx>
          <w:tblCellMar>
            <w:top w:w="0" w:type="dxa"/>
            <w:left w:w="0" w:type="dxa"/>
            <w:bottom w:w="0" w:type="dxa"/>
            <w:right w:w="0" w:type="dxa"/>
          </w:tblCellMar>
        </w:tblPrEx>
        <w:trPr>
          <w:cantSplit/>
        </w:trPr>
        <w:tc>
          <w:tcPr>
            <w:tcW w:w="428" w:type="pct"/>
            <w:vMerge/>
          </w:tcPr>
          <w:p w:rsidR="00CE1FDA" w:rsidRDefault="00CE1FDA" w:rsidP="00AC01AA">
            <w:pPr>
              <w:spacing w:before="60" w:after="60" w:line="320" w:lineRule="exact"/>
              <w:ind w:leftChars="50" w:left="31680" w:rightChars="50" w:right="31680"/>
              <w:rPr>
                <w:rFonts w:ascii="SimHei" w:eastAsia="SimHei" w:hint="eastAsia"/>
                <w:color w:val="FF0000"/>
                <w:sz w:val="18"/>
              </w:rPr>
            </w:pPr>
          </w:p>
        </w:tc>
        <w:tc>
          <w:tcPr>
            <w:tcW w:w="1144" w:type="pct"/>
            <w:gridSpan w:val="3"/>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2000年</w:t>
            </w:r>
          </w:p>
        </w:tc>
        <w:tc>
          <w:tcPr>
            <w:tcW w:w="1142" w:type="pct"/>
            <w:gridSpan w:val="3"/>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2004年</w:t>
            </w:r>
          </w:p>
        </w:tc>
        <w:tc>
          <w:tcPr>
            <w:tcW w:w="1142" w:type="pct"/>
            <w:gridSpan w:val="3"/>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2000年</w:t>
            </w:r>
          </w:p>
        </w:tc>
        <w:tc>
          <w:tcPr>
            <w:tcW w:w="1142" w:type="pct"/>
            <w:gridSpan w:val="3"/>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2004年</w:t>
            </w:r>
          </w:p>
        </w:tc>
      </w:tr>
      <w:tr w:rsidR="00CE1FDA">
        <w:tblPrEx>
          <w:tblCellMar>
            <w:top w:w="0" w:type="dxa"/>
            <w:left w:w="0" w:type="dxa"/>
            <w:bottom w:w="0" w:type="dxa"/>
            <w:right w:w="0" w:type="dxa"/>
          </w:tblCellMar>
        </w:tblPrEx>
        <w:trPr>
          <w:cantSplit/>
          <w:trHeight w:val="480"/>
        </w:trPr>
        <w:tc>
          <w:tcPr>
            <w:tcW w:w="428" w:type="pct"/>
            <w:vMerge/>
          </w:tcPr>
          <w:p w:rsidR="00CE1FDA" w:rsidRDefault="00CE1FDA" w:rsidP="00AC01AA">
            <w:pPr>
              <w:spacing w:before="60" w:after="60" w:line="320" w:lineRule="exact"/>
              <w:ind w:leftChars="50" w:left="31680" w:rightChars="50" w:right="31680"/>
              <w:rPr>
                <w:rFonts w:ascii="SimHei" w:eastAsia="SimHei" w:hint="eastAsia"/>
                <w:color w:val="FF0000"/>
                <w:sz w:val="18"/>
              </w:rPr>
            </w:pPr>
          </w:p>
        </w:tc>
        <w:tc>
          <w:tcPr>
            <w:tcW w:w="381"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c>
          <w:tcPr>
            <w:tcW w:w="381"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c>
          <w:tcPr>
            <w:tcW w:w="381"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共计</w:t>
            </w:r>
          </w:p>
        </w:tc>
        <w:tc>
          <w:tcPr>
            <w:tcW w:w="381"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c>
          <w:tcPr>
            <w:tcW w:w="381"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c>
          <w:tcPr>
            <w:tcW w:w="381"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共计</w:t>
            </w:r>
          </w:p>
        </w:tc>
        <w:tc>
          <w:tcPr>
            <w:tcW w:w="381"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c>
          <w:tcPr>
            <w:tcW w:w="381"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c>
          <w:tcPr>
            <w:tcW w:w="381"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共计</w:t>
            </w:r>
          </w:p>
        </w:tc>
        <w:tc>
          <w:tcPr>
            <w:tcW w:w="381"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c>
          <w:tcPr>
            <w:tcW w:w="381"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c>
          <w:tcPr>
            <w:tcW w:w="381"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共计</w:t>
            </w:r>
          </w:p>
        </w:tc>
      </w:tr>
      <w:tr w:rsidR="00CE1FDA">
        <w:tblPrEx>
          <w:tblCellMar>
            <w:top w:w="0" w:type="dxa"/>
            <w:left w:w="0" w:type="dxa"/>
            <w:bottom w:w="0" w:type="dxa"/>
            <w:right w:w="0" w:type="dxa"/>
          </w:tblCellMar>
        </w:tblPrEx>
        <w:trPr>
          <w:trHeight w:val="469"/>
        </w:trPr>
        <w:tc>
          <w:tcPr>
            <w:tcW w:w="428"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15-24</w:t>
            </w:r>
            <w:r>
              <w:rPr>
                <w:rFonts w:hint="eastAsia"/>
                <w:sz w:val="18"/>
              </w:rPr>
              <w:t>岁</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37.3</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29.7</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33.5</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26.3</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20.8</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23.6</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41.4</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34.7</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38.1</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39.8</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33.8</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36.8</w:t>
            </w:r>
          </w:p>
        </w:tc>
      </w:tr>
      <w:tr w:rsidR="00CE1FDA">
        <w:tblPrEx>
          <w:tblCellMar>
            <w:top w:w="0" w:type="dxa"/>
            <w:left w:w="0" w:type="dxa"/>
            <w:bottom w:w="0" w:type="dxa"/>
            <w:right w:w="0" w:type="dxa"/>
          </w:tblCellMar>
        </w:tblPrEx>
        <w:trPr>
          <w:trHeight w:val="447"/>
        </w:trPr>
        <w:tc>
          <w:tcPr>
            <w:tcW w:w="428" w:type="pct"/>
          </w:tcPr>
          <w:p w:rsidR="00CE1FDA" w:rsidRDefault="00CE1FDA" w:rsidP="00AC01AA">
            <w:pPr>
              <w:spacing w:before="60" w:after="60" w:line="320" w:lineRule="exact"/>
              <w:ind w:leftChars="50" w:left="31680" w:rightChars="50" w:right="31680"/>
              <w:rPr>
                <w:rFonts w:hint="eastAsia"/>
                <w:sz w:val="18"/>
              </w:rPr>
            </w:pPr>
            <w:r>
              <w:rPr>
                <w:rFonts w:hint="eastAsia"/>
                <w:sz w:val="18"/>
              </w:rPr>
              <w:t>25-54</w:t>
            </w:r>
            <w:r>
              <w:rPr>
                <w:rFonts w:hint="eastAsia"/>
                <w:sz w:val="18"/>
              </w:rPr>
              <w:t>岁</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79.2</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66.9</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73.0</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80.5</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67.0</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73.6</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86.0</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66.1</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76.0</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85.2</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68.5</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76.8</w:t>
            </w:r>
          </w:p>
        </w:tc>
      </w:tr>
      <w:tr w:rsidR="00CE1FDA">
        <w:tblPrEx>
          <w:tblCellMar>
            <w:top w:w="0" w:type="dxa"/>
            <w:left w:w="0" w:type="dxa"/>
            <w:bottom w:w="0" w:type="dxa"/>
            <w:right w:w="0" w:type="dxa"/>
          </w:tblCellMar>
        </w:tblPrEx>
        <w:trPr>
          <w:trHeight w:val="436"/>
        </w:trPr>
        <w:tc>
          <w:tcPr>
            <w:tcW w:w="428" w:type="pct"/>
          </w:tcPr>
          <w:p w:rsidR="00CE1FDA" w:rsidRDefault="00CE1FDA" w:rsidP="00AC01AA">
            <w:pPr>
              <w:spacing w:before="60" w:after="60" w:line="320" w:lineRule="exact"/>
              <w:ind w:leftChars="50" w:left="31680" w:rightChars="50" w:right="31680"/>
              <w:rPr>
                <w:rFonts w:hint="eastAsia"/>
                <w:sz w:val="18"/>
              </w:rPr>
            </w:pPr>
            <w:r>
              <w:rPr>
                <w:rFonts w:hint="eastAsia"/>
                <w:sz w:val="18"/>
              </w:rPr>
              <w:t>55-64</w:t>
            </w:r>
            <w:r>
              <w:rPr>
                <w:rFonts w:hint="eastAsia"/>
                <w:sz w:val="18"/>
              </w:rPr>
              <w:t>岁</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33.2</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13.3</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22.2</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38.4</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25.0</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31.1</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47.7</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26.9</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36.6</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50.7</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31.7</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41.0</w:t>
            </w:r>
          </w:p>
        </w:tc>
      </w:tr>
      <w:tr w:rsidR="00CE1FDA">
        <w:tblPrEx>
          <w:tblCellMar>
            <w:top w:w="0" w:type="dxa"/>
            <w:left w:w="0" w:type="dxa"/>
            <w:bottom w:w="0" w:type="dxa"/>
            <w:right w:w="0" w:type="dxa"/>
          </w:tblCellMar>
        </w:tblPrEx>
        <w:trPr>
          <w:trHeight w:val="568"/>
        </w:trPr>
        <w:tc>
          <w:tcPr>
            <w:tcW w:w="428"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15-64</w:t>
            </w:r>
            <w:r>
              <w:rPr>
                <w:rFonts w:hint="eastAsia"/>
                <w:sz w:val="18"/>
              </w:rPr>
              <w:t>岁</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62.7</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49.6</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56.0</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63.1</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50.7</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56.8</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71.2</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53.6</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62.4</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70.9</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55.7</w:t>
            </w:r>
          </w:p>
        </w:tc>
        <w:tc>
          <w:tcPr>
            <w:tcW w:w="381"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63.3</w:t>
            </w:r>
          </w:p>
        </w:tc>
      </w:tr>
    </w:tbl>
    <w:p w:rsidR="00CE1FDA" w:rsidRDefault="00CE1FDA">
      <w:pPr>
        <w:spacing w:after="240" w:line="360" w:lineRule="exact"/>
        <w:rPr>
          <w:rFonts w:hint="eastAsia"/>
          <w:sz w:val="18"/>
        </w:rPr>
      </w:pPr>
      <w:r>
        <w:rPr>
          <w:rFonts w:eastAsia="KaiTi_GB2312" w:hint="eastAsia"/>
          <w:color w:val="0000FF"/>
          <w:sz w:val="18"/>
        </w:rPr>
        <w:t>资料来源</w:t>
      </w:r>
      <w:r>
        <w:rPr>
          <w:rFonts w:hint="eastAsia"/>
          <w:sz w:val="18"/>
        </w:rPr>
        <w:t>：</w:t>
      </w:r>
      <w:r>
        <w:rPr>
          <w:rFonts w:hint="eastAsia"/>
          <w:sz w:val="18"/>
        </w:rPr>
        <w:t>2005</w:t>
      </w:r>
      <w:r>
        <w:rPr>
          <w:rFonts w:hint="eastAsia"/>
          <w:sz w:val="18"/>
        </w:rPr>
        <w:t>年欧洲就业情况，布鲁塞尔，第</w:t>
      </w:r>
      <w:r>
        <w:rPr>
          <w:rFonts w:hint="eastAsia"/>
          <w:sz w:val="18"/>
        </w:rPr>
        <w:t>260</w:t>
      </w:r>
      <w:r>
        <w:rPr>
          <w:rFonts w:hint="eastAsia"/>
          <w:sz w:val="18"/>
        </w:rPr>
        <w:t>、</w:t>
      </w:r>
      <w:r>
        <w:rPr>
          <w:rFonts w:hint="eastAsia"/>
          <w:sz w:val="18"/>
        </w:rPr>
        <w:t>261</w:t>
      </w:r>
      <w:r>
        <w:rPr>
          <w:rFonts w:hint="eastAsia"/>
          <w:sz w:val="18"/>
        </w:rPr>
        <w:t>、</w:t>
      </w:r>
      <w:r>
        <w:rPr>
          <w:rFonts w:hint="eastAsia"/>
          <w:sz w:val="18"/>
        </w:rPr>
        <w:t>276</w:t>
      </w:r>
      <w:r>
        <w:rPr>
          <w:rFonts w:hint="eastAsia"/>
          <w:sz w:val="18"/>
        </w:rPr>
        <w:t>页。</w:t>
      </w:r>
    </w:p>
    <w:p w:rsidR="00CE1FDA" w:rsidRDefault="00CE1FDA">
      <w:pPr>
        <w:spacing w:after="240" w:line="360" w:lineRule="exact"/>
        <w:rPr>
          <w:rFonts w:ascii="SimHei" w:eastAsia="SimHei" w:hint="eastAsia"/>
          <w:color w:val="FF0000"/>
        </w:rPr>
      </w:pPr>
    </w:p>
    <w:p w:rsidR="00CE1FDA" w:rsidRDefault="00CE1FDA">
      <w:pPr>
        <w:spacing w:after="240" w:line="360" w:lineRule="exact"/>
        <w:rPr>
          <w:rFonts w:ascii="SimHei" w:eastAsia="SimHei" w:hint="eastAsia"/>
          <w:color w:val="FF0000"/>
        </w:rPr>
      </w:pPr>
      <w:r>
        <w:rPr>
          <w:rFonts w:ascii="SimHei" w:eastAsia="SimHei" w:hint="eastAsia"/>
          <w:color w:val="FF0000"/>
        </w:rPr>
        <w:t>11.3. 2000-2004年按性别分列的非全日雇员比例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43"/>
        <w:gridCol w:w="1285"/>
        <w:gridCol w:w="1286"/>
        <w:gridCol w:w="1286"/>
        <w:gridCol w:w="1286"/>
        <w:gridCol w:w="1286"/>
        <w:gridCol w:w="1288"/>
      </w:tblGrid>
      <w:tr w:rsidR="00CE1FDA">
        <w:tblPrEx>
          <w:tblCellMar>
            <w:top w:w="0" w:type="dxa"/>
            <w:left w:w="0" w:type="dxa"/>
            <w:bottom w:w="0" w:type="dxa"/>
            <w:right w:w="0" w:type="dxa"/>
          </w:tblCellMar>
        </w:tblPrEx>
        <w:trPr>
          <w:cantSplit/>
        </w:trPr>
        <w:tc>
          <w:tcPr>
            <w:tcW w:w="1087" w:type="pct"/>
            <w:vMerge w:val="restart"/>
            <w:vAlign w:val="center"/>
          </w:tcPr>
          <w:p w:rsidR="00CE1FDA" w:rsidRDefault="00CE1FDA" w:rsidP="00AC01AA">
            <w:pPr>
              <w:spacing w:before="60" w:after="60" w:line="320" w:lineRule="exact"/>
              <w:ind w:leftChars="50" w:left="31680" w:rightChars="50" w:right="31680"/>
              <w:rPr>
                <w:rFonts w:ascii="SimHei" w:eastAsia="SimHei" w:hint="eastAsia"/>
                <w:color w:val="FF0000"/>
                <w:sz w:val="18"/>
              </w:rPr>
            </w:pPr>
            <w:r>
              <w:rPr>
                <w:rFonts w:ascii="SimHei" w:eastAsia="SimHei" w:hint="eastAsia"/>
                <w:color w:val="FF0000"/>
                <w:sz w:val="18"/>
              </w:rPr>
              <w:t>年份</w:t>
            </w:r>
          </w:p>
        </w:tc>
        <w:tc>
          <w:tcPr>
            <w:tcW w:w="1956" w:type="pct"/>
            <w:gridSpan w:val="3"/>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匈牙利</w:t>
            </w:r>
          </w:p>
        </w:tc>
        <w:tc>
          <w:tcPr>
            <w:tcW w:w="1957" w:type="pct"/>
            <w:gridSpan w:val="3"/>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欧盟25国</w:t>
            </w:r>
          </w:p>
        </w:tc>
      </w:tr>
      <w:tr w:rsidR="00CE1FDA">
        <w:tblPrEx>
          <w:tblCellMar>
            <w:top w:w="0" w:type="dxa"/>
            <w:left w:w="0" w:type="dxa"/>
            <w:bottom w:w="0" w:type="dxa"/>
            <w:right w:w="0" w:type="dxa"/>
          </w:tblCellMar>
        </w:tblPrEx>
        <w:trPr>
          <w:cantSplit/>
        </w:trPr>
        <w:tc>
          <w:tcPr>
            <w:tcW w:w="1087" w:type="pct"/>
            <w:vMerge/>
          </w:tcPr>
          <w:p w:rsidR="00CE1FDA" w:rsidRDefault="00CE1FDA" w:rsidP="00AC01AA">
            <w:pPr>
              <w:spacing w:before="60" w:after="60" w:line="320" w:lineRule="exact"/>
              <w:ind w:leftChars="50" w:left="31680" w:rightChars="50" w:right="31680"/>
              <w:rPr>
                <w:rFonts w:ascii="SimHei" w:eastAsia="SimHei" w:hint="eastAsia"/>
                <w:color w:val="FF0000"/>
                <w:sz w:val="18"/>
              </w:rPr>
            </w:pPr>
          </w:p>
        </w:tc>
        <w:tc>
          <w:tcPr>
            <w:tcW w:w="652"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c>
          <w:tcPr>
            <w:tcW w:w="652"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c>
          <w:tcPr>
            <w:tcW w:w="652"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共计</w:t>
            </w:r>
          </w:p>
        </w:tc>
        <w:tc>
          <w:tcPr>
            <w:tcW w:w="652"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c>
          <w:tcPr>
            <w:tcW w:w="652"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c>
          <w:tcPr>
            <w:tcW w:w="653"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共计</w:t>
            </w:r>
          </w:p>
        </w:tc>
      </w:tr>
      <w:tr w:rsidR="00CE1FDA">
        <w:tblPrEx>
          <w:tblCellMar>
            <w:top w:w="0" w:type="dxa"/>
            <w:left w:w="0" w:type="dxa"/>
            <w:bottom w:w="0" w:type="dxa"/>
            <w:right w:w="0" w:type="dxa"/>
          </w:tblCellMar>
        </w:tblPrEx>
        <w:tc>
          <w:tcPr>
            <w:tcW w:w="1087" w:type="pct"/>
          </w:tcPr>
          <w:p w:rsidR="00CE1FDA" w:rsidRDefault="00CE1FDA" w:rsidP="00AC01AA">
            <w:pPr>
              <w:spacing w:before="60" w:after="60" w:line="320" w:lineRule="exact"/>
              <w:ind w:leftChars="50" w:left="31680" w:rightChars="50" w:right="31680"/>
              <w:rPr>
                <w:rFonts w:hint="eastAsia"/>
                <w:sz w:val="18"/>
              </w:rPr>
            </w:pPr>
            <w:r>
              <w:rPr>
                <w:rFonts w:hint="eastAsia"/>
                <w:sz w:val="18"/>
              </w:rPr>
              <w:t>2000</w:t>
            </w:r>
          </w:p>
        </w:tc>
        <w:tc>
          <w:tcPr>
            <w:tcW w:w="65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2.0</w:t>
            </w:r>
          </w:p>
        </w:tc>
        <w:tc>
          <w:tcPr>
            <w:tcW w:w="65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5.2</w:t>
            </w:r>
          </w:p>
        </w:tc>
        <w:tc>
          <w:tcPr>
            <w:tcW w:w="65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3.5</w:t>
            </w:r>
          </w:p>
        </w:tc>
        <w:tc>
          <w:tcPr>
            <w:tcW w:w="65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6.1</w:t>
            </w:r>
          </w:p>
        </w:tc>
        <w:tc>
          <w:tcPr>
            <w:tcW w:w="65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29.5</w:t>
            </w:r>
          </w:p>
        </w:tc>
        <w:tc>
          <w:tcPr>
            <w:tcW w:w="65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16.2</w:t>
            </w:r>
          </w:p>
        </w:tc>
      </w:tr>
      <w:tr w:rsidR="00CE1FDA">
        <w:tblPrEx>
          <w:tblCellMar>
            <w:top w:w="0" w:type="dxa"/>
            <w:left w:w="0" w:type="dxa"/>
            <w:bottom w:w="0" w:type="dxa"/>
            <w:right w:w="0" w:type="dxa"/>
          </w:tblCellMar>
        </w:tblPrEx>
        <w:tc>
          <w:tcPr>
            <w:tcW w:w="1087" w:type="pct"/>
          </w:tcPr>
          <w:p w:rsidR="00CE1FDA" w:rsidRDefault="00CE1FDA" w:rsidP="00AC01AA">
            <w:pPr>
              <w:spacing w:before="60" w:after="60" w:line="320" w:lineRule="exact"/>
              <w:ind w:leftChars="50" w:left="31680" w:rightChars="50" w:right="31680"/>
              <w:rPr>
                <w:rFonts w:hint="eastAsia"/>
                <w:sz w:val="18"/>
              </w:rPr>
            </w:pPr>
            <w:r>
              <w:rPr>
                <w:rFonts w:hint="eastAsia"/>
                <w:sz w:val="18"/>
              </w:rPr>
              <w:t>2004</w:t>
            </w:r>
          </w:p>
        </w:tc>
        <w:tc>
          <w:tcPr>
            <w:tcW w:w="65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3.2</w:t>
            </w:r>
          </w:p>
        </w:tc>
        <w:tc>
          <w:tcPr>
            <w:tcW w:w="65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6.3</w:t>
            </w:r>
          </w:p>
        </w:tc>
        <w:tc>
          <w:tcPr>
            <w:tcW w:w="65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4.7</w:t>
            </w:r>
          </w:p>
        </w:tc>
        <w:tc>
          <w:tcPr>
            <w:tcW w:w="65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7.0</w:t>
            </w:r>
          </w:p>
        </w:tc>
        <w:tc>
          <w:tcPr>
            <w:tcW w:w="65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31.4</w:t>
            </w:r>
          </w:p>
        </w:tc>
        <w:tc>
          <w:tcPr>
            <w:tcW w:w="653"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17.7</w:t>
            </w:r>
          </w:p>
        </w:tc>
      </w:tr>
    </w:tbl>
    <w:p w:rsidR="00CE1FDA" w:rsidRDefault="00CE1FDA">
      <w:pPr>
        <w:spacing w:after="240" w:line="360" w:lineRule="exact"/>
        <w:rPr>
          <w:rFonts w:hint="eastAsia"/>
          <w:sz w:val="18"/>
        </w:rPr>
      </w:pPr>
      <w:r>
        <w:rPr>
          <w:rFonts w:eastAsia="KaiTi_GB2312" w:hint="eastAsia"/>
          <w:color w:val="0000FF"/>
          <w:sz w:val="18"/>
        </w:rPr>
        <w:t>资料来源</w:t>
      </w:r>
      <w:r>
        <w:rPr>
          <w:rFonts w:hint="eastAsia"/>
          <w:sz w:val="18"/>
        </w:rPr>
        <w:t>：</w:t>
      </w:r>
      <w:r>
        <w:rPr>
          <w:rFonts w:hint="eastAsia"/>
          <w:sz w:val="18"/>
        </w:rPr>
        <w:t>2005</w:t>
      </w:r>
      <w:r>
        <w:rPr>
          <w:rFonts w:hint="eastAsia"/>
          <w:sz w:val="18"/>
        </w:rPr>
        <w:t>年欧洲就业情况，布鲁塞尔，第</w:t>
      </w:r>
      <w:r>
        <w:rPr>
          <w:rFonts w:hint="eastAsia"/>
          <w:sz w:val="18"/>
        </w:rPr>
        <w:t>260</w:t>
      </w:r>
      <w:r>
        <w:rPr>
          <w:rFonts w:hint="eastAsia"/>
          <w:sz w:val="18"/>
        </w:rPr>
        <w:t>、</w:t>
      </w:r>
      <w:r>
        <w:rPr>
          <w:rFonts w:hint="eastAsia"/>
          <w:sz w:val="18"/>
        </w:rPr>
        <w:t>261</w:t>
      </w:r>
      <w:r>
        <w:rPr>
          <w:rFonts w:hint="eastAsia"/>
          <w:sz w:val="18"/>
        </w:rPr>
        <w:t>、</w:t>
      </w:r>
      <w:r>
        <w:rPr>
          <w:rFonts w:hint="eastAsia"/>
          <w:sz w:val="18"/>
        </w:rPr>
        <w:t>276</w:t>
      </w:r>
      <w:r>
        <w:rPr>
          <w:rFonts w:hint="eastAsia"/>
          <w:sz w:val="18"/>
        </w:rPr>
        <w:t>页。</w:t>
      </w:r>
    </w:p>
    <w:p w:rsidR="00CE1FDA" w:rsidRDefault="00CE1FDA">
      <w:pPr>
        <w:spacing w:after="240" w:line="360" w:lineRule="exact"/>
        <w:rPr>
          <w:rFonts w:ascii="SimHei" w:eastAsia="SimHei" w:hint="eastAsia"/>
          <w:color w:val="FF0000"/>
        </w:rPr>
      </w:pPr>
      <w:r>
        <w:rPr>
          <w:rFonts w:ascii="SimHei" w:eastAsia="SimHei" w:hint="eastAsia"/>
          <w:color w:val="FF0000"/>
        </w:rPr>
        <w:t>11.4. 1992-2005年就业趋势</w:t>
      </w:r>
      <w:r>
        <w:rPr>
          <w:rFonts w:eastAsia="SimHei" w:hint="eastAsia"/>
          <w:color w:val="FF0000"/>
          <w:vertAlign w:val="superscript"/>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92"/>
        <w:gridCol w:w="1345"/>
        <w:gridCol w:w="1345"/>
        <w:gridCol w:w="1345"/>
        <w:gridCol w:w="1345"/>
        <w:gridCol w:w="1345"/>
        <w:gridCol w:w="1343"/>
      </w:tblGrid>
      <w:tr w:rsidR="00CE1FDA">
        <w:tblPrEx>
          <w:tblCellMar>
            <w:top w:w="0" w:type="dxa"/>
            <w:left w:w="0" w:type="dxa"/>
            <w:bottom w:w="0" w:type="dxa"/>
            <w:right w:w="0" w:type="dxa"/>
          </w:tblCellMar>
        </w:tblPrEx>
        <w:trPr>
          <w:cantSplit/>
        </w:trPr>
        <w:tc>
          <w:tcPr>
            <w:tcW w:w="909" w:type="pct"/>
            <w:vMerge w:val="restart"/>
            <w:vAlign w:val="center"/>
          </w:tcPr>
          <w:p w:rsidR="00CE1FDA" w:rsidRDefault="00CE1FDA" w:rsidP="00AC01AA">
            <w:pPr>
              <w:spacing w:before="60" w:after="60" w:line="320" w:lineRule="exact"/>
              <w:ind w:leftChars="50" w:left="31680" w:rightChars="50" w:right="31680"/>
              <w:rPr>
                <w:rFonts w:ascii="SimHei" w:eastAsia="SimHei" w:hint="eastAsia"/>
                <w:color w:val="FF0000"/>
                <w:sz w:val="18"/>
              </w:rPr>
            </w:pPr>
            <w:r>
              <w:rPr>
                <w:rFonts w:ascii="SimHei" w:eastAsia="SimHei" w:hint="eastAsia"/>
                <w:color w:val="FF0000"/>
                <w:sz w:val="18"/>
              </w:rPr>
              <w:t>年份</w:t>
            </w:r>
          </w:p>
        </w:tc>
        <w:tc>
          <w:tcPr>
            <w:tcW w:w="2046" w:type="pct"/>
            <w:gridSpan w:val="3"/>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就业人数（1 000人）</w:t>
            </w:r>
          </w:p>
        </w:tc>
        <w:tc>
          <w:tcPr>
            <w:tcW w:w="2046" w:type="pct"/>
            <w:gridSpan w:val="3"/>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就业率 百分比</w:t>
            </w:r>
          </w:p>
        </w:tc>
      </w:tr>
      <w:tr w:rsidR="00CE1FDA">
        <w:tblPrEx>
          <w:tblCellMar>
            <w:top w:w="0" w:type="dxa"/>
            <w:left w:w="0" w:type="dxa"/>
            <w:bottom w:w="0" w:type="dxa"/>
            <w:right w:w="0" w:type="dxa"/>
          </w:tblCellMar>
        </w:tblPrEx>
        <w:trPr>
          <w:cantSplit/>
        </w:trPr>
        <w:tc>
          <w:tcPr>
            <w:tcW w:w="909" w:type="pct"/>
            <w:vMerge/>
          </w:tcPr>
          <w:p w:rsidR="00CE1FDA" w:rsidRDefault="00CE1FDA" w:rsidP="00AC01AA">
            <w:pPr>
              <w:spacing w:before="60" w:after="60" w:line="320" w:lineRule="exact"/>
              <w:ind w:leftChars="50" w:left="31680" w:rightChars="50" w:right="31680"/>
              <w:rPr>
                <w:rFonts w:ascii="SimHei" w:eastAsia="SimHei" w:hint="eastAsia"/>
                <w:color w:val="FF0000"/>
                <w:sz w:val="18"/>
              </w:rPr>
            </w:pPr>
          </w:p>
        </w:tc>
        <w:tc>
          <w:tcPr>
            <w:tcW w:w="682"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c>
          <w:tcPr>
            <w:tcW w:w="682"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c>
          <w:tcPr>
            <w:tcW w:w="682"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共计</w:t>
            </w:r>
          </w:p>
        </w:tc>
        <w:tc>
          <w:tcPr>
            <w:tcW w:w="682"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c>
          <w:tcPr>
            <w:tcW w:w="682"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c>
          <w:tcPr>
            <w:tcW w:w="682"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共计</w:t>
            </w:r>
          </w:p>
        </w:tc>
      </w:tr>
      <w:tr w:rsidR="00CE1FDA">
        <w:tblPrEx>
          <w:tblCellMar>
            <w:top w:w="0" w:type="dxa"/>
            <w:left w:w="0" w:type="dxa"/>
            <w:bottom w:w="0" w:type="dxa"/>
            <w:right w:w="0" w:type="dxa"/>
          </w:tblCellMar>
        </w:tblPrEx>
        <w:tc>
          <w:tcPr>
            <w:tcW w:w="90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1992</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265.9</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178.3</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444.2</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10.8</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8.8</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9.9</w:t>
            </w:r>
          </w:p>
        </w:tc>
      </w:tr>
      <w:tr w:rsidR="00CE1FDA">
        <w:tblPrEx>
          <w:tblCellMar>
            <w:top w:w="0" w:type="dxa"/>
            <w:left w:w="0" w:type="dxa"/>
            <w:bottom w:w="0" w:type="dxa"/>
            <w:right w:w="0" w:type="dxa"/>
          </w:tblCellMar>
        </w:tblPrEx>
        <w:tc>
          <w:tcPr>
            <w:tcW w:w="90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1993</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316.0</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202.9</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518.9</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13.3</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10.3</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11.9</w:t>
            </w:r>
          </w:p>
        </w:tc>
      </w:tr>
      <w:tr w:rsidR="00CE1FDA">
        <w:tblPrEx>
          <w:tblCellMar>
            <w:top w:w="0" w:type="dxa"/>
            <w:left w:w="0" w:type="dxa"/>
            <w:bottom w:w="0" w:type="dxa"/>
            <w:right w:w="0" w:type="dxa"/>
          </w:tblCellMar>
        </w:tblPrEx>
        <w:tc>
          <w:tcPr>
            <w:tcW w:w="90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1994</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274.8</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176.4</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451.2</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11.8</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9.3</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10.7</w:t>
            </w:r>
          </w:p>
        </w:tc>
      </w:tr>
      <w:tr w:rsidR="00CE1FDA">
        <w:tblPrEx>
          <w:tblCellMar>
            <w:top w:w="0" w:type="dxa"/>
            <w:left w:w="0" w:type="dxa"/>
            <w:bottom w:w="0" w:type="dxa"/>
            <w:right w:w="0" w:type="dxa"/>
          </w:tblCellMar>
        </w:tblPrEx>
        <w:tc>
          <w:tcPr>
            <w:tcW w:w="90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1995</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261.5</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155.0</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416.5</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11.4</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8.7</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10.2</w:t>
            </w:r>
          </w:p>
        </w:tc>
      </w:tr>
      <w:tr w:rsidR="00CE1FDA">
        <w:tblPrEx>
          <w:tblCellMar>
            <w:top w:w="0" w:type="dxa"/>
            <w:left w:w="0" w:type="dxa"/>
            <w:bottom w:w="0" w:type="dxa"/>
            <w:right w:w="0" w:type="dxa"/>
          </w:tblCellMar>
        </w:tblPrEx>
        <w:tc>
          <w:tcPr>
            <w:tcW w:w="90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1996</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243.7</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156.4</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400.1</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10.7</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8.8</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9.9</w:t>
            </w:r>
          </w:p>
        </w:tc>
      </w:tr>
      <w:tr w:rsidR="00CE1FDA">
        <w:tblPrEx>
          <w:tblCellMar>
            <w:top w:w="0" w:type="dxa"/>
            <w:left w:w="0" w:type="dxa"/>
            <w:bottom w:w="0" w:type="dxa"/>
            <w:right w:w="0" w:type="dxa"/>
          </w:tblCellMar>
        </w:tblPrEx>
        <w:tc>
          <w:tcPr>
            <w:tcW w:w="90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1997</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214.1</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134.7</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348.8</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9.5</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7.7</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8.7</w:t>
            </w:r>
          </w:p>
        </w:tc>
      </w:tr>
      <w:tr w:rsidR="00CE1FDA">
        <w:tblPrEx>
          <w:tblCellMar>
            <w:top w:w="0" w:type="dxa"/>
            <w:left w:w="0" w:type="dxa"/>
            <w:bottom w:w="0" w:type="dxa"/>
            <w:right w:w="0" w:type="dxa"/>
          </w:tblCellMar>
        </w:tblPrEx>
        <w:tc>
          <w:tcPr>
            <w:tcW w:w="90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1998</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188.7</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125.3</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314.0</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8.5</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6.9</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7.8</w:t>
            </w:r>
          </w:p>
        </w:tc>
      </w:tr>
      <w:tr w:rsidR="00CE1FDA">
        <w:tblPrEx>
          <w:tblCellMar>
            <w:top w:w="0" w:type="dxa"/>
            <w:left w:w="0" w:type="dxa"/>
            <w:bottom w:w="0" w:type="dxa"/>
            <w:right w:w="0" w:type="dxa"/>
          </w:tblCellMar>
        </w:tblPrEx>
        <w:tc>
          <w:tcPr>
            <w:tcW w:w="90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1999</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170.0</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115.3</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285.3</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7.5</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6.3</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7.0</w:t>
            </w:r>
          </w:p>
        </w:tc>
      </w:tr>
      <w:tr w:rsidR="00CE1FDA">
        <w:tblPrEx>
          <w:tblCellMar>
            <w:top w:w="0" w:type="dxa"/>
            <w:left w:w="0" w:type="dxa"/>
            <w:bottom w:w="0" w:type="dxa"/>
            <w:right w:w="0" w:type="dxa"/>
          </w:tblCellMar>
        </w:tblPrEx>
        <w:tc>
          <w:tcPr>
            <w:tcW w:w="90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2000</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158.9</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104.8</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263.7</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7.0</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5.6</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6.4</w:t>
            </w:r>
          </w:p>
        </w:tc>
      </w:tr>
      <w:tr w:rsidR="00CE1FDA">
        <w:tblPrEx>
          <w:tblCellMar>
            <w:top w:w="0" w:type="dxa"/>
            <w:left w:w="0" w:type="dxa"/>
            <w:bottom w:w="0" w:type="dxa"/>
            <w:right w:w="0" w:type="dxa"/>
          </w:tblCellMar>
        </w:tblPrEx>
        <w:tc>
          <w:tcPr>
            <w:tcW w:w="90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2001</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142.4</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91.7</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234.1</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6.3</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5.0</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5.7</w:t>
            </w:r>
          </w:p>
        </w:tc>
      </w:tr>
      <w:tr w:rsidR="00CE1FDA">
        <w:tblPrEx>
          <w:tblCellMar>
            <w:top w:w="0" w:type="dxa"/>
            <w:left w:w="0" w:type="dxa"/>
            <w:bottom w:w="0" w:type="dxa"/>
            <w:right w:w="0" w:type="dxa"/>
          </w:tblCellMar>
        </w:tblPrEx>
        <w:tc>
          <w:tcPr>
            <w:tcW w:w="90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2002</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138.0</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100.8</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238.8</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6.1</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5.4</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5.8</w:t>
            </w:r>
          </w:p>
        </w:tc>
      </w:tr>
      <w:tr w:rsidR="00CE1FDA">
        <w:tblPrEx>
          <w:tblCellMar>
            <w:top w:w="0" w:type="dxa"/>
            <w:left w:w="0" w:type="dxa"/>
            <w:bottom w:w="0" w:type="dxa"/>
            <w:right w:w="0" w:type="dxa"/>
          </w:tblCellMar>
        </w:tblPrEx>
        <w:tc>
          <w:tcPr>
            <w:tcW w:w="90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2003</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138.5</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106.0</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244.5</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6.1</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5.6</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5.9</w:t>
            </w:r>
          </w:p>
        </w:tc>
      </w:tr>
      <w:tr w:rsidR="00CE1FDA">
        <w:tblPrEx>
          <w:tblCellMar>
            <w:top w:w="0" w:type="dxa"/>
            <w:left w:w="0" w:type="dxa"/>
            <w:bottom w:w="0" w:type="dxa"/>
            <w:right w:w="0" w:type="dxa"/>
          </w:tblCellMar>
        </w:tblPrEx>
        <w:tc>
          <w:tcPr>
            <w:tcW w:w="90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2004</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136.8</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116.1</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252.9</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6.1</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6.1</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6.1</w:t>
            </w:r>
          </w:p>
        </w:tc>
      </w:tr>
      <w:tr w:rsidR="00CE1FDA">
        <w:tblPrEx>
          <w:tblCellMar>
            <w:top w:w="0" w:type="dxa"/>
            <w:left w:w="0" w:type="dxa"/>
            <w:bottom w:w="0" w:type="dxa"/>
            <w:right w:w="0" w:type="dxa"/>
          </w:tblCellMar>
        </w:tblPrEx>
        <w:tc>
          <w:tcPr>
            <w:tcW w:w="90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2005</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159.0</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144.1</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303.1</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7.0</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7.5</w:t>
            </w:r>
          </w:p>
        </w:tc>
        <w:tc>
          <w:tcPr>
            <w:tcW w:w="682"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7.2</w:t>
            </w:r>
          </w:p>
        </w:tc>
      </w:tr>
    </w:tbl>
    <w:p w:rsidR="00CE1FDA" w:rsidRDefault="00CE1FDA">
      <w:pPr>
        <w:spacing w:line="360" w:lineRule="exact"/>
        <w:rPr>
          <w:rFonts w:hint="eastAsia"/>
          <w:sz w:val="18"/>
        </w:rPr>
      </w:pPr>
      <w:r>
        <w:rPr>
          <w:rFonts w:eastAsia="KaiTi_GB2312" w:hint="eastAsia"/>
          <w:color w:val="0000FF"/>
          <w:sz w:val="18"/>
        </w:rPr>
        <w:t>资料来源</w:t>
      </w:r>
      <w:r>
        <w:rPr>
          <w:rFonts w:hint="eastAsia"/>
          <w:sz w:val="18"/>
        </w:rPr>
        <w:t>：中央统计局劳工调查时序。</w:t>
      </w:r>
    </w:p>
    <w:p w:rsidR="00CE1FDA" w:rsidRDefault="00CE1FDA">
      <w:pPr>
        <w:spacing w:after="240" w:line="360" w:lineRule="exact"/>
        <w:rPr>
          <w:rFonts w:hint="eastAsia"/>
          <w:sz w:val="18"/>
        </w:rPr>
      </w:pPr>
      <w:r>
        <w:rPr>
          <w:rFonts w:hint="eastAsia"/>
          <w:sz w:val="18"/>
          <w:vertAlign w:val="superscript"/>
        </w:rPr>
        <w:t>*</w:t>
      </w:r>
      <w:r>
        <w:rPr>
          <w:rFonts w:hint="eastAsia"/>
          <w:sz w:val="18"/>
        </w:rPr>
        <w:t xml:space="preserve">  </w:t>
      </w:r>
      <w:r>
        <w:rPr>
          <w:rFonts w:hint="eastAsia"/>
          <w:sz w:val="18"/>
        </w:rPr>
        <w:t>根据劳工组织的建议，中央统计局的劳工调查将这些人视为失业人员，他们在报告所涉的一周内从事有薪工作不到一小时，或暂时没有工作，或正在积极寻找工作，可能已在不到</w:t>
      </w:r>
      <w:r>
        <w:rPr>
          <w:rFonts w:hint="eastAsia"/>
          <w:sz w:val="18"/>
        </w:rPr>
        <w:t>30</w:t>
      </w:r>
      <w:r>
        <w:rPr>
          <w:rFonts w:hint="eastAsia"/>
          <w:sz w:val="18"/>
        </w:rPr>
        <w:t>天内开始工作。</w:t>
      </w:r>
    </w:p>
    <w:p w:rsidR="00CE1FDA" w:rsidRDefault="00CE1FDA">
      <w:pPr>
        <w:spacing w:after="240" w:line="360" w:lineRule="exact"/>
        <w:rPr>
          <w:rFonts w:ascii="SimHei" w:eastAsia="SimHei" w:hint="eastAsia"/>
          <w:color w:val="FF0000"/>
        </w:rPr>
      </w:pPr>
      <w:r>
        <w:rPr>
          <w:rFonts w:ascii="SimHei" w:eastAsia="SimHei" w:hint="eastAsia"/>
          <w:color w:val="FF0000"/>
        </w:rPr>
        <w:t>11.5.按性别分列的雇员部门分配情况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64"/>
        <w:gridCol w:w="1232"/>
        <w:gridCol w:w="1232"/>
        <w:gridCol w:w="1233"/>
        <w:gridCol w:w="1233"/>
        <w:gridCol w:w="1233"/>
        <w:gridCol w:w="1233"/>
      </w:tblGrid>
      <w:tr w:rsidR="00CE1FDA">
        <w:tblPrEx>
          <w:tblCellMar>
            <w:top w:w="0" w:type="dxa"/>
            <w:left w:w="0" w:type="dxa"/>
            <w:bottom w:w="0" w:type="dxa"/>
            <w:right w:w="0" w:type="dxa"/>
          </w:tblCellMar>
        </w:tblPrEx>
        <w:trPr>
          <w:cantSplit/>
        </w:trPr>
        <w:tc>
          <w:tcPr>
            <w:tcW w:w="1250" w:type="pct"/>
            <w:vMerge w:val="restart"/>
            <w:vAlign w:val="center"/>
          </w:tcPr>
          <w:p w:rsidR="00CE1FDA" w:rsidRDefault="00CE1FDA" w:rsidP="00AC01AA">
            <w:pPr>
              <w:spacing w:before="60" w:after="60" w:line="320" w:lineRule="exact"/>
              <w:ind w:leftChars="50" w:left="31680" w:rightChars="50" w:right="31680"/>
              <w:rPr>
                <w:rFonts w:ascii="SimHei" w:eastAsia="SimHei" w:hint="eastAsia"/>
                <w:color w:val="FF0000"/>
                <w:sz w:val="18"/>
              </w:rPr>
            </w:pPr>
            <w:r>
              <w:rPr>
                <w:rFonts w:ascii="SimHei" w:eastAsia="SimHei" w:hint="eastAsia"/>
                <w:color w:val="FF0000"/>
                <w:sz w:val="18"/>
              </w:rPr>
              <w:t>部门</w:t>
            </w:r>
          </w:p>
        </w:tc>
        <w:tc>
          <w:tcPr>
            <w:tcW w:w="1250" w:type="pct"/>
            <w:gridSpan w:val="2"/>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2000年</w:t>
            </w:r>
          </w:p>
        </w:tc>
        <w:tc>
          <w:tcPr>
            <w:tcW w:w="1250" w:type="pct"/>
            <w:gridSpan w:val="2"/>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2005年</w:t>
            </w:r>
          </w:p>
        </w:tc>
        <w:tc>
          <w:tcPr>
            <w:tcW w:w="1250" w:type="pct"/>
            <w:gridSpan w:val="2"/>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妇女在各群体中的比例</w:t>
            </w:r>
          </w:p>
        </w:tc>
      </w:tr>
      <w:tr w:rsidR="00CE1FDA">
        <w:tblPrEx>
          <w:tblCellMar>
            <w:top w:w="0" w:type="dxa"/>
            <w:left w:w="0" w:type="dxa"/>
            <w:bottom w:w="0" w:type="dxa"/>
            <w:right w:w="0" w:type="dxa"/>
          </w:tblCellMar>
        </w:tblPrEx>
        <w:trPr>
          <w:cantSplit/>
        </w:trPr>
        <w:tc>
          <w:tcPr>
            <w:tcW w:w="1250" w:type="pct"/>
            <w:vMerge/>
          </w:tcPr>
          <w:p w:rsidR="00CE1FDA" w:rsidRDefault="00CE1FDA" w:rsidP="00AC01AA">
            <w:pPr>
              <w:spacing w:before="60" w:after="60" w:line="320" w:lineRule="exact"/>
              <w:ind w:leftChars="50" w:left="31680" w:rightChars="50" w:right="31680"/>
              <w:rPr>
                <w:rFonts w:ascii="SimHei" w:eastAsia="SimHei" w:hint="eastAsia"/>
                <w:color w:val="FF0000"/>
                <w:sz w:val="18"/>
              </w:rPr>
            </w:pPr>
          </w:p>
        </w:tc>
        <w:tc>
          <w:tcPr>
            <w:tcW w:w="625"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c>
          <w:tcPr>
            <w:tcW w:w="625"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c>
          <w:tcPr>
            <w:tcW w:w="625"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c>
          <w:tcPr>
            <w:tcW w:w="625"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c>
          <w:tcPr>
            <w:tcW w:w="625"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2000年</w:t>
            </w:r>
          </w:p>
        </w:tc>
        <w:tc>
          <w:tcPr>
            <w:tcW w:w="625"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2005年</w:t>
            </w: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农业</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9.1</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3.5</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6.9</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2.7</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24.8</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25.1</w:t>
            </w: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工业</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41.1</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25.1</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41.8</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21.2</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33.7</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30.0</w:t>
            </w: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服务</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49.8</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71.3</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51.3</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76.1</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54.9</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55.6</w:t>
            </w: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共计</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100.0</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100.0</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100.0</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100.0</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45.4</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45.8</w:t>
            </w:r>
          </w:p>
        </w:tc>
      </w:tr>
    </w:tbl>
    <w:p w:rsidR="00CE1FDA" w:rsidRDefault="00CE1FDA">
      <w:pPr>
        <w:spacing w:after="240" w:line="360" w:lineRule="exact"/>
        <w:rPr>
          <w:rFonts w:hint="eastAsia"/>
          <w:sz w:val="18"/>
        </w:rPr>
      </w:pPr>
      <w:r>
        <w:rPr>
          <w:rFonts w:eastAsia="KaiTi_GB2312" w:hint="eastAsia"/>
          <w:color w:val="0000FF"/>
          <w:sz w:val="18"/>
        </w:rPr>
        <w:t>资料来源</w:t>
      </w:r>
      <w:r>
        <w:rPr>
          <w:rFonts w:hint="eastAsia"/>
          <w:sz w:val="18"/>
        </w:rPr>
        <w:t>：劳工调查时序。</w:t>
      </w:r>
    </w:p>
    <w:p w:rsidR="00CE1FDA" w:rsidRDefault="00CE1FDA">
      <w:pPr>
        <w:spacing w:after="240" w:line="360" w:lineRule="exact"/>
        <w:rPr>
          <w:rFonts w:ascii="SimHei" w:eastAsia="SimHei" w:hint="eastAsia"/>
          <w:color w:val="FF0000"/>
        </w:rPr>
      </w:pPr>
      <w:r>
        <w:rPr>
          <w:rFonts w:ascii="SimHei" w:eastAsia="SimHei" w:hint="eastAsia"/>
          <w:color w:val="FF0000"/>
        </w:rPr>
        <w:t>11.6. 2000-2005年按部门分列的服务提供领域男女就业的变化情况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62"/>
        <w:gridCol w:w="1232"/>
        <w:gridCol w:w="1233"/>
        <w:gridCol w:w="1233"/>
        <w:gridCol w:w="1233"/>
        <w:gridCol w:w="1233"/>
        <w:gridCol w:w="1234"/>
      </w:tblGrid>
      <w:tr w:rsidR="00CE1FDA">
        <w:tblPrEx>
          <w:tblCellMar>
            <w:top w:w="0" w:type="dxa"/>
            <w:left w:w="0" w:type="dxa"/>
            <w:bottom w:w="0" w:type="dxa"/>
            <w:right w:w="0" w:type="dxa"/>
          </w:tblCellMar>
        </w:tblPrEx>
        <w:trPr>
          <w:cantSplit/>
        </w:trPr>
        <w:tc>
          <w:tcPr>
            <w:tcW w:w="1249" w:type="pct"/>
            <w:vMerge w:val="restart"/>
            <w:vAlign w:val="center"/>
          </w:tcPr>
          <w:p w:rsidR="00CE1FDA" w:rsidRDefault="00CE1FDA" w:rsidP="00AC01AA">
            <w:pPr>
              <w:spacing w:before="60" w:after="60" w:line="320" w:lineRule="exact"/>
              <w:ind w:leftChars="50" w:left="31680" w:rightChars="50" w:right="31680"/>
              <w:rPr>
                <w:rFonts w:ascii="SimHei" w:eastAsia="SimHei" w:hint="eastAsia"/>
                <w:color w:val="FF0000"/>
                <w:sz w:val="18"/>
              </w:rPr>
            </w:pPr>
            <w:r>
              <w:rPr>
                <w:rFonts w:ascii="SimHei" w:eastAsia="SimHei" w:hint="eastAsia"/>
                <w:color w:val="FF0000"/>
                <w:sz w:val="18"/>
              </w:rPr>
              <w:t>部门</w:t>
            </w:r>
          </w:p>
        </w:tc>
        <w:tc>
          <w:tcPr>
            <w:tcW w:w="1250" w:type="pct"/>
            <w:gridSpan w:val="2"/>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妇女的分布情况</w:t>
            </w:r>
          </w:p>
        </w:tc>
        <w:tc>
          <w:tcPr>
            <w:tcW w:w="1250" w:type="pct"/>
            <w:gridSpan w:val="2"/>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男子的分布情况</w:t>
            </w:r>
          </w:p>
        </w:tc>
        <w:tc>
          <w:tcPr>
            <w:tcW w:w="1251" w:type="pct"/>
            <w:gridSpan w:val="2"/>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部门内妇女的比例</w:t>
            </w:r>
          </w:p>
        </w:tc>
      </w:tr>
      <w:tr w:rsidR="00CE1FDA">
        <w:tblPrEx>
          <w:tblCellMar>
            <w:top w:w="0" w:type="dxa"/>
            <w:left w:w="0" w:type="dxa"/>
            <w:bottom w:w="0" w:type="dxa"/>
            <w:right w:w="0" w:type="dxa"/>
          </w:tblCellMar>
        </w:tblPrEx>
        <w:trPr>
          <w:cantSplit/>
        </w:trPr>
        <w:tc>
          <w:tcPr>
            <w:tcW w:w="1249" w:type="pct"/>
            <w:vMerge/>
          </w:tcPr>
          <w:p w:rsidR="00CE1FDA" w:rsidRDefault="00CE1FDA" w:rsidP="00AC01AA">
            <w:pPr>
              <w:spacing w:before="60" w:after="60" w:line="320" w:lineRule="exact"/>
              <w:ind w:leftChars="50" w:left="31680" w:rightChars="50" w:right="31680"/>
              <w:rPr>
                <w:rFonts w:ascii="SimHei" w:eastAsia="SimHei" w:hint="eastAsia"/>
                <w:color w:val="FF0000"/>
                <w:sz w:val="18"/>
              </w:rPr>
            </w:pPr>
          </w:p>
        </w:tc>
        <w:tc>
          <w:tcPr>
            <w:tcW w:w="625"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2000年</w:t>
            </w:r>
          </w:p>
        </w:tc>
        <w:tc>
          <w:tcPr>
            <w:tcW w:w="625"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2005年</w:t>
            </w:r>
          </w:p>
        </w:tc>
        <w:tc>
          <w:tcPr>
            <w:tcW w:w="625"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2000年</w:t>
            </w:r>
          </w:p>
        </w:tc>
        <w:tc>
          <w:tcPr>
            <w:tcW w:w="625"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2005年</w:t>
            </w:r>
          </w:p>
        </w:tc>
        <w:tc>
          <w:tcPr>
            <w:tcW w:w="625"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2000年</w:t>
            </w:r>
          </w:p>
        </w:tc>
        <w:tc>
          <w:tcPr>
            <w:tcW w:w="625"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2005年</w:t>
            </w:r>
          </w:p>
        </w:tc>
      </w:tr>
      <w:tr w:rsidR="00CE1FDA">
        <w:tblPrEx>
          <w:tblCellMar>
            <w:top w:w="0" w:type="dxa"/>
            <w:left w:w="0" w:type="dxa"/>
            <w:bottom w:w="0" w:type="dxa"/>
            <w:right w:w="0" w:type="dxa"/>
          </w:tblCellMar>
        </w:tblPrEx>
        <w:tc>
          <w:tcPr>
            <w:tcW w:w="124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贸易、修理</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22.5</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23.5</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25.1</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24.6</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51.6</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54.4</w:t>
            </w:r>
          </w:p>
        </w:tc>
      </w:tr>
      <w:tr w:rsidR="00CE1FDA">
        <w:tblPrEx>
          <w:tblCellMar>
            <w:top w:w="0" w:type="dxa"/>
            <w:left w:w="0" w:type="dxa"/>
            <w:bottom w:w="0" w:type="dxa"/>
            <w:right w:w="0" w:type="dxa"/>
          </w:tblCellMar>
        </w:tblPrEx>
        <w:tc>
          <w:tcPr>
            <w:tcW w:w="124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膳宿服务</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5.7</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6.1</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6.0</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6.5</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53.0</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54.1</w:t>
            </w:r>
          </w:p>
        </w:tc>
      </w:tr>
      <w:tr w:rsidR="00CE1FDA">
        <w:tblPrEx>
          <w:tblCellMar>
            <w:top w:w="0" w:type="dxa"/>
            <w:left w:w="0" w:type="dxa"/>
            <w:bottom w:w="0" w:type="dxa"/>
            <w:right w:w="0" w:type="dxa"/>
          </w:tblCellMar>
        </w:tblPrEx>
        <w:tc>
          <w:tcPr>
            <w:tcW w:w="124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交通、仓储</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6.9</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5.4</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21.6</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19.6</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27.7</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25.5</w:t>
            </w:r>
          </w:p>
        </w:tc>
      </w:tr>
      <w:tr w:rsidR="00CE1FDA">
        <w:tblPrEx>
          <w:tblCellMar>
            <w:top w:w="0" w:type="dxa"/>
            <w:left w:w="0" w:type="dxa"/>
            <w:bottom w:w="0" w:type="dxa"/>
            <w:right w:w="0" w:type="dxa"/>
          </w:tblCellMar>
        </w:tblPrEx>
        <w:tc>
          <w:tcPr>
            <w:tcW w:w="124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财经业务</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4.5</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3.9</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2.7</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2.5</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66.7</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66.9</w:t>
            </w:r>
          </w:p>
        </w:tc>
      </w:tr>
      <w:tr w:rsidR="00CE1FDA">
        <w:tblPrEx>
          <w:tblCellMar>
            <w:top w:w="0" w:type="dxa"/>
            <w:left w:w="0" w:type="dxa"/>
            <w:bottom w:w="0" w:type="dxa"/>
            <w:right w:w="0" w:type="dxa"/>
          </w:tblCellMar>
        </w:tblPrEx>
        <w:tc>
          <w:tcPr>
            <w:tcW w:w="124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房地产交易</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7.5</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9.1</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10.5</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14.1</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46.0</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44.6</w:t>
            </w:r>
          </w:p>
        </w:tc>
      </w:tr>
      <w:tr w:rsidR="00CE1FDA">
        <w:tblPrEx>
          <w:tblCellMar>
            <w:top w:w="0" w:type="dxa"/>
            <w:left w:w="0" w:type="dxa"/>
            <w:bottom w:w="0" w:type="dxa"/>
            <w:right w:w="0" w:type="dxa"/>
          </w:tblCellMar>
        </w:tblPrEx>
        <w:tc>
          <w:tcPr>
            <w:tcW w:w="124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公共管理</w:t>
            </w:r>
            <w:r>
              <w:rPr>
                <w:sz w:val="18"/>
              </w:rPr>
              <w:br/>
            </w:r>
            <w:r>
              <w:rPr>
                <w:rFonts w:hint="eastAsia"/>
                <w:sz w:val="18"/>
              </w:rPr>
              <w:t>强制性社会保障</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10.9</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11.1</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13.9</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13.5</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48.2</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50.9</w:t>
            </w:r>
          </w:p>
        </w:tc>
      </w:tr>
      <w:tr w:rsidR="00CE1FDA">
        <w:tblPrEx>
          <w:tblCellMar>
            <w:top w:w="0" w:type="dxa"/>
            <w:left w:w="0" w:type="dxa"/>
            <w:bottom w:w="0" w:type="dxa"/>
            <w:right w:w="0" w:type="dxa"/>
          </w:tblCellMar>
        </w:tblPrEx>
        <w:tc>
          <w:tcPr>
            <w:tcW w:w="124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教育</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20.2</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18.5</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6.8</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6.7</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78.0</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77.5</w:t>
            </w:r>
          </w:p>
        </w:tc>
      </w:tr>
      <w:tr w:rsidR="00CE1FDA">
        <w:tblPrEx>
          <w:tblCellMar>
            <w:top w:w="0" w:type="dxa"/>
            <w:left w:w="0" w:type="dxa"/>
            <w:bottom w:w="0" w:type="dxa"/>
            <w:right w:w="0" w:type="dxa"/>
          </w:tblCellMar>
        </w:tblPrEx>
        <w:tc>
          <w:tcPr>
            <w:tcW w:w="124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保健、社会福利</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14.8</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15.0</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5.7</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5.4</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75.5</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77.8</w:t>
            </w:r>
          </w:p>
        </w:tc>
      </w:tr>
      <w:tr w:rsidR="00CE1FDA">
        <w:tblPrEx>
          <w:tblCellMar>
            <w:top w:w="0" w:type="dxa"/>
            <w:left w:w="0" w:type="dxa"/>
            <w:bottom w:w="0" w:type="dxa"/>
            <w:right w:w="0" w:type="dxa"/>
          </w:tblCellMar>
        </w:tblPrEx>
        <w:tc>
          <w:tcPr>
            <w:tcW w:w="1249" w:type="pct"/>
          </w:tcPr>
          <w:p w:rsidR="00CE1FDA" w:rsidRDefault="00CE1FDA" w:rsidP="00AC01AA">
            <w:pPr>
              <w:spacing w:before="60" w:after="60" w:line="320" w:lineRule="exact"/>
              <w:ind w:leftChars="50" w:left="31680" w:rightChars="50" w:right="31680"/>
              <w:rPr>
                <w:rFonts w:hint="eastAsia"/>
                <w:sz w:val="18"/>
              </w:rPr>
            </w:pPr>
            <w:r>
              <w:rPr>
                <w:rFonts w:hint="eastAsia"/>
                <w:sz w:val="18"/>
              </w:rPr>
              <w:t>其他社区和私人服务</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7.0</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7.4</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7.7</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7.1</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51.5</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56.0</w:t>
            </w:r>
          </w:p>
        </w:tc>
      </w:tr>
      <w:tr w:rsidR="00CE1FDA">
        <w:tblPrEx>
          <w:tblCellMar>
            <w:top w:w="0" w:type="dxa"/>
            <w:left w:w="0" w:type="dxa"/>
            <w:bottom w:w="0" w:type="dxa"/>
            <w:right w:w="0" w:type="dxa"/>
          </w:tblCellMar>
        </w:tblPrEx>
        <w:tc>
          <w:tcPr>
            <w:tcW w:w="1249" w:type="pct"/>
          </w:tcPr>
          <w:p w:rsidR="00CE1FDA" w:rsidRDefault="00CE1FDA" w:rsidP="00AC01AA">
            <w:pPr>
              <w:spacing w:before="60" w:after="60" w:line="320" w:lineRule="exact"/>
              <w:ind w:leftChars="50" w:left="31680" w:rightChars="50" w:right="31680"/>
              <w:rPr>
                <w:rFonts w:eastAsia="SimHei" w:hint="eastAsia"/>
                <w:color w:val="FF0000"/>
                <w:sz w:val="18"/>
              </w:rPr>
            </w:pPr>
            <w:r>
              <w:rPr>
                <w:rFonts w:eastAsia="SimHei" w:hint="eastAsia"/>
                <w:color w:val="FF0000"/>
                <w:sz w:val="18"/>
              </w:rPr>
              <w:t>服务总计</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100.0</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100.0</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100.0</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100.0</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54.4</w:t>
            </w:r>
          </w:p>
        </w:tc>
        <w:tc>
          <w:tcPr>
            <w:tcW w:w="625"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55.6</w:t>
            </w:r>
          </w:p>
        </w:tc>
      </w:tr>
    </w:tbl>
    <w:p w:rsidR="00CE1FDA" w:rsidRDefault="00CE1FDA">
      <w:pPr>
        <w:spacing w:after="240" w:line="360" w:lineRule="exact"/>
        <w:rPr>
          <w:rFonts w:hint="eastAsia"/>
          <w:sz w:val="18"/>
        </w:rPr>
      </w:pPr>
      <w:r>
        <w:rPr>
          <w:rFonts w:eastAsia="KaiTi_GB2312" w:hint="eastAsia"/>
          <w:color w:val="0000FF"/>
          <w:sz w:val="18"/>
        </w:rPr>
        <w:t>资料来源</w:t>
      </w:r>
      <w:r>
        <w:rPr>
          <w:rFonts w:hint="eastAsia"/>
          <w:sz w:val="18"/>
        </w:rPr>
        <w:t>：中央统计局劳工调查时序。</w:t>
      </w:r>
    </w:p>
    <w:p w:rsidR="00CE1FDA" w:rsidRDefault="00CE1FDA">
      <w:pPr>
        <w:spacing w:after="240" w:line="360" w:lineRule="exact"/>
        <w:rPr>
          <w:rFonts w:ascii="SimHei" w:eastAsia="SimHei" w:hint="eastAsia"/>
          <w:color w:val="FF0000"/>
        </w:rPr>
      </w:pPr>
    </w:p>
    <w:p w:rsidR="00CE1FDA" w:rsidRDefault="00CE1FDA">
      <w:pPr>
        <w:spacing w:after="240" w:line="360" w:lineRule="exact"/>
        <w:rPr>
          <w:rFonts w:ascii="SimHei" w:eastAsia="SimHei" w:hint="eastAsia"/>
          <w:color w:val="FF0000"/>
        </w:rPr>
      </w:pPr>
    </w:p>
    <w:p w:rsidR="00CE1FDA" w:rsidRDefault="00CE1FDA">
      <w:pPr>
        <w:spacing w:after="240" w:line="360" w:lineRule="exact"/>
        <w:rPr>
          <w:rFonts w:ascii="SimHei" w:eastAsia="SimHei" w:hint="eastAsia"/>
          <w:color w:val="FF0000"/>
        </w:rPr>
      </w:pPr>
      <w:r>
        <w:rPr>
          <w:rFonts w:ascii="SimHei" w:eastAsia="SimHei" w:hint="eastAsia"/>
          <w:color w:val="FF0000"/>
        </w:rPr>
        <w:t>11.7. 1994-2003年就业分离情况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884"/>
        <w:gridCol w:w="1215"/>
        <w:gridCol w:w="1217"/>
        <w:gridCol w:w="1217"/>
        <w:gridCol w:w="1217"/>
        <w:gridCol w:w="1079"/>
        <w:gridCol w:w="1031"/>
      </w:tblGrid>
      <w:tr w:rsidR="00CE1FDA">
        <w:tblPrEx>
          <w:tblCellMar>
            <w:top w:w="0" w:type="dxa"/>
            <w:left w:w="0" w:type="dxa"/>
            <w:bottom w:w="0" w:type="dxa"/>
            <w:right w:w="0" w:type="dxa"/>
          </w:tblCellMar>
        </w:tblPrEx>
        <w:trPr>
          <w:cantSplit/>
        </w:trPr>
        <w:tc>
          <w:tcPr>
            <w:tcW w:w="1463" w:type="pct"/>
            <w:vMerge w:val="restart"/>
            <w:vAlign w:val="center"/>
          </w:tcPr>
          <w:p w:rsidR="00CE1FDA" w:rsidRDefault="00CE1FDA" w:rsidP="00AC01AA">
            <w:pPr>
              <w:spacing w:before="40" w:after="40" w:line="300" w:lineRule="exact"/>
              <w:ind w:leftChars="50" w:left="31680" w:rightChars="50" w:right="31680"/>
              <w:rPr>
                <w:rFonts w:ascii="SimHei" w:eastAsia="SimHei" w:hint="eastAsia"/>
                <w:color w:val="FF0000"/>
                <w:sz w:val="18"/>
              </w:rPr>
            </w:pPr>
          </w:p>
        </w:tc>
        <w:tc>
          <w:tcPr>
            <w:tcW w:w="2466" w:type="pct"/>
            <w:gridSpan w:val="4"/>
            <w:vAlign w:val="center"/>
          </w:tcPr>
          <w:p w:rsidR="00CE1FDA" w:rsidRDefault="00CE1FDA" w:rsidP="00AC01AA">
            <w:pPr>
              <w:spacing w:before="40" w:after="4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个人职业分布</w:t>
            </w:r>
          </w:p>
        </w:tc>
        <w:tc>
          <w:tcPr>
            <w:tcW w:w="1071" w:type="pct"/>
            <w:gridSpan w:val="2"/>
            <w:vAlign w:val="center"/>
          </w:tcPr>
          <w:p w:rsidR="00CE1FDA" w:rsidRDefault="00CE1FDA" w:rsidP="00AC01AA">
            <w:pPr>
              <w:spacing w:before="40" w:after="4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合同工</w:t>
            </w:r>
          </w:p>
        </w:tc>
      </w:tr>
      <w:tr w:rsidR="00CE1FDA">
        <w:tblPrEx>
          <w:tblCellMar>
            <w:top w:w="0" w:type="dxa"/>
            <w:left w:w="0" w:type="dxa"/>
            <w:bottom w:w="0" w:type="dxa"/>
            <w:right w:w="0" w:type="dxa"/>
          </w:tblCellMar>
        </w:tblPrEx>
        <w:trPr>
          <w:cantSplit/>
        </w:trPr>
        <w:tc>
          <w:tcPr>
            <w:tcW w:w="1463" w:type="pct"/>
            <w:vMerge/>
            <w:vAlign w:val="center"/>
          </w:tcPr>
          <w:p w:rsidR="00CE1FDA" w:rsidRDefault="00CE1FDA" w:rsidP="00AC01AA">
            <w:pPr>
              <w:spacing w:before="40" w:after="40" w:line="300" w:lineRule="exact"/>
              <w:ind w:leftChars="50" w:left="31680" w:rightChars="50" w:right="31680"/>
              <w:rPr>
                <w:rFonts w:ascii="SimHei" w:eastAsia="SimHei" w:hint="eastAsia"/>
                <w:color w:val="FF0000"/>
                <w:sz w:val="18"/>
              </w:rPr>
            </w:pPr>
          </w:p>
        </w:tc>
        <w:tc>
          <w:tcPr>
            <w:tcW w:w="616" w:type="pct"/>
            <w:vMerge w:val="restart"/>
            <w:vAlign w:val="center"/>
          </w:tcPr>
          <w:p w:rsidR="00CE1FDA" w:rsidRDefault="00CE1FDA" w:rsidP="00AC01AA">
            <w:pPr>
              <w:spacing w:before="40" w:after="4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1994年</w:t>
            </w:r>
          </w:p>
        </w:tc>
        <w:tc>
          <w:tcPr>
            <w:tcW w:w="617" w:type="pct"/>
            <w:vMerge w:val="restart"/>
            <w:vAlign w:val="center"/>
          </w:tcPr>
          <w:p w:rsidR="00CE1FDA" w:rsidRDefault="00CE1FDA" w:rsidP="00AC01AA">
            <w:pPr>
              <w:spacing w:before="40" w:after="4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1999年</w:t>
            </w:r>
          </w:p>
        </w:tc>
        <w:tc>
          <w:tcPr>
            <w:tcW w:w="617" w:type="pct"/>
            <w:vMerge w:val="restart"/>
            <w:vAlign w:val="center"/>
          </w:tcPr>
          <w:p w:rsidR="00CE1FDA" w:rsidRDefault="00CE1FDA" w:rsidP="00AC01AA">
            <w:pPr>
              <w:spacing w:before="40" w:after="4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2001年</w:t>
            </w:r>
          </w:p>
        </w:tc>
        <w:tc>
          <w:tcPr>
            <w:tcW w:w="617" w:type="pct"/>
            <w:vMerge w:val="restart"/>
            <w:vAlign w:val="center"/>
          </w:tcPr>
          <w:p w:rsidR="00CE1FDA" w:rsidRDefault="00CE1FDA" w:rsidP="00AC01AA">
            <w:pPr>
              <w:spacing w:before="40" w:after="4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2003年</w:t>
            </w:r>
          </w:p>
        </w:tc>
        <w:tc>
          <w:tcPr>
            <w:tcW w:w="547" w:type="pct"/>
            <w:vAlign w:val="center"/>
          </w:tcPr>
          <w:p w:rsidR="00CE1FDA" w:rsidRDefault="00CE1FDA" w:rsidP="00AC01AA">
            <w:pPr>
              <w:spacing w:before="40" w:after="4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w:t>
            </w:r>
          </w:p>
        </w:tc>
        <w:tc>
          <w:tcPr>
            <w:tcW w:w="524" w:type="pct"/>
            <w:vAlign w:val="center"/>
          </w:tcPr>
          <w:p w:rsidR="00CE1FDA" w:rsidRDefault="00CE1FDA" w:rsidP="00AC01AA">
            <w:pPr>
              <w:spacing w:before="40" w:after="4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w:t>
            </w:r>
          </w:p>
        </w:tc>
      </w:tr>
      <w:tr w:rsidR="00CE1FDA">
        <w:tblPrEx>
          <w:tblCellMar>
            <w:top w:w="0" w:type="dxa"/>
            <w:left w:w="0" w:type="dxa"/>
            <w:bottom w:w="0" w:type="dxa"/>
            <w:right w:w="0" w:type="dxa"/>
          </w:tblCellMar>
        </w:tblPrEx>
        <w:trPr>
          <w:cantSplit/>
        </w:trPr>
        <w:tc>
          <w:tcPr>
            <w:tcW w:w="1463" w:type="pct"/>
            <w:vMerge/>
            <w:vAlign w:val="center"/>
          </w:tcPr>
          <w:p w:rsidR="00CE1FDA" w:rsidRDefault="00CE1FDA" w:rsidP="00AC01AA">
            <w:pPr>
              <w:spacing w:before="40" w:after="40" w:line="300" w:lineRule="exact"/>
              <w:ind w:leftChars="50" w:left="31680" w:rightChars="50" w:right="31680"/>
              <w:rPr>
                <w:rFonts w:ascii="SimHei" w:eastAsia="SimHei" w:hint="eastAsia"/>
                <w:color w:val="FF0000"/>
                <w:sz w:val="18"/>
              </w:rPr>
            </w:pPr>
          </w:p>
        </w:tc>
        <w:tc>
          <w:tcPr>
            <w:tcW w:w="616" w:type="pct"/>
            <w:vMerge/>
            <w:vAlign w:val="center"/>
          </w:tcPr>
          <w:p w:rsidR="00CE1FDA" w:rsidRDefault="00CE1FDA" w:rsidP="00AC01AA">
            <w:pPr>
              <w:spacing w:before="40" w:after="40" w:line="300" w:lineRule="exact"/>
              <w:ind w:leftChars="50" w:left="31680" w:rightChars="50" w:right="31680"/>
              <w:jc w:val="center"/>
              <w:rPr>
                <w:rFonts w:ascii="SimHei" w:eastAsia="SimHei" w:hint="eastAsia"/>
                <w:color w:val="FF0000"/>
                <w:sz w:val="18"/>
              </w:rPr>
            </w:pPr>
          </w:p>
        </w:tc>
        <w:tc>
          <w:tcPr>
            <w:tcW w:w="617" w:type="pct"/>
            <w:vMerge/>
            <w:vAlign w:val="center"/>
          </w:tcPr>
          <w:p w:rsidR="00CE1FDA" w:rsidRDefault="00CE1FDA" w:rsidP="00AC01AA">
            <w:pPr>
              <w:spacing w:before="40" w:after="40" w:line="300" w:lineRule="exact"/>
              <w:ind w:leftChars="50" w:left="31680" w:rightChars="50" w:right="31680"/>
              <w:jc w:val="center"/>
              <w:rPr>
                <w:rFonts w:ascii="SimHei" w:eastAsia="SimHei" w:hint="eastAsia"/>
                <w:color w:val="FF0000"/>
                <w:sz w:val="18"/>
              </w:rPr>
            </w:pPr>
          </w:p>
        </w:tc>
        <w:tc>
          <w:tcPr>
            <w:tcW w:w="617" w:type="pct"/>
            <w:vMerge/>
            <w:vAlign w:val="center"/>
          </w:tcPr>
          <w:p w:rsidR="00CE1FDA" w:rsidRDefault="00CE1FDA" w:rsidP="00AC01AA">
            <w:pPr>
              <w:spacing w:before="40" w:after="40" w:line="300" w:lineRule="exact"/>
              <w:ind w:leftChars="50" w:left="31680" w:rightChars="50" w:right="31680"/>
              <w:jc w:val="center"/>
              <w:rPr>
                <w:rFonts w:ascii="SimHei" w:eastAsia="SimHei" w:hint="eastAsia"/>
                <w:color w:val="FF0000"/>
                <w:sz w:val="18"/>
              </w:rPr>
            </w:pPr>
          </w:p>
        </w:tc>
        <w:tc>
          <w:tcPr>
            <w:tcW w:w="617" w:type="pct"/>
            <w:vMerge/>
            <w:vAlign w:val="center"/>
          </w:tcPr>
          <w:p w:rsidR="00CE1FDA" w:rsidRDefault="00CE1FDA" w:rsidP="00AC01AA">
            <w:pPr>
              <w:spacing w:before="40" w:after="40" w:line="300" w:lineRule="exact"/>
              <w:ind w:leftChars="50" w:left="31680" w:rightChars="50" w:right="31680"/>
              <w:jc w:val="center"/>
              <w:rPr>
                <w:rFonts w:ascii="SimHei" w:eastAsia="SimHei" w:hint="eastAsia"/>
                <w:color w:val="FF0000"/>
                <w:sz w:val="18"/>
              </w:rPr>
            </w:pPr>
          </w:p>
        </w:tc>
        <w:tc>
          <w:tcPr>
            <w:tcW w:w="1071" w:type="pct"/>
            <w:gridSpan w:val="2"/>
            <w:vAlign w:val="center"/>
          </w:tcPr>
          <w:p w:rsidR="00CE1FDA" w:rsidRDefault="00CE1FDA" w:rsidP="00AC01AA">
            <w:pPr>
              <w:spacing w:before="40" w:after="4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分布</w:t>
            </w:r>
          </w:p>
        </w:tc>
      </w:tr>
      <w:tr w:rsidR="00CE1FDA">
        <w:tblPrEx>
          <w:tblCellMar>
            <w:top w:w="0" w:type="dxa"/>
            <w:left w:w="0" w:type="dxa"/>
            <w:bottom w:w="0" w:type="dxa"/>
            <w:right w:w="0" w:type="dxa"/>
          </w:tblCellMar>
        </w:tblPrEx>
        <w:tc>
          <w:tcPr>
            <w:tcW w:w="1463" w:type="pct"/>
          </w:tcPr>
          <w:p w:rsidR="00CE1FDA" w:rsidRDefault="00CE1FDA" w:rsidP="00AC01AA">
            <w:pPr>
              <w:spacing w:before="40" w:after="40" w:line="300" w:lineRule="exact"/>
              <w:ind w:leftChars="50" w:left="31680" w:rightChars="50" w:right="31680"/>
              <w:rPr>
                <w:rFonts w:hint="eastAsia"/>
                <w:sz w:val="18"/>
              </w:rPr>
            </w:pPr>
            <w:r>
              <w:rPr>
                <w:rFonts w:hint="eastAsia"/>
                <w:sz w:val="18"/>
              </w:rPr>
              <w:t>完全分离（</w:t>
            </w:r>
            <w:r>
              <w:rPr>
                <w:rFonts w:hint="eastAsia"/>
                <w:sz w:val="18"/>
              </w:rPr>
              <w:t>90-100%</w:t>
            </w:r>
            <w:r>
              <w:rPr>
                <w:rFonts w:hint="eastAsia"/>
                <w:sz w:val="18"/>
              </w:rPr>
              <w:t>妇女）</w:t>
            </w:r>
          </w:p>
        </w:tc>
        <w:tc>
          <w:tcPr>
            <w:tcW w:w="616"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12</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11</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10.5</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10.8</w:t>
            </w:r>
          </w:p>
        </w:tc>
        <w:tc>
          <w:tcPr>
            <w:tcW w:w="54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1.4</w:t>
            </w:r>
          </w:p>
        </w:tc>
        <w:tc>
          <w:tcPr>
            <w:tcW w:w="524"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34.8</w:t>
            </w:r>
          </w:p>
        </w:tc>
      </w:tr>
      <w:tr w:rsidR="00CE1FDA">
        <w:tblPrEx>
          <w:tblCellMar>
            <w:top w:w="0" w:type="dxa"/>
            <w:left w:w="0" w:type="dxa"/>
            <w:bottom w:w="0" w:type="dxa"/>
            <w:right w:w="0" w:type="dxa"/>
          </w:tblCellMar>
        </w:tblPrEx>
        <w:tc>
          <w:tcPr>
            <w:tcW w:w="1463" w:type="pct"/>
          </w:tcPr>
          <w:p w:rsidR="00CE1FDA" w:rsidRDefault="00CE1FDA" w:rsidP="00AC01AA">
            <w:pPr>
              <w:spacing w:before="40" w:after="40" w:line="300" w:lineRule="exact"/>
              <w:ind w:leftChars="50" w:left="31680" w:rightChars="50" w:right="31680"/>
              <w:rPr>
                <w:rFonts w:hint="eastAsia"/>
                <w:sz w:val="18"/>
              </w:rPr>
            </w:pPr>
            <w:r>
              <w:rPr>
                <w:rFonts w:hint="eastAsia"/>
                <w:sz w:val="18"/>
              </w:rPr>
              <w:t>高度分离（</w:t>
            </w:r>
            <w:r>
              <w:rPr>
                <w:rFonts w:hint="eastAsia"/>
                <w:sz w:val="18"/>
              </w:rPr>
              <w:t>60-89</w:t>
            </w:r>
            <w:r>
              <w:rPr>
                <w:rFonts w:hint="eastAsia"/>
                <w:sz w:val="18"/>
              </w:rPr>
              <w:t>％妇女）</w:t>
            </w:r>
          </w:p>
        </w:tc>
        <w:tc>
          <w:tcPr>
            <w:tcW w:w="616"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19</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19</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19.8</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19.6</w:t>
            </w:r>
          </w:p>
        </w:tc>
        <w:tc>
          <w:tcPr>
            <w:tcW w:w="54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11.5</w:t>
            </w:r>
          </w:p>
        </w:tc>
        <w:tc>
          <w:tcPr>
            <w:tcW w:w="524"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38.7</w:t>
            </w:r>
          </w:p>
        </w:tc>
      </w:tr>
      <w:tr w:rsidR="00CE1FDA">
        <w:tblPrEx>
          <w:tblCellMar>
            <w:top w:w="0" w:type="dxa"/>
            <w:left w:w="0" w:type="dxa"/>
            <w:bottom w:w="0" w:type="dxa"/>
            <w:right w:w="0" w:type="dxa"/>
          </w:tblCellMar>
        </w:tblPrEx>
        <w:tc>
          <w:tcPr>
            <w:tcW w:w="1463" w:type="pct"/>
          </w:tcPr>
          <w:p w:rsidR="00CE1FDA" w:rsidRDefault="00CE1FDA" w:rsidP="00AC01AA">
            <w:pPr>
              <w:spacing w:before="40" w:after="40" w:line="300" w:lineRule="exact"/>
              <w:ind w:leftChars="50" w:left="31680" w:rightChars="50" w:right="31680"/>
              <w:rPr>
                <w:rFonts w:hint="eastAsia"/>
                <w:sz w:val="18"/>
              </w:rPr>
            </w:pPr>
            <w:r>
              <w:rPr>
                <w:rFonts w:hint="eastAsia"/>
                <w:sz w:val="18"/>
              </w:rPr>
              <w:t>平衡（</w:t>
            </w:r>
            <w:r>
              <w:rPr>
                <w:rFonts w:hint="eastAsia"/>
                <w:sz w:val="18"/>
              </w:rPr>
              <w:t>40-59%</w:t>
            </w:r>
            <w:r>
              <w:rPr>
                <w:rFonts w:hint="eastAsia"/>
                <w:sz w:val="18"/>
              </w:rPr>
              <w:t>妇女）</w:t>
            </w:r>
          </w:p>
        </w:tc>
        <w:tc>
          <w:tcPr>
            <w:tcW w:w="616"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16</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16</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15.3</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16.4</w:t>
            </w:r>
          </w:p>
        </w:tc>
        <w:tc>
          <w:tcPr>
            <w:tcW w:w="54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12.6</w:t>
            </w:r>
          </w:p>
        </w:tc>
        <w:tc>
          <w:tcPr>
            <w:tcW w:w="524"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14.7</w:t>
            </w:r>
          </w:p>
        </w:tc>
      </w:tr>
      <w:tr w:rsidR="00CE1FDA">
        <w:tblPrEx>
          <w:tblCellMar>
            <w:top w:w="0" w:type="dxa"/>
            <w:left w:w="0" w:type="dxa"/>
            <w:bottom w:w="0" w:type="dxa"/>
            <w:right w:w="0" w:type="dxa"/>
          </w:tblCellMar>
        </w:tblPrEx>
        <w:tc>
          <w:tcPr>
            <w:tcW w:w="1463" w:type="pct"/>
          </w:tcPr>
          <w:p w:rsidR="00CE1FDA" w:rsidRDefault="00CE1FDA" w:rsidP="00AC01AA">
            <w:pPr>
              <w:spacing w:before="40" w:after="40" w:line="300" w:lineRule="exact"/>
              <w:ind w:leftChars="50" w:left="31680" w:rightChars="50" w:right="31680"/>
              <w:rPr>
                <w:rFonts w:hint="eastAsia"/>
                <w:sz w:val="18"/>
              </w:rPr>
            </w:pPr>
            <w:r>
              <w:rPr>
                <w:rFonts w:hint="eastAsia"/>
                <w:sz w:val="18"/>
              </w:rPr>
              <w:t>高度分离（</w:t>
            </w:r>
            <w:r>
              <w:rPr>
                <w:rFonts w:hint="eastAsia"/>
                <w:sz w:val="18"/>
              </w:rPr>
              <w:t>60-89%</w:t>
            </w:r>
            <w:r>
              <w:rPr>
                <w:rFonts w:hint="eastAsia"/>
                <w:sz w:val="18"/>
              </w:rPr>
              <w:t>男子）</w:t>
            </w:r>
          </w:p>
        </w:tc>
        <w:tc>
          <w:tcPr>
            <w:tcW w:w="616"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26</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27</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27.4</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26.0</w:t>
            </w:r>
          </w:p>
        </w:tc>
        <w:tc>
          <w:tcPr>
            <w:tcW w:w="54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30.5</w:t>
            </w:r>
          </w:p>
        </w:tc>
        <w:tc>
          <w:tcPr>
            <w:tcW w:w="524"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10.6</w:t>
            </w:r>
          </w:p>
        </w:tc>
      </w:tr>
      <w:tr w:rsidR="00CE1FDA">
        <w:tblPrEx>
          <w:tblCellMar>
            <w:top w:w="0" w:type="dxa"/>
            <w:left w:w="0" w:type="dxa"/>
            <w:bottom w:w="0" w:type="dxa"/>
            <w:right w:w="0" w:type="dxa"/>
          </w:tblCellMar>
        </w:tblPrEx>
        <w:tc>
          <w:tcPr>
            <w:tcW w:w="1463" w:type="pct"/>
          </w:tcPr>
          <w:p w:rsidR="00CE1FDA" w:rsidRDefault="00CE1FDA" w:rsidP="00AC01AA">
            <w:pPr>
              <w:spacing w:before="40" w:after="40" w:line="300" w:lineRule="exact"/>
              <w:ind w:leftChars="50" w:left="31680" w:rightChars="50" w:right="31680"/>
              <w:rPr>
                <w:rFonts w:hint="eastAsia"/>
                <w:sz w:val="18"/>
              </w:rPr>
            </w:pPr>
            <w:r>
              <w:rPr>
                <w:rFonts w:hint="eastAsia"/>
                <w:sz w:val="18"/>
              </w:rPr>
              <w:t>完全分离（</w:t>
            </w:r>
            <w:r>
              <w:rPr>
                <w:rFonts w:hint="eastAsia"/>
                <w:sz w:val="18"/>
              </w:rPr>
              <w:t>90-100%</w:t>
            </w:r>
            <w:r>
              <w:rPr>
                <w:rFonts w:hint="eastAsia"/>
                <w:sz w:val="18"/>
              </w:rPr>
              <w:t>男子）</w:t>
            </w:r>
          </w:p>
        </w:tc>
        <w:tc>
          <w:tcPr>
            <w:tcW w:w="616"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27</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27</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26.9</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26.0</w:t>
            </w:r>
          </w:p>
        </w:tc>
        <w:tc>
          <w:tcPr>
            <w:tcW w:w="54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43.9</w:t>
            </w:r>
          </w:p>
        </w:tc>
        <w:tc>
          <w:tcPr>
            <w:tcW w:w="524"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1.1</w:t>
            </w:r>
          </w:p>
        </w:tc>
      </w:tr>
      <w:tr w:rsidR="00CE1FDA">
        <w:tblPrEx>
          <w:tblCellMar>
            <w:top w:w="0" w:type="dxa"/>
            <w:left w:w="0" w:type="dxa"/>
            <w:bottom w:w="0" w:type="dxa"/>
            <w:right w:w="0" w:type="dxa"/>
          </w:tblCellMar>
        </w:tblPrEx>
        <w:tc>
          <w:tcPr>
            <w:tcW w:w="1463" w:type="pct"/>
          </w:tcPr>
          <w:p w:rsidR="00CE1FDA" w:rsidRDefault="00CE1FDA" w:rsidP="00AC01AA">
            <w:pPr>
              <w:spacing w:before="40" w:after="40" w:line="300" w:lineRule="exact"/>
              <w:ind w:leftChars="50" w:left="31680" w:rightChars="50" w:right="31680"/>
              <w:rPr>
                <w:rFonts w:hint="eastAsia"/>
                <w:sz w:val="18"/>
              </w:rPr>
            </w:pPr>
            <w:r>
              <w:rPr>
                <w:rFonts w:hint="eastAsia"/>
                <w:sz w:val="18"/>
              </w:rPr>
              <w:t>共计</w:t>
            </w:r>
          </w:p>
        </w:tc>
        <w:tc>
          <w:tcPr>
            <w:tcW w:w="616"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100.0</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100.0</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100.0</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100.0</w:t>
            </w:r>
          </w:p>
        </w:tc>
        <w:tc>
          <w:tcPr>
            <w:tcW w:w="54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100.0</w:t>
            </w:r>
          </w:p>
        </w:tc>
        <w:tc>
          <w:tcPr>
            <w:tcW w:w="524"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100.0</w:t>
            </w:r>
          </w:p>
        </w:tc>
      </w:tr>
      <w:tr w:rsidR="00CE1FDA">
        <w:tblPrEx>
          <w:tblCellMar>
            <w:top w:w="0" w:type="dxa"/>
            <w:left w:w="0" w:type="dxa"/>
            <w:bottom w:w="0" w:type="dxa"/>
            <w:right w:w="0" w:type="dxa"/>
          </w:tblCellMar>
        </w:tblPrEx>
        <w:tc>
          <w:tcPr>
            <w:tcW w:w="1463" w:type="pct"/>
          </w:tcPr>
          <w:p w:rsidR="00CE1FDA" w:rsidRDefault="00CE1FDA" w:rsidP="00AC01AA">
            <w:pPr>
              <w:spacing w:before="40" w:after="40" w:line="300" w:lineRule="exact"/>
              <w:ind w:leftChars="50" w:left="31680" w:rightChars="50" w:right="31680"/>
              <w:rPr>
                <w:rFonts w:hint="eastAsia"/>
                <w:sz w:val="18"/>
              </w:rPr>
            </w:pPr>
            <w:r>
              <w:rPr>
                <w:rFonts w:hint="eastAsia"/>
                <w:sz w:val="18"/>
              </w:rPr>
              <w:t>职业数量</w:t>
            </w:r>
          </w:p>
        </w:tc>
        <w:tc>
          <w:tcPr>
            <w:tcW w:w="616"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617</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617</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620</w:t>
            </w:r>
          </w:p>
        </w:tc>
        <w:tc>
          <w:tcPr>
            <w:tcW w:w="617"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627</w:t>
            </w:r>
          </w:p>
        </w:tc>
        <w:tc>
          <w:tcPr>
            <w:tcW w:w="547" w:type="pct"/>
          </w:tcPr>
          <w:p w:rsidR="00CE1FDA" w:rsidRDefault="00CE1FDA" w:rsidP="00AC01AA">
            <w:pPr>
              <w:spacing w:before="40" w:after="40" w:line="300" w:lineRule="exact"/>
              <w:ind w:leftChars="50" w:left="31680" w:rightChars="50" w:right="31680"/>
              <w:jc w:val="center"/>
              <w:rPr>
                <w:rFonts w:hint="eastAsia"/>
                <w:sz w:val="18"/>
              </w:rPr>
            </w:pPr>
          </w:p>
        </w:tc>
        <w:tc>
          <w:tcPr>
            <w:tcW w:w="524" w:type="pct"/>
          </w:tcPr>
          <w:p w:rsidR="00CE1FDA" w:rsidRDefault="00CE1FDA" w:rsidP="00AC01AA">
            <w:pPr>
              <w:spacing w:before="40" w:after="40" w:line="300" w:lineRule="exact"/>
              <w:ind w:leftChars="50" w:left="31680" w:rightChars="50" w:right="31680"/>
              <w:jc w:val="center"/>
              <w:rPr>
                <w:rFonts w:hint="eastAsia"/>
                <w:sz w:val="18"/>
              </w:rPr>
            </w:pPr>
          </w:p>
        </w:tc>
      </w:tr>
    </w:tbl>
    <w:p w:rsidR="00CE1FDA" w:rsidRDefault="00CE1FDA">
      <w:pPr>
        <w:spacing w:after="240" w:line="360" w:lineRule="exact"/>
        <w:rPr>
          <w:rFonts w:hint="eastAsia"/>
          <w:sz w:val="18"/>
        </w:rPr>
      </w:pPr>
      <w:r>
        <w:rPr>
          <w:rFonts w:eastAsia="KaiTi_GB2312" w:hint="eastAsia"/>
          <w:color w:val="0000FF"/>
          <w:sz w:val="18"/>
        </w:rPr>
        <w:t>资料来源</w:t>
      </w:r>
      <w:r>
        <w:rPr>
          <w:rFonts w:hint="eastAsia"/>
          <w:sz w:val="18"/>
        </w:rPr>
        <w:t>：利用中央统计局劳工调查数据进行的估算。</w:t>
      </w:r>
    </w:p>
    <w:p w:rsidR="00CE1FDA" w:rsidRDefault="00CE1FDA">
      <w:pPr>
        <w:spacing w:after="240" w:line="360" w:lineRule="exact"/>
        <w:rPr>
          <w:rFonts w:eastAsia="KaiTi_GB2312" w:hint="eastAsia"/>
          <w:color w:val="0000FF"/>
        </w:rPr>
      </w:pPr>
      <w:r>
        <w:rPr>
          <w:rFonts w:eastAsia="KaiTi_GB2312" w:hint="eastAsia"/>
          <w:color w:val="0000FF"/>
        </w:rPr>
        <w:t>第</w:t>
      </w:r>
      <w:r>
        <w:rPr>
          <w:rFonts w:ascii="KaiTi_GB2312" w:eastAsia="KaiTi_GB2312" w:hint="eastAsia"/>
          <w:color w:val="0000FF"/>
        </w:rPr>
        <w:t>14</w:t>
      </w:r>
      <w:r>
        <w:rPr>
          <w:rFonts w:eastAsia="KaiTi_GB2312" w:hint="eastAsia"/>
          <w:color w:val="0000FF"/>
        </w:rPr>
        <w:t>条</w:t>
      </w:r>
    </w:p>
    <w:p w:rsidR="00CE1FDA" w:rsidRDefault="00CE1FDA">
      <w:pPr>
        <w:spacing w:after="240" w:line="360" w:lineRule="exact"/>
        <w:rPr>
          <w:rFonts w:ascii="SimHei" w:eastAsia="SimHei" w:hint="eastAsia"/>
          <w:color w:val="FF0000"/>
        </w:rPr>
      </w:pPr>
      <w:r>
        <w:rPr>
          <w:rFonts w:ascii="SimHei" w:eastAsia="SimHei" w:hint="eastAsia"/>
          <w:color w:val="FF0000"/>
        </w:rPr>
        <w:t>14.1. 按城市类别分列的妇女教育水平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65"/>
        <w:gridCol w:w="2465"/>
        <w:gridCol w:w="2465"/>
        <w:gridCol w:w="2465"/>
      </w:tblGrid>
      <w:tr w:rsidR="00CE1FDA">
        <w:tblPrEx>
          <w:tblCellMar>
            <w:top w:w="0" w:type="dxa"/>
            <w:left w:w="0" w:type="dxa"/>
            <w:bottom w:w="0" w:type="dxa"/>
            <w:right w:w="0" w:type="dxa"/>
          </w:tblCellMar>
        </w:tblPrEx>
        <w:tc>
          <w:tcPr>
            <w:tcW w:w="1250" w:type="pct"/>
          </w:tcPr>
          <w:p w:rsidR="00CE1FDA" w:rsidRDefault="00CE1FDA" w:rsidP="00AC01AA">
            <w:pPr>
              <w:spacing w:before="40" w:after="40" w:line="300" w:lineRule="exact"/>
              <w:ind w:leftChars="50" w:left="31680" w:rightChars="50" w:right="31680"/>
              <w:jc w:val="center"/>
              <w:rPr>
                <w:rFonts w:ascii="SimHei" w:eastAsia="SimHei" w:hint="eastAsia"/>
                <w:color w:val="FF0000"/>
                <w:sz w:val="18"/>
              </w:rPr>
            </w:pPr>
          </w:p>
        </w:tc>
        <w:tc>
          <w:tcPr>
            <w:tcW w:w="1250" w:type="pct"/>
          </w:tcPr>
          <w:p w:rsidR="00CE1FDA" w:rsidRDefault="00CE1FDA" w:rsidP="00AC01AA">
            <w:pPr>
              <w:spacing w:before="40" w:after="4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至少</w:t>
            </w:r>
            <w:r>
              <w:rPr>
                <w:rFonts w:ascii="SimHei" w:eastAsia="SimHei"/>
                <w:color w:val="FF0000"/>
                <w:sz w:val="18"/>
              </w:rPr>
              <w:t>15</w:t>
            </w:r>
            <w:r>
              <w:rPr>
                <w:rFonts w:ascii="SimHei" w:eastAsia="SimHei" w:hint="eastAsia"/>
                <w:color w:val="FF0000"/>
                <w:sz w:val="18"/>
              </w:rPr>
              <w:t>岁的妇女中完成小学教育的妇女 百分比</w:t>
            </w:r>
          </w:p>
        </w:tc>
        <w:tc>
          <w:tcPr>
            <w:tcW w:w="1250" w:type="pct"/>
          </w:tcPr>
          <w:p w:rsidR="00CE1FDA" w:rsidRDefault="00CE1FDA" w:rsidP="00AC01AA">
            <w:pPr>
              <w:spacing w:before="40" w:after="4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至少</w:t>
            </w:r>
            <w:r>
              <w:rPr>
                <w:rFonts w:ascii="SimHei" w:eastAsia="SimHei"/>
                <w:color w:val="FF0000"/>
                <w:sz w:val="18"/>
              </w:rPr>
              <w:t>18</w:t>
            </w:r>
            <w:r>
              <w:rPr>
                <w:rFonts w:ascii="SimHei" w:eastAsia="SimHei" w:hint="eastAsia"/>
                <w:color w:val="FF0000"/>
                <w:sz w:val="18"/>
              </w:rPr>
              <w:t>岁的妇女中普通中学教育文凭持有者 百分比</w:t>
            </w:r>
          </w:p>
        </w:tc>
        <w:tc>
          <w:tcPr>
            <w:tcW w:w="1250" w:type="pct"/>
          </w:tcPr>
          <w:p w:rsidR="00CE1FDA" w:rsidRDefault="00CE1FDA" w:rsidP="00AC01AA">
            <w:pPr>
              <w:spacing w:before="40" w:after="40" w:line="300" w:lineRule="exact"/>
              <w:ind w:leftChars="50" w:left="31680" w:rightChars="50" w:right="31680"/>
              <w:jc w:val="center"/>
              <w:rPr>
                <w:rFonts w:ascii="SimHei" w:eastAsia="SimHei" w:hint="eastAsia"/>
                <w:color w:val="FF0000"/>
                <w:sz w:val="18"/>
              </w:rPr>
            </w:pPr>
            <w:r>
              <w:rPr>
                <w:rFonts w:ascii="SimHei" w:eastAsia="SimHei" w:hint="eastAsia"/>
                <w:color w:val="FF0000"/>
                <w:sz w:val="18"/>
              </w:rPr>
              <w:t>至少</w:t>
            </w:r>
            <w:r>
              <w:rPr>
                <w:rFonts w:ascii="SimHei" w:eastAsia="SimHei"/>
                <w:color w:val="FF0000"/>
                <w:sz w:val="18"/>
              </w:rPr>
              <w:t>25</w:t>
            </w:r>
            <w:r>
              <w:rPr>
                <w:rFonts w:ascii="SimHei" w:eastAsia="SimHei" w:hint="eastAsia"/>
                <w:color w:val="FF0000"/>
                <w:sz w:val="18"/>
              </w:rPr>
              <w:t>岁的妇女中完成高等教育的妇女 百分比</w:t>
            </w:r>
          </w:p>
        </w:tc>
      </w:tr>
      <w:tr w:rsidR="00CE1FDA">
        <w:tblPrEx>
          <w:tblCellMar>
            <w:top w:w="0" w:type="dxa"/>
            <w:left w:w="0" w:type="dxa"/>
            <w:bottom w:w="0" w:type="dxa"/>
            <w:right w:w="0" w:type="dxa"/>
          </w:tblCellMar>
        </w:tblPrEx>
        <w:tc>
          <w:tcPr>
            <w:tcW w:w="1250" w:type="pct"/>
          </w:tcPr>
          <w:p w:rsidR="00CE1FDA" w:rsidRDefault="00CE1FDA" w:rsidP="00AC01AA">
            <w:pPr>
              <w:spacing w:before="40" w:after="40" w:line="300" w:lineRule="exact"/>
              <w:ind w:leftChars="50" w:left="31680" w:rightChars="50" w:right="31680"/>
              <w:rPr>
                <w:rFonts w:hint="eastAsia"/>
                <w:sz w:val="18"/>
              </w:rPr>
            </w:pPr>
            <w:r>
              <w:rPr>
                <w:rFonts w:hint="eastAsia"/>
                <w:sz w:val="18"/>
              </w:rPr>
              <w:t>布达佩斯</w:t>
            </w:r>
          </w:p>
        </w:tc>
        <w:tc>
          <w:tcPr>
            <w:tcW w:w="1250"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95</w:t>
            </w:r>
          </w:p>
        </w:tc>
        <w:tc>
          <w:tcPr>
            <w:tcW w:w="1250"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65</w:t>
            </w:r>
          </w:p>
        </w:tc>
        <w:tc>
          <w:tcPr>
            <w:tcW w:w="1250"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26</w:t>
            </w:r>
          </w:p>
        </w:tc>
      </w:tr>
      <w:tr w:rsidR="00CE1FDA">
        <w:tblPrEx>
          <w:tblCellMar>
            <w:top w:w="0" w:type="dxa"/>
            <w:left w:w="0" w:type="dxa"/>
            <w:bottom w:w="0" w:type="dxa"/>
            <w:right w:w="0" w:type="dxa"/>
          </w:tblCellMar>
        </w:tblPrEx>
        <w:tc>
          <w:tcPr>
            <w:tcW w:w="1250" w:type="pct"/>
          </w:tcPr>
          <w:p w:rsidR="00CE1FDA" w:rsidRDefault="00CE1FDA" w:rsidP="00AC01AA">
            <w:pPr>
              <w:spacing w:before="40" w:after="40" w:line="300" w:lineRule="exact"/>
              <w:ind w:leftChars="50" w:left="31680" w:rightChars="50" w:right="31680"/>
              <w:rPr>
                <w:rFonts w:hint="eastAsia"/>
                <w:sz w:val="18"/>
              </w:rPr>
            </w:pPr>
            <w:r>
              <w:rPr>
                <w:rFonts w:hint="eastAsia"/>
                <w:sz w:val="18"/>
              </w:rPr>
              <w:t>其他城镇</w:t>
            </w:r>
          </w:p>
        </w:tc>
        <w:tc>
          <w:tcPr>
            <w:tcW w:w="1250"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89</w:t>
            </w:r>
          </w:p>
        </w:tc>
        <w:tc>
          <w:tcPr>
            <w:tcW w:w="1250"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48</w:t>
            </w:r>
          </w:p>
        </w:tc>
        <w:tc>
          <w:tcPr>
            <w:tcW w:w="1250"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16</w:t>
            </w:r>
          </w:p>
        </w:tc>
      </w:tr>
      <w:tr w:rsidR="00CE1FDA">
        <w:tblPrEx>
          <w:tblCellMar>
            <w:top w:w="0" w:type="dxa"/>
            <w:left w:w="0" w:type="dxa"/>
            <w:bottom w:w="0" w:type="dxa"/>
            <w:right w:w="0" w:type="dxa"/>
          </w:tblCellMar>
        </w:tblPrEx>
        <w:tc>
          <w:tcPr>
            <w:tcW w:w="1250" w:type="pct"/>
          </w:tcPr>
          <w:p w:rsidR="00CE1FDA" w:rsidRDefault="00CE1FDA" w:rsidP="00AC01AA">
            <w:pPr>
              <w:spacing w:before="40" w:after="40" w:line="300" w:lineRule="exact"/>
              <w:ind w:leftChars="50" w:left="31680" w:rightChars="50" w:right="31680"/>
              <w:rPr>
                <w:rFonts w:hint="eastAsia"/>
                <w:sz w:val="18"/>
              </w:rPr>
            </w:pPr>
            <w:r>
              <w:rPr>
                <w:rFonts w:hint="eastAsia"/>
                <w:sz w:val="18"/>
              </w:rPr>
              <w:t>城镇。共计</w:t>
            </w:r>
          </w:p>
        </w:tc>
        <w:tc>
          <w:tcPr>
            <w:tcW w:w="1250"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92</w:t>
            </w:r>
          </w:p>
        </w:tc>
        <w:tc>
          <w:tcPr>
            <w:tcW w:w="1250"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52</w:t>
            </w:r>
          </w:p>
        </w:tc>
        <w:tc>
          <w:tcPr>
            <w:tcW w:w="1250"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18</w:t>
            </w:r>
          </w:p>
        </w:tc>
      </w:tr>
      <w:tr w:rsidR="00CE1FDA">
        <w:tblPrEx>
          <w:tblCellMar>
            <w:top w:w="0" w:type="dxa"/>
            <w:left w:w="0" w:type="dxa"/>
            <w:bottom w:w="0" w:type="dxa"/>
            <w:right w:w="0" w:type="dxa"/>
          </w:tblCellMar>
        </w:tblPrEx>
        <w:tc>
          <w:tcPr>
            <w:tcW w:w="1250" w:type="pct"/>
          </w:tcPr>
          <w:p w:rsidR="00CE1FDA" w:rsidRDefault="00CE1FDA" w:rsidP="00AC01AA">
            <w:pPr>
              <w:spacing w:before="40" w:after="40" w:line="300" w:lineRule="exact"/>
              <w:ind w:leftChars="50" w:left="31680" w:rightChars="50" w:right="31680"/>
              <w:rPr>
                <w:rFonts w:hint="eastAsia"/>
                <w:sz w:val="18"/>
              </w:rPr>
            </w:pPr>
            <w:r>
              <w:rPr>
                <w:rFonts w:hint="eastAsia"/>
                <w:sz w:val="18"/>
              </w:rPr>
              <w:t>乡村</w:t>
            </w:r>
          </w:p>
        </w:tc>
        <w:tc>
          <w:tcPr>
            <w:tcW w:w="1250"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85</w:t>
            </w:r>
          </w:p>
        </w:tc>
        <w:tc>
          <w:tcPr>
            <w:tcW w:w="1250"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30</w:t>
            </w:r>
          </w:p>
        </w:tc>
        <w:tc>
          <w:tcPr>
            <w:tcW w:w="1250" w:type="pct"/>
          </w:tcPr>
          <w:p w:rsidR="00CE1FDA" w:rsidRDefault="00CE1FDA" w:rsidP="00AC01AA">
            <w:pPr>
              <w:spacing w:before="40" w:after="40" w:line="300" w:lineRule="exact"/>
              <w:ind w:leftChars="50" w:left="31680" w:rightChars="50" w:right="31680"/>
              <w:jc w:val="center"/>
              <w:rPr>
                <w:rFonts w:hint="eastAsia"/>
                <w:sz w:val="18"/>
              </w:rPr>
            </w:pPr>
            <w:r>
              <w:rPr>
                <w:rFonts w:hint="eastAsia"/>
                <w:sz w:val="18"/>
              </w:rPr>
              <w:t>7</w:t>
            </w:r>
          </w:p>
        </w:tc>
      </w:tr>
    </w:tbl>
    <w:p w:rsidR="00CE1FDA" w:rsidRDefault="00CE1FDA">
      <w:pPr>
        <w:spacing w:after="240" w:line="360" w:lineRule="exact"/>
        <w:rPr>
          <w:rFonts w:hint="eastAsia"/>
          <w:sz w:val="18"/>
        </w:rPr>
      </w:pPr>
      <w:r>
        <w:rPr>
          <w:rFonts w:hint="eastAsia"/>
          <w:sz w:val="18"/>
        </w:rPr>
        <w:t>2005</w:t>
      </w:r>
      <w:r>
        <w:rPr>
          <w:rFonts w:hint="eastAsia"/>
          <w:sz w:val="18"/>
        </w:rPr>
        <w:t>年微型普查。</w:t>
      </w:r>
    </w:p>
    <w:p w:rsidR="00CE1FDA" w:rsidRDefault="00CE1FDA">
      <w:pPr>
        <w:spacing w:after="240" w:line="360" w:lineRule="exact"/>
        <w:rPr>
          <w:rFonts w:ascii="SimHei" w:eastAsia="SimHei" w:hint="eastAsia"/>
          <w:color w:val="FF0000"/>
        </w:rPr>
      </w:pPr>
      <w:r>
        <w:rPr>
          <w:rFonts w:ascii="SimHei" w:eastAsia="SimHei" w:hint="eastAsia"/>
          <w:color w:val="FF0000"/>
        </w:rPr>
        <w:t>14.2. 按城市类别分列的每</w:t>
      </w:r>
      <w:r>
        <w:rPr>
          <w:rFonts w:ascii="SimHei" w:eastAsia="SimHei"/>
          <w:color w:val="FF0000"/>
        </w:rPr>
        <w:t>100</w:t>
      </w:r>
      <w:r>
        <w:rPr>
          <w:rFonts w:ascii="SimHei" w:eastAsia="SimHei" w:hint="eastAsia"/>
          <w:color w:val="FF0000"/>
        </w:rPr>
        <w:t>名受雇妇女在下列分类中的人数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65"/>
        <w:gridCol w:w="2465"/>
        <w:gridCol w:w="2465"/>
        <w:gridCol w:w="2465"/>
      </w:tblGrid>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eastAsia="SimHei" w:hint="eastAsia"/>
                <w:color w:val="FF0000"/>
                <w:sz w:val="18"/>
              </w:rPr>
            </w:pPr>
          </w:p>
        </w:tc>
        <w:tc>
          <w:tcPr>
            <w:tcW w:w="1250" w:type="pct"/>
          </w:tcPr>
          <w:p w:rsidR="00CE1FDA" w:rsidRDefault="00CE1FDA" w:rsidP="00AC01AA">
            <w:pPr>
              <w:spacing w:before="60" w:after="60" w:line="320" w:lineRule="exact"/>
              <w:ind w:leftChars="50" w:left="31680" w:rightChars="50" w:right="31680"/>
              <w:jc w:val="center"/>
              <w:rPr>
                <w:rFonts w:eastAsia="SimHei" w:hint="eastAsia"/>
                <w:color w:val="FF0000"/>
                <w:sz w:val="18"/>
              </w:rPr>
            </w:pPr>
            <w:r>
              <w:rPr>
                <w:rFonts w:eastAsia="SimHei" w:hint="eastAsia"/>
                <w:color w:val="FF0000"/>
                <w:sz w:val="18"/>
              </w:rPr>
              <w:t>失业妇女人数</w:t>
            </w:r>
          </w:p>
        </w:tc>
        <w:tc>
          <w:tcPr>
            <w:tcW w:w="1250" w:type="pct"/>
          </w:tcPr>
          <w:p w:rsidR="00CE1FDA" w:rsidRDefault="00CE1FDA" w:rsidP="00AC01AA">
            <w:pPr>
              <w:spacing w:before="60" w:after="60" w:line="320" w:lineRule="exact"/>
              <w:ind w:leftChars="50" w:left="31680" w:rightChars="50" w:right="31680"/>
              <w:jc w:val="center"/>
              <w:rPr>
                <w:rFonts w:eastAsia="SimHei" w:hint="eastAsia"/>
                <w:color w:val="FF0000"/>
                <w:sz w:val="18"/>
              </w:rPr>
            </w:pPr>
            <w:r>
              <w:rPr>
                <w:rFonts w:eastAsia="SimHei" w:hint="eastAsia"/>
                <w:color w:val="FF0000"/>
                <w:sz w:val="18"/>
              </w:rPr>
              <w:t>就业年龄妇女未就业的人数</w:t>
            </w:r>
          </w:p>
        </w:tc>
        <w:tc>
          <w:tcPr>
            <w:tcW w:w="1250" w:type="pct"/>
          </w:tcPr>
          <w:p w:rsidR="00CE1FDA" w:rsidRDefault="00CE1FDA" w:rsidP="00AC01AA">
            <w:pPr>
              <w:spacing w:before="60" w:after="60" w:line="320" w:lineRule="exact"/>
              <w:ind w:leftChars="50" w:left="31680" w:rightChars="50" w:right="31680"/>
              <w:jc w:val="center"/>
              <w:rPr>
                <w:rFonts w:eastAsia="SimHei" w:hint="eastAsia"/>
                <w:color w:val="FF0000"/>
                <w:sz w:val="18"/>
              </w:rPr>
            </w:pP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城镇</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100</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70</w:t>
            </w: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乡村</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16</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136</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99</w:t>
            </w: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共计</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12</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110</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78</w:t>
            </w:r>
          </w:p>
        </w:tc>
      </w:tr>
    </w:tbl>
    <w:p w:rsidR="00CE1FDA" w:rsidRDefault="00CE1FDA">
      <w:pPr>
        <w:spacing w:after="240" w:line="360" w:lineRule="exact"/>
        <w:rPr>
          <w:rFonts w:hint="eastAsia"/>
          <w:sz w:val="18"/>
        </w:rPr>
      </w:pPr>
      <w:r>
        <w:rPr>
          <w:rFonts w:hint="eastAsia"/>
          <w:sz w:val="18"/>
        </w:rPr>
        <w:t>2005</w:t>
      </w:r>
      <w:r>
        <w:rPr>
          <w:rFonts w:hint="eastAsia"/>
          <w:sz w:val="18"/>
        </w:rPr>
        <w:t>年微型普查。</w:t>
      </w:r>
    </w:p>
    <w:p w:rsidR="00CE1FDA" w:rsidRDefault="00CE1FDA">
      <w:pPr>
        <w:spacing w:after="240" w:line="360" w:lineRule="exact"/>
        <w:rPr>
          <w:rFonts w:ascii="SimHei" w:eastAsia="SimHei" w:hint="eastAsia"/>
          <w:color w:val="FF0000"/>
        </w:rPr>
      </w:pPr>
      <w:r>
        <w:rPr>
          <w:rFonts w:ascii="SimHei" w:eastAsia="SimHei" w:hint="eastAsia"/>
          <w:color w:val="FF0000"/>
        </w:rPr>
        <w:t>14.3. 按种植目的和性别分列的农民分布情况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24"/>
        <w:gridCol w:w="1834"/>
        <w:gridCol w:w="1834"/>
        <w:gridCol w:w="1834"/>
        <w:gridCol w:w="1834"/>
      </w:tblGrid>
      <w:tr w:rsidR="00CE1FDA">
        <w:tblPrEx>
          <w:tblCellMar>
            <w:top w:w="0" w:type="dxa"/>
            <w:left w:w="0" w:type="dxa"/>
            <w:bottom w:w="0" w:type="dxa"/>
            <w:right w:w="0" w:type="dxa"/>
          </w:tblCellMar>
        </w:tblPrEx>
        <w:tc>
          <w:tcPr>
            <w:tcW w:w="1280" w:type="pct"/>
          </w:tcPr>
          <w:p w:rsidR="00CE1FDA" w:rsidRDefault="00CE1FDA" w:rsidP="00AC01AA">
            <w:pPr>
              <w:spacing w:before="60" w:after="60" w:line="320" w:lineRule="exact"/>
              <w:ind w:leftChars="50" w:left="31680" w:rightChars="50" w:right="31680"/>
              <w:rPr>
                <w:rFonts w:ascii="SimHei" w:eastAsia="SimHei" w:hint="eastAsia"/>
                <w:color w:val="FF0000"/>
                <w:sz w:val="18"/>
              </w:rPr>
            </w:pPr>
            <w:r>
              <w:rPr>
                <w:rFonts w:ascii="SimHei" w:eastAsia="SimHei" w:hint="eastAsia"/>
                <w:color w:val="FF0000"/>
                <w:sz w:val="18"/>
              </w:rPr>
              <w:t>种植目的</w:t>
            </w:r>
          </w:p>
        </w:tc>
        <w:tc>
          <w:tcPr>
            <w:tcW w:w="930"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农民人数（1 000人）</w:t>
            </w:r>
          </w:p>
        </w:tc>
        <w:tc>
          <w:tcPr>
            <w:tcW w:w="930"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分布百分比</w:t>
            </w:r>
          </w:p>
        </w:tc>
        <w:tc>
          <w:tcPr>
            <w:tcW w:w="930"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男农民百分比</w:t>
            </w:r>
          </w:p>
        </w:tc>
        <w:tc>
          <w:tcPr>
            <w:tcW w:w="930" w:type="pct"/>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女农民百分比</w:t>
            </w:r>
          </w:p>
        </w:tc>
      </w:tr>
      <w:tr w:rsidR="00CE1FDA">
        <w:tblPrEx>
          <w:tblCellMar>
            <w:top w:w="0" w:type="dxa"/>
            <w:left w:w="0" w:type="dxa"/>
            <w:bottom w:w="0" w:type="dxa"/>
            <w:right w:w="0" w:type="dxa"/>
          </w:tblCellMar>
        </w:tblPrEx>
        <w:tc>
          <w:tcPr>
            <w:tcW w:w="128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为自己消费而生产</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576</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60.3</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73</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27</w:t>
            </w:r>
          </w:p>
        </w:tc>
      </w:tr>
      <w:tr w:rsidR="00CE1FDA">
        <w:tblPrEx>
          <w:tblCellMar>
            <w:top w:w="0" w:type="dxa"/>
            <w:left w:w="0" w:type="dxa"/>
            <w:bottom w:w="0" w:type="dxa"/>
            <w:right w:w="0" w:type="dxa"/>
          </w:tblCellMar>
        </w:tblPrEx>
        <w:tc>
          <w:tcPr>
            <w:tcW w:w="128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自己消费。出售剩余产品</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301</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31.5</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80</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20</w:t>
            </w:r>
          </w:p>
        </w:tc>
      </w:tr>
      <w:tr w:rsidR="00CE1FDA">
        <w:tblPrEx>
          <w:tblCellMar>
            <w:top w:w="0" w:type="dxa"/>
            <w:left w:w="0" w:type="dxa"/>
            <w:bottom w:w="0" w:type="dxa"/>
            <w:right w:w="0" w:type="dxa"/>
          </w:tblCellMar>
        </w:tblPrEx>
        <w:tc>
          <w:tcPr>
            <w:tcW w:w="128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为市场生产</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76</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80</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20</w:t>
            </w:r>
          </w:p>
        </w:tc>
      </w:tr>
      <w:tr w:rsidR="00CE1FDA">
        <w:tblPrEx>
          <w:tblCellMar>
            <w:top w:w="0" w:type="dxa"/>
            <w:left w:w="0" w:type="dxa"/>
            <w:bottom w:w="0" w:type="dxa"/>
            <w:right w:w="0" w:type="dxa"/>
          </w:tblCellMar>
        </w:tblPrEx>
        <w:tc>
          <w:tcPr>
            <w:tcW w:w="128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服务提供者</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2.2</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0.2</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89</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11</w:t>
            </w:r>
          </w:p>
        </w:tc>
      </w:tr>
      <w:tr w:rsidR="00CE1FDA">
        <w:tblPrEx>
          <w:tblCellMar>
            <w:top w:w="0" w:type="dxa"/>
            <w:left w:w="0" w:type="dxa"/>
            <w:bottom w:w="0" w:type="dxa"/>
            <w:right w:w="0" w:type="dxa"/>
          </w:tblCellMar>
        </w:tblPrEx>
        <w:tc>
          <w:tcPr>
            <w:tcW w:w="128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共计</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955</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100</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74</w:t>
            </w:r>
          </w:p>
        </w:tc>
        <w:tc>
          <w:tcPr>
            <w:tcW w:w="93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26</w:t>
            </w:r>
          </w:p>
        </w:tc>
      </w:tr>
    </w:tbl>
    <w:p w:rsidR="00CE1FDA" w:rsidRDefault="00CE1FDA">
      <w:pPr>
        <w:spacing w:after="240" w:line="360" w:lineRule="exact"/>
        <w:rPr>
          <w:rFonts w:hint="eastAsia"/>
          <w:sz w:val="18"/>
        </w:rPr>
      </w:pPr>
      <w:r>
        <w:rPr>
          <w:rFonts w:eastAsia="KaiTi_GB2312" w:hint="eastAsia"/>
          <w:color w:val="0000FF"/>
          <w:sz w:val="18"/>
        </w:rPr>
        <w:t>资料来源</w:t>
      </w:r>
      <w:r>
        <w:rPr>
          <w:rFonts w:hint="eastAsia"/>
          <w:sz w:val="18"/>
        </w:rPr>
        <w:t>：</w:t>
      </w:r>
      <w:r>
        <w:rPr>
          <w:rFonts w:hint="eastAsia"/>
          <w:sz w:val="18"/>
        </w:rPr>
        <w:t>Kov</w:t>
      </w:r>
      <w:r>
        <w:rPr>
          <w:sz w:val="18"/>
        </w:rPr>
        <w:t>á</w:t>
      </w:r>
      <w:r>
        <w:rPr>
          <w:rFonts w:hint="eastAsia"/>
          <w:sz w:val="18"/>
        </w:rPr>
        <w:t>cs-B</w:t>
      </w:r>
      <w:r>
        <w:rPr>
          <w:sz w:val="18"/>
        </w:rPr>
        <w:t>ó</w:t>
      </w:r>
      <w:r>
        <w:rPr>
          <w:rFonts w:hint="eastAsia"/>
          <w:sz w:val="18"/>
        </w:rPr>
        <w:t>day</w:t>
      </w:r>
      <w:r>
        <w:rPr>
          <w:rFonts w:hint="eastAsia"/>
          <w:sz w:val="18"/>
        </w:rPr>
        <w:t>，</w:t>
      </w:r>
      <w:r>
        <w:rPr>
          <w:rFonts w:hint="eastAsia"/>
          <w:sz w:val="18"/>
        </w:rPr>
        <w:t>2005</w:t>
      </w:r>
      <w:r>
        <w:rPr>
          <w:rFonts w:hint="eastAsia"/>
          <w:sz w:val="18"/>
        </w:rPr>
        <w:t>年和</w:t>
      </w:r>
      <w:r>
        <w:rPr>
          <w:rFonts w:hint="eastAsia"/>
          <w:sz w:val="18"/>
        </w:rPr>
        <w:t>2006</w:t>
      </w:r>
      <w:r>
        <w:rPr>
          <w:rFonts w:hint="eastAsia"/>
          <w:sz w:val="18"/>
        </w:rPr>
        <w:t>年。</w:t>
      </w:r>
    </w:p>
    <w:p w:rsidR="00CE1FDA" w:rsidRDefault="00CE1FDA">
      <w:pPr>
        <w:spacing w:after="240" w:line="360" w:lineRule="exact"/>
        <w:rPr>
          <w:rFonts w:ascii="KaiTi_GB2312" w:eastAsia="KaiTi_GB2312" w:hint="eastAsia"/>
          <w:color w:val="0000FF"/>
        </w:rPr>
      </w:pPr>
      <w:r>
        <w:rPr>
          <w:rFonts w:ascii="KaiTi_GB2312" w:eastAsia="KaiTi_GB2312" w:hint="eastAsia"/>
          <w:color w:val="0000FF"/>
        </w:rPr>
        <w:t>第16条</w:t>
      </w:r>
    </w:p>
    <w:p w:rsidR="00CE1FDA" w:rsidRDefault="00CE1FDA">
      <w:pPr>
        <w:spacing w:after="240" w:line="360" w:lineRule="exact"/>
        <w:rPr>
          <w:rFonts w:ascii="SimHei" w:eastAsia="SimHei" w:hint="eastAsia"/>
          <w:color w:val="FF0000"/>
        </w:rPr>
      </w:pPr>
      <w:r>
        <w:rPr>
          <w:rFonts w:ascii="SimHei" w:eastAsia="SimHei" w:hint="eastAsia"/>
          <w:color w:val="FF0000"/>
        </w:rPr>
        <w:t>16.1.　每1 000名至少15岁的未婚妇女结婚人数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72"/>
        <w:gridCol w:w="1972"/>
        <w:gridCol w:w="1972"/>
        <w:gridCol w:w="1972"/>
        <w:gridCol w:w="1972"/>
      </w:tblGrid>
      <w:tr w:rsidR="00CE1FDA">
        <w:tblPrEx>
          <w:tblCellMar>
            <w:top w:w="0" w:type="dxa"/>
            <w:left w:w="0" w:type="dxa"/>
            <w:bottom w:w="0" w:type="dxa"/>
            <w:right w:w="0" w:type="dxa"/>
          </w:tblCellMar>
        </w:tblPrEx>
        <w:tc>
          <w:tcPr>
            <w:tcW w:w="1000" w:type="pct"/>
          </w:tcPr>
          <w:p w:rsidR="00CE1FDA" w:rsidRDefault="00CE1FDA" w:rsidP="00AC01AA">
            <w:pPr>
              <w:spacing w:before="60" w:after="60" w:line="320" w:lineRule="exact"/>
              <w:ind w:leftChars="50" w:left="31680" w:rightChars="50" w:right="31680"/>
              <w:jc w:val="center"/>
              <w:rPr>
                <w:rFonts w:ascii="SimHei" w:hint="eastAsia"/>
                <w:color w:val="FF0000"/>
                <w:sz w:val="18"/>
              </w:rPr>
            </w:pPr>
            <w:r>
              <w:rPr>
                <w:rFonts w:ascii="SimHei" w:hint="eastAsia"/>
                <w:color w:val="FF0000"/>
                <w:sz w:val="18"/>
              </w:rPr>
              <w:t>1970</w:t>
            </w:r>
            <w:r>
              <w:rPr>
                <w:rFonts w:ascii="SimHei" w:hint="eastAsia"/>
                <w:color w:val="FF0000"/>
                <w:sz w:val="18"/>
              </w:rPr>
              <w:t>年</w:t>
            </w:r>
          </w:p>
        </w:tc>
        <w:tc>
          <w:tcPr>
            <w:tcW w:w="1000" w:type="pct"/>
          </w:tcPr>
          <w:p w:rsidR="00CE1FDA" w:rsidRDefault="00CE1FDA" w:rsidP="00AC01AA">
            <w:pPr>
              <w:spacing w:before="60" w:after="60" w:line="320" w:lineRule="exact"/>
              <w:ind w:leftChars="50" w:left="31680" w:rightChars="50" w:right="31680"/>
              <w:jc w:val="center"/>
              <w:rPr>
                <w:rFonts w:ascii="SimHei" w:hint="eastAsia"/>
                <w:color w:val="FF0000"/>
                <w:sz w:val="18"/>
              </w:rPr>
            </w:pPr>
            <w:r>
              <w:rPr>
                <w:rFonts w:ascii="SimHei" w:hint="eastAsia"/>
                <w:color w:val="FF0000"/>
                <w:sz w:val="18"/>
              </w:rPr>
              <w:t>1980</w:t>
            </w:r>
            <w:r>
              <w:rPr>
                <w:rFonts w:ascii="SimHei" w:hint="eastAsia"/>
                <w:color w:val="FF0000"/>
                <w:sz w:val="18"/>
              </w:rPr>
              <w:t>年</w:t>
            </w:r>
          </w:p>
        </w:tc>
        <w:tc>
          <w:tcPr>
            <w:tcW w:w="1000" w:type="pct"/>
          </w:tcPr>
          <w:p w:rsidR="00CE1FDA" w:rsidRDefault="00CE1FDA" w:rsidP="00AC01AA">
            <w:pPr>
              <w:spacing w:before="60" w:after="60" w:line="320" w:lineRule="exact"/>
              <w:ind w:leftChars="50" w:left="31680" w:rightChars="50" w:right="31680"/>
              <w:jc w:val="center"/>
              <w:rPr>
                <w:rFonts w:ascii="SimHei" w:hint="eastAsia"/>
                <w:color w:val="FF0000"/>
                <w:sz w:val="18"/>
              </w:rPr>
            </w:pPr>
            <w:r>
              <w:rPr>
                <w:rFonts w:ascii="SimHei" w:hint="eastAsia"/>
                <w:color w:val="FF0000"/>
                <w:sz w:val="18"/>
              </w:rPr>
              <w:t>1990</w:t>
            </w:r>
            <w:r>
              <w:rPr>
                <w:rFonts w:ascii="SimHei" w:hint="eastAsia"/>
                <w:color w:val="FF0000"/>
                <w:sz w:val="18"/>
              </w:rPr>
              <w:t>年</w:t>
            </w:r>
          </w:p>
        </w:tc>
        <w:tc>
          <w:tcPr>
            <w:tcW w:w="1000" w:type="pct"/>
          </w:tcPr>
          <w:p w:rsidR="00CE1FDA" w:rsidRDefault="00CE1FDA" w:rsidP="00AC01AA">
            <w:pPr>
              <w:spacing w:before="60" w:after="60" w:line="320" w:lineRule="exact"/>
              <w:ind w:leftChars="50" w:left="31680" w:rightChars="50" w:right="31680"/>
              <w:jc w:val="center"/>
              <w:rPr>
                <w:rFonts w:ascii="SimHei" w:hint="eastAsia"/>
                <w:color w:val="FF0000"/>
                <w:sz w:val="18"/>
              </w:rPr>
            </w:pPr>
            <w:r>
              <w:rPr>
                <w:rFonts w:ascii="SimHei" w:hint="eastAsia"/>
                <w:color w:val="FF0000"/>
                <w:sz w:val="18"/>
              </w:rPr>
              <w:t>2000</w:t>
            </w:r>
            <w:r>
              <w:rPr>
                <w:rFonts w:ascii="SimHei" w:hint="eastAsia"/>
                <w:color w:val="FF0000"/>
                <w:sz w:val="18"/>
              </w:rPr>
              <w:t>年</w:t>
            </w:r>
          </w:p>
        </w:tc>
        <w:tc>
          <w:tcPr>
            <w:tcW w:w="1000" w:type="pct"/>
          </w:tcPr>
          <w:p w:rsidR="00CE1FDA" w:rsidRDefault="00CE1FDA" w:rsidP="00AC01AA">
            <w:pPr>
              <w:spacing w:before="60" w:after="60" w:line="320" w:lineRule="exact"/>
              <w:ind w:leftChars="50" w:left="31680" w:rightChars="50" w:right="31680"/>
              <w:jc w:val="center"/>
              <w:rPr>
                <w:rFonts w:ascii="SimHei" w:hint="eastAsia"/>
                <w:color w:val="FF0000"/>
                <w:sz w:val="18"/>
              </w:rPr>
            </w:pPr>
            <w:r>
              <w:rPr>
                <w:rFonts w:ascii="SimHei" w:hint="eastAsia"/>
                <w:color w:val="FF0000"/>
                <w:sz w:val="18"/>
              </w:rPr>
              <w:t>2004</w:t>
            </w:r>
            <w:r>
              <w:rPr>
                <w:rFonts w:ascii="SimHei" w:hint="eastAsia"/>
                <w:color w:val="FF0000"/>
                <w:sz w:val="18"/>
              </w:rPr>
              <w:t>年</w:t>
            </w:r>
          </w:p>
        </w:tc>
      </w:tr>
      <w:tr w:rsidR="00CE1FDA">
        <w:tblPrEx>
          <w:tblCellMar>
            <w:top w:w="0" w:type="dxa"/>
            <w:left w:w="0" w:type="dxa"/>
            <w:bottom w:w="0" w:type="dxa"/>
            <w:right w:w="0" w:type="dxa"/>
          </w:tblCellMar>
        </w:tblPrEx>
        <w:tc>
          <w:tcPr>
            <w:tcW w:w="100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107.9</w:t>
            </w:r>
          </w:p>
        </w:tc>
        <w:tc>
          <w:tcPr>
            <w:tcW w:w="100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106.1</w:t>
            </w:r>
          </w:p>
        </w:tc>
        <w:tc>
          <w:tcPr>
            <w:tcW w:w="100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74.8</w:t>
            </w:r>
          </w:p>
        </w:tc>
        <w:tc>
          <w:tcPr>
            <w:tcW w:w="100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38.9</w:t>
            </w:r>
          </w:p>
        </w:tc>
        <w:tc>
          <w:tcPr>
            <w:tcW w:w="100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31.7</w:t>
            </w:r>
          </w:p>
        </w:tc>
      </w:tr>
    </w:tbl>
    <w:p w:rsidR="00CE1FDA" w:rsidRDefault="00CE1FDA">
      <w:pPr>
        <w:spacing w:after="240" w:line="360" w:lineRule="exact"/>
        <w:rPr>
          <w:rFonts w:hint="eastAsia"/>
          <w:sz w:val="18"/>
        </w:rPr>
      </w:pPr>
      <w:r>
        <w:rPr>
          <w:rFonts w:hint="eastAsia"/>
          <w:sz w:val="18"/>
        </w:rPr>
        <w:t>《</w:t>
      </w:r>
      <w:r>
        <w:rPr>
          <w:rFonts w:hint="eastAsia"/>
          <w:sz w:val="18"/>
        </w:rPr>
        <w:t>2004</w:t>
      </w:r>
      <w:r>
        <w:rPr>
          <w:rFonts w:hint="eastAsia"/>
          <w:sz w:val="18"/>
        </w:rPr>
        <w:t>年人口年鉴》。</w:t>
      </w:r>
    </w:p>
    <w:p w:rsidR="00CE1FDA" w:rsidRDefault="00CE1FDA">
      <w:pPr>
        <w:spacing w:after="240" w:line="360" w:lineRule="exact"/>
        <w:rPr>
          <w:rFonts w:ascii="SimHei" w:eastAsia="SimHei" w:hint="eastAsia"/>
          <w:color w:val="FF0000"/>
        </w:rPr>
      </w:pPr>
      <w:r>
        <w:rPr>
          <w:rFonts w:ascii="SimHei" w:eastAsia="SimHei" w:hint="eastAsia"/>
          <w:color w:val="FF0000"/>
        </w:rPr>
        <w:t>16.2.1960-2004年活产的主要比率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65"/>
        <w:gridCol w:w="2465"/>
        <w:gridCol w:w="2465"/>
        <w:gridCol w:w="2465"/>
      </w:tblGrid>
      <w:tr w:rsidR="00CE1FDA">
        <w:tblPrEx>
          <w:tblCellMar>
            <w:top w:w="0" w:type="dxa"/>
            <w:left w:w="0" w:type="dxa"/>
            <w:bottom w:w="0" w:type="dxa"/>
            <w:right w:w="0" w:type="dxa"/>
          </w:tblCellMar>
        </w:tblPrEx>
        <w:tc>
          <w:tcPr>
            <w:tcW w:w="1250" w:type="pct"/>
            <w:vAlign w:val="center"/>
          </w:tcPr>
          <w:p w:rsidR="00CE1FDA" w:rsidRDefault="00CE1FDA" w:rsidP="00AC01AA">
            <w:pPr>
              <w:spacing w:before="60" w:after="60" w:line="320" w:lineRule="exact"/>
              <w:ind w:leftChars="50" w:left="31680" w:rightChars="50" w:right="31680"/>
              <w:rPr>
                <w:rFonts w:ascii="SimHei" w:eastAsia="SimHei" w:hint="eastAsia"/>
                <w:color w:val="FF0000"/>
                <w:sz w:val="18"/>
              </w:rPr>
            </w:pPr>
            <w:r>
              <w:rPr>
                <w:rFonts w:ascii="SimHei" w:eastAsia="SimHei" w:hint="eastAsia"/>
                <w:color w:val="FF0000"/>
                <w:sz w:val="18"/>
              </w:rPr>
              <w:t>年份</w:t>
            </w:r>
          </w:p>
        </w:tc>
        <w:tc>
          <w:tcPr>
            <w:tcW w:w="1250" w:type="pct"/>
            <w:vAlign w:val="center"/>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活产数量</w:t>
            </w:r>
          </w:p>
        </w:tc>
        <w:tc>
          <w:tcPr>
            <w:tcW w:w="1250" w:type="pct"/>
            <w:vAlign w:val="center"/>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总生育率</w:t>
            </w:r>
          </w:p>
        </w:tc>
        <w:tc>
          <w:tcPr>
            <w:tcW w:w="1250" w:type="pct"/>
            <w:vAlign w:val="center"/>
          </w:tcPr>
          <w:p w:rsidR="00CE1FDA" w:rsidRDefault="00CE1FDA" w:rsidP="00AC01AA">
            <w:pPr>
              <w:spacing w:before="60" w:after="60" w:line="320" w:lineRule="exact"/>
              <w:ind w:leftChars="50" w:left="31680" w:rightChars="50" w:right="31680"/>
              <w:jc w:val="center"/>
              <w:rPr>
                <w:rFonts w:ascii="SimHei" w:eastAsia="SimHei" w:hint="eastAsia"/>
                <w:color w:val="FF0000"/>
                <w:sz w:val="18"/>
              </w:rPr>
            </w:pPr>
            <w:r>
              <w:rPr>
                <w:rFonts w:ascii="SimHei" w:eastAsia="SimHei" w:hint="eastAsia"/>
                <w:color w:val="FF0000"/>
                <w:sz w:val="18"/>
              </w:rPr>
              <w:t>每1 000名15-49岁妇女的活产数</w:t>
            </w: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1960</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146 461</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2.02</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58.9</w:t>
            </w: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1970</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151 819</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1.97</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56.6</w:t>
            </w: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1980</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148 673</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1.92</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57.6</w:t>
            </w: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1990</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125 679</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1.84</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49.4</w:t>
            </w: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2000</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97 597</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1.33</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38.1</w:t>
            </w:r>
          </w:p>
        </w:tc>
      </w:tr>
      <w:tr w:rsidR="00CE1FDA">
        <w:tblPrEx>
          <w:tblCellMar>
            <w:top w:w="0" w:type="dxa"/>
            <w:left w:w="0" w:type="dxa"/>
            <w:bottom w:w="0" w:type="dxa"/>
            <w:right w:w="0" w:type="dxa"/>
          </w:tblCellMar>
        </w:tblPrEx>
        <w:tc>
          <w:tcPr>
            <w:tcW w:w="1250" w:type="pct"/>
          </w:tcPr>
          <w:p w:rsidR="00CE1FDA" w:rsidRDefault="00CE1FDA" w:rsidP="00AC01AA">
            <w:pPr>
              <w:spacing w:before="60" w:after="60" w:line="320" w:lineRule="exact"/>
              <w:ind w:leftChars="50" w:left="31680" w:rightChars="50" w:right="31680"/>
              <w:rPr>
                <w:rFonts w:hint="eastAsia"/>
                <w:sz w:val="18"/>
              </w:rPr>
            </w:pPr>
            <w:r>
              <w:rPr>
                <w:rFonts w:hint="eastAsia"/>
                <w:sz w:val="18"/>
              </w:rPr>
              <w:t>2004</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95 137</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1.28</w:t>
            </w:r>
          </w:p>
        </w:tc>
        <w:tc>
          <w:tcPr>
            <w:tcW w:w="1250" w:type="pct"/>
          </w:tcPr>
          <w:p w:rsidR="00CE1FDA" w:rsidRDefault="00CE1FDA" w:rsidP="00AC01AA">
            <w:pPr>
              <w:spacing w:before="60" w:after="60" w:line="320" w:lineRule="exact"/>
              <w:ind w:leftChars="50" w:left="31680" w:rightChars="50" w:right="31680"/>
              <w:jc w:val="center"/>
              <w:rPr>
                <w:rFonts w:hint="eastAsia"/>
                <w:sz w:val="18"/>
              </w:rPr>
            </w:pPr>
            <w:r>
              <w:rPr>
                <w:rFonts w:hint="eastAsia"/>
                <w:sz w:val="18"/>
              </w:rPr>
              <w:t>38.4</w:t>
            </w:r>
          </w:p>
        </w:tc>
      </w:tr>
    </w:tbl>
    <w:p w:rsidR="00CE1FDA" w:rsidRDefault="00CE1FDA">
      <w:pPr>
        <w:spacing w:after="240" w:line="360" w:lineRule="exact"/>
        <w:rPr>
          <w:rFonts w:hint="eastAsia"/>
          <w:sz w:val="18"/>
        </w:rPr>
      </w:pPr>
      <w:r>
        <w:rPr>
          <w:rFonts w:hint="eastAsia"/>
          <w:sz w:val="18"/>
        </w:rPr>
        <w:t>《</w:t>
      </w:r>
      <w:r>
        <w:rPr>
          <w:rFonts w:hint="eastAsia"/>
          <w:sz w:val="18"/>
        </w:rPr>
        <w:t>2004</w:t>
      </w:r>
      <w:r>
        <w:rPr>
          <w:rFonts w:hint="eastAsia"/>
          <w:sz w:val="18"/>
        </w:rPr>
        <w:t>年人口年鉴》。</w:t>
      </w:r>
    </w:p>
    <w:p w:rsidR="00CE1FDA" w:rsidRDefault="00CE1FDA">
      <w:pPr>
        <w:spacing w:after="240" w:line="360" w:lineRule="exact"/>
        <w:rPr>
          <w:rFonts w:ascii="SimHei" w:eastAsia="SimHei" w:hint="eastAsia"/>
          <w:color w:val="FF0000"/>
        </w:rPr>
      </w:pPr>
      <w:r>
        <w:rPr>
          <w:rFonts w:ascii="SimHei" w:eastAsia="SimHei"/>
          <w:color w:val="FF0000"/>
        </w:rPr>
        <w:br w:type="page"/>
      </w:r>
      <w:r>
        <w:rPr>
          <w:rFonts w:ascii="SimHei" w:eastAsia="SimHei" w:hint="eastAsia"/>
          <w:color w:val="FF0000"/>
        </w:rPr>
        <w:t>图16.1：家庭暴力受害者</w:t>
      </w:r>
    </w:p>
    <w:p w:rsidR="00CE1FDA" w:rsidRDefault="00CE1FDA">
      <w:pPr>
        <w:spacing w:after="240" w:line="360" w:lineRule="exact"/>
        <w:jc w:val="center"/>
        <w:rPr>
          <w:rFonts w:eastAsia="SimHei"/>
          <w:color w:val="FF0000"/>
        </w:rPr>
      </w:pPr>
      <w:r>
        <w:rPr>
          <w:rFonts w:ascii="SimHei" w:eastAsia="SimHei" w:hint="eastAsia"/>
          <w:color w:val="FF0000"/>
        </w:rPr>
        <w:t>受害者的身份（%）</w:t>
      </w:r>
    </w:p>
    <w:p w:rsidR="00EF41A5" w:rsidRPr="00322285" w:rsidRDefault="00322285" w:rsidP="00371592">
      <w:pPr>
        <w:spacing w:after="240" w:line="240" w:lineRule="auto"/>
        <w:jc w:val="center"/>
        <w:rPr>
          <w:rFonts w:eastAsia="SimHei"/>
          <w:color w:val="FF0000"/>
        </w:rPr>
      </w:pPr>
      <w:r w:rsidRPr="00322285">
        <w:pict>
          <v:shape id="_x0000_i1025" type="#_x0000_t75" style="width:384pt;height:186pt">
            <v:imagedata r:id="rId15" o:title=""/>
          </v:shape>
        </w:pict>
      </w:r>
    </w:p>
    <w:p w:rsidR="00371592" w:rsidRPr="00EF41A5" w:rsidRDefault="00371592" w:rsidP="00371592">
      <w:pPr>
        <w:spacing w:after="240" w:line="240" w:lineRule="auto"/>
        <w:jc w:val="center"/>
        <w:rPr>
          <w:rFonts w:eastAsia="SimHei"/>
          <w:color w:val="FF0000"/>
        </w:rPr>
      </w:pPr>
    </w:p>
    <w:p w:rsidR="00CE1FDA" w:rsidRDefault="00CE1FDA">
      <w:pPr>
        <w:spacing w:after="240" w:line="360" w:lineRule="exact"/>
        <w:rPr>
          <w:rFonts w:ascii="SimHei" w:eastAsia="SimHei" w:hint="eastAsia"/>
          <w:color w:val="FF0000"/>
        </w:rPr>
      </w:pPr>
      <w:r>
        <w:rPr>
          <w:rFonts w:ascii="SimHei" w:eastAsia="SimHei" w:hint="eastAsia"/>
          <w:color w:val="FF0000"/>
        </w:rPr>
        <w:t>图16.2：处罚</w:t>
      </w:r>
    </w:p>
    <w:p w:rsidR="00CE1FDA" w:rsidRDefault="00CE1FDA">
      <w:pPr>
        <w:spacing w:after="240" w:line="240" w:lineRule="auto"/>
        <w:jc w:val="center"/>
        <w:rPr>
          <w:rFonts w:ascii="SimHei" w:eastAsia="SimHei" w:hint="eastAsia"/>
          <w:color w:val="FF0000"/>
        </w:rPr>
      </w:pPr>
      <w:r>
        <w:object w:dxaOrig="9000" w:dyaOrig="5040">
          <v:shape id="_x0000_i1026" type="#_x0000_t75" style="width:450pt;height:252pt" o:ole="">
            <v:imagedata r:id="rId16" o:title=""/>
          </v:shape>
          <o:OLEObject Type="Embed" ProgID="Excel.Chart.8" ShapeID="_x0000_i1026" DrawAspect="Content" ObjectID="_1395240638" r:id="rId17">
            <o:FieldCodes>\s</o:FieldCodes>
          </o:OLEObject>
        </w:object>
      </w:r>
    </w:p>
    <w:p w:rsidR="00CE1FDA" w:rsidRPr="00B447F3" w:rsidRDefault="00B447F3" w:rsidP="00B447F3">
      <w:pPr>
        <w:spacing w:line="240" w:lineRule="auto"/>
        <w:rPr>
          <w:rFonts w:eastAsia="SimHei" w:hint="eastAsia"/>
          <w:sz w:val="20"/>
          <w:lang w:val="en-GB"/>
        </w:rPr>
      </w:pPr>
      <w:r>
        <w:rPr>
          <w:rFonts w:eastAsia="SimHei" w:hint="eastAsia"/>
          <w:noProof/>
          <w:sz w:val="20"/>
        </w:rPr>
        <w:pict>
          <v:line id="_x0000_s1157" style="position:absolute;left:0;text-align:left;z-index:10;mso-position-horizontal:center" from="0,30pt" to="1in,30pt" strokeweight=".25pt"/>
        </w:pict>
      </w:r>
    </w:p>
    <w:sectPr w:rsidR="00CE1FDA" w:rsidRPr="00B447F3">
      <w:headerReference w:type="even" r:id="rId18"/>
      <w:headerReference w:type="default" r:id="rId19"/>
      <w:footerReference w:type="even" r:id="rId20"/>
      <w:footerReference w:type="default" r:id="rId21"/>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17T14:47:00Z" w:initials="Start">
    <w:p w:rsidR="00322285" w:rsidRDefault="00322285">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w:t>
      </w:r>
      <w:r>
        <w:rPr>
          <w:rFonts w:hint="eastAsia"/>
        </w:rPr>
        <w:t>64022</w:t>
      </w:r>
      <w:r>
        <w:t>1C&lt;&lt;ODS JOB NO&gt;&gt;</w:t>
      </w:r>
    </w:p>
    <w:p w:rsidR="00322285" w:rsidRDefault="00322285">
      <w:pPr>
        <w:pStyle w:val="CommentText"/>
      </w:pPr>
      <w:r>
        <w:t>&lt;&lt;ODS DOC SYMBOL1&gt;&gt;CEDAW/C/</w:t>
      </w:r>
      <w:r>
        <w:rPr>
          <w:rFonts w:hint="eastAsia"/>
        </w:rPr>
        <w:t>HUN</w:t>
      </w:r>
      <w:r>
        <w:t>/</w:t>
      </w:r>
      <w:r>
        <w:rPr>
          <w:rFonts w:hint="eastAsia"/>
        </w:rPr>
        <w:t>6</w:t>
      </w:r>
      <w:r>
        <w:t>&lt;&lt;ODS DOC SYMBOL1&gt;&gt;</w:t>
      </w:r>
    </w:p>
    <w:p w:rsidR="00322285" w:rsidRDefault="0032228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AC2" w:rsidRDefault="00780AC2">
      <w:r>
        <w:separator/>
      </w:r>
    </w:p>
  </w:endnote>
  <w:endnote w:type="continuationSeparator" w:id="0">
    <w:p w:rsidR="00780AC2" w:rsidRDefault="00780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MAC C Times">
    <w:altName w:val="Courier New"/>
    <w:charset w:val="00"/>
    <w:family w:val="roman"/>
    <w:pitch w:val="variable"/>
    <w:sig w:usb0="00000087" w:usb1="00000000" w:usb2="00000000" w:usb3="00000000" w:csb0="0000001B"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285" w:rsidRDefault="0032228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22285" w:rsidRDefault="00322285">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285" w:rsidRDefault="0032228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322285" w:rsidRDefault="0032228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285" w:rsidRDefault="00322285">
    <w:pPr>
      <w:pStyle w:val="FootnoteText"/>
      <w:pBdr>
        <w:top w:val="single" w:sz="4" w:space="1" w:color="auto"/>
      </w:pBdr>
      <w:spacing w:line="120" w:lineRule="exact"/>
      <w:jc w:val="both"/>
      <w:rPr>
        <w:rFonts w:eastAsia="SimSun"/>
      </w:rPr>
    </w:pPr>
  </w:p>
  <w:p w:rsidR="00322285" w:rsidRDefault="00322285">
    <w:pPr>
      <w:pStyle w:val="FootnoteText"/>
      <w:tabs>
        <w:tab w:val="left" w:pos="360"/>
      </w:tabs>
      <w:spacing w:after="60" w:line="260" w:lineRule="exact"/>
      <w:rPr>
        <w:rFonts w:eastAsia="SimSun" w:hint="eastAsia"/>
      </w:rPr>
    </w:pPr>
    <w:r>
      <w:rPr>
        <w:rFonts w:eastAsia="SimSun" w:hint="eastAsia"/>
      </w:rPr>
      <w:t xml:space="preserve">*  </w:t>
    </w:r>
    <w:r>
      <w:rPr>
        <w:rFonts w:eastAsia="SimSun" w:hint="eastAsia"/>
      </w:rPr>
      <w:t>本报告未经正式编辑予以印发。</w:t>
    </w:r>
  </w:p>
  <w:p w:rsidR="00322285" w:rsidRDefault="00322285" w:rsidP="00AC01AA">
    <w:pPr>
      <w:pStyle w:val="FootnoteText"/>
      <w:spacing w:after="60" w:line="260" w:lineRule="exact"/>
      <w:ind w:left="284" w:firstLineChars="200" w:firstLine="31680"/>
      <w:jc w:val="both"/>
      <w:rPr>
        <w:rFonts w:hint="eastAsia"/>
      </w:rPr>
    </w:pPr>
    <w:r>
      <w:rPr>
        <w:rFonts w:eastAsia="SimSun" w:hint="eastAsia"/>
      </w:rPr>
      <w:t>关于匈牙利政府提交的初次报告，见委员会第三届会议审议的</w:t>
    </w:r>
    <w:r>
      <w:rPr>
        <w:rFonts w:eastAsia="SimSun" w:hint="eastAsia"/>
      </w:rPr>
      <w:t>CEDAW/C/5/A</w:t>
    </w:r>
    <w:r>
      <w:rPr>
        <w:rFonts w:eastAsia="SimSun"/>
      </w:rPr>
      <w:t>dd</w:t>
    </w:r>
    <w:r>
      <w:rPr>
        <w:rFonts w:eastAsia="SimSun" w:hint="eastAsia"/>
      </w:rPr>
      <w:t>.3</w:t>
    </w:r>
    <w:r>
      <w:rPr>
        <w:rFonts w:eastAsia="SimSun" w:hint="eastAsia"/>
      </w:rPr>
      <w:t>。关于匈牙利政府提交的第二次定期报告，见委员会第七届会议审议的</w:t>
    </w:r>
    <w:r>
      <w:rPr>
        <w:rFonts w:eastAsia="SimSun" w:hint="eastAsia"/>
      </w:rPr>
      <w:t>CEDAW/C/13/Add.1</w:t>
    </w:r>
    <w:r>
      <w:rPr>
        <w:rFonts w:eastAsia="SimSun" w:hint="eastAsia"/>
      </w:rPr>
      <w:t>。关于匈牙利政府提交的第三次定期报告，见委员会第十五届会议审议的</w:t>
    </w:r>
    <w:r>
      <w:rPr>
        <w:rFonts w:eastAsia="SimSun" w:hint="eastAsia"/>
      </w:rPr>
      <w:t>CEDAW/C/HUN/3</w:t>
    </w:r>
    <w:r>
      <w:rPr>
        <w:rFonts w:eastAsia="SimSun" w:hint="eastAsia"/>
      </w:rPr>
      <w:t>和</w:t>
    </w:r>
    <w:r>
      <w:rPr>
        <w:rFonts w:eastAsia="SimSun" w:hint="eastAsia"/>
      </w:rPr>
      <w:t>Add.1</w:t>
    </w:r>
    <w:r>
      <w:rPr>
        <w:rFonts w:eastAsia="SimSun" w:hint="eastAsia"/>
      </w:rPr>
      <w:t>。关于匈牙利政府提交的第四次和第五次合并定期报告，见委员会特别会议审议的</w:t>
    </w:r>
    <w:r>
      <w:rPr>
        <w:rFonts w:eastAsia="SimSun" w:hint="eastAsia"/>
      </w:rPr>
      <w:t>CEDAW/C/HUN/4-5</w:t>
    </w:r>
    <w:r>
      <w:rPr>
        <w:rFonts w:eastAsia="SimSun" w:hint="eastAsia"/>
      </w:rPr>
      <w:t>。</w:t>
    </w:r>
  </w:p>
  <w:p w:rsidR="00322285" w:rsidRDefault="00322285" w:rsidP="00AC01AA">
    <w:pPr>
      <w:pStyle w:val="FootnoteText"/>
      <w:spacing w:after="60" w:line="260" w:lineRule="exact"/>
      <w:ind w:firstLineChars="200" w:firstLine="31680"/>
      <w:jc w:val="both"/>
      <w:rPr>
        <w:rFonts w:eastAsia="SimSun" w:hint="eastAsia"/>
      </w:rPr>
    </w:pPr>
  </w:p>
  <w:p w:rsidR="00322285" w:rsidRPr="00532536" w:rsidRDefault="00322285">
    <w:pPr>
      <w:pStyle w:val="FootnoteText"/>
      <w:spacing w:afterLines="50" w:after="120"/>
      <w:rPr>
        <w:rFonts w:ascii="Barcode 3 of 9 by request" w:eastAsia="KaiTi_GB2312" w:hAnsi="Barcode 3 of 9 by request"/>
        <w:b/>
        <w:bCs/>
        <w:sz w:val="21"/>
      </w:rPr>
    </w:pPr>
    <w:r>
      <w:rPr>
        <w:rFonts w:hint="eastAsia"/>
        <w:sz w:val="21"/>
      </w:rPr>
      <w:t>06-4022</w:t>
    </w:r>
    <w:r>
      <w:rPr>
        <w:sz w:val="21"/>
      </w:rPr>
      <w:t>1 (</w:t>
    </w:r>
    <w:r>
      <w:rPr>
        <w:rFonts w:hint="eastAsia"/>
        <w:sz w:val="21"/>
      </w:rPr>
      <w:t>C</w:t>
    </w:r>
    <w:r>
      <w:rPr>
        <w:sz w:val="21"/>
      </w:rPr>
      <w:t>)   171006   171006</w:t>
    </w:r>
    <w:r>
      <w:rPr>
        <w:sz w:val="21"/>
      </w:rPr>
      <w:br/>
    </w:r>
    <w:r w:rsidRPr="00532536">
      <w:rPr>
        <w:rFonts w:ascii="Barcode 3 of 9 by request" w:eastAsia="KaiTi_GB2312" w:hAnsi="Barcode 3 of 9 by request"/>
        <w:b/>
        <w:bCs/>
        <w:sz w:val="21"/>
      </w:rPr>
      <w:t>*0640221*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285" w:rsidRDefault="00322285">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290959">
      <w:rPr>
        <w:rStyle w:val="PageNumber"/>
        <w:noProof/>
      </w:rPr>
      <w:t>2</w:t>
    </w:r>
    <w:r>
      <w:rPr>
        <w:rStyle w:val="PageNumber"/>
      </w:rPr>
      <w:fldChar w:fldCharType="end"/>
    </w:r>
  </w:p>
  <w:p w:rsidR="00322285" w:rsidRDefault="00322285">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285" w:rsidRDefault="00322285">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290959">
      <w:rPr>
        <w:rStyle w:val="PageNumber"/>
        <w:noProof/>
      </w:rPr>
      <w:t>55</w:t>
    </w:r>
    <w:r>
      <w:rPr>
        <w:rStyle w:val="PageNumber"/>
      </w:rPr>
      <w:fldChar w:fldCharType="end"/>
    </w:r>
  </w:p>
  <w:p w:rsidR="00322285" w:rsidRDefault="0032228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AC2" w:rsidRDefault="00780AC2">
      <w:r>
        <w:separator/>
      </w:r>
    </w:p>
  </w:footnote>
  <w:footnote w:type="continuationSeparator" w:id="0">
    <w:p w:rsidR="00780AC2" w:rsidRDefault="00780AC2">
      <w:r>
        <w:continuationSeparator/>
      </w:r>
    </w:p>
  </w:footnote>
  <w:footnote w:id="1">
    <w:p w:rsidR="00322285" w:rsidRDefault="00322285">
      <w:pPr>
        <w:spacing w:after="60" w:line="260" w:lineRule="exact"/>
        <w:rPr>
          <w:rFonts w:hint="eastAsia"/>
          <w:sz w:val="18"/>
        </w:rPr>
      </w:pPr>
      <w:r>
        <w:rPr>
          <w:rStyle w:val="FootnoteReference"/>
          <w:sz w:val="18"/>
        </w:rPr>
        <w:footnoteRef/>
      </w:r>
      <w:r>
        <w:rPr>
          <w:rFonts w:hint="eastAsia"/>
          <w:sz w:val="18"/>
        </w:rPr>
        <w:t xml:space="preserve">  </w:t>
      </w:r>
      <w:r>
        <w:rPr>
          <w:rFonts w:hint="eastAsia"/>
          <w:sz w:val="18"/>
        </w:rPr>
        <w:t>第</w:t>
      </w:r>
      <w:r>
        <w:rPr>
          <w:rFonts w:hint="eastAsia"/>
          <w:sz w:val="18"/>
        </w:rPr>
        <w:t>1</w:t>
      </w:r>
      <w:r>
        <w:rPr>
          <w:rFonts w:hint="eastAsia"/>
          <w:sz w:val="18"/>
        </w:rPr>
        <w:t>条根据平等待遇要求规定，对于匈牙利共和国境内的自然人、其团体，以及法人和无法律人格的组织，必须按照《平等待遇法案》有关条款给予平等的尊重和爱护，对个别问题给予同样的关注。</w:t>
      </w:r>
    </w:p>
  </w:footnote>
  <w:footnote w:id="2">
    <w:p w:rsidR="00322285" w:rsidRDefault="00322285">
      <w:pPr>
        <w:pStyle w:val="FootnoteText"/>
        <w:spacing w:after="60" w:line="260" w:lineRule="exact"/>
        <w:rPr>
          <w:rFonts w:eastAsia="SimSun" w:hint="eastAsia"/>
        </w:rPr>
      </w:pPr>
      <w:r>
        <w:rPr>
          <w:rStyle w:val="FootnoteReference"/>
          <w:rFonts w:eastAsia="SimSun"/>
        </w:rPr>
        <w:footnoteRef/>
      </w:r>
      <w:r>
        <w:rPr>
          <w:rFonts w:eastAsia="SimSun" w:hint="eastAsia"/>
        </w:rPr>
        <w:t xml:space="preserve">  </w:t>
      </w:r>
      <w:r>
        <w:rPr>
          <w:rFonts w:eastAsia="SimSun" w:hint="eastAsia"/>
        </w:rPr>
        <w:t>见《平等待遇法案》条款：其他专门立法中关于平等待遇要求的规定应与该规定同样适用。</w:t>
      </w:r>
    </w:p>
  </w:footnote>
  <w:footnote w:id="3">
    <w:p w:rsidR="00322285" w:rsidRDefault="00322285">
      <w:pPr>
        <w:pStyle w:val="FootnoteText"/>
        <w:spacing w:after="60" w:line="260" w:lineRule="exac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见第</w:t>
      </w:r>
      <w:r>
        <w:rPr>
          <w:rFonts w:eastAsia="SimSun" w:hint="eastAsia"/>
        </w:rPr>
        <w:t>8</w:t>
      </w:r>
      <w:r>
        <w:rPr>
          <w:rFonts w:eastAsia="SimSun" w:hint="eastAsia"/>
        </w:rPr>
        <w:t>条。</w:t>
      </w:r>
    </w:p>
  </w:footnote>
  <w:footnote w:id="4">
    <w:p w:rsidR="00322285" w:rsidRDefault="00322285">
      <w:pPr>
        <w:pStyle w:val="FootnoteText"/>
        <w:spacing w:after="60" w:line="260" w:lineRule="exact"/>
        <w:rPr>
          <w:rFonts w:eastAsia="SimSun" w:hint="eastAsia"/>
        </w:rPr>
      </w:pPr>
      <w:r>
        <w:rPr>
          <w:rStyle w:val="FootnoteReference"/>
          <w:rFonts w:eastAsia="SimSun"/>
        </w:rPr>
        <w:footnoteRef/>
      </w:r>
      <w:r>
        <w:rPr>
          <w:rFonts w:eastAsia="SimSun" w:hint="eastAsia"/>
        </w:rPr>
        <w:t xml:space="preserve">  </w:t>
      </w:r>
      <w:r>
        <w:rPr>
          <w:rFonts w:eastAsia="SimSun" w:hint="eastAsia"/>
        </w:rPr>
        <w:t>见第</w:t>
      </w:r>
      <w:r>
        <w:rPr>
          <w:rFonts w:eastAsia="SimSun" w:hint="eastAsia"/>
        </w:rPr>
        <w:t>9</w:t>
      </w:r>
      <w:r>
        <w:rPr>
          <w:rFonts w:eastAsia="SimSun" w:hint="eastAsia"/>
        </w:rPr>
        <w:t>条。</w:t>
      </w:r>
    </w:p>
  </w:footnote>
  <w:footnote w:id="5">
    <w:p w:rsidR="00322285" w:rsidRDefault="00322285">
      <w:pPr>
        <w:pStyle w:val="FootnoteText"/>
        <w:spacing w:after="60" w:line="260" w:lineRule="exac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见第</w:t>
      </w:r>
      <w:r>
        <w:rPr>
          <w:rFonts w:eastAsia="SimSun" w:hint="eastAsia"/>
        </w:rPr>
        <w:t>10</w:t>
      </w:r>
      <w:r>
        <w:rPr>
          <w:rFonts w:eastAsia="SimSun" w:hint="eastAsia"/>
        </w:rPr>
        <w:t>（</w:t>
      </w:r>
      <w:r>
        <w:rPr>
          <w:rFonts w:eastAsia="SimSun" w:hint="eastAsia"/>
        </w:rPr>
        <w:t>3</w:t>
      </w:r>
      <w:r>
        <w:rPr>
          <w:rFonts w:eastAsia="SimSun" w:hint="eastAsia"/>
        </w:rPr>
        <w:t>）条。</w:t>
      </w:r>
    </w:p>
  </w:footnote>
  <w:footnote w:id="6">
    <w:p w:rsidR="00322285" w:rsidRDefault="00322285">
      <w:pPr>
        <w:pStyle w:val="FootnoteText"/>
        <w:spacing w:after="60" w:line="260" w:lineRule="exac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见该法案第</w:t>
      </w:r>
      <w:r>
        <w:rPr>
          <w:rFonts w:eastAsia="SimSun" w:hint="eastAsia"/>
        </w:rPr>
        <w:t>21-23</w:t>
      </w:r>
      <w:r>
        <w:rPr>
          <w:rFonts w:eastAsia="SimSun" w:hint="eastAsia"/>
        </w:rPr>
        <w:t>条。</w:t>
      </w:r>
    </w:p>
  </w:footnote>
  <w:footnote w:id="7">
    <w:p w:rsidR="00322285" w:rsidRDefault="00322285">
      <w:pPr>
        <w:pStyle w:val="FootnoteText"/>
        <w:spacing w:after="60" w:line="260" w:lineRule="exac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《平等待遇法案》第</w:t>
      </w:r>
      <w:r>
        <w:rPr>
          <w:rFonts w:eastAsia="SimSun" w:hint="eastAsia"/>
        </w:rPr>
        <w:t>22</w:t>
      </w:r>
      <w:r>
        <w:rPr>
          <w:rFonts w:eastAsia="SimSun" w:hint="eastAsia"/>
        </w:rPr>
        <w:t>条</w:t>
      </w:r>
      <w:r>
        <w:rPr>
          <w:rFonts w:eastAsia="SimSun" w:hint="eastAsia"/>
        </w:rPr>
        <w:t>a</w:t>
      </w:r>
      <w:r>
        <w:rPr>
          <w:rFonts w:eastAsia="SimSun" w:hint="eastAsia"/>
        </w:rPr>
        <w:t>）。</w:t>
      </w:r>
    </w:p>
  </w:footnote>
  <w:footnote w:id="8">
    <w:p w:rsidR="00322285" w:rsidRDefault="00322285">
      <w:pPr>
        <w:pStyle w:val="FootnoteText"/>
        <w:spacing w:after="60" w:line="260" w:lineRule="exac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根据第</w:t>
      </w:r>
      <w:r>
        <w:rPr>
          <w:rFonts w:eastAsia="SimSun" w:hint="eastAsia"/>
        </w:rPr>
        <w:t>15</w:t>
      </w:r>
      <w:r>
        <w:rPr>
          <w:rFonts w:eastAsia="SimSun" w:hint="eastAsia"/>
        </w:rPr>
        <w:t>（</w:t>
      </w:r>
      <w:r>
        <w:rPr>
          <w:rFonts w:eastAsia="SimSun" w:hint="eastAsia"/>
        </w:rPr>
        <w:t>5</w:t>
      </w:r>
      <w:r>
        <w:rPr>
          <w:rFonts w:eastAsia="SimSun" w:hint="eastAsia"/>
        </w:rPr>
        <w:t>）条，如果任何其他公共行政组织没有对违反《平等待遇法案》的行为提起诉讼，该机构也应参照第</w:t>
      </w:r>
      <w:r>
        <w:rPr>
          <w:rFonts w:eastAsia="SimSun" w:hint="eastAsia"/>
        </w:rPr>
        <w:t>4a</w:t>
      </w:r>
      <w:r>
        <w:rPr>
          <w:rFonts w:eastAsia="SimSun" w:hint="eastAsia"/>
        </w:rPr>
        <w:t>）</w:t>
      </w:r>
      <w:r>
        <w:rPr>
          <w:rFonts w:eastAsia="SimSun" w:hint="eastAsia"/>
        </w:rPr>
        <w:t>-d</w:t>
      </w:r>
      <w:r>
        <w:rPr>
          <w:rFonts w:eastAsia="SimSun" w:hint="eastAsia"/>
        </w:rPr>
        <w:t>）条依职提起诉讼。</w:t>
      </w:r>
    </w:p>
  </w:footnote>
  <w:footnote w:id="9">
    <w:p w:rsidR="00322285" w:rsidRDefault="00322285">
      <w:pPr>
        <w:pStyle w:val="FootnoteText"/>
        <w:spacing w:after="60" w:line="260" w:lineRule="exact"/>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见《平等待遇法案》第</w:t>
      </w:r>
      <w:r>
        <w:rPr>
          <w:rFonts w:eastAsia="SimSun"/>
        </w:rPr>
        <w:t>16</w:t>
      </w:r>
      <w:r>
        <w:rPr>
          <w:rFonts w:eastAsia="SimSun" w:hint="eastAsia"/>
        </w:rPr>
        <w:t>（</w:t>
      </w:r>
      <w:r>
        <w:rPr>
          <w:rFonts w:eastAsia="SimSun"/>
        </w:rPr>
        <w:t>1</w:t>
      </w:r>
      <w:r>
        <w:rPr>
          <w:rFonts w:eastAsia="SimSun" w:hint="eastAsia"/>
        </w:rPr>
        <w:t>）条。</w:t>
      </w:r>
    </w:p>
  </w:footnote>
  <w:footnote w:id="10">
    <w:p w:rsidR="00322285" w:rsidRDefault="00322285">
      <w:pPr>
        <w:pStyle w:val="FootnoteText"/>
        <w:spacing w:after="60" w:line="260" w:lineRule="exact"/>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见第</w:t>
      </w:r>
      <w:r>
        <w:rPr>
          <w:rFonts w:eastAsia="SimSun"/>
        </w:rPr>
        <w:t>20</w:t>
      </w:r>
      <w:r>
        <w:rPr>
          <w:rFonts w:eastAsia="SimSun" w:hint="eastAsia"/>
        </w:rPr>
        <w:t>（</w:t>
      </w:r>
      <w:r>
        <w:rPr>
          <w:rFonts w:eastAsia="SimSun"/>
        </w:rPr>
        <w:t>1</w:t>
      </w:r>
      <w:r>
        <w:rPr>
          <w:rFonts w:eastAsia="SimSun" w:hint="eastAsia"/>
        </w:rPr>
        <w:t>）条。</w:t>
      </w:r>
    </w:p>
  </w:footnote>
  <w:footnote w:id="11">
    <w:p w:rsidR="00322285" w:rsidRDefault="00322285">
      <w:pPr>
        <w:pStyle w:val="FootnoteText"/>
        <w:spacing w:after="60" w:line="260" w:lineRule="exact"/>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见第</w:t>
      </w:r>
      <w:r>
        <w:rPr>
          <w:rFonts w:eastAsia="SimSun"/>
        </w:rPr>
        <w:t>18</w:t>
      </w:r>
      <w:r>
        <w:rPr>
          <w:rFonts w:eastAsia="SimSun" w:hint="eastAsia"/>
        </w:rPr>
        <w:t>（</w:t>
      </w:r>
      <w:r>
        <w:rPr>
          <w:rFonts w:eastAsia="SimSun"/>
        </w:rPr>
        <w:t>1</w:t>
      </w:r>
      <w:r>
        <w:rPr>
          <w:rFonts w:eastAsia="SimSun" w:hint="eastAsia"/>
        </w:rPr>
        <w:t>）条。</w:t>
      </w:r>
    </w:p>
  </w:footnote>
  <w:footnote w:id="12">
    <w:p w:rsidR="00322285" w:rsidRDefault="00322285">
      <w:pPr>
        <w:pStyle w:val="FootnoteText"/>
        <w:spacing w:after="60" w:line="260" w:lineRule="exact"/>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见第</w:t>
      </w:r>
      <w:r>
        <w:rPr>
          <w:rFonts w:eastAsia="SimSun"/>
        </w:rPr>
        <w:t>11</w:t>
      </w:r>
      <w:r>
        <w:rPr>
          <w:rFonts w:eastAsia="SimSun" w:hint="eastAsia"/>
        </w:rPr>
        <w:t>条。</w:t>
      </w:r>
    </w:p>
  </w:footnote>
  <w:footnote w:id="13">
    <w:p w:rsidR="00322285" w:rsidRDefault="00322285">
      <w:pPr>
        <w:pStyle w:val="FootnoteText"/>
        <w:spacing w:after="60" w:line="260" w:lineRule="exact"/>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见第</w:t>
      </w:r>
      <w:r>
        <w:rPr>
          <w:rFonts w:eastAsia="SimSun"/>
        </w:rPr>
        <w:t>36</w:t>
      </w:r>
      <w:r>
        <w:rPr>
          <w:rFonts w:eastAsia="SimSun" w:hint="eastAsia"/>
        </w:rPr>
        <w:t>条。</w:t>
      </w:r>
    </w:p>
  </w:footnote>
  <w:footnote w:id="14">
    <w:p w:rsidR="00322285" w:rsidRDefault="00322285">
      <w:pPr>
        <w:pStyle w:val="FootnoteText"/>
        <w:spacing w:after="60" w:line="260" w:lineRule="exact"/>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见《劳动法》第</w:t>
      </w:r>
      <w:r>
        <w:rPr>
          <w:rFonts w:eastAsia="SimSun"/>
        </w:rPr>
        <w:t>70/A</w:t>
      </w:r>
      <w:r>
        <w:rPr>
          <w:rFonts w:eastAsia="SimSun" w:hint="eastAsia"/>
        </w:rPr>
        <w:t>条。</w:t>
      </w:r>
    </w:p>
  </w:footnote>
  <w:footnote w:id="15">
    <w:p w:rsidR="00322285" w:rsidRDefault="00322285">
      <w:pPr>
        <w:pStyle w:val="FootnoteText"/>
        <w:spacing w:after="60" w:line="260" w:lineRule="exac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经</w:t>
      </w:r>
      <w:r>
        <w:rPr>
          <w:rFonts w:eastAsia="SimSun" w:hint="eastAsia"/>
        </w:rPr>
        <w:t>2001</w:t>
      </w:r>
      <w:r>
        <w:rPr>
          <w:rFonts w:eastAsia="SimSun" w:hint="eastAsia"/>
        </w:rPr>
        <w:t>年第</w:t>
      </w:r>
      <w:r>
        <w:rPr>
          <w:rFonts w:eastAsia="SimSun" w:hint="eastAsia"/>
        </w:rPr>
        <w:t>CXXI</w:t>
      </w:r>
      <w:r>
        <w:rPr>
          <w:rFonts w:eastAsia="SimSun" w:hint="eastAsia"/>
        </w:rPr>
        <w:t>号法案修正。</w:t>
      </w:r>
    </w:p>
  </w:footnote>
  <w:footnote w:id="16">
    <w:p w:rsidR="00322285" w:rsidRDefault="00322285">
      <w:pPr>
        <w:pStyle w:val="FootnoteText"/>
        <w:spacing w:after="60" w:line="260" w:lineRule="exact"/>
        <w:rPr>
          <w:rFonts w:eastAsia="SimSun" w:hint="eastAsia"/>
        </w:rPr>
      </w:pPr>
      <w:r>
        <w:rPr>
          <w:rStyle w:val="FootnoteReference"/>
          <w:rFonts w:eastAsia="SimSun"/>
        </w:rPr>
        <w:footnoteRef/>
      </w:r>
      <w:r>
        <w:rPr>
          <w:rFonts w:eastAsia="SimSun"/>
        </w:rPr>
        <w:t xml:space="preserve"> </w:t>
      </w:r>
      <w:r>
        <w:rPr>
          <w:rFonts w:eastAsia="SimSun" w:hint="eastAsia"/>
        </w:rPr>
        <w:t xml:space="preserve"> 1999</w:t>
      </w:r>
      <w:r>
        <w:rPr>
          <w:rFonts w:eastAsia="SimSun" w:hint="eastAsia"/>
        </w:rPr>
        <w:t>年</w:t>
      </w:r>
      <w:r>
        <w:rPr>
          <w:rFonts w:eastAsia="SimSun" w:hint="eastAsia"/>
        </w:rPr>
        <w:t>3</w:t>
      </w:r>
      <w:r>
        <w:rPr>
          <w:rFonts w:eastAsia="SimSun" w:hint="eastAsia"/>
        </w:rPr>
        <w:t>月</w:t>
      </w:r>
      <w:r>
        <w:rPr>
          <w:rFonts w:eastAsia="SimSun" w:hint="eastAsia"/>
        </w:rPr>
        <w:t>1</w:t>
      </w:r>
      <w:r>
        <w:rPr>
          <w:rFonts w:eastAsia="SimSun" w:hint="eastAsia"/>
        </w:rPr>
        <w:t>日开始生效的</w:t>
      </w:r>
      <w:r>
        <w:rPr>
          <w:rFonts w:eastAsia="SimSun" w:hint="eastAsia"/>
        </w:rPr>
        <w:t>1998</w:t>
      </w:r>
      <w:r>
        <w:rPr>
          <w:rFonts w:eastAsia="SimSun" w:hint="eastAsia"/>
        </w:rPr>
        <w:t>年第</w:t>
      </w:r>
      <w:r>
        <w:rPr>
          <w:rFonts w:eastAsia="SimSun" w:hint="eastAsia"/>
        </w:rPr>
        <w:t>LXXXVII</w:t>
      </w:r>
      <w:r>
        <w:rPr>
          <w:rFonts w:eastAsia="SimSun" w:hint="eastAsia"/>
        </w:rPr>
        <w:t>号法案。</w:t>
      </w:r>
    </w:p>
  </w:footnote>
  <w:footnote w:id="17">
    <w:p w:rsidR="00322285" w:rsidRDefault="00322285">
      <w:pPr>
        <w:pStyle w:val="FootnoteText"/>
        <w:spacing w:after="60" w:line="260" w:lineRule="exact"/>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例如，</w:t>
      </w:r>
      <w:r>
        <w:rPr>
          <w:rFonts w:eastAsia="SimSun" w:hint="eastAsia"/>
        </w:rPr>
        <w:t>Thun, E</w:t>
      </w:r>
      <w:r>
        <w:rPr>
          <w:rFonts w:eastAsia="SimSun" w:hint="eastAsia"/>
        </w:rPr>
        <w:t>（</w:t>
      </w:r>
      <w:r>
        <w:rPr>
          <w:rFonts w:eastAsia="SimSun" w:hint="eastAsia"/>
        </w:rPr>
        <w:t>2005</w:t>
      </w:r>
      <w:r>
        <w:rPr>
          <w:rFonts w:eastAsia="SimSun" w:hint="eastAsia"/>
        </w:rPr>
        <w:t>年）：从一名妇女的视角看教育。</w:t>
      </w:r>
    </w:p>
  </w:footnote>
  <w:footnote w:id="18">
    <w:p w:rsidR="00322285" w:rsidRDefault="00322285">
      <w:pPr>
        <w:pStyle w:val="FootnoteText"/>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目前只有</w:t>
      </w:r>
      <w:r>
        <w:rPr>
          <w:rFonts w:eastAsia="SimSun" w:hint="eastAsia"/>
        </w:rPr>
        <w:t>2003</w:t>
      </w:r>
      <w:r>
        <w:rPr>
          <w:rFonts w:eastAsia="SimSun" w:hint="eastAsia"/>
        </w:rPr>
        <w:t>年的部分数据。</w:t>
      </w:r>
    </w:p>
  </w:footnote>
  <w:footnote w:id="19">
    <w:p w:rsidR="00322285" w:rsidRDefault="00322285">
      <w:pPr>
        <w:pStyle w:val="FootnoteText"/>
        <w:spacing w:after="60" w:line="260" w:lineRule="exact"/>
        <w:jc w:val="both"/>
        <w:rPr>
          <w:rFonts w:eastAsia="SimSun" w:hint="eastAsia"/>
        </w:rPr>
      </w:pPr>
      <w:r>
        <w:rPr>
          <w:rStyle w:val="FootnoteReference"/>
          <w:rFonts w:eastAsia="SimSun"/>
        </w:rPr>
        <w:t>19</w:t>
      </w:r>
      <w:r>
        <w:rPr>
          <w:rFonts w:eastAsia="SimSun"/>
        </w:rPr>
        <w:t xml:space="preserve"> </w:t>
      </w:r>
      <w:r>
        <w:rPr>
          <w:rFonts w:eastAsia="SimSun" w:hint="eastAsia"/>
        </w:rPr>
        <w:t xml:space="preserve"> </w:t>
      </w:r>
      <w:r>
        <w:rPr>
          <w:rFonts w:eastAsia="SimSun" w:hint="eastAsia"/>
        </w:rPr>
        <w:t>家庭暴力出版物，如</w:t>
      </w:r>
      <w:r>
        <w:rPr>
          <w:rFonts w:eastAsia="SimSun" w:hint="eastAsia"/>
        </w:rPr>
        <w:t>T</w:t>
      </w:r>
      <w:r>
        <w:rPr>
          <w:rFonts w:eastAsia="SimSun"/>
        </w:rPr>
        <w:t>ó</w:t>
      </w:r>
      <w:r>
        <w:rPr>
          <w:rFonts w:eastAsia="SimSun" w:hint="eastAsia"/>
        </w:rPr>
        <w:t>th O.: A csal</w:t>
      </w:r>
      <w:r>
        <w:rPr>
          <w:rFonts w:eastAsia="SimSun"/>
        </w:rPr>
        <w:t>á</w:t>
      </w:r>
      <w:r>
        <w:rPr>
          <w:rFonts w:eastAsia="SimSun" w:hint="eastAsia"/>
        </w:rPr>
        <w:t>don bel</w:t>
      </w:r>
      <w:r>
        <w:rPr>
          <w:rFonts w:eastAsia="SimSun"/>
        </w:rPr>
        <w:t>ü</w:t>
      </w:r>
      <w:r>
        <w:rPr>
          <w:rFonts w:eastAsia="SimSun" w:hint="eastAsia"/>
        </w:rPr>
        <w:t xml:space="preserve">li, partner </w:t>
      </w:r>
      <w:r>
        <w:rPr>
          <w:rFonts w:eastAsia="SimSun"/>
        </w:rPr>
        <w:t>e</w:t>
      </w:r>
      <w:r>
        <w:rPr>
          <w:rFonts w:eastAsia="SimSun" w:hint="eastAsia"/>
        </w:rPr>
        <w:t>lleni er</w:t>
      </w:r>
      <w:r>
        <w:rPr>
          <w:rFonts w:eastAsia="SimSun"/>
        </w:rPr>
        <w:t>ö</w:t>
      </w:r>
      <w:r>
        <w:rPr>
          <w:rFonts w:eastAsia="SimSun" w:hint="eastAsia"/>
        </w:rPr>
        <w:t>szak, Sz</w:t>
      </w:r>
      <w:r>
        <w:rPr>
          <w:rFonts w:eastAsia="SimSun"/>
        </w:rPr>
        <w:t>á</w:t>
      </w:r>
      <w:r>
        <w:rPr>
          <w:rFonts w:eastAsia="SimSun" w:hint="eastAsia"/>
        </w:rPr>
        <w:t>zadv</w:t>
      </w:r>
      <w:r>
        <w:rPr>
          <w:rFonts w:eastAsia="SimSun"/>
        </w:rPr>
        <w:t>é</w:t>
      </w:r>
      <w:r>
        <w:rPr>
          <w:rFonts w:eastAsia="SimSun" w:hint="eastAsia"/>
        </w:rPr>
        <w:t>g Kiad</w:t>
      </w:r>
      <w:r>
        <w:rPr>
          <w:rFonts w:eastAsia="SimSun"/>
        </w:rPr>
        <w:t>ó</w:t>
      </w:r>
      <w:r>
        <w:rPr>
          <w:rFonts w:eastAsia="SimSun" w:hint="eastAsia"/>
        </w:rPr>
        <w:t>, 2003</w:t>
      </w:r>
      <w:r>
        <w:rPr>
          <w:rFonts w:eastAsia="SimSun" w:hint="eastAsia"/>
        </w:rPr>
        <w:t>年；</w:t>
      </w:r>
      <w:r>
        <w:rPr>
          <w:rFonts w:eastAsia="SimSun" w:hint="eastAsia"/>
        </w:rPr>
        <w:t>Nagy H.: Holtomiglan holtodiglan, Tan</w:t>
      </w:r>
      <w:r>
        <w:rPr>
          <w:rFonts w:eastAsia="SimSun"/>
        </w:rPr>
        <w:t>f</w:t>
      </w:r>
      <w:r>
        <w:rPr>
          <w:rFonts w:eastAsia="SimSun" w:hint="eastAsia"/>
        </w:rPr>
        <w:t>t</w:t>
      </w:r>
      <w:r>
        <w:rPr>
          <w:rFonts w:eastAsia="SimSun"/>
        </w:rPr>
        <w:t>ó</w:t>
      </w:r>
      <w:r>
        <w:rPr>
          <w:rFonts w:eastAsia="SimSun" w:hint="eastAsia"/>
        </w:rPr>
        <w:t>mester Kft</w:t>
      </w:r>
      <w:r>
        <w:rPr>
          <w:rFonts w:eastAsia="SimSun" w:hint="eastAsia"/>
        </w:rPr>
        <w:t>，布达佩斯，</w:t>
      </w:r>
      <w:r>
        <w:rPr>
          <w:rFonts w:eastAsia="SimSun" w:hint="eastAsia"/>
        </w:rPr>
        <w:t>2004</w:t>
      </w:r>
      <w:r>
        <w:rPr>
          <w:rFonts w:eastAsia="SimSun" w:hint="eastAsia"/>
        </w:rPr>
        <w:t>年；</w:t>
      </w:r>
      <w:r>
        <w:rPr>
          <w:rFonts w:eastAsia="SimSun" w:hint="eastAsia"/>
        </w:rPr>
        <w:t>Tam</w:t>
      </w:r>
      <w:r>
        <w:rPr>
          <w:rFonts w:eastAsia="SimSun"/>
        </w:rPr>
        <w:t>á</w:t>
      </w:r>
      <w:r>
        <w:rPr>
          <w:rFonts w:eastAsia="SimSun" w:hint="eastAsia"/>
        </w:rPr>
        <w:t>si E.: B</w:t>
      </w:r>
      <w:r>
        <w:rPr>
          <w:rFonts w:eastAsia="SimSun"/>
        </w:rPr>
        <w:t>ü</w:t>
      </w:r>
      <w:r>
        <w:rPr>
          <w:rFonts w:eastAsia="SimSun" w:hint="eastAsia"/>
        </w:rPr>
        <w:t>n</w:t>
      </w:r>
      <w:r>
        <w:rPr>
          <w:rFonts w:eastAsia="SimSun"/>
        </w:rPr>
        <w:t>ö</w:t>
      </w:r>
      <w:r>
        <w:rPr>
          <w:rFonts w:eastAsia="SimSun" w:hint="eastAsia"/>
        </w:rPr>
        <w:t xml:space="preserve">s </w:t>
      </w:r>
      <w:r>
        <w:rPr>
          <w:rFonts w:eastAsia="SimSun"/>
        </w:rPr>
        <w:t>á</w:t>
      </w:r>
      <w:r>
        <w:rPr>
          <w:rFonts w:eastAsia="SimSun" w:hint="eastAsia"/>
        </w:rPr>
        <w:t>ldozatok, BM Duna Palota Kiad</w:t>
      </w:r>
      <w:r>
        <w:rPr>
          <w:rFonts w:eastAsia="SimSun"/>
        </w:rPr>
        <w:t>ó</w:t>
      </w:r>
      <w:r>
        <w:rPr>
          <w:rFonts w:eastAsia="SimSun" w:hint="eastAsia"/>
        </w:rPr>
        <w:t>，布达佩斯，</w:t>
      </w:r>
      <w:r>
        <w:rPr>
          <w:rFonts w:eastAsia="SimSun" w:hint="eastAsia"/>
        </w:rPr>
        <w:t>2004</w:t>
      </w:r>
      <w:r>
        <w:rPr>
          <w:rFonts w:eastAsia="SimSun" w:hint="eastAsia"/>
        </w:rPr>
        <w:t>年；</w:t>
      </w:r>
      <w:r>
        <w:rPr>
          <w:rFonts w:eastAsia="SimSun" w:hint="eastAsia"/>
        </w:rPr>
        <w:t>Vir</w:t>
      </w:r>
      <w:r>
        <w:rPr>
          <w:rFonts w:eastAsia="SimSun"/>
        </w:rPr>
        <w:t>á</w:t>
      </w:r>
      <w:r>
        <w:rPr>
          <w:rFonts w:eastAsia="SimSun" w:hint="eastAsia"/>
        </w:rPr>
        <w:t xml:space="preserve">g Gy. </w:t>
      </w:r>
      <w:r>
        <w:rPr>
          <w:rFonts w:eastAsia="SimSun" w:hint="eastAsia"/>
        </w:rPr>
        <w:t>（出版社）</w:t>
      </w:r>
      <w:r>
        <w:rPr>
          <w:rFonts w:eastAsia="SimSun" w:hint="eastAsia"/>
        </w:rPr>
        <w:t>: Csal</w:t>
      </w:r>
      <w:r>
        <w:rPr>
          <w:rFonts w:eastAsia="SimSun"/>
        </w:rPr>
        <w:t>á</w:t>
      </w:r>
      <w:r>
        <w:rPr>
          <w:rFonts w:eastAsia="SimSun" w:hint="eastAsia"/>
        </w:rPr>
        <w:t>di iszonyok, KJK</w:t>
      </w:r>
      <w:r>
        <w:rPr>
          <w:rFonts w:eastAsia="SimSun" w:hint="eastAsia"/>
        </w:rPr>
        <w:t>，布达佩斯，</w:t>
      </w:r>
      <w:r>
        <w:rPr>
          <w:rFonts w:eastAsia="SimSun" w:hint="eastAsia"/>
        </w:rPr>
        <w:t>2005</w:t>
      </w:r>
      <w:r>
        <w:rPr>
          <w:rFonts w:eastAsia="SimSun" w:hint="eastAsia"/>
        </w:rPr>
        <w:t>年：</w:t>
      </w:r>
      <w:r>
        <w:rPr>
          <w:rFonts w:eastAsia="SimSun" w:hint="eastAsia"/>
          <w:color w:val="0000FF"/>
          <w:u w:val="single"/>
        </w:rPr>
        <w:t>www.eszteralapitvany.hu; www.csagyi.hu</w:t>
      </w:r>
      <w:r>
        <w:rPr>
          <w:rFonts w:eastAsia="SimSun" w:hint="eastAsia"/>
        </w:rPr>
        <w:t>。</w:t>
      </w:r>
    </w:p>
  </w:footnote>
  <w:footnote w:id="20">
    <w:p w:rsidR="00322285" w:rsidRDefault="00322285">
      <w:pPr>
        <w:pStyle w:val="FootnoteText"/>
        <w:spacing w:after="60" w:line="260" w:lineRule="exact"/>
        <w:jc w:val="both"/>
        <w:rPr>
          <w:rFonts w:eastAsia="SimSun" w:hint="eastAsia"/>
        </w:rPr>
      </w:pPr>
      <w:r>
        <w:rPr>
          <w:rStyle w:val="FootnoteReference"/>
          <w:rFonts w:eastAsia="SimSun"/>
        </w:rPr>
        <w:t>20</w:t>
      </w:r>
      <w:r>
        <w:rPr>
          <w:rFonts w:eastAsia="SimSun"/>
        </w:rPr>
        <w:t xml:space="preserve"> </w:t>
      </w:r>
      <w:r>
        <w:rPr>
          <w:rFonts w:eastAsia="SimSun" w:hint="eastAsia"/>
        </w:rPr>
        <w:t xml:space="preserve"> </w:t>
      </w:r>
      <w:r>
        <w:rPr>
          <w:rFonts w:eastAsia="SimSun" w:hint="eastAsia"/>
        </w:rPr>
        <w:t>第</w:t>
      </w:r>
      <w:r>
        <w:rPr>
          <w:rFonts w:eastAsia="SimSun" w:hint="eastAsia"/>
        </w:rPr>
        <w:t>IV</w:t>
      </w:r>
      <w:r>
        <w:rPr>
          <w:rFonts w:eastAsia="SimSun" w:hint="eastAsia"/>
        </w:rPr>
        <w:t>号政府报告第</w:t>
      </w:r>
      <w:r>
        <w:rPr>
          <w:rFonts w:eastAsia="SimSun" w:hint="eastAsia"/>
        </w:rPr>
        <w:t>22</w:t>
      </w:r>
      <w:r>
        <w:rPr>
          <w:rFonts w:eastAsia="SimSun" w:hint="eastAsia"/>
        </w:rPr>
        <w:t>个问题对研究数据做了详细介绍。</w:t>
      </w:r>
    </w:p>
  </w:footnote>
  <w:footnote w:id="21">
    <w:p w:rsidR="00322285" w:rsidRDefault="00322285">
      <w:pPr>
        <w:pStyle w:val="FootnoteText"/>
        <w:spacing w:after="60" w:line="260" w:lineRule="exact"/>
        <w:jc w:val="both"/>
        <w:rPr>
          <w:rFonts w:eastAsia="SimSun" w:hint="eastAsia"/>
        </w:rPr>
      </w:pPr>
      <w:r>
        <w:rPr>
          <w:rStyle w:val="FootnoteReference"/>
          <w:rFonts w:eastAsia="SimSun"/>
        </w:rPr>
        <w:t>21</w:t>
      </w:r>
      <w:r>
        <w:rPr>
          <w:rFonts w:eastAsia="SimSun"/>
        </w:rPr>
        <w:t xml:space="preserve"> </w:t>
      </w:r>
      <w:r>
        <w:rPr>
          <w:rFonts w:eastAsia="SimSun" w:hint="eastAsia"/>
        </w:rPr>
        <w:t xml:space="preserve"> </w:t>
      </w:r>
      <w:r>
        <w:rPr>
          <w:rFonts w:eastAsia="SimSun" w:hint="eastAsia"/>
        </w:rPr>
        <w:t>根据已确定的法律惯例（所搜集到的统计数据以此为基础），家庭暴力包括针对住在一起的同一家人和关于刑法典的</w:t>
      </w:r>
      <w:r>
        <w:rPr>
          <w:rFonts w:eastAsia="SimSun" w:hint="eastAsia"/>
        </w:rPr>
        <w:t>1978</w:t>
      </w:r>
      <w:r>
        <w:rPr>
          <w:rFonts w:eastAsia="SimSun" w:hint="eastAsia"/>
        </w:rPr>
        <w:t>年第</w:t>
      </w:r>
      <w:r>
        <w:rPr>
          <w:rFonts w:eastAsia="SimSun" w:hint="eastAsia"/>
        </w:rPr>
        <w:t>IV</w:t>
      </w:r>
      <w:r>
        <w:rPr>
          <w:rFonts w:eastAsia="SimSun" w:hint="eastAsia"/>
        </w:rPr>
        <w:t>号法案第</w:t>
      </w:r>
      <w:r>
        <w:rPr>
          <w:rFonts w:eastAsia="SimSun" w:hint="eastAsia"/>
        </w:rPr>
        <w:t>1376</w:t>
      </w:r>
      <w:r>
        <w:rPr>
          <w:rFonts w:eastAsia="SimSun" w:hint="eastAsia"/>
        </w:rPr>
        <w:t>条所规定的亲属的犯罪行为，前亲属、前配偶、前生活伴侣之间以及儿童保护机构中未成年人之间的犯罪行为，或该清单所列个人遭受的犯罪行为，这些罪行包括：杀人、过失杀人、未能提供照料、强制、侵犯他人自由、侵犯私人住宅、侵犯通信秘密、未经授权检查私人秘密、中伤、诽谤、改变未成年人的安置、性犯罪、耍流氓、危及未成年人、涉及被禁的色情录音的侵犯、无法提供生活资料、私刑、导致损害和关于侵犯的</w:t>
      </w:r>
      <w:r>
        <w:rPr>
          <w:rFonts w:eastAsia="SimSun" w:hint="eastAsia"/>
        </w:rPr>
        <w:t>1999</w:t>
      </w:r>
      <w:r>
        <w:rPr>
          <w:rFonts w:eastAsia="SimSun" w:hint="eastAsia"/>
        </w:rPr>
        <w:t>年第</w:t>
      </w:r>
      <w:r>
        <w:rPr>
          <w:rFonts w:eastAsia="SimSun" w:hint="eastAsia"/>
        </w:rPr>
        <w:t>LXXIX</w:t>
      </w:r>
      <w:r>
        <w:rPr>
          <w:rFonts w:eastAsia="SimSun" w:hint="eastAsia"/>
        </w:rPr>
        <w:t>号法案所涉侵犯行为，如诽谤、侵犯私人住所、逼迫儿童乞讨、危险的威胁等。</w:t>
      </w:r>
    </w:p>
  </w:footnote>
  <w:footnote w:id="22">
    <w:p w:rsidR="00322285" w:rsidRDefault="00322285">
      <w:pPr>
        <w:spacing w:after="60" w:line="260" w:lineRule="exact"/>
        <w:rPr>
          <w:rFonts w:hint="eastAsia"/>
          <w:sz w:val="18"/>
        </w:rPr>
      </w:pPr>
      <w:r>
        <w:rPr>
          <w:rStyle w:val="FootnoteReference"/>
          <w:sz w:val="18"/>
        </w:rPr>
        <w:t>22</w:t>
      </w:r>
      <w:r>
        <w:rPr>
          <w:sz w:val="18"/>
        </w:rPr>
        <w:t xml:space="preserve"> </w:t>
      </w:r>
      <w:r>
        <w:rPr>
          <w:rFonts w:hint="eastAsia"/>
          <w:sz w:val="18"/>
        </w:rPr>
        <w:t xml:space="preserve"> </w:t>
      </w:r>
      <w:r>
        <w:rPr>
          <w:rFonts w:hint="eastAsia"/>
          <w:sz w:val="18"/>
        </w:rPr>
        <w:t>根据儿童保护和监护的</w:t>
      </w:r>
      <w:r>
        <w:rPr>
          <w:rFonts w:hint="eastAsia"/>
          <w:sz w:val="18"/>
        </w:rPr>
        <w:t>1997</w:t>
      </w:r>
      <w:r>
        <w:rPr>
          <w:rFonts w:hint="eastAsia"/>
          <w:sz w:val="18"/>
        </w:rPr>
        <w:t>年第</w:t>
      </w:r>
      <w:r>
        <w:rPr>
          <w:rFonts w:hint="eastAsia"/>
          <w:sz w:val="18"/>
        </w:rPr>
        <w:t>XXXI</w:t>
      </w:r>
      <w:r>
        <w:rPr>
          <w:rFonts w:hint="eastAsia"/>
          <w:sz w:val="18"/>
        </w:rPr>
        <w:t>号法案，该法案规定了有关任务，特别是规定了警察应在什么时候以及如何参与儿童保护信令系统，它将从制度上确定在实践中已得到一定发展的儿童保护合作论坛系统以及用于报告案件以保护儿童的数据表，并为警察临时安置提供一个示范性的解决方案。该措施是一个全新的、以前从未采用过的措施，因为在该区域活动的最为重要的民事组织已参与了示范文本的编制。</w:t>
      </w:r>
    </w:p>
  </w:footnote>
  <w:footnote w:id="23">
    <w:p w:rsidR="00322285" w:rsidRDefault="00322285">
      <w:pPr>
        <w:pStyle w:val="FootnoteText"/>
        <w:spacing w:after="60" w:line="260" w:lineRule="exact"/>
        <w:jc w:val="both"/>
        <w:rPr>
          <w:rFonts w:eastAsia="SimSun"/>
        </w:rPr>
      </w:pPr>
      <w:r>
        <w:rPr>
          <w:rStyle w:val="FootnoteReference"/>
          <w:rFonts w:eastAsia="SimSun"/>
        </w:rPr>
        <w:t>23</w:t>
      </w:r>
      <w:r>
        <w:rPr>
          <w:rFonts w:eastAsia="SimSun" w:hint="eastAsia"/>
        </w:rPr>
        <w:t xml:space="preserve">  </w:t>
      </w:r>
      <w:r>
        <w:rPr>
          <w:rFonts w:eastAsia="SimSun" w:hint="eastAsia"/>
        </w:rPr>
        <w:t>根据国家警察总部评估政策执行情况的报告：“</w:t>
      </w:r>
      <w:r>
        <w:rPr>
          <w:rFonts w:eastAsia="KaiTi_GB2312" w:hint="eastAsia"/>
        </w:rPr>
        <w:t>主管机构在通知家庭暴力受害者将释放施暴者时没有采取一致做法。在有些情况下，受害者没有得到通知或其情况没有充分记录，不同地方或地区的机构以不同的方式履行任务……警察局确保有关人员受到适当的培训……冲突处置培训只为三个县的工作人员提供，在两个地区机构，该项任务定于下半年进行……国家警察总部人事委员会采取行动，在警察教育机构的方案中规定了与家庭暴力有关的行动和任务</w:t>
      </w:r>
      <w:r>
        <w:rPr>
          <w:rFonts w:eastAsia="SimSun" w:hint="eastAsia"/>
        </w:rPr>
        <w:t>。”</w:t>
      </w:r>
      <w:r>
        <w:rPr>
          <w:rFonts w:eastAsia="SimSun" w:hint="eastAsia"/>
        </w:rPr>
        <w:t>www.im.hu/csaladonbelul/</w:t>
      </w:r>
      <w:r>
        <w:rPr>
          <w:rFonts w:eastAsia="SimSun" w:hint="eastAsia"/>
        </w:rPr>
        <w:t>。</w:t>
      </w:r>
    </w:p>
  </w:footnote>
  <w:footnote w:id="24">
    <w:p w:rsidR="00322285" w:rsidRDefault="00322285">
      <w:pPr>
        <w:spacing w:after="60" w:line="260" w:lineRule="exact"/>
        <w:rPr>
          <w:rFonts w:hint="eastAsia"/>
          <w:sz w:val="18"/>
        </w:rPr>
      </w:pPr>
      <w:r>
        <w:rPr>
          <w:rStyle w:val="FootnoteReference"/>
          <w:sz w:val="18"/>
        </w:rPr>
        <w:t>24</w:t>
      </w:r>
      <w:r>
        <w:rPr>
          <w:sz w:val="18"/>
        </w:rPr>
        <w:t xml:space="preserve"> </w:t>
      </w:r>
      <w:r>
        <w:rPr>
          <w:rFonts w:hint="eastAsia"/>
          <w:sz w:val="18"/>
        </w:rPr>
        <w:t xml:space="preserve"> </w:t>
      </w:r>
      <w:r>
        <w:rPr>
          <w:rFonts w:hint="eastAsia"/>
          <w:sz w:val="18"/>
        </w:rPr>
        <w:t>这是匈牙利立法史上的第一个文件，将家庭暴力的问题和防止家庭暴力的行动提高到了制度干预的高度，申明殴打不是私人的事情，为政府在所有立法、基础设施和业务方面采取有效行动设定了任务和期限。该决议考虑了匈牙利所保证的国际协议和建议。</w:t>
      </w:r>
    </w:p>
  </w:footnote>
  <w:footnote w:id="25">
    <w:p w:rsidR="00322285" w:rsidRDefault="00322285">
      <w:pPr>
        <w:pStyle w:val="FootnoteText"/>
        <w:spacing w:after="60" w:line="260" w:lineRule="exact"/>
        <w:jc w:val="both"/>
        <w:rPr>
          <w:rFonts w:eastAsia="SimSun" w:hint="eastAsia"/>
        </w:rPr>
      </w:pPr>
      <w:r>
        <w:rPr>
          <w:rStyle w:val="FootnoteReference"/>
          <w:rFonts w:eastAsia="SimSun"/>
        </w:rPr>
        <w:t>25</w:t>
      </w:r>
      <w:r>
        <w:rPr>
          <w:rFonts w:eastAsia="SimSun"/>
        </w:rPr>
        <w:t xml:space="preserve"> </w:t>
      </w:r>
      <w:r>
        <w:rPr>
          <w:rFonts w:eastAsia="SimSun" w:hint="eastAsia"/>
        </w:rPr>
        <w:t xml:space="preserve"> </w:t>
      </w:r>
      <w:r>
        <w:rPr>
          <w:rFonts w:eastAsia="SimSun" w:hint="eastAsia"/>
        </w:rPr>
        <w:t>这是县（布达佩斯）司法机构为受害人提供援助服务的一部分。</w:t>
      </w:r>
    </w:p>
  </w:footnote>
  <w:footnote w:id="26">
    <w:p w:rsidR="00322285" w:rsidRDefault="00322285">
      <w:pPr>
        <w:pStyle w:val="FootnoteText"/>
        <w:spacing w:after="60" w:line="260" w:lineRule="exact"/>
        <w:jc w:val="both"/>
        <w:rPr>
          <w:rFonts w:eastAsia="SimSun" w:hint="eastAsia"/>
        </w:rPr>
      </w:pPr>
      <w:r>
        <w:rPr>
          <w:rStyle w:val="FootnoteReference"/>
          <w:rFonts w:eastAsia="SimSun"/>
        </w:rPr>
        <w:t>26</w:t>
      </w:r>
      <w:r>
        <w:rPr>
          <w:rFonts w:eastAsia="SimSun"/>
        </w:rPr>
        <w:t xml:space="preserve"> </w:t>
      </w:r>
      <w:r>
        <w:rPr>
          <w:rFonts w:eastAsia="SimSun" w:hint="eastAsia"/>
        </w:rPr>
        <w:t xml:space="preserve"> </w:t>
      </w:r>
      <w:r>
        <w:rPr>
          <w:rFonts w:eastAsia="SimSun" w:hint="eastAsia"/>
        </w:rPr>
        <w:t>有关禁止法的问题在于，没有提供标准培训或任何负责执法的群体，因此对受害者实行迅速保护仍然只能以逮捕来确保（带走犯罪人）。关于向受伤者或犯罪人提供哪些强制性的或自愿的（援助、治疗或护理）援助以及哪些组织能够提供这些服务，还没有规定。</w:t>
      </w:r>
    </w:p>
  </w:footnote>
  <w:footnote w:id="27">
    <w:p w:rsidR="00322285" w:rsidRDefault="00322285">
      <w:pPr>
        <w:pStyle w:val="FootnoteText"/>
        <w:spacing w:after="60" w:line="260" w:lineRule="exact"/>
        <w:jc w:val="both"/>
        <w:rPr>
          <w:rFonts w:eastAsia="SimSun" w:hint="eastAsia"/>
        </w:rPr>
      </w:pPr>
      <w:r>
        <w:rPr>
          <w:rStyle w:val="FootnoteReference"/>
          <w:rFonts w:eastAsia="SimSun"/>
        </w:rPr>
        <w:t>27</w:t>
      </w:r>
      <w:r>
        <w:rPr>
          <w:rFonts w:eastAsia="SimSun"/>
        </w:rPr>
        <w:t xml:space="preserve"> </w:t>
      </w:r>
      <w:r>
        <w:rPr>
          <w:rFonts w:eastAsia="SimSun" w:hint="eastAsia"/>
          <w:color w:val="0000FF"/>
        </w:rPr>
        <w:t xml:space="preserve"> </w:t>
      </w:r>
      <w:r>
        <w:rPr>
          <w:rFonts w:eastAsia="SimSun"/>
          <w:color w:val="0000FF"/>
          <w:u w:val="single"/>
        </w:rPr>
        <w:t>www</w:t>
      </w:r>
      <w:r>
        <w:rPr>
          <w:rFonts w:eastAsia="SimSun" w:hint="eastAsia"/>
          <w:color w:val="0000FF"/>
          <w:u w:val="single"/>
        </w:rPr>
        <w:t>.bunm</w:t>
      </w:r>
      <w:r>
        <w:rPr>
          <w:rFonts w:eastAsia="SimSun"/>
          <w:color w:val="0000FF"/>
          <w:u w:val="single"/>
        </w:rPr>
        <w:t>e</w:t>
      </w:r>
      <w:r>
        <w:rPr>
          <w:rFonts w:eastAsia="SimSun" w:hint="eastAsia"/>
          <w:color w:val="0000FF"/>
          <w:u w:val="single"/>
        </w:rPr>
        <w:t>gelozes.hu;</w:t>
      </w:r>
      <w:r>
        <w:rPr>
          <w:rFonts w:eastAsia="SimSun" w:hint="eastAsia"/>
        </w:rPr>
        <w:t xml:space="preserve"> </w:t>
      </w:r>
      <w:hyperlink r:id="rId1" w:history="1">
        <w:r>
          <w:rPr>
            <w:rStyle w:val="Hyperlink"/>
            <w:rFonts w:eastAsia="SimSun" w:hint="eastAsia"/>
          </w:rPr>
          <w:t>www.im.hu/csaladonbelul/</w:t>
        </w:r>
      </w:hyperlink>
      <w:r>
        <w:rPr>
          <w:rFonts w:eastAsia="SimSun" w:hint="eastAsia"/>
        </w:rPr>
        <w:t>。</w:t>
      </w:r>
    </w:p>
  </w:footnote>
  <w:footnote w:id="28">
    <w:p w:rsidR="00322285" w:rsidRDefault="00322285">
      <w:pPr>
        <w:pStyle w:val="FootnoteText"/>
        <w:spacing w:after="60" w:line="260" w:lineRule="exact"/>
        <w:jc w:val="both"/>
        <w:rPr>
          <w:rFonts w:eastAsia="SimSun" w:hint="eastAsia"/>
        </w:rPr>
      </w:pPr>
      <w:r>
        <w:rPr>
          <w:rStyle w:val="FootnoteReference"/>
          <w:rFonts w:eastAsia="SimSun"/>
        </w:rPr>
        <w:t>28</w:t>
      </w:r>
      <w:r>
        <w:rPr>
          <w:rFonts w:eastAsia="SimSun"/>
        </w:rPr>
        <w:t xml:space="preserve"> </w:t>
      </w:r>
      <w:r>
        <w:rPr>
          <w:rFonts w:eastAsia="SimSun" w:hint="eastAsia"/>
        </w:rPr>
        <w:t xml:space="preserve"> </w:t>
      </w:r>
      <w:r>
        <w:rPr>
          <w:rFonts w:eastAsia="SimSun" w:hint="eastAsia"/>
        </w:rPr>
        <w:t>警察也参与了该运动，他们的宣传材料（海报、传单）由匈牙利犯罪预防处的工作人员分发至警察设施客户所使用的卫生间。</w:t>
      </w:r>
    </w:p>
  </w:footnote>
  <w:footnote w:id="29">
    <w:p w:rsidR="00322285" w:rsidRDefault="00322285">
      <w:pPr>
        <w:pStyle w:val="FootnoteText"/>
        <w:spacing w:after="60" w:line="260" w:lineRule="exact"/>
        <w:jc w:val="both"/>
        <w:rPr>
          <w:rFonts w:eastAsia="SimSun" w:hint="eastAsia"/>
        </w:rPr>
      </w:pPr>
      <w:r>
        <w:rPr>
          <w:rStyle w:val="FootnoteReference"/>
          <w:rFonts w:eastAsia="SimSun"/>
        </w:rPr>
        <w:t>29</w:t>
      </w:r>
      <w:r>
        <w:rPr>
          <w:rFonts w:eastAsia="SimSun"/>
        </w:rPr>
        <w:t xml:space="preserve"> </w:t>
      </w:r>
      <w:r>
        <w:rPr>
          <w:rFonts w:eastAsia="SimSun" w:hint="eastAsia"/>
        </w:rPr>
        <w:t xml:space="preserve"> </w:t>
      </w:r>
      <w:r>
        <w:rPr>
          <w:rFonts w:eastAsia="SimSun" w:hint="eastAsia"/>
        </w:rPr>
        <w:t>关于该运动及其组织者</w:t>
      </w:r>
      <w:r>
        <w:rPr>
          <w:rFonts w:eastAsia="SimSun" w:hint="eastAsia"/>
        </w:rPr>
        <w:t>ESZTER</w:t>
      </w:r>
      <w:r>
        <w:rPr>
          <w:rFonts w:eastAsia="SimSun" w:hint="eastAsia"/>
        </w:rPr>
        <w:t>基金会的更多资料，见</w:t>
      </w:r>
      <w:hyperlink r:id="rId2" w:history="1">
        <w:r>
          <w:rPr>
            <w:rStyle w:val="Hyperlink"/>
            <w:rFonts w:eastAsia="SimSun" w:hint="eastAsia"/>
          </w:rPr>
          <w:t>www.eszteralapitvany.hu</w:t>
        </w:r>
      </w:hyperlink>
      <w:r>
        <w:rPr>
          <w:rFonts w:eastAsia="SimSun" w:hint="eastAsia"/>
        </w:rPr>
        <w:t>。</w:t>
      </w:r>
    </w:p>
  </w:footnote>
  <w:footnote w:id="30">
    <w:p w:rsidR="00322285" w:rsidRDefault="00322285">
      <w:pPr>
        <w:pStyle w:val="FootnoteText"/>
        <w:spacing w:after="60" w:line="260" w:lineRule="exact"/>
        <w:jc w:val="both"/>
        <w:rPr>
          <w:rFonts w:eastAsia="SimSun" w:hint="eastAsia"/>
        </w:rPr>
      </w:pPr>
      <w:r>
        <w:rPr>
          <w:rStyle w:val="FootnoteReference"/>
          <w:rFonts w:eastAsia="SimSun"/>
        </w:rPr>
        <w:t>30</w:t>
      </w:r>
      <w:r>
        <w:rPr>
          <w:rFonts w:eastAsia="SimSun"/>
        </w:rPr>
        <w:t xml:space="preserve"> </w:t>
      </w:r>
      <w:r>
        <w:rPr>
          <w:rFonts w:eastAsia="SimSun" w:hint="eastAsia"/>
        </w:rPr>
        <w:t xml:space="preserve"> </w:t>
      </w:r>
      <w:r>
        <w:rPr>
          <w:rFonts w:eastAsia="SimSun" w:hint="eastAsia"/>
        </w:rPr>
        <w:t>针对关于政府报告的第</w:t>
      </w:r>
      <w:r>
        <w:rPr>
          <w:rFonts w:eastAsia="SimSun" w:hint="eastAsia"/>
        </w:rPr>
        <w:t>24</w:t>
      </w:r>
      <w:r>
        <w:rPr>
          <w:rFonts w:eastAsia="SimSun" w:hint="eastAsia"/>
        </w:rPr>
        <w:t>个问题（见</w:t>
      </w:r>
      <w:r>
        <w:rPr>
          <w:rFonts w:eastAsia="SimSun" w:hint="eastAsia"/>
        </w:rPr>
        <w:t>CEDAW/C/HU</w:t>
      </w:r>
      <w:r>
        <w:rPr>
          <w:rFonts w:eastAsia="SimSun"/>
        </w:rPr>
        <w:t>N</w:t>
      </w:r>
      <w:r>
        <w:rPr>
          <w:rFonts w:eastAsia="SimSun" w:hint="eastAsia"/>
        </w:rPr>
        <w:t>/</w:t>
      </w:r>
      <w:r>
        <w:rPr>
          <w:rFonts w:eastAsia="SimSun"/>
        </w:rPr>
        <w:t>4</w:t>
      </w:r>
      <w:r>
        <w:rPr>
          <w:rFonts w:eastAsia="SimSun" w:hint="eastAsia"/>
        </w:rPr>
        <w:t>-5</w:t>
      </w:r>
      <w:r>
        <w:rPr>
          <w:rFonts w:eastAsia="SimSun" w:hint="eastAsia"/>
        </w:rPr>
        <w:t>），应该指出的是，关于家庭暴力的特定主题，没有向负责该法律适用和执行的人提供有组织的定期培训。</w:t>
      </w:r>
    </w:p>
  </w:footnote>
  <w:footnote w:id="31">
    <w:p w:rsidR="00322285" w:rsidRDefault="00322285">
      <w:pPr>
        <w:pStyle w:val="FootnoteText"/>
        <w:spacing w:after="60" w:line="260" w:lineRule="exact"/>
        <w:jc w:val="both"/>
        <w:rPr>
          <w:rFonts w:eastAsia="SimSun" w:hint="eastAsia"/>
        </w:rPr>
      </w:pPr>
      <w:r>
        <w:rPr>
          <w:rStyle w:val="FootnoteReference"/>
          <w:rFonts w:eastAsia="SimSun"/>
        </w:rPr>
        <w:t>31</w:t>
      </w:r>
      <w:r>
        <w:rPr>
          <w:rFonts w:eastAsia="SimSun"/>
        </w:rPr>
        <w:t xml:space="preserve"> </w:t>
      </w:r>
      <w:r>
        <w:rPr>
          <w:rFonts w:eastAsia="SimSun" w:hint="eastAsia"/>
        </w:rPr>
        <w:t xml:space="preserve"> </w:t>
      </w:r>
      <w:r>
        <w:rPr>
          <w:rFonts w:eastAsia="SimSun" w:hint="eastAsia"/>
        </w:rPr>
        <w:t>在强制性政策中（拘留、逮捕），</w:t>
      </w:r>
      <w:r>
        <w:rPr>
          <w:rFonts w:eastAsia="SimSun" w:hint="eastAsia"/>
        </w:rPr>
        <w:t>2004</w:t>
      </w:r>
      <w:r>
        <w:rPr>
          <w:rFonts w:eastAsia="SimSun" w:hint="eastAsia"/>
        </w:rPr>
        <w:t>年共有</w:t>
      </w:r>
      <w:r>
        <w:rPr>
          <w:rFonts w:eastAsia="SimSun" w:hint="eastAsia"/>
        </w:rPr>
        <w:t>497</w:t>
      </w:r>
      <w:r>
        <w:rPr>
          <w:rFonts w:eastAsia="SimSun" w:hint="eastAsia"/>
        </w:rPr>
        <w:t>起逮捕案。在这方面，布达佩斯警察总部所在地区和绍莫吉州发生案件的数量最大（</w:t>
      </w:r>
      <w:r>
        <w:rPr>
          <w:rFonts w:eastAsia="SimSun" w:hint="eastAsia"/>
        </w:rPr>
        <w:t>136</w:t>
      </w:r>
      <w:r>
        <w:rPr>
          <w:rFonts w:eastAsia="SimSun" w:hint="eastAsia"/>
        </w:rPr>
        <w:t>和</w:t>
      </w:r>
      <w:r>
        <w:rPr>
          <w:rFonts w:eastAsia="SimSun" w:hint="eastAsia"/>
        </w:rPr>
        <w:t>82</w:t>
      </w:r>
      <w:r>
        <w:rPr>
          <w:rFonts w:eastAsia="SimSun" w:hint="eastAsia"/>
        </w:rPr>
        <w:t>起）。在布达佩斯，被拘留（</w:t>
      </w:r>
      <w:r>
        <w:rPr>
          <w:rFonts w:eastAsia="SimSun" w:hint="eastAsia"/>
        </w:rPr>
        <w:t>36</w:t>
      </w:r>
      <w:r>
        <w:rPr>
          <w:rFonts w:eastAsia="SimSun" w:hint="eastAsia"/>
        </w:rPr>
        <w:t>）和逮捕（</w:t>
      </w:r>
      <w:r>
        <w:rPr>
          <w:rFonts w:eastAsia="SimSun" w:hint="eastAsia"/>
        </w:rPr>
        <w:t>9</w:t>
      </w:r>
      <w:r>
        <w:rPr>
          <w:rFonts w:eastAsia="SimSun" w:hint="eastAsia"/>
        </w:rPr>
        <w:t>）的人数最多。按照法律规定，在</w:t>
      </w:r>
      <w:r>
        <w:rPr>
          <w:rFonts w:eastAsia="SimSun" w:hint="eastAsia"/>
        </w:rPr>
        <w:t>530</w:t>
      </w:r>
      <w:r>
        <w:rPr>
          <w:rFonts w:eastAsia="SimSun" w:hint="eastAsia"/>
        </w:rPr>
        <w:t>起案件中提供了有关儿童保护的资料（警察是儿童保护信令系统的组成部分，如果儿童在家庭暴力中也受到影响——成为证人或受伤者，必须向监护机构，即儿童福利机构报告），而在</w:t>
      </w:r>
      <w:r>
        <w:rPr>
          <w:rFonts w:eastAsia="SimSun" w:hint="eastAsia"/>
        </w:rPr>
        <w:t>137</w:t>
      </w:r>
      <w:r>
        <w:rPr>
          <w:rFonts w:eastAsia="SimSun" w:hint="eastAsia"/>
        </w:rPr>
        <w:t>起案件中，警察与儿童保护信令系统其他成员开展了咨询服务，并在</w:t>
      </w:r>
      <w:r>
        <w:rPr>
          <w:rFonts w:eastAsia="SimSun" w:hint="eastAsia"/>
        </w:rPr>
        <w:t>44</w:t>
      </w:r>
      <w:r>
        <w:rPr>
          <w:rFonts w:eastAsia="SimSun" w:hint="eastAsia"/>
        </w:rPr>
        <w:t>起案件中参与了案件审理会议。</w:t>
      </w:r>
    </w:p>
  </w:footnote>
  <w:footnote w:id="32">
    <w:p w:rsidR="00322285" w:rsidRDefault="00322285">
      <w:pPr>
        <w:pStyle w:val="FootnoteText"/>
        <w:spacing w:after="60" w:line="260" w:lineRule="exact"/>
        <w:jc w:val="both"/>
        <w:rPr>
          <w:rFonts w:eastAsia="SimSun" w:hint="eastAsia"/>
        </w:rPr>
      </w:pPr>
      <w:r>
        <w:rPr>
          <w:rStyle w:val="FootnoteReference"/>
          <w:rFonts w:eastAsia="SimSun"/>
        </w:rPr>
        <w:t>32</w:t>
      </w:r>
      <w:r>
        <w:rPr>
          <w:rFonts w:eastAsia="SimSun"/>
        </w:rPr>
        <w:t xml:space="preserve"> </w:t>
      </w:r>
      <w:r>
        <w:rPr>
          <w:rFonts w:eastAsia="SimSun" w:hint="eastAsia"/>
        </w:rPr>
        <w:t xml:space="preserve"> </w:t>
      </w:r>
      <w:r>
        <w:rPr>
          <w:rFonts w:eastAsia="SimSun" w:hint="eastAsia"/>
        </w:rPr>
        <w:t>根据国家警察总部在一些场合采取的行动，警察分局必须不遗余力地防止人们成为间接受害者，他们必须以适当的同情和理解对待那些遭受性道德犯罪的人。根据警方的正式报告，要向受害者提供法律援助和资料，在刑事诉讼中，在一个封闭的系统中对数据进行管理已成为一种惯例和常规性的程序。但是，一个不利的情况是，多年来都是在大厅开放的接待处对原告的陈述进行笔录，一些（最近交付使用的警察大楼）用于笔录原告陈述的房间在设计上，完全无视保护受害人的要求，使用老式的窗户系统，文件通过窗口递入。</w:t>
      </w:r>
    </w:p>
  </w:footnote>
  <w:footnote w:id="33">
    <w:p w:rsidR="00322285" w:rsidRDefault="00322285">
      <w:pPr>
        <w:pStyle w:val="FootnoteText"/>
        <w:spacing w:after="60" w:line="260" w:lineRule="exact"/>
        <w:jc w:val="both"/>
        <w:rPr>
          <w:rFonts w:eastAsia="SimSun" w:hint="eastAsia"/>
        </w:rPr>
      </w:pPr>
      <w:r>
        <w:rPr>
          <w:rStyle w:val="FootnoteReference"/>
          <w:rFonts w:eastAsia="SimSun"/>
        </w:rPr>
        <w:t>33</w:t>
      </w:r>
      <w:r>
        <w:rPr>
          <w:rFonts w:eastAsia="SimSun"/>
        </w:rPr>
        <w:t xml:space="preserve"> </w:t>
      </w:r>
      <w:r>
        <w:rPr>
          <w:rFonts w:eastAsia="SimSun" w:hint="eastAsia"/>
        </w:rPr>
        <w:t xml:space="preserve"> </w:t>
      </w:r>
      <w:r>
        <w:rPr>
          <w:rFonts w:eastAsia="SimSun" w:hint="eastAsia"/>
        </w:rPr>
        <w:t>在本报告所述期间，专家人数在</w:t>
      </w:r>
      <w:r>
        <w:rPr>
          <w:rFonts w:eastAsia="SimSun" w:hint="eastAsia"/>
        </w:rPr>
        <w:t>200</w:t>
      </w:r>
      <w:r>
        <w:rPr>
          <w:rFonts w:eastAsia="SimSun" w:hint="eastAsia"/>
        </w:rPr>
        <w:t>至</w:t>
      </w:r>
      <w:r>
        <w:rPr>
          <w:rFonts w:eastAsia="SimSun" w:hint="eastAsia"/>
        </w:rPr>
        <w:t>230</w:t>
      </w:r>
      <w:r>
        <w:rPr>
          <w:rFonts w:eastAsia="SimSun" w:hint="eastAsia"/>
        </w:rPr>
        <w:t>名之间，即这些专家原则上都是在每个警察总部工作。但是事实上，一个警察（没有受过保护受害人的专门培训）要在合并岗位上执行这一任务。在这种情况下，保护受害人也就只是提供信息、出版物和海报。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285" w:rsidRDefault="00322285">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22285">
                  <w:tblPrEx>
                    <w:tblCellMar>
                      <w:top w:w="0" w:type="dxa"/>
                      <w:bottom w:w="0" w:type="dxa"/>
                    </w:tblCellMar>
                  </w:tblPrEx>
                  <w:trPr>
                    <w:trHeight w:hRule="exact" w:val="864"/>
                  </w:trPr>
                  <w:tc>
                    <w:tcPr>
                      <w:tcW w:w="4838" w:type="dxa"/>
                      <w:tcBorders>
                        <w:bottom w:val="single" w:sz="4" w:space="0" w:color="auto"/>
                      </w:tcBorders>
                      <w:vAlign w:val="bottom"/>
                    </w:tcPr>
                    <w:p w:rsidR="00322285" w:rsidRDefault="00322285">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322285" w:rsidRDefault="00322285">
                      <w:pPr>
                        <w:pStyle w:val="Header"/>
                        <w:pBdr>
                          <w:bottom w:val="none" w:sz="0" w:space="0" w:color="auto"/>
                        </w:pBdr>
                      </w:pPr>
                    </w:p>
                  </w:tc>
                </w:tr>
              </w:tbl>
              <w:p w:rsidR="00322285" w:rsidRDefault="0032228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285" w:rsidRDefault="00322285">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22285">
                  <w:tblPrEx>
                    <w:tblCellMar>
                      <w:top w:w="0" w:type="dxa"/>
                      <w:bottom w:w="0" w:type="dxa"/>
                    </w:tblCellMar>
                  </w:tblPrEx>
                  <w:trPr>
                    <w:trHeight w:hRule="exact" w:val="864"/>
                  </w:trPr>
                  <w:tc>
                    <w:tcPr>
                      <w:tcW w:w="4838" w:type="dxa"/>
                      <w:tcBorders>
                        <w:bottom w:val="single" w:sz="4" w:space="0" w:color="auto"/>
                      </w:tcBorders>
                      <w:vAlign w:val="bottom"/>
                    </w:tcPr>
                    <w:p w:rsidR="00322285" w:rsidRDefault="00322285">
                      <w:pPr>
                        <w:pStyle w:val="Header"/>
                        <w:pBdr>
                          <w:bottom w:val="none" w:sz="0" w:space="0" w:color="auto"/>
                        </w:pBdr>
                      </w:pPr>
                    </w:p>
                  </w:tc>
                  <w:tc>
                    <w:tcPr>
                      <w:tcW w:w="5048" w:type="dxa"/>
                      <w:tcBorders>
                        <w:bottom w:val="single" w:sz="4" w:space="0" w:color="auto"/>
                      </w:tcBorders>
                      <w:vAlign w:val="bottom"/>
                    </w:tcPr>
                    <w:p w:rsidR="00322285" w:rsidRDefault="00322285">
                      <w:pPr>
                        <w:pStyle w:val="Header"/>
                        <w:pBdr>
                          <w:bottom w:val="none" w:sz="0" w:space="0" w:color="auto"/>
                        </w:pBdr>
                        <w:spacing w:after="80"/>
                        <w:jc w:val="right"/>
                        <w:rPr>
                          <w:rFonts w:hint="eastAsia"/>
                          <w:b/>
                        </w:rPr>
                      </w:pPr>
                      <w:r>
                        <w:rPr>
                          <w:b/>
                        </w:rPr>
                        <w:t>CEDAW/C/NLD/4</w:t>
                      </w:r>
                    </w:p>
                  </w:tc>
                </w:tr>
              </w:tbl>
              <w:p w:rsidR="00322285" w:rsidRDefault="0032228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32228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322285" w:rsidRDefault="00322285">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322285" w:rsidRDefault="00322285">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322285" w:rsidRDefault="00322285">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322285" w:rsidRDefault="00322285">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HUN</w:t>
          </w:r>
          <w:r>
            <w:rPr>
              <w:position w:val="-4"/>
            </w:rPr>
            <w:t>/</w:t>
          </w:r>
          <w:r>
            <w:rPr>
              <w:rFonts w:hint="eastAsia"/>
              <w:position w:val="-4"/>
            </w:rPr>
            <w:t>6</w:t>
          </w:r>
        </w:p>
      </w:tc>
    </w:tr>
    <w:tr w:rsidR="00322285">
      <w:tblPrEx>
        <w:tblCellMar>
          <w:top w:w="0" w:type="dxa"/>
          <w:bottom w:w="0" w:type="dxa"/>
        </w:tblCellMar>
      </w:tblPrEx>
      <w:trPr>
        <w:trHeight w:hRule="exact" w:val="2880"/>
      </w:trPr>
      <w:tc>
        <w:tcPr>
          <w:tcW w:w="1267" w:type="dxa"/>
          <w:tcBorders>
            <w:left w:val="nil"/>
            <w:bottom w:val="single" w:sz="12" w:space="0" w:color="auto"/>
            <w:right w:val="nil"/>
          </w:tcBorders>
        </w:tcPr>
        <w:p w:rsidR="00322285" w:rsidRDefault="00322285">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5.5pt;height:49.5pt" fillcolor="window">
                <v:imagedata r:id="rId1" o:title=""/>
              </v:shape>
            </w:pict>
          </w:r>
        </w:p>
        <w:p w:rsidR="00322285" w:rsidRDefault="00322285">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322285" w:rsidRDefault="00322285">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322285" w:rsidRDefault="00322285">
          <w:pPr>
            <w:pStyle w:val="Header"/>
            <w:pBdr>
              <w:bottom w:val="none" w:sz="0" w:space="0" w:color="auto"/>
            </w:pBdr>
            <w:spacing w:before="109"/>
          </w:pPr>
        </w:p>
      </w:tc>
      <w:tc>
        <w:tcPr>
          <w:tcW w:w="3199" w:type="dxa"/>
          <w:gridSpan w:val="2"/>
          <w:tcBorders>
            <w:left w:val="nil"/>
            <w:bottom w:val="single" w:sz="12" w:space="0" w:color="auto"/>
            <w:right w:val="nil"/>
          </w:tcBorders>
        </w:tcPr>
        <w:p w:rsidR="00322285" w:rsidRDefault="00322285">
          <w:pPr>
            <w:spacing w:before="240" w:line="240" w:lineRule="exact"/>
          </w:pPr>
          <w:r>
            <w:t>Distr.: General</w:t>
          </w:r>
        </w:p>
        <w:p w:rsidR="00322285" w:rsidRDefault="00322285">
          <w:pPr>
            <w:spacing w:line="240" w:lineRule="exact"/>
          </w:pPr>
          <w:r>
            <w:rPr>
              <w:rFonts w:hint="eastAsia"/>
            </w:rPr>
            <w:t>15</w:t>
          </w:r>
          <w:r>
            <w:t xml:space="preserve"> </w:t>
          </w:r>
          <w:r>
            <w:rPr>
              <w:rFonts w:hint="eastAsia"/>
            </w:rPr>
            <w:t>June</w:t>
          </w:r>
          <w:r>
            <w:t xml:space="preserve"> 200</w:t>
          </w:r>
          <w:r>
            <w:rPr>
              <w:rFonts w:hint="eastAsia"/>
            </w:rPr>
            <w:t>6</w:t>
          </w:r>
        </w:p>
        <w:p w:rsidR="00322285" w:rsidRDefault="00322285">
          <w:pPr>
            <w:spacing w:line="240" w:lineRule="exact"/>
          </w:pPr>
          <w:r>
            <w:t>Chinese</w:t>
          </w:r>
        </w:p>
        <w:p w:rsidR="00322285" w:rsidRDefault="00322285">
          <w:pPr>
            <w:spacing w:line="240" w:lineRule="exact"/>
          </w:pPr>
          <w:r>
            <w:t>Original: English</w:t>
          </w:r>
        </w:p>
      </w:tc>
    </w:tr>
  </w:tbl>
  <w:p w:rsidR="00322285" w:rsidRDefault="00322285">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285" w:rsidRDefault="00322285">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22285">
                  <w:tblPrEx>
                    <w:tblCellMar>
                      <w:top w:w="0" w:type="dxa"/>
                      <w:bottom w:w="0" w:type="dxa"/>
                    </w:tblCellMar>
                  </w:tblPrEx>
                  <w:trPr>
                    <w:trHeight w:hRule="exact" w:val="864"/>
                  </w:trPr>
                  <w:tc>
                    <w:tcPr>
                      <w:tcW w:w="4838" w:type="dxa"/>
                      <w:tcBorders>
                        <w:bottom w:val="single" w:sz="4" w:space="0" w:color="auto"/>
                      </w:tcBorders>
                      <w:vAlign w:val="bottom"/>
                    </w:tcPr>
                    <w:p w:rsidR="00322285" w:rsidRDefault="00322285">
                      <w:pPr>
                        <w:pStyle w:val="Header"/>
                        <w:pBdr>
                          <w:bottom w:val="none" w:sz="0" w:space="0" w:color="auto"/>
                        </w:pBdr>
                        <w:spacing w:after="80"/>
                        <w:jc w:val="both"/>
                        <w:rPr>
                          <w:rFonts w:hint="eastAsia"/>
                          <w:b/>
                        </w:rPr>
                      </w:pPr>
                      <w:r>
                        <w:rPr>
                          <w:b/>
                        </w:rPr>
                        <w:t>CEDAW/C</w:t>
                      </w:r>
                      <w:r>
                        <w:rPr>
                          <w:rFonts w:hint="eastAsia"/>
                          <w:b/>
                        </w:rPr>
                        <w:t>/HUN</w:t>
                      </w:r>
                      <w:r>
                        <w:rPr>
                          <w:b/>
                        </w:rPr>
                        <w:t>/</w:t>
                      </w:r>
                      <w:r>
                        <w:rPr>
                          <w:rFonts w:hint="eastAsia"/>
                          <w:b/>
                        </w:rPr>
                        <w:t>6</w:t>
                      </w:r>
                    </w:p>
                  </w:tc>
                  <w:tc>
                    <w:tcPr>
                      <w:tcW w:w="5048" w:type="dxa"/>
                      <w:tcBorders>
                        <w:bottom w:val="single" w:sz="4" w:space="0" w:color="auto"/>
                      </w:tcBorders>
                      <w:vAlign w:val="bottom"/>
                    </w:tcPr>
                    <w:p w:rsidR="00322285" w:rsidRDefault="00322285">
                      <w:pPr>
                        <w:pStyle w:val="Header"/>
                        <w:pBdr>
                          <w:bottom w:val="none" w:sz="0" w:space="0" w:color="auto"/>
                        </w:pBdr>
                      </w:pPr>
                    </w:p>
                  </w:tc>
                </w:tr>
              </w:tbl>
              <w:p w:rsidR="00322285" w:rsidRDefault="00322285"/>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285" w:rsidRDefault="00322285">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322285">
                  <w:tblPrEx>
                    <w:tblCellMar>
                      <w:top w:w="0" w:type="dxa"/>
                      <w:bottom w:w="0" w:type="dxa"/>
                    </w:tblCellMar>
                  </w:tblPrEx>
                  <w:trPr>
                    <w:trHeight w:hRule="exact" w:val="864"/>
                  </w:trPr>
                  <w:tc>
                    <w:tcPr>
                      <w:tcW w:w="4838" w:type="dxa"/>
                      <w:tcBorders>
                        <w:bottom w:val="single" w:sz="4" w:space="0" w:color="auto"/>
                      </w:tcBorders>
                      <w:vAlign w:val="bottom"/>
                    </w:tcPr>
                    <w:p w:rsidR="00322285" w:rsidRDefault="00322285">
                      <w:pPr>
                        <w:pStyle w:val="Header"/>
                        <w:pBdr>
                          <w:bottom w:val="none" w:sz="0" w:space="0" w:color="auto"/>
                        </w:pBdr>
                      </w:pPr>
                    </w:p>
                  </w:tc>
                  <w:tc>
                    <w:tcPr>
                      <w:tcW w:w="5048" w:type="dxa"/>
                      <w:tcBorders>
                        <w:bottom w:val="single" w:sz="4" w:space="0" w:color="auto"/>
                      </w:tcBorders>
                      <w:vAlign w:val="bottom"/>
                    </w:tcPr>
                    <w:p w:rsidR="00322285" w:rsidRDefault="00322285">
                      <w:pPr>
                        <w:pStyle w:val="Header"/>
                        <w:pBdr>
                          <w:bottom w:val="none" w:sz="0" w:space="0" w:color="auto"/>
                        </w:pBdr>
                        <w:spacing w:after="80"/>
                        <w:jc w:val="right"/>
                        <w:rPr>
                          <w:rFonts w:hint="eastAsia"/>
                          <w:b/>
                        </w:rPr>
                      </w:pPr>
                      <w:r>
                        <w:rPr>
                          <w:b/>
                        </w:rPr>
                        <w:t>CEDAW/C</w:t>
                      </w:r>
                      <w:r>
                        <w:rPr>
                          <w:rFonts w:hint="eastAsia"/>
                          <w:b/>
                        </w:rPr>
                        <w:t>/HUN</w:t>
                      </w:r>
                      <w:r>
                        <w:rPr>
                          <w:b/>
                        </w:rPr>
                        <w:t>/</w:t>
                      </w:r>
                      <w:r>
                        <w:rPr>
                          <w:rFonts w:hint="eastAsia"/>
                          <w:b/>
                        </w:rPr>
                        <w:t>6</w:t>
                      </w:r>
                    </w:p>
                  </w:tc>
                </w:tr>
              </w:tbl>
              <w:p w:rsidR="00322285" w:rsidRDefault="00322285"/>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0000003"/>
    <w:multiLevelType w:val="multilevel"/>
    <w:tmpl w:val="00000003"/>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4"/>
    <w:multiLevelType w:val="multilevel"/>
    <w:tmpl w:val="00000004"/>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06"/>
    <w:multiLevelType w:val="multilevel"/>
    <w:tmpl w:val="00000006"/>
    <w:lvl w:ilvl="0">
      <w:start w:val="1"/>
      <w:numFmt w:val="lowerLetter"/>
      <w:lvlText w:val="%1)"/>
      <w:lvlJc w:val="left"/>
      <w:pPr>
        <w:tabs>
          <w:tab w:val="num" w:pos="585"/>
        </w:tabs>
        <w:ind w:left="585" w:hanging="360"/>
      </w:pPr>
      <w:rPr>
        <w:rFonts w:hint="default"/>
      </w:rPr>
    </w:lvl>
    <w:lvl w:ilvl="1">
      <w:start w:val="1"/>
      <w:numFmt w:val="lowerLetter"/>
      <w:lvlText w:val="%2)"/>
      <w:lvlJc w:val="left"/>
      <w:pPr>
        <w:tabs>
          <w:tab w:val="num" w:pos="1065"/>
        </w:tabs>
        <w:ind w:left="1065" w:hanging="420"/>
      </w:pPr>
    </w:lvl>
    <w:lvl w:ilvl="2">
      <w:start w:val="1"/>
      <w:numFmt w:val="lowerRoman"/>
      <w:lvlText w:val="%3."/>
      <w:lvlJc w:val="right"/>
      <w:pPr>
        <w:tabs>
          <w:tab w:val="num" w:pos="1485"/>
        </w:tabs>
        <w:ind w:left="1485" w:hanging="420"/>
      </w:pPr>
    </w:lvl>
    <w:lvl w:ilvl="3">
      <w:start w:val="1"/>
      <w:numFmt w:val="decimal"/>
      <w:lvlText w:val="%4."/>
      <w:lvlJc w:val="left"/>
      <w:pPr>
        <w:tabs>
          <w:tab w:val="num" w:pos="1905"/>
        </w:tabs>
        <w:ind w:left="1905" w:hanging="420"/>
      </w:pPr>
    </w:lvl>
    <w:lvl w:ilvl="4">
      <w:start w:val="1"/>
      <w:numFmt w:val="lowerLetter"/>
      <w:lvlText w:val="%5)"/>
      <w:lvlJc w:val="left"/>
      <w:pPr>
        <w:tabs>
          <w:tab w:val="num" w:pos="2325"/>
        </w:tabs>
        <w:ind w:left="2325" w:hanging="420"/>
      </w:pPr>
    </w:lvl>
    <w:lvl w:ilvl="5">
      <w:start w:val="1"/>
      <w:numFmt w:val="lowerRoman"/>
      <w:lvlText w:val="%6."/>
      <w:lvlJc w:val="right"/>
      <w:pPr>
        <w:tabs>
          <w:tab w:val="num" w:pos="2745"/>
        </w:tabs>
        <w:ind w:left="2745" w:hanging="420"/>
      </w:pPr>
    </w:lvl>
    <w:lvl w:ilvl="6">
      <w:start w:val="1"/>
      <w:numFmt w:val="decimal"/>
      <w:lvlText w:val="%7."/>
      <w:lvlJc w:val="left"/>
      <w:pPr>
        <w:tabs>
          <w:tab w:val="num" w:pos="3165"/>
        </w:tabs>
        <w:ind w:left="3165" w:hanging="420"/>
      </w:pPr>
    </w:lvl>
    <w:lvl w:ilvl="7">
      <w:start w:val="1"/>
      <w:numFmt w:val="lowerLetter"/>
      <w:lvlText w:val="%8)"/>
      <w:lvlJc w:val="left"/>
      <w:pPr>
        <w:tabs>
          <w:tab w:val="num" w:pos="3585"/>
        </w:tabs>
        <w:ind w:left="3585" w:hanging="420"/>
      </w:pPr>
    </w:lvl>
    <w:lvl w:ilvl="8">
      <w:start w:val="1"/>
      <w:numFmt w:val="lowerRoman"/>
      <w:lvlText w:val="%9."/>
      <w:lvlJc w:val="right"/>
      <w:pPr>
        <w:tabs>
          <w:tab w:val="num" w:pos="4005"/>
        </w:tabs>
        <w:ind w:left="4005" w:hanging="420"/>
      </w:pPr>
    </w:lvl>
  </w:abstractNum>
  <w:abstractNum w:abstractNumId="4">
    <w:nsid w:val="00000007"/>
    <w:multiLevelType w:val="multilevel"/>
    <w:tmpl w:val="00000007"/>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0000008"/>
    <w:multiLevelType w:val="multilevel"/>
    <w:tmpl w:val="0000000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00000009"/>
    <w:multiLevelType w:val="multilevel"/>
    <w:tmpl w:val="00000009"/>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0000000C"/>
    <w:multiLevelType w:val="multilevel"/>
    <w:tmpl w:val="0000000C"/>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0000000F"/>
    <w:multiLevelType w:val="multilevel"/>
    <w:tmpl w:val="0000000F"/>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05B816D0"/>
    <w:multiLevelType w:val="hybridMultilevel"/>
    <w:tmpl w:val="99745C58"/>
    <w:lvl w:ilvl="0" w:tplc="5DA2A766">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09540A19"/>
    <w:multiLevelType w:val="hybridMultilevel"/>
    <w:tmpl w:val="99745C58"/>
    <w:lvl w:ilvl="0" w:tplc="5DA2A766">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0CA84B1F"/>
    <w:multiLevelType w:val="hybridMultilevel"/>
    <w:tmpl w:val="99745C58"/>
    <w:lvl w:ilvl="0" w:tplc="1EDE8FAC">
      <w:start w:val="1"/>
      <w:numFmt w:val="bullet"/>
      <w:lvlText w:val=""/>
      <w:lvlJc w:val="left"/>
      <w:pPr>
        <w:tabs>
          <w:tab w:val="num" w:pos="840"/>
        </w:tabs>
        <w:ind w:left="840" w:hanging="42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3">
    <w:nsid w:val="418721C6"/>
    <w:multiLevelType w:val="hybridMultilevel"/>
    <w:tmpl w:val="9962DB6E"/>
    <w:lvl w:ilvl="0" w:tplc="CD109E44">
      <w:start w:val="138"/>
      <w:numFmt w:val="bullet"/>
      <w:lvlText w:val=""/>
      <w:lvlJc w:val="left"/>
      <w:pPr>
        <w:tabs>
          <w:tab w:val="num" w:pos="1046"/>
        </w:tabs>
        <w:ind w:left="1023" w:hanging="340"/>
      </w:pPr>
      <w:rPr>
        <w:rFonts w:ascii="Wingdings" w:hAnsi="Wingdings" w:hint="default"/>
      </w:rPr>
    </w:lvl>
    <w:lvl w:ilvl="1" w:tplc="04090003" w:tentative="1">
      <w:start w:val="1"/>
      <w:numFmt w:val="bullet"/>
      <w:lvlText w:val=""/>
      <w:lvlJc w:val="left"/>
      <w:pPr>
        <w:tabs>
          <w:tab w:val="num" w:pos="1409"/>
        </w:tabs>
        <w:ind w:left="1409" w:hanging="420"/>
      </w:pPr>
      <w:rPr>
        <w:rFonts w:ascii="Wingdings" w:hAnsi="Wingdings" w:hint="default"/>
      </w:rPr>
    </w:lvl>
    <w:lvl w:ilvl="2" w:tplc="04090005" w:tentative="1">
      <w:start w:val="1"/>
      <w:numFmt w:val="bullet"/>
      <w:lvlText w:val=""/>
      <w:lvlJc w:val="left"/>
      <w:pPr>
        <w:tabs>
          <w:tab w:val="num" w:pos="1829"/>
        </w:tabs>
        <w:ind w:left="1829" w:hanging="420"/>
      </w:pPr>
      <w:rPr>
        <w:rFonts w:ascii="Wingdings" w:hAnsi="Wingdings" w:hint="default"/>
      </w:rPr>
    </w:lvl>
    <w:lvl w:ilvl="3" w:tplc="04090001" w:tentative="1">
      <w:start w:val="1"/>
      <w:numFmt w:val="bullet"/>
      <w:lvlText w:val=""/>
      <w:lvlJc w:val="left"/>
      <w:pPr>
        <w:tabs>
          <w:tab w:val="num" w:pos="2249"/>
        </w:tabs>
        <w:ind w:left="2249" w:hanging="420"/>
      </w:pPr>
      <w:rPr>
        <w:rFonts w:ascii="Wingdings" w:hAnsi="Wingdings" w:hint="default"/>
      </w:rPr>
    </w:lvl>
    <w:lvl w:ilvl="4" w:tplc="04090003" w:tentative="1">
      <w:start w:val="1"/>
      <w:numFmt w:val="bullet"/>
      <w:lvlText w:val=""/>
      <w:lvlJc w:val="left"/>
      <w:pPr>
        <w:tabs>
          <w:tab w:val="num" w:pos="2669"/>
        </w:tabs>
        <w:ind w:left="2669" w:hanging="420"/>
      </w:pPr>
      <w:rPr>
        <w:rFonts w:ascii="Wingdings" w:hAnsi="Wingdings" w:hint="default"/>
      </w:rPr>
    </w:lvl>
    <w:lvl w:ilvl="5" w:tplc="04090005" w:tentative="1">
      <w:start w:val="1"/>
      <w:numFmt w:val="bullet"/>
      <w:lvlText w:val=""/>
      <w:lvlJc w:val="left"/>
      <w:pPr>
        <w:tabs>
          <w:tab w:val="num" w:pos="3089"/>
        </w:tabs>
        <w:ind w:left="3089" w:hanging="420"/>
      </w:pPr>
      <w:rPr>
        <w:rFonts w:ascii="Wingdings" w:hAnsi="Wingdings" w:hint="default"/>
      </w:rPr>
    </w:lvl>
    <w:lvl w:ilvl="6" w:tplc="04090001" w:tentative="1">
      <w:start w:val="1"/>
      <w:numFmt w:val="bullet"/>
      <w:lvlText w:val=""/>
      <w:lvlJc w:val="left"/>
      <w:pPr>
        <w:tabs>
          <w:tab w:val="num" w:pos="3509"/>
        </w:tabs>
        <w:ind w:left="3509" w:hanging="420"/>
      </w:pPr>
      <w:rPr>
        <w:rFonts w:ascii="Wingdings" w:hAnsi="Wingdings" w:hint="default"/>
      </w:rPr>
    </w:lvl>
    <w:lvl w:ilvl="7" w:tplc="04090003" w:tentative="1">
      <w:start w:val="1"/>
      <w:numFmt w:val="bullet"/>
      <w:lvlText w:val=""/>
      <w:lvlJc w:val="left"/>
      <w:pPr>
        <w:tabs>
          <w:tab w:val="num" w:pos="3929"/>
        </w:tabs>
        <w:ind w:left="3929" w:hanging="420"/>
      </w:pPr>
      <w:rPr>
        <w:rFonts w:ascii="Wingdings" w:hAnsi="Wingdings" w:hint="default"/>
      </w:rPr>
    </w:lvl>
    <w:lvl w:ilvl="8" w:tplc="04090005" w:tentative="1">
      <w:start w:val="1"/>
      <w:numFmt w:val="bullet"/>
      <w:lvlText w:val=""/>
      <w:lvlJc w:val="left"/>
      <w:pPr>
        <w:tabs>
          <w:tab w:val="num" w:pos="4349"/>
        </w:tabs>
        <w:ind w:left="4349" w:hanging="420"/>
      </w:pPr>
      <w:rPr>
        <w:rFonts w:ascii="Wingdings" w:hAnsi="Wingdings" w:hint="default"/>
      </w:rPr>
    </w:lvl>
  </w:abstractNum>
  <w:abstractNum w:abstractNumId="14">
    <w:nsid w:val="448B38B6"/>
    <w:multiLevelType w:val="hybridMultilevel"/>
    <w:tmpl w:val="C5644410"/>
    <w:lvl w:ilvl="0" w:tplc="1EDE8FAC">
      <w:start w:val="1"/>
      <w:numFmt w:val="bullet"/>
      <w:lvlText w:val=""/>
      <w:lvlJc w:val="left"/>
      <w:pPr>
        <w:tabs>
          <w:tab w:val="num" w:pos="840"/>
        </w:tabs>
        <w:ind w:left="840" w:hanging="420"/>
      </w:pPr>
      <w:rPr>
        <w:rFonts w:ascii="Wingdings 2" w:hAnsi="Wingdings 2"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7">
    <w:nsid w:val="58C24947"/>
    <w:multiLevelType w:val="hybridMultilevel"/>
    <w:tmpl w:val="D33A0940"/>
    <w:lvl w:ilvl="0" w:tplc="1EDE8FAC">
      <w:start w:val="1"/>
      <w:numFmt w:val="bullet"/>
      <w:lvlText w:val=""/>
      <w:lvlJc w:val="left"/>
      <w:pPr>
        <w:tabs>
          <w:tab w:val="num" w:pos="420"/>
        </w:tabs>
        <w:ind w:left="420" w:hanging="42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9">
    <w:nsid w:val="74A36681"/>
    <w:multiLevelType w:val="hybridMultilevel"/>
    <w:tmpl w:val="5D9CC5AC"/>
    <w:lvl w:ilvl="0" w:tplc="1EDE8FAC">
      <w:start w:val="1"/>
      <w:numFmt w:val="bullet"/>
      <w:lvlText w:val=""/>
      <w:lvlJc w:val="left"/>
      <w:pPr>
        <w:tabs>
          <w:tab w:val="num" w:pos="420"/>
        </w:tabs>
        <w:ind w:left="420" w:hanging="420"/>
      </w:pPr>
      <w:rPr>
        <w:rFonts w:ascii="Wingdings 2"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21">
    <w:nsid w:val="7C7146F6"/>
    <w:multiLevelType w:val="hybridMultilevel"/>
    <w:tmpl w:val="A2D6806A"/>
    <w:lvl w:ilvl="0" w:tplc="5DA2A76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7D67300F"/>
    <w:multiLevelType w:val="hybridMultilevel"/>
    <w:tmpl w:val="B22E0B3E"/>
    <w:lvl w:ilvl="0" w:tplc="5DA2A766">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DE1684D"/>
    <w:multiLevelType w:val="hybridMultilevel"/>
    <w:tmpl w:val="352426CA"/>
    <w:lvl w:ilvl="0" w:tplc="1EDE8FAC">
      <w:start w:val="1"/>
      <w:numFmt w:val="bullet"/>
      <w:lvlText w:val=""/>
      <w:lvlJc w:val="left"/>
      <w:pPr>
        <w:tabs>
          <w:tab w:val="num" w:pos="840"/>
        </w:tabs>
        <w:ind w:left="840" w:hanging="420"/>
      </w:pPr>
      <w:rPr>
        <w:rFonts w:ascii="Wingdings 2" w:hAnsi="Wingdings 2"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6"/>
  </w:num>
  <w:num w:numId="2">
    <w:abstractNumId w:val="18"/>
  </w:num>
  <w:num w:numId="3">
    <w:abstractNumId w:val="12"/>
  </w:num>
  <w:num w:numId="4">
    <w:abstractNumId w:val="15"/>
  </w:num>
  <w:num w:numId="5">
    <w:abstractNumId w:val="20"/>
  </w:num>
  <w:num w:numId="6">
    <w:abstractNumId w:val="0"/>
  </w:num>
  <w:num w:numId="7">
    <w:abstractNumId w:val="24"/>
  </w:num>
  <w:num w:numId="8">
    <w:abstractNumId w:val="13"/>
  </w:num>
  <w:num w:numId="9">
    <w:abstractNumId w:val="17"/>
  </w:num>
  <w:num w:numId="10">
    <w:abstractNumId w:val="21"/>
  </w:num>
  <w:num w:numId="11">
    <w:abstractNumId w:val="22"/>
  </w:num>
  <w:num w:numId="12">
    <w:abstractNumId w:val="19"/>
  </w:num>
  <w:num w:numId="13">
    <w:abstractNumId w:val="10"/>
  </w:num>
  <w:num w:numId="14">
    <w:abstractNumId w:val="11"/>
  </w:num>
  <w:num w:numId="15">
    <w:abstractNumId w:val="9"/>
  </w:num>
  <w:num w:numId="16">
    <w:abstractNumId w:val="1"/>
  </w:num>
  <w:num w:numId="17">
    <w:abstractNumId w:val="2"/>
  </w:num>
  <w:num w:numId="18">
    <w:abstractNumId w:val="5"/>
  </w:num>
  <w:num w:numId="19">
    <w:abstractNumId w:val="3"/>
  </w:num>
  <w:num w:numId="20">
    <w:abstractNumId w:val="7"/>
  </w:num>
  <w:num w:numId="21">
    <w:abstractNumId w:val="8"/>
  </w:num>
  <w:num w:numId="22">
    <w:abstractNumId w:val="4"/>
  </w:num>
  <w:num w:numId="23">
    <w:abstractNumId w:val="23"/>
  </w:num>
  <w:num w:numId="24">
    <w:abstractNumId w:val="6"/>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34DC"/>
    <w:rsid w:val="00082643"/>
    <w:rsid w:val="000A7230"/>
    <w:rsid w:val="00290959"/>
    <w:rsid w:val="002A416A"/>
    <w:rsid w:val="00322285"/>
    <w:rsid w:val="00371592"/>
    <w:rsid w:val="00445420"/>
    <w:rsid w:val="00532536"/>
    <w:rsid w:val="0064758F"/>
    <w:rsid w:val="00780AC2"/>
    <w:rsid w:val="007934DC"/>
    <w:rsid w:val="009655B3"/>
    <w:rsid w:val="00AC01AA"/>
    <w:rsid w:val="00B447F3"/>
    <w:rsid w:val="00BA5A4C"/>
    <w:rsid w:val="00CE1FDA"/>
    <w:rsid w:val="00EF41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styleId="ListBullet">
    <w:name w:val="List Bullet"/>
    <w:basedOn w:val="Normal"/>
    <w:autoRedefine/>
    <w:pPr>
      <w:widowControl/>
      <w:numPr>
        <w:numId w:val="8"/>
      </w:numPr>
      <w:adjustRightInd/>
      <w:spacing w:line="480" w:lineRule="auto"/>
      <w:textAlignment w:val="auto"/>
    </w:pPr>
    <w:rPr>
      <w:rFonts w:ascii="SimSun" w:hAnsi="SimSun"/>
      <w:b/>
      <w:szCs w:val="21"/>
    </w:rPr>
  </w:style>
  <w:style w:type="paragraph" w:styleId="Subtitle">
    <w:name w:val="Subtitle"/>
    <w:basedOn w:val="Normal"/>
    <w:qFormat/>
    <w:pPr>
      <w:widowControl/>
      <w:adjustRightInd/>
      <w:spacing w:line="240" w:lineRule="auto"/>
      <w:jc w:val="center"/>
      <w:textAlignment w:val="auto"/>
    </w:pPr>
    <w:rPr>
      <w:sz w:val="40"/>
      <w:szCs w:val="24"/>
      <w:lang w:eastAsia="en-US"/>
    </w:rPr>
  </w:style>
  <w:style w:type="paragraph" w:customStyle="1" w:styleId="Normalvovlecen">
    <w:name w:val="Normal vovlecen"/>
    <w:basedOn w:val="Normal"/>
    <w:pPr>
      <w:overflowPunct w:val="0"/>
      <w:autoSpaceDE w:val="0"/>
      <w:autoSpaceDN w:val="0"/>
      <w:spacing w:line="360" w:lineRule="atLeast"/>
      <w:ind w:firstLine="1134"/>
      <w:jc w:val="left"/>
    </w:pPr>
    <w:rPr>
      <w:rFonts w:ascii="MAC C Times" w:hAnsi="MAC C Times"/>
      <w:sz w:val="24"/>
      <w:lang w:eastAsia="en-US"/>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oleObject" Target="embeddings/Microsoft_Excel_Chart1.xls"/><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eszteralapitvany.hu" TargetMode="External"/><Relationship Id="rId1" Type="http://schemas.openxmlformats.org/officeDocument/2006/relationships/hyperlink" Target="http://www.im.hu/csaladonbelu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43</TotalTime>
  <Pages>1</Pages>
  <Words>7395</Words>
  <Characters>42156</Characters>
  <Application>Microsoft Office Word</Application>
  <DocSecurity>4</DocSecurity>
  <Lines>351</Lines>
  <Paragraphs>98</Paragraphs>
  <ScaleCrop>false</ScaleCrop>
  <Company>infoll</Company>
  <LinksUpToDate>false</LinksUpToDate>
  <CharactersWithSpaces>49453</CharactersWithSpaces>
  <SharedDoc>false</SharedDoc>
  <HLinks>
    <vt:vector size="12" baseType="variant">
      <vt:variant>
        <vt:i4>8060989</vt:i4>
      </vt:variant>
      <vt:variant>
        <vt:i4>3</vt:i4>
      </vt:variant>
      <vt:variant>
        <vt:i4>0</vt:i4>
      </vt:variant>
      <vt:variant>
        <vt:i4>5</vt:i4>
      </vt:variant>
      <vt:variant>
        <vt:lpwstr>http://www.eszteralapitvany.hu/</vt:lpwstr>
      </vt:variant>
      <vt:variant>
        <vt:lpwstr/>
      </vt:variant>
      <vt:variant>
        <vt:i4>7798911</vt:i4>
      </vt:variant>
      <vt:variant>
        <vt:i4>0</vt:i4>
      </vt:variant>
      <vt:variant>
        <vt:i4>0</vt:i4>
      </vt:variant>
      <vt:variant>
        <vt:i4>5</vt:i4>
      </vt:variant>
      <vt:variant>
        <vt:lpwstr>http://www.im.hu/csaladonbelul/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DGACM</cp:lastModifiedBy>
  <cp:revision>22</cp:revision>
  <cp:lastPrinted>2006-10-17T12:51:00Z</cp:lastPrinted>
  <dcterms:created xsi:type="dcterms:W3CDTF">2006-10-17T12:05:00Z</dcterms:created>
  <dcterms:modified xsi:type="dcterms:W3CDTF">2006-10-17T12:51:00Z</dcterms:modified>
</cp:coreProperties>
</file>