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1165"/>
        <w:gridCol w:w="5781"/>
        <w:gridCol w:w="2693"/>
      </w:tblGrid>
      <w:tr w:rsidR="00000000">
        <w:tblPrEx>
          <w:tblCellMar>
            <w:top w:w="0" w:type="dxa"/>
            <w:left w:w="0" w:type="dxa"/>
            <w:bottom w:w="0" w:type="dxa"/>
            <w:right w:w="0" w:type="dxa"/>
          </w:tblCellMar>
        </w:tblPrEx>
        <w:tc>
          <w:tcPr>
            <w:tcW w:w="6946" w:type="dxa"/>
            <w:gridSpan w:val="2"/>
            <w:tcBorders>
              <w:bottom w:val="single" w:sz="4" w:space="0" w:color="auto"/>
            </w:tcBorders>
          </w:tcPr>
          <w:p w:rsidR="00000000" w:rsidRDefault="00000000">
            <w:pPr>
              <w:pStyle w:val="Heading9"/>
              <w:tabs>
                <w:tab w:val="left" w:pos="680"/>
              </w:tabs>
              <w:spacing w:before="160" w:line="240" w:lineRule="auto"/>
              <w:jc w:val="left"/>
              <w:rPr>
                <w:rFonts w:ascii="Times New Roman" w:hAnsi="Times New Roman"/>
                <w:b/>
                <w:lang w:val="ru-RU"/>
              </w:rPr>
            </w:pPr>
            <w:r>
              <w:rPr>
                <w:rFonts w:ascii="Times New Roman" w:hAnsi="Times New Roman"/>
                <w:b/>
                <w:lang w:val="ru-RU"/>
              </w:rPr>
              <w:t>ОРГАНИЗАЦИЯ ОБЪЕДИНЕННЫХ НАЦИЙ</w:t>
            </w:r>
          </w:p>
        </w:tc>
        <w:tc>
          <w:tcPr>
            <w:tcW w:w="2693" w:type="dxa"/>
            <w:tcBorders>
              <w:bottom w:val="single" w:sz="4" w:space="0" w:color="auto"/>
            </w:tcBorders>
          </w:tcPr>
          <w:p w:rsidR="00000000" w:rsidRDefault="00000000">
            <w:pPr>
              <w:pStyle w:val="Heading9"/>
              <w:tabs>
                <w:tab w:val="left" w:pos="680"/>
              </w:tabs>
              <w:spacing w:before="0" w:after="0" w:line="240" w:lineRule="auto"/>
              <w:ind w:right="57"/>
              <w:jc w:val="right"/>
              <w:rPr>
                <w:sz w:val="20"/>
                <w:lang w:val="ru-RU"/>
              </w:rPr>
            </w:pPr>
            <w:r>
              <w:rPr>
                <w:rFonts w:ascii="Times New Roman" w:hAnsi="Times New Roman"/>
                <w:b/>
                <w:sz w:val="40"/>
                <w:lang w:val="en-US"/>
              </w:rPr>
              <w:t>C</w:t>
            </w:r>
            <w:r>
              <w:rPr>
                <w:rFonts w:ascii="Times New Roman" w:hAnsi="Times New Roman"/>
                <w:b/>
                <w:sz w:val="40"/>
                <w:lang w:val="en-US"/>
              </w:rPr>
              <w:t>E</w:t>
            </w:r>
            <w:r>
              <w:rPr>
                <w:rFonts w:ascii="Times New Roman" w:hAnsi="Times New Roman"/>
                <w:b/>
                <w:sz w:val="40"/>
                <w:lang w:val="en-US"/>
              </w:rPr>
              <w:t>DAW</w:t>
            </w:r>
            <w:r>
              <w:rPr>
                <w:rFonts w:ascii="Times New Roman" w:hAnsi="Times New Roman"/>
                <w:sz w:val="24"/>
                <w:lang w:val="en-US"/>
              </w:rPr>
              <w:t>/C/NLD/4</w:t>
            </w:r>
          </w:p>
        </w:tc>
      </w:tr>
      <w:tr w:rsidR="00000000">
        <w:tblPrEx>
          <w:tblCellMar>
            <w:top w:w="0" w:type="dxa"/>
            <w:left w:w="0" w:type="dxa"/>
            <w:bottom w:w="0" w:type="dxa"/>
            <w:right w:w="0" w:type="dxa"/>
          </w:tblCellMar>
        </w:tblPrEx>
        <w:trPr>
          <w:trHeight w:val="239"/>
        </w:trPr>
        <w:tc>
          <w:tcPr>
            <w:tcW w:w="1165" w:type="dxa"/>
          </w:tcPr>
          <w:p w:rsidR="00000000" w:rsidRDefault="00000000">
            <w:pPr>
              <w:tabs>
                <w:tab w:val="left" w:pos="680"/>
              </w:tabs>
              <w:spacing w:before="0" w:line="240" w:lineRule="auto"/>
              <w:rPr>
                <w:lang w:val="en-US"/>
              </w:rPr>
            </w:pPr>
          </w:p>
        </w:tc>
        <w:tc>
          <w:tcPr>
            <w:tcW w:w="5781" w:type="dxa"/>
          </w:tcPr>
          <w:p w:rsidR="00000000" w:rsidRDefault="00000000">
            <w:pPr>
              <w:tabs>
                <w:tab w:val="left" w:pos="680"/>
              </w:tabs>
              <w:spacing w:before="0" w:line="240" w:lineRule="auto"/>
              <w:jc w:val="left"/>
              <w:rPr>
                <w:lang w:val="en-US"/>
              </w:rPr>
            </w:pPr>
          </w:p>
        </w:tc>
        <w:tc>
          <w:tcPr>
            <w:tcW w:w="2693" w:type="dxa"/>
          </w:tcPr>
          <w:p w:rsidR="00000000" w:rsidRDefault="00000000">
            <w:pPr>
              <w:pStyle w:val="a0"/>
              <w:tabs>
                <w:tab w:val="left" w:pos="680"/>
              </w:tabs>
              <w:overflowPunct/>
              <w:autoSpaceDE/>
              <w:autoSpaceDN/>
              <w:adjustRightInd/>
              <w:textAlignment w:val="auto"/>
              <w:rPr>
                <w:lang w:val="en-US" w:eastAsia="fr-FR"/>
              </w:rPr>
            </w:pPr>
          </w:p>
        </w:tc>
      </w:tr>
      <w:bookmarkStart w:id="0" w:name="_MON_979384112"/>
      <w:bookmarkStart w:id="1" w:name="_MON_1028637953"/>
      <w:bookmarkStart w:id="2" w:name="_MON_1028638124"/>
      <w:bookmarkStart w:id="3" w:name="_MON_1028715977"/>
      <w:bookmarkEnd w:id="0"/>
      <w:bookmarkEnd w:id="1"/>
      <w:bookmarkEnd w:id="2"/>
      <w:bookmarkEnd w:id="3"/>
      <w:tr w:rsidR="00000000">
        <w:tblPrEx>
          <w:tblCellMar>
            <w:top w:w="0" w:type="dxa"/>
            <w:left w:w="0" w:type="dxa"/>
            <w:bottom w:w="0" w:type="dxa"/>
            <w:right w:w="0" w:type="dxa"/>
          </w:tblCellMar>
        </w:tblPrEx>
        <w:trPr>
          <w:trHeight w:val="1368"/>
        </w:trPr>
        <w:tc>
          <w:tcPr>
            <w:tcW w:w="1165" w:type="dxa"/>
            <w:tcBorders>
              <w:bottom w:val="single" w:sz="12" w:space="0" w:color="auto"/>
            </w:tcBorders>
          </w:tcPr>
          <w:p w:rsidR="00000000" w:rsidRDefault="00000000">
            <w:pPr>
              <w:tabs>
                <w:tab w:val="left" w:pos="680"/>
              </w:tabs>
              <w:spacing w:before="0" w:line="240" w:lineRule="auto"/>
              <w:rPr>
                <w:lang w:val="ru-RU"/>
              </w:rPr>
            </w:pPr>
            <w:r>
              <w:rPr>
                <w:lang w:val="ru-RU"/>
              </w:rPr>
              <w:object w:dxaOrig="829" w:dyaOrig="7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75pt;height:41.25pt" o:ole="" fillcolor="window">
                  <v:imagedata r:id="rId7" o:title=""/>
                </v:shape>
                <o:OLEObject Type="Embed" ProgID="Word.Picture.8" ShapeID="_x0000_i1025" DrawAspect="Content" ObjectID="_1418859992" r:id="rId8"/>
              </w:object>
            </w:r>
          </w:p>
        </w:tc>
        <w:tc>
          <w:tcPr>
            <w:tcW w:w="5781" w:type="dxa"/>
            <w:tcBorders>
              <w:bottom w:val="single" w:sz="12" w:space="0" w:color="auto"/>
            </w:tcBorders>
          </w:tcPr>
          <w:p w:rsidR="00000000" w:rsidRDefault="00000000">
            <w:pPr>
              <w:tabs>
                <w:tab w:val="left" w:pos="680"/>
              </w:tabs>
              <w:spacing w:before="0" w:line="240" w:lineRule="auto"/>
              <w:jc w:val="left"/>
              <w:rPr>
                <w:b/>
                <w:sz w:val="32"/>
                <w:lang w:val="ru-RU"/>
              </w:rPr>
            </w:pPr>
            <w:r>
              <w:rPr>
                <w:b/>
                <w:sz w:val="32"/>
                <w:lang w:val="ru-RU"/>
              </w:rPr>
              <w:t xml:space="preserve">Конвенция о ликвидации </w:t>
            </w:r>
            <w:r>
              <w:rPr>
                <w:b/>
                <w:sz w:val="32"/>
                <w:lang w:val="ru-RU"/>
              </w:rPr>
              <w:br/>
              <w:t xml:space="preserve">всех форм дискриминации </w:t>
            </w:r>
            <w:r>
              <w:rPr>
                <w:b/>
                <w:sz w:val="32"/>
                <w:lang w:val="ru-RU"/>
              </w:rPr>
              <w:br/>
              <w:t>в отношении женщин</w:t>
            </w:r>
          </w:p>
        </w:tc>
        <w:tc>
          <w:tcPr>
            <w:tcW w:w="2693" w:type="dxa"/>
            <w:tcBorders>
              <w:bottom w:val="single" w:sz="12" w:space="0" w:color="auto"/>
            </w:tcBorders>
          </w:tcPr>
          <w:p w:rsidR="00000000" w:rsidRDefault="00000000">
            <w:pPr>
              <w:tabs>
                <w:tab w:val="left" w:pos="680"/>
              </w:tabs>
              <w:spacing w:before="0" w:line="240" w:lineRule="auto"/>
              <w:jc w:val="left"/>
              <w:rPr>
                <w:lang w:val="en-US"/>
              </w:rPr>
            </w:pPr>
            <w:r>
              <w:rPr>
                <w:lang w:val="en-US"/>
              </w:rPr>
              <w:t>Distr.: General</w:t>
            </w:r>
          </w:p>
          <w:p w:rsidR="00000000" w:rsidRDefault="00000000">
            <w:pPr>
              <w:pStyle w:val="Header"/>
              <w:tabs>
                <w:tab w:val="clear" w:pos="4536"/>
                <w:tab w:val="clear" w:pos="9072"/>
                <w:tab w:val="left" w:pos="680"/>
              </w:tabs>
              <w:spacing w:before="0" w:line="240" w:lineRule="auto"/>
              <w:jc w:val="left"/>
              <w:rPr>
                <w:lang w:val="en-US"/>
              </w:rPr>
            </w:pPr>
            <w:r>
              <w:rPr>
                <w:lang w:val="en-GB"/>
              </w:rPr>
              <w:t>1</w:t>
            </w:r>
            <w:r>
              <w:rPr>
                <w:lang w:val="ru-RU"/>
              </w:rPr>
              <w:t>0</w:t>
            </w:r>
            <w:r>
              <w:rPr>
                <w:lang w:val="en-GB"/>
              </w:rPr>
              <w:t xml:space="preserve"> </w:t>
            </w:r>
            <w:r>
              <w:rPr>
                <w:lang w:val="en-US"/>
              </w:rPr>
              <w:t>February</w:t>
            </w:r>
            <w:r>
              <w:rPr>
                <w:lang w:val="en-GB"/>
              </w:rPr>
              <w:t xml:space="preserve"> 2005</w:t>
            </w:r>
          </w:p>
          <w:p w:rsidR="00000000" w:rsidRDefault="00000000">
            <w:pPr>
              <w:pStyle w:val="Heading9"/>
              <w:tabs>
                <w:tab w:val="left" w:pos="680"/>
              </w:tabs>
              <w:spacing w:after="0" w:line="240" w:lineRule="auto"/>
              <w:jc w:val="left"/>
              <w:rPr>
                <w:rFonts w:ascii="Times New Roman" w:hAnsi="Times New Roman"/>
                <w:lang w:val="ru-RU"/>
              </w:rPr>
            </w:pPr>
            <w:r>
              <w:rPr>
                <w:rFonts w:ascii="Times New Roman" w:hAnsi="Times New Roman"/>
                <w:lang w:val="ru-RU"/>
              </w:rPr>
              <w:t>Russian</w:t>
            </w:r>
          </w:p>
          <w:p w:rsidR="00000000" w:rsidRDefault="00000000">
            <w:pPr>
              <w:pStyle w:val="Heading9"/>
              <w:tabs>
                <w:tab w:val="left" w:pos="680"/>
              </w:tabs>
              <w:spacing w:before="0" w:after="0" w:line="240" w:lineRule="auto"/>
              <w:jc w:val="left"/>
              <w:rPr>
                <w:rFonts w:ascii="Times New Roman" w:hAnsi="Times New Roman"/>
                <w:sz w:val="20"/>
                <w:lang w:val="ru-RU"/>
              </w:rPr>
            </w:pPr>
            <w:r>
              <w:rPr>
                <w:rFonts w:ascii="Times New Roman" w:hAnsi="Times New Roman"/>
                <w:lang w:val="en-US"/>
              </w:rPr>
              <w:t>Original</w:t>
            </w:r>
            <w:r>
              <w:rPr>
                <w:rFonts w:ascii="Times New Roman" w:hAnsi="Times New Roman"/>
                <w:lang w:val="ru-RU"/>
              </w:rPr>
              <w:t xml:space="preserve">: </w:t>
            </w:r>
            <w:r>
              <w:rPr>
                <w:rFonts w:ascii="Times New Roman" w:hAnsi="Times New Roman"/>
                <w:lang w:val="en-US"/>
              </w:rPr>
              <w:t>English</w:t>
            </w: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p w:rsidR="00000000" w:rsidRDefault="00000000">
            <w:pPr>
              <w:tabs>
                <w:tab w:val="left" w:pos="680"/>
              </w:tabs>
              <w:spacing w:before="0" w:line="240" w:lineRule="auto"/>
              <w:jc w:val="left"/>
              <w:rPr>
                <w:lang w:val="ru-RU"/>
              </w:rPr>
            </w:pPr>
          </w:p>
        </w:tc>
      </w:tr>
    </w:tbl>
    <w:p w:rsidR="00000000" w:rsidRDefault="00000000">
      <w:pPr>
        <w:tabs>
          <w:tab w:val="left" w:pos="680"/>
        </w:tabs>
        <w:spacing w:before="120" w:after="1080"/>
        <w:ind w:left="284" w:hanging="284"/>
        <w:jc w:val="left"/>
        <w:rPr>
          <w:b/>
          <w:caps/>
          <w:sz w:val="24"/>
          <w:lang w:val="ru-RU"/>
        </w:rPr>
      </w:pPr>
      <w:r>
        <w:rPr>
          <w:rStyle w:val="CommentReference"/>
          <w:vanish/>
        </w:rPr>
        <w:commentReference w:id="4"/>
      </w:r>
      <w:r>
        <w:rPr>
          <w:b/>
          <w:sz w:val="24"/>
          <w:lang w:val="ru-RU"/>
        </w:rPr>
        <w:t xml:space="preserve">Комитет по ликвидации дискриминации </w:t>
      </w:r>
      <w:r>
        <w:rPr>
          <w:b/>
          <w:sz w:val="24"/>
          <w:lang w:val="ru-RU"/>
        </w:rPr>
        <w:br/>
        <w:t>в отношении женщин</w:t>
      </w:r>
    </w:p>
    <w:p w:rsidR="00000000" w:rsidRDefault="00000000">
      <w:pPr>
        <w:tabs>
          <w:tab w:val="left" w:pos="680"/>
        </w:tabs>
        <w:spacing w:line="240" w:lineRule="auto"/>
        <w:jc w:val="center"/>
        <w:rPr>
          <w:b/>
          <w:sz w:val="28"/>
          <w:lang w:val="ru-RU"/>
        </w:rPr>
      </w:pPr>
      <w:r>
        <w:rPr>
          <w:b/>
          <w:caps/>
          <w:sz w:val="28"/>
          <w:lang w:val="ru-RU"/>
        </w:rPr>
        <w:t>р</w:t>
      </w:r>
      <w:r>
        <w:rPr>
          <w:b/>
          <w:sz w:val="28"/>
          <w:lang w:val="ru-RU"/>
        </w:rPr>
        <w:t>ассмотрение докладов, представленных государствами-участниками</w:t>
      </w:r>
      <w:r>
        <w:rPr>
          <w:b/>
          <w:sz w:val="28"/>
          <w:lang w:val="ru-RU"/>
        </w:rPr>
        <w:br/>
        <w:t>в соответствии со статьей 18 Конвенции о ликвидации</w:t>
      </w:r>
      <w:r>
        <w:rPr>
          <w:b/>
          <w:sz w:val="28"/>
          <w:lang w:val="ru-RU"/>
        </w:rPr>
        <w:br/>
        <w:t>всех форм дискриминации в отношении женщин</w:t>
      </w:r>
    </w:p>
    <w:p w:rsidR="00000000" w:rsidRDefault="00000000">
      <w:pPr>
        <w:tabs>
          <w:tab w:val="left" w:pos="680"/>
        </w:tabs>
        <w:spacing w:after="480"/>
        <w:rPr>
          <w:sz w:val="24"/>
        </w:rPr>
      </w:pPr>
    </w:p>
    <w:p w:rsidR="00000000" w:rsidRDefault="00000000">
      <w:pPr>
        <w:pStyle w:val="BodyText"/>
        <w:tabs>
          <w:tab w:val="left" w:pos="680"/>
        </w:tabs>
        <w:spacing w:after="720"/>
        <w:jc w:val="center"/>
        <w:rPr>
          <w:b/>
          <w:sz w:val="24"/>
        </w:rPr>
      </w:pPr>
      <w:r>
        <w:rPr>
          <w:spacing w:val="-3"/>
          <w:sz w:val="24"/>
        </w:rPr>
        <w:t>Четвертый периодический доклад государств-участников</w:t>
      </w:r>
    </w:p>
    <w:p w:rsidR="00000000" w:rsidRDefault="00000000">
      <w:pPr>
        <w:pStyle w:val="BodyText"/>
        <w:tabs>
          <w:tab w:val="left" w:pos="680"/>
        </w:tabs>
        <w:spacing w:line="240" w:lineRule="auto"/>
        <w:jc w:val="center"/>
        <w:rPr>
          <w:b/>
          <w:sz w:val="28"/>
        </w:rPr>
      </w:pPr>
      <w:r>
        <w:rPr>
          <w:b/>
          <w:sz w:val="28"/>
        </w:rPr>
        <w:t>Нидерланды</w:t>
      </w:r>
      <w:r>
        <w:rPr>
          <w:rStyle w:val="FootnoteReference"/>
          <w:vertAlign w:val="baseline"/>
        </w:rPr>
        <w:footnoteReference w:customMarkFollows="1" w:id="1"/>
        <w:t>*</w:t>
      </w:r>
    </w:p>
    <w:p w:rsidR="00000000" w:rsidRDefault="00000000">
      <w:pPr>
        <w:pStyle w:val="Heading1"/>
        <w:tabs>
          <w:tab w:val="left" w:pos="680"/>
        </w:tabs>
        <w:spacing w:line="480" w:lineRule="auto"/>
        <w:rPr>
          <w:b w:val="0"/>
          <w:lang w:val="ru-RU"/>
        </w:rPr>
        <w:sectPr w:rsidR="00000000">
          <w:headerReference w:type="even" r:id="rId10"/>
          <w:headerReference w:type="default" r:id="rId11"/>
          <w:footerReference w:type="even" r:id="rId12"/>
          <w:footerReference w:type="default" r:id="rId13"/>
          <w:footerReference w:type="first" r:id="rId14"/>
          <w:pgSz w:w="12242" w:h="15842" w:code="1"/>
          <w:pgMar w:top="907" w:right="1304" w:bottom="1247" w:left="1304" w:header="0" w:footer="907" w:gutter="0"/>
          <w:pgNumType w:start="1"/>
          <w:cols w:space="720"/>
          <w:titlePg/>
        </w:sectPr>
      </w:pPr>
    </w:p>
    <w:p w:rsidR="00000000" w:rsidRDefault="00000000">
      <w:pPr>
        <w:tabs>
          <w:tab w:val="left" w:pos="-720"/>
        </w:tabs>
        <w:suppressAutoHyphens/>
        <w:spacing w:before="0" w:line="480" w:lineRule="auto"/>
        <w:rPr>
          <w:b/>
          <w:caps/>
          <w:spacing w:val="-3"/>
          <w:sz w:val="24"/>
        </w:rPr>
      </w:pPr>
      <w:r>
        <w:rPr>
          <w:b/>
          <w:caps/>
          <w:spacing w:val="-3"/>
          <w:sz w:val="24"/>
        </w:rPr>
        <w:t>Содержание</w:t>
      </w:r>
    </w:p>
    <w:p w:rsidR="00000000" w:rsidRDefault="00000000">
      <w:pPr>
        <w:pStyle w:val="a5"/>
        <w:rPr>
          <w:lang w:val="ru-RU"/>
        </w:rPr>
      </w:pPr>
      <w:r>
        <w:t xml:space="preserve">1. </w:t>
      </w:r>
      <w:r>
        <w:rPr>
          <w:lang w:val="ru-RU"/>
        </w:rPr>
        <w:tab/>
      </w:r>
      <w:r>
        <w:t>Общие положения</w:t>
      </w:r>
      <w:r>
        <w:rPr>
          <w:lang w:val="ru-RU"/>
        </w:rPr>
        <w:tab/>
        <w:t>2</w:t>
      </w:r>
    </w:p>
    <w:p w:rsidR="00000000" w:rsidRDefault="00000000">
      <w:pPr>
        <w:pStyle w:val="a5"/>
        <w:rPr>
          <w:lang w:val="ru-RU"/>
        </w:rPr>
      </w:pPr>
      <w:r>
        <w:t xml:space="preserve">2. </w:t>
      </w:r>
      <w:r>
        <w:rPr>
          <w:lang w:val="ru-RU"/>
        </w:rPr>
        <w:tab/>
      </w:r>
      <w:r>
        <w:t>Политика Нидерландов в области эмансипации</w:t>
      </w:r>
      <w:r>
        <w:rPr>
          <w:lang w:val="ru-RU"/>
        </w:rPr>
        <w:tab/>
        <w:t>4</w:t>
      </w:r>
    </w:p>
    <w:p w:rsidR="00000000" w:rsidRDefault="00000000">
      <w:pPr>
        <w:pStyle w:val="a5"/>
        <w:rPr>
          <w:lang w:val="ru-RU"/>
        </w:rPr>
      </w:pPr>
      <w:r>
        <w:t xml:space="preserve">3. </w:t>
      </w:r>
      <w:r>
        <w:rPr>
          <w:lang w:val="ru-RU"/>
        </w:rPr>
        <w:tab/>
      </w:r>
      <w:r>
        <w:t>Текущее положение дел в аспекте статей Конвенции</w:t>
      </w:r>
      <w:r>
        <w:rPr>
          <w:lang w:val="ru-RU"/>
        </w:rPr>
        <w:tab/>
        <w:t>11</w:t>
      </w:r>
    </w:p>
    <w:p w:rsidR="00000000" w:rsidRDefault="00000000">
      <w:pPr>
        <w:pStyle w:val="a5"/>
        <w:tabs>
          <w:tab w:val="left" w:pos="1980"/>
        </w:tabs>
        <w:ind w:left="680" w:right="680"/>
        <w:rPr>
          <w:lang w:val="ru-RU"/>
        </w:rPr>
      </w:pPr>
      <w:r>
        <w:t>Статья 1.</w:t>
      </w:r>
      <w:r>
        <w:rPr>
          <w:lang w:val="ru-RU"/>
        </w:rPr>
        <w:t xml:space="preserve"> </w:t>
      </w:r>
      <w:r>
        <w:t>Пред</w:t>
      </w:r>
      <w:r>
        <w:rPr>
          <w:lang w:val="ru-RU"/>
        </w:rPr>
        <w:t>упреждение</w:t>
      </w:r>
      <w:r>
        <w:t xml:space="preserve"> дискриминации и насилия в отношении женщин и борьба с их проявлениями</w:t>
      </w:r>
      <w:r>
        <w:rPr>
          <w:lang w:val="ru-RU"/>
        </w:rPr>
        <w:tab/>
        <w:t>11</w:t>
      </w:r>
    </w:p>
    <w:p w:rsidR="00000000" w:rsidRDefault="00000000">
      <w:pPr>
        <w:pStyle w:val="a5"/>
        <w:rPr>
          <w:lang w:val="ru-RU"/>
        </w:rPr>
      </w:pPr>
      <w:r>
        <w:rPr>
          <w:lang w:val="ru-RU"/>
        </w:rPr>
        <w:tab/>
      </w:r>
      <w:r>
        <w:t>Статья 5.</w:t>
      </w:r>
      <w:r>
        <w:rPr>
          <w:lang w:val="ru-RU"/>
        </w:rPr>
        <w:t xml:space="preserve"> </w:t>
      </w:r>
      <w:r>
        <w:t>Средства массовой информации и создание определенного образа</w:t>
      </w:r>
      <w:r>
        <w:rPr>
          <w:lang w:val="ru-RU"/>
        </w:rPr>
        <w:tab/>
        <w:t>31</w:t>
      </w:r>
    </w:p>
    <w:p w:rsidR="00000000" w:rsidRDefault="00000000">
      <w:pPr>
        <w:pStyle w:val="a5"/>
      </w:pPr>
      <w:r>
        <w:tab/>
        <w:t>Статья 6. Торговля женщинами и проституция</w:t>
      </w:r>
      <w:r>
        <w:tab/>
        <w:t>33</w:t>
      </w:r>
    </w:p>
    <w:p w:rsidR="00000000" w:rsidRDefault="00000000">
      <w:pPr>
        <w:pStyle w:val="a5"/>
      </w:pPr>
      <w:r>
        <w:tab/>
        <w:t>Статьи 7 и 8. Участие в политической и общественной жизни</w:t>
      </w:r>
      <w:r>
        <w:tab/>
        <w:t>43</w:t>
      </w:r>
    </w:p>
    <w:p w:rsidR="00000000" w:rsidRDefault="00000000">
      <w:pPr>
        <w:pStyle w:val="a5"/>
      </w:pPr>
      <w:r>
        <w:tab/>
        <w:t xml:space="preserve">Статья 9. </w:t>
      </w:r>
      <w:r>
        <w:rPr>
          <w:lang w:val="ru-RU"/>
        </w:rPr>
        <w:t xml:space="preserve">Закон о </w:t>
      </w:r>
      <w:r>
        <w:t>гражданств</w:t>
      </w:r>
      <w:r>
        <w:rPr>
          <w:lang w:val="ru-RU"/>
        </w:rPr>
        <w:t>е</w:t>
      </w:r>
      <w:r>
        <w:t xml:space="preserve"> и </w:t>
      </w:r>
      <w:r>
        <w:rPr>
          <w:lang w:val="ru-RU"/>
        </w:rPr>
        <w:t>З</w:t>
      </w:r>
      <w:r>
        <w:t>акон об иностранцах</w:t>
      </w:r>
      <w:r>
        <w:tab/>
        <w:t>57</w:t>
      </w:r>
    </w:p>
    <w:p w:rsidR="00000000" w:rsidRDefault="00000000">
      <w:pPr>
        <w:pStyle w:val="a5"/>
      </w:pPr>
      <w:r>
        <w:tab/>
        <w:t>Статья 10. Образование и спорт</w:t>
      </w:r>
      <w:r>
        <w:tab/>
        <w:t>60</w:t>
      </w:r>
    </w:p>
    <w:p w:rsidR="00000000" w:rsidRDefault="00000000">
      <w:pPr>
        <w:pStyle w:val="a5"/>
      </w:pPr>
      <w:r>
        <w:tab/>
        <w:t xml:space="preserve">Статьи 11 и 13. Занятость и </w:t>
      </w:r>
      <w:r>
        <w:rPr>
          <w:lang w:val="ru-RU"/>
        </w:rPr>
        <w:t>участие в</w:t>
      </w:r>
      <w:r>
        <w:t xml:space="preserve"> экономическ</w:t>
      </w:r>
      <w:r>
        <w:rPr>
          <w:lang w:val="ru-RU"/>
        </w:rPr>
        <w:t>ой</w:t>
      </w:r>
      <w:r>
        <w:t xml:space="preserve"> жизн</w:t>
      </w:r>
      <w:r>
        <w:rPr>
          <w:lang w:val="ru-RU"/>
        </w:rPr>
        <w:t>и</w:t>
      </w:r>
      <w:r>
        <w:tab/>
        <w:t>65</w:t>
      </w:r>
    </w:p>
    <w:p w:rsidR="00000000" w:rsidRDefault="00000000">
      <w:pPr>
        <w:pStyle w:val="a5"/>
      </w:pPr>
      <w:r>
        <w:tab/>
        <w:t>Статья 12. Здравоохранение и социальное обеспечение</w:t>
      </w:r>
      <w:r>
        <w:tab/>
        <w:t>86</w:t>
      </w:r>
    </w:p>
    <w:p w:rsidR="00000000" w:rsidRDefault="00000000">
      <w:pPr>
        <w:pStyle w:val="a5"/>
      </w:pPr>
      <w:r>
        <w:tab/>
        <w:t>Статья 14. Женщины и устойчивое развитие</w:t>
      </w:r>
      <w:r>
        <w:tab/>
        <w:t>93</w:t>
      </w:r>
    </w:p>
    <w:p w:rsidR="00000000" w:rsidRDefault="00000000">
      <w:pPr>
        <w:pStyle w:val="a5"/>
      </w:pPr>
      <w:r>
        <w:tab/>
        <w:t>Статья 16. Личные и семейные права</w:t>
      </w:r>
      <w:r>
        <w:tab/>
        <w:t>96</w:t>
      </w:r>
    </w:p>
    <w:p w:rsidR="00000000" w:rsidRDefault="00000000">
      <w:pPr>
        <w:pStyle w:val="a5"/>
        <w:ind w:right="680"/>
        <w:rPr>
          <w:lang w:val="ru-RU"/>
        </w:rPr>
      </w:pPr>
      <w:r>
        <w:t xml:space="preserve">Приложение 1. </w:t>
      </w:r>
      <w:r>
        <w:rPr>
          <w:b w:val="0"/>
        </w:rPr>
        <w:t xml:space="preserve">Резюме </w:t>
      </w:r>
      <w:r>
        <w:rPr>
          <w:b w:val="0"/>
          <w:lang w:val="ru-RU"/>
        </w:rPr>
        <w:t>"</w:t>
      </w:r>
      <w:r>
        <w:rPr>
          <w:b w:val="0"/>
        </w:rPr>
        <w:t xml:space="preserve">На пути к </w:t>
      </w:r>
      <w:r>
        <w:rPr>
          <w:b w:val="0"/>
          <w:i/>
        </w:rPr>
        <w:t>ино</w:t>
      </w:r>
      <w:r>
        <w:rPr>
          <w:b w:val="0"/>
          <w:i/>
          <w:lang w:val="ru-RU"/>
        </w:rPr>
        <w:t>му</w:t>
      </w:r>
      <w:r>
        <w:rPr>
          <w:b w:val="0"/>
          <w:i/>
        </w:rPr>
        <w:t xml:space="preserve"> </w:t>
      </w:r>
      <w:r>
        <w:rPr>
          <w:b w:val="0"/>
        </w:rPr>
        <w:t>право</w:t>
      </w:r>
      <w:r>
        <w:rPr>
          <w:b w:val="0"/>
          <w:lang w:val="ru-RU"/>
        </w:rPr>
        <w:t>порядку</w:t>
      </w:r>
      <w:r>
        <w:rPr>
          <w:b w:val="0"/>
        </w:rPr>
        <w:t xml:space="preserve"> и государственной политике. Значение </w:t>
      </w:r>
      <w:r>
        <w:rPr>
          <w:b w:val="0"/>
          <w:lang w:val="ru-RU"/>
        </w:rPr>
        <w:t xml:space="preserve">пункта </w:t>
      </w:r>
      <w:r>
        <w:rPr>
          <w:b w:val="0"/>
        </w:rPr>
        <w:t>а</w:t>
      </w:r>
      <w:r>
        <w:rPr>
          <w:b w:val="0"/>
          <w:lang w:val="ru-RU"/>
        </w:rPr>
        <w:t>)</w:t>
      </w:r>
      <w:r>
        <w:rPr>
          <w:b w:val="0"/>
        </w:rPr>
        <w:t xml:space="preserve"> статьи 5</w:t>
      </w:r>
      <w:r>
        <w:rPr>
          <w:b w:val="0"/>
          <w:lang w:val="ru-RU"/>
        </w:rPr>
        <w:t xml:space="preserve"> </w:t>
      </w:r>
      <w:r>
        <w:rPr>
          <w:b w:val="0"/>
        </w:rPr>
        <w:t xml:space="preserve">Конвенции для </w:t>
      </w:r>
      <w:r>
        <w:rPr>
          <w:b w:val="0"/>
          <w:lang w:val="ru-RU"/>
        </w:rPr>
        <w:t>ликвидации структурной</w:t>
      </w:r>
      <w:r>
        <w:rPr>
          <w:b w:val="0"/>
        </w:rPr>
        <w:t xml:space="preserve"> гендерной дискриминации</w:t>
      </w:r>
      <w:r>
        <w:rPr>
          <w:b w:val="0"/>
          <w:lang w:val="ru-RU"/>
        </w:rPr>
        <w:t>"</w:t>
      </w:r>
      <w:r>
        <w:rPr>
          <w:lang w:val="ru-RU"/>
        </w:rPr>
        <w:tab/>
        <w:t>99</w:t>
      </w:r>
    </w:p>
    <w:p w:rsidR="00000000" w:rsidRDefault="00000000">
      <w:pPr>
        <w:pStyle w:val="a5"/>
        <w:tabs>
          <w:tab w:val="clear" w:pos="1440"/>
        </w:tabs>
        <w:ind w:right="680"/>
        <w:rPr>
          <w:b w:val="0"/>
          <w:lang w:val="ru-RU"/>
        </w:rPr>
      </w:pPr>
      <w:r>
        <w:t xml:space="preserve">Приложение 2. </w:t>
      </w:r>
      <w:r>
        <w:rPr>
          <w:b w:val="0"/>
          <w:lang w:val="ru-RU"/>
        </w:rPr>
        <w:t>"</w:t>
      </w:r>
      <w:r>
        <w:rPr>
          <w:b w:val="0"/>
        </w:rPr>
        <w:t xml:space="preserve">Конвенция Организации Объединенных Наций о ликвидации всех форм дискриминации в отношении женщин </w:t>
      </w:r>
      <w:r>
        <w:rPr>
          <w:b w:val="0"/>
          <w:lang w:val="ru-RU"/>
        </w:rPr>
        <w:t>в связи с</w:t>
      </w:r>
      <w:r>
        <w:rPr>
          <w:b w:val="0"/>
        </w:rPr>
        <w:t xml:space="preserve"> положение</w:t>
      </w:r>
      <w:r>
        <w:rPr>
          <w:b w:val="0"/>
          <w:lang w:val="ru-RU"/>
        </w:rPr>
        <w:t>м</w:t>
      </w:r>
      <w:r>
        <w:rPr>
          <w:b w:val="0"/>
        </w:rPr>
        <w:t xml:space="preserve"> иностранных гражданок в</w:t>
      </w:r>
      <w:r>
        <w:rPr>
          <w:b w:val="0"/>
          <w:lang w:val="ru-RU"/>
        </w:rPr>
        <w:t xml:space="preserve"> контексте</w:t>
      </w:r>
      <w:r>
        <w:rPr>
          <w:b w:val="0"/>
        </w:rPr>
        <w:t xml:space="preserve"> законодательств</w:t>
      </w:r>
      <w:r>
        <w:rPr>
          <w:b w:val="0"/>
          <w:lang w:val="ru-RU"/>
        </w:rPr>
        <w:t>а</w:t>
      </w:r>
      <w:r>
        <w:rPr>
          <w:b w:val="0"/>
        </w:rPr>
        <w:t xml:space="preserve"> и политик</w:t>
      </w:r>
      <w:r>
        <w:rPr>
          <w:b w:val="0"/>
          <w:lang w:val="ru-RU"/>
        </w:rPr>
        <w:t>и</w:t>
      </w:r>
      <w:r>
        <w:rPr>
          <w:b w:val="0"/>
        </w:rPr>
        <w:t xml:space="preserve"> Нидерландов в отношении иностранцев</w:t>
      </w:r>
      <w:r>
        <w:rPr>
          <w:b w:val="0"/>
          <w:lang w:val="ru-RU"/>
        </w:rPr>
        <w:t>"</w:t>
      </w:r>
      <w:r>
        <w:rPr>
          <w:b w:val="0"/>
        </w:rPr>
        <w:t>, подготовлен</w:t>
      </w:r>
      <w:r>
        <w:rPr>
          <w:b w:val="0"/>
          <w:lang w:val="ru-RU"/>
        </w:rPr>
        <w:t>о</w:t>
      </w:r>
      <w:r>
        <w:rPr>
          <w:b w:val="0"/>
        </w:rPr>
        <w:t xml:space="preserve"> Консультативным комитетом по делам иностранцев</w:t>
      </w:r>
      <w:r>
        <w:rPr>
          <w:lang w:val="ru-RU"/>
        </w:rPr>
        <w:tab/>
        <w:t>102</w:t>
      </w:r>
    </w:p>
    <w:p w:rsidR="00000000" w:rsidRDefault="00000000">
      <w:pPr>
        <w:pStyle w:val="-2"/>
        <w:pageBreakBefore/>
        <w:spacing w:before="0"/>
        <w:jc w:val="center"/>
      </w:pPr>
      <w:r>
        <w:t>1.   Общие положения</w:t>
      </w:r>
    </w:p>
    <w:p w:rsidR="00000000" w:rsidRDefault="00000000">
      <w:r>
        <w:t>Настоящий доклад является четвертым докладом, представленным Нидерландами Комитету, который был учрежден в соответствии с Конвенцией Организации Объединенных Наций о ликвидации всех форм дискриминации в отношении женщин. Третий доклад был представлен в 2000 году.</w:t>
      </w:r>
    </w:p>
    <w:p w:rsidR="00000000" w:rsidRDefault="00000000">
      <w:r>
        <w:t>Как планировалось, четвертому докладу предшествовал национальный доклад. Второй национальный доклад вместе с заключением правительства был направлен в Палату представителей Генеральных штатов в 2003 году. Второй национальный доклад состоял из двух частей: общ</w:t>
      </w:r>
      <w:r>
        <w:rPr>
          <w:lang w:val="ru-RU"/>
        </w:rPr>
        <w:t>его</w:t>
      </w:r>
      <w:r>
        <w:t xml:space="preserve"> и тематическ</w:t>
      </w:r>
      <w:r>
        <w:rPr>
          <w:lang w:val="ru-RU"/>
        </w:rPr>
        <w:t>ого</w:t>
      </w:r>
      <w:r>
        <w:t xml:space="preserve"> раздел</w:t>
      </w:r>
      <w:r>
        <w:rPr>
          <w:lang w:val="ru-RU"/>
        </w:rPr>
        <w:t>ов</w:t>
      </w:r>
      <w:r>
        <w:t>. Общая часть состояла из обзора политики Нидерландов в области эмансипации за период 199</w:t>
      </w:r>
      <w:r>
        <w:rPr>
          <w:lang w:val="ru-RU"/>
        </w:rPr>
        <w:t>8–</w:t>
      </w:r>
      <w:r>
        <w:t>2002 годов</w:t>
      </w:r>
      <w:r>
        <w:rPr>
          <w:rStyle w:val="FootnoteReference"/>
          <w:sz w:val="24"/>
        </w:rPr>
        <w:footnoteReference w:id="2"/>
      </w:r>
      <w:r>
        <w:t>. В тематическом разделе рассматриваются гендерная направленность политики в области прав человека, политики в отношении иностранцев, вновь прибывших, интеграции и возвращения, а также взаимосвязь между этими областями политики</w:t>
      </w:r>
      <w:r>
        <w:rPr>
          <w:rStyle w:val="FootnoteReference"/>
          <w:sz w:val="24"/>
        </w:rPr>
        <w:footnoteReference w:id="3"/>
      </w:r>
      <w:r>
        <w:t>.</w:t>
      </w:r>
    </w:p>
    <w:p w:rsidR="00000000" w:rsidRDefault="00000000">
      <w:r>
        <w:t>В июле 2004 года правительство Нидерландов направило свой второй доклад об осуществлении Конвенции (</w:t>
      </w:r>
      <w:r>
        <w:rPr>
          <w:i/>
        </w:rPr>
        <w:t>Нидерланды десять лет спустя после Пекинской встречи)</w:t>
      </w:r>
      <w:r>
        <w:t xml:space="preserve"> Отделу по улучшению положения женщин Организации Объединенных Наций, в котором описываются достижения в важных проблемных областях, наилучшая практика и встретившиеся препятствия. С четвертым докладом об осуществлении Конвенции Организации Объединенных Наций о ликвидации всех форм дискриминации в отношении женщин желательно знакомится вместе с этим докладом.</w:t>
      </w:r>
    </w:p>
    <w:p w:rsidR="00000000" w:rsidRDefault="00000000">
      <w:pPr>
        <w:pStyle w:val="Subtitle"/>
      </w:pPr>
      <w:r>
        <w:t>Рекомендации Комитета</w:t>
      </w:r>
    </w:p>
    <w:p w:rsidR="00000000" w:rsidRDefault="00000000">
      <w:r>
        <w:t xml:space="preserve">Второй и третий доклады Нидерландов об осуществлении Конвенции Организации Объединенных Наций о женщинах обсуждались 6 июля 2001 года в Нью-Йорке во время 25-й сессии Комитета по ликвидации дискриминации в отношении женщин (далее Комитет). Обсуждение в Комитете проходило в атмосфере открытости и конструктивности. Комитет положительно </w:t>
      </w:r>
      <w:r>
        <w:rPr>
          <w:lang w:val="ru-RU"/>
        </w:rPr>
        <w:t>о</w:t>
      </w:r>
      <w:r>
        <w:t>ценил нидерландский многолетний план политики в области эмансипации и, более конкретно, введени</w:t>
      </w:r>
      <w:r>
        <w:rPr>
          <w:lang w:val="ru-RU"/>
        </w:rPr>
        <w:t>е</w:t>
      </w:r>
      <w:r>
        <w:t xml:space="preserve"> должности Национального докладчика по вопросу торговли людьми и инициатив</w:t>
      </w:r>
      <w:r>
        <w:rPr>
          <w:lang w:val="ru-RU"/>
        </w:rPr>
        <w:t>ы</w:t>
      </w:r>
      <w:r>
        <w:t>, касающ</w:t>
      </w:r>
      <w:r>
        <w:rPr>
          <w:lang w:val="ru-RU"/>
        </w:rPr>
        <w:t>е</w:t>
      </w:r>
      <w:r>
        <w:t>мся совмещения оплачиваемой работы и семейных обязанностей, программы накопления сбережений в течение всей жизни и увязывания деятельности по улучшению положения женщин и регулярной политике (учет гендерного аспекта). Комитет выделил важнейшие вопросы, касающиеся низкого уровня занятости среди женщин и большого числа рабочих мест, на которых они заняты неполный рабочий день, защиты нелегальных проституток и жертв торговли женщинами, ограниченного числа женщин на руководящих</w:t>
      </w:r>
      <w:r>
        <w:rPr>
          <w:lang w:val="ru-RU"/>
        </w:rPr>
        <w:t xml:space="preserve"> должностях</w:t>
      </w:r>
      <w:r>
        <w:t>, дискриминации в заработной плате и положения женщин из числа этнических меньшинств. Доклад, подготовленный Комитетом, содержит 46 рекомендаций и заключений. В настоящем докладе о данных рекомендациях и заключениях более подробно говорится при рассмотрении соответствующих статей.</w:t>
      </w:r>
    </w:p>
    <w:p w:rsidR="00000000" w:rsidRDefault="00000000">
      <w:r>
        <w:t xml:space="preserve">Нидерланды благожелательно отнеслись к рекомендации Комитета включить в состав делегации Королевства Нидерландов представителей Нидерландских Антильских островов и острова Аруба, и в консультации с ними было решено принять меры для обеспечения участия их представителей в обсуждении настоящего доклада. </w:t>
      </w:r>
    </w:p>
    <w:p w:rsidR="00000000" w:rsidRDefault="00000000">
      <w:r>
        <w:t>Нидерланды продолжают негативно воспринимать сделанные другими государствами оговорки, которые, по их мнению, несовместимы с целями и задачами Конвенции Организации Объединенных Наций о женщинах.</w:t>
      </w:r>
    </w:p>
    <w:p w:rsidR="00000000" w:rsidRDefault="00000000">
      <w:pPr>
        <w:pStyle w:val="Subtitle"/>
      </w:pPr>
      <w:r>
        <w:t>Содержание глав</w:t>
      </w:r>
    </w:p>
    <w:p w:rsidR="00000000" w:rsidRDefault="00000000">
      <w:r>
        <w:t>В первой главе даются пояснения относительно структуры доклада и кратко излагается содержание остальных глав.</w:t>
      </w:r>
    </w:p>
    <w:p w:rsidR="00000000" w:rsidRDefault="00000000">
      <w:pPr>
        <w:spacing w:before="360"/>
        <w:rPr>
          <w:i/>
        </w:rPr>
      </w:pPr>
      <w:r>
        <w:rPr>
          <w:i/>
        </w:rPr>
        <w:t xml:space="preserve">Глава 2. Политика Нидерландов в области эмансипации </w:t>
      </w:r>
    </w:p>
    <w:p w:rsidR="00000000" w:rsidRDefault="00000000">
      <w:r>
        <w:t>Политика государства в области эмансипации – это гарантия на структурном уровне его постоянной заинтересованности в улучшении положения женщин, и поэтому в настоящем докладе ей уделяется</w:t>
      </w:r>
      <w:r>
        <w:rPr>
          <w:lang w:val="ru-RU"/>
        </w:rPr>
        <w:t xml:space="preserve"> значительное</w:t>
      </w:r>
      <w:r>
        <w:t xml:space="preserve"> внимание. </w:t>
      </w:r>
    </w:p>
    <w:p w:rsidR="00000000" w:rsidRDefault="00000000">
      <w:pPr>
        <w:spacing w:before="360"/>
        <w:rPr>
          <w:i/>
        </w:rPr>
      </w:pPr>
      <w:r>
        <w:rPr>
          <w:i/>
        </w:rPr>
        <w:t>Глава 3. Текущее положение дел в аспекте статей Конвенции</w:t>
      </w:r>
    </w:p>
    <w:p w:rsidR="00000000" w:rsidRDefault="00000000">
      <w:pPr>
        <w:numPr>
          <w:ilvl w:val="0"/>
          <w:numId w:val="13"/>
        </w:numPr>
      </w:pPr>
      <w:r>
        <w:rPr>
          <w:u w:val="single"/>
        </w:rPr>
        <w:t>Статья 1. Предотвращение дискриминации и насилия в отношении женщин и борьба с их</w:t>
      </w:r>
      <w:r>
        <w:rPr>
          <w:u w:val="single"/>
          <w:lang w:val="ru-RU"/>
        </w:rPr>
        <w:t xml:space="preserve"> проявлениями</w:t>
      </w:r>
      <w:r>
        <w:rPr>
          <w:u w:val="single"/>
        </w:rPr>
        <w:t>.</w:t>
      </w:r>
      <w:r>
        <w:rPr>
          <w:lang w:val="ru-RU"/>
        </w:rPr>
        <w:t xml:space="preserve">  </w:t>
      </w:r>
      <w:r>
        <w:t>Предотвращение насилия в отношении женщин и борьба с ним занимают центральное место в силу того большого значения, которое правительство Нидерландов придает и будет придавать этому вопросу.</w:t>
      </w:r>
    </w:p>
    <w:p w:rsidR="00000000" w:rsidRDefault="00000000">
      <w:pPr>
        <w:numPr>
          <w:ilvl w:val="0"/>
          <w:numId w:val="13"/>
        </w:numPr>
      </w:pPr>
      <w:r>
        <w:rPr>
          <w:u w:val="single"/>
        </w:rPr>
        <w:t>Статья 5. Средства массовой информации и создание образа женщины.</w:t>
      </w:r>
      <w:r>
        <w:t xml:space="preserve"> Этот раздел посвящен обсуждению вопроса о нынешнем распределении ролей и задач между мужчинами и женщинами. </w:t>
      </w:r>
      <w:r>
        <w:rPr>
          <w:lang w:val="ru-RU"/>
        </w:rPr>
        <w:t>Ф</w:t>
      </w:r>
      <w:r>
        <w:t>ормирование в средствах массовой информации соответствующих образов представляет собой существенный аспект усилий в этом направлении.</w:t>
      </w:r>
    </w:p>
    <w:p w:rsidR="00000000" w:rsidRDefault="00000000">
      <w:pPr>
        <w:numPr>
          <w:ilvl w:val="0"/>
          <w:numId w:val="13"/>
        </w:numPr>
      </w:pPr>
      <w:r>
        <w:rPr>
          <w:u w:val="single"/>
        </w:rPr>
        <w:t>Статья 6</w:t>
      </w:r>
      <w:r>
        <w:rPr>
          <w:u w:val="single"/>
          <w:lang w:val="ru-RU"/>
        </w:rPr>
        <w:t>.</w:t>
      </w:r>
      <w:r>
        <w:rPr>
          <w:u w:val="single"/>
        </w:rPr>
        <w:t xml:space="preserve"> Торговля женщинами и проституция.</w:t>
      </w:r>
      <w:r>
        <w:t xml:space="preserve"> Хотя в Конвенции говорится, что государства-члены должны бороться с эксплуатацией проституции, Нидерланды придерживаются иной точки зрения.</w:t>
      </w:r>
    </w:p>
    <w:p w:rsidR="00000000" w:rsidRDefault="00000000">
      <w:pPr>
        <w:numPr>
          <w:ilvl w:val="0"/>
          <w:numId w:val="13"/>
        </w:numPr>
      </w:pPr>
      <w:r>
        <w:rPr>
          <w:u w:val="single"/>
        </w:rPr>
        <w:t>Статьи 7 и 8. Политическая и общественная жизнь.</w:t>
      </w:r>
      <w:r>
        <w:t xml:space="preserve"> В докладе проводится различие между участием женщин в политике, с одной стороны, и их работой на государственных должностях и участием в других формах жизни общества, с другой стороны.</w:t>
      </w:r>
    </w:p>
    <w:p w:rsidR="00000000" w:rsidRDefault="00000000">
      <w:pPr>
        <w:numPr>
          <w:ilvl w:val="0"/>
          <w:numId w:val="13"/>
        </w:numPr>
      </w:pPr>
      <w:r>
        <w:rPr>
          <w:u w:val="single"/>
        </w:rPr>
        <w:t>Статья 9. Права гражданства и законодательство об иностранцах.</w:t>
      </w:r>
      <w:r>
        <w:t xml:space="preserve"> Этот раздел касается главным образом политики в отношении иностранцев применительно к женщинам.</w:t>
      </w:r>
    </w:p>
    <w:p w:rsidR="00000000" w:rsidRDefault="00000000">
      <w:pPr>
        <w:numPr>
          <w:ilvl w:val="0"/>
          <w:numId w:val="13"/>
        </w:numPr>
      </w:pPr>
      <w:r>
        <w:rPr>
          <w:u w:val="single"/>
        </w:rPr>
        <w:t>Статья 10. Образование и спорт.</w:t>
      </w:r>
      <w:r>
        <w:t xml:space="preserve"> В докладе подробно говорится об участии девушек в занятии наукой и техникой, о положении девушек/женщин из числа этнических меньшинств, и о женщинах-профессорах. </w:t>
      </w:r>
    </w:p>
    <w:p w:rsidR="00000000" w:rsidRDefault="00000000">
      <w:pPr>
        <w:numPr>
          <w:ilvl w:val="0"/>
          <w:numId w:val="13"/>
        </w:numPr>
      </w:pPr>
      <w:r>
        <w:rPr>
          <w:u w:val="single"/>
        </w:rPr>
        <w:t>Статьи 11 и 13. Занятость и экономическая жизнь.</w:t>
      </w:r>
      <w:r>
        <w:t xml:space="preserve"> Осуществляемые в рамках этих статей меры нацелены на расширение возможностей совмещения производственных и семейных обязанностей. В этом разделе также рассматривается вопрос о </w:t>
      </w:r>
      <w:r>
        <w:rPr>
          <w:lang w:val="ru-RU"/>
        </w:rPr>
        <w:t xml:space="preserve">предоставлении </w:t>
      </w:r>
      <w:r>
        <w:t xml:space="preserve">женщинам большей независимости и самостоятельности посредством улучшения их положения в отношении трудоустройства и получения дохода. Обсуждаются также проблемы, связанные с так называемым "стеклянным потолком". </w:t>
      </w:r>
    </w:p>
    <w:p w:rsidR="00000000" w:rsidRDefault="00000000">
      <w:pPr>
        <w:numPr>
          <w:ilvl w:val="0"/>
          <w:numId w:val="13"/>
        </w:numPr>
      </w:pPr>
      <w:r>
        <w:rPr>
          <w:u w:val="single"/>
        </w:rPr>
        <w:t>Статья 12. Здравоохранение и социальное обеспечение.</w:t>
      </w:r>
      <w:r>
        <w:t xml:space="preserve"> В докладе обращается особое внимание на положение женщин </w:t>
      </w:r>
      <w:r>
        <w:rPr>
          <w:lang w:val="ru-RU"/>
        </w:rPr>
        <w:t xml:space="preserve">пожилого </w:t>
      </w:r>
      <w:r>
        <w:t>возраста, а также лесбиянок и женщин-инвалидов, в частности, в плане здравоохранения и социального обеспечения.</w:t>
      </w:r>
    </w:p>
    <w:p w:rsidR="00000000" w:rsidRDefault="00000000">
      <w:pPr>
        <w:numPr>
          <w:ilvl w:val="0"/>
          <w:numId w:val="13"/>
        </w:numPr>
      </w:pPr>
      <w:r>
        <w:rPr>
          <w:u w:val="single"/>
        </w:rPr>
        <w:t>Статья 14. Женщины и устойчивое развитие.</w:t>
      </w:r>
      <w:r>
        <w:t xml:space="preserve"> В этом разделе рассматрива</w:t>
      </w:r>
      <w:r>
        <w:rPr>
          <w:lang w:val="ru-RU"/>
        </w:rPr>
        <w:t>ю</w:t>
      </w:r>
      <w:r>
        <w:t>тся вопрос</w:t>
      </w:r>
      <w:r>
        <w:rPr>
          <w:lang w:val="ru-RU"/>
        </w:rPr>
        <w:t>ы</w:t>
      </w:r>
      <w:r>
        <w:t xml:space="preserve"> о том</w:t>
      </w:r>
      <w:r>
        <w:rPr>
          <w:lang w:val="ru-RU"/>
        </w:rPr>
        <w:t>,</w:t>
      </w:r>
      <w:r>
        <w:t xml:space="preserve"> </w:t>
      </w:r>
      <w:r>
        <w:rPr>
          <w:lang w:val="ru-RU"/>
        </w:rPr>
        <w:t>к</w:t>
      </w:r>
      <w:r>
        <w:t>ак женщины совмещают оплачиваемую работу и семейные обязанности, о планировании землепользования, а также о том, как женщине удается сочетать выполнение различных задач.</w:t>
      </w:r>
    </w:p>
    <w:p w:rsidR="00000000" w:rsidRDefault="00000000">
      <w:pPr>
        <w:numPr>
          <w:ilvl w:val="0"/>
          <w:numId w:val="13"/>
        </w:numPr>
      </w:pPr>
      <w:r>
        <w:rPr>
          <w:u w:val="single"/>
        </w:rPr>
        <w:t>Статья 16. Личные и семейные права.</w:t>
      </w:r>
      <w:r>
        <w:t xml:space="preserve"> В контексте личных и семейных прав в этом разделе подробно рассматриваются положения законодательства, касающиеся однополых партнеров, брака и развода, а также закон о фамилиях.</w:t>
      </w:r>
    </w:p>
    <w:p w:rsidR="00000000" w:rsidRDefault="00000000">
      <w:pPr>
        <w:pStyle w:val="-2"/>
        <w:jc w:val="center"/>
      </w:pPr>
      <w:r>
        <w:t>2.   Политика Нидерландов в области эмансипации</w:t>
      </w:r>
    </w:p>
    <w:p w:rsidR="00000000" w:rsidRDefault="00000000">
      <w:pPr>
        <w:pStyle w:val="Subtitle"/>
        <w:rPr>
          <w:sz w:val="23"/>
        </w:rPr>
      </w:pPr>
      <w:r>
        <w:rPr>
          <w:sz w:val="23"/>
        </w:rPr>
        <w:t xml:space="preserve">1. </w:t>
      </w:r>
      <w:r>
        <w:rPr>
          <w:sz w:val="23"/>
          <w:lang w:val="ru-RU"/>
        </w:rPr>
        <w:tab/>
      </w:r>
      <w:r>
        <w:rPr>
          <w:sz w:val="23"/>
        </w:rPr>
        <w:t>Цели проводимой Нидерландами политики в области эмансипации</w:t>
      </w:r>
    </w:p>
    <w:p w:rsidR="00000000" w:rsidRDefault="00000000">
      <w:pPr>
        <w:spacing w:before="360"/>
        <w:rPr>
          <w:i/>
        </w:rPr>
      </w:pPr>
      <w:r>
        <w:rPr>
          <w:i/>
        </w:rPr>
        <w:t>Двуединая стратегия</w:t>
      </w:r>
    </w:p>
    <w:p w:rsidR="00000000" w:rsidRDefault="00000000">
      <w:r>
        <w:t>За последние десятилетия характер политики Нидерландов в области эмансипации существенно изменился. Все в большей степени эмансипация становится частью политики не только Министерства социальных дел и по вопросам занятости, но и других министерств. В результате акцент сместился с предупреждения дискриминации в сфере законодательства к анализу последствий проводимой политики. Необходимы специальные решения, чтобы при реализации политики учитывалось растущее многообразие в обществе. Это привело к разработке двуединой стратегии, которая представляет две стороны одной медали: первая – это конкретная политика в области эмансипации, которая способствует преобразованиям, выдвигает новые вопросы политической повестки дня, предлагает новые инструменты и стимулирует стратегические альянсы с социальными партнерами и неправительственными организациями на основе общих представлений; а вторая – это</w:t>
      </w:r>
      <w:r>
        <w:rPr>
          <w:lang w:val="ru-RU"/>
        </w:rPr>
        <w:t xml:space="preserve"> </w:t>
      </w:r>
      <w:r>
        <w:t>повседневная деятельность с учетом гендерного аспекта во всех областях</w:t>
      </w:r>
      <w:r>
        <w:rPr>
          <w:rStyle w:val="FootnoteReference"/>
          <w:sz w:val="24"/>
        </w:rPr>
        <w:footnoteReference w:id="4"/>
      </w:r>
      <w:r>
        <w:t>. Эти два направления политики тесно взаимосвязаны; знания и опыт, накопленные при осуществлении одного направления, являются основным условием реализации задач другого направления.</w:t>
      </w:r>
    </w:p>
    <w:p w:rsidR="00000000" w:rsidRDefault="00000000">
      <w:pPr>
        <w:rPr>
          <w:b/>
          <w:i/>
        </w:rPr>
      </w:pPr>
      <w:r>
        <w:rPr>
          <w:b/>
          <w:i/>
        </w:rPr>
        <w:t>От движения за равноправие женщин к неотъемлемому праву</w:t>
      </w:r>
    </w:p>
    <w:p w:rsidR="00000000" w:rsidRDefault="00000000">
      <w:r>
        <w:t>В 2000 году был опубликован документ о среднесрочной политике в области эмансипации, озаглавленный "От движения за равноправие женщин к неотъемлемому праву". В этом документе описываются тенденции в пяти областях политики на предстоящие десять лет</w:t>
      </w:r>
      <w:r>
        <w:rPr>
          <w:rStyle w:val="FootnoteReference"/>
          <w:sz w:val="24"/>
        </w:rPr>
        <w:footnoteReference w:id="5"/>
      </w:r>
      <w:r>
        <w:t>. Исследование будущих тенденций было необходимо, чтобы точно определить возможности и риски, с которыми сталкивается политика в области эмансипации. На основе этого основополагающего документа был избран курс политики в области эмансипации в ХХI веке.</w:t>
      </w:r>
    </w:p>
    <w:p w:rsidR="00000000" w:rsidRDefault="00000000">
      <w:r>
        <w:t xml:space="preserve">Данный директивный документ явился результатом интенсивного и интерактивного подготовительного процесса с использованием различных методов, в том числе перспективных обзоров областей политики, которые могут иметь ключевое значение в будущем, рекомендаций ряда консультативных органов и обсуждений с неправительственными организациями. Помимо того что он послужил структурным элементом для будущей политики Нидерландов в области эмансипации, он также использовался для подготовки вклада Нидерландов в работу специальной сессии Генеральной Ассамблеи Организации Объединенных Наций в июне 2000 года. </w:t>
      </w:r>
    </w:p>
    <w:p w:rsidR="00000000" w:rsidRDefault="00000000">
      <w:pPr>
        <w:rPr>
          <w:i/>
        </w:rPr>
      </w:pPr>
      <w:r>
        <w:rPr>
          <w:b/>
          <w:i/>
        </w:rPr>
        <w:t>Специальная сессия Генеральной Ассамблеи Организации Объединенных Наций "Пекин +5"</w:t>
      </w:r>
    </w:p>
    <w:p w:rsidR="00000000" w:rsidRDefault="00000000">
      <w:r>
        <w:t>В июне 2000 года во время двадцать третьей специальной сессии Генеральной Ассамблеи на тему "Женщины в 2000 году: равенство между мужчинами и женщинами, развитие и мир в ХХI веке" правительство Нидерландов утверждало, что в плюралистическом обществе должны сосуществовать многообразие и равенство.</w:t>
      </w:r>
    </w:p>
    <w:p w:rsidR="00000000" w:rsidRDefault="00000000">
      <w:r>
        <w:t>Нидерланды были удовлетворены результатами специальной сессии Генеральной Ассамблеи Организации Объединенных Наций "Пекин +5"</w:t>
      </w:r>
      <w:r>
        <w:rPr>
          <w:rStyle w:val="FootnoteReference"/>
          <w:sz w:val="24"/>
        </w:rPr>
        <w:footnoteReference w:id="6"/>
      </w:r>
      <w:r>
        <w:t>. Эта специальная сессия возродила политический интерес к национальной и международной политике в области эмансипации. Порядок очередности, установленный для краткосрочных и среднесрочных действий, привел к более оперативному осуществлению Платформы действий. Правительство (вторая администрация Кока) заимствовало некоторые из приоритетных направлений, перечисленных в заключительном документе "Пять лет после Пекина", в своем документе по осуществлению многолетней политики в области эмансипации, который, в свою очередь, недавно стал общим руководством для делегации Нидерландов в Комиссии по положению женщин.</w:t>
      </w:r>
    </w:p>
    <w:p w:rsidR="00000000" w:rsidRDefault="00000000">
      <w:pPr>
        <w:rPr>
          <w:b/>
          <w:i/>
        </w:rPr>
      </w:pPr>
      <w:r>
        <w:rPr>
          <w:b/>
          <w:i/>
        </w:rPr>
        <w:t>Многолетняя программа политики Нидерландов в области эмансипации. Политика в области эмансипации в краткосрочном и среднесрочном плане (2000 год)</w:t>
      </w:r>
    </w:p>
    <w:p w:rsidR="00000000" w:rsidRDefault="00000000">
      <w:r>
        <w:t>В 2000 году после специальной сессии Генеральной Ассамблеи Организации Объединенных Наций документ по среднесрочной политике в области эмансипации был переработан в многолетнюю программу политики в области эмансипации, которая была сосредоточена на следующих областях:</w:t>
      </w:r>
    </w:p>
    <w:p w:rsidR="00000000" w:rsidRDefault="00000000">
      <w:pPr>
        <w:ind w:left="680" w:hanging="680"/>
      </w:pPr>
      <w:r>
        <w:t>1.</w:t>
      </w:r>
      <w:r>
        <w:rPr>
          <w:lang w:val="ru-RU"/>
        </w:rPr>
        <w:tab/>
      </w:r>
      <w:r>
        <w:rPr>
          <w:i/>
        </w:rPr>
        <w:t>Работа, уход за детьми и получение дохода:</w:t>
      </w:r>
      <w:r>
        <w:t xml:space="preserve"> определить содействие экономической независимости женщин посредством участия в рабочей силе в качестве основы политики в области эмансипации.</w:t>
      </w:r>
    </w:p>
    <w:p w:rsidR="00000000" w:rsidRDefault="00000000">
      <w:pPr>
        <w:ind w:left="680" w:hanging="680"/>
      </w:pPr>
      <w:r>
        <w:t>2.</w:t>
      </w:r>
      <w:r>
        <w:rPr>
          <w:lang w:val="ru-RU"/>
        </w:rPr>
        <w:tab/>
      </w:r>
      <w:r>
        <w:rPr>
          <w:i/>
        </w:rPr>
        <w:t>Совмещение оплачиваемой работы и семейных обязанностей:</w:t>
      </w:r>
      <w:r>
        <w:t xml:space="preserve"> стимулировать завершение процесса эмансипации путем создания благоприятных экономических, культурных и социальных условий. Эти условия должны способствовать гибкости вариантов.</w:t>
      </w:r>
    </w:p>
    <w:p w:rsidR="00000000" w:rsidRDefault="00000000">
      <w:pPr>
        <w:ind w:left="680" w:hanging="680"/>
      </w:pPr>
      <w:r>
        <w:t>3.</w:t>
      </w:r>
      <w:r>
        <w:rPr>
          <w:lang w:val="ru-RU"/>
        </w:rPr>
        <w:tab/>
      </w:r>
      <w:r>
        <w:rPr>
          <w:i/>
        </w:rPr>
        <w:t>Властные полномочия и принятие решений:</w:t>
      </w:r>
      <w:r>
        <w:t xml:space="preserve"> общество должно развиваться в направлении к равной представленности мужчин и женщин на влиятельных должностях. Чтобы достичь этого, следует облегчить для женщин доступ к таким должностям и продвижение по службе, а также создать условия, которые благоприятствуют им в этом.</w:t>
      </w:r>
    </w:p>
    <w:p w:rsidR="00000000" w:rsidRDefault="00000000">
      <w:pPr>
        <w:ind w:left="680" w:hanging="680"/>
      </w:pPr>
      <w:r>
        <w:t>4.</w:t>
      </w:r>
      <w:r>
        <w:rPr>
          <w:lang w:val="ru-RU"/>
        </w:rPr>
        <w:tab/>
      </w:r>
      <w:r>
        <w:rPr>
          <w:i/>
        </w:rPr>
        <w:t>Права женщин:</w:t>
      </w:r>
      <w:r>
        <w:t xml:space="preserve"> обеспечение и поддержание прав женщин по-прежнему является центральным компонентом политики в области эмансипации. Для достижения этой цели будут интенсифицированы усилия по предотвращению насилия в отношении женщин и по противодействию ему.</w:t>
      </w:r>
    </w:p>
    <w:p w:rsidR="00000000" w:rsidRDefault="00000000">
      <w:pPr>
        <w:ind w:left="680" w:hanging="680"/>
      </w:pPr>
      <w:r>
        <w:t>5.</w:t>
      </w:r>
      <w:r>
        <w:rPr>
          <w:lang w:val="ru-RU"/>
        </w:rPr>
        <w:tab/>
      </w:r>
      <w:r>
        <w:rPr>
          <w:i/>
        </w:rPr>
        <w:t>Осведомленность общества:</w:t>
      </w:r>
      <w:r>
        <w:t xml:space="preserve"> выявить возможности в рамках осведомленного общества для многообразия, укрепления позиций женщин в обществе и более равноправных отношений, создаваемые благодаря инициативам самого правительства в этих областях. </w:t>
      </w:r>
    </w:p>
    <w:p w:rsidR="00000000" w:rsidRDefault="00000000">
      <w:r>
        <w:t xml:space="preserve">В документе по среднесрочной политике рассматривалось текущее состояние дел, а многолетняя программа политики в области эмансипации – это стратегия с целями до 2010 года. Ее главная цель – "создать условия для </w:t>
      </w:r>
      <w:r>
        <w:rPr>
          <w:lang w:val="ru-RU"/>
        </w:rPr>
        <w:t>м</w:t>
      </w:r>
      <w:r>
        <w:t>но</w:t>
      </w:r>
      <w:r>
        <w:rPr>
          <w:lang w:val="ru-RU"/>
        </w:rPr>
        <w:t>го</w:t>
      </w:r>
      <w:r>
        <w:t>образ</w:t>
      </w:r>
      <w:r>
        <w:rPr>
          <w:lang w:val="ru-RU"/>
        </w:rPr>
        <w:t>ного</w:t>
      </w:r>
      <w:r>
        <w:t xml:space="preserve"> обществ</w:t>
      </w:r>
      <w:r>
        <w:rPr>
          <w:lang w:val="ru-RU"/>
        </w:rPr>
        <w:t>а</w:t>
      </w:r>
      <w:r>
        <w:t>, в котором каждый человек, независимо от пола, и с учетом других принципов социальной организации, таких как этническая идентичность, возраст, семейное положение, инвалидность и сексуальная ориентация, имеет возможность существовать независимо</w:t>
      </w:r>
      <w:r>
        <w:rPr>
          <w:lang w:val="ru-RU"/>
        </w:rPr>
        <w:t>;</w:t>
      </w:r>
      <w:r>
        <w:t xml:space="preserve"> общества, в котором как женщины, так и мужчины могут пользоваться равными правами, возможностями и свободами, а также иметь социальные и другие обязанности". Хотя суть этого утверждения оставалась все той же с 1985 года, контекст с годами менялся и акценты смещались. В 2005 году будет проведена оценка многолетней программы политики в области эмансипации.</w:t>
      </w:r>
    </w:p>
    <w:p w:rsidR="00000000" w:rsidRDefault="00000000">
      <w:pPr>
        <w:spacing w:before="360"/>
        <w:rPr>
          <w:b/>
          <w:i/>
        </w:rPr>
      </w:pPr>
      <w:r>
        <w:rPr>
          <w:b/>
          <w:i/>
        </w:rPr>
        <w:t>Межведомственный план действий по включению гендерной проблематики в основные направления деятельности (1998–2002 годы)</w:t>
      </w:r>
    </w:p>
    <w:p w:rsidR="00000000" w:rsidRDefault="00000000">
      <w:r>
        <w:t>В соответствии с дву</w:t>
      </w:r>
      <w:r>
        <w:rPr>
          <w:lang w:val="ru-RU"/>
        </w:rPr>
        <w:t>единой</w:t>
      </w:r>
      <w:r>
        <w:t xml:space="preserve"> </w:t>
      </w:r>
      <w:r>
        <w:rPr>
          <w:lang w:val="ru-RU"/>
        </w:rPr>
        <w:t xml:space="preserve">стратегией </w:t>
      </w:r>
      <w:r>
        <w:t>в отношении эмансипации коалиционное соглашение 1998</w:t>
      </w:r>
      <w:r>
        <w:rPr>
          <w:lang w:val="ru-RU"/>
        </w:rPr>
        <w:t> </w:t>
      </w:r>
      <w:r>
        <w:t>года, достигнутое вторым правительством Кока (1998</w:t>
      </w:r>
      <w:r>
        <w:rPr>
          <w:lang w:val="ru-RU"/>
        </w:rPr>
        <w:t>–</w:t>
      </w:r>
      <w:r>
        <w:t>2002)</w:t>
      </w:r>
      <w:r>
        <w:rPr>
          <w:lang w:val="ru-RU"/>
        </w:rPr>
        <w:t>,</w:t>
      </w:r>
      <w:r>
        <w:t xml:space="preserve"> возложило на каждое министерство ответственность за разработку плана действий, "определяющего по меньшей мере три конкретные цели в области осуществления и применения политики эмансипации, которые должны быть достигнуты во время данного срока полномочий".</w:t>
      </w:r>
    </w:p>
    <w:p w:rsidR="00000000" w:rsidRDefault="00000000">
      <w:r>
        <w:t xml:space="preserve">Эти цели могли быть выполнены путем проведения конкретной политики в области эмансипации, а также учета гендерного аспекта во всех направлениях деятельности. Достигнутый прогресс был задокументирован в ежегодных отчетах. Из поставленных в 1999 году 46 задач 34 (74 процента) были осуществлены к 2002 году. Большинство из них способствовали ускорению реализации соответствующими министерствами собственной политики эмансипации. Постановка целей оказалась полезным средством по включению гендерной проблематики в основные направления деятельности. </w:t>
      </w:r>
    </w:p>
    <w:p w:rsidR="00000000" w:rsidRDefault="00000000">
      <w:pPr>
        <w:rPr>
          <w:b/>
          <w:i/>
        </w:rPr>
      </w:pPr>
      <w:r>
        <w:rPr>
          <w:b/>
          <w:i/>
        </w:rPr>
        <w:t>Документ с изложением позиции правительства "Включение гендерной проблематики в основные направления деятельности – стратегия для качественного улучшения"</w:t>
      </w:r>
    </w:p>
    <w:p w:rsidR="00000000" w:rsidRDefault="00000000">
      <w:r>
        <w:t>В 2001 году правительство выпустило документ с изложением своей позиции под названием</w:t>
      </w:r>
      <w:r>
        <w:rPr>
          <w:lang w:val="ru-RU"/>
        </w:rPr>
        <w:t xml:space="preserve"> </w:t>
      </w:r>
      <w:r>
        <w:t>"Включение гендерной проблематики в основные направления деятельности – стратегия для качественного улучшения" на период 2001–2006 годов. Этот документ является дальнейшим развитием двуединой стратегии и Межведомственного плана действий по включению гендерной проблематики в основные направления деятельности (1998</w:t>
      </w:r>
      <w:r>
        <w:rPr>
          <w:lang w:val="ru-RU"/>
        </w:rPr>
        <w:t>–</w:t>
      </w:r>
      <w:r>
        <w:t>2002)</w:t>
      </w:r>
      <w:r>
        <w:rPr>
          <w:rStyle w:val="FootnoteReference"/>
          <w:sz w:val="24"/>
        </w:rPr>
        <w:footnoteReference w:id="7"/>
      </w:r>
      <w:r>
        <w:t>. Конечная цель – добиться к концу 2006 года учета гендерной проблематики в рамках министерств и межведомственной организации, а также в политике.</w:t>
      </w:r>
    </w:p>
    <w:p w:rsidR="00000000" w:rsidRDefault="00000000">
      <w:r>
        <w:t>Согласно этому документу основной принцип стратегии правительства заключается в том, что учет гендерного аспекта улучшает качество политики</w:t>
      </w:r>
      <w:r>
        <w:rPr>
          <w:rStyle w:val="FootnoteReference"/>
          <w:sz w:val="24"/>
        </w:rPr>
        <w:footnoteReference w:id="8"/>
      </w:r>
      <w:r>
        <w:t xml:space="preserve">. Оптимальных результатов можно достичь, только если политическая и внутриведомственная ответственность за конкретные шаги по внедрению политики в области эмансипации в политику министерства будет лежать в основном на самих министерствах. Гендерные аспекты должны стать частью политики каждого министерства и найти отражение в практике. Учитывая характер, области деятельности и структуру министерств, индивидуальный подход абсолютно необходим. Тем не менее для успешного включения гендерной проблематики в основные направления деятельности существенно важна прочная структурная база на министерском и межминистерском уровнях. </w:t>
      </w:r>
    </w:p>
    <w:p w:rsidR="00000000" w:rsidRDefault="00000000">
      <w:pPr>
        <w:pStyle w:val="Subtitle"/>
        <w:rPr>
          <w:sz w:val="23"/>
        </w:rPr>
      </w:pPr>
      <w:r>
        <w:rPr>
          <w:sz w:val="23"/>
        </w:rPr>
        <w:t xml:space="preserve">2. </w:t>
      </w:r>
      <w:r>
        <w:rPr>
          <w:sz w:val="23"/>
          <w:lang w:val="ru-RU"/>
        </w:rPr>
        <w:tab/>
      </w:r>
      <w:r>
        <w:rPr>
          <w:sz w:val="23"/>
        </w:rPr>
        <w:t>Включение гендерной проблематики в основные направления деятельности</w:t>
      </w:r>
    </w:p>
    <w:p w:rsidR="00000000" w:rsidRDefault="00000000">
      <w:r>
        <w:t>Документ с изложением позиции правительства по включению гендерной проблематики в основные направления деятельности, 2001–2006 годы</w:t>
      </w:r>
      <w:r>
        <w:rPr>
          <w:rStyle w:val="FootnoteReference"/>
          <w:sz w:val="24"/>
        </w:rPr>
        <w:footnoteReference w:id="9"/>
      </w:r>
      <w:r>
        <w:t xml:space="preserve">, изменил роль Департамента по координации политики в области эмансипации, превратив его из "куратора проблемы" в аспекте эмансипации в "двигателя прогресса". Как говорилось выше, этот документ является дальнейшей разработкой двуединой cтратегии и Межведомственного плана действий по включению гендерной проблематики в основные направления деятельности, 1998–2002 годы. К 2006 году министерства должны удовлетворять двум основным условиям: учет гендерного фактора должен быть в достаточной степени внедрен в министерские и межминистерские организационные структуры, а также должны быть в наличии необходимые документы. Такие инструменты, как "Emancipatiemonitor" (издание, выходящее один раз в два года), оценки воздействия гендерного фактора, план действий и руководство по включению гендерной проблематики в основные направления деятельности, веб-сайт </w:t>
      </w:r>
      <w:r>
        <w:rPr>
          <w:u w:val="single"/>
        </w:rPr>
        <w:t>www.emancipatieweb.nl</w:t>
      </w:r>
      <w:r>
        <w:t>, интерактивная экспериментальная акция в области выработки политики, а также ревизионный комитет предназначены для реорганизации, улучшения, развития и оценки политических процессов таким образом, чтобы разработчики политики могли включить гендерные аспекты во все ее направления</w:t>
      </w:r>
      <w:r>
        <w:rPr>
          <w:rStyle w:val="FootnoteReference"/>
          <w:sz w:val="22"/>
        </w:rPr>
        <w:footnoteReference w:id="10"/>
      </w:r>
      <w:r>
        <w:t>.</w:t>
      </w:r>
    </w:p>
    <w:p w:rsidR="00000000" w:rsidRDefault="00000000">
      <w:pPr>
        <w:pStyle w:val="Subtitle"/>
        <w:rPr>
          <w:sz w:val="23"/>
        </w:rPr>
      </w:pPr>
      <w:r>
        <w:rPr>
          <w:sz w:val="23"/>
        </w:rPr>
        <w:t xml:space="preserve">3. </w:t>
      </w:r>
      <w:r>
        <w:rPr>
          <w:sz w:val="23"/>
          <w:lang w:val="ru-RU"/>
        </w:rPr>
        <w:tab/>
      </w:r>
      <w:r>
        <w:rPr>
          <w:sz w:val="23"/>
        </w:rPr>
        <w:t>Национальный механизм</w:t>
      </w:r>
    </w:p>
    <w:p w:rsidR="00000000" w:rsidRDefault="00000000">
      <w:r>
        <w:t>В Нидерландах политическая ответственность за координацию политики в области эмансипации лежит либо на министре, руководящем ее осуществлением, либо на статс-секретаре по проблемам женщин. При нынешней администрации эту ведущую роль выполняет министр социальных дел и по вопросам занятости. В целях включения гендерной проблематики во все основные направления деятельности на других министров и статс-секретарей также возложены определенные обязанности по осуществлению политики в области эмансипации в их соответствующих областях компетенции. Толкование и практическое осуществление политики в области эмансипации поэтому не могут быть отделены от конкретных стратегий тех или иных министерств.</w:t>
      </w:r>
    </w:p>
    <w:p w:rsidR="00000000" w:rsidRDefault="00000000">
      <w:pPr>
        <w:rPr>
          <w:spacing w:val="-2"/>
        </w:rPr>
      </w:pPr>
      <w:r>
        <w:rPr>
          <w:spacing w:val="-2"/>
        </w:rPr>
        <w:t xml:space="preserve">Ряд министерств имеет внутренний координационный орган для консультирования своего министра по вопросам эмансипации, относящимся к сфере компетенции данного министерства. Обычно таким органом является комитет по вопросам эмансипации. Полномочия и практическое влияние этих органов различаются в зависимости от министерства. Межминистерской координации способствует Межведомственный координационный комитет по политике в области эмансипации, в котором под председательством директора или заместителя директора Департамента по координации политики в области эмансипации собираются представители всех министерств. </w:t>
      </w:r>
    </w:p>
    <w:p w:rsidR="00000000" w:rsidRDefault="00000000">
      <w:r>
        <w:t xml:space="preserve">Национальный механизм помогает правительству разрабатывать соответствующую политику и связанные с ней меры. Это расширяет основы для проведения политики в области эмансипации и расширяет рамки для образования альянсов и осуществления успешных инициатив. Политика предоставления грантов стимулирует процесс преобразований в целях построения общества, где женщины и мужчины имеют равные возможности. </w:t>
      </w:r>
    </w:p>
    <w:p w:rsidR="00000000" w:rsidRDefault="00000000">
      <w:pPr>
        <w:pStyle w:val="Subtitle"/>
      </w:pPr>
      <w:r>
        <w:t xml:space="preserve">Политика предоставления грантов </w:t>
      </w:r>
    </w:p>
    <w:p w:rsidR="00000000" w:rsidRDefault="00000000">
      <w:r>
        <w:t>Этот механизм поддерживает и стимулирует процесс достижения эмансипации в обществе. В</w:t>
      </w:r>
      <w:r>
        <w:rPr>
          <w:lang w:val="ru-RU"/>
        </w:rPr>
        <w:t> </w:t>
      </w:r>
      <w:r>
        <w:t>соответствии с широко проводимой правительством политикой в области эмансипации были внедрены различные программы грантов (см. ниже). Кроме того, в контексте включения гендерной проблематики во все виды деятельности ряд министерств выделил различные связанные с эмансипацией гранты в рамках своей политики предоставления грантов и в своих конкретных областях. В данном докладе говорится только о грантах, предоставленных министром, руководящим процессом осуществления политики в области эмансипации.</w:t>
      </w:r>
    </w:p>
    <w:p w:rsidR="00000000" w:rsidRDefault="00000000">
      <w:pPr>
        <w:rPr>
          <w:i/>
        </w:rPr>
      </w:pPr>
      <w:r>
        <w:rPr>
          <w:i/>
        </w:rPr>
        <w:t>Программа грантов в области эмансипации</w:t>
      </w:r>
    </w:p>
    <w:p w:rsidR="00000000" w:rsidRDefault="00000000">
      <w:r>
        <w:t>По этой программе в период 1998–2003 годов неправительственным организациям было выделено множество грантов для деятельности, которая поддерживала и стимулировала процесс эмансипации в обществе, а также обмен опытом и знаниями между организациями, способствующими эмансипации. По этой программе предоставлялись гранты двух видов:</w:t>
      </w:r>
    </w:p>
    <w:p w:rsidR="00000000" w:rsidRDefault="00000000">
      <w:r>
        <w:t>а</w:t>
      </w:r>
      <w:r>
        <w:rPr>
          <w:lang w:val="ru-RU"/>
        </w:rPr>
        <w:t>)</w:t>
      </w:r>
      <w:r>
        <w:rPr>
          <w:lang w:val="ru-RU"/>
        </w:rPr>
        <w:tab/>
      </w:r>
      <w:r>
        <w:t>многолетняя организационная поддержка ограниченному числу учреждений;</w:t>
      </w:r>
    </w:p>
    <w:p w:rsidR="00000000" w:rsidRDefault="00000000">
      <w:r>
        <w:t>b</w:t>
      </w:r>
      <w:r>
        <w:rPr>
          <w:lang w:val="ru-RU"/>
        </w:rPr>
        <w:t>)</w:t>
      </w:r>
      <w:r>
        <w:rPr>
          <w:lang w:val="ru-RU"/>
        </w:rPr>
        <w:tab/>
      </w:r>
      <w:r>
        <w:t>одноразовые гранты и гранты, связанные с одногодичным проектом</w:t>
      </w:r>
      <w:r>
        <w:rPr>
          <w:rStyle w:val="FootnoteReference"/>
          <w:sz w:val="22"/>
        </w:rPr>
        <w:footnoteReference w:id="11"/>
      </w:r>
      <w:r>
        <w:t>.</w:t>
      </w:r>
    </w:p>
    <w:p w:rsidR="00000000" w:rsidRDefault="00000000">
      <w:r>
        <w:t>Эта программа грантов дала возможность дотировать как тематические проекты, так и проекты, которые не были связаны с какой-либо конкретной темой, но попадали в рамки общих целей эмансипации. На основе этих более широких задач финансировалось 113 проектов (39 процентов).</w:t>
      </w:r>
    </w:p>
    <w:p w:rsidR="00000000" w:rsidRDefault="00000000">
      <w:pPr>
        <w:rPr>
          <w:i/>
        </w:rPr>
      </w:pPr>
      <w:r>
        <w:rPr>
          <w:i/>
        </w:rPr>
        <w:t>Новая программа грантов (с 2004 года)</w:t>
      </w:r>
    </w:p>
    <w:p w:rsidR="00000000" w:rsidRDefault="00000000">
      <w:r>
        <w:t>В 2001 и 2002 годах был проведен ряд оценок по разделам программы грантов в области эмансипации с точки зрения как предоставляющего, так и получающего грант. Частично на основе выводов и рекомендаций этих исследований 1 января 2004 года эта программа грантов была заменена на новую. Новая программа грантов нацелена на усиление процесса эмансипации в нидерландском обществе. Средства выделяются исключительно под проекты</w:t>
      </w:r>
      <w:r>
        <w:rPr>
          <w:lang w:val="ru-RU"/>
        </w:rPr>
        <w:t>,</w:t>
      </w:r>
      <w:r>
        <w:t xml:space="preserve"> и более сильный </w:t>
      </w:r>
      <w:r>
        <w:rPr>
          <w:lang w:val="ru-RU"/>
        </w:rPr>
        <w:t>акцент</w:t>
      </w:r>
      <w:r>
        <w:t xml:space="preserve"> делается на проекты, ориентированные на результаты. Новая программа также является ответом на пожелания самих организаций относительно осуществимости многолетних проектов и отмены системы ежегодной разработки новых тем, из-за которой у этих организаций остается слишком мало времени для формулирования и представления предложени</w:t>
      </w:r>
      <w:r>
        <w:rPr>
          <w:lang w:val="ru-RU"/>
        </w:rPr>
        <w:t>й</w:t>
      </w:r>
      <w:r>
        <w:t xml:space="preserve"> по проекту. Тот факт, что новая программа сосредоточивается на ограниченном числе стратегических приоритетов в течение более длительного периода, приведет к лучшим и менее раздробленным результатам.</w:t>
      </w:r>
    </w:p>
    <w:p w:rsidR="00000000" w:rsidRDefault="00000000">
      <w:r>
        <w:t>Программа предоставления грантов на проекты в области эмансипации подпадает под действие директивной статьи 12 (2004) – статьи по координации политики в области эмансипации, включенной в бюджет Министерства социальных дел и по вопросам занятости на 2004 год. Директивная статья 12 устанавливает три приоритетных направления в области эмансипации начиная с 2004 года: i) права и безопасность, ii) участие в рабочей силе и экономическая независимость и iii) принятие решений и управление. Первая и третья темы были полностью включены в программу грантов. В отношении второй темы был выбран производный вариант – социальное участие. Это объясняется тем, что имеются другие финансовые ресурсы, а именно в рамках муниципальной политики на рынке труда и субсидий из Европейского социального фонда (ЕСФ) для непосредственного содействия участию в трудовых ресурсах и экономической независимости.</w:t>
      </w:r>
    </w:p>
    <w:p w:rsidR="00000000" w:rsidRDefault="00000000">
      <w:pPr>
        <w:pStyle w:val="Subtitle"/>
        <w:ind w:left="680" w:hanging="680"/>
        <w:rPr>
          <w:sz w:val="23"/>
        </w:rPr>
      </w:pPr>
      <w:r>
        <w:rPr>
          <w:sz w:val="23"/>
        </w:rPr>
        <w:t xml:space="preserve">4. </w:t>
      </w:r>
      <w:r>
        <w:rPr>
          <w:sz w:val="23"/>
          <w:lang w:val="ru-RU"/>
        </w:rPr>
        <w:tab/>
      </w:r>
      <w:r>
        <w:rPr>
          <w:sz w:val="23"/>
        </w:rPr>
        <w:t>Основные элементы гендерной политики в контексте сотрудничества Нидерландов в целях развития</w:t>
      </w:r>
    </w:p>
    <w:p w:rsidR="00000000" w:rsidRDefault="00000000">
      <w:r>
        <w:t>Гендерный фактор – это тема, пронизывающая всю политику сотрудничества в целях развития. Гендерное равенство означает обеспечение прав человека женщинам и девушкам, а также расширение их возможностей. Эта цель важна сама по себе. Однако гендерное равенство также является средством достижения и поддержания развития и абсолютно необходимо для достижения Целей в области развития, сформулированных в Декларации тысячелетия. Нидерланды по-прежнему поддерживали свою ОПР на уровне 0,8 процента от ВНП. Приоритетными областями являются образование, репродуктивное здоровье и права, борьба с ВИЧ/СПИДом, окружающая среда и вода. Во многих странах межсекторальные подходы стали краеугольным камнем двустороннего сотрудничества в целях развития. Помимо учета гендерной проблематики в рамках межсекторальных подходов и стимулирования учета гендерной проблематики при составлении бюджета поддержку получили конкретные виды деятельности по борьбе с насилием в отношении женщин, по содействию расширению возможностей и прав женщин (например, доступ к земле и природным ресурсам), а также по осуществлению политических и репродуктивных прав. По-прежнему прилагаются усилия с целью достижения согласованности при разработке ежегодных планов и претворении в жизнь соответствующей политики, другими словами, с целью последовательного сведения воедино различных тем, пронизывающих все сферы, включая гендерный аспект. Включение гендерной проблематики в основные виды деятельности является одним из главных вопросов при обсуждении политики с многосторонними организациями. Совместно финансирующие организации имеют свою собственную гендерную политику, при этом гендерный критерий является одной из составляющих оценки для выдачи грантов.</w:t>
      </w:r>
    </w:p>
    <w:p w:rsidR="00000000" w:rsidRDefault="00000000">
      <w:r>
        <w:t>При двустороннем сотрудничестве все больше внимания уделяется повышению роли и статуса женщин (и женских организаций) в Документах по стратегии сокращения масштабов нищеты, которые в настоящее время разрабатывает ряд развивающихся стран. Посольства и тематические эксперты играют важную роль в содействии координации деятельности финансирующих организаций по этим вопросам. Цель этих Документов – подчеркнуть необходимость включения гендерных вопросов при контактах и консультациях с многонациональными учреждениями. Кроме того, гендерное равенство входит в программу возобновившей свою деятельность Группы экспертов по составлению Документов по стратегии сокращения масштабов нищеты. При оценке результатов осуществления этих Документов и правительственных бюджетов для находящихся в наиболее неблагоприятном положении групп, включая женщин, внимание сосредоточивается на разработке учитывающих гендерные аспекты диагностических инструментов, таких как составление бюджета с учетом гендерной проблематики. В результате этих действий усилилось внимание к гендерному аспекту и нищете в сочетании с событиями на макроэкономическом уровне. Некоторые части программ или национальных акций были оценены с точки зрения их последствий для гендерного равенства.</w:t>
      </w:r>
    </w:p>
    <w:p w:rsidR="00000000" w:rsidRDefault="00000000">
      <w:pPr>
        <w:pStyle w:val="-2"/>
        <w:jc w:val="center"/>
      </w:pPr>
      <w:r>
        <w:t>3.   Текущее положение дел в аспекте статей Конвенции</w:t>
      </w:r>
    </w:p>
    <w:p w:rsidR="00000000" w:rsidRDefault="00000000">
      <w:pPr>
        <w:pStyle w:val="Subtitle"/>
        <w:rPr>
          <w:sz w:val="24"/>
        </w:rPr>
      </w:pPr>
      <w:r>
        <w:rPr>
          <w:sz w:val="24"/>
        </w:rPr>
        <w:t xml:space="preserve">Статья 1: </w:t>
      </w:r>
      <w:r>
        <w:rPr>
          <w:sz w:val="24"/>
          <w:lang w:val="ru-RU"/>
        </w:rPr>
        <w:t xml:space="preserve"> </w:t>
      </w:r>
      <w:r>
        <w:rPr>
          <w:sz w:val="24"/>
        </w:rPr>
        <w:t>Предупреждение дискриминации и насилия в отношении женщин и борьба с</w:t>
      </w:r>
      <w:r>
        <w:rPr>
          <w:sz w:val="24"/>
          <w:lang w:val="ru-RU"/>
        </w:rPr>
        <w:t> </w:t>
      </w:r>
      <w:r>
        <w:rPr>
          <w:sz w:val="24"/>
        </w:rPr>
        <w:t>их проявлениями</w:t>
      </w:r>
    </w:p>
    <w:p w:rsidR="00000000" w:rsidRDefault="00000000">
      <w:r>
        <w:t>В последние годы правительство работало над улучшением законодательства, касающегося равного обращения и борьбы с дискриминацией. Оно также прилагало усилия для дальнейшего выполнения Амстердамского договора и способствовало вступлению в силу факультативного протокола к Конвенции Организации Объединенных Наций о ликвидации всех форм дискриминации в отношении женщин и протокола о дискриминации (№ 12) к Европейской конвенции о защите прав человека и основных свобод.</w:t>
      </w:r>
    </w:p>
    <w:p w:rsidR="00000000" w:rsidRDefault="00000000">
      <w:pPr>
        <w:pStyle w:val="Subtitle"/>
      </w:pPr>
      <w:r>
        <w:t>Факультативный протокол к Конвенции Организации Объединенных Наций о ликвидации всех форм дискриминации в отношении женщин</w:t>
      </w:r>
    </w:p>
    <w:p w:rsidR="00000000" w:rsidRDefault="00000000">
      <w:r>
        <w:t>В августе 2002 года факультативный протокол к Конвенции Организации Объединенных Наций о ликвидации всех форм дискриминации в отношении женщин вступил в силу для Нидерландов, Антильских (Нидерландских) островов и Аруб</w:t>
      </w:r>
      <w:r>
        <w:rPr>
          <w:lang w:val="ru-RU"/>
        </w:rPr>
        <w:t>ы</w:t>
      </w:r>
      <w:r>
        <w:t xml:space="preserve"> (далее Конвенция). Протокол предусматривает индивидуальное право на представление жалобы для женщин, считающих, что их права были нарушены. После того как были исчерпаны внутренние средства правовой защиты, они могут подавать жалобу в Комитет по ликвидации дискриминации в отношении женщин. На международных форумах Нидерланды всячески пропагандируют необходимость соблюдать этот факультативный протокол. </w:t>
      </w:r>
    </w:p>
    <w:p w:rsidR="00000000" w:rsidRDefault="00000000">
      <w:pPr>
        <w:pStyle w:val="Subtitle"/>
      </w:pPr>
      <w:r>
        <w:t xml:space="preserve">Углубленные исследования вопроса об осуществлении Конвенции Организации Объединенных Наций </w:t>
      </w:r>
    </w:p>
    <w:p w:rsidR="00000000" w:rsidRDefault="00000000">
      <w:r>
        <w:t xml:space="preserve">В рамках Конвенции Организации Объединенных Наций о ликвидации всех форм дискриминации в отношении женщин Департамент по координации политики в области эмансипации (ДКПЭ) принял решение о проведении ряда углубленных исследований, касающихся содержания и сферы действия Конвенции, а именно: </w:t>
      </w:r>
    </w:p>
    <w:p w:rsidR="00000000" w:rsidRDefault="00000000">
      <w:pPr>
        <w:ind w:left="680" w:hanging="680"/>
        <w:rPr>
          <w:lang w:val="ru-RU"/>
        </w:rPr>
      </w:pPr>
      <w:r>
        <w:t>1.</w:t>
      </w:r>
      <w:r>
        <w:rPr>
          <w:lang w:val="ru-RU"/>
        </w:rPr>
        <w:tab/>
      </w:r>
      <w:r>
        <w:t>Конвенция в нидерландском правопорядке (1996 год)</w:t>
      </w:r>
      <w:r>
        <w:rPr>
          <w:lang w:val="ru-RU"/>
        </w:rPr>
        <w:t>.</w:t>
      </w:r>
    </w:p>
    <w:p w:rsidR="00000000" w:rsidRDefault="00000000">
      <w:pPr>
        <w:ind w:left="680" w:hanging="680"/>
        <w:rPr>
          <w:lang w:val="ru-RU"/>
        </w:rPr>
      </w:pPr>
      <w:r>
        <w:t>2.</w:t>
      </w:r>
      <w:r>
        <w:rPr>
          <w:lang w:val="ru-RU"/>
        </w:rPr>
        <w:tab/>
      </w:r>
      <w:r>
        <w:t>Значение статьи 12 Конвенции для Нидерландов: охрана здоровья как право (1996 год)</w:t>
      </w:r>
      <w:r>
        <w:rPr>
          <w:lang w:val="ru-RU"/>
        </w:rPr>
        <w:t>.</w:t>
      </w:r>
    </w:p>
    <w:p w:rsidR="00000000" w:rsidRDefault="00000000">
      <w:pPr>
        <w:ind w:left="680" w:hanging="680"/>
        <w:rPr>
          <w:lang w:val="ru-RU"/>
        </w:rPr>
      </w:pPr>
      <w:r>
        <w:t>3.</w:t>
      </w:r>
      <w:r>
        <w:rPr>
          <w:lang w:val="ru-RU"/>
        </w:rPr>
        <w:tab/>
      </w:r>
      <w:r>
        <w:t>Значение Конвенции для правового статуса беременных женщин и молодых матерей (1998</w:t>
      </w:r>
      <w:r>
        <w:rPr>
          <w:lang w:val="ru-RU"/>
        </w:rPr>
        <w:t> </w:t>
      </w:r>
      <w:r>
        <w:t>год)</w:t>
      </w:r>
      <w:r>
        <w:rPr>
          <w:lang w:val="ru-RU"/>
        </w:rPr>
        <w:t>.</w:t>
      </w:r>
    </w:p>
    <w:p w:rsidR="00000000" w:rsidRDefault="00000000">
      <w:pPr>
        <w:ind w:left="680" w:hanging="680"/>
        <w:rPr>
          <w:lang w:val="ru-RU"/>
        </w:rPr>
      </w:pPr>
      <w:r>
        <w:t>4.</w:t>
      </w:r>
      <w:r>
        <w:rPr>
          <w:lang w:val="ru-RU"/>
        </w:rPr>
        <w:tab/>
      </w:r>
      <w:r>
        <w:t>Предупреждение насилия в отношении женщин и борьба с ним (2000 год)</w:t>
      </w:r>
      <w:r>
        <w:rPr>
          <w:lang w:val="ru-RU"/>
        </w:rPr>
        <w:t>.</w:t>
      </w:r>
    </w:p>
    <w:p w:rsidR="00000000" w:rsidRDefault="00000000">
      <w:pPr>
        <w:ind w:left="680" w:hanging="680"/>
      </w:pPr>
      <w:r>
        <w:t>5.</w:t>
      </w:r>
      <w:r>
        <w:rPr>
          <w:lang w:val="ru-RU"/>
        </w:rPr>
        <w:tab/>
      </w:r>
      <w:r>
        <w:t xml:space="preserve">На пути к иной правовой и государственной политике. Значение </w:t>
      </w:r>
      <w:r>
        <w:rPr>
          <w:lang w:val="ru-RU"/>
        </w:rPr>
        <w:t xml:space="preserve">пункта </w:t>
      </w:r>
      <w:r>
        <w:t>а</w:t>
      </w:r>
      <w:r>
        <w:rPr>
          <w:lang w:val="ru-RU"/>
        </w:rPr>
        <w:t>)</w:t>
      </w:r>
      <w:r>
        <w:t xml:space="preserve"> </w:t>
      </w:r>
      <w:r>
        <w:rPr>
          <w:lang w:val="ru-RU"/>
        </w:rPr>
        <w:t>с</w:t>
      </w:r>
      <w:r>
        <w:t>татьи 5</w:t>
      </w:r>
      <w:r>
        <w:rPr>
          <w:lang w:val="ru-RU"/>
        </w:rPr>
        <w:t xml:space="preserve"> </w:t>
      </w:r>
      <w:r>
        <w:t>Конвенции для ликвидации</w:t>
      </w:r>
      <w:r>
        <w:rPr>
          <w:lang w:val="ru-RU"/>
        </w:rPr>
        <w:t xml:space="preserve"> структурной</w:t>
      </w:r>
      <w:r>
        <w:t xml:space="preserve"> гендерной дискриминации (2004 год).</w:t>
      </w:r>
    </w:p>
    <w:p w:rsidR="00000000" w:rsidRDefault="00000000">
      <w:pPr>
        <w:pStyle w:val="Subtitle"/>
        <w:rPr>
          <w:sz w:val="23"/>
        </w:rPr>
      </w:pPr>
      <w:r>
        <w:rPr>
          <w:sz w:val="23"/>
        </w:rPr>
        <w:t xml:space="preserve">1. </w:t>
      </w:r>
      <w:r>
        <w:rPr>
          <w:sz w:val="23"/>
          <w:lang w:val="ru-RU"/>
        </w:rPr>
        <w:tab/>
      </w:r>
      <w:r>
        <w:rPr>
          <w:sz w:val="23"/>
        </w:rPr>
        <w:t>Достижение равного обращения и борьба с дискриминацией</w:t>
      </w:r>
    </w:p>
    <w:p w:rsidR="00000000" w:rsidRDefault="00000000">
      <w:pPr>
        <w:spacing w:before="360"/>
      </w:pPr>
      <w:r>
        <w:t xml:space="preserve">Принцип запрещения дискриминации в </w:t>
      </w:r>
      <w:r>
        <w:rPr>
          <w:lang w:val="ru-RU"/>
        </w:rPr>
        <w:t>К</w:t>
      </w:r>
      <w:r>
        <w:t>онституции Нидерландов претворяется в жизнь в виде шести конкретных парламентских законов: Закон</w:t>
      </w:r>
      <w:r>
        <w:rPr>
          <w:lang w:val="ru-RU"/>
        </w:rPr>
        <w:t>а</w:t>
      </w:r>
      <w:r>
        <w:t xml:space="preserve"> о равном обращении, Закон</w:t>
      </w:r>
      <w:r>
        <w:rPr>
          <w:lang w:val="ru-RU"/>
        </w:rPr>
        <w:t>а</w:t>
      </w:r>
      <w:r>
        <w:t xml:space="preserve"> о равном обращении (мужчины и женщины), Закон</w:t>
      </w:r>
      <w:r>
        <w:rPr>
          <w:lang w:val="ru-RU"/>
        </w:rPr>
        <w:t>а</w:t>
      </w:r>
      <w:r>
        <w:t xml:space="preserve"> о равном обращении (продолжительность рабочего дня), Закон</w:t>
      </w:r>
      <w:r>
        <w:rPr>
          <w:lang w:val="ru-RU"/>
        </w:rPr>
        <w:t>а</w:t>
      </w:r>
      <w:r>
        <w:t xml:space="preserve"> о равном обращении (временные и постоянные договоры), Закон</w:t>
      </w:r>
      <w:r>
        <w:rPr>
          <w:lang w:val="ru-RU"/>
        </w:rPr>
        <w:t>а</w:t>
      </w:r>
      <w:r>
        <w:t xml:space="preserve"> о равном обращении в области занятости (дискриминация по возрасту) и Закон</w:t>
      </w:r>
      <w:r>
        <w:rPr>
          <w:lang w:val="ru-RU"/>
        </w:rPr>
        <w:t>а</w:t>
      </w:r>
      <w:r>
        <w:t xml:space="preserve"> о равном обращении в отношении инвалидов и хронических больных. Кроме того, Гражданский кодекс Нидерландов и Закон о гражданских служащих центральных и местных органов управления содержат несколько положений, запрещающих дискриминацию в отношении женщин на рабоч</w:t>
      </w:r>
      <w:r>
        <w:rPr>
          <w:lang w:val="ru-RU"/>
        </w:rPr>
        <w:t>е</w:t>
      </w:r>
      <w:r>
        <w:t>м месте.</w:t>
      </w:r>
    </w:p>
    <w:p w:rsidR="00000000" w:rsidRDefault="00000000">
      <w:pPr>
        <w:spacing w:before="360"/>
      </w:pPr>
      <w:r>
        <w:t xml:space="preserve">В Европейском союзе в существующее законодательство о равном обращении были внесены дополнения, которые состоят из двух директив и программы действий на основе </w:t>
      </w:r>
      <w:r>
        <w:rPr>
          <w:lang w:val="ru-RU"/>
        </w:rPr>
        <w:t>с</w:t>
      </w:r>
      <w:r>
        <w:t>татьи 13 Договора ЕС. Эти две директивы обеспечивают большую защиту от дискриминации по определенным признакам ( раса, этническое происхождение, возраст, нетрудоспособность, религия и убеждения, сексуальные предпочтения), чем прежние директивы, базирующиеся только на гендерном аспекте. Директива относительно расовой дискриминации вступила в силу 19 июля 2000 года. Директива, устанавливающая общие правовые рамки для равного обращения на рабочем месте и в связи с различными специальностями, была принята в октябре 2000 года. В конце 2002</w:t>
      </w:r>
      <w:r>
        <w:rPr>
          <w:lang w:val="ru-RU"/>
        </w:rPr>
        <w:t> </w:t>
      </w:r>
      <w:r>
        <w:t xml:space="preserve">года в директиву 76/207/ЕЕС от 9 февраля 1976 года была внесена поправка с целью выполнения обязательств по </w:t>
      </w:r>
      <w:r>
        <w:rPr>
          <w:lang w:val="ru-RU"/>
        </w:rPr>
        <w:t>с</w:t>
      </w:r>
      <w:r>
        <w:t>татье 13 путем включения принципа равного обращения для мужчин и женщин применительно к режиму работы, курсам профессиональной подготовки, возможностям продвижения по службе и условиям найма. В результате этой поправки мужчинам и женщинам обеспечивалась сравнимая защита против дискриминации. Кроме того, в данной директиве с внесенной в нее поправкой содержится ясное положение относительно сексуальных домогательств. Претворение в жизнь данной директивы должно быть завершено к октябрю 2005</w:t>
      </w:r>
      <w:r>
        <w:rPr>
          <w:lang w:val="ru-RU"/>
        </w:rPr>
        <w:t> </w:t>
      </w:r>
      <w:r>
        <w:t>года.</w:t>
      </w:r>
    </w:p>
    <w:p w:rsidR="00000000" w:rsidRDefault="00000000">
      <w:pPr>
        <w:spacing w:before="360"/>
      </w:pPr>
      <w:r>
        <w:t>В парламент было внесено три законопроекта, чтобы облегчить осуществление вышеуказанных директив. Это Законопроект о равном обращении, Законопроект о равном обращении в области занятости (дискриминация по возрасту) и Законопроект о равном обращении в отношении инвалидов и хронических больных. Первые два законопроекта вступили в силу 1 апреля и 1 мая 2004 года</w:t>
      </w:r>
      <w:r>
        <w:rPr>
          <w:lang w:val="ru-RU"/>
        </w:rPr>
        <w:t>,</w:t>
      </w:r>
      <w:r>
        <w:t xml:space="preserve"> соответственно. Законопроект о равном обращении в отношении инвалидов или хронических больных стал законом 1 декабря 2003 года.</w:t>
      </w:r>
    </w:p>
    <w:p w:rsidR="00000000" w:rsidRDefault="00000000">
      <w:pPr>
        <w:spacing w:before="360"/>
      </w:pPr>
      <w:r>
        <w:t>Протокол № 12 к Европейской конвенции о защите прав человека и основных свобод предусматривает более широкую основу для запрещения дискриминации, чем в Конвенции. Законопроект относительно одобрения этого протокола был принят Палатой представителей 23</w:t>
      </w:r>
      <w:r>
        <w:rPr>
          <w:lang w:val="ru-RU"/>
        </w:rPr>
        <w:t> </w:t>
      </w:r>
      <w:r>
        <w:t>сентября 2003 года и утвержден Сенатом 11 мая 2004 года. До сих пор неизвестно, когда этот протокол вступит в силу.</w:t>
      </w:r>
    </w:p>
    <w:p w:rsidR="00000000" w:rsidRDefault="00000000">
      <w:r>
        <w:t>Законопроект относительно претворения в жизнь Европейской директивы о бремени доказывания в случаях дискриминации по признаку пола вступил в силу 1 января 2001 года</w:t>
      </w:r>
      <w:r>
        <w:rPr>
          <w:rStyle w:val="FootnoteReference"/>
          <w:sz w:val="22"/>
        </w:rPr>
        <w:footnoteReference w:id="12"/>
      </w:r>
      <w:r>
        <w:t>.</w:t>
      </w:r>
    </w:p>
    <w:p w:rsidR="00000000" w:rsidRDefault="00000000">
      <w:r>
        <w:t>Закон о равном обращении в области занятости (дискриминация по возрасту) запрещает дискриминацию на основании возраста при найме, выборе специальности и профессиональной подготовке. Дискриминация по возрасту допускается только в случаях, когда установление возрастного ограничения объективно оправда</w:t>
      </w:r>
      <w:r>
        <w:rPr>
          <w:lang w:val="ru-RU"/>
        </w:rPr>
        <w:t>н</w:t>
      </w:r>
      <w:r>
        <w:t xml:space="preserve">но. Этот </w:t>
      </w:r>
      <w:r>
        <w:rPr>
          <w:lang w:val="ru-RU"/>
        </w:rPr>
        <w:t>з</w:t>
      </w:r>
      <w:r>
        <w:t>акон вступил в силу 1 мая 2004 года.</w:t>
      </w:r>
    </w:p>
    <w:p w:rsidR="00000000" w:rsidRDefault="00000000">
      <w:r>
        <w:t>Изложенные выше меры укрепляли международную основу для содействия равному обращению и для борьбы с дискриминацией. В средне- и долгосрочном плане усилия правительства по-прежнему будут направлены на совершенствование правовых рамок, обеспечивающих равенство перед законом. Важными элементами являются рационализация, гармонизация законодательства и обеспечение его большей доступности. Эти усовершенствования необходимы в силу как вышеуказанных международных тенденций, так и оценки Закона о равном обращении. Эта оценка показала, что общественность мало осведомлена о нормах равного обращения. Документ с изложением позиции правительства в отношении этой оценки был представлен парламенту 12</w:t>
      </w:r>
      <w:r>
        <w:rPr>
          <w:lang w:val="ru-RU"/>
        </w:rPr>
        <w:t> </w:t>
      </w:r>
      <w:r>
        <w:t>июля 2002 года. Важный вопрос, обсуждавшийся во время заседания, касался расширения полномочий Комиссии по равному обращению в области проведения расследований. В настоящее время Комиссия может проводить расследование по своей собственной инициативе, только если оно охватывает весь сектор или ряд секторов. Однако это ограничение на практике оказалось излишне строгим</w:t>
      </w:r>
      <w:r>
        <w:rPr>
          <w:lang w:val="ru-RU"/>
        </w:rPr>
        <w:t>,</w:t>
      </w:r>
      <w:r>
        <w:t xml:space="preserve"> и следующим шагом после оценки Закона о равном обращении, которая была представлена парламенту 21 ноября 2003 года</w:t>
      </w:r>
      <w:r>
        <w:rPr>
          <w:rStyle w:val="FootnoteReference"/>
          <w:sz w:val="22"/>
        </w:rPr>
        <w:footnoteReference w:id="13"/>
      </w:r>
      <w:r>
        <w:t>, будет его отмена.</w:t>
      </w:r>
    </w:p>
    <w:p w:rsidR="00000000" w:rsidRDefault="00000000">
      <w:r>
        <w:t>Все эти законодательные усилия на европейском и национальном уровн</w:t>
      </w:r>
      <w:r>
        <w:rPr>
          <w:lang w:val="ru-RU"/>
        </w:rPr>
        <w:t>ях</w:t>
      </w:r>
      <w:r>
        <w:t xml:space="preserve"> привели к комплексной системе законодательства относительно равного обращения, которое не всегда прозрачно для третьих сторон. Во время председательствования Нидерландов в ЕС в 2004 году будет проводиться конференция с целью обсуждения вопроса о равном обращении в настоящее время и в будущем в государствах</w:t>
      </w:r>
      <w:r>
        <w:rPr>
          <w:lang w:val="ru-RU"/>
        </w:rPr>
        <w:t> </w:t>
      </w:r>
      <w:r>
        <w:t>–</w:t>
      </w:r>
      <w:r>
        <w:rPr>
          <w:lang w:val="ru-RU"/>
        </w:rPr>
        <w:t> </w:t>
      </w:r>
      <w:r>
        <w:t>членах Европейского союза на основе составленного Европейской комиссией "Зеленого документа".</w:t>
      </w:r>
    </w:p>
    <w:p w:rsidR="00000000" w:rsidRDefault="00000000">
      <w:pPr>
        <w:rPr>
          <w:b/>
          <w:i/>
        </w:rPr>
      </w:pPr>
      <w:r>
        <w:rPr>
          <w:b/>
          <w:i/>
        </w:rPr>
        <w:t xml:space="preserve">Комиссия по равному обращению (КРО) </w:t>
      </w:r>
    </w:p>
    <w:p w:rsidR="00000000" w:rsidRDefault="00000000">
      <w:r>
        <w:t>В функции Комиссии вход</w:t>
      </w:r>
      <w:r>
        <w:rPr>
          <w:lang w:val="ru-RU"/>
        </w:rPr>
        <w:t>я</w:t>
      </w:r>
      <w:r>
        <w:t xml:space="preserve">т содействие соблюдению законодательства о равном обращении и контроль за его выполнением, а также осуществление любых связанных с этим задач. Комиссия уполномочена расследовать как по просьбе в письменной форме, так и по собственной инициативе, имела ли место незаконная дискриминация в нарушение Закона о равном обращении. Советы предприятий, заинтересованные группы, судьи и работодатели могут также обращаться в Комиссию. Решения Комиссии не являются обязательными для исполнения, однако, как показала практика, они обычно соблюдаются. Комиссия также правомочна дополнять то или иное решение конкретной рекомендацией и обращаться в суды с ходатайством о вынесении имеющего обязательную силу решения по вопросу о совместимости определенного действия с законодательством о равном обращении. </w:t>
      </w:r>
    </w:p>
    <w:p w:rsidR="00000000" w:rsidRDefault="00000000">
      <w:pPr>
        <w:pStyle w:val="Subtitle"/>
        <w:spacing w:after="240"/>
        <w:rPr>
          <w:lang w:val="ru-RU"/>
        </w:rPr>
      </w:pPr>
      <w:r>
        <w:t>Заявления в КРО и ее решения</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12"/>
        <w:gridCol w:w="1308"/>
        <w:gridCol w:w="1309"/>
        <w:gridCol w:w="1309"/>
        <w:gridCol w:w="1309"/>
        <w:gridCol w:w="1309"/>
      </w:tblGrid>
      <w:tr w:rsidR="00000000">
        <w:tblPrEx>
          <w:tblCellMar>
            <w:top w:w="0" w:type="dxa"/>
            <w:bottom w:w="0" w:type="dxa"/>
          </w:tblCellMar>
        </w:tblPrEx>
        <w:trPr>
          <w:jc w:val="center"/>
        </w:trPr>
        <w:tc>
          <w:tcPr>
            <w:tcW w:w="2812" w:type="dxa"/>
          </w:tcPr>
          <w:p w:rsidR="00000000" w:rsidRDefault="00000000">
            <w:pPr>
              <w:spacing w:before="40" w:after="40" w:line="240" w:lineRule="auto"/>
              <w:rPr>
                <w:b/>
                <w:sz w:val="20"/>
                <w:lang w:val="ru-RU"/>
              </w:rPr>
            </w:pPr>
          </w:p>
        </w:tc>
        <w:tc>
          <w:tcPr>
            <w:tcW w:w="1308" w:type="dxa"/>
          </w:tcPr>
          <w:p w:rsidR="00000000" w:rsidRDefault="00000000">
            <w:pPr>
              <w:spacing w:before="40" w:after="40" w:line="240" w:lineRule="auto"/>
              <w:jc w:val="center"/>
              <w:rPr>
                <w:b/>
                <w:sz w:val="20"/>
                <w:lang w:val="ru-RU"/>
              </w:rPr>
            </w:pPr>
            <w:r>
              <w:rPr>
                <w:b/>
                <w:sz w:val="20"/>
                <w:lang w:val="ru-RU"/>
              </w:rPr>
              <w:t>1999 год</w:t>
            </w:r>
          </w:p>
        </w:tc>
        <w:tc>
          <w:tcPr>
            <w:tcW w:w="1309" w:type="dxa"/>
          </w:tcPr>
          <w:p w:rsidR="00000000" w:rsidRDefault="00000000">
            <w:pPr>
              <w:spacing w:before="40" w:after="40" w:line="240" w:lineRule="auto"/>
              <w:jc w:val="center"/>
              <w:rPr>
                <w:b/>
                <w:sz w:val="20"/>
                <w:lang w:val="ru-RU"/>
              </w:rPr>
            </w:pPr>
            <w:r>
              <w:rPr>
                <w:b/>
                <w:sz w:val="20"/>
                <w:lang w:val="ru-RU"/>
              </w:rPr>
              <w:t>2000 год</w:t>
            </w:r>
          </w:p>
        </w:tc>
        <w:tc>
          <w:tcPr>
            <w:tcW w:w="1309" w:type="dxa"/>
          </w:tcPr>
          <w:p w:rsidR="00000000" w:rsidRDefault="00000000">
            <w:pPr>
              <w:spacing w:before="40" w:after="40" w:line="240" w:lineRule="auto"/>
              <w:jc w:val="center"/>
              <w:rPr>
                <w:b/>
                <w:sz w:val="20"/>
                <w:lang w:val="ru-RU"/>
              </w:rPr>
            </w:pPr>
            <w:r>
              <w:rPr>
                <w:b/>
                <w:sz w:val="20"/>
                <w:lang w:val="ru-RU"/>
              </w:rPr>
              <w:t>2001 год</w:t>
            </w:r>
          </w:p>
        </w:tc>
        <w:tc>
          <w:tcPr>
            <w:tcW w:w="1309" w:type="dxa"/>
          </w:tcPr>
          <w:p w:rsidR="00000000" w:rsidRDefault="00000000">
            <w:pPr>
              <w:spacing w:before="40" w:after="40" w:line="240" w:lineRule="auto"/>
              <w:jc w:val="center"/>
              <w:rPr>
                <w:b/>
                <w:sz w:val="20"/>
                <w:lang w:val="ru-RU"/>
              </w:rPr>
            </w:pPr>
            <w:r>
              <w:rPr>
                <w:b/>
                <w:sz w:val="20"/>
                <w:lang w:val="ru-RU"/>
              </w:rPr>
              <w:t>2002 год</w:t>
            </w:r>
          </w:p>
        </w:tc>
        <w:tc>
          <w:tcPr>
            <w:tcW w:w="1309" w:type="dxa"/>
          </w:tcPr>
          <w:p w:rsidR="00000000" w:rsidRDefault="00000000">
            <w:pPr>
              <w:spacing w:before="40" w:after="40" w:line="240" w:lineRule="auto"/>
              <w:jc w:val="center"/>
              <w:rPr>
                <w:b/>
                <w:sz w:val="20"/>
                <w:lang w:val="ru-RU"/>
              </w:rPr>
            </w:pPr>
            <w:r>
              <w:rPr>
                <w:b/>
                <w:sz w:val="20"/>
                <w:lang w:val="ru-RU"/>
              </w:rPr>
              <w:t>2003 год</w:t>
            </w:r>
          </w:p>
        </w:tc>
      </w:tr>
      <w:tr w:rsidR="00000000">
        <w:tblPrEx>
          <w:tblCellMar>
            <w:top w:w="0" w:type="dxa"/>
            <w:bottom w:w="0" w:type="dxa"/>
          </w:tblCellMar>
        </w:tblPrEx>
        <w:trPr>
          <w:jc w:val="center"/>
        </w:trPr>
        <w:tc>
          <w:tcPr>
            <w:tcW w:w="2812" w:type="dxa"/>
          </w:tcPr>
          <w:p w:rsidR="00000000" w:rsidRDefault="00000000">
            <w:pPr>
              <w:spacing w:before="40" w:after="40" w:line="240" w:lineRule="auto"/>
              <w:rPr>
                <w:sz w:val="20"/>
                <w:lang w:val="ru-RU"/>
              </w:rPr>
            </w:pPr>
            <w:r>
              <w:rPr>
                <w:sz w:val="20"/>
              </w:rPr>
              <w:t>Заявления</w:t>
            </w:r>
          </w:p>
        </w:tc>
        <w:tc>
          <w:tcPr>
            <w:tcW w:w="1308" w:type="dxa"/>
          </w:tcPr>
          <w:p w:rsidR="00000000" w:rsidRDefault="00000000">
            <w:pPr>
              <w:spacing w:before="40" w:after="40" w:line="240" w:lineRule="auto"/>
              <w:jc w:val="center"/>
              <w:rPr>
                <w:sz w:val="20"/>
                <w:lang w:val="ru-RU"/>
              </w:rPr>
            </w:pPr>
            <w:r>
              <w:rPr>
                <w:sz w:val="20"/>
                <w:lang w:val="ru-RU"/>
              </w:rPr>
              <w:t>242</w:t>
            </w:r>
          </w:p>
        </w:tc>
        <w:tc>
          <w:tcPr>
            <w:tcW w:w="1309" w:type="dxa"/>
          </w:tcPr>
          <w:p w:rsidR="00000000" w:rsidRDefault="00000000">
            <w:pPr>
              <w:spacing w:before="40" w:after="40" w:line="240" w:lineRule="auto"/>
              <w:jc w:val="center"/>
              <w:rPr>
                <w:sz w:val="20"/>
                <w:lang w:val="ru-RU"/>
              </w:rPr>
            </w:pPr>
            <w:r>
              <w:rPr>
                <w:sz w:val="20"/>
                <w:lang w:val="ru-RU"/>
              </w:rPr>
              <w:t>232</w:t>
            </w:r>
          </w:p>
        </w:tc>
        <w:tc>
          <w:tcPr>
            <w:tcW w:w="1309" w:type="dxa"/>
          </w:tcPr>
          <w:p w:rsidR="00000000" w:rsidRDefault="00000000">
            <w:pPr>
              <w:spacing w:before="40" w:after="40" w:line="240" w:lineRule="auto"/>
              <w:jc w:val="center"/>
              <w:rPr>
                <w:sz w:val="20"/>
                <w:lang w:val="ru-RU"/>
              </w:rPr>
            </w:pPr>
            <w:r>
              <w:rPr>
                <w:sz w:val="20"/>
                <w:lang w:val="ru-RU"/>
              </w:rPr>
              <w:t>464</w:t>
            </w:r>
          </w:p>
        </w:tc>
        <w:tc>
          <w:tcPr>
            <w:tcW w:w="1309" w:type="dxa"/>
          </w:tcPr>
          <w:p w:rsidR="00000000" w:rsidRDefault="00000000">
            <w:pPr>
              <w:spacing w:before="40" w:after="40" w:line="240" w:lineRule="auto"/>
              <w:jc w:val="center"/>
              <w:rPr>
                <w:sz w:val="20"/>
                <w:lang w:val="ru-RU"/>
              </w:rPr>
            </w:pPr>
            <w:r>
              <w:rPr>
                <w:sz w:val="20"/>
                <w:lang w:val="ru-RU"/>
              </w:rPr>
              <w:t>304</w:t>
            </w:r>
          </w:p>
        </w:tc>
        <w:tc>
          <w:tcPr>
            <w:tcW w:w="1309" w:type="dxa"/>
          </w:tcPr>
          <w:p w:rsidR="00000000" w:rsidRDefault="00000000">
            <w:pPr>
              <w:spacing w:before="40" w:after="40" w:line="240" w:lineRule="auto"/>
              <w:jc w:val="center"/>
              <w:rPr>
                <w:sz w:val="20"/>
                <w:lang w:val="ru-RU"/>
              </w:rPr>
            </w:pPr>
            <w:r>
              <w:rPr>
                <w:sz w:val="20"/>
                <w:lang w:val="ru-RU"/>
              </w:rPr>
              <w:t>238</w:t>
            </w:r>
          </w:p>
        </w:tc>
      </w:tr>
      <w:tr w:rsidR="00000000">
        <w:tblPrEx>
          <w:tblCellMar>
            <w:top w:w="0" w:type="dxa"/>
            <w:bottom w:w="0" w:type="dxa"/>
          </w:tblCellMar>
        </w:tblPrEx>
        <w:trPr>
          <w:jc w:val="center"/>
        </w:trPr>
        <w:tc>
          <w:tcPr>
            <w:tcW w:w="2812" w:type="dxa"/>
          </w:tcPr>
          <w:p w:rsidR="00000000" w:rsidRDefault="00000000">
            <w:pPr>
              <w:spacing w:before="40" w:after="40" w:line="240" w:lineRule="auto"/>
              <w:rPr>
                <w:sz w:val="20"/>
                <w:lang w:val="ru-RU"/>
              </w:rPr>
            </w:pPr>
            <w:r>
              <w:rPr>
                <w:sz w:val="20"/>
              </w:rPr>
              <w:t>Вынесенные решения</w:t>
            </w:r>
          </w:p>
        </w:tc>
        <w:tc>
          <w:tcPr>
            <w:tcW w:w="1308" w:type="dxa"/>
          </w:tcPr>
          <w:p w:rsidR="00000000" w:rsidRDefault="00000000">
            <w:pPr>
              <w:spacing w:before="40" w:after="40" w:line="240" w:lineRule="auto"/>
              <w:jc w:val="center"/>
              <w:rPr>
                <w:sz w:val="20"/>
                <w:lang w:val="ru-RU"/>
              </w:rPr>
            </w:pPr>
            <w:r>
              <w:rPr>
                <w:sz w:val="20"/>
                <w:lang w:val="ru-RU"/>
              </w:rPr>
              <w:t>118</w:t>
            </w:r>
          </w:p>
        </w:tc>
        <w:tc>
          <w:tcPr>
            <w:tcW w:w="1309" w:type="dxa"/>
          </w:tcPr>
          <w:p w:rsidR="00000000" w:rsidRDefault="00000000">
            <w:pPr>
              <w:spacing w:before="40" w:after="40" w:line="240" w:lineRule="auto"/>
              <w:jc w:val="center"/>
              <w:rPr>
                <w:sz w:val="20"/>
                <w:lang w:val="ru-RU"/>
              </w:rPr>
            </w:pPr>
            <w:r>
              <w:rPr>
                <w:sz w:val="20"/>
                <w:lang w:val="ru-RU"/>
              </w:rPr>
              <w:t>101</w:t>
            </w:r>
          </w:p>
        </w:tc>
        <w:tc>
          <w:tcPr>
            <w:tcW w:w="1309" w:type="dxa"/>
          </w:tcPr>
          <w:p w:rsidR="00000000" w:rsidRDefault="00000000">
            <w:pPr>
              <w:spacing w:before="40" w:after="40" w:line="240" w:lineRule="auto"/>
              <w:jc w:val="center"/>
              <w:rPr>
                <w:sz w:val="20"/>
                <w:lang w:val="ru-RU"/>
              </w:rPr>
            </w:pPr>
            <w:r>
              <w:rPr>
                <w:sz w:val="20"/>
                <w:lang w:val="ru-RU"/>
              </w:rPr>
              <w:t>150</w:t>
            </w:r>
          </w:p>
        </w:tc>
        <w:tc>
          <w:tcPr>
            <w:tcW w:w="1309" w:type="dxa"/>
          </w:tcPr>
          <w:p w:rsidR="00000000" w:rsidRDefault="00000000">
            <w:pPr>
              <w:spacing w:before="40" w:after="40" w:line="240" w:lineRule="auto"/>
              <w:jc w:val="center"/>
              <w:rPr>
                <w:sz w:val="20"/>
                <w:lang w:val="ru-RU"/>
              </w:rPr>
            </w:pPr>
            <w:r>
              <w:rPr>
                <w:sz w:val="20"/>
                <w:lang w:val="ru-RU"/>
              </w:rPr>
              <w:t>206</w:t>
            </w:r>
          </w:p>
        </w:tc>
        <w:tc>
          <w:tcPr>
            <w:tcW w:w="1309" w:type="dxa"/>
          </w:tcPr>
          <w:p w:rsidR="00000000" w:rsidRDefault="00000000">
            <w:pPr>
              <w:spacing w:before="40" w:after="40" w:line="240" w:lineRule="auto"/>
              <w:jc w:val="center"/>
              <w:rPr>
                <w:sz w:val="20"/>
                <w:lang w:val="ru-RU"/>
              </w:rPr>
            </w:pPr>
            <w:r>
              <w:rPr>
                <w:sz w:val="20"/>
                <w:lang w:val="ru-RU"/>
              </w:rPr>
              <w:t>166</w:t>
            </w:r>
          </w:p>
        </w:tc>
      </w:tr>
    </w:tbl>
    <w:p w:rsidR="00000000" w:rsidRDefault="00000000">
      <w:pPr>
        <w:pStyle w:val="Subtitle"/>
        <w:spacing w:before="600" w:after="0"/>
        <w:rPr>
          <w:sz w:val="23"/>
        </w:rPr>
      </w:pPr>
      <w:r>
        <w:rPr>
          <w:sz w:val="23"/>
        </w:rPr>
        <w:t xml:space="preserve">2. </w:t>
      </w:r>
      <w:r>
        <w:rPr>
          <w:sz w:val="23"/>
          <w:lang w:val="ru-RU"/>
        </w:rPr>
        <w:tab/>
      </w:r>
      <w:r>
        <w:rPr>
          <w:sz w:val="23"/>
        </w:rPr>
        <w:t>Предупреждение насилия в отношении женщин и борьба с ним</w:t>
      </w:r>
    </w:p>
    <w:p w:rsidR="00000000" w:rsidRDefault="00000000">
      <w:r>
        <w:t>В борьбе с насилием в отношении женщин решение проблемы насилия в семье имеет первостепенное значение. Трудно привести точные цифры относительно масштабов насилия в отношении женщин в Нидерландах. Очевидно, что число случаев весьма значительно</w:t>
      </w:r>
      <w:r>
        <w:rPr>
          <w:rStyle w:val="FootnoteReference"/>
          <w:sz w:val="22"/>
        </w:rPr>
        <w:footnoteReference w:id="14"/>
      </w:r>
      <w:r>
        <w:t>.</w:t>
      </w:r>
    </w:p>
    <w:p w:rsidR="00000000" w:rsidRDefault="00000000">
      <w:r>
        <w:t>Согласно исследованию Рёмкенса, приблизительно 20 процентов женщин в возрасте от 20 до 60</w:t>
      </w:r>
      <w:r>
        <w:rPr>
          <w:lang w:val="ru-RU"/>
        </w:rPr>
        <w:t> </w:t>
      </w:r>
      <w:r>
        <w:t xml:space="preserve">лет в тот или иной период испытывали физическое насилие со стороны лица, с которым они имели отношения. Этот вид насилия характеризуется тем, что муж систематически осуществляет акты насилия в отношении своей жены, которая, со своей стороны, редко оказывает сопротивление с применением насилия либо не делает этого вовсе, а также не прибегает к физическому насилию или принуждению в отношении мужа. Одна из 40 опрошенных женщин (2,4 процента ) сообщила об экстремальных проявлениях насилия, вследствие которого они получили ожоги или раны в результате применения различного оружия, их избивали еженедельно или даже ежедневно, систематически унижали или они становились жертвами сексуального насилия. Мужчины совершают гораздо большее число актов физического и сексуального насилия в семье. Оценив имеющиеся данные, Корф и другие пришли к выводу, что ежегодно 200 тыс. женщин подвергаются жестокому обращению, из которых 50 тыс. становятся жертвами </w:t>
      </w:r>
      <w:r>
        <w:rPr>
          <w:lang w:val="ru-RU"/>
        </w:rPr>
        <w:t xml:space="preserve">жестокого </w:t>
      </w:r>
      <w:r>
        <w:t xml:space="preserve">или чрезвычайно </w:t>
      </w:r>
      <w:r>
        <w:rPr>
          <w:lang w:val="ru-RU"/>
        </w:rPr>
        <w:t xml:space="preserve">жестокого </w:t>
      </w:r>
      <w:r>
        <w:t>насилия</w:t>
      </w:r>
      <w:r>
        <w:rPr>
          <w:rStyle w:val="FootnoteReference"/>
          <w:sz w:val="22"/>
        </w:rPr>
        <w:footnoteReference w:id="15"/>
      </w:r>
      <w:r>
        <w:t>.</w:t>
      </w:r>
    </w:p>
    <w:p w:rsidR="00000000" w:rsidRDefault="00000000">
      <w:pPr>
        <w:jc w:val="left"/>
        <w:rPr>
          <w:b/>
        </w:rPr>
      </w:pPr>
      <w:r>
        <w:rPr>
          <w:b/>
        </w:rPr>
        <w:t>Предупреждение насилия в отношении женщин и борьба с ним: четвертое всестороннее исследование</w:t>
      </w:r>
    </w:p>
    <w:p w:rsidR="00000000" w:rsidRDefault="00000000">
      <w:r>
        <w:t xml:space="preserve">В </w:t>
      </w:r>
      <w:r>
        <w:rPr>
          <w:lang w:val="ru-RU"/>
        </w:rPr>
        <w:t>д</w:t>
      </w:r>
      <w:r>
        <w:t>окладе "Предупреждение насилия в отношении женщин и борьба с ним", выпущенном Нидерландским институтом прав человека (SIM)</w:t>
      </w:r>
      <w:r>
        <w:rPr>
          <w:rStyle w:val="FootnoteReference"/>
          <w:sz w:val="22"/>
        </w:rPr>
        <w:footnoteReference w:id="16"/>
      </w:r>
      <w:r>
        <w:t>, подробно говорится об истории и сущности политики Нидерландов в этой области. В нем охватываются четыре главные темы: насилие в семье, сексуальные домогательства, торговля женщинами и сексуальная эксплуатация, а также нарушения сексуальных и репродуктивных прав. Обзор политики Нидерландов  проводится в свете обязательств, вытекающих из Конвенции Организации Объединенных Наций о ликвидации всех форм дискриминации в отношении женщин. В докладе также рассматриваются последствия Конвенции для вопроса о насилии в отношении женщин и предлагается схема, которая включает общеполитические принципы и мероприятия, законодательство, а также превентивные и защитные меры. В завершение в докладе представлены рекомендации по улучшению и активизации политики. В целом исследователи делают вывод, что необходимы постоянные усилия с целью предупреждения насилия в отношении женщин и борьбы с ним.</w:t>
      </w:r>
    </w:p>
    <w:p w:rsidR="00000000" w:rsidRDefault="00000000">
      <w:pPr>
        <w:pStyle w:val="Subtitle"/>
      </w:pPr>
      <w:r>
        <w:t>Насилие в отношении женщин: мероприятия правового характера – доклад Консультативного совета по международным делам (КСМД)</w:t>
      </w:r>
    </w:p>
    <w:p w:rsidR="00000000" w:rsidRDefault="00000000">
      <w:r>
        <w:t xml:space="preserve">В 2000 году Министерство иностранных дел и статс-секретарь, координирующий политику в области эмансипации, запросили у Консультативного совета по международным делам (КСМД) консультативную помощь по вопросу о правах женщин. Это произошло при подготовке документа по осуществлению политики </w:t>
      </w:r>
      <w:r>
        <w:rPr>
          <w:lang w:val="ru-RU"/>
        </w:rPr>
        <w:t xml:space="preserve">в области </w:t>
      </w:r>
      <w:r>
        <w:t>эмансипации за целый ряд лет. Правительство просило КСМД оказать конкретную помощь, а именно:</w:t>
      </w:r>
    </w:p>
    <w:p w:rsidR="00000000" w:rsidRDefault="00000000">
      <w:pPr>
        <w:ind w:left="680" w:hanging="680"/>
        <w:rPr>
          <w:lang w:val="ru-RU"/>
        </w:rPr>
      </w:pPr>
      <w:r>
        <w:t>●</w:t>
      </w:r>
      <w:r>
        <w:rPr>
          <w:lang w:val="ru-RU"/>
        </w:rPr>
        <w:tab/>
      </w:r>
      <w:r>
        <w:t>обновить свой доклад 1998 года о всеобщих правах человека и культурном многообразии. Эта просьба была связана с тем, что прибытие "новых" граждан Нидерландов повлекло за собой более широкий разброс мнений относительно прав женщин в нидерландском обществе</w:t>
      </w:r>
      <w:r>
        <w:rPr>
          <w:lang w:val="ru-RU"/>
        </w:rPr>
        <w:t>;</w:t>
      </w:r>
    </w:p>
    <w:p w:rsidR="00000000" w:rsidRDefault="00000000">
      <w:pPr>
        <w:ind w:left="680" w:hanging="680"/>
      </w:pPr>
      <w:r>
        <w:t>●</w:t>
      </w:r>
      <w:r>
        <w:rPr>
          <w:lang w:val="ru-RU"/>
        </w:rPr>
        <w:tab/>
      </w:r>
      <w:r>
        <w:t>изложить свою точку зрения относительно включения таких деликатных вопросов, как репродуктивные и сексуальные права, в юридически обязательные документы.</w:t>
      </w:r>
    </w:p>
    <w:p w:rsidR="00000000" w:rsidRDefault="00000000">
      <w:r>
        <w:t>КСМД обсудил в общем плане правовые аспекты проблемы насилия в отношении женщин и контроля за соблюдением соответствующих норм в связи с убийствами в защиту чести, репродуктивными правами и калечащи</w:t>
      </w:r>
      <w:r>
        <w:rPr>
          <w:lang w:val="ru-RU"/>
        </w:rPr>
        <w:t>ми</w:t>
      </w:r>
      <w:r>
        <w:t xml:space="preserve"> операци</w:t>
      </w:r>
      <w:r>
        <w:rPr>
          <w:lang w:val="ru-RU"/>
        </w:rPr>
        <w:t>ями</w:t>
      </w:r>
      <w:r>
        <w:t xml:space="preserve"> на половых органах женщин. Он также охватил такие темы, как международные трибуналы и Международный уголовный суд. КСМД опубликовал свой доклад весной 2001 года</w:t>
      </w:r>
      <w:r>
        <w:rPr>
          <w:rStyle w:val="FootnoteReference"/>
          <w:sz w:val="22"/>
        </w:rPr>
        <w:footnoteReference w:id="17"/>
      </w:r>
      <w:r>
        <w:t>.</w:t>
      </w:r>
    </w:p>
    <w:p w:rsidR="00000000" w:rsidRDefault="00000000">
      <w:pPr>
        <w:pStyle w:val="Subtitle"/>
      </w:pPr>
      <w:r>
        <w:t>Безопасная страна, в которой хотят жить женщины</w:t>
      </w:r>
    </w:p>
    <w:p w:rsidR="00000000" w:rsidRDefault="00000000">
      <w:r>
        <w:t>В ответ на исследование под названием "Предупреждение насилия в отношении женщин и борьба с ним" и рекомендации, содержащиеся в докладе КСМД, парламенту был представлен программный документ, озаглавленный "Безопасная страна, в которой хотят жить женщины"</w:t>
      </w:r>
      <w:r>
        <w:rPr>
          <w:rStyle w:val="FootnoteReference"/>
          <w:sz w:val="22"/>
        </w:rPr>
        <w:footnoteReference w:id="18"/>
      </w:r>
      <w:r>
        <w:t>. Этот директивный документ резюмирует национальные планы действий по различным аспектам насилия в отношении женщин, которые касаются насилия в семье, сексуально</w:t>
      </w:r>
      <w:r>
        <w:rPr>
          <w:lang w:val="ru-RU"/>
        </w:rPr>
        <w:t>го</w:t>
      </w:r>
      <w:r>
        <w:t xml:space="preserve"> насили</w:t>
      </w:r>
      <w:r>
        <w:rPr>
          <w:lang w:val="ru-RU"/>
        </w:rPr>
        <w:t>я</w:t>
      </w:r>
      <w:r>
        <w:t>, сексуальны</w:t>
      </w:r>
      <w:r>
        <w:rPr>
          <w:lang w:val="ru-RU"/>
        </w:rPr>
        <w:t>х</w:t>
      </w:r>
      <w:r>
        <w:t xml:space="preserve"> домогательств, сексуальны</w:t>
      </w:r>
      <w:r>
        <w:rPr>
          <w:lang w:val="ru-RU"/>
        </w:rPr>
        <w:t>х</w:t>
      </w:r>
      <w:r>
        <w:t xml:space="preserve"> действи</w:t>
      </w:r>
      <w:r>
        <w:rPr>
          <w:lang w:val="ru-RU"/>
        </w:rPr>
        <w:t>й</w:t>
      </w:r>
      <w:r>
        <w:t xml:space="preserve"> в отношении детей, торговл</w:t>
      </w:r>
      <w:r>
        <w:rPr>
          <w:lang w:val="ru-RU"/>
        </w:rPr>
        <w:t>и</w:t>
      </w:r>
      <w:r>
        <w:t xml:space="preserve"> женщинами и калечащи</w:t>
      </w:r>
      <w:r>
        <w:rPr>
          <w:lang w:val="ru-RU"/>
        </w:rPr>
        <w:t>х</w:t>
      </w:r>
      <w:r>
        <w:t xml:space="preserve"> операци</w:t>
      </w:r>
      <w:r>
        <w:rPr>
          <w:lang w:val="ru-RU"/>
        </w:rPr>
        <w:t>й</w:t>
      </w:r>
      <w:r>
        <w:t xml:space="preserve"> на половых органах женщин. В документе излагаются основные моменты международной политической основы, описываются последние мероприятия правительства и делаются общие политические заключения. В нем также объясняется, как будет начато усовершенствование стратегии на основе координации политики в области эмансипации посредством возобновления и расширения процесса мониторинга. Поэтому в докладе не рекомендуется вводить новую политику наряду с существующими мерами, но предусматривается вклад от включения гендерной проблематики в основные направления деятельности в будущем. </w:t>
      </w:r>
    </w:p>
    <w:p w:rsidR="00000000" w:rsidRDefault="00000000">
      <w:pPr>
        <w:pStyle w:val="Subtitle"/>
      </w:pPr>
      <w:r>
        <w:t>Предложение в связи с проявлениями насилия в отношении женщин</w:t>
      </w:r>
    </w:p>
    <w:p w:rsidR="00000000" w:rsidRDefault="00000000">
      <w:pPr>
        <w:rPr>
          <w:b/>
        </w:rPr>
      </w:pPr>
      <w:r>
        <w:t xml:space="preserve">После того как Палата представителей обсудила программный документ ″Безопасная страна, в которой хотят жить женщины″, член парламента Айян Хирси Али выступил с предложением обратиться с просьбой к правительству составить план действий по борьбе с насилием в семье и насилием в отношении женщин, сосредоточившись на следующем: </w:t>
      </w:r>
    </w:p>
    <w:p w:rsidR="00000000" w:rsidRDefault="00000000">
      <w:pPr>
        <w:ind w:left="680" w:hanging="680"/>
        <w:rPr>
          <w:lang w:val="ru-RU"/>
        </w:rPr>
      </w:pPr>
      <w:r>
        <w:t>а</w:t>
      </w:r>
      <w:r>
        <w:rPr>
          <w:lang w:val="ru-RU"/>
        </w:rPr>
        <w:t>)</w:t>
      </w:r>
      <w:r>
        <w:rPr>
          <w:lang w:val="ru-RU"/>
        </w:rPr>
        <w:tab/>
      </w:r>
      <w:r>
        <w:t>насилие, узаконенное культурными традициями, например убийство в защиту чести и калечащие операции на половых орган</w:t>
      </w:r>
      <w:r>
        <w:rPr>
          <w:lang w:val="ru-RU"/>
        </w:rPr>
        <w:t>ах</w:t>
      </w:r>
      <w:r>
        <w:t xml:space="preserve"> девушек</w:t>
      </w:r>
      <w:r>
        <w:rPr>
          <w:lang w:val="ru-RU"/>
        </w:rPr>
        <w:t>;</w:t>
      </w:r>
    </w:p>
    <w:p w:rsidR="00000000" w:rsidRDefault="00000000">
      <w:pPr>
        <w:ind w:left="680" w:hanging="680"/>
      </w:pPr>
      <w:r>
        <w:t>b</w:t>
      </w:r>
      <w:r>
        <w:rPr>
          <w:lang w:val="ru-RU"/>
        </w:rPr>
        <w:t>)</w:t>
      </w:r>
      <w:r>
        <w:rPr>
          <w:lang w:val="ru-RU"/>
        </w:rPr>
        <w:tab/>
      </w:r>
      <w:r>
        <w:t>международная торговля женщинами;</w:t>
      </w:r>
    </w:p>
    <w:p w:rsidR="00000000" w:rsidRDefault="00000000">
      <w:pPr>
        <w:ind w:left="680" w:hanging="680"/>
      </w:pPr>
      <w:r>
        <w:t>с</w:t>
      </w:r>
      <w:r>
        <w:rPr>
          <w:lang w:val="ru-RU"/>
        </w:rPr>
        <w:t>)</w:t>
      </w:r>
      <w:r>
        <w:rPr>
          <w:lang w:val="ru-RU"/>
        </w:rPr>
        <w:tab/>
      </w:r>
      <w:r>
        <w:t>сексуальное насилие, беременность и аборт по принуждению, систематическое насилие с тяжелыми физическими и/или психическими последствиями.</w:t>
      </w:r>
    </w:p>
    <w:p w:rsidR="00000000" w:rsidRDefault="00000000">
      <w:r>
        <w:t>В декабре 2003 года правительство Нидерландов направило в парламент свой отзыв на это предложение, проведя широкий обзор принятых им мер по борьбе с насилием. Во введении к документу содержится обзор основных моментов политики, а затем обсуждаются вопросы насилия в семье, насилия в отношении женщин и девушек из числа этнических меньшинств и торговли людьми.</w:t>
      </w:r>
    </w:p>
    <w:p w:rsidR="00000000" w:rsidRDefault="00000000">
      <w:pPr>
        <w:pStyle w:val="Subtitle"/>
      </w:pPr>
      <w:r>
        <w:t>Текущая деятельность</w:t>
      </w:r>
    </w:p>
    <w:p w:rsidR="00000000" w:rsidRDefault="00000000">
      <w:r>
        <w:t>Политика по предупреждению насилия в отношении женщин и девушек и борьбе с ним была в значительной степени включена в более широкую стратегию. С одной стороны, эта политика охватывала вопросы, относящиеся не только к женщинам/девушкам, но также и к другим категориям населения (насилие в семье, сексуальное надругательство над ребенком). С другой стороны, она касается не просто сексуального насилия, но гораздо большего числа различных проявлений насилия (сексуальные домогательства, агрессивное поведение и запугивание на работе; безопасность в школе). Эта продуманная стратегия означает, что политика, касающаяся насилия в отношении женщин и девушек, была успешно включена в основные направления деятельности.</w:t>
      </w:r>
    </w:p>
    <w:p w:rsidR="00000000" w:rsidRDefault="00000000">
      <w:pPr>
        <w:pStyle w:val="Subtitle"/>
      </w:pPr>
      <w:r>
        <w:t xml:space="preserve">i. </w:t>
      </w:r>
      <w:r>
        <w:rPr>
          <w:lang w:val="ru-RU"/>
        </w:rPr>
        <w:tab/>
      </w:r>
      <w:r>
        <w:t xml:space="preserve">Насилие в семье </w:t>
      </w:r>
    </w:p>
    <w:p w:rsidR="00000000" w:rsidRDefault="00000000">
      <w:r>
        <w:t>В Нидерландах насилие в семье является основной социальной проблемой</w:t>
      </w:r>
      <w:r>
        <w:rPr>
          <w:rStyle w:val="FootnoteReference"/>
          <w:sz w:val="22"/>
        </w:rPr>
        <w:footnoteReference w:id="19"/>
      </w:r>
      <w:r>
        <w:t>. Никакой другой вид насилия не сопряжен со столь многочисленными жертвами. При проведении обследования свыше 40 процентов нидерландских мужчин и женщин утверждали, что они сталкивались с насилием в семье. Более чем в четверти всех случаев акты насилия имеют место еженедельно или ежедневно, а один из пяти случаев связан с систематическим насилием, продолжающимся на протяжении многих лет.</w:t>
      </w:r>
      <w:r>
        <w:rPr>
          <w:b/>
        </w:rPr>
        <w:t xml:space="preserve"> </w:t>
      </w:r>
      <w:r>
        <w:t>Хотя цифры обследования показывают, что мужчины и женщины почти в равной мере становятся жертвами, все же имеются немалые различия</w:t>
      </w:r>
      <w:r>
        <w:rPr>
          <w:rStyle w:val="FootnoteReference"/>
          <w:sz w:val="22"/>
        </w:rPr>
        <w:footnoteReference w:id="20"/>
      </w:r>
      <w:r>
        <w:t>. Мужчины в основном становятся жертвами насилия в сравнительно молодом возрасте, женщины рискуют стать жертвой насилия даже и в более зрелом возрасте; из всех случаев насилия в семье 80 процентов совершается мужчинами и 20 процентов – женщинами. Насилие в семье происходит как в городах, так и в сельских районах,  среди групп населения любого этнического происхождения.</w:t>
      </w:r>
    </w:p>
    <w:p w:rsidR="00000000" w:rsidRDefault="00000000">
      <w:pPr>
        <w:rPr>
          <w:b/>
          <w:i/>
        </w:rPr>
      </w:pPr>
      <w:r>
        <w:rPr>
          <w:b/>
          <w:i/>
        </w:rPr>
        <w:t xml:space="preserve">а. </w:t>
      </w:r>
      <w:r>
        <w:rPr>
          <w:b/>
          <w:i/>
          <w:lang w:val="ru-RU"/>
        </w:rPr>
        <w:tab/>
      </w:r>
      <w:r>
        <w:rPr>
          <w:b/>
          <w:i/>
        </w:rPr>
        <w:t>Проект по предупреждению насилия в семье и борьбе с ним</w:t>
      </w:r>
    </w:p>
    <w:p w:rsidR="00000000" w:rsidRDefault="00000000">
      <w:r>
        <w:t>1 октября 2000 года министр юстиции положил начало осуществлению проекта по предупреждению насилия в семье и борьбе с ним, цель которого</w:t>
      </w:r>
      <w:r>
        <w:rPr>
          <w:lang w:val="ru-RU"/>
        </w:rPr>
        <w:t xml:space="preserve"> –</w:t>
      </w:r>
      <w:r>
        <w:t xml:space="preserve"> стимулировать дополнительные усилия со стороны министерств и национальных организаций, а также разработать эффективный подход к этой проблеме. Ряд министерств и десятки национальных организаций приняли участие в этом проекте, в том числе Ассоциация муниципалитетов Нидерландов (АМН), полиция, Национальное бюро Государственной прокуратуры, Служба пробации, Нидерландская организация помощи жертвам </w:t>
      </w:r>
      <w:r>
        <w:rPr>
          <w:lang w:val="ru-RU"/>
        </w:rPr>
        <w:t>(</w:t>
      </w:r>
      <w:r>
        <w:t>Slachtofferhulp Nederland</w:t>
      </w:r>
      <w:r>
        <w:rPr>
          <w:lang w:val="ru-RU"/>
        </w:rPr>
        <w:t>)</w:t>
      </w:r>
      <w:r>
        <w:t xml:space="preserve">, Федерация поддержки жертв </w:t>
      </w:r>
      <w:r>
        <w:rPr>
          <w:lang w:val="ru-RU"/>
        </w:rPr>
        <w:t>(</w:t>
      </w:r>
      <w:r>
        <w:t>Federatie Opvang</w:t>
      </w:r>
      <w:r>
        <w:rPr>
          <w:lang w:val="ru-RU"/>
        </w:rPr>
        <w:t>)</w:t>
      </w:r>
      <w:r>
        <w:t xml:space="preserve">, Нидерландская организация по охране психического здоровья и лечению наркотической зависимости </w:t>
      </w:r>
      <w:r>
        <w:rPr>
          <w:lang w:val="ru-RU"/>
        </w:rPr>
        <w:t>(</w:t>
      </w:r>
      <w:r>
        <w:t>GGZ-Nederland</w:t>
      </w:r>
      <w:r>
        <w:rPr>
          <w:lang w:val="ru-RU"/>
        </w:rPr>
        <w:t>),</w:t>
      </w:r>
      <w:r>
        <w:t xml:space="preserve"> и различные вспомогательные организации, такие как ″Трансэкт″ (Нидерландский центр по гендерным вопросам в области здравоохранения и по предупреждению сексуального насилия) и Нидерландский институт опеки и социального обеспечения (НИОСО).</w:t>
      </w:r>
    </w:p>
    <w:p w:rsidR="00000000" w:rsidRDefault="00000000">
      <w:r>
        <w:t>Министерства и национальные организации выработали программный документ под названием "Частное насилие – общественный вопрос"</w:t>
      </w:r>
      <w:r>
        <w:rPr>
          <w:rStyle w:val="FootnoteReference"/>
          <w:sz w:val="22"/>
        </w:rPr>
        <w:footnoteReference w:id="21"/>
      </w:r>
      <w:r>
        <w:t>. Этот программный документ, который был направлен в парламент в апреле 2002 года, содержал свыше 50 конкретных мероприятий по совершенствованию подхода к рассмотрению вопроса о насилии в семье. Эти меры касаются разработки методики, улучшения экспертизы, законодательства, исследования и мониторинга. При обсуждении программного документа в парламенте в декабре 2002 года план действий получил широкую парламентскую поддержку.</w:t>
      </w:r>
    </w:p>
    <w:p w:rsidR="00000000" w:rsidRDefault="00000000">
      <w:pPr>
        <w:rPr>
          <w:i/>
        </w:rPr>
      </w:pPr>
      <w:r>
        <w:rPr>
          <w:i/>
        </w:rPr>
        <w:t xml:space="preserve">Организаторская роль для муниципалитетов </w:t>
      </w:r>
    </w:p>
    <w:p w:rsidR="00000000" w:rsidRDefault="00000000">
      <w:r>
        <w:t>В программном документе организаторская роль отводится муниципалитетам. Они несут ответственность за организацию встреч местных партнеров с целью разработки скоординированного подхода и вступления в обязательные соглашения. До 2007 года будут выделены 7</w:t>
      </w:r>
      <w:r>
        <w:rPr>
          <w:lang w:val="ru-RU"/>
        </w:rPr>
        <w:t>,</w:t>
      </w:r>
      <w:r>
        <w:t>8 млн. евро с целью создания в 35 муниципалитетах, ответственных за женщин-беженцев, центров консультаций и помощи по проблеме насилия в семье. Предполагается в конечном счете создать общенациональную структуру широко доступных информационных центров. Они будут предоставлять рекомендации, первоначальные консультации и краткосрочную практическую помощь или направлять конкретное лицо в другие инстанции, если проблема сложная или серьезная.</w:t>
      </w:r>
    </w:p>
    <w:p w:rsidR="00000000" w:rsidRDefault="00000000">
      <w:r>
        <w:t xml:space="preserve">В 2004 году органы социального обслуживания начнут подготовку ряда экспериментальных проектов по работе со случаями насилия в семье. В наиболее серьезных или сложных вопросах лица, </w:t>
      </w:r>
      <w:r>
        <w:rPr>
          <w:lang w:val="ru-RU"/>
        </w:rPr>
        <w:t xml:space="preserve">расследующие </w:t>
      </w:r>
      <w:r>
        <w:t>конкретный случай</w:t>
      </w:r>
      <w:r>
        <w:rPr>
          <w:lang w:val="ru-RU"/>
        </w:rPr>
        <w:t>,</w:t>
      </w:r>
      <w:r>
        <w:t xml:space="preserve"> помогут пострадавшей, правонарушителю и, возможно, детям – свидетелям насилия в семье, используя комплексный и эффективный подход. Они договариваются об участии других организаций в форме терапевтической работы с правонарушителем, предоставления убежища для подвергшихся насилию женщин или содействия в представлении сообщения о насилии в полицию.</w:t>
      </w:r>
    </w:p>
    <w:p w:rsidR="00000000" w:rsidRDefault="00000000">
      <w:pPr>
        <w:rPr>
          <w:i/>
        </w:rPr>
      </w:pPr>
      <w:r>
        <w:rPr>
          <w:i/>
        </w:rPr>
        <w:t>Контроль</w:t>
      </w:r>
    </w:p>
    <w:p w:rsidR="00000000" w:rsidRDefault="00000000">
      <w:r>
        <w:t>С целью обеспечения надлежащего воплощения в жизнь предложенной политики Министерство юстиции учредило межведомственный политический комитет, который регулярно собирается для обсуждения хода работы и, когда необходимо, для выработки новых инициатив. Комитет поддерживает регулярные контакты с организациями на местах. Свыше 30 государственных органов принимают участие в работе национальной сети по вопросам насилия в семье, в рамках которой 3-4 раза в год проводятся встречи по приглашению политического комитета для обмена информацией о положении в этой области. В ноябре 2003 года Министерство юстиции, действуя от имени других заинтересованных министерств, направило в парламент Доклад о прогрессе в выработке подхода к насилию в семье</w:t>
      </w:r>
      <w:r>
        <w:rPr>
          <w:rStyle w:val="FootnoteReference"/>
          <w:sz w:val="22"/>
        </w:rPr>
        <w:footnoteReference w:id="22"/>
      </w:r>
      <w:r>
        <w:t>, который охватывает каждую из предложенных мер.</w:t>
      </w:r>
    </w:p>
    <w:p w:rsidR="00000000" w:rsidRDefault="00000000">
      <w:pPr>
        <w:rPr>
          <w:i/>
        </w:rPr>
      </w:pPr>
      <w:r>
        <w:rPr>
          <w:i/>
        </w:rPr>
        <w:t>Регистрация случаев насилия в семье</w:t>
      </w:r>
    </w:p>
    <w:p w:rsidR="00000000" w:rsidRDefault="00000000">
      <w:r>
        <w:t>1 января 2004 года полиция Нидерландов начала осуществление программы систематической регистрации случаев насилия в семье. С конца 2004 года эта система обеспечит постоянный контроль за масштабами данной проблемы в соответствии с сообщениями в полицию. Улучшение процесса регистрации полицией и Государственной прокуратурой в конечном счете повысит качество информации о числе инцидентов и ходе расследований с учетом серьезности и размаха насилия в семье.</w:t>
      </w:r>
    </w:p>
    <w:p w:rsidR="00000000" w:rsidRDefault="00000000">
      <w:r>
        <w:t>Подход к рассмотрению проблемы насилия в семье был впервые намечен в 2003 году</w:t>
      </w:r>
      <w:r>
        <w:rPr>
          <w:rStyle w:val="FootnoteReference"/>
          <w:sz w:val="22"/>
        </w:rPr>
        <w:footnoteReference w:id="23"/>
      </w:r>
      <w:r>
        <w:t>. Второй отчет будет подготовлен в 2006 году. В контексте политики в области урбанизации показатели эффективности в решении проблемы насилия в семье были выработаны совместно с крупными городами. Главная задача состоит в том, чтобы увеличить число первоначальных сообщений, поскольку</w:t>
      </w:r>
      <w:r>
        <w:rPr>
          <w:lang w:val="ru-RU"/>
        </w:rPr>
        <w:t>,</w:t>
      </w:r>
      <w:r>
        <w:t xml:space="preserve"> как было показано, благодаря этой системе регистрации сами пострадавшие и люди в их непосредственном окружении стали с большей готовностью сообщать о случаях насилия; на втором месте – задача сократить число последующих сообщений, такое сокращение говорит об успешности подхода. В нескольких крупных городах, например в Амстердаме, число сообщений в полицию увеличилось за последние годы: с 386 в 2001 году до более 1100 в 2003 году.</w:t>
      </w:r>
    </w:p>
    <w:p w:rsidR="00000000" w:rsidRDefault="00000000">
      <w:pPr>
        <w:rPr>
          <w:b/>
          <w:i/>
        </w:rPr>
      </w:pPr>
      <w:r>
        <w:rPr>
          <w:b/>
          <w:i/>
        </w:rPr>
        <w:t xml:space="preserve">b. </w:t>
      </w:r>
      <w:r>
        <w:rPr>
          <w:b/>
          <w:i/>
          <w:lang w:val="ru-RU"/>
        </w:rPr>
        <w:tab/>
      </w:r>
      <w:r>
        <w:rPr>
          <w:b/>
          <w:i/>
        </w:rPr>
        <w:t>Насилие и женщины из этнических меньшинств</w:t>
      </w:r>
    </w:p>
    <w:p w:rsidR="00000000" w:rsidRDefault="00000000">
      <w:r>
        <w:t>В исследовании под названием "Насилие в семье в суринамской, антильской, арубской, марокканской и турецкой общинах в Нидерландах", проведенном в 2002 году для Министерства юстиции, содержатся данные о характере и масштабах насилия в семье в отношении женщин и мужчин из этнических меньшинств</w:t>
      </w:r>
      <w:r>
        <w:rPr>
          <w:rStyle w:val="FootnoteReference"/>
          <w:sz w:val="22"/>
        </w:rPr>
        <w:footnoteReference w:id="24"/>
      </w:r>
      <w:r>
        <w:t xml:space="preserve">. По сравнению с 21 процентом мужчин 27 процентов опрошенных женщин признались, что они были жертвами насилия в семье. Как предполагают исследователи, эти данные занижены. Поэтому количественные исследования были дополнены качественным компонентом. </w:t>
      </w:r>
    </w:p>
    <w:p w:rsidR="00000000" w:rsidRDefault="00000000">
      <w:r>
        <w:t>Насилие в семье случается во всех этнических группах. Некоторые аспекты борьбы с насилием среди этнических меньшинств требуют специальных знаний со стороны сотрудников полиции и предоставляющих помощь, а также особых методов и подходов. Некоторые женщины из числа беженцев – выходцы из групп этнических меньшинств. Активизируется деятельность, цель которой – начать обсуждение проблемы насилия в семье среди этнических меньшинств и уменьшить риски для женщин из числа этих меньшинств. Особое внимание уделяется случаям, связанным с насилием в защиту чести и увечьем половых органов женщин.</w:t>
      </w:r>
    </w:p>
    <w:p w:rsidR="00000000" w:rsidRDefault="00000000">
      <w:r>
        <w:t xml:space="preserve">В 2003 году был представлен план действий для начала обсуждения вопроса о насилии в семье в общинах этнических меньшинств, где это почти запрещенная тема. С этой же целью правительство также поддерживает и другие инициативы. Центры знаний работают совместно с этническими меньшинствами и женскими организациями, чтобы распространять соответствующую информацию и организовывать встречи с людьми из целевых групп. Во время этих встреч также обсуждается вопрос о насилии, связанном с защитой чести. В рамках этой программы разрабатывается метод расширения специальных знаний среди профессиональных сотрудников правоприменительных органов и вспомогательных служб. </w:t>
      </w:r>
    </w:p>
    <w:p w:rsidR="00000000" w:rsidRDefault="00000000">
      <w:r>
        <w:t>В борьбе с дискриминацией в отношении женщин из числа этнических меньшинств особое внимание уделяется достижению экономической независимости посредством занятости и образования. Подготавливается законодательство, которое обяжет нынешних граждан из числа этнических меньшинств, а также вновь прибывших пройти процесс интеграции. Это даст многим женщинам, особенно среди давно проживающих в Нидерландах, возможность изучить язык и таким образом оптимально интегри</w:t>
      </w:r>
      <w:r>
        <w:rPr>
          <w:lang w:val="ru-RU"/>
        </w:rPr>
        <w:t>роваться</w:t>
      </w:r>
      <w:r>
        <w:t xml:space="preserve"> в нидерландское общество (см. также статьи 9 и 11/13).</w:t>
      </w:r>
    </w:p>
    <w:p w:rsidR="00000000" w:rsidRDefault="00000000">
      <w:pPr>
        <w:rPr>
          <w:b/>
          <w:i/>
        </w:rPr>
      </w:pPr>
      <w:r>
        <w:rPr>
          <w:b/>
          <w:i/>
        </w:rPr>
        <w:t xml:space="preserve">с. </w:t>
      </w:r>
      <w:r>
        <w:rPr>
          <w:b/>
          <w:i/>
          <w:lang w:val="ru-RU"/>
        </w:rPr>
        <w:tab/>
      </w:r>
      <w:r>
        <w:rPr>
          <w:b/>
          <w:i/>
        </w:rPr>
        <w:t>Право на независимое проживание в случаях насилия в семье</w:t>
      </w:r>
    </w:p>
    <w:p w:rsidR="00000000" w:rsidRDefault="00000000">
      <w:r>
        <w:t>В октябре 2003 года парламент был информирован письмом об обращении членов парламента к правительству с просьбой скорректировать политику так, чтобы положение жертвы доказанного случая сексуального или иного вида насилия в семье служило самостоятельным основанием для предоставления статуса проживания лицам, которые прекратили свои взаимоотношения с родственниками и имеют вид на жительство в качестве иждивенца</w:t>
      </w:r>
      <w:r>
        <w:rPr>
          <w:rStyle w:val="FootnoteReference"/>
          <w:sz w:val="22"/>
        </w:rPr>
        <w:footnoteReference w:id="25"/>
      </w:r>
      <w:r>
        <w:t>.</w:t>
      </w:r>
    </w:p>
    <w:p w:rsidR="00000000" w:rsidRDefault="00000000">
      <w:pPr>
        <w:pStyle w:val="Subtitle"/>
      </w:pPr>
      <w:r>
        <w:t xml:space="preserve">ii. </w:t>
      </w:r>
      <w:r>
        <w:rPr>
          <w:lang w:val="ru-RU"/>
        </w:rPr>
        <w:tab/>
      </w:r>
      <w:r>
        <w:t>Политика борьбы с калечащими операциями на половых органах женщин</w:t>
      </w:r>
    </w:p>
    <w:p w:rsidR="00000000" w:rsidRDefault="00000000">
      <w:r>
        <w:t xml:space="preserve">До сих пор неизвестно, насколько распространены калечащие операции на половых органах женщин среди групп африканского происхождения в Нидерландах. Предполагается, что в этих группах численное соотношение женщин в возрасте старше 16 лет, которые подверглись таким операциям, приблизительно такое же, как и в стране происхождения. В Многолетней программе политики </w:t>
      </w:r>
      <w:r>
        <w:rPr>
          <w:lang w:val="ru-RU"/>
        </w:rPr>
        <w:t xml:space="preserve">в области </w:t>
      </w:r>
      <w:r>
        <w:t>эмансипации (2000 год) было объявлено о проведении исследования для изучения вопроса о том, могут ли поправки к Уголовному кодексу Нидерландов (особенно аннулирование положения о "двойном уголовном преступлении") способствовать этой политике. Исследование под названием "Стратеги</w:t>
      </w:r>
      <w:r>
        <w:rPr>
          <w:lang w:val="ru-RU"/>
        </w:rPr>
        <w:t>я</w:t>
      </w:r>
      <w:r>
        <w:t xml:space="preserve"> по предупреждению калечащих операций на половых органах женщин. Перечень и рекомендации" было проведено Амстердамским </w:t>
      </w:r>
      <w:r>
        <w:rPr>
          <w:lang w:val="ru-RU"/>
        </w:rPr>
        <w:t>у</w:t>
      </w:r>
      <w:r>
        <w:t>ниверситетом (Vrije Universiteit Amsterdam) и организацией "Международное движение в защиту детей". Это исследование касается четырех общин, где широко распростран</w:t>
      </w:r>
      <w:r>
        <w:rPr>
          <w:lang w:val="ru-RU"/>
        </w:rPr>
        <w:t>ено</w:t>
      </w:r>
      <w:r>
        <w:t xml:space="preserve"> обрезание у женщин: сомалийской, эритрейской, египетской и суданской. В нем также проводится сопоставление правовых подходов в других европейских странах и описываются превентивные меры. В этом исследовании содержится ряд рекомендаций относительно последовательной политики по борьбе с увечьем половых органов женщин. Исследование было направлено в парламент в феврале 2004</w:t>
      </w:r>
      <w:r>
        <w:rPr>
          <w:lang w:val="ru-RU"/>
        </w:rPr>
        <w:t> </w:t>
      </w:r>
      <w:r>
        <w:t>года. В ответ на это исследование правительство представило парламенту свое мнение о подобных калечащих операциях. Калечащие операции на половых органах женщин рассматриваются как серьезная форма жестокого обращения с детьми, которая неприемлема и нетерпима. Соответственно, правительство хотело как можно скорее искоренить эту практику среди девочек в Нидерландах, поскольку она чревата серьезными физическими и психологическими последствиями. В плане действий по борьбе с калечащими операциями на женских половых органах правительство выработало комплексный и последовательный национальный и международный подход, который включает исследование масштабов проблемы, наилучши</w:t>
      </w:r>
      <w:r>
        <w:rPr>
          <w:lang w:val="ru-RU"/>
        </w:rPr>
        <w:t>е</w:t>
      </w:r>
      <w:r>
        <w:t xml:space="preserve"> форм</w:t>
      </w:r>
      <w:r>
        <w:rPr>
          <w:lang w:val="ru-RU"/>
        </w:rPr>
        <w:t>ы</w:t>
      </w:r>
      <w:r>
        <w:t xml:space="preserve"> профилактики и оказания необходимых услуг, более жестк</w:t>
      </w:r>
      <w:r>
        <w:rPr>
          <w:lang w:val="ru-RU"/>
        </w:rPr>
        <w:t>ий</w:t>
      </w:r>
      <w:r>
        <w:t xml:space="preserve"> репрессивн</w:t>
      </w:r>
      <w:r>
        <w:rPr>
          <w:lang w:val="ru-RU"/>
        </w:rPr>
        <w:t>ый</w:t>
      </w:r>
      <w:r>
        <w:t xml:space="preserve"> подход, а также поддержку борьбы против этой практики в странах происхождения</w:t>
      </w:r>
      <w:r>
        <w:rPr>
          <w:rStyle w:val="FootnoteReference"/>
          <w:sz w:val="22"/>
        </w:rPr>
        <w:footnoteReference w:id="26"/>
      </w:r>
      <w:r>
        <w:t>. Правительство просило Совет по здравоохранению и социальному обеспечению (СЗСО) изучить возможности для введения эффективной системы расследования, контроля и правоприменения. Правительство уже приступило к работе над вопросами, которые могли бы находиться в ведении полиции. Рекомендации СЗСО будут представлены правительству до конца 2004 года. На основе этих рекомендаций и результатов исследования масштабов проблемы правительство примет решение</w:t>
      </w:r>
      <w:r>
        <w:rPr>
          <w:lang w:val="ru-RU"/>
        </w:rPr>
        <w:t xml:space="preserve"> о</w:t>
      </w:r>
      <w:r>
        <w:t xml:space="preserve"> дальнейших мер</w:t>
      </w:r>
      <w:r>
        <w:rPr>
          <w:lang w:val="ru-RU"/>
        </w:rPr>
        <w:t>ах</w:t>
      </w:r>
      <w:r>
        <w:t xml:space="preserve"> по усилению этого плана действий. </w:t>
      </w:r>
    </w:p>
    <w:p w:rsidR="00000000" w:rsidRDefault="00000000">
      <w:pPr>
        <w:rPr>
          <w:i/>
        </w:rPr>
      </w:pPr>
      <w:r>
        <w:rPr>
          <w:i/>
        </w:rPr>
        <w:t xml:space="preserve">Гранты </w:t>
      </w:r>
    </w:p>
    <w:p w:rsidR="00000000" w:rsidRDefault="00000000">
      <w:r>
        <w:t>"Фарос", неправительственная организация, работающая с беженцами и лицами, ищущими убежище, играет важную роль в осуществлении плана действий. Ее деятельность в связи с обрезанием у женщин включает усилия по активизации превентивных мер, ориентированных на группы риска, и по повышению знаний и делового опыта у соответствующих специалистов в области социального обеспечения, образования и полицейской работы. "Фарос" оказывает поддержку этим профессионалам в деле повышения их специальных знаний в этой области и намерена и дальше укреплять собственную группу экспертов и сеть. Вследствие этого "Фарос" будет действовать как вспомогательный центр для организаций, занимающихся вопросами предупреждения калечащих операций на половых органах женщин ("координационный центр").</w:t>
      </w:r>
    </w:p>
    <w:p w:rsidR="00000000" w:rsidRDefault="00000000">
      <w:pPr>
        <w:rPr>
          <w:i/>
        </w:rPr>
      </w:pPr>
      <w:r>
        <w:rPr>
          <w:i/>
        </w:rPr>
        <w:t>Политика в отношении иностранцев</w:t>
      </w:r>
    </w:p>
    <w:p w:rsidR="00000000" w:rsidRDefault="00000000">
      <w:r>
        <w:t>Во временном дополнении к руководящим принципам применения Закона об иностранцах (TBV</w:t>
      </w:r>
      <w:r>
        <w:rPr>
          <w:lang w:val="ru-RU"/>
        </w:rPr>
        <w:t> </w:t>
      </w:r>
      <w:r>
        <w:t>2003/48) изложена политика в отношении калечащих операций на половых органах женщин. Если девочке грозит проведение такой операции в ее стране происхождения, ей и членам ее семьи может быть предоставлен вид на жительство при условии соблюдения соответствующих требований.</w:t>
      </w:r>
    </w:p>
    <w:p w:rsidR="00000000" w:rsidRDefault="00000000">
      <w:pPr>
        <w:pStyle w:val="Subtitle"/>
      </w:pPr>
      <w:r>
        <w:t xml:space="preserve">iii. </w:t>
      </w:r>
      <w:r>
        <w:rPr>
          <w:lang w:val="ru-RU"/>
        </w:rPr>
        <w:tab/>
      </w:r>
      <w:r>
        <w:t>Преступления в защиту чести</w:t>
      </w:r>
    </w:p>
    <w:p w:rsidR="00000000" w:rsidRDefault="00000000">
      <w:pPr>
        <w:rPr>
          <w:lang w:val="ru-RU"/>
        </w:rPr>
      </w:pPr>
      <w:r>
        <w:t>В Нидерландах имеют место преступления в защиту чести, хотя данные об их количеств</w:t>
      </w:r>
      <w:r>
        <w:rPr>
          <w:lang w:val="ru-RU"/>
        </w:rPr>
        <w:t>е</w:t>
      </w:r>
      <w:r>
        <w:t xml:space="preserve"> отсутствуют. Преступления в защиту чести конкретно не определены в Уголовном кодексе, их мотивы не упоминаются в статистике убийств, которая хранится в полиции и Государственной прокуратуре</w:t>
      </w:r>
      <w:r>
        <w:rPr>
          <w:lang w:val="ru-RU"/>
        </w:rPr>
        <w:t>.</w:t>
      </w:r>
    </w:p>
    <w:p w:rsidR="00000000" w:rsidRDefault="00000000">
      <w:r>
        <w:t>Министр юстиции и министр по делам иммиграции и интеграции в настоящее время работают над формулированием политики, которая обеспечит более глубокое понимание характера и размаха преступлений в защиту чести и насилия, связанного с защитой чести, в Нидерландах, а также разрабатывают подход к решению этой проблемы.</w:t>
      </w:r>
    </w:p>
    <w:p w:rsidR="00000000" w:rsidRDefault="00000000">
      <w:r>
        <w:t>Правительство также поддерживает инициативы с целью преодоления практики замалчивания в отношении подобных преступлений. Осенью 2003 года министр</w:t>
      </w:r>
      <w:r>
        <w:rPr>
          <w:lang w:val="ru-RU"/>
        </w:rPr>
        <w:t> </w:t>
      </w:r>
      <w:r>
        <w:t>–</w:t>
      </w:r>
      <w:r>
        <w:rPr>
          <w:lang w:val="ru-RU"/>
        </w:rPr>
        <w:t> </w:t>
      </w:r>
      <w:r>
        <w:t xml:space="preserve">координатор политики </w:t>
      </w:r>
      <w:r>
        <w:rPr>
          <w:lang w:val="ru-RU"/>
        </w:rPr>
        <w:t xml:space="preserve">в области </w:t>
      </w:r>
      <w:r>
        <w:t>эмансипации и министр по делам иммиграции и интеграции представили Палате представителей план, содержащий меры по охране прав женщин и девочек из этнических меньшинств и по обеспечению их интеграции. Некоторые из этих мер направлены на повышение знаний о правах и мерах безопасности в целевой группе. Это стимулирует дебаты по таким деликатным вопросам, как преступления в защиту чести.</w:t>
      </w:r>
    </w:p>
    <w:p w:rsidR="00000000" w:rsidRDefault="00000000">
      <w:r>
        <w:t xml:space="preserve">Нидерландские неправительственные организации, поддерживаемые среди прочих правительством Нидерландов, Европейским союзом и частными фондами, разработали инициативные предложения и материалы с целью содействия в повышении осведомленности в отношении насилия в семье и преступлений в защиту чести. Например, Турецкая общественная консультативная ассоциация опубликовала справочник (2002 год), который помогает социальным работникам выявлять случаи насилия, связанного с защитой чести, и сообщать о таких случаях. В 2003 году "Трансэкт", национальный исследовательский центр, который занимается вопросами сексуального насилия и является частью международной программы, получающей поддержку от Европейской комиссии, провел черновой обзор распространенности преступлений в защиту чести в Нидерландах. </w:t>
      </w:r>
    </w:p>
    <w:p w:rsidR="00000000" w:rsidRDefault="00000000">
      <w:pPr>
        <w:pStyle w:val="Subtitle"/>
      </w:pPr>
      <w:r>
        <w:t xml:space="preserve">iv. </w:t>
      </w:r>
      <w:r>
        <w:rPr>
          <w:lang w:val="ru-RU"/>
        </w:rPr>
        <w:tab/>
      </w:r>
      <w:r>
        <w:t>Политика по борьбе с сексуальными домогательствами</w:t>
      </w:r>
    </w:p>
    <w:p w:rsidR="00000000" w:rsidRDefault="00000000">
      <w:pPr>
        <w:rPr>
          <w:i/>
        </w:rPr>
      </w:pPr>
      <w:r>
        <w:rPr>
          <w:i/>
        </w:rPr>
        <w:t>Занятость</w:t>
      </w:r>
    </w:p>
    <w:p w:rsidR="00000000" w:rsidRDefault="00000000">
      <w:r>
        <w:t>В 2000 году была проведена оценка Закона об условиях труда в отношении сексуальных домогательств, агрессивного поведения, насилия и запугивания на рабочем месте</w:t>
      </w:r>
      <w:r>
        <w:rPr>
          <w:rStyle w:val="FootnoteReference"/>
          <w:sz w:val="22"/>
        </w:rPr>
        <w:footnoteReference w:id="27"/>
      </w:r>
      <w:r>
        <w:t>. Эта оценка показала, что в крупных организациях нередко имеется сотрудник по вопросам сексуальных домогательств, а также разработана процедура подачи жалоб. Это гораздо труднее осуществить в мелких и средних организациях, поскольку затраты сравнительно вы</w:t>
      </w:r>
      <w:r>
        <w:rPr>
          <w:lang w:val="ru-RU"/>
        </w:rPr>
        <w:t>соки</w:t>
      </w:r>
      <w:r>
        <w:t xml:space="preserve">. В дополнение к результатам оценки был подготовлен новый информационный материал относительно улучшения общественного поведения на работе, который станет подспорьем в этой области для работодателей, трудящихся, а также производственно-санитарных служб и служб техники безопасности. На последние возложена задача по предотвращению трудовых потерь в результате угрозы здоровью и безопасности, реинтеграции работников, а также лечения и последующего наблюдения в случаях сексуальных домогательств и агрессивного поведения. Разработанные в результате инициативы будут достойны поддержки. </w:t>
      </w:r>
    </w:p>
    <w:p w:rsidR="00000000" w:rsidRDefault="00000000">
      <w:r>
        <w:t>В дополнение к опубликованному в марте 2000 года аналитическому докладу по вопросу сексуальных домогательств в 2004 году была проведена вторая оценка в отношении функционирования и эффективности существующего законодательства в области сексуальных домогательств на рабочем месте. В этой оценке вопросы сексуальных домогательств и агрессивного поведения были дополнены проблемой запугивания и дискриминации.</w:t>
      </w:r>
    </w:p>
    <w:p w:rsidR="00000000" w:rsidRDefault="00000000">
      <w:r>
        <w:t>В 2004 году было проведено расследование относительно того, в какой степени процедуры подачи жалоб, установленные для отдельных работников, включены в коллективные трудовые соглашения (КТС), каков характер этих процедур и каких процедур должны придерживаться подающие жалобы</w:t>
      </w:r>
      <w:r>
        <w:rPr>
          <w:rStyle w:val="FootnoteReference"/>
          <w:sz w:val="22"/>
        </w:rPr>
        <w:footnoteReference w:id="28"/>
      </w:r>
      <w:r>
        <w:t>. Расследование основывалось на КТС 111 различных компаний и отраслей промышленности. Эти КТС охватывают 72 процента всех наемных работников, которые подпадают под действие соглашения. Расследование показало, что 89 из 111 КТС (80 процентов) включают процедуры подачи жалоб для отдельных работников. В некоторых КТС имеется несколько процедур подачи жалоб; в 89 КТС нашлось в общей сложности 162 процедуры. Из 4,3</w:t>
      </w:r>
      <w:r>
        <w:rPr>
          <w:lang w:val="ru-RU"/>
        </w:rPr>
        <w:t> </w:t>
      </w:r>
      <w:r>
        <w:t>млн. работников, которые подпадают под действие КТС, 3,6 млн. (83 процента) могут воспользоваться процедурой подачи жалобы.</w:t>
      </w:r>
    </w:p>
    <w:p w:rsidR="00000000" w:rsidRDefault="00000000">
      <w:r>
        <w:t>В 73 процента</w:t>
      </w:r>
      <w:r>
        <w:rPr>
          <w:lang w:val="ru-RU"/>
        </w:rPr>
        <w:t>х</w:t>
      </w:r>
      <w:r>
        <w:t xml:space="preserve"> случаев процедура подачи жалоб связана с трудовым договором, например с классификацией основных ставок заработной платы, оценкой профессионального уровня трудящегося или просьбой об изменении часов работы. В 20 процентах случаев жалобы касаются поведения и его восприятия, например агрессивност</w:t>
      </w:r>
      <w:r>
        <w:rPr>
          <w:lang w:val="ru-RU"/>
        </w:rPr>
        <w:t>и</w:t>
      </w:r>
      <w:r>
        <w:t>, сексуальны</w:t>
      </w:r>
      <w:r>
        <w:rPr>
          <w:lang w:val="ru-RU"/>
        </w:rPr>
        <w:t>х</w:t>
      </w:r>
      <w:r>
        <w:t xml:space="preserve"> домогательств или возражени</w:t>
      </w:r>
      <w:r>
        <w:rPr>
          <w:lang w:val="ru-RU"/>
        </w:rPr>
        <w:t>й</w:t>
      </w:r>
      <w:r>
        <w:t xml:space="preserve"> этического характера, не позволяющи</w:t>
      </w:r>
      <w:r>
        <w:rPr>
          <w:lang w:val="ru-RU"/>
        </w:rPr>
        <w:t>х</w:t>
      </w:r>
      <w:r>
        <w:t xml:space="preserve"> выполнять определенные задания. В 7 процентах случаев жалобы относятся к вопросам, связанным с болезнью, например касаются оценки врачом компании из-за отсутствия сотрудника на работе по болезни. </w:t>
      </w:r>
    </w:p>
    <w:p w:rsidR="00000000" w:rsidRDefault="00000000">
      <w:r>
        <w:t xml:space="preserve">В дополнение к формулированию двух европейских директив в области эмансипации парламенту было представлено законодательное предложение включить принцип запрещения сексуальных домогательств в Закон о равном обращении. Это предложение вступило в силу 1 апреля 2004 года. </w:t>
      </w:r>
    </w:p>
    <w:p w:rsidR="00000000" w:rsidRDefault="00000000">
      <w:pPr>
        <w:rPr>
          <w:i/>
        </w:rPr>
      </w:pPr>
      <w:r>
        <w:rPr>
          <w:i/>
        </w:rPr>
        <w:t>Образование</w:t>
      </w:r>
    </w:p>
    <w:p w:rsidR="00000000" w:rsidRDefault="00000000">
      <w:r>
        <w:t xml:space="preserve">1 июля 1999 года вступил в силу Закон о сексуальном насилии и сексуальных домогательствах в системе образования. Этот </w:t>
      </w:r>
      <w:r>
        <w:rPr>
          <w:lang w:val="ru-RU"/>
        </w:rPr>
        <w:t>з</w:t>
      </w:r>
      <w:r>
        <w:t xml:space="preserve">акон касается видов сексуальных домогательств и насилия, которые являются уголовными преступлениями. Преподаватели, ассистенты преподавателей и директора учебных заведений обязаны представлять сообщения о предполагаемых случаях сексуального насилия и домогательств, как и компетентные власти, </w:t>
      </w:r>
      <w:r>
        <w:rPr>
          <w:lang w:val="ru-RU"/>
        </w:rPr>
        <w:t xml:space="preserve">если </w:t>
      </w:r>
      <w:r>
        <w:t>имеется достаточно оснований для подозрения. Проект по предупреждению сексуальных домогательств (ППСД) связан с обеспечением соответствующей информации. Уже в 2000 году в рамках проекта был организован ряд конференций, на которых участвующие в нем учебные заведения были информированы об изменениях в законодательстве. В информации, предоставленной родителям, лицам, осуществляющим уход за детьми, и учащимся средних учебных заведений</w:t>
      </w:r>
      <w:r>
        <w:rPr>
          <w:lang w:val="ru-RU"/>
        </w:rPr>
        <w:t>,</w:t>
      </w:r>
      <w:r>
        <w:t xml:space="preserve"> говорится, что школы должны выработать план обеспечения безопасности, в котором намечены меры борьбы с сексуальными домогательствами. Школы также обязаны сообщать о подозреваемых случаях сексуального насилия. Помимо предоставления информации и консультативной помощи ППСД сосредоточивает внимание на повышении уровня специальных знаний конфиденциальных советников. </w:t>
      </w:r>
    </w:p>
    <w:p w:rsidR="00000000" w:rsidRDefault="00000000">
      <w:r>
        <w:t>Выработка методики обеспечения полового воспитания – это прямая ответственность ка</w:t>
      </w:r>
      <w:r>
        <w:rPr>
          <w:lang w:val="ru-RU"/>
        </w:rPr>
        <w:t>ж</w:t>
      </w:r>
      <w:r>
        <w:t>дой отдельной школы. В соответствии с целью обретения автономии школы сами могут определять место полового воспитания в школьной программе. Министерство образования, науки и культуры не может и не будет определять в обязательном порядке содержание и структуру такого обучения. Например</w:t>
      </w:r>
      <w:r>
        <w:rPr>
          <w:lang w:val="ru-RU"/>
        </w:rPr>
        <w:t>,</w:t>
      </w:r>
      <w:r>
        <w:t xml:space="preserve"> в своих программах полового воспитания школы могут сосредоточиться на вопросах установления отношений между мужчинами и женщинами. Министерство образования, науки и культуры, однако, проводит всеобъемлющую политику по предупреждению сексуальных домогательств и сексуального насилия. Почти все начальные и средние школы связаны с Сетью знаний ("Кennisnet"), где можно получить информацию о сексуальных домогательствах.</w:t>
      </w:r>
    </w:p>
    <w:p w:rsidR="00000000" w:rsidRDefault="00000000">
      <w:pPr>
        <w:rPr>
          <w:i/>
          <w:lang w:val="ru-RU"/>
        </w:rPr>
      </w:pPr>
      <w:r>
        <w:rPr>
          <w:i/>
          <w:lang w:val="ru-RU"/>
        </w:rPr>
        <w:t>Услуги по уходу</w:t>
      </w:r>
    </w:p>
    <w:p w:rsidR="00000000" w:rsidRDefault="00000000">
      <w:r>
        <w:t>Предупреждение сексуальных домогательств в области здравоохранения – это вопрос для соответствующих организаций. Много</w:t>
      </w:r>
      <w:r>
        <w:rPr>
          <w:lang w:val="ru-RU"/>
        </w:rPr>
        <w:t>е</w:t>
      </w:r>
      <w:r>
        <w:t xml:space="preserve"> уже было достигнуто в плане предупреждения таких домогательств. Тема стала более открытой для обсуждения, стало возможно установить служебные пределы и точки отсчета. Каждая единица, обеспечивающая медицинское обслуживание, являясь независимой или частью учреждения, должна быть охвачена официальной системой рассмотрения жалоб. Эт</w:t>
      </w:r>
      <w:r>
        <w:rPr>
          <w:lang w:val="ru-RU"/>
        </w:rPr>
        <w:t>о</w:t>
      </w:r>
      <w:r>
        <w:t xml:space="preserve"> обязательное условие зафиксировано в Законе о праве клиента подавать жалобу (раздел об оказании услуг). Оценка 1999 года показала, что почти во всех учреждениях имеется процедура подачи жалоб. Труднее установить, есть ли такая процедура у независимых медицинских работников. Вышеупомянутый </w:t>
      </w:r>
      <w:r>
        <w:rPr>
          <w:lang w:val="ru-RU"/>
        </w:rPr>
        <w:t>з</w:t>
      </w:r>
      <w:r>
        <w:t>акон дает возможность клиентам подавать жалобы по широкому кругу вопросов.</w:t>
      </w:r>
    </w:p>
    <w:p w:rsidR="00000000" w:rsidRDefault="00000000">
      <w:pPr>
        <w:rPr>
          <w:i/>
        </w:rPr>
      </w:pPr>
      <w:r>
        <w:rPr>
          <w:i/>
        </w:rPr>
        <w:t>Полиция</w:t>
      </w:r>
    </w:p>
    <w:p w:rsidR="00000000" w:rsidRDefault="00000000">
      <w:r>
        <w:t>Предупреждение сексуальных домогательств в рамках полицейской службы долгое время было приоритетной задачей. Исследование, проведенное недавно Инспекторатом труда, показывает, что</w:t>
      </w:r>
      <w:r>
        <w:rPr>
          <w:lang w:val="ru-RU"/>
        </w:rPr>
        <w:t>,</w:t>
      </w:r>
      <w:r>
        <w:t xml:space="preserve"> несмотря на усилия полиции предотвратить сексуальные домогательства, в рамках полицейской службы все еще бытуют порядки, позволяющие мужчинам поступать оскорбительным образом в отношении своих коллег-женщин. Положение о здоровье и безопасности от августа 2001 года содержит перечень действий, необходимых для предупреждения такого поведения</w:t>
      </w:r>
      <w:r>
        <w:rPr>
          <w:rStyle w:val="FootnoteReference"/>
          <w:sz w:val="22"/>
        </w:rPr>
        <w:footnoteReference w:id="29"/>
      </w:r>
      <w:r>
        <w:t>.</w:t>
      </w:r>
    </w:p>
    <w:p w:rsidR="00000000" w:rsidRDefault="00000000">
      <w:pPr>
        <w:pStyle w:val="Subtitle"/>
      </w:pPr>
      <w:r>
        <w:t>v.</w:t>
      </w:r>
      <w:r>
        <w:rPr>
          <w:lang w:val="ru-RU"/>
        </w:rPr>
        <w:tab/>
      </w:r>
      <w:r>
        <w:t>Убежища для женщин</w:t>
      </w:r>
    </w:p>
    <w:p w:rsidR="00000000" w:rsidRDefault="00000000">
      <w:r>
        <w:t>Ответственность за предоставление убежища для жертв насилия в семье или сексуального насилия лежит на местных органах власти. Декрет о специальных субсидиях, приютах для бездомных, убежищах для женщин и политике по борьбе с наркоманией и алкоголизмом возлагает на 35</w:t>
      </w:r>
      <w:r>
        <w:rPr>
          <w:lang w:val="ru-RU"/>
        </w:rPr>
        <w:t> </w:t>
      </w:r>
      <w:r>
        <w:t xml:space="preserve">муниципалитетов обязанность по временному предоставлению приюта и </w:t>
      </w:r>
      <w:r>
        <w:rPr>
          <w:lang w:val="ru-RU"/>
        </w:rPr>
        <w:t xml:space="preserve">оказанию </w:t>
      </w:r>
      <w:r>
        <w:t>поддержки женщинам, добровольно или в принудительном порядке остави</w:t>
      </w:r>
      <w:r>
        <w:rPr>
          <w:lang w:val="ru-RU"/>
        </w:rPr>
        <w:t>вшим</w:t>
      </w:r>
      <w:r>
        <w:t xml:space="preserve"> свои дома по причине проблем во взаимоотношениях или насилия. Насилие в семье является основным критерием для </w:t>
      </w:r>
      <w:r>
        <w:rPr>
          <w:lang w:val="ru-RU"/>
        </w:rPr>
        <w:t xml:space="preserve">оказания </w:t>
      </w:r>
      <w:r>
        <w:t xml:space="preserve">такой помощи или </w:t>
      </w:r>
      <w:r>
        <w:rPr>
          <w:lang w:val="ru-RU"/>
        </w:rPr>
        <w:t xml:space="preserve">предоставления </w:t>
      </w:r>
      <w:r>
        <w:t>приюта. В 2004 году эти муниципалитеты получат от правительства 45,9 млн. евро для финансирования убежищ для женщин. С целью расширения их возможностей было зарезервировано 4 млн. евро, подлежащи</w:t>
      </w:r>
      <w:r>
        <w:rPr>
          <w:lang w:val="ru-RU"/>
        </w:rPr>
        <w:t>х</w:t>
      </w:r>
      <w:r>
        <w:t xml:space="preserve"> выплате возрастающими суммами до 2007 года. От этого выиграют в основном женщины, подвергающиеся реальному риску (например, жертвы преступлений в защиту чести или торговли), и их дети. Убежища для женщин образуют местную или региональную часть в сети обслуживания и мероприятий, направленных на предупреждение насилия в семье и борьбу с ним. В</w:t>
      </w:r>
      <w:r>
        <w:rPr>
          <w:lang w:val="ru-RU"/>
        </w:rPr>
        <w:t>о</w:t>
      </w:r>
      <w:r>
        <w:t xml:space="preserve"> </w:t>
      </w:r>
      <w:r>
        <w:rPr>
          <w:lang w:val="ru-RU"/>
        </w:rPr>
        <w:t>все</w:t>
      </w:r>
      <w:r>
        <w:t>возрастающей степени эти убежища работают совместно с полицией, Государственной прокуратурой, отделением судебной психиатрии и другими организациями по оказанию помощи. Проведенное в 2002 году Институтом Тримбоса исследование показало, что доступ в убежища весьма проблематичен. В результате изучается возможность для более эффективной организации доступа женщин в такие убежища, для чего требуются ясные и точно выраженные критерии. Формулирование таких критериев должно осуществляться в рамках самого сектора оказания подобной помощи. Центры информирования о случаях насилия в семье, которые сообщают об имеющихся в убежищах местах, еще не функционируют в полной мере. Будут проводиться дальнейшие исследования спроса и предложения в отношении убежищ для женщин. Кроме того, различные организации, такие как ФИОМ (Нидерландская федерация центров для незамужних матерей и их детей), "Трансэкт" и учреждения по общесоциальной работе</w:t>
      </w:r>
      <w:r>
        <w:rPr>
          <w:lang w:val="ru-RU"/>
        </w:rPr>
        <w:t>,</w:t>
      </w:r>
      <w:r>
        <w:t xml:space="preserve"> проявляют активность в области исследования вопросов сексуального насилия и оказания соответствующей помощи. За последние годы ФИОМ предоставил помощь жертвам инцеста, изнасилования и сексуального нападения, а также матерям детей, ставших жертвами инцеста, и партнерам пострадавших. Поскольку этот вид поддержки не относится к основной деятельности ФИОМ, организация перепоручает эти специальные мероприятия соответствующим учреждениям, включая организации общесоциального профиля. </w:t>
      </w:r>
    </w:p>
    <w:p w:rsidR="00000000" w:rsidRDefault="00000000">
      <w:pPr>
        <w:pStyle w:val="Subtitle"/>
      </w:pPr>
      <w:r>
        <w:t xml:space="preserve">vi. </w:t>
      </w:r>
      <w:r>
        <w:rPr>
          <w:lang w:val="ru-RU"/>
        </w:rPr>
        <w:tab/>
      </w:r>
      <w:r>
        <w:t>Общественная безопасность</w:t>
      </w:r>
    </w:p>
    <w:p w:rsidR="00000000" w:rsidRDefault="00000000">
      <w:r>
        <w:t>Наличие общественной безопасности и доступность средств ее обеспечения имеют важное значение в справедливом обществе с равными возможностями. Проектируя дома и создавая общественные места, органы власти должны обязательно учитывать фактическую и предполагаемую безопасность женщин. Это означает, например, сокращение числа небезопасных участков, установку в домах противовзломных систем, обеспечение соответствующего освещения улиц, недопущение деградации территорий и гарантирование наличия и доступности объектов сферы обслуживания и обеспечения продовольствием. Все эти факторы должны быть включены в политику жилищного строительства и планирования землепользования.</w:t>
      </w:r>
    </w:p>
    <w:p w:rsidR="00000000" w:rsidRDefault="00000000">
      <w:r>
        <w:t>Поэтому для пятого программного документа по проблемам национального пространственного планирования (2001 год) и программного документа под названием "Что нужно людям, где живут люди – образ жизни в XXI веке" (2000 год) была подготовлена оценка с учетом гендерного фактора. В контексте бюджета инвестиций в модернизацию городов были заключены соглашения с рядом крупных городов, в которых правительство и муниципалитеты определили, что для них значит безопасная среда обитания.</w:t>
      </w:r>
    </w:p>
    <w:p w:rsidR="00000000" w:rsidRDefault="00000000">
      <w:pPr>
        <w:pStyle w:val="Subtitle"/>
      </w:pPr>
      <w:r>
        <w:t xml:space="preserve">vii. </w:t>
      </w:r>
      <w:r>
        <w:rPr>
          <w:lang w:val="ru-RU"/>
        </w:rPr>
        <w:tab/>
      </w:r>
      <w:r>
        <w:t>Национальный план действий по борьбе с сексуальным насилием в отношении детей</w:t>
      </w:r>
    </w:p>
    <w:p w:rsidR="00000000" w:rsidRDefault="00000000">
      <w:r>
        <w:t>Национальный план действий по борьбе с сексуальным надругательством в отношении детей (НПДС), который был представлен Палате представителей в апреле 2000 года, увязал все виды деятельности, направленные на предупреждение такого надругательства</w:t>
      </w:r>
      <w:r>
        <w:rPr>
          <w:rStyle w:val="FootnoteReference"/>
          <w:sz w:val="22"/>
        </w:rPr>
        <w:footnoteReference w:id="30"/>
      </w:r>
      <w:r>
        <w:t xml:space="preserve">. Проектная группа, состоящая из представителей правительства и различных общественных организаций, оказывала помощь в осуществлении этого </w:t>
      </w:r>
      <w:r>
        <w:rPr>
          <w:lang w:val="ru-RU"/>
        </w:rPr>
        <w:t>п</w:t>
      </w:r>
      <w:r>
        <w:t>лана.</w:t>
      </w:r>
    </w:p>
    <w:p w:rsidR="00000000" w:rsidRDefault="00000000">
      <w:r>
        <w:t>Подход к проблеме сексуальных надругательств над детьми и насилия в отношении детей будет эффективным, только если станет возможным определить такое надругательство или насилие на ранней стадии, вмешаться и оказать надлежащую помощь пострадавшим. Полиция и Государственная прокуратура должны быть в состоянии действовать на основе обоснованного законодательства</w:t>
      </w:r>
      <w:r>
        <w:rPr>
          <w:lang w:val="ru-RU"/>
        </w:rPr>
        <w:t>,</w:t>
      </w:r>
      <w:r>
        <w:t xml:space="preserve"> и наконец, важно выработать эффективные методы исправления для лиц, совершивших преступление сексуального характера, за которыми также потребуется тщательный надзор по их возвращении в общество.</w:t>
      </w:r>
    </w:p>
    <w:p w:rsidR="00000000" w:rsidRDefault="00000000">
      <w:r>
        <w:t>На основе этого скоординированного подхода План действий устанавливает связь между мероприятиями различных министерств и организаций. Поэтому он охватывает как государственные меры, так и услуги, предоставляемые частными учреждениями и отдельными лицами в области предотвращения, помощи, наказаний и законодательства.</w:t>
      </w:r>
    </w:p>
    <w:p w:rsidR="00000000" w:rsidRDefault="00000000">
      <w:r>
        <w:t>НПДС обсуждался 15 мая 2000 года на встрече между соответствующим комитетом Палаты представителей и членами правительства. Палата представителей получила второй доклад о ходе работы в письме от 11 декабря 2001 года</w:t>
      </w:r>
      <w:r>
        <w:rPr>
          <w:rStyle w:val="FootnoteReference"/>
          <w:sz w:val="22"/>
        </w:rPr>
        <w:footnoteReference w:id="31"/>
      </w:r>
      <w:r>
        <w:t>. Проект НПДС был завершен в середине 2002 года окончательным докладом</w:t>
      </w:r>
      <w:r>
        <w:rPr>
          <w:rStyle w:val="FootnoteReference"/>
          <w:sz w:val="22"/>
        </w:rPr>
        <w:footnoteReference w:id="32"/>
      </w:r>
      <w:r>
        <w:t>.</w:t>
      </w:r>
    </w:p>
    <w:p w:rsidR="00000000" w:rsidRDefault="00000000">
      <w:pPr>
        <w:pStyle w:val="Subtitle"/>
      </w:pPr>
      <w:r>
        <w:t xml:space="preserve">viii. </w:t>
      </w:r>
      <w:r>
        <w:rPr>
          <w:lang w:val="ru-RU"/>
        </w:rPr>
        <w:tab/>
      </w:r>
      <w:r>
        <w:t xml:space="preserve">Детская порнография </w:t>
      </w:r>
    </w:p>
    <w:p w:rsidR="00000000" w:rsidRDefault="00000000">
      <w:r>
        <w:t>Важные изменения были внесены в уголовное законодательство, касающееся детской порнографии. Возрастное ограничение было поднято с 16 до 18 лет</w:t>
      </w:r>
      <w:r>
        <w:rPr>
          <w:lang w:val="ru-RU"/>
        </w:rPr>
        <w:t>.</w:t>
      </w:r>
      <w:r>
        <w:t xml:space="preserve"> 1 октября 2002 года виртуальная детская порнография также стала уголовным преступлением и было введено новое положение о таком правонарушении, как преднамеренное присутствие на порнографических представлениях, в которых участвуют несовершеннолетние дети. Кроме того, была распространена юрисдикция на случаи сексуального надругательства, имеющие место за пределами Нидерландов. Нидерландские граждане, которые совершают сексуальное надругательство в отношении детей в других странах, где эти акты не являются правонарушением, могут преследоваться в судебном порядке в Нидерландах. Иностранные граждане, которые имеют постоянный адрес или местожительство в Нидерландах</w:t>
      </w:r>
      <w:r>
        <w:rPr>
          <w:lang w:val="ru-RU"/>
        </w:rPr>
        <w:t>,</w:t>
      </w:r>
      <w:r>
        <w:t xml:space="preserve"> также могут привлекаться к судебной ответственности в этой стране за сексуальное надругательство в отношении детей, совершенное за пределами Нидерландов.</w:t>
      </w:r>
    </w:p>
    <w:p w:rsidR="00000000" w:rsidRDefault="00000000">
      <w:pPr>
        <w:pStyle w:val="Subtitle"/>
        <w:rPr>
          <w:sz w:val="23"/>
        </w:rPr>
      </w:pPr>
      <w:r>
        <w:rPr>
          <w:sz w:val="23"/>
        </w:rPr>
        <w:t xml:space="preserve">3. </w:t>
      </w:r>
      <w:r>
        <w:rPr>
          <w:sz w:val="23"/>
          <w:lang w:val="ru-RU"/>
        </w:rPr>
        <w:tab/>
      </w:r>
      <w:r>
        <w:rPr>
          <w:sz w:val="23"/>
        </w:rPr>
        <w:t>Эмансипация и интеграция</w:t>
      </w:r>
    </w:p>
    <w:p w:rsidR="00000000" w:rsidRDefault="00000000">
      <w:r>
        <w:t>В марте 2003 года парламенту был представлен Обзор государственной политики в отношении женщин и девушек из этнических меньшинств. Цель состояла в том, чтобы получить всеобъемлющее представление о проводимой политике в таких областях, как образование, занятость и экономическая независимость, сексуальная независимость и саморазвитие в отношении недостаточно образованных женщин из этнических меньшинств. Кроме того, были проведены дискуссии за "круглым столом" с женщинами из целевой группы. Министерства и члены целевой группы или представители организаций, которые работают с целевой группой и для нее, также участвовали в диалоге на рабочей конференции.</w:t>
      </w:r>
    </w:p>
    <w:p w:rsidR="00000000" w:rsidRDefault="00000000">
      <w:r>
        <w:t>28 октября 2003 года министр</w:t>
      </w:r>
      <w:r>
        <w:rPr>
          <w:lang w:val="ru-RU"/>
        </w:rPr>
        <w:t> </w:t>
      </w:r>
      <w:r>
        <w:t>–</w:t>
      </w:r>
      <w:r>
        <w:rPr>
          <w:lang w:val="ru-RU"/>
        </w:rPr>
        <w:t> </w:t>
      </w:r>
      <w:r>
        <w:t>координатор политики в области эмансипации вместе с министром по делам иммиграции и интеграции представил в парламент набросок плана действий в области эмансипации и интеграции. В этом плане министры указали, что центр внимания политики в области эмансипации должен сместиться с законодательства на стимулирование инициатив со стороны самих женщин и девушек. Для этого была начата национальная кампания, непосредственно направленная на целевую группу. Для реализации Плана действий в течение следующих трех</w:t>
      </w:r>
      <w:r>
        <w:rPr>
          <w:lang w:val="ru-RU"/>
        </w:rPr>
        <w:t xml:space="preserve"> лет</w:t>
      </w:r>
      <w:r>
        <w:t xml:space="preserve"> (2004–2006)</w:t>
      </w:r>
      <w:r>
        <w:rPr>
          <w:rStyle w:val="FootnoteReference"/>
          <w:sz w:val="22"/>
        </w:rPr>
        <w:footnoteReference w:id="33"/>
      </w:r>
      <w:r>
        <w:t xml:space="preserve"> резервируется свыше 5,5 млн. евро.</w:t>
      </w:r>
    </w:p>
    <w:p w:rsidR="00000000" w:rsidRDefault="00000000">
      <w:r>
        <w:t>Женщины и девушки из этнических меньшинств все еще отстают с точки зрения расширения прав и интеграции</w:t>
      </w:r>
      <w:r>
        <w:rPr>
          <w:rStyle w:val="FootnoteReference"/>
          <w:sz w:val="22"/>
        </w:rPr>
        <w:footnoteReference w:id="34"/>
      </w:r>
      <w:r>
        <w:t xml:space="preserve">. Нужны дополнительные усилия для их успешной интеграции в общество. В своих действиях правительство исходит из предположения, что целевая группа стремится активно участвовать в жизни общества и считает, что улучшение их нынешнего неблагоприятного положения </w:t>
      </w:r>
      <w:r>
        <w:rPr>
          <w:lang w:val="ru-RU"/>
        </w:rPr>
        <w:t xml:space="preserve">– </w:t>
      </w:r>
      <w:r>
        <w:t>в значительной степени их собственная обязанность. Как указывалось выше, правительство хотело бы сместить центр внимания с законодательства на стимулирование инициатив со стороны самой целевой группы. Где необходимо, будут конкретизированы определенные требования. В этом Плане действий указывается, как может быть повышена собственная ответственность целевой группы за качество и интеграцию и, где необходимо, поддержана центральным правительством.</w:t>
      </w:r>
    </w:p>
    <w:p w:rsidR="00000000" w:rsidRDefault="00000000">
      <w:pPr>
        <w:rPr>
          <w:lang w:val="ru-RU"/>
        </w:rPr>
      </w:pPr>
      <w:r>
        <w:t>1 сентября 2003 года был учрежден Комитет по участию женщин из групп этнических меньшинств (см. также статью 11/13). Цель этого независимого Комитета – поддержать муниципалитеты в проведени</w:t>
      </w:r>
      <w:r>
        <w:rPr>
          <w:lang w:val="ru-RU"/>
        </w:rPr>
        <w:t>и</w:t>
      </w:r>
      <w:r>
        <w:t xml:space="preserve"> кампаний по стимулированию участия женщин из этнических меньшинств во всех областях жизни нидерландского общества.</w:t>
      </w:r>
    </w:p>
    <w:p w:rsidR="00000000" w:rsidRDefault="00000000">
      <w:pPr>
        <w:spacing w:before="360"/>
        <w:rPr>
          <w:i/>
        </w:rPr>
      </w:pPr>
      <w:r>
        <w:rPr>
          <w:i/>
        </w:rPr>
        <w:t>Многообразие и участие: гендерные аспекты</w:t>
      </w:r>
    </w:p>
    <w:p w:rsidR="00000000" w:rsidRDefault="00000000">
      <w:r>
        <w:t>По инициативе Нидерландов, председательствовавших в Европейском союзе, 6 и 7 июля 2004 </w:t>
      </w:r>
      <w:r>
        <w:rPr>
          <w:lang w:val="ru-RU"/>
        </w:rPr>
        <w:t>г</w:t>
      </w:r>
      <w:r>
        <w:t xml:space="preserve">ода в Роттердаме была проведена конференция под названием "Многообразие и участие: гендерные аспекты". На конференции присутствовали министры, ответственные за гендерное равенство и политику интеграции в 25 государствах – членах ЕС, а также имеющие отношение к данным вопросам представители Европейской комиссии. Это дало им возможность обсудить достигнутый прогресс и обменяться знаниями, опытом, новаторскими подходами и наилучшей практикой в области включения гендерной проблематики в основные направления деятельности и обеспечения равноправия мужчин и женщин в сфере занятости и социальной политики. Они также обсудили вопрос о правах человека в рамках политики интеграции, принимая во внимание широкое разнообразие условий и ситуаций, в которых находятся женщины, и признавая, что многие женщины сталкиваются со значительными препятствиями на пути реализации своих прав. Будет начато исследование для выработки общей программы действий с целью предупреждения и искоренения обычаев либо традиционной практики, пагубных для здоровья женщин и девушек (2006–2010 годы). Цель – разработать общие стратегии, обменяться опытом проведения конкретных мероприятий и стимулировать взаимодействие экспертов и осуществление исследований, проясняющих соответствующие факты. </w:t>
      </w:r>
    </w:p>
    <w:p w:rsidR="00000000" w:rsidRDefault="00000000">
      <w:pPr>
        <w:pStyle w:val="Subtitle"/>
        <w:rPr>
          <w:sz w:val="23"/>
        </w:rPr>
      </w:pPr>
      <w:r>
        <w:rPr>
          <w:sz w:val="23"/>
        </w:rPr>
        <w:t xml:space="preserve">4. </w:t>
      </w:r>
      <w:r>
        <w:rPr>
          <w:sz w:val="23"/>
          <w:lang w:val="ru-RU"/>
        </w:rPr>
        <w:tab/>
      </w:r>
      <w:r>
        <w:rPr>
          <w:sz w:val="23"/>
        </w:rPr>
        <w:t>Международная деятельность</w:t>
      </w:r>
    </w:p>
    <w:p w:rsidR="00000000" w:rsidRDefault="00000000">
      <w:r>
        <w:t>В 2000 и 2002 годах Нидерланды успешно представили на рассмотрение Генеральной Ассамблеи Организации Объединенных Наций резолюции по борьбе с преступлениями в защиту чести. В 2001 году в четвертый раз они внесли проект резолюции о борьбе против калечащих операций на половых органах женщин. На Генеральной Ассамблее Организации Объединенных Наций 2003</w:t>
      </w:r>
      <w:r>
        <w:rPr>
          <w:lang w:val="ru-RU"/>
        </w:rPr>
        <w:t> </w:t>
      </w:r>
      <w:r>
        <w:t>года Нидерланды выступили с инициативой принять всеобъемлющую резолюцию о насилии в отношении женщин. Когда достижение консенсуса оказалось невозможным, Нидерланды представили резолюцию о насилии в семье и резолюцию относительно всестороннего исследования всех форм и проявлений насилия в отношении женщин, как это определено в Пекинской декларации и Платформе действий, а также в итоговом документе двадцать третьей специальной сессии (А/58/185). Эти резолюции были приняты. Нидерланды через Министерство иностранных дел и с помощью усилий по сотрудничеству в целях развития поддерживают различные проекты и программы, касающиеся насилия и помощи жертвам насилия. Такая поддержка обычно включает просвещение людей относительно их прав, правовую помощь и профессионально-техническое образование с целью повышения независимости женщин, кампании в средствах массовой информации и изменения в законодательстве. Примерами может служить содействие центрам, принимающим женщин и детей – жертв насилия в семье, центрам обучения в области их законных прав, а также исследования и издания по вопросам насилия в отношении женщин и соответствующего законодательства. Местные средства массовой информации привлекаются к тесному сотрудничеству в таких проектах, а это означает, что могут быть охвачены более широкие слои населения.</w:t>
      </w:r>
    </w:p>
    <w:p w:rsidR="00000000" w:rsidRDefault="00000000">
      <w:r>
        <w:t>Нидерланды по-прежнему ведут активную борьбу в международном масштабе против калечащих операций на половых органах женщин. Эта деятельность включает мероприятия на международных форумах и помощь на цели развития. Несколько лет подряд Нидерланды вносили на рассмотрение Генеральной Ассамблеи Организации Объединенных Наций резолюцию, направленную против такой традиционной практики</w:t>
      </w:r>
      <w:r>
        <w:rPr>
          <w:lang w:val="ru-RU"/>
        </w:rPr>
        <w:t>,</w:t>
      </w:r>
      <w:r>
        <w:t xml:space="preserve"> вредной для здоровья женщин и девочек, как калечащие операции на половых органах. Постоянно обновляемая резолюция была представлена в 2001 году от имени 126 стран. Кроме того, Нидерланды всегда решительно поддерживали включение положения об охране репродуктивного здоровья и правах на него в соответствующие международные документы. </w:t>
      </w:r>
      <w:r>
        <w:rPr>
          <w:lang w:val="ru-RU"/>
        </w:rPr>
        <w:t>В</w:t>
      </w:r>
      <w:r>
        <w:t xml:space="preserve">се </w:t>
      </w:r>
      <w:r>
        <w:rPr>
          <w:lang w:val="ru-RU"/>
        </w:rPr>
        <w:t>э</w:t>
      </w:r>
      <w:r>
        <w:t>ти усилия являются частью попытки расширить поддержку таким вопросам, как физическая целостность и запрещение нанесения увечий половым органам женщин.</w:t>
      </w:r>
    </w:p>
    <w:p w:rsidR="00000000" w:rsidRDefault="00000000">
      <w:r>
        <w:t xml:space="preserve">В области помощи в целях развития Нидерланды поддерживают неправительственные организации (НПО), действующие в международном масштабе, и специальные учреждения системы Организации Объединенных Наций (ЮНФПА и ЮНИСЕФ). Калечащие операции на половых органах женщин – это вопрос, который регулярно поднимается во время дискуссий со странами, где такая практика имеет место. Различные посольства, особенно в Африке, поддерживают специальные государственные программы по борьбе с этой практикой. </w:t>
      </w:r>
    </w:p>
    <w:p w:rsidR="00000000" w:rsidRDefault="00000000">
      <w:r>
        <w:t>Через свои дипломатические миссии Нидерланды часто в сотрудничестве с другими странами-донорами и учреждениями системы Организации Объединенных Наций поддерживают различные проекты в развивающихся странах по искоренению преступлений в защиту чести. Принятие в 2002</w:t>
      </w:r>
      <w:r>
        <w:rPr>
          <w:lang w:val="ru-RU"/>
        </w:rPr>
        <w:t xml:space="preserve"> году </w:t>
      </w:r>
      <w:r>
        <w:t>резолюции 57/179 году показывает, что Нидерланды особенно активны в области борьбы с преступлениями в защиту чести в контексте Организации Объединенных Наций.</w:t>
      </w:r>
    </w:p>
    <w:p w:rsidR="00000000" w:rsidRDefault="00000000">
      <w:pPr>
        <w:pStyle w:val="Subtitle"/>
        <w:spacing w:before="240"/>
      </w:pPr>
      <w:r>
        <w:t>Женщины и конфликты</w:t>
      </w:r>
    </w:p>
    <w:p w:rsidR="00000000" w:rsidRDefault="00000000">
      <w:r>
        <w:t>Четвертая Всемирная конференция Организации Объединенных Наций по положению женщин в 1995 году внесла вопрос "Женщины и вооруженный конфликт" в международную повестку дня. Совет Безопасности Организации Объединенных Наций 31 октября 2000 года принял резолюцию (1325) относительно женщин в ситуациях вооруженных конфликтов. После Пекинской встречи Совет Европы опубликовал доклад об учете гендерной проблематики и различные исследования вопроса о женщинах – жертвах вооруженного конфликта. В декабре 2000 года Европейский парламент принял резолюцию о роли женщин в мирном урегулировании конфликтов (2000/2025</w:t>
      </w:r>
      <w:r>
        <w:rPr>
          <w:lang w:val="ru-RU"/>
        </w:rPr>
        <w:t>,</w:t>
      </w:r>
      <w:r>
        <w:t xml:space="preserve"> INI).</w:t>
      </w:r>
    </w:p>
    <w:p w:rsidR="00000000" w:rsidRDefault="00000000">
      <w:pPr>
        <w:jc w:val="left"/>
        <w:rPr>
          <w:i/>
        </w:rPr>
      </w:pPr>
      <w:r>
        <w:rPr>
          <w:i/>
        </w:rPr>
        <w:t xml:space="preserve">Роль женщин в предотвращении конфликтов, их урегулировании и постконфликтном восстановлении </w:t>
      </w:r>
    </w:p>
    <w:p w:rsidR="00000000" w:rsidRDefault="00000000">
      <w:r>
        <w:t>По просьбе Департамента по координации политики в области эмансипации Нидерландским институтом международных отношений в Клингендейл</w:t>
      </w:r>
      <w:r>
        <w:rPr>
          <w:lang w:val="ru-RU"/>
        </w:rPr>
        <w:t>е</w:t>
      </w:r>
      <w:r>
        <w:t xml:space="preserve"> было проведено исследование на тему о роли женщин в предотвращении конфликтов, их урегулировании и постконфликтном восстановлении</w:t>
      </w:r>
      <w:r>
        <w:rPr>
          <w:rStyle w:val="FootnoteReference"/>
          <w:sz w:val="22"/>
        </w:rPr>
        <w:footnoteReference w:customMarkFollows="1" w:id="35"/>
        <w:t>34</w:t>
      </w:r>
      <w:r>
        <w:t xml:space="preserve">. Институт должен был сформулировать заключения и рекомендации в связи с участием Нидерландов в международных миссиях. 5 июля 2002 года доклад был направлен в парламент. В сопроводительном письме объявлялось об учреждении Целевой группы по вопросу участия женщин в поддержании мира и в вооруженном конфликте. </w:t>
      </w:r>
    </w:p>
    <w:p w:rsidR="00000000" w:rsidRDefault="00000000">
      <w:pPr>
        <w:rPr>
          <w:i/>
        </w:rPr>
      </w:pPr>
      <w:r>
        <w:rPr>
          <w:i/>
        </w:rPr>
        <w:t>Руководящий комитет Совета Европы планирует миротворческую роль для женщин</w:t>
      </w:r>
    </w:p>
    <w:p w:rsidR="00000000" w:rsidRDefault="00000000">
      <w:r>
        <w:t>В 2002 году Нидерланды председательствовали в Руководящем комитете по вопросам равенства женщин и мужчин, который подготовил конференцию министров, состоявшуюся в январе 2003</w:t>
      </w:r>
      <w:r>
        <w:rPr>
          <w:lang w:val="ru-RU"/>
        </w:rPr>
        <w:t> </w:t>
      </w:r>
      <w:r>
        <w:t>года. На ней европейские министры, ответственные за осуществление равноправия, призвали к новому подходу в отношении предотвращения конфликтов и постконфликтного миростроительства, в рамках которого учитываются потребности и способности женщин. На встрече в Скопье министры выработали комплекс мер, с тем чтобы дать женщинам слово за столом переговоров. Министры пришли к соглашению о том, что</w:t>
      </w:r>
      <w:r>
        <w:rPr>
          <w:lang w:val="ru-RU"/>
        </w:rPr>
        <w:t>,</w:t>
      </w:r>
      <w:r>
        <w:t xml:space="preserve"> если женщины не будут в полной мере привлечены к построению демократии, усилия по созданию стабильного общества, скорее всего, потерпят неудачу.</w:t>
      </w:r>
    </w:p>
    <w:p w:rsidR="00000000" w:rsidRDefault="00000000">
      <w:r>
        <w:t>Цель этой конференции состояла в том, чтобы разработать руководящие принципы, которые привнесут гендерный аспект в дело урегулирования конфликтов, поддержания мира и строительства демократии, а также рассмотреть вопрос об участии женщин в процессе принятия решений, их вкладе в перестройку постконфликтного общества и о том, как создать эффективную структуру для содействия равноправию мужчин и женщин.</w:t>
      </w:r>
    </w:p>
    <w:p w:rsidR="00000000" w:rsidRDefault="00000000">
      <w:r>
        <w:t>Министры приняли резолюцию и программу действий, касающи</w:t>
      </w:r>
      <w:r>
        <w:rPr>
          <w:lang w:val="ru-RU"/>
        </w:rPr>
        <w:t>е</w:t>
      </w:r>
      <w:r>
        <w:t>ся гендерной проблематики и роли женщин и мужчин в предотвращении конфликтов, их урегулировании и постконфликтном восстановлении.</w:t>
      </w:r>
    </w:p>
    <w:p w:rsidR="00000000" w:rsidRDefault="00000000">
      <w:pPr>
        <w:rPr>
          <w:i/>
        </w:rPr>
      </w:pPr>
      <w:r>
        <w:rPr>
          <w:i/>
        </w:rPr>
        <w:t>Целевая группа по вопросу участия  женщины в поддержании мира и в вооруженном конфликте</w:t>
      </w:r>
    </w:p>
    <w:p w:rsidR="00000000" w:rsidRDefault="00000000">
      <w:r>
        <w:t>В марте 2003 года с целью дальнейшего осуществления резолюции 1325 Совета Безопасности, касающейся женщин, мира и безопасности (2000 год)</w:t>
      </w:r>
      <w:r>
        <w:rPr>
          <w:lang w:val="ru-RU"/>
        </w:rPr>
        <w:t>,</w:t>
      </w:r>
      <w:r>
        <w:t xml:space="preserve"> министры иностранных дел и обороны направили в парламент письмо с подробным изложением ряда задач для обоих министерств</w:t>
      </w:r>
      <w:r>
        <w:rPr>
          <w:rStyle w:val="FootnoteReference"/>
          <w:sz w:val="22"/>
        </w:rPr>
        <w:footnoteReference w:customMarkFollows="1" w:id="36"/>
        <w:t>35</w:t>
      </w:r>
      <w:r>
        <w:t>. Содержание этого письма основывалось на проведенном Нидерландским институтом международных отношений в Клингендейле по просьбе Министерства социальных дел и по вопросам занятости исследовании о женщинах в вооруженном конфликте.</w:t>
      </w:r>
    </w:p>
    <w:p w:rsidR="00000000" w:rsidRDefault="00000000">
      <w:r>
        <w:t>Это исследование также побудило министра – координатора политики в области эмансипации учредить на трехлетний период независимую целевую группу послов, которые будут содействовать включению гендерной проблематики в операции по поддержанию мира, а также ее учету в рамках вооруженного конфликта и постконфликтных ситуаций. Целевая группа была создана 15 ноября 2003 года.</w:t>
      </w:r>
    </w:p>
    <w:p w:rsidR="00000000" w:rsidRDefault="00000000">
      <w:r>
        <w:t xml:space="preserve">Четыре заинтересованных министерства (помимо министерств иностранных дел и обороны, внутренних дел и по делам </w:t>
      </w:r>
      <w:r>
        <w:rPr>
          <w:lang w:val="ru-RU"/>
        </w:rPr>
        <w:t>к</w:t>
      </w:r>
      <w:r>
        <w:t xml:space="preserve">оролевства, социальных дел и по вопросам занятости) определили ряд задач, которые затем были дополнены мероприятиями, обозначенными членами Целевой группы. Все они были включены в план действий. Министерство обороны и Министерство внутренних дел и по делам </w:t>
      </w:r>
      <w:r>
        <w:rPr>
          <w:lang w:val="ru-RU"/>
        </w:rPr>
        <w:t>к</w:t>
      </w:r>
      <w:r>
        <w:t xml:space="preserve">оролевства считают существенно важным учет гендерной проблематики в рамках подготовки для участия в миссиях по поддержанию мира. Министерство иностранных дел, с другой стороны, охватывает более широкую область, которая включает содействие участию женщин в операциях по поддержанию мира и в постконфликтном восстановлении (путем финансирования различных организаций, действующих в этой области), улучшение положения женщин из числа беженцев и перемещенных лиц (посредством политического диалога с Управлением Верховного </w:t>
      </w:r>
      <w:r>
        <w:rPr>
          <w:lang w:val="ru-RU"/>
        </w:rPr>
        <w:t>к</w:t>
      </w:r>
      <w:r>
        <w:t xml:space="preserve">омиссара Организации Объединенных Наций по делам беженцев) и учет гендерной проблематики при проведении операций Организации Объединенных Наций по поддержанию мира (финансирование комплекса пособий по гендерным вопросам Департамента Организации Объединенных Наций по операциям по поддержанию мира). Через посольства Нидерландов в странах, где имеет или имел место конфликт, также стимулируются и финансируются соответствующие виды деятельности. В 2004 году было проведено инструктивное занятие на тему "гендерный фактор и конфликт", с тем чтобы повысить специальные знания персонала посольств. </w:t>
      </w:r>
    </w:p>
    <w:p w:rsidR="00000000" w:rsidRDefault="00000000">
      <w:r>
        <w:t>Целевая группа будет действовать в качестве катализатора в деле разработки и осуществления политики. Прежде всего она будет содействовать разработке учебного материала для военного и полицейского персонала, который принимает участие в военных миссиях. В дополнение к этому целевая группа будет также прилагать усилия, с тем чтобы добиться включения пункта о гендерном аспекте в боевые приказы.</w:t>
      </w:r>
    </w:p>
    <w:p w:rsidR="00000000" w:rsidRDefault="00000000">
      <w:pPr>
        <w:rPr>
          <w:i/>
        </w:rPr>
      </w:pPr>
      <w:r>
        <w:rPr>
          <w:i/>
        </w:rPr>
        <w:t>Гендерный аспект при проведении операций по поддержанию мира: резолюция 1325</w:t>
      </w:r>
    </w:p>
    <w:p w:rsidR="00000000" w:rsidRDefault="00000000">
      <w:r>
        <w:t xml:space="preserve">Резолюция 1325 Совета Безопасности способствовала уделению особого внимания гендерному фактору в контексте обеспечения мира и безопасности. В других областях также (например, дискуссии о правах человека) в настоящее время наблюдается повышенная обеспокоенность в связи с такими вопросами, как права женщин и борьба с насилием в отношении женщин. Деятельность Организации по безопасности и сотрудничеству в Европе (ОБСЕ) в гендерной области в основном осуществляет Бюро по демократическим институтам и правам человека (БДИПЧ). В значительной степени эта деятельность основывается на Плане действий по гендерным вопросам, принятом ОБСЕ в июне 1999 года. В </w:t>
      </w:r>
      <w:r>
        <w:rPr>
          <w:lang w:val="ru-RU"/>
        </w:rPr>
        <w:t>п</w:t>
      </w:r>
      <w:r>
        <w:t xml:space="preserve">лане уделяется внимание вопросу равного обращения и равных возможностей для мужчин и женщин в рамках самой организации в таких областях, как набор персонала, отбор и назначение на старшие должности, а также в широком диапазоне мероприятий в этой сфере. В этих усилиях важную роль играет Группа по гендерной проблематике БДИПЧ, для которой Генеральный директорат по международному сотрудничеству в Министерстве иностранных дел обеспечивает финансирование. </w:t>
      </w:r>
    </w:p>
    <w:p w:rsidR="00000000" w:rsidRDefault="00000000">
      <w:pPr>
        <w:pStyle w:val="-2"/>
      </w:pPr>
      <w:r>
        <w:t xml:space="preserve">Статья 5:  Средства массовой информации и создание определенного образа </w:t>
      </w:r>
    </w:p>
    <w:p w:rsidR="00000000" w:rsidRDefault="00000000">
      <w:pPr>
        <w:pStyle w:val="Subtitle"/>
        <w:rPr>
          <w:sz w:val="23"/>
        </w:rPr>
      </w:pPr>
      <w:r>
        <w:rPr>
          <w:sz w:val="23"/>
        </w:rPr>
        <w:t>1.</w:t>
      </w:r>
      <w:r>
        <w:rPr>
          <w:sz w:val="23"/>
          <w:lang w:val="ru-RU"/>
        </w:rPr>
        <w:tab/>
      </w:r>
      <w:r>
        <w:rPr>
          <w:sz w:val="23"/>
        </w:rPr>
        <w:t xml:space="preserve">Ведущая роль – мужчинам </w:t>
      </w:r>
    </w:p>
    <w:p w:rsidR="00000000" w:rsidRDefault="00000000">
      <w:r>
        <w:t>В феврале 2003 года было одобрено осуществление проекта под названием "Ведущая роль – мужчинам". Это новаторский проект, который изучает вклад мужчин в выполнение домашних обязанностей, используя интернет, телевидение и радио, а также путем проведения исследований.</w:t>
      </w:r>
    </w:p>
    <w:p w:rsidR="00000000" w:rsidRDefault="00000000">
      <w:r>
        <w:t>Проект имеет целью начать обсуждение вопроса о нынешней роли мужчин и женщин и разделении обязанностей между ними. Повышая сознательность и стимулируя соответствующие дискуссии, создатели проекта надеются побудить мужчин брать на себя справедливую долю домашних обязанностей. Это, в свою очередь</w:t>
      </w:r>
      <w:r>
        <w:rPr>
          <w:lang w:val="ru-RU"/>
        </w:rPr>
        <w:t>,</w:t>
      </w:r>
      <w:r>
        <w:t xml:space="preserve"> должно облегчить женщинам устройство на оплачиваемую работу. Проект состоит из двух частей: мультимедийного проекта "У кого какие обязанности" и исследования под названием "Работающие отцы, заботливые мужчины".</w:t>
      </w:r>
    </w:p>
    <w:p w:rsidR="00000000" w:rsidRDefault="00000000">
      <w:pPr>
        <w:rPr>
          <w:i/>
        </w:rPr>
      </w:pPr>
      <w:r>
        <w:rPr>
          <w:i/>
        </w:rPr>
        <w:t>"У кого какие обязанности"</w:t>
      </w:r>
    </w:p>
    <w:p w:rsidR="00000000" w:rsidRDefault="00000000">
      <w:r>
        <w:t>Цель состоит в том, чтобы охватить значительное большинство населения Нидерландов посредством радио- и телевизионной рекламы, веб-сайта "У кого какие обязанности"</w:t>
      </w:r>
      <w:r>
        <w:rPr>
          <w:lang w:val="ru-RU"/>
        </w:rPr>
        <w:t xml:space="preserve"> </w:t>
      </w:r>
      <w:r>
        <w:t>(</w:t>
      </w:r>
      <w:hyperlink r:id="rId15" w:history="1">
        <w:r>
          <w:rPr>
            <w:rStyle w:val="Hyperlink"/>
          </w:rPr>
          <w:t>www.wiedoetwat.nl</w:t>
        </w:r>
      </w:hyperlink>
      <w:r>
        <w:t>), связ</w:t>
      </w:r>
      <w:r>
        <w:rPr>
          <w:lang w:val="ru-RU"/>
        </w:rPr>
        <w:t>ей</w:t>
      </w:r>
      <w:r>
        <w:t xml:space="preserve"> с общественностью, кампаний, дебатов, лоббирования в СМИ и "бесплатных карточек". Телевизионный сериал под названием "Отцы" также является частью этой кампании. Прочие мероприятия обеспечивают практические советы и помощь, например специально разработанный модуль для семей из этнических меньшинств, который должен использоваться в программах интеграции, а также в программах активизации и содействия поиску работы для семей, у которых мало надежд на трудоустройство. </w:t>
      </w:r>
    </w:p>
    <w:p w:rsidR="00000000" w:rsidRDefault="00000000">
      <w:r>
        <w:t>Основная фокус-группа состоит из молодежи обоих полов в возрасте от 15 лет. Для обеспечения наилучших возможных результатов также рассматриваются конкретные целевые группы, которые включают учащихся школ и преподавателей, высший руководящий состав, нидерландских граждан из этнических меньшинств, работодателей и трудящихся. Эти группы в основном охватываются через партнеров по национальным проектам, например через Центр по усовершенствованию и учебным курсам, Нидерландский институт опеки и социального обеспечения и ряд посреднических организаций, таких как организации работодателей, профсоюзы и спортивные организации.</w:t>
      </w:r>
    </w:p>
    <w:p w:rsidR="00000000" w:rsidRDefault="00000000">
      <w:r>
        <w:t xml:space="preserve">Между тем Нидерландская футбольная ассоциация, Национальная федерация христианских профсоюзов, Конфедерация промышленных предприятий и работодателей Нидерландов и Амстердамский зоопарк </w:t>
      </w:r>
      <w:r>
        <w:rPr>
          <w:lang w:val="ru-RU"/>
        </w:rPr>
        <w:t xml:space="preserve">(Артис) </w:t>
      </w:r>
      <w:r>
        <w:t>объединились в качестве промежуточного партнера. В различных региональных образовательных центрах среди молодых людей организуются дискуссии.</w:t>
      </w:r>
    </w:p>
    <w:p w:rsidR="00000000" w:rsidRDefault="00000000">
      <w:pPr>
        <w:rPr>
          <w:i/>
        </w:rPr>
      </w:pPr>
      <w:r>
        <w:rPr>
          <w:i/>
        </w:rPr>
        <w:t>"Работающие отцы, заботливые мужчины"</w:t>
      </w:r>
    </w:p>
    <w:p w:rsidR="00000000" w:rsidRDefault="00000000">
      <w:r>
        <w:t>Департамент по координации политики в области эмансипации в Министерстве социальных дел и по вопросам занятости и Институт Вервей-Йонкера начали исследование в европейском контексте по вопросу об участии мужчин в выполнении семейных обязанностей. Это исследование имеет целью модернизировать инициативы и определить оптимальную практику. Результаты исследования будут проверены на так называемом "</w:t>
      </w:r>
      <w:r>
        <w:rPr>
          <w:lang w:val="ru-RU"/>
        </w:rPr>
        <w:t>к</w:t>
      </w:r>
      <w:r>
        <w:t>руглом столе для мужчин". Это собрание мужчин из всех слоев общества, которые сопоставят результаты исследования со своим личным опытом. В последние годы мужчины начали выполнять все большее число обязанностей, которые традиционно считались сугубо женскими (например</w:t>
      </w:r>
      <w:r>
        <w:rPr>
          <w:lang w:val="ru-RU"/>
        </w:rPr>
        <w:t>,</w:t>
      </w:r>
      <w:r>
        <w:t xml:space="preserve"> закупка продуктов). Почему в одном случае стереотипы рушатся (например, доставка детей в школу), а в другом ничего не меняется? Исследование ставит целью ответить на этот вопрос. Его результаты появятся в сентябре 2004 года на двухдневной Европейской конференции во время председательства Нидерландов в Европейском союзе.</w:t>
      </w:r>
    </w:p>
    <w:p w:rsidR="00000000" w:rsidRDefault="00000000">
      <w:pPr>
        <w:pStyle w:val="Subtitle"/>
        <w:rPr>
          <w:sz w:val="23"/>
        </w:rPr>
      </w:pPr>
      <w:r>
        <w:rPr>
          <w:sz w:val="23"/>
        </w:rPr>
        <w:t xml:space="preserve">2. </w:t>
      </w:r>
      <w:r>
        <w:rPr>
          <w:sz w:val="23"/>
          <w:lang w:val="ru-RU"/>
        </w:rPr>
        <w:tab/>
      </w:r>
      <w:r>
        <w:rPr>
          <w:sz w:val="23"/>
        </w:rPr>
        <w:t>Создание определенного образа в различных министерствах</w:t>
      </w:r>
    </w:p>
    <w:p w:rsidR="00000000" w:rsidRDefault="00000000">
      <w:r>
        <w:t>Установление различий между мужчинами и женщинами часто происходит непреднамеренно и основывается на конкретном глубоко укоренивш</w:t>
      </w:r>
      <w:r>
        <w:rPr>
          <w:lang w:val="ru-RU"/>
        </w:rPr>
        <w:t>е</w:t>
      </w:r>
      <w:r>
        <w:t>мся стереотипном мышлении. Как мужчины, так и женщины наследуют в отношении различных вопросов такие стереотипы, на основе которых строят свои оценки по соответствующим проблемам. Например, мнения относительно того, что значит быть "мужчиной" и "женщиной", в связи с которыми мужчины обычно наделяются в обществе более высоким статусом, чем женщины. Подобные традиционные нормы пагубно влияют на такие факторы, как распределение ролей, свобода выбора и социальное положение мужчин и женщин.</w:t>
      </w:r>
    </w:p>
    <w:p w:rsidR="00000000" w:rsidRDefault="00000000">
      <w:r>
        <w:t>Начиная с 1985 года созданию образов мужчин и женщин с учетом гендерного фактора уделялось особое внимание в рамках проведения политики обеспечения равноправия. Правительство принимает меры, чтобы повысить осведомленность общественности относительно процессов, увековечивающих существующие стереотипы в отношении мужчин и женщин. Эти знания затем можно использовать для влияния на тех, кто создает и распространяет такие стереотипные образы.</w:t>
      </w:r>
    </w:p>
    <w:p w:rsidR="00000000" w:rsidRDefault="00000000">
      <w:pPr>
        <w:pStyle w:val="Subtitle"/>
        <w:rPr>
          <w:i/>
        </w:rPr>
      </w:pPr>
      <w:r>
        <w:rPr>
          <w:i/>
        </w:rPr>
        <w:t>Министерство иностранных дел</w:t>
      </w:r>
    </w:p>
    <w:p w:rsidR="00000000" w:rsidRDefault="00000000">
      <w:pPr>
        <w:spacing w:before="180"/>
      </w:pPr>
      <w:r>
        <w:t>В информационных и публицистических материалах, касающихся международной деятельности и сотрудничества в целях развития, прилагаются усилия  по предупреждению стереотипного мышления в отношении как гендерных аспектов, так и взаимосвязи донор</w:t>
      </w:r>
      <w:r>
        <w:rPr>
          <w:lang w:val="ru-RU"/>
        </w:rPr>
        <w:t> </w:t>
      </w:r>
      <w:r>
        <w:t>–</w:t>
      </w:r>
      <w:r>
        <w:rPr>
          <w:lang w:val="ru-RU"/>
        </w:rPr>
        <w:t> </w:t>
      </w:r>
      <w:r>
        <w:t>получатель. Это один из основных принципов информационной политики. Министерство учредило внутреннюю рабочую группу под названием "Организация на основе равновеси</w:t>
      </w:r>
      <w:r>
        <w:rPr>
          <w:lang w:val="ru-RU"/>
        </w:rPr>
        <w:t>я</w:t>
      </w:r>
      <w:r>
        <w:t>", которая следит за составом комитетов, особенно за соотношением мужчин и женщин, и составом сотрудников. В настоящее время проводится опись всех комитетов (фокус-групп и т. д.). В последние годы было достигнуто сбалансированное соотношение мужчин/женщин на уровне поступающих на работу.</w:t>
      </w:r>
    </w:p>
    <w:p w:rsidR="00000000" w:rsidRDefault="00000000">
      <w:pPr>
        <w:rPr>
          <w:b/>
          <w:i/>
        </w:rPr>
      </w:pPr>
      <w:r>
        <w:rPr>
          <w:b/>
          <w:i/>
        </w:rPr>
        <w:t>Министерство финансов</w:t>
      </w:r>
    </w:p>
    <w:p w:rsidR="00000000" w:rsidRDefault="00000000">
      <w:pPr>
        <w:spacing w:before="180"/>
        <w:rPr>
          <w:spacing w:val="-4"/>
        </w:rPr>
      </w:pPr>
      <w:r>
        <w:rPr>
          <w:spacing w:val="-4"/>
        </w:rPr>
        <w:t>Особое внимание уделяется объявлениям о вакансиях, чтобы способствовать участию женщин в конкурсах на занятие вакантных должностей. Например, фотографии женщин, которые работают в Министерстве финансов, помещаются в различных печатных изданиях и материалах. Набор осуществляют женщины, которые выступают в качестве эталона для молодых специалистов-женщин.</w:t>
      </w:r>
    </w:p>
    <w:p w:rsidR="00000000" w:rsidRDefault="00000000">
      <w:pPr>
        <w:rPr>
          <w:b/>
          <w:i/>
        </w:rPr>
      </w:pPr>
      <w:r>
        <w:rPr>
          <w:b/>
          <w:i/>
        </w:rPr>
        <w:t xml:space="preserve">Министерство образования, науки и культуры </w:t>
      </w:r>
    </w:p>
    <w:p w:rsidR="00000000" w:rsidRDefault="00000000">
      <w:pPr>
        <w:spacing w:before="180"/>
      </w:pPr>
      <w:r>
        <w:t>Министерство образования, науки и культуры и Министерство социальных дел и по вопросам занятости субсидировали пятилетний экспериментальный проект (который должен завершиться в этом году) по разработке в СМИ образов мужчин и женщин с учетом гендерных факторов. Задача этого проекта, которым руководит национальная радио- и телевещательная корпорация, – найти практические пути создания более широкого и более разнообразного образа женщин и мужчин и определить, что означает быть женщиной или мужчиной с помощью соответствующих программ.</w:t>
      </w:r>
    </w:p>
    <w:p w:rsidR="00000000" w:rsidRDefault="00000000">
      <w:pPr>
        <w:rPr>
          <w:spacing w:val="-2"/>
        </w:rPr>
      </w:pPr>
      <w:r>
        <w:rPr>
          <w:spacing w:val="-2"/>
        </w:rPr>
        <w:t>Этот проект имел значительное воздействие в системе радио и телевещания</w:t>
      </w:r>
      <w:r>
        <w:rPr>
          <w:spacing w:val="-2"/>
          <w:lang w:val="ru-RU"/>
        </w:rPr>
        <w:t xml:space="preserve"> как Нидерландов</w:t>
      </w:r>
      <w:r>
        <w:rPr>
          <w:spacing w:val="-2"/>
        </w:rPr>
        <w:t xml:space="preserve">, так и других стран. Он привел к партнерским отношениям со скандинавскими радио- и телевещательными организациями, которые в настоящее время проводят аналогичный эксперимент. В Нидерландах начал осуществляться последующий проект, для того чтобы учет гендерного фактора при создании того или иного образа стал постоянной чертой общественного вещания. </w:t>
      </w:r>
    </w:p>
    <w:p w:rsidR="00000000" w:rsidRDefault="00000000">
      <w:pPr>
        <w:pStyle w:val="-2"/>
        <w:spacing w:before="320"/>
      </w:pPr>
      <w:r>
        <w:t>Статья 6:  Торговля женщинами и проституция</w:t>
      </w:r>
    </w:p>
    <w:p w:rsidR="00000000" w:rsidRDefault="00000000">
      <w:pPr>
        <w:spacing w:before="200"/>
        <w:rPr>
          <w:b/>
          <w:sz w:val="23"/>
          <w:lang w:val="ru-RU"/>
        </w:rPr>
      </w:pPr>
      <w:r>
        <w:rPr>
          <w:b/>
          <w:sz w:val="23"/>
        </w:rPr>
        <w:t>1.</w:t>
      </w:r>
      <w:r>
        <w:rPr>
          <w:b/>
          <w:sz w:val="23"/>
        </w:rPr>
        <w:tab/>
        <w:t>Торговля людьми</w:t>
      </w:r>
    </w:p>
    <w:p w:rsidR="00000000" w:rsidRDefault="00000000">
      <w:pPr>
        <w:spacing w:before="200"/>
        <w:rPr>
          <w:b/>
        </w:rPr>
      </w:pPr>
      <w:r>
        <w:rPr>
          <w:b/>
        </w:rPr>
        <w:t xml:space="preserve">i. </w:t>
      </w:r>
      <w:r>
        <w:rPr>
          <w:b/>
          <w:lang w:val="ru-RU"/>
        </w:rPr>
        <w:tab/>
      </w:r>
      <w:r>
        <w:rPr>
          <w:b/>
        </w:rPr>
        <w:t xml:space="preserve">Национальный докладчик по вопросу торговли людьми </w:t>
      </w:r>
    </w:p>
    <w:p w:rsidR="00000000" w:rsidRDefault="00000000">
      <w:pPr>
        <w:spacing w:before="180"/>
      </w:pPr>
      <w:r>
        <w:t>1 апреля 2000 года Нидерланды стали первой страной, назначившей независимого Национального докладчика по вопросу торговли людьми во исполнение Гаагской декларации (1997 год)</w:t>
      </w:r>
      <w:r>
        <w:rPr>
          <w:rStyle w:val="FootnoteReference"/>
          <w:sz w:val="22"/>
        </w:rPr>
        <w:footnoteReference w:customMarkFollows="1" w:id="37"/>
        <w:t>36</w:t>
      </w:r>
      <w:r>
        <w:t>. Докладчик подотчетен непосредственно правительству и представляет информацию о первопричинах, факторах и тенденциях в области торговли людьми. Докладчик – это важная движущая сила в предупреждении торговли женщинами в целях сексуальной эксплуатации и борьбе с нею, а также в представлении соответствующих данных и помощи пострадавшим.</w:t>
      </w:r>
    </w:p>
    <w:p w:rsidR="00000000" w:rsidRDefault="00000000">
      <w:r>
        <w:t>Основой для полномочий нидерландского докладчика являются положения статьи 250а Уголовного кодекса Нидерландов, которая значительно шире, чем Гаагская декларация. Эта статья касается эксплуатации мужчин, женщин и детей. Поэтому в нидерландском контексте Национальный докладчик занимается не просто торговлей женщинами, а торговлей людьми.</w:t>
      </w:r>
    </w:p>
    <w:p w:rsidR="00000000" w:rsidRDefault="00000000">
      <w:r>
        <w:t>Рекомендации в докладе могут касаться различных уровней правительства, административных органов или нидерландского вклада в международные и неправительственные организации (НПО). В задачи независимого Докладчика входит информирование правительства о торговле людьми в Нидерландах, в том числе вскрывая тенденции и делая рекомендации в целях активизации усилий по борьбе с этим явлением.</w:t>
      </w:r>
    </w:p>
    <w:p w:rsidR="00000000" w:rsidRDefault="00000000">
      <w:r>
        <w:t>До настоящего времени Докладчик подготовил два доклада: первый был очень подробным и включал многочисленные рекомендации</w:t>
      </w:r>
      <w:r>
        <w:rPr>
          <w:rStyle w:val="FootnoteReference"/>
        </w:rPr>
        <w:footnoteReference w:customMarkFollows="1" w:id="38"/>
        <w:t>37</w:t>
      </w:r>
      <w:r>
        <w:t>, а второй содержал обширную количественную информацию. В октябре 2002 года правительство направило в парламент свой ответ на выводы первого доклада</w:t>
      </w:r>
      <w:r>
        <w:rPr>
          <w:rStyle w:val="FootnoteReference"/>
        </w:rPr>
        <w:footnoteReference w:customMarkFollows="1" w:id="39"/>
        <w:t>38</w:t>
      </w:r>
      <w:r>
        <w:t>. В июле 2004 года третий доклад Национального докладчика был направлен в Палату представителей</w:t>
      </w:r>
      <w:r>
        <w:rPr>
          <w:rStyle w:val="FootnoteReference"/>
        </w:rPr>
        <w:footnoteReference w:customMarkFollows="1" w:id="40"/>
        <w:t>39</w:t>
      </w:r>
      <w:r>
        <w:t>. В этом году будет составлен план действий по решению проблемы торговли людьми, который сочетает заключения и рекомендации Национального докладчика с мероприятиями из плана действий по организации и защите сектора проституции.</w:t>
      </w:r>
    </w:p>
    <w:p w:rsidR="00000000" w:rsidRDefault="00000000">
      <w:pPr>
        <w:pStyle w:val="Subtitle"/>
      </w:pPr>
      <w:r>
        <w:t xml:space="preserve">ii. </w:t>
      </w:r>
      <w:r>
        <w:rPr>
          <w:lang w:val="ru-RU"/>
        </w:rPr>
        <w:tab/>
      </w:r>
      <w:r>
        <w:t>Предупреждение торговли людьми и борьба с ней</w:t>
      </w:r>
    </w:p>
    <w:p w:rsidR="00000000" w:rsidRDefault="00000000">
      <w:r>
        <w:t>Борьба с торговлей людьми – это первоочередная задача государственной важности для полиции и судебных органов власти в Нидерландах. Так было и до снятия запрета на публичные дома в 2000 году, что естественно, поскольку торговля людьми является одним из наиболее тяжких преступлений в нидерландском Уголовном кодексе (статья 250а).</w:t>
      </w:r>
    </w:p>
    <w:p w:rsidR="00000000" w:rsidRDefault="00000000">
      <w:r>
        <w:t>Согласно статье 250а перевозка людей через границы в целях проституции является уголовным преступлением. Также правонарушением является:</w:t>
      </w:r>
    </w:p>
    <w:p w:rsidR="00000000" w:rsidRDefault="00000000">
      <w:pPr>
        <w:ind w:left="680" w:hanging="680"/>
      </w:pPr>
      <w:r>
        <w:t>–</w:t>
      </w:r>
      <w:r>
        <w:tab/>
        <w:t>вовлечение отдельных лиц в занятие проституцией и удержание их путем принуждения или обмана;</w:t>
      </w:r>
    </w:p>
    <w:p w:rsidR="00000000" w:rsidRDefault="00000000">
      <w:pPr>
        <w:ind w:left="680" w:hanging="680"/>
      </w:pPr>
      <w:r>
        <w:t>–</w:t>
      </w:r>
      <w:r>
        <w:tab/>
        <w:t>вовлечение несовершеннолетних в занятие проституцией и удержание их;</w:t>
      </w:r>
    </w:p>
    <w:p w:rsidR="00000000" w:rsidRDefault="00000000">
      <w:r>
        <w:t>–</w:t>
      </w:r>
      <w:r>
        <w:tab/>
        <w:t>получение дохода от такой эксплуатации.</w:t>
      </w:r>
    </w:p>
    <w:p w:rsidR="00000000" w:rsidRDefault="00000000">
      <w:r>
        <w:t>Легализация предоставления сексуальных услуг при соблюдении строгих условий способствовала поступлению большего объема информации, необходимой для выявления случаев торговли людьми. Это дает возможность улучшить пути решения проблемы торговли людьми в системе уголовного судопроизводства. Благодаря контролю за сектором проституции, а также полученной информации полиция теперь имеет более ясное представление об этом секторе и находится в лучшем положении для выявления признаков преступления, а именно торговли людьми. Такие признаки существенно необходимы для обнаружения и преследования правонарушителей как в пределах, так и за пределами регулируемого сектора.</w:t>
      </w:r>
    </w:p>
    <w:p w:rsidR="00000000" w:rsidRDefault="00000000">
      <w:pPr>
        <w:rPr>
          <w:i/>
        </w:rPr>
      </w:pPr>
      <w:r>
        <w:rPr>
          <w:i/>
        </w:rPr>
        <w:t>Полиция</w:t>
      </w:r>
    </w:p>
    <w:p w:rsidR="00000000" w:rsidRDefault="00000000">
      <w:r>
        <w:t>Полиция разработала и осуществила конкретные меры с целью повышения раскрываемости случаев торговли людьми. Например, в настоящее время проводятся регулярные консультации между соответствующими офицерами по связи в полиции с целью обмена опытом и обсуждения подходов к данному вопросу. Имеются также специальные учебные курсы по вопросам выявления случаев торговли людьми и обращения с пострадавшими.</w:t>
      </w:r>
    </w:p>
    <w:p w:rsidR="00000000" w:rsidRDefault="00000000">
      <w:r>
        <w:t xml:space="preserve">Кроме того, с целью улучшения обмена информацией между полицейскими силами была создана система регистрации, в которой записываются имена как потенциальных, так и </w:t>
      </w:r>
      <w:r>
        <w:rPr>
          <w:lang w:val="ru-RU"/>
        </w:rPr>
        <w:t xml:space="preserve">имеющихся </w:t>
      </w:r>
      <w:r>
        <w:t>жертв торговли людьми, а также самих торговцев. Торговцы людьми, как правило, очень мобильны; это означает, что их трудно выследить. Если лицо, зарегистрированное в этой системе, появляется где-нибудь в другом месте, это может служить указанием, что ведется соответствующая преступная деятельность. На основе этой информации может быть начато уголовное расследование.</w:t>
      </w:r>
    </w:p>
    <w:p w:rsidR="00000000" w:rsidRDefault="00000000">
      <w:r>
        <w:t>Для выявления случаев торговли людьми полиция обеспечивает предоставление данных надзора за иностранцами, котор</w:t>
      </w:r>
      <w:r>
        <w:rPr>
          <w:lang w:val="ru-RU"/>
        </w:rPr>
        <w:t>ые</w:t>
      </w:r>
      <w:r>
        <w:t xml:space="preserve"> име</w:t>
      </w:r>
      <w:r>
        <w:rPr>
          <w:lang w:val="ru-RU"/>
        </w:rPr>
        <w:t>ю</w:t>
      </w:r>
      <w:r>
        <w:t xml:space="preserve">т отношение к уголовному преследованию. Опыт полиции, отделений, занимающихся надзором за иностранцами, также будет использован при уголовных расследованиях. Дальнейшие соглашения по этому вопросу будут включены в Рамочный документ национальной полиции. Кроме того, полиция и Государственная прокуратура работают со своими партнерами по ЕС над созданием сети Европейского союза для международного сотрудничества в борьбе с торговлей людьми. Эта сеть является подготовкой для будущей работы с объединенными группами. </w:t>
      </w:r>
    </w:p>
    <w:p w:rsidR="00000000" w:rsidRDefault="00000000">
      <w:pPr>
        <w:rPr>
          <w:i/>
        </w:rPr>
      </w:pPr>
      <w:r>
        <w:rPr>
          <w:i/>
        </w:rPr>
        <w:t xml:space="preserve">Государственная прокуратура </w:t>
      </w:r>
    </w:p>
    <w:p w:rsidR="00000000" w:rsidRDefault="00000000">
      <w:r>
        <w:t xml:space="preserve">Государственная прокуратура также принимает меры по дальнейшему улучшению структуры для выявления случаев торговли людьми и преследования правонарушителей. Например, государственный прокурор, ответственный за борьбу с торговлей людьми, берет на себя управление делами, которые расследуются Национальной комиссией по борьбе с преступностью. Государственный прокурор также выполняет национальные задачи по координации, относящиеся к выявлению случаев торговли людьми и преследованию правонарушителей. </w:t>
      </w:r>
    </w:p>
    <w:p w:rsidR="00000000" w:rsidRDefault="00000000">
      <w:pPr>
        <w:pStyle w:val="a5"/>
        <w:pageBreakBefore/>
        <w:tabs>
          <w:tab w:val="clear" w:pos="1440"/>
          <w:tab w:val="clear" w:pos="9356"/>
        </w:tabs>
        <w:spacing w:before="0" w:after="120"/>
      </w:pPr>
      <w:r>
        <w:t>Число случаев, зарегистрированных Государственной прокуратурой</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1560"/>
        <w:gridCol w:w="1559"/>
        <w:gridCol w:w="1559"/>
        <w:gridCol w:w="1559"/>
        <w:gridCol w:w="1559"/>
      </w:tblGrid>
      <w:tr w:rsidR="00000000">
        <w:tblPrEx>
          <w:tblCellMar>
            <w:top w:w="0" w:type="dxa"/>
            <w:bottom w:w="0" w:type="dxa"/>
          </w:tblCellMar>
        </w:tblPrEx>
        <w:trPr>
          <w:jc w:val="center"/>
        </w:trPr>
        <w:tc>
          <w:tcPr>
            <w:tcW w:w="1560" w:type="dxa"/>
          </w:tcPr>
          <w:p w:rsidR="00000000" w:rsidRDefault="00000000">
            <w:pPr>
              <w:spacing w:before="40" w:after="40" w:line="240" w:lineRule="auto"/>
              <w:jc w:val="center"/>
              <w:rPr>
                <w:b/>
                <w:sz w:val="20"/>
              </w:rPr>
            </w:pPr>
            <w:r>
              <w:rPr>
                <w:b/>
                <w:sz w:val="20"/>
                <w:lang w:val="ru-RU"/>
              </w:rPr>
              <w:t>1</w:t>
            </w:r>
            <w:r>
              <w:rPr>
                <w:b/>
                <w:sz w:val="20"/>
              </w:rPr>
              <w:t>998 год</w:t>
            </w:r>
          </w:p>
        </w:tc>
        <w:tc>
          <w:tcPr>
            <w:tcW w:w="1560" w:type="dxa"/>
          </w:tcPr>
          <w:p w:rsidR="00000000" w:rsidRDefault="00000000">
            <w:pPr>
              <w:spacing w:before="40" w:after="40" w:line="240" w:lineRule="auto"/>
              <w:jc w:val="center"/>
              <w:rPr>
                <w:b/>
                <w:sz w:val="20"/>
              </w:rPr>
            </w:pPr>
            <w:r>
              <w:rPr>
                <w:b/>
                <w:sz w:val="20"/>
              </w:rPr>
              <w:t>1999 год</w:t>
            </w:r>
          </w:p>
        </w:tc>
        <w:tc>
          <w:tcPr>
            <w:tcW w:w="1559" w:type="dxa"/>
          </w:tcPr>
          <w:p w:rsidR="00000000" w:rsidRDefault="00000000">
            <w:pPr>
              <w:spacing w:before="40" w:after="40" w:line="240" w:lineRule="auto"/>
              <w:jc w:val="center"/>
              <w:rPr>
                <w:b/>
                <w:sz w:val="20"/>
              </w:rPr>
            </w:pPr>
            <w:r>
              <w:rPr>
                <w:b/>
                <w:sz w:val="20"/>
              </w:rPr>
              <w:t>2000 год</w:t>
            </w:r>
          </w:p>
        </w:tc>
        <w:tc>
          <w:tcPr>
            <w:tcW w:w="1559" w:type="dxa"/>
          </w:tcPr>
          <w:p w:rsidR="00000000" w:rsidRDefault="00000000">
            <w:pPr>
              <w:spacing w:before="40" w:after="40" w:line="240" w:lineRule="auto"/>
              <w:jc w:val="center"/>
              <w:rPr>
                <w:b/>
                <w:sz w:val="20"/>
              </w:rPr>
            </w:pPr>
            <w:r>
              <w:rPr>
                <w:b/>
                <w:sz w:val="20"/>
              </w:rPr>
              <w:t>2001 год</w:t>
            </w:r>
          </w:p>
        </w:tc>
        <w:tc>
          <w:tcPr>
            <w:tcW w:w="1559" w:type="dxa"/>
          </w:tcPr>
          <w:p w:rsidR="00000000" w:rsidRDefault="00000000">
            <w:pPr>
              <w:spacing w:before="40" w:after="40" w:line="240" w:lineRule="auto"/>
              <w:jc w:val="center"/>
              <w:rPr>
                <w:b/>
                <w:sz w:val="20"/>
              </w:rPr>
            </w:pPr>
            <w:r>
              <w:rPr>
                <w:b/>
                <w:sz w:val="20"/>
              </w:rPr>
              <w:t>2002 год</w:t>
            </w:r>
          </w:p>
        </w:tc>
        <w:tc>
          <w:tcPr>
            <w:tcW w:w="1559" w:type="dxa"/>
          </w:tcPr>
          <w:p w:rsidR="00000000" w:rsidRDefault="00000000">
            <w:pPr>
              <w:spacing w:before="40" w:after="40" w:line="240" w:lineRule="auto"/>
              <w:jc w:val="center"/>
              <w:rPr>
                <w:b/>
                <w:sz w:val="20"/>
              </w:rPr>
            </w:pPr>
            <w:r>
              <w:rPr>
                <w:b/>
                <w:sz w:val="20"/>
              </w:rPr>
              <w:t>2003 год</w:t>
            </w:r>
          </w:p>
        </w:tc>
      </w:tr>
      <w:tr w:rsidR="00000000">
        <w:tblPrEx>
          <w:tblCellMar>
            <w:top w:w="0" w:type="dxa"/>
            <w:bottom w:w="0" w:type="dxa"/>
          </w:tblCellMar>
        </w:tblPrEx>
        <w:trPr>
          <w:jc w:val="center"/>
        </w:trPr>
        <w:tc>
          <w:tcPr>
            <w:tcW w:w="1560" w:type="dxa"/>
          </w:tcPr>
          <w:p w:rsidR="00000000" w:rsidRDefault="00000000">
            <w:pPr>
              <w:spacing w:before="40" w:after="40" w:line="240" w:lineRule="auto"/>
              <w:jc w:val="center"/>
              <w:rPr>
                <w:sz w:val="20"/>
              </w:rPr>
            </w:pPr>
            <w:r>
              <w:rPr>
                <w:sz w:val="20"/>
              </w:rPr>
              <w:t>134</w:t>
            </w:r>
          </w:p>
        </w:tc>
        <w:tc>
          <w:tcPr>
            <w:tcW w:w="1560" w:type="dxa"/>
          </w:tcPr>
          <w:p w:rsidR="00000000" w:rsidRDefault="00000000">
            <w:pPr>
              <w:spacing w:before="40" w:after="40" w:line="240" w:lineRule="auto"/>
              <w:jc w:val="center"/>
              <w:rPr>
                <w:sz w:val="20"/>
              </w:rPr>
            </w:pPr>
            <w:r>
              <w:rPr>
                <w:sz w:val="20"/>
              </w:rPr>
              <w:t>103</w:t>
            </w:r>
          </w:p>
        </w:tc>
        <w:tc>
          <w:tcPr>
            <w:tcW w:w="1559" w:type="dxa"/>
          </w:tcPr>
          <w:p w:rsidR="00000000" w:rsidRDefault="00000000">
            <w:pPr>
              <w:spacing w:before="40" w:after="40" w:line="240" w:lineRule="auto"/>
              <w:jc w:val="center"/>
              <w:rPr>
                <w:sz w:val="20"/>
              </w:rPr>
            </w:pPr>
            <w:r>
              <w:rPr>
                <w:sz w:val="20"/>
              </w:rPr>
              <w:t>138</w:t>
            </w:r>
          </w:p>
        </w:tc>
        <w:tc>
          <w:tcPr>
            <w:tcW w:w="1559" w:type="dxa"/>
          </w:tcPr>
          <w:p w:rsidR="00000000" w:rsidRDefault="00000000">
            <w:pPr>
              <w:spacing w:before="40" w:after="40" w:line="240" w:lineRule="auto"/>
              <w:jc w:val="center"/>
              <w:rPr>
                <w:sz w:val="20"/>
              </w:rPr>
            </w:pPr>
            <w:r>
              <w:rPr>
                <w:sz w:val="20"/>
              </w:rPr>
              <w:t>130</w:t>
            </w:r>
          </w:p>
        </w:tc>
        <w:tc>
          <w:tcPr>
            <w:tcW w:w="1559" w:type="dxa"/>
          </w:tcPr>
          <w:p w:rsidR="00000000" w:rsidRDefault="00000000">
            <w:pPr>
              <w:spacing w:before="40" w:after="40" w:line="240" w:lineRule="auto"/>
              <w:jc w:val="center"/>
              <w:rPr>
                <w:sz w:val="20"/>
              </w:rPr>
            </w:pPr>
            <w:r>
              <w:rPr>
                <w:sz w:val="20"/>
              </w:rPr>
              <w:t>200*</w:t>
            </w:r>
          </w:p>
        </w:tc>
        <w:tc>
          <w:tcPr>
            <w:tcW w:w="1559" w:type="dxa"/>
          </w:tcPr>
          <w:p w:rsidR="00000000" w:rsidRDefault="00000000">
            <w:pPr>
              <w:spacing w:before="40" w:after="40" w:line="240" w:lineRule="auto"/>
              <w:jc w:val="center"/>
              <w:rPr>
                <w:sz w:val="20"/>
              </w:rPr>
            </w:pPr>
            <w:r>
              <w:rPr>
                <w:sz w:val="20"/>
              </w:rPr>
              <w:t>156</w:t>
            </w:r>
          </w:p>
        </w:tc>
      </w:tr>
    </w:tbl>
    <w:p w:rsidR="00000000" w:rsidRDefault="00000000">
      <w:pPr>
        <w:spacing w:before="120" w:line="240" w:lineRule="auto"/>
        <w:rPr>
          <w:sz w:val="20"/>
        </w:rPr>
      </w:pPr>
      <w:r>
        <w:rPr>
          <w:sz w:val="20"/>
        </w:rPr>
        <w:t xml:space="preserve">* Чтобы "наверстать", были приложены специальные усилия в 2002 году, в течение которого полиция представила больше материалов по соответствующим делам. Однако в 2003 году количество зарегистрированных случаев было больше, чем в 2001 году и предыдущие годы, </w:t>
      </w:r>
      <w:r>
        <w:rPr>
          <w:sz w:val="20"/>
          <w:lang w:val="ru-RU"/>
        </w:rPr>
        <w:t xml:space="preserve">а </w:t>
      </w:r>
      <w:r>
        <w:rPr>
          <w:sz w:val="20"/>
        </w:rPr>
        <w:t>это означает, что их число продолжает расти.</w:t>
      </w:r>
    </w:p>
    <w:p w:rsidR="00000000" w:rsidRDefault="00000000">
      <w:pPr>
        <w:spacing w:before="360"/>
      </w:pPr>
      <w:r>
        <w:t xml:space="preserve">В 2003 году произошли следующие позитивные сдвиги: </w:t>
      </w:r>
    </w:p>
    <w:p w:rsidR="00000000" w:rsidRDefault="00000000">
      <w:pPr>
        <w:spacing w:before="200"/>
        <w:ind w:left="680" w:hanging="680"/>
      </w:pPr>
      <w:r>
        <w:t>–</w:t>
      </w:r>
      <w:r>
        <w:tab/>
        <w:t>количество дел, рассмотренных Государственной прокуратурой, ежегодно увеличивалось после 2000 года, когда был снят запрет на публичные дома (189 в 2003 году);</w:t>
      </w:r>
    </w:p>
    <w:p w:rsidR="00000000" w:rsidRDefault="00000000">
      <w:pPr>
        <w:spacing w:before="200"/>
        <w:ind w:left="680" w:hanging="680"/>
      </w:pPr>
      <w:r>
        <w:t>–</w:t>
      </w:r>
      <w:r>
        <w:tab/>
        <w:t>количество вызовов в суд увеличилось после 2000 года (132 в 2003 году);</w:t>
      </w:r>
    </w:p>
    <w:p w:rsidR="00000000" w:rsidRDefault="00000000">
      <w:pPr>
        <w:spacing w:before="200"/>
        <w:ind w:left="680" w:hanging="680"/>
      </w:pPr>
      <w:r>
        <w:t>–</w:t>
      </w:r>
      <w:r>
        <w:tab/>
        <w:t>количество прекращенных дел остается таким же (42 в 2003 году);</w:t>
      </w:r>
    </w:p>
    <w:p w:rsidR="00000000" w:rsidRDefault="00000000">
      <w:pPr>
        <w:spacing w:before="200"/>
        <w:ind w:left="680" w:hanging="680"/>
      </w:pPr>
      <w:r>
        <w:t>–</w:t>
      </w:r>
      <w:r>
        <w:tab/>
        <w:t>число осужденных возросло после 2000 года (106 в 2003 году);</w:t>
      </w:r>
    </w:p>
    <w:p w:rsidR="00000000" w:rsidRDefault="00000000">
      <w:pPr>
        <w:spacing w:before="200"/>
        <w:ind w:left="680" w:hanging="680"/>
      </w:pPr>
      <w:r>
        <w:t>–</w:t>
      </w:r>
      <w:r>
        <w:tab/>
        <w:t>количество вынесенных безусловных (т</w:t>
      </w:r>
      <w:r>
        <w:rPr>
          <w:lang w:val="ru-RU"/>
        </w:rPr>
        <w:t>о </w:t>
      </w:r>
      <w:r>
        <w:t>е</w:t>
      </w:r>
      <w:r>
        <w:rPr>
          <w:lang w:val="ru-RU"/>
        </w:rPr>
        <w:t>сть</w:t>
      </w:r>
      <w:r>
        <w:t xml:space="preserve"> </w:t>
      </w:r>
      <w:r>
        <w:rPr>
          <w:lang w:val="ru-RU"/>
        </w:rPr>
        <w:t>б</w:t>
      </w:r>
      <w:r>
        <w:t>ез отсрочки в исполнении) приговоров к лишению свободы возросло (86 в 2003 году);</w:t>
      </w:r>
    </w:p>
    <w:p w:rsidR="00000000" w:rsidRDefault="00000000">
      <w:pPr>
        <w:spacing w:before="200"/>
        <w:ind w:left="680" w:hanging="680"/>
      </w:pPr>
      <w:r>
        <w:t>–</w:t>
      </w:r>
      <w:r>
        <w:tab/>
        <w:t>общее количество вынесенных приговоров увеличилось после 2000 года (106 в 2003 году).</w:t>
      </w:r>
    </w:p>
    <w:p w:rsidR="00000000" w:rsidRDefault="00000000">
      <w:r>
        <w:t>Делая выводы на основе данных, относящихся к торговле людьми, необходимо проявлять осторожность, поскольку эти данные ничего не говорят о сущности или серьезности отдельных случаев. По этому вопросу требуется дополнительная информация.</w:t>
      </w:r>
    </w:p>
    <w:p w:rsidR="00000000" w:rsidRDefault="00000000">
      <w:r>
        <w:t>На практике раскрытие и преследование по суду в этих очень закрытых секторах остаются трудной задачей для полиции и судебных властей. Как и в других формах организованной преступности, "сниженная видимость" означает, что труднее найти доказательство того, что имеет место торговл</w:t>
      </w:r>
      <w:r>
        <w:rPr>
          <w:lang w:val="ru-RU"/>
        </w:rPr>
        <w:t>я</w:t>
      </w:r>
      <w:r>
        <w:t xml:space="preserve"> людьми. Поэтому эти преступления требуют особых усилий со стороны полиции и Государственной прокуратуры.</w:t>
      </w:r>
    </w:p>
    <w:p w:rsidR="00000000" w:rsidRDefault="00000000">
      <w:r>
        <w:t>Во всяком случае</w:t>
      </w:r>
      <w:r>
        <w:rPr>
          <w:lang w:val="ru-RU"/>
        </w:rPr>
        <w:t>,</w:t>
      </w:r>
      <w:r>
        <w:t xml:space="preserve"> в настоящее время часть этого сектора стала более или менее прозрачной и добровольно сотрудничает с контролирующими его административными органами; здесь проявляется большая осторожность, с тем чтобы не нанимать несовершеннолетних или незаконных иммигрантов. Начав с этой "оздоровленной" части сектора, полиция и судебные органы теперь занимаются выявлением случаев торговли людьми в неофициально работающих секторах. </w:t>
      </w:r>
    </w:p>
    <w:p w:rsidR="00000000" w:rsidRDefault="00000000">
      <w:pPr>
        <w:pStyle w:val="Subtitle"/>
      </w:pPr>
      <w:r>
        <w:t xml:space="preserve">iii. </w:t>
      </w:r>
      <w:r>
        <w:rPr>
          <w:lang w:val="ru-RU"/>
        </w:rPr>
        <w:tab/>
      </w:r>
      <w:r>
        <w:t>Сообщения жертв торговли людьми (распоряжение В-9)</w:t>
      </w:r>
    </w:p>
    <w:p w:rsidR="00000000" w:rsidRDefault="00000000">
      <w:r>
        <w:t>Иностранные граждане, незаконно проживающие в Нидерландах и являющиеся жертвами торговли людьми, могут получить временный вид на жительство на период судопроизводства в отношении подозреваемого лица, если они сообщают о случае торговли людьми. Такой порядок обеспечивает поддержку и защиту как пострадавшим, так и свидетелям. После завершения судебного разбирательства они могут также получить постоянный вид на жительство по гуманитарным соображениям, если их личные обстоятельства дают этому повод.</w:t>
      </w:r>
    </w:p>
    <w:p w:rsidR="00000000" w:rsidRDefault="00000000">
      <w:r>
        <w:t xml:space="preserve">Жертвам торговли людьми </w:t>
      </w:r>
      <w:r>
        <w:rPr>
          <w:lang w:val="ru-RU"/>
        </w:rPr>
        <w:t xml:space="preserve">предоставляется </w:t>
      </w:r>
      <w:r>
        <w:t>трехмесячный срок, в течение которого они могут решить, хотят ли они представить соответствующее сообщение. На этот период их отъезд откладывается, и они могут оставаться в Нидерландах на легальном основании. Это означает, что они также могут использовать имеющиеся средства защиты, такие как убежище, медицинская, а также финансовая и юридическая помощь. До настоящего времени лицам, имеющим такой вид на жительство, не разрешается работать в Нидерландах.</w:t>
      </w:r>
    </w:p>
    <w:p w:rsidR="00000000" w:rsidRDefault="00000000">
      <w:pPr>
        <w:pStyle w:val="Subtitle"/>
      </w:pPr>
      <w:r>
        <w:t xml:space="preserve">iv. </w:t>
      </w:r>
      <w:r>
        <w:rPr>
          <w:lang w:val="ru-RU"/>
        </w:rPr>
        <w:tab/>
      </w:r>
      <w:r>
        <w:t>Поддержка жертвам торговли людьми</w:t>
      </w:r>
    </w:p>
    <w:p w:rsidR="00000000" w:rsidRDefault="00000000">
      <w:r>
        <w:t>Жертвы торговли направляются в обычного типа убежища для женщин, которые</w:t>
      </w:r>
      <w:r>
        <w:rPr>
          <w:lang w:val="ru-RU"/>
        </w:rPr>
        <w:t>,</w:t>
      </w:r>
      <w:r>
        <w:t xml:space="preserve"> в принципе</w:t>
      </w:r>
      <w:r>
        <w:rPr>
          <w:lang w:val="ru-RU"/>
        </w:rPr>
        <w:t>,</w:t>
      </w:r>
      <w:r>
        <w:t xml:space="preserve"> находятся в ведении муниципалитетов. За исключением очень немногих муниципальных инициатив, касающихся дифференциации, не существует положения о специальной помощи жертвам этого преступления. Дос</w:t>
      </w:r>
      <w:r>
        <w:rPr>
          <w:lang w:val="ru-RU"/>
        </w:rPr>
        <w:t>туп</w:t>
      </w:r>
      <w:r>
        <w:t xml:space="preserve"> в убежища женщин достаточно проблематичен, поскольку  не всегда возможно быстро поместить жертву в подходящее убежище. Межминистерское исследование политики с упором на социальную помощь уделяет особое внимание этому вопросу. Правительство отреагировало ассигнованием 4 млн. евро на увеличение количества мест в убежищах для жертв насилия в семье и торговли женщинами. Фонд борьбы с торговлей женщинами играет посредническую роль в поисках убежища для пострадавшей после ее регистрации в полиции. Фонд все шире участвует в оказании методологической, политической и материальной поддержки, региональной сети учреждений, занимающихся борьбой с торговлей женщинами.</w:t>
      </w:r>
    </w:p>
    <w:p w:rsidR="00000000" w:rsidRDefault="00000000">
      <w:pPr>
        <w:rPr>
          <w:lang w:val="ru-RU"/>
        </w:rPr>
      </w:pPr>
      <w:r>
        <w:t>Благодаря контролю за проституцией стало легче помочь жертвам торговли избежать вовлечения в занятие проституцией. Данные Фонда показывают, что усилия в этом направлении становятся все более успешными.</w:t>
      </w:r>
    </w:p>
    <w:p w:rsidR="00000000" w:rsidRDefault="00000000">
      <w:pPr>
        <w:spacing w:before="120"/>
        <w:rPr>
          <w:lang w:val="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1"/>
        <w:gridCol w:w="1871"/>
        <w:gridCol w:w="1871"/>
        <w:gridCol w:w="1871"/>
        <w:gridCol w:w="1872"/>
      </w:tblGrid>
      <w:tr w:rsidR="00000000">
        <w:tblPrEx>
          <w:tblCellMar>
            <w:top w:w="0" w:type="dxa"/>
            <w:bottom w:w="0" w:type="dxa"/>
          </w:tblCellMar>
        </w:tblPrEx>
        <w:trPr>
          <w:jc w:val="center"/>
        </w:trPr>
        <w:tc>
          <w:tcPr>
            <w:tcW w:w="1871" w:type="dxa"/>
          </w:tcPr>
          <w:p w:rsidR="00000000" w:rsidRDefault="00000000">
            <w:pPr>
              <w:spacing w:before="40" w:after="40" w:line="240" w:lineRule="auto"/>
              <w:jc w:val="center"/>
              <w:rPr>
                <w:b/>
                <w:sz w:val="20"/>
              </w:rPr>
            </w:pPr>
            <w:r>
              <w:rPr>
                <w:b/>
                <w:sz w:val="20"/>
              </w:rPr>
              <w:t>1999 год</w:t>
            </w:r>
          </w:p>
        </w:tc>
        <w:tc>
          <w:tcPr>
            <w:tcW w:w="1871" w:type="dxa"/>
          </w:tcPr>
          <w:p w:rsidR="00000000" w:rsidRDefault="00000000">
            <w:pPr>
              <w:spacing w:before="40" w:after="40" w:line="240" w:lineRule="auto"/>
              <w:jc w:val="center"/>
              <w:rPr>
                <w:b/>
                <w:sz w:val="20"/>
              </w:rPr>
            </w:pPr>
            <w:r>
              <w:rPr>
                <w:b/>
                <w:sz w:val="20"/>
              </w:rPr>
              <w:t>2000 год</w:t>
            </w:r>
          </w:p>
        </w:tc>
        <w:tc>
          <w:tcPr>
            <w:tcW w:w="1871" w:type="dxa"/>
          </w:tcPr>
          <w:p w:rsidR="00000000" w:rsidRDefault="00000000">
            <w:pPr>
              <w:spacing w:before="40" w:after="40" w:line="240" w:lineRule="auto"/>
              <w:jc w:val="center"/>
              <w:rPr>
                <w:b/>
                <w:sz w:val="20"/>
              </w:rPr>
            </w:pPr>
            <w:r>
              <w:rPr>
                <w:b/>
                <w:sz w:val="20"/>
              </w:rPr>
              <w:t>2001 год</w:t>
            </w:r>
          </w:p>
        </w:tc>
        <w:tc>
          <w:tcPr>
            <w:tcW w:w="1871" w:type="dxa"/>
          </w:tcPr>
          <w:p w:rsidR="00000000" w:rsidRDefault="00000000">
            <w:pPr>
              <w:spacing w:before="40" w:after="40" w:line="240" w:lineRule="auto"/>
              <w:jc w:val="center"/>
              <w:rPr>
                <w:b/>
                <w:sz w:val="20"/>
              </w:rPr>
            </w:pPr>
            <w:r>
              <w:rPr>
                <w:b/>
                <w:sz w:val="20"/>
              </w:rPr>
              <w:t>2002 год</w:t>
            </w:r>
          </w:p>
        </w:tc>
        <w:tc>
          <w:tcPr>
            <w:tcW w:w="1872" w:type="dxa"/>
          </w:tcPr>
          <w:p w:rsidR="00000000" w:rsidRDefault="00000000">
            <w:pPr>
              <w:spacing w:before="40" w:after="40" w:line="240" w:lineRule="auto"/>
              <w:jc w:val="center"/>
              <w:rPr>
                <w:b/>
                <w:sz w:val="20"/>
              </w:rPr>
            </w:pPr>
            <w:r>
              <w:rPr>
                <w:b/>
                <w:sz w:val="20"/>
              </w:rPr>
              <w:t>2003 год</w:t>
            </w:r>
          </w:p>
        </w:tc>
      </w:tr>
      <w:tr w:rsidR="00000000">
        <w:tblPrEx>
          <w:tblCellMar>
            <w:top w:w="0" w:type="dxa"/>
            <w:bottom w:w="0" w:type="dxa"/>
          </w:tblCellMar>
        </w:tblPrEx>
        <w:trPr>
          <w:jc w:val="center"/>
        </w:trPr>
        <w:tc>
          <w:tcPr>
            <w:tcW w:w="1871" w:type="dxa"/>
          </w:tcPr>
          <w:p w:rsidR="00000000" w:rsidRDefault="00000000">
            <w:pPr>
              <w:spacing w:before="40" w:after="40" w:line="240" w:lineRule="auto"/>
              <w:jc w:val="center"/>
              <w:rPr>
                <w:sz w:val="20"/>
              </w:rPr>
            </w:pPr>
            <w:r>
              <w:rPr>
                <w:sz w:val="20"/>
              </w:rPr>
              <w:t>287</w:t>
            </w:r>
          </w:p>
        </w:tc>
        <w:tc>
          <w:tcPr>
            <w:tcW w:w="1871" w:type="dxa"/>
          </w:tcPr>
          <w:p w:rsidR="00000000" w:rsidRDefault="00000000">
            <w:pPr>
              <w:spacing w:before="40" w:after="40" w:line="240" w:lineRule="auto"/>
              <w:jc w:val="center"/>
              <w:rPr>
                <w:sz w:val="20"/>
              </w:rPr>
            </w:pPr>
            <w:r>
              <w:rPr>
                <w:sz w:val="20"/>
              </w:rPr>
              <w:t>341</w:t>
            </w:r>
          </w:p>
        </w:tc>
        <w:tc>
          <w:tcPr>
            <w:tcW w:w="1871" w:type="dxa"/>
          </w:tcPr>
          <w:p w:rsidR="00000000" w:rsidRDefault="00000000">
            <w:pPr>
              <w:spacing w:before="40" w:after="40" w:line="240" w:lineRule="auto"/>
              <w:jc w:val="center"/>
              <w:rPr>
                <w:sz w:val="20"/>
              </w:rPr>
            </w:pPr>
            <w:r>
              <w:rPr>
                <w:sz w:val="20"/>
              </w:rPr>
              <w:t>284</w:t>
            </w:r>
          </w:p>
        </w:tc>
        <w:tc>
          <w:tcPr>
            <w:tcW w:w="1871" w:type="dxa"/>
          </w:tcPr>
          <w:p w:rsidR="00000000" w:rsidRDefault="00000000">
            <w:pPr>
              <w:spacing w:before="40" w:after="40" w:line="240" w:lineRule="auto"/>
              <w:jc w:val="center"/>
              <w:rPr>
                <w:sz w:val="20"/>
              </w:rPr>
            </w:pPr>
            <w:r>
              <w:rPr>
                <w:sz w:val="20"/>
              </w:rPr>
              <w:t>343</w:t>
            </w:r>
          </w:p>
        </w:tc>
        <w:tc>
          <w:tcPr>
            <w:tcW w:w="1872" w:type="dxa"/>
          </w:tcPr>
          <w:p w:rsidR="00000000" w:rsidRDefault="00000000">
            <w:pPr>
              <w:spacing w:before="40" w:after="40" w:line="240" w:lineRule="auto"/>
              <w:jc w:val="center"/>
              <w:rPr>
                <w:sz w:val="20"/>
              </w:rPr>
            </w:pPr>
            <w:r>
              <w:rPr>
                <w:sz w:val="20"/>
              </w:rPr>
              <w:t>240</w:t>
            </w:r>
            <w:r>
              <w:rPr>
                <w:rStyle w:val="FootnoteReference"/>
                <w:sz w:val="20"/>
              </w:rPr>
              <w:footnoteReference w:customMarkFollows="1" w:id="41"/>
              <w:t>40</w:t>
            </w:r>
          </w:p>
        </w:tc>
      </w:tr>
    </w:tbl>
    <w:p w:rsidR="00000000" w:rsidRDefault="00000000">
      <w:pPr>
        <w:pStyle w:val="Subtitle"/>
        <w:spacing w:before="480"/>
      </w:pPr>
      <w:r>
        <w:t xml:space="preserve">v. </w:t>
      </w:r>
      <w:r>
        <w:rPr>
          <w:lang w:val="ru-RU"/>
        </w:rPr>
        <w:tab/>
      </w:r>
      <w:r>
        <w:t>Международная деятельность</w:t>
      </w:r>
    </w:p>
    <w:p w:rsidR="00000000" w:rsidRDefault="00000000">
      <w:r>
        <w:t>В последние годы Генеральный директорат международного сотрудничества/Министерство иностранных дел принимал</w:t>
      </w:r>
      <w:r>
        <w:rPr>
          <w:lang w:val="ru-RU"/>
        </w:rPr>
        <w:t>и</w:t>
      </w:r>
      <w:r>
        <w:t xml:space="preserve"> активное участие в борьбе с торговлей людьми. С 1995 года совместно с Фондом борьбы с торговлей женщинами Министерство иностранных дел финансировало программу "Ла Страда".</w:t>
      </w:r>
    </w:p>
    <w:p w:rsidR="00000000" w:rsidRDefault="00000000">
      <w:r>
        <w:t>"Ла Cтрада" сосредоточивает внимание на Центральной и Восточной Европе</w:t>
      </w:r>
      <w:r>
        <w:rPr>
          <w:lang w:val="ru-RU"/>
        </w:rPr>
        <w:t>,</w:t>
      </w:r>
      <w:r>
        <w:t xml:space="preserve"> и ее цель – сделать торговлю женщинами </w:t>
      </w:r>
      <w:r>
        <w:rPr>
          <w:lang w:val="ru-RU"/>
        </w:rPr>
        <w:t xml:space="preserve">менее скрытой </w:t>
      </w:r>
      <w:r>
        <w:t xml:space="preserve">и добиться более широкой осведомленности об этой проблеме среди местных органов власти, СМИ и общественности. В рамках этой программы особое внимание уделяется жертвам торговли. Нидерландские посольства также поддерживают разнообразные проекты, особенно в области предупреждения торговли людьми и защиты ее жертв. Эти усилия сосредоточены на Центральной и Восточной Европе, Западных Балканах и Юго-Восточной Азии. </w:t>
      </w:r>
    </w:p>
    <w:p w:rsidR="00000000" w:rsidRDefault="00000000">
      <w:pPr>
        <w:rPr>
          <w:lang w:val="ru-RU"/>
        </w:rPr>
      </w:pPr>
      <w:r>
        <w:t xml:space="preserve">Во время председательства Нидерландов в ОБСЕ (Организация по безопасности и сотрудничеству в Европе) в 2003 году в результате особого внимания </w:t>
      </w:r>
      <w:r>
        <w:rPr>
          <w:lang w:val="ru-RU"/>
        </w:rPr>
        <w:t xml:space="preserve">к </w:t>
      </w:r>
      <w:r>
        <w:t>вопросу торговли людьми был выработан План действий ОБСЕ по борьбе с торговлей людьми и принят мандат Механизма противодействия такой торговле.</w:t>
      </w:r>
    </w:p>
    <w:p w:rsidR="00000000" w:rsidRDefault="00000000">
      <w:pPr>
        <w:pStyle w:val="Subtitle"/>
        <w:rPr>
          <w:sz w:val="23"/>
        </w:rPr>
      </w:pPr>
      <w:r>
        <w:rPr>
          <w:sz w:val="23"/>
        </w:rPr>
        <w:t>2.</w:t>
      </w:r>
      <w:r>
        <w:rPr>
          <w:sz w:val="23"/>
          <w:lang w:val="ru-RU"/>
        </w:rPr>
        <w:t xml:space="preserve"> </w:t>
      </w:r>
      <w:r>
        <w:rPr>
          <w:sz w:val="23"/>
          <w:lang w:val="ru-RU"/>
        </w:rPr>
        <w:tab/>
      </w:r>
      <w:r>
        <w:rPr>
          <w:sz w:val="23"/>
        </w:rPr>
        <w:t>Снятие запрета на публичные дома и занятие проституцией</w:t>
      </w:r>
    </w:p>
    <w:p w:rsidR="00000000" w:rsidRDefault="00000000">
      <w:pPr>
        <w:pStyle w:val="Subtitle"/>
      </w:pPr>
      <w:r>
        <w:t>i.</w:t>
      </w:r>
      <w:r>
        <w:rPr>
          <w:lang w:val="ru-RU"/>
        </w:rPr>
        <w:t xml:space="preserve"> </w:t>
      </w:r>
      <w:r>
        <w:rPr>
          <w:lang w:val="ru-RU"/>
        </w:rPr>
        <w:tab/>
      </w:r>
      <w:r>
        <w:t>Снятие запрета на публичные дома</w:t>
      </w:r>
    </w:p>
    <w:p w:rsidR="00000000" w:rsidRDefault="00000000">
      <w:r>
        <w:t>Запрет на публичные дома был снят с 1 октября 2000 года. Принимая это решение, правительство Нидерландов стремилось привести букву закона в соответствие с повседневной жизнью, с тем чтобы устранить возможности злоупотреблений, связанных с занятием проституцией. При этом цели правительства были следующие:</w:t>
      </w:r>
    </w:p>
    <w:p w:rsidR="00000000" w:rsidRDefault="00000000">
      <w:pPr>
        <w:ind w:left="680" w:hanging="680"/>
      </w:pPr>
      <w:r>
        <w:t>1.</w:t>
      </w:r>
      <w:r>
        <w:tab/>
        <w:t>обеспечить управление и регулирование занятости лиц</w:t>
      </w:r>
      <w:r>
        <w:rPr>
          <w:lang w:val="ru-RU"/>
        </w:rPr>
        <w:t>,</w:t>
      </w:r>
      <w:r>
        <w:t xml:space="preserve"> добровольно оказывающих платные сексуальные услуги (в частности</w:t>
      </w:r>
      <w:r>
        <w:rPr>
          <w:lang w:val="ru-RU"/>
        </w:rPr>
        <w:t>,</w:t>
      </w:r>
      <w:r>
        <w:t xml:space="preserve"> путем введения муниципальной системы лицензирования);</w:t>
      </w:r>
    </w:p>
    <w:p w:rsidR="00000000" w:rsidRDefault="00000000">
      <w:pPr>
        <w:ind w:left="680" w:hanging="680"/>
      </w:pPr>
      <w:r>
        <w:t>2.</w:t>
      </w:r>
      <w:r>
        <w:tab/>
        <w:t>улучшить меры по борьбе с принуждением к занятию проституцией;</w:t>
      </w:r>
    </w:p>
    <w:p w:rsidR="00000000" w:rsidRDefault="00000000">
      <w:pPr>
        <w:ind w:left="680" w:hanging="680"/>
      </w:pPr>
      <w:r>
        <w:t>3.</w:t>
      </w:r>
      <w:r>
        <w:tab/>
        <w:t>обеспечить защиту несовершеннолетних от сексуального насилия (в связи с занятием проституци</w:t>
      </w:r>
      <w:r>
        <w:rPr>
          <w:lang w:val="ru-RU"/>
        </w:rPr>
        <w:t>ей</w:t>
      </w:r>
      <w:r>
        <w:t>);</w:t>
      </w:r>
    </w:p>
    <w:p w:rsidR="00000000" w:rsidRDefault="00000000">
      <w:pPr>
        <w:ind w:left="680" w:hanging="680"/>
      </w:pPr>
      <w:r>
        <w:t>4.</w:t>
      </w:r>
      <w:r>
        <w:tab/>
        <w:t>обеспечить защиту лиц, оказывающих платные сексуальные услуги;</w:t>
      </w:r>
    </w:p>
    <w:p w:rsidR="00000000" w:rsidRDefault="00000000">
      <w:pPr>
        <w:ind w:left="680" w:hanging="680"/>
      </w:pPr>
      <w:r>
        <w:t>5.</w:t>
      </w:r>
      <w:r>
        <w:tab/>
        <w:t>отделить занятие проституцией от обычно ассоциируемых с ней преступлений;</w:t>
      </w:r>
    </w:p>
    <w:p w:rsidR="00000000" w:rsidRDefault="00000000">
      <w:pPr>
        <w:ind w:left="680" w:hanging="680"/>
      </w:pPr>
      <w:r>
        <w:t>6.</w:t>
      </w:r>
      <w:r>
        <w:tab/>
        <w:t>предотвратить вовлечение в занятие проституцией незаконных иммигрантов (лиц, не имеющих вида на жительство, который разрешал бы им работать в Нидерландах).</w:t>
      </w:r>
    </w:p>
    <w:p w:rsidR="00000000" w:rsidRDefault="00000000">
      <w:pPr>
        <w:rPr>
          <w:lang w:val="ru-RU"/>
        </w:rPr>
      </w:pPr>
      <w:r>
        <w:t>Отделив занятие проституцией от преступной деятельности, правительство расширило возможности по осуществлени</w:t>
      </w:r>
      <w:r>
        <w:rPr>
          <w:lang w:val="ru-RU"/>
        </w:rPr>
        <w:t>ю</w:t>
      </w:r>
      <w:r>
        <w:t xml:space="preserve"> контроля в данном секторе и его "чистке". В то же время оно получило возможность вести более решительную борьбу с соответствующими злоупотреблениями. Легализация данной профессии означает, что Нидерланды в настоящее время являются одной из первых среди стран, в которых добровольное оказание совершеннолетними платных сексуальных услуг официально рассматривается как одна из форм занятости.</w:t>
      </w:r>
    </w:p>
    <w:p w:rsidR="00000000" w:rsidRDefault="00000000">
      <w:pPr>
        <w:spacing w:before="0"/>
        <w:jc w:val="left"/>
        <w:rPr>
          <w:i/>
          <w:lang w:val="ru-RU"/>
        </w:rPr>
      </w:pPr>
    </w:p>
    <w:p w:rsidR="00000000" w:rsidRDefault="00000000">
      <w:pPr>
        <w:spacing w:before="0"/>
        <w:jc w:val="left"/>
        <w:rPr>
          <w:i/>
        </w:rPr>
      </w:pPr>
      <w:r>
        <w:rPr>
          <w:i/>
        </w:rPr>
        <w:t>Оценка последствий снятия запрета на публичные дома</w:t>
      </w:r>
    </w:p>
    <w:p w:rsidR="00000000" w:rsidRDefault="00000000">
      <w:r>
        <w:t>С тем чтобы иметь возможность оценить законодательные изменения, власти внимательно следили за развитием ситуации в секторе проституции по всей территории страны. При этом большое внимание уделялось также изучению потенциальных побочных эффектов в связи со снятием запрета и влияни</w:t>
      </w:r>
      <w:r>
        <w:rPr>
          <w:lang w:val="ru-RU"/>
        </w:rPr>
        <w:t>ем</w:t>
      </w:r>
      <w:r>
        <w:t xml:space="preserve"> этого на такое явление, как торговля людьми. Эта оценка была проведена в 2002</w:t>
      </w:r>
      <w:r>
        <w:rPr>
          <w:lang w:val="ru-RU"/>
        </w:rPr>
        <w:t> </w:t>
      </w:r>
      <w:r>
        <w:t>году</w:t>
      </w:r>
      <w:r>
        <w:rPr>
          <w:lang w:val="ru-RU"/>
        </w:rPr>
        <w:t>,</w:t>
      </w:r>
      <w:r>
        <w:t xml:space="preserve"> спустя два года после снятия указанного запрета. В 2003 году правительство обнародовало свой ответ на доклад об оценке, опубликованный в 2002 году</w:t>
      </w:r>
      <w:r>
        <w:rPr>
          <w:rStyle w:val="FootnoteReference"/>
          <w:sz w:val="22"/>
        </w:rPr>
        <w:footnoteReference w:customMarkFollows="1" w:id="42"/>
        <w:t>41</w:t>
      </w:r>
      <w:r>
        <w:t>. В своем ответе правительство поддержало изложенное в докладе об оценке мнение о том, что пока еще слишком рано делать выводы относительно реальных последствий произведенных законодательных изменений.</w:t>
      </w:r>
    </w:p>
    <w:p w:rsidR="00000000" w:rsidRDefault="00000000">
      <w:r>
        <w:t>Совершенно очевидно, что легализация деятельности, которая в течение почти целого столетия считалась незаконной, требует не только внесения поправок в законодательство и проведения новой политики. К примеру, пока еще не существует полной ясности в отношении прав и обязанностей проституток и владельцев публичных домов, а также их трудовых отношений, и, кроме того, необходимо установить более прочные контакты непосредственно с сектором проституции. По-прежнему ощущается необходимость в устранении некоторых препятствий в отношении статуса лиц, занимающихся проституцией. Изложенные в докладе об оценке рекомендации являются хорошей отправной точкой для того, чтобы направить процесс законодательных изменений в правильное русло. Правительство продолжает работу по достижению намеченных целей, ориентированных на то, чтобы инициировать желаемые изменения и обеспечить их практическое осуществление.</w:t>
      </w:r>
    </w:p>
    <w:p w:rsidR="00000000" w:rsidRDefault="00000000">
      <w:r>
        <w:t>В 2005 году правительство планирует провести вторую оценку, которая будет конкретно посвящена изучению прогресса, достигнутого в деле устранения препятствий, выявленных в ходе первой оценки.</w:t>
      </w:r>
    </w:p>
    <w:p w:rsidR="00000000" w:rsidRDefault="00000000">
      <w:pPr>
        <w:rPr>
          <w:i/>
        </w:rPr>
      </w:pPr>
      <w:r>
        <w:rPr>
          <w:i/>
        </w:rPr>
        <w:t>План действий по обеспечению регулирования и защиты в секторе проституции</w:t>
      </w:r>
    </w:p>
    <w:p w:rsidR="00000000" w:rsidRDefault="00000000">
      <w:r>
        <w:t>После проведенной в 2002 году первой оценки начался совершенно новый процесс. Различные показатели свидетельствуют о том, что, легализовав занятие проституцией, правительство встало на трудный, но перспективный путь. Оказалось, что население страны в целом, сами лица, занимающиеся проституцией, и различные организации, работающие в этом секторе, активно поддерживают те цели, в связи с которыми был снят запрет на публичные дома. Улучшилось качество и количество информации о секторе проституции, и под контролем правительства оказалась находящаяся на виду регулируемая часть сектора. Данные показывают, что количество злоупотреблений в этой части данного сектора продолжает снижаться. Владельцы публичных домов и проститутки образовали заинтересованные группы и присоединились, соответственно, к СМСП (сектор малых и средних предприятий) и ФНП (Федераци</w:t>
      </w:r>
      <w:r>
        <w:rPr>
          <w:lang w:val="ru-RU"/>
        </w:rPr>
        <w:t>я</w:t>
      </w:r>
      <w:r>
        <w:t xml:space="preserve"> нидерландских профсоюзов). Эта Федерация выступила инициатором переговоров по вопросам условий труда лиц, занимающихся проституцией. Были организованы консультации между муниципалитетами, различными государственными организациями и представителями данного сектора. Различные организации в настоящее время работают над подготовкой совместной политики и занимаются сбором информации, касающейся занятия проституцией. Принимаются меры по оказанию содействия проституткам, желающим уйти из этой профессии. Вместе с тем, несмотря на указанные положительные изменения, намеченные цели пока еще не достигнуты. Результаты оценки и имеющиеся в распоряжении Палаты представителей</w:t>
      </w:r>
      <w:r>
        <w:rPr>
          <w:lang w:val="ru-RU"/>
        </w:rPr>
        <w:t xml:space="preserve"> данные</w:t>
      </w:r>
      <w:r>
        <w:t xml:space="preserve"> свидетельствуют о наличии ряда препятствий в таких областях, как муниципальный контроль, трудовые отношения между проститутками и владельцами публичных домов, отношение к данному сектору и выявление форм эксплуатации, подпадающих под действие уголовного законодательства, и преследование в связи с этим правонарушителей. По этой причине был разработан </w:t>
      </w:r>
      <w:r>
        <w:rPr>
          <w:lang w:val="ru-RU"/>
        </w:rPr>
        <w:t>П</w:t>
      </w:r>
      <w:r>
        <w:t>лан действий, который был представлен на рассмотрение Палаты представителей в начале июля 2004 года</w:t>
      </w:r>
      <w:r>
        <w:rPr>
          <w:rStyle w:val="FootnoteReference"/>
          <w:sz w:val="22"/>
        </w:rPr>
        <w:footnoteReference w:customMarkFollows="1" w:id="43"/>
        <w:t>42</w:t>
      </w:r>
      <w:r>
        <w:t>. В этом плане содержится обзор основных препятствий, выявленных после снятия запрета и мешающих достижению главных целей законодательных изменений.</w:t>
      </w:r>
    </w:p>
    <w:p w:rsidR="00000000" w:rsidRDefault="00000000">
      <w:pPr>
        <w:rPr>
          <w:i/>
        </w:rPr>
      </w:pPr>
      <w:r>
        <w:rPr>
          <w:i/>
        </w:rPr>
        <w:t>Политика проведения мониторинга в отношении проституции</w:t>
      </w:r>
    </w:p>
    <w:p w:rsidR="00000000" w:rsidRDefault="00000000">
      <w:pPr>
        <w:spacing w:before="160"/>
      </w:pPr>
      <w:r>
        <w:t>В целях наблюдения за процессом упорядочения в секторе проституции был создан национальный комитет по контролю за положением в секторе проституции. В состав данного комитета входят представители всех соответствующих министерств, а также представители национальных служб, общественных организаций и НПО. В состав комитета также входят представители от групп лиц, занимающихся проституцией.</w:t>
      </w:r>
    </w:p>
    <w:p w:rsidR="00000000" w:rsidRDefault="00000000">
      <w:pPr>
        <w:rPr>
          <w:i/>
        </w:rPr>
      </w:pPr>
      <w:r>
        <w:rPr>
          <w:i/>
        </w:rPr>
        <w:t>Муниципальная политика</w:t>
      </w:r>
    </w:p>
    <w:p w:rsidR="00000000" w:rsidRDefault="00000000">
      <w:pPr>
        <w:spacing w:before="160"/>
      </w:pPr>
      <w:r>
        <w:t>Функции по выработке и проведению политики легализации проституции были специально закреплены за муниципалитетами, для того чтобы можно было учитывать конкретные обстоятельства на местном уровне. Муниципалитеты сами определяют условия, при которых на находящейся в их ведении территории разрешается работать публичным домам. Для этого муниципалитеты используют политику выдачи лицензий. Другими словами, владельцам публичных домов необходимо получить лицензию, чтобы иметь возможность заниматься этим бизнесом. Политика выдачи лицензий может быть использована для оказания влияния на той территории, где планируется разрешить занятие проституцией. К примеру, занятие проституцией не должно отрицательным образом сказываться на рабочих и жизненных условиях на данной территории. Владельцы публичных домов должны соблюдать требования, касающиеся территориального планирования (плана зонирования и плана обновления городских построек), а также подзаконные акты, касающиеся условий проживания.</w:t>
      </w:r>
    </w:p>
    <w:p w:rsidR="00000000" w:rsidRDefault="00000000">
      <w:pPr>
        <w:spacing w:before="160"/>
      </w:pPr>
      <w:r>
        <w:t>Предписания о местах для занятия проституцией регулируют размеры и планировку заведений (например, минимальные размеры рабочих помещений), вопросы безопасности (например, противопожарной безопасности), личной защиты (кнопки сигналов тревоги) и гигиены.</w:t>
      </w:r>
    </w:p>
    <w:p w:rsidR="00000000" w:rsidRDefault="00000000">
      <w:r>
        <w:t>Предписания о местах для занятия проституцией касаются положения и статуса проституток и имеют целью не допустить причинения чрезмерного беспокойства окрестным жителям. Например, владельцы публичных домов обязаны проводить политику "безопасного секса", создавать возможности для распространения информации о болезнях</w:t>
      </w:r>
      <w:r>
        <w:rPr>
          <w:lang w:val="ru-RU"/>
        </w:rPr>
        <w:t>,</w:t>
      </w:r>
      <w:r>
        <w:t xml:space="preserve"> передаваемых половым путем, и поощрять лиц, оказывающих платные сексуальные услуги, регулярно проходить проверку на предмет указанных заболеваний. Организация "SOA Aids Nederland" (национальная организация, занимающаяся вопросами борьбы с болезнями, передаваемыми половым путем (БППП), и СПИДом)</w:t>
      </w:r>
      <w:r>
        <w:rPr>
          <w:rStyle w:val="FootnoteReference"/>
          <w:sz w:val="22"/>
        </w:rPr>
        <w:footnoteReference w:customMarkFollows="1" w:id="44"/>
        <w:t>43</w:t>
      </w:r>
      <w:r>
        <w:t xml:space="preserve"> разработала руководящие принципы для семейных врачей и специалистов по БППП в целях проведения осмотров среди лиц, занимающихся проституцией.</w:t>
      </w:r>
    </w:p>
    <w:p w:rsidR="00000000" w:rsidRDefault="00000000">
      <w:pPr>
        <w:rPr>
          <w:i/>
        </w:rPr>
      </w:pPr>
      <w:r>
        <w:rPr>
          <w:i/>
        </w:rPr>
        <w:t>Контроль за соблюдением правил лицензирования</w:t>
      </w:r>
    </w:p>
    <w:p w:rsidR="00000000" w:rsidRDefault="00000000">
      <w:r>
        <w:t xml:space="preserve">Контроль за соблюдением правил лицензирования осуществляется в административном порядке. Муниципалитет как центральный орган назначает учреждение, которое будет следить за соблюдением условий лицензии. </w:t>
      </w:r>
      <w:r>
        <w:rPr>
          <w:lang w:val="ru-RU"/>
        </w:rPr>
        <w:t>Н</w:t>
      </w:r>
      <w:r>
        <w:t xml:space="preserve">а практике чаще всего этим учреждением оказывается полиция. Авторитетный треугольник (в составе мэра, государственного обвинителя и начальника местного отделения полиции) представляет собой тот механизм, с помощью которого обеспечивается координация местной правоприменительной политики. На этой основе соглашения между муниципальными органами власти, </w:t>
      </w:r>
      <w:r>
        <w:rPr>
          <w:lang w:val="ru-RU"/>
        </w:rPr>
        <w:t>Г</w:t>
      </w:r>
      <w:r>
        <w:t>осударственной прокуратурой и полицией могут выступать в роли правоприменительных механизмов.</w:t>
      </w:r>
    </w:p>
    <w:p w:rsidR="00000000" w:rsidRDefault="00000000">
      <w:r>
        <w:t xml:space="preserve">Благодаря регулярно проводимым проверкам органы полиции способны быстрее других выявить признаки торговли людьми, имеющей место как в регулируемом, так и </w:t>
      </w:r>
      <w:r>
        <w:rPr>
          <w:lang w:val="ru-RU"/>
        </w:rPr>
        <w:t xml:space="preserve">в </w:t>
      </w:r>
      <w:r>
        <w:t>нерегулируемом секторе проституции. Эти действия отвечают как интересам лиц, занимающихся проституцией, так и интересам борьбы с торговлей людьми, социальным насилием и сексуальными злоупотреблениями.</w:t>
      </w:r>
    </w:p>
    <w:p w:rsidR="00000000" w:rsidRDefault="00000000">
      <w:pPr>
        <w:rPr>
          <w:b/>
          <w:i/>
          <w:lang w:val="ru-RU"/>
        </w:rPr>
      </w:pPr>
      <w:r>
        <w:rPr>
          <w:b/>
          <w:i/>
          <w:lang w:val="ru-RU"/>
        </w:rPr>
        <w:t>Улучшение положения лиц, занимающихся проституцией</w:t>
      </w:r>
    </w:p>
    <w:p w:rsidR="00000000" w:rsidRDefault="00000000">
      <w:r>
        <w:t>Снятие запрета на публичные дома во многом способствовало улучшению положения лиц, оказывающих платные сексуальные услуги. Муниципальные предписания способствуют этому процессу, определяя правила, касающиеся безопасности, гигиены и условий труда в секторе проституции.</w:t>
      </w:r>
    </w:p>
    <w:p w:rsidR="00000000" w:rsidRDefault="00000000">
      <w:r>
        <w:t>Согласно действующим правилам, медицинские осмотры проводятся четыре раза в год. Эти осмотры проводятся на добровольной основе и в целом всеми воспринимаются позитивно, так как проститутки хорошо понимают, для чего они необходимы. Безопасный секс и распространение соответствующей информации среди лиц, занимающихся проституцией, и их клиентов являются наилучшими средствами защиты от болезней, передаваемых половым путем.</w:t>
      </w:r>
    </w:p>
    <w:p w:rsidR="00000000" w:rsidRDefault="00000000">
      <w:r>
        <w:t>Снятие запрета означает, что в настоящее время проституция считается в Нидерландах одним из официальных видов занятости, поэтому проститутки имеют такие же права и обязанности, как и все другие работающие граждане. Поскольку данная профессия в течение многих лет считалась противоправным занятием и общество попросту терпело данную ситуацию, трудовые отношения в секторе проституции развивались по иному, чем в других секторах занятости, сценарию. Новые формы трудовых отношений между владельцами публичных домов и лицами, занимающимися проституцией, еще предстоит определить. Это касается самих участвующих сторон, и правительство вряд ли сможет легко оказывать давление в связи с этим. Многие владельцы таких заведений предпочитают не заключать трудовых соглашений и рассматривать себя как лиц, предоставляющих проституткам место для занятия выбранной ими деятельностью.</w:t>
      </w:r>
    </w:p>
    <w:p w:rsidR="00000000" w:rsidRDefault="00000000">
      <w:r>
        <w:t>Нидерландское налоговое управление и Агентство по страхованию трудящихся (БТС) решают вопрос о наличии или отсутствии отношений найма, руководствуясь совместными критериями. Инспекция по вопросам безопасности и гигиены труда использует несколько иные критерии, опираясь на положения Закона об условиях труда. В ходе совместных проектов Налогового управления и БТС, связанных с правоприменительной деятельностью, было продемонстрировано, что во многих случаях инспекция по вопросам безопасности и гигиены труда приходит к тем же выводам, что и Налоговое управление.</w:t>
      </w:r>
    </w:p>
    <w:p w:rsidR="00000000" w:rsidRDefault="00000000">
      <w:r>
        <w:t>Попытки продемонстрировать характер отношений найма в этой области сталкиваются с существенными проблемами, связанными с получением доказательств. Во многих случаях, в которых налоговые органы и инспекция по вопросам безопасности и гигиены труда, руководствуясь имеющимися у них данными, приходят к выводу о наличии отношений найма, владелец публичного дома и лицо, занимающееся проституцией, представляются как самозанятые. В ближайшем будущем БТС и Налоговое управление планируют подготовить некоторые выводы в отношении процедур, которыми следует руководствоваться применительно к данному сектору.</w:t>
      </w:r>
    </w:p>
    <w:p w:rsidR="00000000" w:rsidRDefault="00000000">
      <w:pPr>
        <w:rPr>
          <w:b/>
          <w:i/>
        </w:rPr>
      </w:pPr>
      <w:r>
        <w:rPr>
          <w:b/>
          <w:i/>
        </w:rPr>
        <w:t>Закон, касающийся (занятости) иностранных граждан</w:t>
      </w:r>
    </w:p>
    <w:p w:rsidR="00000000" w:rsidRDefault="00000000">
      <w:r>
        <w:t>В соответствии с Законом, касающимся (занятости) иностранных граждан, разрешения на занятие проституции таким лицам не выдается. Этот запрет относится к тому периоду, когда еще существовал общий запрет на публичные дома. Вместе с тем это положение продолжает применяться в ожидании внесения поправок в Закон об иностранцах 2000 года.</w:t>
      </w:r>
    </w:p>
    <w:p w:rsidR="00000000" w:rsidRDefault="00000000">
      <w:r>
        <w:t>Причина для объявления Закона, касающегося (занятости) иностранных граждан, неприменимым связана с тем, что, хотя в результате снятия запрета на публичные дома проституция и была легализована, сам характер данной профессии подразумевает, что Центр по вопросам труда и доходов (ЦТД) не может активно вмешиваться в процесс поиска рабочих мест в этой области. В Законе о (занятости) иностранных граждан говорится, что лицо из любой страны, не входящей в ЕС, может быть принято на работу только в том случае, если данное место не может быть заполнено подданным Нидерландов или иностранными подданными, имеющими на него приоритетное право. Поскольку Центр по вопросам труда и доходов не вмешивается в эту деятельность, в данном секторе невозможно провести проверку. По мнению правительства, это не означает наличие какого-либо противоречия, а является лишь свидетельством особого характера трудовых отношений в секторе проституции.</w:t>
      </w:r>
    </w:p>
    <w:p w:rsidR="00000000" w:rsidRDefault="00000000">
      <w:r>
        <w:t>Вместе с тем вышеуказанная оценка последствий снятия запрета на публичные дома дает основания считать, что тот факт, что Закон</w:t>
      </w:r>
      <w:r>
        <w:rPr>
          <w:lang w:val="ru-RU"/>
        </w:rPr>
        <w:t xml:space="preserve"> о</w:t>
      </w:r>
      <w:r>
        <w:t xml:space="preserve"> (занятости) иностранных граждан является неприменимым, приводит к тому, что данная деятельность уходит в противоправное русло.</w:t>
      </w:r>
    </w:p>
    <w:p w:rsidR="00000000" w:rsidRDefault="00000000">
      <w:pPr>
        <w:keepNext/>
        <w:rPr>
          <w:b/>
          <w:i/>
        </w:rPr>
      </w:pPr>
      <w:r>
        <w:rPr>
          <w:b/>
          <w:i/>
        </w:rPr>
        <w:t>Программы, направленные на то, чтобы помочь проституткам бросить эту профессию</w:t>
      </w:r>
    </w:p>
    <w:p w:rsidR="00000000" w:rsidRDefault="00000000">
      <w:r>
        <w:t>Лица, занимающиеся проституцией, нередко сталкиваются с различными проблемами, пытаясь уйти из этой профессии. По сообщениям организаций, занимающихся проблемами проституток, таких как социальные учреждения и муниципальные службы здравоохранения, проституткам сложно интегрироваться в общество. Эти сложности в основном обусловлены соответствующим сокращением уровня их доходов, образом жизни и социальными отношениями среди лиц, занимающихся проституцией, проблемами в связи с их нежеланием отказаться от анонимности и рассказывать об опыте работы в индустрии проституции, психологическими проблемами и проблемами алкогольной или наркозависимости, практическими трудностями, связанными с материальным обеспечением, жильем или правовыми вопросами, видом на жительство, низким уровнем образования и отсутствием какой-либо профессии.</w:t>
      </w:r>
    </w:p>
    <w:p w:rsidR="00000000" w:rsidRDefault="00000000">
      <w:r>
        <w:t>Муниципалитеты выступают с большим числом инициатив по оказанию поддержки проституткам, желающим вернуться к нормальной жизни. Все эти инициативы являются весьма обнадеживающими.</w:t>
      </w:r>
    </w:p>
    <w:p w:rsidR="00000000" w:rsidRDefault="00000000">
      <w:pPr>
        <w:pStyle w:val="-2"/>
      </w:pPr>
      <w:r>
        <w:t>Статьи 7 и 8:  Участие в политической и общественной жизни</w:t>
      </w:r>
    </w:p>
    <w:p w:rsidR="00000000" w:rsidRDefault="00000000">
      <w:pPr>
        <w:pStyle w:val="Subtitle"/>
        <w:rPr>
          <w:sz w:val="23"/>
          <w:lang w:val="ru-RU"/>
        </w:rPr>
      </w:pPr>
      <w:r>
        <w:rPr>
          <w:sz w:val="23"/>
          <w:lang w:val="ru-RU"/>
        </w:rPr>
        <w:t xml:space="preserve">1. </w:t>
      </w:r>
      <w:r>
        <w:rPr>
          <w:sz w:val="23"/>
          <w:lang w:val="ru-RU"/>
        </w:rPr>
        <w:tab/>
        <w:t xml:space="preserve">Кадровая </w:t>
      </w:r>
      <w:r>
        <w:rPr>
          <w:sz w:val="23"/>
        </w:rPr>
        <w:t>политика</w:t>
      </w:r>
      <w:r>
        <w:rPr>
          <w:sz w:val="23"/>
          <w:lang w:val="ru-RU"/>
        </w:rPr>
        <w:t xml:space="preserve"> в министерствах</w:t>
      </w:r>
    </w:p>
    <w:p w:rsidR="00000000" w:rsidRDefault="00000000">
      <w:pPr>
        <w:pStyle w:val="Subtitle"/>
        <w:rPr>
          <w:lang w:val="ru-RU"/>
        </w:rPr>
      </w:pPr>
      <w:r>
        <w:rPr>
          <w:lang w:val="ru-RU"/>
        </w:rPr>
        <w:t>Правительство как работодатель</w:t>
      </w:r>
    </w:p>
    <w:p w:rsidR="00000000" w:rsidRDefault="00000000">
      <w:r>
        <w:t>Правительство определило ориентиры в отношении числа женщин среди руководителей старшего звена</w:t>
      </w:r>
      <w:r>
        <w:rPr>
          <w:rStyle w:val="FootnoteReference"/>
        </w:rPr>
        <w:footnoteReference w:customMarkFollows="1" w:id="45"/>
        <w:t>44</w:t>
      </w:r>
      <w:r>
        <w:t>. Например, к 2010 году женщины должны занимать 25 процентов должностей уровня исполнительных руководителей (18-й разряд оплаты труда и выше). Доля женщин среди руководителей более низкого уровня (15–18-й разряд</w:t>
      </w:r>
      <w:r>
        <w:rPr>
          <w:lang w:val="ru-RU"/>
        </w:rPr>
        <w:t>ы</w:t>
      </w:r>
      <w:r>
        <w:t xml:space="preserve"> оплаты труда) должна будет составлять 30</w:t>
      </w:r>
      <w:r>
        <w:rPr>
          <w:lang w:val="ru-RU"/>
        </w:rPr>
        <w:t> </w:t>
      </w:r>
      <w:r>
        <w:t>процентов. Некоторые министерства используют дополнительные целевые показатели, учитывающие их конкретную ситуацию. В Службе старших государственных должностных лиц, которая отвечает за все назначения на высшие руководящие государственные должности, вопросу о представленности женщин уделяется особое внимание, особенно на стадии набора персонала.</w:t>
      </w:r>
    </w:p>
    <w:p w:rsidR="00000000" w:rsidRDefault="00000000">
      <w:pPr>
        <w:pStyle w:val="Subtitle"/>
        <w:spacing w:before="240" w:after="240"/>
        <w:rPr>
          <w:b w:val="0"/>
          <w:lang w:val="ru-RU"/>
        </w:rPr>
      </w:pPr>
      <w:r>
        <w:rPr>
          <w:lang w:val="ru-RU"/>
        </w:rPr>
        <w:t xml:space="preserve">Доля женщин на высокооплачиваемых должностях </w:t>
      </w:r>
      <w:r>
        <w:rPr>
          <w:b w:val="0"/>
          <w:lang w:val="ru-RU"/>
        </w:rPr>
        <w:t>(в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71"/>
        <w:gridCol w:w="1871"/>
        <w:gridCol w:w="1871"/>
        <w:gridCol w:w="1871"/>
        <w:gridCol w:w="1872"/>
      </w:tblGrid>
      <w:tr w:rsidR="00000000">
        <w:tblPrEx>
          <w:tblCellMar>
            <w:top w:w="0" w:type="dxa"/>
            <w:bottom w:w="0" w:type="dxa"/>
          </w:tblCellMar>
        </w:tblPrEx>
        <w:trPr>
          <w:jc w:val="center"/>
        </w:trPr>
        <w:tc>
          <w:tcPr>
            <w:tcW w:w="1871" w:type="dxa"/>
          </w:tcPr>
          <w:p w:rsidR="00000000" w:rsidRDefault="00000000">
            <w:pPr>
              <w:spacing w:before="40" w:after="40" w:line="240" w:lineRule="auto"/>
              <w:jc w:val="center"/>
              <w:rPr>
                <w:b/>
                <w:sz w:val="20"/>
              </w:rPr>
            </w:pPr>
          </w:p>
        </w:tc>
        <w:tc>
          <w:tcPr>
            <w:tcW w:w="1871" w:type="dxa"/>
          </w:tcPr>
          <w:p w:rsidR="00000000" w:rsidRDefault="00000000">
            <w:pPr>
              <w:spacing w:before="40" w:after="40" w:line="240" w:lineRule="auto"/>
              <w:jc w:val="center"/>
              <w:rPr>
                <w:b/>
                <w:sz w:val="20"/>
              </w:rPr>
            </w:pPr>
            <w:r>
              <w:rPr>
                <w:b/>
                <w:sz w:val="20"/>
              </w:rPr>
              <w:t>2000 год</w:t>
            </w:r>
          </w:p>
        </w:tc>
        <w:tc>
          <w:tcPr>
            <w:tcW w:w="1871" w:type="dxa"/>
          </w:tcPr>
          <w:p w:rsidR="00000000" w:rsidRDefault="00000000">
            <w:pPr>
              <w:spacing w:before="40" w:after="40" w:line="240" w:lineRule="auto"/>
              <w:jc w:val="center"/>
              <w:rPr>
                <w:b/>
                <w:sz w:val="20"/>
              </w:rPr>
            </w:pPr>
            <w:r>
              <w:rPr>
                <w:b/>
                <w:sz w:val="20"/>
              </w:rPr>
              <w:t>2001 год</w:t>
            </w:r>
          </w:p>
        </w:tc>
        <w:tc>
          <w:tcPr>
            <w:tcW w:w="1871" w:type="dxa"/>
          </w:tcPr>
          <w:p w:rsidR="00000000" w:rsidRDefault="00000000">
            <w:pPr>
              <w:spacing w:before="40" w:after="40" w:line="240" w:lineRule="auto"/>
              <w:jc w:val="center"/>
              <w:rPr>
                <w:b/>
                <w:sz w:val="20"/>
              </w:rPr>
            </w:pPr>
            <w:r>
              <w:rPr>
                <w:b/>
                <w:sz w:val="20"/>
              </w:rPr>
              <w:t>2002 год</w:t>
            </w:r>
          </w:p>
        </w:tc>
        <w:tc>
          <w:tcPr>
            <w:tcW w:w="1872" w:type="dxa"/>
          </w:tcPr>
          <w:p w:rsidR="00000000" w:rsidRDefault="00000000">
            <w:pPr>
              <w:spacing w:before="40" w:after="40" w:line="240" w:lineRule="auto"/>
              <w:jc w:val="center"/>
              <w:rPr>
                <w:b/>
                <w:sz w:val="20"/>
              </w:rPr>
            </w:pPr>
            <w:r>
              <w:rPr>
                <w:b/>
                <w:sz w:val="20"/>
              </w:rPr>
              <w:t>2003 год</w:t>
            </w:r>
          </w:p>
        </w:tc>
      </w:tr>
      <w:tr w:rsidR="00000000">
        <w:tblPrEx>
          <w:tblCellMar>
            <w:top w:w="0" w:type="dxa"/>
            <w:bottom w:w="0" w:type="dxa"/>
          </w:tblCellMar>
        </w:tblPrEx>
        <w:trPr>
          <w:jc w:val="center"/>
        </w:trPr>
        <w:tc>
          <w:tcPr>
            <w:tcW w:w="1871" w:type="dxa"/>
          </w:tcPr>
          <w:p w:rsidR="00000000" w:rsidRDefault="00000000">
            <w:pPr>
              <w:spacing w:before="40" w:after="40" w:line="240" w:lineRule="auto"/>
              <w:jc w:val="left"/>
              <w:rPr>
                <w:sz w:val="20"/>
                <w:lang w:val="ru-RU"/>
              </w:rPr>
            </w:pPr>
            <w:r>
              <w:rPr>
                <w:sz w:val="20"/>
              </w:rPr>
              <w:t>11–14-й разряд</w:t>
            </w:r>
            <w:r>
              <w:rPr>
                <w:sz w:val="20"/>
                <w:lang w:val="ru-RU"/>
              </w:rPr>
              <w:t>ы</w:t>
            </w:r>
          </w:p>
        </w:tc>
        <w:tc>
          <w:tcPr>
            <w:tcW w:w="1871" w:type="dxa"/>
          </w:tcPr>
          <w:p w:rsidR="00000000" w:rsidRDefault="00000000">
            <w:pPr>
              <w:spacing w:before="40" w:after="40" w:line="240" w:lineRule="auto"/>
              <w:jc w:val="center"/>
              <w:rPr>
                <w:color w:val="000000"/>
                <w:sz w:val="20"/>
              </w:rPr>
            </w:pPr>
            <w:r>
              <w:rPr>
                <w:color w:val="000000"/>
                <w:sz w:val="20"/>
              </w:rPr>
              <w:t>24,4</w:t>
            </w:r>
          </w:p>
        </w:tc>
        <w:tc>
          <w:tcPr>
            <w:tcW w:w="1871" w:type="dxa"/>
          </w:tcPr>
          <w:p w:rsidR="00000000" w:rsidRDefault="00000000">
            <w:pPr>
              <w:spacing w:before="40" w:after="40" w:line="240" w:lineRule="auto"/>
              <w:jc w:val="center"/>
              <w:rPr>
                <w:color w:val="000000"/>
                <w:sz w:val="20"/>
              </w:rPr>
            </w:pPr>
            <w:r>
              <w:rPr>
                <w:color w:val="000000"/>
                <w:sz w:val="20"/>
              </w:rPr>
              <w:t>26,0</w:t>
            </w:r>
          </w:p>
        </w:tc>
        <w:tc>
          <w:tcPr>
            <w:tcW w:w="1871" w:type="dxa"/>
          </w:tcPr>
          <w:p w:rsidR="00000000" w:rsidRDefault="00000000">
            <w:pPr>
              <w:spacing w:before="40" w:after="40" w:line="240" w:lineRule="auto"/>
              <w:jc w:val="center"/>
              <w:rPr>
                <w:color w:val="000000"/>
                <w:sz w:val="20"/>
              </w:rPr>
            </w:pPr>
            <w:r>
              <w:rPr>
                <w:color w:val="000000"/>
                <w:sz w:val="20"/>
              </w:rPr>
              <w:t>27,5</w:t>
            </w:r>
          </w:p>
        </w:tc>
        <w:tc>
          <w:tcPr>
            <w:tcW w:w="1872" w:type="dxa"/>
          </w:tcPr>
          <w:p w:rsidR="00000000" w:rsidRDefault="00000000">
            <w:pPr>
              <w:spacing w:before="40" w:after="40" w:line="240" w:lineRule="auto"/>
              <w:jc w:val="center"/>
              <w:rPr>
                <w:color w:val="000000"/>
                <w:sz w:val="20"/>
              </w:rPr>
            </w:pPr>
            <w:r>
              <w:rPr>
                <w:color w:val="000000"/>
                <w:sz w:val="20"/>
              </w:rPr>
              <w:t>28,2</w:t>
            </w:r>
          </w:p>
        </w:tc>
      </w:tr>
      <w:tr w:rsidR="00000000">
        <w:tblPrEx>
          <w:tblCellMar>
            <w:top w:w="0" w:type="dxa"/>
            <w:bottom w:w="0" w:type="dxa"/>
          </w:tblCellMar>
        </w:tblPrEx>
        <w:trPr>
          <w:jc w:val="center"/>
        </w:trPr>
        <w:tc>
          <w:tcPr>
            <w:tcW w:w="1871" w:type="dxa"/>
          </w:tcPr>
          <w:p w:rsidR="00000000" w:rsidRDefault="00000000">
            <w:pPr>
              <w:spacing w:before="40" w:after="40" w:line="240" w:lineRule="auto"/>
              <w:jc w:val="left"/>
              <w:rPr>
                <w:sz w:val="20"/>
              </w:rPr>
            </w:pPr>
            <w:r>
              <w:rPr>
                <w:sz w:val="20"/>
              </w:rPr>
              <w:t>15-й разряд и выше</w:t>
            </w:r>
          </w:p>
        </w:tc>
        <w:tc>
          <w:tcPr>
            <w:tcW w:w="1871" w:type="dxa"/>
            <w:vAlign w:val="bottom"/>
          </w:tcPr>
          <w:p w:rsidR="00000000" w:rsidRDefault="00000000">
            <w:pPr>
              <w:spacing w:before="40" w:after="40" w:line="240" w:lineRule="auto"/>
              <w:jc w:val="center"/>
              <w:rPr>
                <w:color w:val="000000"/>
                <w:sz w:val="20"/>
              </w:rPr>
            </w:pPr>
            <w:r>
              <w:rPr>
                <w:color w:val="000000"/>
                <w:sz w:val="20"/>
              </w:rPr>
              <w:t>10,2</w:t>
            </w:r>
          </w:p>
        </w:tc>
        <w:tc>
          <w:tcPr>
            <w:tcW w:w="1871" w:type="dxa"/>
            <w:vAlign w:val="bottom"/>
          </w:tcPr>
          <w:p w:rsidR="00000000" w:rsidRDefault="00000000">
            <w:pPr>
              <w:spacing w:before="40" w:after="40" w:line="240" w:lineRule="auto"/>
              <w:jc w:val="center"/>
              <w:rPr>
                <w:color w:val="000000"/>
                <w:sz w:val="20"/>
              </w:rPr>
            </w:pPr>
            <w:r>
              <w:rPr>
                <w:color w:val="000000"/>
                <w:sz w:val="20"/>
              </w:rPr>
              <w:t>11,2</w:t>
            </w:r>
          </w:p>
        </w:tc>
        <w:tc>
          <w:tcPr>
            <w:tcW w:w="1871" w:type="dxa"/>
            <w:vAlign w:val="bottom"/>
          </w:tcPr>
          <w:p w:rsidR="00000000" w:rsidRDefault="00000000">
            <w:pPr>
              <w:spacing w:before="40" w:after="40" w:line="240" w:lineRule="auto"/>
              <w:jc w:val="center"/>
              <w:rPr>
                <w:color w:val="000000"/>
                <w:sz w:val="20"/>
              </w:rPr>
            </w:pPr>
            <w:r>
              <w:rPr>
                <w:color w:val="000000"/>
                <w:sz w:val="20"/>
              </w:rPr>
              <w:t>12,5</w:t>
            </w:r>
          </w:p>
        </w:tc>
        <w:tc>
          <w:tcPr>
            <w:tcW w:w="1872" w:type="dxa"/>
            <w:vAlign w:val="bottom"/>
          </w:tcPr>
          <w:p w:rsidR="00000000" w:rsidRDefault="00000000">
            <w:pPr>
              <w:spacing w:before="40" w:after="40" w:line="240" w:lineRule="auto"/>
              <w:jc w:val="center"/>
              <w:rPr>
                <w:color w:val="000000"/>
                <w:sz w:val="20"/>
              </w:rPr>
            </w:pPr>
            <w:r>
              <w:rPr>
                <w:color w:val="000000"/>
                <w:sz w:val="20"/>
              </w:rPr>
              <w:t>14,1</w:t>
            </w:r>
          </w:p>
        </w:tc>
      </w:tr>
      <w:tr w:rsidR="00000000">
        <w:tblPrEx>
          <w:tblCellMar>
            <w:top w:w="0" w:type="dxa"/>
            <w:bottom w:w="0" w:type="dxa"/>
          </w:tblCellMar>
        </w:tblPrEx>
        <w:trPr>
          <w:jc w:val="center"/>
        </w:trPr>
        <w:tc>
          <w:tcPr>
            <w:tcW w:w="1871" w:type="dxa"/>
          </w:tcPr>
          <w:p w:rsidR="00000000" w:rsidRDefault="00000000">
            <w:pPr>
              <w:spacing w:before="40" w:after="40" w:line="240" w:lineRule="auto"/>
              <w:jc w:val="left"/>
              <w:rPr>
                <w:sz w:val="20"/>
              </w:rPr>
            </w:pPr>
            <w:r>
              <w:rPr>
                <w:sz w:val="20"/>
              </w:rPr>
              <w:t>Итого</w:t>
            </w:r>
          </w:p>
        </w:tc>
        <w:tc>
          <w:tcPr>
            <w:tcW w:w="1871" w:type="dxa"/>
          </w:tcPr>
          <w:p w:rsidR="00000000" w:rsidRDefault="00000000">
            <w:pPr>
              <w:spacing w:before="40" w:after="40" w:line="240" w:lineRule="auto"/>
              <w:jc w:val="center"/>
              <w:rPr>
                <w:color w:val="000000"/>
                <w:sz w:val="20"/>
              </w:rPr>
            </w:pPr>
            <w:r>
              <w:rPr>
                <w:color w:val="000000"/>
                <w:sz w:val="20"/>
              </w:rPr>
              <w:t>35,9</w:t>
            </w:r>
          </w:p>
        </w:tc>
        <w:tc>
          <w:tcPr>
            <w:tcW w:w="1871" w:type="dxa"/>
          </w:tcPr>
          <w:p w:rsidR="00000000" w:rsidRDefault="00000000">
            <w:pPr>
              <w:spacing w:before="40" w:after="40" w:line="240" w:lineRule="auto"/>
              <w:jc w:val="center"/>
              <w:rPr>
                <w:color w:val="000000"/>
                <w:sz w:val="20"/>
              </w:rPr>
            </w:pPr>
            <w:r>
              <w:rPr>
                <w:color w:val="000000"/>
                <w:sz w:val="20"/>
              </w:rPr>
              <w:t>37,3</w:t>
            </w:r>
          </w:p>
        </w:tc>
        <w:tc>
          <w:tcPr>
            <w:tcW w:w="1871" w:type="dxa"/>
          </w:tcPr>
          <w:p w:rsidR="00000000" w:rsidRDefault="00000000">
            <w:pPr>
              <w:spacing w:before="40" w:after="40" w:line="240" w:lineRule="auto"/>
              <w:jc w:val="center"/>
              <w:rPr>
                <w:color w:val="000000"/>
                <w:sz w:val="20"/>
              </w:rPr>
            </w:pPr>
            <w:r>
              <w:rPr>
                <w:color w:val="000000"/>
                <w:sz w:val="20"/>
              </w:rPr>
              <w:t>38,4</w:t>
            </w:r>
          </w:p>
        </w:tc>
        <w:tc>
          <w:tcPr>
            <w:tcW w:w="1872" w:type="dxa"/>
          </w:tcPr>
          <w:p w:rsidR="00000000" w:rsidRDefault="00000000">
            <w:pPr>
              <w:spacing w:before="40" w:after="40" w:line="240" w:lineRule="auto"/>
              <w:jc w:val="center"/>
              <w:rPr>
                <w:color w:val="000000"/>
                <w:sz w:val="20"/>
              </w:rPr>
            </w:pPr>
            <w:r>
              <w:rPr>
                <w:color w:val="000000"/>
                <w:sz w:val="20"/>
              </w:rPr>
              <w:t>38,5</w:t>
            </w:r>
          </w:p>
        </w:tc>
      </w:tr>
    </w:tbl>
    <w:p w:rsidR="00000000" w:rsidRDefault="00000000">
      <w:pPr>
        <w:spacing w:before="120" w:line="240" w:lineRule="auto"/>
        <w:rPr>
          <w:sz w:val="20"/>
          <w:lang w:val="ru-RU"/>
        </w:rPr>
      </w:pPr>
      <w:r>
        <w:rPr>
          <w:sz w:val="20"/>
        </w:rPr>
        <w:t>Источник: Министерство внутренних дел и по делам королевства/</w:t>
      </w:r>
      <w:r>
        <w:rPr>
          <w:sz w:val="20"/>
          <w:lang w:val="en-US"/>
        </w:rPr>
        <w:t>IVOP</w:t>
      </w:r>
      <w:r>
        <w:rPr>
          <w:sz w:val="20"/>
        </w:rPr>
        <w:t>/</w:t>
      </w:r>
      <w:r>
        <w:rPr>
          <w:sz w:val="20"/>
          <w:lang w:val="en-US"/>
        </w:rPr>
        <w:t>PA</w:t>
      </w:r>
      <w:r>
        <w:rPr>
          <w:sz w:val="20"/>
          <w:lang w:val="ru-RU"/>
        </w:rPr>
        <w:t>.</w:t>
      </w:r>
    </w:p>
    <w:p w:rsidR="00000000" w:rsidRDefault="00000000">
      <w:pPr>
        <w:rPr>
          <w:i/>
        </w:rPr>
      </w:pPr>
      <w:r>
        <w:rPr>
          <w:i/>
        </w:rPr>
        <w:t>Доля занятого населения с разбивкой по области занятости и полу</w:t>
      </w:r>
    </w:p>
    <w:p w:rsidR="00000000" w:rsidRDefault="00000000">
      <w:r>
        <w:t>Женщины составляют 46 процентов от общего числа государственных служащих. Соотношение мужчин/женщин существенно различается по секторам. В секторе образования число женщин превышает число мужчин (42 процента). В учебных заведениях женщины в количественном отношении в два раза превосходят мужчин. С другой стороны, женщин гораздо меньше в вооруженных силах (13 процентов), в органах полиции (31 процент) и советах по водоснабжению (24 процента).</w:t>
      </w:r>
    </w:p>
    <w:p w:rsidR="00000000" w:rsidRDefault="00000000">
      <w:r>
        <w:t>В 2003 году министерства продолжали проводить политику, направленную на увеличение доли женщин на руководящих должностях. Доля женщин среди сотрудников среднего звена (10–</w:t>
      </w:r>
      <w:r>
        <w:rPr>
          <w:lang w:val="ru-RU"/>
        </w:rPr>
        <w:br/>
      </w:r>
      <w:r>
        <w:t>13-й разряд</w:t>
      </w:r>
      <w:r>
        <w:rPr>
          <w:lang w:val="ru-RU"/>
        </w:rPr>
        <w:t>ы</w:t>
      </w:r>
      <w:r>
        <w:t xml:space="preserve">) увеличилась с 27,7 процента в 2000 году до 31,7 процента в 2003 году. Доля женщин среди руководителей (15-й разряд и выше) выросла с 10,2 процента в 2000 году до 14,1 процента в 2003 году. Министерства проводят конкретные мероприятия и политику, направленные на увеличение доли женщин на высокопоставленных должностях и содействие </w:t>
      </w:r>
      <w:r>
        <w:rPr>
          <w:lang w:val="ru-RU"/>
        </w:rPr>
        <w:t xml:space="preserve">их </w:t>
      </w:r>
      <w:r>
        <w:t>продвижению по службе.</w:t>
      </w:r>
    </w:p>
    <w:p w:rsidR="00000000" w:rsidRDefault="00000000">
      <w:pPr>
        <w:spacing w:after="120"/>
      </w:pPr>
      <w:r>
        <w:t>(в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04"/>
        <w:gridCol w:w="1247"/>
        <w:gridCol w:w="1247"/>
        <w:gridCol w:w="1246"/>
        <w:gridCol w:w="1247"/>
        <w:gridCol w:w="1247"/>
        <w:gridCol w:w="1218"/>
      </w:tblGrid>
      <w:tr w:rsidR="00000000">
        <w:tblPrEx>
          <w:tblCellMar>
            <w:top w:w="0" w:type="dxa"/>
            <w:bottom w:w="0" w:type="dxa"/>
          </w:tblCellMar>
        </w:tblPrEx>
        <w:trPr>
          <w:jc w:val="center"/>
        </w:trPr>
        <w:tc>
          <w:tcPr>
            <w:tcW w:w="1904" w:type="dxa"/>
            <w:tcBorders>
              <w:bottom w:val="single" w:sz="6" w:space="0" w:color="auto"/>
            </w:tcBorders>
          </w:tcPr>
          <w:p w:rsidR="00000000" w:rsidRDefault="00000000">
            <w:pPr>
              <w:spacing w:before="40" w:after="40" w:line="240" w:lineRule="auto"/>
              <w:rPr>
                <w:b/>
                <w:sz w:val="20"/>
              </w:rPr>
            </w:pPr>
          </w:p>
        </w:tc>
        <w:tc>
          <w:tcPr>
            <w:tcW w:w="2494" w:type="dxa"/>
            <w:gridSpan w:val="2"/>
            <w:tcBorders>
              <w:bottom w:val="single" w:sz="6" w:space="0" w:color="auto"/>
            </w:tcBorders>
            <w:vAlign w:val="center"/>
          </w:tcPr>
          <w:p w:rsidR="00000000" w:rsidRDefault="00000000">
            <w:pPr>
              <w:spacing w:before="40" w:after="40" w:line="240" w:lineRule="auto"/>
              <w:jc w:val="center"/>
              <w:rPr>
                <w:b/>
                <w:sz w:val="20"/>
              </w:rPr>
            </w:pPr>
            <w:r>
              <w:rPr>
                <w:b/>
                <w:sz w:val="20"/>
              </w:rPr>
              <w:t>2000 год</w:t>
            </w:r>
          </w:p>
        </w:tc>
        <w:tc>
          <w:tcPr>
            <w:tcW w:w="2493" w:type="dxa"/>
            <w:gridSpan w:val="2"/>
            <w:tcBorders>
              <w:bottom w:val="single" w:sz="6" w:space="0" w:color="auto"/>
            </w:tcBorders>
            <w:vAlign w:val="center"/>
          </w:tcPr>
          <w:p w:rsidR="00000000" w:rsidRDefault="00000000">
            <w:pPr>
              <w:spacing w:before="40" w:after="40" w:line="240" w:lineRule="auto"/>
              <w:jc w:val="center"/>
              <w:rPr>
                <w:b/>
                <w:sz w:val="20"/>
              </w:rPr>
            </w:pPr>
            <w:r>
              <w:rPr>
                <w:b/>
                <w:sz w:val="20"/>
              </w:rPr>
              <w:t>2003 год</w:t>
            </w:r>
          </w:p>
        </w:tc>
        <w:tc>
          <w:tcPr>
            <w:tcW w:w="2465" w:type="dxa"/>
            <w:gridSpan w:val="2"/>
            <w:tcBorders>
              <w:bottom w:val="single" w:sz="6" w:space="0" w:color="auto"/>
            </w:tcBorders>
          </w:tcPr>
          <w:p w:rsidR="00000000" w:rsidRDefault="00000000">
            <w:pPr>
              <w:spacing w:before="40" w:after="40" w:line="240" w:lineRule="auto"/>
              <w:jc w:val="center"/>
              <w:rPr>
                <w:b/>
                <w:sz w:val="20"/>
              </w:rPr>
            </w:pPr>
            <w:r>
              <w:rPr>
                <w:b/>
                <w:sz w:val="20"/>
              </w:rPr>
              <w:t>Сопоставление данных за 2000 и 2003 годы</w:t>
            </w:r>
          </w:p>
        </w:tc>
      </w:tr>
      <w:tr w:rsidR="00000000">
        <w:tblPrEx>
          <w:tblCellMar>
            <w:top w:w="0" w:type="dxa"/>
            <w:bottom w:w="0" w:type="dxa"/>
          </w:tblCellMar>
        </w:tblPrEx>
        <w:trPr>
          <w:jc w:val="center"/>
        </w:trPr>
        <w:tc>
          <w:tcPr>
            <w:tcW w:w="1904" w:type="dxa"/>
            <w:tcBorders>
              <w:bottom w:val="single" w:sz="12" w:space="0" w:color="auto"/>
            </w:tcBorders>
          </w:tcPr>
          <w:p w:rsidR="00000000" w:rsidRDefault="00000000">
            <w:pPr>
              <w:spacing w:before="40" w:after="40" w:line="240" w:lineRule="auto"/>
              <w:rPr>
                <w:b/>
                <w:sz w:val="20"/>
              </w:rPr>
            </w:pPr>
            <w:r>
              <w:rPr>
                <w:b/>
                <w:sz w:val="20"/>
              </w:rPr>
              <w:t>Разряд</w:t>
            </w:r>
          </w:p>
        </w:tc>
        <w:tc>
          <w:tcPr>
            <w:tcW w:w="1247" w:type="dxa"/>
            <w:tcBorders>
              <w:bottom w:val="single" w:sz="12" w:space="0" w:color="auto"/>
            </w:tcBorders>
          </w:tcPr>
          <w:p w:rsidR="00000000" w:rsidRDefault="00000000">
            <w:pPr>
              <w:spacing w:before="40" w:after="40" w:line="240" w:lineRule="auto"/>
              <w:jc w:val="center"/>
              <w:rPr>
                <w:b/>
                <w:sz w:val="20"/>
                <w:lang w:val="ru-RU"/>
              </w:rPr>
            </w:pPr>
            <w:r>
              <w:rPr>
                <w:b/>
                <w:sz w:val="20"/>
                <w:lang w:val="ru-RU"/>
              </w:rPr>
              <w:t>мужчины</w:t>
            </w:r>
          </w:p>
        </w:tc>
        <w:tc>
          <w:tcPr>
            <w:tcW w:w="1247" w:type="dxa"/>
            <w:tcBorders>
              <w:bottom w:val="single" w:sz="12" w:space="0" w:color="auto"/>
            </w:tcBorders>
          </w:tcPr>
          <w:p w:rsidR="00000000" w:rsidRDefault="00000000">
            <w:pPr>
              <w:spacing w:before="40" w:after="40" w:line="240" w:lineRule="auto"/>
              <w:jc w:val="center"/>
              <w:rPr>
                <w:b/>
                <w:sz w:val="20"/>
              </w:rPr>
            </w:pPr>
            <w:r>
              <w:rPr>
                <w:b/>
                <w:sz w:val="20"/>
              </w:rPr>
              <w:t>женщины</w:t>
            </w:r>
          </w:p>
        </w:tc>
        <w:tc>
          <w:tcPr>
            <w:tcW w:w="1246" w:type="dxa"/>
            <w:tcBorders>
              <w:bottom w:val="single" w:sz="12" w:space="0" w:color="auto"/>
            </w:tcBorders>
          </w:tcPr>
          <w:p w:rsidR="00000000" w:rsidRDefault="00000000">
            <w:pPr>
              <w:spacing w:before="40" w:after="40" w:line="240" w:lineRule="auto"/>
              <w:jc w:val="center"/>
              <w:rPr>
                <w:b/>
                <w:sz w:val="20"/>
              </w:rPr>
            </w:pPr>
            <w:r>
              <w:rPr>
                <w:b/>
                <w:sz w:val="20"/>
              </w:rPr>
              <w:t>мужчины</w:t>
            </w:r>
          </w:p>
        </w:tc>
        <w:tc>
          <w:tcPr>
            <w:tcW w:w="1247" w:type="dxa"/>
            <w:tcBorders>
              <w:bottom w:val="single" w:sz="12" w:space="0" w:color="auto"/>
            </w:tcBorders>
          </w:tcPr>
          <w:p w:rsidR="00000000" w:rsidRDefault="00000000">
            <w:pPr>
              <w:spacing w:before="40" w:after="40" w:line="240" w:lineRule="auto"/>
              <w:jc w:val="center"/>
              <w:rPr>
                <w:b/>
                <w:sz w:val="20"/>
              </w:rPr>
            </w:pPr>
            <w:r>
              <w:rPr>
                <w:b/>
                <w:sz w:val="20"/>
              </w:rPr>
              <w:t>женщины</w:t>
            </w:r>
          </w:p>
        </w:tc>
        <w:tc>
          <w:tcPr>
            <w:tcW w:w="1247" w:type="dxa"/>
            <w:tcBorders>
              <w:bottom w:val="single" w:sz="12" w:space="0" w:color="auto"/>
            </w:tcBorders>
          </w:tcPr>
          <w:p w:rsidR="00000000" w:rsidRDefault="00000000">
            <w:pPr>
              <w:spacing w:before="40" w:after="40" w:line="240" w:lineRule="auto"/>
              <w:jc w:val="center"/>
              <w:rPr>
                <w:b/>
                <w:sz w:val="20"/>
              </w:rPr>
            </w:pPr>
            <w:r>
              <w:rPr>
                <w:b/>
                <w:sz w:val="20"/>
              </w:rPr>
              <w:t>мужчины</w:t>
            </w:r>
          </w:p>
        </w:tc>
        <w:tc>
          <w:tcPr>
            <w:tcW w:w="1218" w:type="dxa"/>
            <w:tcBorders>
              <w:bottom w:val="single" w:sz="12" w:space="0" w:color="auto"/>
            </w:tcBorders>
          </w:tcPr>
          <w:p w:rsidR="00000000" w:rsidRDefault="00000000">
            <w:pPr>
              <w:spacing w:before="40" w:after="40" w:line="240" w:lineRule="auto"/>
              <w:jc w:val="center"/>
              <w:rPr>
                <w:b/>
                <w:sz w:val="20"/>
              </w:rPr>
            </w:pPr>
            <w:r>
              <w:rPr>
                <w:b/>
                <w:sz w:val="20"/>
              </w:rPr>
              <w:t>женщины</w:t>
            </w:r>
          </w:p>
        </w:tc>
      </w:tr>
      <w:tr w:rsidR="00000000">
        <w:tblPrEx>
          <w:tblCellMar>
            <w:top w:w="0" w:type="dxa"/>
            <w:bottom w:w="0" w:type="dxa"/>
          </w:tblCellMar>
        </w:tblPrEx>
        <w:trPr>
          <w:jc w:val="center"/>
        </w:trPr>
        <w:tc>
          <w:tcPr>
            <w:tcW w:w="1904" w:type="dxa"/>
            <w:tcBorders>
              <w:top w:val="single" w:sz="12" w:space="0" w:color="auto"/>
            </w:tcBorders>
          </w:tcPr>
          <w:p w:rsidR="00000000" w:rsidRDefault="00000000">
            <w:pPr>
              <w:spacing w:before="40" w:after="40" w:line="240" w:lineRule="auto"/>
              <w:rPr>
                <w:sz w:val="20"/>
                <w:lang w:val="ru-RU"/>
              </w:rPr>
            </w:pPr>
            <w:r>
              <w:rPr>
                <w:sz w:val="20"/>
              </w:rPr>
              <w:t>1–4-й разряд</w:t>
            </w:r>
            <w:r>
              <w:rPr>
                <w:sz w:val="20"/>
                <w:lang w:val="ru-RU"/>
              </w:rPr>
              <w:t>ы</w:t>
            </w:r>
          </w:p>
        </w:tc>
        <w:tc>
          <w:tcPr>
            <w:tcW w:w="1247" w:type="dxa"/>
            <w:tcBorders>
              <w:top w:val="single" w:sz="12" w:space="0" w:color="auto"/>
            </w:tcBorders>
          </w:tcPr>
          <w:p w:rsidR="00000000" w:rsidRDefault="00000000">
            <w:pPr>
              <w:spacing w:before="40" w:after="40" w:line="240" w:lineRule="auto"/>
              <w:jc w:val="center"/>
              <w:rPr>
                <w:color w:val="000000"/>
                <w:sz w:val="20"/>
              </w:rPr>
            </w:pPr>
            <w:r>
              <w:rPr>
                <w:color w:val="000000"/>
                <w:sz w:val="20"/>
              </w:rPr>
              <w:t>52,4</w:t>
            </w:r>
          </w:p>
        </w:tc>
        <w:tc>
          <w:tcPr>
            <w:tcW w:w="1247" w:type="dxa"/>
            <w:tcBorders>
              <w:top w:val="single" w:sz="12" w:space="0" w:color="auto"/>
            </w:tcBorders>
          </w:tcPr>
          <w:p w:rsidR="00000000" w:rsidRDefault="00000000">
            <w:pPr>
              <w:spacing w:before="40" w:after="40" w:line="240" w:lineRule="auto"/>
              <w:jc w:val="center"/>
              <w:rPr>
                <w:color w:val="000000"/>
                <w:sz w:val="20"/>
              </w:rPr>
            </w:pPr>
            <w:r>
              <w:rPr>
                <w:color w:val="000000"/>
                <w:sz w:val="20"/>
              </w:rPr>
              <w:t>47,6</w:t>
            </w:r>
          </w:p>
        </w:tc>
        <w:tc>
          <w:tcPr>
            <w:tcW w:w="1246" w:type="dxa"/>
            <w:tcBorders>
              <w:top w:val="single" w:sz="12" w:space="0" w:color="auto"/>
            </w:tcBorders>
          </w:tcPr>
          <w:p w:rsidR="00000000" w:rsidRDefault="00000000">
            <w:pPr>
              <w:spacing w:before="40" w:after="40" w:line="240" w:lineRule="auto"/>
              <w:jc w:val="center"/>
              <w:rPr>
                <w:color w:val="000000"/>
                <w:sz w:val="20"/>
              </w:rPr>
            </w:pPr>
            <w:r>
              <w:rPr>
                <w:color w:val="000000"/>
                <w:sz w:val="20"/>
              </w:rPr>
              <w:t>55,6</w:t>
            </w:r>
          </w:p>
        </w:tc>
        <w:tc>
          <w:tcPr>
            <w:tcW w:w="1247" w:type="dxa"/>
            <w:tcBorders>
              <w:top w:val="single" w:sz="12" w:space="0" w:color="auto"/>
            </w:tcBorders>
          </w:tcPr>
          <w:p w:rsidR="00000000" w:rsidRDefault="00000000">
            <w:pPr>
              <w:spacing w:before="40" w:after="40" w:line="240" w:lineRule="auto"/>
              <w:jc w:val="center"/>
              <w:rPr>
                <w:color w:val="000000"/>
                <w:sz w:val="20"/>
              </w:rPr>
            </w:pPr>
            <w:r>
              <w:rPr>
                <w:color w:val="000000"/>
                <w:sz w:val="20"/>
              </w:rPr>
              <w:t>44,4</w:t>
            </w:r>
          </w:p>
        </w:tc>
        <w:tc>
          <w:tcPr>
            <w:tcW w:w="1247" w:type="dxa"/>
            <w:tcBorders>
              <w:top w:val="single" w:sz="12" w:space="0" w:color="auto"/>
            </w:tcBorders>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-10,7</w:t>
            </w:r>
          </w:p>
        </w:tc>
        <w:tc>
          <w:tcPr>
            <w:tcW w:w="1218" w:type="dxa"/>
            <w:tcBorders>
              <w:top w:val="single" w:sz="12" w:space="0" w:color="auto"/>
            </w:tcBorders>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-21,4</w:t>
            </w:r>
          </w:p>
        </w:tc>
      </w:tr>
      <w:tr w:rsidR="00000000">
        <w:tblPrEx>
          <w:tblCellMar>
            <w:top w:w="0" w:type="dxa"/>
            <w:bottom w:w="0" w:type="dxa"/>
          </w:tblCellMar>
        </w:tblPrEx>
        <w:trPr>
          <w:jc w:val="center"/>
        </w:trPr>
        <w:tc>
          <w:tcPr>
            <w:tcW w:w="1904" w:type="dxa"/>
          </w:tcPr>
          <w:p w:rsidR="00000000" w:rsidRDefault="00000000">
            <w:pPr>
              <w:spacing w:before="40" w:after="40" w:line="240" w:lineRule="auto"/>
              <w:rPr>
                <w:sz w:val="20"/>
                <w:lang w:val="ru-RU"/>
              </w:rPr>
            </w:pPr>
            <w:r>
              <w:rPr>
                <w:sz w:val="20"/>
              </w:rPr>
              <w:t>5–9-й разряд</w:t>
            </w:r>
            <w:r>
              <w:rPr>
                <w:sz w:val="20"/>
                <w:lang w:val="ru-RU"/>
              </w:rPr>
              <w:t>ы</w:t>
            </w:r>
          </w:p>
        </w:tc>
        <w:tc>
          <w:tcPr>
            <w:tcW w:w="1247" w:type="dxa"/>
          </w:tcPr>
          <w:p w:rsidR="00000000" w:rsidRDefault="00000000">
            <w:pPr>
              <w:spacing w:before="40" w:after="40" w:line="240" w:lineRule="auto"/>
              <w:jc w:val="center"/>
              <w:rPr>
                <w:color w:val="000000"/>
                <w:sz w:val="20"/>
              </w:rPr>
            </w:pPr>
            <w:r>
              <w:rPr>
                <w:color w:val="000000"/>
                <w:sz w:val="20"/>
              </w:rPr>
              <w:t>59,6</w:t>
            </w:r>
          </w:p>
        </w:tc>
        <w:tc>
          <w:tcPr>
            <w:tcW w:w="1247" w:type="dxa"/>
          </w:tcPr>
          <w:p w:rsidR="00000000" w:rsidRDefault="00000000">
            <w:pPr>
              <w:spacing w:before="40" w:after="40" w:line="240" w:lineRule="auto"/>
              <w:jc w:val="center"/>
              <w:rPr>
                <w:color w:val="000000"/>
                <w:sz w:val="20"/>
              </w:rPr>
            </w:pPr>
            <w:r>
              <w:rPr>
                <w:color w:val="000000"/>
                <w:sz w:val="20"/>
              </w:rPr>
              <w:t>40,4</w:t>
            </w:r>
          </w:p>
        </w:tc>
        <w:tc>
          <w:tcPr>
            <w:tcW w:w="1246" w:type="dxa"/>
          </w:tcPr>
          <w:p w:rsidR="00000000" w:rsidRDefault="00000000">
            <w:pPr>
              <w:spacing w:before="40" w:after="40" w:line="240" w:lineRule="auto"/>
              <w:jc w:val="center"/>
              <w:rPr>
                <w:color w:val="000000"/>
                <w:sz w:val="20"/>
              </w:rPr>
            </w:pPr>
            <w:r>
              <w:rPr>
                <w:color w:val="000000"/>
                <w:sz w:val="20"/>
              </w:rPr>
              <w:t>56,0</w:t>
            </w:r>
          </w:p>
        </w:tc>
        <w:tc>
          <w:tcPr>
            <w:tcW w:w="1247" w:type="dxa"/>
          </w:tcPr>
          <w:p w:rsidR="00000000" w:rsidRDefault="00000000">
            <w:pPr>
              <w:spacing w:before="40" w:after="40" w:line="240" w:lineRule="auto"/>
              <w:jc w:val="center"/>
              <w:rPr>
                <w:color w:val="000000"/>
                <w:sz w:val="20"/>
              </w:rPr>
            </w:pPr>
            <w:r>
              <w:rPr>
                <w:color w:val="000000"/>
                <w:sz w:val="20"/>
              </w:rPr>
              <w:t>44,0</w:t>
            </w:r>
          </w:p>
        </w:tc>
        <w:tc>
          <w:tcPr>
            <w:tcW w:w="1247"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-1,5</w:t>
            </w:r>
          </w:p>
        </w:tc>
        <w:tc>
          <w:tcPr>
            <w:tcW w:w="1218"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14,0</w:t>
            </w:r>
          </w:p>
        </w:tc>
      </w:tr>
      <w:tr w:rsidR="00000000">
        <w:tblPrEx>
          <w:tblCellMar>
            <w:top w:w="0" w:type="dxa"/>
            <w:bottom w:w="0" w:type="dxa"/>
          </w:tblCellMar>
        </w:tblPrEx>
        <w:trPr>
          <w:jc w:val="center"/>
        </w:trPr>
        <w:tc>
          <w:tcPr>
            <w:tcW w:w="1904" w:type="dxa"/>
          </w:tcPr>
          <w:p w:rsidR="00000000" w:rsidRDefault="00000000">
            <w:pPr>
              <w:spacing w:before="40" w:after="40" w:line="240" w:lineRule="auto"/>
              <w:rPr>
                <w:sz w:val="20"/>
                <w:lang w:val="ru-RU"/>
              </w:rPr>
            </w:pPr>
            <w:r>
              <w:rPr>
                <w:sz w:val="20"/>
              </w:rPr>
              <w:t>10–13-й разряд</w:t>
            </w:r>
            <w:r>
              <w:rPr>
                <w:sz w:val="20"/>
                <w:lang w:val="ru-RU"/>
              </w:rPr>
              <w:t>ы</w:t>
            </w:r>
          </w:p>
        </w:tc>
        <w:tc>
          <w:tcPr>
            <w:tcW w:w="1247" w:type="dxa"/>
          </w:tcPr>
          <w:p w:rsidR="00000000" w:rsidRDefault="00000000">
            <w:pPr>
              <w:spacing w:before="40" w:after="40" w:line="240" w:lineRule="auto"/>
              <w:jc w:val="center"/>
              <w:rPr>
                <w:color w:val="000000"/>
                <w:sz w:val="20"/>
              </w:rPr>
            </w:pPr>
            <w:r>
              <w:rPr>
                <w:color w:val="000000"/>
                <w:sz w:val="20"/>
              </w:rPr>
              <w:t>72,3</w:t>
            </w:r>
          </w:p>
        </w:tc>
        <w:tc>
          <w:tcPr>
            <w:tcW w:w="1247" w:type="dxa"/>
          </w:tcPr>
          <w:p w:rsidR="00000000" w:rsidRDefault="00000000">
            <w:pPr>
              <w:spacing w:before="40" w:after="40" w:line="240" w:lineRule="auto"/>
              <w:jc w:val="center"/>
              <w:rPr>
                <w:color w:val="000000"/>
                <w:sz w:val="20"/>
              </w:rPr>
            </w:pPr>
            <w:r>
              <w:rPr>
                <w:color w:val="000000"/>
                <w:sz w:val="20"/>
              </w:rPr>
              <w:t>27,7</w:t>
            </w:r>
          </w:p>
        </w:tc>
        <w:tc>
          <w:tcPr>
            <w:tcW w:w="1246" w:type="dxa"/>
          </w:tcPr>
          <w:p w:rsidR="00000000" w:rsidRDefault="00000000">
            <w:pPr>
              <w:spacing w:before="40" w:after="40" w:line="240" w:lineRule="auto"/>
              <w:jc w:val="center"/>
              <w:rPr>
                <w:color w:val="000000"/>
                <w:sz w:val="20"/>
              </w:rPr>
            </w:pPr>
            <w:r>
              <w:rPr>
                <w:color w:val="000000"/>
                <w:sz w:val="20"/>
              </w:rPr>
              <w:t>68,3</w:t>
            </w:r>
          </w:p>
        </w:tc>
        <w:tc>
          <w:tcPr>
            <w:tcW w:w="1247" w:type="dxa"/>
          </w:tcPr>
          <w:p w:rsidR="00000000" w:rsidRDefault="00000000">
            <w:pPr>
              <w:spacing w:before="40" w:after="40" w:line="240" w:lineRule="auto"/>
              <w:jc w:val="center"/>
              <w:rPr>
                <w:color w:val="000000"/>
                <w:sz w:val="20"/>
              </w:rPr>
            </w:pPr>
            <w:r>
              <w:rPr>
                <w:color w:val="000000"/>
                <w:sz w:val="20"/>
              </w:rPr>
              <w:t>31,7</w:t>
            </w:r>
          </w:p>
        </w:tc>
        <w:tc>
          <w:tcPr>
            <w:tcW w:w="1247"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13,0</w:t>
            </w:r>
          </w:p>
        </w:tc>
        <w:tc>
          <w:tcPr>
            <w:tcW w:w="1218"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36,5</w:t>
            </w:r>
          </w:p>
        </w:tc>
      </w:tr>
      <w:tr w:rsidR="00000000">
        <w:tblPrEx>
          <w:tblCellMar>
            <w:top w:w="0" w:type="dxa"/>
            <w:bottom w:w="0" w:type="dxa"/>
          </w:tblCellMar>
        </w:tblPrEx>
        <w:trPr>
          <w:jc w:val="center"/>
        </w:trPr>
        <w:tc>
          <w:tcPr>
            <w:tcW w:w="1904" w:type="dxa"/>
          </w:tcPr>
          <w:p w:rsidR="00000000" w:rsidRDefault="00000000">
            <w:pPr>
              <w:spacing w:before="40" w:after="40" w:line="240" w:lineRule="auto"/>
              <w:rPr>
                <w:sz w:val="20"/>
                <w:lang w:val="ru-RU"/>
              </w:rPr>
            </w:pPr>
            <w:r>
              <w:rPr>
                <w:sz w:val="20"/>
              </w:rPr>
              <w:t>14–16-й разряд</w:t>
            </w:r>
            <w:r>
              <w:rPr>
                <w:sz w:val="20"/>
                <w:lang w:val="ru-RU"/>
              </w:rPr>
              <w:t>ы</w:t>
            </w:r>
          </w:p>
        </w:tc>
        <w:tc>
          <w:tcPr>
            <w:tcW w:w="1247" w:type="dxa"/>
          </w:tcPr>
          <w:p w:rsidR="00000000" w:rsidRDefault="00000000">
            <w:pPr>
              <w:spacing w:before="40" w:after="40" w:line="240" w:lineRule="auto"/>
              <w:jc w:val="center"/>
              <w:rPr>
                <w:color w:val="000000"/>
                <w:sz w:val="20"/>
              </w:rPr>
            </w:pPr>
            <w:r>
              <w:rPr>
                <w:color w:val="000000"/>
                <w:sz w:val="20"/>
              </w:rPr>
              <w:t>86,9</w:t>
            </w:r>
          </w:p>
        </w:tc>
        <w:tc>
          <w:tcPr>
            <w:tcW w:w="1247" w:type="dxa"/>
          </w:tcPr>
          <w:p w:rsidR="00000000" w:rsidRDefault="00000000">
            <w:pPr>
              <w:spacing w:before="40" w:after="40" w:line="240" w:lineRule="auto"/>
              <w:jc w:val="center"/>
              <w:rPr>
                <w:color w:val="000000"/>
                <w:sz w:val="20"/>
              </w:rPr>
            </w:pPr>
            <w:r>
              <w:rPr>
                <w:color w:val="000000"/>
                <w:sz w:val="20"/>
              </w:rPr>
              <w:t>13,1</w:t>
            </w:r>
          </w:p>
        </w:tc>
        <w:tc>
          <w:tcPr>
            <w:tcW w:w="1246" w:type="dxa"/>
          </w:tcPr>
          <w:p w:rsidR="00000000" w:rsidRDefault="00000000">
            <w:pPr>
              <w:spacing w:before="40" w:after="40" w:line="240" w:lineRule="auto"/>
              <w:jc w:val="center"/>
              <w:rPr>
                <w:color w:val="000000"/>
                <w:sz w:val="20"/>
              </w:rPr>
            </w:pPr>
            <w:r>
              <w:rPr>
                <w:color w:val="000000"/>
                <w:sz w:val="20"/>
              </w:rPr>
              <w:t>83,3</w:t>
            </w:r>
          </w:p>
        </w:tc>
        <w:tc>
          <w:tcPr>
            <w:tcW w:w="1247" w:type="dxa"/>
          </w:tcPr>
          <w:p w:rsidR="00000000" w:rsidRDefault="00000000">
            <w:pPr>
              <w:spacing w:before="40" w:after="40" w:line="240" w:lineRule="auto"/>
              <w:jc w:val="center"/>
              <w:rPr>
                <w:color w:val="000000"/>
                <w:sz w:val="20"/>
              </w:rPr>
            </w:pPr>
            <w:r>
              <w:rPr>
                <w:color w:val="000000"/>
                <w:sz w:val="20"/>
              </w:rPr>
              <w:t>16,7</w:t>
            </w:r>
          </w:p>
        </w:tc>
        <w:tc>
          <w:tcPr>
            <w:tcW w:w="1247"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12,4</w:t>
            </w:r>
          </w:p>
        </w:tc>
        <w:tc>
          <w:tcPr>
            <w:tcW w:w="1218" w:type="dxa"/>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49,9</w:t>
            </w:r>
          </w:p>
        </w:tc>
      </w:tr>
      <w:tr w:rsidR="00000000">
        <w:tblPrEx>
          <w:tblCellMar>
            <w:top w:w="0" w:type="dxa"/>
            <w:bottom w:w="0" w:type="dxa"/>
          </w:tblCellMar>
        </w:tblPrEx>
        <w:trPr>
          <w:jc w:val="center"/>
        </w:trPr>
        <w:tc>
          <w:tcPr>
            <w:tcW w:w="1904" w:type="dxa"/>
            <w:tcBorders>
              <w:bottom w:val="single" w:sz="12" w:space="0" w:color="auto"/>
            </w:tcBorders>
          </w:tcPr>
          <w:p w:rsidR="00000000" w:rsidRDefault="00000000">
            <w:pPr>
              <w:spacing w:before="40" w:after="40" w:line="240" w:lineRule="auto"/>
              <w:rPr>
                <w:sz w:val="20"/>
              </w:rPr>
            </w:pPr>
            <w:r>
              <w:rPr>
                <w:sz w:val="20"/>
              </w:rPr>
              <w:t>17-й разряд и выше</w:t>
            </w:r>
          </w:p>
        </w:tc>
        <w:tc>
          <w:tcPr>
            <w:tcW w:w="1247" w:type="dxa"/>
            <w:tcBorders>
              <w:bottom w:val="single" w:sz="12" w:space="0" w:color="auto"/>
            </w:tcBorders>
          </w:tcPr>
          <w:p w:rsidR="00000000" w:rsidRDefault="00000000">
            <w:pPr>
              <w:spacing w:before="40" w:after="40" w:line="240" w:lineRule="auto"/>
              <w:jc w:val="center"/>
              <w:rPr>
                <w:color w:val="000000"/>
                <w:sz w:val="20"/>
              </w:rPr>
            </w:pPr>
            <w:r>
              <w:rPr>
                <w:color w:val="000000"/>
                <w:sz w:val="20"/>
              </w:rPr>
              <w:t>92,3</w:t>
            </w:r>
          </w:p>
        </w:tc>
        <w:tc>
          <w:tcPr>
            <w:tcW w:w="1247" w:type="dxa"/>
            <w:tcBorders>
              <w:bottom w:val="single" w:sz="12" w:space="0" w:color="auto"/>
            </w:tcBorders>
          </w:tcPr>
          <w:p w:rsidR="00000000" w:rsidRDefault="00000000">
            <w:pPr>
              <w:spacing w:before="40" w:after="40" w:line="240" w:lineRule="auto"/>
              <w:jc w:val="center"/>
              <w:rPr>
                <w:color w:val="000000"/>
                <w:sz w:val="20"/>
              </w:rPr>
            </w:pPr>
            <w:r>
              <w:rPr>
                <w:color w:val="000000"/>
                <w:sz w:val="20"/>
              </w:rPr>
              <w:t>7,7</w:t>
            </w:r>
          </w:p>
        </w:tc>
        <w:tc>
          <w:tcPr>
            <w:tcW w:w="1246" w:type="dxa"/>
            <w:tcBorders>
              <w:bottom w:val="single" w:sz="12" w:space="0" w:color="auto"/>
            </w:tcBorders>
          </w:tcPr>
          <w:p w:rsidR="00000000" w:rsidRDefault="00000000">
            <w:pPr>
              <w:spacing w:before="40" w:after="40" w:line="240" w:lineRule="auto"/>
              <w:jc w:val="center"/>
              <w:rPr>
                <w:color w:val="000000"/>
                <w:sz w:val="20"/>
              </w:rPr>
            </w:pPr>
            <w:r>
              <w:rPr>
                <w:color w:val="000000"/>
                <w:sz w:val="20"/>
              </w:rPr>
              <w:t>89,0</w:t>
            </w:r>
          </w:p>
        </w:tc>
        <w:tc>
          <w:tcPr>
            <w:tcW w:w="1247" w:type="dxa"/>
            <w:tcBorders>
              <w:bottom w:val="single" w:sz="12" w:space="0" w:color="auto"/>
            </w:tcBorders>
          </w:tcPr>
          <w:p w:rsidR="00000000" w:rsidRDefault="00000000">
            <w:pPr>
              <w:spacing w:before="40" w:after="40" w:line="240" w:lineRule="auto"/>
              <w:jc w:val="center"/>
              <w:rPr>
                <w:color w:val="000000"/>
                <w:sz w:val="20"/>
              </w:rPr>
            </w:pPr>
            <w:r>
              <w:rPr>
                <w:color w:val="000000"/>
                <w:sz w:val="20"/>
              </w:rPr>
              <w:t>11,0</w:t>
            </w:r>
          </w:p>
        </w:tc>
        <w:tc>
          <w:tcPr>
            <w:tcW w:w="1247" w:type="dxa"/>
            <w:tcBorders>
              <w:bottom w:val="single" w:sz="12" w:space="0" w:color="auto"/>
            </w:tcBorders>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20,3</w:t>
            </w:r>
          </w:p>
        </w:tc>
        <w:tc>
          <w:tcPr>
            <w:tcW w:w="1218" w:type="dxa"/>
            <w:tcBorders>
              <w:bottom w:val="single" w:sz="12" w:space="0" w:color="auto"/>
            </w:tcBorders>
          </w:tcPr>
          <w:p w:rsidR="00000000" w:rsidRDefault="00000000">
            <w:pPr>
              <w:tabs>
                <w:tab w:val="clear" w:pos="680"/>
                <w:tab w:val="clear" w:pos="1134"/>
                <w:tab w:val="decimal" w:pos="567"/>
              </w:tabs>
              <w:spacing w:before="40" w:after="40" w:line="240" w:lineRule="auto"/>
              <w:jc w:val="left"/>
              <w:rPr>
                <w:color w:val="000000"/>
                <w:sz w:val="20"/>
              </w:rPr>
            </w:pPr>
            <w:r>
              <w:rPr>
                <w:color w:val="000000"/>
                <w:sz w:val="20"/>
              </w:rPr>
              <w:t>79,5</w:t>
            </w:r>
          </w:p>
        </w:tc>
      </w:tr>
      <w:tr w:rsidR="00000000">
        <w:tblPrEx>
          <w:tblCellMar>
            <w:top w:w="0" w:type="dxa"/>
            <w:bottom w:w="0" w:type="dxa"/>
          </w:tblCellMar>
        </w:tblPrEx>
        <w:trPr>
          <w:jc w:val="center"/>
        </w:trPr>
        <w:tc>
          <w:tcPr>
            <w:tcW w:w="1904" w:type="dxa"/>
            <w:tcBorders>
              <w:top w:val="single" w:sz="12" w:space="0" w:color="auto"/>
              <w:bottom w:val="single" w:sz="12" w:space="0" w:color="auto"/>
            </w:tcBorders>
          </w:tcPr>
          <w:p w:rsidR="00000000" w:rsidRDefault="00000000">
            <w:pPr>
              <w:spacing w:before="40" w:after="40" w:line="240" w:lineRule="auto"/>
              <w:rPr>
                <w:b/>
                <w:sz w:val="20"/>
              </w:rPr>
            </w:pPr>
            <w:r>
              <w:rPr>
                <w:b/>
                <w:sz w:val="20"/>
              </w:rPr>
              <w:t>Итого</w:t>
            </w:r>
          </w:p>
        </w:tc>
        <w:tc>
          <w:tcPr>
            <w:tcW w:w="1247" w:type="dxa"/>
            <w:tcBorders>
              <w:top w:val="single" w:sz="12" w:space="0" w:color="auto"/>
              <w:bottom w:val="single" w:sz="12" w:space="0" w:color="auto"/>
            </w:tcBorders>
          </w:tcPr>
          <w:p w:rsidR="00000000" w:rsidRDefault="00000000">
            <w:pPr>
              <w:spacing w:before="40" w:after="40" w:line="240" w:lineRule="auto"/>
              <w:jc w:val="center"/>
              <w:rPr>
                <w:b/>
                <w:color w:val="000000"/>
                <w:sz w:val="20"/>
              </w:rPr>
            </w:pPr>
            <w:r>
              <w:rPr>
                <w:b/>
                <w:color w:val="000000"/>
                <w:sz w:val="20"/>
              </w:rPr>
              <w:t>64,1</w:t>
            </w:r>
          </w:p>
        </w:tc>
        <w:tc>
          <w:tcPr>
            <w:tcW w:w="1247" w:type="dxa"/>
            <w:tcBorders>
              <w:top w:val="single" w:sz="12" w:space="0" w:color="auto"/>
              <w:bottom w:val="single" w:sz="12" w:space="0" w:color="auto"/>
            </w:tcBorders>
          </w:tcPr>
          <w:p w:rsidR="00000000" w:rsidRDefault="00000000">
            <w:pPr>
              <w:spacing w:before="40" w:after="40" w:line="240" w:lineRule="auto"/>
              <w:jc w:val="center"/>
              <w:rPr>
                <w:b/>
                <w:color w:val="000000"/>
                <w:sz w:val="20"/>
              </w:rPr>
            </w:pPr>
            <w:r>
              <w:rPr>
                <w:b/>
                <w:color w:val="000000"/>
                <w:sz w:val="20"/>
              </w:rPr>
              <w:t>35,9</w:t>
            </w:r>
          </w:p>
        </w:tc>
        <w:tc>
          <w:tcPr>
            <w:tcW w:w="1246" w:type="dxa"/>
            <w:tcBorders>
              <w:top w:val="single" w:sz="12" w:space="0" w:color="auto"/>
              <w:bottom w:val="single" w:sz="12" w:space="0" w:color="auto"/>
            </w:tcBorders>
          </w:tcPr>
          <w:p w:rsidR="00000000" w:rsidRDefault="00000000">
            <w:pPr>
              <w:spacing w:before="40" w:after="40" w:line="240" w:lineRule="auto"/>
              <w:jc w:val="center"/>
              <w:rPr>
                <w:b/>
                <w:color w:val="000000"/>
                <w:sz w:val="20"/>
              </w:rPr>
            </w:pPr>
            <w:r>
              <w:rPr>
                <w:b/>
                <w:color w:val="000000"/>
                <w:sz w:val="20"/>
              </w:rPr>
              <w:t>61,5</w:t>
            </w:r>
          </w:p>
        </w:tc>
        <w:tc>
          <w:tcPr>
            <w:tcW w:w="1247" w:type="dxa"/>
            <w:tcBorders>
              <w:top w:val="single" w:sz="12" w:space="0" w:color="auto"/>
              <w:bottom w:val="single" w:sz="12" w:space="0" w:color="auto"/>
            </w:tcBorders>
          </w:tcPr>
          <w:p w:rsidR="00000000" w:rsidRDefault="00000000">
            <w:pPr>
              <w:spacing w:before="40" w:after="40" w:line="240" w:lineRule="auto"/>
              <w:jc w:val="center"/>
              <w:rPr>
                <w:b/>
                <w:color w:val="000000"/>
                <w:sz w:val="20"/>
              </w:rPr>
            </w:pPr>
            <w:r>
              <w:rPr>
                <w:b/>
                <w:color w:val="000000"/>
                <w:sz w:val="20"/>
              </w:rPr>
              <w:t>38,5</w:t>
            </w:r>
          </w:p>
        </w:tc>
        <w:tc>
          <w:tcPr>
            <w:tcW w:w="1247" w:type="dxa"/>
            <w:tcBorders>
              <w:top w:val="single" w:sz="12" w:space="0" w:color="auto"/>
              <w:bottom w:val="single" w:sz="12" w:space="0" w:color="auto"/>
            </w:tcBorders>
          </w:tcPr>
          <w:p w:rsidR="00000000" w:rsidRDefault="00000000">
            <w:pPr>
              <w:tabs>
                <w:tab w:val="clear" w:pos="680"/>
                <w:tab w:val="clear" w:pos="1134"/>
                <w:tab w:val="decimal" w:pos="567"/>
              </w:tabs>
              <w:spacing w:before="40" w:after="40" w:line="240" w:lineRule="auto"/>
              <w:jc w:val="left"/>
              <w:rPr>
                <w:b/>
                <w:color w:val="000000"/>
                <w:sz w:val="20"/>
              </w:rPr>
            </w:pPr>
            <w:r>
              <w:rPr>
                <w:b/>
                <w:color w:val="000000"/>
                <w:sz w:val="20"/>
              </w:rPr>
              <w:t>3,6</w:t>
            </w:r>
          </w:p>
        </w:tc>
        <w:tc>
          <w:tcPr>
            <w:tcW w:w="1218" w:type="dxa"/>
            <w:tcBorders>
              <w:top w:val="single" w:sz="12" w:space="0" w:color="auto"/>
              <w:bottom w:val="single" w:sz="12" w:space="0" w:color="auto"/>
            </w:tcBorders>
          </w:tcPr>
          <w:p w:rsidR="00000000" w:rsidRDefault="00000000">
            <w:pPr>
              <w:tabs>
                <w:tab w:val="clear" w:pos="680"/>
                <w:tab w:val="clear" w:pos="1134"/>
                <w:tab w:val="decimal" w:pos="567"/>
              </w:tabs>
              <w:spacing w:before="40" w:after="40" w:line="240" w:lineRule="auto"/>
              <w:jc w:val="left"/>
              <w:rPr>
                <w:b/>
                <w:color w:val="000000"/>
                <w:sz w:val="20"/>
              </w:rPr>
            </w:pPr>
            <w:r>
              <w:rPr>
                <w:b/>
                <w:color w:val="000000"/>
                <w:sz w:val="20"/>
              </w:rPr>
              <w:t>15,8</w:t>
            </w:r>
          </w:p>
        </w:tc>
      </w:tr>
    </w:tbl>
    <w:p w:rsidR="00000000" w:rsidRDefault="00000000">
      <w:pPr>
        <w:spacing w:before="120"/>
        <w:rPr>
          <w:sz w:val="20"/>
          <w:lang w:val="ru-RU"/>
        </w:rPr>
      </w:pPr>
      <w:r>
        <w:rPr>
          <w:sz w:val="20"/>
        </w:rPr>
        <w:t>Источник: Министерство внутренних дел и по делам королевства/</w:t>
      </w:r>
      <w:r>
        <w:rPr>
          <w:sz w:val="20"/>
          <w:lang w:val="en-US"/>
        </w:rPr>
        <w:t>IVOP</w:t>
      </w:r>
      <w:r>
        <w:rPr>
          <w:sz w:val="20"/>
        </w:rPr>
        <w:t>/</w:t>
      </w:r>
      <w:r>
        <w:rPr>
          <w:sz w:val="20"/>
          <w:lang w:val="en-US"/>
        </w:rPr>
        <w:t>PA</w:t>
      </w:r>
      <w:r>
        <w:rPr>
          <w:sz w:val="20"/>
          <w:lang w:val="ru-RU"/>
        </w:rPr>
        <w:t>.</w:t>
      </w:r>
    </w:p>
    <w:p w:rsidR="00000000" w:rsidRDefault="00000000">
      <w:pPr>
        <w:spacing w:before="360"/>
        <w:rPr>
          <w:i/>
        </w:rPr>
      </w:pPr>
      <w:r>
        <w:rPr>
          <w:i/>
        </w:rPr>
        <w:t>Разбивка доходов по полу в процентах</w:t>
      </w:r>
    </w:p>
    <w:p w:rsidR="00000000" w:rsidRDefault="00000000">
      <w:r>
        <w:t>В 2000 году средняя заработная плата составляла без вычетов приблизительно 13,3 евро в час</w:t>
      </w:r>
      <w:r>
        <w:rPr>
          <w:lang w:val="ru-RU"/>
        </w:rPr>
        <w:t>,</w:t>
      </w:r>
      <w:r>
        <w:t xml:space="preserve"> или на 3,68 евро меньше по сравнению с заработной платой мужчин. Это отчасти может быть связано с тем, что женщины гораздо шире представлены в низкооплачиваемых профессиях. Кроме того, они чаще работают в течение неполного рабочего дня, в результате чего возможно, имеют более узкие возможности должностного роста. Размер средней почасовой оплаты труда женщин в 2000</w:t>
      </w:r>
      <w:r>
        <w:rPr>
          <w:lang w:val="ru-RU"/>
        </w:rPr>
        <w:t> </w:t>
      </w:r>
      <w:r>
        <w:t>году составлял 78 процентов от размера средней почасовой оплаты труда мужчин. После 1990 года различия в уровнях оплаты труда женщин и мужчин несколько снизились: в 1990 году размер средней почасовой оплаты труда женщин составлял 73 процента от размера средней почасовой оплаты труда мужчин.</w:t>
      </w:r>
    </w:p>
    <w:p w:rsidR="00000000" w:rsidRDefault="00000000">
      <w:pPr>
        <w:keepNext/>
        <w:pageBreakBefore/>
        <w:spacing w:before="0" w:after="120"/>
        <w:jc w:val="left"/>
        <w:rPr>
          <w:b/>
          <w:lang w:val="ru-RU"/>
        </w:rPr>
      </w:pPr>
      <w:r>
        <w:rPr>
          <w:b/>
          <w:lang w:val="ru-RU"/>
        </w:rPr>
        <w:t>Размер средней почасовой оплаты труда женщин</w:t>
      </w:r>
      <w:r>
        <w:rPr>
          <w:b/>
          <w:vertAlign w:val="superscript"/>
          <w:lang w:val="ru-RU"/>
        </w:rPr>
        <w:t>а</w:t>
      </w:r>
      <w:r>
        <w:rPr>
          <w:b/>
          <w:lang w:val="ru-RU"/>
        </w:rPr>
        <w:t xml:space="preserve"> как доля от размера средней почасовой оплаты труда мужчин </w:t>
      </w:r>
      <w:r>
        <w:rPr>
          <w:lang w:val="ru-RU"/>
        </w:rPr>
        <w:t>(гендерный разрыв в оплате труда)</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2802"/>
        <w:gridCol w:w="850"/>
        <w:gridCol w:w="851"/>
        <w:gridCol w:w="850"/>
        <w:gridCol w:w="851"/>
        <w:gridCol w:w="850"/>
        <w:gridCol w:w="851"/>
        <w:gridCol w:w="850"/>
        <w:gridCol w:w="821"/>
      </w:tblGrid>
      <w:tr w:rsidR="00000000">
        <w:tblPrEx>
          <w:tblCellMar>
            <w:top w:w="0" w:type="dxa"/>
            <w:bottom w:w="0" w:type="dxa"/>
          </w:tblCellMar>
        </w:tblPrEx>
        <w:trPr>
          <w:jc w:val="center"/>
        </w:trPr>
        <w:tc>
          <w:tcPr>
            <w:tcW w:w="2802" w:type="dxa"/>
          </w:tcPr>
          <w:p w:rsidR="00000000" w:rsidRDefault="00000000">
            <w:pPr>
              <w:spacing w:before="40" w:after="40" w:line="240" w:lineRule="auto"/>
              <w:jc w:val="center"/>
              <w:rPr>
                <w:sz w:val="20"/>
              </w:rPr>
            </w:pPr>
          </w:p>
        </w:tc>
        <w:tc>
          <w:tcPr>
            <w:tcW w:w="850" w:type="dxa"/>
          </w:tcPr>
          <w:p w:rsidR="00000000" w:rsidRDefault="00000000">
            <w:pPr>
              <w:spacing w:before="40" w:after="40" w:line="240" w:lineRule="auto"/>
              <w:jc w:val="center"/>
              <w:rPr>
                <w:b/>
                <w:sz w:val="20"/>
              </w:rPr>
            </w:pPr>
            <w:r>
              <w:rPr>
                <w:b/>
                <w:sz w:val="20"/>
              </w:rPr>
              <w:t>1995 год</w:t>
            </w:r>
          </w:p>
        </w:tc>
        <w:tc>
          <w:tcPr>
            <w:tcW w:w="851" w:type="dxa"/>
          </w:tcPr>
          <w:p w:rsidR="00000000" w:rsidRDefault="00000000">
            <w:pPr>
              <w:spacing w:before="40" w:after="40" w:line="240" w:lineRule="auto"/>
              <w:jc w:val="center"/>
              <w:rPr>
                <w:b/>
                <w:sz w:val="20"/>
              </w:rPr>
            </w:pPr>
            <w:r>
              <w:rPr>
                <w:b/>
                <w:sz w:val="20"/>
              </w:rPr>
              <w:t>1996 год</w:t>
            </w:r>
          </w:p>
        </w:tc>
        <w:tc>
          <w:tcPr>
            <w:tcW w:w="850" w:type="dxa"/>
          </w:tcPr>
          <w:p w:rsidR="00000000" w:rsidRDefault="00000000">
            <w:pPr>
              <w:spacing w:before="40" w:after="40" w:line="240" w:lineRule="auto"/>
              <w:jc w:val="center"/>
              <w:rPr>
                <w:b/>
                <w:sz w:val="20"/>
              </w:rPr>
            </w:pPr>
            <w:r>
              <w:rPr>
                <w:b/>
                <w:sz w:val="20"/>
              </w:rPr>
              <w:t>1997 год</w:t>
            </w:r>
          </w:p>
        </w:tc>
        <w:tc>
          <w:tcPr>
            <w:tcW w:w="851" w:type="dxa"/>
          </w:tcPr>
          <w:p w:rsidR="00000000" w:rsidRDefault="00000000">
            <w:pPr>
              <w:spacing w:before="40" w:after="40" w:line="240" w:lineRule="auto"/>
              <w:jc w:val="center"/>
              <w:rPr>
                <w:b/>
                <w:sz w:val="20"/>
              </w:rPr>
            </w:pPr>
            <w:r>
              <w:rPr>
                <w:b/>
                <w:sz w:val="20"/>
              </w:rPr>
              <w:t>1998 год</w:t>
            </w:r>
          </w:p>
        </w:tc>
        <w:tc>
          <w:tcPr>
            <w:tcW w:w="850" w:type="dxa"/>
          </w:tcPr>
          <w:p w:rsidR="00000000" w:rsidRDefault="00000000">
            <w:pPr>
              <w:spacing w:before="40" w:after="40" w:line="240" w:lineRule="auto"/>
              <w:jc w:val="center"/>
              <w:rPr>
                <w:b/>
                <w:sz w:val="20"/>
              </w:rPr>
            </w:pPr>
            <w:r>
              <w:rPr>
                <w:b/>
                <w:sz w:val="20"/>
              </w:rPr>
              <w:t>1999 год</w:t>
            </w:r>
          </w:p>
        </w:tc>
        <w:tc>
          <w:tcPr>
            <w:tcW w:w="851" w:type="dxa"/>
          </w:tcPr>
          <w:p w:rsidR="00000000" w:rsidRDefault="00000000">
            <w:pPr>
              <w:spacing w:before="40" w:after="40" w:line="240" w:lineRule="auto"/>
              <w:jc w:val="center"/>
              <w:rPr>
                <w:b/>
                <w:sz w:val="20"/>
              </w:rPr>
            </w:pPr>
            <w:r>
              <w:rPr>
                <w:b/>
                <w:sz w:val="20"/>
              </w:rPr>
              <w:t>2000 год</w:t>
            </w:r>
          </w:p>
        </w:tc>
        <w:tc>
          <w:tcPr>
            <w:tcW w:w="850" w:type="dxa"/>
          </w:tcPr>
          <w:p w:rsidR="00000000" w:rsidRDefault="00000000">
            <w:pPr>
              <w:spacing w:before="40" w:after="40" w:line="240" w:lineRule="auto"/>
              <w:jc w:val="center"/>
              <w:rPr>
                <w:b/>
                <w:sz w:val="20"/>
              </w:rPr>
            </w:pPr>
            <w:r>
              <w:rPr>
                <w:b/>
                <w:sz w:val="20"/>
              </w:rPr>
              <w:t>2001 год</w:t>
            </w:r>
          </w:p>
        </w:tc>
        <w:tc>
          <w:tcPr>
            <w:tcW w:w="821" w:type="dxa"/>
          </w:tcPr>
          <w:p w:rsidR="00000000" w:rsidRDefault="00000000">
            <w:pPr>
              <w:spacing w:before="40" w:after="40" w:line="240" w:lineRule="auto"/>
              <w:jc w:val="center"/>
              <w:rPr>
                <w:b/>
                <w:sz w:val="20"/>
              </w:rPr>
            </w:pPr>
            <w:r>
              <w:rPr>
                <w:b/>
                <w:sz w:val="20"/>
              </w:rPr>
              <w:t>2002 год</w:t>
            </w: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lang w:val="ru-RU"/>
              </w:rPr>
            </w:pPr>
            <w:r>
              <w:rPr>
                <w:sz w:val="20"/>
                <w:lang w:val="ru-RU"/>
              </w:rPr>
              <w:t>Всего</w:t>
            </w:r>
          </w:p>
        </w:tc>
        <w:tc>
          <w:tcPr>
            <w:tcW w:w="850" w:type="dxa"/>
            <w:vAlign w:val="bottom"/>
          </w:tcPr>
          <w:p w:rsidR="00000000" w:rsidRDefault="00000000">
            <w:pPr>
              <w:spacing w:before="40" w:after="40" w:line="240" w:lineRule="auto"/>
              <w:jc w:val="center"/>
              <w:rPr>
                <w:sz w:val="20"/>
              </w:rPr>
            </w:pPr>
            <w:r>
              <w:rPr>
                <w:sz w:val="20"/>
              </w:rPr>
              <w:t>77</w:t>
            </w:r>
          </w:p>
        </w:tc>
        <w:tc>
          <w:tcPr>
            <w:tcW w:w="851" w:type="dxa"/>
            <w:vAlign w:val="bottom"/>
          </w:tcPr>
          <w:p w:rsidR="00000000" w:rsidRDefault="00000000">
            <w:pPr>
              <w:spacing w:before="40" w:after="40" w:line="240" w:lineRule="auto"/>
              <w:jc w:val="center"/>
              <w:rPr>
                <w:sz w:val="20"/>
              </w:rPr>
            </w:pPr>
            <w:r>
              <w:rPr>
                <w:sz w:val="20"/>
              </w:rPr>
              <w:t>77</w:t>
            </w:r>
          </w:p>
        </w:tc>
        <w:tc>
          <w:tcPr>
            <w:tcW w:w="850" w:type="dxa"/>
            <w:vAlign w:val="bottom"/>
          </w:tcPr>
          <w:p w:rsidR="00000000" w:rsidRDefault="00000000">
            <w:pPr>
              <w:spacing w:before="40" w:after="40" w:line="240" w:lineRule="auto"/>
              <w:jc w:val="center"/>
              <w:rPr>
                <w:sz w:val="20"/>
              </w:rPr>
            </w:pPr>
            <w:r>
              <w:rPr>
                <w:sz w:val="20"/>
              </w:rPr>
              <w:t>78</w:t>
            </w:r>
          </w:p>
        </w:tc>
        <w:tc>
          <w:tcPr>
            <w:tcW w:w="851" w:type="dxa"/>
            <w:vAlign w:val="bottom"/>
          </w:tcPr>
          <w:p w:rsidR="00000000" w:rsidRDefault="00000000">
            <w:pPr>
              <w:spacing w:before="40" w:after="40" w:line="240" w:lineRule="auto"/>
              <w:jc w:val="center"/>
              <w:rPr>
                <w:sz w:val="20"/>
              </w:rPr>
            </w:pPr>
            <w:r>
              <w:rPr>
                <w:sz w:val="20"/>
              </w:rPr>
              <w:t>79</w:t>
            </w:r>
          </w:p>
        </w:tc>
        <w:tc>
          <w:tcPr>
            <w:tcW w:w="850" w:type="dxa"/>
            <w:vAlign w:val="bottom"/>
          </w:tcPr>
          <w:p w:rsidR="00000000" w:rsidRDefault="00000000">
            <w:pPr>
              <w:spacing w:before="40" w:after="40" w:line="240" w:lineRule="auto"/>
              <w:jc w:val="center"/>
              <w:rPr>
                <w:sz w:val="20"/>
              </w:rPr>
            </w:pPr>
            <w:r>
              <w:rPr>
                <w:sz w:val="20"/>
              </w:rPr>
              <w:t>79</w:t>
            </w:r>
          </w:p>
        </w:tc>
        <w:tc>
          <w:tcPr>
            <w:tcW w:w="851" w:type="dxa"/>
            <w:vAlign w:val="bottom"/>
          </w:tcPr>
          <w:p w:rsidR="00000000" w:rsidRDefault="00000000">
            <w:pPr>
              <w:spacing w:before="40" w:after="40" w:line="240" w:lineRule="auto"/>
              <w:jc w:val="center"/>
              <w:rPr>
                <w:sz w:val="20"/>
              </w:rPr>
            </w:pPr>
            <w:r>
              <w:rPr>
                <w:sz w:val="20"/>
              </w:rPr>
              <w:t>79</w:t>
            </w:r>
          </w:p>
        </w:tc>
        <w:tc>
          <w:tcPr>
            <w:tcW w:w="850" w:type="dxa"/>
            <w:vAlign w:val="bottom"/>
          </w:tcPr>
          <w:p w:rsidR="00000000" w:rsidRDefault="00000000">
            <w:pPr>
              <w:spacing w:before="40" w:after="40" w:line="240" w:lineRule="auto"/>
              <w:jc w:val="center"/>
              <w:rPr>
                <w:sz w:val="20"/>
              </w:rPr>
            </w:pPr>
            <w:r>
              <w:rPr>
                <w:sz w:val="20"/>
              </w:rPr>
              <w:t>81</w:t>
            </w:r>
          </w:p>
        </w:tc>
        <w:tc>
          <w:tcPr>
            <w:tcW w:w="821" w:type="dxa"/>
            <w:vAlign w:val="bottom"/>
          </w:tcPr>
          <w:p w:rsidR="00000000" w:rsidRDefault="00000000">
            <w:pPr>
              <w:spacing w:before="40" w:after="40" w:line="240" w:lineRule="auto"/>
              <w:jc w:val="center"/>
              <w:rPr>
                <w:sz w:val="20"/>
              </w:rPr>
            </w:pPr>
            <w:r>
              <w:rPr>
                <w:sz w:val="20"/>
              </w:rPr>
              <w:t>81</w:t>
            </w: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21" w:type="dxa"/>
            <w:vAlign w:val="bottom"/>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r>
              <w:rPr>
                <w:sz w:val="20"/>
              </w:rPr>
              <w:t>15–24 года</w:t>
            </w:r>
          </w:p>
        </w:tc>
        <w:tc>
          <w:tcPr>
            <w:tcW w:w="850" w:type="dxa"/>
            <w:vAlign w:val="bottom"/>
          </w:tcPr>
          <w:p w:rsidR="00000000" w:rsidRDefault="00000000">
            <w:pPr>
              <w:spacing w:before="40" w:after="40" w:line="240" w:lineRule="auto"/>
              <w:jc w:val="center"/>
              <w:rPr>
                <w:sz w:val="20"/>
              </w:rPr>
            </w:pPr>
            <w:r>
              <w:rPr>
                <w:sz w:val="20"/>
              </w:rPr>
              <w:t>93</w:t>
            </w:r>
          </w:p>
        </w:tc>
        <w:tc>
          <w:tcPr>
            <w:tcW w:w="851" w:type="dxa"/>
            <w:vAlign w:val="bottom"/>
          </w:tcPr>
          <w:p w:rsidR="00000000" w:rsidRDefault="00000000">
            <w:pPr>
              <w:spacing w:before="40" w:after="40" w:line="240" w:lineRule="auto"/>
              <w:jc w:val="center"/>
              <w:rPr>
                <w:sz w:val="20"/>
              </w:rPr>
            </w:pPr>
            <w:r>
              <w:rPr>
                <w:sz w:val="20"/>
              </w:rPr>
              <w:t>94</w:t>
            </w:r>
          </w:p>
        </w:tc>
        <w:tc>
          <w:tcPr>
            <w:tcW w:w="850" w:type="dxa"/>
            <w:vAlign w:val="bottom"/>
          </w:tcPr>
          <w:p w:rsidR="00000000" w:rsidRDefault="00000000">
            <w:pPr>
              <w:spacing w:before="40" w:after="40" w:line="240" w:lineRule="auto"/>
              <w:jc w:val="center"/>
              <w:rPr>
                <w:sz w:val="20"/>
              </w:rPr>
            </w:pPr>
            <w:r>
              <w:rPr>
                <w:sz w:val="20"/>
              </w:rPr>
              <w:t>95</w:t>
            </w:r>
          </w:p>
        </w:tc>
        <w:tc>
          <w:tcPr>
            <w:tcW w:w="851" w:type="dxa"/>
            <w:vAlign w:val="bottom"/>
          </w:tcPr>
          <w:p w:rsidR="00000000" w:rsidRDefault="00000000">
            <w:pPr>
              <w:spacing w:before="40" w:after="40" w:line="240" w:lineRule="auto"/>
              <w:jc w:val="center"/>
              <w:rPr>
                <w:sz w:val="20"/>
              </w:rPr>
            </w:pPr>
            <w:r>
              <w:rPr>
                <w:sz w:val="20"/>
              </w:rPr>
              <w:t>96</w:t>
            </w:r>
          </w:p>
        </w:tc>
        <w:tc>
          <w:tcPr>
            <w:tcW w:w="850" w:type="dxa"/>
            <w:vAlign w:val="bottom"/>
          </w:tcPr>
          <w:p w:rsidR="00000000" w:rsidRDefault="00000000">
            <w:pPr>
              <w:spacing w:before="40" w:after="40" w:line="240" w:lineRule="auto"/>
              <w:jc w:val="center"/>
              <w:rPr>
                <w:sz w:val="20"/>
              </w:rPr>
            </w:pPr>
            <w:r>
              <w:rPr>
                <w:sz w:val="20"/>
              </w:rPr>
              <w:t>95</w:t>
            </w:r>
          </w:p>
        </w:tc>
        <w:tc>
          <w:tcPr>
            <w:tcW w:w="851" w:type="dxa"/>
            <w:vAlign w:val="bottom"/>
          </w:tcPr>
          <w:p w:rsidR="00000000" w:rsidRDefault="00000000">
            <w:pPr>
              <w:spacing w:before="40" w:after="40" w:line="240" w:lineRule="auto"/>
              <w:jc w:val="center"/>
              <w:rPr>
                <w:sz w:val="20"/>
              </w:rPr>
            </w:pPr>
            <w:r>
              <w:rPr>
                <w:sz w:val="20"/>
              </w:rPr>
              <w:t>97</w:t>
            </w:r>
          </w:p>
        </w:tc>
        <w:tc>
          <w:tcPr>
            <w:tcW w:w="850" w:type="dxa"/>
            <w:vAlign w:val="bottom"/>
          </w:tcPr>
          <w:p w:rsidR="00000000" w:rsidRDefault="00000000">
            <w:pPr>
              <w:spacing w:before="40" w:after="40" w:line="240" w:lineRule="auto"/>
              <w:jc w:val="center"/>
              <w:rPr>
                <w:sz w:val="20"/>
              </w:rPr>
            </w:pPr>
            <w:r>
              <w:rPr>
                <w:sz w:val="20"/>
              </w:rPr>
              <w:t>97</w:t>
            </w:r>
          </w:p>
        </w:tc>
        <w:tc>
          <w:tcPr>
            <w:tcW w:w="821" w:type="dxa"/>
            <w:vAlign w:val="bottom"/>
          </w:tcPr>
          <w:p w:rsidR="00000000" w:rsidRDefault="00000000">
            <w:pPr>
              <w:spacing w:before="40" w:after="40" w:line="240" w:lineRule="auto"/>
              <w:jc w:val="center"/>
              <w:rPr>
                <w:sz w:val="20"/>
              </w:rPr>
            </w:pPr>
            <w:r>
              <w:rPr>
                <w:sz w:val="20"/>
              </w:rPr>
              <w:t>99</w:t>
            </w: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r>
              <w:rPr>
                <w:sz w:val="20"/>
              </w:rPr>
              <w:t>25–54 года</w:t>
            </w:r>
          </w:p>
        </w:tc>
        <w:tc>
          <w:tcPr>
            <w:tcW w:w="850" w:type="dxa"/>
            <w:vAlign w:val="bottom"/>
          </w:tcPr>
          <w:p w:rsidR="00000000" w:rsidRDefault="00000000">
            <w:pPr>
              <w:spacing w:before="40" w:after="40" w:line="240" w:lineRule="auto"/>
              <w:jc w:val="center"/>
              <w:rPr>
                <w:sz w:val="20"/>
              </w:rPr>
            </w:pPr>
            <w:r>
              <w:rPr>
                <w:sz w:val="20"/>
              </w:rPr>
              <w:t>80</w:t>
            </w:r>
          </w:p>
        </w:tc>
        <w:tc>
          <w:tcPr>
            <w:tcW w:w="851" w:type="dxa"/>
            <w:vAlign w:val="bottom"/>
          </w:tcPr>
          <w:p w:rsidR="00000000" w:rsidRDefault="00000000">
            <w:pPr>
              <w:spacing w:before="40" w:after="40" w:line="240" w:lineRule="auto"/>
              <w:jc w:val="center"/>
              <w:rPr>
                <w:sz w:val="20"/>
              </w:rPr>
            </w:pPr>
            <w:r>
              <w:rPr>
                <w:sz w:val="20"/>
              </w:rPr>
              <w:t>80</w:t>
            </w:r>
          </w:p>
        </w:tc>
        <w:tc>
          <w:tcPr>
            <w:tcW w:w="850" w:type="dxa"/>
            <w:vAlign w:val="bottom"/>
          </w:tcPr>
          <w:p w:rsidR="00000000" w:rsidRDefault="00000000">
            <w:pPr>
              <w:spacing w:before="40" w:after="40" w:line="240" w:lineRule="auto"/>
              <w:jc w:val="center"/>
              <w:rPr>
                <w:sz w:val="20"/>
              </w:rPr>
            </w:pPr>
            <w:r>
              <w:rPr>
                <w:sz w:val="20"/>
              </w:rPr>
              <w:t>81</w:t>
            </w:r>
          </w:p>
        </w:tc>
        <w:tc>
          <w:tcPr>
            <w:tcW w:w="851" w:type="dxa"/>
            <w:vAlign w:val="bottom"/>
          </w:tcPr>
          <w:p w:rsidR="00000000" w:rsidRDefault="00000000">
            <w:pPr>
              <w:spacing w:before="40" w:after="40" w:line="240" w:lineRule="auto"/>
              <w:jc w:val="center"/>
              <w:rPr>
                <w:sz w:val="20"/>
              </w:rPr>
            </w:pPr>
            <w:r>
              <w:rPr>
                <w:sz w:val="20"/>
              </w:rPr>
              <w:t>81</w:t>
            </w:r>
          </w:p>
        </w:tc>
        <w:tc>
          <w:tcPr>
            <w:tcW w:w="850" w:type="dxa"/>
            <w:vAlign w:val="bottom"/>
          </w:tcPr>
          <w:p w:rsidR="00000000" w:rsidRDefault="00000000">
            <w:pPr>
              <w:spacing w:before="40" w:after="40" w:line="240" w:lineRule="auto"/>
              <w:jc w:val="center"/>
              <w:rPr>
                <w:sz w:val="20"/>
              </w:rPr>
            </w:pPr>
            <w:r>
              <w:rPr>
                <w:sz w:val="20"/>
              </w:rPr>
              <w:t>81</w:t>
            </w:r>
          </w:p>
        </w:tc>
        <w:tc>
          <w:tcPr>
            <w:tcW w:w="851" w:type="dxa"/>
            <w:vAlign w:val="bottom"/>
          </w:tcPr>
          <w:p w:rsidR="00000000" w:rsidRDefault="00000000">
            <w:pPr>
              <w:spacing w:before="40" w:after="40" w:line="240" w:lineRule="auto"/>
              <w:jc w:val="center"/>
              <w:rPr>
                <w:sz w:val="20"/>
              </w:rPr>
            </w:pPr>
            <w:r>
              <w:rPr>
                <w:sz w:val="20"/>
              </w:rPr>
              <w:t>81</w:t>
            </w:r>
          </w:p>
        </w:tc>
        <w:tc>
          <w:tcPr>
            <w:tcW w:w="850" w:type="dxa"/>
            <w:vAlign w:val="bottom"/>
          </w:tcPr>
          <w:p w:rsidR="00000000" w:rsidRDefault="00000000">
            <w:pPr>
              <w:spacing w:before="40" w:after="40" w:line="240" w:lineRule="auto"/>
              <w:jc w:val="center"/>
              <w:rPr>
                <w:sz w:val="20"/>
              </w:rPr>
            </w:pPr>
            <w:r>
              <w:rPr>
                <w:sz w:val="20"/>
              </w:rPr>
              <w:t>83</w:t>
            </w:r>
          </w:p>
        </w:tc>
        <w:tc>
          <w:tcPr>
            <w:tcW w:w="821" w:type="dxa"/>
            <w:vAlign w:val="bottom"/>
          </w:tcPr>
          <w:p w:rsidR="00000000" w:rsidRDefault="00000000">
            <w:pPr>
              <w:spacing w:before="40" w:after="40" w:line="240" w:lineRule="auto"/>
              <w:jc w:val="center"/>
              <w:rPr>
                <w:sz w:val="20"/>
              </w:rPr>
            </w:pPr>
            <w:r>
              <w:rPr>
                <w:sz w:val="20"/>
              </w:rPr>
              <w:t>84</w:t>
            </w: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r>
              <w:rPr>
                <w:sz w:val="20"/>
              </w:rPr>
              <w:t>55–64 года</w:t>
            </w:r>
          </w:p>
        </w:tc>
        <w:tc>
          <w:tcPr>
            <w:tcW w:w="850" w:type="dxa"/>
            <w:vAlign w:val="bottom"/>
          </w:tcPr>
          <w:p w:rsidR="00000000" w:rsidRDefault="00000000">
            <w:pPr>
              <w:spacing w:before="40" w:after="40" w:line="240" w:lineRule="auto"/>
              <w:jc w:val="center"/>
              <w:rPr>
                <w:sz w:val="20"/>
              </w:rPr>
            </w:pPr>
            <w:r>
              <w:rPr>
                <w:sz w:val="20"/>
              </w:rPr>
              <w:t>72</w:t>
            </w:r>
          </w:p>
        </w:tc>
        <w:tc>
          <w:tcPr>
            <w:tcW w:w="851" w:type="dxa"/>
            <w:vAlign w:val="bottom"/>
          </w:tcPr>
          <w:p w:rsidR="00000000" w:rsidRDefault="00000000">
            <w:pPr>
              <w:spacing w:before="40" w:after="40" w:line="240" w:lineRule="auto"/>
              <w:jc w:val="center"/>
              <w:rPr>
                <w:sz w:val="20"/>
              </w:rPr>
            </w:pPr>
            <w:r>
              <w:rPr>
                <w:sz w:val="20"/>
              </w:rPr>
              <w:t>72</w:t>
            </w:r>
          </w:p>
        </w:tc>
        <w:tc>
          <w:tcPr>
            <w:tcW w:w="850" w:type="dxa"/>
            <w:vAlign w:val="bottom"/>
          </w:tcPr>
          <w:p w:rsidR="00000000" w:rsidRDefault="00000000">
            <w:pPr>
              <w:spacing w:before="40" w:after="40" w:line="240" w:lineRule="auto"/>
              <w:jc w:val="center"/>
              <w:rPr>
                <w:sz w:val="20"/>
              </w:rPr>
            </w:pPr>
            <w:r>
              <w:rPr>
                <w:sz w:val="20"/>
              </w:rPr>
              <w:t>73</w:t>
            </w:r>
          </w:p>
        </w:tc>
        <w:tc>
          <w:tcPr>
            <w:tcW w:w="851" w:type="dxa"/>
            <w:vAlign w:val="bottom"/>
          </w:tcPr>
          <w:p w:rsidR="00000000" w:rsidRDefault="00000000">
            <w:pPr>
              <w:spacing w:before="40" w:after="40" w:line="240" w:lineRule="auto"/>
              <w:jc w:val="center"/>
              <w:rPr>
                <w:sz w:val="20"/>
              </w:rPr>
            </w:pPr>
            <w:r>
              <w:rPr>
                <w:sz w:val="20"/>
              </w:rPr>
              <w:t>74</w:t>
            </w:r>
          </w:p>
        </w:tc>
        <w:tc>
          <w:tcPr>
            <w:tcW w:w="850" w:type="dxa"/>
            <w:vAlign w:val="bottom"/>
          </w:tcPr>
          <w:p w:rsidR="00000000" w:rsidRDefault="00000000">
            <w:pPr>
              <w:spacing w:before="40" w:after="40" w:line="240" w:lineRule="auto"/>
              <w:jc w:val="center"/>
              <w:rPr>
                <w:sz w:val="20"/>
              </w:rPr>
            </w:pPr>
            <w:r>
              <w:rPr>
                <w:sz w:val="20"/>
              </w:rPr>
              <w:t>73</w:t>
            </w:r>
          </w:p>
        </w:tc>
        <w:tc>
          <w:tcPr>
            <w:tcW w:w="851" w:type="dxa"/>
            <w:vAlign w:val="bottom"/>
          </w:tcPr>
          <w:p w:rsidR="00000000" w:rsidRDefault="00000000">
            <w:pPr>
              <w:spacing w:before="40" w:after="40" w:line="240" w:lineRule="auto"/>
              <w:jc w:val="center"/>
              <w:rPr>
                <w:sz w:val="20"/>
              </w:rPr>
            </w:pPr>
            <w:r>
              <w:rPr>
                <w:sz w:val="20"/>
              </w:rPr>
              <w:t>75</w:t>
            </w:r>
          </w:p>
        </w:tc>
        <w:tc>
          <w:tcPr>
            <w:tcW w:w="850" w:type="dxa"/>
            <w:vAlign w:val="bottom"/>
          </w:tcPr>
          <w:p w:rsidR="00000000" w:rsidRDefault="00000000">
            <w:pPr>
              <w:spacing w:before="40" w:after="40" w:line="240" w:lineRule="auto"/>
              <w:jc w:val="center"/>
              <w:rPr>
                <w:sz w:val="20"/>
              </w:rPr>
            </w:pPr>
            <w:r>
              <w:rPr>
                <w:sz w:val="20"/>
              </w:rPr>
              <w:t>76</w:t>
            </w:r>
          </w:p>
        </w:tc>
        <w:tc>
          <w:tcPr>
            <w:tcW w:w="821" w:type="dxa"/>
            <w:vAlign w:val="bottom"/>
          </w:tcPr>
          <w:p w:rsidR="00000000" w:rsidRDefault="00000000">
            <w:pPr>
              <w:spacing w:before="40" w:after="40" w:line="240" w:lineRule="auto"/>
              <w:jc w:val="center"/>
              <w:rPr>
                <w:sz w:val="20"/>
              </w:rPr>
            </w:pPr>
            <w:r>
              <w:rPr>
                <w:sz w:val="20"/>
              </w:rPr>
              <w:t>76</w:t>
            </w: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51" w:type="dxa"/>
            <w:vAlign w:val="bottom"/>
          </w:tcPr>
          <w:p w:rsidR="00000000" w:rsidRDefault="00000000">
            <w:pPr>
              <w:spacing w:before="40" w:after="40" w:line="240" w:lineRule="auto"/>
              <w:jc w:val="center"/>
              <w:rPr>
                <w:sz w:val="20"/>
              </w:rPr>
            </w:pPr>
          </w:p>
        </w:tc>
        <w:tc>
          <w:tcPr>
            <w:tcW w:w="850" w:type="dxa"/>
            <w:vAlign w:val="bottom"/>
          </w:tcPr>
          <w:p w:rsidR="00000000" w:rsidRDefault="00000000">
            <w:pPr>
              <w:spacing w:before="40" w:after="40" w:line="240" w:lineRule="auto"/>
              <w:jc w:val="center"/>
              <w:rPr>
                <w:sz w:val="20"/>
              </w:rPr>
            </w:pPr>
          </w:p>
        </w:tc>
        <w:tc>
          <w:tcPr>
            <w:tcW w:w="821" w:type="dxa"/>
            <w:vAlign w:val="bottom"/>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2802" w:type="dxa"/>
          </w:tcPr>
          <w:p w:rsidR="00000000" w:rsidRDefault="00000000">
            <w:pPr>
              <w:spacing w:before="40" w:after="40" w:line="240" w:lineRule="auto"/>
              <w:rPr>
                <w:sz w:val="20"/>
              </w:rPr>
            </w:pPr>
            <w:r>
              <w:rPr>
                <w:sz w:val="20"/>
              </w:rPr>
              <w:t>Коммерческий сектор</w:t>
            </w:r>
          </w:p>
        </w:tc>
        <w:tc>
          <w:tcPr>
            <w:tcW w:w="850" w:type="dxa"/>
            <w:vAlign w:val="bottom"/>
          </w:tcPr>
          <w:p w:rsidR="00000000" w:rsidRDefault="00000000">
            <w:pPr>
              <w:spacing w:before="40" w:after="40" w:line="240" w:lineRule="auto"/>
              <w:jc w:val="center"/>
              <w:rPr>
                <w:sz w:val="20"/>
              </w:rPr>
            </w:pPr>
            <w:r>
              <w:rPr>
                <w:sz w:val="20"/>
              </w:rPr>
              <w:t>72</w:t>
            </w:r>
          </w:p>
        </w:tc>
        <w:tc>
          <w:tcPr>
            <w:tcW w:w="851" w:type="dxa"/>
            <w:vAlign w:val="bottom"/>
          </w:tcPr>
          <w:p w:rsidR="00000000" w:rsidRDefault="00000000">
            <w:pPr>
              <w:spacing w:before="40" w:after="40" w:line="240" w:lineRule="auto"/>
              <w:jc w:val="center"/>
              <w:rPr>
                <w:sz w:val="20"/>
              </w:rPr>
            </w:pPr>
            <w:r>
              <w:rPr>
                <w:sz w:val="20"/>
              </w:rPr>
              <w:t>73</w:t>
            </w:r>
          </w:p>
        </w:tc>
        <w:tc>
          <w:tcPr>
            <w:tcW w:w="850" w:type="dxa"/>
            <w:vAlign w:val="bottom"/>
          </w:tcPr>
          <w:p w:rsidR="00000000" w:rsidRDefault="00000000">
            <w:pPr>
              <w:spacing w:before="40" w:after="40" w:line="240" w:lineRule="auto"/>
              <w:jc w:val="center"/>
              <w:rPr>
                <w:sz w:val="20"/>
              </w:rPr>
            </w:pPr>
            <w:r>
              <w:rPr>
                <w:sz w:val="20"/>
              </w:rPr>
              <w:t>73</w:t>
            </w:r>
          </w:p>
        </w:tc>
        <w:tc>
          <w:tcPr>
            <w:tcW w:w="851" w:type="dxa"/>
            <w:vAlign w:val="bottom"/>
          </w:tcPr>
          <w:p w:rsidR="00000000" w:rsidRDefault="00000000">
            <w:pPr>
              <w:spacing w:before="40" w:after="40" w:line="240" w:lineRule="auto"/>
              <w:jc w:val="center"/>
              <w:rPr>
                <w:sz w:val="20"/>
              </w:rPr>
            </w:pPr>
            <w:r>
              <w:rPr>
                <w:sz w:val="20"/>
              </w:rPr>
              <w:t>74</w:t>
            </w:r>
          </w:p>
        </w:tc>
        <w:tc>
          <w:tcPr>
            <w:tcW w:w="850" w:type="dxa"/>
            <w:vAlign w:val="bottom"/>
          </w:tcPr>
          <w:p w:rsidR="00000000" w:rsidRDefault="00000000">
            <w:pPr>
              <w:spacing w:before="40" w:after="40" w:line="240" w:lineRule="auto"/>
              <w:jc w:val="center"/>
              <w:rPr>
                <w:sz w:val="20"/>
              </w:rPr>
            </w:pPr>
            <w:r>
              <w:rPr>
                <w:sz w:val="20"/>
              </w:rPr>
              <w:t>74</w:t>
            </w:r>
          </w:p>
        </w:tc>
        <w:tc>
          <w:tcPr>
            <w:tcW w:w="851" w:type="dxa"/>
            <w:vAlign w:val="bottom"/>
          </w:tcPr>
          <w:p w:rsidR="00000000" w:rsidRDefault="00000000">
            <w:pPr>
              <w:spacing w:before="40" w:after="40" w:line="240" w:lineRule="auto"/>
              <w:jc w:val="center"/>
              <w:rPr>
                <w:sz w:val="20"/>
              </w:rPr>
            </w:pPr>
            <w:r>
              <w:rPr>
                <w:sz w:val="20"/>
              </w:rPr>
              <w:t>74</w:t>
            </w:r>
          </w:p>
        </w:tc>
        <w:tc>
          <w:tcPr>
            <w:tcW w:w="850" w:type="dxa"/>
            <w:vAlign w:val="bottom"/>
          </w:tcPr>
          <w:p w:rsidR="00000000" w:rsidRDefault="00000000">
            <w:pPr>
              <w:spacing w:before="40" w:after="40" w:line="240" w:lineRule="auto"/>
              <w:jc w:val="center"/>
              <w:rPr>
                <w:sz w:val="20"/>
              </w:rPr>
            </w:pPr>
            <w:r>
              <w:rPr>
                <w:sz w:val="20"/>
              </w:rPr>
              <w:t>76</w:t>
            </w:r>
          </w:p>
        </w:tc>
        <w:tc>
          <w:tcPr>
            <w:tcW w:w="821" w:type="dxa"/>
            <w:vAlign w:val="bottom"/>
          </w:tcPr>
          <w:p w:rsidR="00000000" w:rsidRDefault="00000000">
            <w:pPr>
              <w:spacing w:before="40" w:after="40" w:line="240" w:lineRule="auto"/>
              <w:jc w:val="center"/>
              <w:rPr>
                <w:sz w:val="20"/>
              </w:rPr>
            </w:pPr>
            <w:r>
              <w:rPr>
                <w:sz w:val="20"/>
              </w:rPr>
              <w:t>77</w:t>
            </w:r>
          </w:p>
        </w:tc>
      </w:tr>
      <w:tr w:rsidR="00000000">
        <w:tblPrEx>
          <w:tblCellMar>
            <w:top w:w="0" w:type="dxa"/>
            <w:bottom w:w="0" w:type="dxa"/>
          </w:tblCellMar>
        </w:tblPrEx>
        <w:trPr>
          <w:jc w:val="center"/>
        </w:trPr>
        <w:tc>
          <w:tcPr>
            <w:tcW w:w="2802" w:type="dxa"/>
          </w:tcPr>
          <w:p w:rsidR="00000000" w:rsidRDefault="00000000">
            <w:pPr>
              <w:spacing w:before="40" w:after="40" w:line="240" w:lineRule="auto"/>
              <w:jc w:val="left"/>
              <w:rPr>
                <w:sz w:val="20"/>
              </w:rPr>
            </w:pPr>
            <w:r>
              <w:rPr>
                <w:sz w:val="20"/>
              </w:rPr>
              <w:t>Гражданская служба (включая субсидируемый сектор)</w:t>
            </w:r>
          </w:p>
        </w:tc>
        <w:tc>
          <w:tcPr>
            <w:tcW w:w="850" w:type="dxa"/>
            <w:vAlign w:val="bottom"/>
          </w:tcPr>
          <w:p w:rsidR="00000000" w:rsidRDefault="00000000">
            <w:pPr>
              <w:spacing w:before="40" w:after="40" w:line="240" w:lineRule="auto"/>
              <w:jc w:val="center"/>
              <w:rPr>
                <w:sz w:val="20"/>
              </w:rPr>
            </w:pPr>
            <w:r>
              <w:rPr>
                <w:sz w:val="20"/>
              </w:rPr>
              <w:t>79</w:t>
            </w:r>
          </w:p>
        </w:tc>
        <w:tc>
          <w:tcPr>
            <w:tcW w:w="851" w:type="dxa"/>
            <w:vAlign w:val="bottom"/>
          </w:tcPr>
          <w:p w:rsidR="00000000" w:rsidRDefault="00000000">
            <w:pPr>
              <w:spacing w:before="40" w:after="40" w:line="240" w:lineRule="auto"/>
              <w:jc w:val="center"/>
              <w:rPr>
                <w:sz w:val="20"/>
              </w:rPr>
            </w:pPr>
            <w:r>
              <w:rPr>
                <w:sz w:val="20"/>
              </w:rPr>
              <w:t>79</w:t>
            </w:r>
          </w:p>
        </w:tc>
        <w:tc>
          <w:tcPr>
            <w:tcW w:w="850" w:type="dxa"/>
            <w:vAlign w:val="bottom"/>
          </w:tcPr>
          <w:p w:rsidR="00000000" w:rsidRDefault="00000000">
            <w:pPr>
              <w:spacing w:before="40" w:after="40" w:line="240" w:lineRule="auto"/>
              <w:jc w:val="center"/>
              <w:rPr>
                <w:sz w:val="20"/>
              </w:rPr>
            </w:pPr>
            <w:r>
              <w:rPr>
                <w:sz w:val="20"/>
              </w:rPr>
              <w:t>80</w:t>
            </w:r>
          </w:p>
        </w:tc>
        <w:tc>
          <w:tcPr>
            <w:tcW w:w="851" w:type="dxa"/>
            <w:vAlign w:val="bottom"/>
          </w:tcPr>
          <w:p w:rsidR="00000000" w:rsidRDefault="00000000">
            <w:pPr>
              <w:spacing w:before="40" w:after="40" w:line="240" w:lineRule="auto"/>
              <w:jc w:val="center"/>
              <w:rPr>
                <w:sz w:val="20"/>
              </w:rPr>
            </w:pPr>
            <w:r>
              <w:rPr>
                <w:sz w:val="20"/>
              </w:rPr>
              <w:t>81</w:t>
            </w:r>
          </w:p>
        </w:tc>
        <w:tc>
          <w:tcPr>
            <w:tcW w:w="850" w:type="dxa"/>
            <w:vAlign w:val="bottom"/>
          </w:tcPr>
          <w:p w:rsidR="00000000" w:rsidRDefault="00000000">
            <w:pPr>
              <w:spacing w:before="40" w:after="40" w:line="240" w:lineRule="auto"/>
              <w:jc w:val="center"/>
              <w:rPr>
                <w:sz w:val="20"/>
              </w:rPr>
            </w:pPr>
            <w:r>
              <w:rPr>
                <w:sz w:val="20"/>
              </w:rPr>
              <w:t>81</w:t>
            </w:r>
          </w:p>
        </w:tc>
        <w:tc>
          <w:tcPr>
            <w:tcW w:w="851" w:type="dxa"/>
            <w:vAlign w:val="bottom"/>
          </w:tcPr>
          <w:p w:rsidR="00000000" w:rsidRDefault="00000000">
            <w:pPr>
              <w:spacing w:before="40" w:after="40" w:line="240" w:lineRule="auto"/>
              <w:jc w:val="center"/>
              <w:rPr>
                <w:sz w:val="20"/>
              </w:rPr>
            </w:pPr>
            <w:r>
              <w:rPr>
                <w:sz w:val="20"/>
              </w:rPr>
              <w:t>81</w:t>
            </w:r>
          </w:p>
        </w:tc>
        <w:tc>
          <w:tcPr>
            <w:tcW w:w="850" w:type="dxa"/>
            <w:vAlign w:val="bottom"/>
          </w:tcPr>
          <w:p w:rsidR="00000000" w:rsidRDefault="00000000">
            <w:pPr>
              <w:spacing w:before="40" w:after="40" w:line="240" w:lineRule="auto"/>
              <w:jc w:val="center"/>
              <w:rPr>
                <w:sz w:val="20"/>
              </w:rPr>
            </w:pPr>
            <w:r>
              <w:rPr>
                <w:sz w:val="20"/>
              </w:rPr>
              <w:t>81</w:t>
            </w:r>
          </w:p>
        </w:tc>
        <w:tc>
          <w:tcPr>
            <w:tcW w:w="821" w:type="dxa"/>
            <w:vAlign w:val="bottom"/>
          </w:tcPr>
          <w:p w:rsidR="00000000" w:rsidRDefault="00000000">
            <w:pPr>
              <w:spacing w:before="40" w:after="40" w:line="240" w:lineRule="auto"/>
              <w:jc w:val="center"/>
              <w:rPr>
                <w:sz w:val="20"/>
              </w:rPr>
            </w:pPr>
            <w:r>
              <w:rPr>
                <w:sz w:val="20"/>
              </w:rPr>
              <w:t>82</w:t>
            </w:r>
          </w:p>
        </w:tc>
      </w:tr>
    </w:tbl>
    <w:p w:rsidR="00000000" w:rsidRDefault="00000000">
      <w:pPr>
        <w:spacing w:before="120"/>
        <w:rPr>
          <w:sz w:val="20"/>
        </w:rPr>
      </w:pPr>
      <w:r>
        <w:rPr>
          <w:sz w:val="20"/>
          <w:vertAlign w:val="superscript"/>
        </w:rPr>
        <w:t>а</w:t>
      </w:r>
      <w:r>
        <w:rPr>
          <w:sz w:val="20"/>
        </w:rPr>
        <w:t xml:space="preserve"> Средний размер оплаты труда без вычетов и не включающий премии.</w:t>
      </w:r>
    </w:p>
    <w:p w:rsidR="00000000" w:rsidRDefault="00000000">
      <w:pPr>
        <w:spacing w:before="40" w:line="240" w:lineRule="auto"/>
        <w:rPr>
          <w:sz w:val="20"/>
        </w:rPr>
      </w:pPr>
      <w:r>
        <w:rPr>
          <w:sz w:val="20"/>
        </w:rPr>
        <w:t xml:space="preserve">Источник: </w:t>
      </w:r>
      <w:r>
        <w:rPr>
          <w:sz w:val="20"/>
          <w:lang w:val="ru-RU"/>
        </w:rPr>
        <w:t>ЦСБ (</w:t>
      </w:r>
      <w:r>
        <w:rPr>
          <w:i/>
          <w:sz w:val="20"/>
        </w:rPr>
        <w:t>Центральное статистическое бюро Нидерландов</w:t>
      </w:r>
      <w:r>
        <w:rPr>
          <w:sz w:val="20"/>
          <w:lang w:val="ru-RU"/>
        </w:rPr>
        <w:t>),</w:t>
      </w:r>
      <w:r>
        <w:rPr>
          <w:sz w:val="20"/>
        </w:rPr>
        <w:t xml:space="preserve"> Обследование структуры оплаты труда, 1995–2002 годы.</w:t>
      </w:r>
    </w:p>
    <w:p w:rsidR="00000000" w:rsidRDefault="00000000">
      <w:pPr>
        <w:spacing w:before="360"/>
      </w:pPr>
      <w:r>
        <w:t>В 2000 году женщины, работающие в течение полного рабочего дня, получали на 3,8 евро в час меньше, чем мужчины. Среди лиц, работающих в течение неполного рабочего дня или по гибкому графику, разница была не столь ощутимой, однако и в этом случае размер почасовой оплаты труда женщин в среднем оказывается ниже, чем у мужчин. Среди мужчин и женщин, работающих по гибкому графику, размер почасовой оплаты труда ниже, чем у мужчин и женщин, работающих по другому графику, что обусловлено характером выполняемой ими работы. Женщины, работающие в течение неполного рабочего дня, в среднем имеют такой же уровень оплаты труда, что и женщины, работающие в течение полного рабочего дня. С другой стороны, размеры почасовой оплаты труда мужчин, работающих в течение неполного и полного рабочего дня, являются далеко не одинаковыми. Мужчины, которые работают неполный рабочий день, в среднем зарабатывают в час на 2 евро меньше, чем их коллеги, работающие полный рабочий день.</w:t>
      </w:r>
    </w:p>
    <w:p w:rsidR="00000000" w:rsidRDefault="00000000">
      <w:pPr>
        <w:spacing w:after="120"/>
        <w:jc w:val="left"/>
        <w:rPr>
          <w:b/>
          <w:lang w:val="ru-RU"/>
        </w:rPr>
      </w:pPr>
      <w:r>
        <w:rPr>
          <w:b/>
          <w:lang w:val="ru-RU"/>
        </w:rPr>
        <w:t>Размер средней почасовой оплаты труда</w:t>
      </w:r>
      <w:r>
        <w:rPr>
          <w:b/>
          <w:vertAlign w:val="superscript"/>
          <w:lang w:val="ru-RU"/>
        </w:rPr>
        <w:t>а</w:t>
      </w:r>
      <w:r>
        <w:rPr>
          <w:b/>
          <w:lang w:val="ru-RU"/>
        </w:rPr>
        <w:t xml:space="preserve"> с разбивкой по виду занятости и полу </w:t>
      </w:r>
      <w:r>
        <w:rPr>
          <w:lang w:val="ru-RU"/>
        </w:rPr>
        <w:t>(в евро)</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58"/>
        <w:gridCol w:w="1088"/>
        <w:gridCol w:w="1359"/>
        <w:gridCol w:w="952"/>
        <w:gridCol w:w="818"/>
        <w:gridCol w:w="1088"/>
        <w:gridCol w:w="1224"/>
        <w:gridCol w:w="952"/>
        <w:gridCol w:w="817"/>
      </w:tblGrid>
      <w:tr w:rsidR="00000000">
        <w:tblPrEx>
          <w:tblCellMar>
            <w:top w:w="0" w:type="dxa"/>
            <w:bottom w:w="0" w:type="dxa"/>
          </w:tblCellMar>
        </w:tblPrEx>
        <w:trPr>
          <w:cantSplit/>
          <w:jc w:val="center"/>
        </w:trPr>
        <w:tc>
          <w:tcPr>
            <w:tcW w:w="1058" w:type="dxa"/>
          </w:tcPr>
          <w:p w:rsidR="00000000" w:rsidRDefault="00000000">
            <w:pPr>
              <w:spacing w:before="40" w:after="40" w:line="240" w:lineRule="auto"/>
              <w:rPr>
                <w:b/>
                <w:sz w:val="20"/>
              </w:rPr>
            </w:pPr>
          </w:p>
        </w:tc>
        <w:tc>
          <w:tcPr>
            <w:tcW w:w="4217" w:type="dxa"/>
            <w:gridSpan w:val="4"/>
          </w:tcPr>
          <w:p w:rsidR="00000000" w:rsidRDefault="00000000">
            <w:pPr>
              <w:spacing w:before="40" w:after="40" w:line="240" w:lineRule="auto"/>
              <w:jc w:val="center"/>
              <w:rPr>
                <w:b/>
                <w:sz w:val="20"/>
              </w:rPr>
            </w:pPr>
            <w:r>
              <w:rPr>
                <w:b/>
                <w:sz w:val="20"/>
              </w:rPr>
              <w:t>Женщины</w:t>
            </w:r>
          </w:p>
        </w:tc>
        <w:tc>
          <w:tcPr>
            <w:tcW w:w="4081" w:type="dxa"/>
            <w:gridSpan w:val="4"/>
          </w:tcPr>
          <w:p w:rsidR="00000000" w:rsidRDefault="00000000">
            <w:pPr>
              <w:spacing w:before="40" w:after="40" w:line="240" w:lineRule="auto"/>
              <w:jc w:val="center"/>
              <w:rPr>
                <w:b/>
                <w:sz w:val="20"/>
              </w:rPr>
            </w:pPr>
            <w:r>
              <w:rPr>
                <w:b/>
                <w:sz w:val="20"/>
              </w:rPr>
              <w:t>Мужчины</w:t>
            </w:r>
          </w:p>
        </w:tc>
      </w:tr>
      <w:tr w:rsidR="00000000">
        <w:tblPrEx>
          <w:tblCellMar>
            <w:top w:w="0" w:type="dxa"/>
            <w:bottom w:w="0" w:type="dxa"/>
          </w:tblCellMar>
        </w:tblPrEx>
        <w:trPr>
          <w:jc w:val="center"/>
        </w:trPr>
        <w:tc>
          <w:tcPr>
            <w:tcW w:w="1058" w:type="dxa"/>
          </w:tcPr>
          <w:p w:rsidR="00000000" w:rsidRDefault="00000000">
            <w:pPr>
              <w:spacing w:before="40" w:after="40" w:line="240" w:lineRule="auto"/>
              <w:rPr>
                <w:b/>
                <w:sz w:val="20"/>
              </w:rPr>
            </w:pPr>
          </w:p>
        </w:tc>
        <w:tc>
          <w:tcPr>
            <w:tcW w:w="1088" w:type="dxa"/>
          </w:tcPr>
          <w:p w:rsidR="00000000" w:rsidRDefault="00000000">
            <w:pPr>
              <w:spacing w:before="40" w:after="40" w:line="240" w:lineRule="auto"/>
              <w:jc w:val="center"/>
              <w:rPr>
                <w:b/>
                <w:sz w:val="20"/>
              </w:rPr>
            </w:pPr>
            <w:r>
              <w:rPr>
                <w:b/>
                <w:sz w:val="20"/>
              </w:rPr>
              <w:t>полный рабочий день</w:t>
            </w:r>
          </w:p>
        </w:tc>
        <w:tc>
          <w:tcPr>
            <w:tcW w:w="1359" w:type="dxa"/>
          </w:tcPr>
          <w:p w:rsidR="00000000" w:rsidRDefault="00000000">
            <w:pPr>
              <w:spacing w:before="40" w:after="40" w:line="240" w:lineRule="auto"/>
              <w:jc w:val="center"/>
              <w:rPr>
                <w:b/>
                <w:sz w:val="20"/>
              </w:rPr>
            </w:pPr>
            <w:r>
              <w:rPr>
                <w:b/>
                <w:sz w:val="20"/>
              </w:rPr>
              <w:t xml:space="preserve">неполный рабочий </w:t>
            </w:r>
            <w:r>
              <w:rPr>
                <w:b/>
                <w:sz w:val="20"/>
                <w:lang w:val="ru-RU"/>
              </w:rPr>
              <w:br/>
            </w:r>
            <w:r>
              <w:rPr>
                <w:b/>
                <w:sz w:val="20"/>
              </w:rPr>
              <w:t>день</w:t>
            </w:r>
          </w:p>
        </w:tc>
        <w:tc>
          <w:tcPr>
            <w:tcW w:w="952" w:type="dxa"/>
          </w:tcPr>
          <w:p w:rsidR="00000000" w:rsidRDefault="00000000">
            <w:pPr>
              <w:spacing w:before="40" w:after="40" w:line="240" w:lineRule="auto"/>
              <w:jc w:val="center"/>
              <w:rPr>
                <w:b/>
                <w:sz w:val="20"/>
              </w:rPr>
            </w:pPr>
            <w:r>
              <w:rPr>
                <w:b/>
                <w:sz w:val="20"/>
              </w:rPr>
              <w:t>гибкий график работы</w:t>
            </w:r>
          </w:p>
        </w:tc>
        <w:tc>
          <w:tcPr>
            <w:tcW w:w="818" w:type="dxa"/>
          </w:tcPr>
          <w:p w:rsidR="00000000" w:rsidRDefault="00000000">
            <w:pPr>
              <w:spacing w:before="40" w:after="40" w:line="240" w:lineRule="auto"/>
              <w:jc w:val="center"/>
              <w:rPr>
                <w:b/>
                <w:sz w:val="20"/>
              </w:rPr>
            </w:pPr>
            <w:r>
              <w:rPr>
                <w:b/>
                <w:sz w:val="20"/>
              </w:rPr>
              <w:t>итого</w:t>
            </w:r>
          </w:p>
        </w:tc>
        <w:tc>
          <w:tcPr>
            <w:tcW w:w="1088" w:type="dxa"/>
          </w:tcPr>
          <w:p w:rsidR="00000000" w:rsidRDefault="00000000">
            <w:pPr>
              <w:spacing w:before="40" w:after="40" w:line="240" w:lineRule="auto"/>
              <w:jc w:val="center"/>
              <w:rPr>
                <w:b/>
                <w:sz w:val="20"/>
              </w:rPr>
            </w:pPr>
            <w:r>
              <w:rPr>
                <w:b/>
                <w:sz w:val="20"/>
              </w:rPr>
              <w:t>полный рабочий день</w:t>
            </w:r>
          </w:p>
        </w:tc>
        <w:tc>
          <w:tcPr>
            <w:tcW w:w="1224" w:type="dxa"/>
          </w:tcPr>
          <w:p w:rsidR="00000000" w:rsidRDefault="00000000">
            <w:pPr>
              <w:spacing w:before="40" w:after="40" w:line="240" w:lineRule="auto"/>
              <w:jc w:val="center"/>
              <w:rPr>
                <w:b/>
                <w:sz w:val="20"/>
              </w:rPr>
            </w:pPr>
            <w:r>
              <w:rPr>
                <w:b/>
                <w:sz w:val="20"/>
              </w:rPr>
              <w:t xml:space="preserve">неполный рабочий </w:t>
            </w:r>
            <w:r>
              <w:rPr>
                <w:b/>
                <w:sz w:val="20"/>
                <w:lang w:val="ru-RU"/>
              </w:rPr>
              <w:br/>
            </w:r>
            <w:r>
              <w:rPr>
                <w:b/>
                <w:sz w:val="20"/>
              </w:rPr>
              <w:t>день</w:t>
            </w:r>
          </w:p>
        </w:tc>
        <w:tc>
          <w:tcPr>
            <w:tcW w:w="952" w:type="dxa"/>
          </w:tcPr>
          <w:p w:rsidR="00000000" w:rsidRDefault="00000000">
            <w:pPr>
              <w:spacing w:before="40" w:after="40" w:line="240" w:lineRule="auto"/>
              <w:jc w:val="center"/>
              <w:rPr>
                <w:b/>
                <w:sz w:val="20"/>
              </w:rPr>
            </w:pPr>
            <w:r>
              <w:rPr>
                <w:b/>
                <w:sz w:val="20"/>
              </w:rPr>
              <w:t>гибкий график работы</w:t>
            </w:r>
          </w:p>
        </w:tc>
        <w:tc>
          <w:tcPr>
            <w:tcW w:w="817" w:type="dxa"/>
          </w:tcPr>
          <w:p w:rsidR="00000000" w:rsidRDefault="00000000">
            <w:pPr>
              <w:spacing w:before="40" w:after="40" w:line="240" w:lineRule="auto"/>
              <w:jc w:val="center"/>
              <w:rPr>
                <w:b/>
                <w:sz w:val="20"/>
              </w:rPr>
            </w:pPr>
            <w:r>
              <w:rPr>
                <w:b/>
                <w:sz w:val="20"/>
              </w:rPr>
              <w:t>итого</w:t>
            </w:r>
          </w:p>
        </w:tc>
      </w:tr>
      <w:tr w:rsidR="00000000">
        <w:tblPrEx>
          <w:tblCellMar>
            <w:top w:w="0" w:type="dxa"/>
            <w:bottom w:w="0" w:type="dxa"/>
          </w:tblCellMar>
        </w:tblPrEx>
        <w:trPr>
          <w:jc w:val="center"/>
        </w:trPr>
        <w:tc>
          <w:tcPr>
            <w:tcW w:w="1058" w:type="dxa"/>
          </w:tcPr>
          <w:p w:rsidR="00000000" w:rsidRDefault="00000000">
            <w:pPr>
              <w:pStyle w:val="a4"/>
              <w:spacing w:before="40" w:after="40" w:line="240" w:lineRule="auto"/>
              <w:rPr>
                <w:lang w:val="fr-FR"/>
              </w:rPr>
            </w:pPr>
            <w:r>
              <w:rPr>
                <w:lang w:val="fr-FR"/>
              </w:rPr>
              <w:t>1990 год</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8,85</w:t>
            </w:r>
          </w:p>
        </w:tc>
        <w:tc>
          <w:tcPr>
            <w:tcW w:w="1359"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8,92</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6,58</w:t>
            </w:r>
          </w:p>
        </w:tc>
        <w:tc>
          <w:tcPr>
            <w:tcW w:w="818"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8,68</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12,19</w:t>
            </w:r>
          </w:p>
        </w:tc>
        <w:tc>
          <w:tcPr>
            <w:tcW w:w="1224"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9,83</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7,12</w:t>
            </w:r>
          </w:p>
        </w:tc>
        <w:tc>
          <w:tcPr>
            <w:tcW w:w="817"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11,91</w:t>
            </w:r>
          </w:p>
        </w:tc>
      </w:tr>
      <w:tr w:rsidR="00000000">
        <w:tblPrEx>
          <w:tblCellMar>
            <w:top w:w="0" w:type="dxa"/>
            <w:bottom w:w="0" w:type="dxa"/>
          </w:tblCellMar>
        </w:tblPrEx>
        <w:trPr>
          <w:jc w:val="center"/>
        </w:trPr>
        <w:tc>
          <w:tcPr>
            <w:tcW w:w="1058" w:type="dxa"/>
          </w:tcPr>
          <w:p w:rsidR="00000000" w:rsidRDefault="00000000">
            <w:pPr>
              <w:spacing w:before="40" w:after="40" w:line="240" w:lineRule="auto"/>
              <w:rPr>
                <w:sz w:val="20"/>
              </w:rPr>
            </w:pPr>
            <w:r>
              <w:rPr>
                <w:sz w:val="20"/>
              </w:rPr>
              <w:t>1997 год</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BookCond"/>
                <w:sz w:val="20"/>
              </w:rPr>
              <w:t>11,98</w:t>
            </w:r>
          </w:p>
        </w:tc>
        <w:tc>
          <w:tcPr>
            <w:tcW w:w="1359"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BookCond"/>
                <w:sz w:val="20"/>
              </w:rPr>
              <w:t>12,15</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BookCond"/>
                <w:sz w:val="20"/>
                <w:lang w:val="ru-RU"/>
              </w:rPr>
            </w:pPr>
            <w:r>
              <w:rPr>
                <w:rFonts w:eastAsia="FranklinGothicEF-BookCond"/>
                <w:sz w:val="20"/>
                <w:lang w:val="ru-RU"/>
              </w:rPr>
              <w:t>8,12</w:t>
            </w:r>
          </w:p>
        </w:tc>
        <w:tc>
          <w:tcPr>
            <w:tcW w:w="818"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BookCond"/>
                <w:sz w:val="20"/>
              </w:rPr>
              <w:t>11,69</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BookCond"/>
                <w:sz w:val="20"/>
              </w:rPr>
              <w:t>15,55</w:t>
            </w:r>
          </w:p>
        </w:tc>
        <w:tc>
          <w:tcPr>
            <w:tcW w:w="1224"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BookCond"/>
                <w:sz w:val="20"/>
              </w:rPr>
              <w:t>13,96</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BookCond"/>
                <w:sz w:val="20"/>
              </w:rPr>
              <w:t>8,53</w:t>
            </w:r>
          </w:p>
        </w:tc>
        <w:tc>
          <w:tcPr>
            <w:tcW w:w="817"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BookCond"/>
                <w:sz w:val="20"/>
              </w:rPr>
              <w:t>15,11</w:t>
            </w:r>
          </w:p>
        </w:tc>
      </w:tr>
      <w:tr w:rsidR="00000000">
        <w:tblPrEx>
          <w:tblCellMar>
            <w:top w:w="0" w:type="dxa"/>
            <w:bottom w:w="0" w:type="dxa"/>
          </w:tblCellMar>
        </w:tblPrEx>
        <w:trPr>
          <w:jc w:val="center"/>
        </w:trPr>
        <w:tc>
          <w:tcPr>
            <w:tcW w:w="1058" w:type="dxa"/>
          </w:tcPr>
          <w:p w:rsidR="00000000" w:rsidRDefault="00000000">
            <w:pPr>
              <w:spacing w:before="40" w:after="40" w:line="240" w:lineRule="auto"/>
              <w:rPr>
                <w:sz w:val="20"/>
              </w:rPr>
            </w:pPr>
            <w:r>
              <w:rPr>
                <w:sz w:val="20"/>
              </w:rPr>
              <w:t>1998 год</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12,59</w:t>
            </w:r>
          </w:p>
        </w:tc>
        <w:tc>
          <w:tcPr>
            <w:tcW w:w="1359"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12,64</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8,47</w:t>
            </w:r>
          </w:p>
        </w:tc>
        <w:tc>
          <w:tcPr>
            <w:tcW w:w="818"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12,23</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16,21</w:t>
            </w:r>
          </w:p>
        </w:tc>
        <w:tc>
          <w:tcPr>
            <w:tcW w:w="1224"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14,42</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8,99</w:t>
            </w:r>
          </w:p>
        </w:tc>
        <w:tc>
          <w:tcPr>
            <w:tcW w:w="817"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15,76</w:t>
            </w:r>
          </w:p>
        </w:tc>
      </w:tr>
      <w:tr w:rsidR="00000000">
        <w:tblPrEx>
          <w:tblCellMar>
            <w:top w:w="0" w:type="dxa"/>
            <w:bottom w:w="0" w:type="dxa"/>
          </w:tblCellMar>
        </w:tblPrEx>
        <w:trPr>
          <w:jc w:val="center"/>
        </w:trPr>
        <w:tc>
          <w:tcPr>
            <w:tcW w:w="1058" w:type="dxa"/>
          </w:tcPr>
          <w:p w:rsidR="00000000" w:rsidRDefault="00000000">
            <w:pPr>
              <w:spacing w:before="40" w:after="40" w:line="240" w:lineRule="auto"/>
              <w:rPr>
                <w:sz w:val="20"/>
              </w:rPr>
            </w:pPr>
            <w:r>
              <w:rPr>
                <w:sz w:val="20"/>
              </w:rPr>
              <w:t>2000 год</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13,65</w:t>
            </w:r>
          </w:p>
        </w:tc>
        <w:tc>
          <w:tcPr>
            <w:tcW w:w="1359"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13,66</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9,11</w:t>
            </w:r>
          </w:p>
        </w:tc>
        <w:tc>
          <w:tcPr>
            <w:tcW w:w="818"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13,30</w:t>
            </w:r>
          </w:p>
        </w:tc>
        <w:tc>
          <w:tcPr>
            <w:tcW w:w="1088" w:type="dxa"/>
          </w:tcPr>
          <w:p w:rsidR="00000000" w:rsidRDefault="00000000">
            <w:pPr>
              <w:tabs>
                <w:tab w:val="clear" w:pos="680"/>
                <w:tab w:val="clear" w:pos="1134"/>
                <w:tab w:val="decimal" w:pos="454"/>
              </w:tabs>
              <w:spacing w:before="40" w:after="40" w:line="240" w:lineRule="auto"/>
              <w:jc w:val="left"/>
              <w:rPr>
                <w:rFonts w:eastAsia="FranklinGothicEF-DemiCond"/>
                <w:sz w:val="20"/>
              </w:rPr>
            </w:pPr>
            <w:r>
              <w:rPr>
                <w:rFonts w:eastAsia="FranklinGothicEF-DemiCond"/>
                <w:sz w:val="20"/>
              </w:rPr>
              <w:t>17,45</w:t>
            </w:r>
          </w:p>
        </w:tc>
        <w:tc>
          <w:tcPr>
            <w:tcW w:w="1224" w:type="dxa"/>
          </w:tcPr>
          <w:p w:rsidR="00000000" w:rsidRDefault="00000000">
            <w:pPr>
              <w:tabs>
                <w:tab w:val="clear" w:pos="680"/>
                <w:tab w:val="clear" w:pos="1134"/>
                <w:tab w:val="decimal" w:pos="567"/>
              </w:tabs>
              <w:spacing w:before="40" w:after="40" w:line="240" w:lineRule="auto"/>
              <w:jc w:val="left"/>
              <w:rPr>
                <w:rFonts w:eastAsia="FranklinGothicEF-DemiCond"/>
                <w:sz w:val="20"/>
              </w:rPr>
            </w:pPr>
            <w:r>
              <w:rPr>
                <w:rFonts w:eastAsia="FranklinGothicEF-DemiCond"/>
                <w:sz w:val="20"/>
              </w:rPr>
              <w:t>15,64</w:t>
            </w:r>
          </w:p>
        </w:tc>
        <w:tc>
          <w:tcPr>
            <w:tcW w:w="952" w:type="dxa"/>
          </w:tcPr>
          <w:p w:rsidR="00000000" w:rsidRDefault="00000000">
            <w:pPr>
              <w:tabs>
                <w:tab w:val="clear" w:pos="680"/>
                <w:tab w:val="clear" w:pos="1134"/>
                <w:tab w:val="decimal" w:pos="397"/>
              </w:tabs>
              <w:spacing w:before="40" w:after="40" w:line="240" w:lineRule="auto"/>
              <w:jc w:val="left"/>
              <w:rPr>
                <w:rFonts w:eastAsia="FranklinGothicEF-DemiCond"/>
                <w:sz w:val="20"/>
              </w:rPr>
            </w:pPr>
            <w:r>
              <w:rPr>
                <w:rFonts w:eastAsia="FranklinGothicEF-DemiCond"/>
                <w:sz w:val="20"/>
              </w:rPr>
              <w:t>9,63</w:t>
            </w:r>
          </w:p>
        </w:tc>
        <w:tc>
          <w:tcPr>
            <w:tcW w:w="817" w:type="dxa"/>
          </w:tcPr>
          <w:p w:rsidR="00000000" w:rsidRDefault="00000000">
            <w:pPr>
              <w:tabs>
                <w:tab w:val="clear" w:pos="680"/>
                <w:tab w:val="clear" w:pos="1134"/>
                <w:tab w:val="decimal" w:pos="340"/>
              </w:tabs>
              <w:spacing w:before="40" w:after="40" w:line="240" w:lineRule="auto"/>
              <w:jc w:val="left"/>
              <w:rPr>
                <w:rFonts w:eastAsia="FranklinGothicEF-DemiCond"/>
                <w:sz w:val="20"/>
              </w:rPr>
            </w:pPr>
            <w:r>
              <w:rPr>
                <w:rFonts w:eastAsia="FranklinGothicEF-DemiCond"/>
                <w:sz w:val="20"/>
              </w:rPr>
              <w:t>16,98</w:t>
            </w:r>
          </w:p>
        </w:tc>
      </w:tr>
    </w:tbl>
    <w:p w:rsidR="00000000" w:rsidRDefault="00000000">
      <w:pPr>
        <w:spacing w:before="120" w:line="240" w:lineRule="auto"/>
        <w:rPr>
          <w:sz w:val="20"/>
        </w:rPr>
      </w:pPr>
      <w:r>
        <w:rPr>
          <w:sz w:val="20"/>
          <w:vertAlign w:val="superscript"/>
        </w:rPr>
        <w:t>а</w:t>
      </w:r>
      <w:r>
        <w:rPr>
          <w:sz w:val="20"/>
        </w:rPr>
        <w:t xml:space="preserve"> Средний размер оплаты труда без вычетов и не включающий премии.</w:t>
      </w:r>
    </w:p>
    <w:p w:rsidR="00000000" w:rsidRDefault="00000000">
      <w:pPr>
        <w:spacing w:before="40" w:line="240" w:lineRule="auto"/>
        <w:rPr>
          <w:sz w:val="20"/>
        </w:rPr>
      </w:pPr>
      <w:r>
        <w:rPr>
          <w:sz w:val="20"/>
        </w:rPr>
        <w:t>Источник: ЦСБ (</w:t>
      </w:r>
      <w:r>
        <w:rPr>
          <w:i/>
          <w:sz w:val="20"/>
        </w:rPr>
        <w:t>Центральное статистическое бюро Нидерландов</w:t>
      </w:r>
      <w:r>
        <w:rPr>
          <w:sz w:val="20"/>
        </w:rPr>
        <w:t>), Обследование занятости и оплаты труда.</w:t>
      </w:r>
    </w:p>
    <w:p w:rsidR="00000000" w:rsidRDefault="00000000">
      <w:pPr>
        <w:pStyle w:val="Heading3"/>
        <w:spacing w:after="0" w:line="280" w:lineRule="exact"/>
        <w:rPr>
          <w:lang w:val="fr-FR"/>
        </w:rPr>
      </w:pPr>
      <w:r>
        <w:rPr>
          <w:lang w:val="fr-FR"/>
        </w:rPr>
        <w:t>Министерство внутренних дел и по делам королевства</w:t>
      </w:r>
    </w:p>
    <w:p w:rsidR="00000000" w:rsidRDefault="00000000">
      <w:pPr>
        <w:rPr>
          <w:i/>
        </w:rPr>
      </w:pPr>
      <w:r>
        <w:rPr>
          <w:i/>
        </w:rPr>
        <w:t>Полиция</w:t>
      </w:r>
    </w:p>
    <w:p w:rsidR="00000000" w:rsidRDefault="00000000">
      <w:r>
        <w:t>Органы полиции ведут наблюдение за числом женщин, работающих в полиции на руководящих должностях. Данные полиции показывают, что число женщин на таких должностях постепенно растет. В 2001 году совокупная доля женщин на руководящих должностях в региональных полицейских отделениях и Национальном агентстве полицейских служб (</w:t>
      </w:r>
      <w:r>
        <w:rPr>
          <w:lang w:val="en-US"/>
        </w:rPr>
        <w:t>KLDP</w:t>
      </w:r>
      <w:r>
        <w:t>) составляла 17,6</w:t>
      </w:r>
      <w:r>
        <w:rPr>
          <w:lang w:val="ru-RU"/>
        </w:rPr>
        <w:t> </w:t>
      </w:r>
      <w:r>
        <w:t>процента. В 2002 году эта доля увеличилась до 18,5 процента. Обеспечение дальнейшего роста этого показателя является одной из важнейших задач правительства.</w:t>
      </w:r>
    </w:p>
    <w:p w:rsidR="00000000" w:rsidRDefault="00000000">
      <w:r>
        <w:t>Совместно с силами полиции Министерство внутренних дел и по делам королевства разработало многолетний план действий на период 2001–2005 годов по поощрению многообразия в органах полиции (Центре профессиональной подготовки сотрудников полиции и информации) (</w:t>
      </w:r>
      <w:r>
        <w:rPr>
          <w:lang w:val="en-US"/>
        </w:rPr>
        <w:t>LSOP</w:t>
      </w:r>
      <w:r>
        <w:t>). В целях поддержки этих изменений Министерство внутренних дел и по делам королевства и органы полиции организовали Национальный консультационный центр по вопросам этнического многообразия (НЦЭМ), который, как планировалось, должен был работать в течение всего периода осуществления многолетнего плана действий. НЦЭМ распространяет среди органов полиции знания и информацию, необходимые для увеличения многообразия.</w:t>
      </w:r>
    </w:p>
    <w:p w:rsidR="00000000" w:rsidRDefault="00000000">
      <w:r>
        <w:t>Вопрос о многообразии остается весьма актуальным в контексте кадровой политики, проводимой органами полиции. В связи с этим в Национальной рамочной программе на 2003–2006 годы были сформулированы конкретные цели в данной области. Основное внимание при этом уделяется достижению региональных целевых показателей. Национальный консультационный центр по вопросам этнического многообразия в сотрудничестве с органами полиции определил эти ориентиры, опираясь на структуры населения в регионах, имеющиеся статистические данные ЦСБ (Центрального статистического бюро Нидерландов) и различные другие данные. Контроль за прогрессом ведется на ежегодной основе по различным направлениям, в том числе путем использования специального механизма по контролю за обеспечением многообразия, разработанного НЦЭМ конкретно с этой целью. Органам полиции, которым в последние годы удалось добиться лишь незначительного прогресса в этой области, предоставляется дополнительная поддержка от НЦЭМ с учетом последних данных, полученных в результате оценки достигнутых ими успехов.</w:t>
      </w:r>
    </w:p>
    <w:p w:rsidR="00000000" w:rsidRDefault="00000000">
      <w:pPr>
        <w:rPr>
          <w:i/>
        </w:rPr>
      </w:pPr>
      <w:r>
        <w:rPr>
          <w:i/>
        </w:rPr>
        <w:t>Служба пожарной охраны</w:t>
      </w:r>
    </w:p>
    <w:p w:rsidR="00000000" w:rsidRDefault="00000000">
      <w:r>
        <w:t>Число женщин, принимаемых в Нидерландский институт Службы пожарной охраны и управления стихийными бедствиями, который трудоустраивает студентов во время их обучения, в последние годы последовательно составляло треть от общего числа всех новых студентов. Практически все эти женщины пока еще продолжают учиться, и поэтому они не отражены в самых последних статистических данных.</w:t>
      </w:r>
    </w:p>
    <w:p w:rsidR="00000000" w:rsidRDefault="00000000">
      <w:r>
        <w:t>В целях увеличения числа женщин-добровольцев среди неофицерского состава в 2000 году была спланирована кампания, которая началась в последующие годы и завершилась в конце 2003 года. В рамках этой кампании были разработаны информационные материалы, которые бесплатно распространялись среди бригад, проявивших к ним интерес. До конца 2003 года можно было получить поддержку от групп – организаторов местных кампаний. В общей сложности такой возможностью воспользовались 94 муниципалитета.</w:t>
      </w:r>
    </w:p>
    <w:p w:rsidR="00000000" w:rsidRDefault="00000000">
      <w:r>
        <w:t xml:space="preserve">В целях увеличения числа женщин на низших должностях в данной профессии весной 2003 года была начата кампания, связанная с привлечением трех больших бригад (из Амстердама, Роттердама и Гааги) к участию в проекте "Равенство", касающемся включения женщин в состав пожарных дружин и приема на работу в эти дружины в 2004 году 24 женщин. Данный проект частично финансировался за счет средств Европейского социального фонда. Осенью 2003 года к профессиональной подготовке приступила первая группа женщин. К июлю 2004 года намеченная цель была достигнута и даже превышена; на работу были приняты 27 женщин. Рассматривается вопрос об организации еще одного проекта </w:t>
      </w:r>
      <w:r>
        <w:rPr>
          <w:lang w:val="ru-RU"/>
        </w:rPr>
        <w:t xml:space="preserve">– </w:t>
      </w:r>
      <w:r>
        <w:t xml:space="preserve">"Равенство". В случае положительного решения этот проект будет направлен на изменение культуры поведения в системе пожарной охраны, в которой доминируют мужчины. </w:t>
      </w:r>
    </w:p>
    <w:p w:rsidR="00000000" w:rsidRDefault="00000000">
      <w:r>
        <w:t>В период с января 2000 года по декабрь 2002 года число женщин-добровольцев увеличилось на 260</w:t>
      </w:r>
      <w:r>
        <w:rPr>
          <w:lang w:val="ru-RU"/>
        </w:rPr>
        <w:t> </w:t>
      </w:r>
      <w:r>
        <w:t>человек (с 700 до 960), а число женщин, являющихся профессиональными пожарными, возросло на 27 человек (со 135 до 162). Поскольку общее число профессиональных пожарных за этот период увеличилось, процент женщин (3,3 процента) остался неизменным. Вместе с тем доля женщин-добровольцев явно возросла с 3,3 до 4,6 процента, то есть рост составил 39 процентов. Это увеличение отчасти является результатом стремления Министерства внутренних дел и по делам королевства ускорить осуществление соответствующей политики, о которой говорилось выше. В целом доля женщин в службе пожарной охраны возросла с 3,3 до 4,4 процента.</w:t>
      </w:r>
    </w:p>
    <w:p w:rsidR="00000000" w:rsidRDefault="00000000">
      <w:pPr>
        <w:rPr>
          <w:b/>
          <w:i/>
        </w:rPr>
      </w:pPr>
      <w:r>
        <w:rPr>
          <w:b/>
          <w:i/>
        </w:rPr>
        <w:t>Министерство иностранных дел</w:t>
      </w:r>
    </w:p>
    <w:p w:rsidR="00000000" w:rsidRDefault="00000000">
      <w:r>
        <w:t>Внутренняя политика Министерства иностранных дел в области эмансипации изложена в плане действий под названием "Сбалансированная организация". Ее задачи состоят в том, чтобы обеспечить хорошо сбалансированный кадровый состав Министерства и как можно более полное использование потенциала женщин на высокопоставленных и руководящих должностях. С 2002 года в Министерстве установлены целевые показатели в отношении увеличения числа женщин на должностях, относящихся к 14–16-</w:t>
      </w:r>
      <w:r>
        <w:rPr>
          <w:lang w:val="ru-RU"/>
        </w:rPr>
        <w:t>м</w:t>
      </w:r>
      <w:r>
        <w:t>у разряд</w:t>
      </w:r>
      <w:r>
        <w:rPr>
          <w:lang w:val="ru-RU"/>
        </w:rPr>
        <w:t>ам</w:t>
      </w:r>
      <w:r>
        <w:t xml:space="preserve"> оплаты труда. Цель состоит в том, чтобы к концу 2004 года удвоить число женщин на должностях этих разрядов по сравнению с их числом в 2000 году. При приеме кандидатов на должности, относящиеся к 14–16-</w:t>
      </w:r>
      <w:r>
        <w:rPr>
          <w:lang w:val="ru-RU"/>
        </w:rPr>
        <w:t>м</w:t>
      </w:r>
      <w:r>
        <w:t>у разряд</w:t>
      </w:r>
      <w:r>
        <w:rPr>
          <w:lang w:val="ru-RU"/>
        </w:rPr>
        <w:t>ам</w:t>
      </w:r>
      <w:r>
        <w:t xml:space="preserve"> оплаты труда, предпочтение (при прочих равных условиях и при равной квалификации) должно отдаваться женщинам.</w:t>
      </w:r>
    </w:p>
    <w:p w:rsidR="00000000" w:rsidRDefault="00000000">
      <w:r>
        <w:t>В 2000 году доля женщин на должностях, относящихся к 14–16-</w:t>
      </w:r>
      <w:r>
        <w:rPr>
          <w:lang w:val="ru-RU"/>
        </w:rPr>
        <w:t>м</w:t>
      </w:r>
      <w:r>
        <w:t>у разряд</w:t>
      </w:r>
      <w:r>
        <w:rPr>
          <w:lang w:val="ru-RU"/>
        </w:rPr>
        <w:t>ам</w:t>
      </w:r>
      <w:r>
        <w:t xml:space="preserve"> оплаты труда, составляла 10 процентов, а целевой показатель на 2004 год равняется 20 процентам. В настоящее время в Министерстве иностранных дел на должностях указанных категорий работают 60 женщин (14</w:t>
      </w:r>
      <w:r>
        <w:rPr>
          <w:lang w:val="ru-RU"/>
        </w:rPr>
        <w:t> </w:t>
      </w:r>
      <w:r>
        <w:t>процентов). Кроме того, в общей сложности 33 сотрудницам, относящимся к 13-</w:t>
      </w:r>
      <w:r>
        <w:rPr>
          <w:lang w:val="ru-RU"/>
        </w:rPr>
        <w:t>м</w:t>
      </w:r>
      <w:r>
        <w:t>у разряду, в 2002 и 2003 годах были предоставлены дополнительные возможности для повышения их уровня профессиональной квалификации и прохождения курсов профессиональной подготовки и/или переподготовки. Некоторые из этих женщин принимают участие в экспериментальном проекте профессиональной подготовки по электронной почте. Помимо этого, в настоящее время проводится исследование, посвященное причинам ограниченного продвижения женщин на должности, относящиеся к 13-</w:t>
      </w:r>
      <w:r>
        <w:rPr>
          <w:lang w:val="ru-RU"/>
        </w:rPr>
        <w:t>м</w:t>
      </w:r>
      <w:r>
        <w:t>у разряду оплаты труда и более высоким разрядам.</w:t>
      </w:r>
    </w:p>
    <w:p w:rsidR="00000000" w:rsidRDefault="00000000">
      <w:pPr>
        <w:spacing w:after="240"/>
        <w:rPr>
          <w:i/>
        </w:rPr>
      </w:pPr>
      <w:r>
        <w:rPr>
          <w:i/>
        </w:rPr>
        <w:t>Главы дипломатических представительств</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71"/>
        <w:gridCol w:w="1849"/>
        <w:gridCol w:w="1851"/>
        <w:gridCol w:w="1838"/>
        <w:gridCol w:w="1847"/>
      </w:tblGrid>
      <w:tr w:rsidR="00000000">
        <w:tblPrEx>
          <w:tblCellMar>
            <w:top w:w="0" w:type="dxa"/>
            <w:bottom w:w="0" w:type="dxa"/>
          </w:tblCellMar>
        </w:tblPrEx>
        <w:trPr>
          <w:jc w:val="center"/>
        </w:trPr>
        <w:tc>
          <w:tcPr>
            <w:tcW w:w="1971" w:type="dxa"/>
            <w:vAlign w:val="center"/>
          </w:tcPr>
          <w:p w:rsidR="00000000" w:rsidRDefault="00000000">
            <w:pPr>
              <w:spacing w:before="40" w:after="40" w:line="240" w:lineRule="auto"/>
              <w:jc w:val="left"/>
              <w:rPr>
                <w:b/>
                <w:sz w:val="20"/>
              </w:rPr>
            </w:pPr>
            <w:r>
              <w:rPr>
                <w:b/>
                <w:sz w:val="20"/>
              </w:rPr>
              <w:t>Главы</w:t>
            </w:r>
          </w:p>
        </w:tc>
        <w:tc>
          <w:tcPr>
            <w:tcW w:w="1849" w:type="dxa"/>
            <w:vAlign w:val="center"/>
          </w:tcPr>
          <w:p w:rsidR="00000000" w:rsidRDefault="00000000">
            <w:pPr>
              <w:spacing w:before="40" w:after="40" w:line="240" w:lineRule="auto"/>
              <w:jc w:val="center"/>
              <w:rPr>
                <w:b/>
                <w:sz w:val="20"/>
              </w:rPr>
            </w:pPr>
            <w:r>
              <w:rPr>
                <w:b/>
                <w:sz w:val="20"/>
              </w:rPr>
              <w:t>Мужчины</w:t>
            </w:r>
          </w:p>
        </w:tc>
        <w:tc>
          <w:tcPr>
            <w:tcW w:w="1851" w:type="dxa"/>
            <w:vAlign w:val="center"/>
          </w:tcPr>
          <w:p w:rsidR="00000000" w:rsidRDefault="00000000">
            <w:pPr>
              <w:spacing w:before="40" w:after="40" w:line="240" w:lineRule="auto"/>
              <w:jc w:val="center"/>
              <w:rPr>
                <w:b/>
                <w:sz w:val="20"/>
              </w:rPr>
            </w:pPr>
            <w:r>
              <w:rPr>
                <w:b/>
                <w:sz w:val="20"/>
              </w:rPr>
              <w:t>Женщины</w:t>
            </w:r>
          </w:p>
        </w:tc>
        <w:tc>
          <w:tcPr>
            <w:tcW w:w="1838" w:type="dxa"/>
            <w:vAlign w:val="center"/>
          </w:tcPr>
          <w:p w:rsidR="00000000" w:rsidRDefault="00000000">
            <w:pPr>
              <w:spacing w:before="40" w:after="40" w:line="240" w:lineRule="auto"/>
              <w:jc w:val="center"/>
              <w:rPr>
                <w:b/>
                <w:sz w:val="20"/>
              </w:rPr>
            </w:pPr>
            <w:r>
              <w:rPr>
                <w:b/>
                <w:sz w:val="20"/>
              </w:rPr>
              <w:t>Итого</w:t>
            </w:r>
          </w:p>
        </w:tc>
        <w:tc>
          <w:tcPr>
            <w:tcW w:w="1847" w:type="dxa"/>
          </w:tcPr>
          <w:p w:rsidR="00000000" w:rsidRDefault="00000000">
            <w:pPr>
              <w:spacing w:before="40" w:after="40" w:line="240" w:lineRule="auto"/>
              <w:jc w:val="center"/>
              <w:rPr>
                <w:b/>
                <w:sz w:val="20"/>
              </w:rPr>
            </w:pPr>
            <w:r>
              <w:rPr>
                <w:b/>
                <w:sz w:val="20"/>
              </w:rPr>
              <w:t>Доля женщин</w:t>
            </w:r>
            <w:r>
              <w:rPr>
                <w:b/>
                <w:sz w:val="20"/>
              </w:rPr>
              <w:br/>
              <w:t>(в процентах)</w:t>
            </w:r>
          </w:p>
        </w:tc>
      </w:tr>
      <w:tr w:rsidR="00000000">
        <w:tblPrEx>
          <w:tblCellMar>
            <w:top w:w="0" w:type="dxa"/>
            <w:bottom w:w="0" w:type="dxa"/>
          </w:tblCellMar>
        </w:tblPrEx>
        <w:trPr>
          <w:jc w:val="center"/>
        </w:trPr>
        <w:tc>
          <w:tcPr>
            <w:tcW w:w="1971" w:type="dxa"/>
          </w:tcPr>
          <w:p w:rsidR="00000000" w:rsidRDefault="00000000">
            <w:pPr>
              <w:spacing w:before="40" w:after="40" w:line="240" w:lineRule="auto"/>
              <w:rPr>
                <w:sz w:val="20"/>
              </w:rPr>
            </w:pPr>
            <w:r>
              <w:rPr>
                <w:sz w:val="20"/>
              </w:rPr>
              <w:t>Посольств</w:t>
            </w:r>
          </w:p>
        </w:tc>
        <w:tc>
          <w:tcPr>
            <w:tcW w:w="1849"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100</w:t>
            </w:r>
          </w:p>
        </w:tc>
        <w:tc>
          <w:tcPr>
            <w:tcW w:w="1851"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12</w:t>
            </w:r>
          </w:p>
        </w:tc>
        <w:tc>
          <w:tcPr>
            <w:tcW w:w="1838"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112</w:t>
            </w:r>
          </w:p>
        </w:tc>
        <w:tc>
          <w:tcPr>
            <w:tcW w:w="1847" w:type="dxa"/>
            <w:vAlign w:val="bottom"/>
          </w:tcPr>
          <w:p w:rsidR="00000000" w:rsidRDefault="00000000">
            <w:pPr>
              <w:tabs>
                <w:tab w:val="clear" w:pos="680"/>
                <w:tab w:val="clear" w:pos="1134"/>
                <w:tab w:val="decimal" w:pos="851"/>
              </w:tabs>
              <w:spacing w:before="40" w:after="40" w:line="240" w:lineRule="auto"/>
              <w:jc w:val="left"/>
              <w:rPr>
                <w:snapToGrid w:val="0"/>
                <w:color w:val="000000"/>
                <w:sz w:val="20"/>
                <w:lang w:eastAsia="en-US"/>
              </w:rPr>
            </w:pPr>
            <w:r>
              <w:rPr>
                <w:snapToGrid w:val="0"/>
                <w:color w:val="000000"/>
                <w:sz w:val="20"/>
                <w:lang w:eastAsia="en-US"/>
              </w:rPr>
              <w:t>10,7</w:t>
            </w:r>
          </w:p>
        </w:tc>
      </w:tr>
      <w:tr w:rsidR="00000000">
        <w:tblPrEx>
          <w:tblCellMar>
            <w:top w:w="0" w:type="dxa"/>
            <w:bottom w:w="0" w:type="dxa"/>
          </w:tblCellMar>
        </w:tblPrEx>
        <w:trPr>
          <w:jc w:val="center"/>
        </w:trPr>
        <w:tc>
          <w:tcPr>
            <w:tcW w:w="1971" w:type="dxa"/>
          </w:tcPr>
          <w:p w:rsidR="00000000" w:rsidRDefault="00000000">
            <w:pPr>
              <w:spacing w:before="40" w:after="40" w:line="240" w:lineRule="auto"/>
              <w:rPr>
                <w:sz w:val="20"/>
              </w:rPr>
            </w:pPr>
            <w:r>
              <w:rPr>
                <w:sz w:val="20"/>
              </w:rPr>
              <w:t>Постоянных представительств</w:t>
            </w:r>
          </w:p>
        </w:tc>
        <w:tc>
          <w:tcPr>
            <w:tcW w:w="1849"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7</w:t>
            </w:r>
          </w:p>
        </w:tc>
        <w:tc>
          <w:tcPr>
            <w:tcW w:w="1851"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0</w:t>
            </w:r>
          </w:p>
        </w:tc>
        <w:tc>
          <w:tcPr>
            <w:tcW w:w="1838"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7</w:t>
            </w:r>
          </w:p>
        </w:tc>
        <w:tc>
          <w:tcPr>
            <w:tcW w:w="1847" w:type="dxa"/>
            <w:vAlign w:val="bottom"/>
          </w:tcPr>
          <w:p w:rsidR="00000000" w:rsidRDefault="00000000">
            <w:pPr>
              <w:tabs>
                <w:tab w:val="clear" w:pos="680"/>
                <w:tab w:val="clear" w:pos="1134"/>
                <w:tab w:val="decimal" w:pos="851"/>
              </w:tabs>
              <w:spacing w:before="40" w:after="40" w:line="240" w:lineRule="auto"/>
              <w:jc w:val="left"/>
              <w:rPr>
                <w:snapToGrid w:val="0"/>
                <w:color w:val="000000"/>
                <w:sz w:val="20"/>
                <w:lang w:eastAsia="en-US"/>
              </w:rPr>
            </w:pPr>
            <w:r>
              <w:rPr>
                <w:snapToGrid w:val="0"/>
                <w:color w:val="000000"/>
                <w:sz w:val="20"/>
                <w:lang w:eastAsia="en-US"/>
              </w:rPr>
              <w:t>0,0</w:t>
            </w:r>
          </w:p>
        </w:tc>
      </w:tr>
      <w:tr w:rsidR="00000000">
        <w:tblPrEx>
          <w:tblCellMar>
            <w:top w:w="0" w:type="dxa"/>
            <w:bottom w:w="0" w:type="dxa"/>
          </w:tblCellMar>
        </w:tblPrEx>
        <w:trPr>
          <w:jc w:val="center"/>
        </w:trPr>
        <w:tc>
          <w:tcPr>
            <w:tcW w:w="1971" w:type="dxa"/>
          </w:tcPr>
          <w:p w:rsidR="00000000" w:rsidRDefault="00000000">
            <w:pPr>
              <w:spacing w:before="40" w:after="40" w:line="240" w:lineRule="auto"/>
              <w:rPr>
                <w:sz w:val="20"/>
              </w:rPr>
            </w:pPr>
            <w:r>
              <w:rPr>
                <w:sz w:val="20"/>
              </w:rPr>
              <w:t>Генеральных консульств</w:t>
            </w:r>
          </w:p>
        </w:tc>
        <w:tc>
          <w:tcPr>
            <w:tcW w:w="1849"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24</w:t>
            </w:r>
          </w:p>
        </w:tc>
        <w:tc>
          <w:tcPr>
            <w:tcW w:w="1851"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5</w:t>
            </w:r>
          </w:p>
        </w:tc>
        <w:tc>
          <w:tcPr>
            <w:tcW w:w="1838"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29</w:t>
            </w:r>
          </w:p>
        </w:tc>
        <w:tc>
          <w:tcPr>
            <w:tcW w:w="1847" w:type="dxa"/>
            <w:vAlign w:val="bottom"/>
          </w:tcPr>
          <w:p w:rsidR="00000000" w:rsidRDefault="00000000">
            <w:pPr>
              <w:tabs>
                <w:tab w:val="clear" w:pos="680"/>
                <w:tab w:val="clear" w:pos="1134"/>
                <w:tab w:val="decimal" w:pos="851"/>
              </w:tabs>
              <w:spacing w:before="40" w:after="40" w:line="240" w:lineRule="auto"/>
              <w:jc w:val="left"/>
              <w:rPr>
                <w:snapToGrid w:val="0"/>
                <w:color w:val="000000"/>
                <w:sz w:val="20"/>
                <w:lang w:eastAsia="en-US"/>
              </w:rPr>
            </w:pPr>
            <w:r>
              <w:rPr>
                <w:snapToGrid w:val="0"/>
                <w:color w:val="000000"/>
                <w:sz w:val="20"/>
                <w:lang w:eastAsia="en-US"/>
              </w:rPr>
              <w:t>17,2</w:t>
            </w:r>
          </w:p>
        </w:tc>
      </w:tr>
      <w:tr w:rsidR="00000000">
        <w:tblPrEx>
          <w:tblCellMar>
            <w:top w:w="0" w:type="dxa"/>
            <w:bottom w:w="0" w:type="dxa"/>
          </w:tblCellMar>
        </w:tblPrEx>
        <w:trPr>
          <w:jc w:val="center"/>
        </w:trPr>
        <w:tc>
          <w:tcPr>
            <w:tcW w:w="1971" w:type="dxa"/>
          </w:tcPr>
          <w:p w:rsidR="00000000" w:rsidRDefault="00000000">
            <w:pPr>
              <w:spacing w:before="40" w:after="40" w:line="240" w:lineRule="auto"/>
              <w:jc w:val="right"/>
              <w:rPr>
                <w:b/>
                <w:sz w:val="20"/>
              </w:rPr>
            </w:pPr>
            <w:r>
              <w:rPr>
                <w:b/>
                <w:sz w:val="20"/>
              </w:rPr>
              <w:t>Всего</w:t>
            </w:r>
          </w:p>
        </w:tc>
        <w:tc>
          <w:tcPr>
            <w:tcW w:w="1849"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131</w:t>
            </w:r>
          </w:p>
        </w:tc>
        <w:tc>
          <w:tcPr>
            <w:tcW w:w="1851"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17</w:t>
            </w:r>
          </w:p>
        </w:tc>
        <w:tc>
          <w:tcPr>
            <w:tcW w:w="1838" w:type="dxa"/>
            <w:vAlign w:val="bottom"/>
          </w:tcPr>
          <w:p w:rsidR="00000000" w:rsidRDefault="00000000">
            <w:pPr>
              <w:tabs>
                <w:tab w:val="clear" w:pos="680"/>
                <w:tab w:val="clear" w:pos="1134"/>
                <w:tab w:val="decimal" w:pos="964"/>
              </w:tabs>
              <w:spacing w:before="40" w:after="40" w:line="240" w:lineRule="auto"/>
              <w:jc w:val="left"/>
              <w:rPr>
                <w:snapToGrid w:val="0"/>
                <w:color w:val="000000"/>
                <w:sz w:val="20"/>
                <w:lang w:eastAsia="en-US"/>
              </w:rPr>
            </w:pPr>
            <w:r>
              <w:rPr>
                <w:snapToGrid w:val="0"/>
                <w:color w:val="000000"/>
                <w:sz w:val="20"/>
                <w:lang w:eastAsia="en-US"/>
              </w:rPr>
              <w:t>148</w:t>
            </w:r>
          </w:p>
        </w:tc>
        <w:tc>
          <w:tcPr>
            <w:tcW w:w="1847" w:type="dxa"/>
            <w:vAlign w:val="bottom"/>
          </w:tcPr>
          <w:p w:rsidR="00000000" w:rsidRDefault="00000000">
            <w:pPr>
              <w:tabs>
                <w:tab w:val="clear" w:pos="680"/>
                <w:tab w:val="clear" w:pos="1134"/>
                <w:tab w:val="decimal" w:pos="851"/>
              </w:tabs>
              <w:spacing w:before="40" w:after="40" w:line="240" w:lineRule="auto"/>
              <w:jc w:val="left"/>
              <w:rPr>
                <w:snapToGrid w:val="0"/>
                <w:color w:val="000000"/>
                <w:sz w:val="20"/>
                <w:lang w:eastAsia="en-US"/>
              </w:rPr>
            </w:pPr>
            <w:r>
              <w:rPr>
                <w:snapToGrid w:val="0"/>
                <w:color w:val="000000"/>
                <w:sz w:val="20"/>
                <w:lang w:eastAsia="en-US"/>
              </w:rPr>
              <w:t>11,5</w:t>
            </w:r>
          </w:p>
        </w:tc>
      </w:tr>
    </w:tbl>
    <w:p w:rsidR="00000000" w:rsidRDefault="00000000">
      <w:pPr>
        <w:spacing w:before="480"/>
        <w:rPr>
          <w:b/>
          <w:i/>
        </w:rPr>
      </w:pPr>
      <w:r>
        <w:rPr>
          <w:b/>
          <w:i/>
        </w:rPr>
        <w:t>Министерство обороны</w:t>
      </w:r>
    </w:p>
    <w:p w:rsidR="00000000" w:rsidRDefault="00000000">
      <w:pPr>
        <w:rPr>
          <w:i/>
        </w:rPr>
      </w:pPr>
      <w:r>
        <w:rPr>
          <w:i/>
        </w:rPr>
        <w:t>Женщины в вооруженных силах (среди гражданского и военного персонала)</w:t>
      </w:r>
    </w:p>
    <w:p w:rsidR="00000000" w:rsidRDefault="00000000">
      <w:r>
        <w:t>Имеющиеся данные свидетельствуют о том, что доля женщин в вооруженных силах увеличивается незначительными темпами (на 0,1 процента в год). Кроме того, доля женщин среди старших офицеров и на высокооплачиваемых должностях в большинстве подразделений вооруженных сил остается ниже целевых показателей.</w:t>
      </w:r>
    </w:p>
    <w:p w:rsidR="00000000" w:rsidRDefault="00000000">
      <w:pPr>
        <w:spacing w:after="240"/>
        <w:jc w:val="left"/>
        <w:rPr>
          <w:lang w:val="ru-RU"/>
        </w:rPr>
      </w:pPr>
      <w:r>
        <w:rPr>
          <w:b/>
          <w:lang w:val="ru-RU"/>
        </w:rPr>
        <w:t xml:space="preserve">Женщины среди гражданского персонала на высокооплачиваемых должностях </w:t>
      </w:r>
      <w:r>
        <w:rPr>
          <w:b/>
          <w:lang w:val="ru-RU"/>
        </w:rPr>
        <w:br/>
      </w:r>
      <w:r>
        <w:rPr>
          <w:lang w:val="ru-RU"/>
        </w:rPr>
        <w:t>(в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3564"/>
        <w:gridCol w:w="970"/>
        <w:gridCol w:w="832"/>
        <w:gridCol w:w="831"/>
        <w:gridCol w:w="832"/>
        <w:gridCol w:w="831"/>
        <w:gridCol w:w="693"/>
        <w:gridCol w:w="803"/>
      </w:tblGrid>
      <w:tr w:rsidR="00000000">
        <w:tblPrEx>
          <w:tblCellMar>
            <w:top w:w="0" w:type="dxa"/>
            <w:bottom w:w="0" w:type="dxa"/>
          </w:tblCellMar>
        </w:tblPrEx>
        <w:trPr>
          <w:jc w:val="center"/>
        </w:trPr>
        <w:tc>
          <w:tcPr>
            <w:tcW w:w="3564" w:type="dxa"/>
          </w:tcPr>
          <w:p w:rsidR="00000000" w:rsidRDefault="00000000">
            <w:pPr>
              <w:spacing w:before="40" w:after="40" w:line="240" w:lineRule="auto"/>
              <w:jc w:val="center"/>
              <w:rPr>
                <w:b/>
                <w:sz w:val="20"/>
              </w:rPr>
            </w:pPr>
          </w:p>
        </w:tc>
        <w:tc>
          <w:tcPr>
            <w:tcW w:w="970" w:type="dxa"/>
          </w:tcPr>
          <w:p w:rsidR="00000000" w:rsidRDefault="00000000">
            <w:pPr>
              <w:spacing w:before="40" w:after="40" w:line="240" w:lineRule="auto"/>
              <w:jc w:val="center"/>
              <w:rPr>
                <w:b/>
                <w:sz w:val="20"/>
              </w:rPr>
            </w:pPr>
            <w:r>
              <w:rPr>
                <w:b/>
                <w:sz w:val="20"/>
              </w:rPr>
              <w:t>КВМС</w:t>
            </w:r>
            <w:r>
              <w:rPr>
                <w:rStyle w:val="FootnoteReference"/>
                <w:b/>
                <w:sz w:val="20"/>
              </w:rPr>
              <w:footnoteReference w:customMarkFollows="1" w:id="46"/>
              <w:t>45</w:t>
            </w:r>
          </w:p>
        </w:tc>
        <w:tc>
          <w:tcPr>
            <w:tcW w:w="832" w:type="dxa"/>
          </w:tcPr>
          <w:p w:rsidR="00000000" w:rsidRDefault="00000000">
            <w:pPr>
              <w:spacing w:before="40" w:after="40" w:line="240" w:lineRule="auto"/>
              <w:jc w:val="center"/>
              <w:rPr>
                <w:b/>
                <w:sz w:val="20"/>
              </w:rPr>
            </w:pPr>
            <w:r>
              <w:rPr>
                <w:b/>
                <w:sz w:val="20"/>
              </w:rPr>
              <w:t>КСС</w:t>
            </w:r>
          </w:p>
        </w:tc>
        <w:tc>
          <w:tcPr>
            <w:tcW w:w="831" w:type="dxa"/>
          </w:tcPr>
          <w:p w:rsidR="00000000" w:rsidRDefault="00000000">
            <w:pPr>
              <w:spacing w:before="40" w:after="40" w:line="240" w:lineRule="auto"/>
              <w:jc w:val="center"/>
              <w:rPr>
                <w:b/>
                <w:sz w:val="20"/>
              </w:rPr>
            </w:pPr>
            <w:r>
              <w:rPr>
                <w:b/>
                <w:sz w:val="20"/>
              </w:rPr>
              <w:t>КВВС</w:t>
            </w:r>
          </w:p>
        </w:tc>
        <w:tc>
          <w:tcPr>
            <w:tcW w:w="832" w:type="dxa"/>
          </w:tcPr>
          <w:p w:rsidR="00000000" w:rsidRDefault="00000000">
            <w:pPr>
              <w:spacing w:before="40" w:after="40" w:line="240" w:lineRule="auto"/>
              <w:jc w:val="center"/>
              <w:rPr>
                <w:b/>
                <w:sz w:val="20"/>
              </w:rPr>
            </w:pPr>
            <w:r>
              <w:rPr>
                <w:b/>
                <w:sz w:val="20"/>
              </w:rPr>
              <w:t>КВП</w:t>
            </w:r>
          </w:p>
        </w:tc>
        <w:tc>
          <w:tcPr>
            <w:tcW w:w="831" w:type="dxa"/>
          </w:tcPr>
          <w:p w:rsidR="00000000" w:rsidRDefault="00000000">
            <w:pPr>
              <w:spacing w:before="40" w:after="40" w:line="240" w:lineRule="auto"/>
              <w:jc w:val="center"/>
              <w:rPr>
                <w:b/>
                <w:sz w:val="20"/>
              </w:rPr>
            </w:pPr>
            <w:r>
              <w:rPr>
                <w:b/>
                <w:sz w:val="20"/>
              </w:rPr>
              <w:t>СВРВ</w:t>
            </w:r>
          </w:p>
        </w:tc>
        <w:tc>
          <w:tcPr>
            <w:tcW w:w="693" w:type="dxa"/>
          </w:tcPr>
          <w:p w:rsidR="00000000" w:rsidRDefault="00000000">
            <w:pPr>
              <w:spacing w:before="40" w:after="40" w:line="240" w:lineRule="auto"/>
              <w:jc w:val="center"/>
              <w:rPr>
                <w:b/>
                <w:sz w:val="20"/>
              </w:rPr>
            </w:pPr>
            <w:r>
              <w:rPr>
                <w:b/>
                <w:sz w:val="20"/>
              </w:rPr>
              <w:t>ЦШ</w:t>
            </w:r>
          </w:p>
        </w:tc>
        <w:tc>
          <w:tcPr>
            <w:tcW w:w="803" w:type="dxa"/>
          </w:tcPr>
          <w:p w:rsidR="00000000" w:rsidRDefault="00000000">
            <w:pPr>
              <w:spacing w:before="40" w:after="40" w:line="240" w:lineRule="auto"/>
              <w:jc w:val="center"/>
              <w:rPr>
                <w:b/>
                <w:sz w:val="20"/>
              </w:rPr>
            </w:pPr>
            <w:r>
              <w:rPr>
                <w:b/>
                <w:sz w:val="20"/>
              </w:rPr>
              <w:t>Итого</w:t>
            </w:r>
          </w:p>
        </w:tc>
      </w:tr>
      <w:tr w:rsidR="00000000">
        <w:tblPrEx>
          <w:tblCellMar>
            <w:top w:w="0" w:type="dxa"/>
            <w:bottom w:w="0" w:type="dxa"/>
          </w:tblCellMar>
        </w:tblPrEx>
        <w:trPr>
          <w:jc w:val="center"/>
        </w:trPr>
        <w:tc>
          <w:tcPr>
            <w:tcW w:w="3564" w:type="dxa"/>
          </w:tcPr>
          <w:p w:rsidR="00000000" w:rsidRDefault="00000000">
            <w:pPr>
              <w:spacing w:before="40" w:after="40" w:line="240" w:lineRule="auto"/>
              <w:ind w:left="113"/>
              <w:jc w:val="left"/>
              <w:rPr>
                <w:sz w:val="20"/>
              </w:rPr>
            </w:pPr>
            <w:r>
              <w:rPr>
                <w:sz w:val="20"/>
              </w:rPr>
              <w:t xml:space="preserve">Доля женщин, относящихся </w:t>
            </w:r>
            <w:r>
              <w:rPr>
                <w:sz w:val="20"/>
                <w:lang w:val="ru-RU"/>
              </w:rPr>
              <w:br/>
            </w:r>
            <w:r>
              <w:rPr>
                <w:sz w:val="20"/>
              </w:rPr>
              <w:t>к 10-</w:t>
            </w:r>
            <w:r>
              <w:rPr>
                <w:sz w:val="20"/>
                <w:lang w:val="ru-RU"/>
              </w:rPr>
              <w:t>м</w:t>
            </w:r>
            <w:r>
              <w:rPr>
                <w:sz w:val="20"/>
              </w:rPr>
              <w:t>у разряду</w:t>
            </w:r>
          </w:p>
        </w:tc>
        <w:tc>
          <w:tcPr>
            <w:tcW w:w="970" w:type="dxa"/>
            <w:vAlign w:val="bottom"/>
          </w:tcPr>
          <w:p w:rsidR="00000000" w:rsidRDefault="00000000">
            <w:pPr>
              <w:spacing w:before="40" w:after="40" w:line="240" w:lineRule="auto"/>
              <w:ind w:right="312"/>
              <w:jc w:val="right"/>
              <w:rPr>
                <w:sz w:val="20"/>
              </w:rPr>
            </w:pPr>
            <w:r>
              <w:rPr>
                <w:sz w:val="20"/>
              </w:rPr>
              <w:t>11,7</w:t>
            </w:r>
          </w:p>
        </w:tc>
        <w:tc>
          <w:tcPr>
            <w:tcW w:w="832" w:type="dxa"/>
            <w:vAlign w:val="bottom"/>
          </w:tcPr>
          <w:p w:rsidR="00000000" w:rsidRDefault="00000000">
            <w:pPr>
              <w:spacing w:before="40" w:after="40" w:line="240" w:lineRule="auto"/>
              <w:ind w:right="227"/>
              <w:jc w:val="right"/>
              <w:rPr>
                <w:sz w:val="20"/>
              </w:rPr>
            </w:pPr>
            <w:r>
              <w:rPr>
                <w:sz w:val="20"/>
              </w:rPr>
              <w:t>13,4</w:t>
            </w:r>
          </w:p>
        </w:tc>
        <w:tc>
          <w:tcPr>
            <w:tcW w:w="831" w:type="dxa"/>
            <w:vAlign w:val="bottom"/>
          </w:tcPr>
          <w:p w:rsidR="00000000" w:rsidRDefault="00000000">
            <w:pPr>
              <w:spacing w:before="40" w:after="40" w:line="240" w:lineRule="auto"/>
              <w:ind w:right="227"/>
              <w:jc w:val="right"/>
              <w:rPr>
                <w:sz w:val="20"/>
              </w:rPr>
            </w:pPr>
            <w:r>
              <w:rPr>
                <w:sz w:val="20"/>
              </w:rPr>
              <w:t>9,2</w:t>
            </w:r>
          </w:p>
        </w:tc>
        <w:tc>
          <w:tcPr>
            <w:tcW w:w="832" w:type="dxa"/>
            <w:vAlign w:val="bottom"/>
          </w:tcPr>
          <w:p w:rsidR="00000000" w:rsidRDefault="00000000">
            <w:pPr>
              <w:spacing w:before="40" w:after="40" w:line="240" w:lineRule="auto"/>
              <w:ind w:right="227"/>
              <w:jc w:val="right"/>
              <w:rPr>
                <w:sz w:val="20"/>
              </w:rPr>
            </w:pPr>
            <w:r>
              <w:rPr>
                <w:sz w:val="20"/>
              </w:rPr>
              <w:t>31,6</w:t>
            </w:r>
          </w:p>
        </w:tc>
        <w:tc>
          <w:tcPr>
            <w:tcW w:w="831" w:type="dxa"/>
            <w:vAlign w:val="bottom"/>
          </w:tcPr>
          <w:p w:rsidR="00000000" w:rsidRDefault="00000000">
            <w:pPr>
              <w:spacing w:before="40" w:after="40" w:line="240" w:lineRule="auto"/>
              <w:ind w:right="227"/>
              <w:jc w:val="right"/>
              <w:rPr>
                <w:sz w:val="20"/>
              </w:rPr>
            </w:pPr>
            <w:r>
              <w:rPr>
                <w:sz w:val="20"/>
              </w:rPr>
              <w:t>16,7</w:t>
            </w:r>
          </w:p>
        </w:tc>
        <w:tc>
          <w:tcPr>
            <w:tcW w:w="693" w:type="dxa"/>
            <w:vAlign w:val="bottom"/>
          </w:tcPr>
          <w:p w:rsidR="00000000" w:rsidRDefault="00000000">
            <w:pPr>
              <w:spacing w:before="40" w:after="40" w:line="240" w:lineRule="auto"/>
              <w:ind w:right="113"/>
              <w:jc w:val="right"/>
              <w:rPr>
                <w:sz w:val="20"/>
              </w:rPr>
            </w:pPr>
            <w:r>
              <w:rPr>
                <w:sz w:val="20"/>
              </w:rPr>
              <w:t>14,3</w:t>
            </w:r>
          </w:p>
        </w:tc>
        <w:tc>
          <w:tcPr>
            <w:tcW w:w="803" w:type="dxa"/>
            <w:vAlign w:val="bottom"/>
          </w:tcPr>
          <w:p w:rsidR="00000000" w:rsidRDefault="00000000">
            <w:pPr>
              <w:spacing w:before="40" w:after="40" w:line="240" w:lineRule="auto"/>
              <w:ind w:right="227"/>
              <w:jc w:val="right"/>
              <w:rPr>
                <w:sz w:val="20"/>
              </w:rPr>
            </w:pPr>
            <w:r>
              <w:rPr>
                <w:sz w:val="20"/>
              </w:rPr>
              <w:t>14,5</w:t>
            </w:r>
          </w:p>
        </w:tc>
      </w:tr>
      <w:tr w:rsidR="00000000">
        <w:tblPrEx>
          <w:tblCellMar>
            <w:top w:w="0" w:type="dxa"/>
            <w:bottom w:w="0" w:type="dxa"/>
          </w:tblCellMar>
        </w:tblPrEx>
        <w:trPr>
          <w:jc w:val="center"/>
        </w:trPr>
        <w:tc>
          <w:tcPr>
            <w:tcW w:w="3564" w:type="dxa"/>
          </w:tcPr>
          <w:p w:rsidR="00000000" w:rsidRDefault="00000000">
            <w:pPr>
              <w:spacing w:before="40" w:after="40" w:line="240" w:lineRule="auto"/>
              <w:ind w:left="113"/>
              <w:jc w:val="left"/>
              <w:rPr>
                <w:sz w:val="20"/>
              </w:rPr>
            </w:pPr>
            <w:r>
              <w:rPr>
                <w:sz w:val="20"/>
              </w:rPr>
              <w:t xml:space="preserve">Доля женщин, относящихся </w:t>
            </w:r>
            <w:r>
              <w:rPr>
                <w:sz w:val="20"/>
                <w:lang w:val="ru-RU"/>
              </w:rPr>
              <w:br/>
            </w:r>
            <w:r>
              <w:rPr>
                <w:sz w:val="20"/>
              </w:rPr>
              <w:t>к 14-</w:t>
            </w:r>
            <w:r>
              <w:rPr>
                <w:sz w:val="20"/>
                <w:lang w:val="ru-RU"/>
              </w:rPr>
              <w:t>м</w:t>
            </w:r>
            <w:r>
              <w:rPr>
                <w:sz w:val="20"/>
              </w:rPr>
              <w:t>у разряду</w:t>
            </w:r>
          </w:p>
        </w:tc>
        <w:tc>
          <w:tcPr>
            <w:tcW w:w="970" w:type="dxa"/>
            <w:vAlign w:val="bottom"/>
          </w:tcPr>
          <w:p w:rsidR="00000000" w:rsidRDefault="00000000">
            <w:pPr>
              <w:spacing w:before="40" w:after="40" w:line="240" w:lineRule="auto"/>
              <w:ind w:right="312"/>
              <w:jc w:val="right"/>
              <w:rPr>
                <w:sz w:val="20"/>
              </w:rPr>
            </w:pPr>
            <w:r>
              <w:rPr>
                <w:sz w:val="20"/>
              </w:rPr>
              <w:t>0,0</w:t>
            </w:r>
          </w:p>
        </w:tc>
        <w:tc>
          <w:tcPr>
            <w:tcW w:w="832" w:type="dxa"/>
            <w:vAlign w:val="bottom"/>
          </w:tcPr>
          <w:p w:rsidR="00000000" w:rsidRDefault="00000000">
            <w:pPr>
              <w:spacing w:before="40" w:after="40" w:line="240" w:lineRule="auto"/>
              <w:ind w:right="227"/>
              <w:jc w:val="right"/>
              <w:rPr>
                <w:sz w:val="20"/>
              </w:rPr>
            </w:pPr>
            <w:r>
              <w:rPr>
                <w:sz w:val="20"/>
              </w:rPr>
              <w:t>7,1</w:t>
            </w:r>
          </w:p>
        </w:tc>
        <w:tc>
          <w:tcPr>
            <w:tcW w:w="831" w:type="dxa"/>
            <w:vAlign w:val="bottom"/>
          </w:tcPr>
          <w:p w:rsidR="00000000" w:rsidRDefault="00000000">
            <w:pPr>
              <w:spacing w:before="40" w:after="40" w:line="240" w:lineRule="auto"/>
              <w:ind w:right="227"/>
              <w:jc w:val="right"/>
              <w:rPr>
                <w:sz w:val="20"/>
              </w:rPr>
            </w:pPr>
            <w:r>
              <w:rPr>
                <w:sz w:val="20"/>
              </w:rPr>
              <w:t>0,0</w:t>
            </w:r>
          </w:p>
        </w:tc>
        <w:tc>
          <w:tcPr>
            <w:tcW w:w="832" w:type="dxa"/>
            <w:vAlign w:val="bottom"/>
          </w:tcPr>
          <w:p w:rsidR="00000000" w:rsidRDefault="00000000">
            <w:pPr>
              <w:spacing w:before="40" w:after="40" w:line="240" w:lineRule="auto"/>
              <w:ind w:right="227"/>
              <w:jc w:val="right"/>
              <w:rPr>
                <w:sz w:val="20"/>
              </w:rPr>
            </w:pPr>
            <w:r>
              <w:rPr>
                <w:sz w:val="20"/>
              </w:rPr>
              <w:t>0,0</w:t>
            </w:r>
          </w:p>
        </w:tc>
        <w:tc>
          <w:tcPr>
            <w:tcW w:w="831" w:type="dxa"/>
            <w:vAlign w:val="bottom"/>
          </w:tcPr>
          <w:p w:rsidR="00000000" w:rsidRDefault="00000000">
            <w:pPr>
              <w:spacing w:before="40" w:after="40" w:line="240" w:lineRule="auto"/>
              <w:ind w:right="227"/>
              <w:jc w:val="right"/>
              <w:rPr>
                <w:sz w:val="20"/>
              </w:rPr>
            </w:pPr>
            <w:r>
              <w:rPr>
                <w:sz w:val="20"/>
              </w:rPr>
              <w:t>0,0</w:t>
            </w:r>
          </w:p>
        </w:tc>
        <w:tc>
          <w:tcPr>
            <w:tcW w:w="693" w:type="dxa"/>
            <w:vAlign w:val="bottom"/>
          </w:tcPr>
          <w:p w:rsidR="00000000" w:rsidRDefault="00000000">
            <w:pPr>
              <w:spacing w:before="40" w:after="40" w:line="240" w:lineRule="auto"/>
              <w:ind w:right="113"/>
              <w:jc w:val="right"/>
              <w:rPr>
                <w:sz w:val="20"/>
              </w:rPr>
            </w:pPr>
            <w:r>
              <w:rPr>
                <w:sz w:val="20"/>
              </w:rPr>
              <w:t>2,1</w:t>
            </w:r>
          </w:p>
        </w:tc>
        <w:tc>
          <w:tcPr>
            <w:tcW w:w="803" w:type="dxa"/>
            <w:vAlign w:val="bottom"/>
          </w:tcPr>
          <w:p w:rsidR="00000000" w:rsidRDefault="00000000">
            <w:pPr>
              <w:spacing w:before="40" w:after="40" w:line="240" w:lineRule="auto"/>
              <w:ind w:right="227"/>
              <w:jc w:val="right"/>
              <w:rPr>
                <w:sz w:val="20"/>
              </w:rPr>
            </w:pPr>
            <w:r>
              <w:rPr>
                <w:sz w:val="20"/>
              </w:rPr>
              <w:t>3,3</w:t>
            </w:r>
          </w:p>
        </w:tc>
      </w:tr>
    </w:tbl>
    <w:p w:rsidR="00000000" w:rsidRDefault="00000000">
      <w:pPr>
        <w:spacing w:before="120" w:line="240" w:lineRule="auto"/>
        <w:rPr>
          <w:sz w:val="20"/>
        </w:rPr>
      </w:pPr>
      <w:r>
        <w:rPr>
          <w:sz w:val="20"/>
        </w:rPr>
        <w:t>Целевой показатель: к 2010 году доля женщин среди гражданского персонала в армии должна составлять 20 процентов на должностях, относящихся к 10-</w:t>
      </w:r>
      <w:r>
        <w:rPr>
          <w:sz w:val="20"/>
          <w:lang w:val="ru-RU"/>
        </w:rPr>
        <w:t>м</w:t>
      </w:r>
      <w:r>
        <w:rPr>
          <w:sz w:val="20"/>
        </w:rPr>
        <w:t xml:space="preserve">у разряду, и 6 процентов – на должностях, относящихся к </w:t>
      </w:r>
      <w:r>
        <w:rPr>
          <w:sz w:val="20"/>
          <w:lang w:val="ru-RU"/>
        </w:rPr>
        <w:br/>
      </w:r>
      <w:r>
        <w:rPr>
          <w:sz w:val="20"/>
        </w:rPr>
        <w:t>14-</w:t>
      </w:r>
      <w:r>
        <w:rPr>
          <w:sz w:val="20"/>
          <w:lang w:val="ru-RU"/>
        </w:rPr>
        <w:t>м</w:t>
      </w:r>
      <w:r>
        <w:rPr>
          <w:sz w:val="20"/>
        </w:rPr>
        <w:t>у разряду.</w:t>
      </w:r>
    </w:p>
    <w:p w:rsidR="00000000" w:rsidRDefault="00000000">
      <w:pPr>
        <w:spacing w:before="360" w:after="120"/>
        <w:jc w:val="left"/>
        <w:rPr>
          <w:lang w:val="ru-RU"/>
        </w:rPr>
      </w:pPr>
      <w:r>
        <w:rPr>
          <w:b/>
          <w:lang w:val="ru-RU"/>
        </w:rPr>
        <w:t>Женщины-военнослужащие на высокооплачиваемых должностях в различных родах войск</w:t>
      </w:r>
      <w:r>
        <w:rPr>
          <w:b/>
          <w:lang w:val="ru-RU"/>
        </w:rPr>
        <w:br/>
      </w:r>
      <w:r>
        <w:rPr>
          <w:lang w:val="ru-RU"/>
        </w:rPr>
        <w:t>(в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647"/>
        <w:gridCol w:w="969"/>
        <w:gridCol w:w="970"/>
        <w:gridCol w:w="969"/>
        <w:gridCol w:w="831"/>
        <w:gridCol w:w="970"/>
      </w:tblGrid>
      <w:tr w:rsidR="00000000">
        <w:tblPrEx>
          <w:tblCellMar>
            <w:top w:w="0" w:type="dxa"/>
            <w:bottom w:w="0" w:type="dxa"/>
          </w:tblCellMar>
        </w:tblPrEx>
        <w:trPr>
          <w:jc w:val="center"/>
        </w:trPr>
        <w:tc>
          <w:tcPr>
            <w:tcW w:w="4647" w:type="dxa"/>
          </w:tcPr>
          <w:p w:rsidR="00000000" w:rsidRDefault="00000000">
            <w:pPr>
              <w:spacing w:before="40" w:after="40" w:line="240" w:lineRule="auto"/>
              <w:rPr>
                <w:sz w:val="20"/>
              </w:rPr>
            </w:pPr>
          </w:p>
        </w:tc>
        <w:tc>
          <w:tcPr>
            <w:tcW w:w="969" w:type="dxa"/>
          </w:tcPr>
          <w:p w:rsidR="00000000" w:rsidRDefault="00000000">
            <w:pPr>
              <w:spacing w:before="40" w:after="40" w:line="240" w:lineRule="auto"/>
              <w:jc w:val="center"/>
              <w:rPr>
                <w:b/>
                <w:sz w:val="20"/>
              </w:rPr>
            </w:pPr>
            <w:r>
              <w:rPr>
                <w:b/>
                <w:sz w:val="20"/>
              </w:rPr>
              <w:t>КВМС</w:t>
            </w:r>
          </w:p>
        </w:tc>
        <w:tc>
          <w:tcPr>
            <w:tcW w:w="970" w:type="dxa"/>
          </w:tcPr>
          <w:p w:rsidR="00000000" w:rsidRDefault="00000000">
            <w:pPr>
              <w:spacing w:before="40" w:after="40" w:line="240" w:lineRule="auto"/>
              <w:jc w:val="center"/>
              <w:rPr>
                <w:b/>
                <w:sz w:val="20"/>
              </w:rPr>
            </w:pPr>
            <w:r>
              <w:rPr>
                <w:b/>
                <w:sz w:val="20"/>
              </w:rPr>
              <w:t>КСС</w:t>
            </w:r>
          </w:p>
        </w:tc>
        <w:tc>
          <w:tcPr>
            <w:tcW w:w="969" w:type="dxa"/>
          </w:tcPr>
          <w:p w:rsidR="00000000" w:rsidRDefault="00000000">
            <w:pPr>
              <w:spacing w:before="40" w:after="40" w:line="240" w:lineRule="auto"/>
              <w:jc w:val="center"/>
              <w:rPr>
                <w:b/>
                <w:sz w:val="20"/>
              </w:rPr>
            </w:pPr>
            <w:r>
              <w:rPr>
                <w:b/>
                <w:sz w:val="20"/>
              </w:rPr>
              <w:t>КВВС</w:t>
            </w:r>
          </w:p>
        </w:tc>
        <w:tc>
          <w:tcPr>
            <w:tcW w:w="831" w:type="dxa"/>
          </w:tcPr>
          <w:p w:rsidR="00000000" w:rsidRDefault="00000000">
            <w:pPr>
              <w:spacing w:before="40" w:after="40" w:line="240" w:lineRule="auto"/>
              <w:jc w:val="center"/>
              <w:rPr>
                <w:b/>
                <w:sz w:val="20"/>
              </w:rPr>
            </w:pPr>
            <w:r>
              <w:rPr>
                <w:b/>
                <w:sz w:val="20"/>
              </w:rPr>
              <w:t>КВП</w:t>
            </w:r>
          </w:p>
        </w:tc>
        <w:tc>
          <w:tcPr>
            <w:tcW w:w="970" w:type="dxa"/>
          </w:tcPr>
          <w:p w:rsidR="00000000" w:rsidRDefault="00000000">
            <w:pPr>
              <w:spacing w:before="40" w:after="40" w:line="240" w:lineRule="auto"/>
              <w:jc w:val="center"/>
              <w:rPr>
                <w:b/>
                <w:sz w:val="20"/>
              </w:rPr>
            </w:pPr>
            <w:r>
              <w:rPr>
                <w:b/>
                <w:sz w:val="20"/>
              </w:rPr>
              <w:t>Итого</w:t>
            </w:r>
          </w:p>
        </w:tc>
      </w:tr>
      <w:tr w:rsidR="00000000">
        <w:tblPrEx>
          <w:tblCellMar>
            <w:top w:w="0" w:type="dxa"/>
            <w:bottom w:w="0" w:type="dxa"/>
          </w:tblCellMar>
        </w:tblPrEx>
        <w:trPr>
          <w:jc w:val="center"/>
        </w:trPr>
        <w:tc>
          <w:tcPr>
            <w:tcW w:w="4647" w:type="dxa"/>
          </w:tcPr>
          <w:p w:rsidR="00000000" w:rsidRDefault="00000000">
            <w:pPr>
              <w:spacing w:before="40" w:after="40" w:line="240" w:lineRule="auto"/>
              <w:rPr>
                <w:sz w:val="20"/>
              </w:rPr>
            </w:pPr>
            <w:r>
              <w:rPr>
                <w:sz w:val="20"/>
              </w:rPr>
              <w:t>Доля женщин в звании майора</w:t>
            </w:r>
          </w:p>
        </w:tc>
        <w:tc>
          <w:tcPr>
            <w:tcW w:w="969" w:type="dxa"/>
          </w:tcPr>
          <w:p w:rsidR="00000000" w:rsidRDefault="00000000">
            <w:pPr>
              <w:spacing w:before="40" w:after="40" w:line="240" w:lineRule="auto"/>
              <w:jc w:val="center"/>
              <w:rPr>
                <w:sz w:val="20"/>
              </w:rPr>
            </w:pPr>
            <w:r>
              <w:rPr>
                <w:sz w:val="20"/>
              </w:rPr>
              <w:t>4,1</w:t>
            </w:r>
          </w:p>
        </w:tc>
        <w:tc>
          <w:tcPr>
            <w:tcW w:w="970" w:type="dxa"/>
          </w:tcPr>
          <w:p w:rsidR="00000000" w:rsidRDefault="00000000">
            <w:pPr>
              <w:spacing w:before="40" w:after="40" w:line="240" w:lineRule="auto"/>
              <w:jc w:val="center"/>
              <w:rPr>
                <w:sz w:val="20"/>
              </w:rPr>
            </w:pPr>
            <w:r>
              <w:rPr>
                <w:sz w:val="20"/>
              </w:rPr>
              <w:t>3,1</w:t>
            </w:r>
          </w:p>
        </w:tc>
        <w:tc>
          <w:tcPr>
            <w:tcW w:w="969" w:type="dxa"/>
          </w:tcPr>
          <w:p w:rsidR="00000000" w:rsidRDefault="00000000">
            <w:pPr>
              <w:spacing w:before="40" w:after="40" w:line="240" w:lineRule="auto"/>
              <w:jc w:val="center"/>
              <w:rPr>
                <w:sz w:val="20"/>
              </w:rPr>
            </w:pPr>
            <w:r>
              <w:rPr>
                <w:sz w:val="20"/>
              </w:rPr>
              <w:t>2,3</w:t>
            </w:r>
          </w:p>
        </w:tc>
        <w:tc>
          <w:tcPr>
            <w:tcW w:w="831" w:type="dxa"/>
          </w:tcPr>
          <w:p w:rsidR="00000000" w:rsidRDefault="00000000">
            <w:pPr>
              <w:spacing w:before="40" w:after="40" w:line="240" w:lineRule="auto"/>
              <w:jc w:val="center"/>
              <w:rPr>
                <w:sz w:val="20"/>
              </w:rPr>
            </w:pPr>
            <w:r>
              <w:rPr>
                <w:sz w:val="20"/>
              </w:rPr>
              <w:t>5,7</w:t>
            </w:r>
          </w:p>
        </w:tc>
        <w:tc>
          <w:tcPr>
            <w:tcW w:w="970" w:type="dxa"/>
          </w:tcPr>
          <w:p w:rsidR="00000000" w:rsidRDefault="00000000">
            <w:pPr>
              <w:spacing w:before="40" w:after="40" w:line="240" w:lineRule="auto"/>
              <w:jc w:val="center"/>
              <w:rPr>
                <w:sz w:val="20"/>
              </w:rPr>
            </w:pPr>
            <w:r>
              <w:rPr>
                <w:sz w:val="20"/>
              </w:rPr>
              <w:t>3,8</w:t>
            </w:r>
          </w:p>
        </w:tc>
      </w:tr>
      <w:tr w:rsidR="00000000">
        <w:tblPrEx>
          <w:tblCellMar>
            <w:top w:w="0" w:type="dxa"/>
            <w:bottom w:w="0" w:type="dxa"/>
          </w:tblCellMar>
        </w:tblPrEx>
        <w:trPr>
          <w:jc w:val="center"/>
        </w:trPr>
        <w:tc>
          <w:tcPr>
            <w:tcW w:w="4647" w:type="dxa"/>
          </w:tcPr>
          <w:p w:rsidR="00000000" w:rsidRDefault="00000000">
            <w:pPr>
              <w:spacing w:before="40" w:after="40" w:line="240" w:lineRule="auto"/>
              <w:rPr>
                <w:sz w:val="20"/>
              </w:rPr>
            </w:pPr>
            <w:r>
              <w:rPr>
                <w:sz w:val="20"/>
              </w:rPr>
              <w:t>Доля женщин в звании полковника</w:t>
            </w:r>
          </w:p>
        </w:tc>
        <w:tc>
          <w:tcPr>
            <w:tcW w:w="969" w:type="dxa"/>
          </w:tcPr>
          <w:p w:rsidR="00000000" w:rsidRDefault="00000000">
            <w:pPr>
              <w:spacing w:before="40" w:after="40" w:line="240" w:lineRule="auto"/>
              <w:jc w:val="center"/>
              <w:rPr>
                <w:sz w:val="20"/>
              </w:rPr>
            </w:pPr>
            <w:r>
              <w:rPr>
                <w:sz w:val="20"/>
              </w:rPr>
              <w:t>0,7</w:t>
            </w:r>
          </w:p>
        </w:tc>
        <w:tc>
          <w:tcPr>
            <w:tcW w:w="970" w:type="dxa"/>
          </w:tcPr>
          <w:p w:rsidR="00000000" w:rsidRDefault="00000000">
            <w:pPr>
              <w:spacing w:before="40" w:after="40" w:line="240" w:lineRule="auto"/>
              <w:jc w:val="center"/>
              <w:rPr>
                <w:sz w:val="20"/>
              </w:rPr>
            </w:pPr>
            <w:r>
              <w:rPr>
                <w:sz w:val="20"/>
              </w:rPr>
              <w:t>1,3</w:t>
            </w:r>
          </w:p>
        </w:tc>
        <w:tc>
          <w:tcPr>
            <w:tcW w:w="969" w:type="dxa"/>
          </w:tcPr>
          <w:p w:rsidR="00000000" w:rsidRDefault="00000000">
            <w:pPr>
              <w:spacing w:before="40" w:after="40" w:line="240" w:lineRule="auto"/>
              <w:jc w:val="center"/>
              <w:rPr>
                <w:sz w:val="20"/>
              </w:rPr>
            </w:pPr>
            <w:r>
              <w:rPr>
                <w:sz w:val="20"/>
              </w:rPr>
              <w:t>0,8</w:t>
            </w:r>
          </w:p>
        </w:tc>
        <w:tc>
          <w:tcPr>
            <w:tcW w:w="831" w:type="dxa"/>
          </w:tcPr>
          <w:p w:rsidR="00000000" w:rsidRDefault="00000000">
            <w:pPr>
              <w:spacing w:before="40" w:after="40" w:line="240" w:lineRule="auto"/>
              <w:jc w:val="center"/>
              <w:rPr>
                <w:sz w:val="20"/>
              </w:rPr>
            </w:pPr>
            <w:r>
              <w:rPr>
                <w:sz w:val="20"/>
              </w:rPr>
              <w:t>4,5</w:t>
            </w:r>
          </w:p>
        </w:tc>
        <w:tc>
          <w:tcPr>
            <w:tcW w:w="970" w:type="dxa"/>
          </w:tcPr>
          <w:p w:rsidR="00000000" w:rsidRDefault="00000000">
            <w:pPr>
              <w:spacing w:before="40" w:after="40" w:line="240" w:lineRule="auto"/>
              <w:jc w:val="center"/>
              <w:rPr>
                <w:sz w:val="20"/>
              </w:rPr>
            </w:pPr>
            <w:r>
              <w:rPr>
                <w:sz w:val="20"/>
              </w:rPr>
              <w:t>1,3</w:t>
            </w:r>
          </w:p>
        </w:tc>
      </w:tr>
    </w:tbl>
    <w:p w:rsidR="00000000" w:rsidRDefault="00000000">
      <w:pPr>
        <w:spacing w:before="120" w:line="240" w:lineRule="auto"/>
        <w:rPr>
          <w:sz w:val="20"/>
        </w:rPr>
      </w:pPr>
      <w:r>
        <w:rPr>
          <w:sz w:val="20"/>
        </w:rPr>
        <w:t>Целевой показатель: к 2010 году доля военнообязанных женщин в звании майора должна составлять 6</w:t>
      </w:r>
      <w:r>
        <w:rPr>
          <w:sz w:val="20"/>
          <w:lang w:val="ru-RU"/>
        </w:rPr>
        <w:t> </w:t>
      </w:r>
      <w:r>
        <w:rPr>
          <w:sz w:val="20"/>
        </w:rPr>
        <w:t xml:space="preserve">процентов, а в звании полковника – 3 процента. </w:t>
      </w:r>
    </w:p>
    <w:p w:rsidR="00000000" w:rsidRDefault="00000000">
      <w:pPr>
        <w:rPr>
          <w:i/>
        </w:rPr>
      </w:pPr>
      <w:r>
        <w:rPr>
          <w:i/>
        </w:rPr>
        <w:t>Проект по наставничеству</w:t>
      </w:r>
    </w:p>
    <w:p w:rsidR="00000000" w:rsidRDefault="00000000">
      <w:r>
        <w:t>Началось осуществление организованного Центральным штабом проекта по наставничеству. Для десяти женщин, работающих на должностях 11, 12 и 13-го разряд</w:t>
      </w:r>
      <w:r>
        <w:rPr>
          <w:lang w:val="ru-RU"/>
        </w:rPr>
        <w:t>ов</w:t>
      </w:r>
      <w:r>
        <w:t xml:space="preserve"> оплаты труда, на период от 6 до 9 месяцев был назначен внутренний руководитель, которому было поручено более детально изучить опыт работы женщин на высокопоставленных должностях в Центральном штабе. Реакция всех участвовавших в проекте сотрудников и руководителей, которые исполняли роль наставников, была положительной. Результаты оценки помогут лучше понять, какой вклад данный проект внес в увеличение представленности женщин на высокопоставленных должностях.</w:t>
      </w:r>
    </w:p>
    <w:p w:rsidR="00000000" w:rsidRDefault="00000000">
      <w:pPr>
        <w:rPr>
          <w:i/>
        </w:rPr>
      </w:pPr>
      <w:r>
        <w:rPr>
          <w:i/>
        </w:rPr>
        <w:t>Уполномоченные по гендерным вопросам</w:t>
      </w:r>
    </w:p>
    <w:p w:rsidR="00000000" w:rsidRDefault="00000000">
      <w:r>
        <w:t>В 2002 году в каждое подразделение вооруженных сил был назначен уполномоченный по гендерным вопросам. Эти уполномоченные играют важную роль в том, чтобы вопросам гендерного равенства и политики в области эмансипации уделялось должное внимание в каждом подразделении вооруженных сил, в том числе путем осуществления конкретных инициатив. Например, уполномоченные добились включения гендерного критерия в оценки выполнения профессиональных обязанностей. Сотрудники могут также обращаться к уполномоченным со своими предложениями и замечаниями по данному вопросу. Задача повышения гендерной осведомленности и гендерного опыта в рамках Министерства обороны сохранит свою актуальность и в будущем.</w:t>
      </w:r>
    </w:p>
    <w:p w:rsidR="00000000" w:rsidRDefault="00000000">
      <w:pPr>
        <w:rPr>
          <w:b/>
          <w:i/>
        </w:rPr>
      </w:pPr>
      <w:r>
        <w:rPr>
          <w:b/>
          <w:i/>
        </w:rPr>
        <w:t>Министерство финансов</w:t>
      </w:r>
    </w:p>
    <w:p w:rsidR="00000000" w:rsidRDefault="00000000">
      <w:r>
        <w:t>Принцип гендерного равенства является неотъемлемой частью кадровой политики Министерства финансов, которое стремится привлекать на работу и мужчин, и женщин. Одним из основных преимуществ работы в этом Министерстве является то, что всем его сотрудникам предоставляется возможность совмещать свою производственную деятельность с семейными обязанностями. В этих целях в Министерстве проводятся эксперименты по разработке гибких условий труда. Составлен административный план содействия продвижению женщин по службе, женщин всячески поощряют участвовать в программах профессиональной ориентации. В принципе, на всех должностях можно работать неполный рабочий день, и все сотрудники имеют доступ к детским учреждениям. Женщины, уволившиеся из Министерства финансов, чтобы иметь возможность ухаживать за своими детьми, сохраняют статус внутренних кандидатов для заполнения вакансий в течение пяти лет после их увольнения с работы.</w:t>
      </w:r>
    </w:p>
    <w:p w:rsidR="00000000" w:rsidRDefault="00000000">
      <w:pPr>
        <w:rPr>
          <w:b/>
          <w:i/>
        </w:rPr>
      </w:pPr>
      <w:r>
        <w:rPr>
          <w:b/>
          <w:i/>
        </w:rPr>
        <w:t>Министерство юстиции</w:t>
      </w:r>
    </w:p>
    <w:p w:rsidR="00000000" w:rsidRDefault="00000000">
      <w:r>
        <w:t>Еще до 2003 года Министерство юстиции внедрило политику содействия созданию равных возможностей для мужчин и женщин. Например, в число общих условий труда в государственных учреждениях был включен ряд механизмов, касающихся услуг по уходу за детьми и возможност</w:t>
      </w:r>
      <w:r>
        <w:rPr>
          <w:lang w:val="ru-RU"/>
        </w:rPr>
        <w:t>и</w:t>
      </w:r>
      <w:r>
        <w:t xml:space="preserve"> разделения рабочего места между несколькими работниками. В 2001 году в Министерстве юстиции был также разработан кодекс поведения, ориентированный на предотвращение несправедливой дискриминации в отношении мужчин и женщин. В 2003 году этот кодекс поведения был обновлен. Кроме того, были организованы курсы по управлению многообразием, призванные сосредоточить внимание на вопросах многообразия и гендерного равенства.</w:t>
      </w:r>
    </w:p>
    <w:p w:rsidR="00000000" w:rsidRDefault="00000000">
      <w:r>
        <w:t>В настоящее время женщины составляют значительную часть сотрудников Министерства юстиции (43 процента). Вместе с тем большинство из них трудятся на должностях самого низкого уровня. К сожалению, женщины по-прежнему недостаточно широко представлены на высокопоставленных должностях (14-го разряда и выше).</w:t>
      </w:r>
    </w:p>
    <w:p w:rsidR="00000000" w:rsidRDefault="00000000">
      <w:pPr>
        <w:rPr>
          <w:b/>
          <w:i/>
        </w:rPr>
      </w:pPr>
      <w:r>
        <w:rPr>
          <w:b/>
          <w:i/>
        </w:rPr>
        <w:t>Министерство образования, культуры и науки</w:t>
      </w:r>
    </w:p>
    <w:p w:rsidR="00000000" w:rsidRDefault="00000000">
      <w:pPr>
        <w:rPr>
          <w:i/>
        </w:rPr>
      </w:pPr>
      <w:r>
        <w:rPr>
          <w:i/>
        </w:rPr>
        <w:t>Пропорциональная представленность в начальной и средней школе</w:t>
      </w:r>
    </w:p>
    <w:p w:rsidR="00000000" w:rsidRDefault="00000000">
      <w:r>
        <w:t xml:space="preserve">7 марта 1997 года вступил в силу Закон о пропорциональной представленности женщин на руководящих </w:t>
      </w:r>
      <w:r>
        <w:rPr>
          <w:lang w:val="ru-RU"/>
        </w:rPr>
        <w:t xml:space="preserve">должностях </w:t>
      </w:r>
      <w:r>
        <w:t xml:space="preserve">в сфере образования. В связи с этим с 1998 года было установлено плановое задание. Если женщины оказываются недостаточно представлены на должностях, перечисленных в данном </w:t>
      </w:r>
      <w:r>
        <w:rPr>
          <w:lang w:val="ru-RU"/>
        </w:rPr>
        <w:t>з</w:t>
      </w:r>
      <w:r>
        <w:t>аконе, соответствующее учебное заведение должно установить целевые показатели для увеличения доли женщин и принять конкретные меры, а также</w:t>
      </w:r>
      <w:r>
        <w:rPr>
          <w:lang w:val="ru-RU"/>
        </w:rPr>
        <w:t xml:space="preserve"> установить</w:t>
      </w:r>
      <w:r>
        <w:t xml:space="preserve"> сроки для выполнения указанных заданий.</w:t>
      </w:r>
    </w:p>
    <w:p w:rsidR="00000000" w:rsidRDefault="00000000">
      <w:r>
        <w:t xml:space="preserve">По результатам проведенной оценки в декабре 2001 года действие данного </w:t>
      </w:r>
      <w:r>
        <w:rPr>
          <w:lang w:val="ru-RU"/>
        </w:rPr>
        <w:t>з</w:t>
      </w:r>
      <w:r>
        <w:t>акона было продлено. Новая оценка будет проведена в 2005 году. Что касается равной представленности на административных должностях, то компетентный орган обязан устанавливать для школ целевые показатели на основе национальных показателей, публикуемых Министерством образования, культуры и науки в своем ежегодном издании "</w:t>
      </w:r>
      <w:r>
        <w:rPr>
          <w:i/>
        </w:rPr>
        <w:t>О</w:t>
      </w:r>
      <w:r>
        <w:t>".</w:t>
      </w:r>
    </w:p>
    <w:p w:rsidR="00000000" w:rsidRDefault="00000000">
      <w:pPr>
        <w:spacing w:after="120"/>
        <w:jc w:val="left"/>
        <w:rPr>
          <w:b/>
        </w:rPr>
      </w:pPr>
      <w:r>
        <w:rPr>
          <w:b/>
        </w:rPr>
        <w:t>Представленность</w:t>
      </w:r>
      <w:r>
        <w:rPr>
          <w:b/>
          <w:lang w:val="ru-RU"/>
        </w:rPr>
        <w:t xml:space="preserve"> женщин</w:t>
      </w:r>
      <w:r>
        <w:rPr>
          <w:b/>
        </w:rPr>
        <w:t xml:space="preserve"> на руководящих должностях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947"/>
        <w:gridCol w:w="1387"/>
        <w:gridCol w:w="1525"/>
        <w:gridCol w:w="1497"/>
      </w:tblGrid>
      <w:tr w:rsidR="00000000">
        <w:tblPrEx>
          <w:tblCellMar>
            <w:top w:w="0" w:type="dxa"/>
            <w:bottom w:w="0" w:type="dxa"/>
          </w:tblCellMar>
        </w:tblPrEx>
        <w:trPr>
          <w:jc w:val="center"/>
        </w:trPr>
        <w:tc>
          <w:tcPr>
            <w:tcW w:w="4947" w:type="dxa"/>
          </w:tcPr>
          <w:p w:rsidR="00000000" w:rsidRDefault="00000000">
            <w:pPr>
              <w:spacing w:before="40" w:after="40" w:line="240" w:lineRule="auto"/>
              <w:rPr>
                <w:b/>
                <w:sz w:val="20"/>
              </w:rPr>
            </w:pPr>
          </w:p>
        </w:tc>
        <w:tc>
          <w:tcPr>
            <w:tcW w:w="1387" w:type="dxa"/>
          </w:tcPr>
          <w:p w:rsidR="00000000" w:rsidRDefault="00000000">
            <w:pPr>
              <w:spacing w:before="40" w:after="40" w:line="240" w:lineRule="auto"/>
              <w:jc w:val="center"/>
              <w:rPr>
                <w:b/>
                <w:sz w:val="20"/>
              </w:rPr>
            </w:pPr>
            <w:r>
              <w:rPr>
                <w:b/>
                <w:sz w:val="20"/>
              </w:rPr>
              <w:t>1993 год</w:t>
            </w:r>
          </w:p>
        </w:tc>
        <w:tc>
          <w:tcPr>
            <w:tcW w:w="1525" w:type="dxa"/>
          </w:tcPr>
          <w:p w:rsidR="00000000" w:rsidRDefault="00000000">
            <w:pPr>
              <w:spacing w:before="40" w:after="40" w:line="240" w:lineRule="auto"/>
              <w:jc w:val="center"/>
              <w:rPr>
                <w:b/>
                <w:sz w:val="20"/>
              </w:rPr>
            </w:pPr>
            <w:r>
              <w:rPr>
                <w:b/>
                <w:sz w:val="20"/>
              </w:rPr>
              <w:t>2002 год</w:t>
            </w:r>
          </w:p>
        </w:tc>
        <w:tc>
          <w:tcPr>
            <w:tcW w:w="1497" w:type="dxa"/>
          </w:tcPr>
          <w:p w:rsidR="00000000" w:rsidRDefault="00000000">
            <w:pPr>
              <w:spacing w:before="40" w:after="40" w:line="240" w:lineRule="auto"/>
              <w:jc w:val="center"/>
              <w:rPr>
                <w:b/>
                <w:sz w:val="20"/>
              </w:rPr>
            </w:pPr>
            <w:r>
              <w:rPr>
                <w:b/>
                <w:sz w:val="20"/>
              </w:rPr>
              <w:t>2003 год</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i/>
                <w:sz w:val="20"/>
              </w:rPr>
            </w:pPr>
            <w:r>
              <w:rPr>
                <w:i/>
                <w:sz w:val="20"/>
              </w:rPr>
              <w:t>Начальное образование</w:t>
            </w: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Заместитель директора</w:t>
            </w:r>
          </w:p>
        </w:tc>
        <w:tc>
          <w:tcPr>
            <w:tcW w:w="1387" w:type="dxa"/>
          </w:tcPr>
          <w:p w:rsidR="00000000" w:rsidRDefault="00000000">
            <w:pPr>
              <w:spacing w:before="40" w:after="40" w:line="240" w:lineRule="auto"/>
              <w:jc w:val="center"/>
              <w:rPr>
                <w:sz w:val="20"/>
              </w:rPr>
            </w:pPr>
            <w:r>
              <w:rPr>
                <w:sz w:val="20"/>
              </w:rPr>
              <w:t>49,1</w:t>
            </w:r>
          </w:p>
        </w:tc>
        <w:tc>
          <w:tcPr>
            <w:tcW w:w="1525" w:type="dxa"/>
          </w:tcPr>
          <w:p w:rsidR="00000000" w:rsidRDefault="00000000">
            <w:pPr>
              <w:spacing w:before="40" w:after="40" w:line="240" w:lineRule="auto"/>
              <w:jc w:val="center"/>
              <w:rPr>
                <w:sz w:val="20"/>
              </w:rPr>
            </w:pPr>
            <w:r>
              <w:rPr>
                <w:sz w:val="20"/>
              </w:rPr>
              <w:t>47,7</w:t>
            </w:r>
          </w:p>
        </w:tc>
        <w:tc>
          <w:tcPr>
            <w:tcW w:w="1497" w:type="dxa"/>
          </w:tcPr>
          <w:p w:rsidR="00000000" w:rsidRDefault="00000000">
            <w:pPr>
              <w:spacing w:before="40" w:after="40" w:line="240" w:lineRule="auto"/>
              <w:jc w:val="center"/>
              <w:rPr>
                <w:sz w:val="20"/>
              </w:rPr>
            </w:pPr>
            <w:r>
              <w:rPr>
                <w:sz w:val="20"/>
              </w:rPr>
              <w:t>42,7</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Завуч</w:t>
            </w:r>
          </w:p>
        </w:tc>
        <w:tc>
          <w:tcPr>
            <w:tcW w:w="1387" w:type="dxa"/>
          </w:tcPr>
          <w:p w:rsidR="00000000" w:rsidRDefault="00000000">
            <w:pPr>
              <w:spacing w:before="40" w:after="40" w:line="240" w:lineRule="auto"/>
              <w:jc w:val="center"/>
              <w:rPr>
                <w:sz w:val="20"/>
              </w:rPr>
            </w:pPr>
            <w:r>
              <w:rPr>
                <w:sz w:val="20"/>
              </w:rPr>
              <w:t>13,1</w:t>
            </w:r>
          </w:p>
        </w:tc>
        <w:tc>
          <w:tcPr>
            <w:tcW w:w="1525" w:type="dxa"/>
          </w:tcPr>
          <w:p w:rsidR="00000000" w:rsidRDefault="00000000">
            <w:pPr>
              <w:spacing w:before="40" w:after="40" w:line="240" w:lineRule="auto"/>
              <w:jc w:val="center"/>
              <w:rPr>
                <w:sz w:val="20"/>
              </w:rPr>
            </w:pPr>
            <w:r>
              <w:rPr>
                <w:sz w:val="20"/>
              </w:rPr>
              <w:t>18,4</w:t>
            </w:r>
          </w:p>
        </w:tc>
        <w:tc>
          <w:tcPr>
            <w:tcW w:w="1497" w:type="dxa"/>
          </w:tcPr>
          <w:p w:rsidR="00000000" w:rsidRDefault="00000000">
            <w:pPr>
              <w:spacing w:before="40" w:after="40" w:line="240" w:lineRule="auto"/>
              <w:jc w:val="center"/>
              <w:rPr>
                <w:sz w:val="20"/>
              </w:rPr>
            </w:pPr>
            <w:r>
              <w:rPr>
                <w:sz w:val="20"/>
              </w:rPr>
              <w:t>19,6</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i/>
                <w:sz w:val="20"/>
              </w:rPr>
            </w:pPr>
            <w:r>
              <w:rPr>
                <w:i/>
                <w:sz w:val="20"/>
              </w:rPr>
              <w:t>Среднее образование</w:t>
            </w: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Заместитель директора</w:t>
            </w:r>
          </w:p>
        </w:tc>
        <w:tc>
          <w:tcPr>
            <w:tcW w:w="1387" w:type="dxa"/>
          </w:tcPr>
          <w:p w:rsidR="00000000" w:rsidRDefault="00000000">
            <w:pPr>
              <w:spacing w:before="40" w:after="40" w:line="240" w:lineRule="auto"/>
              <w:jc w:val="center"/>
              <w:rPr>
                <w:sz w:val="20"/>
              </w:rPr>
            </w:pPr>
            <w:r>
              <w:rPr>
                <w:sz w:val="20"/>
              </w:rPr>
              <w:t>19,4</w:t>
            </w:r>
          </w:p>
        </w:tc>
        <w:tc>
          <w:tcPr>
            <w:tcW w:w="1525" w:type="dxa"/>
          </w:tcPr>
          <w:p w:rsidR="00000000" w:rsidRDefault="00000000">
            <w:pPr>
              <w:spacing w:before="40" w:after="40" w:line="240" w:lineRule="auto"/>
              <w:jc w:val="center"/>
              <w:rPr>
                <w:sz w:val="20"/>
              </w:rPr>
            </w:pPr>
            <w:r>
              <w:rPr>
                <w:sz w:val="20"/>
              </w:rPr>
              <w:t>16,2</w:t>
            </w:r>
          </w:p>
        </w:tc>
        <w:tc>
          <w:tcPr>
            <w:tcW w:w="1497" w:type="dxa"/>
          </w:tcPr>
          <w:p w:rsidR="00000000" w:rsidRDefault="00000000">
            <w:pPr>
              <w:spacing w:before="40" w:after="40" w:line="240" w:lineRule="auto"/>
              <w:jc w:val="center"/>
              <w:rPr>
                <w:sz w:val="20"/>
              </w:rPr>
            </w:pPr>
            <w:r>
              <w:rPr>
                <w:sz w:val="20"/>
              </w:rPr>
              <w:t>17,2</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Директор</w:t>
            </w:r>
          </w:p>
        </w:tc>
        <w:tc>
          <w:tcPr>
            <w:tcW w:w="1387" w:type="dxa"/>
          </w:tcPr>
          <w:p w:rsidR="00000000" w:rsidRDefault="00000000">
            <w:pPr>
              <w:spacing w:before="40" w:after="40" w:line="240" w:lineRule="auto"/>
              <w:jc w:val="center"/>
              <w:rPr>
                <w:sz w:val="20"/>
              </w:rPr>
            </w:pPr>
            <w:r>
              <w:rPr>
                <w:sz w:val="20"/>
              </w:rPr>
              <w:t>7,2</w:t>
            </w:r>
          </w:p>
        </w:tc>
        <w:tc>
          <w:tcPr>
            <w:tcW w:w="1525" w:type="dxa"/>
          </w:tcPr>
          <w:p w:rsidR="00000000" w:rsidRDefault="00000000">
            <w:pPr>
              <w:spacing w:before="40" w:after="40" w:line="240" w:lineRule="auto"/>
              <w:jc w:val="center"/>
              <w:rPr>
                <w:sz w:val="20"/>
              </w:rPr>
            </w:pPr>
            <w:r>
              <w:rPr>
                <w:sz w:val="20"/>
              </w:rPr>
              <w:t>10,1</w:t>
            </w:r>
          </w:p>
        </w:tc>
        <w:tc>
          <w:tcPr>
            <w:tcW w:w="1497" w:type="dxa"/>
          </w:tcPr>
          <w:p w:rsidR="00000000" w:rsidRDefault="00000000">
            <w:pPr>
              <w:spacing w:before="40" w:after="40" w:line="240" w:lineRule="auto"/>
              <w:jc w:val="center"/>
              <w:rPr>
                <w:sz w:val="20"/>
              </w:rPr>
            </w:pPr>
            <w:r>
              <w:rPr>
                <w:sz w:val="20"/>
              </w:rPr>
              <w:t>12,1</w:t>
            </w:r>
          </w:p>
        </w:tc>
      </w:tr>
      <w:tr w:rsidR="00000000">
        <w:tblPrEx>
          <w:tblCellMar>
            <w:top w:w="0" w:type="dxa"/>
            <w:bottom w:w="0" w:type="dxa"/>
          </w:tblCellMar>
        </w:tblPrEx>
        <w:trPr>
          <w:jc w:val="center"/>
        </w:trPr>
        <w:tc>
          <w:tcPr>
            <w:tcW w:w="4947" w:type="dxa"/>
          </w:tcPr>
          <w:p w:rsidR="00000000" w:rsidRDefault="00000000">
            <w:pPr>
              <w:spacing w:before="40" w:after="40" w:line="240" w:lineRule="auto"/>
              <w:jc w:val="left"/>
              <w:rPr>
                <w:i/>
                <w:sz w:val="20"/>
              </w:rPr>
            </w:pPr>
            <w:r>
              <w:rPr>
                <w:i/>
                <w:sz w:val="20"/>
              </w:rPr>
              <w:t>Профессионально-техническое образование и образование для взрослых</w:t>
            </w: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Разряд 13 и выше</w:t>
            </w:r>
          </w:p>
        </w:tc>
        <w:tc>
          <w:tcPr>
            <w:tcW w:w="1387" w:type="dxa"/>
          </w:tcPr>
          <w:p w:rsidR="00000000" w:rsidRDefault="00000000">
            <w:pPr>
              <w:spacing w:before="40" w:after="40" w:line="240" w:lineRule="auto"/>
              <w:jc w:val="center"/>
              <w:rPr>
                <w:sz w:val="20"/>
              </w:rPr>
            </w:pPr>
            <w:r>
              <w:rPr>
                <w:sz w:val="20"/>
              </w:rPr>
              <w:t>14,2</w:t>
            </w:r>
          </w:p>
        </w:tc>
        <w:tc>
          <w:tcPr>
            <w:tcW w:w="1525" w:type="dxa"/>
          </w:tcPr>
          <w:p w:rsidR="00000000" w:rsidRDefault="00000000">
            <w:pPr>
              <w:spacing w:before="40" w:after="40" w:line="240" w:lineRule="auto"/>
              <w:jc w:val="center"/>
              <w:rPr>
                <w:sz w:val="20"/>
              </w:rPr>
            </w:pPr>
            <w:r>
              <w:rPr>
                <w:sz w:val="20"/>
              </w:rPr>
              <w:t>24,9</w:t>
            </w:r>
          </w:p>
        </w:tc>
        <w:tc>
          <w:tcPr>
            <w:tcW w:w="1497" w:type="dxa"/>
          </w:tcPr>
          <w:p w:rsidR="00000000" w:rsidRDefault="00000000">
            <w:pPr>
              <w:spacing w:before="40" w:after="40" w:line="240" w:lineRule="auto"/>
              <w:jc w:val="center"/>
              <w:rPr>
                <w:sz w:val="20"/>
              </w:rPr>
            </w:pPr>
            <w:r>
              <w:rPr>
                <w:sz w:val="20"/>
              </w:rPr>
              <w:t>23,7</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i/>
                <w:sz w:val="20"/>
              </w:rPr>
            </w:pPr>
            <w:r>
              <w:rPr>
                <w:i/>
                <w:sz w:val="20"/>
              </w:rPr>
              <w:t>Высшее профессионально-техническое образование</w:t>
            </w: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Разряд 13 и выше</w:t>
            </w:r>
          </w:p>
        </w:tc>
        <w:tc>
          <w:tcPr>
            <w:tcW w:w="1387" w:type="dxa"/>
          </w:tcPr>
          <w:p w:rsidR="00000000" w:rsidRDefault="00000000">
            <w:pPr>
              <w:spacing w:before="40" w:after="40" w:line="240" w:lineRule="auto"/>
              <w:jc w:val="center"/>
              <w:rPr>
                <w:sz w:val="20"/>
              </w:rPr>
            </w:pPr>
            <w:r>
              <w:rPr>
                <w:sz w:val="20"/>
              </w:rPr>
              <w:t>5,5</w:t>
            </w:r>
          </w:p>
        </w:tc>
        <w:tc>
          <w:tcPr>
            <w:tcW w:w="1525" w:type="dxa"/>
          </w:tcPr>
          <w:p w:rsidR="00000000" w:rsidRDefault="00000000">
            <w:pPr>
              <w:spacing w:before="40" w:after="40" w:line="240" w:lineRule="auto"/>
              <w:jc w:val="center"/>
              <w:rPr>
                <w:sz w:val="20"/>
              </w:rPr>
            </w:pPr>
            <w:r>
              <w:rPr>
                <w:sz w:val="20"/>
              </w:rPr>
              <w:t>18,4</w:t>
            </w:r>
          </w:p>
        </w:tc>
        <w:tc>
          <w:tcPr>
            <w:tcW w:w="1497" w:type="dxa"/>
          </w:tcPr>
          <w:p w:rsidR="00000000" w:rsidRDefault="00000000">
            <w:pPr>
              <w:spacing w:before="40" w:after="40" w:line="240" w:lineRule="auto"/>
              <w:jc w:val="center"/>
              <w:rPr>
                <w:sz w:val="20"/>
              </w:rPr>
            </w:pPr>
            <w:r>
              <w:rPr>
                <w:sz w:val="20"/>
              </w:rPr>
              <w:t>19,7</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b/>
                <w:sz w:val="20"/>
              </w:rPr>
            </w:pPr>
          </w:p>
        </w:tc>
        <w:tc>
          <w:tcPr>
            <w:tcW w:w="1387" w:type="dxa"/>
          </w:tcPr>
          <w:p w:rsidR="00000000" w:rsidRDefault="00000000">
            <w:pPr>
              <w:spacing w:before="40" w:after="40" w:line="240" w:lineRule="auto"/>
              <w:jc w:val="center"/>
              <w:rPr>
                <w:b/>
                <w:sz w:val="20"/>
              </w:rPr>
            </w:pPr>
            <w:r>
              <w:rPr>
                <w:b/>
                <w:sz w:val="20"/>
              </w:rPr>
              <w:t>1992 год</w:t>
            </w:r>
          </w:p>
        </w:tc>
        <w:tc>
          <w:tcPr>
            <w:tcW w:w="1525" w:type="dxa"/>
          </w:tcPr>
          <w:p w:rsidR="00000000" w:rsidRDefault="00000000">
            <w:pPr>
              <w:spacing w:before="40" w:after="40" w:line="240" w:lineRule="auto"/>
              <w:jc w:val="center"/>
              <w:rPr>
                <w:b/>
                <w:sz w:val="20"/>
              </w:rPr>
            </w:pPr>
            <w:r>
              <w:rPr>
                <w:b/>
                <w:sz w:val="20"/>
              </w:rPr>
              <w:t>2001 год</w:t>
            </w:r>
          </w:p>
        </w:tc>
        <w:tc>
          <w:tcPr>
            <w:tcW w:w="1497" w:type="dxa"/>
          </w:tcPr>
          <w:p w:rsidR="00000000" w:rsidRDefault="00000000">
            <w:pPr>
              <w:spacing w:before="40" w:after="40" w:line="240" w:lineRule="auto"/>
              <w:jc w:val="center"/>
              <w:rPr>
                <w:b/>
                <w:sz w:val="20"/>
              </w:rPr>
            </w:pPr>
            <w:r>
              <w:rPr>
                <w:b/>
                <w:sz w:val="20"/>
              </w:rPr>
              <w:t xml:space="preserve">2002 </w:t>
            </w:r>
            <w:r>
              <w:rPr>
                <w:b/>
                <w:sz w:val="20"/>
                <w:lang w:val="ru-RU"/>
              </w:rPr>
              <w:t>г</w:t>
            </w:r>
            <w:r>
              <w:rPr>
                <w:b/>
                <w:sz w:val="20"/>
              </w:rPr>
              <w:t>од</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i/>
                <w:sz w:val="20"/>
              </w:rPr>
            </w:pPr>
            <w:r>
              <w:rPr>
                <w:i/>
                <w:sz w:val="20"/>
              </w:rPr>
              <w:t>Университетское образование</w:t>
            </w:r>
          </w:p>
        </w:tc>
        <w:tc>
          <w:tcPr>
            <w:tcW w:w="1387" w:type="dxa"/>
          </w:tcPr>
          <w:p w:rsidR="00000000" w:rsidRDefault="00000000">
            <w:pPr>
              <w:spacing w:before="40" w:after="40" w:line="240" w:lineRule="auto"/>
              <w:jc w:val="center"/>
              <w:rPr>
                <w:sz w:val="20"/>
              </w:rPr>
            </w:pPr>
          </w:p>
        </w:tc>
        <w:tc>
          <w:tcPr>
            <w:tcW w:w="1525" w:type="dxa"/>
          </w:tcPr>
          <w:p w:rsidR="00000000" w:rsidRDefault="00000000">
            <w:pPr>
              <w:spacing w:before="40" w:after="40" w:line="240" w:lineRule="auto"/>
              <w:jc w:val="center"/>
              <w:rPr>
                <w:sz w:val="20"/>
              </w:rPr>
            </w:pPr>
          </w:p>
        </w:tc>
        <w:tc>
          <w:tcPr>
            <w:tcW w:w="1497" w:type="dxa"/>
          </w:tcPr>
          <w:p w:rsidR="00000000" w:rsidRDefault="00000000">
            <w:pPr>
              <w:spacing w:before="40" w:after="40" w:line="240" w:lineRule="auto"/>
              <w:jc w:val="center"/>
              <w:rPr>
                <w:sz w:val="20"/>
              </w:rPr>
            </w:pP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Профессор</w:t>
            </w:r>
          </w:p>
        </w:tc>
        <w:tc>
          <w:tcPr>
            <w:tcW w:w="1387" w:type="dxa"/>
          </w:tcPr>
          <w:p w:rsidR="00000000" w:rsidRDefault="00000000">
            <w:pPr>
              <w:spacing w:before="40" w:after="40" w:line="240" w:lineRule="auto"/>
              <w:jc w:val="center"/>
              <w:rPr>
                <w:sz w:val="20"/>
              </w:rPr>
            </w:pPr>
            <w:r>
              <w:rPr>
                <w:sz w:val="20"/>
              </w:rPr>
              <w:t>3,6</w:t>
            </w:r>
          </w:p>
        </w:tc>
        <w:tc>
          <w:tcPr>
            <w:tcW w:w="1525" w:type="dxa"/>
          </w:tcPr>
          <w:p w:rsidR="00000000" w:rsidRDefault="00000000">
            <w:pPr>
              <w:spacing w:before="40" w:after="40" w:line="240" w:lineRule="auto"/>
              <w:jc w:val="center"/>
              <w:rPr>
                <w:sz w:val="20"/>
              </w:rPr>
            </w:pPr>
            <w:r>
              <w:rPr>
                <w:sz w:val="20"/>
              </w:rPr>
              <w:t>7,1</w:t>
            </w:r>
          </w:p>
        </w:tc>
        <w:tc>
          <w:tcPr>
            <w:tcW w:w="1497" w:type="dxa"/>
          </w:tcPr>
          <w:p w:rsidR="00000000" w:rsidRDefault="00000000">
            <w:pPr>
              <w:spacing w:before="40" w:after="40" w:line="240" w:lineRule="auto"/>
              <w:jc w:val="center"/>
              <w:rPr>
                <w:sz w:val="20"/>
              </w:rPr>
            </w:pPr>
            <w:r>
              <w:rPr>
                <w:sz w:val="20"/>
              </w:rPr>
              <w:t>8,1</w:t>
            </w:r>
          </w:p>
        </w:tc>
      </w:tr>
      <w:tr w:rsidR="00000000">
        <w:tblPrEx>
          <w:tblCellMar>
            <w:top w:w="0" w:type="dxa"/>
            <w:bottom w:w="0" w:type="dxa"/>
          </w:tblCellMar>
        </w:tblPrEx>
        <w:trPr>
          <w:jc w:val="center"/>
        </w:trPr>
        <w:tc>
          <w:tcPr>
            <w:tcW w:w="4947" w:type="dxa"/>
          </w:tcPr>
          <w:p w:rsidR="00000000" w:rsidRDefault="00000000">
            <w:pPr>
              <w:spacing w:before="40" w:after="40" w:line="240" w:lineRule="auto"/>
              <w:rPr>
                <w:sz w:val="20"/>
              </w:rPr>
            </w:pPr>
            <w:r>
              <w:rPr>
                <w:sz w:val="20"/>
              </w:rPr>
              <w:tab/>
              <w:t>Доцент</w:t>
            </w:r>
          </w:p>
        </w:tc>
        <w:tc>
          <w:tcPr>
            <w:tcW w:w="1387" w:type="dxa"/>
          </w:tcPr>
          <w:p w:rsidR="00000000" w:rsidRDefault="00000000">
            <w:pPr>
              <w:spacing w:before="40" w:after="40" w:line="240" w:lineRule="auto"/>
              <w:jc w:val="center"/>
              <w:rPr>
                <w:sz w:val="20"/>
              </w:rPr>
            </w:pPr>
            <w:r>
              <w:rPr>
                <w:sz w:val="20"/>
              </w:rPr>
              <w:t>6,4</w:t>
            </w:r>
          </w:p>
        </w:tc>
        <w:tc>
          <w:tcPr>
            <w:tcW w:w="1525" w:type="dxa"/>
          </w:tcPr>
          <w:p w:rsidR="00000000" w:rsidRDefault="00000000">
            <w:pPr>
              <w:spacing w:before="40" w:after="40" w:line="240" w:lineRule="auto"/>
              <w:jc w:val="center"/>
              <w:rPr>
                <w:sz w:val="20"/>
              </w:rPr>
            </w:pPr>
            <w:r>
              <w:rPr>
                <w:sz w:val="20"/>
              </w:rPr>
              <w:t>11,2</w:t>
            </w:r>
          </w:p>
        </w:tc>
        <w:tc>
          <w:tcPr>
            <w:tcW w:w="1497" w:type="dxa"/>
          </w:tcPr>
          <w:p w:rsidR="00000000" w:rsidRDefault="00000000">
            <w:pPr>
              <w:spacing w:before="40" w:after="40" w:line="240" w:lineRule="auto"/>
              <w:jc w:val="center"/>
              <w:rPr>
                <w:sz w:val="20"/>
              </w:rPr>
            </w:pPr>
            <w:r>
              <w:rPr>
                <w:sz w:val="20"/>
              </w:rPr>
              <w:t>13,7</w:t>
            </w:r>
          </w:p>
        </w:tc>
      </w:tr>
    </w:tbl>
    <w:p w:rsidR="00000000" w:rsidRDefault="00000000">
      <w:pPr>
        <w:spacing w:before="120" w:line="240" w:lineRule="auto"/>
        <w:rPr>
          <w:sz w:val="20"/>
        </w:rPr>
      </w:pPr>
      <w:r>
        <w:rPr>
          <w:sz w:val="20"/>
        </w:rPr>
        <w:t>Базисной датой является 1 октября 2003 года</w:t>
      </w:r>
      <w:r>
        <w:rPr>
          <w:sz w:val="20"/>
          <w:lang w:val="ru-RU"/>
        </w:rPr>
        <w:t>,</w:t>
      </w:r>
      <w:r>
        <w:rPr>
          <w:sz w:val="20"/>
        </w:rPr>
        <w:t xml:space="preserve"> за исключением данных по университетскому образованию, для которых базисная дата – 31 декабря 2002 года.</w:t>
      </w:r>
    </w:p>
    <w:p w:rsidR="00000000" w:rsidRDefault="00000000">
      <w:r>
        <w:t>С учетом малочисленности женщин среди директоров начальных школ и растущей нехватки в них административного персонала Министерство образования, культуры и науки планирует принять ряд мер для привлечения женщин на административные должности.</w:t>
      </w:r>
    </w:p>
    <w:p w:rsidR="00000000" w:rsidRDefault="00000000">
      <w:r>
        <w:t>В 2002 году было начато осуществление проекта, связанное с разделени</w:t>
      </w:r>
      <w:r>
        <w:rPr>
          <w:lang w:val="ru-RU"/>
        </w:rPr>
        <w:t>ем</w:t>
      </w:r>
      <w:r>
        <w:t xml:space="preserve"> рабочего места между несколькими сотрудниками. В рамках данного проекта мужчинам и женщинам предоставляется возможность работать неполный рабочий день на административной должности в системе начального образования, что позволяет им совмещать семейные и производственные обязанности. Кроме того, административные функции, которые делятся между несколькими преподавателями-администраторами (завучами), дополняют друг друга, что способствует равномерному распределению рабочей нагрузки. Данный проект будет осуществляться до конца 2003/04 учебного года. Помимо этого, в 2003/04 учебном году был создан ряд механизмов для инструктажа новых завучей и оказания им поддержки. Результаты исследования, проведенного институтом исследований и консультаций по вопросам политики (ИВА), свидетельствуют о том, что инструктаж и поддержка новых завучей в течение первого года их работы имеют важное значение для их дальнейшей успешной работы</w:t>
      </w:r>
      <w:r>
        <w:rPr>
          <w:rStyle w:val="FootnoteReference"/>
          <w:sz w:val="22"/>
        </w:rPr>
        <w:footnoteReference w:customMarkFollows="1" w:id="47"/>
        <w:t>46</w:t>
      </w:r>
      <w:r>
        <w:t>. Женщины, в частности, указывают на то, что они нуждаются в соответствующих инструктаже, поддержке и руководстве. В результате рекламы данного проекта уже к декабрю 2003 года было получено 350 заявок, и поэтому можно ожидать, что будет получено максимальное число таких заявок – 450, намеченное для 2003/04 учебного года.</w:t>
      </w:r>
    </w:p>
    <w:p w:rsidR="00000000" w:rsidRDefault="00000000">
      <w:pPr>
        <w:rPr>
          <w:b/>
          <w:i/>
        </w:rPr>
      </w:pPr>
      <w:r>
        <w:rPr>
          <w:b/>
          <w:i/>
        </w:rPr>
        <w:t>Министерство социальных дел и по вопросам занятости</w:t>
      </w:r>
    </w:p>
    <w:p w:rsidR="00000000" w:rsidRDefault="00000000">
      <w:r>
        <w:t>При прочих равных качествах кандидатов предпочтение отдается женщинам. В 2003 году на административных должностях работали 51 женщина и 168 мужчин. Таким образом, доля женщин на этих должностях составляет 23 процента.</w:t>
      </w:r>
    </w:p>
    <w:p w:rsidR="00000000" w:rsidRDefault="00000000">
      <w:r>
        <w:t>В отношении руководящих должностей в Министерстве были достигнуты следующие договоренности, причем основное внимание уделялось устранению всех гендерных критериев из процедур подбора кадров и отбора кандидатов:</w:t>
      </w:r>
    </w:p>
    <w:p w:rsidR="00000000" w:rsidRDefault="00000000">
      <w:pPr>
        <w:spacing w:before="180"/>
        <w:ind w:left="680" w:hanging="680"/>
      </w:pPr>
      <w:r>
        <w:t>–</w:t>
      </w:r>
      <w:r>
        <w:tab/>
        <w:t>в комитет по отбору кандидатов должна входить по меньшей мере одна женщина;</w:t>
      </w:r>
    </w:p>
    <w:p w:rsidR="00000000" w:rsidRDefault="00000000">
      <w:pPr>
        <w:spacing w:before="180"/>
        <w:ind w:left="680" w:hanging="680"/>
      </w:pPr>
      <w:r>
        <w:t>–</w:t>
      </w:r>
      <w:r>
        <w:tab/>
        <w:t>процедура отбора не должна начинаться до тех пор, пока в число кандидатов не будут входить женщины;</w:t>
      </w:r>
    </w:p>
    <w:p w:rsidR="00000000" w:rsidRDefault="00000000">
      <w:pPr>
        <w:spacing w:before="180"/>
        <w:ind w:left="680" w:hanging="680"/>
      </w:pPr>
      <w:r>
        <w:t>–</w:t>
      </w:r>
      <w:r>
        <w:tab/>
        <w:t>к концу 2004 года в состав каждой административной группы Министерства по социальным вопросам и вопросам занятости должна входить по меньшей мере одна женщина;</w:t>
      </w:r>
    </w:p>
    <w:p w:rsidR="00000000" w:rsidRDefault="00000000">
      <w:pPr>
        <w:spacing w:before="180"/>
        <w:ind w:left="680" w:hanging="680"/>
      </w:pPr>
      <w:r>
        <w:t>–</w:t>
      </w:r>
      <w:r>
        <w:tab/>
        <w:t>Генеральный секретарь будет лично встречаться с каждой женщиной – руководителем департамента, увольняющейся из Министерства социальных дел и по вопросам занятости;</w:t>
      </w:r>
    </w:p>
    <w:p w:rsidR="00000000" w:rsidRDefault="00000000">
      <w:pPr>
        <w:spacing w:before="180"/>
        <w:ind w:left="680" w:hanging="680"/>
      </w:pPr>
      <w:r>
        <w:t>–</w:t>
      </w:r>
      <w:r>
        <w:tab/>
        <w:t>в 2004 году будет начато осуществление "перспективной" программы продвижения по службе (которая будет конкретно ориентирована на руководителей-женщин).</w:t>
      </w:r>
    </w:p>
    <w:p w:rsidR="00000000" w:rsidRDefault="00000000">
      <w:pPr>
        <w:jc w:val="left"/>
        <w:rPr>
          <w:b/>
          <w:i/>
        </w:rPr>
      </w:pPr>
      <w:r>
        <w:rPr>
          <w:b/>
          <w:i/>
        </w:rPr>
        <w:t>Министерство жилищного строительства, обустройства территорий и охраны окружающей среды</w:t>
      </w:r>
    </w:p>
    <w:p w:rsidR="00000000" w:rsidRDefault="00000000">
      <w:r>
        <w:t>Министерство жилищного строительства, обустройства территорий и охраны окружающей среды проводит активную политику, направленную на повышение многообразия в своем кадровом составе. Эта политика касается не только женщин, но и молодежи, этнических меньшинств и инвалидов. В отношении женщин Министерство жилищного строительства, обустройства территорий и охраны окружающей среды планирует принять меры для большего продвижения женщин на старшие и руководящие должности в системе Министерства. С этой целью были сформулированы плановые задания и разработаны мероприятия, связанные с вопросом предоставления соответствующих должностей. В результате доля женщин на старших должностях увеличилась с 17 процентов в 2000 году до 20 процентов в 2003 году. Министерство также предпринимает попытки для назначения женщин в состав своих консультативных органов, что способствовало достижению в 2004 году целевого показателя в 27 процентов.</w:t>
      </w:r>
    </w:p>
    <w:p w:rsidR="00000000" w:rsidRDefault="00000000">
      <w:pPr>
        <w:rPr>
          <w:b/>
          <w:i/>
        </w:rPr>
      </w:pPr>
      <w:r>
        <w:rPr>
          <w:b/>
          <w:i/>
        </w:rPr>
        <w:t>Министерство здравоохранения, благосостояния и спорта</w:t>
      </w:r>
    </w:p>
    <w:p w:rsidR="00000000" w:rsidRDefault="00000000">
      <w:pPr>
        <w:rPr>
          <w:i/>
        </w:rPr>
      </w:pPr>
      <w:r>
        <w:rPr>
          <w:i/>
        </w:rPr>
        <w:t>Женщины на руководящих должностях в секторе здравоохранения</w:t>
      </w:r>
    </w:p>
    <w:p w:rsidR="00000000" w:rsidRDefault="00000000">
      <w:r>
        <w:t xml:space="preserve">Министерство здравоохранения, благосостояния и спорта поощряет прием большего числа женщин на руководящие должности в секторе здравоохранения и предоставляет медицинским специалистам возможность работать неполный рабочий день. Риск сегрегации медицинских специалистов по признаку пола, конечно, существует, однако он был гораздо более высоким </w:t>
      </w:r>
      <w:r>
        <w:rPr>
          <w:i/>
        </w:rPr>
        <w:t>до того</w:t>
      </w:r>
      <w:r>
        <w:t>, как сотрудникам была предоставлена возможность работать неполный рабочий день. В отношении услуг медицинских сестер и сиделок многое делается для того, чтобы расширить возможности их продвижения по службе и занятия руководящих должностей.</w:t>
      </w:r>
    </w:p>
    <w:p w:rsidR="00000000" w:rsidRDefault="00000000">
      <w:r>
        <w:t>В секторе социальных услуг женщинами являются 80 процентов трудящихся и 50 процентов руководящих должностей занимают женщины. В секторе здравоохранения главная проблема связана с отсутствием перспектив для продвижения по службе</w:t>
      </w:r>
      <w:r>
        <w:rPr>
          <w:lang w:val="ru-RU"/>
        </w:rPr>
        <w:t>,</w:t>
      </w:r>
      <w:r>
        <w:t xml:space="preserve"> и этот факт одинаково влияет как на женщин, так и на мужчин. Вместе с тем ответственность за осуществление политики несут как работодатели, так и сами трудящиеся. На период 2003–2004 годов была создана сеть уполномоченных по вопросам продвижения женщин на руководящие должности в секторе здравоохранения. Усилия Министерства здравоохранения, благосостояния и спорта сосредоточены на поддержке инициатив в самом секторе, связанных с созданием возможностей для работы неполный рабочий день. Наличие большого числа медицинских специалистов на рынке труда также способствовало достижению позитивных результатов. Все большее число медицинских работников работают неполный рабочий день. Ожидается, что в конечном счете это приведет к изменению отношения к данной форме труда в обществе (работать в течение неполного рабочего дня постепенно становится все более "нормальным").</w:t>
      </w:r>
    </w:p>
    <w:p w:rsidR="00000000" w:rsidRDefault="00000000">
      <w:pPr>
        <w:pStyle w:val="Subtitle"/>
        <w:rPr>
          <w:sz w:val="23"/>
          <w:lang w:val="ru-RU"/>
        </w:rPr>
      </w:pPr>
      <w:r>
        <w:rPr>
          <w:sz w:val="23"/>
          <w:lang w:val="ru-RU"/>
        </w:rPr>
        <w:t xml:space="preserve">2. </w:t>
      </w:r>
      <w:r>
        <w:rPr>
          <w:sz w:val="23"/>
          <w:lang w:val="ru-RU"/>
        </w:rPr>
        <w:tab/>
        <w:t>Политическая жизнь</w:t>
      </w:r>
    </w:p>
    <w:p w:rsidR="00000000" w:rsidRDefault="00000000">
      <w:r>
        <w:t>Как представляется, на национальном и провинциальном уровнях политическая культура и условия занятости являются главными препятствиями на пути участия женщин в политической жизни. Министр внутренних дел и по делам королевства выступил с рядом инициатив по устранению этих препятствий в обеих из указанных областей. Министр внутренних дел также издает ежегодный краткий отчет о ходе осуществления соответствующих мероприятий.</w:t>
      </w:r>
    </w:p>
    <w:p w:rsidR="00000000" w:rsidRDefault="00000000">
      <w:pPr>
        <w:rPr>
          <w:i/>
        </w:rPr>
      </w:pPr>
      <w:r>
        <w:rPr>
          <w:i/>
        </w:rPr>
        <w:t>Конкретные задачи</w:t>
      </w:r>
    </w:p>
    <w:p w:rsidR="00000000" w:rsidRDefault="00000000">
      <w:pPr>
        <w:spacing w:before="180"/>
      </w:pPr>
      <w:r>
        <w:t>На основе плана действий "</w:t>
      </w:r>
      <w:r>
        <w:rPr>
          <w:lang w:val="en-US"/>
        </w:rPr>
        <w:t>Emancipatiemonitor</w:t>
      </w:r>
      <w:r>
        <w:t>, 2000" предыдущее правительство наметило ряд количественных плановых заданий на 2010 год</w:t>
      </w:r>
      <w:r>
        <w:rPr>
          <w:rStyle w:val="FootnoteReference"/>
          <w:sz w:val="22"/>
        </w:rPr>
        <w:footnoteReference w:customMarkFollows="1" w:id="48"/>
        <w:t>47</w:t>
      </w:r>
      <w:r>
        <w:t>. Эти задания отражают стремления правительства, которые предстояло осуществлять другим, а именно политическим партиям, гражданскому обществу, частным компаниям. Плановые задания задумывались как показатели деятельности для всех соответствующих органов и организаций: они позволяют следить за режимом работы в динамике и определить, какие из усилий в данной области были успешными и нет ли необходимости принимать дополнительные меры. Они также служат целевыми показателями для организаций и компаний, которые могут пожелать разработать собственные показатели, отражающие их внутреннюю ситуацию.</w:t>
      </w:r>
    </w:p>
    <w:p w:rsidR="00000000" w:rsidRDefault="00000000">
      <w:pPr>
        <w:spacing w:before="120" w:after="120"/>
      </w:pPr>
      <w:r>
        <w:t xml:space="preserve">(в процентах) </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5891"/>
        <w:gridCol w:w="1075"/>
        <w:gridCol w:w="1075"/>
        <w:gridCol w:w="1315"/>
      </w:tblGrid>
      <w:tr w:rsidR="00000000">
        <w:tblPrEx>
          <w:tblCellMar>
            <w:top w:w="0" w:type="dxa"/>
            <w:bottom w:w="0" w:type="dxa"/>
          </w:tblCellMar>
        </w:tblPrEx>
        <w:trPr>
          <w:jc w:val="center"/>
        </w:trPr>
        <w:tc>
          <w:tcPr>
            <w:tcW w:w="5891" w:type="dxa"/>
          </w:tcPr>
          <w:p w:rsidR="00000000" w:rsidRDefault="00000000">
            <w:pPr>
              <w:spacing w:before="40" w:after="40" w:line="220" w:lineRule="exact"/>
              <w:jc w:val="center"/>
              <w:rPr>
                <w:b/>
                <w:sz w:val="20"/>
              </w:rPr>
            </w:pPr>
          </w:p>
        </w:tc>
        <w:tc>
          <w:tcPr>
            <w:tcW w:w="1075" w:type="dxa"/>
            <w:vAlign w:val="center"/>
          </w:tcPr>
          <w:p w:rsidR="00000000" w:rsidRDefault="00000000">
            <w:pPr>
              <w:spacing w:before="40" w:after="40" w:line="220" w:lineRule="exact"/>
              <w:jc w:val="center"/>
              <w:rPr>
                <w:b/>
                <w:sz w:val="20"/>
              </w:rPr>
            </w:pPr>
            <w:r>
              <w:rPr>
                <w:b/>
                <w:sz w:val="20"/>
              </w:rPr>
              <w:t>2000 год</w:t>
            </w:r>
          </w:p>
        </w:tc>
        <w:tc>
          <w:tcPr>
            <w:tcW w:w="1075" w:type="dxa"/>
            <w:vAlign w:val="center"/>
          </w:tcPr>
          <w:p w:rsidR="00000000" w:rsidRDefault="00000000">
            <w:pPr>
              <w:spacing w:before="40" w:after="40" w:line="220" w:lineRule="exact"/>
              <w:jc w:val="center"/>
              <w:rPr>
                <w:b/>
                <w:sz w:val="20"/>
              </w:rPr>
            </w:pPr>
            <w:r>
              <w:rPr>
                <w:b/>
                <w:sz w:val="20"/>
              </w:rPr>
              <w:t>2002 год</w:t>
            </w:r>
          </w:p>
        </w:tc>
        <w:tc>
          <w:tcPr>
            <w:tcW w:w="1315" w:type="dxa"/>
          </w:tcPr>
          <w:p w:rsidR="00000000" w:rsidRDefault="00000000">
            <w:pPr>
              <w:spacing w:before="40" w:after="40" w:line="220" w:lineRule="exact"/>
              <w:jc w:val="center"/>
              <w:rPr>
                <w:b/>
                <w:sz w:val="20"/>
              </w:rPr>
            </w:pPr>
            <w:r>
              <w:rPr>
                <w:b/>
                <w:sz w:val="20"/>
              </w:rPr>
              <w:t xml:space="preserve">Цель на </w:t>
            </w:r>
            <w:r>
              <w:rPr>
                <w:b/>
                <w:sz w:val="20"/>
                <w:lang w:val="ru-RU"/>
              </w:rPr>
              <w:br/>
            </w:r>
            <w:r>
              <w:rPr>
                <w:b/>
                <w:sz w:val="20"/>
              </w:rPr>
              <w:t>2010 год</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Правительство</w:t>
            </w:r>
          </w:p>
        </w:tc>
        <w:tc>
          <w:tcPr>
            <w:tcW w:w="1075" w:type="dxa"/>
            <w:vAlign w:val="bottom"/>
          </w:tcPr>
          <w:p w:rsidR="00000000" w:rsidRDefault="00000000">
            <w:pPr>
              <w:spacing w:before="30" w:after="40" w:line="220" w:lineRule="exact"/>
              <w:jc w:val="center"/>
              <w:rPr>
                <w:sz w:val="20"/>
                <w:lang w:val="ru-RU"/>
              </w:rPr>
            </w:pPr>
            <w:r>
              <w:rPr>
                <w:sz w:val="20"/>
                <w:lang w:val="ru-RU"/>
              </w:rPr>
              <w:t>31</w:t>
            </w:r>
          </w:p>
        </w:tc>
        <w:tc>
          <w:tcPr>
            <w:tcW w:w="1075" w:type="dxa"/>
            <w:vAlign w:val="bottom"/>
          </w:tcPr>
          <w:p w:rsidR="00000000" w:rsidRDefault="00000000">
            <w:pPr>
              <w:spacing w:before="30" w:after="40" w:line="220" w:lineRule="exact"/>
              <w:jc w:val="center"/>
              <w:rPr>
                <w:sz w:val="20"/>
                <w:lang w:val="ru-RU"/>
              </w:rPr>
            </w:pPr>
            <w:r>
              <w:rPr>
                <w:sz w:val="20"/>
                <w:lang w:val="ru-RU"/>
              </w:rPr>
              <w:t>21</w:t>
            </w:r>
          </w:p>
        </w:tc>
        <w:tc>
          <w:tcPr>
            <w:tcW w:w="1315" w:type="dxa"/>
            <w:vAlign w:val="bottom"/>
          </w:tcPr>
          <w:p w:rsidR="00000000" w:rsidRDefault="00000000">
            <w:pPr>
              <w:spacing w:before="30" w:after="40" w:line="220" w:lineRule="exact"/>
              <w:jc w:val="center"/>
              <w:rPr>
                <w:sz w:val="20"/>
                <w:lang w:val="ru-RU"/>
              </w:rPr>
            </w:pPr>
            <w:r>
              <w:rPr>
                <w:sz w:val="20"/>
                <w:lang w:val="ru-RU"/>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Палата представителей</w:t>
            </w:r>
          </w:p>
        </w:tc>
        <w:tc>
          <w:tcPr>
            <w:tcW w:w="1075" w:type="dxa"/>
            <w:vAlign w:val="bottom"/>
          </w:tcPr>
          <w:p w:rsidR="00000000" w:rsidRDefault="00000000">
            <w:pPr>
              <w:spacing w:before="30" w:after="40" w:line="220" w:lineRule="exact"/>
              <w:jc w:val="center"/>
              <w:rPr>
                <w:sz w:val="20"/>
                <w:lang w:val="ru-RU"/>
              </w:rPr>
            </w:pPr>
            <w:r>
              <w:rPr>
                <w:sz w:val="20"/>
                <w:lang w:val="ru-RU"/>
              </w:rPr>
              <w:t>36</w:t>
            </w:r>
          </w:p>
        </w:tc>
        <w:tc>
          <w:tcPr>
            <w:tcW w:w="1075" w:type="dxa"/>
            <w:vAlign w:val="bottom"/>
          </w:tcPr>
          <w:p w:rsidR="00000000" w:rsidRDefault="00000000">
            <w:pPr>
              <w:spacing w:before="30" w:after="40" w:line="220" w:lineRule="exact"/>
              <w:jc w:val="center"/>
              <w:rPr>
                <w:sz w:val="20"/>
                <w:lang w:val="ru-RU"/>
              </w:rPr>
            </w:pPr>
            <w:r>
              <w:rPr>
                <w:sz w:val="20"/>
                <w:lang w:val="ru-RU"/>
              </w:rPr>
              <w:t>35</w:t>
            </w:r>
          </w:p>
        </w:tc>
        <w:tc>
          <w:tcPr>
            <w:tcW w:w="1315" w:type="dxa"/>
            <w:vAlign w:val="bottom"/>
          </w:tcPr>
          <w:p w:rsidR="00000000" w:rsidRDefault="00000000">
            <w:pPr>
              <w:spacing w:before="30" w:after="40" w:line="220" w:lineRule="exact"/>
              <w:jc w:val="center"/>
              <w:rPr>
                <w:sz w:val="20"/>
                <w:lang w:val="ru-RU"/>
              </w:rPr>
            </w:pPr>
            <w:r>
              <w:rPr>
                <w:sz w:val="20"/>
                <w:lang w:val="ru-RU"/>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Сенат</w:t>
            </w:r>
          </w:p>
        </w:tc>
        <w:tc>
          <w:tcPr>
            <w:tcW w:w="1075" w:type="dxa"/>
            <w:vAlign w:val="bottom"/>
          </w:tcPr>
          <w:p w:rsidR="00000000" w:rsidRDefault="00000000">
            <w:pPr>
              <w:spacing w:before="30" w:after="40" w:line="220" w:lineRule="exact"/>
              <w:jc w:val="center"/>
              <w:rPr>
                <w:sz w:val="20"/>
                <w:lang w:val="ru-RU"/>
              </w:rPr>
            </w:pPr>
            <w:r>
              <w:rPr>
                <w:sz w:val="20"/>
                <w:lang w:val="ru-RU"/>
              </w:rPr>
              <w:t>28</w:t>
            </w:r>
          </w:p>
        </w:tc>
        <w:tc>
          <w:tcPr>
            <w:tcW w:w="1075" w:type="dxa"/>
            <w:vAlign w:val="bottom"/>
          </w:tcPr>
          <w:p w:rsidR="00000000" w:rsidRDefault="00000000">
            <w:pPr>
              <w:spacing w:before="30" w:after="40" w:line="220" w:lineRule="exact"/>
              <w:jc w:val="center"/>
              <w:rPr>
                <w:sz w:val="20"/>
                <w:lang w:val="ru-RU"/>
              </w:rPr>
            </w:pPr>
            <w:r>
              <w:rPr>
                <w:sz w:val="20"/>
                <w:lang w:val="ru-RU"/>
              </w:rPr>
              <w:t>28</w:t>
            </w:r>
          </w:p>
        </w:tc>
        <w:tc>
          <w:tcPr>
            <w:tcW w:w="1315" w:type="dxa"/>
            <w:vAlign w:val="bottom"/>
          </w:tcPr>
          <w:p w:rsidR="00000000" w:rsidRDefault="00000000">
            <w:pPr>
              <w:spacing w:before="30" w:after="40" w:line="220" w:lineRule="exact"/>
              <w:jc w:val="center"/>
              <w:rPr>
                <w:sz w:val="20"/>
                <w:lang w:val="ru-RU"/>
              </w:rPr>
            </w:pPr>
            <w:r>
              <w:rPr>
                <w:sz w:val="20"/>
                <w:lang w:val="ru-RU"/>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Европейский парламент</w:t>
            </w:r>
          </w:p>
        </w:tc>
        <w:tc>
          <w:tcPr>
            <w:tcW w:w="1075" w:type="dxa"/>
            <w:vAlign w:val="bottom"/>
          </w:tcPr>
          <w:p w:rsidR="00000000" w:rsidRDefault="00000000">
            <w:pPr>
              <w:spacing w:before="30" w:after="40" w:line="220" w:lineRule="exact"/>
              <w:jc w:val="center"/>
              <w:rPr>
                <w:sz w:val="20"/>
                <w:lang w:val="ru-RU"/>
              </w:rPr>
            </w:pPr>
            <w:r>
              <w:rPr>
                <w:sz w:val="20"/>
                <w:lang w:val="ru-RU"/>
              </w:rPr>
              <w:t>36</w:t>
            </w:r>
          </w:p>
        </w:tc>
        <w:tc>
          <w:tcPr>
            <w:tcW w:w="1075" w:type="dxa"/>
            <w:vAlign w:val="bottom"/>
          </w:tcPr>
          <w:p w:rsidR="00000000" w:rsidRDefault="00000000">
            <w:pPr>
              <w:spacing w:before="30" w:after="40" w:line="220" w:lineRule="exact"/>
              <w:jc w:val="center"/>
              <w:rPr>
                <w:sz w:val="20"/>
                <w:lang w:val="ru-RU"/>
              </w:rPr>
            </w:pPr>
            <w:r>
              <w:rPr>
                <w:sz w:val="20"/>
                <w:lang w:val="ru-RU"/>
              </w:rPr>
              <w:t>36</w:t>
            </w:r>
          </w:p>
        </w:tc>
        <w:tc>
          <w:tcPr>
            <w:tcW w:w="1315" w:type="dxa"/>
            <w:vAlign w:val="bottom"/>
          </w:tcPr>
          <w:p w:rsidR="00000000" w:rsidRDefault="00000000">
            <w:pPr>
              <w:spacing w:before="30" w:after="40" w:line="220" w:lineRule="exact"/>
              <w:jc w:val="center"/>
              <w:rPr>
                <w:sz w:val="20"/>
                <w:lang w:val="ru-RU"/>
              </w:rPr>
            </w:pPr>
            <w:r>
              <w:rPr>
                <w:sz w:val="20"/>
                <w:lang w:val="ru-RU"/>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Провинциальные советы</w:t>
            </w:r>
          </w:p>
        </w:tc>
        <w:tc>
          <w:tcPr>
            <w:tcW w:w="1075" w:type="dxa"/>
            <w:vAlign w:val="bottom"/>
          </w:tcPr>
          <w:p w:rsidR="00000000" w:rsidRDefault="00000000">
            <w:pPr>
              <w:spacing w:before="30" w:after="40" w:line="220" w:lineRule="exact"/>
              <w:jc w:val="center"/>
              <w:rPr>
                <w:sz w:val="20"/>
                <w:lang w:val="en-GB"/>
              </w:rPr>
            </w:pPr>
            <w:r>
              <w:rPr>
                <w:sz w:val="20"/>
                <w:lang w:val="en-GB"/>
              </w:rPr>
              <w:t>31</w:t>
            </w:r>
          </w:p>
        </w:tc>
        <w:tc>
          <w:tcPr>
            <w:tcW w:w="1075" w:type="dxa"/>
            <w:vAlign w:val="bottom"/>
          </w:tcPr>
          <w:p w:rsidR="00000000" w:rsidRDefault="00000000">
            <w:pPr>
              <w:spacing w:before="30" w:after="40" w:line="220" w:lineRule="exact"/>
              <w:jc w:val="center"/>
              <w:rPr>
                <w:sz w:val="20"/>
                <w:lang w:val="en-GB"/>
              </w:rPr>
            </w:pPr>
            <w:r>
              <w:rPr>
                <w:sz w:val="20"/>
                <w:lang w:val="en-GB"/>
              </w:rPr>
              <w:t>28</w:t>
            </w:r>
          </w:p>
        </w:tc>
        <w:tc>
          <w:tcPr>
            <w:tcW w:w="1315" w:type="dxa"/>
            <w:vAlign w:val="bottom"/>
          </w:tcPr>
          <w:p w:rsidR="00000000" w:rsidRDefault="00000000">
            <w:pPr>
              <w:spacing w:before="30" w:after="40" w:line="220" w:lineRule="exact"/>
              <w:jc w:val="center"/>
              <w:rPr>
                <w:sz w:val="20"/>
                <w:lang w:val="en-GB"/>
              </w:rPr>
            </w:pPr>
            <w:r>
              <w:rPr>
                <w:sz w:val="20"/>
                <w:lang w:val="en-GB"/>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Муниципальные советы</w:t>
            </w:r>
          </w:p>
        </w:tc>
        <w:tc>
          <w:tcPr>
            <w:tcW w:w="1075" w:type="dxa"/>
            <w:vAlign w:val="bottom"/>
          </w:tcPr>
          <w:p w:rsidR="00000000" w:rsidRDefault="00000000">
            <w:pPr>
              <w:spacing w:before="30" w:after="40" w:line="220" w:lineRule="exact"/>
              <w:jc w:val="center"/>
              <w:rPr>
                <w:sz w:val="20"/>
                <w:lang w:val="en-GB"/>
              </w:rPr>
            </w:pPr>
            <w:r>
              <w:rPr>
                <w:sz w:val="20"/>
                <w:lang w:val="en-GB"/>
              </w:rPr>
              <w:t>23</w:t>
            </w:r>
          </w:p>
        </w:tc>
        <w:tc>
          <w:tcPr>
            <w:tcW w:w="1075" w:type="dxa"/>
            <w:vAlign w:val="bottom"/>
          </w:tcPr>
          <w:p w:rsidR="00000000" w:rsidRDefault="00000000">
            <w:pPr>
              <w:spacing w:before="30" w:after="40" w:line="220" w:lineRule="exact"/>
              <w:jc w:val="center"/>
              <w:rPr>
                <w:sz w:val="20"/>
                <w:lang w:val="en-GB"/>
              </w:rPr>
            </w:pPr>
            <w:r>
              <w:rPr>
                <w:sz w:val="20"/>
                <w:lang w:val="en-GB"/>
              </w:rPr>
              <w:t>23</w:t>
            </w:r>
          </w:p>
        </w:tc>
        <w:tc>
          <w:tcPr>
            <w:tcW w:w="1315" w:type="dxa"/>
            <w:vAlign w:val="bottom"/>
          </w:tcPr>
          <w:p w:rsidR="00000000" w:rsidRDefault="00000000">
            <w:pPr>
              <w:spacing w:before="30" w:after="40" w:line="220" w:lineRule="exact"/>
              <w:jc w:val="center"/>
              <w:rPr>
                <w:sz w:val="20"/>
                <w:lang w:val="en-GB"/>
              </w:rPr>
            </w:pPr>
            <w:r>
              <w:rPr>
                <w:sz w:val="20"/>
                <w:lang w:val="en-GB"/>
              </w:rPr>
              <w:t>45</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Королевские уполномоченные</w:t>
            </w:r>
          </w:p>
        </w:tc>
        <w:tc>
          <w:tcPr>
            <w:tcW w:w="1075" w:type="dxa"/>
            <w:vAlign w:val="bottom"/>
          </w:tcPr>
          <w:p w:rsidR="00000000" w:rsidRDefault="00000000">
            <w:pPr>
              <w:spacing w:before="30" w:after="40" w:line="220" w:lineRule="exact"/>
              <w:jc w:val="center"/>
              <w:rPr>
                <w:sz w:val="20"/>
                <w:lang w:val="en-GB"/>
              </w:rPr>
            </w:pPr>
            <w:r>
              <w:rPr>
                <w:sz w:val="20"/>
                <w:lang w:val="en-GB"/>
              </w:rPr>
              <w:t>8</w:t>
            </w:r>
          </w:p>
        </w:tc>
        <w:tc>
          <w:tcPr>
            <w:tcW w:w="1075" w:type="dxa"/>
            <w:vAlign w:val="bottom"/>
          </w:tcPr>
          <w:p w:rsidR="00000000" w:rsidRDefault="00000000">
            <w:pPr>
              <w:spacing w:before="30" w:after="40" w:line="220" w:lineRule="exact"/>
              <w:jc w:val="center"/>
              <w:rPr>
                <w:sz w:val="20"/>
                <w:lang w:val="en-GB"/>
              </w:rPr>
            </w:pPr>
            <w:r>
              <w:rPr>
                <w:sz w:val="20"/>
                <w:lang w:val="en-GB"/>
              </w:rPr>
              <w:t>0</w:t>
            </w:r>
          </w:p>
        </w:tc>
        <w:tc>
          <w:tcPr>
            <w:tcW w:w="1315" w:type="dxa"/>
            <w:vAlign w:val="bottom"/>
          </w:tcPr>
          <w:p w:rsidR="00000000" w:rsidRDefault="00000000">
            <w:pPr>
              <w:spacing w:before="30" w:after="40" w:line="220" w:lineRule="exact"/>
              <w:jc w:val="center"/>
              <w:rPr>
                <w:sz w:val="20"/>
                <w:lang w:val="en-GB"/>
              </w:rPr>
            </w:pPr>
            <w:r>
              <w:rPr>
                <w:sz w:val="20"/>
                <w:lang w:val="en-GB"/>
              </w:rPr>
              <w:t>30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Мэры</w:t>
            </w:r>
          </w:p>
        </w:tc>
        <w:tc>
          <w:tcPr>
            <w:tcW w:w="1075" w:type="dxa"/>
            <w:vAlign w:val="bottom"/>
          </w:tcPr>
          <w:p w:rsidR="00000000" w:rsidRDefault="00000000">
            <w:pPr>
              <w:spacing w:before="30" w:after="40" w:line="220" w:lineRule="exact"/>
              <w:jc w:val="center"/>
              <w:rPr>
                <w:sz w:val="20"/>
                <w:lang w:val="en-GB"/>
              </w:rPr>
            </w:pPr>
            <w:r>
              <w:rPr>
                <w:sz w:val="20"/>
                <w:lang w:val="en-GB"/>
              </w:rPr>
              <w:t>17</w:t>
            </w:r>
          </w:p>
        </w:tc>
        <w:tc>
          <w:tcPr>
            <w:tcW w:w="1075" w:type="dxa"/>
            <w:vAlign w:val="bottom"/>
          </w:tcPr>
          <w:p w:rsidR="00000000" w:rsidRDefault="00000000">
            <w:pPr>
              <w:spacing w:before="30" w:after="40" w:line="220" w:lineRule="exact"/>
              <w:jc w:val="center"/>
              <w:rPr>
                <w:sz w:val="20"/>
                <w:lang w:val="en-GB"/>
              </w:rPr>
            </w:pPr>
            <w:r>
              <w:rPr>
                <w:sz w:val="20"/>
                <w:lang w:val="en-GB"/>
              </w:rPr>
              <w:t>19</w:t>
            </w:r>
          </w:p>
        </w:tc>
        <w:tc>
          <w:tcPr>
            <w:tcW w:w="1315" w:type="dxa"/>
            <w:vAlign w:val="bottom"/>
          </w:tcPr>
          <w:p w:rsidR="00000000" w:rsidRDefault="00000000">
            <w:pPr>
              <w:spacing w:before="30" w:after="40" w:line="220" w:lineRule="exact"/>
              <w:jc w:val="center"/>
              <w:rPr>
                <w:sz w:val="20"/>
                <w:lang w:val="en-GB"/>
              </w:rPr>
            </w:pPr>
            <w:r>
              <w:rPr>
                <w:sz w:val="20"/>
                <w:lang w:val="en-GB"/>
              </w:rPr>
              <w:t>40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Руководители комитетов по водоснабжению</w:t>
            </w:r>
          </w:p>
        </w:tc>
        <w:tc>
          <w:tcPr>
            <w:tcW w:w="1075" w:type="dxa"/>
            <w:vAlign w:val="bottom"/>
          </w:tcPr>
          <w:p w:rsidR="00000000" w:rsidRDefault="00000000">
            <w:pPr>
              <w:spacing w:before="30" w:after="40" w:line="220" w:lineRule="exact"/>
              <w:jc w:val="center"/>
              <w:rPr>
                <w:sz w:val="20"/>
              </w:rPr>
            </w:pPr>
            <w:r>
              <w:rPr>
                <w:sz w:val="20"/>
              </w:rPr>
              <w:t>9</w:t>
            </w:r>
          </w:p>
        </w:tc>
        <w:tc>
          <w:tcPr>
            <w:tcW w:w="1075" w:type="dxa"/>
            <w:vAlign w:val="bottom"/>
          </w:tcPr>
          <w:p w:rsidR="00000000" w:rsidRDefault="00000000">
            <w:pPr>
              <w:spacing w:before="30" w:after="40" w:line="220" w:lineRule="exact"/>
              <w:jc w:val="center"/>
              <w:rPr>
                <w:sz w:val="20"/>
                <w:lang w:val="en-GB"/>
              </w:rPr>
            </w:pPr>
            <w:r>
              <w:rPr>
                <w:sz w:val="20"/>
                <w:lang w:val="en-GB"/>
              </w:rPr>
              <w:t>11</w:t>
            </w:r>
          </w:p>
        </w:tc>
        <w:tc>
          <w:tcPr>
            <w:tcW w:w="1315" w:type="dxa"/>
            <w:vAlign w:val="bottom"/>
          </w:tcPr>
          <w:p w:rsidR="00000000" w:rsidRDefault="00000000">
            <w:pPr>
              <w:spacing w:before="30" w:after="40" w:line="220" w:lineRule="exact"/>
              <w:jc w:val="center"/>
              <w:rPr>
                <w:sz w:val="20"/>
                <w:lang w:val="en-GB"/>
              </w:rPr>
            </w:pPr>
            <w:r>
              <w:rPr>
                <w:sz w:val="20"/>
                <w:lang w:val="en-GB"/>
              </w:rPr>
              <w:t>30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Государственный совет, Аудиторский суд Нидерландов</w:t>
            </w:r>
          </w:p>
        </w:tc>
        <w:tc>
          <w:tcPr>
            <w:tcW w:w="1075" w:type="dxa"/>
            <w:vAlign w:val="bottom"/>
          </w:tcPr>
          <w:p w:rsidR="00000000" w:rsidRDefault="00000000">
            <w:pPr>
              <w:spacing w:before="30" w:after="40" w:line="220" w:lineRule="exact"/>
              <w:jc w:val="center"/>
              <w:rPr>
                <w:sz w:val="20"/>
              </w:rPr>
            </w:pPr>
            <w:r>
              <w:rPr>
                <w:sz w:val="20"/>
              </w:rPr>
              <w:t>16–22</w:t>
            </w:r>
          </w:p>
        </w:tc>
        <w:tc>
          <w:tcPr>
            <w:tcW w:w="1075" w:type="dxa"/>
            <w:vAlign w:val="bottom"/>
          </w:tcPr>
          <w:p w:rsidR="00000000" w:rsidRDefault="00000000">
            <w:pPr>
              <w:spacing w:before="30" w:after="40" w:line="220" w:lineRule="exact"/>
              <w:jc w:val="center"/>
              <w:rPr>
                <w:sz w:val="20"/>
                <w:lang w:val="en-GB"/>
              </w:rPr>
            </w:pPr>
            <w:r>
              <w:rPr>
                <w:sz w:val="20"/>
                <w:lang w:val="en-GB"/>
              </w:rPr>
              <w:t>20</w:t>
            </w:r>
            <w:r>
              <w:rPr>
                <w:sz w:val="20"/>
              </w:rPr>
              <w:t>–</w:t>
            </w:r>
            <w:r>
              <w:rPr>
                <w:sz w:val="20"/>
                <w:lang w:val="en-GB"/>
              </w:rPr>
              <w:t>25</w:t>
            </w:r>
          </w:p>
        </w:tc>
        <w:tc>
          <w:tcPr>
            <w:tcW w:w="1315" w:type="dxa"/>
            <w:vAlign w:val="bottom"/>
          </w:tcPr>
          <w:p w:rsidR="00000000" w:rsidRDefault="00000000">
            <w:pPr>
              <w:spacing w:before="30" w:after="40" w:line="220" w:lineRule="exact"/>
              <w:jc w:val="center"/>
              <w:rPr>
                <w:sz w:val="20"/>
                <w:lang w:val="en-GB"/>
              </w:rPr>
            </w:pPr>
            <w:r>
              <w:rPr>
                <w:sz w:val="20"/>
                <w:lang w:val="en-GB"/>
              </w:rPr>
              <w:t>40</w:t>
            </w:r>
            <w:r>
              <w:rPr>
                <w:sz w:val="20"/>
              </w:rPr>
              <w:t>–</w:t>
            </w:r>
            <w:r>
              <w:rPr>
                <w:sz w:val="20"/>
                <w:lang w:val="en-GB"/>
              </w:rPr>
              <w:t>45</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rPr>
                <w:sz w:val="20"/>
              </w:rPr>
            </w:pPr>
            <w:r>
              <w:rPr>
                <w:sz w:val="20"/>
              </w:rPr>
              <w:t>Внешние консультативные органы, судебные органы</w:t>
            </w:r>
          </w:p>
        </w:tc>
        <w:tc>
          <w:tcPr>
            <w:tcW w:w="1075" w:type="dxa"/>
            <w:vAlign w:val="bottom"/>
          </w:tcPr>
          <w:p w:rsidR="00000000" w:rsidRDefault="00000000">
            <w:pPr>
              <w:spacing w:before="30" w:after="40" w:line="220" w:lineRule="exact"/>
              <w:jc w:val="center"/>
              <w:rPr>
                <w:sz w:val="20"/>
              </w:rPr>
            </w:pPr>
            <w:r>
              <w:rPr>
                <w:sz w:val="20"/>
              </w:rPr>
              <w:t>38</w:t>
            </w:r>
          </w:p>
        </w:tc>
        <w:tc>
          <w:tcPr>
            <w:tcW w:w="1075" w:type="dxa"/>
            <w:vAlign w:val="bottom"/>
          </w:tcPr>
          <w:p w:rsidR="00000000" w:rsidRDefault="00000000">
            <w:pPr>
              <w:spacing w:before="30" w:after="40" w:line="220" w:lineRule="exact"/>
              <w:jc w:val="center"/>
              <w:rPr>
                <w:sz w:val="20"/>
                <w:lang w:val="en-GB"/>
              </w:rPr>
            </w:pPr>
            <w:r>
              <w:rPr>
                <w:sz w:val="20"/>
                <w:lang w:val="en-GB"/>
              </w:rPr>
              <w:t>41</w:t>
            </w:r>
          </w:p>
        </w:tc>
        <w:tc>
          <w:tcPr>
            <w:tcW w:w="1315" w:type="dxa"/>
            <w:vAlign w:val="bottom"/>
          </w:tcPr>
          <w:p w:rsidR="00000000" w:rsidRDefault="00000000">
            <w:pPr>
              <w:spacing w:before="30" w:after="40" w:line="220" w:lineRule="exact"/>
              <w:jc w:val="center"/>
              <w:rPr>
                <w:sz w:val="20"/>
                <w:lang w:val="en-GB"/>
              </w:rPr>
            </w:pPr>
            <w:r>
              <w:rPr>
                <w:sz w:val="20"/>
                <w:lang w:val="en-GB"/>
              </w:rPr>
              <w:t>50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jc w:val="left"/>
              <w:rPr>
                <w:sz w:val="20"/>
              </w:rPr>
            </w:pPr>
            <w:r>
              <w:rPr>
                <w:sz w:val="20"/>
              </w:rPr>
              <w:t>Руководящие должности в полиции</w:t>
            </w:r>
            <w:r>
              <w:rPr>
                <w:sz w:val="20"/>
                <w:lang w:val="ru-RU"/>
              </w:rPr>
              <w:t>,</w:t>
            </w:r>
            <w:r>
              <w:rPr>
                <w:sz w:val="20"/>
              </w:rPr>
              <w:t xml:space="preserve"> </w:t>
            </w:r>
            <w:r>
              <w:rPr>
                <w:sz w:val="20"/>
                <w:lang w:val="ru-RU"/>
              </w:rPr>
              <w:t>м</w:t>
            </w:r>
            <w:r>
              <w:rPr>
                <w:sz w:val="20"/>
              </w:rPr>
              <w:t>еждународных комиссиях, автономных административных органах</w:t>
            </w:r>
          </w:p>
        </w:tc>
        <w:tc>
          <w:tcPr>
            <w:tcW w:w="1075" w:type="dxa"/>
            <w:vAlign w:val="bottom"/>
          </w:tcPr>
          <w:p w:rsidR="00000000" w:rsidRDefault="00000000">
            <w:pPr>
              <w:spacing w:before="30" w:after="40" w:line="220" w:lineRule="exact"/>
              <w:jc w:val="center"/>
              <w:rPr>
                <w:sz w:val="20"/>
              </w:rPr>
            </w:pPr>
            <w:r>
              <w:rPr>
                <w:sz w:val="20"/>
              </w:rPr>
              <w:t>4–10</w:t>
            </w:r>
          </w:p>
        </w:tc>
        <w:tc>
          <w:tcPr>
            <w:tcW w:w="1075" w:type="dxa"/>
            <w:vAlign w:val="bottom"/>
          </w:tcPr>
          <w:p w:rsidR="00000000" w:rsidRDefault="00000000">
            <w:pPr>
              <w:spacing w:before="30" w:after="40" w:line="220" w:lineRule="exact"/>
              <w:jc w:val="center"/>
              <w:rPr>
                <w:sz w:val="20"/>
                <w:lang w:val="en-GB"/>
              </w:rPr>
            </w:pPr>
            <w:r>
              <w:rPr>
                <w:sz w:val="20"/>
                <w:lang w:val="en-GB"/>
              </w:rPr>
              <w:t>6</w:t>
            </w:r>
            <w:r>
              <w:rPr>
                <w:sz w:val="20"/>
              </w:rPr>
              <w:t>–</w:t>
            </w:r>
            <w:r>
              <w:rPr>
                <w:sz w:val="20"/>
                <w:lang w:val="en-GB"/>
              </w:rPr>
              <w:t>10</w:t>
            </w:r>
          </w:p>
        </w:tc>
        <w:tc>
          <w:tcPr>
            <w:tcW w:w="1315" w:type="dxa"/>
            <w:vAlign w:val="bottom"/>
          </w:tcPr>
          <w:p w:rsidR="00000000" w:rsidRDefault="00000000">
            <w:pPr>
              <w:spacing w:before="30" w:after="40" w:line="220" w:lineRule="exact"/>
              <w:jc w:val="center"/>
              <w:rPr>
                <w:sz w:val="20"/>
                <w:lang w:val="en-GB"/>
              </w:rPr>
            </w:pPr>
            <w:r>
              <w:rPr>
                <w:sz w:val="20"/>
                <w:lang w:val="en-GB"/>
              </w:rPr>
              <w:t>20</w:t>
            </w:r>
            <w:r>
              <w:rPr>
                <w:sz w:val="20"/>
              </w:rPr>
              <w:t>–</w:t>
            </w:r>
            <w:r>
              <w:rPr>
                <w:sz w:val="20"/>
                <w:lang w:val="en-GB"/>
              </w:rPr>
              <w:t>30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jc w:val="left"/>
              <w:rPr>
                <w:sz w:val="20"/>
              </w:rPr>
            </w:pPr>
            <w:r>
              <w:rPr>
                <w:sz w:val="20"/>
              </w:rPr>
              <w:t>Старшие гражданские служащие (начиная с 15-го разряда)</w:t>
            </w:r>
          </w:p>
        </w:tc>
        <w:tc>
          <w:tcPr>
            <w:tcW w:w="1075" w:type="dxa"/>
            <w:vAlign w:val="bottom"/>
          </w:tcPr>
          <w:p w:rsidR="00000000" w:rsidRDefault="00000000">
            <w:pPr>
              <w:spacing w:before="30" w:after="40" w:line="220" w:lineRule="exact"/>
              <w:jc w:val="center"/>
              <w:rPr>
                <w:sz w:val="20"/>
              </w:rPr>
            </w:pPr>
            <w:r>
              <w:rPr>
                <w:sz w:val="20"/>
              </w:rPr>
              <w:t>9</w:t>
            </w:r>
          </w:p>
        </w:tc>
        <w:tc>
          <w:tcPr>
            <w:tcW w:w="1075" w:type="dxa"/>
            <w:vAlign w:val="bottom"/>
          </w:tcPr>
          <w:p w:rsidR="00000000" w:rsidRDefault="00000000">
            <w:pPr>
              <w:spacing w:before="30" w:after="40" w:line="220" w:lineRule="exact"/>
              <w:jc w:val="center"/>
              <w:rPr>
                <w:sz w:val="20"/>
                <w:lang w:val="en-GB"/>
              </w:rPr>
            </w:pPr>
            <w:r>
              <w:rPr>
                <w:sz w:val="20"/>
                <w:lang w:val="en-GB"/>
              </w:rPr>
              <w:t>11</w:t>
            </w:r>
          </w:p>
        </w:tc>
        <w:tc>
          <w:tcPr>
            <w:tcW w:w="1315" w:type="dxa"/>
            <w:vAlign w:val="bottom"/>
          </w:tcPr>
          <w:p w:rsidR="00000000" w:rsidRDefault="00000000">
            <w:pPr>
              <w:spacing w:before="30" w:after="40" w:line="220" w:lineRule="exact"/>
              <w:jc w:val="center"/>
              <w:rPr>
                <w:sz w:val="20"/>
                <w:lang w:val="en-GB"/>
              </w:rPr>
            </w:pPr>
            <w:r>
              <w:rPr>
                <w:sz w:val="20"/>
                <w:lang w:val="en-GB"/>
              </w:rPr>
              <w:t>30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jc w:val="left"/>
              <w:rPr>
                <w:sz w:val="20"/>
              </w:rPr>
            </w:pPr>
            <w:r>
              <w:rPr>
                <w:sz w:val="20"/>
              </w:rPr>
              <w:t>Высшие должности в частном секторе (в руководящих и наблюдательных советах 100 ведущих компаний)</w:t>
            </w:r>
          </w:p>
        </w:tc>
        <w:tc>
          <w:tcPr>
            <w:tcW w:w="1075" w:type="dxa"/>
            <w:vAlign w:val="bottom"/>
          </w:tcPr>
          <w:p w:rsidR="00000000" w:rsidRDefault="00000000">
            <w:pPr>
              <w:spacing w:before="30" w:after="40" w:line="220" w:lineRule="exact"/>
              <w:jc w:val="center"/>
              <w:rPr>
                <w:sz w:val="20"/>
              </w:rPr>
            </w:pPr>
            <w:r>
              <w:rPr>
                <w:sz w:val="20"/>
              </w:rPr>
              <w:t>4</w:t>
            </w:r>
          </w:p>
        </w:tc>
        <w:tc>
          <w:tcPr>
            <w:tcW w:w="1075" w:type="dxa"/>
            <w:vAlign w:val="bottom"/>
          </w:tcPr>
          <w:p w:rsidR="00000000" w:rsidRDefault="00000000">
            <w:pPr>
              <w:spacing w:before="30" w:after="40" w:line="220" w:lineRule="exact"/>
              <w:jc w:val="center"/>
              <w:rPr>
                <w:sz w:val="20"/>
              </w:rPr>
            </w:pPr>
            <w:r>
              <w:rPr>
                <w:sz w:val="20"/>
              </w:rPr>
              <w:t>5</w:t>
            </w:r>
          </w:p>
        </w:tc>
        <w:tc>
          <w:tcPr>
            <w:tcW w:w="1315" w:type="dxa"/>
            <w:vAlign w:val="bottom"/>
          </w:tcPr>
          <w:p w:rsidR="00000000" w:rsidRDefault="00000000">
            <w:pPr>
              <w:spacing w:before="30" w:after="40" w:line="220" w:lineRule="exact"/>
              <w:jc w:val="center"/>
              <w:rPr>
                <w:sz w:val="20"/>
              </w:rPr>
            </w:pPr>
            <w:r>
              <w:rPr>
                <w:sz w:val="20"/>
              </w:rPr>
              <w:t>20</w:t>
            </w:r>
          </w:p>
        </w:tc>
      </w:tr>
      <w:tr w:rsidR="00000000">
        <w:tblPrEx>
          <w:tblCellMar>
            <w:top w:w="0" w:type="dxa"/>
            <w:bottom w:w="0" w:type="dxa"/>
          </w:tblCellMar>
        </w:tblPrEx>
        <w:trPr>
          <w:jc w:val="center"/>
        </w:trPr>
        <w:tc>
          <w:tcPr>
            <w:tcW w:w="5891" w:type="dxa"/>
            <w:vAlign w:val="bottom"/>
          </w:tcPr>
          <w:p w:rsidR="00000000" w:rsidRDefault="00000000">
            <w:pPr>
              <w:spacing w:before="30" w:after="40" w:line="220" w:lineRule="exact"/>
              <w:jc w:val="left"/>
              <w:rPr>
                <w:sz w:val="20"/>
              </w:rPr>
            </w:pPr>
            <w:r>
              <w:rPr>
                <w:sz w:val="20"/>
              </w:rPr>
              <w:t>Старшие должности в некоммерческом секторе: уход и социальное обеспечение (руководящие и наблюдательные советы)</w:t>
            </w:r>
          </w:p>
        </w:tc>
        <w:tc>
          <w:tcPr>
            <w:tcW w:w="1075" w:type="dxa"/>
            <w:vAlign w:val="bottom"/>
          </w:tcPr>
          <w:p w:rsidR="00000000" w:rsidRDefault="00000000">
            <w:pPr>
              <w:spacing w:before="30" w:after="40" w:line="220" w:lineRule="exact"/>
              <w:jc w:val="center"/>
              <w:rPr>
                <w:sz w:val="20"/>
              </w:rPr>
            </w:pPr>
            <w:r>
              <w:rPr>
                <w:sz w:val="20"/>
              </w:rPr>
              <w:t>25</w:t>
            </w:r>
          </w:p>
        </w:tc>
        <w:tc>
          <w:tcPr>
            <w:tcW w:w="1075" w:type="dxa"/>
            <w:vAlign w:val="bottom"/>
          </w:tcPr>
          <w:p w:rsidR="00000000" w:rsidRDefault="00000000">
            <w:pPr>
              <w:spacing w:before="30" w:after="40" w:line="220" w:lineRule="exact"/>
              <w:jc w:val="center"/>
              <w:rPr>
                <w:sz w:val="20"/>
                <w:lang w:val="en-GB"/>
              </w:rPr>
            </w:pPr>
            <w:r>
              <w:rPr>
                <w:sz w:val="20"/>
                <w:lang w:val="en-GB"/>
              </w:rPr>
              <w:t>31</w:t>
            </w:r>
          </w:p>
        </w:tc>
        <w:tc>
          <w:tcPr>
            <w:tcW w:w="1315" w:type="dxa"/>
            <w:vAlign w:val="bottom"/>
          </w:tcPr>
          <w:p w:rsidR="00000000" w:rsidRDefault="00000000">
            <w:pPr>
              <w:spacing w:before="30" w:after="40" w:line="220" w:lineRule="exact"/>
              <w:jc w:val="center"/>
              <w:rPr>
                <w:sz w:val="20"/>
                <w:lang w:val="en-GB"/>
              </w:rPr>
            </w:pPr>
            <w:r>
              <w:rPr>
                <w:sz w:val="20"/>
                <w:lang w:val="en-GB"/>
              </w:rPr>
              <w:t>45</w:t>
            </w:r>
          </w:p>
        </w:tc>
      </w:tr>
      <w:tr w:rsidR="00000000">
        <w:tblPrEx>
          <w:tblCellMar>
            <w:top w:w="0" w:type="dxa"/>
            <w:bottom w:w="0" w:type="dxa"/>
          </w:tblCellMar>
        </w:tblPrEx>
        <w:trPr>
          <w:jc w:val="center"/>
        </w:trPr>
        <w:tc>
          <w:tcPr>
            <w:tcW w:w="5891" w:type="dxa"/>
            <w:vAlign w:val="bottom"/>
          </w:tcPr>
          <w:p w:rsidR="00000000" w:rsidRDefault="00000000">
            <w:pPr>
              <w:spacing w:before="30" w:after="40" w:line="240" w:lineRule="auto"/>
              <w:jc w:val="left"/>
              <w:rPr>
                <w:sz w:val="20"/>
              </w:rPr>
            </w:pPr>
            <w:r>
              <w:rPr>
                <w:sz w:val="20"/>
              </w:rPr>
              <w:t>Старшие должности в некоммерческом секторе: прочие (руководящие и наблюдательные советы)</w:t>
            </w:r>
          </w:p>
        </w:tc>
        <w:tc>
          <w:tcPr>
            <w:tcW w:w="1075" w:type="dxa"/>
            <w:vAlign w:val="bottom"/>
          </w:tcPr>
          <w:p w:rsidR="00000000" w:rsidRDefault="00000000">
            <w:pPr>
              <w:spacing w:before="30" w:after="40" w:line="240" w:lineRule="auto"/>
              <w:jc w:val="center"/>
              <w:rPr>
                <w:sz w:val="20"/>
              </w:rPr>
            </w:pPr>
            <w:r>
              <w:rPr>
                <w:sz w:val="20"/>
              </w:rPr>
              <w:t>13</w:t>
            </w:r>
          </w:p>
        </w:tc>
        <w:tc>
          <w:tcPr>
            <w:tcW w:w="1075" w:type="dxa"/>
            <w:vAlign w:val="bottom"/>
          </w:tcPr>
          <w:p w:rsidR="00000000" w:rsidRDefault="00000000">
            <w:pPr>
              <w:spacing w:before="30" w:after="40" w:line="240" w:lineRule="auto"/>
              <w:jc w:val="center"/>
              <w:rPr>
                <w:sz w:val="20"/>
                <w:lang w:val="en-GB"/>
              </w:rPr>
            </w:pPr>
            <w:r>
              <w:rPr>
                <w:sz w:val="20"/>
                <w:lang w:val="en-GB"/>
              </w:rPr>
              <w:t>16</w:t>
            </w:r>
          </w:p>
        </w:tc>
        <w:tc>
          <w:tcPr>
            <w:tcW w:w="1315" w:type="dxa"/>
            <w:vAlign w:val="bottom"/>
          </w:tcPr>
          <w:p w:rsidR="00000000" w:rsidRDefault="00000000">
            <w:pPr>
              <w:spacing w:before="30" w:after="40" w:line="240" w:lineRule="auto"/>
              <w:jc w:val="center"/>
              <w:rPr>
                <w:sz w:val="20"/>
                <w:lang w:val="en-GB"/>
              </w:rPr>
            </w:pPr>
            <w:r>
              <w:rPr>
                <w:sz w:val="20"/>
                <w:lang w:val="en-GB"/>
              </w:rPr>
              <w:t>35</w:t>
            </w:r>
          </w:p>
        </w:tc>
      </w:tr>
    </w:tbl>
    <w:p w:rsidR="00000000" w:rsidRDefault="00000000">
      <w:pPr>
        <w:spacing w:before="120" w:line="240" w:lineRule="auto"/>
        <w:rPr>
          <w:sz w:val="20"/>
        </w:rPr>
      </w:pPr>
      <w:r>
        <w:rPr>
          <w:sz w:val="20"/>
        </w:rPr>
        <w:t>Источник: "</w:t>
      </w:r>
      <w:r>
        <w:rPr>
          <w:sz w:val="20"/>
          <w:lang w:val="en-US"/>
        </w:rPr>
        <w:t>Emancipatiemonitor</w:t>
      </w:r>
      <w:r>
        <w:rPr>
          <w:sz w:val="20"/>
        </w:rPr>
        <w:t>, 2000". Ассоциация по проблемам женщин (</w:t>
      </w:r>
      <w:r>
        <w:rPr>
          <w:i/>
          <w:sz w:val="20"/>
          <w:lang w:val="en-US"/>
        </w:rPr>
        <w:t>Vereniging</w:t>
      </w:r>
      <w:r>
        <w:rPr>
          <w:i/>
          <w:sz w:val="20"/>
        </w:rPr>
        <w:t xml:space="preserve"> </w:t>
      </w:r>
      <w:r>
        <w:rPr>
          <w:i/>
          <w:sz w:val="20"/>
          <w:lang w:val="en-US"/>
        </w:rPr>
        <w:t>Vrouwenbelangen</w:t>
      </w:r>
      <w:r>
        <w:rPr>
          <w:sz w:val="20"/>
        </w:rPr>
        <w:t>), Министерство внутренних дел и по делам королевства, 2001 год.</w:t>
      </w:r>
    </w:p>
    <w:p w:rsidR="00000000" w:rsidRDefault="00000000">
      <w:pPr>
        <w:ind w:left="680" w:hanging="680"/>
      </w:pPr>
      <w:r>
        <w:sym w:font="Symbol" w:char="F0B7"/>
      </w:r>
      <w:r>
        <w:tab/>
        <w:t>В состав первого правительства Балькененде (2002 год) входили одна женщина-министр и четыре женщины – государственны</w:t>
      </w:r>
      <w:r>
        <w:rPr>
          <w:lang w:val="ru-RU"/>
        </w:rPr>
        <w:t>е</w:t>
      </w:r>
      <w:r>
        <w:t xml:space="preserve"> секретар</w:t>
      </w:r>
      <w:r>
        <w:rPr>
          <w:lang w:val="ru-RU"/>
        </w:rPr>
        <w:t>и</w:t>
      </w:r>
      <w:r>
        <w:t xml:space="preserve"> (соответственно</w:t>
      </w:r>
      <w:r>
        <w:rPr>
          <w:lang w:val="ru-RU"/>
        </w:rPr>
        <w:t>,</w:t>
      </w:r>
      <w:r>
        <w:t xml:space="preserve"> 7,1 и 28,6 процента). Нынешнее правительство (Балькененде-</w:t>
      </w:r>
      <w:r>
        <w:rPr>
          <w:lang w:val="en-US"/>
        </w:rPr>
        <w:t>II</w:t>
      </w:r>
      <w:r>
        <w:t>) имеет иной состав, в котором доля женщин среди министров составляет 33 процента, а среди государственных секретарей – 50</w:t>
      </w:r>
      <w:r>
        <w:rPr>
          <w:lang w:val="ru-RU"/>
        </w:rPr>
        <w:t> </w:t>
      </w:r>
      <w:r>
        <w:t>процентов. Эти показатели являются наивысшими для любого когда-либо избиравшегося правительства.</w:t>
      </w:r>
    </w:p>
    <w:p w:rsidR="00000000" w:rsidRDefault="00000000">
      <w:pPr>
        <w:ind w:left="680" w:hanging="680"/>
      </w:pPr>
      <w:r>
        <w:sym w:font="Symbol" w:char="F0B7"/>
      </w:r>
      <w:r>
        <w:tab/>
        <w:t xml:space="preserve">После состоявшихся в июне 2004 года выборов в </w:t>
      </w:r>
      <w:r>
        <w:rPr>
          <w:i/>
        </w:rPr>
        <w:t>Европейский парламент</w:t>
      </w:r>
      <w:r>
        <w:t xml:space="preserve"> женщинами в настоящее время являются 12 из 24 членов Европейского парламента от Нидерландов (50 процентов).</w:t>
      </w:r>
    </w:p>
    <w:p w:rsidR="00000000" w:rsidRDefault="00000000">
      <w:pPr>
        <w:ind w:left="680" w:hanging="680"/>
      </w:pPr>
      <w:r>
        <w:sym w:font="Symbol" w:char="F0B7"/>
      </w:r>
      <w:r>
        <w:tab/>
        <w:t>Состав Сената Генеральных штатов по-прежнему сильно отличается от целевого показателя, предусматривающего 40-процентную представленность женщин. В конце 2002</w:t>
      </w:r>
      <w:r>
        <w:rPr>
          <w:lang w:val="ru-RU"/>
        </w:rPr>
        <w:t> </w:t>
      </w:r>
      <w:r>
        <w:t>года женщины составляли 30,7 процента от общего числа членов Сената. В результате выборов, состоявшихся в 2003 году, этот показатель вырос до 33,3 процента.</w:t>
      </w:r>
    </w:p>
    <w:p w:rsidR="00000000" w:rsidRDefault="00000000">
      <w:pPr>
        <w:ind w:left="680" w:hanging="680"/>
      </w:pPr>
      <w:r>
        <w:sym w:font="Symbol" w:char="F0B7"/>
      </w:r>
      <w:r>
        <w:tab/>
        <w:t>До конца 2002 года в Палате представителей Генеральных штатов численность депутатов-женщин была несколько ниже, чем в предыдущие годы (32 процента). В результате выборов 2003 года этот показатель увеличился до 38,5 процента, что намного ближе к целевому показателю 2004 года.</w:t>
      </w:r>
    </w:p>
    <w:p w:rsidR="00000000" w:rsidRDefault="00000000">
      <w:pPr>
        <w:ind w:left="680" w:hanging="680"/>
      </w:pPr>
      <w:r>
        <w:sym w:font="Symbol" w:char="F0B7"/>
      </w:r>
      <w:r>
        <w:tab/>
        <w:t>В конце 2002 года ни одна женщина в Нидерландах не занимала должность Королевского уполномоченного. С тех пор одна женщина была назначена на такую должность (8,33 процента), однако до целевого показателя в 25 процентов пока еще очень далеко.</w:t>
      </w:r>
    </w:p>
    <w:p w:rsidR="00000000" w:rsidRDefault="00000000">
      <w:pPr>
        <w:ind w:left="680" w:hanging="680"/>
      </w:pPr>
      <w:r>
        <w:sym w:font="Symbol" w:char="F0B7"/>
      </w:r>
      <w:r>
        <w:tab/>
        <w:t>В 2002 году доля женщин среди исполнительных руководителей провинциального уровня оставалась неизменной на уровне 21,3 процента. Доля женщин среди членов провинциальных советов даже несколько снизилась</w:t>
      </w:r>
      <w:r>
        <w:rPr>
          <w:lang w:val="ru-RU"/>
        </w:rPr>
        <w:t>,</w:t>
      </w:r>
      <w:r>
        <w:t xml:space="preserve"> до 29,4 процента</w:t>
      </w:r>
      <w:r>
        <w:rPr>
          <w:lang w:val="ru-RU"/>
        </w:rPr>
        <w:t>,</w:t>
      </w:r>
      <w:r>
        <w:t xml:space="preserve"> и является намного ниже целевого показателя в 40 процентов, планирова</w:t>
      </w:r>
      <w:r>
        <w:rPr>
          <w:lang w:val="ru-RU"/>
        </w:rPr>
        <w:t>вшегося</w:t>
      </w:r>
      <w:r>
        <w:t xml:space="preserve"> к 2004 году.</w:t>
      </w:r>
    </w:p>
    <w:p w:rsidR="00000000" w:rsidRDefault="00000000">
      <w:pPr>
        <w:ind w:left="680" w:hanging="680"/>
      </w:pPr>
      <w:r>
        <w:sym w:font="Symbol" w:char="F0B7"/>
      </w:r>
      <w:r>
        <w:tab/>
        <w:t xml:space="preserve">Количество комитетов по водоснабжению сократилось до 48. Это никоим образом не отразилось на числе председателей-женщин (2) и секретарей (2). Фактическое число женщин в составе исполнительных комитетов снизилось в результате сокращения общего количества таких органов, однако в процентном отношении их доля несколько выросла </w:t>
      </w:r>
      <w:r>
        <w:rPr>
          <w:lang w:val="ru-RU"/>
        </w:rPr>
        <w:t xml:space="preserve">– </w:t>
      </w:r>
      <w:r>
        <w:t>с</w:t>
      </w:r>
      <w:r>
        <w:rPr>
          <w:lang w:val="ru-RU"/>
        </w:rPr>
        <w:t> </w:t>
      </w:r>
      <w:r>
        <w:t>11,9 процента в 2001 году до 12,7 процента в 2002 году.</w:t>
      </w:r>
    </w:p>
    <w:p w:rsidR="00000000" w:rsidRDefault="00000000">
      <w:pPr>
        <w:ind w:left="680" w:hanging="680"/>
      </w:pPr>
      <w:r>
        <w:sym w:font="Symbol" w:char="F0B7"/>
      </w:r>
      <w:r>
        <w:tab/>
        <w:t>В конце 2003 года в стране насчитывалось 85 женщин</w:t>
      </w:r>
      <w:r>
        <w:rPr>
          <w:lang w:val="ru-RU"/>
        </w:rPr>
        <w:t>-</w:t>
      </w:r>
      <w:r>
        <w:t>мэров из общего числа 435 мэров (19,5 процента), что на 5,5 процента меньше ориентировочного задания, запланированного на 2004 год.</w:t>
      </w:r>
    </w:p>
    <w:p w:rsidR="00000000" w:rsidRDefault="00000000">
      <w:pPr>
        <w:ind w:left="680" w:hanging="680"/>
      </w:pPr>
      <w:r>
        <w:sym w:font="Symbol" w:char="F0B7"/>
      </w:r>
      <w:r>
        <w:tab/>
        <w:t>В апреле 2004 года доля женщин среди исполнительных руководителей муниципальных советов составляла 16,2 процента. Доля женщин в муниципальных советах по-прежнему колеблется на уровне 22 процентов. В апреле 2004 года их доля составляла 23,5 процента.</w:t>
      </w:r>
    </w:p>
    <w:p w:rsidR="00000000" w:rsidRDefault="00000000">
      <w:pPr>
        <w:pStyle w:val="Subtitle"/>
        <w:rPr>
          <w:sz w:val="23"/>
          <w:lang w:val="ru-RU"/>
        </w:rPr>
      </w:pPr>
      <w:r>
        <w:rPr>
          <w:sz w:val="23"/>
          <w:lang w:val="ru-RU"/>
        </w:rPr>
        <w:t xml:space="preserve">3. </w:t>
      </w:r>
      <w:r>
        <w:rPr>
          <w:sz w:val="23"/>
          <w:lang w:val="ru-RU"/>
        </w:rPr>
        <w:tab/>
        <w:t>Государственная реформатская партия (ГРП)</w:t>
      </w:r>
    </w:p>
    <w:p w:rsidR="00000000" w:rsidRDefault="00000000">
      <w:r>
        <w:t>В процессе обсуждения второго и третьего докладов Нидерландов об осуществлении Конвенции Организации Объединенных Наций о ликвидации всех форм дискриминации в отношении женщин Комитет КЛДЖ обратил особое внимание на позицию Государственной реформатской партии (ГРП) с учетом отказа этой партии допускать женщин в свой состав в качестве обычных членов и существующего в ней мнения, что женщины не способны осуществлять руководящую роль в политической и общественной областях жизни как в составе партии, так и вне ее.</w:t>
      </w:r>
    </w:p>
    <w:p w:rsidR="00000000" w:rsidRDefault="00000000">
      <w:r>
        <w:t xml:space="preserve">В своем докладе о выполнении Конвенции государствами-участниками Комитет КЛДЖ пришел к выводу о том, что присутствие ГРП в политической системе Нидерландов, в частности в </w:t>
      </w:r>
      <w:r>
        <w:rPr>
          <w:lang w:val="ru-RU"/>
        </w:rPr>
        <w:t>п</w:t>
      </w:r>
      <w:r>
        <w:t>арламенте, противоречит Конвенции</w:t>
      </w:r>
      <w:r>
        <w:rPr>
          <w:rStyle w:val="FootnoteReference"/>
          <w:sz w:val="22"/>
        </w:rPr>
        <w:footnoteReference w:customMarkFollows="1" w:id="49"/>
        <w:t>48</w:t>
      </w:r>
      <w:r>
        <w:t>. Комитет подчеркнул необходимость принятия законодательства, которое привело бы членство в политических партиях в соответствие со статьей 7 Конвенции.</w:t>
      </w:r>
    </w:p>
    <w:p w:rsidR="00000000" w:rsidRDefault="00000000">
      <w:r>
        <w:t xml:space="preserve">Правительство крайне разочаровано тем, что ГРП предоставляет женщинам лишь право исключительного членства. Оно придерживается того мнения, что в соответствии со статьей 7 Конвенции правительство обязано обеспечивать доступ женщин к политическим партиям по их выбору, а законодатели Нидерландов вправе принимать решения в отношении политики, обеспечивающей выполнение данного обязательства, предусмотренного в Конвенции. Нынешнее законодательство отвечает требованиям статьи 7 Конвенции Организации Объединенных Наций о ликвидации всех форм дискриминации в отношении женщин. Как видно из дискуссий, ведущихся в обеих палатах парламента в отношении закона об утверждении Конвенции, этот постулат также отражает точку зрения нидерландских законодателей. Правительство может привести целый ряд причин того, почему ему следует проявлять осторожность при принятии новых законодательных положений. Во-первых, речь идет о целом ряде конституционных прав и основных свобод, которые в силу своего взаимосвязанного характера требуют самого тщательного рассмотрения. Во-вторых, необходимо учитывать политику в отношении статьи 20 части 2 Гражданского кодекса. В соответствии с указанной статьей юридическое лицо, действия или задачи которого противоречат государственной политике, может быть объявлено противозаконным и быть распущено на основании постановления Государственной прокуратуры. Применительно к политическим партиям данный способ борьбы с дискриминацией используется только в том случае, если дискриминация или подстрекательство к дискриминации приобретает такие формы, которые ведут к систематическому и серьезному нарушению демократического процесса. В-третьих, вопрос о соблюдении существующих антидискриминационных положений и без того привлекает к себе самое пристальное внимание. Например, в разделе 16 Закона о (финансировании) политических партий предусматривается порядок, в соответствии с которым политические партии, которым было предписано уплатить штраф за нарушение антидискриминационных положений Уголовного кодекса (пункты с, </w:t>
      </w:r>
      <w:r>
        <w:rPr>
          <w:lang w:val="en-US"/>
        </w:rPr>
        <w:t>d</w:t>
      </w:r>
      <w:r>
        <w:t xml:space="preserve">, </w:t>
      </w:r>
      <w:r>
        <w:rPr>
          <w:lang w:val="en-US"/>
        </w:rPr>
        <w:t>e</w:t>
      </w:r>
      <w:r>
        <w:t xml:space="preserve">, </w:t>
      </w:r>
      <w:r>
        <w:rPr>
          <w:lang w:val="en-US"/>
        </w:rPr>
        <w:t>f</w:t>
      </w:r>
      <w:r>
        <w:t xml:space="preserve"> или </w:t>
      </w:r>
      <w:r>
        <w:rPr>
          <w:lang w:val="en-US"/>
        </w:rPr>
        <w:t>g</w:t>
      </w:r>
      <w:r>
        <w:t xml:space="preserve"> статьи 137 и статья 429 </w:t>
      </w:r>
      <w:r>
        <w:rPr>
          <w:lang w:val="en-US"/>
        </w:rPr>
        <w:t>quarter</w:t>
      </w:r>
      <w:r>
        <w:t>), могут утратить право на получение финансирования на срок, который будет определен дополнительно.</w:t>
      </w:r>
    </w:p>
    <w:p w:rsidR="00000000" w:rsidRDefault="00000000">
      <w:r>
        <w:t>Правительство отмечает, что в настоящее время ГРП пересматривает свою позицию по данному вопросу. Тем временем против государства в лице ГРП были приняты к исполнению гражданские и административные иски. Первое из таких разбирательств было связано с возбуждением гражданского иска против государства, разрешившего функционирование ГРП. Второе разбирательство было возбуждено в отношении государства на том основании, что оно приняло решение не прекращать финансирование ГРП.</w:t>
      </w:r>
    </w:p>
    <w:p w:rsidR="00000000" w:rsidRDefault="00000000">
      <w:pPr>
        <w:pStyle w:val="Subtitle"/>
        <w:rPr>
          <w:sz w:val="23"/>
          <w:lang w:val="ru-RU"/>
        </w:rPr>
      </w:pPr>
      <w:r>
        <w:rPr>
          <w:sz w:val="23"/>
          <w:lang w:val="ru-RU"/>
        </w:rPr>
        <w:t xml:space="preserve">4. </w:t>
      </w:r>
      <w:r>
        <w:rPr>
          <w:sz w:val="23"/>
          <w:lang w:val="ru-RU"/>
        </w:rPr>
        <w:tab/>
        <w:t>Разделение полномочий и обеспечение демократии на местном уровне</w:t>
      </w:r>
    </w:p>
    <w:p w:rsidR="00000000" w:rsidRDefault="00000000">
      <w:r>
        <w:t xml:space="preserve">В целях выполнения рекомендаций, представленных государственным комитетом Эльзинга, в сотрудничестве </w:t>
      </w:r>
      <w:r>
        <w:rPr>
          <w:lang w:val="ru-RU"/>
        </w:rPr>
        <w:t>с</w:t>
      </w:r>
      <w:r>
        <w:t xml:space="preserve"> Ассоциацией муниципалитетов Нидерландов была открыта электронная страница в интернете, посвященная вопросам разделения полномочий и обеспечения демократии на местном уровне. Цель состоит в том, чтобы развивать политическую культуру в муниципалитетах, предоставив членам муниципальных советов возможность более эффективно позиционировать себя в качестве избранных народных представителей. Этот шаг должен способствовать более привлекательному образу местных властей для граждан. На электронной странице содержатся первоначально использовавшиеся в ходе проведения выборов в муниципальные советы в 2002 году руководящие принципы набора и отбора женщин и представителей этнических меньшинств в качестве кандидатов.</w:t>
      </w:r>
    </w:p>
    <w:p w:rsidR="00000000" w:rsidRDefault="00000000">
      <w:pPr>
        <w:rPr>
          <w:i/>
        </w:rPr>
      </w:pPr>
      <w:r>
        <w:rPr>
          <w:i/>
        </w:rPr>
        <w:t>Уход из политики</w:t>
      </w:r>
    </w:p>
    <w:p w:rsidR="00000000" w:rsidRDefault="00000000">
      <w:r>
        <w:t>Замечено, что женщины уходят из политики раньше, чем мужчины. Ежегодные доклады об участии женщин в политической жизни и государственном управлении свидетельствуют о том, что доля женщин среди членов муниципальных советов в течение целого ряда лет оставалась на одном уровне (22–23 процента). В ходе выборов 2002 года этот показатель остался неизменным. Аналогичная картина наблюдается среди женщин, входящих в состав провинциальных советов: в 1992 году доля женщин составляла 29,6 процента, а в 2001 году она по-прежнему равнялась лишь 29,9 процента. В связи с этим министр внутренних дел и по делам королевства предписал провести исследование о причинах ухода в отставку членов муниципальных и провинциальных советов. В ходе исследования были опрошены как женщины, так и мужчины. Эта большая группа респондентов представила значительный объем информации, что позволило прийти к целому ряду весьма неожиданных выводов. Например, причина ухода в отставку гораздо реже, чем предполагалось, оказывается связанной с неудовлетворенностью уровнем политической культуры. Чаще всего причиной является тот объем времени, который тратится на работу в совете. Работе в качестве члена совета нередко мешает необходимость совмещать членство в муниципальном или провинциальном совете с оплачиваемой работой или выполнением семейных обязанностей. Респонденты также считают, что муниципальные и провинциальные советы крайне неэффективно расходуют их время. Вместе с тем большинство респондентов высказали мнение, что работа в качестве члена муниципального или провинциального совета способствует приобретению полезного опыта.</w:t>
      </w:r>
    </w:p>
    <w:p w:rsidR="00000000" w:rsidRDefault="00000000">
      <w:pPr>
        <w:pStyle w:val="Subtitle"/>
        <w:ind w:left="680" w:hanging="680"/>
        <w:rPr>
          <w:sz w:val="23"/>
          <w:lang w:val="ru-RU"/>
        </w:rPr>
      </w:pPr>
      <w:r>
        <w:rPr>
          <w:sz w:val="23"/>
          <w:lang w:val="ru-RU"/>
        </w:rPr>
        <w:t xml:space="preserve">5. </w:t>
      </w:r>
      <w:r>
        <w:rPr>
          <w:sz w:val="23"/>
          <w:lang w:val="ru-RU"/>
        </w:rPr>
        <w:tab/>
        <w:t>Женщины из этнических меньшинств, желающие активно участвовать в политической жизни</w:t>
      </w:r>
    </w:p>
    <w:p w:rsidR="00000000" w:rsidRDefault="00000000">
      <w:r>
        <w:t>В рамках проекта, организованного Многокультурным институтом по проблемам политического участия, открыты курсы для женщин из этнических меньшинств, желающих активно участвовать в политической жизни. С июня 1999 года в адаптированной версии данной программы приняли участие многие избранные политики. В преддверии выборов 2002 года министр внутренних дел и по делам королевства увеличил число мест на этих курсах. На настоящий момент данные курсы окончили 50 женщин. Параллельно с этим была разработана система наблюдения для отслеживания политической карьеры слушателей курсов.</w:t>
      </w:r>
    </w:p>
    <w:p w:rsidR="00000000" w:rsidRDefault="00000000">
      <w:pPr>
        <w:pStyle w:val="-2"/>
      </w:pPr>
      <w:r>
        <w:t>Статья 9:</w:t>
      </w:r>
      <w:r>
        <w:tab/>
        <w:t>Закон о гражданстве и закон об иностранцах</w:t>
      </w:r>
    </w:p>
    <w:p w:rsidR="00000000" w:rsidRDefault="00000000">
      <w:pPr>
        <w:pStyle w:val="Subtitle"/>
        <w:rPr>
          <w:sz w:val="23"/>
          <w:lang w:val="ru-RU"/>
        </w:rPr>
      </w:pPr>
      <w:r>
        <w:rPr>
          <w:sz w:val="23"/>
          <w:lang w:val="ru-RU"/>
        </w:rPr>
        <w:t xml:space="preserve">1. </w:t>
      </w:r>
      <w:r>
        <w:rPr>
          <w:sz w:val="23"/>
          <w:lang w:val="ru-RU"/>
        </w:rPr>
        <w:tab/>
        <w:t>Закон о гражданстве</w:t>
      </w:r>
    </w:p>
    <w:p w:rsidR="00000000" w:rsidRDefault="00000000">
      <w:r>
        <w:t>С 1 апреля 2003 года в положения Закона о нидерландском гражданстве были внесены радикальные изменения. В целом изменения коснулись четырех областей: семейного права, улучшения положения несовершеннолетних и молодых взрослых, борьбы с мошенничеством и расширения возможностей, касающихся получения (и в некоторых случаях более широкого признания) двойного гражданства. С 1 апреля 2003 года женщины, как и мужчины, не утрачивают автоматически свое нидерландское гражданств</w:t>
      </w:r>
      <w:r>
        <w:rPr>
          <w:lang w:val="ru-RU"/>
        </w:rPr>
        <w:t>о</w:t>
      </w:r>
      <w:r>
        <w:t>, если они добровольно приобретают гражданство своих супругов.</w:t>
      </w:r>
    </w:p>
    <w:p w:rsidR="00000000" w:rsidRDefault="00000000">
      <w:r>
        <w:t>В Закон о нидерландском гражданстве были также внесены поправки после вступления в силу Закона об усыновлении (коллизия законов) с 1 января 2004 года. К существующим положениям Закона о нидерландском гражданстве, которые касаются детей, факт усыновления которых признается для целей получения нидерландского гражданства на основании Гаагской конвенции об усыновлении 1993 года, были добавлены аналогичные положения, предусматривающие получение нидерландского гражданства в результате международных усыновлений, не подпадающих под действие Гаагской конвенции об усыновлении. Юридические требования, касающиеся получения нидерландского гражданства, заключаются в следующем: усыновление должно быть законным по смыслу раздела 6 или 7 Закона об усыновлении (коллизия законов); усыновление должно являться "истинным"; по меньшей мере один из усыновителей должен являться гражданином Нидерландов на день вынесения окончательного решения; и ребенок должен быть несовершеннолетним на день вынесения решения.</w:t>
      </w:r>
    </w:p>
    <w:p w:rsidR="00000000" w:rsidRDefault="00000000">
      <w:pPr>
        <w:pStyle w:val="Subtitle"/>
        <w:rPr>
          <w:sz w:val="23"/>
          <w:lang w:val="ru-RU"/>
        </w:rPr>
      </w:pPr>
      <w:r>
        <w:rPr>
          <w:sz w:val="23"/>
          <w:lang w:val="ru-RU"/>
        </w:rPr>
        <w:t xml:space="preserve">2. </w:t>
      </w:r>
      <w:r>
        <w:rPr>
          <w:sz w:val="23"/>
          <w:lang w:val="ru-RU"/>
        </w:rPr>
        <w:tab/>
        <w:t>Закон об иностранцах 2000 года и политика в отношении иностранцев</w:t>
      </w:r>
    </w:p>
    <w:p w:rsidR="00000000" w:rsidRDefault="00000000">
      <w:pPr>
        <w:pStyle w:val="Subtitle"/>
      </w:pPr>
      <w:r>
        <w:rPr>
          <w:lang w:val="en-US"/>
        </w:rPr>
        <w:t>i</w:t>
      </w:r>
      <w:r>
        <w:t>.</w:t>
      </w:r>
      <w:r>
        <w:tab/>
        <w:t>Закон об иностранцах 2000 года</w:t>
      </w:r>
    </w:p>
    <w:p w:rsidR="00000000" w:rsidRDefault="00000000">
      <w:r>
        <w:t xml:space="preserve">Новый Закон об иностранцах вступил в силу 1 апреля 2000 года. Общая политика правительства Нидерландов в области предоставления убежища включает аспекты, непосредственно касающиеся гендерных вопросов. В момент вступления в силу Закона об иностранцах в руководящие принципы по осуществлению данного </w:t>
      </w:r>
      <w:r>
        <w:rPr>
          <w:lang w:val="ru-RU"/>
        </w:rPr>
        <w:t>з</w:t>
      </w:r>
      <w:r>
        <w:t>акона была добавлена процедура 148. Тем самым было принято осознанное решение не включать в него отдельную главу о подаваемых женщинами ходатайствах о предоставлении убежища, однако включить отдельные процедурные вопросы в соответствующие общие разделы. Общая глава, посвященная женщинам, не только не будет вписываться в структуру руководящих принципов по осуществлению Закона об иностранцах, но и может создать неверное представление о том, что описываемая политика в первую очередь применяется тогда, когда лицо, ищущее убежище, является мужчиной, в то время как исключительным</w:t>
      </w:r>
      <w:r>
        <w:rPr>
          <w:lang w:val="ru-RU"/>
        </w:rPr>
        <w:t>и</w:t>
      </w:r>
      <w:r>
        <w:t xml:space="preserve"> являются случа</w:t>
      </w:r>
      <w:r>
        <w:rPr>
          <w:lang w:val="ru-RU"/>
        </w:rPr>
        <w:t>и, когда</w:t>
      </w:r>
      <w:r>
        <w:t xml:space="preserve"> убежищ</w:t>
      </w:r>
      <w:r>
        <w:rPr>
          <w:lang w:val="ru-RU"/>
        </w:rPr>
        <w:t>е</w:t>
      </w:r>
      <w:r>
        <w:t xml:space="preserve"> ище</w:t>
      </w:r>
      <w:r>
        <w:rPr>
          <w:lang w:val="ru-RU"/>
        </w:rPr>
        <w:t>т</w:t>
      </w:r>
      <w:r>
        <w:t xml:space="preserve"> женщин</w:t>
      </w:r>
      <w:r>
        <w:rPr>
          <w:lang w:val="ru-RU"/>
        </w:rPr>
        <w:t>а</w:t>
      </w:r>
      <w:r>
        <w:t>.</w:t>
      </w:r>
    </w:p>
    <w:p w:rsidR="00000000" w:rsidRDefault="00000000">
      <w:pPr>
        <w:pStyle w:val="Subtitle"/>
      </w:pPr>
      <w:r>
        <w:rPr>
          <w:lang w:val="en-US"/>
        </w:rPr>
        <w:t>ii</w:t>
      </w:r>
      <w:r>
        <w:t>.</w:t>
      </w:r>
      <w:r>
        <w:tab/>
        <w:t>Политика в отношении иностранцев применительно к женщинам</w:t>
      </w:r>
    </w:p>
    <w:p w:rsidR="00000000" w:rsidRDefault="00000000">
      <w:r>
        <w:t>В последние годы в политику Нидерландов в отношении иностранцев применительно к женщинам был внесен ряд корректив. 25 апреля 2000 года был издан меморандум по вопросу о положении женщин в контексте политики Нидерландов в отношении иностранцев и в соответствии с действующим Законом об иностранцах. На основе предложений, включенных в данный меморандум, было опубликовано временное дополнение к руководящим принципам по осуществлению Закона об иностранцах (</w:t>
      </w:r>
      <w:r>
        <w:rPr>
          <w:lang w:val="en-US"/>
        </w:rPr>
        <w:t>TBV</w:t>
      </w:r>
      <w:r>
        <w:t>-2000/25). Некоторые из изменений были связаны с выдачей разрешения партнерам по официально зарегистрированному или гражданскому браку на пребывание в Нидерландах, если этот официальный или гражданский брак распался в результате смерти супруга, являющегося гражданином Нидерландов, а также выдачей разрешения на продолжение пребывания в стране, если период супружеских отношений или пребывания в стране составляет менее трех лет, однако если выдача такого разрешения обусловлена другими чрезвычайными гуманитарными соображениями (такими</w:t>
      </w:r>
      <w:r>
        <w:rPr>
          <w:lang w:val="ru-RU"/>
        </w:rPr>
        <w:t>,</w:t>
      </w:r>
      <w:r>
        <w:t xml:space="preserve"> как положение одинокой женщины или социальное положение женщин в стране происхождения).</w:t>
      </w:r>
    </w:p>
    <w:p w:rsidR="00000000" w:rsidRDefault="00000000">
      <w:r>
        <w:t>Если период супружеских отношений или пребывания в стране составляет более трех лет, выдается разрешение на продолжение пребывания в стране. В последнее время эта политика была распространена на случаи, связанные с насилием в семье. Если супружеские отношения распались в течение менее трех лет в результате насилия в семье, продолжение пребывания в стране допускается в том случае, если факт такого насилия будет доказан с помощью медицинской справки в сочетании с официальным сообщением полиции или отчетом о судебном преследовании правонарушителя.</w:t>
      </w:r>
    </w:p>
    <w:p w:rsidR="00000000" w:rsidRDefault="00000000">
      <w:pPr>
        <w:rPr>
          <w:i/>
        </w:rPr>
      </w:pPr>
      <w:r>
        <w:rPr>
          <w:i/>
        </w:rPr>
        <w:t>Подробные интервью</w:t>
      </w:r>
    </w:p>
    <w:p w:rsidR="00000000" w:rsidRDefault="00000000">
      <w:r>
        <w:t>Если у сотрудников Центра приема заявлений на начальном этапе складывается мнение, что та или иная женщина, желающая получить убежище, не может быть интервьюирована по медицинским или психологическим причинам, он</w:t>
      </w:r>
      <w:r>
        <w:rPr>
          <w:lang w:val="ru-RU"/>
        </w:rPr>
        <w:t>а</w:t>
      </w:r>
      <w:r>
        <w:t xml:space="preserve"> обраща</w:t>
      </w:r>
      <w:r>
        <w:rPr>
          <w:lang w:val="ru-RU"/>
        </w:rPr>
        <w:t>е</w:t>
      </w:r>
      <w:r>
        <w:t>тся в муниципальные медицинские службы за соответствующими рекомендациями. Кроме того, с августа 2003 года женщине во время первого интервью традиционно задают вопрос о том, хотела бы она, чтобы во время последующих интервью функции переводчика выполняла женщина и чтобы интервью проводилось должностным лицом женского пола. Если она дает утвердительный ответ, власти обязаны сделать все возможное для того, чтобы удовлетворить ее просьбу. Если эту просьбу удовлетворить невозможно, это не обязательно означает, что подробное интервью проводилось без должно</w:t>
      </w:r>
      <w:r>
        <w:rPr>
          <w:lang w:val="ru-RU"/>
        </w:rPr>
        <w:t>го внимательного отношения</w:t>
      </w:r>
      <w:r>
        <w:t>. Однако отсутствие переводчика-женщины должно учитываться в процессе интервью. Если имеются какие-либо основания предполагать, что интервью проводилось без должно</w:t>
      </w:r>
      <w:r>
        <w:rPr>
          <w:lang w:val="ru-RU"/>
        </w:rPr>
        <w:t>го внимательного отношения</w:t>
      </w:r>
      <w:r>
        <w:t>, дело передается в Центр расследований. Это также необходимо учитывать должностному лицу, принимающему решение. В случае каких-либо неясностей или пробелов в информации, сообщаемой интервьюируемым лицом, в качестве одной из возможных причин следует учитывать отсутствие на интервью переводчика-женщины.</w:t>
      </w:r>
    </w:p>
    <w:p w:rsidR="00000000" w:rsidRDefault="00000000">
      <w:pPr>
        <w:rPr>
          <w:i/>
        </w:rPr>
      </w:pPr>
      <w:r>
        <w:rPr>
          <w:i/>
        </w:rPr>
        <w:t>Наличие психологических травм</w:t>
      </w:r>
    </w:p>
    <w:p w:rsidR="00000000" w:rsidRDefault="00000000">
      <w:r>
        <w:t>В 2001 и 2002 годах Служба иммиграции и натурализации</w:t>
      </w:r>
      <w:r>
        <w:rPr>
          <w:lang w:val="ru-RU"/>
        </w:rPr>
        <w:t xml:space="preserve"> (СИН)</w:t>
      </w:r>
      <w:r>
        <w:t xml:space="preserve"> уделяла повышенное внимание проблеме психологических травм у интервьюируемых и тому, как интервьюирующие должностные лица должны вести себя в таких случаях. Для интервьюеров и лиц, принимающих решения, были организованы специальные семинары и курсы профессиональной подготовки. Свой вклад в этот процесс также вносили внешние эксперты по проведению интервью с лицами, которые могут испытывать последствия психологических травм. Кроме того, был начат эксперимент с так называемыми специальными интервьюирующими должностными лицами, которые прошли дополнительную подготовку по вопросам проведения интервью с лицами, испытывающими последствия психологических травм. В 2003 году была вновь подчеркнута необходимость профессиональной подготовки интервьюеров по методам работы с учетом возможных психологических травм и вынужденных гуманитарных ситуаций с уделением особого внимания соответствующей технике проведения интервью.</w:t>
      </w:r>
    </w:p>
    <w:p w:rsidR="00000000" w:rsidRDefault="00000000">
      <w:pPr>
        <w:rPr>
          <w:i/>
        </w:rPr>
      </w:pPr>
      <w:r>
        <w:rPr>
          <w:i/>
        </w:rPr>
        <w:t>Уход за детьми</w:t>
      </w:r>
    </w:p>
    <w:p w:rsidR="00000000" w:rsidRDefault="00000000">
      <w:r>
        <w:t>В каждом Центре приема заявлений имеются специально оборудованные комнаты, в которых, в случае необходимости, можно на время оставить детей под присмотром. В этих комнатах детей также можно оставлять на время интервью, которые продолжаются довольно длительный период времени. Однако время работы этих детских комнат ограничено и они закрываются раньше, чем весь Центр; в результате иногда интервью может проводиться в те часы, когда детские комнаты не работают. В кабинетах, в которых происходит рассмотрение ходатайств о предоставлении убежища, обычно имеются игрушки, однако услуг по присмотру за детьми не оказывается. Это означает, что детям приходится присутствовать во время интервью, поскольку их нельзя оставить одних, а услуги по присмотру за детьми в данный момент отсутствуют. В таких случаях интервьюируемому или его/ее адвокату либо другому представителю до начала интервью предоставляется некоторое время для организации присмотра за детьми. На практике лишь в редких случаях интервью приходится прерывать из-за вмешательства детей. Если такое происходит, интервью возобновляется в другое время после того, как будут приняты все меры для организации присмотра за детьми.</w:t>
      </w:r>
    </w:p>
    <w:p w:rsidR="00000000" w:rsidRDefault="00000000">
      <w:pPr>
        <w:rPr>
          <w:i/>
        </w:rPr>
      </w:pPr>
      <w:r>
        <w:rPr>
          <w:i/>
        </w:rPr>
        <w:t>Политика Нидерландов в отношении официальных иммигрантов</w:t>
      </w:r>
    </w:p>
    <w:p w:rsidR="00000000" w:rsidRDefault="00000000">
      <w:r>
        <w:t>Законодательные акты и политика Нидерландов, касающиеся официальных иммигрантов, направлены на оказание поддержки и помощи уязвимым членам этнических меньшинств в целях улучшения в целом их положения в нидерландском обществе. В программах для лиц, осуществляющих уход за членами семьи, участвует огромное число женщин, и эти программы помогают расширить возможности женщин для уменьшения их изолированности от общества. В 1999–2004 годах правительство Нидерландов выделило специальные ассигнования на программы языковой подготовки и интеграции представителей этнических меньшинств, которые находятся в стране в течение относительно длительного периода времени и, тем не менее, испытывают трудности с интеграцией в нидерландское общество. Основными причинами их неблагоприятного положения являются недостаточное знание голландского языка и нидерландского общества, низкий уровень образования и отсутствие работы.</w:t>
      </w:r>
    </w:p>
    <w:p w:rsidR="00000000" w:rsidRDefault="00000000">
      <w:r>
        <w:t>Особыми целевыми группами, имеющими право на участие в программах интеграции, являются лица, осуществляющие уход за детьми, и безработные. Включение лиц, ухаживающих за детьми, в число приоритетных участников программ направлено на то, чтобы дать им возможность оказывать своим детям ту поддержку, в которой те нуждаются в плане воспитания и в период школьного обучения, и одновременно с этим повысить социальный статус этих лиц путем совершенствования их языковых навыков и знаний особенностей нидерландского общества, системы образования и т. д. Программы, в которых обучение языку совмещено с профессиональной подготовкой, могут помочь людям найти работу.</w:t>
      </w:r>
    </w:p>
    <w:p w:rsidR="00000000" w:rsidRDefault="00000000">
      <w:r>
        <w:t>Ключевую роль в разработке, планировании и осуществлении программ играют муниципальные органы и учебные заведения, а финансирование обеспечивает центральное правительство. Данная политика, закрепленная в законодательстве, была впервые опробована в 54 крупнейших муниципалитетах, а в 2003 году была распространена на всю территорию страны.</w:t>
      </w:r>
    </w:p>
    <w:p w:rsidR="00000000" w:rsidRDefault="00000000">
      <w:pPr>
        <w:pStyle w:val="-2"/>
      </w:pPr>
      <w:r>
        <w:t>Статья 10:  Образование и спорт</w:t>
      </w:r>
    </w:p>
    <w:p w:rsidR="00000000" w:rsidRDefault="00000000">
      <w:pPr>
        <w:pStyle w:val="Subtitle"/>
        <w:rPr>
          <w:sz w:val="23"/>
          <w:lang w:val="ru-RU"/>
        </w:rPr>
      </w:pPr>
      <w:r>
        <w:rPr>
          <w:sz w:val="23"/>
          <w:lang w:val="ru-RU"/>
        </w:rPr>
        <w:t xml:space="preserve">1. </w:t>
      </w:r>
      <w:r>
        <w:rPr>
          <w:sz w:val="23"/>
          <w:lang w:val="ru-RU"/>
        </w:rPr>
        <w:tab/>
        <w:t>Образование</w:t>
      </w:r>
    </w:p>
    <w:p w:rsidR="00000000" w:rsidRDefault="00000000">
      <w:pPr>
        <w:pStyle w:val="Subtitle"/>
      </w:pPr>
      <w:r>
        <w:rPr>
          <w:lang w:val="en-US"/>
        </w:rPr>
        <w:t>i</w:t>
      </w:r>
      <w:r>
        <w:t>.</w:t>
      </w:r>
      <w:r>
        <w:tab/>
        <w:t>Начальное и среднее образование</w:t>
      </w:r>
    </w:p>
    <w:p w:rsidR="00000000" w:rsidRDefault="00000000">
      <w:pPr>
        <w:pStyle w:val="Subtitle"/>
        <w:spacing w:before="240"/>
        <w:rPr>
          <w:lang w:val="ru-RU"/>
        </w:rPr>
      </w:pPr>
      <w:r>
        <w:rPr>
          <w:lang w:val="ru-RU"/>
        </w:rPr>
        <w:t>Девочки в системе начального и среднего образования</w:t>
      </w:r>
    </w:p>
    <w:p w:rsidR="00000000" w:rsidRDefault="00000000">
      <w:r>
        <w:t xml:space="preserve">Обеспечение равных возможностей для девочек и мальчиков, а также для детей из этнических меньшинств является одной из важнейших задач начального образования. В силу этого важное значение приобретают основные целевые показатели для системы начального образования, с одной стороны, и уровень профессиональной подготовки, требуемый от новых и давно работающих преподавателей, </w:t>
      </w:r>
      <w:r>
        <w:rPr>
          <w:lang w:val="ru-RU"/>
        </w:rPr>
        <w:t xml:space="preserve">– </w:t>
      </w:r>
      <w:r>
        <w:t>с другой.</w:t>
      </w:r>
    </w:p>
    <w:p w:rsidR="00000000" w:rsidRDefault="00000000">
      <w:r>
        <w:t>В качестве одного из главных предметов в программы подготовки учителей для средних школ была включена тема под названием "Сходства и различия между полами". Студентов педагогических вузов учат тому, как выявлять и учитывать культурные и гендерные сходства и различия, а также способам углубления своих знаний по вопросам равных возможностей применительно к гендерной проблематике. Перед педагогическими колледжами, в которых готовят учителей для начальных школ, а также для средних школ, профессионально-технических училищ и вечерних школ, поставлена цель, заключающаяся в том, чтобы к концу курса обучения будущие учителя имели полное представление о культурных, этнических, социальных и эмоциональных различиях между учащимися. Они должны учитывать эти факторы в своих программах обучения и учебных материалах и знать, как в дальнейшем повышать свои знания в данной области. Это, в частности, поможет обеспечить межкультурные и гендерные аспекты предоставляемого ими образования.</w:t>
      </w:r>
    </w:p>
    <w:p w:rsidR="00000000" w:rsidRDefault="00000000">
      <w:pPr>
        <w:pStyle w:val="Subtitle"/>
        <w:rPr>
          <w:lang w:val="ru-RU"/>
        </w:rPr>
      </w:pPr>
      <w:r>
        <w:rPr>
          <w:lang w:val="ru-RU"/>
        </w:rPr>
        <w:t>Девочки и научно-технические дисциплины</w:t>
      </w:r>
    </w:p>
    <w:p w:rsidR="00000000" w:rsidRDefault="00000000">
      <w:r>
        <w:t>К 2010 году Европейский союз в целом планирует увеличить число выпускников научно-технических факультетов на 15 процентов (по сравнению с 2001 годом). Министр образования, культуры и науки и министр по экономическим вопросам 4 июля 2003 года представили совместный план действий, в котором были подробно изложены 50 шагов для достижения указанной цели. Соответствующий консультативный комитет заявил, что, по его мнению, модернизация системы образования является более эффективным средством для достижения данной цели, чем дорогостоящие рекламные акции.</w:t>
      </w:r>
    </w:p>
    <w:p w:rsidR="00000000" w:rsidRDefault="00000000">
      <w:r>
        <w:t>Были увеличены ассигнования на расширение спектра технических дисциплин, преподаваемых в начальных школах. Данный проект не предусматривает каких-либо специальных мероприятий, предназначенных конкретно для девочек. Однако из ответов на анкеты и результатов осуществления проекта четко видно, что успеваемость девочек в данной области выше, чем успеваемость мальчиков. Благодаря повышению внимания к техническим дисциплинам в начальной школе девочки начинают ими больше интересоваться. На уровне средней школы гендерные аспекты учитываются в процессе определения содержания второго этапа среднего образования (в возрастной группе от 15 до 18 лет) и при планировании курсов для самостоятельного изучения учащимися (</w:t>
      </w:r>
      <w:r>
        <w:rPr>
          <w:lang w:val="en-US"/>
        </w:rPr>
        <w:t>studiehuis</w:t>
      </w:r>
      <w:r>
        <w:t>) с точки зрения как названия, так и содержания учебных предметов. В результате большое число девочек начинают отдавать предпочтение такой комбинации предметов, как, например, "Наука и медицина".</w:t>
      </w:r>
    </w:p>
    <w:p w:rsidR="00000000" w:rsidRDefault="00000000">
      <w:pPr>
        <w:pStyle w:val="Subtitle"/>
        <w:rPr>
          <w:lang w:val="ru-RU"/>
        </w:rPr>
      </w:pPr>
      <w:r>
        <w:rPr>
          <w:lang w:val="ru-RU"/>
        </w:rPr>
        <w:t>Девочки из этнических меньшинств</w:t>
      </w:r>
    </w:p>
    <w:p w:rsidR="00000000" w:rsidRDefault="00000000">
      <w:r>
        <w:t>Ни Департамент начального образования, ни Департамент среднего образования Министерства образования, культуры и науки не проводят какой-либо особой политики в отношении девочек из числа этнических меньшинств. Вместе с тем реализуются некоторые инициативы в целях привлечения большего числа выходцев из этнических меньшинств к обучению в педагогических учебных заведениях. Одним из основных принципов процесса обучения также является учет гендерного фактора. Для оказания помощи учащимся из числа этнических меньшинств проводится специальная компенсационная политика. В Законе о среднем образовании</w:t>
      </w:r>
      <w:r>
        <w:rPr>
          <w:lang w:val="ru-RU"/>
        </w:rPr>
        <w:t xml:space="preserve"> отмечается</w:t>
      </w:r>
      <w:r>
        <w:t>, что одно из положений, лежащих в основе процесса образования, говорит о том, что учащиеся обучаются и воспитываются в условиях многокультурного общества.</w:t>
      </w:r>
    </w:p>
    <w:p w:rsidR="00000000" w:rsidRDefault="00000000">
      <w:r>
        <w:t>Учет различий, существующих в рамках многокультурного общества, также является большим шагом в процессе достижения целевых показателей в области среднего образования (в возрастной группе от 12 до 15 лет). Инспекторат по вопросам образования следит за успехами школ в достижении этих целевых показателей. В программе подготовки преподавателей на период до 2007 года особое внимание будет уделяться увеличению числа преподавателей из этнических меньшинств.</w:t>
      </w:r>
    </w:p>
    <w:p w:rsidR="00000000" w:rsidRDefault="00000000">
      <w:pPr>
        <w:pStyle w:val="Subtitle"/>
        <w:ind w:left="680" w:hanging="680"/>
      </w:pPr>
      <w:r>
        <w:rPr>
          <w:lang w:val="en-US"/>
        </w:rPr>
        <w:t>ii</w:t>
      </w:r>
      <w:r>
        <w:t>.</w:t>
      </w:r>
      <w:r>
        <w:tab/>
        <w:t>Высшее образование</w:t>
      </w:r>
      <w:r>
        <w:rPr>
          <w:lang w:val="ru-RU"/>
        </w:rPr>
        <w:t>:</w:t>
      </w:r>
      <w:r>
        <w:t xml:space="preserve"> высшее профессионально-техническое об</w:t>
      </w:r>
      <w:r>
        <w:rPr>
          <w:lang w:val="ru-RU"/>
        </w:rPr>
        <w:t>разование</w:t>
      </w:r>
      <w:r>
        <w:t xml:space="preserve"> (ВПТО) и университетское образование</w:t>
      </w:r>
    </w:p>
    <w:p w:rsidR="00000000" w:rsidRDefault="00000000">
      <w:pPr>
        <w:pStyle w:val="Subtitle"/>
        <w:rPr>
          <w:lang w:val="ru-RU"/>
        </w:rPr>
      </w:pPr>
      <w:r>
        <w:rPr>
          <w:lang w:val="ru-RU"/>
        </w:rPr>
        <w:t>Участие женщин в системе высшего образования</w:t>
      </w:r>
    </w:p>
    <w:p w:rsidR="00000000" w:rsidRDefault="00000000">
      <w:r>
        <w:t>После 1999 года доля женщин среди учащихся высших учебных заведений превышала долю мужчин. Небольшую поправку при этом необходимо сделать на относительно небольшое число женщин, желающих изучать точные науки или технические дисциплины. По сравнению со своими сверстниками, являющимися этническими голландцами, показатели участия мужчин и женщин из незападных этнических меньшинств в системе высшего образования являются крайне низкими. В университетах число женщин из этнических меньшинств несколько превышает число мужчин из этнических меньшинств, в то время как в высших профессионально-технических училищах наблюдается обратная картина. Прослеживается тенденция, которая говорит о стремлении детей из этнических меньшинств продолжать свое образование: по сравнению с прошлым гораздо большее их число после окончания средней школы продолжает учиться, особенно на ступени высшего профессионально-технического обучения.</w:t>
      </w:r>
    </w:p>
    <w:p w:rsidR="00000000" w:rsidRDefault="00000000">
      <w:pPr>
        <w:pStyle w:val="a5"/>
        <w:tabs>
          <w:tab w:val="clear" w:pos="1440"/>
          <w:tab w:val="clear" w:pos="9356"/>
        </w:tabs>
        <w:spacing w:before="360"/>
        <w:rPr>
          <w:lang w:val="ru-RU"/>
        </w:rPr>
      </w:pPr>
      <w:r>
        <w:rPr>
          <w:lang w:val="ru-RU"/>
        </w:rPr>
        <w:t xml:space="preserve">Уровень образования населения Нидерландов в возрасте от 15 до 64 лет </w:t>
      </w:r>
      <w:r>
        <w:rPr>
          <w:lang w:val="ru-RU"/>
        </w:rPr>
        <w:br/>
        <w:t>(с разбивкой по этническому происхождению и возрасту)</w:t>
      </w:r>
    </w:p>
    <w:p w:rsidR="00000000" w:rsidRDefault="00000000">
      <w:pPr>
        <w:spacing w:before="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39"/>
        <w:gridCol w:w="1496"/>
        <w:gridCol w:w="877"/>
        <w:gridCol w:w="877"/>
        <w:gridCol w:w="754"/>
        <w:gridCol w:w="753"/>
        <w:gridCol w:w="754"/>
        <w:gridCol w:w="505"/>
        <w:gridCol w:w="1001"/>
      </w:tblGrid>
      <w:tr w:rsidR="00000000">
        <w:tblPrEx>
          <w:tblCellMar>
            <w:top w:w="0" w:type="dxa"/>
            <w:bottom w:w="0" w:type="dxa"/>
          </w:tblCellMar>
        </w:tblPrEx>
        <w:trPr>
          <w:jc w:val="center"/>
        </w:trPr>
        <w:tc>
          <w:tcPr>
            <w:tcW w:w="2339" w:type="dxa"/>
          </w:tcPr>
          <w:p w:rsidR="00000000" w:rsidRDefault="00000000">
            <w:pPr>
              <w:spacing w:before="120" w:after="120" w:line="240" w:lineRule="auto"/>
              <w:jc w:val="center"/>
              <w:rPr>
                <w:b/>
                <w:sz w:val="20"/>
              </w:rPr>
            </w:pPr>
          </w:p>
        </w:tc>
        <w:tc>
          <w:tcPr>
            <w:tcW w:w="1496" w:type="dxa"/>
            <w:vAlign w:val="center"/>
          </w:tcPr>
          <w:p w:rsidR="00000000" w:rsidRDefault="00000000">
            <w:pPr>
              <w:spacing w:before="120" w:after="120" w:line="240" w:lineRule="auto"/>
              <w:jc w:val="center"/>
              <w:rPr>
                <w:b/>
                <w:sz w:val="20"/>
              </w:rPr>
            </w:pPr>
            <w:r>
              <w:rPr>
                <w:b/>
                <w:sz w:val="20"/>
              </w:rPr>
              <w:t>Начальное образование</w:t>
            </w:r>
          </w:p>
        </w:tc>
        <w:tc>
          <w:tcPr>
            <w:tcW w:w="877" w:type="dxa"/>
            <w:vAlign w:val="center"/>
          </w:tcPr>
          <w:p w:rsidR="00000000" w:rsidRDefault="00000000">
            <w:pPr>
              <w:spacing w:before="120" w:after="120" w:line="240" w:lineRule="auto"/>
              <w:jc w:val="center"/>
              <w:rPr>
                <w:b/>
                <w:sz w:val="20"/>
              </w:rPr>
            </w:pPr>
            <w:r>
              <w:rPr>
                <w:b/>
                <w:sz w:val="20"/>
              </w:rPr>
              <w:t>МОСО</w:t>
            </w:r>
            <w:r>
              <w:rPr>
                <w:rStyle w:val="FootnoteReference"/>
                <w:b/>
                <w:sz w:val="20"/>
              </w:rPr>
              <w:footnoteReference w:customMarkFollows="1" w:id="50"/>
              <w:t>49</w:t>
            </w:r>
          </w:p>
        </w:tc>
        <w:tc>
          <w:tcPr>
            <w:tcW w:w="877" w:type="dxa"/>
            <w:vAlign w:val="center"/>
          </w:tcPr>
          <w:p w:rsidR="00000000" w:rsidRDefault="00000000">
            <w:pPr>
              <w:spacing w:before="120" w:after="120" w:line="240" w:lineRule="auto"/>
              <w:jc w:val="center"/>
              <w:rPr>
                <w:b/>
                <w:sz w:val="20"/>
              </w:rPr>
            </w:pPr>
            <w:r>
              <w:rPr>
                <w:b/>
                <w:sz w:val="20"/>
              </w:rPr>
              <w:t>НПТО</w:t>
            </w:r>
          </w:p>
        </w:tc>
        <w:tc>
          <w:tcPr>
            <w:tcW w:w="754" w:type="dxa"/>
            <w:vAlign w:val="center"/>
          </w:tcPr>
          <w:p w:rsidR="00000000" w:rsidRDefault="00000000">
            <w:pPr>
              <w:spacing w:before="120" w:after="120" w:line="240" w:lineRule="auto"/>
              <w:jc w:val="center"/>
              <w:rPr>
                <w:b/>
                <w:sz w:val="20"/>
              </w:rPr>
            </w:pPr>
            <w:r>
              <w:rPr>
                <w:b/>
                <w:sz w:val="20"/>
              </w:rPr>
              <w:t>СОСО/ПУО</w:t>
            </w:r>
          </w:p>
        </w:tc>
        <w:tc>
          <w:tcPr>
            <w:tcW w:w="753" w:type="dxa"/>
            <w:vAlign w:val="center"/>
          </w:tcPr>
          <w:p w:rsidR="00000000" w:rsidRDefault="00000000">
            <w:pPr>
              <w:spacing w:before="120" w:after="120" w:line="240" w:lineRule="auto"/>
              <w:jc w:val="center"/>
              <w:rPr>
                <w:b/>
                <w:sz w:val="20"/>
              </w:rPr>
            </w:pPr>
            <w:r>
              <w:rPr>
                <w:b/>
                <w:sz w:val="20"/>
              </w:rPr>
              <w:t>СПТО</w:t>
            </w:r>
          </w:p>
        </w:tc>
        <w:tc>
          <w:tcPr>
            <w:tcW w:w="754" w:type="dxa"/>
            <w:vAlign w:val="center"/>
          </w:tcPr>
          <w:p w:rsidR="00000000" w:rsidRDefault="00000000">
            <w:pPr>
              <w:spacing w:before="120" w:after="120" w:line="240" w:lineRule="auto"/>
              <w:jc w:val="center"/>
              <w:rPr>
                <w:b/>
                <w:sz w:val="20"/>
              </w:rPr>
            </w:pPr>
            <w:r>
              <w:rPr>
                <w:b/>
                <w:sz w:val="20"/>
              </w:rPr>
              <w:t>ВПТО</w:t>
            </w:r>
          </w:p>
        </w:tc>
        <w:tc>
          <w:tcPr>
            <w:tcW w:w="505" w:type="dxa"/>
            <w:vAlign w:val="center"/>
          </w:tcPr>
          <w:p w:rsidR="00000000" w:rsidRDefault="00000000">
            <w:pPr>
              <w:spacing w:before="120" w:after="120" w:line="240" w:lineRule="auto"/>
              <w:jc w:val="center"/>
              <w:rPr>
                <w:b/>
                <w:sz w:val="20"/>
              </w:rPr>
            </w:pPr>
            <w:r>
              <w:rPr>
                <w:b/>
                <w:sz w:val="20"/>
              </w:rPr>
              <w:t>УО</w:t>
            </w:r>
          </w:p>
        </w:tc>
        <w:tc>
          <w:tcPr>
            <w:tcW w:w="1001" w:type="dxa"/>
          </w:tcPr>
          <w:p w:rsidR="00000000" w:rsidRDefault="00000000">
            <w:pPr>
              <w:spacing w:before="120" w:after="120" w:line="240" w:lineRule="auto"/>
              <w:jc w:val="center"/>
              <w:rPr>
                <w:b/>
                <w:sz w:val="20"/>
              </w:rPr>
            </w:pPr>
            <w:r>
              <w:rPr>
                <w:b/>
                <w:sz w:val="20"/>
              </w:rPr>
              <w:t xml:space="preserve">Итого </w:t>
            </w:r>
            <w:r>
              <w:rPr>
                <w:b/>
                <w:sz w:val="20"/>
                <w:lang w:val="ru-RU"/>
              </w:rPr>
              <w:br/>
            </w:r>
            <w:r>
              <w:rPr>
                <w:b/>
                <w:sz w:val="20"/>
              </w:rPr>
              <w:t>(х 1000)</w:t>
            </w:r>
          </w:p>
        </w:tc>
      </w:tr>
      <w:tr w:rsidR="00000000">
        <w:tblPrEx>
          <w:tblCellMar>
            <w:top w:w="0" w:type="dxa"/>
            <w:bottom w:w="0" w:type="dxa"/>
          </w:tblCellMar>
        </w:tblPrEx>
        <w:trPr>
          <w:jc w:val="center"/>
        </w:trPr>
        <w:tc>
          <w:tcPr>
            <w:tcW w:w="2339" w:type="dxa"/>
          </w:tcPr>
          <w:p w:rsidR="00000000" w:rsidRDefault="00000000">
            <w:pPr>
              <w:spacing w:before="120" w:after="40" w:line="240" w:lineRule="auto"/>
              <w:rPr>
                <w:b/>
                <w:i/>
                <w:sz w:val="20"/>
              </w:rPr>
            </w:pPr>
            <w:r>
              <w:rPr>
                <w:b/>
                <w:i/>
                <w:sz w:val="20"/>
              </w:rPr>
              <w:t>Женщины</w:t>
            </w:r>
          </w:p>
        </w:tc>
        <w:tc>
          <w:tcPr>
            <w:tcW w:w="1496" w:type="dxa"/>
          </w:tcPr>
          <w:p w:rsidR="00000000" w:rsidRDefault="00000000">
            <w:pPr>
              <w:spacing w:before="120" w:after="40" w:line="240" w:lineRule="auto"/>
              <w:jc w:val="center"/>
              <w:rPr>
                <w:b/>
                <w:i/>
                <w:sz w:val="20"/>
              </w:rPr>
            </w:pPr>
          </w:p>
        </w:tc>
        <w:tc>
          <w:tcPr>
            <w:tcW w:w="877" w:type="dxa"/>
          </w:tcPr>
          <w:p w:rsidR="00000000" w:rsidRDefault="00000000">
            <w:pPr>
              <w:spacing w:before="120" w:after="40" w:line="240" w:lineRule="auto"/>
              <w:jc w:val="center"/>
              <w:rPr>
                <w:b/>
                <w:i/>
                <w:sz w:val="20"/>
              </w:rPr>
            </w:pPr>
          </w:p>
        </w:tc>
        <w:tc>
          <w:tcPr>
            <w:tcW w:w="877" w:type="dxa"/>
          </w:tcPr>
          <w:p w:rsidR="00000000" w:rsidRDefault="00000000">
            <w:pPr>
              <w:spacing w:before="120" w:after="40" w:line="240" w:lineRule="auto"/>
              <w:jc w:val="center"/>
              <w:rPr>
                <w:b/>
                <w:i/>
                <w:sz w:val="20"/>
              </w:rPr>
            </w:pPr>
          </w:p>
        </w:tc>
        <w:tc>
          <w:tcPr>
            <w:tcW w:w="754" w:type="dxa"/>
          </w:tcPr>
          <w:p w:rsidR="00000000" w:rsidRDefault="00000000">
            <w:pPr>
              <w:spacing w:before="120" w:after="40" w:line="240" w:lineRule="auto"/>
              <w:jc w:val="center"/>
              <w:rPr>
                <w:b/>
                <w:i/>
                <w:sz w:val="20"/>
              </w:rPr>
            </w:pPr>
          </w:p>
        </w:tc>
        <w:tc>
          <w:tcPr>
            <w:tcW w:w="753" w:type="dxa"/>
          </w:tcPr>
          <w:p w:rsidR="00000000" w:rsidRDefault="00000000">
            <w:pPr>
              <w:spacing w:before="120" w:after="40" w:line="240" w:lineRule="auto"/>
              <w:jc w:val="center"/>
              <w:rPr>
                <w:b/>
                <w:i/>
                <w:sz w:val="20"/>
              </w:rPr>
            </w:pPr>
          </w:p>
        </w:tc>
        <w:tc>
          <w:tcPr>
            <w:tcW w:w="754" w:type="dxa"/>
          </w:tcPr>
          <w:p w:rsidR="00000000" w:rsidRDefault="00000000">
            <w:pPr>
              <w:spacing w:before="120" w:after="40" w:line="240" w:lineRule="auto"/>
              <w:jc w:val="center"/>
              <w:rPr>
                <w:b/>
                <w:i/>
                <w:sz w:val="20"/>
              </w:rPr>
            </w:pPr>
          </w:p>
        </w:tc>
        <w:tc>
          <w:tcPr>
            <w:tcW w:w="505" w:type="dxa"/>
          </w:tcPr>
          <w:p w:rsidR="00000000" w:rsidRDefault="00000000">
            <w:pPr>
              <w:spacing w:before="120" w:after="40" w:line="240" w:lineRule="auto"/>
              <w:jc w:val="center"/>
              <w:rPr>
                <w:b/>
                <w:i/>
                <w:sz w:val="20"/>
              </w:rPr>
            </w:pPr>
          </w:p>
        </w:tc>
        <w:tc>
          <w:tcPr>
            <w:tcW w:w="1001" w:type="dxa"/>
          </w:tcPr>
          <w:p w:rsidR="00000000" w:rsidRDefault="00000000">
            <w:pPr>
              <w:spacing w:before="120" w:after="40" w:line="240" w:lineRule="auto"/>
              <w:jc w:val="center"/>
              <w:rPr>
                <w:b/>
                <w:i/>
                <w:sz w:val="20"/>
              </w:rPr>
            </w:pP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Всего</w:t>
            </w:r>
          </w:p>
        </w:tc>
        <w:tc>
          <w:tcPr>
            <w:tcW w:w="1496" w:type="dxa"/>
          </w:tcPr>
          <w:p w:rsidR="00000000" w:rsidRDefault="00000000">
            <w:pPr>
              <w:spacing w:before="40" w:after="40" w:line="240" w:lineRule="auto"/>
              <w:jc w:val="center"/>
              <w:rPr>
                <w:sz w:val="20"/>
                <w:lang w:val="ru-RU"/>
              </w:rPr>
            </w:pPr>
            <w:r>
              <w:rPr>
                <w:sz w:val="20"/>
                <w:lang w:val="ru-RU"/>
              </w:rPr>
              <w:t>15</w:t>
            </w:r>
          </w:p>
        </w:tc>
        <w:tc>
          <w:tcPr>
            <w:tcW w:w="877" w:type="dxa"/>
          </w:tcPr>
          <w:p w:rsidR="00000000" w:rsidRDefault="00000000">
            <w:pPr>
              <w:spacing w:before="40" w:after="40" w:line="240" w:lineRule="auto"/>
              <w:jc w:val="center"/>
              <w:rPr>
                <w:sz w:val="20"/>
                <w:lang w:val="ru-RU"/>
              </w:rPr>
            </w:pPr>
            <w:r>
              <w:rPr>
                <w:sz w:val="20"/>
                <w:lang w:val="ru-RU"/>
              </w:rPr>
              <w:t>11</w:t>
            </w:r>
          </w:p>
        </w:tc>
        <w:tc>
          <w:tcPr>
            <w:tcW w:w="877" w:type="dxa"/>
          </w:tcPr>
          <w:p w:rsidR="00000000" w:rsidRDefault="00000000">
            <w:pPr>
              <w:spacing w:before="40" w:after="40" w:line="240" w:lineRule="auto"/>
              <w:jc w:val="center"/>
              <w:rPr>
                <w:sz w:val="20"/>
                <w:lang w:val="ru-RU"/>
              </w:rPr>
            </w:pPr>
            <w:r>
              <w:rPr>
                <w:sz w:val="20"/>
                <w:lang w:val="ru-RU"/>
              </w:rPr>
              <w:t>15</w:t>
            </w:r>
          </w:p>
        </w:tc>
        <w:tc>
          <w:tcPr>
            <w:tcW w:w="754" w:type="dxa"/>
          </w:tcPr>
          <w:p w:rsidR="00000000" w:rsidRDefault="00000000">
            <w:pPr>
              <w:spacing w:before="40" w:after="40" w:line="240" w:lineRule="auto"/>
              <w:jc w:val="center"/>
              <w:rPr>
                <w:sz w:val="20"/>
                <w:lang w:val="ru-RU"/>
              </w:rPr>
            </w:pPr>
            <w:r>
              <w:rPr>
                <w:sz w:val="20"/>
                <w:lang w:val="ru-RU"/>
              </w:rPr>
              <w:t>7</w:t>
            </w:r>
          </w:p>
        </w:tc>
        <w:tc>
          <w:tcPr>
            <w:tcW w:w="753" w:type="dxa"/>
          </w:tcPr>
          <w:p w:rsidR="00000000" w:rsidRDefault="00000000">
            <w:pPr>
              <w:spacing w:before="40" w:after="40" w:line="240" w:lineRule="auto"/>
              <w:jc w:val="center"/>
              <w:rPr>
                <w:sz w:val="20"/>
                <w:lang w:val="ru-RU"/>
              </w:rPr>
            </w:pPr>
            <w:r>
              <w:rPr>
                <w:sz w:val="20"/>
                <w:lang w:val="ru-RU"/>
              </w:rPr>
              <w:t>31</w:t>
            </w:r>
          </w:p>
        </w:tc>
        <w:tc>
          <w:tcPr>
            <w:tcW w:w="754" w:type="dxa"/>
          </w:tcPr>
          <w:p w:rsidR="00000000" w:rsidRDefault="00000000">
            <w:pPr>
              <w:spacing w:before="40" w:after="40" w:line="240" w:lineRule="auto"/>
              <w:jc w:val="center"/>
              <w:rPr>
                <w:sz w:val="20"/>
                <w:lang w:val="ru-RU"/>
              </w:rPr>
            </w:pPr>
            <w:r>
              <w:rPr>
                <w:sz w:val="20"/>
                <w:lang w:val="ru-RU"/>
              </w:rPr>
              <w:t>15</w:t>
            </w:r>
          </w:p>
        </w:tc>
        <w:tc>
          <w:tcPr>
            <w:tcW w:w="505" w:type="dxa"/>
          </w:tcPr>
          <w:p w:rsidR="00000000" w:rsidRDefault="00000000">
            <w:pPr>
              <w:spacing w:before="40" w:after="40" w:line="240" w:lineRule="auto"/>
              <w:jc w:val="center"/>
              <w:rPr>
                <w:sz w:val="20"/>
                <w:lang w:val="ru-RU"/>
              </w:rPr>
            </w:pPr>
            <w:r>
              <w:rPr>
                <w:sz w:val="20"/>
                <w:lang w:val="ru-RU"/>
              </w:rPr>
              <w:t>5</w:t>
            </w:r>
          </w:p>
        </w:tc>
        <w:tc>
          <w:tcPr>
            <w:tcW w:w="1001" w:type="dxa"/>
          </w:tcPr>
          <w:p w:rsidR="00000000" w:rsidRDefault="00000000">
            <w:pPr>
              <w:spacing w:before="40" w:after="40" w:line="240" w:lineRule="auto"/>
              <w:jc w:val="center"/>
              <w:rPr>
                <w:sz w:val="20"/>
                <w:lang w:val="ru-RU"/>
              </w:rPr>
            </w:pPr>
            <w:r>
              <w:rPr>
                <w:sz w:val="20"/>
                <w:lang w:val="ru-RU"/>
              </w:rPr>
              <w:t>5,332</w:t>
            </w: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Этнические голландцы</w:t>
            </w:r>
          </w:p>
        </w:tc>
        <w:tc>
          <w:tcPr>
            <w:tcW w:w="1496" w:type="dxa"/>
          </w:tcPr>
          <w:p w:rsidR="00000000" w:rsidRDefault="00000000">
            <w:pPr>
              <w:spacing w:before="40" w:after="40" w:line="240" w:lineRule="auto"/>
              <w:jc w:val="center"/>
              <w:rPr>
                <w:sz w:val="20"/>
                <w:lang w:val="ru-RU"/>
              </w:rPr>
            </w:pPr>
            <w:r>
              <w:rPr>
                <w:sz w:val="20"/>
                <w:lang w:val="ru-RU"/>
              </w:rPr>
              <w:t>12</w:t>
            </w:r>
          </w:p>
        </w:tc>
        <w:tc>
          <w:tcPr>
            <w:tcW w:w="877" w:type="dxa"/>
          </w:tcPr>
          <w:p w:rsidR="00000000" w:rsidRDefault="00000000">
            <w:pPr>
              <w:spacing w:before="40" w:after="40" w:line="240" w:lineRule="auto"/>
              <w:jc w:val="center"/>
              <w:rPr>
                <w:sz w:val="20"/>
                <w:lang w:val="ru-RU"/>
              </w:rPr>
            </w:pPr>
            <w:r>
              <w:rPr>
                <w:sz w:val="20"/>
                <w:lang w:val="ru-RU"/>
              </w:rPr>
              <w:t>11</w:t>
            </w:r>
          </w:p>
        </w:tc>
        <w:tc>
          <w:tcPr>
            <w:tcW w:w="877" w:type="dxa"/>
          </w:tcPr>
          <w:p w:rsidR="00000000" w:rsidRDefault="00000000">
            <w:pPr>
              <w:spacing w:before="40" w:after="40" w:line="240" w:lineRule="auto"/>
              <w:jc w:val="center"/>
              <w:rPr>
                <w:sz w:val="20"/>
                <w:lang w:val="ru-RU"/>
              </w:rPr>
            </w:pPr>
            <w:r>
              <w:rPr>
                <w:sz w:val="20"/>
                <w:lang w:val="ru-RU"/>
              </w:rPr>
              <w:t>16</w:t>
            </w:r>
          </w:p>
        </w:tc>
        <w:tc>
          <w:tcPr>
            <w:tcW w:w="754" w:type="dxa"/>
          </w:tcPr>
          <w:p w:rsidR="00000000" w:rsidRDefault="00000000">
            <w:pPr>
              <w:spacing w:before="40" w:after="40" w:line="240" w:lineRule="auto"/>
              <w:jc w:val="center"/>
              <w:rPr>
                <w:sz w:val="20"/>
                <w:lang w:val="ru-RU"/>
              </w:rPr>
            </w:pPr>
            <w:r>
              <w:rPr>
                <w:sz w:val="20"/>
                <w:lang w:val="ru-RU"/>
              </w:rPr>
              <w:t>7</w:t>
            </w:r>
          </w:p>
        </w:tc>
        <w:tc>
          <w:tcPr>
            <w:tcW w:w="753" w:type="dxa"/>
          </w:tcPr>
          <w:p w:rsidR="00000000" w:rsidRDefault="00000000">
            <w:pPr>
              <w:spacing w:before="40" w:after="40" w:line="240" w:lineRule="auto"/>
              <w:jc w:val="center"/>
              <w:rPr>
                <w:sz w:val="20"/>
                <w:lang w:val="ru-RU"/>
              </w:rPr>
            </w:pPr>
            <w:r>
              <w:rPr>
                <w:sz w:val="20"/>
                <w:lang w:val="ru-RU"/>
              </w:rPr>
              <w:t>33</w:t>
            </w:r>
          </w:p>
        </w:tc>
        <w:tc>
          <w:tcPr>
            <w:tcW w:w="754" w:type="dxa"/>
          </w:tcPr>
          <w:p w:rsidR="00000000" w:rsidRDefault="00000000">
            <w:pPr>
              <w:spacing w:before="40" w:after="40" w:line="240" w:lineRule="auto"/>
              <w:jc w:val="center"/>
              <w:rPr>
                <w:sz w:val="20"/>
                <w:lang w:val="ru-RU"/>
              </w:rPr>
            </w:pPr>
            <w:r>
              <w:rPr>
                <w:sz w:val="20"/>
                <w:lang w:val="ru-RU"/>
              </w:rPr>
              <w:t>16</w:t>
            </w:r>
          </w:p>
        </w:tc>
        <w:tc>
          <w:tcPr>
            <w:tcW w:w="505" w:type="dxa"/>
          </w:tcPr>
          <w:p w:rsidR="00000000" w:rsidRDefault="00000000">
            <w:pPr>
              <w:spacing w:before="40" w:after="40" w:line="240" w:lineRule="auto"/>
              <w:jc w:val="center"/>
              <w:rPr>
                <w:sz w:val="20"/>
                <w:lang w:val="ru-RU"/>
              </w:rPr>
            </w:pPr>
            <w:r>
              <w:rPr>
                <w:sz w:val="20"/>
                <w:lang w:val="ru-RU"/>
              </w:rPr>
              <w:t>5</w:t>
            </w:r>
          </w:p>
        </w:tc>
        <w:tc>
          <w:tcPr>
            <w:tcW w:w="1001" w:type="dxa"/>
          </w:tcPr>
          <w:p w:rsidR="00000000" w:rsidRDefault="00000000">
            <w:pPr>
              <w:spacing w:before="40" w:after="40" w:line="240" w:lineRule="auto"/>
              <w:jc w:val="center"/>
              <w:rPr>
                <w:sz w:val="20"/>
                <w:lang w:val="ru-RU"/>
              </w:rPr>
            </w:pPr>
            <w:r>
              <w:rPr>
                <w:sz w:val="20"/>
                <w:lang w:val="ru-RU"/>
              </w:rPr>
              <w:t>4,324</w:t>
            </w: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Этнические меньшинства</w:t>
            </w:r>
          </w:p>
        </w:tc>
        <w:tc>
          <w:tcPr>
            <w:tcW w:w="1496" w:type="dxa"/>
          </w:tcPr>
          <w:p w:rsidR="00000000" w:rsidRDefault="00000000">
            <w:pPr>
              <w:spacing w:before="40" w:after="40" w:line="240" w:lineRule="auto"/>
              <w:jc w:val="center"/>
              <w:rPr>
                <w:sz w:val="20"/>
                <w:lang w:val="ru-RU"/>
              </w:rPr>
            </w:pPr>
            <w:r>
              <w:rPr>
                <w:sz w:val="20"/>
                <w:lang w:val="ru-RU"/>
              </w:rPr>
              <w:t>27</w:t>
            </w:r>
          </w:p>
        </w:tc>
        <w:tc>
          <w:tcPr>
            <w:tcW w:w="877" w:type="dxa"/>
          </w:tcPr>
          <w:p w:rsidR="00000000" w:rsidRDefault="00000000">
            <w:pPr>
              <w:spacing w:before="40" w:after="40" w:line="240" w:lineRule="auto"/>
              <w:jc w:val="center"/>
              <w:rPr>
                <w:sz w:val="20"/>
                <w:lang w:val="ru-RU"/>
              </w:rPr>
            </w:pPr>
            <w:r>
              <w:rPr>
                <w:sz w:val="20"/>
                <w:lang w:val="ru-RU"/>
              </w:rPr>
              <w:t>11</w:t>
            </w:r>
          </w:p>
        </w:tc>
        <w:tc>
          <w:tcPr>
            <w:tcW w:w="877" w:type="dxa"/>
          </w:tcPr>
          <w:p w:rsidR="00000000" w:rsidRDefault="00000000">
            <w:pPr>
              <w:spacing w:before="40" w:after="40" w:line="240" w:lineRule="auto"/>
              <w:jc w:val="center"/>
              <w:rPr>
                <w:sz w:val="20"/>
                <w:lang w:val="en-GB"/>
              </w:rPr>
            </w:pPr>
            <w:r>
              <w:rPr>
                <w:sz w:val="20"/>
                <w:lang w:val="ru-RU"/>
              </w:rPr>
              <w:t>1</w:t>
            </w:r>
            <w:r>
              <w:rPr>
                <w:sz w:val="20"/>
                <w:lang w:val="en-GB"/>
              </w:rPr>
              <w:t>1</w:t>
            </w:r>
          </w:p>
        </w:tc>
        <w:tc>
          <w:tcPr>
            <w:tcW w:w="754" w:type="dxa"/>
          </w:tcPr>
          <w:p w:rsidR="00000000" w:rsidRDefault="00000000">
            <w:pPr>
              <w:spacing w:before="40" w:after="40" w:line="240" w:lineRule="auto"/>
              <w:jc w:val="center"/>
              <w:rPr>
                <w:sz w:val="20"/>
                <w:lang w:val="en-GB"/>
              </w:rPr>
            </w:pPr>
            <w:r>
              <w:rPr>
                <w:sz w:val="20"/>
                <w:lang w:val="en-GB"/>
              </w:rPr>
              <w:t>8</w:t>
            </w:r>
          </w:p>
        </w:tc>
        <w:tc>
          <w:tcPr>
            <w:tcW w:w="753" w:type="dxa"/>
          </w:tcPr>
          <w:p w:rsidR="00000000" w:rsidRDefault="00000000">
            <w:pPr>
              <w:spacing w:before="40" w:after="40" w:line="240" w:lineRule="auto"/>
              <w:jc w:val="center"/>
              <w:rPr>
                <w:sz w:val="20"/>
                <w:lang w:val="en-GB"/>
              </w:rPr>
            </w:pPr>
            <w:r>
              <w:rPr>
                <w:sz w:val="20"/>
                <w:lang w:val="en-GB"/>
              </w:rPr>
              <w:t>23</w:t>
            </w:r>
          </w:p>
        </w:tc>
        <w:tc>
          <w:tcPr>
            <w:tcW w:w="754" w:type="dxa"/>
          </w:tcPr>
          <w:p w:rsidR="00000000" w:rsidRDefault="00000000">
            <w:pPr>
              <w:spacing w:before="40" w:after="40" w:line="240" w:lineRule="auto"/>
              <w:jc w:val="center"/>
              <w:rPr>
                <w:sz w:val="20"/>
                <w:lang w:val="en-GB"/>
              </w:rPr>
            </w:pPr>
            <w:r>
              <w:rPr>
                <w:sz w:val="20"/>
                <w:lang w:val="en-GB"/>
              </w:rPr>
              <w:t>13</w:t>
            </w:r>
          </w:p>
        </w:tc>
        <w:tc>
          <w:tcPr>
            <w:tcW w:w="505" w:type="dxa"/>
          </w:tcPr>
          <w:p w:rsidR="00000000" w:rsidRDefault="00000000">
            <w:pPr>
              <w:spacing w:before="40" w:after="40" w:line="240" w:lineRule="auto"/>
              <w:jc w:val="center"/>
              <w:rPr>
                <w:sz w:val="20"/>
                <w:lang w:val="en-GB"/>
              </w:rPr>
            </w:pPr>
            <w:r>
              <w:rPr>
                <w:sz w:val="20"/>
                <w:lang w:val="en-GB"/>
              </w:rPr>
              <w:t>6</w:t>
            </w:r>
          </w:p>
        </w:tc>
        <w:tc>
          <w:tcPr>
            <w:tcW w:w="1001" w:type="dxa"/>
          </w:tcPr>
          <w:p w:rsidR="00000000" w:rsidRDefault="00000000">
            <w:pPr>
              <w:spacing w:before="40" w:after="40" w:line="240" w:lineRule="auto"/>
              <w:jc w:val="center"/>
              <w:rPr>
                <w:sz w:val="20"/>
                <w:lang w:val="en-GB"/>
              </w:rPr>
            </w:pPr>
            <w:r>
              <w:rPr>
                <w:sz w:val="20"/>
                <w:lang w:val="en-GB"/>
              </w:rPr>
              <w:t>1,007</w:t>
            </w: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p>
        </w:tc>
        <w:tc>
          <w:tcPr>
            <w:tcW w:w="1496" w:type="dxa"/>
          </w:tcPr>
          <w:p w:rsidR="00000000" w:rsidRDefault="00000000">
            <w:pPr>
              <w:spacing w:before="40" w:after="40" w:line="240" w:lineRule="auto"/>
              <w:jc w:val="center"/>
              <w:rPr>
                <w:sz w:val="20"/>
                <w:lang w:val="en-GB"/>
              </w:rPr>
            </w:pPr>
          </w:p>
        </w:tc>
        <w:tc>
          <w:tcPr>
            <w:tcW w:w="877" w:type="dxa"/>
          </w:tcPr>
          <w:p w:rsidR="00000000" w:rsidRDefault="00000000">
            <w:pPr>
              <w:spacing w:before="40" w:after="40" w:line="240" w:lineRule="auto"/>
              <w:jc w:val="center"/>
              <w:rPr>
                <w:sz w:val="20"/>
                <w:lang w:val="en-GB"/>
              </w:rPr>
            </w:pPr>
          </w:p>
        </w:tc>
        <w:tc>
          <w:tcPr>
            <w:tcW w:w="877" w:type="dxa"/>
          </w:tcPr>
          <w:p w:rsidR="00000000" w:rsidRDefault="00000000">
            <w:pPr>
              <w:spacing w:before="40" w:after="40" w:line="240" w:lineRule="auto"/>
              <w:jc w:val="center"/>
              <w:rPr>
                <w:sz w:val="20"/>
                <w:lang w:val="en-GB"/>
              </w:rPr>
            </w:pPr>
          </w:p>
        </w:tc>
        <w:tc>
          <w:tcPr>
            <w:tcW w:w="754" w:type="dxa"/>
          </w:tcPr>
          <w:p w:rsidR="00000000" w:rsidRDefault="00000000">
            <w:pPr>
              <w:spacing w:before="40" w:after="40" w:line="240" w:lineRule="auto"/>
              <w:jc w:val="center"/>
              <w:rPr>
                <w:sz w:val="20"/>
                <w:lang w:val="en-GB"/>
              </w:rPr>
            </w:pPr>
          </w:p>
        </w:tc>
        <w:tc>
          <w:tcPr>
            <w:tcW w:w="753" w:type="dxa"/>
          </w:tcPr>
          <w:p w:rsidR="00000000" w:rsidRDefault="00000000">
            <w:pPr>
              <w:spacing w:before="40" w:after="40" w:line="240" w:lineRule="auto"/>
              <w:jc w:val="center"/>
              <w:rPr>
                <w:sz w:val="20"/>
                <w:lang w:val="en-GB"/>
              </w:rPr>
            </w:pPr>
          </w:p>
        </w:tc>
        <w:tc>
          <w:tcPr>
            <w:tcW w:w="754" w:type="dxa"/>
          </w:tcPr>
          <w:p w:rsidR="00000000" w:rsidRDefault="00000000">
            <w:pPr>
              <w:spacing w:before="40" w:after="40" w:line="240" w:lineRule="auto"/>
              <w:jc w:val="center"/>
              <w:rPr>
                <w:sz w:val="20"/>
                <w:lang w:val="en-GB"/>
              </w:rPr>
            </w:pPr>
          </w:p>
        </w:tc>
        <w:tc>
          <w:tcPr>
            <w:tcW w:w="505" w:type="dxa"/>
          </w:tcPr>
          <w:p w:rsidR="00000000" w:rsidRDefault="00000000">
            <w:pPr>
              <w:spacing w:before="40" w:after="40" w:line="240" w:lineRule="auto"/>
              <w:jc w:val="center"/>
              <w:rPr>
                <w:sz w:val="20"/>
                <w:lang w:val="en-GB"/>
              </w:rPr>
            </w:pPr>
          </w:p>
        </w:tc>
        <w:tc>
          <w:tcPr>
            <w:tcW w:w="1001" w:type="dxa"/>
          </w:tcPr>
          <w:p w:rsidR="00000000" w:rsidRDefault="00000000">
            <w:pPr>
              <w:spacing w:before="40" w:after="40" w:line="240" w:lineRule="auto"/>
              <w:jc w:val="center"/>
              <w:rPr>
                <w:sz w:val="20"/>
                <w:lang w:val="en-GB"/>
              </w:rPr>
            </w:pPr>
          </w:p>
        </w:tc>
      </w:tr>
      <w:tr w:rsidR="00000000">
        <w:tblPrEx>
          <w:tblCellMar>
            <w:top w:w="0" w:type="dxa"/>
            <w:bottom w:w="0" w:type="dxa"/>
          </w:tblCellMar>
        </w:tblPrEx>
        <w:trPr>
          <w:jc w:val="center"/>
        </w:trPr>
        <w:tc>
          <w:tcPr>
            <w:tcW w:w="2339" w:type="dxa"/>
          </w:tcPr>
          <w:p w:rsidR="00000000" w:rsidRDefault="00000000">
            <w:pPr>
              <w:spacing w:before="120" w:after="40" w:line="240" w:lineRule="auto"/>
              <w:rPr>
                <w:b/>
                <w:i/>
                <w:sz w:val="20"/>
              </w:rPr>
            </w:pPr>
            <w:r>
              <w:rPr>
                <w:b/>
                <w:i/>
                <w:sz w:val="20"/>
              </w:rPr>
              <w:t>Мужчины</w:t>
            </w:r>
          </w:p>
        </w:tc>
        <w:tc>
          <w:tcPr>
            <w:tcW w:w="1496" w:type="dxa"/>
          </w:tcPr>
          <w:p w:rsidR="00000000" w:rsidRDefault="00000000">
            <w:pPr>
              <w:spacing w:before="120" w:after="40" w:line="240" w:lineRule="auto"/>
              <w:jc w:val="center"/>
              <w:rPr>
                <w:b/>
                <w:i/>
                <w:sz w:val="20"/>
                <w:lang w:val="en-GB"/>
              </w:rPr>
            </w:pPr>
          </w:p>
        </w:tc>
        <w:tc>
          <w:tcPr>
            <w:tcW w:w="877" w:type="dxa"/>
          </w:tcPr>
          <w:p w:rsidR="00000000" w:rsidRDefault="00000000">
            <w:pPr>
              <w:spacing w:before="120" w:after="40" w:line="240" w:lineRule="auto"/>
              <w:jc w:val="center"/>
              <w:rPr>
                <w:b/>
                <w:i/>
                <w:sz w:val="20"/>
                <w:lang w:val="en-GB"/>
              </w:rPr>
            </w:pPr>
          </w:p>
        </w:tc>
        <w:tc>
          <w:tcPr>
            <w:tcW w:w="877" w:type="dxa"/>
          </w:tcPr>
          <w:p w:rsidR="00000000" w:rsidRDefault="00000000">
            <w:pPr>
              <w:spacing w:before="120" w:after="40" w:line="240" w:lineRule="auto"/>
              <w:jc w:val="center"/>
              <w:rPr>
                <w:b/>
                <w:i/>
                <w:sz w:val="20"/>
                <w:lang w:val="en-GB"/>
              </w:rPr>
            </w:pPr>
          </w:p>
        </w:tc>
        <w:tc>
          <w:tcPr>
            <w:tcW w:w="754" w:type="dxa"/>
          </w:tcPr>
          <w:p w:rsidR="00000000" w:rsidRDefault="00000000">
            <w:pPr>
              <w:spacing w:before="120" w:after="40" w:line="240" w:lineRule="auto"/>
              <w:jc w:val="center"/>
              <w:rPr>
                <w:b/>
                <w:i/>
                <w:sz w:val="20"/>
                <w:lang w:val="en-GB"/>
              </w:rPr>
            </w:pPr>
          </w:p>
        </w:tc>
        <w:tc>
          <w:tcPr>
            <w:tcW w:w="753" w:type="dxa"/>
          </w:tcPr>
          <w:p w:rsidR="00000000" w:rsidRDefault="00000000">
            <w:pPr>
              <w:spacing w:before="120" w:after="40" w:line="240" w:lineRule="auto"/>
              <w:jc w:val="center"/>
              <w:rPr>
                <w:b/>
                <w:i/>
                <w:sz w:val="20"/>
                <w:lang w:val="en-GB"/>
              </w:rPr>
            </w:pPr>
          </w:p>
        </w:tc>
        <w:tc>
          <w:tcPr>
            <w:tcW w:w="754" w:type="dxa"/>
          </w:tcPr>
          <w:p w:rsidR="00000000" w:rsidRDefault="00000000">
            <w:pPr>
              <w:spacing w:before="120" w:after="40" w:line="240" w:lineRule="auto"/>
              <w:jc w:val="center"/>
              <w:rPr>
                <w:b/>
                <w:i/>
                <w:sz w:val="20"/>
                <w:lang w:val="en-GB"/>
              </w:rPr>
            </w:pPr>
          </w:p>
        </w:tc>
        <w:tc>
          <w:tcPr>
            <w:tcW w:w="505" w:type="dxa"/>
          </w:tcPr>
          <w:p w:rsidR="00000000" w:rsidRDefault="00000000">
            <w:pPr>
              <w:spacing w:before="120" w:after="40" w:line="240" w:lineRule="auto"/>
              <w:jc w:val="center"/>
              <w:rPr>
                <w:b/>
                <w:i/>
                <w:sz w:val="20"/>
                <w:lang w:val="en-GB"/>
              </w:rPr>
            </w:pPr>
          </w:p>
        </w:tc>
        <w:tc>
          <w:tcPr>
            <w:tcW w:w="1001" w:type="dxa"/>
          </w:tcPr>
          <w:p w:rsidR="00000000" w:rsidRDefault="00000000">
            <w:pPr>
              <w:spacing w:before="120" w:after="40" w:line="240" w:lineRule="auto"/>
              <w:jc w:val="center"/>
              <w:rPr>
                <w:b/>
                <w:i/>
                <w:sz w:val="20"/>
                <w:lang w:val="en-GB"/>
              </w:rPr>
            </w:pP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Всего</w:t>
            </w:r>
          </w:p>
        </w:tc>
        <w:tc>
          <w:tcPr>
            <w:tcW w:w="1496" w:type="dxa"/>
          </w:tcPr>
          <w:p w:rsidR="00000000" w:rsidRDefault="00000000">
            <w:pPr>
              <w:spacing w:before="40" w:after="40" w:line="240" w:lineRule="auto"/>
              <w:jc w:val="center"/>
              <w:rPr>
                <w:sz w:val="20"/>
                <w:lang w:val="en-GB"/>
              </w:rPr>
            </w:pPr>
            <w:r>
              <w:rPr>
                <w:sz w:val="20"/>
                <w:lang w:val="en-GB"/>
              </w:rPr>
              <w:t>13</w:t>
            </w:r>
          </w:p>
        </w:tc>
        <w:tc>
          <w:tcPr>
            <w:tcW w:w="877" w:type="dxa"/>
          </w:tcPr>
          <w:p w:rsidR="00000000" w:rsidRDefault="00000000">
            <w:pPr>
              <w:spacing w:before="40" w:after="40" w:line="240" w:lineRule="auto"/>
              <w:jc w:val="center"/>
              <w:rPr>
                <w:sz w:val="20"/>
                <w:lang w:val="en-GB"/>
              </w:rPr>
            </w:pPr>
            <w:r>
              <w:rPr>
                <w:sz w:val="20"/>
                <w:lang w:val="en-GB"/>
              </w:rPr>
              <w:t>8</w:t>
            </w:r>
          </w:p>
        </w:tc>
        <w:tc>
          <w:tcPr>
            <w:tcW w:w="877" w:type="dxa"/>
          </w:tcPr>
          <w:p w:rsidR="00000000" w:rsidRDefault="00000000">
            <w:pPr>
              <w:spacing w:before="40" w:after="40" w:line="240" w:lineRule="auto"/>
              <w:jc w:val="center"/>
              <w:rPr>
                <w:sz w:val="20"/>
                <w:lang w:val="en-GB"/>
              </w:rPr>
            </w:pPr>
            <w:r>
              <w:rPr>
                <w:sz w:val="20"/>
                <w:lang w:val="en-GB"/>
              </w:rPr>
              <w:t>15</w:t>
            </w:r>
          </w:p>
        </w:tc>
        <w:tc>
          <w:tcPr>
            <w:tcW w:w="754" w:type="dxa"/>
          </w:tcPr>
          <w:p w:rsidR="00000000" w:rsidRDefault="00000000">
            <w:pPr>
              <w:spacing w:before="40" w:after="40" w:line="240" w:lineRule="auto"/>
              <w:jc w:val="center"/>
              <w:rPr>
                <w:sz w:val="20"/>
                <w:lang w:val="en-GB"/>
              </w:rPr>
            </w:pPr>
            <w:r>
              <w:rPr>
                <w:sz w:val="20"/>
                <w:lang w:val="en-GB"/>
              </w:rPr>
              <w:t>7</w:t>
            </w:r>
          </w:p>
        </w:tc>
        <w:tc>
          <w:tcPr>
            <w:tcW w:w="753" w:type="dxa"/>
          </w:tcPr>
          <w:p w:rsidR="00000000" w:rsidRDefault="00000000">
            <w:pPr>
              <w:spacing w:before="40" w:after="40" w:line="240" w:lineRule="auto"/>
              <w:jc w:val="center"/>
              <w:rPr>
                <w:sz w:val="20"/>
                <w:lang w:val="en-GB"/>
              </w:rPr>
            </w:pPr>
            <w:r>
              <w:rPr>
                <w:sz w:val="20"/>
                <w:lang w:val="en-GB"/>
              </w:rPr>
              <w:t>33</w:t>
            </w:r>
          </w:p>
        </w:tc>
        <w:tc>
          <w:tcPr>
            <w:tcW w:w="754" w:type="dxa"/>
          </w:tcPr>
          <w:p w:rsidR="00000000" w:rsidRDefault="00000000">
            <w:pPr>
              <w:spacing w:before="40" w:after="40" w:line="240" w:lineRule="auto"/>
              <w:jc w:val="center"/>
              <w:rPr>
                <w:sz w:val="20"/>
                <w:lang w:val="en-GB"/>
              </w:rPr>
            </w:pPr>
            <w:r>
              <w:rPr>
                <w:sz w:val="20"/>
                <w:lang w:val="en-GB"/>
              </w:rPr>
              <w:t>15</w:t>
            </w:r>
          </w:p>
        </w:tc>
        <w:tc>
          <w:tcPr>
            <w:tcW w:w="505" w:type="dxa"/>
          </w:tcPr>
          <w:p w:rsidR="00000000" w:rsidRDefault="00000000">
            <w:pPr>
              <w:spacing w:before="40" w:after="40" w:line="240" w:lineRule="auto"/>
              <w:jc w:val="center"/>
              <w:rPr>
                <w:sz w:val="20"/>
                <w:lang w:val="en-GB"/>
              </w:rPr>
            </w:pPr>
            <w:r>
              <w:rPr>
                <w:sz w:val="20"/>
                <w:lang w:val="en-GB"/>
              </w:rPr>
              <w:t>9</w:t>
            </w:r>
          </w:p>
        </w:tc>
        <w:tc>
          <w:tcPr>
            <w:tcW w:w="1001" w:type="dxa"/>
          </w:tcPr>
          <w:p w:rsidR="00000000" w:rsidRDefault="00000000">
            <w:pPr>
              <w:spacing w:before="40" w:after="40" w:line="240" w:lineRule="auto"/>
              <w:jc w:val="center"/>
              <w:rPr>
                <w:sz w:val="20"/>
                <w:lang w:val="en-GB"/>
              </w:rPr>
            </w:pPr>
            <w:r>
              <w:rPr>
                <w:sz w:val="20"/>
                <w:lang w:val="en-GB"/>
              </w:rPr>
              <w:t>5,469</w:t>
            </w: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Этнические голландцы</w:t>
            </w:r>
          </w:p>
        </w:tc>
        <w:tc>
          <w:tcPr>
            <w:tcW w:w="1496" w:type="dxa"/>
          </w:tcPr>
          <w:p w:rsidR="00000000" w:rsidRDefault="00000000">
            <w:pPr>
              <w:spacing w:before="40" w:after="40" w:line="240" w:lineRule="auto"/>
              <w:jc w:val="center"/>
              <w:rPr>
                <w:sz w:val="20"/>
                <w:lang w:val="en-GB"/>
              </w:rPr>
            </w:pPr>
            <w:r>
              <w:rPr>
                <w:sz w:val="20"/>
                <w:lang w:val="en-GB"/>
              </w:rPr>
              <w:t>11</w:t>
            </w:r>
          </w:p>
        </w:tc>
        <w:tc>
          <w:tcPr>
            <w:tcW w:w="877" w:type="dxa"/>
          </w:tcPr>
          <w:p w:rsidR="00000000" w:rsidRDefault="00000000">
            <w:pPr>
              <w:spacing w:before="40" w:after="40" w:line="240" w:lineRule="auto"/>
              <w:jc w:val="center"/>
              <w:rPr>
                <w:sz w:val="20"/>
                <w:lang w:val="en-GB"/>
              </w:rPr>
            </w:pPr>
            <w:r>
              <w:rPr>
                <w:sz w:val="20"/>
                <w:lang w:val="en-GB"/>
              </w:rPr>
              <w:t>7</w:t>
            </w:r>
          </w:p>
        </w:tc>
        <w:tc>
          <w:tcPr>
            <w:tcW w:w="877" w:type="dxa"/>
          </w:tcPr>
          <w:p w:rsidR="00000000" w:rsidRDefault="00000000">
            <w:pPr>
              <w:spacing w:before="40" w:after="40" w:line="240" w:lineRule="auto"/>
              <w:jc w:val="center"/>
              <w:rPr>
                <w:sz w:val="20"/>
                <w:lang w:val="en-GB"/>
              </w:rPr>
            </w:pPr>
            <w:r>
              <w:rPr>
                <w:sz w:val="20"/>
                <w:lang w:val="en-GB"/>
              </w:rPr>
              <w:t>15</w:t>
            </w:r>
          </w:p>
        </w:tc>
        <w:tc>
          <w:tcPr>
            <w:tcW w:w="754" w:type="dxa"/>
          </w:tcPr>
          <w:p w:rsidR="00000000" w:rsidRDefault="00000000">
            <w:pPr>
              <w:spacing w:before="40" w:after="40" w:line="240" w:lineRule="auto"/>
              <w:jc w:val="center"/>
              <w:rPr>
                <w:sz w:val="20"/>
                <w:lang w:val="en-GB"/>
              </w:rPr>
            </w:pPr>
            <w:r>
              <w:rPr>
                <w:sz w:val="20"/>
                <w:lang w:val="en-GB"/>
              </w:rPr>
              <w:t>6</w:t>
            </w:r>
          </w:p>
        </w:tc>
        <w:tc>
          <w:tcPr>
            <w:tcW w:w="753" w:type="dxa"/>
          </w:tcPr>
          <w:p w:rsidR="00000000" w:rsidRDefault="00000000">
            <w:pPr>
              <w:spacing w:before="40" w:after="40" w:line="240" w:lineRule="auto"/>
              <w:jc w:val="center"/>
              <w:rPr>
                <w:sz w:val="20"/>
                <w:lang w:val="en-GB"/>
              </w:rPr>
            </w:pPr>
            <w:r>
              <w:rPr>
                <w:sz w:val="20"/>
                <w:lang w:val="en-GB"/>
              </w:rPr>
              <w:t>36</w:t>
            </w:r>
          </w:p>
        </w:tc>
        <w:tc>
          <w:tcPr>
            <w:tcW w:w="754" w:type="dxa"/>
          </w:tcPr>
          <w:p w:rsidR="00000000" w:rsidRDefault="00000000">
            <w:pPr>
              <w:spacing w:before="40" w:after="40" w:line="240" w:lineRule="auto"/>
              <w:jc w:val="center"/>
              <w:rPr>
                <w:sz w:val="20"/>
                <w:lang w:val="en-GB"/>
              </w:rPr>
            </w:pPr>
            <w:r>
              <w:rPr>
                <w:sz w:val="20"/>
                <w:lang w:val="en-GB"/>
              </w:rPr>
              <w:t>16</w:t>
            </w:r>
          </w:p>
        </w:tc>
        <w:tc>
          <w:tcPr>
            <w:tcW w:w="505" w:type="dxa"/>
          </w:tcPr>
          <w:p w:rsidR="00000000" w:rsidRDefault="00000000">
            <w:pPr>
              <w:spacing w:before="40" w:after="40" w:line="240" w:lineRule="auto"/>
              <w:jc w:val="center"/>
              <w:rPr>
                <w:sz w:val="20"/>
                <w:lang w:val="en-GB"/>
              </w:rPr>
            </w:pPr>
            <w:r>
              <w:rPr>
                <w:sz w:val="20"/>
                <w:lang w:val="en-GB"/>
              </w:rPr>
              <w:t>8</w:t>
            </w:r>
          </w:p>
        </w:tc>
        <w:tc>
          <w:tcPr>
            <w:tcW w:w="1001" w:type="dxa"/>
          </w:tcPr>
          <w:p w:rsidR="00000000" w:rsidRDefault="00000000">
            <w:pPr>
              <w:spacing w:before="40" w:after="40" w:line="240" w:lineRule="auto"/>
              <w:jc w:val="center"/>
              <w:rPr>
                <w:sz w:val="20"/>
                <w:lang w:val="en-GB"/>
              </w:rPr>
            </w:pPr>
            <w:r>
              <w:rPr>
                <w:sz w:val="20"/>
                <w:lang w:val="en-GB"/>
              </w:rPr>
              <w:t>4,443</w:t>
            </w:r>
          </w:p>
        </w:tc>
      </w:tr>
      <w:tr w:rsidR="00000000">
        <w:tblPrEx>
          <w:tblCellMar>
            <w:top w:w="0" w:type="dxa"/>
            <w:bottom w:w="0" w:type="dxa"/>
          </w:tblCellMar>
        </w:tblPrEx>
        <w:trPr>
          <w:jc w:val="center"/>
        </w:trPr>
        <w:tc>
          <w:tcPr>
            <w:tcW w:w="2339" w:type="dxa"/>
          </w:tcPr>
          <w:p w:rsidR="00000000" w:rsidRDefault="00000000">
            <w:pPr>
              <w:spacing w:before="40" w:after="40" w:line="240" w:lineRule="auto"/>
              <w:rPr>
                <w:sz w:val="20"/>
              </w:rPr>
            </w:pPr>
            <w:r>
              <w:rPr>
                <w:sz w:val="20"/>
              </w:rPr>
              <w:t>Этнические меньшинства</w:t>
            </w:r>
          </w:p>
        </w:tc>
        <w:tc>
          <w:tcPr>
            <w:tcW w:w="1496" w:type="dxa"/>
          </w:tcPr>
          <w:p w:rsidR="00000000" w:rsidRDefault="00000000">
            <w:pPr>
              <w:spacing w:before="40" w:after="40" w:line="240" w:lineRule="auto"/>
              <w:jc w:val="center"/>
              <w:rPr>
                <w:sz w:val="20"/>
              </w:rPr>
            </w:pPr>
            <w:r>
              <w:rPr>
                <w:sz w:val="20"/>
              </w:rPr>
              <w:t>25</w:t>
            </w:r>
          </w:p>
        </w:tc>
        <w:tc>
          <w:tcPr>
            <w:tcW w:w="877" w:type="dxa"/>
          </w:tcPr>
          <w:p w:rsidR="00000000" w:rsidRDefault="00000000">
            <w:pPr>
              <w:spacing w:before="40" w:after="40" w:line="240" w:lineRule="auto"/>
              <w:jc w:val="center"/>
              <w:rPr>
                <w:sz w:val="20"/>
              </w:rPr>
            </w:pPr>
            <w:r>
              <w:rPr>
                <w:sz w:val="20"/>
              </w:rPr>
              <w:t>9</w:t>
            </w:r>
          </w:p>
        </w:tc>
        <w:tc>
          <w:tcPr>
            <w:tcW w:w="877" w:type="dxa"/>
          </w:tcPr>
          <w:p w:rsidR="00000000" w:rsidRDefault="00000000">
            <w:pPr>
              <w:spacing w:before="40" w:after="40" w:line="240" w:lineRule="auto"/>
              <w:jc w:val="center"/>
              <w:rPr>
                <w:sz w:val="20"/>
              </w:rPr>
            </w:pPr>
            <w:r>
              <w:rPr>
                <w:sz w:val="20"/>
              </w:rPr>
              <w:t>14</w:t>
            </w:r>
          </w:p>
        </w:tc>
        <w:tc>
          <w:tcPr>
            <w:tcW w:w="754" w:type="dxa"/>
          </w:tcPr>
          <w:p w:rsidR="00000000" w:rsidRDefault="00000000">
            <w:pPr>
              <w:spacing w:before="40" w:after="40" w:line="240" w:lineRule="auto"/>
              <w:jc w:val="center"/>
              <w:rPr>
                <w:sz w:val="20"/>
              </w:rPr>
            </w:pPr>
            <w:r>
              <w:rPr>
                <w:sz w:val="20"/>
              </w:rPr>
              <w:t>9</w:t>
            </w:r>
          </w:p>
        </w:tc>
        <w:tc>
          <w:tcPr>
            <w:tcW w:w="753" w:type="dxa"/>
          </w:tcPr>
          <w:p w:rsidR="00000000" w:rsidRDefault="00000000">
            <w:pPr>
              <w:spacing w:before="40" w:after="40" w:line="240" w:lineRule="auto"/>
              <w:jc w:val="center"/>
              <w:rPr>
                <w:sz w:val="20"/>
              </w:rPr>
            </w:pPr>
            <w:r>
              <w:rPr>
                <w:sz w:val="20"/>
              </w:rPr>
              <w:t>22</w:t>
            </w:r>
          </w:p>
        </w:tc>
        <w:tc>
          <w:tcPr>
            <w:tcW w:w="754" w:type="dxa"/>
          </w:tcPr>
          <w:p w:rsidR="00000000" w:rsidRDefault="00000000">
            <w:pPr>
              <w:spacing w:before="40" w:after="40" w:line="240" w:lineRule="auto"/>
              <w:jc w:val="center"/>
              <w:rPr>
                <w:sz w:val="20"/>
              </w:rPr>
            </w:pPr>
            <w:r>
              <w:rPr>
                <w:sz w:val="20"/>
              </w:rPr>
              <w:t>13</w:t>
            </w:r>
          </w:p>
        </w:tc>
        <w:tc>
          <w:tcPr>
            <w:tcW w:w="505" w:type="dxa"/>
          </w:tcPr>
          <w:p w:rsidR="00000000" w:rsidRDefault="00000000">
            <w:pPr>
              <w:spacing w:before="40" w:after="40" w:line="240" w:lineRule="auto"/>
              <w:jc w:val="center"/>
              <w:rPr>
                <w:sz w:val="20"/>
              </w:rPr>
            </w:pPr>
            <w:r>
              <w:rPr>
                <w:sz w:val="20"/>
              </w:rPr>
              <w:t>9</w:t>
            </w:r>
          </w:p>
        </w:tc>
        <w:tc>
          <w:tcPr>
            <w:tcW w:w="1001" w:type="dxa"/>
          </w:tcPr>
          <w:p w:rsidR="00000000" w:rsidRDefault="00000000">
            <w:pPr>
              <w:spacing w:before="40" w:after="40" w:line="240" w:lineRule="auto"/>
              <w:jc w:val="center"/>
              <w:rPr>
                <w:sz w:val="20"/>
              </w:rPr>
            </w:pPr>
            <w:r>
              <w:rPr>
                <w:sz w:val="20"/>
              </w:rPr>
              <w:t>1,025</w:t>
            </w:r>
          </w:p>
        </w:tc>
      </w:tr>
    </w:tbl>
    <w:p w:rsidR="00000000" w:rsidRDefault="00000000">
      <w:pPr>
        <w:spacing w:before="120" w:line="240" w:lineRule="auto"/>
        <w:rPr>
          <w:sz w:val="20"/>
        </w:rPr>
      </w:pPr>
      <w:r>
        <w:rPr>
          <w:sz w:val="20"/>
        </w:rPr>
        <w:t>Источник: Центральное статистическое бюро Нидерландов (данные переписи), 2001 год.</w:t>
      </w:r>
    </w:p>
    <w:p w:rsidR="00000000" w:rsidRDefault="00000000"/>
    <w:p w:rsidR="00000000" w:rsidRDefault="00000000">
      <w:pPr>
        <w:pStyle w:val="Subtitle"/>
        <w:rPr>
          <w:lang w:val="ru-RU"/>
        </w:rPr>
      </w:pPr>
      <w:r>
        <w:rPr>
          <w:lang w:val="ru-RU"/>
        </w:rPr>
        <w:t>Женщины-профессора</w:t>
      </w:r>
    </w:p>
    <w:p w:rsidR="00000000" w:rsidRDefault="00000000">
      <w:r>
        <w:t>Женщины по-прежнему недостаточно широко представлены среди профессорско-преподавательского состава в университетах, особенно на уровне профессоров. Вместе с тем результаты исследований свидетельствуют о том, что с основным препятствием женщины сталкиваются на стадии перехода из категории преподавателей университетов в категорию старших преподавателей, что, соответственно, мешает их последующему переводу в категорию профессоров.</w:t>
      </w:r>
    </w:p>
    <w:p w:rsidR="00000000" w:rsidRDefault="00000000">
      <w:r>
        <w:t>По этой причине в рамках программы "Аспасиа", которая началась в 2000 году и оказалась весьма успешной, было принято решение в первую очередь расширить доступ женщин к категории старших преподавателей. Результаты самой последней оценки (которая была проведена в августе 2003 года) показали, что программа "Аспасиа" не только дала положительный эффект в виде увеличения числа женщин на должностях старших преподавателей, но и способствовала увеличению числа женщин-профессоров. Из 30 женщин, избранных в рамках первого этапа программы, 8 впоследствии стали профессорами. С учетом успеха программы "Аспасиа" министр принял решение продолжить ее осуществление до 2005 года.</w:t>
      </w:r>
    </w:p>
    <w:p w:rsidR="00000000" w:rsidRDefault="00000000">
      <w:pPr>
        <w:pStyle w:val="Subtitle"/>
        <w:rPr>
          <w:lang w:val="ru-RU"/>
        </w:rPr>
      </w:pPr>
      <w:r>
        <w:rPr>
          <w:lang w:val="ru-RU"/>
        </w:rPr>
        <w:t>Женщины и технология</w:t>
      </w:r>
    </w:p>
    <w:p w:rsidR="00000000" w:rsidRDefault="00000000">
      <w:r>
        <w:t>С 1998 года до середины 2004 года правительство, работодатели и учебные заведения сотрудничали в процессе осуществления рамочной программы "АКСИС", призванной оказать поддержку инициативам по повышению интереса женщин к науке и технологии в области образования и на рынке труда, на основе исследований и анализов. Указанная программа была конкретно ориентирована на проблему "Женщины и технология". Были проведены различные мероприятия, начиная от разработки и обеспечения дидактических материалов, в которых отсутствуют какие бы то ни было проявления гендерной дискриминации, для начальных школ и заканчивая побуждением женщин к выбору профессий в технической сфере.</w:t>
      </w:r>
    </w:p>
    <w:p w:rsidR="00000000" w:rsidRDefault="00000000">
      <w:r>
        <w:t>Некоторым учебным заведениям системы высшего профессионально-технического образования предписано привлекать к участию в специально адаптированных программах обучения женщин, которые в средней школе не изучали предметов, необходимых для работы по техническим специальностям и их последующего использования в техническом секторе рынка труда. В качестве удачного примера такого опыта можно отметить т</w:t>
      </w:r>
      <w:r>
        <w:rPr>
          <w:lang w:val="ru-RU"/>
        </w:rPr>
        <w:t>у</w:t>
      </w:r>
      <w:r>
        <w:t xml:space="preserve"> роль, которую Национальная организация женщин в системе высшего профессионально-технического образования играет в составлении или пересмотре программ обучения, используемых в высших профессионально-технических училищах для устранения гендерных предрассудков, особенно в области точных наук. Национальная организация женщин планирует и поддерживает инициативы, направленные на привлечение женщин в систему профессионально-технического образования.</w:t>
      </w:r>
    </w:p>
    <w:p w:rsidR="00000000" w:rsidRDefault="00000000">
      <w:pPr>
        <w:pStyle w:val="Subtitle"/>
        <w:rPr>
          <w:sz w:val="23"/>
          <w:lang w:val="ru-RU"/>
        </w:rPr>
      </w:pPr>
      <w:r>
        <w:rPr>
          <w:sz w:val="23"/>
          <w:lang w:val="ru-RU"/>
        </w:rPr>
        <w:t>2.</w:t>
      </w:r>
      <w:r>
        <w:rPr>
          <w:sz w:val="23"/>
          <w:lang w:val="ru-RU"/>
        </w:rPr>
        <w:tab/>
        <w:t>Участие в спортивной жизни</w:t>
      </w:r>
    </w:p>
    <w:p w:rsidR="00000000" w:rsidRDefault="00000000">
      <w:r>
        <w:t>Нидерландские мужчины и женщины примерно в равных долях участвуют в организованных занятиях спортом</w:t>
      </w:r>
      <w:r>
        <w:rPr>
          <w:rStyle w:val="FootnoteReference"/>
          <w:sz w:val="22"/>
        </w:rPr>
        <w:footnoteReference w:customMarkFollows="1" w:id="51"/>
        <w:t>50</w:t>
      </w:r>
      <w:r>
        <w:t>. Членами одного или нескольких спортивных клубов являются 65,1 процента женщин и 64,6 процента мужчин. Однако это равенство не подкрепляется равенством в составе исполнительных комитетов спортивных клубов и федераций. На национальном уровне женщины занимают относительно небольшой процент руководящих должностей (см. диаграмму). По сути дела, их число в 2003 году несколько снизилось по сравнению с уровнем 2002 года после некоторого увеличения, зарегистрированного в предыдущие годы.</w:t>
      </w:r>
    </w:p>
    <w:p w:rsidR="00000000" w:rsidRDefault="00000000">
      <w:pPr>
        <w:jc w:val="center"/>
        <w:rPr>
          <w:b/>
          <w:lang w:val="ru-RU"/>
        </w:rPr>
      </w:pPr>
      <w:r>
        <w:rPr>
          <w:b/>
          <w:lang w:val="ru-RU"/>
        </w:rPr>
        <w:t xml:space="preserve">Соотношение женщин и мужчин на руководящих должностях </w:t>
      </w:r>
      <w:r>
        <w:rPr>
          <w:b/>
          <w:lang w:val="ru-RU"/>
        </w:rPr>
        <w:br/>
        <w:t>в национальных спортивных федерациях</w:t>
      </w:r>
    </w:p>
    <w:p w:rsidR="00000000" w:rsidRDefault="00000000">
      <w:pPr>
        <w:spacing w:before="0" w:line="240" w:lineRule="auto"/>
        <w:jc w:val="center"/>
        <w:rPr>
          <w:lang w:val="ru-RU"/>
        </w:rPr>
      </w:pPr>
      <w:r>
        <w:rPr>
          <w:noProof/>
        </w:rPr>
        <w:pict>
          <v:shapetype id="_x0000_t202" coordsize="21600,21600" o:spt="202" path="m,l,21600r21600,l21600,xe">
            <v:stroke joinstyle="miter"/>
            <v:path gradientshapeok="t" o:connecttype="rect"/>
          </v:shapetype>
          <v:shape id="_x0000_s1071" type="#_x0000_t202" style="position:absolute;left:0;text-align:left;margin-left:18pt;margin-top:31pt;width:26pt;height:112pt;z-index:1;mso-position-horizontal:absolute;mso-position-horizontal-relative:text;mso-position-vertical:absolute;mso-position-vertical-relative:text" o:allowincell="f" filled="f" stroked="f">
            <v:textbox style="layout-flow:vertical;mso-layout-flow-alt:bottom-to-top" inset="0,0,0,0">
              <w:txbxContent>
                <w:p w:rsidR="00000000" w:rsidRDefault="00000000">
                  <w:pPr>
                    <w:jc w:val="center"/>
                    <w:rPr>
                      <w:rFonts w:ascii="Arial" w:hAnsi="Arial"/>
                      <w:b/>
                      <w:sz w:val="20"/>
                    </w:rPr>
                  </w:pPr>
                  <w:r>
                    <w:rPr>
                      <w:rFonts w:ascii="Arial" w:hAnsi="Arial"/>
                      <w:b/>
                      <w:sz w:val="20"/>
                    </w:rPr>
                    <w:t>Число</w:t>
                  </w:r>
                </w:p>
              </w:txbxContent>
            </v:textbox>
          </v:shape>
        </w:pict>
      </w:r>
      <w:r>
        <w:rPr>
          <w:noProof/>
        </w:rPr>
        <w:pict>
          <v:shape id="_x0000_s1072" type="#_x0000_t202" style="position:absolute;left:0;text-align:left;margin-left:99pt;margin-top:166pt;width:225pt;height:14pt;z-index:2;mso-position-horizontal:absolute;mso-position-horizontal-relative:text;mso-position-vertical:absolute;mso-position-vertical-relative:text" o:allowincell="f" filled="f" stroked="f">
            <v:textbox inset="0,0,0,0">
              <w:txbxContent>
                <w:p w:rsidR="00000000" w:rsidRDefault="00000000">
                  <w:pPr>
                    <w:spacing w:before="0"/>
                    <w:jc w:val="center"/>
                    <w:rPr>
                      <w:rFonts w:ascii="Arial" w:hAnsi="Arial"/>
                      <w:b/>
                      <w:sz w:val="20"/>
                    </w:rPr>
                  </w:pPr>
                  <w:r>
                    <w:rPr>
                      <w:rFonts w:ascii="Arial" w:hAnsi="Arial"/>
                      <w:b/>
                      <w:sz w:val="20"/>
                    </w:rPr>
                    <w:t>год (+ процент участвующих женщин)</w:t>
                  </w:r>
                </w:p>
              </w:txbxContent>
            </v:textbox>
          </v:shape>
        </w:pict>
      </w:r>
      <w:r>
        <w:rPr>
          <w:lang w:val="ru-RU"/>
        </w:rPr>
        <w:object w:dxaOrig="8472" w:dyaOrig="3373">
          <v:shape id="_x0000_i1026" type="#_x0000_t75" style="width:423.75pt;height:168.75pt" o:ole="">
            <v:imagedata r:id="rId16" o:title=""/>
          </v:shape>
          <o:OLEObject Type="Embed" ProgID="MSGraph.Chart.8" ShapeID="_x0000_i1026" DrawAspect="Content" ObjectID="_1418859993" r:id="rId17">
            <o:FieldCodes>\s</o:FieldCodes>
          </o:OLEObject>
        </w:object>
      </w:r>
    </w:p>
    <w:p w:rsidR="00000000" w:rsidRDefault="00000000"/>
    <w:p w:rsidR="00000000" w:rsidRDefault="00000000">
      <w:r>
        <w:t>Соотношение мужчин и женщин в национальных руководящих органах было также сопоставлено с общим составом федераций. Считается, что в спортивной федерации – справедливая представленность мужчин и женщин, поскольку в ее руководящем органе соотношение мужчин и женщин так</w:t>
      </w:r>
      <w:r>
        <w:rPr>
          <w:lang w:val="ru-RU"/>
        </w:rPr>
        <w:t>ое</w:t>
      </w:r>
      <w:r>
        <w:t xml:space="preserve"> же, как и в составе в целом. Общее число национальных федераций и членов </w:t>
      </w:r>
      <w:r>
        <w:rPr>
          <w:lang w:val="ru-RU"/>
        </w:rPr>
        <w:t>за</w:t>
      </w:r>
      <w:r>
        <w:t xml:space="preserve"> отчетн</w:t>
      </w:r>
      <w:r>
        <w:rPr>
          <w:lang w:val="ru-RU"/>
        </w:rPr>
        <w:t>ый</w:t>
      </w:r>
      <w:r>
        <w:t xml:space="preserve"> период оставалось примерно на одном уровне: в стране насчитывалось 56 федераций, объединявших примерно 3,1 млн. членов, исключая Королевскую футбольную федерацию Нидерландов (КФФН). Включение в эти цифры многочисленных членов КФФН привело бы к искажению национальной тенденции. Данные показывают, что 10 федераций имеют равную представленность мужчин и женщин на уровне руководства федерациями, в шести ассоциациях (11 процентов) недостаточно представлены мужчины ("мужские виды спорта", такие как бокс, дартс, перетягивание каната, крикет, регби и поднятие тяжестей) и в 40 ассоциациях (71 процент) недостаточно представлены женщины.</w:t>
      </w:r>
    </w:p>
    <w:p w:rsidR="00000000" w:rsidRDefault="00000000">
      <w:r>
        <w:t>Считается, что доля женщин на руководящих должностях на региональном, окружном и клубном уровнях является более высокой и в большей степени отражает соотношение мужчин и женщин среди членского состава в целом, однако достоверной информации, которая позволяла бы с полной уверенностью говорить об этом, не имеется.</w:t>
      </w:r>
    </w:p>
    <w:p w:rsidR="00000000" w:rsidRDefault="00000000">
      <w:pPr>
        <w:rPr>
          <w:lang w:val="ru-RU"/>
        </w:rPr>
      </w:pPr>
      <w:r>
        <w:t>Правительство считает нецелесообразным оказывать влияние на спортивные федерации относительно того, кого им следует выбирать в состав своих руководящих органов, так как это может нанести ущерб автономному характеру этих спортивных федераций. Министр здравоохранения, благосостояния и спорта выделяет финансовые средства на разработку механизмов, которые обеспечивали бы более справедливое соотношение мужчин и женщин в составе руководящих органов федераций. Олимпийский комитет Нидерландов/Спортивная федерация Нидерландов (ОКН/СФН), Нидерландский институт спорта и физической культуры (НИСФК) и Национальная сеть женщин-спортсмено</w:t>
      </w:r>
      <w:r>
        <w:rPr>
          <w:lang w:val="ru-RU"/>
        </w:rPr>
        <w:t>к</w:t>
      </w:r>
      <w:r>
        <w:t xml:space="preserve"> (НСЖС) осуществляют совместную инициативу, связанную с использованием этих механизмов и оказанием содействия в процессе подбора, подготовки и продвижения по службе женщин, являющихся членами исполнительных комитетов. В ближайшие годы спортивные федерации смогут воспользоваться этими механизмами для назначения большего числа женщин на руководящие и административные должности.</w:t>
      </w:r>
    </w:p>
    <w:p w:rsidR="00000000" w:rsidRDefault="00000000">
      <w:pPr>
        <w:pStyle w:val="-2"/>
      </w:pPr>
      <w:r>
        <w:t>Статьи 11 и 13:  Занятость и участие в экономической жизни</w:t>
      </w:r>
    </w:p>
    <w:p w:rsidR="00000000" w:rsidRDefault="00000000">
      <w:pPr>
        <w:pStyle w:val="Subtitle"/>
        <w:rPr>
          <w:sz w:val="23"/>
        </w:rPr>
      </w:pPr>
      <w:r>
        <w:rPr>
          <w:sz w:val="23"/>
        </w:rPr>
        <w:t>1.</w:t>
      </w:r>
      <w:r>
        <w:rPr>
          <w:sz w:val="23"/>
        </w:rPr>
        <w:tab/>
        <w:t>Поощрение равноправия</w:t>
      </w:r>
    </w:p>
    <w:p w:rsidR="00000000" w:rsidRDefault="00000000">
      <w:r>
        <w:t>Цель борьбы с дискриминацией состоит в том, чтобы создать равные возможности и обеспечить равное обращение в отношении мужчин и женщин. В сфере труда, услуг по уходу и приносящей доход деятельности эта цель конкретно сводится к обеспечению равной оплаты труда, улучшению условий труда женщин и положения женщин-предпринимателей в связи с беременностью, родами и усыновлением детей.</w:t>
      </w:r>
    </w:p>
    <w:p w:rsidR="00000000" w:rsidRDefault="00000000">
      <w:pPr>
        <w:pStyle w:val="Subtitle"/>
      </w:pPr>
      <w:r>
        <w:t>i.</w:t>
      </w:r>
      <w:r>
        <w:tab/>
        <w:t>Равное обращение на рабочем месте</w:t>
      </w:r>
    </w:p>
    <w:p w:rsidR="00000000" w:rsidRDefault="00000000">
      <w:r>
        <w:t xml:space="preserve">В целях создания равных возможностей на рынке труда в 2000–2004 годах в законодательство страны были внесены некоторые изменения. Например, с 1 января 2001 года в Закон о равном обращении </w:t>
      </w:r>
      <w:r>
        <w:rPr>
          <w:lang w:val="ru-RU"/>
        </w:rPr>
        <w:t>(</w:t>
      </w:r>
      <w:r>
        <w:t>в отношении мужчин и женщин</w:t>
      </w:r>
      <w:r>
        <w:rPr>
          <w:lang w:val="ru-RU"/>
        </w:rPr>
        <w:t>)</w:t>
      </w:r>
      <w:r>
        <w:t xml:space="preserve"> было включено специальное положение, касающееся распределения бремени доказывания. В соответствии с указанным положением бремя доказывания перекладывается на сторону, обвиняемую в проявлении дискриминации, что усиливает позиции стороны, выступающей с таким обвинением, в процессе гражданского разбирательства. Это новое положение соответствует директиве 97/80/ЕС, касающейся бремени доказывания в случаях проявления дискриминации по признаку пола в рамках законодательства Нидерландов. Оно способствует большей действенности существующего национального законодательства по обеспечению равных возможностей, эффективно устраняя препятствия, связанные с бременем доказывания. С 2004 года в соответствии с этим новым правилом бремя доказывания также было переложено на сторону, обвиняемую в проявлениях дискриминации по другим признакам, таким как раса, гражданство, гомосексуальная/гетеросексуальная ориентация, религия, убеждения, возраст и наличие физических или умственных недостатков или хронических заболеваний.</w:t>
      </w:r>
    </w:p>
    <w:p w:rsidR="00000000" w:rsidRDefault="00000000">
      <w:r>
        <w:t>1 декабря 2002 года в силу вступил Закон о равном обращении (временные и постоянные трудовые соглашения). В соответствии с положениями данного Закона работодатели не должны проводить различия между трудящимися, работающими на основе временных или постоянных трудовых соглашений, если только такие различия не обусловлены объективными факторами. Положения нового Закона не распространяются на временных служащих учреждений. Данный Закон имеет особое значение для трудящихся, работающих по временным трудовым соглашениям, среди которых явно преобладают женщины и выходцы из этнических меньшинств.</w:t>
      </w:r>
    </w:p>
    <w:p w:rsidR="00000000" w:rsidRDefault="00000000">
      <w:pPr>
        <w:pStyle w:val="Subtitle"/>
        <w:rPr>
          <w:b w:val="0"/>
          <w:i/>
        </w:rPr>
      </w:pPr>
      <w:r>
        <w:rPr>
          <w:b w:val="0"/>
          <w:i/>
        </w:rPr>
        <w:t>Комитет по рассмотрению жалоб в отношении порядка прохождения медицинских осмотров перед приемом на работу</w:t>
      </w:r>
    </w:p>
    <w:p w:rsidR="00000000" w:rsidRDefault="00000000">
      <w:pPr>
        <w:spacing w:before="180"/>
      </w:pPr>
      <w:r>
        <w:t>В 2002 году в соответствии с Законом о медицинских осмотрах был учрежден Комитет по рассмотрению жалоб в отношении порядка прохождения медицинских осмотров перед приемом на работу. Этот независимый Комитет расследует жалобы, касающиеся процедуры медицинских осмотров в процессе рассмотрения заявлений о приеме на работу, и затем выносит свое решение. Несмотря на то что решения данного Комитета не носят обязательного характера, его мнение о том, что проведение медицинского осмотра стало в том или ином смысле нарушением положений указанного Закона, оказывает положительное влияние на результаты рассмотрения жалобы в суде по гражданским делам.</w:t>
      </w:r>
    </w:p>
    <w:p w:rsidR="00000000" w:rsidRDefault="00000000">
      <w:pPr>
        <w:rPr>
          <w:i/>
        </w:rPr>
      </w:pPr>
      <w:r>
        <w:rPr>
          <w:i/>
        </w:rPr>
        <w:t>Политические меры</w:t>
      </w:r>
    </w:p>
    <w:p w:rsidR="00000000" w:rsidRDefault="00000000">
      <w:pPr>
        <w:spacing w:before="180"/>
      </w:pPr>
      <w:r>
        <w:t>Несмотря на то что принцип равенства мужчин и женщин в целом закреплен в законодательстве страны, на практике случаи дискриминации на рабочем месте по-прежнему представляют собой довольно распространенное явление. Результаты исследований показывают, что, хотя идеи равенства, возможно, и пользуются поддержкой в обществе, работодатели и трудящиеся имеют недостаточно четкое представление о соответствующих законодательных положениях. В связи с этим в период 2002–2004 годов Министерство социальных дел и по вопросам занятости осуществило так называемый "проект по статье 13", призванный обеспечить соблюдение принципа равенства на рабочем месте. Данный проект осуществляется совместно с организациями работодателей и профсоюзами, Комиссией по равному обращению и различными неправительственными организациями. В рамках этого проекта охватываются все основания, по которым Закон о равном обращении запрещает дискриминацию, такие как пол, раса, гражданство, религия, убеждения, гражданский статус, гомосексуальная или гетеросексуальная ориентация и политические взгляды, а также "выслуга лет". Разумеется, проект также охватывает такие недавно введенные основания, как возраст, наличие физических или умственных недостатков или хронических заболеваний и работа по временным или постоянным трудовым соглашениям.</w:t>
      </w:r>
    </w:p>
    <w:p w:rsidR="00000000" w:rsidRDefault="00000000">
      <w:pPr>
        <w:rPr>
          <w:i/>
        </w:rPr>
      </w:pPr>
      <w:r>
        <w:rPr>
          <w:i/>
        </w:rPr>
        <w:t>Равное обращение и мелкие предприниматели</w:t>
      </w:r>
    </w:p>
    <w:p w:rsidR="00000000" w:rsidRDefault="00000000">
      <w:pPr>
        <w:spacing w:before="180"/>
      </w:pPr>
      <w:r>
        <w:t>В рамках данного субпроекта, который осуществляется в сотрудничестве с Нидерландской организацией владельцев малых и средних предприятий (НОВМСП), издается большое число журналов по вопросам торговли и статей по вопросам равного обращения. Данная организация работодателей подготовила специальную статью по вопросу о равном обращении, которая была распространена среди всех ее членов. На веб-сайте НОВМСП имеется специальная электронная страница по вопросам равного обращения.</w:t>
      </w:r>
    </w:p>
    <w:p w:rsidR="00000000" w:rsidRDefault="00000000">
      <w:r>
        <w:t>Кроме того, тема равного обращения используется консультационным центром НОВМСП, а также центром НОВМСП, занимающимся вопросами организации курсов обучения и профессиональной подготовки. Последний из указанных центров включает вопросы равного обращения в программы некоторых курсов обучения, организуемых для работодателей, и планирует проводить информационные совещания для отраслевых организаций и различных заинтересованных лиц. Консультационный центр НОВМСП включает вопросы равного обращения в свои анкеты, которыми предприниматели могут пользоваться в ходе проведения проверок их компаний на предмет таких критериев, как показатели их экономической деятельности, кадровая политика и</w:t>
      </w:r>
      <w:r>
        <w:rPr>
          <w:lang w:val="ru-RU"/>
        </w:rPr>
        <w:t> </w:t>
      </w:r>
      <w:r>
        <w:t>т. д.</w:t>
      </w:r>
    </w:p>
    <w:p w:rsidR="00000000" w:rsidRDefault="00000000">
      <w:pPr>
        <w:pStyle w:val="Subtitle"/>
      </w:pPr>
      <w:r>
        <w:rPr>
          <w:lang w:val="en-US"/>
        </w:rPr>
        <w:t>ii</w:t>
      </w:r>
      <w:r>
        <w:t>.</w:t>
      </w:r>
      <w:r>
        <w:tab/>
        <w:t>Равная оплата труда</w:t>
      </w:r>
    </w:p>
    <w:p w:rsidR="00000000" w:rsidRDefault="00000000">
      <w:r>
        <w:t>За обеспечение равной оплаты труда отвечает правительство и социальные партнеры. Отдельные работодатели и трудящиеся также должны играть активную роль в этом процессе.</w:t>
      </w:r>
    </w:p>
    <w:p w:rsidR="00000000" w:rsidRDefault="00000000">
      <w:r>
        <w:t>Правительство стимулирует равную оплату труда с помощью Плана действий по обеспечению равной оплаты труда, который был представлен на рассмотрение Палаты представителей Генеральных штатов в 2000 году. Указанный План действий включает следующие компоненты:</w:t>
      </w:r>
    </w:p>
    <w:p w:rsidR="00000000" w:rsidRDefault="00000000">
      <w:pPr>
        <w:ind w:left="680" w:hanging="680"/>
        <w:rPr>
          <w:lang w:val="ru-RU"/>
        </w:rPr>
      </w:pPr>
      <w:r>
        <w:sym w:font="Wingdings" w:char="F0A7"/>
      </w:r>
      <w:r>
        <w:tab/>
        <w:t>Консультации с социальными партнерами, побуждающие их обращать особое внимание на вопросы, связанные с неравенством в сфере оплаты труда. В результате этих усилий Фонд труда разработал "схему проверки соблюдения принципа равной оплаты труда" в интересах членов организаций работодателей и профсоюзов, которые поддерживают связь с Советом</w:t>
      </w:r>
      <w:r>
        <w:rPr>
          <w:lang w:val="ru-RU"/>
        </w:rPr>
        <w:t>.</w:t>
      </w:r>
    </w:p>
    <w:p w:rsidR="00000000" w:rsidRDefault="00000000">
      <w:r>
        <w:sym w:font="Wingdings" w:char="F0A7"/>
      </w:r>
      <w:r>
        <w:tab/>
        <w:t>Разработка инструментов и механизмов:</w:t>
      </w:r>
    </w:p>
    <w:p w:rsidR="00000000" w:rsidRDefault="00000000">
      <w:pPr>
        <w:ind w:left="1134" w:hanging="1134"/>
      </w:pPr>
      <w:r>
        <w:tab/>
        <w:t>–</w:t>
      </w:r>
      <w:r>
        <w:tab/>
        <w:t>В 2001 году Министерство социальных дел по вопросам занятости предписало разработать инструмент проверки, который планировалось использовать в ходе нейтральных с гендерной точки зрения оценок трудовых отношений. Данный инструмент в настоящее время используется группой контролеров, которые в сотрудничестве с представителями социальных партнеров проверяют системы оценки трудовых отношений на предмет их нейтральности с гендерной точки зрения.</w:t>
      </w:r>
    </w:p>
    <w:p w:rsidR="00000000" w:rsidRDefault="00000000">
      <w:pPr>
        <w:ind w:left="1134" w:hanging="1134"/>
      </w:pPr>
      <w:r>
        <w:tab/>
        <w:t>–</w:t>
      </w:r>
      <w:r>
        <w:tab/>
        <w:t>В 2002 году было организовано пилотное микроисследование, касающееся вопросов равной оплаты труда. В настоящее время информация о различиях в размерах оплаты труда мужчин и женщин имеется только на макроуровне. Однако установить наличие каких-либо действительно неоправданных разрывов в оплате труда можно только на основе анализа отдельных ситуаций. По поручению Министерства социальных дел и по вопросам занятости Утрехтский университет разработал метод, с помощью которого можно определить наличие необоснованных различий в области оплаты труда в отдельных организациях. Результаты данного исследования были переданы на рассмотрение Палаты представителей в 2003 году, и в настоящее время данный метод становится важным инструментом, помогающим организациям-пользователям проверить свои системы оплаты труда на предмет наличия в них каких-либо неоправданных различий.</w:t>
      </w:r>
    </w:p>
    <w:p w:rsidR="00000000" w:rsidRDefault="00000000">
      <w:pPr>
        <w:ind w:left="680" w:hanging="680"/>
      </w:pPr>
      <w:r>
        <w:sym w:font="Symbol" w:char="F0B7"/>
      </w:r>
      <w:r>
        <w:tab/>
        <w:t>За счет гранта от Министерства социальных дел и по вопросам занятости Комиссия по вопросам равного обращения (КРО) должна разработать программное обеспечение для анализа систем оплаты труда. Оперативный анализ позволит провести быструю и эффективную оценку необходимости дальнейших расследований и обеспечит возможность проведения широкомасштабной проверки систем оплаты труда и политики для выявления дискриминационных элементов, избегая каких-либо задержек и проволочек. Оперативный анализ может стимулировать организации представлять КРО данные о своих системах оплаты труда и тем самым способствовать ужесточению политических мер по обеспечению равной оплаты труда.</w:t>
      </w:r>
    </w:p>
    <w:p w:rsidR="00000000" w:rsidRDefault="00000000">
      <w:pPr>
        <w:spacing w:before="180"/>
        <w:ind w:left="680" w:hanging="680"/>
      </w:pPr>
      <w:r>
        <w:sym w:font="Symbol" w:char="F0B7"/>
      </w:r>
      <w:r>
        <w:tab/>
        <w:t>Проводимые силами Инспектора</w:t>
      </w:r>
      <w:r>
        <w:rPr>
          <w:lang w:val="ru-RU"/>
        </w:rPr>
        <w:t>та</w:t>
      </w:r>
      <w:r>
        <w:t xml:space="preserve"> труда двухгодичные расследования по вопросам, касающимся неравенства в оплате труда мужчин и женщин, этнических голландцев и выходцев из этнических меньшинств, трудящихся, работающих полный и неполный рабочий день, и трудящихся, работающих по постоянным или временным трудовым соглашениям.</w:t>
      </w:r>
    </w:p>
    <w:p w:rsidR="00000000" w:rsidRDefault="00000000">
      <w:pPr>
        <w:spacing w:before="180"/>
        <w:ind w:left="680" w:hanging="680"/>
      </w:pPr>
      <w:r>
        <w:sym w:font="Symbol" w:char="F0B7"/>
      </w:r>
      <w:r>
        <w:tab/>
        <w:t>Обеспечение информации. Министерство социальных дел и по вопросам занятости опубликовало ряд брошюр и помещает информацию по вопросам равного обращения и равной оплаты труда на своем сайте по адресу</w:t>
      </w:r>
      <w:r>
        <w:rPr>
          <w:lang w:val="ru-RU"/>
        </w:rPr>
        <w:t>:</w:t>
      </w:r>
      <w:r>
        <w:t xml:space="preserve"> </w:t>
      </w:r>
      <w:r>
        <w:rPr>
          <w:rStyle w:val="Hyperlink0"/>
          <w:lang w:val="en-US"/>
        </w:rPr>
        <w:t>www</w:t>
      </w:r>
      <w:r>
        <w:rPr>
          <w:rStyle w:val="Hyperlink0"/>
        </w:rPr>
        <w:t>.</w:t>
      </w:r>
      <w:r>
        <w:rPr>
          <w:rStyle w:val="Hyperlink0"/>
          <w:lang w:val="en-US"/>
        </w:rPr>
        <w:t>employment</w:t>
      </w:r>
      <w:r>
        <w:rPr>
          <w:rStyle w:val="Hyperlink0"/>
        </w:rPr>
        <w:t>.</w:t>
      </w:r>
      <w:r>
        <w:rPr>
          <w:rStyle w:val="Hyperlink0"/>
          <w:lang w:val="en-US"/>
        </w:rPr>
        <w:t>gov</w:t>
      </w:r>
      <w:r>
        <w:rPr>
          <w:rStyle w:val="Hyperlink0"/>
        </w:rPr>
        <w:t>.</w:t>
      </w:r>
      <w:r>
        <w:rPr>
          <w:rStyle w:val="Hyperlink0"/>
          <w:lang w:val="en-US"/>
        </w:rPr>
        <w:t>nl</w:t>
      </w:r>
      <w:r>
        <w:t xml:space="preserve">. </w:t>
      </w:r>
    </w:p>
    <w:p w:rsidR="00000000" w:rsidRDefault="00000000">
      <w:pPr>
        <w:spacing w:before="180"/>
      </w:pPr>
      <w:r>
        <w:sym w:font="Symbol" w:char="F0B7"/>
      </w:r>
      <w:r>
        <w:tab/>
        <w:t>Руководство по проведению нейтральных с гендерной точки зрения оценок.</w:t>
      </w:r>
    </w:p>
    <w:p w:rsidR="00000000" w:rsidRDefault="00000000">
      <w:r>
        <w:t>Парламент регулярно получает информацию о прогрессе, достигнутом в деле осуществления Плана действий по обеспечению равной оплаты труда.</w:t>
      </w:r>
    </w:p>
    <w:p w:rsidR="00000000" w:rsidRDefault="00000000">
      <w:pPr>
        <w:pStyle w:val="Subtitle"/>
        <w:rPr>
          <w:b w:val="0"/>
          <w:i/>
        </w:rPr>
      </w:pPr>
      <w:r>
        <w:rPr>
          <w:b w:val="0"/>
          <w:i/>
        </w:rPr>
        <w:t>Обследование, проводимое Инспектор</w:t>
      </w:r>
      <w:r>
        <w:rPr>
          <w:b w:val="0"/>
          <w:i/>
          <w:lang w:val="ru-RU"/>
        </w:rPr>
        <w:t>ат</w:t>
      </w:r>
      <w:r>
        <w:rPr>
          <w:b w:val="0"/>
          <w:i/>
        </w:rPr>
        <w:t>ом труда</w:t>
      </w:r>
    </w:p>
    <w:p w:rsidR="00000000" w:rsidRDefault="00000000">
      <w:pPr>
        <w:spacing w:before="200"/>
      </w:pPr>
      <w:r>
        <w:t>Обследование, проводимое Инспектор</w:t>
      </w:r>
      <w:r>
        <w:rPr>
          <w:lang w:val="ru-RU"/>
        </w:rPr>
        <w:t>ат</w:t>
      </w:r>
      <w:r>
        <w:t>ом труда, является ценным источником информации на макроуровне. Оно помогает отслеживать тенденции и изменения, касающиеся различий в уровне оплаты труда мужчин и женщин, на протяжении определенного периода времени.</w:t>
      </w:r>
    </w:p>
    <w:p w:rsidR="00000000" w:rsidRDefault="00000000">
      <w:pPr>
        <w:spacing w:before="200"/>
      </w:pPr>
      <w:r>
        <w:t>В 2002 году Инспекторат труда, опираясь на показатели 2000 года, провел сравнительное исследование, в ходе которого было установлено, что нескорректированный разрыв в уровне оплаты труда мужчин и женщин в частном секторе по-прежнему составляет 23 процента и что скорректированный разрыв в оплате труда в период 1996–2000 годов оставался неизменным. В государственном секторе нескорректированный разрыв составлял 15 процентов, а скорректированный разрыв в 2000 году равнялся 3 процентам. Это на 1 процент ниже по сравнению с показателем 1998 года.</w:t>
      </w:r>
    </w:p>
    <w:p w:rsidR="00000000" w:rsidRDefault="00000000">
      <w:pPr>
        <w:spacing w:before="200"/>
      </w:pPr>
      <w:r>
        <w:t>Нескорректированный разрыв в оплате труда может быть отчасти отнесен на счет различий в уровнях должностей, уровнях образования и выслуге лет. Причины скорректированного разрыва в оплате вряд ли могут быть объяснены в полной мере. Хотя его можно отнести и на счет проявлений дискриминации в сфере оплаты труда, он может объясняться и другими факторами. Результаты проведенных Инспектор</w:t>
      </w:r>
      <w:r>
        <w:rPr>
          <w:lang w:val="ru-RU"/>
        </w:rPr>
        <w:t>ат</w:t>
      </w:r>
      <w:r>
        <w:t>ом труда исследований дают лишь приблизительное представление о различиях в размерах оплаты труда мужчин и женщин на макроуровне. Однако выяснить наличие истинно необоснованного разрыва в оплате труда можно только на основе анализа отдельных ситуаций.</w:t>
      </w:r>
    </w:p>
    <w:p w:rsidR="00000000" w:rsidRDefault="00000000">
      <w:pPr>
        <w:pStyle w:val="Subtitle"/>
        <w:rPr>
          <w:sz w:val="23"/>
          <w:lang w:val="ru-RU"/>
        </w:rPr>
      </w:pPr>
      <w:r>
        <w:rPr>
          <w:sz w:val="23"/>
          <w:lang w:val="ru-RU"/>
        </w:rPr>
        <w:t>2.</w:t>
      </w:r>
      <w:r>
        <w:rPr>
          <w:sz w:val="23"/>
          <w:lang w:val="ru-RU"/>
        </w:rPr>
        <w:tab/>
        <w:t>Коэффициент занятости и экономическая самостоятельность женщин</w:t>
      </w:r>
    </w:p>
    <w:p w:rsidR="00000000" w:rsidRDefault="00000000">
      <w:r>
        <w:t>Трудящееся население классифицируется по полу и роду занятий (в возрасте от 15 до 64 лет)</w:t>
      </w:r>
    </w:p>
    <w:p w:rsidR="00000000" w:rsidRDefault="00000000">
      <w:pPr>
        <w:spacing w:before="0"/>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2787"/>
        <w:gridCol w:w="730"/>
        <w:gridCol w:w="729"/>
        <w:gridCol w:w="730"/>
        <w:gridCol w:w="730"/>
        <w:gridCol w:w="730"/>
        <w:gridCol w:w="730"/>
        <w:gridCol w:w="730"/>
        <w:gridCol w:w="730"/>
        <w:gridCol w:w="730"/>
      </w:tblGrid>
      <w:tr w:rsidR="00000000">
        <w:tblPrEx>
          <w:tblCellMar>
            <w:top w:w="0" w:type="dxa"/>
            <w:bottom w:w="0" w:type="dxa"/>
          </w:tblCellMar>
        </w:tblPrEx>
        <w:trPr>
          <w:jc w:val="center"/>
        </w:trPr>
        <w:tc>
          <w:tcPr>
            <w:tcW w:w="2787" w:type="dxa"/>
          </w:tcPr>
          <w:p w:rsidR="00000000" w:rsidRDefault="00000000">
            <w:pPr>
              <w:spacing w:before="40" w:after="40" w:line="240" w:lineRule="auto"/>
              <w:jc w:val="center"/>
              <w:rPr>
                <w:b/>
                <w:sz w:val="20"/>
              </w:rPr>
            </w:pPr>
          </w:p>
        </w:tc>
        <w:tc>
          <w:tcPr>
            <w:tcW w:w="2189" w:type="dxa"/>
            <w:gridSpan w:val="3"/>
          </w:tcPr>
          <w:p w:rsidR="00000000" w:rsidRDefault="00000000">
            <w:pPr>
              <w:spacing w:before="40" w:after="40" w:line="240" w:lineRule="auto"/>
              <w:jc w:val="center"/>
              <w:rPr>
                <w:b/>
                <w:sz w:val="20"/>
              </w:rPr>
            </w:pPr>
            <w:r>
              <w:rPr>
                <w:b/>
                <w:sz w:val="20"/>
              </w:rPr>
              <w:t xml:space="preserve">Женщины </w:t>
            </w:r>
            <w:r>
              <w:rPr>
                <w:b/>
                <w:sz w:val="20"/>
                <w:lang w:val="ru-RU"/>
              </w:rPr>
              <w:br/>
            </w:r>
            <w:r>
              <w:rPr>
                <w:b/>
                <w:sz w:val="20"/>
              </w:rPr>
              <w:t>(× 1000)</w:t>
            </w:r>
          </w:p>
        </w:tc>
        <w:tc>
          <w:tcPr>
            <w:tcW w:w="2190" w:type="dxa"/>
            <w:gridSpan w:val="3"/>
          </w:tcPr>
          <w:p w:rsidR="00000000" w:rsidRDefault="00000000">
            <w:pPr>
              <w:spacing w:before="40" w:after="40" w:line="240" w:lineRule="auto"/>
              <w:jc w:val="center"/>
              <w:rPr>
                <w:b/>
                <w:sz w:val="20"/>
              </w:rPr>
            </w:pPr>
            <w:r>
              <w:rPr>
                <w:b/>
                <w:sz w:val="20"/>
              </w:rPr>
              <w:t>Мужчины</w:t>
            </w:r>
            <w:r>
              <w:rPr>
                <w:b/>
                <w:sz w:val="20"/>
                <w:lang w:val="ru-RU"/>
              </w:rPr>
              <w:br/>
            </w:r>
            <w:r>
              <w:rPr>
                <w:b/>
                <w:sz w:val="20"/>
              </w:rPr>
              <w:t xml:space="preserve"> (× 1000)</w:t>
            </w:r>
          </w:p>
        </w:tc>
        <w:tc>
          <w:tcPr>
            <w:tcW w:w="2190" w:type="dxa"/>
            <w:gridSpan w:val="3"/>
          </w:tcPr>
          <w:p w:rsidR="00000000" w:rsidRDefault="00000000">
            <w:pPr>
              <w:spacing w:before="40" w:after="40" w:line="240" w:lineRule="auto"/>
              <w:jc w:val="center"/>
              <w:rPr>
                <w:b/>
                <w:sz w:val="20"/>
              </w:rPr>
            </w:pPr>
            <w:r>
              <w:rPr>
                <w:b/>
                <w:sz w:val="20"/>
              </w:rPr>
              <w:t>Доля женщин на рынке труда</w:t>
            </w:r>
            <w:r>
              <w:rPr>
                <w:b/>
                <w:sz w:val="20"/>
                <w:lang w:val="ru-RU"/>
              </w:rPr>
              <w:br/>
            </w:r>
            <w:r>
              <w:rPr>
                <w:b/>
                <w:sz w:val="20"/>
              </w:rPr>
              <w:t>(в процентах)</w:t>
            </w:r>
          </w:p>
        </w:tc>
      </w:tr>
      <w:tr w:rsidR="00000000">
        <w:tblPrEx>
          <w:tblCellMar>
            <w:top w:w="0" w:type="dxa"/>
            <w:bottom w:w="0" w:type="dxa"/>
          </w:tblCellMar>
        </w:tblPrEx>
        <w:trPr>
          <w:jc w:val="center"/>
        </w:trPr>
        <w:tc>
          <w:tcPr>
            <w:tcW w:w="2787" w:type="dxa"/>
          </w:tcPr>
          <w:p w:rsidR="00000000" w:rsidRDefault="00000000">
            <w:pPr>
              <w:spacing w:before="40" w:after="40" w:line="240" w:lineRule="auto"/>
              <w:jc w:val="center"/>
              <w:rPr>
                <w:b/>
                <w:sz w:val="20"/>
              </w:rPr>
            </w:pPr>
          </w:p>
        </w:tc>
        <w:tc>
          <w:tcPr>
            <w:tcW w:w="730" w:type="dxa"/>
          </w:tcPr>
          <w:p w:rsidR="00000000" w:rsidRDefault="00000000">
            <w:pPr>
              <w:spacing w:before="40" w:after="40" w:line="240" w:lineRule="auto"/>
              <w:jc w:val="center"/>
              <w:rPr>
                <w:b/>
                <w:sz w:val="20"/>
              </w:rPr>
            </w:pPr>
            <w:r>
              <w:rPr>
                <w:b/>
                <w:sz w:val="20"/>
              </w:rPr>
              <w:t>1992 год</w:t>
            </w:r>
          </w:p>
        </w:tc>
        <w:tc>
          <w:tcPr>
            <w:tcW w:w="729" w:type="dxa"/>
          </w:tcPr>
          <w:p w:rsidR="00000000" w:rsidRDefault="00000000">
            <w:pPr>
              <w:spacing w:before="40" w:after="40" w:line="240" w:lineRule="auto"/>
              <w:jc w:val="center"/>
              <w:rPr>
                <w:b/>
                <w:sz w:val="20"/>
              </w:rPr>
            </w:pPr>
            <w:r>
              <w:rPr>
                <w:b/>
                <w:sz w:val="20"/>
              </w:rPr>
              <w:t>1995 год</w:t>
            </w:r>
          </w:p>
        </w:tc>
        <w:tc>
          <w:tcPr>
            <w:tcW w:w="730" w:type="dxa"/>
          </w:tcPr>
          <w:p w:rsidR="00000000" w:rsidRDefault="00000000">
            <w:pPr>
              <w:spacing w:before="40" w:after="40" w:line="240" w:lineRule="auto"/>
              <w:jc w:val="center"/>
              <w:rPr>
                <w:b/>
                <w:sz w:val="20"/>
              </w:rPr>
            </w:pPr>
            <w:r>
              <w:rPr>
                <w:b/>
                <w:sz w:val="20"/>
              </w:rPr>
              <w:t>2001 год</w:t>
            </w:r>
          </w:p>
        </w:tc>
        <w:tc>
          <w:tcPr>
            <w:tcW w:w="730" w:type="dxa"/>
          </w:tcPr>
          <w:p w:rsidR="00000000" w:rsidRDefault="00000000">
            <w:pPr>
              <w:spacing w:before="40" w:after="40" w:line="240" w:lineRule="auto"/>
              <w:jc w:val="center"/>
              <w:rPr>
                <w:b/>
                <w:sz w:val="20"/>
              </w:rPr>
            </w:pPr>
            <w:r>
              <w:rPr>
                <w:b/>
                <w:sz w:val="20"/>
              </w:rPr>
              <w:t>1992 год</w:t>
            </w:r>
          </w:p>
        </w:tc>
        <w:tc>
          <w:tcPr>
            <w:tcW w:w="730" w:type="dxa"/>
          </w:tcPr>
          <w:p w:rsidR="00000000" w:rsidRDefault="00000000">
            <w:pPr>
              <w:spacing w:before="40" w:after="40" w:line="240" w:lineRule="auto"/>
              <w:jc w:val="center"/>
              <w:rPr>
                <w:b/>
                <w:sz w:val="20"/>
              </w:rPr>
            </w:pPr>
            <w:r>
              <w:rPr>
                <w:b/>
                <w:sz w:val="20"/>
              </w:rPr>
              <w:t>1995 год</w:t>
            </w:r>
          </w:p>
        </w:tc>
        <w:tc>
          <w:tcPr>
            <w:tcW w:w="730" w:type="dxa"/>
          </w:tcPr>
          <w:p w:rsidR="00000000" w:rsidRDefault="00000000">
            <w:pPr>
              <w:spacing w:before="40" w:after="40" w:line="240" w:lineRule="auto"/>
              <w:jc w:val="center"/>
              <w:rPr>
                <w:b/>
                <w:sz w:val="20"/>
              </w:rPr>
            </w:pPr>
            <w:r>
              <w:rPr>
                <w:b/>
                <w:sz w:val="20"/>
              </w:rPr>
              <w:t>2001 год</w:t>
            </w:r>
          </w:p>
        </w:tc>
        <w:tc>
          <w:tcPr>
            <w:tcW w:w="730" w:type="dxa"/>
          </w:tcPr>
          <w:p w:rsidR="00000000" w:rsidRDefault="00000000">
            <w:pPr>
              <w:spacing w:before="40" w:after="40" w:line="240" w:lineRule="auto"/>
              <w:jc w:val="center"/>
              <w:rPr>
                <w:b/>
                <w:sz w:val="20"/>
              </w:rPr>
            </w:pPr>
            <w:r>
              <w:rPr>
                <w:b/>
                <w:sz w:val="20"/>
              </w:rPr>
              <w:t>1992 год</w:t>
            </w:r>
          </w:p>
        </w:tc>
        <w:tc>
          <w:tcPr>
            <w:tcW w:w="730" w:type="dxa"/>
          </w:tcPr>
          <w:p w:rsidR="00000000" w:rsidRDefault="00000000">
            <w:pPr>
              <w:spacing w:before="40" w:after="40" w:line="240" w:lineRule="auto"/>
              <w:jc w:val="center"/>
              <w:rPr>
                <w:b/>
                <w:sz w:val="20"/>
              </w:rPr>
            </w:pPr>
            <w:r>
              <w:rPr>
                <w:b/>
                <w:sz w:val="20"/>
              </w:rPr>
              <w:t>1995 год</w:t>
            </w:r>
          </w:p>
        </w:tc>
        <w:tc>
          <w:tcPr>
            <w:tcW w:w="730" w:type="dxa"/>
          </w:tcPr>
          <w:p w:rsidR="00000000" w:rsidRDefault="00000000">
            <w:pPr>
              <w:spacing w:before="40" w:after="40" w:line="240" w:lineRule="auto"/>
              <w:jc w:val="center"/>
              <w:rPr>
                <w:b/>
                <w:sz w:val="20"/>
              </w:rPr>
            </w:pPr>
            <w:r>
              <w:rPr>
                <w:b/>
                <w:sz w:val="20"/>
              </w:rPr>
              <w:t>2001 год</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Трудящееся население</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2 105</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2 249</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2 848</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3 781</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3 814</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4 215</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36</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37</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40</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Неквалифицированные профессии</w:t>
            </w:r>
          </w:p>
        </w:tc>
        <w:tc>
          <w:tcPr>
            <w:tcW w:w="730" w:type="dxa"/>
          </w:tcPr>
          <w:p w:rsidR="00000000" w:rsidRDefault="00000000">
            <w:pPr>
              <w:pStyle w:val="FootnoteText"/>
              <w:widowControl w:val="0"/>
              <w:tabs>
                <w:tab w:val="clear" w:pos="113"/>
                <w:tab w:val="clear" w:pos="680"/>
                <w:tab w:val="clear" w:pos="1134"/>
                <w:tab w:val="decimal" w:pos="510"/>
              </w:tabs>
              <w:spacing w:before="40" w:after="40" w:line="240" w:lineRule="auto"/>
              <w:jc w:val="left"/>
              <w:rPr>
                <w:sz w:val="20"/>
                <w:lang w:val="en-GB"/>
              </w:rPr>
            </w:pPr>
            <w:r>
              <w:rPr>
                <w:sz w:val="20"/>
                <w:lang w:val="en-GB"/>
              </w:rPr>
              <w:t>150</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170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211</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190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230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269</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44</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42</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44</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Полуквалифицированные профессии</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620</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582</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687</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1 000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928</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1 000</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38</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39</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41</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Промежуточные профессии</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779</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869</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1 136</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1 478</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1 498</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1 616</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34</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37</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41</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Квалифицированные профессии</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365</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400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582</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698</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702</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865</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34</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36</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40</w:t>
            </w:r>
          </w:p>
        </w:tc>
      </w:tr>
      <w:tr w:rsidR="00000000">
        <w:tblPrEx>
          <w:tblCellMar>
            <w:top w:w="0" w:type="dxa"/>
            <w:bottom w:w="0" w:type="dxa"/>
          </w:tblCellMar>
        </w:tblPrEx>
        <w:trPr>
          <w:jc w:val="center"/>
        </w:trPr>
        <w:tc>
          <w:tcPr>
            <w:tcW w:w="2787" w:type="dxa"/>
          </w:tcPr>
          <w:p w:rsidR="00000000" w:rsidRDefault="00000000">
            <w:pPr>
              <w:spacing w:before="40" w:after="40" w:line="240" w:lineRule="auto"/>
              <w:rPr>
                <w:sz w:val="20"/>
              </w:rPr>
            </w:pPr>
            <w:r>
              <w:rPr>
                <w:sz w:val="20"/>
              </w:rPr>
              <w:t>Научные профессии</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95</w:t>
            </w:r>
          </w:p>
        </w:tc>
        <w:tc>
          <w:tcPr>
            <w:tcW w:w="729"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115</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205</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316</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320</w:t>
            </w:r>
          </w:p>
        </w:tc>
        <w:tc>
          <w:tcPr>
            <w:tcW w:w="730" w:type="dxa"/>
          </w:tcPr>
          <w:p w:rsidR="00000000" w:rsidRDefault="00000000">
            <w:pPr>
              <w:widowControl w:val="0"/>
              <w:tabs>
                <w:tab w:val="clear" w:pos="680"/>
                <w:tab w:val="clear" w:pos="1134"/>
                <w:tab w:val="decimal" w:pos="510"/>
              </w:tabs>
              <w:spacing w:before="40" w:after="40" w:line="240" w:lineRule="auto"/>
              <w:jc w:val="left"/>
              <w:rPr>
                <w:sz w:val="20"/>
                <w:lang w:val="en-GB"/>
              </w:rPr>
            </w:pPr>
            <w:r>
              <w:rPr>
                <w:sz w:val="20"/>
                <w:lang w:val="en-GB"/>
              </w:rPr>
              <w:t>396</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23</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26</w:t>
            </w:r>
          </w:p>
        </w:tc>
        <w:tc>
          <w:tcPr>
            <w:tcW w:w="730" w:type="dxa"/>
          </w:tcPr>
          <w:p w:rsidR="00000000" w:rsidRDefault="00000000">
            <w:pPr>
              <w:widowControl w:val="0"/>
              <w:tabs>
                <w:tab w:val="clear" w:pos="680"/>
                <w:tab w:val="clear" w:pos="1134"/>
                <w:tab w:val="decimal" w:pos="397"/>
              </w:tabs>
              <w:spacing w:before="40" w:after="40" w:line="240" w:lineRule="auto"/>
              <w:jc w:val="left"/>
              <w:rPr>
                <w:sz w:val="20"/>
                <w:lang w:val="en-GB"/>
              </w:rPr>
            </w:pPr>
            <w:r>
              <w:rPr>
                <w:sz w:val="20"/>
                <w:lang w:val="en-GB"/>
              </w:rPr>
              <w:t>34</w:t>
            </w:r>
          </w:p>
        </w:tc>
      </w:tr>
      <w:tr w:rsidR="00000000">
        <w:tblPrEx>
          <w:tblCellMar>
            <w:top w:w="0" w:type="dxa"/>
            <w:bottom w:w="0" w:type="dxa"/>
          </w:tblCellMar>
        </w:tblPrEx>
        <w:trPr>
          <w:jc w:val="center"/>
        </w:trPr>
        <w:tc>
          <w:tcPr>
            <w:tcW w:w="2787" w:type="dxa"/>
          </w:tcPr>
          <w:p w:rsidR="00000000" w:rsidRDefault="00000000">
            <w:pPr>
              <w:spacing w:before="40" w:after="40" w:line="240" w:lineRule="auto"/>
              <w:jc w:val="left"/>
              <w:rPr>
                <w:sz w:val="20"/>
              </w:rPr>
            </w:pPr>
            <w:r>
              <w:rPr>
                <w:sz w:val="20"/>
              </w:rPr>
              <w:t>Руководители в квалифицированных и научных профессиях</w:t>
            </w:r>
          </w:p>
        </w:tc>
        <w:tc>
          <w:tcPr>
            <w:tcW w:w="730"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14</w:t>
            </w:r>
          </w:p>
        </w:tc>
        <w:tc>
          <w:tcPr>
            <w:tcW w:w="729"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15</w:t>
            </w:r>
          </w:p>
        </w:tc>
        <w:tc>
          <w:tcPr>
            <w:tcW w:w="730"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43</w:t>
            </w:r>
          </w:p>
        </w:tc>
        <w:tc>
          <w:tcPr>
            <w:tcW w:w="730"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83</w:t>
            </w:r>
          </w:p>
        </w:tc>
        <w:tc>
          <w:tcPr>
            <w:tcW w:w="730"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94</w:t>
            </w:r>
          </w:p>
        </w:tc>
        <w:tc>
          <w:tcPr>
            <w:tcW w:w="730" w:type="dxa"/>
          </w:tcPr>
          <w:p w:rsidR="00000000" w:rsidRDefault="00000000">
            <w:pPr>
              <w:widowControl w:val="0"/>
              <w:tabs>
                <w:tab w:val="clear" w:pos="680"/>
                <w:tab w:val="clear" w:pos="1134"/>
                <w:tab w:val="decimal" w:pos="510"/>
              </w:tabs>
              <w:spacing w:before="40" w:after="40" w:line="240" w:lineRule="auto"/>
              <w:jc w:val="left"/>
              <w:rPr>
                <w:sz w:val="20"/>
              </w:rPr>
            </w:pPr>
            <w:r>
              <w:rPr>
                <w:sz w:val="20"/>
              </w:rPr>
              <w:t>125</w:t>
            </w:r>
          </w:p>
        </w:tc>
        <w:tc>
          <w:tcPr>
            <w:tcW w:w="730" w:type="dxa"/>
          </w:tcPr>
          <w:p w:rsidR="00000000" w:rsidRDefault="00000000">
            <w:pPr>
              <w:widowControl w:val="0"/>
              <w:tabs>
                <w:tab w:val="clear" w:pos="680"/>
                <w:tab w:val="clear" w:pos="1134"/>
                <w:tab w:val="decimal" w:pos="397"/>
              </w:tabs>
              <w:spacing w:before="40" w:after="40" w:line="240" w:lineRule="auto"/>
              <w:jc w:val="left"/>
              <w:rPr>
                <w:sz w:val="20"/>
              </w:rPr>
            </w:pPr>
            <w:r>
              <w:rPr>
                <w:sz w:val="20"/>
              </w:rPr>
              <w:t>14</w:t>
            </w:r>
          </w:p>
        </w:tc>
        <w:tc>
          <w:tcPr>
            <w:tcW w:w="730" w:type="dxa"/>
          </w:tcPr>
          <w:p w:rsidR="00000000" w:rsidRDefault="00000000">
            <w:pPr>
              <w:widowControl w:val="0"/>
              <w:tabs>
                <w:tab w:val="clear" w:pos="680"/>
                <w:tab w:val="clear" w:pos="1134"/>
                <w:tab w:val="decimal" w:pos="397"/>
              </w:tabs>
              <w:spacing w:before="40" w:after="40" w:line="240" w:lineRule="auto"/>
              <w:jc w:val="left"/>
              <w:rPr>
                <w:sz w:val="20"/>
              </w:rPr>
            </w:pPr>
            <w:r>
              <w:rPr>
                <w:sz w:val="20"/>
              </w:rPr>
              <w:t>14</w:t>
            </w:r>
          </w:p>
        </w:tc>
        <w:tc>
          <w:tcPr>
            <w:tcW w:w="730" w:type="dxa"/>
          </w:tcPr>
          <w:p w:rsidR="00000000" w:rsidRDefault="00000000">
            <w:pPr>
              <w:widowControl w:val="0"/>
              <w:tabs>
                <w:tab w:val="clear" w:pos="680"/>
                <w:tab w:val="clear" w:pos="1134"/>
                <w:tab w:val="decimal" w:pos="397"/>
              </w:tabs>
              <w:spacing w:before="40" w:after="40" w:line="240" w:lineRule="auto"/>
              <w:jc w:val="left"/>
              <w:rPr>
                <w:sz w:val="20"/>
              </w:rPr>
            </w:pPr>
            <w:r>
              <w:rPr>
                <w:sz w:val="20"/>
              </w:rPr>
              <w:t>26</w:t>
            </w:r>
          </w:p>
        </w:tc>
      </w:tr>
    </w:tbl>
    <w:p w:rsidR="00000000" w:rsidRDefault="00000000">
      <w:pPr>
        <w:spacing w:before="120" w:line="480" w:lineRule="auto"/>
        <w:rPr>
          <w:sz w:val="20"/>
        </w:rPr>
      </w:pPr>
      <w:r>
        <w:rPr>
          <w:sz w:val="20"/>
        </w:rPr>
        <w:t>Источник: Центральное статистическое бюро Нидерландов (обследование рабочей силы), 2001 год.</w:t>
      </w:r>
    </w:p>
    <w:p w:rsidR="00000000" w:rsidRDefault="00000000">
      <w:pPr>
        <w:spacing w:before="360"/>
      </w:pPr>
      <w:r>
        <w:t>В течение последни</w:t>
      </w:r>
      <w:r>
        <w:rPr>
          <w:lang w:val="ru-RU"/>
        </w:rPr>
        <w:t>х</w:t>
      </w:r>
      <w:r>
        <w:t xml:space="preserve"> нескольких лет правительство Нидерландов пытается облегчить своим гражданам возможность совмещения семейных и производственных обязанностей. Цель этих усилий состоит в том, чтобы удовлетворить потребности и пожелания все большего числа трудящихся, которые совмещают производственные и семейные обязанности, и при этом привлечь большее число женщин к участию в оплачиваемой трудовой деятельности и большее число мужчин – к выполнению семейных обязанностей. Большинство принимаемых мер направлено на улучшение условий для совмещения производственных и семейных обязанностей. Политика правительства ориентирована на достижение следующих целей к 2010 году</w:t>
      </w:r>
      <w:r>
        <w:rPr>
          <w:rStyle w:val="FootnoteReference"/>
          <w:sz w:val="22"/>
        </w:rPr>
        <w:footnoteReference w:customMarkFollows="1" w:id="52"/>
        <w:t>51</w:t>
      </w:r>
      <w:r>
        <w:t>:</w:t>
      </w:r>
    </w:p>
    <w:p w:rsidR="00000000" w:rsidRDefault="00000000">
      <w:pPr>
        <w:spacing w:before="160"/>
        <w:ind w:left="1134" w:hanging="1134"/>
        <w:rPr>
          <w:lang w:val="ru-RU"/>
        </w:rPr>
      </w:pPr>
      <w:r>
        <w:rPr>
          <w:lang w:val="ru-RU"/>
        </w:rPr>
        <w:tab/>
        <w:t>–</w:t>
      </w:r>
      <w:r>
        <w:rPr>
          <w:lang w:val="ru-RU"/>
        </w:rPr>
        <w:tab/>
        <w:t>обеспечить чистый коэффициент занятости женщин на уровне 65 процентов;</w:t>
      </w:r>
    </w:p>
    <w:p w:rsidR="00000000" w:rsidRDefault="00000000">
      <w:pPr>
        <w:spacing w:before="160"/>
        <w:ind w:left="1134" w:hanging="1134"/>
      </w:pPr>
      <w:r>
        <w:tab/>
        <w:t>–</w:t>
      </w:r>
      <w:r>
        <w:tab/>
        <w:t>обеспечить обретение экономической самостоятельности более 60 процентами женщин;</w:t>
      </w:r>
    </w:p>
    <w:p w:rsidR="00000000" w:rsidRDefault="00000000">
      <w:pPr>
        <w:spacing w:before="160"/>
        <w:ind w:left="1134" w:hanging="1134"/>
      </w:pPr>
      <w:r>
        <w:tab/>
        <w:t>–</w:t>
      </w:r>
      <w:r>
        <w:tab/>
        <w:t>обеспечить, чтобы доля женщин в общем доходе от оплачиваемой работы превышала 35 процентов;</w:t>
      </w:r>
    </w:p>
    <w:p w:rsidR="00000000" w:rsidRDefault="00000000">
      <w:pPr>
        <w:spacing w:before="160"/>
        <w:ind w:left="1134" w:hanging="1134"/>
      </w:pPr>
      <w:r>
        <w:tab/>
        <w:t>–</w:t>
      </w:r>
      <w:r>
        <w:tab/>
        <w:t>обеспечить, чтобы мужчины выполняли не менее 40 процентов семейных обязанностей.</w:t>
      </w:r>
    </w:p>
    <w:p w:rsidR="00000000" w:rsidRDefault="00000000">
      <w:r>
        <w:t>Эти целевые показатели соответствуют принципам европейской политики в области занятости (Национальные программы действий). На Лиссабонской встрече на высшем уровне в марте 2000 года государства – члены Европейского союза установили целевой показатель в отношении коэффициента женской занятости на уровне не менее 60 процентов к 2010 году. Вышеуказанные целевые показатели в первую очередь призваны повысить уровень жизни общества и качество жизни отдельных граждан, а также лиц, нуждающихся в их уходе. Именно поэтому правительство вкладывает средства не только в программы поощрения занятости и экономической самостоятельности, но и в улучшение качества труда, расширение возможностей для совмещения производственных и семейных обязанностей и организации социальных и других форм ухода. Цель правительства заключается в том, чтобы уменьшить</w:t>
      </w:r>
      <w:r>
        <w:rPr>
          <w:lang w:val="ru-RU"/>
        </w:rPr>
        <w:t xml:space="preserve"> нагрузку</w:t>
      </w:r>
      <w:r>
        <w:t>, связанн</w:t>
      </w:r>
      <w:r>
        <w:rPr>
          <w:lang w:val="ru-RU"/>
        </w:rPr>
        <w:t>ую</w:t>
      </w:r>
      <w:r>
        <w:t xml:space="preserve"> с необходимость</w:t>
      </w:r>
      <w:r>
        <w:rPr>
          <w:lang w:val="ru-RU"/>
        </w:rPr>
        <w:t>ю</w:t>
      </w:r>
      <w:r>
        <w:t xml:space="preserve"> выполнения широкого круга обязанностей по уходу, путем создания условий, необходимых для обеспечения большей сбалансированности между производственными и семейными обязанностями того или иного лица в течение всей его/ее жизни.</w:t>
      </w:r>
    </w:p>
    <w:p w:rsidR="00000000" w:rsidRDefault="00000000">
      <w:pPr>
        <w:spacing w:before="120"/>
        <w:ind w:left="680" w:hanging="680"/>
      </w:pPr>
      <w:r>
        <w:t>–</w:t>
      </w:r>
      <w:r>
        <w:tab/>
        <w:t>За период с 1998 по 2002 год доля женщин, занимающихся оплачиваемой трудовой деятельностью в течение не менее 12 часов в неделю, выросла с 36 до 54 процентов;</w:t>
      </w:r>
    </w:p>
    <w:p w:rsidR="00000000" w:rsidRDefault="00000000">
      <w:pPr>
        <w:spacing w:before="120"/>
        <w:ind w:left="680" w:hanging="680"/>
      </w:pPr>
      <w:r>
        <w:t>–</w:t>
      </w:r>
      <w:r>
        <w:tab/>
        <w:t>доля женщин в возрасте от 15 до 65 лет, ставших самостоятельными в экономическом отношении, увеличилась с 31 процента в 1995 году до 39 процентов в 2000 году;</w:t>
      </w:r>
    </w:p>
    <w:p w:rsidR="00000000" w:rsidRDefault="00000000">
      <w:pPr>
        <w:spacing w:before="120"/>
        <w:ind w:left="680" w:hanging="680"/>
      </w:pPr>
      <w:r>
        <w:t>–</w:t>
      </w:r>
      <w:r>
        <w:tab/>
        <w:t>доля неоплачиваемой трудовой деятельности мужчин в 2000 году, как и в 1995 году, составляла 35 процентов.</w:t>
      </w:r>
    </w:p>
    <w:p w:rsidR="00000000" w:rsidRDefault="00000000">
      <w:pPr>
        <w:pStyle w:val="a5"/>
        <w:tabs>
          <w:tab w:val="clear" w:pos="1440"/>
          <w:tab w:val="clear" w:pos="9356"/>
        </w:tabs>
        <w:spacing w:after="120" w:line="240" w:lineRule="exact"/>
        <w:rPr>
          <w:lang w:val="ru-RU"/>
        </w:rPr>
      </w:pPr>
      <w:r>
        <w:rPr>
          <w:lang w:val="ru-RU"/>
        </w:rPr>
        <w:t>Положение на рынке труда лиц в возрасте от 15 до 64 лет с разбивкой по происхождению</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537"/>
        <w:gridCol w:w="1211"/>
        <w:gridCol w:w="1212"/>
        <w:gridCol w:w="1212"/>
        <w:gridCol w:w="1184"/>
      </w:tblGrid>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b/>
                <w:sz w:val="20"/>
              </w:rPr>
            </w:pPr>
          </w:p>
        </w:tc>
        <w:tc>
          <w:tcPr>
            <w:tcW w:w="2423" w:type="dxa"/>
            <w:gridSpan w:val="2"/>
          </w:tcPr>
          <w:p w:rsidR="00000000" w:rsidRDefault="00000000">
            <w:pPr>
              <w:tabs>
                <w:tab w:val="left" w:pos="340"/>
              </w:tabs>
              <w:spacing w:before="40" w:after="40" w:line="200" w:lineRule="exact"/>
              <w:jc w:val="center"/>
              <w:rPr>
                <w:b/>
                <w:sz w:val="20"/>
              </w:rPr>
            </w:pPr>
            <w:r>
              <w:rPr>
                <w:b/>
                <w:sz w:val="20"/>
              </w:rPr>
              <w:t>Женщины</w:t>
            </w:r>
          </w:p>
        </w:tc>
        <w:tc>
          <w:tcPr>
            <w:tcW w:w="2396" w:type="dxa"/>
            <w:gridSpan w:val="2"/>
          </w:tcPr>
          <w:p w:rsidR="00000000" w:rsidRDefault="00000000">
            <w:pPr>
              <w:tabs>
                <w:tab w:val="left" w:pos="340"/>
              </w:tabs>
              <w:spacing w:before="40" w:after="40" w:line="200" w:lineRule="exact"/>
              <w:jc w:val="center"/>
              <w:rPr>
                <w:b/>
                <w:sz w:val="20"/>
              </w:rPr>
            </w:pPr>
            <w:r>
              <w:rPr>
                <w:b/>
                <w:sz w:val="20"/>
              </w:rPr>
              <w:t>Мужчины</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b/>
                <w:i/>
                <w:sz w:val="20"/>
              </w:rPr>
            </w:pPr>
          </w:p>
        </w:tc>
        <w:tc>
          <w:tcPr>
            <w:tcW w:w="1211" w:type="dxa"/>
          </w:tcPr>
          <w:p w:rsidR="00000000" w:rsidRDefault="00000000">
            <w:pPr>
              <w:tabs>
                <w:tab w:val="left" w:pos="340"/>
              </w:tabs>
              <w:spacing w:before="40" w:after="40" w:line="200" w:lineRule="exact"/>
              <w:jc w:val="center"/>
              <w:rPr>
                <w:b/>
                <w:sz w:val="20"/>
              </w:rPr>
            </w:pPr>
            <w:r>
              <w:rPr>
                <w:b/>
                <w:sz w:val="20"/>
              </w:rPr>
              <w:t>1994 год</w:t>
            </w:r>
          </w:p>
        </w:tc>
        <w:tc>
          <w:tcPr>
            <w:tcW w:w="1212" w:type="dxa"/>
          </w:tcPr>
          <w:p w:rsidR="00000000" w:rsidRDefault="00000000">
            <w:pPr>
              <w:tabs>
                <w:tab w:val="left" w:pos="340"/>
              </w:tabs>
              <w:spacing w:before="40" w:after="40" w:line="200" w:lineRule="exact"/>
              <w:jc w:val="center"/>
              <w:rPr>
                <w:b/>
                <w:sz w:val="20"/>
              </w:rPr>
            </w:pPr>
            <w:r>
              <w:rPr>
                <w:b/>
                <w:sz w:val="20"/>
              </w:rPr>
              <w:t>2001 год</w:t>
            </w:r>
          </w:p>
        </w:tc>
        <w:tc>
          <w:tcPr>
            <w:tcW w:w="1212" w:type="dxa"/>
          </w:tcPr>
          <w:p w:rsidR="00000000" w:rsidRDefault="00000000">
            <w:pPr>
              <w:tabs>
                <w:tab w:val="left" w:pos="340"/>
              </w:tabs>
              <w:spacing w:before="40" w:after="40" w:line="200" w:lineRule="exact"/>
              <w:jc w:val="center"/>
              <w:rPr>
                <w:b/>
                <w:sz w:val="20"/>
              </w:rPr>
            </w:pPr>
            <w:r>
              <w:rPr>
                <w:b/>
                <w:sz w:val="20"/>
              </w:rPr>
              <w:t>1994 год</w:t>
            </w:r>
          </w:p>
        </w:tc>
        <w:tc>
          <w:tcPr>
            <w:tcW w:w="1184" w:type="dxa"/>
          </w:tcPr>
          <w:p w:rsidR="00000000" w:rsidRDefault="00000000">
            <w:pPr>
              <w:tabs>
                <w:tab w:val="left" w:pos="340"/>
              </w:tabs>
              <w:spacing w:before="40" w:after="40" w:line="200" w:lineRule="exact"/>
              <w:jc w:val="center"/>
              <w:rPr>
                <w:b/>
                <w:sz w:val="20"/>
              </w:rPr>
            </w:pPr>
            <w:r>
              <w:rPr>
                <w:b/>
                <w:sz w:val="20"/>
              </w:rPr>
              <w:t>2001 год</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jc w:val="left"/>
              <w:rPr>
                <w:b/>
                <w:sz w:val="20"/>
              </w:rPr>
            </w:pPr>
            <w:r>
              <w:rPr>
                <w:b/>
                <w:sz w:val="20"/>
              </w:rPr>
              <w:t>Чистый коэффициент занятости (в процентах)</w:t>
            </w:r>
          </w:p>
        </w:tc>
        <w:tc>
          <w:tcPr>
            <w:tcW w:w="1211" w:type="dxa"/>
          </w:tcPr>
          <w:p w:rsidR="00000000" w:rsidRDefault="00000000">
            <w:pPr>
              <w:tabs>
                <w:tab w:val="left" w:pos="340"/>
              </w:tabs>
              <w:spacing w:before="40" w:after="40" w:line="200" w:lineRule="exact"/>
              <w:rPr>
                <w:b/>
                <w:sz w:val="20"/>
              </w:rPr>
            </w:pPr>
          </w:p>
        </w:tc>
        <w:tc>
          <w:tcPr>
            <w:tcW w:w="1212" w:type="dxa"/>
          </w:tcPr>
          <w:p w:rsidR="00000000" w:rsidRDefault="00000000">
            <w:pPr>
              <w:tabs>
                <w:tab w:val="left" w:pos="340"/>
              </w:tabs>
              <w:spacing w:before="40" w:after="40" w:line="200" w:lineRule="exact"/>
              <w:rPr>
                <w:b/>
                <w:sz w:val="20"/>
              </w:rPr>
            </w:pPr>
          </w:p>
        </w:tc>
        <w:tc>
          <w:tcPr>
            <w:tcW w:w="1212" w:type="dxa"/>
          </w:tcPr>
          <w:p w:rsidR="00000000" w:rsidRDefault="00000000">
            <w:pPr>
              <w:tabs>
                <w:tab w:val="left" w:pos="340"/>
              </w:tabs>
              <w:spacing w:before="40" w:after="40" w:line="200" w:lineRule="exact"/>
              <w:rPr>
                <w:b/>
                <w:sz w:val="20"/>
              </w:rPr>
            </w:pPr>
          </w:p>
        </w:tc>
        <w:tc>
          <w:tcPr>
            <w:tcW w:w="1184" w:type="dxa"/>
          </w:tcPr>
          <w:p w:rsidR="00000000" w:rsidRDefault="00000000">
            <w:pPr>
              <w:tabs>
                <w:tab w:val="left" w:pos="340"/>
              </w:tabs>
              <w:spacing w:before="40" w:after="40" w:line="200" w:lineRule="exact"/>
              <w:rPr>
                <w:b/>
                <w:sz w:val="20"/>
              </w:rPr>
            </w:pP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Этнические голландцы</w:t>
            </w:r>
          </w:p>
        </w:tc>
        <w:tc>
          <w:tcPr>
            <w:tcW w:w="1211" w:type="dxa"/>
          </w:tcPr>
          <w:p w:rsidR="00000000" w:rsidRDefault="00000000">
            <w:pPr>
              <w:widowControl w:val="0"/>
              <w:spacing w:before="40" w:after="40" w:line="200" w:lineRule="exact"/>
              <w:ind w:right="454"/>
              <w:jc w:val="right"/>
              <w:rPr>
                <w:sz w:val="20"/>
                <w:lang w:val="ru-RU"/>
              </w:rPr>
            </w:pPr>
            <w:r>
              <w:rPr>
                <w:sz w:val="20"/>
                <w:lang w:val="ru-RU"/>
              </w:rPr>
              <w:t>43</w:t>
            </w:r>
          </w:p>
        </w:tc>
        <w:tc>
          <w:tcPr>
            <w:tcW w:w="1212" w:type="dxa"/>
          </w:tcPr>
          <w:p w:rsidR="00000000" w:rsidRDefault="00000000">
            <w:pPr>
              <w:widowControl w:val="0"/>
              <w:spacing w:before="40" w:after="40" w:line="200" w:lineRule="exact"/>
              <w:ind w:right="454"/>
              <w:jc w:val="right"/>
              <w:rPr>
                <w:sz w:val="20"/>
                <w:lang w:val="ru-RU"/>
              </w:rPr>
            </w:pPr>
            <w:r>
              <w:rPr>
                <w:sz w:val="20"/>
                <w:lang w:val="ru-RU"/>
              </w:rPr>
              <w:t>55</w:t>
            </w:r>
          </w:p>
        </w:tc>
        <w:tc>
          <w:tcPr>
            <w:tcW w:w="1212" w:type="dxa"/>
          </w:tcPr>
          <w:p w:rsidR="00000000" w:rsidRDefault="00000000">
            <w:pPr>
              <w:widowControl w:val="0"/>
              <w:spacing w:before="40" w:after="40" w:line="200" w:lineRule="exact"/>
              <w:ind w:right="454"/>
              <w:jc w:val="right"/>
              <w:rPr>
                <w:sz w:val="20"/>
                <w:lang w:val="ru-RU"/>
              </w:rPr>
            </w:pPr>
            <w:r>
              <w:rPr>
                <w:sz w:val="20"/>
                <w:lang w:val="ru-RU"/>
              </w:rPr>
              <w:t>73</w:t>
            </w:r>
          </w:p>
        </w:tc>
        <w:tc>
          <w:tcPr>
            <w:tcW w:w="1184" w:type="dxa"/>
          </w:tcPr>
          <w:p w:rsidR="00000000" w:rsidRDefault="00000000">
            <w:pPr>
              <w:widowControl w:val="0"/>
              <w:spacing w:before="40" w:after="40" w:line="200" w:lineRule="exact"/>
              <w:ind w:right="454"/>
              <w:jc w:val="right"/>
              <w:rPr>
                <w:sz w:val="20"/>
                <w:lang w:val="ru-RU"/>
              </w:rPr>
            </w:pPr>
            <w:r>
              <w:rPr>
                <w:sz w:val="20"/>
                <w:lang w:val="ru-RU"/>
              </w:rPr>
              <w:t>80</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Западные этнические меньшинства</w:t>
            </w:r>
          </w:p>
        </w:tc>
        <w:tc>
          <w:tcPr>
            <w:tcW w:w="1211" w:type="dxa"/>
          </w:tcPr>
          <w:p w:rsidR="00000000" w:rsidRDefault="00000000">
            <w:pPr>
              <w:widowControl w:val="0"/>
              <w:spacing w:before="40" w:after="40" w:line="200" w:lineRule="exact"/>
              <w:ind w:right="454"/>
              <w:jc w:val="right"/>
              <w:rPr>
                <w:sz w:val="20"/>
                <w:lang w:val="ru-RU"/>
              </w:rPr>
            </w:pPr>
            <w:r>
              <w:rPr>
                <w:sz w:val="20"/>
                <w:lang w:val="ru-RU"/>
              </w:rPr>
              <w:t>40</w:t>
            </w:r>
          </w:p>
        </w:tc>
        <w:tc>
          <w:tcPr>
            <w:tcW w:w="1212" w:type="dxa"/>
          </w:tcPr>
          <w:p w:rsidR="00000000" w:rsidRDefault="00000000">
            <w:pPr>
              <w:widowControl w:val="0"/>
              <w:spacing w:before="40" w:after="40" w:line="200" w:lineRule="exact"/>
              <w:ind w:right="454"/>
              <w:jc w:val="right"/>
              <w:rPr>
                <w:sz w:val="20"/>
                <w:lang w:val="ru-RU"/>
              </w:rPr>
            </w:pPr>
            <w:r>
              <w:rPr>
                <w:sz w:val="20"/>
                <w:lang w:val="ru-RU"/>
              </w:rPr>
              <w:t>54</w:t>
            </w:r>
          </w:p>
        </w:tc>
        <w:tc>
          <w:tcPr>
            <w:tcW w:w="1212" w:type="dxa"/>
          </w:tcPr>
          <w:p w:rsidR="00000000" w:rsidRDefault="00000000">
            <w:pPr>
              <w:widowControl w:val="0"/>
              <w:spacing w:before="40" w:after="40" w:line="200" w:lineRule="exact"/>
              <w:ind w:right="454"/>
              <w:jc w:val="right"/>
              <w:rPr>
                <w:sz w:val="20"/>
                <w:lang w:val="ru-RU"/>
              </w:rPr>
            </w:pPr>
            <w:r>
              <w:rPr>
                <w:sz w:val="20"/>
                <w:lang w:val="ru-RU"/>
              </w:rPr>
              <w:t>67</w:t>
            </w:r>
          </w:p>
        </w:tc>
        <w:tc>
          <w:tcPr>
            <w:tcW w:w="1184" w:type="dxa"/>
          </w:tcPr>
          <w:p w:rsidR="00000000" w:rsidRDefault="00000000">
            <w:pPr>
              <w:widowControl w:val="0"/>
              <w:spacing w:before="40" w:after="40" w:line="200" w:lineRule="exact"/>
              <w:ind w:right="454"/>
              <w:jc w:val="right"/>
              <w:rPr>
                <w:sz w:val="20"/>
                <w:lang w:val="ru-RU"/>
              </w:rPr>
            </w:pPr>
            <w:r>
              <w:rPr>
                <w:sz w:val="20"/>
                <w:lang w:val="ru-RU"/>
              </w:rPr>
              <w:t>73</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Незападные этнические меньшинства</w:t>
            </w:r>
          </w:p>
        </w:tc>
        <w:tc>
          <w:tcPr>
            <w:tcW w:w="1211" w:type="dxa"/>
          </w:tcPr>
          <w:p w:rsidR="00000000" w:rsidRDefault="00000000">
            <w:pPr>
              <w:widowControl w:val="0"/>
              <w:spacing w:before="40" w:after="40" w:line="200" w:lineRule="exact"/>
              <w:ind w:right="454"/>
              <w:jc w:val="right"/>
              <w:rPr>
                <w:sz w:val="20"/>
                <w:lang w:val="ru-RU"/>
              </w:rPr>
            </w:pPr>
            <w:r>
              <w:rPr>
                <w:sz w:val="20"/>
                <w:lang w:val="ru-RU"/>
              </w:rPr>
              <w:t>28</w:t>
            </w:r>
          </w:p>
        </w:tc>
        <w:tc>
          <w:tcPr>
            <w:tcW w:w="1212" w:type="dxa"/>
          </w:tcPr>
          <w:p w:rsidR="00000000" w:rsidRDefault="00000000">
            <w:pPr>
              <w:widowControl w:val="0"/>
              <w:spacing w:before="40" w:after="40" w:line="200" w:lineRule="exact"/>
              <w:ind w:right="454"/>
              <w:jc w:val="right"/>
              <w:rPr>
                <w:sz w:val="20"/>
                <w:lang w:val="ru-RU"/>
              </w:rPr>
            </w:pPr>
            <w:r>
              <w:rPr>
                <w:sz w:val="20"/>
                <w:lang w:val="ru-RU"/>
              </w:rPr>
              <w:t>40</w:t>
            </w:r>
          </w:p>
        </w:tc>
        <w:tc>
          <w:tcPr>
            <w:tcW w:w="1212" w:type="dxa"/>
          </w:tcPr>
          <w:p w:rsidR="00000000" w:rsidRDefault="00000000">
            <w:pPr>
              <w:widowControl w:val="0"/>
              <w:spacing w:before="40" w:after="40" w:line="200" w:lineRule="exact"/>
              <w:ind w:right="454"/>
              <w:jc w:val="right"/>
              <w:rPr>
                <w:sz w:val="20"/>
                <w:lang w:val="ru-RU"/>
              </w:rPr>
            </w:pPr>
            <w:r>
              <w:rPr>
                <w:sz w:val="20"/>
                <w:lang w:val="ru-RU"/>
              </w:rPr>
              <w:t>45</w:t>
            </w:r>
          </w:p>
        </w:tc>
        <w:tc>
          <w:tcPr>
            <w:tcW w:w="1184" w:type="dxa"/>
          </w:tcPr>
          <w:p w:rsidR="00000000" w:rsidRDefault="00000000">
            <w:pPr>
              <w:widowControl w:val="0"/>
              <w:spacing w:before="40" w:after="40" w:line="200" w:lineRule="exact"/>
              <w:ind w:right="454"/>
              <w:jc w:val="right"/>
              <w:rPr>
                <w:sz w:val="20"/>
                <w:lang w:val="en-GB"/>
              </w:rPr>
            </w:pPr>
            <w:r>
              <w:rPr>
                <w:sz w:val="20"/>
                <w:lang w:val="en-GB"/>
              </w:rPr>
              <w:t>60</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Турции</w:t>
            </w:r>
          </w:p>
        </w:tc>
        <w:tc>
          <w:tcPr>
            <w:tcW w:w="1211" w:type="dxa"/>
          </w:tcPr>
          <w:p w:rsidR="00000000" w:rsidRDefault="00000000">
            <w:pPr>
              <w:widowControl w:val="0"/>
              <w:spacing w:before="40" w:after="40" w:line="200" w:lineRule="exact"/>
              <w:ind w:right="454"/>
              <w:jc w:val="right"/>
              <w:rPr>
                <w:sz w:val="20"/>
                <w:lang w:val="en-GB"/>
              </w:rPr>
            </w:pPr>
            <w:r>
              <w:rPr>
                <w:sz w:val="20"/>
                <w:lang w:val="en-GB"/>
              </w:rPr>
              <w:t>16</w:t>
            </w:r>
          </w:p>
        </w:tc>
        <w:tc>
          <w:tcPr>
            <w:tcW w:w="1212" w:type="dxa"/>
          </w:tcPr>
          <w:p w:rsidR="00000000" w:rsidRDefault="00000000">
            <w:pPr>
              <w:widowControl w:val="0"/>
              <w:spacing w:before="40" w:after="40" w:line="200" w:lineRule="exact"/>
              <w:ind w:right="454"/>
              <w:jc w:val="right"/>
              <w:rPr>
                <w:sz w:val="20"/>
                <w:lang w:val="en-GB"/>
              </w:rPr>
            </w:pPr>
            <w:r>
              <w:rPr>
                <w:sz w:val="20"/>
                <w:lang w:val="en-GB"/>
              </w:rPr>
              <w:t>33</w:t>
            </w:r>
          </w:p>
        </w:tc>
        <w:tc>
          <w:tcPr>
            <w:tcW w:w="1212" w:type="dxa"/>
          </w:tcPr>
          <w:p w:rsidR="00000000" w:rsidRDefault="00000000">
            <w:pPr>
              <w:widowControl w:val="0"/>
              <w:spacing w:before="40" w:after="40" w:line="200" w:lineRule="exact"/>
              <w:ind w:right="454"/>
              <w:jc w:val="right"/>
              <w:rPr>
                <w:sz w:val="20"/>
                <w:lang w:val="en-GB"/>
              </w:rPr>
            </w:pPr>
            <w:r>
              <w:rPr>
                <w:sz w:val="20"/>
                <w:lang w:val="en-GB"/>
              </w:rPr>
              <w:t>41</w:t>
            </w:r>
          </w:p>
        </w:tc>
        <w:tc>
          <w:tcPr>
            <w:tcW w:w="1184" w:type="dxa"/>
          </w:tcPr>
          <w:p w:rsidR="00000000" w:rsidRDefault="00000000">
            <w:pPr>
              <w:widowControl w:val="0"/>
              <w:spacing w:before="40" w:after="40" w:line="200" w:lineRule="exact"/>
              <w:ind w:right="454"/>
              <w:jc w:val="right"/>
              <w:rPr>
                <w:sz w:val="20"/>
                <w:lang w:val="en-GB"/>
              </w:rPr>
            </w:pPr>
            <w:r>
              <w:rPr>
                <w:sz w:val="20"/>
                <w:lang w:val="en-GB"/>
              </w:rPr>
              <w:t>62</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Марокко</w:t>
            </w:r>
          </w:p>
        </w:tc>
        <w:tc>
          <w:tcPr>
            <w:tcW w:w="1211" w:type="dxa"/>
          </w:tcPr>
          <w:p w:rsidR="00000000" w:rsidRDefault="00000000">
            <w:pPr>
              <w:widowControl w:val="0"/>
              <w:spacing w:before="40" w:after="40" w:line="200" w:lineRule="exact"/>
              <w:ind w:right="454"/>
              <w:jc w:val="right"/>
              <w:rPr>
                <w:sz w:val="20"/>
                <w:lang w:val="en-GB"/>
              </w:rPr>
            </w:pPr>
            <w:r>
              <w:rPr>
                <w:sz w:val="20"/>
                <w:lang w:val="en-GB"/>
              </w:rPr>
              <w:t>20</w:t>
            </w:r>
          </w:p>
        </w:tc>
        <w:tc>
          <w:tcPr>
            <w:tcW w:w="1212" w:type="dxa"/>
          </w:tcPr>
          <w:p w:rsidR="00000000" w:rsidRDefault="00000000">
            <w:pPr>
              <w:widowControl w:val="0"/>
              <w:spacing w:before="40" w:after="40" w:line="200" w:lineRule="exact"/>
              <w:ind w:right="454"/>
              <w:jc w:val="right"/>
              <w:rPr>
                <w:sz w:val="20"/>
                <w:lang w:val="en-GB"/>
              </w:rPr>
            </w:pPr>
            <w:r>
              <w:rPr>
                <w:sz w:val="20"/>
                <w:lang w:val="en-GB"/>
              </w:rPr>
              <w:t>26</w:t>
            </w:r>
          </w:p>
        </w:tc>
        <w:tc>
          <w:tcPr>
            <w:tcW w:w="1212" w:type="dxa"/>
          </w:tcPr>
          <w:p w:rsidR="00000000" w:rsidRDefault="00000000">
            <w:pPr>
              <w:widowControl w:val="0"/>
              <w:spacing w:before="40" w:after="40" w:line="200" w:lineRule="exact"/>
              <w:ind w:right="454"/>
              <w:jc w:val="right"/>
              <w:rPr>
                <w:sz w:val="20"/>
                <w:lang w:val="en-GB"/>
              </w:rPr>
            </w:pPr>
            <w:r>
              <w:rPr>
                <w:sz w:val="20"/>
                <w:lang w:val="en-GB"/>
              </w:rPr>
              <w:t>36</w:t>
            </w:r>
          </w:p>
        </w:tc>
        <w:tc>
          <w:tcPr>
            <w:tcW w:w="1184" w:type="dxa"/>
          </w:tcPr>
          <w:p w:rsidR="00000000" w:rsidRDefault="00000000">
            <w:pPr>
              <w:widowControl w:val="0"/>
              <w:spacing w:before="40" w:after="40" w:line="200" w:lineRule="exact"/>
              <w:ind w:right="454"/>
              <w:jc w:val="right"/>
              <w:rPr>
                <w:sz w:val="20"/>
                <w:lang w:val="en-GB"/>
              </w:rPr>
            </w:pPr>
            <w:r>
              <w:rPr>
                <w:sz w:val="20"/>
                <w:lang w:val="en-GB"/>
              </w:rPr>
              <w:t>56</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Суринама</w:t>
            </w:r>
          </w:p>
        </w:tc>
        <w:tc>
          <w:tcPr>
            <w:tcW w:w="1211" w:type="dxa"/>
          </w:tcPr>
          <w:p w:rsidR="00000000" w:rsidRDefault="00000000">
            <w:pPr>
              <w:widowControl w:val="0"/>
              <w:spacing w:before="40" w:after="40" w:line="200" w:lineRule="exact"/>
              <w:ind w:right="454"/>
              <w:jc w:val="right"/>
              <w:rPr>
                <w:sz w:val="20"/>
                <w:lang w:val="en-GB"/>
              </w:rPr>
            </w:pPr>
            <w:r>
              <w:rPr>
                <w:sz w:val="20"/>
                <w:lang w:val="en-GB"/>
              </w:rPr>
              <w:t>40</w:t>
            </w:r>
          </w:p>
        </w:tc>
        <w:tc>
          <w:tcPr>
            <w:tcW w:w="1212" w:type="dxa"/>
          </w:tcPr>
          <w:p w:rsidR="00000000" w:rsidRDefault="00000000">
            <w:pPr>
              <w:widowControl w:val="0"/>
              <w:spacing w:before="40" w:after="40" w:line="200" w:lineRule="exact"/>
              <w:ind w:right="454"/>
              <w:jc w:val="right"/>
              <w:rPr>
                <w:sz w:val="20"/>
                <w:lang w:val="en-GB"/>
              </w:rPr>
            </w:pPr>
            <w:r>
              <w:rPr>
                <w:sz w:val="20"/>
                <w:lang w:val="en-GB"/>
              </w:rPr>
              <w:t>59</w:t>
            </w:r>
          </w:p>
        </w:tc>
        <w:tc>
          <w:tcPr>
            <w:tcW w:w="1212" w:type="dxa"/>
          </w:tcPr>
          <w:p w:rsidR="00000000" w:rsidRDefault="00000000">
            <w:pPr>
              <w:widowControl w:val="0"/>
              <w:spacing w:before="40" w:after="40" w:line="200" w:lineRule="exact"/>
              <w:ind w:right="454"/>
              <w:jc w:val="right"/>
              <w:rPr>
                <w:sz w:val="20"/>
                <w:lang w:val="en-GB"/>
              </w:rPr>
            </w:pPr>
            <w:r>
              <w:rPr>
                <w:sz w:val="20"/>
                <w:lang w:val="en-GB"/>
              </w:rPr>
              <w:t>54</w:t>
            </w:r>
          </w:p>
        </w:tc>
        <w:tc>
          <w:tcPr>
            <w:tcW w:w="1184" w:type="dxa"/>
          </w:tcPr>
          <w:p w:rsidR="00000000" w:rsidRDefault="00000000">
            <w:pPr>
              <w:widowControl w:val="0"/>
              <w:spacing w:before="40" w:after="40" w:line="200" w:lineRule="exact"/>
              <w:ind w:right="454"/>
              <w:jc w:val="right"/>
              <w:rPr>
                <w:sz w:val="20"/>
                <w:lang w:val="en-GB"/>
              </w:rPr>
            </w:pPr>
            <w:r>
              <w:rPr>
                <w:sz w:val="20"/>
                <w:lang w:val="en-GB"/>
              </w:rPr>
              <w:t>66</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ind w:left="340" w:hanging="340"/>
              <w:jc w:val="left"/>
              <w:rPr>
                <w:sz w:val="20"/>
              </w:rPr>
            </w:pPr>
            <w:r>
              <w:rPr>
                <w:sz w:val="20"/>
              </w:rPr>
              <w:tab/>
              <w:t xml:space="preserve">Выходцы </w:t>
            </w:r>
            <w:r>
              <w:rPr>
                <w:sz w:val="20"/>
                <w:lang w:val="ru-RU"/>
              </w:rPr>
              <w:t xml:space="preserve">с </w:t>
            </w:r>
            <w:r>
              <w:rPr>
                <w:sz w:val="20"/>
              </w:rPr>
              <w:t>Антильских островов или Арубы</w:t>
            </w:r>
          </w:p>
        </w:tc>
        <w:tc>
          <w:tcPr>
            <w:tcW w:w="1211" w:type="dxa"/>
          </w:tcPr>
          <w:p w:rsidR="00000000" w:rsidRDefault="00000000">
            <w:pPr>
              <w:widowControl w:val="0"/>
              <w:spacing w:before="40" w:after="40" w:line="200" w:lineRule="exact"/>
              <w:ind w:right="454"/>
              <w:jc w:val="right"/>
              <w:rPr>
                <w:sz w:val="20"/>
                <w:lang w:val="en-GB"/>
              </w:rPr>
            </w:pPr>
            <w:r>
              <w:rPr>
                <w:sz w:val="20"/>
                <w:lang w:val="en-GB"/>
              </w:rPr>
              <w:t>34</w:t>
            </w:r>
          </w:p>
        </w:tc>
        <w:tc>
          <w:tcPr>
            <w:tcW w:w="1212" w:type="dxa"/>
          </w:tcPr>
          <w:p w:rsidR="00000000" w:rsidRDefault="00000000">
            <w:pPr>
              <w:widowControl w:val="0"/>
              <w:spacing w:before="40" w:after="40" w:line="200" w:lineRule="exact"/>
              <w:ind w:right="454"/>
              <w:jc w:val="right"/>
              <w:rPr>
                <w:sz w:val="20"/>
                <w:lang w:val="en-GB"/>
              </w:rPr>
            </w:pPr>
            <w:r>
              <w:rPr>
                <w:sz w:val="20"/>
                <w:lang w:val="en-GB"/>
              </w:rPr>
              <w:t>48</w:t>
            </w:r>
          </w:p>
        </w:tc>
        <w:tc>
          <w:tcPr>
            <w:tcW w:w="1212" w:type="dxa"/>
          </w:tcPr>
          <w:p w:rsidR="00000000" w:rsidRDefault="00000000">
            <w:pPr>
              <w:widowControl w:val="0"/>
              <w:spacing w:before="40" w:after="40" w:line="200" w:lineRule="exact"/>
              <w:ind w:right="454"/>
              <w:jc w:val="right"/>
              <w:rPr>
                <w:sz w:val="20"/>
                <w:lang w:val="en-GB"/>
              </w:rPr>
            </w:pPr>
            <w:r>
              <w:rPr>
                <w:sz w:val="20"/>
                <w:lang w:val="en-GB"/>
              </w:rPr>
              <w:t>53</w:t>
            </w:r>
          </w:p>
        </w:tc>
        <w:tc>
          <w:tcPr>
            <w:tcW w:w="1184" w:type="dxa"/>
          </w:tcPr>
          <w:p w:rsidR="00000000" w:rsidRDefault="00000000">
            <w:pPr>
              <w:widowControl w:val="0"/>
              <w:spacing w:before="40" w:after="40" w:line="200" w:lineRule="exact"/>
              <w:ind w:right="454"/>
              <w:jc w:val="right"/>
              <w:rPr>
                <w:sz w:val="20"/>
                <w:lang w:val="en-GB"/>
              </w:rPr>
            </w:pPr>
            <w:r>
              <w:rPr>
                <w:sz w:val="20"/>
                <w:lang w:val="en-GB"/>
              </w:rPr>
              <w:t>62</w:t>
            </w:r>
          </w:p>
        </w:tc>
      </w:tr>
      <w:tr w:rsidR="00000000">
        <w:tblPrEx>
          <w:tblCellMar>
            <w:top w:w="0" w:type="dxa"/>
            <w:bottom w:w="0" w:type="dxa"/>
          </w:tblCellMar>
        </w:tblPrEx>
        <w:trPr>
          <w:jc w:val="center"/>
        </w:trPr>
        <w:tc>
          <w:tcPr>
            <w:tcW w:w="4537" w:type="dxa"/>
          </w:tcPr>
          <w:p w:rsidR="00000000" w:rsidRDefault="00000000">
            <w:pPr>
              <w:tabs>
                <w:tab w:val="left" w:pos="340"/>
              </w:tabs>
              <w:spacing w:before="0" w:line="200" w:lineRule="exact"/>
              <w:rPr>
                <w:sz w:val="20"/>
              </w:rPr>
            </w:pPr>
          </w:p>
        </w:tc>
        <w:tc>
          <w:tcPr>
            <w:tcW w:w="1211" w:type="dxa"/>
          </w:tcPr>
          <w:p w:rsidR="00000000" w:rsidRDefault="00000000">
            <w:pPr>
              <w:tabs>
                <w:tab w:val="left" w:pos="340"/>
              </w:tabs>
              <w:spacing w:before="0" w:line="200" w:lineRule="exact"/>
              <w:ind w:right="454"/>
              <w:jc w:val="right"/>
              <w:rPr>
                <w:sz w:val="20"/>
              </w:rPr>
            </w:pPr>
          </w:p>
        </w:tc>
        <w:tc>
          <w:tcPr>
            <w:tcW w:w="1212" w:type="dxa"/>
          </w:tcPr>
          <w:p w:rsidR="00000000" w:rsidRDefault="00000000">
            <w:pPr>
              <w:tabs>
                <w:tab w:val="left" w:pos="340"/>
              </w:tabs>
              <w:spacing w:before="0" w:line="200" w:lineRule="exact"/>
              <w:ind w:right="454"/>
              <w:jc w:val="right"/>
              <w:rPr>
                <w:sz w:val="20"/>
              </w:rPr>
            </w:pPr>
          </w:p>
        </w:tc>
        <w:tc>
          <w:tcPr>
            <w:tcW w:w="1212" w:type="dxa"/>
          </w:tcPr>
          <w:p w:rsidR="00000000" w:rsidRDefault="00000000">
            <w:pPr>
              <w:tabs>
                <w:tab w:val="left" w:pos="340"/>
              </w:tabs>
              <w:spacing w:before="0" w:line="200" w:lineRule="exact"/>
              <w:ind w:right="454"/>
              <w:jc w:val="right"/>
              <w:rPr>
                <w:sz w:val="20"/>
              </w:rPr>
            </w:pPr>
          </w:p>
        </w:tc>
        <w:tc>
          <w:tcPr>
            <w:tcW w:w="1184" w:type="dxa"/>
          </w:tcPr>
          <w:p w:rsidR="00000000" w:rsidRDefault="00000000">
            <w:pPr>
              <w:tabs>
                <w:tab w:val="left" w:pos="340"/>
              </w:tabs>
              <w:spacing w:before="0" w:line="200" w:lineRule="exact"/>
              <w:ind w:right="454"/>
              <w:jc w:val="right"/>
              <w:rPr>
                <w:sz w:val="20"/>
              </w:rPr>
            </w:pP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b/>
                <w:sz w:val="20"/>
              </w:rPr>
            </w:pPr>
            <w:r>
              <w:rPr>
                <w:b/>
                <w:sz w:val="20"/>
              </w:rPr>
              <w:t>Уровень безработицы (в процентах)</w:t>
            </w:r>
          </w:p>
        </w:tc>
        <w:tc>
          <w:tcPr>
            <w:tcW w:w="1211" w:type="dxa"/>
          </w:tcPr>
          <w:p w:rsidR="00000000" w:rsidRDefault="00000000">
            <w:pPr>
              <w:tabs>
                <w:tab w:val="left" w:pos="340"/>
              </w:tabs>
              <w:spacing w:before="40" w:after="40" w:line="200" w:lineRule="exact"/>
              <w:ind w:right="454"/>
              <w:jc w:val="right"/>
              <w:rPr>
                <w:sz w:val="20"/>
              </w:rPr>
            </w:pPr>
          </w:p>
        </w:tc>
        <w:tc>
          <w:tcPr>
            <w:tcW w:w="1212" w:type="dxa"/>
          </w:tcPr>
          <w:p w:rsidR="00000000" w:rsidRDefault="00000000">
            <w:pPr>
              <w:tabs>
                <w:tab w:val="left" w:pos="340"/>
              </w:tabs>
              <w:spacing w:before="40" w:after="40" w:line="200" w:lineRule="exact"/>
              <w:ind w:right="454"/>
              <w:jc w:val="right"/>
              <w:rPr>
                <w:sz w:val="20"/>
              </w:rPr>
            </w:pPr>
          </w:p>
        </w:tc>
        <w:tc>
          <w:tcPr>
            <w:tcW w:w="1212" w:type="dxa"/>
          </w:tcPr>
          <w:p w:rsidR="00000000" w:rsidRDefault="00000000">
            <w:pPr>
              <w:tabs>
                <w:tab w:val="left" w:pos="340"/>
              </w:tabs>
              <w:spacing w:before="40" w:after="40" w:line="200" w:lineRule="exact"/>
              <w:ind w:right="454"/>
              <w:jc w:val="right"/>
              <w:rPr>
                <w:sz w:val="20"/>
              </w:rPr>
            </w:pPr>
          </w:p>
        </w:tc>
        <w:tc>
          <w:tcPr>
            <w:tcW w:w="1184" w:type="dxa"/>
          </w:tcPr>
          <w:p w:rsidR="00000000" w:rsidRDefault="00000000">
            <w:pPr>
              <w:tabs>
                <w:tab w:val="left" w:pos="340"/>
              </w:tabs>
              <w:spacing w:before="40" w:after="40" w:line="200" w:lineRule="exact"/>
              <w:ind w:right="454"/>
              <w:jc w:val="right"/>
              <w:rPr>
                <w:sz w:val="20"/>
              </w:rPr>
            </w:pP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Всего</w:t>
            </w:r>
          </w:p>
        </w:tc>
        <w:tc>
          <w:tcPr>
            <w:tcW w:w="1211" w:type="dxa"/>
          </w:tcPr>
          <w:p w:rsidR="00000000" w:rsidRDefault="00000000">
            <w:pPr>
              <w:pStyle w:val="FootnoteText"/>
              <w:widowControl w:val="0"/>
              <w:spacing w:before="40" w:after="40" w:line="200" w:lineRule="exact"/>
              <w:ind w:right="454"/>
              <w:jc w:val="right"/>
              <w:rPr>
                <w:sz w:val="20"/>
                <w:lang w:val="en-GB"/>
              </w:rPr>
            </w:pPr>
            <w:r>
              <w:rPr>
                <w:sz w:val="20"/>
                <w:lang w:val="en-GB"/>
              </w:rPr>
              <w:t>11</w:t>
            </w:r>
          </w:p>
        </w:tc>
        <w:tc>
          <w:tcPr>
            <w:tcW w:w="1212" w:type="dxa"/>
          </w:tcPr>
          <w:p w:rsidR="00000000" w:rsidRDefault="00000000">
            <w:pPr>
              <w:widowControl w:val="0"/>
              <w:spacing w:before="40" w:after="40" w:line="200" w:lineRule="exact"/>
              <w:ind w:right="454"/>
              <w:jc w:val="right"/>
              <w:rPr>
                <w:sz w:val="20"/>
                <w:lang w:val="en-GB"/>
              </w:rPr>
            </w:pPr>
            <w:r>
              <w:rPr>
                <w:sz w:val="20"/>
                <w:lang w:val="en-GB"/>
              </w:rPr>
              <w:t>5</w:t>
            </w:r>
          </w:p>
        </w:tc>
        <w:tc>
          <w:tcPr>
            <w:tcW w:w="1212" w:type="dxa"/>
          </w:tcPr>
          <w:p w:rsidR="00000000" w:rsidRDefault="00000000">
            <w:pPr>
              <w:widowControl w:val="0"/>
              <w:spacing w:before="40" w:after="40" w:line="200" w:lineRule="exact"/>
              <w:ind w:right="454"/>
              <w:jc w:val="right"/>
              <w:rPr>
                <w:sz w:val="20"/>
                <w:lang w:val="en-GB"/>
              </w:rPr>
            </w:pPr>
            <w:r>
              <w:rPr>
                <w:sz w:val="20"/>
                <w:lang w:val="en-GB"/>
              </w:rPr>
              <w:t>7</w:t>
            </w:r>
          </w:p>
        </w:tc>
        <w:tc>
          <w:tcPr>
            <w:tcW w:w="1184" w:type="dxa"/>
          </w:tcPr>
          <w:p w:rsidR="00000000" w:rsidRDefault="00000000">
            <w:pPr>
              <w:widowControl w:val="0"/>
              <w:spacing w:before="40" w:after="40" w:line="200" w:lineRule="exact"/>
              <w:ind w:right="454"/>
              <w:jc w:val="right"/>
              <w:rPr>
                <w:sz w:val="20"/>
                <w:lang w:val="en-GB"/>
              </w:rPr>
            </w:pPr>
            <w:r>
              <w:rPr>
                <w:sz w:val="20"/>
                <w:lang w:val="en-GB"/>
              </w:rPr>
              <w:t>2</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Этнические голландцы</w:t>
            </w:r>
          </w:p>
        </w:tc>
        <w:tc>
          <w:tcPr>
            <w:tcW w:w="1211" w:type="dxa"/>
          </w:tcPr>
          <w:p w:rsidR="00000000" w:rsidRDefault="00000000">
            <w:pPr>
              <w:widowControl w:val="0"/>
              <w:spacing w:before="40" w:after="40" w:line="200" w:lineRule="exact"/>
              <w:ind w:right="454"/>
              <w:jc w:val="right"/>
              <w:rPr>
                <w:sz w:val="20"/>
                <w:lang w:val="en-GB"/>
              </w:rPr>
            </w:pPr>
            <w:r>
              <w:rPr>
                <w:sz w:val="20"/>
                <w:lang w:val="en-GB"/>
              </w:rPr>
              <w:t>10</w:t>
            </w:r>
          </w:p>
        </w:tc>
        <w:tc>
          <w:tcPr>
            <w:tcW w:w="1212" w:type="dxa"/>
          </w:tcPr>
          <w:p w:rsidR="00000000" w:rsidRDefault="00000000">
            <w:pPr>
              <w:widowControl w:val="0"/>
              <w:spacing w:before="40" w:after="40" w:line="200" w:lineRule="exact"/>
              <w:ind w:right="454"/>
              <w:jc w:val="right"/>
              <w:rPr>
                <w:sz w:val="20"/>
                <w:lang w:val="en-GB"/>
              </w:rPr>
            </w:pPr>
            <w:r>
              <w:rPr>
                <w:sz w:val="20"/>
                <w:lang w:val="en-GB"/>
              </w:rPr>
              <w:t>4</w:t>
            </w:r>
          </w:p>
        </w:tc>
        <w:tc>
          <w:tcPr>
            <w:tcW w:w="1212" w:type="dxa"/>
          </w:tcPr>
          <w:p w:rsidR="00000000" w:rsidRDefault="00000000">
            <w:pPr>
              <w:widowControl w:val="0"/>
              <w:spacing w:before="40" w:after="40" w:line="200" w:lineRule="exact"/>
              <w:ind w:right="454"/>
              <w:jc w:val="right"/>
              <w:rPr>
                <w:sz w:val="20"/>
                <w:lang w:val="en-GB"/>
              </w:rPr>
            </w:pPr>
            <w:r>
              <w:rPr>
                <w:sz w:val="20"/>
                <w:lang w:val="en-GB"/>
              </w:rPr>
              <w:t>5</w:t>
            </w:r>
          </w:p>
        </w:tc>
        <w:tc>
          <w:tcPr>
            <w:tcW w:w="1184" w:type="dxa"/>
          </w:tcPr>
          <w:p w:rsidR="00000000" w:rsidRDefault="00000000">
            <w:pPr>
              <w:widowControl w:val="0"/>
              <w:spacing w:before="40" w:after="40" w:line="200" w:lineRule="exact"/>
              <w:ind w:right="454"/>
              <w:jc w:val="right"/>
              <w:rPr>
                <w:sz w:val="20"/>
                <w:lang w:val="en-GB"/>
              </w:rPr>
            </w:pPr>
            <w:r>
              <w:rPr>
                <w:sz w:val="20"/>
                <w:lang w:val="en-GB"/>
              </w:rPr>
              <w:t>2</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Западные этнические меньшинства</w:t>
            </w:r>
          </w:p>
        </w:tc>
        <w:tc>
          <w:tcPr>
            <w:tcW w:w="1211" w:type="dxa"/>
          </w:tcPr>
          <w:p w:rsidR="00000000" w:rsidRDefault="00000000">
            <w:pPr>
              <w:widowControl w:val="0"/>
              <w:spacing w:before="40" w:after="40" w:line="200" w:lineRule="exact"/>
              <w:ind w:right="454"/>
              <w:jc w:val="right"/>
              <w:rPr>
                <w:sz w:val="20"/>
                <w:lang w:val="en-GB"/>
              </w:rPr>
            </w:pPr>
            <w:r>
              <w:rPr>
                <w:sz w:val="20"/>
                <w:lang w:val="en-GB"/>
              </w:rPr>
              <w:t>15</w:t>
            </w:r>
          </w:p>
        </w:tc>
        <w:tc>
          <w:tcPr>
            <w:tcW w:w="1212" w:type="dxa"/>
          </w:tcPr>
          <w:p w:rsidR="00000000" w:rsidRDefault="00000000">
            <w:pPr>
              <w:widowControl w:val="0"/>
              <w:spacing w:before="40" w:after="40" w:line="200" w:lineRule="exact"/>
              <w:ind w:right="454"/>
              <w:jc w:val="right"/>
              <w:rPr>
                <w:sz w:val="20"/>
                <w:lang w:val="en-GB"/>
              </w:rPr>
            </w:pPr>
            <w:r>
              <w:rPr>
                <w:sz w:val="20"/>
                <w:lang w:val="en-GB"/>
              </w:rPr>
              <w:t>6</w:t>
            </w:r>
          </w:p>
        </w:tc>
        <w:tc>
          <w:tcPr>
            <w:tcW w:w="1212" w:type="dxa"/>
          </w:tcPr>
          <w:p w:rsidR="00000000" w:rsidRDefault="00000000">
            <w:pPr>
              <w:widowControl w:val="0"/>
              <w:spacing w:before="40" w:after="40" w:line="200" w:lineRule="exact"/>
              <w:ind w:right="454"/>
              <w:jc w:val="right"/>
              <w:rPr>
                <w:sz w:val="20"/>
                <w:lang w:val="en-GB"/>
              </w:rPr>
            </w:pPr>
            <w:r>
              <w:rPr>
                <w:sz w:val="20"/>
                <w:lang w:val="en-GB"/>
              </w:rPr>
              <w:t>9</w:t>
            </w:r>
          </w:p>
        </w:tc>
        <w:tc>
          <w:tcPr>
            <w:tcW w:w="1184" w:type="dxa"/>
          </w:tcPr>
          <w:p w:rsidR="00000000" w:rsidRDefault="00000000">
            <w:pPr>
              <w:widowControl w:val="0"/>
              <w:spacing w:before="40" w:after="40" w:line="200" w:lineRule="exact"/>
              <w:ind w:right="454"/>
              <w:jc w:val="right"/>
              <w:rPr>
                <w:sz w:val="20"/>
                <w:lang w:val="en-GB"/>
              </w:rPr>
            </w:pPr>
            <w:r>
              <w:rPr>
                <w:sz w:val="20"/>
                <w:lang w:val="en-GB"/>
              </w:rPr>
              <w:t>3</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Незападные этнические меньшинства</w:t>
            </w:r>
          </w:p>
        </w:tc>
        <w:tc>
          <w:tcPr>
            <w:tcW w:w="1211" w:type="dxa"/>
          </w:tcPr>
          <w:p w:rsidR="00000000" w:rsidRDefault="00000000">
            <w:pPr>
              <w:widowControl w:val="0"/>
              <w:spacing w:before="40" w:after="40" w:line="200" w:lineRule="exact"/>
              <w:ind w:right="454"/>
              <w:jc w:val="right"/>
              <w:rPr>
                <w:sz w:val="20"/>
                <w:lang w:val="en-GB"/>
              </w:rPr>
            </w:pPr>
            <w:r>
              <w:rPr>
                <w:sz w:val="20"/>
                <w:lang w:val="en-GB"/>
              </w:rPr>
              <w:t>23</w:t>
            </w:r>
          </w:p>
        </w:tc>
        <w:tc>
          <w:tcPr>
            <w:tcW w:w="1212" w:type="dxa"/>
          </w:tcPr>
          <w:p w:rsidR="00000000" w:rsidRDefault="00000000">
            <w:pPr>
              <w:widowControl w:val="0"/>
              <w:spacing w:before="40" w:after="40" w:line="200" w:lineRule="exact"/>
              <w:ind w:right="454"/>
              <w:jc w:val="right"/>
              <w:rPr>
                <w:sz w:val="20"/>
                <w:lang w:val="en-GB"/>
              </w:rPr>
            </w:pPr>
            <w:r>
              <w:rPr>
                <w:sz w:val="20"/>
                <w:lang w:val="en-GB"/>
              </w:rPr>
              <w:t>9</w:t>
            </w:r>
          </w:p>
        </w:tc>
        <w:tc>
          <w:tcPr>
            <w:tcW w:w="1212" w:type="dxa"/>
          </w:tcPr>
          <w:p w:rsidR="00000000" w:rsidRDefault="00000000">
            <w:pPr>
              <w:widowControl w:val="0"/>
              <w:spacing w:before="40" w:after="40" w:line="200" w:lineRule="exact"/>
              <w:ind w:right="454"/>
              <w:jc w:val="right"/>
              <w:rPr>
                <w:sz w:val="20"/>
                <w:lang w:val="en-GB"/>
              </w:rPr>
            </w:pPr>
            <w:r>
              <w:rPr>
                <w:sz w:val="20"/>
                <w:lang w:val="en-GB"/>
              </w:rPr>
              <w:t>27</w:t>
            </w:r>
          </w:p>
        </w:tc>
        <w:tc>
          <w:tcPr>
            <w:tcW w:w="1184" w:type="dxa"/>
          </w:tcPr>
          <w:p w:rsidR="00000000" w:rsidRDefault="00000000">
            <w:pPr>
              <w:widowControl w:val="0"/>
              <w:spacing w:before="40" w:after="40" w:line="200" w:lineRule="exact"/>
              <w:ind w:right="454"/>
              <w:jc w:val="right"/>
              <w:rPr>
                <w:sz w:val="20"/>
                <w:lang w:val="en-GB"/>
              </w:rPr>
            </w:pPr>
            <w:r>
              <w:rPr>
                <w:sz w:val="20"/>
                <w:lang w:val="en-GB"/>
              </w:rPr>
              <w:t>9</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Турции</w:t>
            </w:r>
          </w:p>
        </w:tc>
        <w:tc>
          <w:tcPr>
            <w:tcW w:w="1211" w:type="dxa"/>
          </w:tcPr>
          <w:p w:rsidR="00000000" w:rsidRDefault="00000000">
            <w:pPr>
              <w:widowControl w:val="0"/>
              <w:spacing w:before="40" w:after="40" w:line="200" w:lineRule="exact"/>
              <w:ind w:right="454"/>
              <w:jc w:val="right"/>
              <w:rPr>
                <w:sz w:val="20"/>
                <w:lang w:val="en-GB"/>
              </w:rPr>
            </w:pPr>
            <w:r>
              <w:rPr>
                <w:sz w:val="20"/>
                <w:lang w:val="en-GB"/>
              </w:rPr>
              <w:t>31</w:t>
            </w:r>
          </w:p>
        </w:tc>
        <w:tc>
          <w:tcPr>
            <w:tcW w:w="1212" w:type="dxa"/>
          </w:tcPr>
          <w:p w:rsidR="00000000" w:rsidRDefault="00000000">
            <w:pPr>
              <w:widowControl w:val="0"/>
              <w:spacing w:before="40" w:after="40" w:line="200" w:lineRule="exact"/>
              <w:ind w:right="454"/>
              <w:jc w:val="right"/>
              <w:rPr>
                <w:sz w:val="20"/>
                <w:lang w:val="en-GB"/>
              </w:rPr>
            </w:pPr>
            <w:r>
              <w:rPr>
                <w:sz w:val="20"/>
                <w:lang w:val="en-GB"/>
              </w:rPr>
              <w:t>7</w:t>
            </w:r>
          </w:p>
        </w:tc>
        <w:tc>
          <w:tcPr>
            <w:tcW w:w="1212" w:type="dxa"/>
          </w:tcPr>
          <w:p w:rsidR="00000000" w:rsidRDefault="00000000">
            <w:pPr>
              <w:widowControl w:val="0"/>
              <w:spacing w:before="40" w:after="40" w:line="200" w:lineRule="exact"/>
              <w:ind w:right="454"/>
              <w:jc w:val="right"/>
              <w:rPr>
                <w:sz w:val="20"/>
                <w:lang w:val="en-GB"/>
              </w:rPr>
            </w:pPr>
            <w:r>
              <w:rPr>
                <w:sz w:val="20"/>
                <w:lang w:val="en-GB"/>
              </w:rPr>
              <w:t>30</w:t>
            </w:r>
          </w:p>
        </w:tc>
        <w:tc>
          <w:tcPr>
            <w:tcW w:w="1184" w:type="dxa"/>
          </w:tcPr>
          <w:p w:rsidR="00000000" w:rsidRDefault="00000000">
            <w:pPr>
              <w:widowControl w:val="0"/>
              <w:spacing w:before="40" w:after="40" w:line="200" w:lineRule="exact"/>
              <w:ind w:right="454"/>
              <w:jc w:val="right"/>
              <w:rPr>
                <w:sz w:val="20"/>
                <w:lang w:val="en-GB"/>
              </w:rPr>
            </w:pPr>
            <w:r>
              <w:rPr>
                <w:sz w:val="20"/>
                <w:lang w:val="en-GB"/>
              </w:rPr>
              <w:t>8</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Марокко</w:t>
            </w:r>
          </w:p>
        </w:tc>
        <w:tc>
          <w:tcPr>
            <w:tcW w:w="1211" w:type="dxa"/>
          </w:tcPr>
          <w:p w:rsidR="00000000" w:rsidRDefault="00000000">
            <w:pPr>
              <w:widowControl w:val="0"/>
              <w:spacing w:before="40" w:after="40" w:line="200" w:lineRule="exact"/>
              <w:ind w:right="454"/>
              <w:jc w:val="right"/>
              <w:rPr>
                <w:sz w:val="20"/>
                <w:lang w:val="en-GB"/>
              </w:rPr>
            </w:pPr>
            <w:r>
              <w:rPr>
                <w:sz w:val="20"/>
                <w:lang w:val="en-GB"/>
              </w:rPr>
              <w:t>18</w:t>
            </w:r>
          </w:p>
        </w:tc>
        <w:tc>
          <w:tcPr>
            <w:tcW w:w="1212" w:type="dxa"/>
          </w:tcPr>
          <w:p w:rsidR="00000000" w:rsidRDefault="00000000">
            <w:pPr>
              <w:widowControl w:val="0"/>
              <w:spacing w:before="40" w:after="40" w:line="200" w:lineRule="exact"/>
              <w:ind w:right="454"/>
              <w:jc w:val="right"/>
              <w:rPr>
                <w:sz w:val="20"/>
                <w:lang w:val="en-GB"/>
              </w:rPr>
            </w:pPr>
            <w:r>
              <w:rPr>
                <w:sz w:val="20"/>
                <w:lang w:val="en-GB"/>
              </w:rPr>
              <w:t>15</w:t>
            </w:r>
          </w:p>
        </w:tc>
        <w:tc>
          <w:tcPr>
            <w:tcW w:w="1212" w:type="dxa"/>
          </w:tcPr>
          <w:p w:rsidR="00000000" w:rsidRDefault="00000000">
            <w:pPr>
              <w:widowControl w:val="0"/>
              <w:spacing w:before="40" w:after="40" w:line="200" w:lineRule="exact"/>
              <w:ind w:right="454"/>
              <w:jc w:val="right"/>
              <w:rPr>
                <w:sz w:val="20"/>
                <w:lang w:val="en-GB"/>
              </w:rPr>
            </w:pPr>
            <w:r>
              <w:rPr>
                <w:sz w:val="20"/>
                <w:lang w:val="en-GB"/>
              </w:rPr>
              <w:t>33</w:t>
            </w:r>
          </w:p>
        </w:tc>
        <w:tc>
          <w:tcPr>
            <w:tcW w:w="1184" w:type="dxa"/>
          </w:tcPr>
          <w:p w:rsidR="00000000" w:rsidRDefault="00000000">
            <w:pPr>
              <w:widowControl w:val="0"/>
              <w:spacing w:before="40" w:after="40" w:line="200" w:lineRule="exact"/>
              <w:ind w:right="454"/>
              <w:jc w:val="right"/>
              <w:rPr>
                <w:sz w:val="20"/>
                <w:lang w:val="en-GB"/>
              </w:rPr>
            </w:pPr>
            <w:r>
              <w:rPr>
                <w:sz w:val="20"/>
                <w:lang w:val="en-GB"/>
              </w:rPr>
              <w:t>8</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Выходцы из Суринама</w:t>
            </w:r>
          </w:p>
        </w:tc>
        <w:tc>
          <w:tcPr>
            <w:tcW w:w="1211" w:type="dxa"/>
          </w:tcPr>
          <w:p w:rsidR="00000000" w:rsidRDefault="00000000">
            <w:pPr>
              <w:widowControl w:val="0"/>
              <w:spacing w:before="40" w:after="40" w:line="200" w:lineRule="exact"/>
              <w:ind w:right="454"/>
              <w:jc w:val="right"/>
              <w:rPr>
                <w:sz w:val="20"/>
                <w:lang w:val="en-GB"/>
              </w:rPr>
            </w:pPr>
            <w:r>
              <w:rPr>
                <w:sz w:val="20"/>
                <w:lang w:val="en-GB"/>
              </w:rPr>
              <w:t>20</w:t>
            </w:r>
          </w:p>
        </w:tc>
        <w:tc>
          <w:tcPr>
            <w:tcW w:w="1212" w:type="dxa"/>
          </w:tcPr>
          <w:p w:rsidR="00000000" w:rsidRDefault="00000000">
            <w:pPr>
              <w:widowControl w:val="0"/>
              <w:spacing w:before="40" w:after="40" w:line="200" w:lineRule="exact"/>
              <w:ind w:right="454"/>
              <w:jc w:val="right"/>
              <w:rPr>
                <w:sz w:val="20"/>
                <w:lang w:val="en-GB"/>
              </w:rPr>
            </w:pPr>
            <w:r>
              <w:rPr>
                <w:sz w:val="20"/>
                <w:lang w:val="en-GB"/>
              </w:rPr>
              <w:t>5</w:t>
            </w:r>
          </w:p>
        </w:tc>
        <w:tc>
          <w:tcPr>
            <w:tcW w:w="1212" w:type="dxa"/>
          </w:tcPr>
          <w:p w:rsidR="00000000" w:rsidRDefault="00000000">
            <w:pPr>
              <w:widowControl w:val="0"/>
              <w:spacing w:before="40" w:after="40" w:line="200" w:lineRule="exact"/>
              <w:ind w:right="454"/>
              <w:jc w:val="right"/>
              <w:rPr>
                <w:sz w:val="20"/>
                <w:lang w:val="en-GB"/>
              </w:rPr>
            </w:pPr>
            <w:r>
              <w:rPr>
                <w:sz w:val="20"/>
                <w:lang w:val="en-GB"/>
              </w:rPr>
              <w:t>19</w:t>
            </w:r>
          </w:p>
        </w:tc>
        <w:tc>
          <w:tcPr>
            <w:tcW w:w="1184" w:type="dxa"/>
          </w:tcPr>
          <w:p w:rsidR="00000000" w:rsidRDefault="00000000">
            <w:pPr>
              <w:widowControl w:val="0"/>
              <w:spacing w:before="40" w:after="40" w:line="200" w:lineRule="exact"/>
              <w:ind w:right="454"/>
              <w:jc w:val="right"/>
              <w:rPr>
                <w:sz w:val="20"/>
                <w:lang w:val="en-GB"/>
              </w:rPr>
            </w:pPr>
            <w:r>
              <w:rPr>
                <w:sz w:val="20"/>
                <w:lang w:val="en-GB"/>
              </w:rPr>
              <w:t>8</w:t>
            </w:r>
          </w:p>
        </w:tc>
      </w:tr>
      <w:tr w:rsidR="00000000">
        <w:tblPrEx>
          <w:tblCellMar>
            <w:top w:w="0" w:type="dxa"/>
            <w:bottom w:w="0" w:type="dxa"/>
          </w:tblCellMar>
        </w:tblPrEx>
        <w:trPr>
          <w:jc w:val="center"/>
        </w:trPr>
        <w:tc>
          <w:tcPr>
            <w:tcW w:w="4537" w:type="dxa"/>
          </w:tcPr>
          <w:p w:rsidR="00000000" w:rsidRDefault="00000000">
            <w:pPr>
              <w:tabs>
                <w:tab w:val="left" w:pos="340"/>
              </w:tabs>
              <w:spacing w:before="40" w:after="40" w:line="200" w:lineRule="exact"/>
              <w:rPr>
                <w:sz w:val="20"/>
              </w:rPr>
            </w:pPr>
            <w:r>
              <w:rPr>
                <w:sz w:val="20"/>
              </w:rPr>
              <w:tab/>
              <w:t xml:space="preserve">Выходцы </w:t>
            </w:r>
            <w:r>
              <w:rPr>
                <w:sz w:val="20"/>
                <w:lang w:val="ru-RU"/>
              </w:rPr>
              <w:t xml:space="preserve">с </w:t>
            </w:r>
            <w:r>
              <w:rPr>
                <w:sz w:val="20"/>
              </w:rPr>
              <w:t>Антильских островов или Арубы</w:t>
            </w:r>
          </w:p>
        </w:tc>
        <w:tc>
          <w:tcPr>
            <w:tcW w:w="1211" w:type="dxa"/>
          </w:tcPr>
          <w:p w:rsidR="00000000" w:rsidRDefault="00000000">
            <w:pPr>
              <w:widowControl w:val="0"/>
              <w:spacing w:before="40" w:after="40" w:line="200" w:lineRule="exact"/>
              <w:ind w:right="454"/>
              <w:jc w:val="right"/>
              <w:rPr>
                <w:sz w:val="20"/>
              </w:rPr>
            </w:pPr>
            <w:r>
              <w:rPr>
                <w:sz w:val="20"/>
              </w:rPr>
              <w:t>23</w:t>
            </w:r>
          </w:p>
        </w:tc>
        <w:tc>
          <w:tcPr>
            <w:tcW w:w="1212" w:type="dxa"/>
          </w:tcPr>
          <w:p w:rsidR="00000000" w:rsidRDefault="00000000">
            <w:pPr>
              <w:widowControl w:val="0"/>
              <w:spacing w:before="40" w:after="40" w:line="200" w:lineRule="exact"/>
              <w:ind w:right="454"/>
              <w:jc w:val="right"/>
              <w:rPr>
                <w:sz w:val="20"/>
              </w:rPr>
            </w:pPr>
            <w:r>
              <w:rPr>
                <w:sz w:val="20"/>
              </w:rPr>
              <w:t>7</w:t>
            </w:r>
          </w:p>
        </w:tc>
        <w:tc>
          <w:tcPr>
            <w:tcW w:w="1212" w:type="dxa"/>
          </w:tcPr>
          <w:p w:rsidR="00000000" w:rsidRDefault="00000000">
            <w:pPr>
              <w:widowControl w:val="0"/>
              <w:spacing w:before="40" w:after="40" w:line="200" w:lineRule="exact"/>
              <w:ind w:right="454"/>
              <w:jc w:val="right"/>
              <w:rPr>
                <w:sz w:val="20"/>
              </w:rPr>
            </w:pPr>
            <w:r>
              <w:rPr>
                <w:sz w:val="20"/>
              </w:rPr>
              <w:t>21</w:t>
            </w:r>
          </w:p>
        </w:tc>
        <w:tc>
          <w:tcPr>
            <w:tcW w:w="1184" w:type="dxa"/>
          </w:tcPr>
          <w:p w:rsidR="00000000" w:rsidRDefault="00000000">
            <w:pPr>
              <w:widowControl w:val="0"/>
              <w:spacing w:before="40" w:after="40" w:line="200" w:lineRule="exact"/>
              <w:ind w:right="454"/>
              <w:jc w:val="right"/>
              <w:rPr>
                <w:sz w:val="20"/>
              </w:rPr>
            </w:pPr>
            <w:r>
              <w:rPr>
                <w:sz w:val="20"/>
              </w:rPr>
              <w:t>9</w:t>
            </w:r>
          </w:p>
        </w:tc>
      </w:tr>
    </w:tbl>
    <w:p w:rsidR="00000000" w:rsidRDefault="00000000">
      <w:pPr>
        <w:spacing w:before="120" w:line="480" w:lineRule="auto"/>
        <w:rPr>
          <w:sz w:val="20"/>
        </w:rPr>
      </w:pPr>
      <w:r>
        <w:rPr>
          <w:sz w:val="20"/>
        </w:rPr>
        <w:t xml:space="preserve">Источник: Мониторинг </w:t>
      </w:r>
      <w:r>
        <w:rPr>
          <w:sz w:val="20"/>
          <w:lang w:val="ru-RU"/>
        </w:rPr>
        <w:t xml:space="preserve">в области </w:t>
      </w:r>
      <w:r>
        <w:rPr>
          <w:sz w:val="20"/>
        </w:rPr>
        <w:t>эмансипации, 2002 год, стр. 77 и 86.</w:t>
      </w:r>
    </w:p>
    <w:p w:rsidR="00000000" w:rsidRDefault="00000000">
      <w:pPr>
        <w:pStyle w:val="Subtitle"/>
        <w:rPr>
          <w:lang w:val="ru-RU"/>
        </w:rPr>
      </w:pPr>
      <w:r>
        <w:rPr>
          <w:lang w:val="ru-RU"/>
        </w:rPr>
        <w:t>Нищета</w:t>
      </w:r>
    </w:p>
    <w:p w:rsidR="00000000" w:rsidRDefault="00000000">
      <w:r>
        <w:t xml:space="preserve">В 2003 году был опубликован второй национальный план действий (НПД) по борьбе с нищетой и социальной изолированностью. В этом НПД </w:t>
      </w:r>
      <w:r>
        <w:rPr>
          <w:lang w:val="ru-RU"/>
        </w:rPr>
        <w:t xml:space="preserve">заинтересованные </w:t>
      </w:r>
      <w:r>
        <w:t>министерства сформулировали целевые показатели, соответствующие общим европейским целям в области борьбы с нищетой.</w:t>
      </w:r>
    </w:p>
    <w:p w:rsidR="00000000" w:rsidRDefault="00000000">
      <w:r>
        <w:t>С учетом результатов научного анализа в отношении риска нищеты и масштабов влияния деятельности правительства на выявленные риски основное внимание в НПД-2003 сфокусировано на особых группах риска. Результаты первоначального анализа, в частности, показывают, что женщины в большей степени, чем мужчины, подвержены риску нищеты. К числу групп, требующих особого внимания, относятся женщины – выходцы из этнических меньшинств и одинокие женщины.</w:t>
      </w:r>
    </w:p>
    <w:p w:rsidR="00000000" w:rsidRDefault="00000000">
      <w:r>
        <w:t>Одним из факторов, повышающих риск нищеты, является воспитание детей в одиночку, что в наибольшей степени относится к женщинам. Это означает, что материальные лишения чаще наблюдаются среди одиноких родителей. Это отчасти объясняется тем, что доля одиноких родителей, живущих на минимальный доход в течение продолжительного периода времени, выше национального среднего показателя. За период с 1995 по 2000 год этот показатель снизился с 14,4 до 7,7 процента от общего числа семей с одним родителем.</w:t>
      </w:r>
    </w:p>
    <w:p w:rsidR="00000000" w:rsidRDefault="00000000">
      <w:r>
        <w:t>По каждому целевому показателю была проведена оценка роли, которую гендерные различия играют в той или иной соответствующей проблеме. Различия между мужчинами и женщинами являются вполне очевидными при стандартизации льгот, предоставляемых одиноким родителям, реинтеграции одиноких родителей, живущих на социальные пособия, в сфере занятости и создании отдельных механизмов для оказания поддержки женщинам в рамках общей системы социального обеспечения. В развитие НПД в соответствующих министерствах, по мере необходимости, проводятся консультации для определения способов, с помощью которых можно было бы учитывать различия между проблемами, с которыми сталкиваются мужчины и женщины, в процессе достижения целевых показателей и принятия требуемых мер.</w:t>
      </w:r>
    </w:p>
    <w:p w:rsidR="00000000" w:rsidRDefault="00000000">
      <w:pPr>
        <w:pStyle w:val="Subtitle"/>
        <w:rPr>
          <w:lang w:val="ru-RU"/>
        </w:rPr>
      </w:pPr>
      <w:r>
        <w:rPr>
          <w:lang w:val="ru-RU"/>
        </w:rPr>
        <w:t>Независимые предприниматели-женщины</w:t>
      </w:r>
    </w:p>
    <w:p w:rsidR="00000000" w:rsidRDefault="00000000">
      <w:r>
        <w:t>Закон о страховании в связи с потерей трудоспособности (самозанятые) нуждается в изменениях. Среди прочего, данный Закон регулирует порядок выплаты пособий самозанятым женщинам в период беременности и отпуска по беременности и родам и отпуска по уходу за усыновленным ребенком. Вопрос о порядке выплаты таких пособий после отмены данного Закона все еще находится в стадии рассмотрения.</w:t>
      </w:r>
    </w:p>
    <w:p w:rsidR="00000000" w:rsidRDefault="00000000">
      <w:pPr>
        <w:pStyle w:val="Subtitle"/>
        <w:rPr>
          <w:lang w:val="ru-RU"/>
        </w:rPr>
      </w:pPr>
      <w:r>
        <w:rPr>
          <w:lang w:val="ru-RU"/>
        </w:rPr>
        <w:t>Новая налоговая система</w:t>
      </w:r>
    </w:p>
    <w:p w:rsidR="00000000" w:rsidRDefault="00000000">
      <w:r>
        <w:t>Новая налоговая система, которая была введена с 1 января 2001 года, существенно повышает экономическую самостоятельность женщин. В частности, этому способству</w:t>
      </w:r>
      <w:r>
        <w:rPr>
          <w:lang w:val="ru-RU"/>
        </w:rPr>
        <w:t>ю</w:t>
      </w:r>
      <w:r>
        <w:t>т снижение налоговых ставок и значительное увеличение налоговых вычетов для трудящихся граждан. С тем чтобы оказать родителям содействие в совмещении оплачиваемой работы и обязанностей по уходу за детьми, была введена особая налоговая льгота: с 2004 года право на ее получение предоставляется супругу с более низким, по сравнению с другим супругом, уровнем заработ</w:t>
      </w:r>
      <w:r>
        <w:rPr>
          <w:lang w:val="ru-RU"/>
        </w:rPr>
        <w:t>ной платы</w:t>
      </w:r>
      <w:r>
        <w:t>. Теперь общие налоговые вычеты выплачиваются непосредственно супругу-иждивенцу, а не кормильцу семьи, как это имело место при прежней системе.</w:t>
      </w:r>
    </w:p>
    <w:p w:rsidR="00000000" w:rsidRDefault="00000000">
      <w:pPr>
        <w:pStyle w:val="Subtitle"/>
        <w:rPr>
          <w:sz w:val="23"/>
          <w:lang w:val="ru-RU"/>
        </w:rPr>
      </w:pPr>
      <w:r>
        <w:rPr>
          <w:sz w:val="23"/>
          <w:lang w:val="ru-RU"/>
        </w:rPr>
        <w:t>3.</w:t>
      </w:r>
      <w:r>
        <w:rPr>
          <w:sz w:val="23"/>
          <w:lang w:val="ru-RU"/>
        </w:rPr>
        <w:tab/>
        <w:t>Улучшение условий занятости</w:t>
      </w:r>
    </w:p>
    <w:p w:rsidR="00000000" w:rsidRDefault="00000000">
      <w:pPr>
        <w:pStyle w:val="Subtitle"/>
        <w:rPr>
          <w:lang w:val="ru-RU"/>
        </w:rPr>
      </w:pPr>
      <w:r>
        <w:rPr>
          <w:lang w:val="ru-RU"/>
        </w:rPr>
        <w:t>Закон о страховании в связи с потерей трудоспособности</w:t>
      </w:r>
    </w:p>
    <w:p w:rsidR="00000000" w:rsidRDefault="00000000">
      <w:r>
        <w:t>В 2001 году число желающих принять участие в системе, сформированной в результате принятия Закона о страховании в связи с потерей трудоспособности, превысило 104 тыс. человек, 55 процентов из которых были женщинами. К концу 2001 года пособия в рамках этого Закона получали 352 тыс. женщин, включая 51 тыс. женщин в возрасте до 35 лет. В целях поиска объяснений феномену увеличения числа женщин, охваченных этим Законом, было проведено несколько исследований. Эти исследования были посвящены изучению различных факторов, таких как виды работы, условия труда, двойная рабочая нагрузка, возможности для занятости и роль, которую в связи с этим играет мотивация. Особая роль при этом также принадлежит социальной среде и усилиям специалистов по вопросам гигиены труда. Выделить какую-либо отдельную причину или решение не представляется возможным. В поиски возможных решений должны быть вовлечены все участники данной системы (то есть сами женщины, работодатели, специалисты по вопросам техники безопасности, гигиены труда и социального обеспечения и учреждение, отвечающее за функционирование системы страхования трудящихся).</w:t>
      </w:r>
    </w:p>
    <w:p w:rsidR="00000000" w:rsidRDefault="00000000">
      <w:r>
        <w:t>В середине 2003 года министр социальных дел представил План действий по делам женщин и Закон о страховании в связи с потерей трудоспособности, заявив, что все соответствующие стороны должны взять на себя совместную ответственность за решение проблем. В частности, особое внимание необходимо уделять женщинам в следующих конкретных областях:</w:t>
      </w:r>
    </w:p>
    <w:p w:rsidR="00000000" w:rsidRDefault="00000000">
      <w:pPr>
        <w:ind w:left="680" w:hanging="680"/>
      </w:pPr>
      <w:r>
        <w:t>–</w:t>
      </w:r>
      <w:r>
        <w:tab/>
        <w:t>предупреждение ухода в отпуск по болезни и оказание поддержки внутри компаний. Примерами являются политика управления людскими ресурсами, предоставляемые компаниями медицинские услуги и соглашения по вопросам техники безопасности, гигиены труда и социального обеспечения;</w:t>
      </w:r>
    </w:p>
    <w:p w:rsidR="00000000" w:rsidRDefault="00000000">
      <w:pPr>
        <w:ind w:left="680" w:hanging="680"/>
      </w:pPr>
      <w:r>
        <w:t>–</w:t>
      </w:r>
      <w:r>
        <w:tab/>
        <w:t>привлечение учреждения, отвечающего за функционирование системы страхования трудящихся, например, к проведению медицинских осмотров и реинтеграции в сфере занятости;</w:t>
      </w:r>
    </w:p>
    <w:p w:rsidR="00000000" w:rsidRDefault="00000000">
      <w:pPr>
        <w:ind w:left="680" w:hanging="680"/>
      </w:pPr>
      <w:r>
        <w:t>–</w:t>
      </w:r>
      <w:r>
        <w:tab/>
        <w:t>содействие принятию мер, обеспечивающих гармоничное совмещение работы и обязанностей по уходу;</w:t>
      </w:r>
    </w:p>
    <w:p w:rsidR="00000000" w:rsidRDefault="00000000">
      <w:pPr>
        <w:ind w:left="680" w:hanging="680"/>
      </w:pPr>
      <w:r>
        <w:t>–</w:t>
      </w:r>
      <w:r>
        <w:tab/>
        <w:t>меры в связи с физическими недостатками;</w:t>
      </w:r>
    </w:p>
    <w:p w:rsidR="00000000" w:rsidRDefault="00000000">
      <w:pPr>
        <w:ind w:left="680" w:hanging="680"/>
      </w:pPr>
      <w:r>
        <w:t>–</w:t>
      </w:r>
      <w:r>
        <w:tab/>
        <w:t>реинтеграция в сфере занятости.</w:t>
      </w:r>
    </w:p>
    <w:p w:rsidR="00000000" w:rsidRDefault="00000000">
      <w:r>
        <w:t>Этот План действий был одобрен Палатой представителей Генеральных штатов.</w:t>
      </w:r>
    </w:p>
    <w:p w:rsidR="00000000" w:rsidRDefault="00000000">
      <w:pPr>
        <w:pStyle w:val="Subtitle"/>
        <w:rPr>
          <w:sz w:val="23"/>
          <w:lang w:val="ru-RU"/>
        </w:rPr>
      </w:pPr>
      <w:r>
        <w:rPr>
          <w:sz w:val="23"/>
          <w:lang w:val="ru-RU"/>
        </w:rPr>
        <w:t>4.</w:t>
      </w:r>
      <w:r>
        <w:rPr>
          <w:sz w:val="23"/>
          <w:lang w:val="ru-RU"/>
        </w:rPr>
        <w:tab/>
        <w:t>Совмещение работы и обязанностей по уходу</w:t>
      </w:r>
    </w:p>
    <w:p w:rsidR="00000000" w:rsidRDefault="00000000">
      <w:r>
        <w:t>Правительство стремится стимулировать супругов, живущих единым домашним хозяйством, более равномерно распределять между собой производственные обязанности и обязанности по уходу за детьми, с тем чтобы женщины могли активнее участвовать в оплачиваемой трудовой деятельности, а мужчины – брать на себя больший объем обязанностей по уходу. В то же время совмещению производственных и семейных обязанностей способствует ряд официально утвержденных программ. Ключевыми элементами этих программ являются:</w:t>
      </w:r>
    </w:p>
    <w:p w:rsidR="00000000" w:rsidRDefault="00000000">
      <w:pPr>
        <w:ind w:left="680" w:hanging="680"/>
      </w:pPr>
      <w:r>
        <w:t>–</w:t>
      </w:r>
      <w:r>
        <w:tab/>
        <w:t>обеспечение достаточного количества времени для выполнения обязанностей по уходу за детьми путем предоставления права на работу неполный рабочий день и права на различные виды отпусков;</w:t>
      </w:r>
    </w:p>
    <w:p w:rsidR="00000000" w:rsidRDefault="00000000">
      <w:pPr>
        <w:ind w:left="680" w:hanging="680"/>
      </w:pPr>
      <w:r>
        <w:t>–</w:t>
      </w:r>
      <w:r>
        <w:tab/>
        <w:t>создание механизма финансовой поддержки в рамках системы предоставления отпусков с учетом обязанностей всех заинтересованных сторон (правительства, работодателей и трудящихся).</w:t>
      </w:r>
    </w:p>
    <w:p w:rsidR="00000000" w:rsidRDefault="00000000">
      <w:r>
        <w:t>Двумя важнейшими законодательными инструментами в связи с этим являются Закон о (корректировке) продолжительности рабочего времени от июля 2000 года и Закон о производственных функциях и обязанностях по уходу за детьми от декабря 2001 года.</w:t>
      </w:r>
    </w:p>
    <w:p w:rsidR="00000000" w:rsidRDefault="00000000">
      <w:pPr>
        <w:pStyle w:val="Subtitle"/>
        <w:rPr>
          <w:lang w:val="ru-RU"/>
        </w:rPr>
      </w:pPr>
      <w:r>
        <w:rPr>
          <w:lang w:val="ru-RU"/>
        </w:rPr>
        <w:t>Закон о (корректировке) продолжительности рабочего времени</w:t>
      </w:r>
    </w:p>
    <w:p w:rsidR="00000000" w:rsidRDefault="00000000">
      <w:r>
        <w:t>Закон о (корректировке) продолжительности рабочего времени, вступивший в силу 1 июля 2000 года, предоставляет трудящимся возможность корректировать продолжительность своего рабочего времени не только в связи с тем, что на определенных этапах их жизни круг обязанностей по уходу за детьми увеличива</w:t>
      </w:r>
      <w:r>
        <w:rPr>
          <w:lang w:val="ru-RU"/>
        </w:rPr>
        <w:t>е</w:t>
      </w:r>
      <w:r>
        <w:t>тся (например, укороченная рабочая неделя при наличии малолетних детей), но и с учетом изменений в том, что касается ухода за детьми на других этапах жизни (удлиненный рабочий день после того, как дети вырастают и покидают отчий дом). Официальное право на работу неполный рабочий день облегчает женщинам возможность оставаться в сфере оплачиваемой занятости после рождения их первого ребенка и последующих детей. Работа в течение неполного рабочего дня в Нидерландах является весьма распространенной формой занятости, особенно среди женщин. В 2003 году была проведена оценка Закона о (корректировке) продолжительности рабочего времени. Данный Закон не является частью Закона о производственных функциях и обязанностях по уходу за детьми, как это первоначально планировалось; правительство решило принять его в качестве отдельного нормативного акта.</w:t>
      </w:r>
    </w:p>
    <w:p w:rsidR="00000000" w:rsidRDefault="00000000">
      <w:r>
        <w:t>Равное обращение с трудящимися, работающими полный и неполный рабочий день, гарантируется Законом 1996 год</w:t>
      </w:r>
      <w:r>
        <w:rPr>
          <w:lang w:val="ru-RU"/>
        </w:rPr>
        <w:t>а</w:t>
      </w:r>
      <w:r>
        <w:t xml:space="preserve"> о равном обращении (с трудящимися, работающими полный и неполный рабочий день), оценка которого была проведена в 2003 году. Результаты проведенной оценки, в частности, показали, что трудящиеся, работающие неполный рабочий день, уже не исключаются частично или полностью из коллективных трудовых соглашений, как это зачастую имело место в прошлом. Работодатели, трудящиеся и трудовые советы в целом широко поддерживают принцип равного обращения с трудящимися независимо от продолжительности их рабочего времени. После вступления данного Закона в силу в 1996 году две пятых работодателей скорректировали условия занятости на своих предприятиях и пособия с учетом необходимости пресечения неравного обращения по причине продолжительности рабочего времени. Из текста Закона о равном обращении (с трудящимися, работающими полный и неполный рабочий день) были намеренно исключены все ссылки на трудящихся, работающих полный или неполный рабочий день. Принцип запрещения дискриминации, сформулированный в данном Законе, соответствует обязательству, вытекающему из статьи 5 Конвенции Организации Объединенных Наций о ликвидации всех форм дискриминации в отношении женщин, а именно обязательством вести борьбу с гендерными стереотипами.</w:t>
      </w:r>
    </w:p>
    <w:p w:rsidR="00000000" w:rsidRDefault="00000000">
      <w:pPr>
        <w:pStyle w:val="Subtitle"/>
      </w:pPr>
      <w:r>
        <w:t>Закон о производственных функциях и обязанностях по уходу</w:t>
      </w:r>
    </w:p>
    <w:p w:rsidR="00000000" w:rsidRDefault="00000000">
      <w:r>
        <w:t xml:space="preserve">Закон о производственных функциях и обязанностях по уходу, который действует с декабря 2001 года, предоставляет возможности для </w:t>
      </w:r>
      <w:r>
        <w:rPr>
          <w:i/>
        </w:rPr>
        <w:t xml:space="preserve">краткосрочной </w:t>
      </w:r>
      <w:r>
        <w:t xml:space="preserve">корректировки продолжительности рабочего дня в целях выполнения насущных потребностей по уходу. Правительство намеревается расширить сферу применения данного Закона и включить в него положение о праве на длительный отпуск для ухода за тяжело больным ребенком, супругом или родителем. В настоящее время на рассмотрении парламента находится соответствующий законопроект. Занятость в течение неполного рабочего дня также предполагает возможности для долговременной корректировки продолжительности рабочего дня в соответствии с требованиями и необходимостью совмещения производственных и семейных обязанностей. Для того чтобы с помощью </w:t>
      </w:r>
      <w:r>
        <w:rPr>
          <w:i/>
        </w:rPr>
        <w:t>краткосрочных</w:t>
      </w:r>
      <w:r>
        <w:t xml:space="preserve"> корректировок рабочего дня можно было выполнять текущие обязанности по уходу, в Законе о производственных функциях и обязанностях по уходу предусматривается ряд схем предоставления таких отпусков, как:</w:t>
      </w:r>
    </w:p>
    <w:p w:rsidR="00000000" w:rsidRDefault="00000000">
      <w:pPr>
        <w:spacing w:before="220"/>
        <w:ind w:left="680" w:hanging="680"/>
      </w:pPr>
      <w:r>
        <w:t>–</w:t>
      </w:r>
      <w:r>
        <w:tab/>
        <w:t>отпуск по беременности и родам продолжительностью 16 недель. В 2002 году соответствующими льготами воспользовались 126 тыс. трудящихся женщин и 5 тыс. самозанятых женщин; общая сумма выплаченных средств составила порядка 812 млн. евро;</w:t>
      </w:r>
    </w:p>
    <w:p w:rsidR="00000000" w:rsidRDefault="00000000">
      <w:pPr>
        <w:spacing w:before="220"/>
        <w:ind w:left="680" w:hanging="680"/>
      </w:pPr>
      <w:r>
        <w:t>–</w:t>
      </w:r>
      <w:r>
        <w:tab/>
        <w:t>отпуск в связи с чрезвычайными обстоятельствами и другие виды краткосрочных отпусков, продолжительность которых зависит от необходимости;</w:t>
      </w:r>
    </w:p>
    <w:p w:rsidR="00000000" w:rsidRDefault="00000000">
      <w:pPr>
        <w:spacing w:before="220"/>
        <w:ind w:left="680" w:hanging="680"/>
      </w:pPr>
      <w:r>
        <w:t>–</w:t>
      </w:r>
      <w:r>
        <w:tab/>
        <w:t>краткосрочный отпуск по уходу совокупной продолжительностью не более 10 дней в год;</w:t>
      </w:r>
    </w:p>
    <w:p w:rsidR="00000000" w:rsidRDefault="00000000">
      <w:pPr>
        <w:spacing w:before="220"/>
        <w:ind w:left="680" w:hanging="680"/>
      </w:pPr>
      <w:r>
        <w:t>–</w:t>
      </w:r>
      <w:r>
        <w:tab/>
        <w:t>родительский отпуск продолжительностью 2 рабочих дня;</w:t>
      </w:r>
    </w:p>
    <w:p w:rsidR="00000000" w:rsidRDefault="00000000">
      <w:pPr>
        <w:spacing w:before="220"/>
        <w:ind w:left="680" w:hanging="680"/>
      </w:pPr>
      <w:r>
        <w:t>–</w:t>
      </w:r>
      <w:r>
        <w:tab/>
        <w:t>отпуск (продолжительностью 4 недели), предоставляемый в связи с усыновлением ребенка: для каждого из родителей (будь</w:t>
      </w:r>
      <w:r>
        <w:rPr>
          <w:lang w:val="ru-RU"/>
        </w:rPr>
        <w:t xml:space="preserve"> </w:t>
      </w:r>
      <w:r>
        <w:t>то работающих по найму или самозанятых). В 2002 году этой льготой воспользовались в общей сложности 424 работника: 223 мужчины и 201 женщина. Общая выплаченная сумма составила 0,5 млн. евро. С июля 2004 года в результате отмены Закона о страховании в связи с потерей трудоспособности (самозанятые), самозанятые утратили право на получение указанной льготы в случае усыновления ребенка;</w:t>
      </w:r>
    </w:p>
    <w:p w:rsidR="00000000" w:rsidRDefault="00000000">
      <w:pPr>
        <w:spacing w:before="220"/>
        <w:ind w:left="680" w:hanging="680"/>
      </w:pPr>
      <w:r>
        <w:t>–</w:t>
      </w:r>
      <w:r>
        <w:tab/>
        <w:t>родительский отпуск продолжительностью 13 недель для каждого из родителей. В 2001 году родительским отпуском воспользовались в общей сложности 55 тыс. трудящихся (39 тыс. женщин и 16 тыс. мужчин). Это составляет 25 процентов от числа всех тех, кто имеет право на данную форму отпуска, из которых 42 процента женщин и 12 процентов мужчин</w:t>
      </w:r>
      <w:r>
        <w:rPr>
          <w:rStyle w:val="FootnoteReference"/>
          <w:sz w:val="22"/>
        </w:rPr>
        <w:footnoteReference w:customMarkFollows="1" w:id="53"/>
        <w:t>52</w:t>
      </w:r>
      <w:r>
        <w:t>.</w:t>
      </w:r>
    </w:p>
    <w:p w:rsidR="00000000" w:rsidRDefault="00000000">
      <w:pPr>
        <w:spacing w:before="200"/>
      </w:pPr>
      <w:r>
        <w:t>В течение ближайших нескольких лет для политики по содействию совмещению производственных функций и обязанностей по уходу будет характерно следующее:</w:t>
      </w:r>
    </w:p>
    <w:p w:rsidR="00000000" w:rsidRDefault="00000000">
      <w:pPr>
        <w:spacing w:before="160"/>
        <w:ind w:left="680" w:hanging="680"/>
      </w:pPr>
      <w:r>
        <w:sym w:font="Symbol" w:char="F0B7"/>
      </w:r>
      <w:r>
        <w:tab/>
      </w:r>
      <w:r>
        <w:rPr>
          <w:i/>
        </w:rPr>
        <w:t>Завершенность и рационализация</w:t>
      </w:r>
      <w:r>
        <w:t xml:space="preserve">. В Законе о предоставлении долгосрочных отпусков по уходу (от 5 июля 2002 года) предусматриваются условия для предоставления отпуска продолжительностью не более шести недель для ухода за тяжело больным супругом, родителем или ребенком. Правительство также планирует ввести общую систему для финансирования длительных отпусков, известную под названием "Программа накопления в течение всей жизни". Цель состоит в оказании в более длительный период времени финансовой поддержки трудящимся, находящимся в неоплачиваемых отпусках, с тем чтобы помочь им лучше совмещать производственные и семейные обязанности в течение всей их трудовой жизни. Новая система будет опираться на существующую финансовую систему "накопления" неиспользованных частей отпусков, которая будет расширена и </w:t>
      </w:r>
      <w:r>
        <w:rPr>
          <w:lang w:val="ru-RU"/>
        </w:rPr>
        <w:t xml:space="preserve">станет </w:t>
      </w:r>
      <w:r>
        <w:t>более привлекательн</w:t>
      </w:r>
      <w:r>
        <w:rPr>
          <w:lang w:val="ru-RU"/>
        </w:rPr>
        <w:t>ой</w:t>
      </w:r>
      <w:r>
        <w:t xml:space="preserve"> для трудящихся. В 2004 году будет проведена оценка гендерного фактора в рамках Программы накопления в течение всей жизни. Цель состоит в том, чтобы внедрить новую систему начиная с 2006 года.</w:t>
      </w:r>
    </w:p>
    <w:p w:rsidR="00000000" w:rsidRDefault="00000000">
      <w:pPr>
        <w:spacing w:before="160"/>
        <w:ind w:left="680" w:hanging="680"/>
      </w:pPr>
      <w:r>
        <w:sym w:font="Symbol" w:char="F0B7"/>
      </w:r>
      <w:r>
        <w:tab/>
      </w:r>
      <w:r>
        <w:rPr>
          <w:i/>
        </w:rPr>
        <w:t>Оценка и совершенствование</w:t>
      </w:r>
      <w:r>
        <w:t>. В 2004 году Закон о (корректировке) продолжительности рабочего времени был подвергнут оценке, и в конце нынешнего года планируется провести оценку Закона о производственных функциях и обязанностях по уходу. По мере возможности и в случае необходимости в законодательство будут внесены поправки с учетом результатов данных оценок.</w:t>
      </w:r>
    </w:p>
    <w:p w:rsidR="00000000" w:rsidRDefault="00000000">
      <w:pPr>
        <w:spacing w:before="160"/>
        <w:ind w:left="680" w:hanging="680"/>
      </w:pPr>
      <w:r>
        <w:sym w:font="Symbol" w:char="F0B7"/>
      </w:r>
      <w:r>
        <w:tab/>
      </w:r>
      <w:r>
        <w:rPr>
          <w:i/>
        </w:rPr>
        <w:t>Повышение эффективности</w:t>
      </w:r>
      <w:r>
        <w:t xml:space="preserve"> политики по содействию совмещению производственных функций и обязанностей по уходу путем максимально возможной популяризации действующих официальных систем. Правительство будет по-прежнему заниматься распространением информации о существующих и новых механизмах.</w:t>
      </w:r>
    </w:p>
    <w:p w:rsidR="00000000" w:rsidRDefault="00000000">
      <w:pPr>
        <w:pStyle w:val="Subtitle"/>
        <w:rPr>
          <w:lang w:val="ru-RU"/>
        </w:rPr>
      </w:pPr>
      <w:r>
        <w:rPr>
          <w:lang w:val="ru-RU"/>
        </w:rPr>
        <w:t>Закон о страховании в связи с потерей трудоспособности (самозанятые)</w:t>
      </w:r>
    </w:p>
    <w:p w:rsidR="00000000" w:rsidRDefault="00000000">
      <w:pPr>
        <w:spacing w:before="200"/>
      </w:pPr>
      <w:r>
        <w:t>До июля 2004 года лица, самозанятые, которым в некоторых ситуациях требуется уход, имели право на соответствующую льготу в течение такого же периода времени, что и официальный отпуск, предоставляемый наемным работникам. Данный принцип распространялся на пособие, выплачиваемое в течение 16 недель до и после рождения ребенка (самозанятым женщинам), а также пособие, выплачиваемое в течение 4 недель в случае усыновления ребенка каждому из приемных родителей (самозанятым мужчинам и женщинам). Эти пособия выплачивались из специального фонда страхования, целенаправленно созданного для самозанятых лиц. Нынешнее правительство отменило обязательную систему страхования самозанятых лиц в связи с потерей трудоспособности</w:t>
      </w:r>
      <w:r>
        <w:rPr>
          <w:lang w:val="ru-RU"/>
        </w:rPr>
        <w:t>,</w:t>
      </w:r>
      <w:r>
        <w:t xml:space="preserve"> соответственно, вместе с фондом для выплаты пособий, лишив тем самым самозанятых права на получение указанных пособий.</w:t>
      </w:r>
    </w:p>
    <w:p w:rsidR="00000000" w:rsidRDefault="00000000">
      <w:pPr>
        <w:pStyle w:val="Subtitle"/>
        <w:rPr>
          <w:sz w:val="23"/>
          <w:lang w:val="ru-RU"/>
        </w:rPr>
      </w:pPr>
      <w:r>
        <w:rPr>
          <w:sz w:val="23"/>
          <w:lang w:val="ru-RU"/>
        </w:rPr>
        <w:t>5.</w:t>
      </w:r>
      <w:r>
        <w:rPr>
          <w:sz w:val="23"/>
          <w:lang w:val="ru-RU"/>
        </w:rPr>
        <w:tab/>
        <w:t>Уход за детьми</w:t>
      </w:r>
    </w:p>
    <w:p w:rsidR="00000000" w:rsidRDefault="00000000">
      <w:r>
        <w:t>Одно из важных предварительных условий для увеличения темпов занятости среди женщин является наличие достаточных и доступных услуг по уходу за детьми. В течение отчетного периода правительство выделяло крупные ассигнования на систему ухода за детьми. В интересах достижения этой цели оно использовало целый комплекс программных инструментов.</w:t>
      </w:r>
    </w:p>
    <w:p w:rsidR="00000000" w:rsidRDefault="00000000">
      <w:r>
        <w:t>Во-первых, система, обеспечивавшая услуги по уходу за детьми, внешкольный присмотр за детьми и помощь на дому, способствовала тому, что муниципалитеты увеличивали число мест в учреждениях по уходу за детьми в дневное время. Количество мест в таких заведениях возросло с 93 тыс. в 1998 году до 185 300 в 2003 году</w:t>
      </w:r>
      <w:r>
        <w:rPr>
          <w:rStyle w:val="FootnoteReference"/>
          <w:sz w:val="22"/>
        </w:rPr>
        <w:footnoteReference w:customMarkFollows="1" w:id="54"/>
        <w:t>53</w:t>
      </w:r>
      <w:r>
        <w:t>, причем такое увеличение в основном касалось сектора внешкольного присмотра за детьми (с 19 тыс. до 61 600 мест). Этот результат намного ниже числа ожидающих получения мест в детских учреждениях, хотя в последнее время спрос и предложение во многих регионах страны были приведены в соответствие.</w:t>
      </w:r>
    </w:p>
    <w:p w:rsidR="00000000" w:rsidRDefault="00000000">
      <w:r>
        <w:t>Финансовые выгоды для работодателей, которые участвуют в покрытии расходов их работников по уходу за детьми, и для родителей, которые пользуются платными услугами по уходу за детьми, в 1999, 2000 и 2001 годах последовательно повышались. Частично благодаря этим финансовым стимулам социальные партнеры взяли на себя задачу интересоваться работой предприятий и секторов экономики, заключая соглашения о вкладе работодателей в покрытие расходов их работников по уходу за детьми. К середине 2003 года почти 70 процентов работников могли воспользоваться системой, в рамках которой работодатели принимают участие в покрытии расходов, связанных с уходом за детьми.</w:t>
      </w:r>
    </w:p>
    <w:p w:rsidR="00000000" w:rsidRDefault="00000000">
      <w:pPr>
        <w:pStyle w:val="Subtitle"/>
        <w:rPr>
          <w:b w:val="0"/>
          <w:i/>
        </w:rPr>
      </w:pPr>
      <w:r>
        <w:rPr>
          <w:b w:val="0"/>
          <w:i/>
        </w:rPr>
        <w:t>Закон об уходе за детьми</w:t>
      </w:r>
    </w:p>
    <w:p w:rsidR="00000000" w:rsidRDefault="00000000">
      <w:r>
        <w:t>В 2005 году в силу вступил новый законодательный инструмент – Закон об уходе за детьми, который призван реформировать нынешнюю систему. "Обусловленное спросом финансирование", осуществляемое силами родителей, будет заменено "финансированием, обусловленным предложением", обеспечиваемым многосторонними учреждениями. Данный Закон призван облегчить для родителей организацию ухода за их детьми и, соответственно, улучшить возможности совмещения производственных и семейных обязанностей. Закон будет регулировать порядок финансирования, взносы родителей и обеспечивать более высокое, по сравнению с прошлым, качество услуг. В Закон об уходе за детьми будут инкорпорированы существующие налоговые механизмы, обеспечивающие возможности для ухода за детьми.</w:t>
      </w:r>
    </w:p>
    <w:p w:rsidR="00000000" w:rsidRDefault="00000000">
      <w:pPr>
        <w:pStyle w:val="Subtitle"/>
        <w:rPr>
          <w:b w:val="0"/>
          <w:i/>
        </w:rPr>
      </w:pPr>
      <w:r>
        <w:rPr>
          <w:b w:val="0"/>
          <w:i/>
        </w:rPr>
        <w:t>Мониторинг</w:t>
      </w:r>
    </w:p>
    <w:p w:rsidR="00000000" w:rsidRDefault="00000000">
      <w:r>
        <w:t>Взносы работодателей, а также предложение и стоимость услуг по уходу за детьми регулярно подвергаются оценке. Ежегодно проводятся исследования, посвященные оценке того процента от дохода, который работодатели выплачивают на покрытие стоимости услуг по уходу за детьми. В</w:t>
      </w:r>
      <w:r>
        <w:rPr>
          <w:lang w:val="ru-RU"/>
        </w:rPr>
        <w:t> </w:t>
      </w:r>
      <w:r>
        <w:t>2003 году в покрытии стоимости услуг по уходу за детьми участвовали 63 процента трудящихся; из них приблизительно 68 процентов оплачивали расходы по уходу за детьми в возрасте от 0 до 4 лет и примерно 46 процентов – стоимость услуг по уходу за детьми в возрасте от 4 до 12 лет.</w:t>
      </w:r>
    </w:p>
    <w:p w:rsidR="00000000" w:rsidRDefault="00000000">
      <w:r>
        <w:t>В оценочных показателях на 2005 год предполагается, что в покрытии стоимости услуг по уходу за детьми будут участвовать 68 процентов трудящихся, из которых 75 процентов трудящихся, участвующих в системе услуг по уходу за детьми в возрасте от 0 до 4 лет</w:t>
      </w:r>
      <w:r>
        <w:rPr>
          <w:lang w:val="ru-RU"/>
        </w:rPr>
        <w:t>,</w:t>
      </w:r>
      <w:r>
        <w:t xml:space="preserve"> и 54 процента </w:t>
      </w:r>
      <w:r>
        <w:rPr>
          <w:lang w:val="ru-RU"/>
        </w:rPr>
        <w:t xml:space="preserve">– </w:t>
      </w:r>
      <w:r>
        <w:t>участвующих в системе внешкольного присмотра. Неорганизованные работодатели и владельцы малых предприятий отстают</w:t>
      </w:r>
      <w:r>
        <w:rPr>
          <w:lang w:val="ru-RU"/>
        </w:rPr>
        <w:t xml:space="preserve"> в этом плане</w:t>
      </w:r>
      <w:r>
        <w:t xml:space="preserve"> от крупных работодателей и работодателей, являющихся членами организаций работодателей. В 2004 году правительство создало налоговые стимулы для привлечения большего числа мелких и средних предприятий к участию в покрытии расходов их работников по уходу за детьми.</w:t>
      </w:r>
    </w:p>
    <w:p w:rsidR="00000000" w:rsidRDefault="00000000">
      <w:r>
        <w:t>Также отслеживаются тенденции, касающиеся предложения и стоимости услуг по уходу за детьми. В конце 2003 года в детских учреждениях насчитывалось приблизительно 191 тыс. мест. При</w:t>
      </w:r>
      <w:r>
        <w:rPr>
          <w:lang w:val="ru-RU"/>
        </w:rPr>
        <w:t xml:space="preserve"> </w:t>
      </w:r>
      <w:r>
        <w:t>том, что большинство детей находятся в детских учреждениях в течение неполного рабочего дня, на каждое место в среднем приходится 1,8 ребенка. Предложение в городах выше, чем в сельских районах, где показатели варьируются от 8 до 20 мест по уходу в течение полного рабочего дня на 100 детей в возрасте от 0 до 4 лет.</w:t>
      </w:r>
    </w:p>
    <w:p w:rsidR="00000000" w:rsidRDefault="00000000">
      <w:r>
        <w:t>В последние годы стоимость услуг по уходу за детьми резко возросла, отчасти из-за повышения размера оплаты труда работников детских учреждений. В 2004 году стоимость одного места в яслях, обеспечивающих уход за детьми в течение полного рабочего дня, и центров внешкольного присмотра за детьми составляла, соответственно</w:t>
      </w:r>
      <w:r>
        <w:rPr>
          <w:lang w:val="ru-RU"/>
        </w:rPr>
        <w:t>,</w:t>
      </w:r>
      <w:r>
        <w:t xml:space="preserve"> 13 400 и 7015 евро в год.</w:t>
      </w:r>
    </w:p>
    <w:p w:rsidR="00000000" w:rsidRDefault="00000000">
      <w:pPr>
        <w:pStyle w:val="Subtitle"/>
        <w:rPr>
          <w:sz w:val="23"/>
          <w:lang w:val="ru-RU"/>
        </w:rPr>
      </w:pPr>
      <w:r>
        <w:rPr>
          <w:sz w:val="23"/>
          <w:lang w:val="ru-RU"/>
        </w:rPr>
        <w:t>6.</w:t>
      </w:r>
      <w:r>
        <w:rPr>
          <w:sz w:val="23"/>
          <w:lang w:val="ru-RU"/>
        </w:rPr>
        <w:tab/>
        <w:t>Специальные меры</w:t>
      </w:r>
    </w:p>
    <w:p w:rsidR="00000000" w:rsidRDefault="00000000">
      <w:pPr>
        <w:pStyle w:val="Subtitle"/>
        <w:rPr>
          <w:lang w:val="ru-RU"/>
        </w:rPr>
      </w:pPr>
      <w:r>
        <w:rPr>
          <w:lang w:val="ru-RU"/>
        </w:rPr>
        <w:t>Женщины, возвращающиеся на рынок труда</w:t>
      </w:r>
    </w:p>
    <w:p w:rsidR="00000000" w:rsidRDefault="00000000">
      <w:r>
        <w:t xml:space="preserve">Для достижения намеченной правительством цели обеспечить к 2010 году показатели занятости женщин на уровне 65 процентов необходимо создать дополнительные стимулы. В связи с этим парламент призвал разработать план действий по возвращению потенциальных работников, не охваченных системой социального страхования, особенно женщин, к оплачиваемой занятости. Такой план был представлен на рассмотрение парламента в 2001 году; в июле 2003 года в этот план были внесены некоторые дополнения. 1 октября 2003 года этот план был рассмотрен и впоследствии одобрен Постоянным парламентским комитетом </w:t>
      </w:r>
      <w:r>
        <w:rPr>
          <w:lang w:val="ru-RU"/>
        </w:rPr>
        <w:t xml:space="preserve">по </w:t>
      </w:r>
      <w:r>
        <w:t>социальны</w:t>
      </w:r>
      <w:r>
        <w:rPr>
          <w:lang w:val="ru-RU"/>
        </w:rPr>
        <w:t>м</w:t>
      </w:r>
      <w:r>
        <w:t xml:space="preserve"> дел</w:t>
      </w:r>
      <w:r>
        <w:rPr>
          <w:lang w:val="ru-RU"/>
        </w:rPr>
        <w:t>ам</w:t>
      </w:r>
      <w:r>
        <w:t xml:space="preserve"> и вопросам занятости. Дополненный план действий ориентирован на создание рабочих мест, то есть обеспечение оплачиваемой занятости в течение 12 и более часов в неделю для 50 тыс. лиц, возвращающихся на рынок труда, в период с 2002 по 2005 год (другими словами</w:t>
      </w:r>
      <w:r>
        <w:rPr>
          <w:lang w:val="ru-RU"/>
        </w:rPr>
        <w:t>,</w:t>
      </w:r>
      <w:r>
        <w:t xml:space="preserve"> план действий подразумевает предоставление оплачиваемой работы в течение 12 и более часов в неделю в период с 2002 по 2005 год).</w:t>
      </w:r>
    </w:p>
    <w:p w:rsidR="00000000" w:rsidRDefault="00000000">
      <w:r>
        <w:t>По общему признанию, на рынке труда отмечаются серьезные перекосы. Лица, возвращающиеся на рынок труда, не соответствуют предъявляемым работодателями требованиям, уровень их квалификации зачастую является низким или уже недостаточным для работы. Кроме того, рынки труда в каждом регионе имеют собственную структуру спроса и предложения. Поэтому в качестве важнейшего инструмента для достижения намеченных целей были избраны добровольные соглашения.</w:t>
      </w:r>
    </w:p>
    <w:p w:rsidR="00000000" w:rsidRDefault="00000000">
      <w:r>
        <w:t>Особое внимание будет уделяться тем добровольным соглашениям, которые расширяют возможности возвращающихся на работу женщин-мигрантов, поскольку женщины из некоторых этнических меньшинств крайне недостаточно представлены в сфере оплачиваемой занятости. Стороны добровольных соглашений четыре раза в год будут отчитываться перед министерством о достигнутых ими результатах.</w:t>
      </w:r>
    </w:p>
    <w:p w:rsidR="00000000" w:rsidRDefault="00000000">
      <w:pPr>
        <w:pStyle w:val="Subtitle"/>
        <w:rPr>
          <w:lang w:val="ru-RU"/>
        </w:rPr>
      </w:pPr>
      <w:r>
        <w:rPr>
          <w:lang w:val="ru-RU"/>
        </w:rPr>
        <w:t>Алименты на ребенка</w:t>
      </w:r>
    </w:p>
    <w:p w:rsidR="00000000" w:rsidRDefault="00000000">
      <w:r>
        <w:t>В многолетнем плане в области эмансипации (2000 год) было объявлено о проведении исследования, посвященного изучению взаимосвязи между выплатой алиментов на ребенка, социальным обеспечением и возможностями получения одинокими родителями финансовой самостоятельности. В ходе исследования были выявлены разрывы в определении размера и получении алиментов на ребенка, в результате чего родитель, в одиночку воспитывающий ребенка, после развода автоматически обращается к системе социального обеспечения</w:t>
      </w:r>
      <w:r>
        <w:rPr>
          <w:rStyle w:val="FootnoteReference"/>
          <w:sz w:val="22"/>
        </w:rPr>
        <w:footnoteReference w:customMarkFollows="1" w:id="55"/>
        <w:t>54</w:t>
      </w:r>
      <w:r>
        <w:t>. Более жесткие правила могли бы воспрепятствовать такому перекладыванию ответственности на систему социального обеспечения. С учетом результатов исследования правительство провело межведомственный обзор политики. Данный обзор был посвящен изучению того, в какой степени родители выполняют свои обязательства по выплате алиментов на детей, а также последствий все большего многообразия форм вновь создаваемых семей. В настоящее время положения, касающиеся выплаты алиментов, по-прежнему преимущественно применяются в случае официальных разводов. Результаты данного обзора, который был завершен в 2002 году</w:t>
      </w:r>
      <w:r>
        <w:rPr>
          <w:rStyle w:val="FootnoteReference"/>
          <w:sz w:val="22"/>
        </w:rPr>
        <w:footnoteReference w:customMarkFollows="1" w:id="56"/>
        <w:t>55</w:t>
      </w:r>
      <w:r>
        <w:t xml:space="preserve">, побудили правительство пересмотреть </w:t>
      </w:r>
      <w:r>
        <w:rPr>
          <w:lang w:val="ru-RU"/>
        </w:rPr>
        <w:t>з</w:t>
      </w:r>
      <w:r>
        <w:t>акон, касающийся взыскания алиментов. Новый законопроект в настоящее время находится на рассмотрении Палаты представителей.</w:t>
      </w:r>
    </w:p>
    <w:p w:rsidR="00000000" w:rsidRDefault="00000000">
      <w:pPr>
        <w:pStyle w:val="Subtitle"/>
        <w:rPr>
          <w:lang w:val="ru-RU"/>
        </w:rPr>
      </w:pPr>
      <w:r>
        <w:rPr>
          <w:lang w:val="ru-RU"/>
        </w:rPr>
        <w:t>Женщины из числа этнических меньшинств и рынок труда</w:t>
      </w:r>
    </w:p>
    <w:p w:rsidR="00000000" w:rsidRDefault="00000000">
      <w:r>
        <w:t>Женщины из числа этнических меньшинств по-прежнему недостаточно представлены на рынке труда. В частности, среди женщин с детьми и беженцев из Турции и Марокко отмечается резкое снижение уровня участия как в трудовой деятельности, так и в жизни гражданского общества. Одна из ключевых задач связана с улучшением координации на местном уровне инициатив в отношении женщин-мигрантов.</w:t>
      </w:r>
    </w:p>
    <w:p w:rsidR="00000000" w:rsidRDefault="00000000">
      <w:r>
        <w:t xml:space="preserve">Программный документ под названием "Политика в отношении этнических меньшинств, проводимая на рынке труда – План действий на 2000–2003 годы" включает предложения, направленные на уменьшение разрыва между участием женщин из числа этнических меньшинств и </w:t>
      </w:r>
      <w:r>
        <w:rPr>
          <w:lang w:val="ru-RU"/>
        </w:rPr>
        <w:t xml:space="preserve">из числа </w:t>
      </w:r>
      <w:r>
        <w:t>этнических голланд</w:t>
      </w:r>
      <w:r>
        <w:rPr>
          <w:lang w:val="ru-RU"/>
        </w:rPr>
        <w:t>цев</w:t>
      </w:r>
      <w:r>
        <w:t xml:space="preserve"> в оплачиваемой трудовой деятельности и устранении препятствий, с которыми они сталкиваются. Все принимаемые в связи с этим меры ориентированы на защиту интересов женщин-беженцев и женщин – выходцев из Турции, Марокко, Суринама и </w:t>
      </w:r>
      <w:r>
        <w:rPr>
          <w:lang w:val="ru-RU"/>
        </w:rPr>
        <w:t xml:space="preserve">с </w:t>
      </w:r>
      <w:r>
        <w:t>Антильских островов.</w:t>
      </w:r>
    </w:p>
    <w:p w:rsidR="00000000" w:rsidRDefault="00000000">
      <w:r>
        <w:t>В рамках специального исследования было проведено изучение возможностей и стимулов для участия одиноких и замужних женщин из числа этнических меньшинств в трудовой деятельности, а также препятствий, мешающих такому участию. Опираясь на результаты указанного анализа</w:t>
      </w:r>
      <w:r>
        <w:rPr>
          <w:lang w:val="ru-RU"/>
        </w:rPr>
        <w:t>,</w:t>
      </w:r>
      <w:r>
        <w:t xml:space="preserve"> Комитет по вопросам участия женщин из числа этнических меньшинств в рынке труда (АВЕМ) в марте 2002 года вынес ряд рекомендаций. Самые существенные из них касались следующих вопросов: внесения улучшений в программы интеграции; более качественного выявления и использования имеющихся навыков; расширения спектра услуг по уходу за детьми; создания стимулов для участия в рабочей силе; совершенствования методов охвата целевых групп; мер по борьбе с нищетой; руководства, мониторинга и оценки результатов. В ответ на рекомендации Комитета правительство приняло меры, направленные на устранение препятствий, мешающих участию женщин из числа этнических меньшинств в рынке труда и обеспечению более эффективного охвата данной целевой группы.</w:t>
      </w:r>
    </w:p>
    <w:p w:rsidR="00000000" w:rsidRDefault="00000000">
      <w:r>
        <w:t>В 2003 году Комитет АВЕМ был преобразован в Комитет по вопросам участия женщин из числа этнических меньшинств (ПАВЕМ). На данный Комитет была возложена посредническая функция, и ему было поручено оказывать муниципальным органам власти поддержку в проведении политики, направленной на поощрение участия женщин из этнических меньшинств в занятости и в жизни нидерландского общества. Дальнейшее руководство процессом должны были обеспечивать муниципальные органы власти. Комитет ПАВЕМ, который был назначен сроком на два года, начинает свою работу, ориентируясь в основном на 30 крупнейших муниципалитетов.</w:t>
      </w:r>
    </w:p>
    <w:p w:rsidR="00000000" w:rsidRDefault="00000000">
      <w:r>
        <w:t>Помимо общей политики, проводимой Министерством социальных дел и по вопросам занятости, которая включает программы в интересах этнических меньшинств, необходимы специальные меры для увеличения участия женщин (и мужчин) из этнических меньшинств в рынке труда. Усилия Министерства социальных дел и по вопросам занятости по привлечению женщин, возвращающихся на рынок труда, к оплачиваемой занятости также ориентированы на женщин из этнических меньшинств, которые не охвачены социальным страхованием и которые хотят получить оплачиваемую работу. В марте 2003 года вниманию парламента был представлен перечень программ, которые предусматриваются в рамках плана действий по вопросам эмансипации и интеграции</w:t>
      </w:r>
      <w:r>
        <w:rPr>
          <w:rStyle w:val="FootnoteReference"/>
          <w:sz w:val="22"/>
        </w:rPr>
        <w:footnoteReference w:customMarkFollows="1" w:id="57"/>
        <w:t>56</w:t>
      </w:r>
      <w:r>
        <w:t>. (См. также статью 1: Эмансипация и интеграция</w:t>
      </w:r>
      <w:r>
        <w:rPr>
          <w:lang w:val="ru-RU"/>
        </w:rPr>
        <w:t>.</w:t>
      </w:r>
      <w:r>
        <w:t>)</w:t>
      </w:r>
    </w:p>
    <w:p w:rsidR="00000000" w:rsidRDefault="00000000">
      <w:pPr>
        <w:pStyle w:val="Subtitle"/>
        <w:rPr>
          <w:lang w:val="ru-RU"/>
        </w:rPr>
      </w:pPr>
      <w:r>
        <w:rPr>
          <w:lang w:val="ru-RU"/>
        </w:rPr>
        <w:t>Закон о (поощрении) занятости выходцев из меньшинств</w:t>
      </w:r>
    </w:p>
    <w:p w:rsidR="00000000" w:rsidRDefault="00000000">
      <w:r>
        <w:t>Закон о (поощрении) занятости выходцев из этнических меньшинств, который касался мужчин и женщин из числа этнических меньшинств, был отменен 31 декабря 2003 года. В сентябре 2003 года правительство представило в Палату представителей Генеральных штатов свой ответ в связи с оценкой данного Закона. В этом ответе правительство изложило те меры, которые оно планирует в рамках своих усилий по увеличению участия представителей этнических меньшинств в рынке труда. Было принято решение не только стимулировать многокультурную кадровую политику, но и обеспечить учет принципа многообразия в деятельности работодателей.</w:t>
      </w:r>
    </w:p>
    <w:p w:rsidR="00000000" w:rsidRDefault="00000000">
      <w:pPr>
        <w:rPr>
          <w:i/>
        </w:rPr>
      </w:pPr>
      <w:r>
        <w:rPr>
          <w:i/>
        </w:rPr>
        <w:t>Проекты по созданию стимулов для групп этнических меньшинств (гранты СПАГ)</w:t>
      </w:r>
    </w:p>
    <w:p w:rsidR="00000000" w:rsidRDefault="00000000">
      <w:r>
        <w:t>В целях поддержки усилий по привлечению выходцев из этнических меньшинств, не имеющих никаких связей с рынком труда, к оплачиваемой занятости Министерство социальных дел и по вопросам занятости планирует предоставить гранты 28 муниципальным органам власти для субсидирования проектов по повышению активности и усилению помощи этим группам населения в области занятости или образования. В 14 из 28 муниципалитетов, участвующих в программе СПАГ</w:t>
      </w:r>
      <w:r>
        <w:rPr>
          <w:lang w:val="ru-RU"/>
        </w:rPr>
        <w:t>,</w:t>
      </w:r>
      <w:r>
        <w:t xml:space="preserve"> проекты по созданию стимулов конкретно ориентированы не только на женщин, но и на мужчин. Данный проект будет осуществляться до середины 2004 года.</w:t>
      </w:r>
    </w:p>
    <w:p w:rsidR="00000000" w:rsidRDefault="00000000">
      <w:pPr>
        <w:pStyle w:val="Subtitle"/>
        <w:rPr>
          <w:sz w:val="23"/>
          <w:lang w:val="ru-RU"/>
        </w:rPr>
      </w:pPr>
      <w:r>
        <w:rPr>
          <w:sz w:val="23"/>
          <w:lang w:val="ru-RU"/>
        </w:rPr>
        <w:t>7.</w:t>
      </w:r>
      <w:r>
        <w:rPr>
          <w:sz w:val="23"/>
          <w:lang w:val="ru-RU"/>
        </w:rPr>
        <w:tab/>
        <w:t>Совмещение оплачиваемой работы и обязанностей по уходу</w:t>
      </w:r>
    </w:p>
    <w:p w:rsidR="00000000" w:rsidRDefault="00000000">
      <w:r>
        <w:t>В 1999 году правительство Нидерландов выделило 27 млн. евро на четырехлет</w:t>
      </w:r>
      <w:r>
        <w:rPr>
          <w:lang w:val="ru-RU"/>
        </w:rPr>
        <w:t>ний</w:t>
      </w:r>
      <w:r>
        <w:t xml:space="preserve"> период для реализации программы содействия совмещению оплачиваемой работы и обязанностей по уходу. Цель состояла в том, чтобы способствовать осуществлению на местах экспериментальных программ по содействию совмещению производственных и семейных обязанностей в Нидерландах. Новые творческие союзы между компаниями, органами государственной власти (прежде всего местными органами власти) и организациями, такими как школы и учреждения по уходу за детьми, а также другими поставщиками соответствующих услуг, способны обеспечить простые и вместе с тем эффективные решения. Результаты этих экспериментальных программ стали хорошим подспорьем для национальных и местных разработчиков политики и работодателей в дальнейшей разработке политики по содействию совмещению производственных и семейных обязанностей.</w:t>
      </w:r>
    </w:p>
    <w:p w:rsidR="00000000" w:rsidRDefault="00000000">
      <w:r>
        <w:t>В ходе 140 экспериментальных программ, в осуществлении которых участвовали свыше 1000 различных организаций, было найдено множество конкретных решений и методов, облегчающих возможности совмещения производственной деятельности и семейных обязанностей. Эти программы осуществлялись во многих районах страны и отличались большим разнообразием. Они позволили получить целый ряд полезных примеров и доказали возможность принятия некоторых мер, облегчающих трудности, с которыми сталкиваются женщины и мужчины, пытающиеся совмещать производственные и семейные обязанности.</w:t>
      </w:r>
    </w:p>
    <w:p w:rsidR="00000000" w:rsidRDefault="00000000">
      <w:r>
        <w:t>Две трети экспериментальных программ будут продолжены либо в полном объеме, либо частично, причем одни из них стали частью местной политики, а результаты других были взяты на вооружение организациями, секторами или регионами</w:t>
      </w:r>
      <w:r>
        <w:rPr>
          <w:rStyle w:val="FootnoteReference"/>
          <w:sz w:val="22"/>
        </w:rPr>
        <w:footnoteReference w:customMarkFollows="1" w:id="58"/>
        <w:t>57</w:t>
      </w:r>
      <w:r>
        <w:t>. Тем временем Департамент по вопросам координации политики в области эмансипации изучает новые пути расширения этого инновационного подхода. В 2004 году планируется подготовить ответ правительства на заключительные рекомендации руководящей группы и имплементационный план.</w:t>
      </w:r>
    </w:p>
    <w:p w:rsidR="00000000" w:rsidRDefault="00000000">
      <w:pPr>
        <w:jc w:val="left"/>
        <w:rPr>
          <w:i/>
        </w:rPr>
      </w:pPr>
      <w:r>
        <w:rPr>
          <w:i/>
        </w:rPr>
        <w:t xml:space="preserve">Система субсидирования ЕСФ-3 в целях совмещения оплачиваемой работы и обязанностей </w:t>
      </w:r>
      <w:r>
        <w:rPr>
          <w:i/>
          <w:lang w:val="ru-RU"/>
        </w:rPr>
        <w:br/>
      </w:r>
      <w:r>
        <w:rPr>
          <w:i/>
        </w:rPr>
        <w:t>по уходу</w:t>
      </w:r>
    </w:p>
    <w:p w:rsidR="00000000" w:rsidRDefault="00000000">
      <w:r>
        <w:t>Шестой раздел программы по реализации задачи № 3 Европейского социального фонда касается вопросов совмещения оплачиваемой работы и обязанностей по уходу (обычно называемых "повседневными обязанностями"). В период 2000–2006 годов на экспериментальные программы по содействию совмещению производственных и семейных обязанностей в Нидерландах в рамках ЕСФ-3 было выделено около 1 процента от всего имеющегося бюджета (около 17,5 млн. евро). Была создана система субсидирования для содействия совмещению оплачиваемого труда и обязанностей по уходу. Данная система предусматривает ежегодное удовлетворение определенного количества заявок при особом внимании к конкретным приоритетам и интересам. В</w:t>
      </w:r>
      <w:r>
        <w:rPr>
          <w:lang w:val="ru-RU"/>
        </w:rPr>
        <w:t> </w:t>
      </w:r>
      <w:r>
        <w:t>2002 году в связи с этим на местном уровне было осуществлено в общей сложности 27 экспериментальных программ, а в 2003 году – еще 70. Все они были посвящены следующим темам: "выходцы из этнических меньшинств, совмещающие производственные и семейные обязанности"; "малые предприятия (услуги по уходу)"; "сельские районы"; "местные временные инициативы/временные бюро"; "гибкое школьное расписание и оказание услуг по уходу в дневное время"; "гибкий график работы" и "время, место и транспорт". Помимо этого, в процессе практической работы среди других организаций будут распространяться примеры успешного опыта более ранних программ, что будет способствовать его включению в политику или другие меры, осуществляемые местными органами власти или центральными органами управления.</w:t>
      </w:r>
    </w:p>
    <w:p w:rsidR="00000000" w:rsidRDefault="00000000">
      <w:r>
        <w:t>В настоящее время готовится план работы на 2004 год, направленный на совершенствование социальной инфраструктуры и привлечение муниципалитетов к активной разработке политики при особом внимании к образованию, созданию учреждений для ухода за детьми и организованному проведению досуга и "смешанной работе", включающей различные функции, связанные с образованием, уходом и/или проведением спортивных мероприятий. В случае необходимости в рамках ЕСФ-3 будет выделено дополнительное финансирование.</w:t>
      </w:r>
    </w:p>
    <w:p w:rsidR="00000000" w:rsidRDefault="00000000">
      <w:pPr>
        <w:pStyle w:val="Subtitle"/>
        <w:rPr>
          <w:b w:val="0"/>
          <w:i/>
        </w:rPr>
      </w:pPr>
      <w:r>
        <w:rPr>
          <w:b w:val="0"/>
          <w:i/>
        </w:rPr>
        <w:t>Совмещение производственных и семейных обязанностей</w:t>
      </w:r>
    </w:p>
    <w:p w:rsidR="00000000" w:rsidRDefault="00000000">
      <w:r>
        <w:t>Экспериментальные программы по содействию совмещению производственных и семейных обязанностей не ограничивались поиском решений для совмещения оплачиваемой занятости и обязанностей по уходу за детьми. Существует также множество препятствий, мешающих совмещению оплачиваемой работы и других семейных обязанностей, которые в основном ложатся на плечи женщин. В Нидерландах, например, женщинам старшего возраста все чаще приходится ухаживать за немощными родителями, больными супругами или другими членами семьи. Значительная часть таких женщин также имеют или хотели бы иметь оплачиваемую работу. Лица, ухаживающие за другими членами семьи и имеющие оплачиваемую работу, нередко вынуждены отсутствовать на рабочем месте. В рамках экспериментальных программ по содействию совмещению оплачиваемой работы и обязанностей по уходу был найден целый ряд возможных путей решения проблем, с которыми сталкиваются женщины: "помощник по уходу" (лицо, на которое перекладываются обязанности по уходу), бюро добрых услуг внутри общины, кратковременный уход, обеспечиваемый силами приемных семей или официальных учреждений по уходу, более эффективное использование средств из семейного бюджета , механизм отпусков, введение гибкого графика работы и самостоятельная организация работниками своего рабочего времени. Эти решения могут оказать неоценимую помощь работающим женщинам старшего возраста, которым приходится выполнять требующие большого количества времени и усилий обязанности по уходу за членами своей семьи. Они также отвечают интересам работодателей, так как способствуют удержанию опытных и квалифицированных кадров, что особенно важно в секторах, где трудится большое число женщин (в том числе женщин старшего возраста), таких как услуги по уходу и образование.</w:t>
      </w:r>
    </w:p>
    <w:p w:rsidR="00000000" w:rsidRDefault="00000000">
      <w:r>
        <w:t>В корпорациях особое внимание в рамках экспериментальных программ уделяется кадровой политике, учитывающей различные виды обязанностей по уходу и индивидуальные ситуации каждого работника. Такая политика в значительной степени ориентируется на условия и пожелания работников и проблемы, с которыми они сталкиваются.</w:t>
      </w:r>
    </w:p>
    <w:p w:rsidR="00000000" w:rsidRDefault="00000000">
      <w:r>
        <w:t>В секторе оказания услуг по уходу на дому был проведен эксперимент, связанный с совмещением оплачиваемой работы и обязанностями по уходу, в рамках которого выходцы из Турции и Марокко, обеспечивавшие услуги по уходу в семье, были привлечены к оплачиваемой работе в секторе оказания услуг по уходу. Методы работы включали: интенсивный набор основных действующих лиц из целевой группы, трудовые соглашения, предусматривающие гибкий график работы, привязанный к выполнению обязанностей по уходу, и специальную подготовку и инструктаж на рабочем месте. Хотя в рамках указанного подхода конкретно не ориентировались на женщин – выходцев из Турции и Марокко старшего возраста</w:t>
      </w:r>
      <w:r>
        <w:rPr>
          <w:lang w:val="ru-RU"/>
        </w:rPr>
        <w:t>,</w:t>
      </w:r>
      <w:r>
        <w:t xml:space="preserve"> в данном эксперименте участвовали в основном именно эти женщины.</w:t>
      </w:r>
    </w:p>
    <w:p w:rsidR="00000000" w:rsidRDefault="00000000">
      <w:pPr>
        <w:pStyle w:val="Subtitle"/>
        <w:rPr>
          <w:sz w:val="23"/>
          <w:lang w:val="ru-RU"/>
        </w:rPr>
      </w:pPr>
      <w:r>
        <w:rPr>
          <w:sz w:val="23"/>
          <w:lang w:val="ru-RU"/>
        </w:rPr>
        <w:t>8.</w:t>
      </w:r>
      <w:r>
        <w:rPr>
          <w:sz w:val="23"/>
          <w:lang w:val="ru-RU"/>
        </w:rPr>
        <w:tab/>
        <w:t>Руководящие должности в коммерческом и некоммерческом секторах</w:t>
      </w:r>
    </w:p>
    <w:p w:rsidR="00000000" w:rsidRDefault="00000000">
      <w:r>
        <w:t>В Нидерландах на старших, руководящих или директивных должностях в предпринимательских кругах, политике, правительстве, науке и организациях гражданского общества женщин относительно мало. Их недостаточная представленность наиболее отчетливо проявляется на директивных должностях, в торговле и промышленности. В 2001 году женщины занимали лишь 26</w:t>
      </w:r>
      <w:r>
        <w:rPr>
          <w:lang w:val="ru-RU"/>
        </w:rPr>
        <w:t> </w:t>
      </w:r>
      <w:r>
        <w:t>процентов руководящих должностей. Женщинам принадлежит лишь 5 процентов мест в руководящих или контролирующих комитетах крупных компаний. Аналогичные цифры отмечаются и за пределами предпринимательских кругов, причем даже в тех областях, в которых этого трудно было бы ожидать, например в секторе образования. К примеру, в 2000 году женщины были директорами 14 процентов начальных школ и 10 процент</w:t>
      </w:r>
      <w:r>
        <w:rPr>
          <w:lang w:val="ru-RU"/>
        </w:rPr>
        <w:t>ов</w:t>
      </w:r>
      <w:r>
        <w:t xml:space="preserve"> средних школ, а в системе высшего образования женщинами являлось лишь 5 процентов профессорско-преподавательского состава. В сфере предпринимательства существуют также некоторые секторы, такие как промышленность и транспорт, в которых трудится небольшое число женщин. Данный вопрос касается не только возможностей продвижения женщин на руководящие должности, но и их присутствия в некоторых секторах.</w:t>
      </w:r>
    </w:p>
    <w:p w:rsidR="00000000" w:rsidRDefault="00000000">
      <w:r>
        <w:t xml:space="preserve">Правительство установило целевые показатели, по которым компании и учреждения могут судить, соотносится ли их политика с более широкими задачами в рамках всего общества. Правительство планирует удвоить число женщин на старших должностях по сравнению с показателями 2004 года, в частности в составе руководящих и контролирующих комитетов и в сфере предпринимательства в целом. Цель состоит в том, чтобы после 2004 года ежегодно на 2 процента увеличивать число женщин, работающих на старших должностях. Применительно к некоммерческим организациям цель состоит в том, чтобы к 2010 году женщины занимали 45 процентов старших должностей в сфере ухода и социального обеспечения и 35 процентов старших должностей в социально-экономическом секторе. Конкретные целевые показатели были определены и для самого правительства. Задача заключается в том, чтобы к 2010 году увеличить число женщин на старших должностях в министерствах и провинциальных исполнительных и других органах государственной власти с 7 до 25 процентов. </w:t>
      </w:r>
    </w:p>
    <w:p w:rsidR="00000000" w:rsidRDefault="00000000">
      <w:pPr>
        <w:pStyle w:val="Subtitle"/>
        <w:ind w:left="680" w:hanging="680"/>
      </w:pPr>
      <w:r>
        <w:rPr>
          <w:lang w:val="en-US"/>
        </w:rPr>
        <w:t>i</w:t>
      </w:r>
      <w:r>
        <w:t>.</w:t>
      </w:r>
      <w:r>
        <w:tab/>
        <w:t>"Стеклянный потолок"/старшие должности в коммерческом и некоммерческом секторах</w:t>
      </w:r>
    </w:p>
    <w:p w:rsidR="00000000" w:rsidRDefault="00000000">
      <w:r>
        <w:t>Среди высших эшелонов компаний, правительства и некоммерческих организаций рост числа женщин на старших и директивных должностях, как представляется, также несколько замедлился. По-прежнему существует так называемый "стеклянный потолок", представляющий собой барьер между должностями высшего и среднего звена в организациях, который трудно преодолеть и который создается и поддерживается с помощью целого ряда видимых и невидимых механизмов.</w:t>
      </w:r>
    </w:p>
    <w:p w:rsidR="00000000" w:rsidRDefault="00000000">
      <w:r>
        <w:t>Было проведено множество исследований, посвященных различным аспектам проблемы "стеклянного потолка", таким как соответствующая статистика, различия между секторами, роль корпоративной культуры и профессиональная подготовка как один из инструментов, которые способны изменить порядок вещей в организации и сделать ее более доступной для женщин.</w:t>
      </w:r>
    </w:p>
    <w:p w:rsidR="00000000" w:rsidRDefault="00000000">
      <w:r>
        <w:t>Главной целью по-прежнему является обеспечение пропорциональной представленности женщин на влиятельных должностях во всех сегментах общества. Многообразие на руководящих должностях также способствует более глубокому пониманию вопросов, касающихся рынка, общества и трудящихся. Стремления более молодого поколения, в частности в связи с обеспечением больших возможностей для совмещения производственных обязанностей и личной жизни, потребуют от организаций корректировки проводимой ими кадровой политики. Важной основой для достижения указанной цели является корпоративная культура, отражающая многообразие общества в рамках конкретной организации, включая ее высшие эшелоны. Одновременно с этим в обществе будут происходить социальные перемены, однако</w:t>
      </w:r>
      <w:r>
        <w:rPr>
          <w:lang w:val="ru-RU"/>
        </w:rPr>
        <w:t>,</w:t>
      </w:r>
      <w:r>
        <w:t xml:space="preserve"> для того чтобы ускорить темпы этих перемен и обеспечить устойчивые результаты, потребуются дополнительные усилия.</w:t>
      </w:r>
    </w:p>
    <w:p w:rsidR="00000000" w:rsidRDefault="00000000">
      <w:pPr>
        <w:pStyle w:val="Subtitle"/>
        <w:ind w:left="680" w:hanging="680"/>
      </w:pPr>
      <w:r>
        <w:rPr>
          <w:lang w:val="en-US"/>
        </w:rPr>
        <w:t>ii</w:t>
      </w:r>
      <w:r>
        <w:t>.</w:t>
      </w:r>
      <w:r>
        <w:tab/>
        <w:t>"Смешанный состав"/обеспечение большего соответствия между численностью мужчин и женщин на рабочем месте</w:t>
      </w:r>
    </w:p>
    <w:p w:rsidR="00000000" w:rsidRDefault="00000000">
      <w:r>
        <w:t>Вопрос о недостаточно активном продвижении женщин по служебной лестнице является актуальным не только в Нидерландах, но и во многих других европейских странах. Гендерная сегрегация на рынке труда, включая нежелание продвигать женщин на руководящие должности, является одним из аспектов, о которых говорится в программе Европейского социального фонда "РАВЕНСТВО" (</w:t>
      </w:r>
      <w:r>
        <w:rPr>
          <w:lang w:val="en-US"/>
        </w:rPr>
        <w:t>EQUAL</w:t>
      </w:r>
      <w:r>
        <w:t xml:space="preserve">), </w:t>
      </w:r>
      <w:r>
        <w:rPr>
          <w:lang w:val="ru-RU"/>
        </w:rPr>
        <w:t>в рамках</w:t>
      </w:r>
      <w:r>
        <w:t xml:space="preserve"> которой предоставляются субсидии ЕСФ. Проект под названием "Смешанный состав" финансируется частично из средств программы "РАВЕНСТВО" и частично из средств Департамента по координации политики в области эмансипации Министерства социальных дел и по вопросам занятости и имеет общий бюджет в размере около 5 млн. евро. Данная программа осуществляется с 2001 по 2004 год включительно. Проект "Смешанный состав" ориентирован на коммерческие компании и некоммерческие организации. Внутри этих компаний и организаций программа охватывает трудящихся женщин, а также руководителей и начальников кадровых подразделений. Двойная задача проекта "Смешанный состав", с одной стороны, состоит в том, чтобы разработать, распространить и опробовать механизмы, помогающие женщинам продвигаться по служебной лестнице, а с другой</w:t>
      </w:r>
      <w:r>
        <w:rPr>
          <w:lang w:val="ru-RU"/>
        </w:rPr>
        <w:t xml:space="preserve"> –</w:t>
      </w:r>
      <w:r>
        <w:t xml:space="preserve"> обеспечить, чтобы вопросы, касающиеся карьерного роста женщин, оставались объектом согласованных усилий.</w:t>
      </w:r>
    </w:p>
    <w:p w:rsidR="00000000" w:rsidRDefault="00000000">
      <w:r>
        <w:t>Главными средствами, с помощью которых предполагается реализовать цели, поставленные в рамках проекта "Смешанный состав", являются пилотные программы, использующие имеющиеся механизмы. В компаниях и некоммерческих организациях, различных по своим размерам, отраслевой принадлежности, степени внимания к вопросам многообразия и продвижения по службе и влияния, которым они пользуются в своем собственном секторе, было организовано 30 пилотных программ. Основной объединяющий эти программы принцип состоит в том, чтобы в каждой области осуществлялись пилотные программы, в рамках которых особое внимание уделялось положению женщин из числа этнических меньшинств. Важным элементом данного проекта является международный обмен знаниями и опытом. В рамках проекта "Смешанный состав" осуществляется тесное сотрудничество с подобным проектом под названием "Ариадна", осуществляемым в Греции. Греческие и нидерландские организаторы проектов будут обмениваться информацией об опыте, накопленном в процессе реализации указанных проектов</w:t>
      </w:r>
      <w:r>
        <w:rPr>
          <w:rStyle w:val="FootnoteReference"/>
          <w:sz w:val="22"/>
        </w:rPr>
        <w:footnoteReference w:customMarkFollows="1" w:id="59"/>
        <w:t>58</w:t>
      </w:r>
      <w:r>
        <w:t>.</w:t>
      </w:r>
    </w:p>
    <w:p w:rsidR="00000000" w:rsidRDefault="00000000">
      <w:r>
        <w:t>В рамках одного из сегментов проекта "Смешанный состав" также осуществляется разработка международного ориентировочного показателя. Было проведено предварительное исследование общих принципов, касающихся положения женщин, которые можно было бы выделить из соответствующих международных докладов стран по проблемам устойчивого развития. В развитие результатов данного исследования будет составлен индекс участников и проведен анализ эффективности проекта.</w:t>
      </w:r>
    </w:p>
    <w:p w:rsidR="00000000" w:rsidRDefault="00000000">
      <w:pPr>
        <w:rPr>
          <w:i/>
        </w:rPr>
      </w:pPr>
      <w:r>
        <w:rPr>
          <w:i/>
        </w:rPr>
        <w:t>Стимулы для предпринимателей-женщин</w:t>
      </w:r>
    </w:p>
    <w:p w:rsidR="00000000" w:rsidRDefault="00000000">
      <w:r>
        <w:t>Частное предпринимательство имеет определенную привлекательность для женщин. Поскольку предприниматели обычно имеют возможность организовывать свой график работы по собственному усмотрению и являются хозяевами своего времени, в этой сфере не существует никакого "стеклянного потолка", который приходилось бы преодолевать. Правительство использует ряд стимулов для развития предпринимательства в целом. Те сектор</w:t>
      </w:r>
      <w:r>
        <w:rPr>
          <w:lang w:val="ru-RU"/>
        </w:rPr>
        <w:t>ы</w:t>
      </w:r>
      <w:r>
        <w:t>, в которых возникают проблемы, связанные с развитием женского предпринимательства, становятся объектами самого пристального внимания.</w:t>
      </w:r>
    </w:p>
    <w:p w:rsidR="00000000" w:rsidRDefault="00000000">
      <w:pPr>
        <w:pStyle w:val="Subtitle"/>
      </w:pPr>
      <w:r>
        <w:rPr>
          <w:lang w:val="en-US"/>
        </w:rPr>
        <w:t>iii</w:t>
      </w:r>
      <w:r>
        <w:t>.</w:t>
      </w:r>
      <w:r>
        <w:tab/>
        <w:t>Целевой показатель для числа женщин на руководящих должностях</w:t>
      </w:r>
    </w:p>
    <w:p w:rsidR="00000000" w:rsidRDefault="00000000">
      <w:r>
        <w:t>В многолетнем плане в области эмансипации (2000 год) содержатся показатели эффективности как для государственного, так и частного сектора. Следующим шагом является определение целевого показателя для числа женщин на руководящих должностях, который в настоящее время находится в стадии разработки. Первый ориентировочный доклад был представлен на рассмотрение парламента в апреле 2003 года</w:t>
      </w:r>
      <w:r>
        <w:rPr>
          <w:rStyle w:val="FootnoteReference"/>
          <w:sz w:val="22"/>
        </w:rPr>
        <w:footnoteReference w:customMarkFollows="1" w:id="60"/>
        <w:t>59</w:t>
      </w:r>
      <w:r>
        <w:t>, цель которого состояла в том, чтобы выработать основу для этого показателя. Это позволит Департаменту по вопросам координации политики в области эмансипации Министерства социальных дел и по вопросам занятости сопоставить возможности доступа женщин к руководящим должностям в различных секторах рынка труда и сделать выводы по поводу относительной непроницаемости "стеклянного потолка" в этих секторах.</w:t>
      </w:r>
    </w:p>
    <w:p w:rsidR="00000000" w:rsidRDefault="00000000">
      <w:r>
        <w:t>Начиная с 2004 года независимые компании смогут также оценить собственные результаты, сравнивая их с этим целевым показателем. На основе представляемой ими подробной информации они могут оценить собственную ситуацию в сравнении с другими компаниями в аналогичных или иных областях. Это, возможно, побудит их принять меры по увеличению возможностей женщин в плане продвижения по службе.</w:t>
      </w:r>
    </w:p>
    <w:p w:rsidR="00000000" w:rsidRDefault="00000000">
      <w:pPr>
        <w:spacing w:after="160"/>
        <w:jc w:val="left"/>
        <w:rPr>
          <w:b/>
          <w:lang w:val="ru-RU"/>
        </w:rPr>
      </w:pPr>
      <w:r>
        <w:rPr>
          <w:b/>
          <w:lang w:val="ru-RU"/>
        </w:rPr>
        <w:t xml:space="preserve">Доля руководителей-женщин с разбивкой по виду организации (государственная, некоммерческая или коммерческая) и сектору </w:t>
      </w:r>
      <w:r>
        <w:rPr>
          <w:lang w:val="ru-RU"/>
        </w:rPr>
        <w:t>(в процентах)</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7" w:type="dxa"/>
          <w:right w:w="57" w:type="dxa"/>
        </w:tblCellMar>
        <w:tblLook w:val="0000" w:firstRow="0" w:lastRow="0" w:firstColumn="0" w:lastColumn="0" w:noHBand="0" w:noVBand="0"/>
      </w:tblPr>
      <w:tblGrid>
        <w:gridCol w:w="1820"/>
        <w:gridCol w:w="2720"/>
        <w:gridCol w:w="1432"/>
        <w:gridCol w:w="1818"/>
        <w:gridCol w:w="1566"/>
      </w:tblGrid>
      <w:tr w:rsidR="00000000">
        <w:tblPrEx>
          <w:tblCellMar>
            <w:top w:w="0" w:type="dxa"/>
            <w:bottom w:w="0" w:type="dxa"/>
          </w:tblCellMar>
        </w:tblPrEx>
        <w:trPr>
          <w:jc w:val="center"/>
        </w:trPr>
        <w:tc>
          <w:tcPr>
            <w:tcW w:w="1820" w:type="dxa"/>
            <w:vAlign w:val="center"/>
          </w:tcPr>
          <w:p w:rsidR="00000000" w:rsidRDefault="00000000">
            <w:pPr>
              <w:spacing w:before="40" w:after="40" w:line="240" w:lineRule="auto"/>
              <w:jc w:val="center"/>
              <w:rPr>
                <w:b/>
                <w:sz w:val="20"/>
              </w:rPr>
            </w:pPr>
            <w:r>
              <w:rPr>
                <w:b/>
                <w:sz w:val="20"/>
              </w:rPr>
              <w:t xml:space="preserve">Вид </w:t>
            </w:r>
            <w:r>
              <w:rPr>
                <w:b/>
                <w:sz w:val="20"/>
                <w:lang w:val="ru-RU"/>
              </w:rPr>
              <w:br/>
            </w:r>
            <w:r>
              <w:rPr>
                <w:b/>
                <w:sz w:val="20"/>
              </w:rPr>
              <w:t>организации</w:t>
            </w:r>
          </w:p>
        </w:tc>
        <w:tc>
          <w:tcPr>
            <w:tcW w:w="2720" w:type="dxa"/>
            <w:vAlign w:val="center"/>
          </w:tcPr>
          <w:p w:rsidR="00000000" w:rsidRDefault="00000000">
            <w:pPr>
              <w:spacing w:before="40" w:after="40" w:line="240" w:lineRule="auto"/>
              <w:jc w:val="center"/>
              <w:rPr>
                <w:b/>
                <w:sz w:val="20"/>
              </w:rPr>
            </w:pPr>
            <w:r>
              <w:rPr>
                <w:b/>
                <w:sz w:val="20"/>
              </w:rPr>
              <w:t>Сектор</w:t>
            </w:r>
          </w:p>
        </w:tc>
        <w:tc>
          <w:tcPr>
            <w:tcW w:w="1432" w:type="dxa"/>
            <w:vAlign w:val="center"/>
          </w:tcPr>
          <w:p w:rsidR="00000000" w:rsidRDefault="00000000">
            <w:pPr>
              <w:spacing w:before="40" w:after="40" w:line="240" w:lineRule="auto"/>
              <w:jc w:val="center"/>
              <w:rPr>
                <w:b/>
                <w:sz w:val="20"/>
              </w:rPr>
            </w:pPr>
            <w:r>
              <w:rPr>
                <w:b/>
                <w:sz w:val="20"/>
              </w:rPr>
              <w:t xml:space="preserve">Доля </w:t>
            </w:r>
            <w:r>
              <w:rPr>
                <w:b/>
                <w:sz w:val="20"/>
                <w:lang w:val="ru-RU"/>
              </w:rPr>
              <w:br/>
            </w:r>
            <w:r>
              <w:rPr>
                <w:b/>
                <w:sz w:val="20"/>
              </w:rPr>
              <w:t>женщин</w:t>
            </w:r>
          </w:p>
        </w:tc>
        <w:tc>
          <w:tcPr>
            <w:tcW w:w="1818" w:type="dxa"/>
            <w:vAlign w:val="center"/>
          </w:tcPr>
          <w:p w:rsidR="00000000" w:rsidRDefault="00000000">
            <w:pPr>
              <w:spacing w:before="40" w:after="40" w:line="240" w:lineRule="auto"/>
              <w:jc w:val="center"/>
              <w:rPr>
                <w:b/>
                <w:sz w:val="20"/>
              </w:rPr>
            </w:pPr>
            <w:r>
              <w:rPr>
                <w:b/>
                <w:sz w:val="20"/>
              </w:rPr>
              <w:t>Доля женщин, имеющих высшее образование</w:t>
            </w:r>
          </w:p>
        </w:tc>
        <w:tc>
          <w:tcPr>
            <w:tcW w:w="1566" w:type="dxa"/>
            <w:vAlign w:val="center"/>
          </w:tcPr>
          <w:p w:rsidR="00000000" w:rsidRDefault="00000000">
            <w:pPr>
              <w:spacing w:before="40" w:after="40" w:line="240" w:lineRule="auto"/>
              <w:jc w:val="center"/>
              <w:rPr>
                <w:b/>
                <w:sz w:val="20"/>
              </w:rPr>
            </w:pPr>
            <w:r>
              <w:rPr>
                <w:b/>
                <w:sz w:val="20"/>
              </w:rPr>
              <w:t>Доля руководителей-женщин</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r>
              <w:rPr>
                <w:sz w:val="20"/>
              </w:rPr>
              <w:t>Коммерческая</w:t>
            </w:r>
          </w:p>
        </w:tc>
        <w:tc>
          <w:tcPr>
            <w:tcW w:w="2720" w:type="dxa"/>
          </w:tcPr>
          <w:p w:rsidR="00000000" w:rsidRDefault="00000000">
            <w:pPr>
              <w:spacing w:before="40" w:after="40" w:line="220" w:lineRule="exact"/>
              <w:jc w:val="left"/>
              <w:rPr>
                <w:sz w:val="20"/>
              </w:rPr>
            </w:pPr>
            <w:r>
              <w:rPr>
                <w:sz w:val="20"/>
              </w:rPr>
              <w:t>Сельское хозяйство и рыболовство</w:t>
            </w:r>
          </w:p>
        </w:tc>
        <w:tc>
          <w:tcPr>
            <w:tcW w:w="1432" w:type="dxa"/>
          </w:tcPr>
          <w:p w:rsidR="00000000" w:rsidRDefault="00000000">
            <w:pPr>
              <w:spacing w:before="40" w:after="40" w:line="220" w:lineRule="exact"/>
              <w:jc w:val="center"/>
              <w:rPr>
                <w:sz w:val="20"/>
              </w:rPr>
            </w:pPr>
            <w:r>
              <w:rPr>
                <w:sz w:val="20"/>
              </w:rPr>
              <w:t>27</w:t>
            </w:r>
          </w:p>
        </w:tc>
        <w:tc>
          <w:tcPr>
            <w:tcW w:w="1818" w:type="dxa"/>
          </w:tcPr>
          <w:p w:rsidR="00000000" w:rsidRDefault="00000000">
            <w:pPr>
              <w:spacing w:before="40" w:after="40" w:line="220" w:lineRule="exact"/>
              <w:jc w:val="center"/>
              <w:rPr>
                <w:sz w:val="20"/>
              </w:rPr>
            </w:pPr>
            <w:r>
              <w:rPr>
                <w:sz w:val="20"/>
              </w:rPr>
              <w:t>13</w:t>
            </w:r>
          </w:p>
        </w:tc>
        <w:tc>
          <w:tcPr>
            <w:tcW w:w="1566" w:type="dxa"/>
          </w:tcPr>
          <w:p w:rsidR="00000000" w:rsidRDefault="00000000">
            <w:pPr>
              <w:spacing w:before="40" w:after="40" w:line="220" w:lineRule="exact"/>
              <w:jc w:val="center"/>
              <w:rPr>
                <w:sz w:val="20"/>
              </w:rPr>
            </w:pPr>
            <w:r>
              <w:rPr>
                <w:sz w:val="20"/>
              </w:rPr>
              <w:t>17</w:t>
            </w:r>
          </w:p>
        </w:tc>
      </w:tr>
      <w:tr w:rsidR="00000000">
        <w:tblPrEx>
          <w:tblCellMar>
            <w:top w:w="0" w:type="dxa"/>
            <w:bottom w:w="0" w:type="dxa"/>
          </w:tblCellMar>
        </w:tblPrEx>
        <w:trPr>
          <w:jc w:val="center"/>
        </w:trPr>
        <w:tc>
          <w:tcPr>
            <w:tcW w:w="1820" w:type="dxa"/>
          </w:tcPr>
          <w:p w:rsidR="00000000" w:rsidRDefault="00000000">
            <w:pPr>
              <w:pStyle w:val="FootnoteText"/>
              <w:spacing w:before="40" w:after="40"/>
              <w:rPr>
                <w:sz w:val="20"/>
              </w:rPr>
            </w:pPr>
          </w:p>
        </w:tc>
        <w:tc>
          <w:tcPr>
            <w:tcW w:w="2720" w:type="dxa"/>
          </w:tcPr>
          <w:p w:rsidR="00000000" w:rsidRDefault="00000000">
            <w:pPr>
              <w:spacing w:before="40" w:after="40" w:line="220" w:lineRule="exact"/>
              <w:jc w:val="left"/>
              <w:rPr>
                <w:sz w:val="20"/>
              </w:rPr>
            </w:pPr>
            <w:r>
              <w:rPr>
                <w:sz w:val="20"/>
              </w:rPr>
              <w:t>Обрабатывающая промышленность и строительство</w:t>
            </w:r>
          </w:p>
        </w:tc>
        <w:tc>
          <w:tcPr>
            <w:tcW w:w="1432" w:type="dxa"/>
          </w:tcPr>
          <w:p w:rsidR="00000000" w:rsidRDefault="00000000">
            <w:pPr>
              <w:spacing w:before="40" w:after="40" w:line="220" w:lineRule="exact"/>
              <w:jc w:val="center"/>
              <w:rPr>
                <w:sz w:val="20"/>
              </w:rPr>
            </w:pPr>
            <w:r>
              <w:rPr>
                <w:sz w:val="20"/>
              </w:rPr>
              <w:t>17</w:t>
            </w:r>
          </w:p>
        </w:tc>
        <w:tc>
          <w:tcPr>
            <w:tcW w:w="1818" w:type="dxa"/>
          </w:tcPr>
          <w:p w:rsidR="00000000" w:rsidRDefault="00000000">
            <w:pPr>
              <w:spacing w:before="40" w:after="40" w:line="220" w:lineRule="exact"/>
              <w:jc w:val="center"/>
              <w:rPr>
                <w:sz w:val="20"/>
              </w:rPr>
            </w:pPr>
            <w:r>
              <w:rPr>
                <w:sz w:val="20"/>
              </w:rPr>
              <w:t>16</w:t>
            </w:r>
          </w:p>
        </w:tc>
        <w:tc>
          <w:tcPr>
            <w:tcW w:w="1566" w:type="dxa"/>
          </w:tcPr>
          <w:p w:rsidR="00000000" w:rsidRDefault="00000000">
            <w:pPr>
              <w:spacing w:before="40" w:after="40" w:line="220" w:lineRule="exact"/>
              <w:jc w:val="center"/>
              <w:rPr>
                <w:sz w:val="20"/>
              </w:rPr>
            </w:pPr>
            <w:r>
              <w:rPr>
                <w:sz w:val="20"/>
              </w:rPr>
              <w:t>5</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p>
        </w:tc>
        <w:tc>
          <w:tcPr>
            <w:tcW w:w="2720" w:type="dxa"/>
          </w:tcPr>
          <w:p w:rsidR="00000000" w:rsidRDefault="00000000">
            <w:pPr>
              <w:spacing w:before="40" w:after="40" w:line="220" w:lineRule="exact"/>
              <w:jc w:val="left"/>
              <w:rPr>
                <w:sz w:val="20"/>
              </w:rPr>
            </w:pPr>
            <w:r>
              <w:rPr>
                <w:sz w:val="20"/>
              </w:rPr>
              <w:t>Коммерческие услуги</w:t>
            </w:r>
          </w:p>
        </w:tc>
        <w:tc>
          <w:tcPr>
            <w:tcW w:w="1432" w:type="dxa"/>
          </w:tcPr>
          <w:p w:rsidR="00000000" w:rsidRDefault="00000000">
            <w:pPr>
              <w:spacing w:before="40" w:after="40" w:line="220" w:lineRule="exact"/>
              <w:jc w:val="center"/>
              <w:rPr>
                <w:sz w:val="20"/>
              </w:rPr>
            </w:pPr>
            <w:r>
              <w:rPr>
                <w:sz w:val="20"/>
              </w:rPr>
              <w:t>38</w:t>
            </w:r>
          </w:p>
        </w:tc>
        <w:tc>
          <w:tcPr>
            <w:tcW w:w="1818" w:type="dxa"/>
          </w:tcPr>
          <w:p w:rsidR="00000000" w:rsidRDefault="00000000">
            <w:pPr>
              <w:spacing w:before="40" w:after="40" w:line="220" w:lineRule="exact"/>
              <w:jc w:val="center"/>
              <w:rPr>
                <w:sz w:val="20"/>
              </w:rPr>
            </w:pPr>
            <w:r>
              <w:rPr>
                <w:sz w:val="20"/>
              </w:rPr>
              <w:t>26</w:t>
            </w:r>
          </w:p>
        </w:tc>
        <w:tc>
          <w:tcPr>
            <w:tcW w:w="1566" w:type="dxa"/>
          </w:tcPr>
          <w:p w:rsidR="00000000" w:rsidRDefault="00000000">
            <w:pPr>
              <w:spacing w:before="40" w:after="40" w:line="220" w:lineRule="exact"/>
              <w:jc w:val="center"/>
              <w:rPr>
                <w:sz w:val="20"/>
              </w:rPr>
            </w:pPr>
            <w:r>
              <w:rPr>
                <w:sz w:val="20"/>
              </w:rPr>
              <w:t>17</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r>
              <w:rPr>
                <w:sz w:val="20"/>
              </w:rPr>
              <w:t>Некоммерческая</w:t>
            </w:r>
          </w:p>
        </w:tc>
        <w:tc>
          <w:tcPr>
            <w:tcW w:w="2720" w:type="dxa"/>
          </w:tcPr>
          <w:p w:rsidR="00000000" w:rsidRDefault="00000000">
            <w:pPr>
              <w:spacing w:before="40" w:after="40" w:line="220" w:lineRule="exact"/>
              <w:jc w:val="left"/>
              <w:rPr>
                <w:sz w:val="20"/>
              </w:rPr>
            </w:pPr>
            <w:r>
              <w:rPr>
                <w:sz w:val="20"/>
              </w:rPr>
              <w:t>Некоммерческие услуги</w:t>
            </w:r>
          </w:p>
        </w:tc>
        <w:tc>
          <w:tcPr>
            <w:tcW w:w="1432" w:type="dxa"/>
          </w:tcPr>
          <w:p w:rsidR="00000000" w:rsidRDefault="00000000">
            <w:pPr>
              <w:spacing w:before="40" w:after="40" w:line="220" w:lineRule="exact"/>
              <w:jc w:val="center"/>
              <w:rPr>
                <w:sz w:val="20"/>
              </w:rPr>
            </w:pPr>
            <w:r>
              <w:rPr>
                <w:sz w:val="20"/>
              </w:rPr>
              <w:t>61</w:t>
            </w:r>
          </w:p>
        </w:tc>
        <w:tc>
          <w:tcPr>
            <w:tcW w:w="1818" w:type="dxa"/>
          </w:tcPr>
          <w:p w:rsidR="00000000" w:rsidRDefault="00000000">
            <w:pPr>
              <w:spacing w:before="40" w:after="40" w:line="220" w:lineRule="exact"/>
              <w:jc w:val="center"/>
              <w:rPr>
                <w:sz w:val="20"/>
              </w:rPr>
            </w:pPr>
            <w:r>
              <w:rPr>
                <w:sz w:val="20"/>
              </w:rPr>
              <w:t>53</w:t>
            </w:r>
          </w:p>
        </w:tc>
        <w:tc>
          <w:tcPr>
            <w:tcW w:w="1566" w:type="dxa"/>
          </w:tcPr>
          <w:p w:rsidR="00000000" w:rsidRDefault="00000000">
            <w:pPr>
              <w:spacing w:before="40" w:after="40" w:line="220" w:lineRule="exact"/>
              <w:jc w:val="center"/>
              <w:rPr>
                <w:sz w:val="20"/>
              </w:rPr>
            </w:pPr>
            <w:r>
              <w:rPr>
                <w:sz w:val="20"/>
              </w:rPr>
              <w:t>37</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p>
        </w:tc>
        <w:tc>
          <w:tcPr>
            <w:tcW w:w="2720" w:type="dxa"/>
          </w:tcPr>
          <w:p w:rsidR="00000000" w:rsidRDefault="00000000">
            <w:pPr>
              <w:spacing w:before="40" w:after="40" w:line="220" w:lineRule="exact"/>
              <w:jc w:val="left"/>
              <w:rPr>
                <w:sz w:val="20"/>
              </w:rPr>
            </w:pPr>
            <w:r>
              <w:rPr>
                <w:sz w:val="20"/>
              </w:rPr>
              <w:t>Образование</w:t>
            </w:r>
          </w:p>
        </w:tc>
        <w:tc>
          <w:tcPr>
            <w:tcW w:w="1432" w:type="dxa"/>
          </w:tcPr>
          <w:p w:rsidR="00000000" w:rsidRDefault="00000000">
            <w:pPr>
              <w:spacing w:before="40" w:after="40" w:line="220" w:lineRule="exact"/>
              <w:jc w:val="center"/>
              <w:rPr>
                <w:sz w:val="20"/>
              </w:rPr>
            </w:pPr>
            <w:r>
              <w:rPr>
                <w:sz w:val="20"/>
              </w:rPr>
              <w:t>54</w:t>
            </w:r>
          </w:p>
        </w:tc>
        <w:tc>
          <w:tcPr>
            <w:tcW w:w="1818" w:type="dxa"/>
          </w:tcPr>
          <w:p w:rsidR="00000000" w:rsidRDefault="00000000">
            <w:pPr>
              <w:spacing w:before="40" w:after="40" w:line="220" w:lineRule="exact"/>
              <w:jc w:val="center"/>
              <w:rPr>
                <w:sz w:val="20"/>
              </w:rPr>
            </w:pPr>
            <w:r>
              <w:rPr>
                <w:sz w:val="20"/>
              </w:rPr>
              <w:t>55</w:t>
            </w:r>
          </w:p>
        </w:tc>
        <w:tc>
          <w:tcPr>
            <w:tcW w:w="1566" w:type="dxa"/>
          </w:tcPr>
          <w:p w:rsidR="00000000" w:rsidRDefault="00000000">
            <w:pPr>
              <w:spacing w:before="40" w:after="40" w:line="220" w:lineRule="exact"/>
              <w:jc w:val="center"/>
              <w:rPr>
                <w:sz w:val="20"/>
              </w:rPr>
            </w:pPr>
            <w:r>
              <w:rPr>
                <w:sz w:val="20"/>
              </w:rPr>
              <w:t>28</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p>
        </w:tc>
        <w:tc>
          <w:tcPr>
            <w:tcW w:w="2720" w:type="dxa"/>
          </w:tcPr>
          <w:p w:rsidR="00000000" w:rsidRDefault="00000000">
            <w:pPr>
              <w:spacing w:before="40" w:after="40" w:line="220" w:lineRule="exact"/>
              <w:jc w:val="left"/>
              <w:rPr>
                <w:sz w:val="20"/>
              </w:rPr>
            </w:pPr>
            <w:r>
              <w:rPr>
                <w:sz w:val="20"/>
              </w:rPr>
              <w:t>Здравоохранение и социальные услуги</w:t>
            </w:r>
          </w:p>
        </w:tc>
        <w:tc>
          <w:tcPr>
            <w:tcW w:w="1432" w:type="dxa"/>
          </w:tcPr>
          <w:p w:rsidR="00000000" w:rsidRDefault="00000000">
            <w:pPr>
              <w:spacing w:before="40" w:after="40" w:line="220" w:lineRule="exact"/>
              <w:jc w:val="center"/>
              <w:rPr>
                <w:sz w:val="20"/>
              </w:rPr>
            </w:pPr>
            <w:r>
              <w:rPr>
                <w:sz w:val="20"/>
              </w:rPr>
              <w:t>79</w:t>
            </w:r>
          </w:p>
        </w:tc>
        <w:tc>
          <w:tcPr>
            <w:tcW w:w="1818" w:type="dxa"/>
          </w:tcPr>
          <w:p w:rsidR="00000000" w:rsidRDefault="00000000">
            <w:pPr>
              <w:spacing w:before="40" w:after="40" w:line="220" w:lineRule="exact"/>
              <w:jc w:val="center"/>
              <w:rPr>
                <w:sz w:val="20"/>
              </w:rPr>
            </w:pPr>
            <w:r>
              <w:rPr>
                <w:sz w:val="20"/>
              </w:rPr>
              <w:t>64</w:t>
            </w:r>
          </w:p>
        </w:tc>
        <w:tc>
          <w:tcPr>
            <w:tcW w:w="1566" w:type="dxa"/>
          </w:tcPr>
          <w:p w:rsidR="00000000" w:rsidRDefault="00000000">
            <w:pPr>
              <w:spacing w:before="40" w:after="40" w:line="220" w:lineRule="exact"/>
              <w:jc w:val="center"/>
              <w:rPr>
                <w:sz w:val="20"/>
              </w:rPr>
            </w:pPr>
            <w:r>
              <w:rPr>
                <w:sz w:val="20"/>
              </w:rPr>
              <w:t>54</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p>
        </w:tc>
        <w:tc>
          <w:tcPr>
            <w:tcW w:w="2720" w:type="dxa"/>
          </w:tcPr>
          <w:p w:rsidR="00000000" w:rsidRDefault="00000000">
            <w:pPr>
              <w:spacing w:before="40" w:after="40" w:line="220" w:lineRule="exact"/>
              <w:jc w:val="left"/>
              <w:rPr>
                <w:sz w:val="20"/>
              </w:rPr>
            </w:pPr>
            <w:r>
              <w:rPr>
                <w:sz w:val="20"/>
              </w:rPr>
              <w:t>Культура и другие услуги</w:t>
            </w:r>
          </w:p>
        </w:tc>
        <w:tc>
          <w:tcPr>
            <w:tcW w:w="1432" w:type="dxa"/>
          </w:tcPr>
          <w:p w:rsidR="00000000" w:rsidRDefault="00000000">
            <w:pPr>
              <w:spacing w:before="40" w:after="40" w:line="220" w:lineRule="exact"/>
              <w:jc w:val="center"/>
              <w:rPr>
                <w:sz w:val="20"/>
              </w:rPr>
            </w:pPr>
            <w:r>
              <w:rPr>
                <w:sz w:val="20"/>
              </w:rPr>
              <w:t>53</w:t>
            </w:r>
          </w:p>
        </w:tc>
        <w:tc>
          <w:tcPr>
            <w:tcW w:w="1818" w:type="dxa"/>
          </w:tcPr>
          <w:p w:rsidR="00000000" w:rsidRDefault="00000000">
            <w:pPr>
              <w:spacing w:before="40" w:after="40" w:line="220" w:lineRule="exact"/>
              <w:jc w:val="center"/>
              <w:rPr>
                <w:sz w:val="20"/>
              </w:rPr>
            </w:pPr>
            <w:r>
              <w:rPr>
                <w:sz w:val="20"/>
              </w:rPr>
              <w:t>44</w:t>
            </w:r>
          </w:p>
        </w:tc>
        <w:tc>
          <w:tcPr>
            <w:tcW w:w="1566" w:type="dxa"/>
          </w:tcPr>
          <w:p w:rsidR="00000000" w:rsidRDefault="00000000">
            <w:pPr>
              <w:spacing w:before="40" w:after="40" w:line="220" w:lineRule="exact"/>
              <w:jc w:val="center"/>
              <w:rPr>
                <w:sz w:val="20"/>
              </w:rPr>
            </w:pPr>
            <w:r>
              <w:rPr>
                <w:sz w:val="20"/>
              </w:rPr>
              <w:t>38</w:t>
            </w:r>
          </w:p>
        </w:tc>
      </w:tr>
      <w:tr w:rsidR="00000000">
        <w:tblPrEx>
          <w:tblCellMar>
            <w:top w:w="0" w:type="dxa"/>
            <w:bottom w:w="0" w:type="dxa"/>
          </w:tblCellMar>
        </w:tblPrEx>
        <w:trPr>
          <w:jc w:val="center"/>
        </w:trPr>
        <w:tc>
          <w:tcPr>
            <w:tcW w:w="1820" w:type="dxa"/>
          </w:tcPr>
          <w:p w:rsidR="00000000" w:rsidRDefault="00000000">
            <w:pPr>
              <w:spacing w:before="40" w:after="40" w:line="220" w:lineRule="exact"/>
              <w:rPr>
                <w:sz w:val="20"/>
              </w:rPr>
            </w:pPr>
            <w:r>
              <w:rPr>
                <w:sz w:val="20"/>
              </w:rPr>
              <w:t>Государственная</w:t>
            </w:r>
          </w:p>
        </w:tc>
        <w:tc>
          <w:tcPr>
            <w:tcW w:w="2720" w:type="dxa"/>
          </w:tcPr>
          <w:p w:rsidR="00000000" w:rsidRDefault="00000000">
            <w:pPr>
              <w:spacing w:before="40" w:after="40" w:line="220" w:lineRule="exact"/>
              <w:jc w:val="left"/>
              <w:rPr>
                <w:sz w:val="20"/>
              </w:rPr>
            </w:pPr>
            <w:r>
              <w:rPr>
                <w:sz w:val="20"/>
              </w:rPr>
              <w:t>Государственное управление</w:t>
            </w:r>
          </w:p>
        </w:tc>
        <w:tc>
          <w:tcPr>
            <w:tcW w:w="1432" w:type="dxa"/>
          </w:tcPr>
          <w:p w:rsidR="00000000" w:rsidRDefault="00000000">
            <w:pPr>
              <w:spacing w:before="40" w:after="40" w:line="220" w:lineRule="exact"/>
              <w:jc w:val="center"/>
              <w:rPr>
                <w:sz w:val="20"/>
                <w:lang w:val="en-GB"/>
              </w:rPr>
            </w:pPr>
            <w:r>
              <w:rPr>
                <w:sz w:val="20"/>
                <w:lang w:val="en-GB"/>
              </w:rPr>
              <w:t>37</w:t>
            </w:r>
          </w:p>
        </w:tc>
        <w:tc>
          <w:tcPr>
            <w:tcW w:w="1818" w:type="dxa"/>
          </w:tcPr>
          <w:p w:rsidR="00000000" w:rsidRDefault="00000000">
            <w:pPr>
              <w:spacing w:before="40" w:after="40" w:line="220" w:lineRule="exact"/>
              <w:jc w:val="center"/>
              <w:rPr>
                <w:sz w:val="20"/>
                <w:lang w:val="en-GB"/>
              </w:rPr>
            </w:pPr>
            <w:r>
              <w:rPr>
                <w:sz w:val="20"/>
                <w:lang w:val="en-GB"/>
              </w:rPr>
              <w:t>36</w:t>
            </w:r>
          </w:p>
        </w:tc>
        <w:tc>
          <w:tcPr>
            <w:tcW w:w="1566" w:type="dxa"/>
          </w:tcPr>
          <w:p w:rsidR="00000000" w:rsidRDefault="00000000">
            <w:pPr>
              <w:spacing w:before="40" w:after="40" w:line="220" w:lineRule="exact"/>
              <w:jc w:val="center"/>
              <w:rPr>
                <w:sz w:val="20"/>
                <w:lang w:val="en-GB"/>
              </w:rPr>
            </w:pPr>
            <w:r>
              <w:rPr>
                <w:sz w:val="20"/>
                <w:lang w:val="en-GB"/>
              </w:rPr>
              <w:t>23</w:t>
            </w:r>
          </w:p>
        </w:tc>
      </w:tr>
    </w:tbl>
    <w:p w:rsidR="00000000" w:rsidRDefault="00000000">
      <w:pPr>
        <w:spacing w:before="120" w:line="480" w:lineRule="auto"/>
        <w:rPr>
          <w:sz w:val="20"/>
          <w:lang w:val="en-US"/>
        </w:rPr>
      </w:pPr>
      <w:r>
        <w:rPr>
          <w:sz w:val="20"/>
        </w:rPr>
        <w:t>Источник</w:t>
      </w:r>
      <w:r>
        <w:rPr>
          <w:sz w:val="20"/>
          <w:lang w:val="en-GB"/>
        </w:rPr>
        <w:t xml:space="preserve">: K. Zandvliet, </w:t>
      </w:r>
      <w:r>
        <w:rPr>
          <w:i/>
          <w:sz w:val="20"/>
          <w:lang w:val="en-GB"/>
        </w:rPr>
        <w:t>Women in senior positions, developing a benchmark</w:t>
      </w:r>
      <w:r>
        <w:rPr>
          <w:sz w:val="20"/>
          <w:lang w:val="en-GB"/>
        </w:rPr>
        <w:t xml:space="preserve">, </w:t>
      </w:r>
      <w:r>
        <w:rPr>
          <w:sz w:val="20"/>
        </w:rPr>
        <w:t>Гаага</w:t>
      </w:r>
      <w:r>
        <w:rPr>
          <w:sz w:val="20"/>
          <w:lang w:val="en-GB"/>
        </w:rPr>
        <w:t xml:space="preserve">, 2003 </w:t>
      </w:r>
      <w:r>
        <w:rPr>
          <w:sz w:val="20"/>
        </w:rPr>
        <w:t>год</w:t>
      </w:r>
      <w:r>
        <w:rPr>
          <w:sz w:val="20"/>
          <w:lang w:val="en-US"/>
        </w:rPr>
        <w:t>.</w:t>
      </w:r>
    </w:p>
    <w:p w:rsidR="00000000" w:rsidRDefault="00000000">
      <w:pPr>
        <w:pStyle w:val="Subtitle"/>
        <w:spacing w:before="200" w:after="0"/>
      </w:pPr>
      <w:r>
        <w:rPr>
          <w:lang w:val="en-US"/>
        </w:rPr>
        <w:t>iv</w:t>
      </w:r>
      <w:r>
        <w:t>.</w:t>
      </w:r>
      <w:r>
        <w:tab/>
        <w:t>Сеть "послов доброй воли"</w:t>
      </w:r>
    </w:p>
    <w:p w:rsidR="00000000" w:rsidRDefault="00000000">
      <w:pPr>
        <w:spacing w:before="160"/>
      </w:pPr>
      <w:r>
        <w:t>Сеть "послов доброй воли объединяет группу видных деятелей из государственного и частного секторов, которые берут на себя обязательство в течение года содействовать продвижению женщин по службе. Для достижения указанной цели они разрабатывают конкретные мероприятия, которые они планируют осуществлять в рамках своих компаний, секторов или сетей. Сеть "послов доброй воли" является совместной инициативой Министерства социальных дел и по вопросам занятости и Министерства по экономическим вопросам.</w:t>
      </w:r>
    </w:p>
    <w:p w:rsidR="00000000" w:rsidRDefault="00000000">
      <w:r>
        <w:t>В сфере внимания первой сети "послов доброй воли" был в основном сектор услуг, второй такой сети – проблема выдвижения женщин, обладающих специальными знаниями и опытом. В 2004 году будет организована третья сеть "послов доброй воли", которой будет поручена задача улучшения условий для продвижения женщин по службе.</w:t>
      </w:r>
    </w:p>
    <w:p w:rsidR="00000000" w:rsidRDefault="00000000">
      <w:pPr>
        <w:pStyle w:val="-2"/>
        <w:spacing w:before="720"/>
      </w:pPr>
      <w:r>
        <w:t>Статья 12:</w:t>
      </w:r>
      <w:r>
        <w:tab/>
        <w:t>Здравоохранение и социальное обеспечение</w:t>
      </w:r>
    </w:p>
    <w:p w:rsidR="00000000" w:rsidRDefault="00000000">
      <w:pPr>
        <w:pStyle w:val="Subtitle"/>
        <w:spacing w:before="480"/>
        <w:rPr>
          <w:sz w:val="23"/>
          <w:lang w:val="ru-RU"/>
        </w:rPr>
      </w:pPr>
      <w:r>
        <w:rPr>
          <w:sz w:val="23"/>
          <w:lang w:val="ru-RU"/>
        </w:rPr>
        <w:t>1.</w:t>
      </w:r>
      <w:r>
        <w:rPr>
          <w:sz w:val="23"/>
          <w:lang w:val="ru-RU"/>
        </w:rPr>
        <w:tab/>
        <w:t>Сексуальные и репродуктивные права</w:t>
      </w:r>
    </w:p>
    <w:p w:rsidR="00000000" w:rsidRDefault="00000000">
      <w:pPr>
        <w:spacing w:before="360"/>
      </w:pPr>
      <w:r>
        <w:t>Конвенция Организации Объединенных Наций о ликвидации всех форм дискриминации в отношении женщин содержит положения, призванные обеспечить защиту женщин от насилия. Эти положения включают сексуальные и репродуктивные права женщин, на основании которых женщины вправе самостоятельно принимать решение о рождении детей. Женщины имеют право сами определять свое сексуальное и репродуктивное поведение. Это право, являющееся одним из основных прав человека, имеет для женщин особое значение. Важнейшими предварительными условиями для его реализации являются доступность информации и наличие контрацептивных средств.</w:t>
      </w:r>
    </w:p>
    <w:p w:rsidR="00000000" w:rsidRDefault="00000000">
      <w:pPr>
        <w:pStyle w:val="Subtitle"/>
        <w:spacing w:before="480"/>
        <w:rPr>
          <w:lang w:val="ru-RU"/>
        </w:rPr>
      </w:pPr>
      <w:r>
        <w:rPr>
          <w:lang w:val="ru-RU"/>
        </w:rPr>
        <w:t>Случаи подростковой беременности</w:t>
      </w:r>
    </w:p>
    <w:p w:rsidR="00000000" w:rsidRDefault="00000000">
      <w:pPr>
        <w:spacing w:before="360"/>
      </w:pPr>
      <w:r>
        <w:t>Возраст, в котором женщины в Нидерландах рожают первого ребенка, отражает две противоположные тенденции. С одной стороны, средний возраст, в котором женщины рожают своего первого ребенка, вырос за период с 1970 по 2000 год с 24,2 до 29,1 года; 18 процентов женщин в настоящее время остаются бездетными. С другой стороны, цифры, касающиеся абортов, случаев подростковой беременности и числа матерей-подростков, за последние несколько лет возросли, особенно среди девушек из числа этнических меньшинств. Среди молодежи все большее распространение получает поведение, сопряженное с повышенным риском. Эта тенденция находит, к примеру, отражение в увеличении числа</w:t>
      </w:r>
      <w:r>
        <w:rPr>
          <w:lang w:val="ru-RU"/>
        </w:rPr>
        <w:t xml:space="preserve"> лиц с болезнями</w:t>
      </w:r>
      <w:r>
        <w:t>, передаваемыми половым путем (БППП), и нежелательных беременностей.</w:t>
      </w:r>
    </w:p>
    <w:p w:rsidR="00000000" w:rsidRDefault="00000000">
      <w:r>
        <w:t>В 2002 году была проведена конференция по теме "Матери-подростки или карьерный рост?", цель которой состояла в том, чтобы лучше понять условия и культурные различия, влияющие на тот или иной выбор. В ходе конференции были выработаны следующие основные рекомендации о необходимых действиях:</w:t>
      </w:r>
    </w:p>
    <w:p w:rsidR="00000000" w:rsidRDefault="00000000">
      <w:pPr>
        <w:ind w:left="680" w:hanging="680"/>
      </w:pPr>
      <w:r>
        <w:sym w:font="Symbol" w:char="F0B7"/>
      </w:r>
      <w:r>
        <w:tab/>
        <w:t>регулярное информирование девочек и мальчиков о взаимоотношениях мужчин и женщин и сексуальном поведении, начиная с шестого класса начальной школы;</w:t>
      </w:r>
    </w:p>
    <w:p w:rsidR="00000000" w:rsidRDefault="00000000">
      <w:pPr>
        <w:ind w:left="680" w:hanging="680"/>
      </w:pPr>
      <w:r>
        <w:sym w:font="Symbol" w:char="F0B7"/>
      </w:r>
      <w:r>
        <w:tab/>
        <w:t>меры по борьбе с подростковой беременностью;</w:t>
      </w:r>
    </w:p>
    <w:p w:rsidR="00000000" w:rsidRDefault="00000000">
      <w:pPr>
        <w:ind w:left="680" w:hanging="680"/>
      </w:pPr>
      <w:r>
        <w:sym w:font="Symbol" w:char="F0B7"/>
      </w:r>
      <w:r>
        <w:tab/>
        <w:t>распространение информации о рисках позднего выявления беременности;</w:t>
      </w:r>
    </w:p>
    <w:p w:rsidR="00000000" w:rsidRDefault="00000000">
      <w:pPr>
        <w:ind w:left="680" w:hanging="680"/>
      </w:pPr>
      <w:r>
        <w:sym w:font="Symbol" w:char="F0B7"/>
      </w:r>
      <w:r>
        <w:tab/>
        <w:t>поддержка на структурном уровне и создание приютов для беременных подростков и матерей-подростков;</w:t>
      </w:r>
    </w:p>
    <w:p w:rsidR="00000000" w:rsidRDefault="00000000">
      <w:pPr>
        <w:ind w:left="680" w:hanging="680"/>
      </w:pPr>
      <w:r>
        <w:sym w:font="Symbol" w:char="F0B7"/>
      </w:r>
      <w:r>
        <w:tab/>
        <w:t>меры, облегчающие возможность совмещения работы и ухода за детьми при организации услуг по уходу за детьми в качестве главного приоритета.</w:t>
      </w:r>
    </w:p>
    <w:p w:rsidR="00000000" w:rsidRDefault="00000000">
      <w:r>
        <w:t>Несмотря на то что число случаев подростковой беременности за последние три года стабилизировалось, а в 2003 году даже несколько сократилось, профилактика подростковой беременности остается в числе важнейших приоритетов. Был принят ряд мер для оказания помощи в предупреждении нежелательной беременности. Во-первых, проводятся исследования по выявлению основных причин подростковой беременности. Результаты данного исследования будут использоваться для разработки мероприятий и совершенствования стратегий в области профилактики. Кроме того, проводятся кампании, конкретно ориентированные на молодежь. В связи с этим в рамках программы охраны здоровья учащихся школ разрабатывается многолетняя программа, одним из важнейших элементов которой являются меры, призванные побуждать подростков к здоровому сексуальному поведению. Кроме того, необходимо создать достаточное число убежищ для матерей-подростков и беременных девушек-подростков. Беженцы, относящиеся к этим группам, подпадают под общую классификацию беженцев-женщин, и ответственность за них несут муниципальные власти, которые получают целевое финансирование для оказания помощи таким беженцам. В последние годы средства, направляемые на расширение возможностей беженцев-женщин, были увеличены (ожидается, что к 2007 году их размер достигнет своего пика в 4 млн. евро)</w:t>
      </w:r>
      <w:r>
        <w:rPr>
          <w:rStyle w:val="FootnoteReference"/>
          <w:sz w:val="22"/>
        </w:rPr>
        <w:footnoteReference w:customMarkFollows="1" w:id="61"/>
        <w:t>60</w:t>
      </w:r>
      <w:r>
        <w:t>.</w:t>
      </w:r>
    </w:p>
    <w:p w:rsidR="00000000" w:rsidRDefault="00000000">
      <w:pPr>
        <w:pStyle w:val="Subtitle"/>
        <w:spacing w:before="480"/>
        <w:rPr>
          <w:lang w:val="ru-RU"/>
        </w:rPr>
      </w:pPr>
      <w:r>
        <w:rPr>
          <w:lang w:val="ru-RU"/>
        </w:rPr>
        <w:t>Обеспечение репродуктивных прав беженцев</w:t>
      </w:r>
    </w:p>
    <w:p w:rsidR="00000000" w:rsidRDefault="00000000">
      <w:pPr>
        <w:spacing w:before="360"/>
      </w:pPr>
      <w:r>
        <w:t>Министерство иностранных дел участвует в многосторонних и двусторонних стратегических переговорах с целью включения соответствующих положений в политику и программы и повышения информированности организаций и их партнеров о данной проблеме. Цель обеспечения репродуктивных прав беженцев включена в программы многостороннего сотрудничества с такими учреждениями, как ЮНФПА, УВКБ ООН и ЮНИСЕФ. Этот факт находит отражение в докладах ЮНФПА, подготовленных после землетрясения в Герате, в той помощи, которая была оказана беженцам в Афганистане. Шаги по обеспечению того, чтобы данная цель ставилась на национальном уровне в соответствующих странах, предпринимают посольства страны (например, в Шри-Ланке и Индонезии). Данная тема была включена в повестку дня совещания экспертов по вопросам здравоохранения в 2002 году, где ей уделялось особое внимание. Она также была включена в повестку дня совещаний, организованных Министерством иностранных дел со своими НПО-партнерами. Репродуктивное здоровье и права беженцев являются важными критериями при выборе программ и проектов чрезвычайной помощи для финансирования.</w:t>
      </w:r>
    </w:p>
    <w:p w:rsidR="00000000" w:rsidRDefault="00000000">
      <w:pPr>
        <w:pStyle w:val="Subtitle"/>
        <w:rPr>
          <w:sz w:val="23"/>
          <w:lang w:val="ru-RU"/>
        </w:rPr>
      </w:pPr>
      <w:r>
        <w:rPr>
          <w:sz w:val="23"/>
          <w:lang w:val="ru-RU"/>
        </w:rPr>
        <w:t>2.</w:t>
      </w:r>
      <w:r>
        <w:rPr>
          <w:sz w:val="23"/>
          <w:lang w:val="ru-RU"/>
        </w:rPr>
        <w:tab/>
        <w:t>Особые категории</w:t>
      </w:r>
    </w:p>
    <w:p w:rsidR="00000000" w:rsidRDefault="00000000">
      <w:pPr>
        <w:pStyle w:val="Subtitle"/>
        <w:rPr>
          <w:lang w:val="ru-RU"/>
        </w:rPr>
      </w:pPr>
      <w:r>
        <w:rPr>
          <w:lang w:val="ru-RU"/>
        </w:rPr>
        <w:t>Вопросы совмещения трудовой деятельности и обязанностей по уходу и женщины старшего возраста</w:t>
      </w:r>
    </w:p>
    <w:p w:rsidR="00000000" w:rsidRDefault="00000000">
      <w:r>
        <w:t xml:space="preserve">Проект по содействию совмещению трудовой деятельности и обязанностей по уходу был в первую очередь посвящен вопросам совмещения оплачиваемой работы и функций по уходу за детьми, и поэтому в его рамках женщинам </w:t>
      </w:r>
      <w:r>
        <w:rPr>
          <w:lang w:val="ru-RU"/>
        </w:rPr>
        <w:t xml:space="preserve">старшего </w:t>
      </w:r>
      <w:r>
        <w:t xml:space="preserve">возраста не уделялось целенаправленного внимания. Вместе с тем ряд экспериментов имели особое отношение к женщинам </w:t>
      </w:r>
      <w:r>
        <w:rPr>
          <w:lang w:val="ru-RU"/>
        </w:rPr>
        <w:t xml:space="preserve">старшего </w:t>
      </w:r>
      <w:r>
        <w:t>возраста, включая проект поставщиков семейных услуг, организованный центром "</w:t>
      </w:r>
      <w:r>
        <w:rPr>
          <w:lang w:val="en-US"/>
        </w:rPr>
        <w:t>De</w:t>
      </w:r>
      <w:r>
        <w:t xml:space="preserve"> </w:t>
      </w:r>
      <w:r>
        <w:rPr>
          <w:lang w:val="en-US"/>
        </w:rPr>
        <w:t>Balans</w:t>
      </w:r>
      <w:r>
        <w:t>" в рамках проекта неофициальных услуг в области ухода и помощи в экстренных ситуациях в Бодегравене.</w:t>
      </w:r>
    </w:p>
    <w:p w:rsidR="00000000" w:rsidRDefault="00000000">
      <w:r>
        <w:t>Лица, ухаживающие за пожилыми людьми, помимо таких повседневных обязанностей выполняют еще и большой объем оплачиваемой работы. В связи с этим фонд "</w:t>
      </w:r>
      <w:r>
        <w:rPr>
          <w:lang w:val="en-US"/>
        </w:rPr>
        <w:t>De</w:t>
      </w:r>
      <w:r>
        <w:t xml:space="preserve"> </w:t>
      </w:r>
      <w:r>
        <w:rPr>
          <w:lang w:val="en-US"/>
        </w:rPr>
        <w:t>Stromen</w:t>
      </w:r>
      <w:r>
        <w:t>" принял решение создать в регионе Роттердама и Риддеркерка центр услуг по уходу, представляющий с</w:t>
      </w:r>
      <w:r>
        <w:rPr>
          <w:lang w:val="ru-RU"/>
        </w:rPr>
        <w:t>о</w:t>
      </w:r>
      <w:r>
        <w:t>бой малое предприятие, обеспечивающее уход, добрые услуги и поддержку для пожилых людей. Это помогает облегчить нагрузку для лиц, осуществляющих уход и помимо этого имеющих оплачиваемую работу. План состоит в том, чтобы создать специальную службу, имеющую компетентный кадровый состав и инструменты оценки. Возможность предоставления дополнительных услуг обеспечат механизмы сотрудничества и система оплаты труда.</w:t>
      </w:r>
    </w:p>
    <w:p w:rsidR="00000000" w:rsidRDefault="00000000">
      <w:r>
        <w:t>В конечном счете будет подготовлен деловой проект для оснащенных всем необходимым служб, который будет реализован в Роттердаме и Риддеркерке с использованием требуемого персонала и на основе соответствующей правовой базы. Затем такая служба может быть воспроизведена другими организациями, занимающимися вопросами из сферы ухода.</w:t>
      </w:r>
    </w:p>
    <w:p w:rsidR="00000000" w:rsidRDefault="00000000">
      <w:r>
        <w:t>В последние годы был реализован целый ряд проектов по оказанию помощи пожилым людям из числа этнических меньшинств, включая:</w:t>
      </w:r>
    </w:p>
    <w:p w:rsidR="00000000" w:rsidRDefault="00000000">
      <w:pPr>
        <w:spacing w:before="120"/>
        <w:ind w:left="680" w:hanging="680"/>
      </w:pPr>
      <w:r>
        <w:sym w:font="Symbol" w:char="F0B7"/>
      </w:r>
      <w:r>
        <w:tab/>
        <w:t>проект "Золотые правила", в рамках которого людей старшего возраста информируют о существующих финансовых программах и консультируют в отношении того, как им лучше использовать имеющиеся у них ограниченные средства, был приспособлен к использованию в интересах групп пожилых людей из числа этнических меньшинств;</w:t>
      </w:r>
    </w:p>
    <w:p w:rsidR="00000000" w:rsidRDefault="00000000">
      <w:pPr>
        <w:spacing w:before="120"/>
        <w:ind w:left="680" w:hanging="680"/>
      </w:pPr>
      <w:r>
        <w:sym w:font="Symbol" w:char="F0B7"/>
      </w:r>
      <w:r>
        <w:tab/>
        <w:t>в результате осуществления проекта "</w:t>
      </w:r>
      <w:r>
        <w:rPr>
          <w:lang w:val="en-US"/>
        </w:rPr>
        <w:t>Pendula</w:t>
      </w:r>
      <w:r>
        <w:t xml:space="preserve">", организованного для женщин </w:t>
      </w:r>
      <w:r>
        <w:rPr>
          <w:lang w:val="ru-RU"/>
        </w:rPr>
        <w:t xml:space="preserve">старшего </w:t>
      </w:r>
      <w:r>
        <w:t>возраста, в ряде городов провинции Северный Брабант был создан институт посредников для представителей этнических меньшинств. В программу регионального центра профессиональной подготовки с 2002 года был даже добавлен курс обучения такой посреднической деятельности. Сам проект завершился в 1999 году.</w:t>
      </w:r>
    </w:p>
    <w:p w:rsidR="00000000" w:rsidRDefault="00000000">
      <w:pPr>
        <w:pStyle w:val="Subtitle"/>
        <w:rPr>
          <w:lang w:val="ru-RU"/>
        </w:rPr>
      </w:pPr>
      <w:r>
        <w:rPr>
          <w:lang w:val="ru-RU"/>
        </w:rPr>
        <w:t>Гомосексуалисты и лесбиянки пожилого возраста</w:t>
      </w:r>
    </w:p>
    <w:p w:rsidR="00000000" w:rsidRDefault="00000000">
      <w:r>
        <w:t>В последние годы в дополнение к традиционной деятельности Нидерландской ассоциации по интеграции гомосексуализма (СОС) и Фонда Шорера с помощью двух проектов также предпринимались попытки улучшить положение пожилых</w:t>
      </w:r>
      <w:r>
        <w:rPr>
          <w:lang w:val="ru-RU"/>
        </w:rPr>
        <w:t xml:space="preserve"> гомосексуалистов и лесбиянок в обществе</w:t>
      </w:r>
      <w:r>
        <w:t>.</w:t>
      </w:r>
    </w:p>
    <w:p w:rsidR="00000000" w:rsidRDefault="00000000">
      <w:r>
        <w:t>Кроме того, был организован проект, призванный улучшить качество ухода за пациентами в домах для престарелых. Этот проект под названием "</w:t>
      </w:r>
      <w:r>
        <w:rPr>
          <w:lang w:val="en-US"/>
        </w:rPr>
        <w:t>Roze</w:t>
      </w:r>
      <w:r>
        <w:t xml:space="preserve"> </w:t>
      </w:r>
      <w:r>
        <w:rPr>
          <w:lang w:val="en-US"/>
        </w:rPr>
        <w:t>Rimpels</w:t>
      </w:r>
      <w:r>
        <w:t>" ("Розовое с морщинами") осуществляется в Роттердаме и в его рамках открыты курсы профессиональной подготовки для сотрудников. Эти курсы помогают персоналу понять и признать права гомосексуалистов и лесбиянок и дать возможность пациентам быть самими собой. Такие курсы в рамках этого проекта были открыты в 2003 году после соответствующего подготовительного периода.</w:t>
      </w:r>
    </w:p>
    <w:p w:rsidR="00000000" w:rsidRDefault="00000000">
      <w:r>
        <w:t>Проект под названием "</w:t>
      </w:r>
      <w:r>
        <w:rPr>
          <w:lang w:val="en-US"/>
        </w:rPr>
        <w:t>Rimpels</w:t>
      </w:r>
      <w:r>
        <w:t xml:space="preserve"> </w:t>
      </w:r>
      <w:r>
        <w:rPr>
          <w:lang w:val="en-US"/>
        </w:rPr>
        <w:t>in</w:t>
      </w:r>
      <w:r>
        <w:t xml:space="preserve"> </w:t>
      </w:r>
      <w:r>
        <w:rPr>
          <w:lang w:val="en-US"/>
        </w:rPr>
        <w:t>de</w:t>
      </w:r>
      <w:r>
        <w:t xml:space="preserve"> </w:t>
      </w:r>
      <w:r>
        <w:rPr>
          <w:lang w:val="en-US"/>
        </w:rPr>
        <w:t>Regenboog</w:t>
      </w:r>
      <w:r>
        <w:t xml:space="preserve">" ("Морщины на радуге"), который осуществлялся с 2000 по 2002 год, завершился публикацией справочника для заинтересованных местных групп и муниципалитетов. В данной брошюре содержатся предложения, касающиеся принятия мер на местном уровне по поощрению активного участия пожилых гомосексуалистов и лесбиянок в жизни общества. В своей деятельности СОС опирается на результаты этого проекта и доводит </w:t>
      </w:r>
      <w:r>
        <w:rPr>
          <w:lang w:val="ru-RU"/>
        </w:rPr>
        <w:t xml:space="preserve">их </w:t>
      </w:r>
      <w:r>
        <w:t>до сведения своих местных отделений. В городах, участвующих в реализации данного пилотного проекта, эти усилия способствовали созданию сетей местных гомосексуалистов и лесбиянок и местных социальных учреждений.</w:t>
      </w:r>
    </w:p>
    <w:p w:rsidR="00000000" w:rsidRDefault="00000000">
      <w:r>
        <w:t>Потребности лесбиянок и гомосексуалистов пожилого возраста в уходе являлись предметом исследования, проведенного Ратгеровской группой "Ниссо" в 2002–2003 годах под названием "</w:t>
      </w:r>
      <w:r>
        <w:rPr>
          <w:lang w:val="en-US"/>
        </w:rPr>
        <w:t>Vrolijke</w:t>
      </w:r>
      <w:r>
        <w:t xml:space="preserve"> </w:t>
      </w:r>
      <w:r>
        <w:rPr>
          <w:lang w:val="en-US"/>
        </w:rPr>
        <w:t>Herfst</w:t>
      </w:r>
      <w:r>
        <w:t>" ("Счастливая осень"). В данном исследовании было четко отображена картина ухода за пожилыми гомосексуалистами и лесбиянками глазами самих пожилых людей и работников учреждений по уходу. Лица, осуществляющие уход, могут воспользоваться этими результатами исследования, для того чтобы способствовать большей доступности их соответствующих организаций.</w:t>
      </w:r>
    </w:p>
    <w:p w:rsidR="00000000" w:rsidRDefault="00000000">
      <w:pPr>
        <w:pStyle w:val="Subtitle"/>
        <w:rPr>
          <w:lang w:val="ru-RU"/>
        </w:rPr>
      </w:pPr>
      <w:r>
        <w:rPr>
          <w:lang w:val="ru-RU"/>
        </w:rPr>
        <w:t>Женщины из числа этнических меньшинств и здравоохранение</w:t>
      </w:r>
    </w:p>
    <w:p w:rsidR="00000000" w:rsidRDefault="00000000">
      <w:r>
        <w:t>16 марта 2004 года министр здравоохранения направил в парламент программный меморандум под названием "Этнические меньшинства и здравоохранение". В этом меморандуме были представлены выводы исследования, посвященного данному вопросу, которые рисовали подробную и неоднородную картину.</w:t>
      </w:r>
    </w:p>
    <w:p w:rsidR="00000000" w:rsidRDefault="00000000">
      <w:r>
        <w:t>Проводимая министром политика направлена на передачу ответственности за решение проблем этнических меньшинств в области охраны здоровья в ведение местных органов власти, которые находятся в лучшей ситуации для поиска практических решений. Перемены не могут быть навязаны сверху, а должны инициироваться рядовыми гражданами, организациями и специалистами в данной области. Именно так перемены происходят в реальной жизни. В Нидерландах имеется большое число национальных и местных проектов, инициатив и мероприятий, направленных на улучшение качества ухода за выходцами из этнических меньшинств.</w:t>
      </w:r>
    </w:p>
    <w:p w:rsidR="00000000" w:rsidRDefault="00000000">
      <w:r>
        <w:t xml:space="preserve">Существует множество нюансов, характеризующих состояние здоровья мужчин и женщин из числа этнических меньшинств. Среди некоторых групп этнических меньшинств, по сути, отмечается более высокая продолжительность жизни, чем среди этнических голландцев. Однако что касается факторов, ставящих под угрозу здоровье человека, то здесь наблюдается совершенно иная картина. С точки зрения питания, табакокурения и употребления алкоголя этническим общинам свойственны более здоровые привычки, однако в плане наркомании и участия в занятиях спортом среди них прослеживаются обратные тенденции. Лица из числа этнических меньшинств меньше страдают от высокого уровня холестерина, но при этом чаще сталкиваются с проблемами высокого кровяного давления и ожирения. Все эти показатели различаются в зависимости от той или иной конкретной этнической группы, пола и возраста (так, например, результаты недавних исследований показывают, что около 90 процентов женщин турецкого происхождения, проживающие в Амстердаме, страдают от избыточного веса). </w:t>
      </w:r>
    </w:p>
    <w:p w:rsidR="00000000" w:rsidRDefault="00000000">
      <w:r>
        <w:t>Доступ этнических меньшинств к услугам по уходу является вполне удовлетворительным, однако порядок использования таких услуг лицами из числа этнических меньшинств несколько отличается от того, как их используют этнические голландцы. Имеются данные об относительно небольшом участии женщин – выходцев из Турции и Марокко в регулярных обследованиях на предмет выявления заболевания раком молочной железы, а также относительно низкого коэффициента охвата женщин – выходцев из Марокко и Антильских островов в обследованиях на предмет обнаружения рака шейки матки. Женщины турецкого и марокканского происхождения в основном рожают в больницах, в то время как роды на дому в большей степени распространены среди женщин</w:t>
      </w:r>
      <w:r>
        <w:rPr>
          <w:lang w:val="ru-RU"/>
        </w:rPr>
        <w:t xml:space="preserve"> – </w:t>
      </w:r>
      <w:r>
        <w:t>этнических голланд</w:t>
      </w:r>
      <w:r>
        <w:rPr>
          <w:lang w:val="ru-RU"/>
        </w:rPr>
        <w:t>цев</w:t>
      </w:r>
      <w:r>
        <w:t>.</w:t>
      </w:r>
    </w:p>
    <w:p w:rsidR="00000000" w:rsidRDefault="00000000">
      <w:r>
        <w:t>По-прежнему важно, чтобы специалисты, работающие в данной области, продолжали активно сотрудничать с этническими меньшинствами; с 2004 по 2007 год включительно на эти цели будут выделены необходимые средства (в пределах 150 тыс. евро в год). За ситуацией в данной области будет осуществляться самый тщательный контроль.</w:t>
      </w:r>
    </w:p>
    <w:p w:rsidR="00000000" w:rsidRDefault="00000000">
      <w:pPr>
        <w:pStyle w:val="Subtitle"/>
        <w:rPr>
          <w:sz w:val="23"/>
          <w:lang w:val="ru-RU"/>
        </w:rPr>
      </w:pPr>
      <w:r>
        <w:rPr>
          <w:sz w:val="23"/>
          <w:lang w:val="ru-RU"/>
        </w:rPr>
        <w:t>3.</w:t>
      </w:r>
      <w:r>
        <w:rPr>
          <w:sz w:val="23"/>
          <w:lang w:val="ru-RU"/>
        </w:rPr>
        <w:tab/>
        <w:t>Борьба с ВИЧ/СПИДом</w:t>
      </w:r>
    </w:p>
    <w:p w:rsidR="00000000" w:rsidRDefault="00000000">
      <w:r>
        <w:t>В Нидерландах борьба с ВИЧ/СПИДом осуществляется параллельно с усилиями по борьбе с другими болезнями, передаваемыми половым путем (БППП), такими как хламидиоз, гонорея и сифилис. Число новых случаев заболевания БППП за последние три года существенно увеличилось. Для борьбы с ВИЧ/СПИДом и другими БППП необходимы дополнительные усилия и меры, о которых уже было объявлено.</w:t>
      </w:r>
    </w:p>
    <w:p w:rsidR="00000000" w:rsidRDefault="00000000">
      <w:r>
        <w:t>Главные задачи политики Нидерландов в области борьбы с ВИЧ/СПИДом и БППП включают следующее:</w:t>
      </w:r>
    </w:p>
    <w:p w:rsidR="00000000" w:rsidRDefault="00000000">
      <w:pPr>
        <w:spacing w:before="200"/>
        <w:ind w:left="680" w:hanging="680"/>
      </w:pPr>
      <w:r>
        <w:t>1.</w:t>
      </w:r>
      <w:r>
        <w:tab/>
        <w:t>сокращение числа новых случаев заболевания путем информирования общественности, включения информации о здоровом сексуальном поведении в политику в области школьного образования, осуществления программ профилактики, ориентированных на группы повышенного риска, проведения санитарно-гигиенических мероприятий, осмотров беременных женщин и осмотров доноров крови и принятия мер для уменьшения возможного вреда, включая программы обмена использованных игл для шприцев на новые;</w:t>
      </w:r>
    </w:p>
    <w:p w:rsidR="00000000" w:rsidRDefault="00000000">
      <w:pPr>
        <w:spacing w:before="200"/>
        <w:ind w:left="680" w:hanging="680"/>
      </w:pPr>
      <w:r>
        <w:t>2.</w:t>
      </w:r>
      <w:r>
        <w:tab/>
        <w:t>совершенствование механизмов выявления и лечения (активная политика тестирования) с помощью метода пороговых анализов и лечебных учреждений и повышения осведомленности групп соответствующих специалистов об активной политике тестирования;</w:t>
      </w:r>
    </w:p>
    <w:p w:rsidR="00000000" w:rsidRDefault="00000000">
      <w:pPr>
        <w:ind w:left="680" w:hanging="680"/>
      </w:pPr>
      <w:r>
        <w:t>3.</w:t>
      </w:r>
      <w:r>
        <w:tab/>
        <w:t>ликвидация негативных в социальном отношении последствий выявления положительной реакции на ВИЧ, таких как стигматизация и изоляция соответствующих лиц от общества;</w:t>
      </w:r>
    </w:p>
    <w:p w:rsidR="00000000" w:rsidRDefault="00000000">
      <w:pPr>
        <w:ind w:left="680" w:hanging="680"/>
      </w:pPr>
      <w:r>
        <w:t>4.</w:t>
      </w:r>
      <w:r>
        <w:tab/>
        <w:t>обеспечение ухода за ВИЧ-инфицированными или больными СПИДом: лечение может осуществляться только в специальных государственных центрах лечения ВИЧ-инфицированных, для того чтобы можно было гарантировать высокое качество медицинского обслуживания.</w:t>
      </w:r>
    </w:p>
    <w:p w:rsidR="00000000" w:rsidRDefault="00000000">
      <w:r>
        <w:t>Деятельность Нидерландов в области сотрудничества в целях развития всегда играла важную роль, страна продолжает выполнять важную функцию в области охраны сексуального и репродуктивного здоровья и прав, осуществление которых, помимо борьбы с ВИЧ/СПИДом, считается приоритетным направлением сотрудничества в области развития.</w:t>
      </w:r>
    </w:p>
    <w:p w:rsidR="00000000" w:rsidRDefault="00000000">
      <w:pPr>
        <w:spacing w:before="360"/>
        <w:rPr>
          <w:i/>
        </w:rPr>
      </w:pPr>
      <w:r>
        <w:rPr>
          <w:i/>
        </w:rPr>
        <w:t>Лица, оказывающие платные сексуальные услуги</w:t>
      </w:r>
    </w:p>
    <w:p w:rsidR="00000000" w:rsidRDefault="00000000">
      <w:pPr>
        <w:spacing w:before="360"/>
      </w:pPr>
      <w:r>
        <w:t>В Нидерландах проституция считается законным видом занятости. Соответственно, на данный сектор распространяются общие положения законодательства, касающиеся условий и гигиены труда. При этом проститутки и их клиенты являются объектами специальных программ профилактики. Муниципальные органы власти в официальном порядке обязаны консультировать сотрудников и владельцев публичных домов по вопросам гигиены. Центральную роль в рамках усилий по профилактике распространения ВИЧ среди лиц, оказывающих платные сексуальные услуги</w:t>
      </w:r>
      <w:r>
        <w:rPr>
          <w:lang w:val="ru-RU"/>
        </w:rPr>
        <w:t>,</w:t>
      </w:r>
      <w:r>
        <w:t xml:space="preserve"> и их клиентов играет обязательное использование презервативов. Ответственность за распространение информации о безопасном сексе среди проституток и их клиентов несут местные органы власти. С другой стороны, принятие мер предосторожности во время сексуальных контактов решается гражданами в индивидуальном порядке. С учетом сложной ситуации местные усилия по предупреждению передачи ВИЧ и других БППП в рамках сектора проституции дополняются общенациональными акциями, организуемыми нидерландской неправительственной организацией "СОА СПИД". Меры профилактики ориентированы на проституток из числа мигрантов, мужчин, занимающихся проституцией, уличных проституток, трансвеститов и транссексуалов, а также на клиентов проституток.</w:t>
      </w:r>
    </w:p>
    <w:p w:rsidR="00000000" w:rsidRDefault="00000000">
      <w:pPr>
        <w:spacing w:before="360"/>
        <w:rPr>
          <w:i/>
        </w:rPr>
      </w:pPr>
      <w:r>
        <w:rPr>
          <w:i/>
        </w:rPr>
        <w:t>Молодежь</w:t>
      </w:r>
    </w:p>
    <w:p w:rsidR="00000000" w:rsidRDefault="00000000">
      <w:pPr>
        <w:spacing w:before="360"/>
      </w:pPr>
      <w:r>
        <w:t>Являясь потенциально активной сексуальной группой, молодые люди (как юноши, так и девушки) являются главным объектом усилий правительства Нидерландов по поощрению практики безопасного секса. С упором на молодежь была проведена общенациональная кампания под названием "Или безопасный секс, или никакого секса", в рамках которой использование презерватива представлялось как норма. Практически во всех школах преподается предмет "Половое воспитание", а также распространяется информация по вопросам предупреждения передачи БППП. Были подготовлены специальные материалы на нескольких языках, опубликованы специальные брошюры, на веб-сайте и по телефону распространялась соответствующая информация. В 2004 году будут подготовлены материалы по вопросам сексуальной жизни и формирования отношений; их планируется использовать для просвещения в области здорового образа жизни.</w:t>
      </w:r>
    </w:p>
    <w:p w:rsidR="00000000" w:rsidRDefault="00000000">
      <w:pPr>
        <w:rPr>
          <w:i/>
        </w:rPr>
      </w:pPr>
      <w:r>
        <w:rPr>
          <w:i/>
        </w:rPr>
        <w:t>Беременные женщины</w:t>
      </w:r>
    </w:p>
    <w:p w:rsidR="00000000" w:rsidRDefault="00000000">
      <w:pPr>
        <w:spacing w:before="360"/>
      </w:pPr>
      <w:r>
        <w:t>Уход за беременными женщинами включает проведение стандартных осмотров всех женщин для выявления различных заболеваний, в том числе вирусного гепатита В и сифилиса, а с января 2004 года – ВИЧ. Если результаты анализов показывают, что женщина является ВИЧ-инфицированной, ее направляют в специализированный центр для обеспечения необходимым уходом. Помимо этого принимаются меры (в том числе осуществляется противоретровирусная терапия) в целях предупреждения передачи вируса от матери ребенку.</w:t>
      </w:r>
    </w:p>
    <w:p w:rsidR="00000000" w:rsidRDefault="00000000">
      <w:pPr>
        <w:pStyle w:val="Subtitle"/>
        <w:rPr>
          <w:sz w:val="23"/>
          <w:lang w:val="ru-RU"/>
        </w:rPr>
      </w:pPr>
      <w:r>
        <w:rPr>
          <w:sz w:val="23"/>
          <w:lang w:val="ru-RU"/>
        </w:rPr>
        <w:t>4.</w:t>
      </w:r>
      <w:r>
        <w:rPr>
          <w:sz w:val="23"/>
          <w:lang w:val="ru-RU"/>
        </w:rPr>
        <w:tab/>
        <w:t>Употребление наркотиков и алкоголя</w:t>
      </w:r>
    </w:p>
    <w:p w:rsidR="00000000" w:rsidRDefault="00000000">
      <w:pPr>
        <w:spacing w:before="360"/>
      </w:pPr>
      <w:r>
        <w:t>Никакой статистики, которая отражала бы картину никотиновой зависимости женщин, не ведется, хотя данные о распространенности табакокурения среди женщин существуют. При этом Нидерланды в течение многих лет ведут и анализируют статистику, касающуюся алкогольной зависимости.</w:t>
      </w:r>
    </w:p>
    <w:p w:rsidR="00000000" w:rsidRDefault="00000000">
      <w:pPr>
        <w:spacing w:before="360"/>
        <w:rPr>
          <w:i/>
        </w:rPr>
      </w:pPr>
      <w:r>
        <w:rPr>
          <w:i/>
        </w:rPr>
        <w:t>Табакокурение</w:t>
      </w:r>
    </w:p>
    <w:p w:rsidR="00000000" w:rsidRDefault="00000000">
      <w:pPr>
        <w:spacing w:before="360"/>
      </w:pPr>
      <w:r>
        <w:t>В 2002 году 28 процентов женщин в возрасте старше 15 лет практиковали табакокурение (по сравнению с 34 процентами мужчин в возрасте старше 15 лет). Среди женщин 16,9 процента выкуривали больше 20 сигарет в день (среди мужчин – 11 процентов). Доля активных курильщиков за последние несколько лет снизилась как среди мужчин, так и среди женщин. Вместе с тем из-за общего увеличения числа курящих женщин доля женщин, умерших от рака легких также возросла (35 на 100 000 женщин в 2001 году по сравнению с 20 в 1990 году). С другой стороны, коэффициент смертности от рака легких среди мужчин существенно снизился</w:t>
      </w:r>
      <w:r>
        <w:rPr>
          <w:rStyle w:val="FootnoteReference"/>
          <w:sz w:val="22"/>
        </w:rPr>
        <w:footnoteReference w:customMarkFollows="1" w:id="62"/>
        <w:t>61</w:t>
      </w:r>
      <w:r>
        <w:t>.</w:t>
      </w:r>
    </w:p>
    <w:p w:rsidR="00000000" w:rsidRDefault="00000000">
      <w:pPr>
        <w:spacing w:before="360"/>
        <w:rPr>
          <w:i/>
        </w:rPr>
      </w:pPr>
      <w:r>
        <w:rPr>
          <w:i/>
        </w:rPr>
        <w:t>Употребление алкоголя</w:t>
      </w:r>
    </w:p>
    <w:p w:rsidR="00000000" w:rsidRDefault="00000000">
      <w:pPr>
        <w:spacing w:before="360"/>
      </w:pPr>
      <w:r>
        <w:t>В 2002 году четверть пациентов, обратившихся за помощью в клиники по лечению алкогольной зависимости, были женщинами. При этом женщины составляют большое число среди пациентов этих клиник, хотя процент больных алкоголизмом мужчин гораздо выше. Поэтому очевидно, что женщины, страдающие алкогольной зависимостью, чаще обращаются в специальные учреждения за помощью. Проблем</w:t>
      </w:r>
      <w:r>
        <w:rPr>
          <w:lang w:val="ru-RU"/>
        </w:rPr>
        <w:t>а</w:t>
      </w:r>
      <w:r>
        <w:t xml:space="preserve"> алкоголизма затрагивает 15 процентов мужского населения Нидерландов и 3 процента женского населения страны</w:t>
      </w:r>
      <w:r>
        <w:rPr>
          <w:rStyle w:val="FootnoteReference"/>
          <w:sz w:val="22"/>
        </w:rPr>
        <w:footnoteReference w:customMarkFollows="1" w:id="63"/>
        <w:t>62</w:t>
      </w:r>
      <w:r>
        <w:t>.</w:t>
      </w:r>
    </w:p>
    <w:p w:rsidR="00000000" w:rsidRDefault="00000000">
      <w:pPr>
        <w:pStyle w:val="-2"/>
        <w:keepNext/>
        <w:pageBreakBefore/>
        <w:spacing w:before="0"/>
      </w:pPr>
      <w:r>
        <w:t>Статья 14:</w:t>
      </w:r>
      <w:r>
        <w:tab/>
        <w:t>Женщины и устойчивое развитие</w:t>
      </w:r>
    </w:p>
    <w:p w:rsidR="00000000" w:rsidRDefault="00000000">
      <w:pPr>
        <w:pStyle w:val="Subtitle"/>
        <w:ind w:left="680" w:hanging="680"/>
        <w:rPr>
          <w:sz w:val="23"/>
          <w:lang w:val="ru-RU"/>
        </w:rPr>
      </w:pPr>
      <w:r>
        <w:rPr>
          <w:sz w:val="23"/>
          <w:lang w:val="ru-RU"/>
        </w:rPr>
        <w:t>1.</w:t>
      </w:r>
      <w:r>
        <w:rPr>
          <w:sz w:val="23"/>
          <w:lang w:val="ru-RU"/>
        </w:rPr>
        <w:tab/>
        <w:t>Совмещение оплачиваемой работы и обязанностей по уходу и территориальное развитие</w:t>
      </w:r>
    </w:p>
    <w:p w:rsidR="00000000" w:rsidRDefault="00000000">
      <w:r>
        <w:t>В 2001 году Управление социального и культурного планирования провело предварительное исследование о том, как и насколько время начала работы в Нидерландах соотносится с продолжительностью рабочего дня и другими факторами</w:t>
      </w:r>
      <w:r>
        <w:rPr>
          <w:rStyle w:val="FootnoteReference"/>
          <w:sz w:val="22"/>
        </w:rPr>
        <w:footnoteReference w:customMarkFollows="1" w:id="64"/>
        <w:t>63</w:t>
      </w:r>
      <w:r>
        <w:t>. Выводы данного исследования использовались при разработке новой программы мониторинга в связи с продолжительностью рабочего времени. Они также использовались в рамках исследования по данной теме ("</w:t>
      </w:r>
      <w:r>
        <w:rPr>
          <w:lang w:val="en-US"/>
        </w:rPr>
        <w:t>Visie</w:t>
      </w:r>
      <w:r>
        <w:t xml:space="preserve"> </w:t>
      </w:r>
      <w:r>
        <w:rPr>
          <w:lang w:val="en-US"/>
        </w:rPr>
        <w:t>op</w:t>
      </w:r>
      <w:r>
        <w:t xml:space="preserve"> </w:t>
      </w:r>
      <w:r>
        <w:rPr>
          <w:lang w:val="en-US"/>
        </w:rPr>
        <w:t>Tijden</w:t>
      </w:r>
      <w:r>
        <w:t>), организованного в конце 2002 года, в котором различные государственные органы и социальные партнеры определили исходные рамки "политики в области использования рабочего времени".</w:t>
      </w:r>
    </w:p>
    <w:p w:rsidR="00000000" w:rsidRDefault="00000000">
      <w:r>
        <w:t>Благодаря экспериментальным исследованиям были разработаны модели малых предприятий по оказанию услуг по уходу. Эти предприятия занимаются оказанием мелкомасштабных услуг по уходу в дневное время в сельских районах и по временному уходу за пожилыми людьми, которые в противном случае были бы вынуждены зависеть от добровольной помощи. Особое внимание при этом уделяется самостоятельным предприятиям, деятельность которых ориентирована главным образом на этнически</w:t>
      </w:r>
      <w:r>
        <w:rPr>
          <w:lang w:val="ru-RU"/>
        </w:rPr>
        <w:t>е</w:t>
      </w:r>
      <w:r>
        <w:t xml:space="preserve"> меньшинств</w:t>
      </w:r>
      <w:r>
        <w:rPr>
          <w:lang w:val="ru-RU"/>
        </w:rPr>
        <w:t>а</w:t>
      </w:r>
      <w:r>
        <w:t xml:space="preserve">. С учетом многообразия целевых групп был организован ряд совещаний экспертов по темам "Влияние культуры", "Многообразие в области совмещения работы и обязанностей по уходу", "Спортивные сооружения и учреждения по уходу за детьми" и "Время". На совещании экспертов, посвященном вопросам многофункционального использования помещений, были распространены публикации из серии </w:t>
      </w:r>
      <w:r>
        <w:rPr>
          <w:i/>
          <w:lang w:val="en-US"/>
        </w:rPr>
        <w:t>Bouwen</w:t>
      </w:r>
      <w:r>
        <w:rPr>
          <w:i/>
        </w:rPr>
        <w:t xml:space="preserve"> </w:t>
      </w:r>
      <w:r>
        <w:rPr>
          <w:i/>
          <w:lang w:val="en-US"/>
        </w:rPr>
        <w:t>aan</w:t>
      </w:r>
      <w:r>
        <w:rPr>
          <w:i/>
        </w:rPr>
        <w:t xml:space="preserve"> </w:t>
      </w:r>
      <w:r>
        <w:rPr>
          <w:i/>
          <w:lang w:val="en-US"/>
        </w:rPr>
        <w:t>Samenwerking</w:t>
      </w:r>
      <w:r>
        <w:t xml:space="preserve"> ("Помещения для сотрудничества"), в которых были приведены 15 примеров многофункционального использования школьных помещений, а также доклад о наиболее эффективных мерах, принимаемых в связи с этим в Европе и Соединенных Штатах ("Передовой международный опыт на примере Европы и США").</w:t>
      </w:r>
    </w:p>
    <w:p w:rsidR="00000000" w:rsidRDefault="00000000">
      <w:pPr>
        <w:rPr>
          <w:i/>
        </w:rPr>
      </w:pPr>
      <w:r>
        <w:rPr>
          <w:i/>
        </w:rPr>
        <w:t>Необходимые мероприятия</w:t>
      </w:r>
    </w:p>
    <w:p w:rsidR="00000000" w:rsidRDefault="00000000">
      <w:r>
        <w:t>Комитет по вопросам совмещения обязанностей по уходу и оплачиваемой работы рассмотрел пути облегчения нагрузки, которую несут соответствующие лица (мужчины и женщины), и определил мероприятия, необходимые для этого. Министерство жилищного строительства, обустройства территорий и охраны окружающей среды внесло свой вклад в это исследование, предложив политику совмещенных услуг. Решение задач в сфере создания равных возможностей и повышения устойчивости можно обеспечивать одновременно. Хорошим примером такого подхода являются "центры услуг", обеспечивающие разнообразные виды услуг, такие как магазины, совместно с помещениями для присмотра за детьми. Центры услуг и, если говорить еще шире, хорошо скоординированные районы, в которых люди могут жить и работать, облегчают совмещение услуг по уходу и оплачиваемой занятости, способствуя тем самым расширению доступа женщин к рынку труда и помогая им получить экономическую самостоятельность. Эти инициативы также способствуют сокращению транспортных потоков и их нагрузки на окружающую среду.</w:t>
      </w:r>
    </w:p>
    <w:p w:rsidR="00000000" w:rsidRDefault="00000000">
      <w:r>
        <w:t>В сельских районах эксперименты в области совмещения обязанностей по уходу и оплачиваемой занятости направлены в основном на поддержание или расширение уровня предоставляемых услуг. В связи с этим важно обеспечить взаимодействие между официальной и неофициальной помощью и системами ухода, а также между добровольцами и специалистами. Многие пожилые женщины являются активными участниками обеих систем. Они извлекают выгоды из социальной инфраструктуры, которая обеспечивает достаточные услуги и препятствует их изоляции от общества; это позволяет им достаточно спокойно себя чувствовать в те периоды, ко</w:t>
      </w:r>
      <w:r>
        <w:rPr>
          <w:lang w:val="ru-RU"/>
        </w:rPr>
        <w:t>гда</w:t>
      </w:r>
      <w:r>
        <w:t xml:space="preserve"> они участвуют в этих системах.</w:t>
      </w:r>
    </w:p>
    <w:p w:rsidR="00000000" w:rsidRDefault="00000000">
      <w:pPr>
        <w:pStyle w:val="Subtitle"/>
        <w:ind w:left="680" w:hanging="680"/>
        <w:rPr>
          <w:sz w:val="23"/>
          <w:lang w:val="ru-RU"/>
        </w:rPr>
      </w:pPr>
      <w:r>
        <w:rPr>
          <w:sz w:val="23"/>
          <w:lang w:val="ru-RU"/>
        </w:rPr>
        <w:t>2.</w:t>
      </w:r>
      <w:r>
        <w:rPr>
          <w:sz w:val="23"/>
          <w:lang w:val="ru-RU"/>
        </w:rPr>
        <w:tab/>
        <w:t>Вопросы устойчивого развития и водоснабжения в международной гендерной плоскости</w:t>
      </w:r>
    </w:p>
    <w:p w:rsidR="00000000" w:rsidRDefault="00000000">
      <w:r>
        <w:t>С учетом выводов состоявшейся в Йоханнесбурге Всемирной встречи на высшем уровне по устойчивому развитию Нидерланды разработали стратегию в области устойчивого развития под названием "Устойчивые действия", которая затрагивает пять тем: водоснабжение, энергетик</w:t>
      </w:r>
      <w:r>
        <w:rPr>
          <w:lang w:val="ru-RU"/>
        </w:rPr>
        <w:t>у</w:t>
      </w:r>
      <w:r>
        <w:t>, здравоохранение, сельское хозяйство и биоразнообразие. Эта стратегия включает национальный и международный компоненты. В соответствии с общей политикой сотрудничества в целях развития в международном компоненте учитывается гендерный аспект.</w:t>
      </w:r>
    </w:p>
    <w:p w:rsidR="00000000" w:rsidRDefault="00000000">
      <w:r>
        <w:t xml:space="preserve">Кроме того, в целях осуществления положений </w:t>
      </w:r>
      <w:r>
        <w:rPr>
          <w:lang w:val="ru-RU"/>
        </w:rPr>
        <w:t>П</w:t>
      </w:r>
      <w:r>
        <w:t xml:space="preserve">екинской </w:t>
      </w:r>
      <w:r>
        <w:rPr>
          <w:lang w:val="ru-RU"/>
        </w:rPr>
        <w:t>п</w:t>
      </w:r>
      <w:r>
        <w:t>латформы действий, принятой в 1995</w:t>
      </w:r>
      <w:r>
        <w:rPr>
          <w:lang w:val="ru-RU"/>
        </w:rPr>
        <w:t> </w:t>
      </w:r>
      <w:r>
        <w:t>году на четвертой Всемирной конференции Организации Объединенных Наций по положению женщин, в 2000 году было проведено международное совещание экспертов в данной области под названием "Вопросы устойчивого развития и водоснабжения в международной гендерной плоскости". Задачи данного совещания состояли в том, чтобы углубить понимание связи между вопросами устойчивого развития и гендерной проблематикой, обсудить ход работы в этом направлении, обменяться опытом и примерами наилучшей практики и выработать рекомендации для последующей работы. В этом совещании приняли участие 90 международных экспертов из Африки, Азии и Европы, а также представители самых различных соответствующих секторов.</w:t>
      </w:r>
    </w:p>
    <w:p w:rsidR="00000000" w:rsidRDefault="00000000">
      <w:r>
        <w:t>Выводы и рекомендации данного совещания были представлены на втором Всемирном водном форуме и на Конференции министров по проблемам воды, состоявшихся в Гааге в марте 2000 года. Они также учитывались при подготовке специальной сессии Генеральной Ассамблеи Организации Объединенных Наций, состоявшейся в июне 2000 года в Нью-Йорке, в рамках которой была проведена оценка Платформы действий.</w:t>
      </w:r>
    </w:p>
    <w:p w:rsidR="00000000" w:rsidRDefault="00000000">
      <w:pPr>
        <w:pStyle w:val="Subtitle"/>
        <w:rPr>
          <w:sz w:val="23"/>
          <w:lang w:val="ru-RU"/>
        </w:rPr>
      </w:pPr>
      <w:r>
        <w:rPr>
          <w:sz w:val="23"/>
          <w:lang w:val="ru-RU"/>
        </w:rPr>
        <w:t>3.</w:t>
      </w:r>
      <w:r>
        <w:rPr>
          <w:sz w:val="23"/>
          <w:lang w:val="ru-RU"/>
        </w:rPr>
        <w:tab/>
        <w:t>Женщины и устойчивое развитие</w:t>
      </w:r>
    </w:p>
    <w:p w:rsidR="00000000" w:rsidRDefault="00000000">
      <w:r>
        <w:t xml:space="preserve">В 2001 году был опубликован программный документ под названием "Если есть воля, будет и мир: обеспечение устойчивости", известный также как </w:t>
      </w:r>
      <w:r>
        <w:rPr>
          <w:lang w:val="ru-RU"/>
        </w:rPr>
        <w:t>ч</w:t>
      </w:r>
      <w:r>
        <w:t xml:space="preserve">етвертый </w:t>
      </w:r>
      <w:r>
        <w:rPr>
          <w:lang w:val="ru-RU"/>
        </w:rPr>
        <w:t>Н</w:t>
      </w:r>
      <w:r>
        <w:t>ациональный план политики в области окружающей среды. В этом документе изложены задачи политики Нидерландов в области охраны окружающей среды на ближайшие несколько лет. В рамках подготовки этого документа была проведена оценка воздействия гендерного аспекта для определения степени влияния предлагаемой политики на создание равных возможностей. Оценка воздействия гендерного аспекта не повлекла за собой каких-либо существенных изменений в указанном программном документе.</w:t>
      </w:r>
    </w:p>
    <w:p w:rsidR="00000000" w:rsidRDefault="00000000">
      <w:pPr>
        <w:pStyle w:val="Subtitle"/>
        <w:spacing w:before="480"/>
        <w:rPr>
          <w:sz w:val="23"/>
          <w:lang w:val="ru-RU"/>
        </w:rPr>
      </w:pPr>
      <w:r>
        <w:rPr>
          <w:sz w:val="23"/>
          <w:lang w:val="ru-RU"/>
        </w:rPr>
        <w:t>4.</w:t>
      </w:r>
      <w:r>
        <w:rPr>
          <w:sz w:val="23"/>
          <w:lang w:val="ru-RU"/>
        </w:rPr>
        <w:tab/>
        <w:t>Совмещение работы и обязанностей по уходу в сельских районах</w:t>
      </w:r>
    </w:p>
    <w:p w:rsidR="00000000" w:rsidRDefault="00000000">
      <w:pPr>
        <w:spacing w:before="360"/>
      </w:pPr>
      <w:r>
        <w:t>Министерство сельского хозяйства, охраны природы и по вопросам качества продовольствия поручило провести обследование людей, живущих в сельских районах и совмещающих обязанности по уходу с оплачиваемой занятостью (‘Taakcombineerders in het landelijk gebied: Naar een sociale infrastructuur voor het combineren van arbeid en zorg op het platteland’), в рамках которого были собраны данные и проанализированы результаты четырех пилотных проектов в сельских районах, которые затем были преобразованы в рекомендации, призванные повысить качество социальной инфраструктуры.</w:t>
      </w:r>
    </w:p>
    <w:p w:rsidR="00000000" w:rsidRDefault="00000000">
      <w:pPr>
        <w:spacing w:before="360"/>
      </w:pPr>
      <w:r>
        <w:t>Итогом исследования по вопросам совмещения работы и обязанностей по уходу в сельских районах, проведенно</w:t>
      </w:r>
      <w:r>
        <w:rPr>
          <w:lang w:val="ru-RU"/>
        </w:rPr>
        <w:t>го</w:t>
      </w:r>
      <w:r>
        <w:t xml:space="preserve"> совместно Министерством сельского хозяйства, охраны природы и по вопросам качества продовольствия и Министерством социальных дел и по вопросам занятости, стала разработка новых инициатив в области сотрудничества в развитии социальной инфраструктуры. Для того чтобы воспользоваться международным опытом в данной области в Генеральный директорат по вопросам занятости было представлено проектное предложение по данному вопросу</w:t>
      </w:r>
      <w:r>
        <w:rPr>
          <w:rStyle w:val="FootnoteReference"/>
          <w:sz w:val="22"/>
        </w:rPr>
        <w:footnoteReference w:customMarkFollows="1" w:id="65"/>
        <w:t>64</w:t>
      </w:r>
      <w:r>
        <w:t>.</w:t>
      </w:r>
    </w:p>
    <w:p w:rsidR="00000000" w:rsidRDefault="00000000">
      <w:pPr>
        <w:pStyle w:val="a5"/>
        <w:tabs>
          <w:tab w:val="clear" w:pos="1440"/>
          <w:tab w:val="clear" w:pos="9356"/>
        </w:tabs>
        <w:spacing w:before="480" w:after="360"/>
        <w:rPr>
          <w:lang w:val="ru-RU"/>
        </w:rPr>
      </w:pPr>
      <w:r>
        <w:rPr>
          <w:lang w:val="ru-RU"/>
        </w:rPr>
        <w:t>Число женщин, занятых в сельском хозяйстве и садоводстве</w:t>
      </w: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317"/>
        <w:gridCol w:w="972"/>
        <w:gridCol w:w="1384"/>
        <w:gridCol w:w="971"/>
        <w:gridCol w:w="1385"/>
        <w:gridCol w:w="958"/>
        <w:gridCol w:w="1369"/>
      </w:tblGrid>
      <w:tr w:rsidR="00000000">
        <w:tblPrEx>
          <w:tblCellMar>
            <w:top w:w="0" w:type="dxa"/>
            <w:bottom w:w="0" w:type="dxa"/>
          </w:tblCellMar>
        </w:tblPrEx>
        <w:trPr>
          <w:cantSplit/>
          <w:jc w:val="center"/>
        </w:trPr>
        <w:tc>
          <w:tcPr>
            <w:tcW w:w="2317" w:type="dxa"/>
          </w:tcPr>
          <w:p w:rsidR="00000000" w:rsidRDefault="00000000">
            <w:pPr>
              <w:spacing w:before="40" w:after="40" w:line="240" w:lineRule="auto"/>
              <w:rPr>
                <w:b/>
                <w:sz w:val="20"/>
              </w:rPr>
            </w:pPr>
            <w:r>
              <w:rPr>
                <w:b/>
                <w:sz w:val="20"/>
              </w:rPr>
              <w:t>Число женщин</w:t>
            </w:r>
          </w:p>
        </w:tc>
        <w:tc>
          <w:tcPr>
            <w:tcW w:w="2356" w:type="dxa"/>
            <w:gridSpan w:val="2"/>
          </w:tcPr>
          <w:p w:rsidR="00000000" w:rsidRDefault="00000000">
            <w:pPr>
              <w:spacing w:before="40" w:after="40" w:line="240" w:lineRule="auto"/>
              <w:jc w:val="center"/>
              <w:rPr>
                <w:b/>
                <w:sz w:val="20"/>
              </w:rPr>
            </w:pPr>
            <w:r>
              <w:rPr>
                <w:b/>
                <w:sz w:val="20"/>
              </w:rPr>
              <w:t>1995 год</w:t>
            </w:r>
          </w:p>
        </w:tc>
        <w:tc>
          <w:tcPr>
            <w:tcW w:w="2356" w:type="dxa"/>
            <w:gridSpan w:val="2"/>
          </w:tcPr>
          <w:p w:rsidR="00000000" w:rsidRDefault="00000000">
            <w:pPr>
              <w:spacing w:before="40" w:after="40" w:line="240" w:lineRule="auto"/>
              <w:jc w:val="center"/>
              <w:rPr>
                <w:b/>
                <w:sz w:val="20"/>
              </w:rPr>
            </w:pPr>
            <w:r>
              <w:rPr>
                <w:b/>
                <w:sz w:val="20"/>
              </w:rPr>
              <w:t>2000 год</w:t>
            </w:r>
          </w:p>
        </w:tc>
        <w:tc>
          <w:tcPr>
            <w:tcW w:w="2327" w:type="dxa"/>
            <w:gridSpan w:val="2"/>
          </w:tcPr>
          <w:p w:rsidR="00000000" w:rsidRDefault="00000000">
            <w:pPr>
              <w:spacing w:before="40" w:after="40" w:line="240" w:lineRule="auto"/>
              <w:jc w:val="center"/>
              <w:rPr>
                <w:b/>
                <w:sz w:val="20"/>
              </w:rPr>
            </w:pPr>
            <w:r>
              <w:rPr>
                <w:b/>
                <w:sz w:val="20"/>
              </w:rPr>
              <w:t>2002 год</w:t>
            </w:r>
          </w:p>
        </w:tc>
      </w:tr>
      <w:tr w:rsidR="00000000">
        <w:tblPrEx>
          <w:tblCellMar>
            <w:top w:w="0" w:type="dxa"/>
            <w:bottom w:w="0" w:type="dxa"/>
          </w:tblCellMar>
        </w:tblPrEx>
        <w:trPr>
          <w:jc w:val="center"/>
        </w:trPr>
        <w:tc>
          <w:tcPr>
            <w:tcW w:w="2317" w:type="dxa"/>
          </w:tcPr>
          <w:p w:rsidR="00000000" w:rsidRDefault="00000000">
            <w:pPr>
              <w:pStyle w:val="Document1"/>
              <w:keepNext w:val="0"/>
              <w:keepLines w:val="0"/>
              <w:tabs>
                <w:tab w:val="clear" w:pos="-720"/>
              </w:tabs>
              <w:suppressAutoHyphens w:val="0"/>
              <w:spacing w:before="40" w:after="40"/>
              <w:jc w:val="center"/>
              <w:rPr>
                <w:rFonts w:ascii="Times New Roman" w:hAnsi="Times New Roman"/>
                <w:sz w:val="20"/>
                <w:lang w:val="ru-RU"/>
              </w:rPr>
            </w:pPr>
          </w:p>
        </w:tc>
        <w:tc>
          <w:tcPr>
            <w:tcW w:w="972" w:type="dxa"/>
          </w:tcPr>
          <w:p w:rsidR="00000000" w:rsidRDefault="00000000">
            <w:pPr>
              <w:spacing w:before="40" w:after="40" w:line="240" w:lineRule="auto"/>
              <w:jc w:val="center"/>
              <w:rPr>
                <w:sz w:val="20"/>
              </w:rPr>
            </w:pPr>
            <w:r>
              <w:rPr>
                <w:sz w:val="20"/>
              </w:rPr>
              <w:t>Всего</w:t>
            </w:r>
          </w:p>
        </w:tc>
        <w:tc>
          <w:tcPr>
            <w:tcW w:w="1384" w:type="dxa"/>
          </w:tcPr>
          <w:p w:rsidR="00000000" w:rsidRDefault="00000000">
            <w:pPr>
              <w:spacing w:before="40" w:after="40" w:line="240" w:lineRule="auto"/>
              <w:jc w:val="center"/>
              <w:rPr>
                <w:sz w:val="20"/>
              </w:rPr>
            </w:pPr>
            <w:r>
              <w:rPr>
                <w:sz w:val="20"/>
              </w:rPr>
              <w:t xml:space="preserve">Работают </w:t>
            </w:r>
            <w:r>
              <w:rPr>
                <w:sz w:val="20"/>
                <w:lang w:val="ru-RU"/>
              </w:rPr>
              <w:br/>
            </w:r>
            <w:r>
              <w:rPr>
                <w:sz w:val="20"/>
              </w:rPr>
              <w:t xml:space="preserve">не менее 20 часов </w:t>
            </w:r>
            <w:r>
              <w:rPr>
                <w:sz w:val="20"/>
                <w:lang w:val="ru-RU"/>
              </w:rPr>
              <w:br/>
            </w:r>
            <w:r>
              <w:rPr>
                <w:sz w:val="20"/>
              </w:rPr>
              <w:t>в неделю</w:t>
            </w:r>
          </w:p>
        </w:tc>
        <w:tc>
          <w:tcPr>
            <w:tcW w:w="971" w:type="dxa"/>
          </w:tcPr>
          <w:p w:rsidR="00000000" w:rsidRDefault="00000000">
            <w:pPr>
              <w:spacing w:before="40" w:after="40" w:line="240" w:lineRule="auto"/>
              <w:jc w:val="center"/>
              <w:rPr>
                <w:sz w:val="20"/>
              </w:rPr>
            </w:pPr>
            <w:r>
              <w:rPr>
                <w:sz w:val="20"/>
              </w:rPr>
              <w:t>Всего</w:t>
            </w:r>
          </w:p>
        </w:tc>
        <w:tc>
          <w:tcPr>
            <w:tcW w:w="1385" w:type="dxa"/>
          </w:tcPr>
          <w:p w:rsidR="00000000" w:rsidRDefault="00000000">
            <w:pPr>
              <w:spacing w:before="40" w:after="40" w:line="240" w:lineRule="auto"/>
              <w:jc w:val="center"/>
              <w:rPr>
                <w:sz w:val="20"/>
              </w:rPr>
            </w:pPr>
            <w:r>
              <w:rPr>
                <w:sz w:val="20"/>
              </w:rPr>
              <w:t xml:space="preserve">Работают </w:t>
            </w:r>
            <w:r>
              <w:rPr>
                <w:sz w:val="20"/>
                <w:lang w:val="ru-RU"/>
              </w:rPr>
              <w:br/>
            </w:r>
            <w:r>
              <w:rPr>
                <w:sz w:val="20"/>
              </w:rPr>
              <w:t xml:space="preserve">не менее 20 часов </w:t>
            </w:r>
            <w:r>
              <w:rPr>
                <w:sz w:val="20"/>
                <w:lang w:val="ru-RU"/>
              </w:rPr>
              <w:br/>
            </w:r>
            <w:r>
              <w:rPr>
                <w:sz w:val="20"/>
              </w:rPr>
              <w:t>в неделю</w:t>
            </w:r>
          </w:p>
        </w:tc>
        <w:tc>
          <w:tcPr>
            <w:tcW w:w="958" w:type="dxa"/>
          </w:tcPr>
          <w:p w:rsidR="00000000" w:rsidRDefault="00000000">
            <w:pPr>
              <w:spacing w:before="40" w:after="40" w:line="240" w:lineRule="auto"/>
              <w:jc w:val="center"/>
              <w:rPr>
                <w:sz w:val="20"/>
              </w:rPr>
            </w:pPr>
            <w:r>
              <w:rPr>
                <w:sz w:val="20"/>
              </w:rPr>
              <w:t>Всего</w:t>
            </w:r>
          </w:p>
        </w:tc>
        <w:tc>
          <w:tcPr>
            <w:tcW w:w="1369" w:type="dxa"/>
          </w:tcPr>
          <w:p w:rsidR="00000000" w:rsidRDefault="00000000">
            <w:pPr>
              <w:spacing w:before="40" w:after="40" w:line="240" w:lineRule="auto"/>
              <w:jc w:val="center"/>
              <w:rPr>
                <w:sz w:val="20"/>
              </w:rPr>
            </w:pPr>
            <w:r>
              <w:rPr>
                <w:sz w:val="20"/>
              </w:rPr>
              <w:t xml:space="preserve">Работают </w:t>
            </w:r>
            <w:r>
              <w:rPr>
                <w:sz w:val="20"/>
                <w:lang w:val="ru-RU"/>
              </w:rPr>
              <w:br/>
            </w:r>
            <w:r>
              <w:rPr>
                <w:sz w:val="20"/>
              </w:rPr>
              <w:t xml:space="preserve">не менее 20 часов </w:t>
            </w:r>
            <w:r>
              <w:rPr>
                <w:sz w:val="20"/>
                <w:lang w:val="ru-RU"/>
              </w:rPr>
              <w:br/>
            </w:r>
            <w:r>
              <w:rPr>
                <w:sz w:val="20"/>
              </w:rPr>
              <w:t>в неделю</w:t>
            </w:r>
          </w:p>
        </w:tc>
      </w:tr>
      <w:tr w:rsidR="00000000">
        <w:tblPrEx>
          <w:tblCellMar>
            <w:top w:w="0" w:type="dxa"/>
            <w:bottom w:w="0" w:type="dxa"/>
          </w:tblCellMar>
        </w:tblPrEx>
        <w:trPr>
          <w:jc w:val="center"/>
        </w:trPr>
        <w:tc>
          <w:tcPr>
            <w:tcW w:w="2317" w:type="dxa"/>
          </w:tcPr>
          <w:p w:rsidR="00000000" w:rsidRDefault="00000000">
            <w:pPr>
              <w:spacing w:before="40" w:after="40" w:line="240" w:lineRule="auto"/>
              <w:jc w:val="left"/>
              <w:rPr>
                <w:sz w:val="20"/>
              </w:rPr>
            </w:pPr>
            <w:r>
              <w:rPr>
                <w:sz w:val="20"/>
              </w:rPr>
              <w:t>Руководители предприятий</w:t>
            </w:r>
          </w:p>
        </w:tc>
        <w:tc>
          <w:tcPr>
            <w:tcW w:w="972" w:type="dxa"/>
          </w:tcPr>
          <w:p w:rsidR="00000000" w:rsidRDefault="00000000">
            <w:pPr>
              <w:widowControl w:val="0"/>
              <w:spacing w:before="40" w:after="40" w:line="240" w:lineRule="auto"/>
              <w:rPr>
                <w:kern w:val="14"/>
                <w:sz w:val="20"/>
                <w:lang w:val="ru-RU"/>
              </w:rPr>
            </w:pPr>
            <w:r>
              <w:rPr>
                <w:sz w:val="20"/>
                <w:lang w:val="ru-RU"/>
              </w:rPr>
              <w:t>20 016</w:t>
            </w:r>
          </w:p>
        </w:tc>
        <w:tc>
          <w:tcPr>
            <w:tcW w:w="1384" w:type="dxa"/>
          </w:tcPr>
          <w:p w:rsidR="00000000" w:rsidRDefault="00000000">
            <w:pPr>
              <w:widowControl w:val="0"/>
              <w:spacing w:before="40" w:after="40" w:line="240" w:lineRule="auto"/>
              <w:rPr>
                <w:kern w:val="14"/>
                <w:sz w:val="20"/>
                <w:lang w:val="ru-RU"/>
              </w:rPr>
            </w:pPr>
            <w:r>
              <w:rPr>
                <w:sz w:val="20"/>
                <w:lang w:val="ru-RU"/>
              </w:rPr>
              <w:t>13 569</w:t>
            </w:r>
          </w:p>
        </w:tc>
        <w:tc>
          <w:tcPr>
            <w:tcW w:w="971" w:type="dxa"/>
          </w:tcPr>
          <w:p w:rsidR="00000000" w:rsidRDefault="00000000">
            <w:pPr>
              <w:widowControl w:val="0"/>
              <w:spacing w:before="40" w:after="40" w:line="240" w:lineRule="auto"/>
              <w:rPr>
                <w:kern w:val="14"/>
                <w:sz w:val="20"/>
                <w:lang w:val="en-GB"/>
              </w:rPr>
            </w:pPr>
            <w:r>
              <w:rPr>
                <w:sz w:val="20"/>
                <w:lang w:val="ru-RU"/>
              </w:rPr>
              <w:t xml:space="preserve">26 </w:t>
            </w:r>
            <w:r>
              <w:rPr>
                <w:sz w:val="20"/>
                <w:lang w:val="en-GB"/>
              </w:rPr>
              <w:t>490</w:t>
            </w:r>
          </w:p>
        </w:tc>
        <w:tc>
          <w:tcPr>
            <w:tcW w:w="1385" w:type="dxa"/>
          </w:tcPr>
          <w:p w:rsidR="00000000" w:rsidRDefault="00000000">
            <w:pPr>
              <w:widowControl w:val="0"/>
              <w:spacing w:before="40" w:after="40" w:line="240" w:lineRule="auto"/>
              <w:rPr>
                <w:kern w:val="14"/>
                <w:sz w:val="20"/>
                <w:lang w:val="en-GB"/>
              </w:rPr>
            </w:pPr>
            <w:r>
              <w:rPr>
                <w:sz w:val="20"/>
                <w:lang w:val="en-GB"/>
              </w:rPr>
              <w:t>19 217</w:t>
            </w:r>
          </w:p>
        </w:tc>
        <w:tc>
          <w:tcPr>
            <w:tcW w:w="958" w:type="dxa"/>
          </w:tcPr>
          <w:p w:rsidR="00000000" w:rsidRDefault="00000000">
            <w:pPr>
              <w:widowControl w:val="0"/>
              <w:spacing w:before="40" w:after="40" w:line="240" w:lineRule="auto"/>
              <w:rPr>
                <w:kern w:val="14"/>
                <w:sz w:val="20"/>
                <w:lang w:val="en-GB"/>
              </w:rPr>
            </w:pPr>
            <w:r>
              <w:rPr>
                <w:sz w:val="20"/>
                <w:lang w:val="en-GB"/>
              </w:rPr>
              <w:t>28 215</w:t>
            </w:r>
          </w:p>
        </w:tc>
        <w:tc>
          <w:tcPr>
            <w:tcW w:w="1369" w:type="dxa"/>
          </w:tcPr>
          <w:p w:rsidR="00000000" w:rsidRDefault="00000000">
            <w:pPr>
              <w:widowControl w:val="0"/>
              <w:spacing w:before="40" w:after="40" w:line="240" w:lineRule="auto"/>
              <w:rPr>
                <w:kern w:val="14"/>
                <w:sz w:val="20"/>
                <w:lang w:val="en-GB"/>
              </w:rPr>
            </w:pPr>
            <w:r>
              <w:rPr>
                <w:sz w:val="20"/>
                <w:lang w:val="en-GB"/>
              </w:rPr>
              <w:t>20 207</w:t>
            </w:r>
          </w:p>
        </w:tc>
      </w:tr>
      <w:tr w:rsidR="00000000">
        <w:tblPrEx>
          <w:tblCellMar>
            <w:top w:w="0" w:type="dxa"/>
            <w:bottom w:w="0" w:type="dxa"/>
          </w:tblCellMar>
        </w:tblPrEx>
        <w:trPr>
          <w:jc w:val="center"/>
        </w:trPr>
        <w:tc>
          <w:tcPr>
            <w:tcW w:w="2317" w:type="dxa"/>
          </w:tcPr>
          <w:p w:rsidR="00000000" w:rsidRDefault="00000000">
            <w:pPr>
              <w:spacing w:before="40" w:after="40" w:line="240" w:lineRule="auto"/>
              <w:jc w:val="left"/>
              <w:rPr>
                <w:sz w:val="20"/>
              </w:rPr>
            </w:pPr>
            <w:r>
              <w:rPr>
                <w:sz w:val="20"/>
              </w:rPr>
              <w:t>Супруги</w:t>
            </w:r>
          </w:p>
        </w:tc>
        <w:tc>
          <w:tcPr>
            <w:tcW w:w="972" w:type="dxa"/>
          </w:tcPr>
          <w:p w:rsidR="00000000" w:rsidRDefault="00000000">
            <w:pPr>
              <w:widowControl w:val="0"/>
              <w:spacing w:before="40" w:after="40" w:line="240" w:lineRule="auto"/>
              <w:rPr>
                <w:kern w:val="14"/>
                <w:sz w:val="20"/>
                <w:lang w:val="en-GB"/>
              </w:rPr>
            </w:pPr>
            <w:r>
              <w:rPr>
                <w:sz w:val="20"/>
                <w:lang w:val="en-GB"/>
              </w:rPr>
              <w:t>46 477</w:t>
            </w:r>
          </w:p>
        </w:tc>
        <w:tc>
          <w:tcPr>
            <w:tcW w:w="1384" w:type="dxa"/>
          </w:tcPr>
          <w:p w:rsidR="00000000" w:rsidRDefault="00000000">
            <w:pPr>
              <w:widowControl w:val="0"/>
              <w:spacing w:before="40" w:after="40" w:line="240" w:lineRule="auto"/>
              <w:rPr>
                <w:kern w:val="14"/>
                <w:sz w:val="20"/>
                <w:lang w:val="en-GB"/>
              </w:rPr>
            </w:pPr>
            <w:r>
              <w:rPr>
                <w:sz w:val="20"/>
                <w:lang w:val="en-GB"/>
              </w:rPr>
              <w:t>22 812</w:t>
            </w:r>
          </w:p>
        </w:tc>
        <w:tc>
          <w:tcPr>
            <w:tcW w:w="971" w:type="dxa"/>
          </w:tcPr>
          <w:p w:rsidR="00000000" w:rsidRDefault="00000000">
            <w:pPr>
              <w:widowControl w:val="0"/>
              <w:spacing w:before="40" w:after="40" w:line="240" w:lineRule="auto"/>
              <w:rPr>
                <w:kern w:val="14"/>
                <w:sz w:val="20"/>
                <w:lang w:val="en-GB"/>
              </w:rPr>
            </w:pPr>
            <w:r>
              <w:rPr>
                <w:sz w:val="20"/>
                <w:lang w:val="en-GB"/>
              </w:rPr>
              <w:t>28 784</w:t>
            </w:r>
          </w:p>
        </w:tc>
        <w:tc>
          <w:tcPr>
            <w:tcW w:w="1385" w:type="dxa"/>
          </w:tcPr>
          <w:p w:rsidR="00000000" w:rsidRDefault="00000000">
            <w:pPr>
              <w:widowControl w:val="0"/>
              <w:spacing w:before="40" w:after="40" w:line="240" w:lineRule="auto"/>
              <w:rPr>
                <w:kern w:val="14"/>
                <w:sz w:val="20"/>
                <w:lang w:val="en-GB"/>
              </w:rPr>
            </w:pPr>
            <w:r>
              <w:rPr>
                <w:sz w:val="20"/>
                <w:lang w:val="en-GB"/>
              </w:rPr>
              <w:t>14 556</w:t>
            </w:r>
          </w:p>
        </w:tc>
        <w:tc>
          <w:tcPr>
            <w:tcW w:w="958" w:type="dxa"/>
          </w:tcPr>
          <w:p w:rsidR="00000000" w:rsidRDefault="00000000">
            <w:pPr>
              <w:widowControl w:val="0"/>
              <w:spacing w:before="40" w:after="40" w:line="240" w:lineRule="auto"/>
              <w:rPr>
                <w:kern w:val="14"/>
                <w:sz w:val="20"/>
                <w:lang w:val="en-GB"/>
              </w:rPr>
            </w:pPr>
            <w:r>
              <w:rPr>
                <w:sz w:val="20"/>
                <w:lang w:val="en-GB"/>
              </w:rPr>
              <w:t>27 157</w:t>
            </w:r>
          </w:p>
        </w:tc>
        <w:tc>
          <w:tcPr>
            <w:tcW w:w="1369" w:type="dxa"/>
          </w:tcPr>
          <w:p w:rsidR="00000000" w:rsidRDefault="00000000">
            <w:pPr>
              <w:widowControl w:val="0"/>
              <w:spacing w:before="40" w:after="40" w:line="240" w:lineRule="auto"/>
              <w:rPr>
                <w:kern w:val="14"/>
                <w:sz w:val="20"/>
                <w:lang w:val="en-GB"/>
              </w:rPr>
            </w:pPr>
            <w:r>
              <w:rPr>
                <w:sz w:val="20"/>
                <w:lang w:val="en-GB"/>
              </w:rPr>
              <w:t>12 736</w:t>
            </w:r>
          </w:p>
        </w:tc>
      </w:tr>
      <w:tr w:rsidR="00000000">
        <w:tblPrEx>
          <w:tblCellMar>
            <w:top w:w="0" w:type="dxa"/>
            <w:bottom w:w="0" w:type="dxa"/>
          </w:tblCellMar>
        </w:tblPrEx>
        <w:trPr>
          <w:jc w:val="center"/>
        </w:trPr>
        <w:tc>
          <w:tcPr>
            <w:tcW w:w="2317" w:type="dxa"/>
          </w:tcPr>
          <w:p w:rsidR="00000000" w:rsidRDefault="00000000">
            <w:pPr>
              <w:spacing w:before="40" w:after="40" w:line="240" w:lineRule="auto"/>
              <w:jc w:val="left"/>
              <w:rPr>
                <w:sz w:val="20"/>
              </w:rPr>
            </w:pPr>
            <w:r>
              <w:rPr>
                <w:sz w:val="20"/>
              </w:rPr>
              <w:t>Другие родственники, живущие или не живущие вместе с семьей</w:t>
            </w:r>
          </w:p>
        </w:tc>
        <w:tc>
          <w:tcPr>
            <w:tcW w:w="972" w:type="dxa"/>
          </w:tcPr>
          <w:p w:rsidR="00000000" w:rsidRDefault="00000000">
            <w:pPr>
              <w:widowControl w:val="0"/>
              <w:spacing w:before="40" w:after="40" w:line="240" w:lineRule="auto"/>
              <w:rPr>
                <w:kern w:val="14"/>
                <w:sz w:val="20"/>
              </w:rPr>
            </w:pPr>
            <w:r>
              <w:rPr>
                <w:sz w:val="20"/>
              </w:rPr>
              <w:t>16 701</w:t>
            </w:r>
          </w:p>
        </w:tc>
        <w:tc>
          <w:tcPr>
            <w:tcW w:w="1384" w:type="dxa"/>
          </w:tcPr>
          <w:p w:rsidR="00000000" w:rsidRDefault="00000000">
            <w:pPr>
              <w:widowControl w:val="0"/>
              <w:spacing w:before="40" w:after="40" w:line="240" w:lineRule="auto"/>
              <w:rPr>
                <w:kern w:val="14"/>
                <w:sz w:val="20"/>
              </w:rPr>
            </w:pPr>
            <w:r>
              <w:rPr>
                <w:sz w:val="20"/>
              </w:rPr>
              <w:t>11 002</w:t>
            </w:r>
          </w:p>
        </w:tc>
        <w:tc>
          <w:tcPr>
            <w:tcW w:w="971" w:type="dxa"/>
          </w:tcPr>
          <w:p w:rsidR="00000000" w:rsidRDefault="00000000">
            <w:pPr>
              <w:widowControl w:val="0"/>
              <w:spacing w:before="40" w:after="40" w:line="240" w:lineRule="auto"/>
              <w:rPr>
                <w:kern w:val="14"/>
                <w:sz w:val="20"/>
              </w:rPr>
            </w:pPr>
            <w:r>
              <w:rPr>
                <w:sz w:val="20"/>
              </w:rPr>
              <w:t>29 857</w:t>
            </w:r>
          </w:p>
        </w:tc>
        <w:tc>
          <w:tcPr>
            <w:tcW w:w="1385" w:type="dxa"/>
          </w:tcPr>
          <w:p w:rsidR="00000000" w:rsidRDefault="00000000">
            <w:pPr>
              <w:widowControl w:val="0"/>
              <w:spacing w:before="40" w:after="40" w:line="240" w:lineRule="auto"/>
              <w:rPr>
                <w:kern w:val="14"/>
                <w:sz w:val="20"/>
              </w:rPr>
            </w:pPr>
            <w:r>
              <w:rPr>
                <w:sz w:val="20"/>
              </w:rPr>
              <w:t>14 802</w:t>
            </w:r>
          </w:p>
        </w:tc>
        <w:tc>
          <w:tcPr>
            <w:tcW w:w="958" w:type="dxa"/>
          </w:tcPr>
          <w:p w:rsidR="00000000" w:rsidRDefault="00000000">
            <w:pPr>
              <w:widowControl w:val="0"/>
              <w:spacing w:before="40" w:after="40" w:line="240" w:lineRule="auto"/>
              <w:rPr>
                <w:kern w:val="14"/>
                <w:sz w:val="20"/>
              </w:rPr>
            </w:pPr>
            <w:r>
              <w:rPr>
                <w:sz w:val="20"/>
              </w:rPr>
              <w:t>28 530</w:t>
            </w:r>
          </w:p>
        </w:tc>
        <w:tc>
          <w:tcPr>
            <w:tcW w:w="1369" w:type="dxa"/>
          </w:tcPr>
          <w:p w:rsidR="00000000" w:rsidRDefault="00000000">
            <w:pPr>
              <w:widowControl w:val="0"/>
              <w:spacing w:before="40" w:after="40" w:line="240" w:lineRule="auto"/>
              <w:rPr>
                <w:kern w:val="14"/>
                <w:sz w:val="20"/>
              </w:rPr>
            </w:pPr>
            <w:r>
              <w:rPr>
                <w:sz w:val="20"/>
              </w:rPr>
              <w:t>14 359</w:t>
            </w:r>
          </w:p>
        </w:tc>
      </w:tr>
    </w:tbl>
    <w:p w:rsidR="00000000" w:rsidRDefault="00000000">
      <w:pPr>
        <w:pStyle w:val="-2"/>
        <w:keepNext/>
      </w:pPr>
      <w:r>
        <w:t>Статья 16:</w:t>
      </w:r>
      <w:r>
        <w:tab/>
        <w:t>Личные и семейные права</w:t>
      </w:r>
    </w:p>
    <w:p w:rsidR="00000000" w:rsidRDefault="00000000">
      <w:pPr>
        <w:pStyle w:val="Subtitle"/>
        <w:rPr>
          <w:sz w:val="23"/>
          <w:lang w:val="ru-RU"/>
        </w:rPr>
      </w:pPr>
      <w:r>
        <w:rPr>
          <w:sz w:val="23"/>
          <w:lang w:val="ru-RU"/>
        </w:rPr>
        <w:t>1.</w:t>
      </w:r>
      <w:r>
        <w:rPr>
          <w:sz w:val="23"/>
          <w:lang w:val="ru-RU"/>
        </w:rPr>
        <w:tab/>
        <w:t>Браки и разводы</w:t>
      </w:r>
    </w:p>
    <w:p w:rsidR="00000000" w:rsidRDefault="00000000">
      <w:pPr>
        <w:pStyle w:val="Subtitle"/>
      </w:pPr>
      <w:r>
        <w:rPr>
          <w:lang w:val="en-US"/>
        </w:rPr>
        <w:t>i</w:t>
      </w:r>
      <w:r>
        <w:t>.</w:t>
      </w:r>
      <w:r>
        <w:tab/>
        <w:t>Зарегистрированные супружеские союзы/однополые браки</w:t>
      </w:r>
    </w:p>
    <w:p w:rsidR="00000000" w:rsidRDefault="00000000">
      <w:r>
        <w:t>Регистрация однополых союзов была введена с 1998 года. С тех пор лица одного пола могут официально регистрировать свои отношения и заключать союзы, во многих отношениях аналогичные официальному браку. Зарегистрированные супружеские союзы могут трансформироваться в брак и наоборот. В целях поощрения эмансипации в связи с однополыми браками в парламент страны был внесен законопроект, призванный распространить действие института гражданских браков на лиц одного пола. Новый Закон вступил в силу 1 апреля 2001 года, и с этого момента лицам одного пола разрешено вступать друг с другом в официальный брак. С момента введения института однополых браков эти браки стали более популярными, чем зарегистрированные союзы. Такие союзы теперь чаще заключают лица разных полов, чем лица одного пола.</w:t>
      </w:r>
    </w:p>
    <w:p w:rsidR="00000000" w:rsidRDefault="00000000">
      <w:pPr>
        <w:pStyle w:val="Subtitle"/>
      </w:pPr>
      <w:r>
        <w:rPr>
          <w:lang w:val="en-US"/>
        </w:rPr>
        <w:t>ii</w:t>
      </w:r>
      <w:r>
        <w:t>.</w:t>
      </w:r>
      <w:r>
        <w:tab/>
        <w:t>Имущество самозанятых лиц, состоящих в браке и заключивших брачный договор</w:t>
      </w:r>
    </w:p>
    <w:p w:rsidR="00000000" w:rsidRDefault="00000000">
      <w:r>
        <w:t xml:space="preserve">В марте 2002 года Научно-исследовательский институт по вопросам экономики сельского хозяйства опубликовал доклад о доходах и имуществе данной группы лиц </w:t>
      </w:r>
      <w:r>
        <w:rPr>
          <w:color w:val="000000"/>
        </w:rPr>
        <w:t>(‘Tekenen en verrekenen: Verrekening van inkomsten en vermogen bij zelfstandigen getrouwd op huwelijkse voorwaarden’)</w:t>
      </w:r>
      <w:r>
        <w:t>. Этот доклад опирался на результаты практических семинаров с экспертами в данной области, которые оказывают консультационные услуги по финансовым и правовым вопросам соответствующим лицам. В практических целях полезные контакты были установлены с Ассоциацией бухгалтеров и налоговых консультантов, а также с головной организацией нотариусов, действующих в Нидерландах, – "Сетью нотариусов".</w:t>
      </w:r>
    </w:p>
    <w:p w:rsidR="00000000" w:rsidRDefault="00000000">
      <w:pPr>
        <w:pStyle w:val="Subtitle"/>
      </w:pPr>
      <w:r>
        <w:rPr>
          <w:lang w:val="en-US"/>
        </w:rPr>
        <w:t>iii</w:t>
      </w:r>
      <w:r>
        <w:t>.</w:t>
      </w:r>
      <w:r>
        <w:tab/>
        <w:t>Посреднические услуги в бракоразводном процессе</w:t>
      </w:r>
    </w:p>
    <w:p w:rsidR="00000000" w:rsidRDefault="00000000">
      <w:r>
        <w:t>В период с марта 1999 года по январь 2001 года под эгидой Министерства юстиции был проведен ряд экспериментов с оказанием посреднических услуг в делах о разводе и улаживании конфликтов, возникающих в процессе семейных отношений. Результат</w:t>
      </w:r>
      <w:r>
        <w:rPr>
          <w:lang w:val="ru-RU"/>
        </w:rPr>
        <w:t>ы</w:t>
      </w:r>
      <w:r>
        <w:t xml:space="preserve"> этих экспериментов свидетельствуют о том, что посредничество является более полезным, чем традиционные процедуры, инструментом в процессе расторжения браков и улаживания конфликтов по поводу свиданий с детьми. Заключительный доклад об указанных экспериментах рисует положительную картину в рамках вопросов, рассмотренных в ходе исследования</w:t>
      </w:r>
      <w:r>
        <w:rPr>
          <w:rStyle w:val="FootnoteReference"/>
          <w:sz w:val="22"/>
        </w:rPr>
        <w:footnoteReference w:customMarkFollows="1" w:id="66"/>
        <w:t>65</w:t>
      </w:r>
      <w:r>
        <w:t>.</w:t>
      </w:r>
    </w:p>
    <w:p w:rsidR="00000000" w:rsidRDefault="00000000">
      <w:r>
        <w:t xml:space="preserve">Был также сделан вывод о том, что процесс посредничества успешно защищает интересы более слабой стороны, в частности несовершеннолетних детей. Что касается защиты интересов более слабой стороны в рамках посредничества, то ситуация здесь выглядит неоднозначной и опровергает предположение о том, что женщины – или лица с более низким уровнем образования – являются более слабой стороной. В большинстве случаев именно </w:t>
      </w:r>
      <w:r>
        <w:rPr>
          <w:i/>
        </w:rPr>
        <w:t>эмоциональное неравенство</w:t>
      </w:r>
      <w:r>
        <w:t xml:space="preserve"> делает одну сторону более сильной, а другую – более слабой. Это эмоциональное неравенство отчасти проявляется в том, какой период времени необходим человеку, чтобы смириться и эмоционально справиться с последствиями развода, и поэтому практически не зависит от пола.</w:t>
      </w:r>
    </w:p>
    <w:p w:rsidR="00000000" w:rsidRDefault="00000000">
      <w:pPr>
        <w:spacing w:before="360"/>
      </w:pPr>
      <w:r>
        <w:t xml:space="preserve">Защита интересов детей обеспечивается косвенным образом. Дети не принимают участия в процессе посредничества; как родители, так и посредники указывают, что интересы детей представляют их родители. Треть всех опрошенных подростков заявили о своем желании участвовать в процессе посредничества, в частности при принятии решения о форме их отношений с обоими </w:t>
      </w:r>
      <w:r>
        <w:rPr>
          <w:lang w:val="ru-RU"/>
        </w:rPr>
        <w:t xml:space="preserve">родителями </w:t>
      </w:r>
      <w:r>
        <w:t>в дальнейшем. Однако в этих случаях защита интересов детей также обеспечивается косвенным образом.</w:t>
      </w:r>
    </w:p>
    <w:p w:rsidR="00000000" w:rsidRDefault="00000000">
      <w:pPr>
        <w:spacing w:before="360"/>
      </w:pPr>
      <w:r>
        <w:t>В докладе также рекомендованы способы улучшения или дополнения процесса посредничества в этих областях. К примеру, большое внимание в ходе профессиональной подготовки посредников следует уделять тому, что проблема эмоционального неравенства между сторонами может создавать серьезные препятствия для посреднических услуг. Кроме того, посредники должны предоставлять детям в возрасте 12 лет и старше возможность высказать свое мнение по вопросам, имеющим к ним непосредственное отношение, либо конкретно в процессе посредничества, либо, по крайней мере, в письменной форме. Посредническими услугами можно воспользоваться на любой стадии расторжения брака или даже после его расторжения при возникновении проблем с выполнением договоренностей, достигнутых в рамках процедуры развода. Желательно, чтобы стороны назначали своего собственного посредника, однако посредника также может назначить суд, если сочтет, что посреднические услуги необходимы для урегулирования конфликта.</w:t>
      </w:r>
    </w:p>
    <w:p w:rsidR="00000000" w:rsidRDefault="00000000">
      <w:pPr>
        <w:pStyle w:val="Subtitle"/>
        <w:spacing w:before="480"/>
        <w:rPr>
          <w:sz w:val="23"/>
        </w:rPr>
      </w:pPr>
      <w:r>
        <w:rPr>
          <w:sz w:val="23"/>
        </w:rPr>
        <w:t>2.</w:t>
      </w:r>
      <w:r>
        <w:rPr>
          <w:sz w:val="23"/>
        </w:rPr>
        <w:tab/>
        <w:t>Статус проживания в качестве иждивенца и предупреждение фиктивных браков</w:t>
      </w:r>
    </w:p>
    <w:p w:rsidR="00000000" w:rsidRDefault="00000000">
      <w:pPr>
        <w:pStyle w:val="Subtitle"/>
      </w:pPr>
      <w:r>
        <w:rPr>
          <w:lang w:val="en-US"/>
        </w:rPr>
        <w:t>i</w:t>
      </w:r>
      <w:r>
        <w:t>.</w:t>
      </w:r>
      <w:r>
        <w:tab/>
        <w:t>Статус проживания в качестве иждивенца</w:t>
      </w:r>
    </w:p>
    <w:p w:rsidR="00000000" w:rsidRDefault="00000000">
      <w:pPr>
        <w:spacing w:before="360"/>
      </w:pPr>
      <w:r>
        <w:t>Если мужчина или женщина прибывает в Нидерланды для цели воссоединения семьи или образования новой семьи, условия его/ее пребывания в стране в течение первых трех лет зависят от того лица, к которому он/она прибыл/прибыла. Если союз или пребывание в Нидерландах длятся менее трех лет, соответствующее лицо, как правило, не имеет права на автоматическое получение отдельного вида на жительство. Это положение не применяется, если союз был прерван в результате смерти кормильца или в случае  выявления подтвержденных фактов (сексуального) насилия в семье. В последнем случае факт насилия должен подтверждаться медицинским заключением, а также полицейским отчетом или заявлением государственного обвинителя с описанием обвинений, предъявленных правонарушителю. Во всех других случаях продолжение пребывания в стране разрешается только в том случае, если это обусловлено рядом взаимосвязанных причин гуманитарного характера.</w:t>
      </w:r>
    </w:p>
    <w:p w:rsidR="00000000" w:rsidRDefault="00000000">
      <w:pPr>
        <w:pStyle w:val="Subtitle"/>
      </w:pPr>
      <w:r>
        <w:rPr>
          <w:lang w:val="en-US"/>
        </w:rPr>
        <w:t>ii</w:t>
      </w:r>
      <w:r>
        <w:t>.</w:t>
      </w:r>
      <w:r>
        <w:tab/>
        <w:t>Фиктивные браки</w:t>
      </w:r>
    </w:p>
    <w:p w:rsidR="00000000" w:rsidRDefault="00000000">
      <w:r>
        <w:t>1 ноября 1994 года в силу вступил Закон о фиктивных браках (предупреждении). В 2001 году этот Закон был упрощен. Если говорить коротко, то Закон предусматривает, что в случае заключения брака с иностранным подданным, который не имеет постоянного вида на жительство, необходимо представить заявление на получение им официального вида на жительство в стране. Главная цель этого Закона состоит в том, чтобы предотвратить заключение браков с единственной целью получения вида на жительство в Нидерландах. Подавая заявление о желании вступить в брак или при регистрации брака, заключенного в другой стране в течение менее 10 лет назад, соответствующее лицо должно представить заявление (заверенное начальником полиции зарубежного государства в соответствии с действующими положениями, а в будущем – СИН), в котором будет содержаться информация о его/ее местожительстве. Такие же правила применяются в случае зарегистрированных союзов.</w:t>
      </w:r>
    </w:p>
    <w:p w:rsidR="00000000" w:rsidRDefault="00000000">
      <w:pPr>
        <w:pStyle w:val="Subtitle"/>
        <w:spacing w:before="480"/>
        <w:rPr>
          <w:sz w:val="23"/>
          <w:lang w:val="ru-RU"/>
        </w:rPr>
      </w:pPr>
      <w:r>
        <w:rPr>
          <w:sz w:val="23"/>
          <w:lang w:val="ru-RU"/>
        </w:rPr>
        <w:t>3.</w:t>
      </w:r>
      <w:r>
        <w:rPr>
          <w:sz w:val="23"/>
          <w:lang w:val="ru-RU"/>
        </w:rPr>
        <w:tab/>
        <w:t>Закон о фамилиях</w:t>
      </w:r>
    </w:p>
    <w:p w:rsidR="00000000" w:rsidRDefault="00000000">
      <w:pPr>
        <w:spacing w:before="360"/>
      </w:pPr>
      <w:r>
        <w:t>1 января 1998 года в Закон о фамилиях была внесена одна существенная поправка. С этого момента родители получили возможность выбирать, чью фамилию – матери или отца – будет носить ребенок. После того как выбор сделан, каждый последующий ребенок будет носить ту же фамилию. Выбор фамилии может быть осуществлен после признания отцовства, после вынесения судебного решения об установлении отцовства, после усыновления или до или, по крайней мере, сразу же после рождения ребенка.</w:t>
      </w:r>
    </w:p>
    <w:p w:rsidR="00000000" w:rsidRDefault="00000000">
      <w:pPr>
        <w:spacing w:before="360"/>
      </w:pPr>
      <w:r>
        <w:t>Ребенку, родившемуся в законном браке мужчины и женщины, присваивается фамилия отца, если только семейная пара сама не решит присвоить ему фамилию матери. Это же правило применяется в случаях усыновления детей разнополыми партнерами. Если приемные родители не состоят в официальном браке или являются находящимися в официальном браке однополыми супругами, ребенок сохраняет свою предыдущую фамилию, если только не будет сделан четкий выбор в пользу фамилии одного из приемных родителей. Усыновленный ребенок, который благодаря факту усыновления вступает в подпадающие под действие семейного права отношения с супругом, зарегистрированным партнером или другим спутником жизни своего родителя, сохраняет свою прежнюю фамилию, если только не будет сделан четкий выбор в пользу фамилии такого супруга или партнера. В случае признания отцовства или судебного решения об установлении отцовства ребенок получает фамилию матери, если только в момент признания отцовства или установления отцовства в судебном порядке не будет принято четкое решение в пользу фамилии отца. Если на момент вступления с обоими родителями в отношения, подпадающие под действие семейного права, ребенку исполняется или уже исполнилось 16 лет, то он сам объявляет о том, какую фамилию он хотел бы носить, в органе регистрации рождений, смертей и браков или в суде в случае установления отцовства в судебном порядке.</w:t>
      </w:r>
    </w:p>
    <w:p w:rsidR="00000000" w:rsidRDefault="00000000">
      <w:pPr>
        <w:pStyle w:val="-2"/>
        <w:keepNext/>
      </w:pPr>
      <w:r>
        <w:t>Приложение 1:  Резюме</w:t>
      </w:r>
    </w:p>
    <w:p w:rsidR="00000000" w:rsidRDefault="00000000">
      <w:pPr>
        <w:pStyle w:val="Subtitle"/>
        <w:rPr>
          <w:sz w:val="23"/>
          <w:lang w:val="ru-RU"/>
        </w:rPr>
      </w:pPr>
      <w:r>
        <w:rPr>
          <w:sz w:val="23"/>
          <w:lang w:val="ru-RU"/>
        </w:rPr>
        <w:t xml:space="preserve">На пути к </w:t>
      </w:r>
      <w:r>
        <w:rPr>
          <w:i/>
          <w:sz w:val="23"/>
          <w:lang w:val="ru-RU"/>
        </w:rPr>
        <w:t>иному</w:t>
      </w:r>
      <w:r>
        <w:rPr>
          <w:sz w:val="23"/>
          <w:lang w:val="ru-RU"/>
        </w:rPr>
        <w:t xml:space="preserve"> правопорядку и государственной политике</w:t>
      </w:r>
    </w:p>
    <w:p w:rsidR="00000000" w:rsidRDefault="00000000">
      <w:pPr>
        <w:pStyle w:val="Subtitle"/>
        <w:rPr>
          <w:lang w:val="ru-RU"/>
        </w:rPr>
      </w:pPr>
      <w:r>
        <w:rPr>
          <w:lang w:val="ru-RU"/>
        </w:rPr>
        <w:t>Значение пункта</w:t>
      </w:r>
      <w:r>
        <w:t> a</w:t>
      </w:r>
      <w:r>
        <w:rPr>
          <w:lang w:val="ru-RU"/>
        </w:rPr>
        <w:t>) статьи 5 Конвенции для ликвидации структурной гендерной дискриминации</w:t>
      </w:r>
    </w:p>
    <w:p w:rsidR="00000000" w:rsidRDefault="00000000">
      <w:r>
        <w:t>Рикки Холтмаат</w:t>
      </w:r>
    </w:p>
    <w:p w:rsidR="00000000" w:rsidRDefault="00000000">
      <w:pPr>
        <w:jc w:val="left"/>
      </w:pPr>
      <w:r>
        <w:t>Исследование, предпринятое Министерством социальных дел и по вопросам занятости Нидерландов</w:t>
      </w:r>
    </w:p>
    <w:p w:rsidR="00000000" w:rsidRDefault="00000000">
      <w:r>
        <w:t>Май 2004 года</w:t>
      </w:r>
    </w:p>
    <w:p w:rsidR="00000000" w:rsidRDefault="00000000">
      <w:r>
        <w:t>В соответствии с разделом 3 Закона от 3 июля 1991 года об утверждении Конвенции о ликвидации всех форм дискриминации в отношении женщин (КЛДЖ) правительство Нидерландов возложило на себя обязательство регулярно проводить исследования, посвященные ходу выполнения положений Конвенции в Нидерландах. В последние годы был подготовлен целый ряд таких докладов и исследований, посвященных вопросу значения Конвенции для правовой системы Нидерландов, и настоящее исследование является одним из этой серии. Оно представляет собой подробное изучение содержания и смысла пункта а) статьи 5 Конвенции и путей его практической реализации.</w:t>
      </w:r>
    </w:p>
    <w:p w:rsidR="00000000" w:rsidRDefault="00000000">
      <w:r>
        <w:t>В пункте а) статьи 5 Конвенции предусматривается, что все государства – участники Конвенции "принимают все соответствующие меры" для изменения социальных и культурных моделей поведения мужчин и женщин с целью достижения "искоренения предрассудков и упразднения обычаев и всей прочей практики, которые основаны на идее неполноценности или превосходства одного из полов или стереотипности роли мужчин и женщин".</w:t>
      </w:r>
    </w:p>
    <w:p w:rsidR="00000000" w:rsidRDefault="00000000">
      <w:r>
        <w:t>В Нидерландах широкое распространение получило мнение о том, что включение данного положения в текст Конвенции придает ей особое значение и ценность по сравнению с действующими в Нидерландах и Европейском сообществе законами о запрещении дискриминации по признаку пола. На чем основано такое мнение? Какую дополнительную ценность Конвенция имеет по сравнению с указанными правовыми инструментами? Что должны делать государства – участники данной Конвенции для ответственного и добросовестного осуществления данного положения?</w:t>
      </w:r>
    </w:p>
    <w:p w:rsidR="00000000" w:rsidRDefault="00000000">
      <w:r>
        <w:t xml:space="preserve">По мнению Комитета, подготовившего первый национальный доклад об осуществлении Конвенции в Нидерландах, главную цель Конвенции в рамках общей задачи ликвидации всех форм дискриминации в отношении женщин можно условно разбить на три вспомогательные цели: обеспечение полного равенства перед </w:t>
      </w:r>
      <w:r>
        <w:rPr>
          <w:lang w:val="ru-RU"/>
        </w:rPr>
        <w:t>з</w:t>
      </w:r>
      <w:r>
        <w:t>аконом и в системе государственного управления; улучшение положения женщин; и борьба с доминирующей гендерной идеологией.</w:t>
      </w:r>
    </w:p>
    <w:p w:rsidR="00000000" w:rsidRDefault="00000000">
      <w:r>
        <w:t>Комитет пришел к выводу, что пункт а) статьи 5 Конвенции служит основой для достижений третьей из перечисленных выше целей. Это мнение стало отправной точкой исследования, о котором рассказывается в настоящем документе. Имеет ли такое толкование данного положения прочную основу в официальных правовых документах и научной литературе, посвященной настоящей Конвенции?</w:t>
      </w:r>
    </w:p>
    <w:p w:rsidR="00000000" w:rsidRDefault="00000000">
      <w:r>
        <w:t xml:space="preserve">В настоящем исследовании сделан вывод, что пункт а) статьи 5 Конвенции имеет </w:t>
      </w:r>
      <w:r>
        <w:rPr>
          <w:lang w:val="ru-RU"/>
        </w:rPr>
        <w:t xml:space="preserve">двоякое </w:t>
      </w:r>
      <w:r>
        <w:t>значение: он налагает на государств</w:t>
      </w:r>
      <w:r>
        <w:rPr>
          <w:lang w:val="ru-RU"/>
        </w:rPr>
        <w:t>а</w:t>
      </w:r>
      <w:r>
        <w:t>-участник</w:t>
      </w:r>
      <w:r>
        <w:rPr>
          <w:lang w:val="ru-RU"/>
        </w:rPr>
        <w:t>и</w:t>
      </w:r>
      <w:r>
        <w:t xml:space="preserve"> обязательство не только проводить активную политику в целях запрещения стереотипного изображения мужчин и женщин, например в СМИ и в сфере образования, но и анализировать свое законодательство и политику на предмет наличия в них скрытых гендерных стереотипов. Последний аспект в целом означает, что данное положение влечет за собой обязательство принимать действенные меры для ликвидации структурной гендерной дискриминации.</w:t>
      </w:r>
    </w:p>
    <w:p w:rsidR="00000000" w:rsidRDefault="00000000">
      <w:r>
        <w:t>По сути</w:t>
      </w:r>
      <w:r>
        <w:rPr>
          <w:lang w:val="ru-RU"/>
        </w:rPr>
        <w:t>,</w:t>
      </w:r>
      <w:r>
        <w:t xml:space="preserve"> пункт а) статьи 5 и вытекающие из него последствия устанавливают норму, которая выходит за рамки большинства действующих законов, касающихся обеспечения равенства мужчин и женщин. Действующее законодательство предписывает обеспечивать защиту граждан от дискриминации; в нем не предусматривается практически никаких средств защиты от внутренних причин последовательной дискриминации или ущемления прав женщин. Законодательство по вопросам равноправия ориентировано на прошлое и касается тех случаев дискриминации, которые имели место в прошлом. В свою очередь Конвенция конкретно направлена на то, чтобы вызвать системные изменения и тем самым предупреждать дискриминацию в будущем. В пункте а) статьи 5 Конвенции провозглашается не только принцип равенства, но и принцип многообразия или свободы. Это означает, что каждое лицо имеет право делать свой выбор в пользу того, что значит быть мужчиной или женщиной, не ограничиваясь конкретными традиционными представлениями о мужском или женском начале, пропагандируемыми учреждениями или организациями, функционирующими в обществе. Если говорит</w:t>
      </w:r>
      <w:r>
        <w:rPr>
          <w:lang w:val="ru-RU"/>
        </w:rPr>
        <w:t>ь</w:t>
      </w:r>
      <w:r>
        <w:t xml:space="preserve"> коротко, то значение пункта а) статьи 5 Конвенции состоит в том, что он делает </w:t>
      </w:r>
      <w:r>
        <w:rPr>
          <w:i/>
        </w:rPr>
        <w:t>равенство</w:t>
      </w:r>
      <w:r>
        <w:t xml:space="preserve"> синонимом </w:t>
      </w:r>
      <w:r>
        <w:rPr>
          <w:i/>
        </w:rPr>
        <w:t>перемен</w:t>
      </w:r>
      <w:r>
        <w:t xml:space="preserve">: требуется разработка </w:t>
      </w:r>
      <w:r>
        <w:rPr>
          <w:i/>
        </w:rPr>
        <w:t>иных</w:t>
      </w:r>
      <w:r>
        <w:t xml:space="preserve"> законов и </w:t>
      </w:r>
      <w:r>
        <w:rPr>
          <w:i/>
        </w:rPr>
        <w:t>иной</w:t>
      </w:r>
      <w:r>
        <w:t xml:space="preserve"> государственной политики.</w:t>
      </w:r>
    </w:p>
    <w:p w:rsidR="00000000" w:rsidRDefault="00000000">
      <w:r>
        <w:t>По смыслу этой книги, гендерный фактор означает социальные, культурные и институциональные модели того, что значит быть мужчиной или женщиной, то есть мужского и женского начала. Понятие структурной гендерной дискриминации относится к тем формам дискриминации, которые вытекают из того, что структура или организация общества основана на гендерных стереотипах и поэтому поддерживает существование неравных отношений между полами. Оно основано на твердом убеждении в том, что использование стереотипных (часто традиционных и по большей части завуалированных) идей, символов и моделей приводит к определенному подчинению и дискриминации женщин и женского начала. Такой подход существует параллельно с юридическим понятием дискриминации по признаку пола, которое конкретно касается различий в обращении на основании биологического пола.</w:t>
      </w:r>
    </w:p>
    <w:p w:rsidR="00000000" w:rsidRDefault="00000000">
      <w:r>
        <w:t>Главная предпосылка борьбы против структурной гендерной дискриминации состоит в том, чтобы выявить и обнаружить ее наличие. Это далеко не всегда бывает просто, поскольку приходится опровергать неоспоримые "истины", касающиеся биологического пола мужчин и женщин и взаимоотношений между полами, которые способствуют сохранению социальных, культурных и институциональных традиций.</w:t>
      </w:r>
    </w:p>
    <w:p w:rsidR="00000000" w:rsidRDefault="00000000">
      <w:r>
        <w:t>В данном исследовании изучается метод, способствующий выявлению структурной гендерной дискриминации, основанный на материалах по вопросу о гендерной модели и той роли, которую гендерные факторы играют в процессе разработки законодательства и государственной политики. Я описываю ряд методологических направлений и принципов, а затем применяю этот метод к Закону "</w:t>
      </w:r>
      <w:r>
        <w:rPr>
          <w:lang w:val="en-US"/>
        </w:rPr>
        <w:t>Wet</w:t>
      </w:r>
      <w:r>
        <w:t xml:space="preserve"> </w:t>
      </w:r>
      <w:r>
        <w:rPr>
          <w:lang w:val="en-US"/>
        </w:rPr>
        <w:t>Inburgering</w:t>
      </w:r>
      <w:r>
        <w:t xml:space="preserve"> </w:t>
      </w:r>
      <w:r>
        <w:rPr>
          <w:lang w:val="en-US"/>
        </w:rPr>
        <w:t>Nieuwkomers</w:t>
      </w:r>
      <w:r>
        <w:t>" (Закону об интеграции вновь прибывших)</w:t>
      </w:r>
      <w:r>
        <w:rPr>
          <w:lang w:val="ru-RU"/>
        </w:rPr>
        <w:t>,</w:t>
      </w:r>
      <w:r>
        <w:t xml:space="preserve"> который был недавно принят и требует, чтобы иммигранты и лица, желающие получить убежище и жить в Нидерландах, придерживались установленных принципов, касающихся ознакомления с нормами и ценностями нидерландского общества. При этом я рассматриваю документы, которые необходимо внимательно изучить, и вопросы, которые необходимо задать</w:t>
      </w:r>
      <w:r>
        <w:rPr>
          <w:lang w:val="ru-RU"/>
        </w:rPr>
        <w:t>,</w:t>
      </w:r>
      <w:r>
        <w:t xml:space="preserve"> для того чтобы выявить любые проявления структурной гендерной дискриминации в этой части указанного Закона. Любые выводы, которые можно извлечь на основании результатов данного исследования для обеспечения обоснованной разработки иной политики или иного законодательства, предстоит сделать официальным должностным лицам и депутатам парламента.</w:t>
      </w:r>
    </w:p>
    <w:p w:rsidR="00000000" w:rsidRDefault="00000000">
      <w:r>
        <w:t>Предлагаемый в настоящей работе метод выявления структурной гендерной дискриминации в законодательстве и государственной политике дополняет существующий инструмент оценки гендерного воздействия (ОГВ). Последний инструмент в основном направлен на оценку влияния планируемого законодательства и политики на социально-экономическое положение женщин. Предложенный метод в сочетании с ОГВ может сыграть важную роль в обеспечении учета гендерного фактора в рамках всего процесса разработки политики.</w:t>
      </w:r>
    </w:p>
    <w:p w:rsidR="00000000" w:rsidRDefault="00000000">
      <w:pPr>
        <w:spacing w:line="480" w:lineRule="auto"/>
      </w:pPr>
    </w:p>
    <w:p w:rsidR="00000000" w:rsidRDefault="00000000">
      <w:pPr>
        <w:pStyle w:val="-2"/>
        <w:keepNext/>
        <w:pageBreakBefore/>
        <w:spacing w:before="0"/>
      </w:pPr>
      <w:r>
        <w:t>Приложение 2:  Тематический раздел второго Национального доклада о политике в области эмансипации (резюме)</w:t>
      </w:r>
    </w:p>
    <w:p w:rsidR="00000000" w:rsidRDefault="00000000">
      <w:pPr>
        <w:pStyle w:val="Subtitle"/>
        <w:rPr>
          <w:lang w:val="ru-RU"/>
        </w:rPr>
      </w:pPr>
      <w:r>
        <w:t>Конвенция Организации Объединенных Наций о ликвидации всех форм дискриминации в отношении женщин</w:t>
      </w:r>
      <w:r>
        <w:rPr>
          <w:lang w:val="ru-RU"/>
        </w:rPr>
        <w:t xml:space="preserve"> в связи с положением иностранных гражданок в контексте законодательства и политики Нидерландов в отношении иностранцев</w:t>
      </w:r>
    </w:p>
    <w:p w:rsidR="00000000" w:rsidRDefault="00000000">
      <w:pPr>
        <w:ind w:left="1134"/>
      </w:pPr>
      <w:r>
        <w:t>Резюме,</w:t>
      </w:r>
    </w:p>
    <w:p w:rsidR="00000000" w:rsidRDefault="00000000">
      <w:pPr>
        <w:ind w:left="1134"/>
      </w:pPr>
      <w:r>
        <w:t>подготовленное Консультативным комитетом по делам иностранцев</w:t>
      </w:r>
    </w:p>
    <w:p w:rsidR="00000000" w:rsidRDefault="00000000">
      <w:pPr>
        <w:ind w:left="1134"/>
        <w:jc w:val="left"/>
      </w:pPr>
      <w:r>
        <w:t xml:space="preserve">Тематический раздел второго </w:t>
      </w:r>
      <w:r>
        <w:rPr>
          <w:lang w:val="ru-RU"/>
        </w:rPr>
        <w:t>Н</w:t>
      </w:r>
      <w:r>
        <w:t xml:space="preserve">ационального доклада </w:t>
      </w:r>
      <w:r>
        <w:rPr>
          <w:lang w:val="ru-RU"/>
        </w:rPr>
        <w:br/>
      </w:r>
      <w:r>
        <w:t>о политике в области эмансипации</w:t>
      </w:r>
    </w:p>
    <w:p w:rsidR="00000000" w:rsidRDefault="00000000">
      <w:r>
        <w:t>Консультативный комитет по делам иностранцев</w:t>
      </w:r>
    </w:p>
    <w:p w:rsidR="00000000" w:rsidRDefault="00000000">
      <w:pPr>
        <w:rPr>
          <w:i/>
        </w:rPr>
      </w:pPr>
      <w:r>
        <w:rPr>
          <w:i/>
        </w:rPr>
        <w:t>Гаага, ноябрь 2002 года</w:t>
      </w:r>
    </w:p>
    <w:p w:rsidR="00000000" w:rsidRDefault="00000000">
      <w:pPr>
        <w:rPr>
          <w:b/>
          <w:lang w:val="ru-RU"/>
        </w:rPr>
      </w:pPr>
      <w:r>
        <w:rPr>
          <w:b/>
          <w:lang w:val="ru-RU"/>
        </w:rPr>
        <w:t>Резюме и рекомендации</w:t>
      </w:r>
    </w:p>
    <w:p w:rsidR="00000000" w:rsidRDefault="00000000">
      <w:r>
        <w:t>В своем рекомендательном докладе Консультативный комитет по делам иностранцев (ККДИ) изучил в свете Конвенции положение женщин-иностранок в контексте нидерландского законодательства и политики.</w:t>
      </w:r>
    </w:p>
    <w:p w:rsidR="00000000" w:rsidRDefault="00000000">
      <w:r>
        <w:t>Данный доклад является ответом на просьбу государственного секретаря по вопросам юстиции и тогдашнего государственного секретаря социальных дел и по вопросам занятости о подготовке тематического раздела для национального доклада о политике в области эмансипации. Такой национальный доклад представляется в Палату представителей Генеральных штатов каждые четыре года, отчасти в качестве подспорья для подготовки четырехгодичного доклада для Комитета Организации Объединенных Наций по ликвидации дискриминации в отношении женщин (КЛДЖ). В Конвенции предусматривается, что страны-участницы должны раз в четыре года представлять свои доклады на рассмотрение данного Комитета. В своем ответе на последний доклад правительства, представленный Нидерландами в 2000 году, Комитет КЛДЖ заявил о своей обеспокоенности по поводу того, что в докладе не были уточнены вопросы, касающиеся положения чернокожих женщин, женщин-мигрантов и женщин-беженцев, и предложил правительству Нидерландов представить требуемое разъяснение в своем следующем докладе.</w:t>
      </w:r>
    </w:p>
    <w:p w:rsidR="00000000" w:rsidRDefault="00000000">
      <w:r>
        <w:t>В своем рекомендательном докладе ККДИ ограничивает внимание вопросами, конкретно касающимися Закона об иностранцах. Он не рассматривает политику, проводимую в отношении вновь прибывших или интеграции. Вместе с тем Комитет довольно подробно рассматривает такие вопросы, как "женщины и процедура предоставления убежища", "воссоединение семей/</w:t>
      </w:r>
      <w:r>
        <w:rPr>
          <w:lang w:val="ru-RU"/>
        </w:rPr>
        <w:br/>
      </w:r>
      <w:r>
        <w:t>образование новых семей", "помощники по хозяйству", "торговля женщинами" и "женщины, не имеющие вида на жительство, здравоохранение и проституция". По каждому из указанных вопросов исследуются возможные несоответствия между политикой Нидерландов и Конвенцией.</w:t>
      </w:r>
    </w:p>
    <w:p w:rsidR="00000000" w:rsidRDefault="00000000">
      <w:r>
        <w:t>Некоторые аспекты политики в области эмансипации требуют более тщательного рассмотрения. В начале своего доклада об оценке ККДИ отмечает, что в некоторых случаях имеющиеся цифры (которые Комитет КЛДЖ конкретно просит представить) недостаточно полно отражают последствия для мужчин и женщин применения положений Закона об иностранцах или политики в отношении иностранцев. Эти данные необходимо дополнить. Данная задача возложена на Службу иммиграции и натурализации (СИН), а также такие учреждения, как Центральное статистическое бюро Нидерландов (ЦСБ) и Управление социального и культурного планирования (УСКП).</w:t>
      </w:r>
    </w:p>
    <w:p w:rsidR="00000000" w:rsidRDefault="00000000">
      <w:r>
        <w:t>ККДИ также отмечает, что в опубликованном в марте 2000 года документе о среднесрочной политике по обеспечению равных возможностей, в многолетнем плане в области эмансипации на период 2001–2010 годов, опубликованном в ноябре 2000 года, и в недавней позиции правительства по вопросам учета гендерного фактора, обнародованной в июне 2001 года, правительство Нидерландов провозгласило политику, направленную на включение задач по обеспечению равных возможностей во все направления своей общей политики. В рамках исследований ККДИ были представлены инструкции, диаграммы и инструменты, которые могут оказаться весьма полезными. Опираясь на результаты проделанного анализа, ККДИ считает, что в целом принципы политики по обеспечению эмансипации</w:t>
      </w:r>
      <w:r>
        <w:rPr>
          <w:lang w:val="ru-RU"/>
        </w:rPr>
        <w:t>,</w:t>
      </w:r>
      <w:r>
        <w:t xml:space="preserve"> независимо от гендерного фактора</w:t>
      </w:r>
      <w:r>
        <w:rPr>
          <w:lang w:val="ru-RU"/>
        </w:rPr>
        <w:t>,</w:t>
      </w:r>
      <w:r>
        <w:t xml:space="preserve"> сформулированы вполне удачно. Вместе с тем он пришел к выводу о том, что эти принципы (в частности</w:t>
      </w:r>
      <w:r>
        <w:rPr>
          <w:lang w:val="ru-RU"/>
        </w:rPr>
        <w:t>,</w:t>
      </w:r>
      <w:r>
        <w:t xml:space="preserve"> те, на которые опирается Министерство юстиции) по-прежнему являются довольно уязвимыми и еще не до конца доработаны и привязаны к конкретным реалиям. В качестве практического совета ККДИ рекомендует продолжать усилия по выполнению основных предварительных условий. Эти предварительные условия конкретно касаются потенциала, кадрового состава и полномочий руководящей группы Министерства юстиции по обеспечению равных возможностей, а также непрерывного выполнения своих обязательств соответствующими департаментами Министерства юстиции.</w:t>
      </w:r>
    </w:p>
    <w:p w:rsidR="00000000" w:rsidRDefault="00000000">
      <w:r>
        <w:t xml:space="preserve">Что касается вопроса </w:t>
      </w:r>
      <w:r>
        <w:rPr>
          <w:b/>
        </w:rPr>
        <w:t>воссоединения семей</w:t>
      </w:r>
      <w:r>
        <w:t xml:space="preserve"> и </w:t>
      </w:r>
      <w:r>
        <w:rPr>
          <w:b/>
        </w:rPr>
        <w:t>образования новых семей</w:t>
      </w:r>
      <w:r>
        <w:t>, то одними из элементов, которые, как было выяснено, противоречат положениям Конвенции, являются установленные в Нидерландах критерии дохода и присвоение статуса проживания в качестве иждивенцев. Для обеспечения надлежащего соблюдения Конвенции правительству следует составить надежные статистические данные, которые отражали бы, в какой мере проживающие в Нидерландах лица (с разбивкой по полу и этническому происхождению) могут соответствовать существующему критерию, касающемуся уровня доходов. В настоящее время таких цифр не имеется, и поэтому ККДИ рекомендует собрать такие статистические данные (см. также общую рекомендацию).</w:t>
      </w:r>
    </w:p>
    <w:p w:rsidR="00000000" w:rsidRDefault="00000000">
      <w:r>
        <w:t>Поскольку имеются некоторые признаки того, что женщинам оказывается труднее, чем мужчинам, соответствовать всем установленным в Нидерландах критериям, касающимся уровня доходов, для образования семей, ККДИ рекомендует до принятия какого-либо конкретного решения по этому вопросу провести оценку гендерного воздействия планируемых изменений в политике (установления более высоких критериев дохода, взимание более высокой платы со слушателей, посещающих курсы по интеграции, и введения требований о том, чтобы слушатели сами полностью оплачивали такие курсы).</w:t>
      </w:r>
    </w:p>
    <w:p w:rsidR="00000000" w:rsidRDefault="00000000">
      <w:pPr>
        <w:spacing w:before="200" w:line="275" w:lineRule="exact"/>
      </w:pPr>
      <w:r>
        <w:t>ККДИ отмечает, что разрешение на трехлетнее пребывание в стране лиц из стран, не входящих в ЕС, со статусом иждивенцев несет в себе риск того, что иждивенцы, в первую очередь женщины</w:t>
      </w:r>
      <w:r>
        <w:rPr>
          <w:lang w:val="ru-RU"/>
        </w:rPr>
        <w:t>,</w:t>
      </w:r>
      <w:r>
        <w:t xml:space="preserve"> могут попасть в полную зависимость от своего супруга или партнера. Тем не менее Комитет, в отличие от многочисленных женских организаций, считает, что этот инструмент имеет важное значение для обеспечения того, чтобы объявленная цель проживания в стране выполнялась на практике. В дополнение ККДИ подчеркивает необходимость принятия надлежащих мер по обеспечению защиты тех женщин, которым это потребуется. Нынешние положения, касающиеся предоставления женщинам отдельного вида на жительство в первые три года пребывания в стране, если они явно подвергаются насилию, являются одной из таких защитных мер. ККДИ считает, что жестокое насилие само по себе является гуманитарной причиной, оправдывающей предоставление отдельного вида на жительство. На практике, имплементирующие органы не имеют достаточной ясности в отношении финансовой и другой поддержки женщин – жертв насилия, которые уходят от своих сожителей в течение первых трех лет пребывания в стране и ожидают решения о выдаче им отдельного вида на жительство. Эту проблему, связанную с отсутствием ясности, необходимо решить. Кроме того, женщины, ходатайствующие о получении отдельного вида на жительство, должны получать более подробные консультации и более четкую информацию, с тем чтобы лучше понять свой правовой статус, по возможности еще до их приезда в Нидерланды. ККДИ считает, что данные, имеющиеся в настоящее время в Нидерландах в отношении чернокожих женщин, женщин-мигрантов и женщин-беженцев, должны распространяться более эффективно.</w:t>
      </w:r>
    </w:p>
    <w:p w:rsidR="00000000" w:rsidRDefault="00000000">
      <w:pPr>
        <w:spacing w:before="200" w:line="275" w:lineRule="exact"/>
      </w:pPr>
      <w:r>
        <w:t xml:space="preserve">Что касается предоставления </w:t>
      </w:r>
      <w:r>
        <w:rPr>
          <w:b/>
        </w:rPr>
        <w:t>убежища</w:t>
      </w:r>
      <w:r>
        <w:t>, то основные выявленные противоречия между политикой Нидерландов и положениями Конвенции касаются того внимания, которое уделяется гендерным аспектам в Руководящих принципах по осуществлению Закона об иностранцах и конкретных страновых дополнениях к этим руководящим принципам (</w:t>
      </w:r>
      <w:r>
        <w:rPr>
          <w:lang w:val="en-US"/>
        </w:rPr>
        <w:t>TBVs</w:t>
      </w:r>
      <w:r>
        <w:t xml:space="preserve">) </w:t>
      </w:r>
      <w:r>
        <w:rPr>
          <w:lang w:val="ru-RU"/>
        </w:rPr>
        <w:t xml:space="preserve">и </w:t>
      </w:r>
      <w:r>
        <w:t xml:space="preserve">положению женщин в официальных страновых докладах и подробных интервью, в подходе к проблемам травм в рамках процедуры предоставления убежища и Закона об общем административном праве в части, касающейся сообщения новых фактов. ККДИ считает, что внимание, уделяемое гендерным аспектам в Руководящих принципах по осуществлению Закона об иностранцах, </w:t>
      </w:r>
      <w:r>
        <w:rPr>
          <w:lang w:val="en-US"/>
        </w:rPr>
        <w:t>TBVs</w:t>
      </w:r>
      <w:r>
        <w:t xml:space="preserve"> и официальных страновых докладах, должно носить систематический и всеобъемлющий характер. Комитет вносит ряд конкретных рекомендаций, направленных на достижение этой цели. Вопросы калечащих операций на половых органах женщин, насилия в семье как основания для пред</w:t>
      </w:r>
      <w:r>
        <w:rPr>
          <w:lang w:val="ru-RU"/>
        </w:rPr>
        <w:t>о</w:t>
      </w:r>
      <w:r>
        <w:t>ставления убежища рассматриваются отдельно. ККДИ также вносит конкретные рекомендации, касающиеся проведения подробных интервью в рамках процедуры предоставления убежища (в отношении структуры и процедур, а также профессиональной подготовки должностных лиц, проводящих такие интервью). Он также рекомендует принять меры для обеспечения конфиденциальности в отношении причин, по которым женщины ходатайствуют о предоставлении убежища, о чем они нередко просят.</w:t>
      </w:r>
    </w:p>
    <w:p w:rsidR="00000000" w:rsidRDefault="00000000">
      <w:pPr>
        <w:spacing w:before="200" w:line="275" w:lineRule="exact"/>
      </w:pPr>
      <w:r>
        <w:t>ККДИ считает, что при появлении во время первого интервью (в Центре приема заявлений) каких-либо подозрений относительно наличия у интервьюируемого лица серьезной травмы, последующие интервью должны обязательно проводиться в Центре расследований для создания максимально комфортных условий для интервьюируемого. ККДИ считает целесообразным внести поправку в политику в отношении травм, изложенную в главе 14.2.2 Руководящих принципов по осуществлению Закона об иностранцах 2000 года. Такая поправка должна предусматривать, что в случае появления каких-либо новых фактов или условий, свидетельствующих о наличии серьезной травмы, после отклонения ходатайства о предоставлении убежища первоначальное решение в принципе может быть пересмотрено. В этом случае необходимо иметь психиатрическое заключение, подтверждающее, что данное лицо страдает от последствий серьезной психологической травмы и из-за этого при подаче первого ходатайства о предоставлении убежища оно не смогло сослаться на события, в результате которых была получена травма.</w:t>
      </w:r>
    </w:p>
    <w:p w:rsidR="00000000" w:rsidRDefault="00000000">
      <w:pPr>
        <w:spacing w:before="200" w:line="275" w:lineRule="exact"/>
      </w:pPr>
      <w:r>
        <w:t xml:space="preserve">Что касается </w:t>
      </w:r>
      <w:r>
        <w:rPr>
          <w:b/>
        </w:rPr>
        <w:t>помощников по хозяйству</w:t>
      </w:r>
      <w:r>
        <w:t>, то главная область противоречий между нидерландской политикой и Конвенцией находится в плоскости трудовых отношений, различий между помощниками по хозяйству и наемной домашней прислугой и качества работы служб, занимающихся посредничеством. ККДИ рекомендует заключение специального договора с тем или иным лицом, желающим прибыть в Нидерланды в качестве помощника по хозяйству. В любом случае в таком договоре должны быть обозначены продолжительность рабочего дня и отдыха (минимальное число выходных дней), характер выполняемой работы, еженедельный график работы, размер оплаты труда и время, за которое работник должен быть предупрежден об увольнении. В договоре также должно быть обязательное положение, предусматривающее, что, если помощнику по хозяйству вручается уведомление об увольнении по причинам, не поддающимся его контролю, ему должно быть выплачено вознаграждение за весь период согласованного контракта. Он также должен иметь оперативный доступ к арбитражной процедуре, организованной национальным арбитражным комитетом, в случае конфликтов, возникающих в связи с контрактом помощника по хозяйству. Необходимо проводить четкое разграничение между помощниками по хозяйству и оплачиваемой домашней прислугой. Для помощников по хозяйству главный принцип должен заключаться в том, что они оказывают определенную помощь семье, имея при этом возможности для личного развития. С другой стороны, в отношении домашней прислуги должны в полной мере применяться положения Закона о (занятости) иностранных подданных.</w:t>
      </w:r>
    </w:p>
    <w:p w:rsidR="00000000" w:rsidRDefault="00000000">
      <w:pPr>
        <w:spacing w:before="200" w:line="275" w:lineRule="exact"/>
      </w:pPr>
      <w:r>
        <w:t>ККДИ выступает за введение стандарта качества для агентств, оказывающих посреднические услуги помощникам по хозяйству. В тех случаях, когда ходатайство поддерживается официальным посредническим агентством, должна применяться упрощенная процедура въезда в страну.</w:t>
      </w:r>
    </w:p>
    <w:p w:rsidR="00000000" w:rsidRDefault="00000000">
      <w:pPr>
        <w:spacing w:before="200" w:line="275" w:lineRule="exact"/>
      </w:pPr>
      <w:r>
        <w:t xml:space="preserve">Что касается </w:t>
      </w:r>
      <w:r>
        <w:rPr>
          <w:b/>
        </w:rPr>
        <w:t>проблемы торговли женщинами</w:t>
      </w:r>
      <w:r>
        <w:t xml:space="preserve">, то главные противоречия между политикой Нидерландов и Конвенцией, касаются эффективности "процедуры </w:t>
      </w:r>
      <w:r>
        <w:rPr>
          <w:lang w:val="en-US"/>
        </w:rPr>
        <w:t>B</w:t>
      </w:r>
      <w:r>
        <w:t>9", применяемой в отношении жертв торговли женщинами, оказания поддержки таким женщинам, способов предоставления им статуса ищущих убежище и торговли женщинами в связи с отменой запрета на публичные дома.</w:t>
      </w:r>
    </w:p>
    <w:p w:rsidR="00000000" w:rsidRDefault="00000000">
      <w:pPr>
        <w:spacing w:before="200" w:line="275" w:lineRule="exact"/>
      </w:pPr>
      <w:r>
        <w:t xml:space="preserve">Было установлено, что процедуры поиска убежища и обеспечения поддержки для жертв торговли людьми, которые готовы сообщить об этих преступлениях в полицию, не всегда последовательно применяются различными подразделениями полиции по делам иностранцев. В связи с этим ККДИ считает важным разработать национальные руководящие принципы, опирающиеся на самые передовые методы работы региональных отделений полиции. Эти руководящие принципы должны быть разработаны в консультации с поставщиками услуг по уходу, поскольку в них также должно уточняться, каким образом интересы пострадавших, нуждающихся в защите, практически увязываются с заинтересованностью общества в выявлении торговцев людьми и привлечении их к ответственности. За улучшениями в применении процедур, которые будут достигнуты с помощью таких способов, необходимо будет осуществлять </w:t>
      </w:r>
      <w:r>
        <w:rPr>
          <w:lang w:val="ru-RU"/>
        </w:rPr>
        <w:t>тщательный</w:t>
      </w:r>
      <w:r>
        <w:t xml:space="preserve"> контроль.</w:t>
      </w:r>
    </w:p>
    <w:p w:rsidR="00000000" w:rsidRDefault="00000000">
      <w:r>
        <w:t xml:space="preserve">Важно также обращать более пристальное внимание оказанию поддержки жертвам торговли женщинами. Прошлый опыт свидетельствует о том, что иногда весьма сложно сразу найти убежище для жертв, которые сообщили о подобных преступлениях в полицию. Если отделы полиции по делам иностранцев не смогут предоставлять убежище для пострадавших женщин, то "процедура </w:t>
      </w:r>
      <w:r>
        <w:rPr>
          <w:lang w:val="en-US"/>
        </w:rPr>
        <w:t>B</w:t>
      </w:r>
      <w:r>
        <w:t xml:space="preserve">9" будет носить иллюзорный характер. Пострадавшим необходимо предоставить возможность реабилитации в безопасных условиях после причиненных им травм. Первой предпосылкой для этого является скорейшее помещение женщин в надежное убежище. На практике стало вполне очевидным, что Фонд по борьбе с торговлей женщинами не всегда может немедленно предоставить требуемое убежище сразу же после первого контакта с полицией. Это означает, что одно из главных условий для оптимальной реализации "процедуры </w:t>
      </w:r>
      <w:r>
        <w:rPr>
          <w:lang w:val="en-US"/>
        </w:rPr>
        <w:t>B</w:t>
      </w:r>
      <w:r>
        <w:t>9" выполняется далеко не всегда. Комитет считает, что эту ситуацию необходимо исправить как можно скорее. Несовершеннолетние пострадавшие должны немедленно передаваться опекунам, которые буд</w:t>
      </w:r>
      <w:r>
        <w:rPr>
          <w:lang w:val="ru-RU"/>
        </w:rPr>
        <w:t>у</w:t>
      </w:r>
      <w:r>
        <w:t>т действовать исходя из их интересов. Рабочие отношения, сложившиеся между отделами полиции по делам иностранцев, СИН и Комитетом по защите детей, также нуждаются в улучшении.</w:t>
      </w:r>
    </w:p>
    <w:p w:rsidR="00000000" w:rsidRDefault="00000000">
      <w:r>
        <w:t>ККДИ не может согласиться с предложением, в частности</w:t>
      </w:r>
      <w:r>
        <w:rPr>
          <w:lang w:val="ru-RU"/>
        </w:rPr>
        <w:t>,</w:t>
      </w:r>
      <w:r>
        <w:t xml:space="preserve"> выдвинутым женскими организациями, о предоставлении жертвам торговли женщинами статуса лиц, ищущих убежище</w:t>
      </w:r>
      <w:r>
        <w:rPr>
          <w:lang w:val="ru-RU"/>
        </w:rPr>
        <w:t>,</w:t>
      </w:r>
      <w:r>
        <w:t xml:space="preserve"> с учетом принципа обратной силы. ККДИ</w:t>
      </w:r>
      <w:r>
        <w:tab/>
        <w:t xml:space="preserve"> считает, что режим предоставления по серьезным гуманитарным причинам вида на жительство обеспечивает достаточную степень защиты.</w:t>
      </w:r>
    </w:p>
    <w:p w:rsidR="00000000" w:rsidRDefault="00000000">
      <w:r>
        <w:t xml:space="preserve">ККДИ рекомендует последовательно проводить согласованную правительственную политику: женщинам, которым не разрешено остаться в Нидерландах по окончании "процедуры </w:t>
      </w:r>
      <w:r>
        <w:rPr>
          <w:lang w:val="en-US"/>
        </w:rPr>
        <w:t>B</w:t>
      </w:r>
      <w:r>
        <w:t>9", должна быть оказана поддержка в возвращении в страну происхождения и выделена помощь для начала новой жизни у себя на родине. Рекомендуется также организовать для таких женщин специальные программы возвращения, которые в настоящее время действуют в некоторых странах.</w:t>
      </w:r>
    </w:p>
    <w:p w:rsidR="00000000" w:rsidRDefault="00000000">
      <w:r>
        <w:t>Если тезис о том, что новая политика в отношении проституции (отмена запрета на публичные дома) способствует торговле женщинами и ухудшает положение незаконных иммигранток, верен, можно говорить о том, что эта политика несовместима со статьей 6 Конвенции об обязанности стран принимать все возможные меры для борьбы со всеми формами торговли людьми. Этот тезис заслуживает самой внимательной и тщательной проверки. Если выяснится, что в действительности он имеет под собой основания, правительству необходимо будет подумать над возможностью принятия надлежащих мер. ККДИ рекомендует провести отдельное совещание экспертов с привлечением представителей всех соответствующих организаций: полиции, государственной прокуратуры, муниципальных органов власти и поставщиков услуг по уходу.</w:t>
      </w:r>
    </w:p>
    <w:p w:rsidR="00000000" w:rsidRDefault="00000000">
      <w:r>
        <w:t xml:space="preserve">В заключение, в отношении </w:t>
      </w:r>
      <w:r>
        <w:rPr>
          <w:b/>
        </w:rPr>
        <w:t>охраны здоровья женщин, не имеющих вида на жительство</w:t>
      </w:r>
      <w:r>
        <w:t>, ККДИ считает, что необходимо в срочном порядке провести дальнейшие исследования, посвященные состоянию здоровья женщин, относящихся к данной категории, и сравнить их положение с положением легальных, но в других отношениях сопоставимых с ними групп населения.</w:t>
      </w:r>
    </w:p>
    <w:p w:rsidR="00000000" w:rsidRDefault="00000000">
      <w:pPr>
        <w:rPr>
          <w:lang w:val="ru-RU"/>
        </w:rPr>
      </w:pPr>
      <w:r>
        <w:t xml:space="preserve">Важно также, чтобы поставщики услуг по уходу четко понимали, какие основные медицинские услуги необходимы для незаконно проживающих в стране иностранцев. Было установлено, что объем знаний в этой области и своевременность оплаты (услуг по уходу и лекарств) нельзя считать удовлетворительными. Ответственность за исправление этой ситуации возложена на </w:t>
      </w:r>
      <w:r>
        <w:rPr>
          <w:lang w:val="en-US"/>
        </w:rPr>
        <w:t>Stichting</w:t>
      </w:r>
      <w:r>
        <w:t xml:space="preserve"> </w:t>
      </w:r>
      <w:r>
        <w:rPr>
          <w:lang w:val="en-US"/>
        </w:rPr>
        <w:t>Koppeling</w:t>
      </w:r>
      <w:r>
        <w:t xml:space="preserve"> (Фонд для оказания медицинской помощи незаконно находящимся в стране иностранцам) и Министерство здравоохранения, социального обеспечения и спорта. ККДИ рекомендует принять в связи с этим все необходимые меры.</w:t>
      </w:r>
    </w:p>
    <w:p w:rsidR="00000000" w:rsidRDefault="00000000">
      <w:pPr>
        <w:jc w:val="center"/>
        <w:rPr>
          <w:lang w:val="ru-RU"/>
        </w:rPr>
      </w:pPr>
      <w:r>
        <w:rPr>
          <w:lang w:val="ru-RU"/>
        </w:rPr>
        <w:t>_______________</w:t>
      </w:r>
    </w:p>
    <w:sectPr w:rsidR="00000000">
      <w:headerReference w:type="even" r:id="rId18"/>
      <w:headerReference w:type="default" r:id="rId19"/>
      <w:footerReference w:type="even" r:id="rId20"/>
      <w:footerReference w:type="default" r:id="rId21"/>
      <w:footerReference w:type="first" r:id="rId22"/>
      <w:pgSz w:w="12242" w:h="15842" w:code="1"/>
      <w:pgMar w:top="1418" w:right="1418" w:bottom="1701" w:left="1418" w:header="0" w:footer="851" w:gutter="0"/>
      <w:pgNumType w:start="1"/>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4"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NO&gt;&gt;N052</w:t>
      </w:r>
      <w:r>
        <w:rPr>
          <w:lang w:val="en-US"/>
        </w:rPr>
        <w:t>3604</w:t>
      </w:r>
      <w:r>
        <w:t>R&lt;&lt;ODS JOB NO&gt;&gt;</w:t>
      </w:r>
    </w:p>
    <w:p w:rsidR="00000000" w:rsidRDefault="00000000">
      <w:pPr>
        <w:pStyle w:val="CommentText"/>
      </w:pPr>
      <w:r>
        <w:t>&lt;&lt;ODS DOC SYMBOL1&gt;&gt;</w:t>
      </w:r>
      <w:r>
        <w:rPr>
          <w:lang w:val="en-US"/>
        </w:rPr>
        <w:t>CEDAW</w:t>
      </w:r>
      <w:r>
        <w:t>/C</w:t>
      </w:r>
      <w:r>
        <w:rPr>
          <w:lang w:val="en-US"/>
        </w:rPr>
        <w:t>/NLD</w:t>
      </w:r>
      <w:r>
        <w:t>/</w:t>
      </w:r>
      <w:r>
        <w:rPr>
          <w:lang w:val="en-US"/>
        </w:rPr>
        <w:t>4</w:t>
      </w:r>
      <w:r>
        <w:t>&lt;&lt;ODS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MS Roman 12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FranklinGothicEF-DemiCond">
    <w:altName w:val="Arial Unicode MS"/>
    <w:panose1 w:val="00000000000000000000"/>
    <w:charset w:val="81"/>
    <w:family w:val="auto"/>
    <w:notTrueType/>
    <w:pitch w:val="default"/>
    <w:sig w:usb0="00000001" w:usb1="09060000" w:usb2="00000010" w:usb3="00000000" w:csb0="00080000" w:csb1="00000000"/>
  </w:font>
  <w:font w:name="FranklinGothicEF-BookCond">
    <w:altName w:val="Arial Unicode MS"/>
    <w:panose1 w:val="00000000000000000000"/>
    <w:charset w:val="81"/>
    <w:family w:val="auto"/>
    <w:notTrueType/>
    <w:pitch w:val="default"/>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ru-RU"/>
      </w:rPr>
    </w:pPr>
  </w:p>
  <w:p w:rsidR="00000000" w:rsidRDefault="00000000">
    <w:pPr>
      <w:pStyle w:val="Footer"/>
    </w:pPr>
    <w:r>
      <w:rPr>
        <w:lang w:val="ru-RU"/>
      </w:rPr>
      <w:t>04</w:t>
    </w:r>
    <w:r>
      <w:t>-</w:t>
    </w:r>
    <w:r>
      <w:rPr>
        <w:lang w:val="ru-RU"/>
      </w:rPr>
      <w:t>51875 (</w:t>
    </w:r>
    <w:r>
      <w:rPr>
        <w:lang w:val="en-US"/>
      </w:rPr>
      <w:t>R</w:t>
    </w:r>
    <w:r>
      <w:rPr>
        <w:lang w:val="ru-RU"/>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lang w:val="ru-RU"/>
      </w:rPr>
      <w:t>05-23604 (</w:t>
    </w:r>
    <w:r>
      <w:rPr>
        <w:lang w:val="en-US"/>
      </w:rPr>
      <w:t>R)</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000000" w:rsidRDefault="00000000">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64</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clear" w:pos="4536"/>
        <w:tab w:val="clear" w:pos="9072"/>
      </w:tabs>
      <w:ind w:right="50"/>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BodyText"/>
        <w:spacing w:before="60" w:after="40" w:line="240" w:lineRule="auto"/>
        <w:jc w:val="left"/>
        <w:rPr>
          <w:sz w:val="18"/>
        </w:rPr>
      </w:pPr>
      <w:r>
        <w:rPr>
          <w:rStyle w:val="FootnoteReference"/>
          <w:vertAlign w:val="baseline"/>
        </w:rPr>
        <w:t>*</w:t>
      </w:r>
      <w:r>
        <w:rPr>
          <w:sz w:val="18"/>
        </w:rPr>
        <w:tab/>
      </w:r>
      <w:r>
        <w:rPr>
          <w:spacing w:val="-3"/>
          <w:sz w:val="18"/>
        </w:rPr>
        <w:t>Настоящий доклад издается без официального редактирования.</w:t>
      </w:r>
    </w:p>
    <w:p w:rsidR="00000000" w:rsidRDefault="00000000">
      <w:pPr>
        <w:pStyle w:val="FootnoteText"/>
        <w:rPr>
          <w:rStyle w:val="FootnoteReference"/>
          <w:vertAlign w:val="baseline"/>
        </w:rPr>
      </w:pPr>
      <w:r>
        <w:rPr>
          <w:lang w:val="ru-RU"/>
        </w:rPr>
        <w:tab/>
      </w:r>
      <w:r>
        <w:rPr>
          <w:lang w:val="en-US"/>
        </w:rPr>
        <w:tab/>
      </w:r>
      <w:r>
        <w:t>Первоначальный доклад, представленный правительством Нидерландов, см. в документах</w:t>
      </w:r>
      <w:r>
        <w:rPr>
          <w:lang w:val="ru-RU"/>
        </w:rPr>
        <w:t xml:space="preserve"> </w:t>
      </w:r>
      <w:r>
        <w:t xml:space="preserve"> СEDAW/C/NET/1, Add.1,</w:t>
      </w:r>
      <w:r>
        <w:rPr>
          <w:lang w:val="ru-RU"/>
        </w:rPr>
        <w:t> </w:t>
      </w:r>
      <w:r>
        <w:t>Add.2</w:t>
      </w:r>
      <w:r>
        <w:rPr>
          <w:lang w:val="ru-RU"/>
        </w:rPr>
        <w:t> </w:t>
      </w:r>
      <w:r>
        <w:t>и</w:t>
      </w:r>
      <w:r>
        <w:rPr>
          <w:lang w:val="ru-RU"/>
        </w:rPr>
        <w:t> </w:t>
      </w:r>
      <w:r>
        <w:t>Add.3, рассмотренн</w:t>
      </w:r>
      <w:r>
        <w:rPr>
          <w:lang w:val="ru-RU"/>
        </w:rPr>
        <w:t>ых</w:t>
      </w:r>
      <w:r>
        <w:t xml:space="preserve"> Комитетом на его  тринадцатой сессии. Второй периодический доклад, представленный правительством Нидерландов, см. в документах CEDAW/C/NET/2, Add.1 и Add.2, рассмотренн</w:t>
      </w:r>
      <w:r>
        <w:rPr>
          <w:lang w:val="ru-RU"/>
        </w:rPr>
        <w:t>ых</w:t>
      </w:r>
      <w:r>
        <w:t xml:space="preserve"> Комитетом на его двадцать пятой сессии. Третий периодический доклад, представленный  правительством Нидерландов, см. в документах CEDAW/C/NET/3, Add.1 и Add.2, рассмотренн</w:t>
      </w:r>
      <w:r>
        <w:rPr>
          <w:lang w:val="ru-RU"/>
        </w:rPr>
        <w:t>ых</w:t>
      </w:r>
      <w:r>
        <w:t xml:space="preserve"> Комитетом на его двадцать пятой сессии.</w:t>
      </w:r>
    </w:p>
  </w:footnote>
  <w:footnote w:id="2">
    <w:p w:rsidR="00000000" w:rsidRDefault="00000000">
      <w:pPr>
        <w:pStyle w:val="FootnoteText"/>
      </w:pPr>
      <w:r>
        <w:rPr>
          <w:rStyle w:val="FootnoteReference"/>
        </w:rPr>
        <w:footnoteRef/>
      </w:r>
      <w:r>
        <w:rPr>
          <w:lang w:val="ru-RU"/>
        </w:rPr>
        <w:tab/>
      </w:r>
      <w:r>
        <w:t xml:space="preserve">Профессор д-р Марианна Х. Марханд, </w:t>
      </w:r>
      <w:r>
        <w:rPr>
          <w:i/>
        </w:rPr>
        <w:t>Эмансипация, сбившаяся с пути? (</w:t>
      </w:r>
      <w:r>
        <w:rPr>
          <w:i/>
          <w:lang w:val="en-US"/>
        </w:rPr>
        <w:t>Emancipation</w:t>
      </w:r>
      <w:r>
        <w:rPr>
          <w:i/>
        </w:rPr>
        <w:t xml:space="preserve"> </w:t>
      </w:r>
      <w:r>
        <w:rPr>
          <w:i/>
          <w:lang w:val="en-US"/>
        </w:rPr>
        <w:t>sidetracked</w:t>
      </w:r>
      <w:r>
        <w:rPr>
          <w:i/>
        </w:rPr>
        <w:t>?)</w:t>
      </w:r>
      <w:r>
        <w:rPr>
          <w:i/>
          <w:lang w:val="ru-RU"/>
        </w:rPr>
        <w:t>.</w:t>
      </w:r>
      <w:r>
        <w:t xml:space="preserve"> Второй национальный доклад об осуществлении Конвенции Организации Объединенных Наций о ликвидации всех форм дискриминации в отношении женщин, Институт Белле ван Зуилена, Амстердамский университет, 2003 год.</w:t>
      </w:r>
    </w:p>
  </w:footnote>
  <w:footnote w:id="3">
    <w:p w:rsidR="00000000" w:rsidRDefault="00000000">
      <w:pPr>
        <w:pStyle w:val="FootnoteText"/>
        <w:rPr>
          <w:lang w:val="ru-RU"/>
        </w:rPr>
      </w:pPr>
      <w:r>
        <w:rPr>
          <w:rStyle w:val="FootnoteReference"/>
        </w:rPr>
        <w:footnoteRef/>
      </w:r>
      <w:r>
        <w:rPr>
          <w:lang w:val="ru-RU"/>
        </w:rPr>
        <w:tab/>
      </w:r>
      <w:r>
        <w:t>Конвенция Организации Объединенных Наций о женщинах и положение иностранных гражданок в законодательстве и политике Нидерландов в отношении иностранцев. Аналитический доклад Консультативного комитета по делам иностранцев, Гаага, 2002 год; имеется на веб-сайте www.acvz.com (Парламентские документы, Палата представителей, 2002–2003 годы, Just 03-524).</w:t>
      </w:r>
    </w:p>
  </w:footnote>
  <w:footnote w:id="4">
    <w:p w:rsidR="00000000" w:rsidRDefault="00000000">
      <w:pPr>
        <w:pStyle w:val="FootnoteText"/>
      </w:pPr>
      <w:r>
        <w:rPr>
          <w:rStyle w:val="FootnoteReference"/>
        </w:rPr>
        <w:footnoteRef/>
      </w:r>
      <w:r>
        <w:t xml:space="preserve"> Это изменение в политике было документально отражено во втором и третьем докладе Нидерландов о выполнении Конвенции Организации Объединенных Наций о ликвидации всех форм дискриминации в отношении женщин и в документе ″Нидерланды пять лет спустя после Пекинской встречи″</w:t>
      </w:r>
      <w:r>
        <w:rPr>
          <w:i/>
        </w:rPr>
        <w:t xml:space="preserve">. </w:t>
      </w:r>
      <w:r>
        <w:t>Эти доклады уже представлены в Организацию Объединенных Наций.</w:t>
      </w:r>
    </w:p>
  </w:footnote>
  <w:footnote w:id="5">
    <w:p w:rsidR="00000000" w:rsidRDefault="00000000">
      <w:pPr>
        <w:pStyle w:val="FootnoteText"/>
      </w:pPr>
      <w:r>
        <w:rPr>
          <w:rStyle w:val="FootnoteReference"/>
        </w:rPr>
        <w:footnoteRef/>
      </w:r>
      <w:r>
        <w:t xml:space="preserve"> Этими областями политики являются: "работа, уход за детьми и доходы", "полномочия и принятие решений", "права человека и женщины", "информационное общество" и "совмещение оплачиваемой работы и семейных обязанностей".</w:t>
      </w:r>
    </w:p>
  </w:footnote>
  <w:footnote w:id="6">
    <w:p w:rsidR="00000000" w:rsidRDefault="00000000">
      <w:pPr>
        <w:pStyle w:val="FootnoteText"/>
      </w:pPr>
      <w:r>
        <w:rPr>
          <w:rStyle w:val="FootnoteReference"/>
        </w:rPr>
        <w:footnoteRef/>
      </w:r>
      <w:r>
        <w:t xml:space="preserve"> Декларация и итоговый документ двадцать третьей специальной сессии Генеральной Ассамблеи Организации Объединенных Наций, 5–9 июня 2000 года.</w:t>
      </w:r>
    </w:p>
  </w:footnote>
  <w:footnote w:id="7">
    <w:p w:rsidR="00000000" w:rsidRDefault="00000000">
      <w:pPr>
        <w:pStyle w:val="FootnoteText"/>
      </w:pPr>
      <w:r>
        <w:rPr>
          <w:rStyle w:val="FootnoteReference"/>
        </w:rPr>
        <w:footnoteRef/>
      </w:r>
      <w:r>
        <w:rPr>
          <w:lang w:val="ru-RU"/>
        </w:rPr>
        <w:tab/>
      </w:r>
      <w:r>
        <w:t>Межведомственный план действий по включению гендерной проблематики в основные направления деятельности, 1998–2002 годы (Парламентские документы, Палата представителей, 1998</w:t>
      </w:r>
      <w:r>
        <w:rPr>
          <w:lang w:val="ru-RU"/>
        </w:rPr>
        <w:t>–</w:t>
      </w:r>
      <w:r>
        <w:t>1999 годы, 26206, № 11).</w:t>
      </w:r>
    </w:p>
  </w:footnote>
  <w:footnote w:id="8">
    <w:p w:rsidR="00000000" w:rsidRDefault="00000000">
      <w:pPr>
        <w:pStyle w:val="FootnoteText"/>
      </w:pPr>
      <w:r>
        <w:rPr>
          <w:rStyle w:val="FootnoteReference"/>
        </w:rPr>
        <w:footnoteRef/>
      </w:r>
      <w:r>
        <w:rPr>
          <w:vertAlign w:val="superscript"/>
          <w:lang w:val="ru-RU"/>
        </w:rPr>
        <w:tab/>
      </w:r>
      <w:r>
        <w:t>Позиция правительства по вопросу включения гендерной проблематики в основные направления деятельности (Парламентские документы, Палата представителей, 2000–2001 годы, 27061, № 15).</w:t>
      </w:r>
    </w:p>
  </w:footnote>
  <w:footnote w:id="9">
    <w:p w:rsidR="00000000" w:rsidRDefault="00000000">
      <w:pPr>
        <w:pStyle w:val="FootnoteText"/>
        <w:rPr>
          <w:lang w:val="ru-RU"/>
        </w:rPr>
      </w:pPr>
      <w:r>
        <w:rPr>
          <w:rStyle w:val="FootnoteReference"/>
        </w:rPr>
        <w:footnoteRef/>
      </w:r>
      <w:r>
        <w:t xml:space="preserve"> </w:t>
      </w:r>
      <w:r>
        <w:rPr>
          <w:lang w:val="ru-RU"/>
        </w:rPr>
        <w:t>Там же.</w:t>
      </w:r>
    </w:p>
  </w:footnote>
  <w:footnote w:id="10">
    <w:p w:rsidR="00000000" w:rsidRDefault="00000000">
      <w:pPr>
        <w:pStyle w:val="FootnoteText"/>
      </w:pPr>
      <w:r>
        <w:rPr>
          <w:rStyle w:val="FootnoteReference"/>
        </w:rPr>
        <w:footnoteRef/>
      </w:r>
      <w:r>
        <w:rPr>
          <w:lang w:val="ru-RU"/>
        </w:rPr>
        <w:t> </w:t>
      </w:r>
      <w:r>
        <w:t>Докуме</w:t>
      </w:r>
      <w:r>
        <w:rPr>
          <w:lang w:val="ru-RU"/>
        </w:rPr>
        <w:t>н</w:t>
      </w:r>
      <w:r>
        <w:t>ты по учету</w:t>
      </w:r>
      <w:r>
        <w:rPr>
          <w:sz w:val="24"/>
        </w:rPr>
        <w:t xml:space="preserve"> </w:t>
      </w:r>
      <w:r>
        <w:t>гендерной проблематики подробно изложены в издании "Нидерланды десять лет спустя после Пекинской встречи", котор</w:t>
      </w:r>
      <w:r>
        <w:rPr>
          <w:lang w:val="ru-RU"/>
        </w:rPr>
        <w:t>ое</w:t>
      </w:r>
      <w:r>
        <w:t xml:space="preserve"> Организация Объединенных Наций получила в июле 2004 года.</w:t>
      </w:r>
    </w:p>
  </w:footnote>
  <w:footnote w:id="11">
    <w:p w:rsidR="00000000" w:rsidRDefault="00000000">
      <w:pPr>
        <w:pStyle w:val="FootnoteText"/>
      </w:pPr>
      <w:r>
        <w:rPr>
          <w:rStyle w:val="FootnoteReference"/>
        </w:rPr>
        <w:footnoteRef/>
      </w:r>
      <w:r>
        <w:t xml:space="preserve"> Подробнее см.</w:t>
      </w:r>
      <w:r>
        <w:rPr>
          <w:lang w:val="ru-RU"/>
        </w:rPr>
        <w:t xml:space="preserve"> </w:t>
      </w:r>
      <w:r>
        <w:t>в издании "Нидерланды десять лет спустя после Пекинской встречи", июль 2004 года.</w:t>
      </w:r>
    </w:p>
  </w:footnote>
  <w:footnote w:id="12">
    <w:p w:rsidR="00000000" w:rsidRDefault="00000000">
      <w:pPr>
        <w:pStyle w:val="FootnoteText"/>
      </w:pPr>
      <w:r>
        <w:rPr>
          <w:rStyle w:val="FootnoteReference"/>
        </w:rPr>
        <w:footnoteRef/>
      </w:r>
      <w:r>
        <w:rPr>
          <w:lang w:val="ru-RU"/>
        </w:rPr>
        <w:t> </w:t>
      </w:r>
      <w:r>
        <w:t>Акт от 13 декабря 2000 года об изменениях в Законе о равном обращении и раздел 7.10 Гражданского кодекса относительно выполнения директивы ЕС, касающейся бремени доказывания в случаях дискриминации по признаку пола (Парламентские документы, Палата представителей, 1999–2000 годы, 27026).</w:t>
      </w:r>
    </w:p>
  </w:footnote>
  <w:footnote w:id="13">
    <w:p w:rsidR="00000000" w:rsidRDefault="00000000">
      <w:pPr>
        <w:pStyle w:val="FootnoteText"/>
      </w:pPr>
      <w:r>
        <w:rPr>
          <w:rStyle w:val="FootnoteReference"/>
        </w:rPr>
        <w:footnoteRef/>
      </w:r>
      <w:r>
        <w:rPr>
          <w:lang w:val="ru-RU"/>
        </w:rPr>
        <w:t> </w:t>
      </w:r>
      <w:r>
        <w:t>Парламентские документы, Палата представителей, 2003–2004 годы, 29311, № 1–3.</w:t>
      </w:r>
    </w:p>
  </w:footnote>
  <w:footnote w:id="14">
    <w:p w:rsidR="00000000" w:rsidRDefault="00000000">
      <w:pPr>
        <w:pStyle w:val="FootnoteText"/>
      </w:pPr>
      <w:r>
        <w:rPr>
          <w:rStyle w:val="FootnoteReference"/>
        </w:rPr>
        <w:footnoteRef/>
      </w:r>
      <w:r>
        <w:rPr>
          <w:lang w:val="en-US"/>
        </w:rPr>
        <w:t xml:space="preserve"> R. Römkens, Violence against women </w:t>
      </w:r>
      <w:r>
        <w:t>in heterosexual relationships, 1989.</w:t>
      </w:r>
    </w:p>
  </w:footnote>
  <w:footnote w:id="15">
    <w:p w:rsidR="00000000" w:rsidRDefault="00000000">
      <w:pPr>
        <w:pStyle w:val="FootnoteText"/>
      </w:pPr>
      <w:r>
        <w:rPr>
          <w:rStyle w:val="FootnoteReference"/>
        </w:rPr>
        <w:footnoteRef/>
      </w:r>
      <w:r>
        <w:t xml:space="preserve"> D.J. Korf, E. Mot, H. Meulenbeek and T. Van den Brandt, Economic cost of domestic violence against women, 1997, chapter 2, p. 20-22. </w:t>
      </w:r>
      <w:r>
        <w:rPr>
          <w:lang w:val="ru-RU"/>
        </w:rPr>
        <w:t>П</w:t>
      </w:r>
      <w:r>
        <w:t>утем экстраполяции цифровых данных Рёмкенса и полученных в 1996 году абсолютных чисел был</w:t>
      </w:r>
      <w:r>
        <w:rPr>
          <w:lang w:val="ru-RU"/>
        </w:rPr>
        <w:t>и</w:t>
      </w:r>
      <w:r>
        <w:t xml:space="preserve"> установлен</w:t>
      </w:r>
      <w:r>
        <w:rPr>
          <w:lang w:val="ru-RU"/>
        </w:rPr>
        <w:t>ы</w:t>
      </w:r>
      <w:r>
        <w:t xml:space="preserve"> 30 тыс. жертв </w:t>
      </w:r>
      <w:r>
        <w:rPr>
          <w:lang w:val="ru-RU"/>
        </w:rPr>
        <w:t xml:space="preserve">жестокого </w:t>
      </w:r>
      <w:r>
        <w:t xml:space="preserve">насилия и приблизительно 17 тыс. жертв </w:t>
      </w:r>
      <w:r>
        <w:rPr>
          <w:lang w:val="ru-RU"/>
        </w:rPr>
        <w:t>чрезвычайно жестокого</w:t>
      </w:r>
      <w:r>
        <w:t xml:space="preserve"> насилия.</w:t>
      </w:r>
    </w:p>
  </w:footnote>
  <w:footnote w:id="16">
    <w:p w:rsidR="00000000" w:rsidRDefault="00000000">
      <w:pPr>
        <w:pStyle w:val="FootnoteText"/>
      </w:pPr>
      <w:r>
        <w:rPr>
          <w:rStyle w:val="FootnoteReference"/>
        </w:rPr>
        <w:footnoteRef/>
      </w:r>
      <w:r>
        <w:rPr>
          <w:lang w:val="ru-RU"/>
        </w:rPr>
        <w:t> </w:t>
      </w:r>
      <w:r>
        <w:t>Нидерландский институт прав человека,″Предупреждение насилия в отношении женщин и борьба с ним″, апрель 2000</w:t>
      </w:r>
      <w:r>
        <w:rPr>
          <w:lang w:val="ru-RU"/>
        </w:rPr>
        <w:t> </w:t>
      </w:r>
      <w:r>
        <w:t>год</w:t>
      </w:r>
      <w:r>
        <w:rPr>
          <w:lang w:val="ru-RU"/>
        </w:rPr>
        <w:t>а</w:t>
      </w:r>
      <w:r>
        <w:t>.</w:t>
      </w:r>
    </w:p>
  </w:footnote>
  <w:footnote w:id="17">
    <w:p w:rsidR="00000000" w:rsidRDefault="00000000">
      <w:pPr>
        <w:pStyle w:val="FootnoteText"/>
      </w:pPr>
      <w:r>
        <w:rPr>
          <w:rStyle w:val="FootnoteReference"/>
        </w:rPr>
        <w:footnoteRef/>
      </w:r>
      <w:r>
        <w:rPr>
          <w:lang w:val="ru-RU"/>
        </w:rPr>
        <w:t> </w:t>
      </w:r>
      <w:r>
        <w:t>Консультативный совет по международным делам</w:t>
      </w:r>
      <w:r>
        <w:rPr>
          <w:lang w:val="ru-RU"/>
        </w:rPr>
        <w:t xml:space="preserve"> </w:t>
      </w:r>
      <w:r>
        <w:t xml:space="preserve">"Насилие в отношении женщин: мероприятия правового характера", </w:t>
      </w:r>
      <w:r>
        <w:rPr>
          <w:lang w:val="ru-RU"/>
        </w:rPr>
        <w:t>д</w:t>
      </w:r>
      <w:r>
        <w:t>оклад № 18, февраль 2001 года.</w:t>
      </w:r>
    </w:p>
  </w:footnote>
  <w:footnote w:id="18">
    <w:p w:rsidR="00000000" w:rsidRDefault="00000000">
      <w:pPr>
        <w:pStyle w:val="FootnoteText"/>
      </w:pPr>
      <w:r>
        <w:rPr>
          <w:rStyle w:val="FootnoteReference"/>
        </w:rPr>
        <w:footnoteRef/>
      </w:r>
      <w:r>
        <w:rPr>
          <w:lang w:val="ru-RU"/>
        </w:rPr>
        <w:t> </w:t>
      </w:r>
      <w:r>
        <w:t>"Безопасная страна, в которой хотят жить женщины", декабрь 2002 года (Парламентские документы,</w:t>
      </w:r>
      <w:r>
        <w:rPr>
          <w:i/>
        </w:rPr>
        <w:t xml:space="preserve"> </w:t>
      </w:r>
      <w:r>
        <w:t>Палата представителей</w:t>
      </w:r>
      <w:r>
        <w:rPr>
          <w:lang w:val="ru-RU"/>
        </w:rPr>
        <w:t>,</w:t>
      </w:r>
      <w:r>
        <w:t xml:space="preserve"> SZW 03-004).</w:t>
      </w:r>
    </w:p>
  </w:footnote>
  <w:footnote w:id="19">
    <w:p w:rsidR="00000000" w:rsidRDefault="00000000">
      <w:pPr>
        <w:pStyle w:val="FootnoteText"/>
      </w:pPr>
      <w:r>
        <w:rPr>
          <w:rStyle w:val="FootnoteReference"/>
        </w:rPr>
        <w:footnoteRef/>
      </w:r>
      <w:r>
        <w:rPr>
          <w:lang w:val="ru-RU"/>
        </w:rPr>
        <w:t> </w:t>
      </w:r>
      <w:r>
        <w:t>Насилие в семье определяется в Нидерландах как "насилие, совершенное ближайшим родственником жертвы".</w:t>
      </w:r>
    </w:p>
  </w:footnote>
  <w:footnote w:id="20">
    <w:p w:rsidR="00000000" w:rsidRDefault="00000000">
      <w:pPr>
        <w:pStyle w:val="FootnoteText"/>
      </w:pPr>
      <w:r>
        <w:rPr>
          <w:rStyle w:val="FootnoteReference"/>
        </w:rPr>
        <w:footnoteRef/>
      </w:r>
      <w:r>
        <w:rPr>
          <w:lang w:val="en-US"/>
        </w:rPr>
        <w:t> </w:t>
      </w:r>
      <w:r>
        <w:t>T. van Dijk, Domestic violence – nature, scope and assistance, Intomart, 1997.</w:t>
      </w:r>
    </w:p>
  </w:footnote>
  <w:footnote w:id="21">
    <w:p w:rsidR="00000000" w:rsidRDefault="00000000">
      <w:pPr>
        <w:pStyle w:val="FootnoteText"/>
      </w:pPr>
      <w:r>
        <w:rPr>
          <w:rStyle w:val="FootnoteReference"/>
        </w:rPr>
        <w:footnoteRef/>
      </w:r>
      <w:r>
        <w:rPr>
          <w:lang w:val="ru-RU"/>
        </w:rPr>
        <w:t> </w:t>
      </w:r>
      <w:r>
        <w:t>″Частное насилие – общественный вопрос″. Меморандум о совместном подходе к насилию в семье, 2002 год (Парламентские документы, Палата представителей, 2001–2002 годы, 28345, № 1).</w:t>
      </w:r>
    </w:p>
  </w:footnote>
  <w:footnote w:id="22">
    <w:p w:rsidR="00000000" w:rsidRDefault="00000000">
      <w:pPr>
        <w:pStyle w:val="FootnoteText"/>
      </w:pPr>
      <w:r>
        <w:rPr>
          <w:rStyle w:val="FootnoteReference"/>
        </w:rPr>
        <w:footnoteRef/>
      </w:r>
      <w:r>
        <w:rPr>
          <w:lang w:val="ru-RU"/>
        </w:rPr>
        <w:t> </w:t>
      </w:r>
      <w:r>
        <w:t>Доклад о прогрессе в выработке подхода к насилию в семье, 2003 год</w:t>
      </w:r>
      <w:r>
        <w:rPr>
          <w:lang w:val="ru-RU"/>
        </w:rPr>
        <w:t xml:space="preserve"> </w:t>
      </w:r>
      <w:r>
        <w:t>(Парламентские документы, Палата представителей, 2003–2004 год</w:t>
      </w:r>
      <w:r>
        <w:rPr>
          <w:lang w:val="ru-RU"/>
        </w:rPr>
        <w:t>ы</w:t>
      </w:r>
      <w:r>
        <w:t>, 28345, № 5).</w:t>
      </w:r>
    </w:p>
  </w:footnote>
  <w:footnote w:id="23">
    <w:p w:rsidR="00000000" w:rsidRDefault="00000000">
      <w:pPr>
        <w:pStyle w:val="FootnoteText"/>
      </w:pPr>
      <w:r>
        <w:rPr>
          <w:rStyle w:val="FootnoteReference"/>
        </w:rPr>
        <w:footnoteRef/>
      </w:r>
      <w:r>
        <w:rPr>
          <w:lang w:val="ru-RU"/>
        </w:rPr>
        <w:t> </w:t>
      </w:r>
      <w:r>
        <w:t>Отчет о положении в связи с проблемой насилия в семье, 2003 год (Парламентские документы, Палата представителей, 2003–2004 годы, 28345, № 6).</w:t>
      </w:r>
    </w:p>
  </w:footnote>
  <w:footnote w:id="24">
    <w:p w:rsidR="00000000" w:rsidRDefault="00000000">
      <w:pPr>
        <w:pStyle w:val="FootnoteText"/>
      </w:pPr>
      <w:r>
        <w:rPr>
          <w:rStyle w:val="FootnoteReference"/>
        </w:rPr>
        <w:footnoteRef/>
      </w:r>
      <w:r>
        <w:rPr>
          <w:lang w:val="ru-RU"/>
        </w:rPr>
        <w:t> </w:t>
      </w:r>
      <w:r>
        <w:t>Т. ван Дейк и другие</w:t>
      </w:r>
      <w:r>
        <w:rPr>
          <w:lang w:val="ru-RU"/>
        </w:rPr>
        <w:t>.</w:t>
      </w:r>
      <w:r>
        <w:t xml:space="preserve"> "Насилие в семье в суринамской, антильской, арубской, марокканской и турецкой общинах </w:t>
      </w:r>
      <w:r>
        <w:rPr>
          <w:lang w:val="ru-RU"/>
        </w:rPr>
        <w:br/>
      </w:r>
      <w:r>
        <w:t xml:space="preserve">в Нидерландах – характер, масштабы и помощь", 2002 год (Парламентские документы, Палата представителей, </w:t>
      </w:r>
      <w:r>
        <w:rPr>
          <w:lang w:val="ru-RU"/>
        </w:rPr>
        <w:br/>
      </w:r>
      <w:r>
        <w:t>Just 02-959).</w:t>
      </w:r>
    </w:p>
  </w:footnote>
  <w:footnote w:id="25">
    <w:p w:rsidR="00000000" w:rsidRDefault="00000000">
      <w:pPr>
        <w:pStyle w:val="FootnoteText"/>
      </w:pPr>
      <w:r>
        <w:rPr>
          <w:rStyle w:val="FootnoteReference"/>
        </w:rPr>
        <w:footnoteRef/>
      </w:r>
      <w:r>
        <w:rPr>
          <w:lang w:val="ru-RU"/>
        </w:rPr>
        <w:t> </w:t>
      </w:r>
      <w:r>
        <w:t>Предложено 7 ноября 2002 года (Парламентские документы, Палата представителей, 2002–2003 годы, 28600 VI, № 45) и 8 апреля 2003 года (Парламентские документы, Палата представителей, 2002</w:t>
      </w:r>
      <w:r>
        <w:rPr>
          <w:lang w:val="ru-RU"/>
        </w:rPr>
        <w:t>–</w:t>
      </w:r>
      <w:r>
        <w:t>2003 годы, 28600 VX, № 101)</w:t>
      </w:r>
      <w:r>
        <w:rPr>
          <w:lang w:val="ru-RU"/>
        </w:rPr>
        <w:t>,</w:t>
      </w:r>
      <w:r>
        <w:t xml:space="preserve"> соответственно.</w:t>
      </w:r>
    </w:p>
  </w:footnote>
  <w:footnote w:id="26">
    <w:p w:rsidR="00000000" w:rsidRDefault="00000000">
      <w:pPr>
        <w:pStyle w:val="FootnoteText"/>
      </w:pPr>
      <w:r>
        <w:rPr>
          <w:rStyle w:val="FootnoteReference"/>
        </w:rPr>
        <w:footnoteRef/>
      </w:r>
      <w:r>
        <w:rPr>
          <w:lang w:val="ru-RU"/>
        </w:rPr>
        <w:t> </w:t>
      </w:r>
      <w:r>
        <w:t xml:space="preserve">Ответ правительства на </w:t>
      </w:r>
      <w:r>
        <w:rPr>
          <w:lang w:val="ru-RU"/>
        </w:rPr>
        <w:t>"</w:t>
      </w:r>
      <w:r>
        <w:t>Стратегию по предупреждению калечащих операций на половых органах женщин</w:t>
      </w:r>
      <w:r>
        <w:rPr>
          <w:lang w:val="ru-RU"/>
        </w:rPr>
        <w:t>"</w:t>
      </w:r>
      <w:r>
        <w:t xml:space="preserve"> (Парламентские документы, Палата представителей</w:t>
      </w:r>
      <w:r>
        <w:rPr>
          <w:lang w:val="ru-RU"/>
        </w:rPr>
        <w:t>,</w:t>
      </w:r>
      <w:r>
        <w:t xml:space="preserve"> 29200 Х</w:t>
      </w:r>
      <w:r>
        <w:rPr>
          <w:lang w:val="en-US"/>
        </w:rPr>
        <w:t>V</w:t>
      </w:r>
      <w:r>
        <w:t>, № 231).</w:t>
      </w:r>
    </w:p>
  </w:footnote>
  <w:footnote w:id="27">
    <w:p w:rsidR="00000000" w:rsidRDefault="00000000">
      <w:pPr>
        <w:pStyle w:val="FootnoteText"/>
      </w:pPr>
      <w:r>
        <w:rPr>
          <w:rStyle w:val="FootnoteReference"/>
        </w:rPr>
        <w:footnoteRef/>
      </w:r>
      <w:r>
        <w:rPr>
          <w:lang w:val="ru-RU"/>
        </w:rPr>
        <w:t> </w:t>
      </w:r>
      <w:r>
        <w:t>Письмо статс-секретаря Министерства социальных дел и по вопросам занятости ARBO/ATB/00 42852 от июня 2000</w:t>
      </w:r>
      <w:r>
        <w:rPr>
          <w:lang w:val="ru-RU"/>
        </w:rPr>
        <w:t> </w:t>
      </w:r>
      <w:r>
        <w:t>года.</w:t>
      </w:r>
    </w:p>
  </w:footnote>
  <w:footnote w:id="28">
    <w:p w:rsidR="00000000" w:rsidRDefault="00000000">
      <w:pPr>
        <w:pStyle w:val="FootnoteText"/>
      </w:pPr>
      <w:r>
        <w:rPr>
          <w:rStyle w:val="FootnoteReference"/>
        </w:rPr>
        <w:footnoteRef/>
      </w:r>
      <w:r>
        <w:rPr>
          <w:lang w:val="ru-RU"/>
        </w:rPr>
        <w:t> </w:t>
      </w:r>
      <w:r>
        <w:t>Исследование коллективного трудового соглашения относительно права подавать жалобу (Парламентские документы, Палата представителей , 2002–2004 годы, 29200 XV, 82).</w:t>
      </w:r>
    </w:p>
  </w:footnote>
  <w:footnote w:id="29">
    <w:p w:rsidR="00000000" w:rsidRDefault="00000000">
      <w:pPr>
        <w:pStyle w:val="FootnoteText"/>
        <w:rPr>
          <w:lang w:val="ru-RU"/>
        </w:rPr>
      </w:pPr>
      <w:r>
        <w:rPr>
          <w:rStyle w:val="FootnoteReference"/>
        </w:rPr>
        <w:footnoteRef/>
      </w:r>
      <w:r>
        <w:t xml:space="preserve"> Положение об охране здоровь</w:t>
      </w:r>
      <w:r>
        <w:rPr>
          <w:lang w:val="ru-RU"/>
        </w:rPr>
        <w:t>я</w:t>
      </w:r>
      <w:r>
        <w:t xml:space="preserve"> и безопасности на полицейской службе, 16 августа 2001 года</w:t>
      </w:r>
      <w:r>
        <w:rPr>
          <w:lang w:val="ru-RU"/>
        </w:rPr>
        <w:t>.</w:t>
      </w:r>
    </w:p>
  </w:footnote>
  <w:footnote w:id="30">
    <w:p w:rsidR="00000000" w:rsidRDefault="00000000">
      <w:pPr>
        <w:pStyle w:val="FootnoteText"/>
        <w:rPr>
          <w:i/>
        </w:rPr>
      </w:pPr>
      <w:r>
        <w:rPr>
          <w:rStyle w:val="FootnoteReference"/>
        </w:rPr>
        <w:footnoteRef/>
      </w:r>
      <w:r>
        <w:t xml:space="preserve"> План действий по борьбе с сексуальным надругательством и сексуальным насилием в отношении детей, 1999 </w:t>
      </w:r>
      <w:r>
        <w:rPr>
          <w:lang w:val="ru-RU"/>
        </w:rPr>
        <w:t xml:space="preserve">год </w:t>
      </w:r>
      <w:r>
        <w:t>(Парламентские документы, Палата представителей, 1998</w:t>
      </w:r>
      <w:r>
        <w:rPr>
          <w:lang w:val="ru-RU"/>
        </w:rPr>
        <w:t>–</w:t>
      </w:r>
      <w:r>
        <w:t>1999</w:t>
      </w:r>
      <w:r>
        <w:rPr>
          <w:lang w:val="ru-RU"/>
        </w:rPr>
        <w:t xml:space="preserve"> годы</w:t>
      </w:r>
      <w:r>
        <w:t>, 26690, №</w:t>
      </w:r>
      <w:r>
        <w:rPr>
          <w:lang w:val="ru-RU"/>
        </w:rPr>
        <w:t xml:space="preserve"> </w:t>
      </w:r>
      <w:r>
        <w:t>2).</w:t>
      </w:r>
    </w:p>
  </w:footnote>
  <w:footnote w:id="31">
    <w:p w:rsidR="00000000" w:rsidRDefault="00000000">
      <w:pPr>
        <w:pStyle w:val="FootnoteText"/>
      </w:pPr>
      <w:r>
        <w:rPr>
          <w:rStyle w:val="FootnoteReference"/>
        </w:rPr>
        <w:footnoteRef/>
      </w:r>
      <w:r>
        <w:rPr>
          <w:lang w:val="ru-RU"/>
        </w:rPr>
        <w:t> </w:t>
      </w:r>
      <w:r>
        <w:t>Второй доклад в рамках НПДС о ходе работы (Парламентские документы, Палата представителей,</w:t>
      </w:r>
      <w:r>
        <w:rPr>
          <w:lang w:val="ru-RU"/>
        </w:rPr>
        <w:t xml:space="preserve"> </w:t>
      </w:r>
      <w:r>
        <w:t>2001–2002 год</w:t>
      </w:r>
      <w:r>
        <w:rPr>
          <w:lang w:val="ru-RU"/>
        </w:rPr>
        <w:t>ы</w:t>
      </w:r>
      <w:r>
        <w:t>, 26690, № 11).</w:t>
      </w:r>
    </w:p>
  </w:footnote>
  <w:footnote w:id="32">
    <w:p w:rsidR="00000000" w:rsidRDefault="00000000">
      <w:pPr>
        <w:pStyle w:val="FootnoteText"/>
      </w:pPr>
      <w:r>
        <w:rPr>
          <w:rStyle w:val="FootnoteReference"/>
        </w:rPr>
        <w:footnoteRef/>
      </w:r>
      <w:r>
        <w:rPr>
          <w:lang w:val="ru-RU"/>
        </w:rPr>
        <w:t> </w:t>
      </w:r>
      <w:r>
        <w:t>Окончательный доклад НПДС, ноябрь 2002 года (Парламентские документы, Палата представителей, 2002–2003 год</w:t>
      </w:r>
      <w:r>
        <w:rPr>
          <w:lang w:val="ru-RU"/>
        </w:rPr>
        <w:t>ы</w:t>
      </w:r>
      <w:r>
        <w:t>, 26690, № 12).</w:t>
      </w:r>
    </w:p>
  </w:footnote>
  <w:footnote w:id="33">
    <w:p w:rsidR="00000000" w:rsidRDefault="00000000">
      <w:pPr>
        <w:pStyle w:val="FootnoteText"/>
      </w:pPr>
      <w:r>
        <w:rPr>
          <w:rStyle w:val="FootnoteReference"/>
        </w:rPr>
        <w:footnoteRef/>
      </w:r>
      <w:r>
        <w:rPr>
          <w:lang w:val="ru-RU"/>
        </w:rPr>
        <w:t> </w:t>
      </w:r>
      <w:r>
        <w:t>Подробнее см. в</w:t>
      </w:r>
      <w:r>
        <w:rPr>
          <w:lang w:val="ru-RU"/>
        </w:rPr>
        <w:t xml:space="preserve"> документе</w:t>
      </w:r>
      <w:r>
        <w:t xml:space="preserve"> "Нидерланды десять лет спустя после Пекинской встречи", июль 2004 год</w:t>
      </w:r>
      <w:r>
        <w:rPr>
          <w:lang w:val="ru-RU"/>
        </w:rPr>
        <w:t>а</w:t>
      </w:r>
      <w:r>
        <w:t>.</w:t>
      </w:r>
    </w:p>
  </w:footnote>
  <w:footnote w:id="34">
    <w:p w:rsidR="00000000" w:rsidRDefault="00000000">
      <w:pPr>
        <w:pStyle w:val="FootnoteText"/>
      </w:pPr>
      <w:r>
        <w:rPr>
          <w:rStyle w:val="FootnoteReference"/>
        </w:rPr>
        <w:footnoteRef/>
      </w:r>
      <w:r>
        <w:rPr>
          <w:lang w:val="ru-RU"/>
        </w:rPr>
        <w:t> </w:t>
      </w:r>
      <w:r>
        <w:t>Заключения Комиссии AVEM (март 2002); Опис</w:t>
      </w:r>
      <w:r>
        <w:rPr>
          <w:lang w:val="ru-RU"/>
        </w:rPr>
        <w:t>ание</w:t>
      </w:r>
      <w:r>
        <w:t xml:space="preserve"> политики правительства в отношении женщин из этнических меньшинств (март 2003); подробные данные из Доклада о политике интеграции в интересах этнических меньшинств (RIEM, сентябрь 2003) и связанны</w:t>
      </w:r>
      <w:r>
        <w:rPr>
          <w:lang w:val="ru-RU"/>
        </w:rPr>
        <w:t>х</w:t>
      </w:r>
      <w:r>
        <w:t xml:space="preserve"> с этим доклад</w:t>
      </w:r>
      <w:r>
        <w:rPr>
          <w:lang w:val="ru-RU"/>
        </w:rPr>
        <w:t>ов</w:t>
      </w:r>
      <w:r>
        <w:t>.</w:t>
      </w:r>
    </w:p>
  </w:footnote>
  <w:footnote w:id="35">
    <w:p w:rsidR="00000000" w:rsidRDefault="00000000">
      <w:pPr>
        <w:pStyle w:val="FootnoteText"/>
        <w:spacing w:before="0"/>
      </w:pPr>
      <w:r>
        <w:rPr>
          <w:rStyle w:val="FootnoteReference"/>
        </w:rPr>
        <w:t>34</w:t>
      </w:r>
      <w:r>
        <w:rPr>
          <w:lang w:val="en-US"/>
        </w:rPr>
        <w:t> </w:t>
      </w:r>
      <w:r>
        <w:t xml:space="preserve">Т. </w:t>
      </w:r>
      <w:r>
        <w:rPr>
          <w:lang w:val="en-US"/>
        </w:rPr>
        <w:t>Bouta</w:t>
      </w:r>
      <w:r>
        <w:t xml:space="preserve">, G. Frerks, </w:t>
      </w:r>
      <w:r>
        <w:rPr>
          <w:i/>
        </w:rPr>
        <w:t xml:space="preserve">Women’s role in conflict prevention, conflict resolution and post-conflict reconstruction, </w:t>
      </w:r>
      <w:r>
        <w:t>2002 год (Парламентские документы, Палата представителей</w:t>
      </w:r>
      <w:r>
        <w:rPr>
          <w:lang w:val="en-US"/>
        </w:rPr>
        <w:t>,</w:t>
      </w:r>
      <w:r>
        <w:t xml:space="preserve"> SZW 02</w:t>
      </w:r>
      <w:r>
        <w:rPr>
          <w:lang w:val="en-US"/>
        </w:rPr>
        <w:t>-</w:t>
      </w:r>
      <w:r>
        <w:t>501).</w:t>
      </w:r>
    </w:p>
  </w:footnote>
  <w:footnote w:id="36">
    <w:p w:rsidR="00000000" w:rsidRDefault="00000000">
      <w:pPr>
        <w:pStyle w:val="FootnoteText"/>
      </w:pPr>
      <w:r>
        <w:rPr>
          <w:rStyle w:val="FootnoteReference"/>
        </w:rPr>
        <w:t>35</w:t>
      </w:r>
      <w:r>
        <w:t xml:space="preserve"> Письмо от 14 марта 2003 года </w:t>
      </w:r>
      <w:r>
        <w:rPr>
          <w:lang w:val="ru-RU"/>
        </w:rPr>
        <w:t>(</w:t>
      </w:r>
      <w:r>
        <w:t>Парламентские документы, Палата представителей</w:t>
      </w:r>
      <w:r>
        <w:rPr>
          <w:lang w:val="ru-RU"/>
        </w:rPr>
        <w:t>,</w:t>
      </w:r>
      <w:r>
        <w:t xml:space="preserve"> Def-03-45</w:t>
      </w:r>
      <w:r>
        <w:rPr>
          <w:lang w:val="ru-RU"/>
        </w:rPr>
        <w:t>)</w:t>
      </w:r>
      <w:r>
        <w:t>.</w:t>
      </w:r>
    </w:p>
  </w:footnote>
  <w:footnote w:id="37">
    <w:p w:rsidR="00000000" w:rsidRDefault="00000000">
      <w:pPr>
        <w:pStyle w:val="FootnoteText"/>
        <w:spacing w:before="120"/>
      </w:pPr>
      <w:r>
        <w:rPr>
          <w:rStyle w:val="FootnoteReference"/>
        </w:rPr>
        <w:t>36</w:t>
      </w:r>
      <w:r>
        <w:t xml:space="preserve"> Гаагская декларация стала инициативой министра – координатора политики в области эмансипации и министра юстиции во время председательствования Нидерландов в ЕС в 1997 году. Она побудила государства – члены ЕС принять меры на национальном, европейском и международном уровнях и сосредоточилась на трех главных задачах: предупреждение насилия; расследование случаев насилия и осуществление надлежащих действий в отношении совершающих насилие; предоставление средств защиты и соответствующей помощи пострадавшим.</w:t>
      </w:r>
    </w:p>
  </w:footnote>
  <w:footnote w:id="38">
    <w:p w:rsidR="00000000" w:rsidRDefault="00000000">
      <w:pPr>
        <w:pStyle w:val="FootnoteText"/>
        <w:spacing w:before="120"/>
      </w:pPr>
      <w:r>
        <w:rPr>
          <w:rStyle w:val="FootnoteReference"/>
        </w:rPr>
        <w:t>37</w:t>
      </w:r>
      <w:r>
        <w:t xml:space="preserve"> Торговля людьми. Первый доклад Докладчика по вопросу торговли людьми, 2002 год.</w:t>
      </w:r>
    </w:p>
  </w:footnote>
  <w:footnote w:id="39">
    <w:p w:rsidR="00000000" w:rsidRDefault="00000000">
      <w:pPr>
        <w:pStyle w:val="FootnoteText"/>
      </w:pPr>
      <w:r>
        <w:rPr>
          <w:rStyle w:val="FootnoteReference"/>
        </w:rPr>
        <w:t>38</w:t>
      </w:r>
      <w:r>
        <w:t xml:space="preserve"> Ответ правительства на первый доклад Докладчика по вопросу торговли людьми (Парламентские документы, Палата представителей, 2002–2003 годы, 28638, № 1). </w:t>
      </w:r>
    </w:p>
  </w:footnote>
  <w:footnote w:id="40">
    <w:p w:rsidR="00000000" w:rsidRDefault="00000000">
      <w:pPr>
        <w:pStyle w:val="FootnoteText"/>
      </w:pPr>
      <w:r>
        <w:rPr>
          <w:rStyle w:val="FootnoteReference"/>
        </w:rPr>
        <w:t>39</w:t>
      </w:r>
      <w:r>
        <w:rPr>
          <w:lang w:val="ru-RU"/>
        </w:rPr>
        <w:t> </w:t>
      </w:r>
      <w:r>
        <w:t>Парламентские документы, Палата представителей, 2003–2004 годы, 28638, № 10.</w:t>
      </w:r>
    </w:p>
  </w:footnote>
  <w:footnote w:id="41">
    <w:p w:rsidR="00000000" w:rsidRDefault="00000000">
      <w:pPr>
        <w:pStyle w:val="FootnoteText"/>
      </w:pPr>
      <w:r>
        <w:rPr>
          <w:rStyle w:val="FootnoteReference"/>
        </w:rPr>
        <w:t>40</w:t>
      </w:r>
      <w:r>
        <w:t xml:space="preserve"> Прогноз, основанный на сообщениях, поступивших влючительно до августа 2003 года. </w:t>
      </w:r>
    </w:p>
  </w:footnote>
  <w:footnote w:id="42">
    <w:p w:rsidR="00000000" w:rsidRDefault="00000000">
      <w:pPr>
        <w:pStyle w:val="FootnoteText"/>
      </w:pPr>
      <w:r>
        <w:rPr>
          <w:rStyle w:val="FootnoteReference"/>
        </w:rPr>
        <w:t>41</w:t>
      </w:r>
      <w:r>
        <w:t xml:space="preserve"> </w:t>
      </w:r>
      <w:r>
        <w:rPr>
          <w:rStyle w:val="VoetnoottekstChar"/>
          <w:lang w:val="fr-FR" w:eastAsia="fr-FR"/>
        </w:rPr>
        <w:t xml:space="preserve">A. L. Daalder, </w:t>
      </w:r>
      <w:r>
        <w:rPr>
          <w:rStyle w:val="VoetnoottekstChar"/>
          <w:i/>
          <w:lang w:val="fr-FR" w:eastAsia="fr-FR"/>
        </w:rPr>
        <w:t>The ban on brothe</w:t>
      </w:r>
      <w:r>
        <w:rPr>
          <w:rStyle w:val="VoetnoottekstChar"/>
          <w:i/>
          <w:lang w:val="en-US" w:eastAsia="fr-FR"/>
        </w:rPr>
        <w:t>l</w:t>
      </w:r>
      <w:r>
        <w:rPr>
          <w:rStyle w:val="VoetnoottekstChar"/>
          <w:i/>
          <w:lang w:val="fr-FR" w:eastAsia="fr-FR"/>
        </w:rPr>
        <w:t>s lifted. Prostitution in 2000-2001,</w:t>
      </w:r>
      <w:r>
        <w:rPr>
          <w:rStyle w:val="VoetnoottekstChar"/>
          <w:lang w:val="fr-FR" w:eastAsia="fr-FR"/>
        </w:rPr>
        <w:t xml:space="preserve"> WODC, 2002 (Парламентские документы, Палат</w:t>
      </w:r>
      <w:r>
        <w:rPr>
          <w:rStyle w:val="VoetnoottekstChar"/>
          <w:lang w:val="ru-RU" w:eastAsia="fr-FR"/>
        </w:rPr>
        <w:t>а</w:t>
      </w:r>
      <w:r>
        <w:rPr>
          <w:rStyle w:val="VoetnoottekstChar"/>
          <w:lang w:val="fr-FR" w:eastAsia="fr-FR"/>
        </w:rPr>
        <w:t xml:space="preserve"> представителей, 2002–2003 годы, Just 02-801).</w:t>
      </w:r>
    </w:p>
  </w:footnote>
  <w:footnote w:id="43">
    <w:p w:rsidR="00000000" w:rsidRDefault="00000000">
      <w:pPr>
        <w:pStyle w:val="FootnoteText"/>
      </w:pPr>
      <w:r>
        <w:rPr>
          <w:rStyle w:val="FootnoteReference"/>
        </w:rPr>
        <w:t>42</w:t>
      </w:r>
      <w:r>
        <w:t xml:space="preserve"> План действий по обеспечению регулирования и защиты в секторе проституции (Парламентские документы, Палата представителей, 2003–2004 годы, 25437, № 46).</w:t>
      </w:r>
    </w:p>
  </w:footnote>
  <w:footnote w:id="44">
    <w:p w:rsidR="00000000" w:rsidRDefault="00000000">
      <w:pPr>
        <w:pStyle w:val="FootnoteText"/>
      </w:pPr>
      <w:r>
        <w:rPr>
          <w:rStyle w:val="FootnoteReference"/>
        </w:rPr>
        <w:t>43</w:t>
      </w:r>
      <w:r>
        <w:t xml:space="preserve"> SOA – аббревиатура "Seksueel Overdraagbare Aandoeningen" (болезни, передаваемые половым путем).</w:t>
      </w:r>
    </w:p>
  </w:footnote>
  <w:footnote w:id="45">
    <w:p w:rsidR="00000000" w:rsidRDefault="00000000">
      <w:pPr>
        <w:pStyle w:val="FootnoteText"/>
      </w:pPr>
      <w:r>
        <w:rPr>
          <w:rStyle w:val="FootnoteReference"/>
        </w:rPr>
        <w:t>44</w:t>
      </w:r>
      <w:r>
        <w:t xml:space="preserve"> </w:t>
      </w:r>
      <w:r>
        <w:rPr>
          <w:i/>
        </w:rPr>
        <w:t>Многолетний план в области эмансипации, 2000 год</w:t>
      </w:r>
      <w:r>
        <w:rPr>
          <w:i/>
          <w:lang w:val="ru-RU"/>
        </w:rPr>
        <w:t>,</w:t>
      </w:r>
      <w:r>
        <w:t xml:space="preserve"> стр. 71 (Парламентские документы, Палата представителей, 2000–2001 годы, 27061, № 3).</w:t>
      </w:r>
    </w:p>
  </w:footnote>
  <w:footnote w:id="46">
    <w:p w:rsidR="00000000" w:rsidRDefault="00000000">
      <w:pPr>
        <w:pStyle w:val="FootnoteText"/>
      </w:pPr>
      <w:r>
        <w:rPr>
          <w:rStyle w:val="FootnoteReference"/>
        </w:rPr>
        <w:t>45</w:t>
      </w:r>
      <w:r>
        <w:t xml:space="preserve"> КВМС – Королевские военно-морские силы, КСС – Королевские сухопутные силы, КВВС – Королевские военно-воздушные силы, КВП – Королевская военная полиция, СВРВ – Служба взаимодействия родов войск, ЦШ – Центральный штаб.</w:t>
      </w:r>
    </w:p>
  </w:footnote>
  <w:footnote w:id="47">
    <w:p w:rsidR="00000000" w:rsidRDefault="00000000">
      <w:pPr>
        <w:pStyle w:val="FootnoteText"/>
      </w:pPr>
      <w:r>
        <w:rPr>
          <w:rStyle w:val="FootnoteReference"/>
        </w:rPr>
        <w:t>46</w:t>
      </w:r>
      <w:r>
        <w:t xml:space="preserve"> Заключительный доклад о практике разделения рабочего места между несколькими завучами и заместителями директоров начальной школы, Тилбург, июнь 2002 года.</w:t>
      </w:r>
    </w:p>
  </w:footnote>
  <w:footnote w:id="48">
    <w:p w:rsidR="00000000" w:rsidRDefault="00000000">
      <w:pPr>
        <w:pStyle w:val="FootnoteText"/>
      </w:pPr>
      <w:r>
        <w:rPr>
          <w:rStyle w:val="FootnoteReference"/>
        </w:rPr>
        <w:t>47</w:t>
      </w:r>
      <w:r>
        <w:t xml:space="preserve"> </w:t>
      </w:r>
      <w:r>
        <w:rPr>
          <w:lang w:val="en-US"/>
        </w:rPr>
        <w:t>Emancipatiemonitor</w:t>
      </w:r>
      <w:r>
        <w:t>, 2000. Многолетний план в области эмансипации, ноябрь 2000 года (Парламентские документы, Палата представителей, 2000–2001 годы, 27061, № 3).</w:t>
      </w:r>
    </w:p>
  </w:footnote>
  <w:footnote w:id="49">
    <w:p w:rsidR="00000000" w:rsidRDefault="00000000">
      <w:pPr>
        <w:pStyle w:val="FootnoteText"/>
      </w:pPr>
      <w:r>
        <w:rPr>
          <w:rStyle w:val="FootnoteReference"/>
        </w:rPr>
        <w:t>48</w:t>
      </w:r>
      <w:r>
        <w:t xml:space="preserve"> Комитет по ликвидации дискриминации в отношении женщин, двадцать пятая сессия (2–20 июля 2001 года), рассмотрение докладов государств-участников, Нидерланды, второй и третий периодические доклады, </w:t>
      </w:r>
      <w:r>
        <w:rPr>
          <w:lang w:val="en-US"/>
        </w:rPr>
        <w:t>CEDAW</w:t>
      </w:r>
      <w:r>
        <w:t>/2001/</w:t>
      </w:r>
      <w:r>
        <w:rPr>
          <w:lang w:val="en-US"/>
        </w:rPr>
        <w:t>II</w:t>
      </w:r>
      <w:r>
        <w:t>/</w:t>
      </w:r>
      <w:r>
        <w:rPr>
          <w:lang w:val="en-US"/>
        </w:rPr>
        <w:t>CRP</w:t>
      </w:r>
      <w:r>
        <w:t>.3/</w:t>
      </w:r>
      <w:r>
        <w:rPr>
          <w:lang w:val="en-US"/>
        </w:rPr>
        <w:t>Add</w:t>
      </w:r>
      <w:r>
        <w:t>.1, 11 июля 2001 года и пятьдесят шестая сессия, Дополнение № 38 (А/56/38).</w:t>
      </w:r>
    </w:p>
  </w:footnote>
  <w:footnote w:id="50">
    <w:p w:rsidR="00000000" w:rsidRDefault="00000000">
      <w:pPr>
        <w:pStyle w:val="FootnoteText"/>
      </w:pPr>
      <w:r>
        <w:rPr>
          <w:rStyle w:val="FootnoteReference"/>
        </w:rPr>
        <w:t>49</w:t>
      </w:r>
      <w:r>
        <w:t xml:space="preserve"> МОСО – младшая ступень общего среднего образования; НПТО – начальное профессионально-техническое образование; СОСО – старшая ступень общего среднего образования (впоследствии МОСО, НПТО и СОСО были отменены и заменены новыми модифицированными видами образования); ПУО – предуниверситетское образование; СПТО – среднее профессионально-техническое образование; ВПТО – высшее профессионально-техническое образование; УО – университетское образование.</w:t>
      </w:r>
    </w:p>
  </w:footnote>
  <w:footnote w:id="51">
    <w:p w:rsidR="00000000" w:rsidRDefault="00000000">
      <w:pPr>
        <w:pStyle w:val="FootnoteText"/>
      </w:pPr>
      <w:r>
        <w:rPr>
          <w:rStyle w:val="FootnoteReference"/>
        </w:rPr>
        <w:t>50</w:t>
      </w:r>
      <w:r>
        <w:t xml:space="preserve"> УСКП (Управление социального и культурного планирования), Доклад о спорте, 2003 год.</w:t>
      </w:r>
    </w:p>
  </w:footnote>
  <w:footnote w:id="52">
    <w:p w:rsidR="00000000" w:rsidRDefault="00000000">
      <w:pPr>
        <w:pStyle w:val="FootnoteText"/>
      </w:pPr>
      <w:r>
        <w:rPr>
          <w:rStyle w:val="FootnoteReference"/>
        </w:rPr>
        <w:t>51</w:t>
      </w:r>
      <w:r>
        <w:t xml:space="preserve"> Многолетний план в области эмансипации, стр. 23 (Парламентские документы, Палата представителей, 2000–2001 годы, 27 061, № 3).</w:t>
      </w:r>
    </w:p>
  </w:footnote>
  <w:footnote w:id="53">
    <w:p w:rsidR="00000000" w:rsidRDefault="00000000">
      <w:pPr>
        <w:pStyle w:val="FootnoteText"/>
      </w:pPr>
      <w:r>
        <w:rPr>
          <w:rStyle w:val="FootnoteReference"/>
        </w:rPr>
        <w:t>52</w:t>
      </w:r>
      <w:r>
        <w:t xml:space="preserve"> У. Портегис, А. Беленс, С. Кезенкамп (Отдел социального и культурного планирования/Центральное статистическое бюро Нидерландов), Мониторинг в области эмансипации, 2002 год, стр. 112.</w:t>
      </w:r>
    </w:p>
  </w:footnote>
  <w:footnote w:id="54">
    <w:p w:rsidR="00000000" w:rsidRDefault="00000000">
      <w:pPr>
        <w:pStyle w:val="FootnoteText"/>
        <w:rPr>
          <w:sz w:val="24"/>
          <w:lang w:val="en-GB"/>
        </w:rPr>
      </w:pPr>
      <w:r>
        <w:rPr>
          <w:rStyle w:val="FootnoteReference"/>
        </w:rPr>
        <w:t>53</w:t>
      </w:r>
      <w:r>
        <w:rPr>
          <w:sz w:val="24"/>
          <w:lang w:val="en-GB"/>
        </w:rPr>
        <w:t xml:space="preserve"> </w:t>
      </w:r>
      <w:r>
        <w:rPr>
          <w:i/>
          <w:lang w:val="en-GB"/>
        </w:rPr>
        <w:t>Monitor expanding childcare 2003</w:t>
      </w:r>
      <w:r>
        <w:rPr>
          <w:lang w:val="en-GB"/>
        </w:rPr>
        <w:t>; VdMA, Deloitte &amp; Touche/ ICS advisors, November 2003 (</w:t>
      </w:r>
      <w:r>
        <w:t>документы</w:t>
      </w:r>
      <w:r>
        <w:rPr>
          <w:lang w:val="en-GB"/>
        </w:rPr>
        <w:t xml:space="preserve"> </w:t>
      </w:r>
      <w:r>
        <w:t>Палаты</w:t>
      </w:r>
      <w:r>
        <w:rPr>
          <w:lang w:val="en-GB"/>
        </w:rPr>
        <w:t xml:space="preserve"> </w:t>
      </w:r>
      <w:r>
        <w:t>представителей</w:t>
      </w:r>
      <w:r>
        <w:rPr>
          <w:lang w:val="en-GB"/>
        </w:rPr>
        <w:t>, SZW 04-466).</w:t>
      </w:r>
    </w:p>
  </w:footnote>
  <w:footnote w:id="55">
    <w:p w:rsidR="00000000" w:rsidRDefault="00000000">
      <w:pPr>
        <w:pStyle w:val="FootnoteText"/>
        <w:rPr>
          <w:sz w:val="24"/>
          <w:lang w:val="en-GB"/>
        </w:rPr>
      </w:pPr>
      <w:r>
        <w:rPr>
          <w:rStyle w:val="FootnoteReference"/>
        </w:rPr>
        <w:t>54</w:t>
      </w:r>
      <w:r>
        <w:rPr>
          <w:sz w:val="24"/>
          <w:lang w:val="en-GB"/>
        </w:rPr>
        <w:t xml:space="preserve"> </w:t>
      </w:r>
      <w:r>
        <w:rPr>
          <w:lang w:val="en-GB"/>
        </w:rPr>
        <w:t xml:space="preserve">G. Jehoel-Gijsbers, L. Kok &amp; L. Janssen, </w:t>
      </w:r>
      <w:r>
        <w:rPr>
          <w:i/>
          <w:lang w:val="en-GB"/>
        </w:rPr>
        <w:t xml:space="preserve">Single parents, the combination scenario </w:t>
      </w:r>
      <w:r>
        <w:rPr>
          <w:i/>
        </w:rPr>
        <w:t>and</w:t>
      </w:r>
      <w:r>
        <w:rPr>
          <w:i/>
          <w:lang w:val="en-GB"/>
        </w:rPr>
        <w:t xml:space="preserve"> child support, a study into bottlenecks and solutions in legislation and implementation,</w:t>
      </w:r>
      <w:r>
        <w:rPr>
          <w:lang w:val="en-GB"/>
        </w:rPr>
        <w:t xml:space="preserve"> 2001.</w:t>
      </w:r>
    </w:p>
  </w:footnote>
  <w:footnote w:id="56">
    <w:p w:rsidR="00000000" w:rsidRDefault="00000000">
      <w:pPr>
        <w:pStyle w:val="FootnoteText"/>
      </w:pPr>
      <w:r>
        <w:rPr>
          <w:rStyle w:val="FootnoteReference"/>
        </w:rPr>
        <w:t>55</w:t>
      </w:r>
      <w:r>
        <w:t xml:space="preserve"> Главное – интересы ребенка: ответственность остается. Заключительный доклад рабочей группы по вопросам политики в области обеспечения и взыскания алиментов, межведомственный обзор политики, 2002 год.</w:t>
      </w:r>
    </w:p>
  </w:footnote>
  <w:footnote w:id="57">
    <w:p w:rsidR="00000000" w:rsidRDefault="00000000">
      <w:pPr>
        <w:pStyle w:val="FootnoteText"/>
      </w:pPr>
      <w:r>
        <w:rPr>
          <w:rStyle w:val="FootnoteReference"/>
        </w:rPr>
        <w:t>56</w:t>
      </w:r>
      <w:r>
        <w:t xml:space="preserve"> Эмансипация и интеграция, 2003 год (документы Палаты представителей, </w:t>
      </w:r>
      <w:r>
        <w:rPr>
          <w:lang w:val="en-US"/>
        </w:rPr>
        <w:t>SZW</w:t>
      </w:r>
      <w:r>
        <w:t xml:space="preserve"> 03-194).</w:t>
      </w:r>
    </w:p>
  </w:footnote>
  <w:footnote w:id="58">
    <w:p w:rsidR="00000000" w:rsidRDefault="00000000">
      <w:pPr>
        <w:pStyle w:val="FootnoteText"/>
        <w:rPr>
          <w:sz w:val="24"/>
          <w:lang w:val="en-US"/>
        </w:rPr>
      </w:pPr>
      <w:r>
        <w:rPr>
          <w:rStyle w:val="FootnoteReference"/>
        </w:rPr>
        <w:t>57</w:t>
      </w:r>
      <w:r>
        <w:rPr>
          <w:sz w:val="24"/>
          <w:lang w:val="en-US"/>
        </w:rPr>
        <w:t xml:space="preserve"> </w:t>
      </w:r>
      <w:r>
        <w:rPr>
          <w:lang w:val="en-US"/>
        </w:rPr>
        <w:t xml:space="preserve">S. Keuzenkamp (ed.), </w:t>
      </w:r>
      <w:r>
        <w:rPr>
          <w:i/>
          <w:lang w:val="en-US"/>
        </w:rPr>
        <w:t>Better for the Day. Evaluation of the Daily Routine Incentive Scheme</w:t>
      </w:r>
      <w:r>
        <w:rPr>
          <w:lang w:val="en-US"/>
        </w:rPr>
        <w:t>, research report 2003-2.</w:t>
      </w:r>
    </w:p>
  </w:footnote>
  <w:footnote w:id="59">
    <w:p w:rsidR="00000000" w:rsidRDefault="00000000">
      <w:pPr>
        <w:pStyle w:val="FootnoteText"/>
      </w:pPr>
      <w:r>
        <w:rPr>
          <w:rStyle w:val="FootnoteReference"/>
        </w:rPr>
        <w:t>58</w:t>
      </w:r>
      <w:r>
        <w:t xml:space="preserve"> Более подробную информацию о содержании, участниках и ходе осуществления проекта "Смешанный состав" см. на сайте </w:t>
      </w:r>
      <w:r>
        <w:rPr>
          <w:rStyle w:val="Hyperlink0"/>
          <w:lang w:val="en-US"/>
        </w:rPr>
        <w:t>www</w:t>
      </w:r>
      <w:r>
        <w:rPr>
          <w:rStyle w:val="Hyperlink0"/>
        </w:rPr>
        <w:t>.</w:t>
      </w:r>
      <w:r>
        <w:rPr>
          <w:rStyle w:val="Hyperlink0"/>
          <w:lang w:val="en-US"/>
        </w:rPr>
        <w:t>mixed</w:t>
      </w:r>
      <w:r>
        <w:rPr>
          <w:rStyle w:val="Hyperlink0"/>
        </w:rPr>
        <w:t>-</w:t>
      </w:r>
      <w:r>
        <w:rPr>
          <w:rStyle w:val="Hyperlink0"/>
          <w:lang w:val="en-US"/>
        </w:rPr>
        <w:t>equal</w:t>
      </w:r>
      <w:r>
        <w:rPr>
          <w:rStyle w:val="Hyperlink0"/>
        </w:rPr>
        <w:t>.</w:t>
      </w:r>
      <w:r>
        <w:rPr>
          <w:rStyle w:val="Hyperlink0"/>
          <w:lang w:val="en-US"/>
        </w:rPr>
        <w:t>nl</w:t>
      </w:r>
      <w:r>
        <w:t xml:space="preserve">. </w:t>
      </w:r>
    </w:p>
  </w:footnote>
  <w:footnote w:id="60">
    <w:p w:rsidR="00000000" w:rsidRDefault="00000000">
      <w:pPr>
        <w:pStyle w:val="FootnoteText"/>
      </w:pPr>
      <w:r>
        <w:rPr>
          <w:rStyle w:val="FootnoteReference"/>
        </w:rPr>
        <w:t>59</w:t>
      </w:r>
      <w:r>
        <w:t xml:space="preserve"> K. Zandvliet c.s., </w:t>
      </w:r>
      <w:r>
        <w:rPr>
          <w:i/>
        </w:rPr>
        <w:t>Women in senior positions, developing a benchmark,</w:t>
      </w:r>
      <w:r>
        <w:t xml:space="preserve"> ноябрь 2002 года (документы Палаты представителей, SZW 03-234).</w:t>
      </w:r>
    </w:p>
  </w:footnote>
  <w:footnote w:id="61">
    <w:p w:rsidR="00000000" w:rsidRDefault="00000000">
      <w:pPr>
        <w:pStyle w:val="FootnoteText"/>
      </w:pPr>
      <w:r>
        <w:rPr>
          <w:rStyle w:val="FootnoteReference"/>
        </w:rPr>
        <w:t>60</w:t>
      </w:r>
      <w:r>
        <w:t xml:space="preserve"> Ответ правительства на межведомственный обзор политики, "Скрытые убежища", ноябрь 2003 года (Парламентские документы Палаты представителей, 2003–2004 годы, 29 325, № 1).</w:t>
      </w:r>
    </w:p>
  </w:footnote>
  <w:footnote w:id="62">
    <w:p w:rsidR="00000000" w:rsidRDefault="00000000">
      <w:pPr>
        <w:pStyle w:val="FootnoteText"/>
      </w:pPr>
      <w:r>
        <w:rPr>
          <w:rStyle w:val="FootnoteReference"/>
        </w:rPr>
        <w:t>61</w:t>
      </w:r>
      <w:r>
        <w:t xml:space="preserve"> Национальный мониторинг в области наркомании, 2003 год.</w:t>
      </w:r>
    </w:p>
  </w:footnote>
  <w:footnote w:id="63">
    <w:p w:rsidR="00000000" w:rsidRDefault="00000000">
      <w:pPr>
        <w:pStyle w:val="FootnoteText"/>
      </w:pPr>
      <w:r>
        <w:rPr>
          <w:rStyle w:val="FootnoteReference"/>
        </w:rPr>
        <w:t>62</w:t>
      </w:r>
      <w:r>
        <w:t xml:space="preserve"> </w:t>
      </w:r>
      <w:r>
        <w:rPr>
          <w:lang w:val="en-US"/>
        </w:rPr>
        <w:t>IVZ</w:t>
      </w:r>
      <w:r>
        <w:t xml:space="preserve"> 2003.</w:t>
      </w:r>
    </w:p>
  </w:footnote>
  <w:footnote w:id="64">
    <w:p w:rsidR="00000000" w:rsidRDefault="00000000">
      <w:pPr>
        <w:pStyle w:val="FootnoteText"/>
      </w:pPr>
      <w:r>
        <w:rPr>
          <w:rStyle w:val="FootnoteReference"/>
        </w:rPr>
        <w:t>63</w:t>
      </w:r>
      <w:r>
        <w:t xml:space="preserve"> Управление социального и культурного планирования, </w:t>
      </w:r>
      <w:r>
        <w:rPr>
          <w:i/>
        </w:rPr>
        <w:t>В поисках времени</w:t>
      </w:r>
      <w:r>
        <w:t>, 2002 год.</w:t>
      </w:r>
    </w:p>
  </w:footnote>
  <w:footnote w:id="65">
    <w:p w:rsidR="00000000" w:rsidRDefault="00000000">
      <w:pPr>
        <w:pStyle w:val="FootnoteText"/>
      </w:pPr>
      <w:r>
        <w:rPr>
          <w:rStyle w:val="FootnoteReference"/>
        </w:rPr>
        <w:t>64</w:t>
      </w:r>
      <w:r>
        <w:t xml:space="preserve"> Подробнее см. по адресу</w:t>
      </w:r>
      <w:r>
        <w:rPr>
          <w:lang w:val="ru-RU"/>
        </w:rPr>
        <w:t>:</w:t>
      </w:r>
      <w:r>
        <w:t xml:space="preserve"> </w:t>
      </w:r>
      <w:r>
        <w:rPr>
          <w:rStyle w:val="Hyperlink0"/>
          <w:lang w:val="en-US"/>
        </w:rPr>
        <w:t>www</w:t>
      </w:r>
      <w:r>
        <w:rPr>
          <w:rStyle w:val="Hyperlink0"/>
        </w:rPr>
        <w:t>.</w:t>
      </w:r>
      <w:r>
        <w:rPr>
          <w:rStyle w:val="Hyperlink0"/>
          <w:lang w:val="en-US"/>
        </w:rPr>
        <w:t>groenkennisnet</w:t>
      </w:r>
      <w:r>
        <w:rPr>
          <w:rStyle w:val="Hyperlink0"/>
        </w:rPr>
        <w:t>.</w:t>
      </w:r>
      <w:r>
        <w:rPr>
          <w:rStyle w:val="Hyperlink0"/>
          <w:lang w:val="en-US"/>
        </w:rPr>
        <w:t>nl</w:t>
      </w:r>
      <w:r>
        <w:rPr>
          <w:rStyle w:val="Hyperlink0"/>
        </w:rPr>
        <w:t>/</w:t>
      </w:r>
      <w:r>
        <w:rPr>
          <w:rStyle w:val="Hyperlink0"/>
          <w:lang w:val="en-US"/>
        </w:rPr>
        <w:t>new</w:t>
      </w:r>
      <w:r>
        <w:rPr>
          <w:rStyle w:val="Hyperlink0"/>
        </w:rPr>
        <w:t>-</w:t>
      </w:r>
      <w:r>
        <w:rPr>
          <w:rStyle w:val="Hyperlink0"/>
          <w:lang w:val="en-US"/>
        </w:rPr>
        <w:t>neighbours</w:t>
      </w:r>
      <w:r>
        <w:t xml:space="preserve">. </w:t>
      </w:r>
    </w:p>
  </w:footnote>
  <w:footnote w:id="66">
    <w:p w:rsidR="00000000" w:rsidRDefault="00000000">
      <w:pPr>
        <w:pStyle w:val="FootnoteText"/>
        <w:rPr>
          <w:sz w:val="24"/>
          <w:lang w:val="en-GB"/>
        </w:rPr>
      </w:pPr>
      <w:r>
        <w:rPr>
          <w:rStyle w:val="FootnoteReference"/>
        </w:rPr>
        <w:t>65</w:t>
      </w:r>
      <w:r>
        <w:rPr>
          <w:sz w:val="24"/>
          <w:lang w:val="en-GB"/>
        </w:rPr>
        <w:t xml:space="preserve"> </w:t>
      </w:r>
      <w:r>
        <w:rPr>
          <w:lang w:val="en-GB"/>
        </w:rPr>
        <w:t xml:space="preserve">B.E.S., Chin-A-Fat, M.J. Steketee, </w:t>
      </w:r>
      <w:r>
        <w:rPr>
          <w:i/>
          <w:lang w:val="en-GB"/>
        </w:rPr>
        <w:t>Mediation in practice. Evaluation of experiments with relationship and divorce mediation</w:t>
      </w:r>
      <w:r>
        <w:rPr>
          <w:lang w:val="en-GB"/>
        </w:rPr>
        <w:t xml:space="preserve"> Utrecht, Verwey-Jonker </w:t>
      </w:r>
      <w:r>
        <w:t>Institute</w:t>
      </w:r>
      <w:r>
        <w:rPr>
          <w:lang w:val="en-GB"/>
        </w:rPr>
        <w:t>, 2001.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84</w:t>
    </w:r>
    <w:r>
      <w:rPr>
        <w:rStyle w:val="PageNumber"/>
      </w:rPr>
      <w:fldChar w:fldCharType="end"/>
    </w:r>
  </w:p>
  <w:p w:rsidR="00000000" w:rsidRDefault="00000000">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rPr>
        <w:lang w:val="en-U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00000" w:rsidRDefault="00000000">
    <w:pPr>
      <w:pStyle w:val="Header"/>
      <w:ind w:right="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82EAD"/>
    <w:multiLevelType w:val="multilevel"/>
    <w:tmpl w:val="E9341026"/>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1">
    <w:nsid w:val="077012D1"/>
    <w:multiLevelType w:val="multilevel"/>
    <w:tmpl w:val="D6BEEC56"/>
    <w:lvl w:ilvl="0">
      <w:start w:val="2"/>
      <w:numFmt w:val="none"/>
      <w:lvlText w:val="–"/>
      <w:lvlJc w:val="left"/>
      <w:pPr>
        <w:tabs>
          <w:tab w:val="num" w:pos="0"/>
        </w:tabs>
        <w:ind w:left="227" w:hanging="227"/>
      </w:pPr>
      <w:rPr>
        <w:rFonts w:hint="default"/>
      </w:rPr>
    </w:lvl>
    <w:lvl w:ilvl="1">
      <w:start w:val="1"/>
      <w:numFmt w:val="none"/>
      <w:lvlText w:val="–"/>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2">
    <w:nsid w:val="119B24FC"/>
    <w:multiLevelType w:val="multilevel"/>
    <w:tmpl w:val="3C0AD766"/>
    <w:lvl w:ilvl="0">
      <w:start w:val="2"/>
      <w:numFmt w:val="none"/>
      <w:lvlText w:val="–"/>
      <w:lvlJc w:val="left"/>
      <w:pPr>
        <w:tabs>
          <w:tab w:val="num" w:pos="0"/>
        </w:tabs>
        <w:ind w:left="360" w:hanging="360"/>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3">
    <w:nsid w:val="17A42E62"/>
    <w:multiLevelType w:val="multilevel"/>
    <w:tmpl w:val="AE7095CA"/>
    <w:lvl w:ilvl="0">
      <w:start w:val="2"/>
      <w:numFmt w:val="none"/>
      <w:lvlText w:val="–"/>
      <w:lvlJc w:val="left"/>
      <w:pPr>
        <w:tabs>
          <w:tab w:val="num" w:pos="0"/>
        </w:tabs>
        <w:ind w:left="227" w:hanging="22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4">
    <w:nsid w:val="3CE301B0"/>
    <w:multiLevelType w:val="multilevel"/>
    <w:tmpl w:val="7C149DC6"/>
    <w:lvl w:ilvl="0">
      <w:start w:val="1"/>
      <w:numFmt w:val="bullet"/>
      <w:lvlText w:val=""/>
      <w:lvlJc w:val="left"/>
      <w:pPr>
        <w:tabs>
          <w:tab w:val="num" w:pos="357"/>
        </w:tabs>
        <w:ind w:left="1474" w:hanging="22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41C279B6"/>
    <w:multiLevelType w:val="hybridMultilevel"/>
    <w:tmpl w:val="3D567FFC"/>
    <w:lvl w:ilvl="0">
      <w:start w:val="1"/>
      <w:numFmt w:val="bullet"/>
      <w:lvlText w:val=""/>
      <w:lvlJc w:val="left"/>
      <w:pPr>
        <w:tabs>
          <w:tab w:val="num" w:pos="1701"/>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47E55587"/>
    <w:multiLevelType w:val="multilevel"/>
    <w:tmpl w:val="E9341026"/>
    <w:lvl w:ilvl="0">
      <w:start w:val="2"/>
      <w:numFmt w:val="none"/>
      <w:lvlText w:val="-"/>
      <w:legacy w:legacy="1" w:legacySpace="120" w:legacyIndent="360"/>
      <w:lvlJc w:val="left"/>
      <w:pPr>
        <w:ind w:left="360" w:hanging="360"/>
      </w:pPr>
    </w:lvl>
    <w:lvl w:ilvl="1">
      <w:start w:val="1"/>
      <w:numFmt w:val="none"/>
      <w:lvlText w:val="o"/>
      <w:legacy w:legacy="1" w:legacySpace="120" w:legacyIndent="360"/>
      <w:lvlJc w:val="left"/>
      <w:pPr>
        <w:ind w:left="720" w:hanging="360"/>
      </w:pPr>
      <w:rPr>
        <w:rFonts w:ascii="Courier New" w:hAnsi="Courier New" w:cs="Courier New" w:hint="default"/>
      </w:rPr>
    </w:lvl>
    <w:lvl w:ilvl="2">
      <w:start w:val="1"/>
      <w:numFmt w:val="none"/>
      <w:lvlText w:val=""/>
      <w:legacy w:legacy="1" w:legacySpace="120" w:legacyIndent="360"/>
      <w:lvlJc w:val="left"/>
      <w:pPr>
        <w:ind w:left="1080" w:hanging="360"/>
      </w:pPr>
      <w:rPr>
        <w:rFonts w:ascii="Wingdings" w:hAnsi="Wingdings" w:hint="default"/>
      </w:rPr>
    </w:lvl>
    <w:lvl w:ilvl="3">
      <w:start w:val="1"/>
      <w:numFmt w:val="none"/>
      <w:lvlText w:val=""/>
      <w:legacy w:legacy="1" w:legacySpace="120" w:legacyIndent="360"/>
      <w:lvlJc w:val="left"/>
      <w:pPr>
        <w:ind w:left="1440" w:hanging="360"/>
      </w:pPr>
      <w:rPr>
        <w:rFonts w:ascii="Symbol" w:hAnsi="Symbol" w:hint="default"/>
      </w:rPr>
    </w:lvl>
    <w:lvl w:ilvl="4">
      <w:start w:val="1"/>
      <w:numFmt w:val="none"/>
      <w:lvlText w:val="o"/>
      <w:legacy w:legacy="1" w:legacySpace="120" w:legacyIndent="360"/>
      <w:lvlJc w:val="left"/>
      <w:pPr>
        <w:ind w:left="1800" w:hanging="360"/>
      </w:pPr>
      <w:rPr>
        <w:rFonts w:ascii="Courier New" w:hAnsi="Courier New" w:cs="Courier New" w:hint="default"/>
      </w:rPr>
    </w:lvl>
    <w:lvl w:ilvl="5">
      <w:start w:val="1"/>
      <w:numFmt w:val="none"/>
      <w:lvlText w:val=""/>
      <w:legacy w:legacy="1" w:legacySpace="120" w:legacyIndent="360"/>
      <w:lvlJc w:val="left"/>
      <w:pPr>
        <w:ind w:left="2160" w:hanging="360"/>
      </w:pPr>
      <w:rPr>
        <w:rFonts w:ascii="Wingdings" w:hAnsi="Wingdings" w:hint="default"/>
      </w:rPr>
    </w:lvl>
    <w:lvl w:ilvl="6">
      <w:start w:val="1"/>
      <w:numFmt w:val="none"/>
      <w:lvlText w:val=""/>
      <w:legacy w:legacy="1" w:legacySpace="120" w:legacyIndent="360"/>
      <w:lvlJc w:val="left"/>
      <w:pPr>
        <w:ind w:left="2520" w:hanging="360"/>
      </w:pPr>
      <w:rPr>
        <w:rFonts w:ascii="Symbol" w:hAnsi="Symbol" w:hint="default"/>
      </w:rPr>
    </w:lvl>
    <w:lvl w:ilvl="7">
      <w:start w:val="1"/>
      <w:numFmt w:val="none"/>
      <w:lvlText w:val="o"/>
      <w:legacy w:legacy="1" w:legacySpace="120" w:legacyIndent="360"/>
      <w:lvlJc w:val="left"/>
      <w:pPr>
        <w:ind w:left="2880" w:hanging="360"/>
      </w:pPr>
      <w:rPr>
        <w:rFonts w:ascii="Courier New" w:hAnsi="Courier New" w:cs="Courier New" w:hint="default"/>
      </w:rPr>
    </w:lvl>
    <w:lvl w:ilvl="8">
      <w:start w:val="1"/>
      <w:numFmt w:val="none"/>
      <w:lvlText w:val=""/>
      <w:legacy w:legacy="1" w:legacySpace="120" w:legacyIndent="360"/>
      <w:lvlJc w:val="left"/>
      <w:pPr>
        <w:ind w:left="3240" w:hanging="360"/>
      </w:pPr>
      <w:rPr>
        <w:rFonts w:ascii="Wingdings" w:hAnsi="Wingdings" w:hint="default"/>
      </w:rPr>
    </w:lvl>
  </w:abstractNum>
  <w:abstractNum w:abstractNumId="7">
    <w:nsid w:val="486764E7"/>
    <w:multiLevelType w:val="hybridMultilevel"/>
    <w:tmpl w:val="7C149DC6"/>
    <w:lvl w:ilvl="0">
      <w:start w:val="1"/>
      <w:numFmt w:val="bullet"/>
      <w:lvlText w:val=""/>
      <w:lvlJc w:val="left"/>
      <w:pPr>
        <w:tabs>
          <w:tab w:val="num" w:pos="357"/>
        </w:tabs>
        <w:ind w:left="1474" w:hanging="227"/>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8">
    <w:nsid w:val="4CD717AA"/>
    <w:multiLevelType w:val="multilevel"/>
    <w:tmpl w:val="C59C6B98"/>
    <w:lvl w:ilvl="0">
      <w:start w:val="2"/>
      <w:numFmt w:val="none"/>
      <w:lvlText w:val="–"/>
      <w:lvlJc w:val="left"/>
      <w:pPr>
        <w:tabs>
          <w:tab w:val="num" w:pos="0"/>
        </w:tabs>
        <w:ind w:left="227" w:hanging="227"/>
      </w:pPr>
      <w:rPr>
        <w:rFonts w:hint="default"/>
      </w:rPr>
    </w:lvl>
    <w:lvl w:ilvl="1">
      <w:start w:val="1"/>
      <w:numFmt w:val="none"/>
      <w:lvlText w:val="o"/>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9">
    <w:nsid w:val="5C1A1D54"/>
    <w:multiLevelType w:val="multilevel"/>
    <w:tmpl w:val="3D567FFC"/>
    <w:lvl w:ilvl="0">
      <w:start w:val="1"/>
      <w:numFmt w:val="bullet"/>
      <w:lvlText w:val=""/>
      <w:lvlJc w:val="left"/>
      <w:pPr>
        <w:tabs>
          <w:tab w:val="num" w:pos="1701"/>
        </w:tabs>
        <w:ind w:left="1701" w:hanging="283"/>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636308F5"/>
    <w:multiLevelType w:val="hybridMultilevel"/>
    <w:tmpl w:val="F20A1530"/>
    <w:lvl w:ilvl="0">
      <w:start w:val="1"/>
      <w:numFmt w:val="bullet"/>
      <w:lvlText w:val=""/>
      <w:lvlJc w:val="left"/>
      <w:pPr>
        <w:tabs>
          <w:tab w:val="num" w:pos="680"/>
        </w:tabs>
        <w:ind w:left="680" w:hanging="680"/>
      </w:pPr>
      <w:rPr>
        <w:rFonts w:ascii="Symbol" w:hAnsi="Symbol" w:hint="default"/>
      </w:rPr>
    </w:lvl>
    <w:lvl w:ilvl="1">
      <w:numFmt w:val="bullet"/>
      <w:lvlText w:val="-"/>
      <w:lvlJc w:val="left"/>
      <w:pPr>
        <w:tabs>
          <w:tab w:val="num" w:pos="1440"/>
        </w:tabs>
        <w:ind w:left="1440" w:hanging="360"/>
      </w:pPr>
      <w:rPr>
        <w:rFonts w:ascii="Times New Roman" w:eastAsia="Times New Roman"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77C771A7"/>
    <w:multiLevelType w:val="multilevel"/>
    <w:tmpl w:val="D6BEEC56"/>
    <w:lvl w:ilvl="0">
      <w:start w:val="2"/>
      <w:numFmt w:val="none"/>
      <w:lvlText w:val="–"/>
      <w:lvlJc w:val="left"/>
      <w:pPr>
        <w:tabs>
          <w:tab w:val="num" w:pos="0"/>
        </w:tabs>
        <w:ind w:left="227" w:hanging="227"/>
      </w:pPr>
      <w:rPr>
        <w:rFonts w:hint="default"/>
      </w:rPr>
    </w:lvl>
    <w:lvl w:ilvl="1">
      <w:start w:val="1"/>
      <w:numFmt w:val="none"/>
      <w:lvlText w:val="–"/>
      <w:lvlJc w:val="left"/>
      <w:pPr>
        <w:tabs>
          <w:tab w:val="num" w:pos="0"/>
        </w:tabs>
        <w:ind w:left="720" w:hanging="360"/>
      </w:pPr>
      <w:rPr>
        <w:rFonts w:ascii="Courier New" w:hAnsi="Courier New" w:cs="Courier New" w:hint="default"/>
      </w:rPr>
    </w:lvl>
    <w:lvl w:ilvl="2">
      <w:start w:val="1"/>
      <w:numFmt w:val="none"/>
      <w:lvlText w:val=""/>
      <w:lvlJc w:val="left"/>
      <w:pPr>
        <w:tabs>
          <w:tab w:val="num" w:pos="0"/>
        </w:tabs>
        <w:ind w:left="1080" w:hanging="360"/>
      </w:pPr>
      <w:rPr>
        <w:rFonts w:ascii="Wingdings" w:hAnsi="Wingdings" w:hint="default"/>
      </w:rPr>
    </w:lvl>
    <w:lvl w:ilvl="3">
      <w:start w:val="1"/>
      <w:numFmt w:val="none"/>
      <w:lvlText w:val=""/>
      <w:lvlJc w:val="left"/>
      <w:pPr>
        <w:tabs>
          <w:tab w:val="num" w:pos="0"/>
        </w:tabs>
        <w:ind w:left="1440" w:hanging="360"/>
      </w:pPr>
      <w:rPr>
        <w:rFonts w:ascii="Symbol" w:hAnsi="Symbol" w:hint="default"/>
      </w:rPr>
    </w:lvl>
    <w:lvl w:ilvl="4">
      <w:start w:val="1"/>
      <w:numFmt w:val="none"/>
      <w:lvlText w:val="o"/>
      <w:lvlJc w:val="left"/>
      <w:pPr>
        <w:tabs>
          <w:tab w:val="num" w:pos="0"/>
        </w:tabs>
        <w:ind w:left="1800" w:hanging="360"/>
      </w:pPr>
      <w:rPr>
        <w:rFonts w:ascii="Courier New" w:hAnsi="Courier New" w:cs="Courier New" w:hint="default"/>
      </w:rPr>
    </w:lvl>
    <w:lvl w:ilvl="5">
      <w:start w:val="1"/>
      <w:numFmt w:val="none"/>
      <w:lvlText w:val=""/>
      <w:lvlJc w:val="left"/>
      <w:pPr>
        <w:tabs>
          <w:tab w:val="num" w:pos="0"/>
        </w:tabs>
        <w:ind w:left="2160" w:hanging="360"/>
      </w:pPr>
      <w:rPr>
        <w:rFonts w:ascii="Wingdings" w:hAnsi="Wingdings" w:hint="default"/>
      </w:rPr>
    </w:lvl>
    <w:lvl w:ilvl="6">
      <w:start w:val="1"/>
      <w:numFmt w:val="none"/>
      <w:lvlText w:val=""/>
      <w:lvlJc w:val="left"/>
      <w:pPr>
        <w:tabs>
          <w:tab w:val="num" w:pos="0"/>
        </w:tabs>
        <w:ind w:left="2520" w:hanging="360"/>
      </w:pPr>
      <w:rPr>
        <w:rFonts w:ascii="Symbol" w:hAnsi="Symbol" w:hint="default"/>
      </w:rPr>
    </w:lvl>
    <w:lvl w:ilvl="7">
      <w:start w:val="1"/>
      <w:numFmt w:val="none"/>
      <w:lvlText w:val="o"/>
      <w:lvlJc w:val="left"/>
      <w:pPr>
        <w:tabs>
          <w:tab w:val="num" w:pos="0"/>
        </w:tabs>
        <w:ind w:left="2880" w:hanging="360"/>
      </w:pPr>
      <w:rPr>
        <w:rFonts w:ascii="Courier New" w:hAnsi="Courier New" w:cs="Courier New" w:hint="default"/>
      </w:rPr>
    </w:lvl>
    <w:lvl w:ilvl="8">
      <w:start w:val="1"/>
      <w:numFmt w:val="none"/>
      <w:lvlText w:val=""/>
      <w:lvlJc w:val="left"/>
      <w:pPr>
        <w:tabs>
          <w:tab w:val="num" w:pos="0"/>
        </w:tabs>
        <w:ind w:left="3240" w:hanging="360"/>
      </w:pPr>
      <w:rPr>
        <w:rFonts w:ascii="Wingdings" w:hAnsi="Wingdings" w:hint="default"/>
      </w:rPr>
    </w:lvl>
  </w:abstractNum>
  <w:abstractNum w:abstractNumId="12">
    <w:nsid w:val="7E01386F"/>
    <w:multiLevelType w:val="hybridMultilevel"/>
    <w:tmpl w:val="8C40EC0C"/>
    <w:lvl w:ilvl="0">
      <w:start w:val="1"/>
      <w:numFmt w:val="bullet"/>
      <w:lvlText w:val=""/>
      <w:lvlJc w:val="left"/>
      <w:pPr>
        <w:tabs>
          <w:tab w:val="num" w:pos="1701"/>
        </w:tabs>
        <w:ind w:left="1701" w:hanging="283"/>
      </w:pPr>
      <w:rPr>
        <w:rFonts w:ascii="Symbol" w:hAnsi="Symbol"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8"/>
  </w:num>
  <w:num w:numId="3">
    <w:abstractNumId w:val="7"/>
  </w:num>
  <w:num w:numId="4">
    <w:abstractNumId w:val="4"/>
  </w:num>
  <w:num w:numId="5">
    <w:abstractNumId w:val="12"/>
  </w:num>
  <w:num w:numId="6">
    <w:abstractNumId w:val="0"/>
  </w:num>
  <w:num w:numId="7">
    <w:abstractNumId w:val="2"/>
  </w:num>
  <w:num w:numId="8">
    <w:abstractNumId w:val="11"/>
  </w:num>
  <w:num w:numId="9">
    <w:abstractNumId w:val="3"/>
  </w:num>
  <w:num w:numId="10">
    <w:abstractNumId w:val="1"/>
  </w:num>
  <w:num w:numId="11">
    <w:abstractNumId w:val="5"/>
  </w:num>
  <w:num w:numId="12">
    <w:abstractNumId w:val="9"/>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ru-RU" w:vendorID="1" w:dllVersion="512" w:checkStyle="1"/>
  <w:doNotTrackMoves/>
  <w:defaultTabStop w:val="340"/>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tabs>
        <w:tab w:val="left" w:pos="680"/>
        <w:tab w:val="left" w:pos="1134"/>
      </w:tabs>
      <w:spacing w:before="240" w:line="280" w:lineRule="exact"/>
      <w:jc w:val="both"/>
    </w:pPr>
    <w:rPr>
      <w:sz w:val="22"/>
      <w:lang w:val="fr-FR" w:eastAsia="fr-FR"/>
    </w:rPr>
  </w:style>
  <w:style w:type="paragraph" w:styleId="Heading1">
    <w:name w:val="heading 1"/>
    <w:basedOn w:val="Normal"/>
    <w:next w:val="Normal"/>
    <w:qFormat/>
    <w:pPr>
      <w:keepNext/>
      <w:spacing w:after="240"/>
      <w:outlineLvl w:val="0"/>
    </w:pPr>
    <w:rPr>
      <w:b/>
      <w:sz w:val="24"/>
    </w:rPr>
  </w:style>
  <w:style w:type="paragraph" w:styleId="Heading2">
    <w:name w:val="heading 2"/>
    <w:basedOn w:val="Normal"/>
    <w:next w:val="Normal"/>
    <w:qFormat/>
    <w:pPr>
      <w:keepNext/>
      <w:spacing w:after="240" w:line="260" w:lineRule="exact"/>
      <w:outlineLvl w:val="1"/>
    </w:pPr>
    <w:rPr>
      <w:b/>
      <w:szCs w:val="24"/>
      <w:lang w:val="ru-RU"/>
    </w:rPr>
  </w:style>
  <w:style w:type="paragraph" w:styleId="Heading3">
    <w:name w:val="heading 3"/>
    <w:basedOn w:val="Normal"/>
    <w:next w:val="Normal"/>
    <w:qFormat/>
    <w:pPr>
      <w:keepNext/>
      <w:spacing w:after="240" w:line="260" w:lineRule="exact"/>
      <w:outlineLvl w:val="2"/>
    </w:pPr>
    <w:rPr>
      <w:b/>
      <w:i/>
      <w:lang w:val="ru-RU"/>
    </w:rPr>
  </w:style>
  <w:style w:type="paragraph" w:styleId="Heading4">
    <w:name w:val="heading 4"/>
    <w:basedOn w:val="Normal"/>
    <w:next w:val="Normal"/>
    <w:qFormat/>
    <w:pPr>
      <w:keepNext/>
      <w:spacing w:after="240" w:line="260" w:lineRule="exact"/>
      <w:outlineLvl w:val="3"/>
    </w:pPr>
    <w:rPr>
      <w:u w:val="single"/>
    </w:rPr>
  </w:style>
  <w:style w:type="paragraph" w:styleId="Heading5">
    <w:name w:val="heading 5"/>
    <w:basedOn w:val="Normal"/>
    <w:next w:val="Normal"/>
    <w:qFormat/>
    <w:pPr>
      <w:spacing w:after="60"/>
      <w:outlineLvl w:val="4"/>
    </w:pPr>
    <w:rPr>
      <w:b/>
      <w:bCs/>
      <w:i/>
      <w:iCs/>
      <w:sz w:val="26"/>
      <w:szCs w:val="26"/>
    </w:rPr>
  </w:style>
  <w:style w:type="paragraph" w:styleId="Heading6">
    <w:name w:val="heading 6"/>
    <w:basedOn w:val="Normal"/>
    <w:next w:val="Normal"/>
    <w:qFormat/>
    <w:pPr>
      <w:spacing w:after="60"/>
      <w:outlineLvl w:val="5"/>
    </w:pPr>
    <w:rPr>
      <w:b/>
      <w:bCs/>
      <w:szCs w:val="22"/>
    </w:rPr>
  </w:style>
  <w:style w:type="paragraph" w:styleId="Heading7">
    <w:name w:val="heading 7"/>
    <w:basedOn w:val="Normal"/>
    <w:next w:val="Normal"/>
    <w:qFormat/>
    <w:pPr>
      <w:keepNext/>
      <w:tabs>
        <w:tab w:val="left" w:pos="340"/>
        <w:tab w:val="left" w:pos="680"/>
      </w:tabs>
      <w:spacing w:after="240"/>
      <w:jc w:val="center"/>
      <w:outlineLvl w:val="6"/>
    </w:pPr>
    <w:rPr>
      <w:b/>
      <w:i/>
      <w:lang w:val="ru-RU"/>
    </w:rPr>
  </w:style>
  <w:style w:type="paragraph" w:styleId="Heading8">
    <w:name w:val="heading 8"/>
    <w:basedOn w:val="Normal"/>
    <w:next w:val="Normal"/>
    <w:qFormat/>
    <w:pPr>
      <w:keepNext/>
      <w:jc w:val="center"/>
      <w:outlineLvl w:val="7"/>
    </w:pPr>
    <w:rPr>
      <w:i/>
      <w:iCs/>
      <w:sz w:val="24"/>
    </w:rPr>
  </w:style>
  <w:style w:type="paragraph" w:styleId="Heading9">
    <w:name w:val="heading 9"/>
    <w:basedOn w:val="Normal"/>
    <w:next w:val="Normal"/>
    <w:qFormat/>
    <w:pPr>
      <w:spacing w:after="60"/>
      <w:outlineLvl w:val="8"/>
    </w:pPr>
    <w:rPr>
      <w:rFonts w:ascii="Arial" w:hAnsi="Arial" w:cs="Arial"/>
      <w:szCs w:val="2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536"/>
        <w:tab w:val="right" w:pos="9072"/>
      </w:tabs>
    </w:pPr>
  </w:style>
  <w:style w:type="character" w:styleId="PageNumber">
    <w:name w:val="page number"/>
    <w:basedOn w:val="DefaultParagraphFont"/>
    <w:semiHidden/>
  </w:style>
  <w:style w:type="paragraph" w:styleId="BodyText">
    <w:name w:val="Body Text"/>
    <w:aliases w:val="Normal"/>
    <w:basedOn w:val="Normal"/>
    <w:semiHidden/>
    <w:pPr>
      <w:spacing w:after="240" w:line="260" w:lineRule="exact"/>
    </w:pPr>
    <w:rPr>
      <w:lang w:val="ru-RU"/>
    </w:rPr>
  </w:style>
  <w:style w:type="paragraph" w:styleId="Title">
    <w:name w:val="Title"/>
    <w:basedOn w:val="Normal"/>
    <w:qFormat/>
    <w:pPr>
      <w:jc w:val="center"/>
    </w:pPr>
    <w:rPr>
      <w:b/>
      <w:sz w:val="72"/>
    </w:rPr>
  </w:style>
  <w:style w:type="paragraph" w:styleId="BodyText2">
    <w:name w:val="Body Text 2"/>
    <w:basedOn w:val="Normal"/>
    <w:semiHidden/>
    <w:rPr>
      <w:bCs/>
      <w:sz w:val="28"/>
    </w:rPr>
  </w:style>
  <w:style w:type="paragraph" w:styleId="BodyText3">
    <w:name w:val="Body Text 3"/>
    <w:basedOn w:val="Normal"/>
    <w:semiHidden/>
    <w:rPr>
      <w:sz w:val="28"/>
    </w:rPr>
  </w:style>
  <w:style w:type="paragraph" w:styleId="Footer">
    <w:name w:val="footer"/>
    <w:basedOn w:val="Normal"/>
    <w:semiHidden/>
    <w:pPr>
      <w:tabs>
        <w:tab w:val="center" w:pos="4536"/>
        <w:tab w:val="right" w:pos="9072"/>
      </w:tabs>
    </w:pPr>
  </w:style>
  <w:style w:type="paragraph" w:styleId="FootnoteText">
    <w:name w:val="footnote text"/>
    <w:basedOn w:val="Normal"/>
    <w:semiHidden/>
    <w:pPr>
      <w:tabs>
        <w:tab w:val="left" w:pos="113"/>
      </w:tabs>
      <w:spacing w:before="60" w:line="220" w:lineRule="exact"/>
    </w:pPr>
    <w:rPr>
      <w:sz w:val="18"/>
      <w:szCs w:val="18"/>
    </w:rPr>
  </w:style>
  <w:style w:type="character" w:styleId="FootnoteReference">
    <w:name w:val="footnote reference"/>
    <w:semiHidden/>
    <w:rPr>
      <w:sz w:val="18"/>
      <w:vertAlign w:val="superscript"/>
    </w:rPr>
  </w:style>
  <w:style w:type="paragraph" w:customStyle="1" w:styleId="a">
    <w:name w:val="заг. указ. литературы"/>
    <w:basedOn w:val="Normal"/>
    <w:semiHidden/>
    <w:pPr>
      <w:tabs>
        <w:tab w:val="left" w:pos="9000"/>
        <w:tab w:val="right" w:pos="9360"/>
      </w:tabs>
      <w:suppressAutoHyphens/>
    </w:pPr>
    <w:rPr>
      <w:rFonts w:ascii="TMS Roman 12pt" w:hAnsi="TMS Roman 12pt"/>
      <w:lang w:val="en-US" w:eastAsia="ru-RU"/>
    </w:rPr>
  </w:style>
  <w:style w:type="paragraph" w:styleId="BodyTextIndent">
    <w:name w:val="Body Text Indent"/>
    <w:basedOn w:val="Normal"/>
    <w:semiHidden/>
    <w:pPr>
      <w:spacing w:after="120"/>
      <w:ind w:left="283"/>
    </w:pPr>
  </w:style>
  <w:style w:type="paragraph" w:styleId="BodyTextIndent2">
    <w:name w:val="Body Text Indent 2"/>
    <w:basedOn w:val="Normal"/>
    <w:semiHidden/>
    <w:pPr>
      <w:tabs>
        <w:tab w:val="left" w:pos="340"/>
        <w:tab w:val="left" w:pos="680"/>
      </w:tabs>
      <w:ind w:left="680" w:hanging="680"/>
    </w:pPr>
    <w:rPr>
      <w:lang w:val="ru-RU"/>
    </w:rPr>
  </w:style>
  <w:style w:type="character" w:customStyle="1" w:styleId="EquationCaption">
    <w:name w:val="_Equation Caption"/>
    <w:semiHidden/>
  </w:style>
  <w:style w:type="paragraph" w:styleId="BodyTextIndent3">
    <w:name w:val="Body Text Indent 3"/>
    <w:basedOn w:val="Normal"/>
    <w:semiHidden/>
    <w:pPr>
      <w:ind w:firstLine="708"/>
    </w:pPr>
    <w:rPr>
      <w:sz w:val="24"/>
      <w:lang w:val="ru-RU"/>
    </w:rPr>
  </w:style>
  <w:style w:type="paragraph" w:styleId="EndnoteText">
    <w:name w:val="endnote text"/>
    <w:basedOn w:val="Normal"/>
    <w:semiHidden/>
  </w:style>
  <w:style w:type="character" w:styleId="EndnoteReference">
    <w:name w:val="endnote reference"/>
    <w:semiHidden/>
    <w:rPr>
      <w:vertAlign w:val="superscript"/>
    </w:rPr>
  </w:style>
  <w:style w:type="paragraph" w:customStyle="1" w:styleId="a0">
    <w:name w:val="Стиль"/>
    <w:semiHidden/>
    <w:pPr>
      <w:overflowPunct w:val="0"/>
      <w:autoSpaceDE w:val="0"/>
      <w:autoSpaceDN w:val="0"/>
      <w:adjustRightInd w:val="0"/>
      <w:textAlignment w:val="baseline"/>
    </w:pPr>
    <w:rPr>
      <w:lang w:val="ru-RU" w:eastAsia="ru-RU"/>
    </w:rPr>
  </w:style>
  <w:style w:type="paragraph" w:customStyle="1" w:styleId="1">
    <w:name w:val="Стиль1"/>
    <w:basedOn w:val="a0"/>
    <w:semiHidden/>
  </w:style>
  <w:style w:type="paragraph" w:customStyle="1" w:styleId="10">
    <w:name w:val="оглавление 1"/>
    <w:basedOn w:val="Normal"/>
    <w:semiHidden/>
    <w:pPr>
      <w:tabs>
        <w:tab w:val="left" w:leader="dot" w:pos="9000"/>
        <w:tab w:val="right" w:pos="9360"/>
      </w:tabs>
      <w:suppressAutoHyphens/>
      <w:spacing w:before="480"/>
      <w:ind w:left="720" w:right="720" w:hanging="720"/>
    </w:pPr>
    <w:rPr>
      <w:rFonts w:ascii="TMS Roman 12pt" w:hAnsi="TMS Roman 12pt"/>
      <w:sz w:val="24"/>
      <w:lang w:val="en-US" w:eastAsia="ru-RU"/>
    </w:rPr>
  </w:style>
  <w:style w:type="paragraph" w:customStyle="1" w:styleId="2">
    <w:name w:val="оглавление 2"/>
    <w:basedOn w:val="Normal"/>
    <w:semiHidden/>
    <w:pPr>
      <w:tabs>
        <w:tab w:val="left" w:leader="dot" w:pos="9000"/>
        <w:tab w:val="right" w:pos="9360"/>
      </w:tabs>
      <w:suppressAutoHyphens/>
      <w:ind w:left="1440" w:right="720" w:hanging="720"/>
    </w:pPr>
    <w:rPr>
      <w:rFonts w:ascii="TMS Roman 12pt" w:hAnsi="TMS Roman 12pt"/>
      <w:sz w:val="24"/>
      <w:lang w:val="en-US" w:eastAsia="ru-RU"/>
    </w:rPr>
  </w:style>
  <w:style w:type="paragraph" w:customStyle="1" w:styleId="3">
    <w:name w:val="оглавление 3"/>
    <w:basedOn w:val="Normal"/>
    <w:semiHidden/>
    <w:pPr>
      <w:tabs>
        <w:tab w:val="left" w:leader="dot" w:pos="9000"/>
        <w:tab w:val="right" w:pos="9360"/>
      </w:tabs>
      <w:suppressAutoHyphens/>
      <w:ind w:left="2160" w:right="720" w:hanging="720"/>
    </w:pPr>
    <w:rPr>
      <w:rFonts w:ascii="TMS Roman 12pt" w:hAnsi="TMS Roman 12pt"/>
      <w:sz w:val="24"/>
      <w:lang w:val="en-US" w:eastAsia="ru-RU"/>
    </w:rPr>
  </w:style>
  <w:style w:type="paragraph" w:customStyle="1" w:styleId="4">
    <w:name w:val="оглавление 4"/>
    <w:basedOn w:val="Normal"/>
    <w:semiHidden/>
    <w:pPr>
      <w:tabs>
        <w:tab w:val="left" w:leader="dot" w:pos="9000"/>
        <w:tab w:val="right" w:pos="9360"/>
      </w:tabs>
      <w:suppressAutoHyphens/>
      <w:ind w:left="2880" w:right="720" w:hanging="720"/>
    </w:pPr>
    <w:rPr>
      <w:rFonts w:ascii="TMS Roman 12pt" w:hAnsi="TMS Roman 12pt"/>
      <w:sz w:val="24"/>
      <w:lang w:val="en-US" w:eastAsia="ru-RU"/>
    </w:rPr>
  </w:style>
  <w:style w:type="paragraph" w:customStyle="1" w:styleId="5">
    <w:name w:val="оглавление 5"/>
    <w:basedOn w:val="Normal"/>
    <w:semiHidden/>
    <w:pPr>
      <w:tabs>
        <w:tab w:val="left" w:leader="dot" w:pos="9000"/>
        <w:tab w:val="right" w:pos="9360"/>
      </w:tabs>
      <w:suppressAutoHyphens/>
      <w:ind w:left="3600" w:right="720" w:hanging="720"/>
    </w:pPr>
    <w:rPr>
      <w:rFonts w:ascii="TMS Roman 12pt" w:hAnsi="TMS Roman 12pt"/>
      <w:sz w:val="24"/>
      <w:lang w:val="en-US" w:eastAsia="ru-RU"/>
    </w:rPr>
  </w:style>
  <w:style w:type="paragraph" w:customStyle="1" w:styleId="6">
    <w:name w:val="оглавление 6"/>
    <w:basedOn w:val="Normal"/>
    <w:semiHidden/>
    <w:pPr>
      <w:tabs>
        <w:tab w:val="left" w:pos="9000"/>
        <w:tab w:val="right" w:pos="9360"/>
      </w:tabs>
      <w:suppressAutoHyphens/>
      <w:ind w:left="720" w:hanging="720"/>
    </w:pPr>
    <w:rPr>
      <w:rFonts w:ascii="TMS Roman 12pt" w:hAnsi="TMS Roman 12pt"/>
      <w:sz w:val="24"/>
      <w:lang w:val="en-US" w:eastAsia="ru-RU"/>
    </w:rPr>
  </w:style>
  <w:style w:type="paragraph" w:customStyle="1" w:styleId="7">
    <w:name w:val="оглавление 7"/>
    <w:basedOn w:val="Normal"/>
    <w:semiHidden/>
    <w:pPr>
      <w:suppressAutoHyphens/>
      <w:ind w:left="720" w:hanging="720"/>
    </w:pPr>
    <w:rPr>
      <w:rFonts w:ascii="TMS Roman 12pt" w:hAnsi="TMS Roman 12pt"/>
      <w:sz w:val="24"/>
      <w:lang w:val="en-US" w:eastAsia="ru-RU"/>
    </w:rPr>
  </w:style>
  <w:style w:type="paragraph" w:customStyle="1" w:styleId="8">
    <w:name w:val="оглавление 8"/>
    <w:basedOn w:val="Normal"/>
    <w:semiHidden/>
    <w:pPr>
      <w:tabs>
        <w:tab w:val="left" w:pos="9000"/>
        <w:tab w:val="right" w:pos="9360"/>
      </w:tabs>
      <w:suppressAutoHyphens/>
      <w:ind w:left="720" w:hanging="720"/>
    </w:pPr>
    <w:rPr>
      <w:rFonts w:ascii="TMS Roman 12pt" w:hAnsi="TMS Roman 12pt"/>
      <w:sz w:val="24"/>
      <w:lang w:val="en-US" w:eastAsia="ru-RU"/>
    </w:rPr>
  </w:style>
  <w:style w:type="paragraph" w:customStyle="1" w:styleId="9">
    <w:name w:val="оглавление 9"/>
    <w:basedOn w:val="Normal"/>
    <w:semiHidden/>
    <w:pPr>
      <w:tabs>
        <w:tab w:val="left" w:leader="dot" w:pos="9000"/>
        <w:tab w:val="right" w:pos="9360"/>
      </w:tabs>
      <w:suppressAutoHyphens/>
      <w:ind w:left="720" w:hanging="720"/>
    </w:pPr>
    <w:rPr>
      <w:rFonts w:ascii="TMS Roman 12pt" w:hAnsi="TMS Roman 12pt"/>
      <w:sz w:val="24"/>
      <w:lang w:val="en-US" w:eastAsia="ru-RU"/>
    </w:rPr>
  </w:style>
  <w:style w:type="paragraph" w:customStyle="1" w:styleId="11">
    <w:name w:val="указатель 1"/>
    <w:basedOn w:val="Normal"/>
    <w:semiHidden/>
    <w:pPr>
      <w:tabs>
        <w:tab w:val="left" w:leader="dot" w:pos="9000"/>
        <w:tab w:val="right" w:pos="9360"/>
      </w:tabs>
      <w:suppressAutoHyphens/>
      <w:ind w:left="1440" w:right="720" w:hanging="1440"/>
    </w:pPr>
    <w:rPr>
      <w:rFonts w:ascii="TMS Roman 12pt" w:hAnsi="TMS Roman 12pt"/>
      <w:sz w:val="24"/>
      <w:lang w:val="en-US" w:eastAsia="ru-RU"/>
    </w:rPr>
  </w:style>
  <w:style w:type="paragraph" w:customStyle="1" w:styleId="20">
    <w:name w:val="указатель 2"/>
    <w:basedOn w:val="Normal"/>
    <w:semiHidden/>
    <w:pPr>
      <w:tabs>
        <w:tab w:val="left" w:leader="dot" w:pos="9000"/>
        <w:tab w:val="right" w:pos="9360"/>
      </w:tabs>
      <w:suppressAutoHyphens/>
      <w:ind w:left="1440" w:right="720" w:hanging="720"/>
    </w:pPr>
    <w:rPr>
      <w:rFonts w:ascii="TMS Roman 12pt" w:hAnsi="TMS Roman 12pt"/>
      <w:sz w:val="24"/>
      <w:lang w:val="en-US" w:eastAsia="ru-RU"/>
    </w:rPr>
  </w:style>
  <w:style w:type="paragraph" w:styleId="Caption">
    <w:name w:val="caption"/>
    <w:basedOn w:val="Normal"/>
    <w:next w:val="Normal"/>
    <w:qFormat/>
    <w:pPr>
      <w:tabs>
        <w:tab w:val="left" w:pos="-720"/>
      </w:tabs>
      <w:suppressAutoHyphens/>
    </w:pPr>
    <w:rPr>
      <w:b/>
      <w:bCs/>
      <w:spacing w:val="-3"/>
      <w:lang w:val="ru-RU" w:eastAsia="ru-RU"/>
    </w:rPr>
  </w:style>
  <w:style w:type="paragraph" w:customStyle="1" w:styleId="a1">
    <w:name w:val="название"/>
    <w:basedOn w:val="Normal"/>
    <w:semiHidden/>
    <w:rPr>
      <w:rFonts w:ascii="TMS Roman 12pt" w:hAnsi="TMS Roman 12pt"/>
      <w:sz w:val="24"/>
      <w:lang w:val="ru-RU" w:eastAsia="ru-RU"/>
    </w:rPr>
  </w:style>
  <w:style w:type="paragraph" w:styleId="DocumentMap">
    <w:name w:val="Document Map"/>
    <w:basedOn w:val="Normal"/>
    <w:semiHidden/>
    <w:pPr>
      <w:shd w:val="clear" w:color="auto" w:fill="000080"/>
    </w:pPr>
    <w:rPr>
      <w:rFonts w:ascii="Tahoma" w:hAnsi="Tahoma" w:cs="Tahoma"/>
      <w:lang w:val="ru-RU" w:eastAsia="ru-RU"/>
    </w:rPr>
  </w:style>
  <w:style w:type="character" w:styleId="Hyperlink">
    <w:name w:val="Hyperlink"/>
    <w:semiHidden/>
    <w:rPr>
      <w:color w:val="0000FF"/>
      <w:u w:val="none"/>
    </w:rPr>
  </w:style>
  <w:style w:type="paragraph" w:customStyle="1" w:styleId="-6-12">
    <w:name w:val="Втяжка-6-12"/>
    <w:basedOn w:val="BodyText"/>
    <w:semiHidden/>
    <w:pPr>
      <w:tabs>
        <w:tab w:val="left" w:pos="340"/>
      </w:tabs>
      <w:ind w:left="680" w:hanging="680"/>
    </w:pPr>
    <w:rPr>
      <w:szCs w:val="28"/>
    </w:rPr>
  </w:style>
  <w:style w:type="paragraph" w:customStyle="1" w:styleId="21">
    <w:name w:val="Заголовок 2А"/>
    <w:basedOn w:val="Heading2"/>
    <w:semiHidden/>
    <w:pPr>
      <w:spacing w:before="0"/>
    </w:pPr>
    <w:rPr>
      <w:szCs w:val="28"/>
    </w:rPr>
  </w:style>
  <w:style w:type="paragraph" w:customStyle="1" w:styleId="-">
    <w:name w:val="Табл.-заг"/>
    <w:basedOn w:val="BodyText"/>
    <w:semiHidden/>
    <w:pPr>
      <w:jc w:val="center"/>
    </w:pPr>
    <w:rPr>
      <w:b/>
      <w:bCs/>
      <w:szCs w:val="28"/>
    </w:rPr>
  </w:style>
  <w:style w:type="paragraph" w:customStyle="1" w:styleId="-0">
    <w:name w:val="Табл-шапка"/>
    <w:basedOn w:val="BodyText"/>
    <w:semiHidden/>
    <w:pPr>
      <w:spacing w:before="80" w:after="80"/>
      <w:jc w:val="center"/>
    </w:pPr>
    <w:rPr>
      <w:b/>
      <w:bCs/>
      <w:sz w:val="20"/>
      <w:lang w:val="en-US"/>
    </w:rPr>
  </w:style>
  <w:style w:type="paragraph" w:customStyle="1" w:styleId="a2">
    <w:name w:val="Источник"/>
    <w:basedOn w:val="BodyText"/>
    <w:semiHidden/>
    <w:rPr>
      <w:i/>
      <w:sz w:val="20"/>
    </w:rPr>
  </w:style>
  <w:style w:type="paragraph" w:customStyle="1" w:styleId="Table-text">
    <w:name w:val="Table-text"/>
    <w:basedOn w:val="BodyText"/>
    <w:semiHidden/>
    <w:pPr>
      <w:tabs>
        <w:tab w:val="clear" w:pos="680"/>
      </w:tabs>
      <w:spacing w:before="20" w:after="20" w:line="240" w:lineRule="auto"/>
      <w:jc w:val="left"/>
    </w:pPr>
    <w:rPr>
      <w:sz w:val="18"/>
    </w:rPr>
  </w:style>
  <w:style w:type="paragraph" w:customStyle="1" w:styleId="iaeaaeaiea1">
    <w:name w:val="iaeaaeaiea 1"/>
    <w:basedOn w:val="Normal"/>
    <w:semiHidden/>
    <w:pPr>
      <w:tabs>
        <w:tab w:val="left" w:leader="dot" w:pos="9000"/>
        <w:tab w:val="right" w:pos="9360"/>
      </w:tabs>
      <w:suppressAutoHyphens/>
      <w:overflowPunct w:val="0"/>
      <w:autoSpaceDE w:val="0"/>
      <w:autoSpaceDN w:val="0"/>
      <w:adjustRightInd w:val="0"/>
      <w:spacing w:before="480"/>
      <w:ind w:left="720" w:right="720" w:hanging="720"/>
      <w:textAlignment w:val="baseline"/>
    </w:pPr>
    <w:rPr>
      <w:rFonts w:ascii="TMS Roman 12pt" w:hAnsi="TMS Roman 12pt"/>
      <w:sz w:val="24"/>
      <w:lang w:val="en-US" w:eastAsia="ru-RU"/>
    </w:rPr>
  </w:style>
  <w:style w:type="paragraph" w:customStyle="1" w:styleId="-18">
    <w:name w:val="Втяжка-18"/>
    <w:basedOn w:val="BodyText"/>
    <w:semiHidden/>
    <w:pPr>
      <w:tabs>
        <w:tab w:val="clear" w:pos="680"/>
        <w:tab w:val="left" w:pos="1021"/>
      </w:tabs>
      <w:ind w:left="1021" w:hanging="1021"/>
    </w:pPr>
    <w:rPr>
      <w:bCs/>
    </w:rPr>
  </w:style>
  <w:style w:type="paragraph" w:customStyle="1" w:styleId="a3">
    <w:name w:val="Текст в рамке"/>
    <w:basedOn w:val="BodyText"/>
    <w:semiHidden/>
    <w:pPr>
      <w:pBdr>
        <w:top w:val="single" w:sz="4" w:space="4" w:color="auto"/>
        <w:left w:val="single" w:sz="4" w:space="4" w:color="auto"/>
        <w:bottom w:val="single" w:sz="4" w:space="4" w:color="auto"/>
        <w:right w:val="single" w:sz="4" w:space="4" w:color="auto"/>
      </w:pBdr>
      <w:tabs>
        <w:tab w:val="left" w:pos="340"/>
      </w:tabs>
      <w:ind w:left="113" w:right="113"/>
    </w:pPr>
    <w:rPr>
      <w:i/>
      <w:iCs/>
    </w:rPr>
  </w:style>
  <w:style w:type="paragraph" w:customStyle="1" w:styleId="a4">
    <w:name w:val="Текст ТАБЛ"/>
    <w:basedOn w:val="BodyText"/>
    <w:semiHidden/>
    <w:pPr>
      <w:spacing w:after="0" w:line="240" w:lineRule="exact"/>
    </w:pPr>
    <w:rPr>
      <w:sz w:val="20"/>
    </w:rPr>
  </w:style>
  <w:style w:type="paragraph" w:customStyle="1" w:styleId="18-12">
    <w:name w:val="Втяжка_18-12"/>
    <w:basedOn w:val="-18"/>
    <w:semiHidden/>
    <w:pPr>
      <w:ind w:left="1701" w:hanging="680"/>
    </w:pPr>
  </w:style>
  <w:style w:type="paragraph" w:customStyle="1" w:styleId="-1">
    <w:name w:val="Табл-Источник"/>
    <w:basedOn w:val="BodyText"/>
    <w:semiHidden/>
    <w:pPr>
      <w:spacing w:before="120" w:after="0" w:line="240" w:lineRule="exact"/>
    </w:pPr>
    <w:rPr>
      <w:sz w:val="20"/>
    </w:rPr>
  </w:style>
  <w:style w:type="paragraph" w:customStyle="1" w:styleId="30-6">
    <w:name w:val="Втяжка_30-6"/>
    <w:basedOn w:val="18-12"/>
    <w:semiHidden/>
    <w:pPr>
      <w:ind w:left="2041" w:hanging="340"/>
    </w:pPr>
    <w:rPr>
      <w:lang w:val="en-US"/>
    </w:rPr>
  </w:style>
  <w:style w:type="paragraph" w:customStyle="1" w:styleId="40">
    <w:name w:val="Заголовок 4А"/>
    <w:basedOn w:val="Heading4"/>
    <w:semiHidden/>
    <w:pPr>
      <w:ind w:left="1021"/>
    </w:pPr>
  </w:style>
  <w:style w:type="paragraph" w:customStyle="1" w:styleId="--">
    <w:name w:val="Табл-Ист-Добавления"/>
    <w:basedOn w:val="-1"/>
    <w:semiHidden/>
    <w:pPr>
      <w:tabs>
        <w:tab w:val="clear" w:pos="680"/>
        <w:tab w:val="left" w:pos="284"/>
      </w:tabs>
      <w:spacing w:before="40" w:line="240" w:lineRule="auto"/>
    </w:pPr>
    <w:rPr>
      <w:sz w:val="16"/>
    </w:rPr>
  </w:style>
  <w:style w:type="paragraph" w:customStyle="1" w:styleId="iaeaaeaiea2">
    <w:name w:val="iaeaaeaiea 2"/>
    <w:basedOn w:val="Normal"/>
    <w:semiHidden/>
    <w:pPr>
      <w:tabs>
        <w:tab w:val="left" w:leader="dot" w:pos="9000"/>
        <w:tab w:val="right" w:pos="9360"/>
      </w:tabs>
      <w:suppressAutoHyphens/>
      <w:overflowPunct w:val="0"/>
      <w:autoSpaceDE w:val="0"/>
      <w:autoSpaceDN w:val="0"/>
      <w:adjustRightInd w:val="0"/>
      <w:ind w:left="1440" w:right="720" w:hanging="720"/>
      <w:textAlignment w:val="baseline"/>
    </w:pPr>
    <w:rPr>
      <w:rFonts w:ascii="TMS Roman 12pt" w:hAnsi="TMS Roman 12pt"/>
      <w:sz w:val="24"/>
      <w:lang w:val="en-US" w:eastAsia="ru-RU"/>
    </w:rPr>
  </w:style>
  <w:style w:type="paragraph" w:customStyle="1" w:styleId="iaeaaeaiea3">
    <w:name w:val="iaeaaeaiea 3"/>
    <w:basedOn w:val="Normal"/>
    <w:semiHidden/>
    <w:pPr>
      <w:tabs>
        <w:tab w:val="left" w:leader="dot" w:pos="9000"/>
        <w:tab w:val="right" w:pos="9360"/>
      </w:tabs>
      <w:suppressAutoHyphens/>
      <w:overflowPunct w:val="0"/>
      <w:autoSpaceDE w:val="0"/>
      <w:autoSpaceDN w:val="0"/>
      <w:adjustRightInd w:val="0"/>
      <w:ind w:left="2160" w:right="720" w:hanging="720"/>
      <w:textAlignment w:val="baseline"/>
    </w:pPr>
    <w:rPr>
      <w:rFonts w:ascii="TMS Roman 12pt" w:hAnsi="TMS Roman 12pt"/>
      <w:sz w:val="24"/>
      <w:lang w:val="en-US" w:eastAsia="ru-RU"/>
    </w:rPr>
  </w:style>
  <w:style w:type="paragraph" w:customStyle="1" w:styleId="iaeaaeaiea4">
    <w:name w:val="iaeaaeaiea 4"/>
    <w:basedOn w:val="Normal"/>
    <w:semiHidden/>
    <w:pPr>
      <w:tabs>
        <w:tab w:val="left" w:leader="dot" w:pos="9000"/>
        <w:tab w:val="right" w:pos="9360"/>
      </w:tabs>
      <w:suppressAutoHyphens/>
      <w:overflowPunct w:val="0"/>
      <w:autoSpaceDE w:val="0"/>
      <w:autoSpaceDN w:val="0"/>
      <w:adjustRightInd w:val="0"/>
      <w:ind w:left="2880" w:right="720" w:hanging="720"/>
      <w:textAlignment w:val="baseline"/>
    </w:pPr>
    <w:rPr>
      <w:rFonts w:ascii="TMS Roman 12pt" w:hAnsi="TMS Roman 12pt"/>
      <w:sz w:val="24"/>
      <w:lang w:val="en-US" w:eastAsia="ru-RU"/>
    </w:rPr>
  </w:style>
  <w:style w:type="paragraph" w:customStyle="1" w:styleId="iaeaaeaiea5">
    <w:name w:val="iaeaaeaiea 5"/>
    <w:basedOn w:val="Normal"/>
    <w:semiHidden/>
    <w:pPr>
      <w:tabs>
        <w:tab w:val="left" w:leader="dot" w:pos="9000"/>
        <w:tab w:val="right" w:pos="9360"/>
      </w:tabs>
      <w:suppressAutoHyphens/>
      <w:overflowPunct w:val="0"/>
      <w:autoSpaceDE w:val="0"/>
      <w:autoSpaceDN w:val="0"/>
      <w:adjustRightInd w:val="0"/>
      <w:ind w:left="3600" w:right="720" w:hanging="720"/>
      <w:textAlignment w:val="baseline"/>
    </w:pPr>
    <w:rPr>
      <w:rFonts w:ascii="TMS Roman 12pt" w:hAnsi="TMS Roman 12pt"/>
      <w:sz w:val="24"/>
      <w:lang w:val="en-US" w:eastAsia="ru-RU"/>
    </w:rPr>
  </w:style>
  <w:style w:type="paragraph" w:customStyle="1" w:styleId="iaeaaeaiea6">
    <w:name w:val="iaeaaeaiea 6"/>
    <w:basedOn w:val="Normal"/>
    <w:semiHidden/>
    <w:pPr>
      <w:tabs>
        <w:tab w:val="lef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7">
    <w:name w:val="iaeaaeaiea 7"/>
    <w:basedOn w:val="Normal"/>
    <w:semiHidden/>
    <w:pPr>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8">
    <w:name w:val="iaeaaeaiea 8"/>
    <w:basedOn w:val="Normal"/>
    <w:semiHidden/>
    <w:pPr>
      <w:tabs>
        <w:tab w:val="lef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iaeaaeaiea9">
    <w:name w:val="iaeaaeaiea 9"/>
    <w:basedOn w:val="Normal"/>
    <w:semiHidden/>
    <w:pPr>
      <w:tabs>
        <w:tab w:val="left" w:leader="dot" w:pos="9000"/>
        <w:tab w:val="right" w:pos="9360"/>
      </w:tabs>
      <w:suppressAutoHyphens/>
      <w:overflowPunct w:val="0"/>
      <w:autoSpaceDE w:val="0"/>
      <w:autoSpaceDN w:val="0"/>
      <w:adjustRightInd w:val="0"/>
      <w:ind w:left="720" w:hanging="720"/>
      <w:textAlignment w:val="baseline"/>
    </w:pPr>
    <w:rPr>
      <w:rFonts w:ascii="TMS Roman 12pt" w:hAnsi="TMS Roman 12pt"/>
      <w:sz w:val="24"/>
      <w:lang w:val="en-US" w:eastAsia="ru-RU"/>
    </w:rPr>
  </w:style>
  <w:style w:type="paragraph" w:customStyle="1" w:styleId="oeacaoaeu1">
    <w:name w:val="oeacaoaeu 1"/>
    <w:basedOn w:val="Normal"/>
    <w:semiHidden/>
    <w:pPr>
      <w:tabs>
        <w:tab w:val="left" w:leader="dot" w:pos="9000"/>
        <w:tab w:val="right" w:pos="9360"/>
      </w:tabs>
      <w:suppressAutoHyphens/>
      <w:overflowPunct w:val="0"/>
      <w:autoSpaceDE w:val="0"/>
      <w:autoSpaceDN w:val="0"/>
      <w:adjustRightInd w:val="0"/>
      <w:ind w:left="1440" w:right="720" w:hanging="1440"/>
      <w:textAlignment w:val="baseline"/>
    </w:pPr>
    <w:rPr>
      <w:rFonts w:ascii="TMS Roman 12pt" w:hAnsi="TMS Roman 12pt"/>
      <w:sz w:val="24"/>
      <w:lang w:val="en-US" w:eastAsia="ru-RU"/>
    </w:rPr>
  </w:style>
  <w:style w:type="paragraph" w:customStyle="1" w:styleId="oeacaoaeu2">
    <w:name w:val="oeacaoaeu 2"/>
    <w:basedOn w:val="Normal"/>
    <w:semiHidden/>
    <w:pPr>
      <w:tabs>
        <w:tab w:val="left" w:leader="dot" w:pos="9000"/>
        <w:tab w:val="right" w:pos="9360"/>
      </w:tabs>
      <w:suppressAutoHyphens/>
      <w:overflowPunct w:val="0"/>
      <w:autoSpaceDE w:val="0"/>
      <w:autoSpaceDN w:val="0"/>
      <w:adjustRightInd w:val="0"/>
      <w:ind w:left="1440" w:right="720" w:hanging="720"/>
      <w:textAlignment w:val="baseline"/>
    </w:pPr>
    <w:rPr>
      <w:rFonts w:ascii="TMS Roman 12pt" w:hAnsi="TMS Roman 12pt"/>
      <w:sz w:val="24"/>
      <w:lang w:val="en-US" w:eastAsia="ru-RU"/>
    </w:rPr>
  </w:style>
  <w:style w:type="paragraph" w:customStyle="1" w:styleId="caaoeaceeoaaoou">
    <w:name w:val="caa. oeac. eeoa?aoo?u"/>
    <w:basedOn w:val="Normal"/>
    <w:semiHidden/>
    <w:pPr>
      <w:tabs>
        <w:tab w:val="left" w:pos="9000"/>
        <w:tab w:val="right" w:pos="9360"/>
      </w:tabs>
      <w:suppressAutoHyphens/>
      <w:overflowPunct w:val="0"/>
      <w:autoSpaceDE w:val="0"/>
      <w:autoSpaceDN w:val="0"/>
      <w:adjustRightInd w:val="0"/>
      <w:textAlignment w:val="baseline"/>
    </w:pPr>
    <w:rPr>
      <w:rFonts w:ascii="TMS Roman 12pt" w:hAnsi="TMS Roman 12pt"/>
      <w:sz w:val="24"/>
      <w:lang w:val="en-US" w:eastAsia="ru-RU"/>
    </w:rPr>
  </w:style>
  <w:style w:type="paragraph" w:customStyle="1" w:styleId="iacaaiea">
    <w:name w:val="iacaaiea"/>
    <w:basedOn w:val="Normal"/>
    <w:semiHidden/>
    <w:pPr>
      <w:overflowPunct w:val="0"/>
      <w:autoSpaceDE w:val="0"/>
      <w:autoSpaceDN w:val="0"/>
      <w:adjustRightInd w:val="0"/>
      <w:textAlignment w:val="baseline"/>
    </w:pPr>
    <w:rPr>
      <w:rFonts w:ascii="TMS Roman 12pt" w:hAnsi="TMS Roman 12pt"/>
      <w:sz w:val="24"/>
      <w:lang w:val="ru-RU" w:eastAsia="ru-RU"/>
    </w:rPr>
  </w:style>
  <w:style w:type="paragraph" w:customStyle="1" w:styleId="Document1">
    <w:name w:val="Document 1"/>
    <w:semiHidden/>
    <w:pPr>
      <w:keepNext/>
      <w:keepLines/>
      <w:tabs>
        <w:tab w:val="left" w:pos="-720"/>
      </w:tabs>
      <w:suppressAutoHyphens/>
      <w:overflowPunct w:val="0"/>
      <w:autoSpaceDE w:val="0"/>
      <w:autoSpaceDN w:val="0"/>
      <w:adjustRightInd w:val="0"/>
      <w:textAlignment w:val="baseline"/>
    </w:pPr>
    <w:rPr>
      <w:rFonts w:ascii="TMS Roman 12pt" w:hAnsi="TMS Roman 12pt"/>
      <w:sz w:val="24"/>
      <w:lang w:val="en-US" w:eastAsia="ru-RU"/>
    </w:rPr>
  </w:style>
  <w:style w:type="paragraph" w:customStyle="1" w:styleId="Technical4">
    <w:name w:val="Technical 4"/>
    <w:semiHidden/>
    <w:pPr>
      <w:tabs>
        <w:tab w:val="left" w:pos="-720"/>
      </w:tabs>
      <w:suppressAutoHyphens/>
      <w:overflowPunct w:val="0"/>
      <w:autoSpaceDE w:val="0"/>
      <w:autoSpaceDN w:val="0"/>
      <w:adjustRightInd w:val="0"/>
      <w:textAlignment w:val="baseline"/>
    </w:pPr>
    <w:rPr>
      <w:rFonts w:ascii="TMS Roman 12pt" w:hAnsi="TMS Roman 12pt"/>
      <w:b/>
      <w:sz w:val="24"/>
      <w:lang w:val="en-US" w:eastAsia="ru-RU"/>
    </w:rPr>
  </w:style>
  <w:style w:type="paragraph" w:customStyle="1" w:styleId="-2">
    <w:name w:val="Статья-№"/>
    <w:basedOn w:val="Normal"/>
    <w:pPr>
      <w:spacing w:before="480"/>
      <w:jc w:val="left"/>
    </w:pPr>
    <w:rPr>
      <w:b/>
      <w:sz w:val="24"/>
      <w:lang w:val="ru-RU"/>
    </w:rPr>
  </w:style>
  <w:style w:type="paragraph" w:customStyle="1" w:styleId="a5">
    <w:name w:val="Содержание"/>
    <w:basedOn w:val="Normal"/>
    <w:next w:val="Subtitle"/>
    <w:pPr>
      <w:tabs>
        <w:tab w:val="left" w:pos="1440"/>
        <w:tab w:val="right" w:leader="dot" w:pos="9356"/>
      </w:tabs>
      <w:jc w:val="left"/>
    </w:pPr>
    <w:rPr>
      <w:b/>
    </w:rPr>
  </w:style>
  <w:style w:type="character" w:customStyle="1" w:styleId="Document6">
    <w:name w:val="Document 6"/>
    <w:basedOn w:val="DefaultParagraphFont"/>
    <w:semiHidden/>
  </w:style>
  <w:style w:type="paragraph" w:styleId="Subtitle">
    <w:name w:val="Subtitle"/>
    <w:basedOn w:val="Normal"/>
    <w:qFormat/>
    <w:pPr>
      <w:keepNext/>
      <w:spacing w:before="360" w:after="60" w:line="260" w:lineRule="exact"/>
      <w:jc w:val="left"/>
      <w:outlineLvl w:val="1"/>
    </w:pPr>
    <w:rPr>
      <w:rFonts w:cs="Arial"/>
      <w:b/>
      <w:szCs w:val="24"/>
    </w:rPr>
  </w:style>
  <w:style w:type="character" w:customStyle="1" w:styleId="a6">
    <w:name w:val="Подзаголовок Знак"/>
    <w:semiHidden/>
    <w:rPr>
      <w:rFonts w:cs="Arial"/>
      <w:b/>
      <w:noProof w:val="0"/>
      <w:sz w:val="22"/>
      <w:szCs w:val="24"/>
      <w:lang w:val="fr-FR" w:eastAsia="fr-FR" w:bidi="ar-SA"/>
    </w:rPr>
  </w:style>
  <w:style w:type="paragraph" w:styleId="BodyText20">
    <w:name w:val="Body Text 2"/>
    <w:basedOn w:val="Normal"/>
    <w:semiHidden/>
    <w:pPr>
      <w:tabs>
        <w:tab w:val="clear" w:pos="680"/>
        <w:tab w:val="clear" w:pos="1134"/>
      </w:tabs>
      <w:overflowPunct w:val="0"/>
      <w:autoSpaceDE w:val="0"/>
      <w:autoSpaceDN w:val="0"/>
      <w:adjustRightInd w:val="0"/>
      <w:spacing w:before="0" w:line="240" w:lineRule="auto"/>
      <w:jc w:val="left"/>
      <w:textAlignment w:val="baseline"/>
    </w:pPr>
    <w:rPr>
      <w:i/>
      <w:sz w:val="24"/>
      <w:lang w:val="ru-RU" w:eastAsia="ru-RU"/>
    </w:rPr>
  </w:style>
  <w:style w:type="paragraph" w:styleId="BodyText30">
    <w:name w:val="Body Text 3"/>
    <w:basedOn w:val="Normal"/>
    <w:semiHidden/>
    <w:pPr>
      <w:tabs>
        <w:tab w:val="clear" w:pos="680"/>
        <w:tab w:val="clear" w:pos="1134"/>
      </w:tabs>
      <w:overflowPunct w:val="0"/>
      <w:autoSpaceDE w:val="0"/>
      <w:autoSpaceDN w:val="0"/>
      <w:adjustRightInd w:val="0"/>
      <w:spacing w:before="0" w:line="240" w:lineRule="auto"/>
      <w:jc w:val="left"/>
      <w:textAlignment w:val="baseline"/>
    </w:pPr>
    <w:rPr>
      <w:b/>
      <w:i/>
      <w:sz w:val="24"/>
      <w:lang w:val="ru-RU" w:eastAsia="ru-RU"/>
    </w:rPr>
  </w:style>
  <w:style w:type="character" w:customStyle="1" w:styleId="VoetnoottekstChar">
    <w:name w:val="Voetnoottekst Char"/>
    <w:semiHidden/>
    <w:rPr>
      <w:noProof w:val="0"/>
      <w:lang w:val="nl-NL" w:eastAsia="nl-NL" w:bidi="ar-SA"/>
    </w:rPr>
  </w:style>
  <w:style w:type="paragraph" w:customStyle="1" w:styleId="Web">
    <w:name w:val="Обычный (Web)"/>
    <w:basedOn w:val="Normal"/>
    <w:pPr>
      <w:tabs>
        <w:tab w:val="clear" w:pos="680"/>
        <w:tab w:val="clear" w:pos="1134"/>
      </w:tabs>
      <w:spacing w:before="100" w:beforeAutospacing="1" w:after="100" w:afterAutospacing="1" w:line="240" w:lineRule="auto"/>
      <w:jc w:val="left"/>
    </w:pPr>
    <w:rPr>
      <w:sz w:val="24"/>
      <w:szCs w:val="24"/>
      <w:lang w:val="nl-NL" w:eastAsia="nl-NL"/>
    </w:rPr>
  </w:style>
  <w:style w:type="character" w:styleId="Hyperlink0">
    <w:name w:val="Hyperlink"/>
    <w:semiHidden/>
    <w:rPr>
      <w:color w:val="0000FF"/>
      <w:u w:val="single"/>
    </w:rPr>
  </w:style>
  <w:style w:type="character" w:styleId="CommentReference">
    <w:name w:val="annotation reference"/>
    <w:semiHidden/>
    <w:rPr>
      <w:sz w:val="6"/>
    </w:rPr>
  </w:style>
  <w:style w:type="paragraph" w:styleId="CommentText">
    <w:name w:val="annotation text"/>
    <w:basedOn w:val="Normal"/>
    <w:semiHidden/>
    <w:pPr>
      <w:tabs>
        <w:tab w:val="clear" w:pos="680"/>
        <w:tab w:val="clear" w:pos="1134"/>
      </w:tabs>
      <w:spacing w:before="0" w:line="240" w:lineRule="exact"/>
      <w:jc w:val="left"/>
    </w:pPr>
    <w:rPr>
      <w:spacing w:val="4"/>
      <w:w w:val="103"/>
      <w:kern w:val="14"/>
      <w:sz w:val="20"/>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footer" Target="footer5.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oleObject" Target="embeddings/oleObject2.bin"/><Relationship Id="rId2" Type="http://schemas.openxmlformats.org/officeDocument/2006/relationships/styles" Target="styles.xml"/><Relationship Id="rId16" Type="http://schemas.openxmlformats.org/officeDocument/2006/relationships/image" Target="media/image2.emf"/><Relationship Id="rId20"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www.wiedoetwat.nl" TargetMode="Externa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comments" Target="comments.xml"/><Relationship Id="rId14" Type="http://schemas.openxmlformats.org/officeDocument/2006/relationships/footer" Target="footer3.xml"/><Relationship Id="rId22"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66</Pages>
  <Words>41805</Words>
  <Characters>238289</Characters>
  <Application>Microsoft Office Word</Application>
  <DocSecurity>4</DocSecurity>
  <Lines>1985</Lines>
  <Paragraphs>476</Paragraphs>
  <ScaleCrop>false</ScaleCrop>
  <HeadingPairs>
    <vt:vector size="2" baseType="variant">
      <vt:variant>
        <vt:lpstr>Title</vt:lpstr>
      </vt:variant>
      <vt:variant>
        <vt:i4>1</vt:i4>
      </vt:variant>
    </vt:vector>
  </HeadingPairs>
  <TitlesOfParts>
    <vt:vector size="1" baseType="lpstr">
      <vt:lpstr>CEDAW</vt:lpstr>
    </vt:vector>
  </TitlesOfParts>
  <Company>ID+</Company>
  <LinksUpToDate>false</LinksUpToDate>
  <CharactersWithSpaces>292635</CharactersWithSpaces>
  <SharedDoc>false</SharedDoc>
  <HLinks>
    <vt:vector size="6" baseType="variant">
      <vt:variant>
        <vt:i4>1376296</vt:i4>
      </vt:variant>
      <vt:variant>
        <vt:i4>3</vt:i4>
      </vt:variant>
      <vt:variant>
        <vt:i4>0</vt:i4>
      </vt:variant>
      <vt:variant>
        <vt:i4>5</vt:i4>
      </vt:variant>
      <vt:variant>
        <vt:lpwstr>\\Alexandrova\06-D\M_\M-1996\www.wiedoetwat.nl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Elena</dc:creator>
  <cp:keywords/>
  <dc:description/>
  <cp:lastModifiedBy>Tatiana.Panichkina</cp:lastModifiedBy>
  <cp:revision>4</cp:revision>
  <cp:lastPrinted>2005-04-28T16:04:00Z</cp:lastPrinted>
  <dcterms:created xsi:type="dcterms:W3CDTF">2005-05-04T07:13:00Z</dcterms:created>
  <dcterms:modified xsi:type="dcterms:W3CDTF">2005-05-04T07:47:00Z</dcterms:modified>
</cp:coreProperties>
</file>