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人权机构第五次委员会间会议</w:t>
      </w:r>
    </w:p>
    <w:p w:rsidR="00000000" w:rsidRDefault="00000000">
      <w:r>
        <w:rPr>
          <w:rFonts w:hint="eastAsia"/>
        </w:rPr>
        <w:t>200</w:t>
      </w:r>
      <w:r>
        <w:t>6</w:t>
      </w:r>
      <w:r>
        <w:rPr>
          <w:rFonts w:hint="eastAsia"/>
        </w:rPr>
        <w:t>年</w:t>
      </w:r>
      <w:r>
        <w:rPr>
          <w:rFonts w:hint="eastAsia"/>
        </w:rPr>
        <w:t>6</w:t>
      </w:r>
      <w:r>
        <w:rPr>
          <w:rFonts w:hint="eastAsia"/>
        </w:rPr>
        <w:t>月</w:t>
      </w:r>
      <w:r>
        <w:t>19</w:t>
      </w:r>
      <w:r>
        <w:rPr>
          <w:rFonts w:hint="eastAsia"/>
        </w:rPr>
        <w:t>日至</w:t>
      </w:r>
      <w:r>
        <w:rPr>
          <w:rFonts w:hint="eastAsia"/>
        </w:rPr>
        <w:t>2</w:t>
      </w:r>
      <w:r>
        <w:t>1</w:t>
      </w:r>
      <w:r>
        <w:rPr>
          <w:rFonts w:hint="eastAsia"/>
        </w:rPr>
        <w:t>日，日内瓦</w:t>
      </w:r>
    </w:p>
    <w:p w:rsidR="00000000" w:rsidRDefault="00000000"/>
    <w:p w:rsidR="00000000" w:rsidRDefault="00000000">
      <w:pPr>
        <w:rPr>
          <w:rFonts w:hint="eastAsia"/>
        </w:rPr>
      </w:pPr>
      <w:r>
        <w:rPr>
          <w:rFonts w:hint="eastAsia"/>
        </w:rPr>
        <w:t>人权条约机构主持人第十八次会议</w:t>
      </w:r>
    </w:p>
    <w:p w:rsidR="00000000" w:rsidRDefault="00000000">
      <w:pPr>
        <w:rPr>
          <w:rFonts w:hint="eastAsia"/>
        </w:rPr>
      </w:pPr>
      <w:r>
        <w:rPr>
          <w:rFonts w:hint="eastAsia"/>
        </w:rPr>
        <w:t>200</w:t>
      </w:r>
      <w:r>
        <w:t>6</w:t>
      </w:r>
      <w:r>
        <w:rPr>
          <w:rFonts w:hint="eastAsia"/>
        </w:rPr>
        <w:t>年</w:t>
      </w:r>
      <w:r>
        <w:rPr>
          <w:rFonts w:hint="eastAsia"/>
        </w:rPr>
        <w:t>6</w:t>
      </w:r>
      <w:r>
        <w:rPr>
          <w:rFonts w:hint="eastAsia"/>
        </w:rPr>
        <w:t>月</w:t>
      </w:r>
      <w:r>
        <w:rPr>
          <w:rFonts w:hint="eastAsia"/>
        </w:rPr>
        <w:t>2</w:t>
      </w:r>
      <w:r>
        <w:t>2</w:t>
      </w:r>
      <w:r>
        <w:rPr>
          <w:rFonts w:hint="eastAsia"/>
        </w:rPr>
        <w:t>日至</w:t>
      </w:r>
      <w:r>
        <w:rPr>
          <w:rFonts w:hint="eastAsia"/>
        </w:rPr>
        <w:t>2</w:t>
      </w:r>
      <w:r>
        <w:t>3</w:t>
      </w:r>
      <w:r>
        <w:rPr>
          <w:rFonts w:hint="eastAsia"/>
        </w:rPr>
        <w:t>日，日内瓦</w:t>
      </w:r>
    </w:p>
    <w:p w:rsidR="00000000" w:rsidRDefault="00000000">
      <w:r>
        <w:rPr>
          <w:rFonts w:hint="eastAsia"/>
        </w:rPr>
        <w:t>临时议程项目</w:t>
      </w:r>
      <w:r>
        <w:t>6</w:t>
      </w:r>
    </w:p>
    <w:p w:rsidR="00000000" w:rsidRDefault="00000000"/>
    <w:p w:rsidR="00000000" w:rsidRDefault="00000000">
      <w:pPr>
        <w:pStyle w:val="Heading2"/>
        <w:rPr>
          <w:rFonts w:hint="eastAsia"/>
        </w:rPr>
      </w:pPr>
      <w:r>
        <w:rPr>
          <w:rFonts w:hint="eastAsia"/>
        </w:rPr>
        <w:t>关于高级专员设立统一常设条约机构建议的构想文件</w:t>
      </w:r>
    </w:p>
    <w:p w:rsidR="00000000" w:rsidRDefault="00000000">
      <w:pPr>
        <w:pStyle w:val="Heading3"/>
        <w:rPr>
          <w:rFonts w:hint="eastAsia"/>
        </w:rPr>
      </w:pPr>
      <w:r>
        <w:rPr>
          <w:rFonts w:hint="eastAsia"/>
        </w:rPr>
        <w:t>秘书处的报告</w:t>
      </w:r>
    </w:p>
    <w:p w:rsidR="00000000" w:rsidRDefault="00000000"/>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br w:type="page"/>
      </w:r>
      <w:r>
        <w:rPr>
          <w:rFonts w:hint="eastAsia"/>
          <w:kern w:val="24"/>
          <w:sz w:val="26"/>
        </w:rPr>
        <w:t>目</w:t>
      </w:r>
      <w:r>
        <w:rPr>
          <w:kern w:val="24"/>
          <w:sz w:val="26"/>
        </w:rPr>
        <w:tab/>
      </w:r>
      <w:r>
        <w:rPr>
          <w:rFonts w:hint="eastAsia"/>
          <w:kern w:val="24"/>
          <w:sz w:val="26"/>
        </w:rPr>
        <w:t>录</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rPr>
          <w:snapToGrid/>
        </w:rPr>
      </w:pPr>
      <w:r>
        <w:rPr>
          <w:rFonts w:hint="eastAsia"/>
          <w:snapToGrid/>
        </w:rPr>
        <w:t>导</w:t>
      </w:r>
      <w:r>
        <w:rPr>
          <w:rFonts w:hint="eastAsia"/>
          <w:snapToGrid/>
        </w:rPr>
        <w:t xml:space="preserve">  </w:t>
      </w:r>
      <w:r>
        <w:rPr>
          <w:rFonts w:hint="eastAsia"/>
          <w:snapToGrid/>
        </w:rPr>
        <w:t>言</w:t>
      </w:r>
      <w:r>
        <w:rPr>
          <w:rFonts w:hint="eastAsia"/>
          <w:snapToGrid/>
        </w:rPr>
        <w:t>.............................</w:t>
      </w:r>
      <w:r>
        <w:rPr>
          <w:rFonts w:hint="eastAsia"/>
          <w:snapToGrid/>
        </w:rPr>
        <w:tab/>
      </w:r>
      <w:r>
        <w:rPr>
          <w:rFonts w:hint="eastAsia"/>
          <w:snapToGrid/>
        </w:rPr>
        <w:tab/>
      </w:r>
      <w:r>
        <w:rPr>
          <w:snapToGrid/>
        </w:rPr>
        <w:t>1</w:t>
      </w:r>
      <w:r>
        <w:rPr>
          <w:snapToGrid/>
        </w:rPr>
        <w:tab/>
        <w:t>-</w:t>
      </w:r>
      <w:r>
        <w:rPr>
          <w:snapToGrid/>
        </w:rPr>
        <w:tab/>
        <w:t>2</w:t>
      </w:r>
      <w:r>
        <w:rPr>
          <w:snapToGrid/>
        </w:rPr>
        <w:tab/>
        <w:t>3</w:t>
      </w:r>
    </w:p>
    <w:p w:rsidR="00000000" w:rsidRDefault="00000000">
      <w:pPr>
        <w:pStyle w:val="a9"/>
        <w:rPr>
          <w:snapToGrid/>
        </w:rPr>
      </w:pPr>
      <w:r>
        <w:rPr>
          <w:rFonts w:hint="eastAsia"/>
          <w:snapToGrid/>
        </w:rPr>
        <w:t>一、改革的目的和指导原则</w:t>
      </w:r>
      <w:r>
        <w:rPr>
          <w:rFonts w:hint="eastAsia"/>
          <w:snapToGrid/>
        </w:rPr>
        <w:tab/>
      </w:r>
      <w:r>
        <w:rPr>
          <w:rFonts w:hint="eastAsia"/>
          <w:snapToGrid/>
        </w:rPr>
        <w:tab/>
      </w:r>
      <w:r>
        <w:rPr>
          <w:snapToGrid/>
        </w:rPr>
        <w:t>3</w:t>
      </w:r>
      <w:r>
        <w:rPr>
          <w:snapToGrid/>
        </w:rPr>
        <w:tab/>
        <w:t>-</w:t>
      </w:r>
      <w:r>
        <w:rPr>
          <w:snapToGrid/>
        </w:rPr>
        <w:tab/>
        <w:t>7</w:t>
      </w:r>
      <w:r>
        <w:rPr>
          <w:snapToGrid/>
        </w:rPr>
        <w:tab/>
        <w:t>4</w:t>
      </w:r>
    </w:p>
    <w:p w:rsidR="00000000" w:rsidRDefault="00000000">
      <w:pPr>
        <w:pStyle w:val="a9"/>
        <w:rPr>
          <w:snapToGrid/>
        </w:rPr>
      </w:pPr>
      <w:r>
        <w:rPr>
          <w:rFonts w:hint="eastAsia"/>
          <w:snapToGrid/>
        </w:rPr>
        <w:t>二、本制度的目的和成绩及当前的挑战</w:t>
      </w:r>
      <w:r>
        <w:rPr>
          <w:rFonts w:hint="eastAsia"/>
          <w:snapToGrid/>
        </w:rPr>
        <w:tab/>
      </w:r>
      <w:r>
        <w:rPr>
          <w:rFonts w:hint="eastAsia"/>
          <w:snapToGrid/>
        </w:rPr>
        <w:tab/>
      </w:r>
      <w:r>
        <w:rPr>
          <w:snapToGrid/>
        </w:rPr>
        <w:t>8</w:t>
      </w:r>
      <w:r>
        <w:rPr>
          <w:snapToGrid/>
        </w:rPr>
        <w:tab/>
        <w:t>-</w:t>
      </w:r>
      <w:r>
        <w:rPr>
          <w:snapToGrid/>
        </w:rPr>
        <w:tab/>
        <w:t>26</w:t>
      </w:r>
      <w:r>
        <w:rPr>
          <w:snapToGrid/>
        </w:rPr>
        <w:tab/>
        <w:t>6</w:t>
      </w:r>
    </w:p>
    <w:p w:rsidR="00000000" w:rsidRDefault="00000000">
      <w:pPr>
        <w:pStyle w:val="a9"/>
        <w:rPr>
          <w:snapToGrid/>
        </w:rPr>
      </w:pPr>
      <w:r>
        <w:rPr>
          <w:rFonts w:hint="eastAsia"/>
          <w:snapToGrid/>
        </w:rPr>
        <w:tab/>
        <w:t>A.</w:t>
      </w:r>
      <w:r>
        <w:rPr>
          <w:rFonts w:hint="eastAsia"/>
          <w:snapToGrid/>
        </w:rPr>
        <w:tab/>
      </w:r>
      <w:r>
        <w:rPr>
          <w:rFonts w:hint="eastAsia"/>
          <w:snapToGrid/>
        </w:rPr>
        <w:t>监测程序的目的</w:t>
      </w:r>
      <w:r>
        <w:rPr>
          <w:rFonts w:hint="eastAsia"/>
          <w:snapToGrid/>
        </w:rPr>
        <w:tab/>
      </w:r>
      <w:r>
        <w:rPr>
          <w:rFonts w:hint="eastAsia"/>
          <w:snapToGrid/>
        </w:rPr>
        <w:tab/>
      </w:r>
      <w:r>
        <w:rPr>
          <w:snapToGrid/>
        </w:rPr>
        <w:t>8</w:t>
      </w:r>
      <w:r>
        <w:rPr>
          <w:snapToGrid/>
        </w:rPr>
        <w:tab/>
        <w:t>-</w:t>
      </w:r>
      <w:r>
        <w:rPr>
          <w:snapToGrid/>
        </w:rPr>
        <w:tab/>
        <w:t>10</w:t>
      </w:r>
      <w:r>
        <w:rPr>
          <w:snapToGrid/>
        </w:rPr>
        <w:tab/>
        <w:t>6</w:t>
      </w:r>
    </w:p>
    <w:p w:rsidR="00000000" w:rsidRDefault="00000000">
      <w:pPr>
        <w:pStyle w:val="a9"/>
        <w:rPr>
          <w:snapToGrid/>
        </w:rPr>
      </w:pPr>
      <w:r>
        <w:rPr>
          <w:rFonts w:hint="eastAsia"/>
          <w:snapToGrid/>
        </w:rPr>
        <w:tab/>
        <w:t>B.</w:t>
      </w:r>
      <w:r>
        <w:rPr>
          <w:rFonts w:hint="eastAsia"/>
          <w:snapToGrid/>
        </w:rPr>
        <w:tab/>
      </w:r>
      <w:r>
        <w:rPr>
          <w:rFonts w:hint="eastAsia"/>
          <w:snapToGrid/>
        </w:rPr>
        <w:t>成</w:t>
      </w:r>
      <w:r>
        <w:rPr>
          <w:rFonts w:hint="eastAsia"/>
          <w:snapToGrid/>
        </w:rPr>
        <w:t xml:space="preserve">  </w:t>
      </w:r>
      <w:r>
        <w:rPr>
          <w:rFonts w:hint="eastAsia"/>
          <w:snapToGrid/>
        </w:rPr>
        <w:t>绩</w:t>
      </w:r>
      <w:r>
        <w:rPr>
          <w:rFonts w:hint="eastAsia"/>
          <w:snapToGrid/>
        </w:rPr>
        <w:t>.........................</w:t>
      </w:r>
      <w:r>
        <w:rPr>
          <w:rFonts w:hint="eastAsia"/>
          <w:snapToGrid/>
        </w:rPr>
        <w:tab/>
      </w:r>
      <w:r>
        <w:rPr>
          <w:rFonts w:hint="eastAsia"/>
          <w:snapToGrid/>
        </w:rPr>
        <w:tab/>
      </w:r>
      <w:r>
        <w:rPr>
          <w:snapToGrid/>
        </w:rPr>
        <w:t>11</w:t>
      </w:r>
      <w:r>
        <w:rPr>
          <w:snapToGrid/>
        </w:rPr>
        <w:tab/>
        <w:t>-</w:t>
      </w:r>
      <w:r>
        <w:rPr>
          <w:snapToGrid/>
        </w:rPr>
        <w:tab/>
        <w:t>14</w:t>
      </w:r>
      <w:r>
        <w:rPr>
          <w:snapToGrid/>
        </w:rPr>
        <w:tab/>
        <w:t>7</w:t>
      </w:r>
    </w:p>
    <w:p w:rsidR="00000000" w:rsidRDefault="00000000">
      <w:pPr>
        <w:pStyle w:val="a9"/>
        <w:rPr>
          <w:snapToGrid/>
        </w:rPr>
      </w:pPr>
      <w:r>
        <w:rPr>
          <w:rFonts w:hint="eastAsia"/>
          <w:snapToGrid/>
        </w:rPr>
        <w:tab/>
        <w:t>C.</w:t>
      </w:r>
      <w:r>
        <w:rPr>
          <w:rFonts w:hint="eastAsia"/>
          <w:snapToGrid/>
        </w:rPr>
        <w:tab/>
      </w:r>
      <w:r>
        <w:rPr>
          <w:rFonts w:hint="eastAsia"/>
          <w:snapToGrid/>
        </w:rPr>
        <w:t>本制度面临的难题</w:t>
      </w:r>
      <w:r>
        <w:rPr>
          <w:rFonts w:hint="eastAsia"/>
          <w:snapToGrid/>
        </w:rPr>
        <w:tab/>
      </w:r>
      <w:r>
        <w:rPr>
          <w:rFonts w:hint="eastAsia"/>
          <w:snapToGrid/>
        </w:rPr>
        <w:tab/>
      </w:r>
      <w:r>
        <w:rPr>
          <w:snapToGrid/>
        </w:rPr>
        <w:t>15</w:t>
      </w:r>
      <w:r>
        <w:rPr>
          <w:snapToGrid/>
        </w:rPr>
        <w:tab/>
        <w:t>-</w:t>
      </w:r>
      <w:r>
        <w:rPr>
          <w:snapToGrid/>
        </w:rPr>
        <w:tab/>
        <w:t>26</w:t>
      </w:r>
      <w:r>
        <w:rPr>
          <w:snapToGrid/>
        </w:rPr>
        <w:tab/>
        <w:t>7</w:t>
      </w:r>
    </w:p>
    <w:p w:rsidR="00000000" w:rsidRDefault="00000000">
      <w:pPr>
        <w:pStyle w:val="a9"/>
        <w:rPr>
          <w:snapToGrid/>
        </w:rPr>
      </w:pPr>
      <w:r>
        <w:rPr>
          <w:rFonts w:hint="eastAsia"/>
          <w:snapToGrid/>
        </w:rPr>
        <w:t>三、一个统一的常设条约机构的设立据以处理当前的难题的途径</w:t>
      </w:r>
      <w:r>
        <w:rPr>
          <w:snapToGrid/>
        </w:rPr>
        <w:t>.......</w:t>
      </w:r>
      <w:r>
        <w:rPr>
          <w:rFonts w:hint="eastAsia"/>
          <w:snapToGrid/>
        </w:rPr>
        <w:tab/>
      </w:r>
      <w:r>
        <w:rPr>
          <w:snapToGrid/>
        </w:rPr>
        <w:tab/>
        <w:t>27</w:t>
      </w:r>
      <w:r>
        <w:rPr>
          <w:snapToGrid/>
        </w:rPr>
        <w:tab/>
        <w:t>-</w:t>
      </w:r>
      <w:r>
        <w:rPr>
          <w:snapToGrid/>
        </w:rPr>
        <w:tab/>
        <w:t>36</w:t>
      </w:r>
      <w:r>
        <w:rPr>
          <w:snapToGrid/>
        </w:rPr>
        <w:tab/>
        <w:t>13</w:t>
      </w:r>
    </w:p>
    <w:p w:rsidR="00000000" w:rsidRDefault="00000000">
      <w:pPr>
        <w:pStyle w:val="a9"/>
        <w:rPr>
          <w:snapToGrid/>
        </w:rPr>
      </w:pPr>
      <w:r>
        <w:rPr>
          <w:rFonts w:hint="eastAsia"/>
          <w:snapToGrid/>
        </w:rPr>
        <w:t>四、落实措施：统一的常设条约机构</w:t>
      </w:r>
      <w:r>
        <w:rPr>
          <w:rFonts w:hint="eastAsia"/>
          <w:snapToGrid/>
        </w:rPr>
        <w:tab/>
      </w:r>
      <w:r>
        <w:rPr>
          <w:rFonts w:hint="eastAsia"/>
          <w:snapToGrid/>
        </w:rPr>
        <w:tab/>
      </w:r>
      <w:r>
        <w:rPr>
          <w:snapToGrid/>
        </w:rPr>
        <w:t>37</w:t>
      </w:r>
      <w:r>
        <w:rPr>
          <w:snapToGrid/>
        </w:rPr>
        <w:tab/>
        <w:t>-</w:t>
      </w:r>
      <w:r>
        <w:rPr>
          <w:snapToGrid/>
        </w:rPr>
        <w:tab/>
        <w:t>58</w:t>
      </w:r>
      <w:r>
        <w:rPr>
          <w:snapToGrid/>
        </w:rPr>
        <w:tab/>
        <w:t>16</w:t>
      </w:r>
    </w:p>
    <w:p w:rsidR="00000000" w:rsidRDefault="00000000">
      <w:pPr>
        <w:pStyle w:val="a9"/>
        <w:rPr>
          <w:snapToGrid/>
        </w:rPr>
      </w:pPr>
      <w:r>
        <w:rPr>
          <w:rFonts w:hint="eastAsia"/>
          <w:snapToGrid/>
        </w:rPr>
        <w:tab/>
        <w:t>A.</w:t>
      </w:r>
      <w:r>
        <w:rPr>
          <w:rFonts w:hint="eastAsia"/>
          <w:snapToGrid/>
        </w:rPr>
        <w:tab/>
      </w:r>
      <w:r>
        <w:rPr>
          <w:rFonts w:hint="eastAsia"/>
          <w:snapToGrid/>
        </w:rPr>
        <w:t>运作形式</w:t>
      </w:r>
      <w:r>
        <w:rPr>
          <w:rFonts w:hint="eastAsia"/>
          <w:snapToGrid/>
        </w:rPr>
        <w:t>/</w:t>
      </w:r>
      <w:r>
        <w:rPr>
          <w:rFonts w:hint="eastAsia"/>
          <w:snapToGrid/>
        </w:rPr>
        <w:t>方形</w:t>
      </w:r>
      <w:r>
        <w:rPr>
          <w:rFonts w:hint="eastAsia"/>
          <w:snapToGrid/>
        </w:rPr>
        <w:tab/>
      </w:r>
      <w:r>
        <w:rPr>
          <w:rFonts w:hint="eastAsia"/>
          <w:snapToGrid/>
        </w:rPr>
        <w:tab/>
      </w:r>
      <w:r>
        <w:rPr>
          <w:snapToGrid/>
        </w:rPr>
        <w:t>38</w:t>
      </w:r>
      <w:r>
        <w:rPr>
          <w:snapToGrid/>
        </w:rPr>
        <w:tab/>
        <w:t>-</w:t>
      </w:r>
      <w:r>
        <w:rPr>
          <w:snapToGrid/>
        </w:rPr>
        <w:tab/>
        <w:t>45</w:t>
      </w:r>
      <w:r>
        <w:rPr>
          <w:snapToGrid/>
        </w:rPr>
        <w:tab/>
        <w:t>16</w:t>
      </w:r>
    </w:p>
    <w:p w:rsidR="00000000" w:rsidRDefault="00000000">
      <w:pPr>
        <w:pStyle w:val="a9"/>
        <w:rPr>
          <w:rFonts w:hint="eastAsia"/>
          <w:snapToGrid/>
        </w:rPr>
      </w:pPr>
      <w:r>
        <w:rPr>
          <w:rFonts w:hint="eastAsia"/>
          <w:snapToGrid/>
        </w:rPr>
        <w:tab/>
        <w:t>B.</w:t>
      </w:r>
      <w:r>
        <w:rPr>
          <w:rFonts w:hint="eastAsia"/>
          <w:snapToGrid/>
        </w:rPr>
        <w:tab/>
      </w:r>
      <w:r>
        <w:rPr>
          <w:rFonts w:hint="eastAsia"/>
          <w:snapToGrid/>
        </w:rPr>
        <w:t>职</w:t>
      </w:r>
      <w:r>
        <w:rPr>
          <w:rFonts w:hint="eastAsia"/>
          <w:snapToGrid/>
        </w:rPr>
        <w:t xml:space="preserve">  </w:t>
      </w:r>
      <w:r>
        <w:rPr>
          <w:rFonts w:hint="eastAsia"/>
          <w:snapToGrid/>
        </w:rPr>
        <w:t>能</w:t>
      </w:r>
      <w:r>
        <w:rPr>
          <w:rFonts w:hint="eastAsia"/>
          <w:snapToGrid/>
        </w:rPr>
        <w:t>...................</w:t>
      </w:r>
      <w:r>
        <w:rPr>
          <w:rFonts w:hint="eastAsia"/>
          <w:snapToGrid/>
        </w:rPr>
        <w:tab/>
      </w:r>
      <w:r>
        <w:rPr>
          <w:rFonts w:hint="eastAsia"/>
          <w:snapToGrid/>
        </w:rPr>
        <w:tab/>
        <w:t>46</w:t>
      </w:r>
      <w:r>
        <w:rPr>
          <w:rFonts w:hint="eastAsia"/>
          <w:snapToGrid/>
        </w:rPr>
        <w:tab/>
        <w:t>-</w:t>
      </w:r>
      <w:r>
        <w:rPr>
          <w:rFonts w:hint="eastAsia"/>
          <w:snapToGrid/>
        </w:rPr>
        <w:tab/>
        <w:t>58</w:t>
      </w:r>
      <w:r>
        <w:rPr>
          <w:rFonts w:hint="eastAsia"/>
          <w:snapToGrid/>
        </w:rPr>
        <w:tab/>
        <w:t>18</w:t>
      </w:r>
    </w:p>
    <w:p w:rsidR="00000000" w:rsidRDefault="00000000">
      <w:pPr>
        <w:pStyle w:val="a9"/>
        <w:rPr>
          <w:rFonts w:hint="eastAsia"/>
          <w:snapToGrid/>
        </w:rPr>
      </w:pPr>
      <w:r>
        <w:rPr>
          <w:rFonts w:hint="eastAsia"/>
          <w:snapToGrid/>
        </w:rPr>
        <w:t>五、在建立统一的常设条约机构时需考虑的问题</w:t>
      </w:r>
      <w:r>
        <w:rPr>
          <w:rFonts w:hint="eastAsia"/>
          <w:snapToGrid/>
        </w:rPr>
        <w:tab/>
      </w:r>
      <w:r>
        <w:rPr>
          <w:rFonts w:hint="eastAsia"/>
          <w:snapToGrid/>
        </w:rPr>
        <w:tab/>
        <w:t>59</w:t>
      </w:r>
      <w:r>
        <w:rPr>
          <w:rFonts w:hint="eastAsia"/>
          <w:snapToGrid/>
        </w:rPr>
        <w:tab/>
        <w:t>-</w:t>
      </w:r>
      <w:r>
        <w:rPr>
          <w:rFonts w:hint="eastAsia"/>
          <w:snapToGrid/>
        </w:rPr>
        <w:tab/>
        <w:t>65</w:t>
      </w:r>
      <w:r>
        <w:rPr>
          <w:rFonts w:hint="eastAsia"/>
          <w:snapToGrid/>
        </w:rPr>
        <w:tab/>
        <w:t>21</w:t>
      </w:r>
    </w:p>
    <w:p w:rsidR="00000000" w:rsidRDefault="00000000">
      <w:pPr>
        <w:pStyle w:val="a9"/>
        <w:rPr>
          <w:rFonts w:hint="eastAsia"/>
          <w:snapToGrid/>
        </w:rPr>
      </w:pPr>
      <w:r>
        <w:rPr>
          <w:rFonts w:hint="eastAsia"/>
          <w:snapToGrid/>
        </w:rPr>
        <w:tab/>
        <w:t>A.</w:t>
      </w:r>
      <w:r>
        <w:rPr>
          <w:rFonts w:hint="eastAsia"/>
          <w:snapToGrid/>
        </w:rPr>
        <w:tab/>
      </w:r>
      <w:r>
        <w:rPr>
          <w:rFonts w:hint="eastAsia"/>
          <w:snapToGrid/>
        </w:rPr>
        <w:t>具体性</w:t>
      </w:r>
      <w:r>
        <w:rPr>
          <w:rFonts w:hint="eastAsia"/>
          <w:snapToGrid/>
        </w:rPr>
        <w:t>......................</w:t>
      </w:r>
      <w:r>
        <w:rPr>
          <w:rFonts w:hint="eastAsia"/>
          <w:snapToGrid/>
        </w:rPr>
        <w:tab/>
      </w:r>
      <w:r>
        <w:rPr>
          <w:rFonts w:hint="eastAsia"/>
          <w:snapToGrid/>
        </w:rPr>
        <w:tab/>
      </w:r>
      <w:r>
        <w:rPr>
          <w:rFonts w:hint="eastAsia"/>
          <w:snapToGrid/>
        </w:rPr>
        <w:tab/>
        <w:t>59</w:t>
      </w:r>
      <w:r>
        <w:rPr>
          <w:rFonts w:hint="eastAsia"/>
          <w:snapToGrid/>
        </w:rPr>
        <w:tab/>
      </w:r>
      <w:r>
        <w:rPr>
          <w:rFonts w:hint="eastAsia"/>
          <w:snapToGrid/>
        </w:rPr>
        <w:tab/>
        <w:t>21</w:t>
      </w:r>
    </w:p>
    <w:p w:rsidR="00000000" w:rsidRDefault="00000000">
      <w:pPr>
        <w:pStyle w:val="a9"/>
        <w:rPr>
          <w:rFonts w:hint="eastAsia"/>
          <w:snapToGrid/>
        </w:rPr>
      </w:pPr>
      <w:r>
        <w:rPr>
          <w:rFonts w:hint="eastAsia"/>
          <w:snapToGrid/>
        </w:rPr>
        <w:tab/>
        <w:t>B.</w:t>
      </w:r>
      <w:r>
        <w:rPr>
          <w:rFonts w:hint="eastAsia"/>
          <w:snapToGrid/>
        </w:rPr>
        <w:tab/>
      </w:r>
      <w:r>
        <w:rPr>
          <w:rFonts w:hint="eastAsia"/>
          <w:snapToGrid/>
        </w:rPr>
        <w:t>不同的批准模式</w:t>
      </w:r>
      <w:r>
        <w:rPr>
          <w:rFonts w:hint="eastAsia"/>
          <w:snapToGrid/>
        </w:rPr>
        <w:tab/>
      </w:r>
      <w:r>
        <w:rPr>
          <w:rFonts w:hint="eastAsia"/>
          <w:snapToGrid/>
        </w:rPr>
        <w:tab/>
      </w:r>
      <w:r>
        <w:rPr>
          <w:rFonts w:hint="eastAsia"/>
          <w:snapToGrid/>
        </w:rPr>
        <w:tab/>
        <w:t>60</w:t>
      </w:r>
      <w:r>
        <w:rPr>
          <w:rFonts w:hint="eastAsia"/>
          <w:snapToGrid/>
        </w:rPr>
        <w:tab/>
      </w:r>
      <w:r>
        <w:rPr>
          <w:rFonts w:hint="eastAsia"/>
          <w:snapToGrid/>
        </w:rPr>
        <w:tab/>
        <w:t>22</w:t>
      </w:r>
    </w:p>
    <w:p w:rsidR="00000000" w:rsidRDefault="00000000">
      <w:pPr>
        <w:pStyle w:val="a9"/>
        <w:rPr>
          <w:rFonts w:hint="eastAsia"/>
          <w:snapToGrid/>
        </w:rPr>
      </w:pPr>
      <w:r>
        <w:rPr>
          <w:rFonts w:hint="eastAsia"/>
          <w:snapToGrid/>
        </w:rPr>
        <w:tab/>
        <w:t>C.</w:t>
      </w:r>
      <w:r>
        <w:rPr>
          <w:rFonts w:hint="eastAsia"/>
          <w:snapToGrid/>
        </w:rPr>
        <w:tab/>
      </w:r>
      <w:r>
        <w:rPr>
          <w:rFonts w:hint="eastAsia"/>
          <w:snapToGrid/>
        </w:rPr>
        <w:t>成</w:t>
      </w:r>
      <w:r>
        <w:rPr>
          <w:rFonts w:hint="eastAsia"/>
          <w:snapToGrid/>
        </w:rPr>
        <w:t xml:space="preserve">  </w:t>
      </w:r>
      <w:r>
        <w:rPr>
          <w:rFonts w:hint="eastAsia"/>
          <w:snapToGrid/>
        </w:rPr>
        <w:t>员</w:t>
      </w:r>
      <w:r>
        <w:rPr>
          <w:rFonts w:hint="eastAsia"/>
          <w:snapToGrid/>
        </w:rPr>
        <w:t>.....................</w:t>
      </w:r>
      <w:r>
        <w:rPr>
          <w:rFonts w:hint="eastAsia"/>
          <w:snapToGrid/>
        </w:rPr>
        <w:tab/>
      </w:r>
      <w:r>
        <w:rPr>
          <w:rFonts w:hint="eastAsia"/>
          <w:snapToGrid/>
        </w:rPr>
        <w:tab/>
        <w:t>61</w:t>
      </w:r>
      <w:r>
        <w:rPr>
          <w:rFonts w:hint="eastAsia"/>
          <w:snapToGrid/>
        </w:rPr>
        <w:tab/>
        <w:t>-</w:t>
      </w:r>
      <w:r>
        <w:rPr>
          <w:rFonts w:hint="eastAsia"/>
          <w:snapToGrid/>
        </w:rPr>
        <w:tab/>
        <w:t>63</w:t>
      </w:r>
      <w:r>
        <w:rPr>
          <w:rFonts w:hint="eastAsia"/>
          <w:snapToGrid/>
        </w:rPr>
        <w:tab/>
        <w:t>22</w:t>
      </w:r>
    </w:p>
    <w:p w:rsidR="00000000" w:rsidRDefault="00000000">
      <w:pPr>
        <w:pStyle w:val="a9"/>
        <w:rPr>
          <w:rFonts w:hint="eastAsia"/>
          <w:snapToGrid/>
        </w:rPr>
      </w:pPr>
      <w:r>
        <w:rPr>
          <w:rFonts w:hint="eastAsia"/>
          <w:snapToGrid/>
        </w:rPr>
        <w:tab/>
        <w:t>D.</w:t>
      </w:r>
      <w:r>
        <w:rPr>
          <w:rFonts w:hint="eastAsia"/>
          <w:snapToGrid/>
        </w:rPr>
        <w:tab/>
      </w:r>
      <w:r>
        <w:rPr>
          <w:rFonts w:hint="eastAsia"/>
          <w:snapToGrid/>
        </w:rPr>
        <w:t>法律问题</w:t>
      </w:r>
      <w:r>
        <w:rPr>
          <w:rFonts w:hint="eastAsia"/>
          <w:snapToGrid/>
        </w:rPr>
        <w:tab/>
      </w:r>
      <w:r>
        <w:rPr>
          <w:rFonts w:hint="eastAsia"/>
          <w:snapToGrid/>
        </w:rPr>
        <w:tab/>
        <w:t>64</w:t>
      </w:r>
      <w:r>
        <w:rPr>
          <w:rFonts w:hint="eastAsia"/>
          <w:snapToGrid/>
        </w:rPr>
        <w:tab/>
        <w:t>-</w:t>
      </w:r>
      <w:r>
        <w:rPr>
          <w:rFonts w:hint="eastAsia"/>
          <w:snapToGrid/>
        </w:rPr>
        <w:tab/>
        <w:t>65</w:t>
      </w:r>
      <w:r>
        <w:rPr>
          <w:rFonts w:hint="eastAsia"/>
          <w:snapToGrid/>
        </w:rPr>
        <w:tab/>
        <w:t>23</w:t>
      </w:r>
    </w:p>
    <w:p w:rsidR="00000000" w:rsidRDefault="00000000">
      <w:pPr>
        <w:rPr>
          <w:rFonts w:hint="eastAsia"/>
          <w:snapToGrid/>
        </w:rPr>
      </w:pPr>
    </w:p>
    <w:p w:rsidR="00000000" w:rsidRDefault="00000000">
      <w:pPr>
        <w:pStyle w:val="aa"/>
        <w:tabs>
          <w:tab w:val="clear" w:pos="510"/>
          <w:tab w:val="left" w:pos="658"/>
        </w:tabs>
        <w:ind w:left="1050" w:hanging="1050"/>
        <w:rPr>
          <w:rFonts w:hint="eastAsia"/>
          <w:snapToGrid/>
        </w:rPr>
      </w:pPr>
      <w:r>
        <w:rPr>
          <w:rFonts w:hint="eastAsia"/>
          <w:snapToGrid/>
        </w:rPr>
        <w:t>附件一：</w:t>
      </w:r>
      <w:r>
        <w:rPr>
          <w:rFonts w:hint="eastAsia"/>
          <w:snapToGrid/>
        </w:rPr>
        <w:tab/>
      </w:r>
      <w:r>
        <w:rPr>
          <w:rFonts w:hint="eastAsia"/>
          <w:snapToGrid/>
        </w:rPr>
        <w:t>与报告有关的事实和数字</w:t>
      </w:r>
      <w:r>
        <w:rPr>
          <w:rFonts w:hint="eastAsia"/>
          <w:snapToGrid/>
        </w:rPr>
        <w:tab/>
      </w:r>
      <w:r>
        <w:rPr>
          <w:rFonts w:hint="eastAsia"/>
          <w:snapToGrid/>
        </w:rPr>
        <w:tab/>
        <w:t>24</w:t>
      </w:r>
    </w:p>
    <w:p w:rsidR="00000000" w:rsidRDefault="00000000">
      <w:pPr>
        <w:pStyle w:val="aa"/>
        <w:tabs>
          <w:tab w:val="clear" w:pos="510"/>
          <w:tab w:val="left" w:pos="658"/>
        </w:tabs>
        <w:ind w:left="1050" w:hanging="1050"/>
        <w:rPr>
          <w:rFonts w:hint="eastAsia"/>
          <w:snapToGrid/>
        </w:rPr>
      </w:pPr>
      <w:r>
        <w:rPr>
          <w:rFonts w:hint="eastAsia"/>
          <w:snapToGrid/>
        </w:rPr>
        <w:t>附件二：</w:t>
      </w:r>
      <w:r>
        <w:rPr>
          <w:rFonts w:hint="eastAsia"/>
          <w:snapToGrid/>
        </w:rPr>
        <w:tab/>
      </w:r>
      <w:r>
        <w:rPr>
          <w:rFonts w:hint="eastAsia"/>
          <w:snapToGrid/>
        </w:rPr>
        <w:t>截至</w:t>
      </w:r>
      <w:r>
        <w:rPr>
          <w:rFonts w:hint="eastAsia"/>
          <w:snapToGrid/>
        </w:rPr>
        <w:t>2006</w:t>
      </w:r>
      <w:r>
        <w:rPr>
          <w:rFonts w:hint="eastAsia"/>
          <w:snapToGrid/>
        </w:rPr>
        <w:t>年</w:t>
      </w:r>
      <w:r>
        <w:rPr>
          <w:rFonts w:hint="eastAsia"/>
          <w:snapToGrid/>
        </w:rPr>
        <w:t>2</w:t>
      </w:r>
      <w:r>
        <w:rPr>
          <w:rFonts w:hint="eastAsia"/>
          <w:snapToGrid/>
        </w:rPr>
        <w:t>月</w:t>
      </w:r>
      <w:r>
        <w:rPr>
          <w:rFonts w:hint="eastAsia"/>
          <w:snapToGrid/>
        </w:rPr>
        <w:t>16</w:t>
      </w:r>
      <w:r>
        <w:rPr>
          <w:rFonts w:hint="eastAsia"/>
          <w:snapToGrid/>
        </w:rPr>
        <w:t>日各缔约国提交报告的情况</w:t>
      </w:r>
      <w:r>
        <w:rPr>
          <w:rFonts w:hint="eastAsia"/>
          <w:snapToGrid/>
        </w:rPr>
        <w:tab/>
      </w:r>
      <w:r>
        <w:rPr>
          <w:rFonts w:hint="eastAsia"/>
          <w:snapToGrid/>
        </w:rPr>
        <w:tab/>
        <w:t>26</w:t>
      </w:r>
    </w:p>
    <w:p w:rsidR="00000000" w:rsidRDefault="00000000">
      <w:pPr>
        <w:pStyle w:val="aa"/>
        <w:tabs>
          <w:tab w:val="clear" w:pos="510"/>
          <w:tab w:val="left" w:pos="658"/>
        </w:tabs>
        <w:ind w:left="1050" w:hanging="1050"/>
        <w:rPr>
          <w:rFonts w:hint="eastAsia"/>
          <w:snapToGrid/>
        </w:rPr>
      </w:pPr>
      <w:r>
        <w:rPr>
          <w:rFonts w:hint="eastAsia"/>
          <w:snapToGrid/>
        </w:rPr>
        <w:t>附件三：</w:t>
      </w:r>
      <w:r>
        <w:rPr>
          <w:rFonts w:hint="eastAsia"/>
          <w:snapToGrid/>
        </w:rPr>
        <w:tab/>
        <w:t>2005</w:t>
      </w:r>
      <w:r>
        <w:rPr>
          <w:rFonts w:hint="eastAsia"/>
          <w:snapToGrid/>
        </w:rPr>
        <w:t>年统计的从缔约国提交报告到条约机构审议报告平均间隔时间</w:t>
      </w:r>
      <w:r>
        <w:rPr>
          <w:rFonts w:hint="eastAsia"/>
          <w:snapToGrid/>
        </w:rPr>
        <w:tab/>
      </w:r>
      <w:r>
        <w:rPr>
          <w:rFonts w:hint="eastAsia"/>
          <w:snapToGrid/>
        </w:rPr>
        <w:tab/>
        <w:t>35</w:t>
      </w:r>
    </w:p>
    <w:p w:rsidR="00000000" w:rsidRDefault="00000000">
      <w:pPr>
        <w:pStyle w:val="aa"/>
        <w:tabs>
          <w:tab w:val="clear" w:pos="510"/>
          <w:tab w:val="left" w:pos="658"/>
        </w:tabs>
        <w:ind w:left="1050" w:hanging="1050"/>
        <w:rPr>
          <w:rFonts w:hint="eastAsia"/>
          <w:snapToGrid/>
        </w:rPr>
      </w:pPr>
      <w:r>
        <w:rPr>
          <w:rFonts w:hint="eastAsia"/>
          <w:snapToGrid/>
        </w:rPr>
        <w:t>附件四：</w:t>
      </w:r>
      <w:r>
        <w:rPr>
          <w:rFonts w:hint="eastAsia"/>
          <w:snapToGrid/>
        </w:rPr>
        <w:tab/>
      </w:r>
      <w:r>
        <w:rPr>
          <w:rFonts w:hint="eastAsia"/>
          <w:snapToGrid/>
        </w:rPr>
        <w:t>与公民权利和政治权利委员会、禁止酷刑委员会和消除种族歧视委员会个人申诉程序有关的统计</w:t>
      </w:r>
      <w:r>
        <w:rPr>
          <w:rFonts w:hint="eastAsia"/>
          <w:snapToGrid/>
        </w:rPr>
        <w:tab/>
      </w:r>
      <w:r>
        <w:rPr>
          <w:rFonts w:hint="eastAsia"/>
          <w:snapToGrid/>
        </w:rPr>
        <w:tab/>
        <w:t>36</w:t>
      </w:r>
    </w:p>
    <w:p w:rsidR="00000000" w:rsidRDefault="00000000">
      <w:pPr>
        <w:pStyle w:val="aa"/>
        <w:tabs>
          <w:tab w:val="clear" w:pos="510"/>
          <w:tab w:val="left" w:pos="658"/>
        </w:tabs>
        <w:ind w:left="1050" w:hanging="1050"/>
      </w:pPr>
      <w:r>
        <w:rPr>
          <w:rFonts w:hint="eastAsia"/>
          <w:snapToGrid/>
        </w:rPr>
        <w:t>附件五：</w:t>
      </w:r>
      <w:r>
        <w:rPr>
          <w:rFonts w:hint="eastAsia"/>
          <w:snapToGrid/>
        </w:rPr>
        <w:tab/>
      </w:r>
      <w:r>
        <w:rPr>
          <w:rFonts w:hint="eastAsia"/>
          <w:snapToGrid/>
        </w:rPr>
        <w:t>人权条约机构所涉及的资源</w:t>
      </w:r>
      <w:r>
        <w:rPr>
          <w:rFonts w:hint="eastAsia"/>
          <w:snapToGrid/>
        </w:rPr>
        <w:tab/>
      </w:r>
      <w:r>
        <w:rPr>
          <w:rFonts w:hint="eastAsia"/>
          <w:snapToGrid/>
        </w:rPr>
        <w:tab/>
        <w:t>38</w:t>
      </w:r>
    </w:p>
    <w:p w:rsidR="00000000" w:rsidRDefault="00000000"/>
    <w:p w:rsidR="00000000" w:rsidRDefault="00000000">
      <w:pPr>
        <w:pStyle w:val="Heading2"/>
        <w:rPr>
          <w:rFonts w:hint="eastAsia"/>
        </w:rPr>
      </w:pPr>
      <w:r>
        <w:br w:type="page"/>
      </w:r>
      <w:r>
        <w:rPr>
          <w:rFonts w:hint="eastAsia"/>
        </w:rPr>
        <w:t>导</w:t>
      </w:r>
      <w:r>
        <w:t xml:space="preserve">  </w:t>
      </w:r>
      <w:r>
        <w:rPr>
          <w:rFonts w:hint="eastAsia"/>
        </w:rPr>
        <w:t>言</w:t>
      </w:r>
    </w:p>
    <w:p w:rsidR="00000000" w:rsidRDefault="00000000">
      <w:pPr>
        <w:rPr>
          <w:rFonts w:hint="eastAsia"/>
        </w:rPr>
      </w:pPr>
      <w:r>
        <w:tab/>
        <w:t xml:space="preserve">1.  </w:t>
      </w:r>
      <w:r>
        <w:rPr>
          <w:rFonts w:hint="eastAsia"/>
        </w:rPr>
        <w:t>人权事务高级专员在她的《行动计划》中表示，她将为设立一个统一的常设条约机构拟订建议，并邀请七个人权条约机构的缔约国参加定于</w:t>
      </w:r>
      <w:r>
        <w:rPr>
          <w:rFonts w:hint="eastAsia"/>
        </w:rPr>
        <w:t>200</w:t>
      </w:r>
      <w:r>
        <w:t>6</w:t>
      </w:r>
      <w:r>
        <w:rPr>
          <w:rFonts w:hint="eastAsia"/>
        </w:rPr>
        <w:t>年举行的一次政府间会议，以审议备选办法。</w:t>
      </w:r>
      <w:r>
        <w:rPr>
          <w:rStyle w:val="FootnoteReference"/>
        </w:rPr>
        <w:footnoteReference w:id="1"/>
      </w:r>
      <w:r>
        <w:t xml:space="preserve"> </w:t>
      </w:r>
      <w:r>
        <w:rPr>
          <w:rFonts w:hint="eastAsia"/>
        </w:rPr>
        <w:t>本构想文件将阐述她的建议，并将提供据以探索改革备选办法的基础。今后将就与设立一个统一的常设条约机构有关的具体问题准备更多的背景文件，这些具体问题有法律上的考虑、成员及资源需求等。在就高级专员的建议着手与利害关系方进行商讨的同时，依照秘书长</w:t>
      </w:r>
      <w:r>
        <w:rPr>
          <w:rFonts w:hint="eastAsia"/>
        </w:rPr>
        <w:t>2002</w:t>
      </w:r>
      <w:r>
        <w:rPr>
          <w:rFonts w:hint="eastAsia"/>
        </w:rPr>
        <w:t>年的改革建议发起的旨在加强人权条约报告制度的工作将继续进行。</w:t>
      </w:r>
      <w:r>
        <w:rPr>
          <w:rStyle w:val="FootnoteReference"/>
        </w:rPr>
        <w:footnoteReference w:id="2"/>
      </w:r>
      <w:r>
        <w:t xml:space="preserve"> </w:t>
      </w:r>
      <w:r>
        <w:rPr>
          <w:rFonts w:hint="eastAsia"/>
        </w:rPr>
        <w:t>其他旨在加强这项制度并确保该制度尽可能产生最佳效果的见解，也将得到探索。</w:t>
      </w:r>
    </w:p>
    <w:p w:rsidR="00000000" w:rsidRDefault="00000000">
      <w:pPr>
        <w:rPr>
          <w:rFonts w:hint="eastAsia"/>
        </w:rPr>
      </w:pPr>
      <w:r>
        <w:tab/>
        <w:t xml:space="preserve">2.  </w:t>
      </w:r>
      <w:r>
        <w:rPr>
          <w:rFonts w:hint="eastAsia"/>
        </w:rPr>
        <w:t>本构想文件分为五个部分。首先，本文件介绍高级专员建议的目的和这项建议的指导原则。其次，本文件对当前制度、其目的和成绩及其面临的挑战进行分析。第三，本文件就设立一个统一的常设条约机构将会如何处理这些挑战及确保加强监测制度并提高其有效性问题，进行论述。第四，本文件就一个统一的常设条约机构的运作形式、方式及职能提出建议。最后，本文件提出一些在设立此种机构方面有待考虑的问题。本文件带有几个附件，这些附件分别介绍：向人权条约机构提交报告方面的概况和数字；截至</w:t>
      </w:r>
      <w:r>
        <w:rPr>
          <w:rFonts w:hint="eastAsia"/>
        </w:rPr>
        <w:t>200</w:t>
      </w:r>
      <w:r>
        <w:t>6</w:t>
      </w:r>
      <w:r>
        <w:rPr>
          <w:rFonts w:hint="eastAsia"/>
        </w:rPr>
        <w:t>年</w:t>
      </w:r>
      <w:r>
        <w:rPr>
          <w:rFonts w:hint="eastAsia"/>
        </w:rPr>
        <w:t>2</w:t>
      </w:r>
      <w:r>
        <w:rPr>
          <w:rFonts w:hint="eastAsia"/>
        </w:rPr>
        <w:t>月</w:t>
      </w:r>
      <w:r>
        <w:rPr>
          <w:rFonts w:hint="eastAsia"/>
        </w:rPr>
        <w:t>16</w:t>
      </w:r>
      <w:r>
        <w:rPr>
          <w:rFonts w:hint="eastAsia"/>
        </w:rPr>
        <w:t>日各缔约国向各人权条约机构提交报告的现况；从缔约国提交报告到条约机构审议这些报告所需的平均时间；与个人申诉程序相关的统计资料；以及人权条约机构当前的资源需求状况。</w:t>
      </w:r>
    </w:p>
    <w:p w:rsidR="00000000" w:rsidRDefault="00000000">
      <w:pPr>
        <w:rPr>
          <w:rFonts w:hint="eastAsia"/>
        </w:rPr>
      </w:pPr>
    </w:p>
    <w:p w:rsidR="00000000" w:rsidRDefault="00000000">
      <w:pPr>
        <w:pStyle w:val="Heading1"/>
        <w:rPr>
          <w:rFonts w:hint="eastAsia"/>
          <w:b w:val="0"/>
          <w:bCs/>
        </w:rPr>
      </w:pPr>
      <w:r>
        <w:br w:type="page"/>
      </w:r>
      <w:r>
        <w:rPr>
          <w:rFonts w:hint="eastAsia"/>
          <w:b w:val="0"/>
          <w:bCs/>
        </w:rPr>
        <w:t>一、改革的目的和指导原则</w:t>
      </w:r>
    </w:p>
    <w:p w:rsidR="00000000" w:rsidRDefault="00000000">
      <w:pPr>
        <w:rPr>
          <w:rFonts w:hint="eastAsia"/>
        </w:rPr>
      </w:pPr>
      <w:r>
        <w:rPr>
          <w:rFonts w:hint="eastAsia"/>
        </w:rPr>
        <w:tab/>
      </w:r>
      <w:r>
        <w:t>3.</w:t>
      </w:r>
      <w:r>
        <w:rPr>
          <w:rFonts w:hint="eastAsia"/>
        </w:rPr>
        <w:t xml:space="preserve">  </w:t>
      </w:r>
      <w:r>
        <w:rPr>
          <w:rFonts w:hint="eastAsia"/>
        </w:rPr>
        <w:t>人权条约制度以七项核心联合国人权条约为基础，这些条约规定了促进和保护人权的法律标准，并确立了缔约国在国家一级落实人权的法律义务。</w:t>
      </w:r>
      <w:r>
        <w:rPr>
          <w:rStyle w:val="FootnoteReference"/>
        </w:rPr>
        <w:footnoteReference w:id="3"/>
      </w:r>
      <w:r>
        <w:rPr>
          <w:rFonts w:hint="eastAsia"/>
        </w:rPr>
        <w:t xml:space="preserve"> </w:t>
      </w:r>
      <w:r>
        <w:rPr>
          <w:rFonts w:hint="eastAsia"/>
        </w:rPr>
        <w:t>这七项条约还为联合国设法支持人权标准在国家一级的落实规定了规范框架。七个条约机构通过一些程序监测缔约国对这些标准的遵守情况。所有条约机构都行使审议报告职能；其中五个机构有权审议个人提出的符合受理标准的申诉；四个机构有资格审议国与国之间的申诉；两个机构有权调查存在严重或蓄意违反情况的指称。这些程序旨在客观地评估缔约国境内的状况，并鼓励缔约国履行其国际义务。这些程序还提供了联合国据以支持各国在这方面作出努力的一种手段。</w:t>
      </w:r>
    </w:p>
    <w:p w:rsidR="00000000" w:rsidRDefault="00000000">
      <w:pPr>
        <w:rPr>
          <w:rFonts w:hint="eastAsia"/>
        </w:rPr>
      </w:pPr>
      <w:r>
        <w:rPr>
          <w:rFonts w:hint="eastAsia"/>
        </w:rPr>
        <w:tab/>
      </w:r>
      <w:r>
        <w:t>4.</w:t>
      </w:r>
      <w:r>
        <w:rPr>
          <w:rFonts w:hint="eastAsia"/>
        </w:rPr>
        <w:t xml:space="preserve">  </w:t>
      </w:r>
      <w:r>
        <w:rPr>
          <w:rFonts w:hint="eastAsia"/>
        </w:rPr>
        <w:t>人权条约机构制度的主要目的，在于设法通过履行条约所载的人权义务，使人权在国家一级受到保护。其次，评估条约制度的有效性，要看国家对报告程序之下进行的积极对话之后提出的建议、在现行四个个人申诉程序之下作出的裁决以及调查结果的执行的程度。对此种有效性的评估，还要看这项制度在就条约条款的含义向国家提供权威性指导意见、防止人权遭受侵犯以及确保在一旦人权遭受侵犯情况下立即采取有效行动等方面的效果。另外，对该制度的有效性的评估，还要看这些程序的产出在多大程度上已被纳入国家、区域和国际三级的所有保护人权的努力中。</w:t>
      </w:r>
    </w:p>
    <w:p w:rsidR="00000000" w:rsidRDefault="00000000">
      <w:pPr>
        <w:rPr>
          <w:rFonts w:hint="eastAsia"/>
        </w:rPr>
      </w:pPr>
      <w:r>
        <w:rPr>
          <w:rFonts w:hint="eastAsia"/>
        </w:rPr>
        <w:tab/>
      </w:r>
      <w:r>
        <w:t>5.</w:t>
      </w:r>
      <w:r>
        <w:rPr>
          <w:rFonts w:hint="eastAsia"/>
        </w:rPr>
        <w:t xml:space="preserve">  </w:t>
      </w:r>
      <w:r>
        <w:rPr>
          <w:rFonts w:hint="eastAsia"/>
        </w:rPr>
        <w:t>加强这项制度以使其能够更有效地达到上述目标的途径，自第一个条约机构即消除种族歧视委员会于</w:t>
      </w:r>
      <w:r>
        <w:rPr>
          <w:rFonts w:hint="eastAsia"/>
        </w:rPr>
        <w:t>19</w:t>
      </w:r>
      <w:r>
        <w:t>7</w:t>
      </w:r>
      <w:r>
        <w:rPr>
          <w:rFonts w:hint="eastAsia"/>
        </w:rPr>
        <w:t>0</w:t>
      </w:r>
      <w:r>
        <w:rPr>
          <w:rFonts w:hint="eastAsia"/>
        </w:rPr>
        <w:t>年设立以来就开始得到讨论，具体而言，这些途径在人权条约机构主持人会议上得到讨论，此种会议于</w:t>
      </w:r>
      <w:r>
        <w:rPr>
          <w:rFonts w:hint="eastAsia"/>
        </w:rPr>
        <w:t>1984</w:t>
      </w:r>
      <w:r>
        <w:rPr>
          <w:rFonts w:hint="eastAsia"/>
        </w:rPr>
        <w:t>年首次举行，自</w:t>
      </w:r>
      <w:r>
        <w:rPr>
          <w:rFonts w:hint="eastAsia"/>
        </w:rPr>
        <w:t>1994</w:t>
      </w:r>
      <w:r>
        <w:rPr>
          <w:rFonts w:hint="eastAsia"/>
        </w:rPr>
        <w:t>年以来每年举行一次。一名</w:t>
      </w:r>
      <w:r>
        <w:rPr>
          <w:rFonts w:hint="eastAsia"/>
        </w:rPr>
        <w:t>1980</w:t>
      </w:r>
      <w:r>
        <w:rPr>
          <w:rFonts w:hint="eastAsia"/>
        </w:rPr>
        <w:t>年代被秘书长任命负责就如何提高联合国人权条约制度的长期有效性问题开展研究的独立专家，曾建议设立一个涵盖所有条约的单一的监测机构。</w:t>
      </w:r>
      <w:r>
        <w:rPr>
          <w:rStyle w:val="FootnoteReference"/>
        </w:rPr>
        <w:footnoteReference w:id="4"/>
      </w:r>
      <w:r>
        <w:rPr>
          <w:rFonts w:hint="eastAsia"/>
        </w:rPr>
        <w:t xml:space="preserve"> </w:t>
      </w:r>
      <w:r>
        <w:rPr>
          <w:rFonts w:hint="eastAsia"/>
        </w:rPr>
        <w:t>秘书长于</w:t>
      </w:r>
      <w:r>
        <w:rPr>
          <w:rFonts w:hint="eastAsia"/>
        </w:rPr>
        <w:t>2002</w:t>
      </w:r>
      <w:r>
        <w:rPr>
          <w:rFonts w:hint="eastAsia"/>
        </w:rPr>
        <w:t>年提出的第二份改革报告为开展讨论提供了新的动力，该报告要求国际人权条约机构“制订一种协调一致的办法开展活动，并且将各种不同的报告要求标准化”，还建议“应该允许各缔约国编写一份单一的报告，综述其遵守已加入的所有国际人权条约的情况”</w:t>
      </w:r>
      <w:r>
        <w:t>(A/57/387,</w:t>
      </w:r>
      <w:r>
        <w:rPr>
          <w:rFonts w:hint="eastAsia"/>
        </w:rPr>
        <w:t>第</w:t>
      </w:r>
      <w:r>
        <w:rPr>
          <w:rFonts w:hint="eastAsia"/>
        </w:rPr>
        <w:t>54</w:t>
      </w:r>
      <w:r>
        <w:rPr>
          <w:rFonts w:hint="eastAsia"/>
        </w:rPr>
        <w:t>段</w:t>
      </w:r>
      <w:r>
        <w:rPr>
          <w:rFonts w:hint="eastAsia"/>
        </w:rPr>
        <w:t>)</w:t>
      </w:r>
      <w:r>
        <w:rPr>
          <w:rFonts w:hint="eastAsia"/>
        </w:rPr>
        <w:t>。在题为《大自由：实现人人共享的发展、安全和人权》的报告</w:t>
      </w:r>
      <w:r>
        <w:rPr>
          <w:rFonts w:hint="eastAsia"/>
        </w:rPr>
        <w:t>(</w:t>
      </w:r>
      <w:r>
        <w:t>A/59/2005</w:t>
      </w:r>
      <w:r>
        <w:rPr>
          <w:rFonts w:hint="eastAsia"/>
        </w:rPr>
        <w:t>)</w:t>
      </w:r>
      <w:r>
        <w:rPr>
          <w:rFonts w:hint="eastAsia"/>
        </w:rPr>
        <w:t>中，秘书长再次强调需要精简和加强条约机构体系，并呼吁采用关于向所有条约机构提交报告的统一的准则，从而使条约机构能够作为一个统一的系统开展活动。在《行动计划》</w:t>
      </w:r>
      <w:r>
        <w:rPr>
          <w:rFonts w:hint="eastAsia"/>
        </w:rPr>
        <w:t>(</w:t>
      </w:r>
      <w:r>
        <w:t>A/59/2005/Add.3</w:t>
      </w:r>
      <w:r>
        <w:rPr>
          <w:rFonts w:hint="eastAsia"/>
        </w:rPr>
        <w:t>)</w:t>
      </w:r>
      <w:r>
        <w:rPr>
          <w:rFonts w:hint="eastAsia"/>
        </w:rPr>
        <w:t>中，高级专员重申了这一呼吁，强调这一体系的目的必须是确保在最大程度上保护所有权利主体，并提议建立一个统一的常设条约机构，以便提供一个得到加强的、更加有效的监测系统，增强人权条约体系的效果特别是在国家一级的效果。</w:t>
      </w:r>
    </w:p>
    <w:p w:rsidR="00000000" w:rsidRDefault="00000000">
      <w:pPr>
        <w:rPr>
          <w:rFonts w:hint="eastAsia"/>
        </w:rPr>
      </w:pPr>
      <w:r>
        <w:rPr>
          <w:rFonts w:hint="eastAsia"/>
        </w:rPr>
        <w:tab/>
      </w:r>
      <w:r>
        <w:t>6.</w:t>
      </w:r>
      <w:r>
        <w:rPr>
          <w:rFonts w:hint="eastAsia"/>
        </w:rPr>
        <w:t xml:space="preserve">  </w:t>
      </w:r>
      <w:r>
        <w:rPr>
          <w:rFonts w:hint="eastAsia"/>
        </w:rPr>
        <w:t>高级专员建议的首要目的涉及两个方面。首先，该建议旨在确保缔约国全面、完整地履行条约所载的它们自愿承担的实质性法律义务。其次，该建议设法确保由一项便于权利主体利用的具有权威、影响力、切实有效的制度对执行情况进行审查，从而加强国家一级对权利主体提供的保护的力度。</w:t>
      </w:r>
    </w:p>
    <w:p w:rsidR="00000000" w:rsidRDefault="00000000">
      <w:pPr>
        <w:rPr>
          <w:rFonts w:hint="eastAsia"/>
        </w:rPr>
      </w:pPr>
      <w:r>
        <w:rPr>
          <w:rFonts w:hint="eastAsia"/>
        </w:rPr>
        <w:tab/>
      </w:r>
      <w:r>
        <w:t>7.</w:t>
      </w:r>
      <w:r>
        <w:rPr>
          <w:rFonts w:hint="eastAsia"/>
        </w:rPr>
        <w:t xml:space="preserve">  </w:t>
      </w:r>
      <w:r>
        <w:rPr>
          <w:rFonts w:hint="eastAsia"/>
        </w:rPr>
        <w:t>高级专员的建议以若干原则为基础。这些原则是，人权条约制度在人权在国家和国际两级的保护和促进方面发挥着关键作用。现行制度取得的成绩应当得到发扬，从而为执行和监测现有条约义务及今后的国际人权条约可能规定的义务</w:t>
      </w:r>
      <w:r>
        <w:rPr>
          <w:rFonts w:hint="eastAsia"/>
        </w:rPr>
        <w:t>(</w:t>
      </w:r>
      <w:r>
        <w:rPr>
          <w:rFonts w:hint="eastAsia"/>
        </w:rPr>
        <w:t>例如在失踪和残疾问题上的义务</w:t>
      </w:r>
      <w:r>
        <w:t>)</w:t>
      </w:r>
      <w:r>
        <w:rPr>
          <w:rFonts w:hint="eastAsia"/>
        </w:rPr>
        <w:t>奠定更加坚实的基础。各项条约的特性必须得到保持，这些条约对免于酷刑或种族歧视等特定权利，以及对儿童、妇女及移徙工人及其家庭成员等特定权利主体的权利的偏重，不应受到削弱。同时，必须突出这些条约所载义务具有的相互依存和不可分割性质。缔约国现有义务的履行必须得到加强，缔约国承担的实质性义务不应受到影响，也不应重新谈判。</w:t>
      </w:r>
    </w:p>
    <w:p w:rsidR="00000000" w:rsidRDefault="00000000">
      <w:pPr>
        <w:pStyle w:val="Heading2"/>
        <w:spacing w:after="240"/>
        <w:rPr>
          <w:rFonts w:hint="eastAsia"/>
        </w:rPr>
      </w:pPr>
      <w:r>
        <w:rPr>
          <w:rFonts w:hint="eastAsia"/>
        </w:rPr>
        <w:t>二、本制度的目的和成绩及当前的挑战</w:t>
      </w:r>
    </w:p>
    <w:p w:rsidR="00000000" w:rsidRDefault="00000000">
      <w:pPr>
        <w:pStyle w:val="Heading3"/>
        <w:spacing w:after="160"/>
        <w:rPr>
          <w:rFonts w:hint="eastAsia"/>
        </w:rPr>
      </w:pPr>
      <w:r>
        <w:rPr>
          <w:u w:val="none"/>
        </w:rPr>
        <w:t xml:space="preserve">A.  </w:t>
      </w:r>
      <w:r>
        <w:rPr>
          <w:rFonts w:hint="eastAsia"/>
        </w:rPr>
        <w:t>监测程序的目的</w:t>
      </w:r>
    </w:p>
    <w:p w:rsidR="00000000" w:rsidRDefault="00000000">
      <w:pPr>
        <w:rPr>
          <w:rFonts w:hint="eastAsia"/>
        </w:rPr>
      </w:pPr>
      <w:r>
        <w:tab/>
        <w:t xml:space="preserve">8.  </w:t>
      </w:r>
      <w:r>
        <w:rPr>
          <w:rFonts w:hint="eastAsia"/>
          <w:spacing w:val="4"/>
        </w:rPr>
        <w:t>现行条约监测机制旨在达到若干目的。</w:t>
      </w:r>
      <w:r>
        <w:rPr>
          <w:rStyle w:val="FootnoteReference"/>
          <w:spacing w:val="4"/>
        </w:rPr>
        <w:footnoteReference w:id="5"/>
      </w:r>
      <w:r>
        <w:rPr>
          <w:rFonts w:hint="eastAsia"/>
          <w:spacing w:val="4"/>
        </w:rPr>
        <w:t xml:space="preserve"> </w:t>
      </w:r>
      <w:r>
        <w:rPr>
          <w:rFonts w:hint="eastAsia"/>
          <w:spacing w:val="4"/>
        </w:rPr>
        <w:t>报告进程使缔约国有机会全面审查该国为使其国内法律和政策与其加入的条约规定相一致而采取的措施。报告的编写为缔约国不同利害关系方之间就人权问题展开全国对话提供了一个平台。报告本身为政府和包括公民社会在内的其他相关方提供了拟订内容、目标明确的政策所需的基准，这些政策包括与条约规定相一致的优先事项。报告进程还能鼓励和便利公众在国家一级对政府的执行做法进行监督，并促使政府与公民社会进行积极讨论，商讨如何促进人人享有各项公约规定的权利。各委员会通过与缔约国展开积极对话来审议报告的做法，使单个国家乃至所有国家能够就文书执行过程中面临的问题以及有助于加强执行工作的良好做法交流经验。此种审议还考虑到了国际监督，这就突出了国家对于保护人权的责任。</w:t>
      </w:r>
    </w:p>
    <w:p w:rsidR="00000000" w:rsidRDefault="00000000">
      <w:pPr>
        <w:rPr>
          <w:rFonts w:hint="eastAsia"/>
        </w:rPr>
      </w:pPr>
      <w:r>
        <w:rPr>
          <w:rFonts w:hint="eastAsia"/>
        </w:rPr>
        <w:tab/>
      </w:r>
      <w:r>
        <w:t>9.</w:t>
      </w:r>
      <w:r>
        <w:rPr>
          <w:rFonts w:hint="eastAsia"/>
        </w:rPr>
        <w:t xml:space="preserve">  </w:t>
      </w:r>
      <w:r>
        <w:rPr>
          <w:rFonts w:hint="eastAsia"/>
        </w:rPr>
        <w:t>申诉程序使具有受理申诉资格的条约机构能够确定国家在个人实际情形中为履行其国际法律义务而应当采取的步骤。此种程序为侵犯人权行为受害者提供单独的法律补救，而且可能促使缔约国全面修改相关法律、政策和方案。调查程序使委员会能够处理造成一贯的侵犯情况的结构性根源，并就一系列问题提出建议。</w:t>
      </w:r>
    </w:p>
    <w:p w:rsidR="00000000" w:rsidRDefault="00000000">
      <w:pPr>
        <w:spacing w:after="320"/>
      </w:pPr>
      <w:r>
        <w:rPr>
          <w:rFonts w:hint="eastAsia"/>
        </w:rPr>
        <w:tab/>
      </w:r>
      <w:r>
        <w:t>10.</w:t>
      </w:r>
      <w:r>
        <w:rPr>
          <w:rFonts w:hint="eastAsia"/>
        </w:rPr>
        <w:t xml:space="preserve">  </w:t>
      </w:r>
      <w:r>
        <w:rPr>
          <w:rFonts w:hint="eastAsia"/>
        </w:rPr>
        <w:t>条约机构程序能在多大程度上实现上述目标，取决于若干因素，这些因素与任何监测制度都相关。就报告进程而言，这包括各国定期提交报告，将该进程作为坦率、全面评估国际义务履行情况的一次机会，以及在委员会审议报告之前和之后与国内利害关系方进行对话的意愿和能力。目标实现的程度还取决于国内相关方的意识和知识，取决于这些相关方是否有意在国家和国际两级参与报告进程，利用该进程评估执行进展，并提出问题，包括执行障碍。此外，目标实现的程度也取决于从报告提交到审议间隔的时间，对话、结论性意见和建议及任何可能采取的后续行动的质量和公正性。关于个人申诉，权利主体在国内知道可以提出申诉，国际一级程序的效率，以及程序结果的质量等，是关键因素；国家是否愿意执行相关意见并对立法和政策作必要修改以履行其义务，也是关键因素。同样，调查程序能否奏效，取决于国内对该程序的了解、相关程序的质量及其结果。</w:t>
      </w:r>
    </w:p>
    <w:p w:rsidR="00000000" w:rsidRDefault="00000000">
      <w:pPr>
        <w:pStyle w:val="Heading3"/>
        <w:rPr>
          <w:rFonts w:hint="eastAsia"/>
        </w:rPr>
      </w:pPr>
      <w:r>
        <w:rPr>
          <w:u w:val="none"/>
        </w:rPr>
        <w:t xml:space="preserve">B.  </w:t>
      </w:r>
      <w:r>
        <w:rPr>
          <w:rFonts w:hint="eastAsia"/>
        </w:rPr>
        <w:t>成</w:t>
      </w:r>
      <w:r>
        <w:t xml:space="preserve">  </w:t>
      </w:r>
      <w:r>
        <w:rPr>
          <w:rFonts w:hint="eastAsia"/>
        </w:rPr>
        <w:t>绩</w:t>
      </w:r>
    </w:p>
    <w:p w:rsidR="00000000" w:rsidRDefault="00000000">
      <w:pPr>
        <w:spacing w:line="312" w:lineRule="auto"/>
        <w:rPr>
          <w:rFonts w:hint="eastAsia"/>
          <w:snapToGrid/>
        </w:rPr>
      </w:pPr>
      <w:r>
        <w:rPr>
          <w:snapToGrid/>
        </w:rPr>
        <w:tab/>
        <w:t xml:space="preserve">11.  </w:t>
      </w:r>
      <w:r>
        <w:rPr>
          <w:rFonts w:hint="eastAsia"/>
          <w:snapToGrid/>
        </w:rPr>
        <w:t>条约机构的各项程序和产出随着时间的推移已经变得日益精细和完善，并且日益得到加强。条约机构制度对促进和保护人权作出了重要贡献，条约机构就国际人权标准的含义、条约的适用以及缔约国为确保充分落实人权和人人享有人权应当采取的步骤等，提出权威性指导意见。</w:t>
      </w:r>
    </w:p>
    <w:p w:rsidR="00000000" w:rsidRDefault="00000000">
      <w:pPr>
        <w:spacing w:line="312" w:lineRule="auto"/>
        <w:rPr>
          <w:rFonts w:hint="eastAsia"/>
          <w:snapToGrid/>
        </w:rPr>
      </w:pPr>
      <w:r>
        <w:rPr>
          <w:snapToGrid/>
        </w:rPr>
        <w:tab/>
        <w:t xml:space="preserve">12.  </w:t>
      </w:r>
      <w:r>
        <w:rPr>
          <w:rFonts w:hint="eastAsia"/>
          <w:snapToGrid/>
        </w:rPr>
        <w:t>报告进程在推动建立国内一级促进落实人权的群体方面发挥了作用。这一进程还为制定新的法律、政策和方案提供了直接投入。该进程为国内各利害关系方展开人权对话提供了平台，并为公众监督政府政策提供了机会。这一进程的结果</w:t>
      </w:r>
      <w:r>
        <w:rPr>
          <w:rFonts w:hint="eastAsia"/>
          <w:snapToGrid/>
          <w:spacing w:val="-50"/>
        </w:rPr>
        <w:t>―</w:t>
      </w:r>
      <w:r>
        <w:rPr>
          <w:rFonts w:hint="eastAsia"/>
          <w:snapToGrid/>
        </w:rPr>
        <w:t>―委员会的结论性意见或建议，也为政府提供了执行指导意见，而且往往为国家、联合国实体，公民社会和其他方面采取联合行动提供了一个框架。</w:t>
      </w:r>
    </w:p>
    <w:p w:rsidR="00000000" w:rsidRDefault="00000000">
      <w:pPr>
        <w:spacing w:line="312" w:lineRule="auto"/>
        <w:rPr>
          <w:rFonts w:hint="eastAsia"/>
          <w:snapToGrid/>
        </w:rPr>
      </w:pPr>
      <w:r>
        <w:rPr>
          <w:snapToGrid/>
        </w:rPr>
        <w:tab/>
        <w:t xml:space="preserve">13.  </w:t>
      </w:r>
      <w:r>
        <w:rPr>
          <w:rFonts w:hint="eastAsia"/>
          <w:snapToGrid/>
        </w:rPr>
        <w:t>尽管条约机构在这方面作出的裁决不具法律约束力，但个人申诉程序往往使受害者得到单独补救。通过对个人案件作出裁决，委员会还形成了人权条约的解释和适用方面的一系列判例，国家和区域法院和法庭经常援引这些判例。</w:t>
      </w:r>
      <w:r>
        <w:rPr>
          <w:rStyle w:val="FootnoteReference"/>
          <w:b w:val="0"/>
          <w:snapToGrid/>
        </w:rPr>
        <w:footnoteReference w:id="6"/>
      </w:r>
    </w:p>
    <w:p w:rsidR="00000000" w:rsidRDefault="00000000">
      <w:pPr>
        <w:spacing w:after="320" w:line="312" w:lineRule="auto"/>
        <w:rPr>
          <w:rFonts w:hint="eastAsia"/>
          <w:snapToGrid/>
        </w:rPr>
      </w:pPr>
      <w:r>
        <w:rPr>
          <w:snapToGrid/>
        </w:rPr>
        <w:tab/>
        <w:t xml:space="preserve">14.  </w:t>
      </w:r>
      <w:r>
        <w:rPr>
          <w:rFonts w:hint="eastAsia"/>
          <w:snapToGrid/>
        </w:rPr>
        <w:t>国家人权机构、非政府组织和公民社会其他组成部分、区域机构及联合国机构，也得益于条约监测工作。例如，联合国儿童基金会</w:t>
      </w:r>
      <w:r>
        <w:rPr>
          <w:rFonts w:hint="eastAsia"/>
          <w:snapToGrid/>
        </w:rPr>
        <w:t>(</w:t>
      </w:r>
      <w:r>
        <w:rPr>
          <w:rFonts w:hint="eastAsia"/>
          <w:snapToGrid/>
        </w:rPr>
        <w:t>儿童基金</w:t>
      </w:r>
      <w:r>
        <w:rPr>
          <w:rFonts w:hint="eastAsia"/>
          <w:snapToGrid/>
        </w:rPr>
        <w:t>)</w:t>
      </w:r>
      <w:r>
        <w:rPr>
          <w:rFonts w:hint="eastAsia"/>
          <w:snapToGrid/>
        </w:rPr>
        <w:t>在便利国家和国内利害关系方参与《儿童权利公约》报告进程的同时，以儿童权利委员会的产出为基础编制方案，并将报告工作视为开展评估以及与国家、联合国实体和非政府组织对话的有利时机，此种对话使国家履行条约义务责任框架得到建立。联合国系统其他机构，包括联合国难民署高级专员办事处</w:t>
      </w:r>
      <w:r>
        <w:rPr>
          <w:rFonts w:hint="eastAsia"/>
          <w:snapToGrid/>
        </w:rPr>
        <w:t>(</w:t>
      </w:r>
      <w:r>
        <w:rPr>
          <w:rFonts w:hint="eastAsia"/>
          <w:snapToGrid/>
        </w:rPr>
        <w:t>难民高专办</w:t>
      </w:r>
      <w:r>
        <w:rPr>
          <w:rFonts w:hint="eastAsia"/>
          <w:snapToGrid/>
        </w:rPr>
        <w:t>)</w:t>
      </w:r>
      <w:r>
        <w:rPr>
          <w:rFonts w:hint="eastAsia"/>
          <w:snapToGrid/>
        </w:rPr>
        <w:t>、联合国开发计划署</w:t>
      </w:r>
      <w:r>
        <w:rPr>
          <w:rFonts w:hint="eastAsia"/>
          <w:snapToGrid/>
        </w:rPr>
        <w:t>(</w:t>
      </w:r>
      <w:r>
        <w:rPr>
          <w:rFonts w:hint="eastAsia"/>
          <w:snapToGrid/>
        </w:rPr>
        <w:t>开发署</w:t>
      </w:r>
      <w:r>
        <w:rPr>
          <w:rFonts w:hint="eastAsia"/>
          <w:snapToGrid/>
        </w:rPr>
        <w:t>)</w:t>
      </w:r>
      <w:r>
        <w:rPr>
          <w:rFonts w:hint="eastAsia"/>
          <w:snapToGrid/>
        </w:rPr>
        <w:t>、联合国妇女发展基金</w:t>
      </w:r>
      <w:r>
        <w:rPr>
          <w:rFonts w:hint="eastAsia"/>
          <w:snapToGrid/>
        </w:rPr>
        <w:t>(</w:t>
      </w:r>
      <w:r>
        <w:rPr>
          <w:rFonts w:hint="eastAsia"/>
          <w:snapToGrid/>
        </w:rPr>
        <w:t>妇发基金</w:t>
      </w:r>
      <w:r>
        <w:rPr>
          <w:rFonts w:hint="eastAsia"/>
          <w:snapToGrid/>
        </w:rPr>
        <w:t>)</w:t>
      </w:r>
      <w:r>
        <w:rPr>
          <w:rFonts w:hint="eastAsia"/>
          <w:snapToGrid/>
        </w:rPr>
        <w:t>和世界卫生组织</w:t>
      </w:r>
      <w:r>
        <w:rPr>
          <w:rFonts w:hint="eastAsia"/>
          <w:snapToGrid/>
        </w:rPr>
        <w:t>(</w:t>
      </w:r>
      <w:r>
        <w:rPr>
          <w:rFonts w:hint="eastAsia"/>
          <w:snapToGrid/>
        </w:rPr>
        <w:t>卫生组织</w:t>
      </w:r>
      <w:r>
        <w:rPr>
          <w:rFonts w:hint="eastAsia"/>
          <w:snapToGrid/>
        </w:rPr>
        <w:t>)</w:t>
      </w:r>
      <w:r>
        <w:rPr>
          <w:rFonts w:hint="eastAsia"/>
          <w:snapToGrid/>
        </w:rPr>
        <w:t>等，也参与报告进程，并或多或少地设法将该进程的产出纳入这些机构的方案编制工作。这些机构还在各委员会拟订一般性评论过程中向其提供专门知识和支持，以便获得这些机构的方案编制和保护活动所涉标准方面的指导意见。</w:t>
      </w:r>
    </w:p>
    <w:p w:rsidR="00000000" w:rsidRDefault="00000000">
      <w:pPr>
        <w:pStyle w:val="Heading3"/>
        <w:spacing w:after="160" w:line="312" w:lineRule="auto"/>
        <w:rPr>
          <w:rFonts w:hint="eastAsia"/>
        </w:rPr>
      </w:pPr>
      <w:r>
        <w:rPr>
          <w:u w:val="none"/>
        </w:rPr>
        <w:t xml:space="preserve">C.  </w:t>
      </w:r>
      <w:r>
        <w:rPr>
          <w:rFonts w:hint="eastAsia"/>
        </w:rPr>
        <w:t>本制度面临的难题</w:t>
      </w:r>
    </w:p>
    <w:p w:rsidR="00000000" w:rsidRDefault="00000000">
      <w:pPr>
        <w:spacing w:after="320" w:line="312" w:lineRule="auto"/>
        <w:rPr>
          <w:snapToGrid/>
          <w:spacing w:val="0"/>
        </w:rPr>
      </w:pPr>
      <w:r>
        <w:rPr>
          <w:rFonts w:hint="eastAsia"/>
          <w:snapToGrid/>
          <w:spacing w:val="0"/>
        </w:rPr>
        <w:tab/>
      </w:r>
      <w:r>
        <w:rPr>
          <w:snapToGrid/>
          <w:spacing w:val="0"/>
        </w:rPr>
        <w:t xml:space="preserve">15.  </w:t>
      </w:r>
      <w:r>
        <w:rPr>
          <w:rFonts w:hint="eastAsia"/>
          <w:snapToGrid/>
        </w:rPr>
        <w:t>尽管取得了上述成绩，但是本制度现在面临着一些重大难题。其中一些问题与这项制度取得的成功有关，源自人权文书的增加和正式承担国际法律义务的国家数目的持续增加。人权条约机构的数目自</w:t>
      </w:r>
      <w:r>
        <w:rPr>
          <w:rFonts w:hint="eastAsia"/>
          <w:snapToGrid/>
        </w:rPr>
        <w:t>19</w:t>
      </w:r>
      <w:r>
        <w:rPr>
          <w:snapToGrid/>
        </w:rPr>
        <w:t>7</w:t>
      </w:r>
      <w:r>
        <w:rPr>
          <w:rFonts w:hint="eastAsia"/>
          <w:snapToGrid/>
        </w:rPr>
        <w:t>0</w:t>
      </w:r>
      <w:r>
        <w:rPr>
          <w:rFonts w:hint="eastAsia"/>
          <w:snapToGrid/>
        </w:rPr>
        <w:t>年以来已经从一个委员会增加到七个，现有</w:t>
      </w:r>
      <w:r>
        <w:rPr>
          <w:rFonts w:hint="eastAsia"/>
          <w:snapToGrid/>
        </w:rPr>
        <w:t>115</w:t>
      </w:r>
      <w:r>
        <w:rPr>
          <w:rFonts w:hint="eastAsia"/>
          <w:snapToGrid/>
        </w:rPr>
        <w:t>名条约机构专家。在《禁止酷刑公约任择议定书》生效之后预防小组委员会的设立，以及旨在监测拟议的强迫失踪和残疾问题文书的新机构的设立，将为现行制度增添新的条约机构和专家。《禁止酷刑公约任择议定书》还将为本制度引入新的监测职能。</w:t>
      </w:r>
      <w:r>
        <w:rPr>
          <w:rStyle w:val="FootnoteReference"/>
          <w:b w:val="0"/>
          <w:snapToGrid/>
          <w:spacing w:val="10"/>
        </w:rPr>
        <w:footnoteReference w:id="7"/>
      </w:r>
    </w:p>
    <w:p w:rsidR="00000000" w:rsidRDefault="00000000">
      <w:pPr>
        <w:pStyle w:val="Heading3"/>
        <w:spacing w:after="160"/>
      </w:pPr>
      <w:r>
        <w:rPr>
          <w:rFonts w:hint="eastAsia"/>
          <w:noProof/>
          <w:u w:val="none"/>
        </w:rPr>
        <w:t>表</w:t>
      </w:r>
      <w:r>
        <w:rPr>
          <w:rFonts w:hint="eastAsia"/>
          <w:noProof/>
          <w:u w:val="none"/>
        </w:rPr>
        <w:t xml:space="preserve"> </w:t>
      </w:r>
      <w:r>
        <w:rPr>
          <w:noProof/>
          <w:u w:val="none"/>
        </w:rPr>
        <w:t>1</w:t>
      </w:r>
      <w:r>
        <w:rPr>
          <w:noProof/>
          <w:u w:val="none"/>
        </w:rPr>
        <w:t>：</w:t>
      </w:r>
      <w:r>
        <w:rPr>
          <w:rFonts w:hint="eastAsia"/>
          <w:noProof/>
          <w:u w:val="none"/>
        </w:rPr>
        <w:t xml:space="preserve"> </w:t>
      </w:r>
      <w:r>
        <w:rPr>
          <w:rFonts w:hint="eastAsia"/>
          <w:noProof/>
        </w:rPr>
        <w:t>条约机构的构成</w:t>
      </w:r>
    </w:p>
    <w:tbl>
      <w:tblPr>
        <w:tblW w:w="0" w:type="auto"/>
        <w:tblCellMar>
          <w:left w:w="28" w:type="dxa"/>
          <w:right w:w="28" w:type="dxa"/>
        </w:tblCellMar>
        <w:tblLook w:val="0000" w:firstRow="0" w:lastRow="0" w:firstColumn="0" w:lastColumn="0" w:noHBand="0" w:noVBand="0"/>
      </w:tblPr>
      <w:tblGrid>
        <w:gridCol w:w="3073"/>
        <w:gridCol w:w="2415"/>
        <w:gridCol w:w="2085"/>
        <w:gridCol w:w="1837"/>
      </w:tblGrid>
      <w:tr w:rsidR="00000000">
        <w:tblPrEx>
          <w:tblCellMar>
            <w:top w:w="0" w:type="dxa"/>
            <w:bottom w:w="0" w:type="dxa"/>
          </w:tblCellMar>
        </w:tblPrEx>
        <w:tc>
          <w:tcPr>
            <w:tcW w:w="3073" w:type="dxa"/>
            <w:tcBorders>
              <w:top w:val="single" w:sz="4" w:space="0" w:color="auto"/>
              <w:bottom w:val="single" w:sz="4" w:space="0" w:color="auto"/>
            </w:tcBorders>
          </w:tcPr>
          <w:p w:rsidR="00000000" w:rsidRDefault="00000000">
            <w:pPr>
              <w:spacing w:before="120" w:after="120" w:line="264" w:lineRule="auto"/>
              <w:rPr>
                <w:rFonts w:hint="eastAsia"/>
                <w:snapToGrid/>
                <w:sz w:val="22"/>
              </w:rPr>
            </w:pPr>
          </w:p>
        </w:tc>
        <w:tc>
          <w:tcPr>
            <w:tcW w:w="2415" w:type="dxa"/>
            <w:tcBorders>
              <w:top w:val="single" w:sz="4" w:space="0" w:color="auto"/>
              <w:bottom w:val="single" w:sz="4" w:space="0" w:color="auto"/>
            </w:tcBorders>
          </w:tcPr>
          <w:p w:rsidR="00000000" w:rsidRDefault="00000000">
            <w:pPr>
              <w:spacing w:before="120" w:after="120" w:line="264" w:lineRule="auto"/>
              <w:ind w:left="284"/>
              <w:rPr>
                <w:rFonts w:eastAsia="KaiTi_GB2312" w:hint="eastAsia"/>
                <w:snapToGrid/>
                <w:spacing w:val="0"/>
                <w:sz w:val="22"/>
              </w:rPr>
            </w:pPr>
            <w:r>
              <w:rPr>
                <w:rFonts w:eastAsia="KaiTi_GB2312" w:hint="eastAsia"/>
                <w:noProof/>
                <w:snapToGrid/>
                <w:spacing w:val="0"/>
                <w:sz w:val="22"/>
                <w:szCs w:val="22"/>
              </w:rPr>
              <w:t>原先数目</w:t>
            </w:r>
          </w:p>
        </w:tc>
        <w:tc>
          <w:tcPr>
            <w:tcW w:w="2085" w:type="dxa"/>
            <w:tcBorders>
              <w:top w:val="single" w:sz="4" w:space="0" w:color="auto"/>
              <w:bottom w:val="single" w:sz="4" w:space="0" w:color="auto"/>
            </w:tcBorders>
          </w:tcPr>
          <w:p w:rsidR="00000000" w:rsidRDefault="00000000">
            <w:pPr>
              <w:spacing w:before="120" w:after="120" w:line="264" w:lineRule="auto"/>
              <w:ind w:left="113"/>
              <w:rPr>
                <w:rFonts w:eastAsia="KaiTi_GB2312" w:hint="eastAsia"/>
                <w:snapToGrid/>
                <w:spacing w:val="0"/>
                <w:sz w:val="22"/>
              </w:rPr>
            </w:pPr>
            <w:r>
              <w:rPr>
                <w:rFonts w:eastAsia="KaiTi_GB2312" w:hint="eastAsia"/>
                <w:noProof/>
                <w:snapToGrid/>
                <w:spacing w:val="0"/>
                <w:sz w:val="22"/>
                <w:szCs w:val="22"/>
              </w:rPr>
              <w:t>已经或将增加到</w:t>
            </w:r>
          </w:p>
        </w:tc>
        <w:tc>
          <w:tcPr>
            <w:tcW w:w="1837" w:type="dxa"/>
            <w:tcBorders>
              <w:top w:val="single" w:sz="4" w:space="0" w:color="auto"/>
              <w:bottom w:val="single" w:sz="4" w:space="0" w:color="auto"/>
            </w:tcBorders>
          </w:tcPr>
          <w:p w:rsidR="00000000" w:rsidRDefault="00000000">
            <w:pPr>
              <w:spacing w:before="120" w:after="80" w:line="240" w:lineRule="auto"/>
              <w:ind w:left="227"/>
              <w:rPr>
                <w:rFonts w:eastAsia="KaiTi_GB2312" w:hint="eastAsia"/>
                <w:snapToGrid/>
                <w:spacing w:val="0"/>
                <w:sz w:val="22"/>
              </w:rPr>
            </w:pPr>
            <w:r>
              <w:rPr>
                <w:rFonts w:eastAsia="KaiTi_GB2312" w:hint="eastAsia"/>
                <w:noProof/>
                <w:snapToGrid/>
                <w:spacing w:val="0"/>
                <w:sz w:val="22"/>
                <w:szCs w:val="22"/>
              </w:rPr>
              <w:t>增加所需的</w:t>
            </w:r>
            <w:r>
              <w:rPr>
                <w:rFonts w:eastAsia="KaiTi_GB2312"/>
                <w:noProof/>
                <w:snapToGrid/>
                <w:spacing w:val="0"/>
                <w:sz w:val="22"/>
                <w:szCs w:val="22"/>
              </w:rPr>
              <w:br/>
            </w:r>
            <w:r>
              <w:rPr>
                <w:rFonts w:eastAsia="KaiTi_GB2312" w:hint="eastAsia"/>
                <w:noProof/>
                <w:snapToGrid/>
                <w:spacing w:val="0"/>
                <w:sz w:val="22"/>
                <w:szCs w:val="22"/>
              </w:rPr>
              <w:t>缔约国数目</w:t>
            </w:r>
          </w:p>
        </w:tc>
      </w:tr>
      <w:tr w:rsidR="00000000">
        <w:tblPrEx>
          <w:tblCellMar>
            <w:top w:w="0" w:type="dxa"/>
            <w:bottom w:w="0" w:type="dxa"/>
          </w:tblCellMar>
        </w:tblPrEx>
        <w:tc>
          <w:tcPr>
            <w:tcW w:w="3073" w:type="dxa"/>
            <w:tcBorders>
              <w:top w:val="single" w:sz="4" w:space="0" w:color="auto"/>
            </w:tcBorders>
          </w:tcPr>
          <w:p w:rsidR="00000000" w:rsidRDefault="00000000">
            <w:pPr>
              <w:spacing w:before="120" w:line="288" w:lineRule="auto"/>
              <w:ind w:left="113"/>
              <w:rPr>
                <w:rFonts w:hint="eastAsia"/>
                <w:snapToGrid/>
                <w:sz w:val="22"/>
              </w:rPr>
            </w:pPr>
            <w:r>
              <w:rPr>
                <w:rFonts w:hint="eastAsia"/>
                <w:noProof/>
                <w:snapToGrid/>
                <w:sz w:val="22"/>
                <w:szCs w:val="22"/>
              </w:rPr>
              <w:t>消除种族歧视委员会</w:t>
            </w:r>
            <w:r>
              <w:rPr>
                <w:noProof/>
                <w:snapToGrid/>
                <w:sz w:val="22"/>
                <w:szCs w:val="22"/>
              </w:rPr>
              <w:t>：</w:t>
            </w:r>
          </w:p>
        </w:tc>
        <w:tc>
          <w:tcPr>
            <w:tcW w:w="2415" w:type="dxa"/>
            <w:tcBorders>
              <w:top w:val="single" w:sz="4" w:space="0" w:color="auto"/>
            </w:tcBorders>
          </w:tcPr>
          <w:p w:rsidR="00000000" w:rsidRDefault="00000000">
            <w:pPr>
              <w:spacing w:before="120" w:line="288" w:lineRule="auto"/>
              <w:ind w:left="284"/>
              <w:rPr>
                <w:rFonts w:hint="eastAsia"/>
                <w:snapToGrid/>
                <w:sz w:val="22"/>
              </w:rPr>
            </w:pPr>
            <w:r>
              <w:rPr>
                <w:noProof/>
                <w:snapToGrid/>
                <w:sz w:val="22"/>
                <w:szCs w:val="22"/>
              </w:rPr>
              <w:t>18</w:t>
            </w:r>
            <w:r>
              <w:rPr>
                <w:rFonts w:hint="eastAsia"/>
                <w:noProof/>
                <w:snapToGrid/>
                <w:sz w:val="22"/>
                <w:szCs w:val="22"/>
              </w:rPr>
              <w:t>名委员</w:t>
            </w:r>
          </w:p>
        </w:tc>
        <w:tc>
          <w:tcPr>
            <w:tcW w:w="2085" w:type="dxa"/>
            <w:tcBorders>
              <w:top w:val="single" w:sz="4" w:space="0" w:color="auto"/>
            </w:tcBorders>
          </w:tcPr>
          <w:p w:rsidR="00000000" w:rsidRDefault="00000000">
            <w:pPr>
              <w:spacing w:before="120" w:line="288" w:lineRule="auto"/>
              <w:ind w:left="113"/>
              <w:rPr>
                <w:rFonts w:hint="eastAsia"/>
                <w:snapToGrid/>
                <w:sz w:val="22"/>
              </w:rPr>
            </w:pPr>
            <w:r>
              <w:rPr>
                <w:rFonts w:hint="eastAsia"/>
                <w:snapToGrid/>
                <w:sz w:val="22"/>
              </w:rPr>
              <w:t>-</w:t>
            </w:r>
          </w:p>
        </w:tc>
        <w:tc>
          <w:tcPr>
            <w:tcW w:w="1837" w:type="dxa"/>
            <w:tcBorders>
              <w:top w:val="single" w:sz="4" w:space="0" w:color="auto"/>
            </w:tcBorders>
          </w:tcPr>
          <w:p w:rsidR="00000000" w:rsidRDefault="00000000">
            <w:pPr>
              <w:spacing w:before="120" w:line="288" w:lineRule="auto"/>
              <w:ind w:left="227"/>
              <w:rPr>
                <w:rFonts w:hint="eastAsia"/>
                <w:snapToGrid/>
                <w:sz w:val="22"/>
              </w:rPr>
            </w:pPr>
            <w:r>
              <w:rPr>
                <w:rFonts w:hint="eastAsia"/>
                <w:snapToGrid/>
                <w:sz w:val="22"/>
              </w:rPr>
              <w:t>-</w:t>
            </w:r>
          </w:p>
        </w:tc>
      </w:tr>
      <w:tr w:rsidR="00000000">
        <w:tblPrEx>
          <w:tblCellMar>
            <w:top w:w="0" w:type="dxa"/>
            <w:bottom w:w="0" w:type="dxa"/>
          </w:tblCellMar>
        </w:tblPrEx>
        <w:tc>
          <w:tcPr>
            <w:tcW w:w="3073" w:type="dxa"/>
          </w:tcPr>
          <w:p w:rsidR="00000000" w:rsidRDefault="00000000">
            <w:pPr>
              <w:spacing w:line="288" w:lineRule="auto"/>
              <w:ind w:left="113"/>
              <w:rPr>
                <w:rFonts w:hint="eastAsia"/>
                <w:snapToGrid/>
                <w:sz w:val="22"/>
              </w:rPr>
            </w:pPr>
            <w:r>
              <w:rPr>
                <w:rFonts w:hint="eastAsia"/>
                <w:noProof/>
                <w:snapToGrid/>
                <w:sz w:val="22"/>
                <w:szCs w:val="22"/>
              </w:rPr>
              <w:t>人权事务委员会</w:t>
            </w:r>
            <w:r>
              <w:rPr>
                <w:noProof/>
                <w:snapToGrid/>
                <w:sz w:val="22"/>
                <w:szCs w:val="22"/>
              </w:rPr>
              <w:t>：</w:t>
            </w:r>
          </w:p>
        </w:tc>
        <w:tc>
          <w:tcPr>
            <w:tcW w:w="2415" w:type="dxa"/>
          </w:tcPr>
          <w:p w:rsidR="00000000" w:rsidRDefault="00000000">
            <w:pPr>
              <w:spacing w:line="288" w:lineRule="auto"/>
              <w:ind w:left="284"/>
              <w:rPr>
                <w:rFonts w:hint="eastAsia"/>
                <w:snapToGrid/>
                <w:sz w:val="22"/>
              </w:rPr>
            </w:pPr>
            <w:r>
              <w:rPr>
                <w:noProof/>
                <w:snapToGrid/>
                <w:sz w:val="22"/>
                <w:szCs w:val="22"/>
              </w:rPr>
              <w:t>18</w:t>
            </w:r>
            <w:r>
              <w:rPr>
                <w:rFonts w:hint="eastAsia"/>
                <w:noProof/>
                <w:snapToGrid/>
                <w:sz w:val="22"/>
                <w:szCs w:val="22"/>
              </w:rPr>
              <w:t>名委员</w:t>
            </w:r>
          </w:p>
        </w:tc>
        <w:tc>
          <w:tcPr>
            <w:tcW w:w="2085" w:type="dxa"/>
          </w:tcPr>
          <w:p w:rsidR="00000000" w:rsidRDefault="00000000">
            <w:pPr>
              <w:spacing w:line="288" w:lineRule="auto"/>
              <w:ind w:left="113"/>
              <w:rPr>
                <w:rFonts w:hint="eastAsia"/>
                <w:snapToGrid/>
                <w:sz w:val="22"/>
              </w:rPr>
            </w:pPr>
            <w:r>
              <w:rPr>
                <w:rFonts w:hint="eastAsia"/>
                <w:snapToGrid/>
                <w:sz w:val="22"/>
              </w:rPr>
              <w:t>-</w:t>
            </w:r>
          </w:p>
        </w:tc>
        <w:tc>
          <w:tcPr>
            <w:tcW w:w="1837" w:type="dxa"/>
          </w:tcPr>
          <w:p w:rsidR="00000000" w:rsidRDefault="00000000">
            <w:pPr>
              <w:spacing w:line="288" w:lineRule="auto"/>
              <w:ind w:left="227"/>
              <w:rPr>
                <w:rFonts w:hint="eastAsia"/>
                <w:snapToGrid/>
                <w:sz w:val="22"/>
              </w:rPr>
            </w:pPr>
            <w:r>
              <w:rPr>
                <w:rFonts w:hint="eastAsia"/>
                <w:snapToGrid/>
                <w:sz w:val="22"/>
              </w:rPr>
              <w:t>-</w:t>
            </w:r>
          </w:p>
        </w:tc>
      </w:tr>
      <w:tr w:rsidR="00000000">
        <w:tblPrEx>
          <w:tblCellMar>
            <w:top w:w="0" w:type="dxa"/>
            <w:bottom w:w="0" w:type="dxa"/>
          </w:tblCellMar>
        </w:tblPrEx>
        <w:tc>
          <w:tcPr>
            <w:tcW w:w="3073" w:type="dxa"/>
          </w:tcPr>
          <w:p w:rsidR="00000000" w:rsidRDefault="00000000">
            <w:pPr>
              <w:spacing w:line="288" w:lineRule="auto"/>
              <w:ind w:left="113"/>
              <w:rPr>
                <w:rFonts w:hint="eastAsia"/>
                <w:snapToGrid/>
                <w:sz w:val="22"/>
              </w:rPr>
            </w:pPr>
            <w:r>
              <w:rPr>
                <w:rFonts w:hint="eastAsia"/>
                <w:noProof/>
                <w:snapToGrid/>
                <w:sz w:val="22"/>
                <w:szCs w:val="22"/>
              </w:rPr>
              <w:t>经社文权利委员会</w:t>
            </w:r>
            <w:r>
              <w:rPr>
                <w:noProof/>
                <w:snapToGrid/>
                <w:sz w:val="22"/>
                <w:szCs w:val="22"/>
              </w:rPr>
              <w:t>：</w:t>
            </w:r>
          </w:p>
        </w:tc>
        <w:tc>
          <w:tcPr>
            <w:tcW w:w="2415" w:type="dxa"/>
          </w:tcPr>
          <w:p w:rsidR="00000000" w:rsidRDefault="00000000">
            <w:pPr>
              <w:spacing w:line="288" w:lineRule="auto"/>
              <w:ind w:left="284"/>
              <w:rPr>
                <w:rFonts w:hint="eastAsia"/>
                <w:snapToGrid/>
                <w:sz w:val="22"/>
              </w:rPr>
            </w:pPr>
            <w:r>
              <w:rPr>
                <w:noProof/>
                <w:snapToGrid/>
                <w:sz w:val="22"/>
                <w:szCs w:val="22"/>
              </w:rPr>
              <w:t>18</w:t>
            </w:r>
            <w:r>
              <w:rPr>
                <w:rFonts w:hint="eastAsia"/>
                <w:noProof/>
                <w:snapToGrid/>
                <w:sz w:val="22"/>
                <w:szCs w:val="22"/>
              </w:rPr>
              <w:t>名委员</w:t>
            </w:r>
          </w:p>
        </w:tc>
        <w:tc>
          <w:tcPr>
            <w:tcW w:w="2085" w:type="dxa"/>
          </w:tcPr>
          <w:p w:rsidR="00000000" w:rsidRDefault="00000000">
            <w:pPr>
              <w:spacing w:line="288" w:lineRule="auto"/>
              <w:ind w:left="113"/>
              <w:rPr>
                <w:rFonts w:hint="eastAsia"/>
                <w:snapToGrid/>
                <w:sz w:val="22"/>
              </w:rPr>
            </w:pPr>
            <w:r>
              <w:rPr>
                <w:rFonts w:hint="eastAsia"/>
                <w:snapToGrid/>
                <w:sz w:val="22"/>
              </w:rPr>
              <w:t>-</w:t>
            </w:r>
          </w:p>
        </w:tc>
        <w:tc>
          <w:tcPr>
            <w:tcW w:w="1837" w:type="dxa"/>
          </w:tcPr>
          <w:p w:rsidR="00000000" w:rsidRDefault="00000000">
            <w:pPr>
              <w:spacing w:line="288" w:lineRule="auto"/>
              <w:ind w:left="227"/>
              <w:rPr>
                <w:rFonts w:hint="eastAsia"/>
                <w:snapToGrid/>
                <w:sz w:val="22"/>
              </w:rPr>
            </w:pPr>
            <w:r>
              <w:rPr>
                <w:rFonts w:hint="eastAsia"/>
                <w:snapToGrid/>
                <w:sz w:val="22"/>
              </w:rPr>
              <w:t>-</w:t>
            </w:r>
          </w:p>
        </w:tc>
      </w:tr>
      <w:tr w:rsidR="00000000">
        <w:tblPrEx>
          <w:tblCellMar>
            <w:top w:w="0" w:type="dxa"/>
            <w:bottom w:w="0" w:type="dxa"/>
          </w:tblCellMar>
        </w:tblPrEx>
        <w:tc>
          <w:tcPr>
            <w:tcW w:w="3073" w:type="dxa"/>
          </w:tcPr>
          <w:p w:rsidR="00000000" w:rsidRDefault="00000000">
            <w:pPr>
              <w:spacing w:line="288" w:lineRule="auto"/>
              <w:ind w:left="113"/>
              <w:rPr>
                <w:rFonts w:hint="eastAsia"/>
                <w:snapToGrid/>
                <w:sz w:val="22"/>
              </w:rPr>
            </w:pPr>
            <w:r>
              <w:rPr>
                <w:rFonts w:hint="eastAsia"/>
                <w:noProof/>
                <w:snapToGrid/>
                <w:sz w:val="22"/>
                <w:szCs w:val="22"/>
              </w:rPr>
              <w:t>消除对妇女歧视委员会</w:t>
            </w:r>
            <w:r>
              <w:rPr>
                <w:noProof/>
                <w:snapToGrid/>
                <w:sz w:val="22"/>
                <w:szCs w:val="22"/>
              </w:rPr>
              <w:t>：</w:t>
            </w:r>
          </w:p>
        </w:tc>
        <w:tc>
          <w:tcPr>
            <w:tcW w:w="2415" w:type="dxa"/>
          </w:tcPr>
          <w:p w:rsidR="00000000" w:rsidRDefault="00000000">
            <w:pPr>
              <w:spacing w:line="288" w:lineRule="auto"/>
              <w:ind w:left="284"/>
              <w:rPr>
                <w:rFonts w:hint="eastAsia"/>
                <w:snapToGrid/>
                <w:sz w:val="22"/>
              </w:rPr>
            </w:pPr>
            <w:r>
              <w:rPr>
                <w:noProof/>
                <w:snapToGrid/>
                <w:sz w:val="22"/>
                <w:szCs w:val="22"/>
              </w:rPr>
              <w:t>18</w:t>
            </w:r>
            <w:r>
              <w:rPr>
                <w:rFonts w:hint="eastAsia"/>
                <w:noProof/>
                <w:snapToGrid/>
                <w:sz w:val="22"/>
                <w:szCs w:val="22"/>
              </w:rPr>
              <w:t>名委员</w:t>
            </w:r>
          </w:p>
        </w:tc>
        <w:tc>
          <w:tcPr>
            <w:tcW w:w="2085" w:type="dxa"/>
          </w:tcPr>
          <w:p w:rsidR="00000000" w:rsidRDefault="00000000">
            <w:pPr>
              <w:spacing w:line="288" w:lineRule="auto"/>
              <w:ind w:left="113"/>
              <w:rPr>
                <w:rFonts w:hint="eastAsia"/>
                <w:snapToGrid/>
                <w:sz w:val="22"/>
              </w:rPr>
            </w:pPr>
            <w:r>
              <w:rPr>
                <w:noProof/>
                <w:snapToGrid/>
                <w:sz w:val="22"/>
                <w:szCs w:val="22"/>
              </w:rPr>
              <w:t>23</w:t>
            </w:r>
            <w:r>
              <w:rPr>
                <w:rFonts w:hint="eastAsia"/>
                <w:noProof/>
                <w:snapToGrid/>
                <w:sz w:val="22"/>
                <w:szCs w:val="22"/>
              </w:rPr>
              <w:t>名委员</w:t>
            </w:r>
          </w:p>
        </w:tc>
        <w:tc>
          <w:tcPr>
            <w:tcW w:w="1837" w:type="dxa"/>
          </w:tcPr>
          <w:p w:rsidR="00000000" w:rsidRDefault="00000000">
            <w:pPr>
              <w:spacing w:line="288" w:lineRule="auto"/>
              <w:ind w:left="227"/>
              <w:rPr>
                <w:rFonts w:hint="eastAsia"/>
                <w:snapToGrid/>
                <w:sz w:val="22"/>
              </w:rPr>
            </w:pPr>
            <w:r>
              <w:rPr>
                <w:noProof/>
                <w:snapToGrid/>
                <w:sz w:val="22"/>
                <w:szCs w:val="22"/>
              </w:rPr>
              <w:t>35</w:t>
            </w:r>
            <w:r>
              <w:rPr>
                <w:rFonts w:hint="eastAsia"/>
                <w:noProof/>
                <w:snapToGrid/>
                <w:sz w:val="22"/>
                <w:szCs w:val="22"/>
              </w:rPr>
              <w:t>个缔约国</w:t>
            </w:r>
          </w:p>
        </w:tc>
      </w:tr>
      <w:tr w:rsidR="00000000">
        <w:tblPrEx>
          <w:tblCellMar>
            <w:top w:w="0" w:type="dxa"/>
            <w:bottom w:w="0" w:type="dxa"/>
          </w:tblCellMar>
        </w:tblPrEx>
        <w:tc>
          <w:tcPr>
            <w:tcW w:w="3073" w:type="dxa"/>
          </w:tcPr>
          <w:p w:rsidR="00000000" w:rsidRDefault="00000000">
            <w:pPr>
              <w:spacing w:line="288" w:lineRule="auto"/>
              <w:ind w:left="113"/>
              <w:rPr>
                <w:rFonts w:hint="eastAsia"/>
                <w:snapToGrid/>
                <w:sz w:val="22"/>
              </w:rPr>
            </w:pPr>
            <w:r>
              <w:rPr>
                <w:rFonts w:hint="eastAsia"/>
                <w:noProof/>
                <w:snapToGrid/>
                <w:sz w:val="22"/>
                <w:szCs w:val="22"/>
              </w:rPr>
              <w:t>禁止酷刑委员会</w:t>
            </w:r>
            <w:r>
              <w:rPr>
                <w:noProof/>
                <w:snapToGrid/>
                <w:sz w:val="22"/>
                <w:szCs w:val="22"/>
              </w:rPr>
              <w:t>：</w:t>
            </w:r>
          </w:p>
        </w:tc>
        <w:tc>
          <w:tcPr>
            <w:tcW w:w="2415" w:type="dxa"/>
          </w:tcPr>
          <w:p w:rsidR="00000000" w:rsidRDefault="00000000">
            <w:pPr>
              <w:spacing w:line="288" w:lineRule="auto"/>
              <w:ind w:left="284"/>
              <w:rPr>
                <w:rFonts w:hint="eastAsia"/>
                <w:snapToGrid/>
                <w:sz w:val="22"/>
              </w:rPr>
            </w:pPr>
            <w:r>
              <w:rPr>
                <w:noProof/>
                <w:snapToGrid/>
                <w:sz w:val="22"/>
                <w:szCs w:val="22"/>
              </w:rPr>
              <w:t>10</w:t>
            </w:r>
            <w:r>
              <w:rPr>
                <w:rFonts w:hint="eastAsia"/>
                <w:noProof/>
                <w:snapToGrid/>
                <w:sz w:val="22"/>
                <w:szCs w:val="22"/>
              </w:rPr>
              <w:t>名委员</w:t>
            </w:r>
          </w:p>
        </w:tc>
        <w:tc>
          <w:tcPr>
            <w:tcW w:w="2085" w:type="dxa"/>
          </w:tcPr>
          <w:p w:rsidR="00000000" w:rsidRDefault="00000000">
            <w:pPr>
              <w:spacing w:line="288" w:lineRule="auto"/>
              <w:ind w:left="113"/>
              <w:rPr>
                <w:rFonts w:hint="eastAsia"/>
                <w:snapToGrid/>
                <w:sz w:val="22"/>
              </w:rPr>
            </w:pPr>
            <w:r>
              <w:rPr>
                <w:rFonts w:hint="eastAsia"/>
                <w:snapToGrid/>
                <w:sz w:val="22"/>
              </w:rPr>
              <w:t>-</w:t>
            </w:r>
          </w:p>
        </w:tc>
        <w:tc>
          <w:tcPr>
            <w:tcW w:w="1837" w:type="dxa"/>
          </w:tcPr>
          <w:p w:rsidR="00000000" w:rsidRDefault="00000000">
            <w:pPr>
              <w:spacing w:line="288" w:lineRule="auto"/>
              <w:ind w:left="227"/>
              <w:rPr>
                <w:rFonts w:hint="eastAsia"/>
                <w:snapToGrid/>
                <w:sz w:val="22"/>
              </w:rPr>
            </w:pPr>
            <w:r>
              <w:rPr>
                <w:rFonts w:hint="eastAsia"/>
                <w:snapToGrid/>
                <w:sz w:val="22"/>
              </w:rPr>
              <w:t>-</w:t>
            </w:r>
          </w:p>
        </w:tc>
      </w:tr>
      <w:tr w:rsidR="00000000">
        <w:tblPrEx>
          <w:tblCellMar>
            <w:top w:w="0" w:type="dxa"/>
            <w:bottom w:w="0" w:type="dxa"/>
          </w:tblCellMar>
        </w:tblPrEx>
        <w:tc>
          <w:tcPr>
            <w:tcW w:w="3073" w:type="dxa"/>
          </w:tcPr>
          <w:p w:rsidR="00000000" w:rsidRDefault="00000000">
            <w:pPr>
              <w:spacing w:line="288" w:lineRule="auto"/>
              <w:ind w:left="113"/>
              <w:rPr>
                <w:rFonts w:hint="eastAsia"/>
                <w:snapToGrid/>
                <w:sz w:val="22"/>
              </w:rPr>
            </w:pPr>
            <w:r>
              <w:rPr>
                <w:rFonts w:hint="eastAsia"/>
                <w:noProof/>
                <w:snapToGrid/>
                <w:sz w:val="22"/>
                <w:szCs w:val="22"/>
              </w:rPr>
              <w:t>儿童权利委员会</w:t>
            </w:r>
            <w:r>
              <w:rPr>
                <w:noProof/>
                <w:snapToGrid/>
                <w:sz w:val="22"/>
                <w:szCs w:val="22"/>
              </w:rPr>
              <w:t>：</w:t>
            </w:r>
          </w:p>
        </w:tc>
        <w:tc>
          <w:tcPr>
            <w:tcW w:w="2415" w:type="dxa"/>
          </w:tcPr>
          <w:p w:rsidR="00000000" w:rsidRDefault="00000000">
            <w:pPr>
              <w:spacing w:line="288" w:lineRule="auto"/>
              <w:ind w:left="284"/>
              <w:rPr>
                <w:rFonts w:hint="eastAsia"/>
                <w:snapToGrid/>
                <w:sz w:val="22"/>
              </w:rPr>
            </w:pPr>
            <w:r>
              <w:rPr>
                <w:noProof/>
                <w:snapToGrid/>
                <w:sz w:val="22"/>
                <w:szCs w:val="22"/>
              </w:rPr>
              <w:t>10</w:t>
            </w:r>
            <w:r>
              <w:rPr>
                <w:rFonts w:hint="eastAsia"/>
                <w:noProof/>
                <w:snapToGrid/>
                <w:sz w:val="22"/>
                <w:szCs w:val="22"/>
              </w:rPr>
              <w:t>名委员</w:t>
            </w:r>
          </w:p>
        </w:tc>
        <w:tc>
          <w:tcPr>
            <w:tcW w:w="2085" w:type="dxa"/>
          </w:tcPr>
          <w:p w:rsidR="00000000" w:rsidRDefault="00000000">
            <w:pPr>
              <w:spacing w:line="288" w:lineRule="auto"/>
              <w:ind w:left="113"/>
              <w:rPr>
                <w:rFonts w:hint="eastAsia"/>
                <w:snapToGrid/>
                <w:sz w:val="22"/>
              </w:rPr>
            </w:pPr>
            <w:r>
              <w:rPr>
                <w:noProof/>
                <w:snapToGrid/>
                <w:sz w:val="22"/>
                <w:szCs w:val="22"/>
              </w:rPr>
              <w:t>18</w:t>
            </w:r>
            <w:r>
              <w:rPr>
                <w:rFonts w:hint="eastAsia"/>
                <w:noProof/>
                <w:snapToGrid/>
                <w:sz w:val="22"/>
                <w:szCs w:val="22"/>
              </w:rPr>
              <w:t>名委员</w:t>
            </w:r>
            <w:r>
              <w:rPr>
                <w:noProof/>
                <w:snapToGrid/>
                <w:sz w:val="22"/>
                <w:szCs w:val="22"/>
              </w:rPr>
              <w:t>*</w:t>
            </w:r>
          </w:p>
        </w:tc>
        <w:tc>
          <w:tcPr>
            <w:tcW w:w="1837" w:type="dxa"/>
          </w:tcPr>
          <w:p w:rsidR="00000000" w:rsidRDefault="00000000">
            <w:pPr>
              <w:spacing w:line="288" w:lineRule="auto"/>
              <w:ind w:left="227"/>
              <w:rPr>
                <w:rFonts w:hint="eastAsia"/>
                <w:snapToGrid/>
                <w:sz w:val="22"/>
              </w:rPr>
            </w:pPr>
            <w:r>
              <w:rPr>
                <w:rFonts w:hint="eastAsia"/>
                <w:snapToGrid/>
                <w:sz w:val="22"/>
              </w:rPr>
              <w:t>-</w:t>
            </w:r>
          </w:p>
        </w:tc>
      </w:tr>
      <w:tr w:rsidR="00000000">
        <w:tblPrEx>
          <w:tblCellMar>
            <w:top w:w="0" w:type="dxa"/>
            <w:bottom w:w="0" w:type="dxa"/>
          </w:tblCellMar>
        </w:tblPrEx>
        <w:tc>
          <w:tcPr>
            <w:tcW w:w="3073" w:type="dxa"/>
          </w:tcPr>
          <w:p w:rsidR="00000000" w:rsidRDefault="00000000">
            <w:pPr>
              <w:spacing w:line="288" w:lineRule="auto"/>
              <w:ind w:left="113"/>
              <w:rPr>
                <w:rFonts w:hint="eastAsia"/>
                <w:snapToGrid/>
                <w:sz w:val="22"/>
              </w:rPr>
            </w:pPr>
            <w:r>
              <w:rPr>
                <w:rFonts w:hint="eastAsia"/>
                <w:noProof/>
                <w:snapToGrid/>
                <w:sz w:val="22"/>
                <w:szCs w:val="22"/>
              </w:rPr>
              <w:t>保护移徙工人权利委员会</w:t>
            </w:r>
            <w:r>
              <w:rPr>
                <w:noProof/>
                <w:snapToGrid/>
                <w:sz w:val="22"/>
                <w:szCs w:val="22"/>
              </w:rPr>
              <w:t>：</w:t>
            </w:r>
          </w:p>
        </w:tc>
        <w:tc>
          <w:tcPr>
            <w:tcW w:w="2415" w:type="dxa"/>
          </w:tcPr>
          <w:p w:rsidR="00000000" w:rsidRDefault="00000000">
            <w:pPr>
              <w:spacing w:line="288" w:lineRule="auto"/>
              <w:ind w:left="284"/>
              <w:rPr>
                <w:rFonts w:hint="eastAsia"/>
                <w:snapToGrid/>
                <w:sz w:val="22"/>
              </w:rPr>
            </w:pPr>
            <w:r>
              <w:rPr>
                <w:noProof/>
                <w:snapToGrid/>
                <w:sz w:val="22"/>
                <w:szCs w:val="22"/>
              </w:rPr>
              <w:t>10</w:t>
            </w:r>
            <w:r>
              <w:rPr>
                <w:rFonts w:hint="eastAsia"/>
                <w:noProof/>
                <w:snapToGrid/>
                <w:sz w:val="22"/>
                <w:szCs w:val="22"/>
              </w:rPr>
              <w:t>名委员</w:t>
            </w:r>
          </w:p>
        </w:tc>
        <w:tc>
          <w:tcPr>
            <w:tcW w:w="2085" w:type="dxa"/>
          </w:tcPr>
          <w:p w:rsidR="00000000" w:rsidRDefault="00000000">
            <w:pPr>
              <w:spacing w:line="288" w:lineRule="auto"/>
              <w:ind w:left="113"/>
              <w:rPr>
                <w:rFonts w:hint="eastAsia"/>
                <w:snapToGrid/>
                <w:sz w:val="22"/>
              </w:rPr>
            </w:pPr>
            <w:r>
              <w:rPr>
                <w:noProof/>
                <w:snapToGrid/>
                <w:sz w:val="22"/>
                <w:szCs w:val="22"/>
              </w:rPr>
              <w:t>14</w:t>
            </w:r>
            <w:r>
              <w:rPr>
                <w:rFonts w:hint="eastAsia"/>
                <w:noProof/>
                <w:snapToGrid/>
                <w:sz w:val="22"/>
                <w:szCs w:val="22"/>
              </w:rPr>
              <w:t>名委员</w:t>
            </w:r>
          </w:p>
        </w:tc>
        <w:tc>
          <w:tcPr>
            <w:tcW w:w="1837" w:type="dxa"/>
          </w:tcPr>
          <w:p w:rsidR="00000000" w:rsidRDefault="00000000">
            <w:pPr>
              <w:spacing w:line="288" w:lineRule="auto"/>
              <w:ind w:left="227"/>
              <w:rPr>
                <w:rFonts w:hint="eastAsia"/>
                <w:snapToGrid/>
                <w:sz w:val="22"/>
              </w:rPr>
            </w:pPr>
            <w:r>
              <w:rPr>
                <w:noProof/>
                <w:snapToGrid/>
                <w:sz w:val="22"/>
                <w:szCs w:val="22"/>
              </w:rPr>
              <w:t>41</w:t>
            </w:r>
            <w:r>
              <w:rPr>
                <w:rFonts w:hint="eastAsia"/>
                <w:noProof/>
                <w:snapToGrid/>
                <w:sz w:val="22"/>
                <w:szCs w:val="22"/>
              </w:rPr>
              <w:t>个缔约国</w:t>
            </w:r>
          </w:p>
        </w:tc>
      </w:tr>
      <w:tr w:rsidR="00000000">
        <w:tblPrEx>
          <w:tblCellMar>
            <w:top w:w="0" w:type="dxa"/>
            <w:bottom w:w="0" w:type="dxa"/>
          </w:tblCellMar>
        </w:tblPrEx>
        <w:tc>
          <w:tcPr>
            <w:tcW w:w="3073" w:type="dxa"/>
          </w:tcPr>
          <w:p w:rsidR="00000000" w:rsidRDefault="00000000">
            <w:pPr>
              <w:spacing w:after="80" w:line="288" w:lineRule="auto"/>
              <w:ind w:left="113"/>
              <w:rPr>
                <w:rFonts w:hint="eastAsia"/>
                <w:snapToGrid/>
                <w:sz w:val="22"/>
              </w:rPr>
            </w:pPr>
            <w:r>
              <w:rPr>
                <w:rFonts w:hint="eastAsia"/>
                <w:noProof/>
                <w:snapToGrid/>
                <w:sz w:val="22"/>
                <w:szCs w:val="22"/>
              </w:rPr>
              <w:t>《禁止酷刑公约任择议定书》预防小组委员会</w:t>
            </w:r>
            <w:r>
              <w:rPr>
                <w:noProof/>
                <w:snapToGrid/>
                <w:sz w:val="22"/>
                <w:szCs w:val="22"/>
              </w:rPr>
              <w:t>：</w:t>
            </w:r>
            <w:r>
              <w:rPr>
                <w:noProof/>
                <w:snapToGrid/>
                <w:sz w:val="22"/>
                <w:szCs w:val="22"/>
                <w:vertAlign w:val="superscript"/>
              </w:rPr>
              <w:t>†</w:t>
            </w:r>
          </w:p>
        </w:tc>
        <w:tc>
          <w:tcPr>
            <w:tcW w:w="2415" w:type="dxa"/>
          </w:tcPr>
          <w:p w:rsidR="00000000" w:rsidRDefault="00000000">
            <w:pPr>
              <w:spacing w:after="80" w:line="288" w:lineRule="auto"/>
              <w:ind w:left="284"/>
              <w:rPr>
                <w:rFonts w:hint="eastAsia"/>
                <w:snapToGrid/>
                <w:sz w:val="22"/>
              </w:rPr>
            </w:pPr>
            <w:r>
              <w:rPr>
                <w:noProof/>
                <w:snapToGrid/>
                <w:sz w:val="22"/>
                <w:szCs w:val="22"/>
              </w:rPr>
              <w:t>10</w:t>
            </w:r>
            <w:r>
              <w:rPr>
                <w:rFonts w:hint="eastAsia"/>
                <w:noProof/>
                <w:snapToGrid/>
                <w:sz w:val="22"/>
                <w:szCs w:val="22"/>
              </w:rPr>
              <w:t>名委员</w:t>
            </w:r>
          </w:p>
        </w:tc>
        <w:tc>
          <w:tcPr>
            <w:tcW w:w="2085" w:type="dxa"/>
          </w:tcPr>
          <w:p w:rsidR="00000000" w:rsidRDefault="00000000">
            <w:pPr>
              <w:spacing w:after="80" w:line="288" w:lineRule="auto"/>
              <w:ind w:left="113"/>
              <w:rPr>
                <w:rFonts w:hint="eastAsia"/>
                <w:snapToGrid/>
                <w:sz w:val="22"/>
              </w:rPr>
            </w:pPr>
            <w:r>
              <w:rPr>
                <w:noProof/>
                <w:snapToGrid/>
                <w:sz w:val="22"/>
                <w:szCs w:val="22"/>
              </w:rPr>
              <w:t>25</w:t>
            </w:r>
            <w:r>
              <w:rPr>
                <w:rFonts w:hint="eastAsia"/>
                <w:noProof/>
                <w:snapToGrid/>
                <w:sz w:val="22"/>
                <w:szCs w:val="22"/>
              </w:rPr>
              <w:t>名委员</w:t>
            </w:r>
          </w:p>
        </w:tc>
        <w:tc>
          <w:tcPr>
            <w:tcW w:w="1837" w:type="dxa"/>
          </w:tcPr>
          <w:p w:rsidR="00000000" w:rsidRDefault="00000000">
            <w:pPr>
              <w:spacing w:after="80" w:line="288" w:lineRule="auto"/>
              <w:ind w:left="227"/>
              <w:rPr>
                <w:rFonts w:hint="eastAsia"/>
                <w:snapToGrid/>
                <w:sz w:val="22"/>
              </w:rPr>
            </w:pPr>
            <w:r>
              <w:rPr>
                <w:noProof/>
                <w:snapToGrid/>
                <w:sz w:val="22"/>
                <w:szCs w:val="22"/>
              </w:rPr>
              <w:t>50</w:t>
            </w:r>
            <w:r>
              <w:rPr>
                <w:rFonts w:hint="eastAsia"/>
                <w:noProof/>
                <w:snapToGrid/>
                <w:sz w:val="22"/>
                <w:szCs w:val="22"/>
              </w:rPr>
              <w:t>个缔约国</w:t>
            </w:r>
          </w:p>
        </w:tc>
      </w:tr>
      <w:tr w:rsidR="00000000">
        <w:tblPrEx>
          <w:tblCellMar>
            <w:top w:w="0" w:type="dxa"/>
            <w:bottom w:w="0" w:type="dxa"/>
          </w:tblCellMar>
        </w:tblPrEx>
        <w:trPr>
          <w:cantSplit/>
        </w:trPr>
        <w:tc>
          <w:tcPr>
            <w:tcW w:w="9410" w:type="dxa"/>
            <w:gridSpan w:val="4"/>
            <w:tcBorders>
              <w:bottom w:val="single" w:sz="4" w:space="0" w:color="auto"/>
            </w:tcBorders>
          </w:tcPr>
          <w:p w:rsidR="00000000" w:rsidRDefault="00000000">
            <w:pPr>
              <w:ind w:left="113"/>
              <w:rPr>
                <w:rFonts w:hint="eastAsia"/>
                <w:snapToGrid/>
                <w:sz w:val="22"/>
              </w:rPr>
            </w:pPr>
            <w:r>
              <w:rPr>
                <w:rFonts w:hint="eastAsia"/>
                <w:noProof/>
                <w:snapToGrid/>
                <w:sz w:val="22"/>
                <w:szCs w:val="22"/>
              </w:rPr>
              <w:t>当选委员任期四年。半数委员每两年改选一次。</w:t>
            </w:r>
          </w:p>
        </w:tc>
      </w:tr>
      <w:tr w:rsidR="00000000">
        <w:tblPrEx>
          <w:tblCellMar>
            <w:top w:w="0" w:type="dxa"/>
            <w:bottom w:w="0" w:type="dxa"/>
          </w:tblCellMar>
        </w:tblPrEx>
        <w:trPr>
          <w:cantSplit/>
        </w:trPr>
        <w:tc>
          <w:tcPr>
            <w:tcW w:w="9410" w:type="dxa"/>
            <w:gridSpan w:val="4"/>
            <w:tcBorders>
              <w:top w:val="single" w:sz="4" w:space="0" w:color="auto"/>
              <w:bottom w:val="single" w:sz="4" w:space="0" w:color="auto"/>
            </w:tcBorders>
          </w:tcPr>
          <w:p w:rsidR="00000000" w:rsidRDefault="00000000">
            <w:pPr>
              <w:keepNext/>
              <w:keepLines/>
              <w:tabs>
                <w:tab w:val="left" w:pos="448"/>
                <w:tab w:val="left" w:pos="3119"/>
              </w:tabs>
              <w:spacing w:before="120" w:line="240" w:lineRule="auto"/>
              <w:ind w:left="448" w:hanging="448"/>
              <w:rPr>
                <w:noProof/>
                <w:snapToGrid/>
                <w:sz w:val="22"/>
                <w:szCs w:val="22"/>
              </w:rPr>
            </w:pPr>
            <w:r>
              <w:rPr>
                <w:noProof/>
                <w:snapToGrid/>
                <w:sz w:val="22"/>
                <w:szCs w:val="22"/>
              </w:rPr>
              <w:t>*</w:t>
            </w:r>
            <w:r>
              <w:rPr>
                <w:noProof/>
                <w:snapToGrid/>
                <w:sz w:val="22"/>
                <w:szCs w:val="22"/>
              </w:rPr>
              <w:tab/>
            </w:r>
            <w:r>
              <w:rPr>
                <w:rFonts w:hint="eastAsia"/>
                <w:noProof/>
                <w:snapToGrid/>
                <w:sz w:val="22"/>
                <w:szCs w:val="22"/>
              </w:rPr>
              <w:t>大会</w:t>
            </w:r>
            <w:r>
              <w:rPr>
                <w:rFonts w:hint="eastAsia"/>
                <w:noProof/>
                <w:snapToGrid/>
                <w:sz w:val="22"/>
                <w:szCs w:val="22"/>
              </w:rPr>
              <w:t>1995</w:t>
            </w:r>
            <w:r>
              <w:rPr>
                <w:rFonts w:hint="eastAsia"/>
                <w:noProof/>
                <w:snapToGrid/>
                <w:sz w:val="22"/>
                <w:szCs w:val="22"/>
              </w:rPr>
              <w:t>年</w:t>
            </w:r>
            <w:r>
              <w:rPr>
                <w:rFonts w:hint="eastAsia"/>
                <w:noProof/>
                <w:snapToGrid/>
                <w:sz w:val="22"/>
                <w:szCs w:val="22"/>
              </w:rPr>
              <w:t>12</w:t>
            </w:r>
            <w:r>
              <w:rPr>
                <w:rFonts w:hint="eastAsia"/>
                <w:noProof/>
                <w:snapToGrid/>
                <w:sz w:val="22"/>
                <w:szCs w:val="22"/>
              </w:rPr>
              <w:t>月</w:t>
            </w:r>
            <w:r>
              <w:rPr>
                <w:rFonts w:hint="eastAsia"/>
                <w:noProof/>
                <w:snapToGrid/>
                <w:sz w:val="22"/>
                <w:szCs w:val="22"/>
              </w:rPr>
              <w:t>21</w:t>
            </w:r>
            <w:r>
              <w:rPr>
                <w:rFonts w:hint="eastAsia"/>
                <w:noProof/>
                <w:snapToGrid/>
                <w:sz w:val="22"/>
                <w:szCs w:val="22"/>
              </w:rPr>
              <w:t>日第</w:t>
            </w:r>
            <w:r>
              <w:rPr>
                <w:rFonts w:hint="eastAsia"/>
                <w:noProof/>
                <w:snapToGrid/>
                <w:sz w:val="22"/>
                <w:szCs w:val="22"/>
              </w:rPr>
              <w:t>50/15</w:t>
            </w:r>
            <w:r>
              <w:rPr>
                <w:noProof/>
                <w:snapToGrid/>
                <w:sz w:val="22"/>
                <w:szCs w:val="22"/>
              </w:rPr>
              <w:t>5</w:t>
            </w:r>
            <w:r>
              <w:rPr>
                <w:rFonts w:hint="eastAsia"/>
                <w:noProof/>
                <w:snapToGrid/>
                <w:sz w:val="22"/>
                <w:szCs w:val="22"/>
              </w:rPr>
              <w:t>号决议批准对《公约》第</w:t>
            </w:r>
            <w:r>
              <w:rPr>
                <w:rFonts w:hint="eastAsia"/>
                <w:noProof/>
                <w:snapToGrid/>
                <w:sz w:val="22"/>
                <w:szCs w:val="22"/>
              </w:rPr>
              <w:t>43</w:t>
            </w:r>
            <w:r>
              <w:rPr>
                <w:rFonts w:hint="eastAsia"/>
                <w:noProof/>
                <w:snapToGrid/>
                <w:sz w:val="22"/>
                <w:szCs w:val="22"/>
              </w:rPr>
              <w:t>条第</w:t>
            </w:r>
            <w:r>
              <w:rPr>
                <w:noProof/>
                <w:snapToGrid/>
                <w:sz w:val="22"/>
                <w:szCs w:val="22"/>
              </w:rPr>
              <w:t>2</w:t>
            </w:r>
            <w:r>
              <w:rPr>
                <w:rFonts w:hint="eastAsia"/>
                <w:noProof/>
                <w:snapToGrid/>
                <w:sz w:val="22"/>
                <w:szCs w:val="22"/>
              </w:rPr>
              <w:t>款进行修正，这项修正经三分之二的缔约国同意，于</w:t>
            </w:r>
            <w:r>
              <w:rPr>
                <w:rFonts w:hint="eastAsia"/>
                <w:noProof/>
                <w:snapToGrid/>
                <w:sz w:val="22"/>
                <w:szCs w:val="22"/>
              </w:rPr>
              <w:t>2002</w:t>
            </w:r>
            <w:r>
              <w:rPr>
                <w:rFonts w:hint="eastAsia"/>
                <w:noProof/>
                <w:snapToGrid/>
                <w:sz w:val="22"/>
                <w:szCs w:val="22"/>
              </w:rPr>
              <w:t>年</w:t>
            </w:r>
            <w:r>
              <w:rPr>
                <w:rFonts w:hint="eastAsia"/>
                <w:noProof/>
                <w:snapToGrid/>
                <w:sz w:val="22"/>
                <w:szCs w:val="22"/>
              </w:rPr>
              <w:t>11</w:t>
            </w:r>
            <w:r>
              <w:rPr>
                <w:rFonts w:hint="eastAsia"/>
                <w:noProof/>
                <w:snapToGrid/>
                <w:sz w:val="22"/>
                <w:szCs w:val="22"/>
              </w:rPr>
              <w:t>月</w:t>
            </w:r>
            <w:r>
              <w:rPr>
                <w:rFonts w:hint="eastAsia"/>
                <w:noProof/>
                <w:snapToGrid/>
                <w:sz w:val="22"/>
                <w:szCs w:val="22"/>
              </w:rPr>
              <w:t>18</w:t>
            </w:r>
            <w:r>
              <w:rPr>
                <w:rFonts w:hint="eastAsia"/>
                <w:noProof/>
                <w:snapToGrid/>
                <w:sz w:val="22"/>
                <w:szCs w:val="22"/>
              </w:rPr>
              <w:t>日生效。</w:t>
            </w:r>
          </w:p>
          <w:p w:rsidR="00000000" w:rsidRDefault="00000000">
            <w:pPr>
              <w:keepNext/>
              <w:keepLines/>
              <w:tabs>
                <w:tab w:val="left" w:pos="448"/>
                <w:tab w:val="left" w:pos="3119"/>
              </w:tabs>
              <w:spacing w:before="120" w:after="120" w:line="240" w:lineRule="auto"/>
              <w:ind w:left="448" w:hanging="448"/>
              <w:rPr>
                <w:rFonts w:hint="eastAsia"/>
                <w:snapToGrid/>
                <w:sz w:val="22"/>
              </w:rPr>
            </w:pPr>
            <w:r>
              <w:rPr>
                <w:noProof/>
                <w:snapToGrid/>
                <w:sz w:val="22"/>
                <w:szCs w:val="22"/>
              </w:rPr>
              <w:t>†</w:t>
            </w:r>
            <w:r>
              <w:rPr>
                <w:rFonts w:hint="eastAsia"/>
                <w:noProof/>
                <w:snapToGrid/>
                <w:sz w:val="22"/>
                <w:szCs w:val="22"/>
              </w:rPr>
              <w:tab/>
            </w:r>
            <w:r>
              <w:rPr>
                <w:rFonts w:hint="eastAsia"/>
                <w:noProof/>
                <w:snapToGrid/>
                <w:sz w:val="22"/>
                <w:szCs w:val="22"/>
              </w:rPr>
              <w:t>《禁止酷刑公约任择议定书》预防小组委员会。</w:t>
            </w:r>
          </w:p>
        </w:tc>
      </w:tr>
    </w:tbl>
    <w:p w:rsidR="00000000" w:rsidRDefault="00000000">
      <w:pPr>
        <w:rPr>
          <w:snapToGrid/>
        </w:rPr>
      </w:pPr>
    </w:p>
    <w:p w:rsidR="00000000" w:rsidRDefault="00000000">
      <w:pPr>
        <w:spacing w:after="240"/>
        <w:rPr>
          <w:rFonts w:hint="eastAsia"/>
          <w:snapToGrid/>
        </w:rPr>
      </w:pPr>
      <w:r>
        <w:rPr>
          <w:rFonts w:hint="eastAsia"/>
          <w:snapToGrid/>
        </w:rPr>
        <w:tab/>
      </w:r>
      <w:r>
        <w:rPr>
          <w:snapToGrid/>
        </w:rPr>
        <w:t xml:space="preserve">16.  </w:t>
      </w:r>
      <w:r>
        <w:rPr>
          <w:rFonts w:hint="eastAsia"/>
          <w:snapToGrid/>
        </w:rPr>
        <w:t>本制度还因许多国家在形式上接受人权条约制度，但或是由于缺乏能力或是由于缺乏政治意愿而不同该制度接触，或者这种接触只是停留在表面，而面临一些难题。一些国家没有按照条约的规定提交报告，多数国家在拖延相当长时间之后才提交报告。许多国家，包括具备相当强的技术能力和作出很大承诺的国家在内，都认为，在还可能面临其他报告要求的情况下，履行复杂、重叠的报告义务是一项艰巨的任务。</w:t>
      </w:r>
      <w:r>
        <w:rPr>
          <w:rFonts w:hint="eastAsia"/>
          <w:snapToGrid/>
        </w:rPr>
        <w:t>200</w:t>
      </w:r>
      <w:r>
        <w:rPr>
          <w:snapToGrid/>
        </w:rPr>
        <w:t>6</w:t>
      </w:r>
      <w:r>
        <w:rPr>
          <w:rFonts w:hint="eastAsia"/>
          <w:snapToGrid/>
        </w:rPr>
        <w:t>年</w:t>
      </w:r>
      <w:r>
        <w:rPr>
          <w:rFonts w:hint="eastAsia"/>
          <w:snapToGrid/>
        </w:rPr>
        <w:t>2</w:t>
      </w:r>
      <w:r>
        <w:rPr>
          <w:rFonts w:hint="eastAsia"/>
          <w:snapToGrid/>
        </w:rPr>
        <w:t>月的数字显示，在缔约国应提交报告总数中，</w:t>
      </w:r>
      <w:r>
        <w:rPr>
          <w:rFonts w:hint="eastAsia"/>
          <w:snapToGrid/>
        </w:rPr>
        <w:t>70%</w:t>
      </w:r>
      <w:r>
        <w:rPr>
          <w:rFonts w:hint="eastAsia"/>
          <w:snapToGrid/>
        </w:rPr>
        <w:t>的报告已经提交，这一比例是由于提交了合并报告而达到的。</w:t>
      </w:r>
      <w:r>
        <w:rPr>
          <w:rStyle w:val="FootnoteReference"/>
          <w:b w:val="0"/>
          <w:snapToGrid/>
        </w:rPr>
        <w:footnoteReference w:id="8"/>
      </w:r>
      <w:r>
        <w:rPr>
          <w:rFonts w:hint="eastAsia"/>
          <w:snapToGrid/>
        </w:rPr>
        <w:t xml:space="preserve"> </w:t>
      </w:r>
      <w:r>
        <w:rPr>
          <w:rFonts w:hint="eastAsia"/>
          <w:snapToGrid/>
        </w:rPr>
        <w:t>在已经到期的初次报告中，有</w:t>
      </w:r>
      <w:r>
        <w:rPr>
          <w:rFonts w:hint="eastAsia"/>
          <w:snapToGrid/>
        </w:rPr>
        <w:t>30%</w:t>
      </w:r>
      <w:r>
        <w:rPr>
          <w:rFonts w:hint="eastAsia"/>
          <w:snapToGrid/>
        </w:rPr>
        <w:t>的报告尚未提交。</w:t>
      </w:r>
      <w:r>
        <w:rPr>
          <w:rStyle w:val="FootnoteReference"/>
          <w:b w:val="0"/>
          <w:snapToGrid/>
        </w:rPr>
        <w:footnoteReference w:id="9"/>
      </w:r>
      <w:r>
        <w:rPr>
          <w:rFonts w:hint="eastAsia"/>
          <w:snapToGrid/>
        </w:rPr>
        <w:t xml:space="preserve"> </w:t>
      </w:r>
      <w:r>
        <w:rPr>
          <w:rFonts w:hint="eastAsia"/>
          <w:snapToGrid/>
        </w:rPr>
        <w:t>截至</w:t>
      </w:r>
      <w:r>
        <w:rPr>
          <w:rFonts w:hint="eastAsia"/>
          <w:snapToGrid/>
        </w:rPr>
        <w:t>200</w:t>
      </w:r>
      <w:r>
        <w:rPr>
          <w:snapToGrid/>
        </w:rPr>
        <w:t>6</w:t>
      </w:r>
      <w:r>
        <w:rPr>
          <w:rFonts w:hint="eastAsia"/>
          <w:snapToGrid/>
        </w:rPr>
        <w:t>年</w:t>
      </w:r>
      <w:r>
        <w:rPr>
          <w:rFonts w:hint="eastAsia"/>
          <w:snapToGrid/>
        </w:rPr>
        <w:t>2</w:t>
      </w:r>
      <w:r>
        <w:rPr>
          <w:rFonts w:hint="eastAsia"/>
          <w:snapToGrid/>
        </w:rPr>
        <w:t>月，在</w:t>
      </w:r>
      <w:r>
        <w:rPr>
          <w:rFonts w:hint="eastAsia"/>
          <w:snapToGrid/>
        </w:rPr>
        <w:t>194</w:t>
      </w:r>
      <w:r>
        <w:rPr>
          <w:rFonts w:hint="eastAsia"/>
          <w:snapToGrid/>
        </w:rPr>
        <w:t>个已加入七项条约中的一项或多项条约的国家中，只有八个国家没有拖欠报告，余下的</w:t>
      </w:r>
      <w:r>
        <w:rPr>
          <w:snapToGrid/>
        </w:rPr>
        <w:t>186</w:t>
      </w:r>
      <w:r>
        <w:rPr>
          <w:rFonts w:hint="eastAsia"/>
          <w:snapToGrid/>
        </w:rPr>
        <w:t>个国家共拖欠各条约机构的报告</w:t>
      </w:r>
      <w:r>
        <w:rPr>
          <w:snapToGrid/>
        </w:rPr>
        <w:t>1,</w:t>
      </w:r>
      <w:r>
        <w:rPr>
          <w:rFonts w:hint="eastAsia"/>
          <w:snapToGrid/>
        </w:rPr>
        <w:t>442</w:t>
      </w:r>
      <w:r>
        <w:rPr>
          <w:rFonts w:hint="eastAsia"/>
          <w:snapToGrid/>
        </w:rPr>
        <w:t>份。各委员会几乎没有实际权力迫使各国遵守程序，但同时，以目前的工作方法，这些委员会是无法应付缔约国充分履行报告义务这一状况的。高级专员提出的普遍批准以及充分接受申诉和调查程序的目标的实现，加上缔约国充分遵守报告程序，将会加重目前的困难。</w:t>
      </w:r>
    </w:p>
    <w:p w:rsidR="00000000" w:rsidRDefault="00000000">
      <w:pPr>
        <w:pStyle w:val="Heading3"/>
        <w:spacing w:before="120" w:after="240"/>
        <w:rPr>
          <w:rFonts w:hint="eastAsia"/>
        </w:rPr>
      </w:pPr>
      <w:r>
        <w:rPr>
          <w:rFonts w:hint="eastAsia"/>
          <w:u w:val="none"/>
        </w:rPr>
        <w:t>表</w:t>
      </w:r>
      <w:r>
        <w:rPr>
          <w:rFonts w:hint="eastAsia"/>
          <w:u w:val="none"/>
        </w:rPr>
        <w:t xml:space="preserve"> </w:t>
      </w:r>
      <w:r>
        <w:rPr>
          <w:u w:val="none"/>
        </w:rPr>
        <w:t>2</w:t>
      </w:r>
      <w:r>
        <w:rPr>
          <w:rFonts w:hint="eastAsia"/>
          <w:u w:val="none"/>
        </w:rPr>
        <w:t>：</w:t>
      </w:r>
      <w:r>
        <w:rPr>
          <w:rFonts w:hint="eastAsia"/>
          <w:u w:val="none"/>
        </w:rPr>
        <w:t xml:space="preserve"> </w:t>
      </w:r>
      <w:r>
        <w:rPr>
          <w:rFonts w:hint="eastAsia"/>
        </w:rPr>
        <w:t>各条约规定的报告提交定期</w:t>
      </w:r>
    </w:p>
    <w:tbl>
      <w:tblPr>
        <w:tblW w:w="0" w:type="auto"/>
        <w:tblCellMar>
          <w:left w:w="28" w:type="dxa"/>
          <w:right w:w="28" w:type="dxa"/>
        </w:tblCellMar>
        <w:tblLook w:val="0000" w:firstRow="0" w:lastRow="0" w:firstColumn="0" w:lastColumn="0" w:noHBand="0" w:noVBand="0"/>
      </w:tblPr>
      <w:tblGrid>
        <w:gridCol w:w="4032"/>
        <w:gridCol w:w="2401"/>
        <w:gridCol w:w="2977"/>
      </w:tblGrid>
      <w:tr w:rsidR="00000000">
        <w:tblPrEx>
          <w:tblCellMar>
            <w:top w:w="0" w:type="dxa"/>
            <w:bottom w:w="0" w:type="dxa"/>
          </w:tblCellMar>
        </w:tblPrEx>
        <w:tc>
          <w:tcPr>
            <w:tcW w:w="4032" w:type="dxa"/>
            <w:tcBorders>
              <w:top w:val="single" w:sz="4" w:space="0" w:color="auto"/>
              <w:bottom w:val="single" w:sz="4" w:space="0" w:color="auto"/>
            </w:tcBorders>
          </w:tcPr>
          <w:p w:rsidR="00000000" w:rsidRDefault="00000000">
            <w:pPr>
              <w:spacing w:before="100" w:after="60" w:line="240" w:lineRule="exact"/>
              <w:jc w:val="center"/>
              <w:rPr>
                <w:rFonts w:eastAsia="KaiTi_GB2312" w:hint="eastAsia"/>
                <w:snapToGrid/>
                <w:spacing w:val="0"/>
                <w:sz w:val="20"/>
              </w:rPr>
            </w:pPr>
            <w:r>
              <w:rPr>
                <w:rFonts w:eastAsia="KaiTi_GB2312" w:hint="eastAsia"/>
                <w:snapToGrid/>
                <w:spacing w:val="0"/>
                <w:sz w:val="20"/>
              </w:rPr>
              <w:t>条</w:t>
            </w:r>
            <w:r>
              <w:rPr>
                <w:rFonts w:eastAsia="KaiTi_GB2312" w:hint="eastAsia"/>
                <w:snapToGrid/>
                <w:spacing w:val="0"/>
                <w:sz w:val="20"/>
              </w:rPr>
              <w:t xml:space="preserve">  </w:t>
            </w:r>
            <w:r>
              <w:rPr>
                <w:rFonts w:eastAsia="KaiTi_GB2312" w:hint="eastAsia"/>
                <w:snapToGrid/>
                <w:spacing w:val="0"/>
                <w:sz w:val="20"/>
              </w:rPr>
              <w:t>约</w:t>
            </w:r>
          </w:p>
        </w:tc>
        <w:tc>
          <w:tcPr>
            <w:tcW w:w="2401" w:type="dxa"/>
            <w:tcBorders>
              <w:top w:val="single" w:sz="4" w:space="0" w:color="auto"/>
              <w:bottom w:val="single" w:sz="4" w:space="0" w:color="auto"/>
            </w:tcBorders>
          </w:tcPr>
          <w:p w:rsidR="00000000" w:rsidRDefault="00000000">
            <w:pPr>
              <w:spacing w:before="100" w:after="60" w:line="240" w:lineRule="exact"/>
              <w:jc w:val="center"/>
              <w:rPr>
                <w:rFonts w:eastAsia="KaiTi_GB2312" w:hint="eastAsia"/>
                <w:snapToGrid/>
                <w:spacing w:val="0"/>
                <w:sz w:val="20"/>
              </w:rPr>
            </w:pPr>
            <w:r>
              <w:rPr>
                <w:rFonts w:eastAsia="KaiTi_GB2312" w:hint="eastAsia"/>
                <w:snapToGrid/>
                <w:spacing w:val="0"/>
                <w:sz w:val="20"/>
              </w:rPr>
              <w:t>初次报告的提交</w:t>
            </w:r>
            <w:r>
              <w:rPr>
                <w:rFonts w:eastAsia="KaiTi_GB2312"/>
                <w:snapToGrid/>
                <w:spacing w:val="0"/>
                <w:sz w:val="20"/>
              </w:rPr>
              <w:br/>
            </w:r>
            <w:r>
              <w:rPr>
                <w:rFonts w:eastAsia="KaiTi_GB2312" w:hint="eastAsia"/>
                <w:snapToGrid/>
                <w:spacing w:val="0"/>
                <w:sz w:val="20"/>
              </w:rPr>
              <w:t>在条约对缔约国生效后</w:t>
            </w:r>
          </w:p>
        </w:tc>
        <w:tc>
          <w:tcPr>
            <w:tcW w:w="2977" w:type="dxa"/>
            <w:tcBorders>
              <w:top w:val="single" w:sz="4" w:space="0" w:color="auto"/>
              <w:bottom w:val="single" w:sz="4" w:space="0" w:color="auto"/>
            </w:tcBorders>
          </w:tcPr>
          <w:p w:rsidR="00000000" w:rsidRDefault="00000000">
            <w:pPr>
              <w:spacing w:before="100" w:after="60" w:line="240" w:lineRule="exact"/>
              <w:jc w:val="center"/>
              <w:rPr>
                <w:rFonts w:eastAsia="KaiTi_GB2312" w:hint="eastAsia"/>
                <w:snapToGrid/>
                <w:spacing w:val="0"/>
                <w:sz w:val="20"/>
              </w:rPr>
            </w:pPr>
            <w:r>
              <w:rPr>
                <w:rFonts w:eastAsia="KaiTi_GB2312" w:hint="eastAsia"/>
                <w:snapToGrid/>
                <w:spacing w:val="0"/>
                <w:sz w:val="20"/>
              </w:rPr>
              <w:t>定期报告提交频率</w:t>
            </w:r>
          </w:p>
        </w:tc>
      </w:tr>
      <w:tr w:rsidR="00000000">
        <w:tblPrEx>
          <w:tblCellMar>
            <w:top w:w="0" w:type="dxa"/>
            <w:bottom w:w="0" w:type="dxa"/>
          </w:tblCellMar>
        </w:tblPrEx>
        <w:tc>
          <w:tcPr>
            <w:tcW w:w="4032" w:type="dxa"/>
            <w:tcBorders>
              <w:top w:val="single" w:sz="4" w:space="0" w:color="auto"/>
            </w:tcBorders>
          </w:tcPr>
          <w:p w:rsidR="00000000" w:rsidRDefault="00000000">
            <w:pPr>
              <w:spacing w:line="240" w:lineRule="exact"/>
              <w:rPr>
                <w:rFonts w:hint="eastAsia"/>
                <w:snapToGrid/>
                <w:sz w:val="20"/>
              </w:rPr>
            </w:pPr>
            <w:r>
              <w:rPr>
                <w:rFonts w:hint="eastAsia"/>
                <w:snapToGrid/>
                <w:sz w:val="20"/>
              </w:rPr>
              <w:t>《消除种族歧视公约》</w:t>
            </w:r>
          </w:p>
        </w:tc>
        <w:tc>
          <w:tcPr>
            <w:tcW w:w="2401" w:type="dxa"/>
            <w:tcBorders>
              <w:top w:val="single" w:sz="4" w:space="0" w:color="auto"/>
            </w:tcBorders>
          </w:tcPr>
          <w:p w:rsidR="00000000" w:rsidRDefault="00000000">
            <w:pPr>
              <w:spacing w:line="240" w:lineRule="exact"/>
              <w:jc w:val="center"/>
              <w:rPr>
                <w:rFonts w:hint="eastAsia"/>
                <w:snapToGrid/>
                <w:sz w:val="20"/>
              </w:rPr>
            </w:pPr>
            <w:r>
              <w:rPr>
                <w:snapToGrid/>
                <w:sz w:val="20"/>
              </w:rPr>
              <w:t>1</w:t>
            </w:r>
            <w:r>
              <w:rPr>
                <w:rFonts w:hint="eastAsia"/>
                <w:snapToGrid/>
                <w:sz w:val="20"/>
              </w:rPr>
              <w:t>年内</w:t>
            </w:r>
          </w:p>
        </w:tc>
        <w:tc>
          <w:tcPr>
            <w:tcW w:w="2977" w:type="dxa"/>
            <w:tcBorders>
              <w:top w:val="single" w:sz="4" w:space="0" w:color="auto"/>
            </w:tcBorders>
          </w:tcPr>
          <w:p w:rsidR="00000000" w:rsidRDefault="00000000">
            <w:pPr>
              <w:spacing w:line="240" w:lineRule="exact"/>
              <w:rPr>
                <w:rFonts w:hint="eastAsia"/>
                <w:snapToGrid/>
                <w:sz w:val="20"/>
              </w:rPr>
            </w:pPr>
            <w:r>
              <w:rPr>
                <w:rFonts w:hint="eastAsia"/>
                <w:snapToGrid/>
                <w:sz w:val="20"/>
              </w:rPr>
              <w:t>每</w:t>
            </w:r>
            <w:r>
              <w:rPr>
                <w:snapToGrid/>
                <w:sz w:val="20"/>
              </w:rPr>
              <w:t>2</w:t>
            </w:r>
            <w:r>
              <w:rPr>
                <w:rFonts w:hint="eastAsia"/>
                <w:snapToGrid/>
                <w:sz w:val="20"/>
              </w:rPr>
              <w:t>年一次</w:t>
            </w:r>
          </w:p>
        </w:tc>
      </w:tr>
      <w:tr w:rsidR="00000000">
        <w:tblPrEx>
          <w:tblCellMar>
            <w:top w:w="0" w:type="dxa"/>
            <w:bottom w:w="0" w:type="dxa"/>
          </w:tblCellMar>
        </w:tblPrEx>
        <w:tc>
          <w:tcPr>
            <w:tcW w:w="4032" w:type="dxa"/>
          </w:tcPr>
          <w:p w:rsidR="00000000" w:rsidRDefault="00000000">
            <w:pPr>
              <w:spacing w:line="240" w:lineRule="exact"/>
              <w:rPr>
                <w:rFonts w:hint="eastAsia"/>
                <w:snapToGrid/>
                <w:sz w:val="20"/>
              </w:rPr>
            </w:pPr>
            <w:r>
              <w:rPr>
                <w:rFonts w:hint="eastAsia"/>
                <w:sz w:val="20"/>
              </w:rPr>
              <w:t>《经社文权利公约》</w:t>
            </w:r>
          </w:p>
        </w:tc>
        <w:tc>
          <w:tcPr>
            <w:tcW w:w="2401" w:type="dxa"/>
          </w:tcPr>
          <w:p w:rsidR="00000000" w:rsidRDefault="00000000">
            <w:pPr>
              <w:spacing w:line="240" w:lineRule="exact"/>
              <w:jc w:val="center"/>
              <w:rPr>
                <w:rFonts w:hint="eastAsia"/>
                <w:snapToGrid/>
                <w:sz w:val="20"/>
              </w:rPr>
            </w:pPr>
            <w:r>
              <w:rPr>
                <w:sz w:val="20"/>
              </w:rPr>
              <w:t>2</w:t>
            </w:r>
            <w:r>
              <w:rPr>
                <w:rFonts w:hint="eastAsia"/>
                <w:sz w:val="20"/>
              </w:rPr>
              <w:t>年内</w:t>
            </w:r>
          </w:p>
        </w:tc>
        <w:tc>
          <w:tcPr>
            <w:tcW w:w="2977" w:type="dxa"/>
          </w:tcPr>
          <w:p w:rsidR="00000000" w:rsidRDefault="00000000">
            <w:pPr>
              <w:spacing w:line="240" w:lineRule="exact"/>
              <w:rPr>
                <w:rFonts w:hint="eastAsia"/>
                <w:snapToGrid/>
                <w:sz w:val="20"/>
              </w:rPr>
            </w:pPr>
            <w:r>
              <w:rPr>
                <w:rFonts w:hint="eastAsia"/>
                <w:sz w:val="20"/>
              </w:rPr>
              <w:t>每</w:t>
            </w:r>
            <w:r>
              <w:rPr>
                <w:sz w:val="20"/>
              </w:rPr>
              <w:t>5</w:t>
            </w:r>
            <w:r>
              <w:rPr>
                <w:rFonts w:hint="eastAsia"/>
                <w:sz w:val="20"/>
              </w:rPr>
              <w:t>年一次</w:t>
            </w:r>
          </w:p>
        </w:tc>
      </w:tr>
      <w:tr w:rsidR="00000000">
        <w:tblPrEx>
          <w:tblCellMar>
            <w:top w:w="0" w:type="dxa"/>
            <w:bottom w:w="0" w:type="dxa"/>
          </w:tblCellMar>
        </w:tblPrEx>
        <w:tc>
          <w:tcPr>
            <w:tcW w:w="4032" w:type="dxa"/>
          </w:tcPr>
          <w:p w:rsidR="00000000" w:rsidRDefault="00000000">
            <w:pPr>
              <w:spacing w:line="240" w:lineRule="exact"/>
              <w:rPr>
                <w:rFonts w:hint="eastAsia"/>
                <w:snapToGrid/>
                <w:sz w:val="20"/>
              </w:rPr>
            </w:pPr>
            <w:r>
              <w:rPr>
                <w:rFonts w:hint="eastAsia"/>
                <w:snapToGrid/>
                <w:sz w:val="20"/>
              </w:rPr>
              <w:t>《公民权利和政治权利公约》</w:t>
            </w:r>
          </w:p>
        </w:tc>
        <w:tc>
          <w:tcPr>
            <w:tcW w:w="2401" w:type="dxa"/>
          </w:tcPr>
          <w:p w:rsidR="00000000" w:rsidRDefault="00000000">
            <w:pPr>
              <w:spacing w:line="240" w:lineRule="exact"/>
              <w:jc w:val="center"/>
              <w:rPr>
                <w:rFonts w:hint="eastAsia"/>
                <w:snapToGrid/>
                <w:sz w:val="20"/>
              </w:rPr>
            </w:pPr>
            <w:r>
              <w:rPr>
                <w:snapToGrid/>
                <w:sz w:val="20"/>
              </w:rPr>
              <w:t>1</w:t>
            </w:r>
            <w:r>
              <w:rPr>
                <w:rFonts w:hint="eastAsia"/>
                <w:snapToGrid/>
                <w:sz w:val="20"/>
              </w:rPr>
              <w:t>年内</w:t>
            </w:r>
          </w:p>
        </w:tc>
        <w:tc>
          <w:tcPr>
            <w:tcW w:w="2977" w:type="dxa"/>
          </w:tcPr>
          <w:p w:rsidR="00000000" w:rsidRDefault="00000000">
            <w:pPr>
              <w:spacing w:line="240" w:lineRule="exact"/>
              <w:rPr>
                <w:rFonts w:hint="eastAsia"/>
                <w:snapToGrid/>
                <w:sz w:val="20"/>
                <w:vertAlign w:val="superscript"/>
              </w:rPr>
            </w:pPr>
            <w:r>
              <w:rPr>
                <w:rFonts w:hint="eastAsia"/>
                <w:snapToGrid/>
                <w:sz w:val="20"/>
              </w:rPr>
              <w:t>每</w:t>
            </w:r>
            <w:r>
              <w:rPr>
                <w:snapToGrid/>
                <w:sz w:val="20"/>
              </w:rPr>
              <w:t>4</w:t>
            </w:r>
            <w:r>
              <w:rPr>
                <w:rFonts w:hint="eastAsia"/>
                <w:snapToGrid/>
                <w:sz w:val="20"/>
              </w:rPr>
              <w:t>年一次</w:t>
            </w:r>
            <w:r>
              <w:rPr>
                <w:noProof/>
                <w:snapToGrid/>
                <w:sz w:val="20"/>
                <w:szCs w:val="22"/>
                <w:vertAlign w:val="superscript"/>
              </w:rPr>
              <w:t>†</w:t>
            </w:r>
          </w:p>
        </w:tc>
      </w:tr>
      <w:tr w:rsidR="00000000">
        <w:tblPrEx>
          <w:tblCellMar>
            <w:top w:w="0" w:type="dxa"/>
            <w:bottom w:w="0" w:type="dxa"/>
          </w:tblCellMar>
        </w:tblPrEx>
        <w:tc>
          <w:tcPr>
            <w:tcW w:w="4032" w:type="dxa"/>
          </w:tcPr>
          <w:p w:rsidR="00000000" w:rsidRDefault="00000000">
            <w:pPr>
              <w:spacing w:line="240" w:lineRule="exact"/>
              <w:rPr>
                <w:rFonts w:hint="eastAsia"/>
                <w:snapToGrid/>
                <w:sz w:val="20"/>
              </w:rPr>
            </w:pPr>
            <w:r>
              <w:rPr>
                <w:rFonts w:hint="eastAsia"/>
                <w:snapToGrid/>
                <w:sz w:val="20"/>
              </w:rPr>
              <w:t>《消除对妇女歧视公约》</w:t>
            </w:r>
          </w:p>
        </w:tc>
        <w:tc>
          <w:tcPr>
            <w:tcW w:w="2401" w:type="dxa"/>
          </w:tcPr>
          <w:p w:rsidR="00000000" w:rsidRDefault="00000000">
            <w:pPr>
              <w:spacing w:line="240" w:lineRule="exact"/>
              <w:jc w:val="center"/>
              <w:rPr>
                <w:rFonts w:hint="eastAsia"/>
                <w:snapToGrid/>
                <w:sz w:val="20"/>
              </w:rPr>
            </w:pPr>
            <w:r>
              <w:rPr>
                <w:snapToGrid/>
                <w:sz w:val="20"/>
              </w:rPr>
              <w:t>1</w:t>
            </w:r>
            <w:r>
              <w:rPr>
                <w:rFonts w:hint="eastAsia"/>
                <w:snapToGrid/>
                <w:sz w:val="20"/>
              </w:rPr>
              <w:t>年内</w:t>
            </w:r>
          </w:p>
        </w:tc>
        <w:tc>
          <w:tcPr>
            <w:tcW w:w="2977" w:type="dxa"/>
          </w:tcPr>
          <w:p w:rsidR="00000000" w:rsidRDefault="00000000">
            <w:pPr>
              <w:spacing w:line="240" w:lineRule="exact"/>
              <w:rPr>
                <w:rFonts w:hint="eastAsia"/>
                <w:snapToGrid/>
                <w:sz w:val="20"/>
              </w:rPr>
            </w:pPr>
            <w:r>
              <w:rPr>
                <w:rFonts w:hint="eastAsia"/>
                <w:snapToGrid/>
                <w:sz w:val="20"/>
              </w:rPr>
              <w:t>每</w:t>
            </w:r>
            <w:r>
              <w:rPr>
                <w:snapToGrid/>
                <w:sz w:val="20"/>
              </w:rPr>
              <w:t>4</w:t>
            </w:r>
            <w:r>
              <w:rPr>
                <w:rFonts w:hint="eastAsia"/>
                <w:snapToGrid/>
                <w:sz w:val="20"/>
              </w:rPr>
              <w:t>年一次</w:t>
            </w:r>
          </w:p>
        </w:tc>
      </w:tr>
      <w:tr w:rsidR="00000000">
        <w:tblPrEx>
          <w:tblCellMar>
            <w:top w:w="0" w:type="dxa"/>
            <w:bottom w:w="0" w:type="dxa"/>
          </w:tblCellMar>
        </w:tblPrEx>
        <w:tc>
          <w:tcPr>
            <w:tcW w:w="4032" w:type="dxa"/>
          </w:tcPr>
          <w:p w:rsidR="00000000" w:rsidRDefault="00000000">
            <w:pPr>
              <w:spacing w:line="240" w:lineRule="exact"/>
              <w:rPr>
                <w:rFonts w:hint="eastAsia"/>
                <w:snapToGrid/>
                <w:sz w:val="20"/>
              </w:rPr>
            </w:pPr>
            <w:r>
              <w:rPr>
                <w:rFonts w:hint="eastAsia"/>
                <w:snapToGrid/>
                <w:sz w:val="20"/>
              </w:rPr>
              <w:t>《禁止酷刑公约》</w:t>
            </w:r>
          </w:p>
        </w:tc>
        <w:tc>
          <w:tcPr>
            <w:tcW w:w="2401" w:type="dxa"/>
          </w:tcPr>
          <w:p w:rsidR="00000000" w:rsidRDefault="00000000">
            <w:pPr>
              <w:spacing w:line="240" w:lineRule="exact"/>
              <w:jc w:val="center"/>
              <w:rPr>
                <w:rFonts w:hint="eastAsia"/>
                <w:snapToGrid/>
                <w:sz w:val="20"/>
              </w:rPr>
            </w:pPr>
            <w:r>
              <w:rPr>
                <w:snapToGrid/>
                <w:sz w:val="20"/>
              </w:rPr>
              <w:t>1</w:t>
            </w:r>
            <w:r>
              <w:rPr>
                <w:rFonts w:hint="eastAsia"/>
                <w:snapToGrid/>
                <w:sz w:val="20"/>
              </w:rPr>
              <w:t>年内</w:t>
            </w:r>
          </w:p>
        </w:tc>
        <w:tc>
          <w:tcPr>
            <w:tcW w:w="2977" w:type="dxa"/>
          </w:tcPr>
          <w:p w:rsidR="00000000" w:rsidRDefault="00000000">
            <w:pPr>
              <w:spacing w:line="240" w:lineRule="exact"/>
              <w:rPr>
                <w:rFonts w:hint="eastAsia"/>
                <w:snapToGrid/>
                <w:sz w:val="20"/>
              </w:rPr>
            </w:pPr>
            <w:r>
              <w:rPr>
                <w:rFonts w:hint="eastAsia"/>
                <w:snapToGrid/>
                <w:sz w:val="20"/>
              </w:rPr>
              <w:t>每</w:t>
            </w:r>
            <w:r>
              <w:rPr>
                <w:rFonts w:hint="eastAsia"/>
                <w:snapToGrid/>
                <w:sz w:val="20"/>
              </w:rPr>
              <w:t>4</w:t>
            </w:r>
            <w:r>
              <w:rPr>
                <w:rFonts w:hint="eastAsia"/>
                <w:snapToGrid/>
                <w:sz w:val="20"/>
              </w:rPr>
              <w:t>年一次</w:t>
            </w:r>
          </w:p>
        </w:tc>
      </w:tr>
      <w:tr w:rsidR="00000000">
        <w:tblPrEx>
          <w:tblCellMar>
            <w:top w:w="0" w:type="dxa"/>
            <w:bottom w:w="0" w:type="dxa"/>
          </w:tblCellMar>
        </w:tblPrEx>
        <w:tc>
          <w:tcPr>
            <w:tcW w:w="4032" w:type="dxa"/>
          </w:tcPr>
          <w:p w:rsidR="00000000" w:rsidRDefault="00000000">
            <w:pPr>
              <w:spacing w:line="240" w:lineRule="exact"/>
              <w:rPr>
                <w:rFonts w:hint="eastAsia"/>
                <w:snapToGrid/>
                <w:sz w:val="20"/>
              </w:rPr>
            </w:pPr>
            <w:r>
              <w:rPr>
                <w:rFonts w:hint="eastAsia"/>
                <w:snapToGrid/>
                <w:sz w:val="20"/>
              </w:rPr>
              <w:t>《儿童权利公约》</w:t>
            </w:r>
          </w:p>
        </w:tc>
        <w:tc>
          <w:tcPr>
            <w:tcW w:w="2401" w:type="dxa"/>
          </w:tcPr>
          <w:p w:rsidR="00000000" w:rsidRDefault="00000000">
            <w:pPr>
              <w:spacing w:line="240" w:lineRule="exact"/>
              <w:jc w:val="center"/>
              <w:rPr>
                <w:rFonts w:hint="eastAsia"/>
                <w:snapToGrid/>
                <w:sz w:val="20"/>
              </w:rPr>
            </w:pPr>
            <w:r>
              <w:rPr>
                <w:snapToGrid/>
                <w:sz w:val="20"/>
              </w:rPr>
              <w:t>2</w:t>
            </w:r>
            <w:r>
              <w:rPr>
                <w:rFonts w:hint="eastAsia"/>
                <w:snapToGrid/>
                <w:sz w:val="20"/>
              </w:rPr>
              <w:t>年内</w:t>
            </w:r>
          </w:p>
        </w:tc>
        <w:tc>
          <w:tcPr>
            <w:tcW w:w="2977" w:type="dxa"/>
          </w:tcPr>
          <w:p w:rsidR="00000000" w:rsidRDefault="00000000">
            <w:pPr>
              <w:spacing w:line="240" w:lineRule="exact"/>
              <w:rPr>
                <w:rFonts w:hint="eastAsia"/>
                <w:snapToGrid/>
                <w:sz w:val="20"/>
              </w:rPr>
            </w:pPr>
            <w:r>
              <w:rPr>
                <w:rFonts w:hint="eastAsia"/>
                <w:snapToGrid/>
                <w:sz w:val="20"/>
              </w:rPr>
              <w:t>每</w:t>
            </w:r>
            <w:r>
              <w:rPr>
                <w:snapToGrid/>
                <w:sz w:val="20"/>
              </w:rPr>
              <w:t>5</w:t>
            </w:r>
            <w:r>
              <w:rPr>
                <w:rFonts w:hint="eastAsia"/>
                <w:snapToGrid/>
                <w:sz w:val="20"/>
              </w:rPr>
              <w:t>年一次</w:t>
            </w:r>
          </w:p>
        </w:tc>
      </w:tr>
      <w:tr w:rsidR="00000000">
        <w:tblPrEx>
          <w:tblCellMar>
            <w:top w:w="0" w:type="dxa"/>
            <w:bottom w:w="0" w:type="dxa"/>
          </w:tblCellMar>
        </w:tblPrEx>
        <w:tc>
          <w:tcPr>
            <w:tcW w:w="4032" w:type="dxa"/>
          </w:tcPr>
          <w:p w:rsidR="00000000" w:rsidRDefault="00000000">
            <w:pPr>
              <w:spacing w:line="240" w:lineRule="exact"/>
              <w:rPr>
                <w:rFonts w:hint="eastAsia"/>
                <w:snapToGrid/>
                <w:sz w:val="20"/>
              </w:rPr>
            </w:pPr>
            <w:r>
              <w:rPr>
                <w:rFonts w:hint="eastAsia"/>
                <w:snapToGrid/>
                <w:sz w:val="20"/>
              </w:rPr>
              <w:t>《保护移徙工人权利公约》</w:t>
            </w:r>
          </w:p>
        </w:tc>
        <w:tc>
          <w:tcPr>
            <w:tcW w:w="2401" w:type="dxa"/>
          </w:tcPr>
          <w:p w:rsidR="00000000" w:rsidRDefault="00000000">
            <w:pPr>
              <w:spacing w:line="240" w:lineRule="exact"/>
              <w:jc w:val="center"/>
              <w:rPr>
                <w:rFonts w:hint="eastAsia"/>
                <w:snapToGrid/>
                <w:sz w:val="20"/>
              </w:rPr>
            </w:pPr>
            <w:r>
              <w:rPr>
                <w:snapToGrid/>
                <w:sz w:val="20"/>
              </w:rPr>
              <w:t>1</w:t>
            </w:r>
            <w:r>
              <w:rPr>
                <w:rFonts w:hint="eastAsia"/>
                <w:snapToGrid/>
                <w:sz w:val="20"/>
              </w:rPr>
              <w:t>年内</w:t>
            </w:r>
          </w:p>
        </w:tc>
        <w:tc>
          <w:tcPr>
            <w:tcW w:w="2977" w:type="dxa"/>
          </w:tcPr>
          <w:p w:rsidR="00000000" w:rsidRDefault="00000000">
            <w:pPr>
              <w:spacing w:line="240" w:lineRule="exact"/>
              <w:rPr>
                <w:rFonts w:hint="eastAsia"/>
                <w:snapToGrid/>
                <w:sz w:val="20"/>
              </w:rPr>
            </w:pPr>
            <w:r>
              <w:rPr>
                <w:rFonts w:hint="eastAsia"/>
                <w:snapToGrid/>
                <w:sz w:val="20"/>
              </w:rPr>
              <w:t>每</w:t>
            </w:r>
            <w:r>
              <w:rPr>
                <w:rFonts w:hint="eastAsia"/>
                <w:snapToGrid/>
                <w:sz w:val="20"/>
              </w:rPr>
              <w:t>5</w:t>
            </w:r>
            <w:r>
              <w:rPr>
                <w:rFonts w:hint="eastAsia"/>
                <w:snapToGrid/>
                <w:sz w:val="20"/>
              </w:rPr>
              <w:t>年一次</w:t>
            </w:r>
          </w:p>
        </w:tc>
      </w:tr>
      <w:tr w:rsidR="00000000">
        <w:tblPrEx>
          <w:tblCellMar>
            <w:top w:w="0" w:type="dxa"/>
            <w:bottom w:w="0" w:type="dxa"/>
          </w:tblCellMar>
        </w:tblPrEx>
        <w:tc>
          <w:tcPr>
            <w:tcW w:w="4032" w:type="dxa"/>
          </w:tcPr>
          <w:p w:rsidR="00000000" w:rsidRDefault="00000000">
            <w:pPr>
              <w:pStyle w:val="cdL1"/>
              <w:widowControl/>
              <w:tabs>
                <w:tab w:val="clear" w:pos="510"/>
              </w:tabs>
              <w:spacing w:before="100" w:after="60" w:line="240" w:lineRule="exact"/>
              <w:rPr>
                <w:rFonts w:hint="eastAsia"/>
                <w:sz w:val="20"/>
              </w:rPr>
            </w:pPr>
            <w:r>
              <w:rPr>
                <w:rFonts w:hint="eastAsia"/>
                <w:sz w:val="20"/>
              </w:rPr>
              <w:t>《儿童权利公约关于买卖儿童、儿童卖淫和儿童色情制品问题的任择议定书》</w:t>
            </w:r>
          </w:p>
        </w:tc>
        <w:tc>
          <w:tcPr>
            <w:tcW w:w="2401" w:type="dxa"/>
          </w:tcPr>
          <w:p w:rsidR="00000000" w:rsidRDefault="00000000">
            <w:pPr>
              <w:spacing w:before="100" w:after="60" w:line="240" w:lineRule="exact"/>
              <w:jc w:val="center"/>
              <w:rPr>
                <w:rFonts w:hint="eastAsia"/>
                <w:snapToGrid/>
                <w:sz w:val="20"/>
              </w:rPr>
            </w:pPr>
            <w:r>
              <w:rPr>
                <w:snapToGrid/>
                <w:sz w:val="20"/>
              </w:rPr>
              <w:t>2</w:t>
            </w:r>
            <w:r>
              <w:rPr>
                <w:rFonts w:hint="eastAsia"/>
                <w:snapToGrid/>
                <w:sz w:val="20"/>
              </w:rPr>
              <w:t>年内</w:t>
            </w:r>
          </w:p>
        </w:tc>
        <w:tc>
          <w:tcPr>
            <w:tcW w:w="2977" w:type="dxa"/>
          </w:tcPr>
          <w:p w:rsidR="00000000" w:rsidRDefault="00000000">
            <w:pPr>
              <w:spacing w:before="100" w:after="60" w:line="240" w:lineRule="exact"/>
              <w:rPr>
                <w:rFonts w:hint="eastAsia"/>
                <w:snapToGrid/>
                <w:sz w:val="20"/>
              </w:rPr>
            </w:pPr>
            <w:r>
              <w:rPr>
                <w:rFonts w:hint="eastAsia"/>
                <w:snapToGrid/>
                <w:sz w:val="20"/>
              </w:rPr>
              <w:t>每</w:t>
            </w:r>
            <w:r>
              <w:rPr>
                <w:rFonts w:hint="eastAsia"/>
                <w:snapToGrid/>
                <w:sz w:val="20"/>
              </w:rPr>
              <w:t>5</w:t>
            </w:r>
            <w:r>
              <w:rPr>
                <w:rFonts w:hint="eastAsia"/>
                <w:snapToGrid/>
                <w:sz w:val="20"/>
              </w:rPr>
              <w:t>年一次或随同下次</w:t>
            </w:r>
            <w:r>
              <w:rPr>
                <w:rFonts w:hint="eastAsia"/>
                <w:sz w:val="20"/>
              </w:rPr>
              <w:t>《儿童权利公约》报告</w:t>
            </w:r>
          </w:p>
        </w:tc>
      </w:tr>
      <w:tr w:rsidR="00000000">
        <w:tblPrEx>
          <w:tblCellMar>
            <w:top w:w="0" w:type="dxa"/>
            <w:bottom w:w="0" w:type="dxa"/>
          </w:tblCellMar>
        </w:tblPrEx>
        <w:tc>
          <w:tcPr>
            <w:tcW w:w="4032" w:type="dxa"/>
            <w:tcBorders>
              <w:bottom w:val="single" w:sz="4" w:space="0" w:color="auto"/>
            </w:tcBorders>
          </w:tcPr>
          <w:p w:rsidR="00000000" w:rsidRDefault="00000000">
            <w:pPr>
              <w:pStyle w:val="cdL1"/>
              <w:widowControl/>
              <w:tabs>
                <w:tab w:val="clear" w:pos="510"/>
              </w:tabs>
              <w:spacing w:before="100" w:after="60" w:line="240" w:lineRule="exact"/>
              <w:rPr>
                <w:rFonts w:hint="eastAsia"/>
                <w:sz w:val="20"/>
              </w:rPr>
            </w:pPr>
            <w:r>
              <w:rPr>
                <w:rFonts w:hint="eastAsia"/>
                <w:sz w:val="20"/>
              </w:rPr>
              <w:t>《儿童权利公约关于儿童卷入武装冲突问题的任择议定书》</w:t>
            </w:r>
          </w:p>
        </w:tc>
        <w:tc>
          <w:tcPr>
            <w:tcW w:w="2401" w:type="dxa"/>
            <w:tcBorders>
              <w:bottom w:val="single" w:sz="4" w:space="0" w:color="auto"/>
            </w:tcBorders>
          </w:tcPr>
          <w:p w:rsidR="00000000" w:rsidRDefault="00000000">
            <w:pPr>
              <w:spacing w:before="100" w:after="60" w:line="240" w:lineRule="exact"/>
              <w:jc w:val="center"/>
              <w:rPr>
                <w:rFonts w:hint="eastAsia"/>
                <w:snapToGrid/>
                <w:sz w:val="20"/>
              </w:rPr>
            </w:pPr>
            <w:r>
              <w:rPr>
                <w:rFonts w:hint="eastAsia"/>
                <w:sz w:val="20"/>
              </w:rPr>
              <w:t>2</w:t>
            </w:r>
            <w:r>
              <w:rPr>
                <w:rFonts w:hint="eastAsia"/>
                <w:sz w:val="20"/>
              </w:rPr>
              <w:t>年内</w:t>
            </w:r>
          </w:p>
        </w:tc>
        <w:tc>
          <w:tcPr>
            <w:tcW w:w="2977" w:type="dxa"/>
            <w:tcBorders>
              <w:bottom w:val="single" w:sz="4" w:space="0" w:color="auto"/>
            </w:tcBorders>
          </w:tcPr>
          <w:p w:rsidR="00000000" w:rsidRDefault="00000000">
            <w:pPr>
              <w:spacing w:before="100" w:after="60" w:line="240" w:lineRule="exact"/>
              <w:rPr>
                <w:rFonts w:hint="eastAsia"/>
                <w:snapToGrid/>
                <w:sz w:val="20"/>
              </w:rPr>
            </w:pPr>
            <w:r>
              <w:rPr>
                <w:rFonts w:hint="eastAsia"/>
                <w:sz w:val="20"/>
              </w:rPr>
              <w:t>每</w:t>
            </w:r>
            <w:r>
              <w:rPr>
                <w:rFonts w:hint="eastAsia"/>
                <w:sz w:val="20"/>
              </w:rPr>
              <w:t>5</w:t>
            </w:r>
            <w:r>
              <w:rPr>
                <w:rFonts w:hint="eastAsia"/>
                <w:sz w:val="20"/>
              </w:rPr>
              <w:t>年一次或随同下次《儿童权利公约》报告</w:t>
            </w:r>
          </w:p>
        </w:tc>
      </w:tr>
      <w:tr w:rsidR="00000000">
        <w:tblPrEx>
          <w:tblCellMar>
            <w:top w:w="0" w:type="dxa"/>
            <w:bottom w:w="0" w:type="dxa"/>
          </w:tblCellMar>
        </w:tblPrEx>
        <w:trPr>
          <w:cantSplit/>
        </w:trPr>
        <w:tc>
          <w:tcPr>
            <w:tcW w:w="9410" w:type="dxa"/>
            <w:gridSpan w:val="3"/>
            <w:tcBorders>
              <w:top w:val="single" w:sz="4" w:space="0" w:color="auto"/>
              <w:bottom w:val="single" w:sz="4" w:space="0" w:color="auto"/>
            </w:tcBorders>
          </w:tcPr>
          <w:p w:rsidR="00000000" w:rsidRDefault="00000000">
            <w:pPr>
              <w:pStyle w:val="cdL1"/>
              <w:widowControl/>
              <w:tabs>
                <w:tab w:val="clear" w:pos="510"/>
              </w:tabs>
              <w:spacing w:before="120" w:line="240" w:lineRule="exact"/>
              <w:ind w:left="420" w:hanging="420"/>
              <w:rPr>
                <w:rFonts w:hint="eastAsia"/>
                <w:spacing w:val="10"/>
                <w:sz w:val="20"/>
              </w:rPr>
            </w:pPr>
            <w:r>
              <w:rPr>
                <w:rFonts w:hint="eastAsia"/>
                <w:spacing w:val="10"/>
                <w:sz w:val="20"/>
              </w:rPr>
              <w:t xml:space="preserve">*  </w:t>
            </w:r>
            <w:r>
              <w:rPr>
                <w:rFonts w:hint="eastAsia"/>
                <w:spacing w:val="10"/>
                <w:sz w:val="20"/>
              </w:rPr>
              <w:t>该公约第十七条并没有规定报告提交定期，但规定经济及社会理事会可酌情自行制订报告提交计划。</w:t>
            </w:r>
          </w:p>
          <w:p w:rsidR="00000000" w:rsidRDefault="00000000">
            <w:pPr>
              <w:pStyle w:val="cdL1"/>
              <w:widowControl/>
              <w:tabs>
                <w:tab w:val="clear" w:pos="510"/>
              </w:tabs>
              <w:spacing w:after="120" w:line="240" w:lineRule="exact"/>
              <w:ind w:left="420" w:hanging="420"/>
              <w:rPr>
                <w:rFonts w:hint="eastAsia"/>
                <w:spacing w:val="10"/>
                <w:sz w:val="20"/>
              </w:rPr>
            </w:pPr>
            <w:r>
              <w:rPr>
                <w:noProof/>
                <w:spacing w:val="10"/>
                <w:sz w:val="20"/>
                <w:szCs w:val="22"/>
              </w:rPr>
              <w:t>†</w:t>
            </w:r>
            <w:r>
              <w:rPr>
                <w:rFonts w:hint="eastAsia"/>
                <w:noProof/>
                <w:spacing w:val="10"/>
                <w:sz w:val="20"/>
                <w:szCs w:val="22"/>
              </w:rPr>
              <w:t xml:space="preserve"> </w:t>
            </w:r>
            <w:r>
              <w:rPr>
                <w:rFonts w:hint="eastAsia"/>
                <w:spacing w:val="10"/>
                <w:sz w:val="20"/>
              </w:rPr>
              <w:t>《公约》第四十条规定人权事务委员会可酌情决定定期报告提交的间隔时间。通常，定期报告每</w:t>
            </w:r>
            <w:r>
              <w:rPr>
                <w:rFonts w:hint="eastAsia"/>
                <w:spacing w:val="10"/>
                <w:sz w:val="20"/>
              </w:rPr>
              <w:t>4</w:t>
            </w:r>
            <w:r>
              <w:rPr>
                <w:rFonts w:hint="eastAsia"/>
                <w:spacing w:val="10"/>
                <w:sz w:val="20"/>
              </w:rPr>
              <w:t>年提交一次。</w:t>
            </w:r>
          </w:p>
        </w:tc>
      </w:tr>
    </w:tbl>
    <w:p w:rsidR="00000000" w:rsidRDefault="00000000">
      <w:pPr>
        <w:rPr>
          <w:rFonts w:hint="eastAsia"/>
          <w:snapToGrid/>
        </w:rPr>
      </w:pPr>
    </w:p>
    <w:p w:rsidR="00000000" w:rsidRDefault="00000000">
      <w:pPr>
        <w:pStyle w:val="cdL1"/>
        <w:widowControl/>
        <w:tabs>
          <w:tab w:val="clear" w:pos="510"/>
        </w:tabs>
        <w:rPr>
          <w:rFonts w:hint="eastAsia"/>
          <w:spacing w:val="10"/>
        </w:rPr>
      </w:pPr>
      <w:r>
        <w:rPr>
          <w:rFonts w:hint="eastAsia"/>
          <w:spacing w:val="10"/>
        </w:rPr>
        <w:tab/>
      </w:r>
      <w:r>
        <w:rPr>
          <w:spacing w:val="10"/>
        </w:rPr>
        <w:t xml:space="preserve">17.  </w:t>
      </w:r>
      <w:r>
        <w:rPr>
          <w:rFonts w:hint="eastAsia"/>
          <w:spacing w:val="10"/>
        </w:rPr>
        <w:t>条约和条约机构数目的增加没有规律，而且各机构的规定和职权重叠。这就造成了重复现象。现有机构采用不同的工作方法，从而损害了本制度的一致性，并使缔约国和参与该制度活动的其他行为者感到缺乏明确性。目前，各条约机构在报告审议工作的安排方面缺乏协调。一个缔约国可能被要求在一个月有时甚至一周内向好几个委员会提出报告，许多缔约国在同一年中须参加好几个委员会的审议活动。条约机构在报告审议方面采用不同的程序，这就使缔约国难以决定如何以最佳方式准备同委员会的对话并从中获益。若干条约机构可能对一缔约国提出相同的问题，该缔约国会发现，专门用于讨论条约问题的时间不多。条约机构之间的协调和协作有限，而且各机构采取不同做法，特别是在对待非政府组织、国家人权机构乃至整个联合国系统的作用方面，这些使得重复工作现象突出，并阻碍了与利害关系方的交流，他们认为本制度缺乏明确性。</w:t>
      </w:r>
    </w:p>
    <w:p w:rsidR="00000000" w:rsidRDefault="00000000">
      <w:pPr>
        <w:pStyle w:val="cdL1"/>
        <w:widowControl/>
        <w:tabs>
          <w:tab w:val="clear" w:pos="510"/>
        </w:tabs>
        <w:rPr>
          <w:rFonts w:hint="eastAsia"/>
          <w:spacing w:val="10"/>
        </w:rPr>
      </w:pPr>
      <w:r>
        <w:rPr>
          <w:rFonts w:hint="eastAsia"/>
          <w:spacing w:val="10"/>
        </w:rPr>
        <w:tab/>
      </w:r>
      <w:r>
        <w:rPr>
          <w:spacing w:val="10"/>
        </w:rPr>
        <w:t xml:space="preserve">18.  </w:t>
      </w:r>
      <w:r>
        <w:rPr>
          <w:rFonts w:hint="eastAsia"/>
          <w:spacing w:val="10"/>
        </w:rPr>
        <w:t>条约和批准书数目的增加，使得条约机构和秘书处的工作量激增，造成了报告和个人申诉工作的积压，并使资源需求上升。同时，条约机构资源不足，这些机构的会议时间不足以处理其工作量。个人申诉程序没有得到充分利用，但同时，从提交申诉到宣布最终裁决所需的时间目前约为</w:t>
      </w:r>
      <w:r>
        <w:rPr>
          <w:rFonts w:hint="eastAsia"/>
          <w:spacing w:val="10"/>
        </w:rPr>
        <w:t>30</w:t>
      </w:r>
      <w:r>
        <w:rPr>
          <w:rFonts w:hint="eastAsia"/>
          <w:spacing w:val="10"/>
        </w:rPr>
        <w:t>至</w:t>
      </w:r>
      <w:r>
        <w:rPr>
          <w:rFonts w:hint="eastAsia"/>
          <w:spacing w:val="10"/>
        </w:rPr>
        <w:t>33</w:t>
      </w:r>
      <w:r>
        <w:rPr>
          <w:rFonts w:hint="eastAsia"/>
          <w:spacing w:val="10"/>
        </w:rPr>
        <w:t>个月，这就对本制度为个人权利遭到严重侵犯情况提供补救办法的能力提出了严重质疑。如果申诉增加，那么对个人申诉的处理就会受到进一步拖延。</w:t>
      </w:r>
    </w:p>
    <w:p w:rsidR="00000000" w:rsidRDefault="00000000">
      <w:pPr>
        <w:pStyle w:val="cdL1"/>
        <w:widowControl/>
        <w:tabs>
          <w:tab w:val="clear" w:pos="510"/>
        </w:tabs>
        <w:rPr>
          <w:rFonts w:hint="eastAsia"/>
          <w:spacing w:val="10"/>
        </w:rPr>
      </w:pPr>
      <w:r>
        <w:rPr>
          <w:rFonts w:hint="eastAsia"/>
          <w:spacing w:val="10"/>
        </w:rPr>
        <w:tab/>
      </w:r>
      <w:r>
        <w:rPr>
          <w:spacing w:val="10"/>
        </w:rPr>
        <w:t xml:space="preserve">19.  </w:t>
      </w:r>
      <w:r>
        <w:rPr>
          <w:rFonts w:hint="eastAsia"/>
          <w:spacing w:val="10"/>
        </w:rPr>
        <w:t>针对上述难题，条约机构在秘书处支持下，设法提高效率，并设法单独和共同通过条约机构主持人会议和委员会间会议处理其中的一些问题。委员会间会议自</w:t>
      </w:r>
      <w:r>
        <w:rPr>
          <w:rFonts w:hint="eastAsia"/>
          <w:spacing w:val="10"/>
        </w:rPr>
        <w:t>2002</w:t>
      </w:r>
      <w:r>
        <w:rPr>
          <w:rFonts w:hint="eastAsia"/>
          <w:spacing w:val="10"/>
        </w:rPr>
        <w:t>年以来每年举行一次，该会议将各条约机构主持人和其他两名成员召集在一起。这些努力促成了一些改进和革新做法。对于长期拖欠报告的国家，各委员会现在在缺乏报告的情况下审议这些国家的状况，而且秘书处还可以开展技术合作，向缔约国提供协助。到</w:t>
      </w:r>
      <w:r>
        <w:rPr>
          <w:rFonts w:hint="eastAsia"/>
          <w:spacing w:val="10"/>
        </w:rPr>
        <w:t>200</w:t>
      </w:r>
      <w:r>
        <w:rPr>
          <w:spacing w:val="10"/>
        </w:rPr>
        <w:t>6</w:t>
      </w:r>
      <w:r>
        <w:rPr>
          <w:rFonts w:hint="eastAsia"/>
          <w:spacing w:val="10"/>
        </w:rPr>
        <w:t>年底，将有两个条约机构以两个分设机构的方式运作，以便提高其工作能力。条约机构的工作方法已在某些方面得到统一，但是，在与缔约国代表进行对话、问题清单、结论性意见以及公民社会和联合国实体在其工作中的作用等方面，各委员会仍在采用不同的做法。</w:t>
      </w:r>
    </w:p>
    <w:p w:rsidR="00000000" w:rsidRDefault="00000000">
      <w:pPr>
        <w:pStyle w:val="cdL1"/>
        <w:widowControl/>
        <w:tabs>
          <w:tab w:val="clear" w:pos="510"/>
        </w:tabs>
        <w:rPr>
          <w:spacing w:val="10"/>
        </w:rPr>
      </w:pPr>
      <w:r>
        <w:rPr>
          <w:rFonts w:hint="eastAsia"/>
          <w:spacing w:val="10"/>
        </w:rPr>
        <w:tab/>
      </w:r>
      <w:r>
        <w:rPr>
          <w:spacing w:val="10"/>
        </w:rPr>
        <w:t xml:space="preserve">20.  </w:t>
      </w:r>
      <w:r>
        <w:rPr>
          <w:rFonts w:hint="eastAsia"/>
          <w:spacing w:val="10"/>
        </w:rPr>
        <w:t>统一工作方法并简化报告准则，将有助于提高现行制度的可预测性。这些措施还应当便利国家提交报告并鼓励更多的国家尤其是小国和发展中国家批准公约，这将有助于实现普遍批准。还可以考虑采取附加措施。这些措施可以包括在相同时间举行条约机构届会，以鼓励协调和互动；以及使成员们有机会观摩或参加其他条约机构的届会等。条约机构也可以考虑联合审查缔约国的报告。可以通过由各条约机构拟订联合一般性评论，召集成立联合主题工作组以及协调议程、优先事项和目标，对实质性活动加以综合。主持人会议和委员会间会议也可行使正式的、安排恰当的协调职能，以便采取统一做法对待报告和申诉程序。</w:t>
      </w:r>
    </w:p>
    <w:p w:rsidR="00000000" w:rsidRDefault="00000000">
      <w:pPr>
        <w:rPr>
          <w:rFonts w:hint="eastAsia"/>
          <w:snapToGrid/>
        </w:rPr>
      </w:pPr>
      <w:r>
        <w:rPr>
          <w:rFonts w:hint="eastAsia"/>
          <w:snapToGrid/>
        </w:rPr>
        <w:tab/>
      </w:r>
      <w:r>
        <w:rPr>
          <w:snapToGrid/>
        </w:rPr>
        <w:t xml:space="preserve">21.  </w:t>
      </w:r>
      <w:r>
        <w:rPr>
          <w:rFonts w:hint="eastAsia"/>
          <w:snapToGrid/>
        </w:rPr>
        <w:t>但是，上述措施无法处理本制度面临的根本性难题。尽管取得了一些成绩，但除了学术界、与本制度直接接触的政府部门和官员以及专业法律工作者和非政府组织以外，本制度极少为其他人员和机构知晓。本条约机构制度很少被视为一个能够促成变革的便于利用和有效的机制。侵犯人权行为的受害者和公民社会行为者不熟悉这项制度复杂的程序，或者不了解该制度能够发挥的作用。媒体对该制度的报道不力，而且法律工作者和国内司法系统对条约机构判例的使用程度有限。条约机构成员对国家的访问仍然属于例外，而且该制度常常被认为脱离实地的现实，会议仅限于在日内瓦或纽约举行。向秘书处提交的申诉的数目，与受认可个人申诉程序的国家管辖的个人数目相比偏低，而且多数申诉针对的是少数缔约国。《禁止酷刑公约》和《消除对妇女的歧视公约》的调查程序极少得到采用，而国与国之间的申诉机制则从未被采用过。</w:t>
      </w:r>
    </w:p>
    <w:p w:rsidR="00000000" w:rsidRDefault="00000000">
      <w:pPr>
        <w:rPr>
          <w:rFonts w:hint="eastAsia"/>
          <w:snapToGrid/>
        </w:rPr>
      </w:pPr>
      <w:r>
        <w:rPr>
          <w:rFonts w:hint="eastAsia"/>
          <w:snapToGrid/>
        </w:rPr>
        <w:tab/>
      </w:r>
      <w:r>
        <w:rPr>
          <w:snapToGrid/>
        </w:rPr>
        <w:t xml:space="preserve">22.  </w:t>
      </w:r>
      <w:r>
        <w:rPr>
          <w:rFonts w:hint="eastAsia"/>
          <w:snapToGrid/>
        </w:rPr>
        <w:t>本制度的影响力与监督机构的权威相关，这种权威取决于监督进程，其产出和决策的质量，以及人们对所采用的程序的独立性和公正性的看法。现行制度的状况表明，各条约机构</w:t>
      </w:r>
      <w:r>
        <w:rPr>
          <w:rFonts w:hint="eastAsia"/>
          <w:snapToGrid/>
          <w:spacing w:val="-50"/>
        </w:rPr>
        <w:t>―</w:t>
      </w:r>
      <w:r>
        <w:rPr>
          <w:rFonts w:hint="eastAsia"/>
          <w:snapToGrid/>
        </w:rPr>
        <w:t>―由兼职、不领取报酬的专家组成，这些专家由缔约国从其国民中提名并经缔约国选举产生，有固定任期，可连选连任</w:t>
      </w:r>
      <w:r>
        <w:rPr>
          <w:rFonts w:hint="eastAsia"/>
          <w:snapToGrid/>
          <w:spacing w:val="-50"/>
        </w:rPr>
        <w:t>―</w:t>
      </w:r>
      <w:r>
        <w:rPr>
          <w:rFonts w:hint="eastAsia"/>
          <w:snapToGrid/>
        </w:rPr>
        <w:t>―在专门知识和独立性及地域分配、主要法系的代表性和性别平衡等方面不均衡。另外，由于承担多项工作，一些条约机构委员无法拨出时间从事委员会的工作，有些委员无法出席届会。由于委员会委员的任期数目不受限制，有些委员长期、连续在委员会任职。值得提及的是，《禁止酷刑公约任择议定书》第</w:t>
      </w:r>
      <w:r>
        <w:rPr>
          <w:snapToGrid/>
        </w:rPr>
        <w:t>9</w:t>
      </w:r>
      <w:r>
        <w:rPr>
          <w:rFonts w:hint="eastAsia"/>
          <w:snapToGrid/>
        </w:rPr>
        <w:t>条和《保护所有的人免遭强迫失踪国际公约》</w:t>
      </w:r>
      <w:r>
        <w:rPr>
          <w:rFonts w:hint="eastAsia"/>
          <w:snapToGrid/>
        </w:rPr>
        <w:t>(</w:t>
      </w:r>
      <w:r>
        <w:rPr>
          <w:rFonts w:hint="eastAsia"/>
          <w:snapToGrid/>
        </w:rPr>
        <w:t>草案</w:t>
      </w:r>
      <w:r>
        <w:rPr>
          <w:rFonts w:hint="eastAsia"/>
          <w:snapToGrid/>
        </w:rPr>
        <w:t>)</w:t>
      </w:r>
      <w:r>
        <w:rPr>
          <w:rFonts w:hint="eastAsia"/>
          <w:snapToGrid/>
        </w:rPr>
        <w:t>第</w:t>
      </w:r>
      <w:r>
        <w:rPr>
          <w:rFonts w:hint="eastAsia"/>
          <w:snapToGrid/>
        </w:rPr>
        <w:t>26</w:t>
      </w:r>
      <w:r>
        <w:rPr>
          <w:rFonts w:hint="eastAsia"/>
          <w:snapToGrid/>
        </w:rPr>
        <w:t>条第</w:t>
      </w:r>
      <w:r>
        <w:rPr>
          <w:snapToGrid/>
        </w:rPr>
        <w:t>4</w:t>
      </w:r>
      <w:r>
        <w:rPr>
          <w:rFonts w:hint="eastAsia"/>
          <w:snapToGrid/>
        </w:rPr>
        <w:t>款规定，委员会委员只可连选一次。这两项文书还规定，应当考虑到男女代表性的均衡</w:t>
      </w:r>
      <w:r>
        <w:rPr>
          <w:rFonts w:hint="eastAsia"/>
          <w:snapToGrid/>
        </w:rPr>
        <w:t>(</w:t>
      </w:r>
      <w:r>
        <w:rPr>
          <w:rFonts w:hint="eastAsia"/>
          <w:snapToGrid/>
        </w:rPr>
        <w:t>《禁止酷刑公约任择议定书》第</w:t>
      </w:r>
      <w:r>
        <w:rPr>
          <w:snapToGrid/>
        </w:rPr>
        <w:t>5</w:t>
      </w:r>
      <w:r>
        <w:rPr>
          <w:rFonts w:hint="eastAsia"/>
          <w:snapToGrid/>
        </w:rPr>
        <w:t>条第</w:t>
      </w:r>
      <w:r>
        <w:rPr>
          <w:rFonts w:hint="eastAsia"/>
          <w:snapToGrid/>
        </w:rPr>
        <w:t>4</w:t>
      </w:r>
      <w:r>
        <w:rPr>
          <w:rFonts w:hint="eastAsia"/>
          <w:snapToGrid/>
        </w:rPr>
        <w:t>款，以及《强迫失踪公约》</w:t>
      </w:r>
      <w:r>
        <w:rPr>
          <w:rFonts w:hint="eastAsia"/>
          <w:snapToGrid/>
        </w:rPr>
        <w:t>(</w:t>
      </w:r>
      <w:r>
        <w:rPr>
          <w:rFonts w:hint="eastAsia"/>
          <w:snapToGrid/>
        </w:rPr>
        <w:t>草案</w:t>
      </w:r>
      <w:r>
        <w:rPr>
          <w:rFonts w:hint="eastAsia"/>
          <w:snapToGrid/>
        </w:rPr>
        <w:t>)</w:t>
      </w:r>
      <w:r>
        <w:rPr>
          <w:rFonts w:hint="eastAsia"/>
          <w:snapToGrid/>
        </w:rPr>
        <w:t>第</w:t>
      </w:r>
      <w:r>
        <w:rPr>
          <w:rFonts w:hint="eastAsia"/>
          <w:snapToGrid/>
        </w:rPr>
        <w:t>26</w:t>
      </w:r>
      <w:r>
        <w:rPr>
          <w:rFonts w:hint="eastAsia"/>
          <w:snapToGrid/>
        </w:rPr>
        <w:t>条第</w:t>
      </w:r>
      <w:r>
        <w:rPr>
          <w:snapToGrid/>
        </w:rPr>
        <w:t>1</w:t>
      </w:r>
      <w:r>
        <w:rPr>
          <w:rFonts w:hint="eastAsia"/>
          <w:snapToGrid/>
        </w:rPr>
        <w:t>款</w:t>
      </w:r>
      <w:r>
        <w:rPr>
          <w:rFonts w:hint="eastAsia"/>
          <w:snapToGrid/>
        </w:rPr>
        <w:t>)</w:t>
      </w:r>
      <w:r>
        <w:rPr>
          <w:rFonts w:hint="eastAsia"/>
          <w:snapToGrid/>
        </w:rPr>
        <w:t>。《禁止酷刑公约任择议定书》第</w:t>
      </w:r>
      <w:r>
        <w:rPr>
          <w:snapToGrid/>
        </w:rPr>
        <w:t>5</w:t>
      </w:r>
      <w:r>
        <w:rPr>
          <w:rFonts w:hint="eastAsia"/>
          <w:snapToGrid/>
        </w:rPr>
        <w:t>条第</w:t>
      </w:r>
      <w:r>
        <w:rPr>
          <w:snapToGrid/>
        </w:rPr>
        <w:t>2</w:t>
      </w:r>
      <w:r>
        <w:rPr>
          <w:rFonts w:hint="eastAsia"/>
          <w:snapToGrid/>
        </w:rPr>
        <w:t>款，还载有关于要求委员具备的资格和专门知识的补充详细规定。</w:t>
      </w:r>
    </w:p>
    <w:p w:rsidR="00000000" w:rsidRDefault="00000000">
      <w:pPr>
        <w:rPr>
          <w:rFonts w:hint="eastAsia"/>
          <w:snapToGrid/>
        </w:rPr>
      </w:pPr>
      <w:r>
        <w:rPr>
          <w:rFonts w:hint="eastAsia"/>
          <w:snapToGrid/>
        </w:rPr>
        <w:tab/>
      </w:r>
      <w:r>
        <w:rPr>
          <w:snapToGrid/>
        </w:rPr>
        <w:t xml:space="preserve">23.  </w:t>
      </w:r>
      <w:r>
        <w:rPr>
          <w:rFonts w:hint="eastAsia"/>
          <w:snapToGrid/>
        </w:rPr>
        <w:t>条约机构制度是为特定目的而建立的，它并不作为一个保护人权的综合和不可分割的框架行使职能。这就削弱了该制度的总体效能。七个条约机构现在独立行事，监督基于《世界人权宣言》的义务的履行情况，这就有可能作出各不相同的解释，这些解释可能造成关键人权概念和标准方面的不确定性，从而妨碍以完整、综合和跨部门方式解释人权条款。条约机构之间协调与协作的缺乏，会致使各机构作出不一致的裁决。《保护所有的人免遭强迫失踪国际公约》</w:t>
      </w:r>
      <w:r>
        <w:rPr>
          <w:rFonts w:hint="eastAsia"/>
          <w:snapToGrid/>
        </w:rPr>
        <w:t>(</w:t>
      </w:r>
      <w:r>
        <w:rPr>
          <w:rFonts w:hint="eastAsia"/>
          <w:snapToGrid/>
        </w:rPr>
        <w:t>草案</w:t>
      </w:r>
      <w:r>
        <w:rPr>
          <w:rFonts w:hint="eastAsia"/>
          <w:snapToGrid/>
        </w:rPr>
        <w:t>)</w:t>
      </w:r>
      <w:r>
        <w:rPr>
          <w:rFonts w:hint="eastAsia"/>
          <w:snapToGrid/>
        </w:rPr>
        <w:t>具体述及这一问题，该公约要求其委员会与其他条约机构协商，以确保条约机构各自的意见和建议的一致性。</w:t>
      </w:r>
      <w:r>
        <w:rPr>
          <w:rStyle w:val="FootnoteReference"/>
          <w:b w:val="0"/>
          <w:snapToGrid/>
        </w:rPr>
        <w:footnoteReference w:id="10"/>
      </w:r>
      <w:r>
        <w:rPr>
          <w:rFonts w:hint="eastAsia"/>
          <w:snapToGrid/>
        </w:rPr>
        <w:t xml:space="preserve"> </w:t>
      </w:r>
      <w:r>
        <w:rPr>
          <w:rFonts w:hint="eastAsia"/>
          <w:snapToGrid/>
        </w:rPr>
        <w:t>由于各条约机构提出的建议众多，缔约国和其他国内利害关系方难以全面了解针对国内人权状况提出的主要人权关切和建议。这会降低缔约国将这项产出纳入综合性、跨部门国家规划和方案制定工作的可能性。</w:t>
      </w:r>
    </w:p>
    <w:p w:rsidR="00000000" w:rsidRDefault="00000000">
      <w:pPr>
        <w:rPr>
          <w:rFonts w:hint="eastAsia"/>
          <w:snapToGrid/>
        </w:rPr>
      </w:pPr>
      <w:r>
        <w:rPr>
          <w:rFonts w:hint="eastAsia"/>
          <w:snapToGrid/>
        </w:rPr>
        <w:tab/>
      </w:r>
      <w:r>
        <w:rPr>
          <w:snapToGrid/>
        </w:rPr>
        <w:t xml:space="preserve">24.  </w:t>
      </w:r>
      <w:r>
        <w:rPr>
          <w:rFonts w:hint="eastAsia"/>
          <w:snapToGrid/>
        </w:rPr>
        <w:t>报告进程往往达不到以下目的：经常使各缔约国有机会定期全面审查为使国内法律和政策与其加入的条约相一致而采取的措施。提交给各条约机构的缔约国报告的质量有很大的差别。</w:t>
      </w:r>
      <w:r>
        <w:rPr>
          <w:rFonts w:hint="eastAsia"/>
          <w:snapToGrid/>
        </w:rPr>
        <w:t>2004</w:t>
      </w:r>
      <w:r>
        <w:rPr>
          <w:rFonts w:hint="eastAsia"/>
          <w:snapToGrid/>
        </w:rPr>
        <w:t>和</w:t>
      </w:r>
      <w:r>
        <w:rPr>
          <w:rFonts w:hint="eastAsia"/>
          <w:snapToGrid/>
        </w:rPr>
        <w:t>2005</w:t>
      </w:r>
      <w:r>
        <w:rPr>
          <w:rFonts w:hint="eastAsia"/>
          <w:snapToGrid/>
        </w:rPr>
        <w:t>年间，各委员会注意到，所审议的报告只有</w:t>
      </w:r>
      <w:r>
        <w:rPr>
          <w:rFonts w:hint="eastAsia"/>
          <w:snapToGrid/>
        </w:rPr>
        <w:t>39%</w:t>
      </w:r>
      <w:r>
        <w:rPr>
          <w:rFonts w:hint="eastAsia"/>
          <w:snapToGrid/>
        </w:rPr>
        <w:t>符合报告准则规定。在</w:t>
      </w:r>
      <w:r>
        <w:rPr>
          <w:snapToGrid/>
        </w:rPr>
        <w:t>18%</w:t>
      </w:r>
      <w:r>
        <w:rPr>
          <w:rFonts w:hint="eastAsia"/>
          <w:snapToGrid/>
        </w:rPr>
        <w:t>的情形中，结论性意见专门提及不遵守报告准则规定问题。</w:t>
      </w:r>
      <w:r>
        <w:rPr>
          <w:rStyle w:val="FootnoteReference"/>
          <w:b w:val="0"/>
          <w:snapToGrid/>
        </w:rPr>
        <w:footnoteReference w:id="11"/>
      </w:r>
      <w:r>
        <w:rPr>
          <w:rFonts w:hint="eastAsia"/>
          <w:snapToGrid/>
        </w:rPr>
        <w:t xml:space="preserve"> </w:t>
      </w:r>
      <w:r>
        <w:rPr>
          <w:rFonts w:hint="eastAsia"/>
          <w:snapToGrid/>
        </w:rPr>
        <w:t>一些国家政府因开展充分调研并采取坦率、自我批评的做法而受到委员会称赞，但许多报告却内容重复，提供已在其他文件中提供的资料，或者就所涉缔约国境内人权在法律上和实践中的落实情况提供的数据资料不充分或具有选择性。在许多情形中，报告是在未征求各政府部门的意见，或者未同国内利害关系方讨论的情况下编写的。在某些情形中，国内公民社会可能无法在国内获取报告。</w:t>
      </w:r>
    </w:p>
    <w:p w:rsidR="00000000" w:rsidRDefault="00000000">
      <w:pPr>
        <w:rPr>
          <w:rFonts w:hint="eastAsia"/>
          <w:snapToGrid/>
        </w:rPr>
      </w:pPr>
      <w:r>
        <w:rPr>
          <w:rFonts w:hint="eastAsia"/>
          <w:snapToGrid/>
        </w:rPr>
        <w:tab/>
      </w:r>
      <w:r>
        <w:rPr>
          <w:snapToGrid/>
        </w:rPr>
        <w:t xml:space="preserve">25.  </w:t>
      </w:r>
      <w:r>
        <w:rPr>
          <w:rFonts w:hint="eastAsia"/>
          <w:snapToGrid/>
        </w:rPr>
        <w:t>在许多情况下，条约机构充分分析条约规定的法律义务在法律上和实践中的履行情况所需的资料缺乏。这会对委员会的对话和建议的质量产生不利影响。缔约国的报告可能侧重法律框架，但对实际执行和个人实际享受权利情况可能重视不够。联合国机构和非政府组织关于所有缔约国的资料，并不能够在审议报告之前有系统地获取。因而，条约机构随后作出的建议可能缺乏加强执行所需的准确性、明确性和实际价值。</w:t>
      </w:r>
    </w:p>
    <w:p w:rsidR="00000000" w:rsidRDefault="00000000">
      <w:pPr>
        <w:spacing w:after="320"/>
        <w:rPr>
          <w:rFonts w:hint="eastAsia"/>
          <w:snapToGrid/>
        </w:rPr>
      </w:pPr>
      <w:r>
        <w:rPr>
          <w:rFonts w:hint="eastAsia"/>
          <w:snapToGrid/>
        </w:rPr>
        <w:tab/>
        <w:t xml:space="preserve">26.  </w:t>
      </w:r>
      <w:r>
        <w:rPr>
          <w:rFonts w:hint="eastAsia"/>
          <w:snapToGrid/>
        </w:rPr>
        <w:t>尽管一些条约机构最近开始采用后续程序，而且人权高专办开展了旨在加强条约义务的履行的技术合作活动，但是，现行制度的一个主要缺陷，在于缺乏确保该制度对国家一级人权的享有产生持续、有系统的影响所需的切实有效、全面的后续机制。政府往往对条约机构通过的建议重视不够，而且由于国内相关方对监督程序及其建议缺乏意识或了解，因而这些程序和建议无法在国内产生任何影响力。</w:t>
      </w:r>
    </w:p>
    <w:p w:rsidR="00000000" w:rsidRDefault="00000000">
      <w:pPr>
        <w:pStyle w:val="Heading2"/>
        <w:rPr>
          <w:rFonts w:hint="eastAsia"/>
        </w:rPr>
      </w:pPr>
      <w:r>
        <w:rPr>
          <w:rFonts w:hint="eastAsia"/>
        </w:rPr>
        <w:t>三、一个统一的常设条约机构的设立据</w:t>
      </w:r>
      <w:r>
        <w:br/>
      </w:r>
      <w:r>
        <w:rPr>
          <w:rFonts w:hint="eastAsia"/>
        </w:rPr>
        <w:t>以处理当前的难题的途径</w:t>
      </w:r>
    </w:p>
    <w:p w:rsidR="00000000" w:rsidRDefault="00000000">
      <w:pPr>
        <w:rPr>
          <w:rFonts w:hint="eastAsia"/>
          <w:snapToGrid/>
        </w:rPr>
      </w:pPr>
      <w:r>
        <w:rPr>
          <w:rFonts w:hint="eastAsia"/>
          <w:snapToGrid/>
        </w:rPr>
        <w:tab/>
      </w:r>
      <w:r>
        <w:rPr>
          <w:snapToGrid/>
        </w:rPr>
        <w:t xml:space="preserve">27.  </w:t>
      </w:r>
      <w:r>
        <w:rPr>
          <w:rFonts w:hint="eastAsia"/>
          <w:snapToGrid/>
        </w:rPr>
        <w:t>设立一个统一的常设条约机构的建议依据的前提是：除非国际人权条约制度作为一个负责监督所有国际人权义务的履行的统一、单一的实体行使职能，而且该制度在人们心目中也属于这样一个实体</w:t>
      </w:r>
      <w:r>
        <w:rPr>
          <w:rFonts w:hint="eastAsia"/>
          <w:snapToGrid/>
          <w:spacing w:val="-50"/>
        </w:rPr>
        <w:t>―</w:t>
      </w:r>
      <w:r>
        <w:rPr>
          <w:rFonts w:hint="eastAsia"/>
          <w:snapToGrid/>
        </w:rPr>
        <w:t>―该实体具有一个单一、便于权利主体利用的进入点，否则，影响力、权威和利用途径缺乏这一困扰现行制度的问题将依然存在。这项建议还基于以下认识：本制度从现有结构来看即将接近其绩效的极限，尽管可以采取步骤在中短期内改善其运作状况，但为了确保其长期有效性，将需要进行更为根本性的、结构性的变革。与由七个非专职委员会组成的现行制度不同，一个由长期、专职专业人员组成的统一的常设条约机构，更有可能作出一致的、具有权威性的裁决。一个统一的常设条约机构将长期为受害者服务，并且可以对严重的侵权情况作出快速反应。作为一个常设机构，它将能够灵活地制订创新工作方法和保护人权的途径，还将能够在现行制度的良好做法基础上，为联合国伙伴和公民社会的参与制订明确的方式。该机构还将能够逐步建立协助缔约国履行人权义务的强大的能力，包括开展后续活动以及执行高级专员在《行动计划》中设想的国家接触战略等。另外，根据《行动计划》的设想，秘书处将在很大程度上得到加强，以便提供一个统一的常设条约机构所需的专门支助和咨询，并提供加强国家能力和伙伴关系所需的支助，从而能够充分参与条约执行进程</w:t>
      </w:r>
      <w:r>
        <w:rPr>
          <w:rFonts w:hint="eastAsia"/>
          <w:snapToGrid/>
        </w:rPr>
        <w:t>(</w:t>
      </w:r>
      <w:r>
        <w:rPr>
          <w:rFonts w:hint="eastAsia"/>
          <w:snapToGrid/>
        </w:rPr>
        <w:t>第</w:t>
      </w:r>
      <w:r>
        <w:rPr>
          <w:rFonts w:hint="eastAsia"/>
          <w:snapToGrid/>
        </w:rPr>
        <w:t>145</w:t>
      </w:r>
      <w:r>
        <w:rPr>
          <w:rFonts w:hint="eastAsia"/>
          <w:snapToGrid/>
        </w:rPr>
        <w:t>至</w:t>
      </w:r>
      <w:r>
        <w:rPr>
          <w:rFonts w:hint="eastAsia"/>
          <w:snapToGrid/>
        </w:rPr>
        <w:t>146</w:t>
      </w:r>
      <w:r>
        <w:rPr>
          <w:rFonts w:hint="eastAsia"/>
          <w:snapToGrid/>
        </w:rPr>
        <w:t>段</w:t>
      </w:r>
      <w:r>
        <w:rPr>
          <w:rFonts w:hint="eastAsia"/>
          <w:snapToGrid/>
        </w:rPr>
        <w:t>)</w:t>
      </w:r>
      <w:r>
        <w:rPr>
          <w:rFonts w:hint="eastAsia"/>
          <w:snapToGrid/>
        </w:rPr>
        <w:t>。</w:t>
      </w:r>
    </w:p>
    <w:p w:rsidR="00000000" w:rsidRDefault="00000000">
      <w:pPr>
        <w:rPr>
          <w:rFonts w:hint="eastAsia"/>
          <w:snapToGrid/>
        </w:rPr>
      </w:pPr>
      <w:r>
        <w:rPr>
          <w:rFonts w:hint="eastAsia"/>
          <w:snapToGrid/>
        </w:rPr>
        <w:tab/>
      </w:r>
      <w:r>
        <w:rPr>
          <w:snapToGrid/>
        </w:rPr>
        <w:t xml:space="preserve">28.  </w:t>
      </w:r>
      <w:r>
        <w:rPr>
          <w:rFonts w:hint="eastAsia"/>
          <w:snapToGrid/>
        </w:rPr>
        <w:t>国家是以综合方式而非专门针对某项条约履行人权义务的，而且个人和群体对人权的享受或者违法行为对其造成的侵害并不限于某一项或几项条约，因此，一个统一的常设条约机构将为以综合、跨部门和侧重整体的方式处理条约的执行提供一个框架。相对于由负责审议按照不同定期提交的报告的七个条约机构组成的现行制度，一个统一的常设条约机构可以采取灵活、有创造性的措施鼓励提交报告，从而最大限度地提高监督的有效性和效果。例如，可以为各缔约国规定一个报告所有条约义务履行情况的单一周期，该周期每三至五年出现一次，从而使各缔约国和伙伴能够对照所有相关义务，以深入、侧重整体、综合及跨领域方式评估和分析一国的人权状况。一个由一统一的常设条约机构监测的单一的报告周期，将会提供一个据以确定为履行人权义务而需在国家一级采取的行动的优先顺序的框架。报告提交工作可以与制订和执行国家人权行动计划等国内进程和体系以及缔约国其他报告义务相配合。由于将对缔约国履行其所有条约义务的情况进行审评，因此，向一个统一的常设条约机构提交报告，将会促使缔约国更为有效的将特定群体的某些权利或某些问题纳入所有人权条约义务的解释和履行中，从而使这些权利和问题变得更加突出和重要。同时，条约机构现有的专门知识及其对特定权利和权利主体的侧重将得到维持和加强。</w:t>
      </w:r>
    </w:p>
    <w:p w:rsidR="00000000" w:rsidRDefault="00000000">
      <w:pPr>
        <w:rPr>
          <w:snapToGrid/>
        </w:rPr>
      </w:pPr>
      <w:r>
        <w:rPr>
          <w:rFonts w:hint="eastAsia"/>
          <w:snapToGrid/>
        </w:rPr>
        <w:tab/>
      </w:r>
      <w:r>
        <w:rPr>
          <w:snapToGrid/>
        </w:rPr>
        <w:t xml:space="preserve">29.  </w:t>
      </w:r>
      <w:r>
        <w:rPr>
          <w:rFonts w:hint="eastAsia"/>
          <w:snapToGrid/>
        </w:rPr>
        <w:t>统一的常设条约机构对照所有相关义务全面、完整地评估一国的人权状况，之后提出一份载有所有主要关切和建议的单一文件，将有助于缔约国和其他国内利害关系方研究所有相关的人权关切及所需的立法、政策和方案措施。通过完整地述及人权优先事项，这种侧重整体的做法还将为非政府组织、国家人权机构及国内公民社会其他群体等利害关系方的工作提供便利，并使其更加易于将这些建议纳入其国内方案拟订工作。合作伙伴将会得益于不同人权领域的专门知识，并制定处理国内人权问题和满足国内人权需要的共同方针。</w:t>
      </w:r>
    </w:p>
    <w:p w:rsidR="00000000" w:rsidRDefault="00000000">
      <w:pPr>
        <w:rPr>
          <w:rFonts w:hint="eastAsia"/>
          <w:snapToGrid/>
        </w:rPr>
      </w:pPr>
      <w:r>
        <w:rPr>
          <w:rFonts w:hint="eastAsia"/>
          <w:snapToGrid/>
        </w:rPr>
        <w:tab/>
        <w:t xml:space="preserve">30.  </w:t>
      </w:r>
      <w:r>
        <w:rPr>
          <w:rFonts w:hint="eastAsia"/>
          <w:snapToGrid/>
        </w:rPr>
        <w:t>一个统一的常设条约机构将会确保采取一致方式对待在本质上相似或重叠的条约条款的解释。申诉者也将能够援引多项文书本质上重叠或相似的条款，从而增强对不同文书所载本质上相似条款的解释的一致性和连贯性。一个统一的常设条约机构还将确保一般性评论</w:t>
      </w:r>
      <w:r>
        <w:rPr>
          <w:snapToGrid/>
        </w:rPr>
        <w:t>/</w:t>
      </w:r>
      <w:r>
        <w:rPr>
          <w:rFonts w:hint="eastAsia"/>
          <w:snapToGrid/>
        </w:rPr>
        <w:t>建议的一致性和明确性，从而加强对条约条款的解释工作。一个统一的常设条约机构的产出，还会提高人们对人权义务的不可分割性以及侧重整体、跨领域和综合做法对执行的重要性的认识。</w:t>
      </w:r>
    </w:p>
    <w:p w:rsidR="00000000" w:rsidRDefault="00000000">
      <w:pPr>
        <w:rPr>
          <w:rFonts w:hint="eastAsia"/>
          <w:snapToGrid/>
        </w:rPr>
      </w:pPr>
      <w:r>
        <w:rPr>
          <w:rFonts w:hint="eastAsia"/>
          <w:snapToGrid/>
        </w:rPr>
        <w:tab/>
        <w:t xml:space="preserve">31.  </w:t>
      </w:r>
      <w:r>
        <w:rPr>
          <w:rFonts w:hint="eastAsia"/>
          <w:snapToGrid/>
        </w:rPr>
        <w:t>一个统一的常设条约机构可以将与单个缔约国的对话时间从目前的平均每条约机构一天延长到五天，具体取决于获批准的条约的数目等因素。通过将目前单独进行的七场对话合并为与一个而不是七个监测对应者的一次深入的会议，将能够把对话变为一种对照所有义务监测人权状况战略和持续手段。将鼓励缔约国派遣由主管各项人权事务的政府各部人员组成的专家代表团，以便答复详细问题并得益于委员会委员的专门知识。延长对话时间将会给利害关系方提供新的机会，使其能够提供资料并同委员会交换看法。在所有人权义务方面加强参与、增加信息和交流，将会促成一揽子更加准确、明确和实际的建议的提出。改进对话、接触和产出，将鼓励公民社会和其他行为者在更大程度上进行参与，从而便利国家一级的执行。</w:t>
      </w:r>
    </w:p>
    <w:p w:rsidR="00000000" w:rsidRDefault="00000000">
      <w:pPr>
        <w:rPr>
          <w:rFonts w:hint="eastAsia"/>
          <w:snapToGrid/>
        </w:rPr>
      </w:pPr>
      <w:r>
        <w:rPr>
          <w:rFonts w:hint="eastAsia"/>
          <w:snapToGrid/>
        </w:rPr>
        <w:tab/>
      </w:r>
      <w:r>
        <w:rPr>
          <w:snapToGrid/>
        </w:rPr>
        <w:t xml:space="preserve">32.  </w:t>
      </w:r>
      <w:r>
        <w:rPr>
          <w:rFonts w:hint="eastAsia"/>
          <w:snapToGrid/>
        </w:rPr>
        <w:t>统一的常设条约机构成员将长期行使职能。这将使其能够在本制度现有成绩基础上，制定监测条约的执行情况的有力、一致、创新和灵活的方针。由于委员会委员将长期任职，因此待决个人申诉将迅速得到裁决，这将增强申诉办理过程中通过的意见的效果，并鼓励权利主体更加广泛地利用这些意见。同样，一个统一的常设条约机构将通过提高专家执行的后续任务的潜力和可行性，使后续行动能力得到加强，因为这些专家的工作将长期进行。</w:t>
      </w:r>
    </w:p>
    <w:p w:rsidR="00000000" w:rsidRDefault="00000000">
      <w:pPr>
        <w:rPr>
          <w:rFonts w:hint="eastAsia"/>
          <w:snapToGrid/>
        </w:rPr>
      </w:pPr>
      <w:r>
        <w:rPr>
          <w:rFonts w:hint="eastAsia"/>
          <w:snapToGrid/>
        </w:rPr>
        <w:tab/>
      </w:r>
      <w:r>
        <w:rPr>
          <w:snapToGrid/>
        </w:rPr>
        <w:t xml:space="preserve">33.  </w:t>
      </w:r>
      <w:r>
        <w:rPr>
          <w:rFonts w:hint="eastAsia"/>
          <w:snapToGrid/>
        </w:rPr>
        <w:t>一个统一的常设条约机构肯定要比现有条约机构更具影响力，并将能够在国家一级更好地宣传其程序、建议和裁决。影响力的增强，同时辅之以开放和透明的程序，还将吸引媒体的兴趣，而且一个统一的常设条约机构就一国境内的总体人权状况通过的结论和建议，很可能要比就单项条约的实施通过的结论和建议更能够吸引媒体注意力。</w:t>
      </w:r>
    </w:p>
    <w:p w:rsidR="00000000" w:rsidRDefault="00000000">
      <w:pPr>
        <w:rPr>
          <w:rFonts w:hint="eastAsia"/>
          <w:snapToGrid/>
        </w:rPr>
      </w:pPr>
      <w:r>
        <w:rPr>
          <w:rFonts w:hint="eastAsia"/>
          <w:snapToGrid/>
        </w:rPr>
        <w:tab/>
      </w:r>
      <w:r>
        <w:rPr>
          <w:snapToGrid/>
        </w:rPr>
        <w:t xml:space="preserve">34.  </w:t>
      </w:r>
      <w:r>
        <w:rPr>
          <w:rFonts w:hint="eastAsia"/>
          <w:snapToGrid/>
        </w:rPr>
        <w:t>与由七个非专职机构组成的现行制度相比，作为一个常设机构，统一的常设条约机构在会议的时间和地点确定方面要比现有机构更具灵活性。该机构可以将对同一区域的若干缔约国的报告的审议安排在几周时间内进行，从而增强区域同级压力，促使有关缔约国与该制度接触。该机构还可以在各区域举行会议，从而增强该制度的影响力，确保其便于利用。该制度还可以在后续行动或能力建设方面作出定期访问安排。</w:t>
      </w:r>
    </w:p>
    <w:p w:rsidR="00000000" w:rsidRDefault="00000000">
      <w:pPr>
        <w:rPr>
          <w:rFonts w:hint="eastAsia"/>
          <w:snapToGrid/>
        </w:rPr>
      </w:pPr>
      <w:r>
        <w:rPr>
          <w:rFonts w:hint="eastAsia"/>
          <w:snapToGrid/>
        </w:rPr>
        <w:tab/>
      </w:r>
      <w:r>
        <w:rPr>
          <w:snapToGrid/>
        </w:rPr>
        <w:t xml:space="preserve">35.  </w:t>
      </w:r>
      <w:r>
        <w:rPr>
          <w:rFonts w:hint="eastAsia"/>
          <w:snapToGrid/>
        </w:rPr>
        <w:t>一个统一的常设条约机构还可吸收采用新的标准。更为容易的做法是将对一项新文书的监测工作纳入一个已经在管理着若干条约的统一的监测机构，而不是将新的监测职能纳入一个现有条约机构的任务范围，在《禁止酷刑公约》和《保护所有的人免遭强迫失踪国际公约》</w:t>
      </w:r>
      <w:r>
        <w:rPr>
          <w:rFonts w:hint="eastAsia"/>
          <w:snapToGrid/>
        </w:rPr>
        <w:t>(</w:t>
      </w:r>
      <w:r>
        <w:rPr>
          <w:rFonts w:hint="eastAsia"/>
          <w:snapToGrid/>
        </w:rPr>
        <w:t>草案</w:t>
      </w:r>
      <w:r>
        <w:rPr>
          <w:rFonts w:hint="eastAsia"/>
          <w:snapToGrid/>
        </w:rPr>
        <w:t>)</w:t>
      </w:r>
      <w:r>
        <w:rPr>
          <w:rFonts w:hint="eastAsia"/>
          <w:snapToGrid/>
        </w:rPr>
        <w:t>的情形中，后一种办法没有被接受。</w:t>
      </w:r>
    </w:p>
    <w:p w:rsidR="00000000" w:rsidRDefault="00000000">
      <w:pPr>
        <w:spacing w:after="320"/>
        <w:rPr>
          <w:snapToGrid/>
        </w:rPr>
      </w:pPr>
      <w:r>
        <w:rPr>
          <w:rFonts w:hint="eastAsia"/>
          <w:snapToGrid/>
        </w:rPr>
        <w:tab/>
      </w:r>
      <w:r>
        <w:rPr>
          <w:snapToGrid/>
        </w:rPr>
        <w:t xml:space="preserve">36.  </w:t>
      </w:r>
      <w:r>
        <w:rPr>
          <w:rFonts w:hint="eastAsia"/>
          <w:snapToGrid/>
        </w:rPr>
        <w:t>在一个统一的常设条约机构长期存在并行使职能的情况下，将能够与特别程序机制或区域人权体系等其他人权机构建立更加有力的联系，以便根据各自的任务协调活动并相互补充。一个统一的常设条约机构还能够比七个非常设机构更加容易同政治机构建立联系。在一份单一文件而不是七分单独的文件中，对各国在人权条约之下承担的国际法律义务的履行情况进行综合、全面评估，将更可能引起今后将设立的人权理事会或安全理事会等政治机构的高度重视。</w:t>
      </w:r>
    </w:p>
    <w:p w:rsidR="00000000" w:rsidRDefault="00000000">
      <w:pPr>
        <w:pStyle w:val="Heading2"/>
        <w:rPr>
          <w:rFonts w:hint="eastAsia"/>
        </w:rPr>
      </w:pPr>
      <w:r>
        <w:rPr>
          <w:rFonts w:hint="eastAsia"/>
        </w:rPr>
        <w:t>四、落实措施：统一的常设条约机构</w:t>
      </w:r>
    </w:p>
    <w:p w:rsidR="00000000" w:rsidRDefault="00000000">
      <w:pPr>
        <w:spacing w:after="320"/>
        <w:rPr>
          <w:rFonts w:hint="eastAsia"/>
        </w:rPr>
      </w:pPr>
      <w:r>
        <w:rPr>
          <w:rFonts w:hint="eastAsia"/>
        </w:rPr>
        <w:tab/>
        <w:t xml:space="preserve">37.  </w:t>
      </w:r>
      <w:r>
        <w:rPr>
          <w:rFonts w:hint="eastAsia"/>
        </w:rPr>
        <w:t>以下一节讨论统一的常设条约机构的一些可能的运作形式</w:t>
      </w:r>
      <w:r>
        <w:rPr>
          <w:rFonts w:hint="eastAsia"/>
        </w:rPr>
        <w:t>/</w:t>
      </w:r>
      <w:r>
        <w:rPr>
          <w:rFonts w:hint="eastAsia"/>
        </w:rPr>
        <w:t>方式、监测职能，包括一些可能的创新。</w:t>
      </w:r>
    </w:p>
    <w:p w:rsidR="00000000" w:rsidRDefault="00000000">
      <w:pPr>
        <w:pStyle w:val="Heading3"/>
        <w:rPr>
          <w:rFonts w:hint="eastAsia"/>
        </w:rPr>
      </w:pPr>
      <w:r>
        <w:rPr>
          <w:rFonts w:hint="eastAsia"/>
          <w:u w:val="none"/>
        </w:rPr>
        <w:t xml:space="preserve">A.  </w:t>
      </w:r>
      <w:r>
        <w:rPr>
          <w:rFonts w:hint="eastAsia"/>
        </w:rPr>
        <w:t>运作形式</w:t>
      </w:r>
      <w:r>
        <w:rPr>
          <w:rFonts w:hint="eastAsia"/>
        </w:rPr>
        <w:t>/</w:t>
      </w:r>
      <w:r>
        <w:rPr>
          <w:rFonts w:hint="eastAsia"/>
        </w:rPr>
        <w:t>方形</w:t>
      </w:r>
    </w:p>
    <w:p w:rsidR="00000000" w:rsidRDefault="00000000">
      <w:pPr>
        <w:rPr>
          <w:rFonts w:hint="eastAsia"/>
        </w:rPr>
      </w:pPr>
      <w:r>
        <w:rPr>
          <w:rFonts w:hint="eastAsia"/>
        </w:rPr>
        <w:tab/>
        <w:t xml:space="preserve">38.  </w:t>
      </w:r>
      <w:r>
        <w:rPr>
          <w:rFonts w:hint="eastAsia"/>
        </w:rPr>
        <w:t>目前，条约机构开会总时间为</w:t>
      </w:r>
      <w:r>
        <w:rPr>
          <w:rFonts w:hint="eastAsia"/>
        </w:rPr>
        <w:t>57</w:t>
      </w:r>
      <w:r>
        <w:rPr>
          <w:rFonts w:hint="eastAsia"/>
        </w:rPr>
        <w:t>个星期。为了履行目前由各个条约机构履行的监测职能，统一的常设条约机构需要设为常年开会的机构。这对其工作方法和程序都有影响，也对其成员人数以及成员的正式要求和资格都有影响。</w:t>
      </w:r>
    </w:p>
    <w:p w:rsidR="00000000" w:rsidRDefault="00000000">
      <w:pPr>
        <w:spacing w:after="320"/>
        <w:rPr>
          <w:rFonts w:hint="eastAsia"/>
        </w:rPr>
      </w:pPr>
      <w:r>
        <w:rPr>
          <w:rFonts w:hint="eastAsia"/>
        </w:rPr>
        <w:tab/>
        <w:t xml:space="preserve">39.  </w:t>
      </w:r>
      <w:r>
        <w:rPr>
          <w:rFonts w:hint="eastAsia"/>
        </w:rPr>
        <w:t>可设想统一的常设机构有各种模式，这在很大程度上取决于其成员的人数。设立审议室或工作组的制度将能使该机构承担起更重的工作负担，处理所有的程序。这样的制度还能使统一的常设条约机构发展更强有力的后续行动机制和在监测各国执行情况方面采取创新的办法。另外也可设想对报告和申诉两种职能加以区分，这些职能所涉及的工作还可进一步按照条约、主题或区域几个方面细分为审议室或工作组，或平行开展工作。这种设计适用于各种不同的职能，如何履行这些职能将取决于统一的常设条约机构的整体设计。</w:t>
      </w:r>
    </w:p>
    <w:p w:rsidR="00000000" w:rsidRDefault="00000000">
      <w:pPr>
        <w:pStyle w:val="Heading3"/>
        <w:rPr>
          <w:rFonts w:hint="eastAsia"/>
        </w:rPr>
      </w:pPr>
      <w:r>
        <w:rPr>
          <w:rFonts w:hint="eastAsia"/>
          <w:u w:val="none"/>
        </w:rPr>
        <w:t xml:space="preserve">1.  </w:t>
      </w:r>
      <w:r>
        <w:rPr>
          <w:rFonts w:hint="eastAsia"/>
        </w:rPr>
        <w:t>不设审议室的单一机构</w:t>
      </w:r>
    </w:p>
    <w:p w:rsidR="00000000" w:rsidRDefault="00000000">
      <w:pPr>
        <w:spacing w:after="320"/>
        <w:rPr>
          <w:rFonts w:hint="eastAsia"/>
        </w:rPr>
      </w:pPr>
      <w:r>
        <w:rPr>
          <w:rFonts w:hint="eastAsia"/>
        </w:rPr>
        <w:tab/>
        <w:t xml:space="preserve">40.  </w:t>
      </w:r>
      <w:r>
        <w:rPr>
          <w:rFonts w:hint="eastAsia"/>
        </w:rPr>
        <w:t>建立统一的常设条约机构，但不设审议室或工作组，这有助于确保对公约的解释保持一致。然而这种模式不能解决目前的系统因工作负担沉重而遇到的挑战，甚至会加重工作的积压。另外，如果机构成员人数很大，那么就实质性和程序性事项很可能难以达成一致意见。</w:t>
      </w:r>
    </w:p>
    <w:p w:rsidR="00000000" w:rsidRDefault="00000000">
      <w:pPr>
        <w:pStyle w:val="Heading3"/>
        <w:rPr>
          <w:rFonts w:hint="eastAsia"/>
        </w:rPr>
      </w:pPr>
      <w:r>
        <w:rPr>
          <w:rFonts w:hint="eastAsia"/>
          <w:u w:val="none"/>
        </w:rPr>
        <w:t xml:space="preserve">2.  </w:t>
      </w:r>
      <w:r>
        <w:rPr>
          <w:rFonts w:hint="eastAsia"/>
        </w:rPr>
        <w:t>平行运作的几个审议室</w:t>
      </w:r>
    </w:p>
    <w:p w:rsidR="00000000" w:rsidRDefault="00000000">
      <w:pPr>
        <w:spacing w:after="320"/>
        <w:rPr>
          <w:rFonts w:hint="eastAsia"/>
        </w:rPr>
      </w:pPr>
      <w:r>
        <w:rPr>
          <w:rFonts w:hint="eastAsia"/>
        </w:rPr>
        <w:tab/>
        <w:t xml:space="preserve">41.  </w:t>
      </w:r>
      <w:r>
        <w:rPr>
          <w:rFonts w:hint="eastAsia"/>
        </w:rPr>
        <w:t>按照这一模式，每个审议室将拥有充分的职权，负责所有条约和监测职能。这样做的好处是，将有能力分配任务和工作负担。委员会的所有成员将行使各种监测职能，因此按照各种程序所取得的成果将会起到相互借鉴和补充的作用。儿童权利委员会目前正在实行设立两个审议室的模式，而消除对妇女歧视委员会也将在</w:t>
      </w:r>
      <w:r>
        <w:rPr>
          <w:rFonts w:hint="eastAsia"/>
        </w:rPr>
        <w:t>2006</w:t>
      </w:r>
      <w:r>
        <w:rPr>
          <w:rFonts w:hint="eastAsia"/>
        </w:rPr>
        <w:t>年下半年开始实行这种模式，这两个委员会都会提供一些有用的经验，在讨论这一模式时可以加以考虑。</w:t>
      </w:r>
    </w:p>
    <w:p w:rsidR="00000000" w:rsidRDefault="00000000">
      <w:pPr>
        <w:pStyle w:val="Heading3"/>
        <w:rPr>
          <w:rFonts w:hint="eastAsia"/>
        </w:rPr>
      </w:pPr>
      <w:r>
        <w:rPr>
          <w:rFonts w:hint="eastAsia"/>
          <w:u w:val="none"/>
        </w:rPr>
        <w:t xml:space="preserve">3.  </w:t>
      </w:r>
      <w:r>
        <w:rPr>
          <w:rFonts w:hint="eastAsia"/>
        </w:rPr>
        <w:t>按照职能设立审议室</w:t>
      </w:r>
    </w:p>
    <w:p w:rsidR="00000000" w:rsidRDefault="00000000">
      <w:pPr>
        <w:spacing w:after="320"/>
        <w:rPr>
          <w:rFonts w:hint="eastAsia"/>
        </w:rPr>
      </w:pPr>
      <w:r>
        <w:rPr>
          <w:rFonts w:hint="eastAsia"/>
        </w:rPr>
        <w:tab/>
        <w:t xml:space="preserve">42.  </w:t>
      </w:r>
      <w:r>
        <w:rPr>
          <w:rFonts w:hint="eastAsia"/>
        </w:rPr>
        <w:t>统一的常设条约机构还可考虑设立单独的审议室，分别用来审议报告和个人的投诉。对于调查和别国访问也可以设立单独的审议室。还可设立一个“落实”或“执行”审议室，虽然这些职能也可以分配给处理报告和来文的审议室内专门的工作人员。这种模式将能够在审议室之间分配任务，使得成员能够就具体的程序特别是个人投诉发展自己的专长。然而也存在着这样的危险，即各个审议室在实质性问题上相互脱节，这会造成在解释上不一致。理想的情况是，统一的常设条约机构在一种程序方面开展的工作会向其它程序的工作进行通报。这一模式可能对解决统一的常设条约机构可能具有的工作负担考虑不够，有可能需要设立分发工作量的补充机制。</w:t>
      </w:r>
    </w:p>
    <w:p w:rsidR="00000000" w:rsidRDefault="00000000">
      <w:pPr>
        <w:pStyle w:val="Heading3"/>
        <w:rPr>
          <w:rFonts w:hint="eastAsia"/>
        </w:rPr>
      </w:pPr>
      <w:r>
        <w:rPr>
          <w:rFonts w:hint="eastAsia"/>
          <w:u w:val="none"/>
        </w:rPr>
        <w:t xml:space="preserve">4.  </w:t>
      </w:r>
      <w:r>
        <w:rPr>
          <w:rFonts w:hint="eastAsia"/>
        </w:rPr>
        <w:t>按照条约设置审议室</w:t>
      </w:r>
    </w:p>
    <w:p w:rsidR="00000000" w:rsidRDefault="00000000">
      <w:pPr>
        <w:spacing w:after="320"/>
        <w:rPr>
          <w:rFonts w:hint="eastAsia"/>
        </w:rPr>
      </w:pPr>
      <w:r>
        <w:rPr>
          <w:rFonts w:hint="eastAsia"/>
        </w:rPr>
        <w:tab/>
        <w:t xml:space="preserve">43.  </w:t>
      </w:r>
      <w:r>
        <w:rPr>
          <w:rFonts w:hint="eastAsia"/>
        </w:rPr>
        <w:t>按照条约设置审议室，其好处是容易分发工作量，并能维持每一项条约的特点。按照这种模式，可以避免非缔约国专家参加的情况，可以选出具有特别专长的成员。然而，由于建立统一的常设条约机构所产生的好处，即这样将会对各种人权形式作出完整的、全面的、跨部门的评估，消除重叠和潜在的解释上的不一致，减少报告负担，突出人权的不可分割性，提高整个系统的声望，改善各种利益相关者使用该系统的渠道，都可能因这一方法而受损，因这一方法将依然反映目前的系统所存在的各行其事和分割。然而，与目前的七个条约机构所不一样的是，一个统一的常设条约机构按条约来设置不同的审议室，这样会实行相同的工作方法。</w:t>
      </w:r>
    </w:p>
    <w:p w:rsidR="00000000" w:rsidRDefault="00000000">
      <w:pPr>
        <w:pStyle w:val="Heading3"/>
        <w:rPr>
          <w:rFonts w:hint="eastAsia"/>
        </w:rPr>
      </w:pPr>
      <w:r>
        <w:rPr>
          <w:rFonts w:hint="eastAsia"/>
          <w:u w:val="none"/>
        </w:rPr>
        <w:t xml:space="preserve">5.  </w:t>
      </w:r>
      <w:r>
        <w:rPr>
          <w:rFonts w:hint="eastAsia"/>
        </w:rPr>
        <w:t>按照专题设置审议室</w:t>
      </w:r>
    </w:p>
    <w:p w:rsidR="00000000" w:rsidRDefault="00000000">
      <w:pPr>
        <w:spacing w:after="320"/>
        <w:rPr>
          <w:rFonts w:hint="eastAsia"/>
        </w:rPr>
      </w:pPr>
      <w:r>
        <w:rPr>
          <w:rFonts w:hint="eastAsia"/>
        </w:rPr>
        <w:tab/>
        <w:t xml:space="preserve">44.  </w:t>
      </w:r>
      <w:r>
        <w:rPr>
          <w:rFonts w:hint="eastAsia"/>
        </w:rPr>
        <w:t>按照这一模式，可以按照各组人权，例如不歧视、法治等来设置审议室。这样作的好处可能是减少了在解释相互重叠的规定方面出现不一致的危险。但是，这样分组可能很难确定，而不同审议室之间的重叠将依然存在，也许有可能过分地强调某些权利，而忽视另一些权利。另外各缔约国可能觉得报告起来很难，而利益相关者也觉得与这一制度打交道可能很难。</w:t>
      </w:r>
    </w:p>
    <w:p w:rsidR="00000000" w:rsidRDefault="00000000">
      <w:pPr>
        <w:pStyle w:val="Heading3"/>
        <w:rPr>
          <w:rFonts w:hint="eastAsia"/>
        </w:rPr>
      </w:pPr>
      <w:r>
        <w:rPr>
          <w:rFonts w:hint="eastAsia"/>
          <w:u w:val="none"/>
        </w:rPr>
        <w:t xml:space="preserve">6.  </w:t>
      </w:r>
      <w:r>
        <w:rPr>
          <w:rFonts w:hint="eastAsia"/>
        </w:rPr>
        <w:t>按照区域设置审议室</w:t>
      </w:r>
    </w:p>
    <w:p w:rsidR="00000000" w:rsidRDefault="00000000">
      <w:pPr>
        <w:spacing w:after="320"/>
        <w:rPr>
          <w:rFonts w:hint="eastAsia"/>
        </w:rPr>
      </w:pPr>
      <w:r>
        <w:rPr>
          <w:rFonts w:hint="eastAsia"/>
        </w:rPr>
        <w:tab/>
        <w:t xml:space="preserve">45.  </w:t>
      </w:r>
      <w:r>
        <w:rPr>
          <w:rFonts w:hint="eastAsia"/>
        </w:rPr>
        <w:t>这一模式能够促使发展与某一特定区域的人权问题相关的专业知识，并可能加强与区域制度和伙伴的关系。然而，也存在着各审议室之间不一致的危险。此外，这一模式可能重叠区域制度的工作，因而可能造成区域标准而不是普遍性标准的出现。</w:t>
      </w:r>
    </w:p>
    <w:p w:rsidR="00000000" w:rsidRDefault="00000000">
      <w:pPr>
        <w:pStyle w:val="Heading3"/>
        <w:rPr>
          <w:rFonts w:hint="eastAsia"/>
          <w:u w:val="none"/>
        </w:rPr>
      </w:pPr>
      <w:r>
        <w:rPr>
          <w:rFonts w:hint="eastAsia"/>
          <w:u w:val="none"/>
        </w:rPr>
        <w:t xml:space="preserve">B.  </w:t>
      </w:r>
      <w:r>
        <w:rPr>
          <w:rFonts w:hint="eastAsia"/>
        </w:rPr>
        <w:t>职</w:t>
      </w:r>
      <w:r>
        <w:rPr>
          <w:rFonts w:hint="eastAsia"/>
        </w:rPr>
        <w:t xml:space="preserve">  </w:t>
      </w:r>
      <w:r>
        <w:rPr>
          <w:rFonts w:hint="eastAsia"/>
        </w:rPr>
        <w:t>能</w:t>
      </w:r>
    </w:p>
    <w:p w:rsidR="00000000" w:rsidRDefault="00000000">
      <w:pPr>
        <w:pStyle w:val="Heading3"/>
        <w:rPr>
          <w:rFonts w:hint="eastAsia"/>
        </w:rPr>
      </w:pPr>
      <w:r>
        <w:rPr>
          <w:rFonts w:hint="eastAsia"/>
          <w:u w:val="none"/>
        </w:rPr>
        <w:t xml:space="preserve">1.  </w:t>
      </w:r>
      <w:r>
        <w:rPr>
          <w:rFonts w:hint="eastAsia"/>
        </w:rPr>
        <w:t>报</w:t>
      </w:r>
      <w:r>
        <w:rPr>
          <w:rFonts w:hint="eastAsia"/>
        </w:rPr>
        <w:t xml:space="preserve">  </w:t>
      </w:r>
      <w:r>
        <w:rPr>
          <w:rFonts w:hint="eastAsia"/>
        </w:rPr>
        <w:t>告</w:t>
      </w:r>
    </w:p>
    <w:p w:rsidR="00000000" w:rsidRDefault="00000000">
      <w:pPr>
        <w:spacing w:after="320"/>
        <w:rPr>
          <w:rFonts w:hint="eastAsia"/>
        </w:rPr>
      </w:pPr>
      <w:r>
        <w:rPr>
          <w:rFonts w:hint="eastAsia"/>
        </w:rPr>
        <w:tab/>
        <w:t xml:space="preserve">46.  </w:t>
      </w:r>
      <w:r>
        <w:rPr>
          <w:rFonts w:hint="eastAsia"/>
        </w:rPr>
        <w:t>目前，提交报告与“开展建设性对话”是条约机构用来监测各缔约国执行条约义务情况的基本手段。就报告而言，统一的常设条约机构可以考虑好几种方案。它可以采用目前的做法，即按照对某一国家适用的七个条约逐一审查所提交的报告。还可以要求各国提交一个扩大的核心文件和针对缔约国接受的条约而编写的具体报告。对涉及所有条约义务的全面和综合性的问题清单作出答复，可以取代定期的报告。这一做法可能有助于缔约国提交报告，消除拖延，并确保统一的常设条约机构能够获得最新的执行情况的信息。这一做法也可以使条约机构按照一个正常的商定的周期提前好几年预先安排对某些报告的审议。这也有助于恰当地安排预算和估计费用。</w:t>
      </w:r>
    </w:p>
    <w:p w:rsidR="00000000" w:rsidRDefault="00000000">
      <w:pPr>
        <w:pStyle w:val="Heading3"/>
        <w:rPr>
          <w:rFonts w:hint="eastAsia"/>
        </w:rPr>
      </w:pPr>
      <w:r>
        <w:rPr>
          <w:rFonts w:hint="eastAsia"/>
          <w:u w:val="none"/>
        </w:rPr>
        <w:t xml:space="preserve">2.  </w:t>
      </w:r>
      <w:r>
        <w:rPr>
          <w:rFonts w:hint="eastAsia"/>
        </w:rPr>
        <w:t>个人申诉</w:t>
      </w:r>
    </w:p>
    <w:p w:rsidR="00000000" w:rsidRDefault="00000000">
      <w:pPr>
        <w:rPr>
          <w:rFonts w:hint="eastAsia"/>
        </w:rPr>
      </w:pPr>
      <w:r>
        <w:rPr>
          <w:rFonts w:hint="eastAsia"/>
        </w:rPr>
        <w:tab/>
        <w:t xml:space="preserve">47.  </w:t>
      </w:r>
      <w:r>
        <w:rPr>
          <w:rFonts w:hint="eastAsia"/>
        </w:rPr>
        <w:t>就个人申诉而言，统一的常设条约机构可以进行一些程序性的创新。正如目前有能力审议投诉的条约机构所作的那样，统一的常设条约机构可以任命负责新的投诉和临时措施的特别报告员，或任命工作组。特别报告员的职责可以按照体制或文书来划分</w:t>
      </w:r>
      <w:r>
        <w:rPr>
          <w:rFonts w:hint="eastAsia"/>
        </w:rPr>
        <w:t>(</w:t>
      </w:r>
      <w:r>
        <w:rPr>
          <w:rFonts w:hint="eastAsia"/>
        </w:rPr>
        <w:t>《公民权利和政治权利国际公约任择议定书》和《消除对妇女歧视公约任择议定书》、《禁止酷刑公约》第</w:t>
      </w:r>
      <w:r>
        <w:rPr>
          <w:rFonts w:hint="eastAsia"/>
        </w:rPr>
        <w:t>22</w:t>
      </w:r>
      <w:r>
        <w:rPr>
          <w:rFonts w:hint="eastAsia"/>
        </w:rPr>
        <w:t>条以及《消除种族歧视国际公约》第</w:t>
      </w:r>
      <w:r>
        <w:rPr>
          <w:rFonts w:hint="eastAsia"/>
        </w:rPr>
        <w:t>14</w:t>
      </w:r>
      <w:r>
        <w:rPr>
          <w:rFonts w:hint="eastAsia"/>
        </w:rPr>
        <w:t>条之下所产生的投诉</w:t>
      </w:r>
      <w:r>
        <w:rPr>
          <w:rFonts w:hint="eastAsia"/>
        </w:rPr>
        <w:t>)</w:t>
      </w:r>
      <w:r>
        <w:rPr>
          <w:rFonts w:hint="eastAsia"/>
        </w:rPr>
        <w:t>，或按照最重要的实质性类别来确立</w:t>
      </w:r>
      <w:r>
        <w:rPr>
          <w:rFonts w:hint="eastAsia"/>
        </w:rPr>
        <w:t>(</w:t>
      </w:r>
      <w:r>
        <w:rPr>
          <w:rFonts w:hint="eastAsia"/>
        </w:rPr>
        <w:t>不歧视、人身安全、酷刑和不驱回、生命权、适当程序以及司法等</w:t>
      </w:r>
      <w:r>
        <w:rPr>
          <w:rFonts w:hint="eastAsia"/>
        </w:rPr>
        <w:t>)</w:t>
      </w:r>
      <w:r>
        <w:rPr>
          <w:rFonts w:hint="eastAsia"/>
        </w:rPr>
        <w:t>。</w:t>
      </w:r>
    </w:p>
    <w:p w:rsidR="00000000" w:rsidRDefault="00000000">
      <w:pPr>
        <w:rPr>
          <w:rFonts w:hint="eastAsia"/>
        </w:rPr>
      </w:pPr>
      <w:r>
        <w:rPr>
          <w:rFonts w:hint="eastAsia"/>
        </w:rPr>
        <w:tab/>
        <w:t xml:space="preserve">48.  </w:t>
      </w:r>
      <w:r>
        <w:rPr>
          <w:rFonts w:hint="eastAsia"/>
        </w:rPr>
        <w:t>对于明显根据不足的案件，统一的常设条约机构还可采取快速处理程序</w:t>
      </w:r>
      <w:r>
        <w:rPr>
          <w:rFonts w:hint="eastAsia"/>
        </w:rPr>
        <w:t>(</w:t>
      </w:r>
      <w:r>
        <w:rPr>
          <w:rFonts w:hint="eastAsia"/>
        </w:rPr>
        <w:t>由三人组成的审议室加以裁决</w:t>
      </w:r>
      <w:r>
        <w:rPr>
          <w:rFonts w:hint="eastAsia"/>
        </w:rPr>
        <w:t>)</w:t>
      </w:r>
      <w:r>
        <w:rPr>
          <w:rFonts w:hint="eastAsia"/>
        </w:rPr>
        <w:t>。还可以采取一种快速程序来处理例行的实质性案件，这件案件的处理只是遵循固有的裁决案例。</w:t>
      </w:r>
    </w:p>
    <w:p w:rsidR="00000000" w:rsidRDefault="00000000">
      <w:pPr>
        <w:spacing w:after="320"/>
        <w:rPr>
          <w:rFonts w:hint="eastAsia"/>
        </w:rPr>
      </w:pPr>
      <w:r>
        <w:rPr>
          <w:rFonts w:hint="eastAsia"/>
        </w:rPr>
        <w:tab/>
        <w:t xml:space="preserve">49.  </w:t>
      </w:r>
      <w:r>
        <w:rPr>
          <w:rFonts w:hint="eastAsia"/>
        </w:rPr>
        <w:t>还可以授权统一的常设条约机构在同一案件中涉及两项文书以上受到违反的指控，但条件是有关缔约国必须都是这些文书的缔约国。这将有助于促使对主要的人权文书在解释上保持一致，并有助于推动真正“统一的”制度的形成。可以考虑设立处理投诉的审议室，或建立分级审议的审议室制度。</w:t>
      </w:r>
    </w:p>
    <w:p w:rsidR="00000000" w:rsidRDefault="00000000">
      <w:pPr>
        <w:pStyle w:val="Heading3"/>
        <w:rPr>
          <w:rFonts w:hint="eastAsia"/>
        </w:rPr>
      </w:pPr>
      <w:r>
        <w:rPr>
          <w:rFonts w:hint="eastAsia"/>
          <w:u w:val="none"/>
        </w:rPr>
        <w:t xml:space="preserve">3.  </w:t>
      </w:r>
      <w:r>
        <w:rPr>
          <w:rFonts w:hint="eastAsia"/>
        </w:rPr>
        <w:t>查</w:t>
      </w:r>
      <w:r>
        <w:rPr>
          <w:rFonts w:hint="eastAsia"/>
        </w:rPr>
        <w:t xml:space="preserve">  </w:t>
      </w:r>
      <w:r>
        <w:rPr>
          <w:rFonts w:hint="eastAsia"/>
        </w:rPr>
        <w:t>询</w:t>
      </w:r>
    </w:p>
    <w:p w:rsidR="00000000" w:rsidRDefault="00000000">
      <w:pPr>
        <w:spacing w:after="320"/>
        <w:rPr>
          <w:rFonts w:hint="eastAsia"/>
        </w:rPr>
      </w:pPr>
      <w:r>
        <w:rPr>
          <w:rFonts w:hint="eastAsia"/>
        </w:rPr>
        <w:tab/>
        <w:t xml:space="preserve">50.  </w:t>
      </w:r>
      <w:r>
        <w:rPr>
          <w:rFonts w:hint="eastAsia"/>
        </w:rPr>
        <w:t>统一的常设条约机构还有助于提高这一程序的知名度，使人们普遍认识到这种程序的存在，促使更多的人来查询。由于其成员是常年开展工作，并且由于机构具有了更强的灵活性，因而有能力发展出更有效更新的程序，包括更有效率的后续行动措施。</w:t>
      </w:r>
    </w:p>
    <w:p w:rsidR="00000000" w:rsidRDefault="00000000">
      <w:pPr>
        <w:pStyle w:val="Heading3"/>
        <w:rPr>
          <w:rFonts w:hint="eastAsia"/>
        </w:rPr>
      </w:pPr>
      <w:r>
        <w:rPr>
          <w:rFonts w:hint="eastAsia"/>
          <w:u w:val="none"/>
        </w:rPr>
        <w:t xml:space="preserve">4.  </w:t>
      </w:r>
      <w:r>
        <w:rPr>
          <w:rFonts w:hint="eastAsia"/>
        </w:rPr>
        <w:t>一般性意见</w:t>
      </w:r>
    </w:p>
    <w:p w:rsidR="00000000" w:rsidRDefault="00000000">
      <w:pPr>
        <w:spacing w:after="320"/>
        <w:rPr>
          <w:rFonts w:hint="eastAsia"/>
        </w:rPr>
      </w:pPr>
      <w:r>
        <w:rPr>
          <w:rFonts w:hint="eastAsia"/>
        </w:rPr>
        <w:tab/>
        <w:t xml:space="preserve">51.  </w:t>
      </w:r>
      <w:r>
        <w:rPr>
          <w:rFonts w:hint="eastAsia"/>
        </w:rPr>
        <w:t>与现有的条约机构的做法一样，统一的常设条约机构将以一般性意见</w:t>
      </w:r>
      <w:r>
        <w:rPr>
          <w:rFonts w:hint="eastAsia"/>
        </w:rPr>
        <w:t>/</w:t>
      </w:r>
      <w:r>
        <w:rPr>
          <w:rFonts w:hint="eastAsia"/>
        </w:rPr>
        <w:t>建议的形式通过并公布其对人权条款的内容的解释，从而澄清人权规定的内容。与现有的制度不一样的是，统一的常设条约机构将能够对条约中相互重叠的义务采取更完整的处理办法。另外，在拟定一般性意见</w:t>
      </w:r>
      <w:r>
        <w:rPr>
          <w:rFonts w:hint="eastAsia"/>
        </w:rPr>
        <w:t>/</w:t>
      </w:r>
      <w:r>
        <w:rPr>
          <w:rFonts w:hint="eastAsia"/>
        </w:rPr>
        <w:t>建议时，统一的常设条约机构还更容易为所有利益相关者推出更为透明和更具有参与性的程序。</w:t>
      </w:r>
    </w:p>
    <w:p w:rsidR="00000000" w:rsidRDefault="00000000">
      <w:pPr>
        <w:pStyle w:val="Heading3"/>
        <w:rPr>
          <w:rFonts w:hint="eastAsia"/>
        </w:rPr>
      </w:pPr>
      <w:r>
        <w:rPr>
          <w:rFonts w:hint="eastAsia"/>
          <w:u w:val="none"/>
        </w:rPr>
        <w:t xml:space="preserve">5.  </w:t>
      </w:r>
      <w:r>
        <w:rPr>
          <w:rFonts w:hint="eastAsia"/>
        </w:rPr>
        <w:t>后续行动</w:t>
      </w:r>
    </w:p>
    <w:p w:rsidR="00000000" w:rsidRDefault="00000000">
      <w:pPr>
        <w:spacing w:after="320"/>
        <w:rPr>
          <w:rFonts w:hint="eastAsia"/>
        </w:rPr>
      </w:pPr>
      <w:r>
        <w:rPr>
          <w:rFonts w:hint="eastAsia"/>
        </w:rPr>
        <w:tab/>
        <w:t xml:space="preserve">52.  </w:t>
      </w:r>
      <w:r>
        <w:rPr>
          <w:rFonts w:hint="eastAsia"/>
        </w:rPr>
        <w:t>统一的常设条约机构可以在现有条约机构的实践经验基础上，实行一些新的机制，以便就结论性意见和建议的执行情况以及就个别案例的裁决采取后续行动。统一的常设条约机构的议事规则将明确地规定机构在后续行动方面的职权范围，这可以包括实地进行监测访问。</w:t>
      </w:r>
    </w:p>
    <w:p w:rsidR="00000000" w:rsidRDefault="00000000">
      <w:pPr>
        <w:pStyle w:val="Heading3"/>
        <w:rPr>
          <w:rFonts w:hint="eastAsia"/>
        </w:rPr>
      </w:pPr>
      <w:r>
        <w:rPr>
          <w:rFonts w:hint="eastAsia"/>
          <w:u w:val="none"/>
        </w:rPr>
        <w:t xml:space="preserve">6.  </w:t>
      </w:r>
      <w:r>
        <w:rPr>
          <w:rFonts w:hint="eastAsia"/>
        </w:rPr>
        <w:t>早期预警和情况调查</w:t>
      </w:r>
    </w:p>
    <w:p w:rsidR="00000000" w:rsidRDefault="00000000">
      <w:pPr>
        <w:rPr>
          <w:rFonts w:hint="eastAsia"/>
        </w:rPr>
      </w:pPr>
      <w:r>
        <w:rPr>
          <w:rFonts w:hint="eastAsia"/>
        </w:rPr>
        <w:tab/>
        <w:t xml:space="preserve">53.  </w:t>
      </w:r>
      <w:r>
        <w:rPr>
          <w:rFonts w:hint="eastAsia"/>
        </w:rPr>
        <w:t>统一的常设条约机构可以制定一项早期预警机制，作为一个常设机构，它可以快速地对需要立刻给予注意的违法行为以及新发生的人权形势作出反应，并且能够向联合国系统内的有关部门发出及时警告，以便他们采取适当行动。</w:t>
      </w:r>
    </w:p>
    <w:p w:rsidR="00000000" w:rsidRDefault="00000000">
      <w:pPr>
        <w:spacing w:after="320"/>
        <w:rPr>
          <w:rFonts w:hint="eastAsia"/>
        </w:rPr>
      </w:pPr>
      <w:r>
        <w:rPr>
          <w:rFonts w:hint="eastAsia"/>
        </w:rPr>
        <w:tab/>
        <w:t xml:space="preserve">54.  </w:t>
      </w:r>
      <w:r>
        <w:rPr>
          <w:rFonts w:hint="eastAsia"/>
        </w:rPr>
        <w:t>统一的常设条约机构将能够以全面、完整和跨部门的方式处理人权，因而比现有机构更有能力评估国家一级的人权形势和动态。根据《消除种族歧视国际公约》的现有做法，统一的常设条约机构可以采纳早期预警</w:t>
      </w:r>
      <w:r>
        <w:rPr>
          <w:rFonts w:hint="eastAsia"/>
        </w:rPr>
        <w:t>/</w:t>
      </w:r>
      <w:r>
        <w:rPr>
          <w:rFonts w:hint="eastAsia"/>
        </w:rPr>
        <w:t>紧急行动程序，而不必修改现有的条约规定。统一的常设条约机构可以在特别程序任务担任者密切协助之下，对侵犯人权的情况作出迅速的反应，并且继续保持条约机构与特别机制之间正常的劳动分工。</w:t>
      </w:r>
    </w:p>
    <w:p w:rsidR="00000000" w:rsidRDefault="00000000">
      <w:pPr>
        <w:pStyle w:val="Heading3"/>
        <w:rPr>
          <w:rFonts w:hint="eastAsia"/>
        </w:rPr>
      </w:pPr>
      <w:r>
        <w:rPr>
          <w:rFonts w:hint="eastAsia"/>
          <w:u w:val="none"/>
        </w:rPr>
        <w:t xml:space="preserve">7.  </w:t>
      </w:r>
      <w:r>
        <w:rPr>
          <w:rFonts w:hint="eastAsia"/>
        </w:rPr>
        <w:t>与伙伴的合作</w:t>
      </w:r>
    </w:p>
    <w:p w:rsidR="00000000" w:rsidRDefault="00000000">
      <w:pPr>
        <w:rPr>
          <w:rFonts w:hint="eastAsia"/>
        </w:rPr>
      </w:pPr>
      <w:r>
        <w:rPr>
          <w:rFonts w:hint="eastAsia"/>
        </w:rPr>
        <w:tab/>
        <w:t xml:space="preserve">55.  </w:t>
      </w:r>
      <w:r>
        <w:rPr>
          <w:rFonts w:hint="eastAsia"/>
        </w:rPr>
        <w:t>与联合国各个实体进行互动，已经是目前的条约机构制度的组成部分。关于正式互动的规定见于各项条约</w:t>
      </w:r>
      <w:r>
        <w:rPr>
          <w:rFonts w:hint="eastAsia"/>
        </w:rPr>
        <w:t>(</w:t>
      </w:r>
      <w:r>
        <w:rPr>
          <w:rFonts w:hint="eastAsia"/>
        </w:rPr>
        <w:t>《经社文权利公约》、《公民权利和政治权利公约》、《消除对妇女歧视公约》、《儿童权利公约》、《移民工人权利公约》</w:t>
      </w:r>
      <w:r>
        <w:rPr>
          <w:rFonts w:hint="eastAsia"/>
        </w:rPr>
        <w:t>)</w:t>
      </w:r>
      <w:r>
        <w:rPr>
          <w:rFonts w:hint="eastAsia"/>
        </w:rPr>
        <w:t>或各委员会的议事规则中</w:t>
      </w:r>
      <w:r>
        <w:rPr>
          <w:rFonts w:hint="eastAsia"/>
        </w:rPr>
        <w:t>(</w:t>
      </w:r>
      <w:r>
        <w:rPr>
          <w:rFonts w:hint="eastAsia"/>
        </w:rPr>
        <w:t>人权事务委员会、消除对妇女歧视委员会、禁止酷刑委员会、儿童权利委员会</w:t>
      </w:r>
      <w:r>
        <w:rPr>
          <w:rFonts w:hint="eastAsia"/>
        </w:rPr>
        <w:t>)</w:t>
      </w:r>
      <w:r>
        <w:rPr>
          <w:rFonts w:hint="eastAsia"/>
        </w:rPr>
        <w:t>。统一的常设条约机构能够鼓励联合国各专门机构、方案以及基金在报告周期的各个阶段，并且在国家和国际两级，更积极地参与报告进程。与目前的制度一样，统一的常设条约机构可以邀请各专门机构以及联合国系统其他机构提交针对具体缔约国情况的书面报告，还可以为便利这一工作制定标准指南。</w:t>
      </w:r>
    </w:p>
    <w:p w:rsidR="00000000" w:rsidRDefault="00000000">
      <w:pPr>
        <w:spacing w:after="320"/>
        <w:rPr>
          <w:rFonts w:hint="eastAsia"/>
        </w:rPr>
      </w:pPr>
      <w:r>
        <w:rPr>
          <w:rFonts w:hint="eastAsia"/>
        </w:rPr>
        <w:tab/>
        <w:t xml:space="preserve">56.  </w:t>
      </w:r>
      <w:r>
        <w:rPr>
          <w:rFonts w:hint="eastAsia"/>
        </w:rPr>
        <w:t>所有条约机构都制定了与非政府组织进行互动的方式，这种互动现在已成为监测进程的组成部分。此外，各条约机构高度重视与公民社会代表建立起来的互动关系。高级专员行动计划中的一个重要的行动措施是“与公民社会建立更强的协作关系，并且与他们一道为取得长期的人权成就而作出贡献。”</w:t>
      </w:r>
      <w:r>
        <w:rPr>
          <w:rStyle w:val="FootnoteReference"/>
        </w:rPr>
        <w:footnoteReference w:id="12"/>
      </w:r>
      <w:r>
        <w:rPr>
          <w:rFonts w:hint="eastAsia"/>
        </w:rPr>
        <w:t xml:space="preserve"> </w:t>
      </w:r>
      <w:r>
        <w:rPr>
          <w:rFonts w:hint="eastAsia"/>
        </w:rPr>
        <w:t>统一的常设条约机构还可以现有制度的成就为基础，更有利地加强公民社会行为者参与其活动的作用。</w:t>
      </w:r>
    </w:p>
    <w:p w:rsidR="00000000" w:rsidRDefault="00000000">
      <w:pPr>
        <w:pStyle w:val="Heading3"/>
        <w:rPr>
          <w:rFonts w:hint="eastAsia"/>
        </w:rPr>
      </w:pPr>
      <w:r>
        <w:rPr>
          <w:rFonts w:hint="eastAsia"/>
          <w:u w:val="none"/>
        </w:rPr>
        <w:t xml:space="preserve">8.  </w:t>
      </w:r>
      <w:r>
        <w:rPr>
          <w:rFonts w:hint="eastAsia"/>
        </w:rPr>
        <w:t>一般讨论日</w:t>
      </w:r>
    </w:p>
    <w:p w:rsidR="00000000" w:rsidRDefault="00000000">
      <w:r>
        <w:rPr>
          <w:rFonts w:hint="eastAsia"/>
        </w:rPr>
        <w:tab/>
        <w:t xml:space="preserve">57.  </w:t>
      </w:r>
      <w:r>
        <w:rPr>
          <w:rFonts w:hint="eastAsia"/>
        </w:rPr>
        <w:t>现有条约机构所召开的一般性讨论</w:t>
      </w:r>
      <w:r>
        <w:rPr>
          <w:rFonts w:hint="eastAsia"/>
        </w:rPr>
        <w:t>/</w:t>
      </w:r>
      <w:r>
        <w:rPr>
          <w:rFonts w:hint="eastAsia"/>
        </w:rPr>
        <w:t>专题性讨论已经证明是很有价值的论坛，它吸引各国代表、专家个人、联合国各机构和专门机构以及公民社会成员积极参与。一般性讨论</w:t>
      </w:r>
      <w:r>
        <w:rPr>
          <w:rFonts w:hint="eastAsia"/>
        </w:rPr>
        <w:t>/</w:t>
      </w:r>
      <w:r>
        <w:rPr>
          <w:rFonts w:hint="eastAsia"/>
        </w:rPr>
        <w:t>专题性讨论以及随后的建议都对编写一般性意见起了作用，并导致发起了一些全面性的研究活动。</w:t>
      </w:r>
      <w:r>
        <w:rPr>
          <w:rStyle w:val="FootnoteReference"/>
        </w:rPr>
        <w:footnoteReference w:id="13"/>
      </w:r>
    </w:p>
    <w:p w:rsidR="00000000" w:rsidRDefault="00000000">
      <w:pPr>
        <w:spacing w:after="320"/>
        <w:rPr>
          <w:rFonts w:hint="eastAsia"/>
        </w:rPr>
      </w:pPr>
      <w:r>
        <w:tab/>
        <w:t xml:space="preserve">58.  </w:t>
      </w:r>
      <w:r>
        <w:rPr>
          <w:rFonts w:hint="eastAsia"/>
        </w:rPr>
        <w:t>统一的常设条约机构可以在此经验基础上加强一般性讨论</w:t>
      </w:r>
      <w:r>
        <w:rPr>
          <w:rFonts w:hint="eastAsia"/>
        </w:rPr>
        <w:t>/</w:t>
      </w:r>
      <w:r>
        <w:rPr>
          <w:rFonts w:hint="eastAsia"/>
        </w:rPr>
        <w:t>专题性讨论的作用，使得整个制度更加被人们了解，也更容易使用。统一的条约机构还可以采取不同的更加灵活的办法，以便使许多利益相关者参与进来。它可以针对某个地区所特别关注的人权形势，在这个地区召开几天的一般性讨论。它还可以针对各项条约共有的题目召开几天的一般性讨论。这容易促进对人权采取跨部门的处理办法。统一的常设条约机构所组织的这种一般性讨论的成果可以成为针对各项条约共有主题而编写一般性意见</w:t>
      </w:r>
      <w:r>
        <w:rPr>
          <w:rFonts w:hint="eastAsia"/>
        </w:rPr>
        <w:t>/</w:t>
      </w:r>
      <w:r>
        <w:rPr>
          <w:rFonts w:hint="eastAsia"/>
        </w:rPr>
        <w:t>建议时参考的背景。</w:t>
      </w:r>
    </w:p>
    <w:p w:rsidR="00000000" w:rsidRDefault="00000000">
      <w:pPr>
        <w:pStyle w:val="Heading2"/>
        <w:rPr>
          <w:rFonts w:hint="eastAsia"/>
        </w:rPr>
      </w:pPr>
      <w:r>
        <w:rPr>
          <w:rFonts w:hint="eastAsia"/>
        </w:rPr>
        <w:t>五、在建立统一的常设条约机构时需考虑的问题</w:t>
      </w:r>
    </w:p>
    <w:p w:rsidR="00000000" w:rsidRDefault="00000000">
      <w:pPr>
        <w:pStyle w:val="Heading3"/>
        <w:rPr>
          <w:rFonts w:hint="eastAsia"/>
        </w:rPr>
      </w:pPr>
      <w:r>
        <w:rPr>
          <w:rFonts w:hint="eastAsia"/>
          <w:u w:val="none"/>
        </w:rPr>
        <w:t xml:space="preserve">A.  </w:t>
      </w:r>
      <w:r>
        <w:rPr>
          <w:rFonts w:hint="eastAsia"/>
        </w:rPr>
        <w:t>具体性</w:t>
      </w:r>
    </w:p>
    <w:p w:rsidR="00000000" w:rsidRDefault="00000000">
      <w:pPr>
        <w:spacing w:after="320"/>
        <w:rPr>
          <w:rFonts w:hint="eastAsia"/>
        </w:rPr>
      </w:pPr>
      <w:r>
        <w:rPr>
          <w:rFonts w:hint="eastAsia"/>
        </w:rPr>
        <w:tab/>
        <w:t xml:space="preserve">59.  </w:t>
      </w:r>
      <w:r>
        <w:rPr>
          <w:rFonts w:hint="eastAsia"/>
        </w:rPr>
        <w:t>目前由七项人权条约组成的制度的一个重要特点是促进和保护某一特定群体的权利，例如儿童、妇女和移民工人的权利。一些评论者已经表达了这样的意见，即创立一个统一的常设条约机构可能会减弱对这些权利持有人的保护，因为这样的机构无法以足够的深度监督每一项条约具体条款的执行。评论者还提到建立一个统一的常设条约机构还可能导致对具体权利的执行情况审查不够，例如免受酷刑的权利和不受种族歧视的权利。他们还提到，设立一个统一的常设条约机构代替现有的各种条约机构很可能削弱条约机构进程的能力，无法激起政府和社区处理某些具体问题或对这些具体问题感兴趣的部门的动力。另外评论者还指出，现有的各个条约机构委员会成员所拥有的各种专长远远大于一个统一的常设条约机构可能得到的专长。在设立统一的常设条约机构的过程中，需要采取措施防止现有的制度所有的专门知识出现流失，应确保按照新的监测制度所进行的对话应当能够继续保持维护和促进具体权利持有者的权利以及具体权利这些重点。还需要采取措施确保条约机构进程继续能够使政府或社区中处理具体权利持有者或权利问题或对这些问题感兴趣的部门的参与。</w:t>
      </w:r>
    </w:p>
    <w:p w:rsidR="00000000" w:rsidRDefault="00000000">
      <w:pPr>
        <w:pStyle w:val="Heading3"/>
        <w:rPr>
          <w:rFonts w:hint="eastAsia"/>
        </w:rPr>
      </w:pPr>
      <w:r>
        <w:rPr>
          <w:rFonts w:hint="eastAsia"/>
          <w:u w:val="none"/>
        </w:rPr>
        <w:t xml:space="preserve">B.  </w:t>
      </w:r>
      <w:r>
        <w:rPr>
          <w:rFonts w:hint="eastAsia"/>
        </w:rPr>
        <w:t>不同的批准模式</w:t>
      </w:r>
    </w:p>
    <w:p w:rsidR="00000000" w:rsidRDefault="00000000">
      <w:pPr>
        <w:spacing w:after="320"/>
        <w:rPr>
          <w:rFonts w:hint="eastAsia"/>
        </w:rPr>
      </w:pPr>
      <w:r>
        <w:rPr>
          <w:rFonts w:hint="eastAsia"/>
        </w:rPr>
        <w:tab/>
        <w:t xml:space="preserve">60.  </w:t>
      </w:r>
      <w:r>
        <w:rPr>
          <w:rFonts w:hint="eastAsia"/>
        </w:rPr>
        <w:t>由于统一的批准制度尚未建立，各会员国有不同的批准方式，因此建立统一的常设条约机构在程序上带来了一些挑战。这包括如何确定统一的常设条约机构的成员人数，机构的成员是否可以参加其本国尚未接受的一些实质性条约义务所涉及的讨论和决定。但就投诉而言，按照目前的做法，人权事务委员会、消除对妇女歧视委员会、消除种族歧视委员会以及禁止酷刑委员会的成员都可以而且的确参加对投诉的审议，即使其本国尚未批准《公民权利和政治权利国际公约》或《消除对妇女一切形式歧视公约》的任择议定书或者没有按照《消除种族歧视国际公约》第</w:t>
      </w:r>
      <w:r>
        <w:rPr>
          <w:rFonts w:hint="eastAsia"/>
        </w:rPr>
        <w:t>14</w:t>
      </w:r>
      <w:r>
        <w:rPr>
          <w:rFonts w:hint="eastAsia"/>
        </w:rPr>
        <w:t>条或《禁止酷刑公约》第</w:t>
      </w:r>
      <w:r>
        <w:rPr>
          <w:rFonts w:hint="eastAsia"/>
        </w:rPr>
        <w:t>22</w:t>
      </w:r>
      <w:r>
        <w:rPr>
          <w:rFonts w:hint="eastAsia"/>
        </w:rPr>
        <w:t>条作出宣布。如果统一的常设条约机构倾向于采用设立审议室制度这一工作方式，那么上述问题也可能通过不同审议室的不同组成而得到解决。</w:t>
      </w:r>
    </w:p>
    <w:p w:rsidR="00000000" w:rsidRDefault="00000000">
      <w:pPr>
        <w:pStyle w:val="Heading3"/>
        <w:rPr>
          <w:rFonts w:hint="eastAsia"/>
        </w:rPr>
      </w:pPr>
      <w:r>
        <w:rPr>
          <w:rFonts w:hint="eastAsia"/>
          <w:u w:val="none"/>
        </w:rPr>
        <w:t xml:space="preserve">C.  </w:t>
      </w:r>
      <w:r>
        <w:rPr>
          <w:rFonts w:hint="eastAsia"/>
        </w:rPr>
        <w:t>成</w:t>
      </w:r>
      <w:r>
        <w:rPr>
          <w:rFonts w:hint="eastAsia"/>
        </w:rPr>
        <w:t xml:space="preserve">  </w:t>
      </w:r>
      <w:r>
        <w:rPr>
          <w:rFonts w:hint="eastAsia"/>
        </w:rPr>
        <w:t>员</w:t>
      </w:r>
    </w:p>
    <w:p w:rsidR="00000000" w:rsidRDefault="00000000">
      <w:pPr>
        <w:rPr>
          <w:rFonts w:hint="eastAsia"/>
        </w:rPr>
      </w:pPr>
      <w:r>
        <w:rPr>
          <w:rFonts w:hint="eastAsia"/>
        </w:rPr>
        <w:tab/>
        <w:t xml:space="preserve">61.  </w:t>
      </w:r>
      <w:r>
        <w:rPr>
          <w:rFonts w:hint="eastAsia"/>
        </w:rPr>
        <w:t>任何监测制度能否最终取得成功，包括统一的常设条约机构能否最终取得成功，取决于监测条约标准执行情况的专家的能力和独立性。可以设立选举程序来确保统一的常设条约机构成员具有最高能力，这种选举程序包括各缔约国就候选人提供更多的资料的规定。另外还可以就候选人的详细标准、资历、专长、任职期限以及地理和性别平衡等作出规定。一个常设机构的成员需要获得足够高的薪酬水平，以能够吸引最有能力的候选人。在这方面，可以参考区域一级的类似机构的经验。</w:t>
      </w:r>
    </w:p>
    <w:p w:rsidR="00000000" w:rsidRDefault="00000000">
      <w:pPr>
        <w:rPr>
          <w:rFonts w:hint="eastAsia"/>
        </w:rPr>
      </w:pPr>
      <w:r>
        <w:rPr>
          <w:rFonts w:hint="eastAsia"/>
        </w:rPr>
        <w:tab/>
        <w:t xml:space="preserve">62.  </w:t>
      </w:r>
      <w:r>
        <w:rPr>
          <w:rFonts w:hint="eastAsia"/>
        </w:rPr>
        <w:t>可以设计一些机制，以便成员继续保持与原来“选区”的联系，以确保统一的常设条约机构能够得益于有关的国家经验和专长，避免官僚化。统一的常设条约机构还可以由永久性的成员和非永久性成员两部分组成，从而确保每次审查</w:t>
      </w:r>
      <w:r>
        <w:rPr>
          <w:rFonts w:hint="eastAsia"/>
        </w:rPr>
        <w:t>/</w:t>
      </w:r>
      <w:r>
        <w:rPr>
          <w:rFonts w:hint="eastAsia"/>
        </w:rPr>
        <w:t>程序能够受益于适当的专业知识。永久性成员可以提供连续性、协调性和一致性，而非永久性成员可以提供所处理的形势</w:t>
      </w:r>
      <w:r>
        <w:rPr>
          <w:rFonts w:hint="eastAsia"/>
        </w:rPr>
        <w:t>/</w:t>
      </w:r>
      <w:r>
        <w:rPr>
          <w:rFonts w:hint="eastAsia"/>
        </w:rPr>
        <w:t>案件所需要的必要专长。</w:t>
      </w:r>
    </w:p>
    <w:p w:rsidR="00000000" w:rsidRDefault="00000000">
      <w:pPr>
        <w:spacing w:after="320"/>
        <w:rPr>
          <w:rFonts w:hint="eastAsia"/>
        </w:rPr>
      </w:pPr>
      <w:r>
        <w:rPr>
          <w:rFonts w:hint="eastAsia"/>
        </w:rPr>
        <w:tab/>
        <w:t xml:space="preserve">63.  </w:t>
      </w:r>
      <w:r>
        <w:rPr>
          <w:rFonts w:hint="eastAsia"/>
        </w:rPr>
        <w:t>另外还可制定详细的专家任命和选举制度，特别是应考虑到各种不同的批准模式。</w:t>
      </w:r>
    </w:p>
    <w:p w:rsidR="00000000" w:rsidRDefault="00000000">
      <w:pPr>
        <w:pStyle w:val="Heading3"/>
        <w:rPr>
          <w:rFonts w:hint="eastAsia"/>
        </w:rPr>
      </w:pPr>
      <w:r>
        <w:rPr>
          <w:rFonts w:hint="eastAsia"/>
          <w:u w:val="none"/>
        </w:rPr>
        <w:t xml:space="preserve">D.  </w:t>
      </w:r>
      <w:r>
        <w:rPr>
          <w:rFonts w:hint="eastAsia"/>
        </w:rPr>
        <w:t>法律问题</w:t>
      </w:r>
    </w:p>
    <w:p w:rsidR="00000000" w:rsidRDefault="00000000">
      <w:pPr>
        <w:rPr>
          <w:rFonts w:hint="eastAsia"/>
        </w:rPr>
      </w:pPr>
      <w:r>
        <w:rPr>
          <w:rFonts w:hint="eastAsia"/>
        </w:rPr>
        <w:tab/>
        <w:t xml:space="preserve">64.  </w:t>
      </w:r>
      <w:r>
        <w:rPr>
          <w:rFonts w:hint="eastAsia"/>
        </w:rPr>
        <w:t>除了《经济、社会、文化权利公约》以外，所有人权条约机构都是由其所监测的人权条约所设立的。设立统一的常设条约机构提出了重要的法律问题。可以设想各种不同的做法。第一种方案可能是，对每项人权条约都作出修正，正如各自的修正条款所规定的那样。第二个方案可以是，通过一项涵盖一切的关于修正问题的程序性议定书。另外还可设想不具有法律约束力的解决办法。这可以包括，借助于大会决议，将职权逐渐转移到现有的人权条约机构中的一个，或暂时停止各条约机构的职能，将其职权转移到一个统一常设条约机构里。</w:t>
      </w:r>
    </w:p>
    <w:p w:rsidR="00000000" w:rsidRDefault="00000000">
      <w:pPr>
        <w:spacing w:after="320"/>
        <w:rPr>
          <w:rFonts w:hint="eastAsia"/>
        </w:rPr>
      </w:pPr>
      <w:r>
        <w:rPr>
          <w:rFonts w:hint="eastAsia"/>
        </w:rPr>
        <w:tab/>
        <w:t xml:space="preserve">65.  </w:t>
      </w:r>
      <w:r>
        <w:rPr>
          <w:rFonts w:hint="eastAsia"/>
        </w:rPr>
        <w:t>任何过渡性安排将取决于所选择的方案是否被认为是建立统一的常设条约机构最可行的办法。应该避免同时实行多种监测制度，因为这会进一步使监测制度复杂化而不是使之简化并得到加强。同时实行几种制度还会削弱整个改革的目标。从最低限度讲，可以设想一种简化的批准程序，或在修正案</w:t>
      </w:r>
      <w:r>
        <w:rPr>
          <w:rFonts w:hint="eastAsia"/>
        </w:rPr>
        <w:t>(</w:t>
      </w:r>
      <w:r>
        <w:rPr>
          <w:rFonts w:hint="eastAsia"/>
        </w:rPr>
        <w:t>修正性议定议书</w:t>
      </w:r>
      <w:r>
        <w:rPr>
          <w:rFonts w:hint="eastAsia"/>
        </w:rPr>
        <w:t>)</w:t>
      </w:r>
      <w:r>
        <w:rPr>
          <w:rFonts w:hint="eastAsia"/>
        </w:rPr>
        <w:t>生效之前，暂时实行一种新的监测制度，正如《联合国海洋法公约》第十一部分执行协议所做的那样。</w:t>
      </w:r>
    </w:p>
    <w:p w:rsidR="00000000" w:rsidRDefault="00000000">
      <w:pPr>
        <w:pStyle w:val="Heading2"/>
        <w:spacing w:after="160"/>
      </w:pPr>
      <w:r>
        <w:rPr>
          <w:rFonts w:hint="eastAsia"/>
        </w:rPr>
        <w:t>附</w:t>
      </w:r>
      <w:r>
        <w:rPr>
          <w:rFonts w:hint="eastAsia"/>
        </w:rPr>
        <w:t xml:space="preserve"> </w:t>
      </w:r>
      <w:r>
        <w:rPr>
          <w:rFonts w:hint="eastAsia"/>
        </w:rPr>
        <w:t>件</w:t>
      </w:r>
      <w:r>
        <w:rPr>
          <w:rFonts w:hint="eastAsia"/>
        </w:rPr>
        <w:t xml:space="preserve"> </w:t>
      </w:r>
      <w:r>
        <w:rPr>
          <w:rFonts w:hint="eastAsia"/>
        </w:rPr>
        <w:t>一</w:t>
      </w:r>
    </w:p>
    <w:p w:rsidR="00000000" w:rsidRDefault="00000000">
      <w:pPr>
        <w:pStyle w:val="Heading2"/>
        <w:spacing w:after="160"/>
        <w:rPr>
          <w:rFonts w:hint="eastAsia"/>
        </w:rPr>
      </w:pPr>
      <w:r>
        <w:rPr>
          <w:rFonts w:hint="eastAsia"/>
        </w:rPr>
        <w:t>与报告有关的事实和数字</w:t>
      </w:r>
    </w:p>
    <w:p w:rsidR="00000000" w:rsidRDefault="00000000">
      <w:pPr>
        <w:pStyle w:val="Heading4"/>
        <w:spacing w:after="160"/>
        <w:rPr>
          <w:rFonts w:hint="eastAsia"/>
        </w:rPr>
      </w:pPr>
      <w:r>
        <w:rPr>
          <w:rFonts w:hint="eastAsia"/>
        </w:rPr>
        <w:t>批</w:t>
      </w:r>
      <w:r>
        <w:rPr>
          <w:rFonts w:hint="eastAsia"/>
        </w:rPr>
        <w:t xml:space="preserve">  </w:t>
      </w:r>
      <w:r>
        <w:rPr>
          <w:rFonts w:hint="eastAsia"/>
        </w:rPr>
        <w:t>准</w:t>
      </w:r>
    </w:p>
    <w:p w:rsidR="00000000" w:rsidRDefault="00000000">
      <w:pPr>
        <w:pStyle w:val="a"/>
        <w:tabs>
          <w:tab w:val="num" w:pos="1030"/>
        </w:tabs>
        <w:spacing w:line="312" w:lineRule="auto"/>
        <w:ind w:left="1030"/>
        <w:rPr>
          <w:rFonts w:hint="eastAsia"/>
          <w:spacing w:val="4"/>
        </w:rPr>
      </w:pPr>
      <w:r>
        <w:rPr>
          <w:rFonts w:hint="eastAsia"/>
          <w:spacing w:val="4"/>
        </w:rPr>
        <w:t>所有国家都至少参加了一项条约，其中</w:t>
      </w:r>
      <w:r>
        <w:rPr>
          <w:rFonts w:hint="eastAsia"/>
          <w:spacing w:val="4"/>
        </w:rPr>
        <w:t>75%</w:t>
      </w:r>
      <w:r>
        <w:rPr>
          <w:rFonts w:hint="eastAsia"/>
          <w:spacing w:val="4"/>
        </w:rPr>
        <w:t>的国家参加了四项以上条约；</w:t>
      </w:r>
    </w:p>
    <w:p w:rsidR="00000000" w:rsidRDefault="00000000">
      <w:pPr>
        <w:pStyle w:val="a"/>
        <w:tabs>
          <w:tab w:val="num" w:pos="1030"/>
        </w:tabs>
        <w:spacing w:after="240" w:line="312" w:lineRule="auto"/>
        <w:ind w:left="1030"/>
        <w:rPr>
          <w:rFonts w:hint="eastAsia"/>
        </w:rPr>
      </w:pPr>
      <w:r>
        <w:rPr>
          <w:rFonts w:hint="eastAsia"/>
        </w:rPr>
        <w:t>在所有可能的批准中，已经落实了</w:t>
      </w:r>
      <w:r>
        <w:rPr>
          <w:rFonts w:hint="eastAsia"/>
        </w:rPr>
        <w:t>71%</w:t>
      </w:r>
      <w:r>
        <w:rPr>
          <w:rFonts w:hint="eastAsia"/>
        </w:rPr>
        <w:t>，离普遍批准的目标还剩下不到三分之一的路程。如果将《移民工人权利国际公约》刨除在外，在所有可能的批准中已经实现了</w:t>
      </w:r>
      <w:r>
        <w:rPr>
          <w:rFonts w:hint="eastAsia"/>
        </w:rPr>
        <w:t>77%</w:t>
      </w:r>
      <w:r>
        <w:rPr>
          <w:rFonts w:hint="eastAsia"/>
        </w:rPr>
        <w:t>。</w:t>
      </w:r>
    </w:p>
    <w:p w:rsidR="00000000" w:rsidRDefault="00000000">
      <w:pPr>
        <w:pStyle w:val="Heading4"/>
        <w:spacing w:line="312" w:lineRule="auto"/>
        <w:rPr>
          <w:rFonts w:hint="eastAsia"/>
        </w:rPr>
      </w:pPr>
      <w:r>
        <w:rPr>
          <w:rFonts w:hint="eastAsia"/>
        </w:rPr>
        <w:t>目前的制度：一些基本事实</w:t>
      </w:r>
    </w:p>
    <w:p w:rsidR="00000000" w:rsidRDefault="00000000">
      <w:pPr>
        <w:pStyle w:val="a"/>
        <w:tabs>
          <w:tab w:val="num" w:pos="1030"/>
        </w:tabs>
        <w:spacing w:line="312" w:lineRule="auto"/>
        <w:ind w:left="1030"/>
        <w:rPr>
          <w:rFonts w:hint="eastAsia"/>
        </w:rPr>
      </w:pPr>
      <w:r>
        <w:rPr>
          <w:rFonts w:hint="eastAsia"/>
        </w:rPr>
        <w:t>现有七个条约机构，另有三个不久将设立或考虑设立</w:t>
      </w:r>
      <w:r>
        <w:rPr>
          <w:rFonts w:hint="eastAsia"/>
        </w:rPr>
        <w:t>(</w:t>
      </w:r>
      <w:r>
        <w:rPr>
          <w:rFonts w:hint="eastAsia"/>
        </w:rPr>
        <w:t>在禁止酷刑公约任择议定书下设立的预防小组委员会，强迫失踪问题委员会以及残疾人权利问题委员会</w:t>
      </w:r>
      <w:r>
        <w:rPr>
          <w:rFonts w:hint="eastAsia"/>
        </w:rPr>
        <w:t>)</w:t>
      </w:r>
      <w:r>
        <w:rPr>
          <w:rFonts w:hint="eastAsia"/>
        </w:rPr>
        <w:t>；</w:t>
      </w:r>
    </w:p>
    <w:p w:rsidR="00000000" w:rsidRDefault="00000000">
      <w:pPr>
        <w:pStyle w:val="a"/>
        <w:tabs>
          <w:tab w:val="num" w:pos="1030"/>
        </w:tabs>
        <w:spacing w:line="312" w:lineRule="auto"/>
        <w:ind w:left="1030"/>
        <w:rPr>
          <w:rFonts w:hint="eastAsia"/>
        </w:rPr>
      </w:pPr>
      <w:r>
        <w:rPr>
          <w:rFonts w:hint="eastAsia"/>
        </w:rPr>
        <w:t>缔约国或经社理事会成员国</w:t>
      </w:r>
      <w:r>
        <w:rPr>
          <w:rFonts w:hint="eastAsia"/>
        </w:rPr>
        <w:t>(</w:t>
      </w:r>
      <w:r>
        <w:rPr>
          <w:rFonts w:hint="eastAsia"/>
        </w:rPr>
        <w:t>共选出</w:t>
      </w:r>
      <w:r>
        <w:rPr>
          <w:rFonts w:hint="eastAsia"/>
        </w:rPr>
        <w:t>115</w:t>
      </w:r>
      <w:r>
        <w:rPr>
          <w:rFonts w:hint="eastAsia"/>
        </w:rPr>
        <w:t>名成员</w:t>
      </w:r>
      <w:r>
        <w:rPr>
          <w:rFonts w:hint="eastAsia"/>
        </w:rPr>
        <w:t>)</w:t>
      </w:r>
      <w:r>
        <w:rPr>
          <w:rFonts w:hint="eastAsia"/>
        </w:rPr>
        <w:t>；</w:t>
      </w:r>
    </w:p>
    <w:p w:rsidR="00000000" w:rsidRDefault="00000000">
      <w:pPr>
        <w:pStyle w:val="a"/>
        <w:tabs>
          <w:tab w:val="num" w:pos="1030"/>
        </w:tabs>
        <w:spacing w:after="160" w:line="312" w:lineRule="auto"/>
        <w:ind w:left="1030"/>
        <w:rPr>
          <w:rFonts w:hint="eastAsia"/>
        </w:rPr>
      </w:pPr>
      <w:r>
        <w:rPr>
          <w:rFonts w:hint="eastAsia"/>
        </w:rPr>
        <w:t>每年举行</w:t>
      </w:r>
      <w:r>
        <w:rPr>
          <w:rFonts w:hint="eastAsia"/>
        </w:rPr>
        <w:t>57</w:t>
      </w:r>
      <w:r>
        <w:rPr>
          <w:rFonts w:hint="eastAsia"/>
        </w:rPr>
        <w:t>个星期的会议。</w:t>
      </w:r>
    </w:p>
    <w:p w:rsidR="00000000" w:rsidRDefault="00000000">
      <w:pPr>
        <w:pStyle w:val="Heading4"/>
        <w:spacing w:after="160"/>
        <w:rPr>
          <w:rFonts w:hint="eastAsia"/>
        </w:rPr>
      </w:pPr>
      <w:r>
        <w:rPr>
          <w:rFonts w:hint="eastAsia"/>
        </w:rPr>
        <w:t>对报告义务的遵守情况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6"/>
        <w:gridCol w:w="1350"/>
        <w:gridCol w:w="1314"/>
        <w:gridCol w:w="1371"/>
        <w:gridCol w:w="1174"/>
        <w:gridCol w:w="1202"/>
        <w:gridCol w:w="1813"/>
      </w:tblGrid>
      <w:tr w:rsidR="00000000">
        <w:tc>
          <w:tcPr>
            <w:tcW w:w="704" w:type="pct"/>
          </w:tcPr>
          <w:p w:rsidR="00000000" w:rsidRDefault="00000000">
            <w:pPr>
              <w:spacing w:before="60" w:line="264" w:lineRule="auto"/>
              <w:jc w:val="center"/>
              <w:rPr>
                <w:rFonts w:ascii="Time New Roman" w:eastAsia="SimHei" w:hAnsi="Time New Roman"/>
                <w:spacing w:val="0"/>
                <w:sz w:val="20"/>
              </w:rPr>
            </w:pPr>
          </w:p>
        </w:tc>
        <w:tc>
          <w:tcPr>
            <w:tcW w:w="706" w:type="pct"/>
          </w:tcPr>
          <w:p w:rsidR="00000000" w:rsidRDefault="00000000">
            <w:pPr>
              <w:spacing w:before="60" w:line="264" w:lineRule="auto"/>
              <w:jc w:val="center"/>
              <w:rPr>
                <w:rFonts w:ascii="Time New Roman" w:eastAsia="SimHei" w:hAnsi="Time New Roman" w:hint="eastAsia"/>
                <w:spacing w:val="0"/>
                <w:sz w:val="20"/>
              </w:rPr>
            </w:pPr>
            <w:r>
              <w:rPr>
                <w:rFonts w:ascii="Time New Roman" w:eastAsia="SimHei" w:hAnsi="Time New Roman" w:hint="eastAsia"/>
                <w:spacing w:val="0"/>
                <w:sz w:val="20"/>
              </w:rPr>
              <w:t>缔约国数量</w:t>
            </w:r>
          </w:p>
        </w:tc>
        <w:tc>
          <w:tcPr>
            <w:tcW w:w="687" w:type="pct"/>
          </w:tcPr>
          <w:p w:rsidR="00000000" w:rsidRDefault="00000000">
            <w:pPr>
              <w:spacing w:before="60" w:line="264" w:lineRule="auto"/>
              <w:jc w:val="center"/>
              <w:rPr>
                <w:rFonts w:ascii="Time New Roman" w:eastAsia="SimHei" w:hAnsi="Time New Roman" w:hint="eastAsia"/>
                <w:spacing w:val="0"/>
                <w:sz w:val="20"/>
              </w:rPr>
            </w:pPr>
            <w:r>
              <w:rPr>
                <w:rFonts w:ascii="Time New Roman" w:eastAsia="SimHei" w:hAnsi="Time New Roman" w:hint="eastAsia"/>
                <w:spacing w:val="0"/>
                <w:sz w:val="20"/>
              </w:rPr>
              <w:t>提交的初始报告数量</w:t>
            </w:r>
          </w:p>
        </w:tc>
        <w:tc>
          <w:tcPr>
            <w:tcW w:w="717" w:type="pct"/>
          </w:tcPr>
          <w:p w:rsidR="00000000" w:rsidRDefault="00000000">
            <w:pPr>
              <w:spacing w:before="60" w:line="264" w:lineRule="auto"/>
              <w:jc w:val="center"/>
              <w:rPr>
                <w:rFonts w:ascii="Time New Roman" w:eastAsia="SimHei" w:hAnsi="Time New Roman" w:hint="eastAsia"/>
                <w:spacing w:val="0"/>
                <w:sz w:val="20"/>
              </w:rPr>
            </w:pPr>
            <w:r>
              <w:rPr>
                <w:rFonts w:ascii="Time New Roman" w:eastAsia="SimHei" w:hAnsi="Time New Roman" w:hint="eastAsia"/>
                <w:spacing w:val="0"/>
                <w:sz w:val="20"/>
              </w:rPr>
              <w:t>逾期未交的报告数量</w:t>
            </w:r>
          </w:p>
        </w:tc>
        <w:tc>
          <w:tcPr>
            <w:tcW w:w="614" w:type="pct"/>
          </w:tcPr>
          <w:p w:rsidR="00000000" w:rsidRDefault="00000000">
            <w:pPr>
              <w:spacing w:before="60" w:line="264" w:lineRule="auto"/>
              <w:jc w:val="center"/>
              <w:rPr>
                <w:rFonts w:ascii="Time New Roman" w:eastAsia="SimHei" w:hAnsi="Time New Roman"/>
                <w:spacing w:val="0"/>
                <w:sz w:val="20"/>
              </w:rPr>
            </w:pPr>
            <w:r>
              <w:rPr>
                <w:rFonts w:ascii="Time New Roman" w:eastAsia="SimHei" w:hAnsi="Time New Roman" w:hint="eastAsia"/>
                <w:spacing w:val="0"/>
                <w:sz w:val="20"/>
              </w:rPr>
              <w:t>没有拖欠报告的国家数量</w:t>
            </w:r>
          </w:p>
        </w:tc>
        <w:tc>
          <w:tcPr>
            <w:tcW w:w="624" w:type="pct"/>
          </w:tcPr>
          <w:p w:rsidR="00000000" w:rsidRDefault="00000000">
            <w:pPr>
              <w:spacing w:before="60" w:line="264" w:lineRule="auto"/>
              <w:jc w:val="center"/>
              <w:rPr>
                <w:rFonts w:ascii="Time New Roman" w:eastAsia="SimHei" w:hAnsi="Time New Roman" w:hint="eastAsia"/>
                <w:spacing w:val="0"/>
                <w:sz w:val="20"/>
              </w:rPr>
            </w:pPr>
            <w:r>
              <w:rPr>
                <w:rFonts w:ascii="Time New Roman" w:eastAsia="SimHei" w:hAnsi="Time New Roman" w:hint="eastAsia"/>
                <w:spacing w:val="0"/>
                <w:sz w:val="20"/>
              </w:rPr>
              <w:t>收到的报</w:t>
            </w:r>
            <w:r>
              <w:rPr>
                <w:rFonts w:ascii="Time New Roman" w:eastAsia="SimHei" w:hAnsi="Time New Roman"/>
                <w:spacing w:val="0"/>
                <w:sz w:val="20"/>
              </w:rPr>
              <w:br/>
            </w:r>
            <w:r>
              <w:rPr>
                <w:rFonts w:ascii="Time New Roman" w:eastAsia="SimHei" w:hAnsi="Time New Roman" w:hint="eastAsia"/>
                <w:spacing w:val="0"/>
                <w:sz w:val="20"/>
              </w:rPr>
              <w:t>告总数</w:t>
            </w:r>
            <w:r>
              <w:rPr>
                <w:rStyle w:val="FootnoteReference"/>
                <w:rFonts w:ascii="Time New Roman" w:eastAsia="SimHei" w:hAnsi="Time New Roman"/>
                <w:sz w:val="20"/>
              </w:rPr>
              <w:footnoteReference w:id="14"/>
            </w:r>
          </w:p>
        </w:tc>
        <w:tc>
          <w:tcPr>
            <w:tcW w:w="948" w:type="pct"/>
          </w:tcPr>
          <w:p w:rsidR="00000000" w:rsidRDefault="00000000">
            <w:pPr>
              <w:spacing w:before="60" w:line="264" w:lineRule="auto"/>
              <w:jc w:val="center"/>
              <w:rPr>
                <w:rFonts w:ascii="Time New Roman" w:eastAsia="SimHei" w:hAnsi="Time New Roman"/>
                <w:spacing w:val="0"/>
                <w:sz w:val="20"/>
              </w:rPr>
            </w:pPr>
            <w:r>
              <w:rPr>
                <w:rFonts w:ascii="Time New Roman" w:eastAsia="SimHei" w:hAnsi="Time New Roman" w:hint="eastAsia"/>
                <w:spacing w:val="0"/>
                <w:sz w:val="20"/>
              </w:rPr>
              <w:t>截至</w:t>
            </w:r>
            <w:r>
              <w:rPr>
                <w:rFonts w:ascii="Time New Roman" w:eastAsia="SimHei" w:hAnsi="Time New Roman" w:hint="eastAsia"/>
                <w:b/>
                <w:spacing w:val="0"/>
                <w:sz w:val="20"/>
              </w:rPr>
              <w:t>2006</w:t>
            </w:r>
            <w:r>
              <w:rPr>
                <w:rFonts w:ascii="Time New Roman" w:eastAsia="SimHei" w:hAnsi="Time New Roman" w:hint="eastAsia"/>
                <w:spacing w:val="0"/>
                <w:sz w:val="20"/>
              </w:rPr>
              <w:t>年</w:t>
            </w:r>
            <w:r>
              <w:rPr>
                <w:rFonts w:ascii="Time New Roman" w:eastAsia="SimHei" w:hAnsi="Time New Roman" w:hint="eastAsia"/>
                <w:b/>
                <w:spacing w:val="0"/>
                <w:sz w:val="20"/>
              </w:rPr>
              <w:t>2</w:t>
            </w:r>
            <w:r>
              <w:rPr>
                <w:rFonts w:ascii="Time New Roman" w:eastAsia="SimHei" w:hAnsi="Time New Roman" w:hint="eastAsia"/>
                <w:spacing w:val="0"/>
                <w:sz w:val="20"/>
              </w:rPr>
              <w:t>月</w:t>
            </w:r>
            <w:r>
              <w:rPr>
                <w:rFonts w:ascii="Time New Roman" w:eastAsia="SimHei" w:hAnsi="Time New Roman" w:hint="eastAsia"/>
                <w:b/>
                <w:spacing w:val="0"/>
                <w:sz w:val="20"/>
              </w:rPr>
              <w:t>16</w:t>
            </w:r>
            <w:r>
              <w:rPr>
                <w:rFonts w:ascii="Time New Roman" w:eastAsia="SimHei" w:hAnsi="Time New Roman" w:hint="eastAsia"/>
                <w:spacing w:val="0"/>
                <w:sz w:val="20"/>
              </w:rPr>
              <w:t>日仍有待提交的报告总数</w:t>
            </w:r>
          </w:p>
        </w:tc>
      </w:tr>
      <w:tr w:rsidR="00000000">
        <w:tc>
          <w:tcPr>
            <w:tcW w:w="704" w:type="pct"/>
          </w:tcPr>
          <w:p w:rsidR="00000000" w:rsidRDefault="00000000">
            <w:pPr>
              <w:pStyle w:val="a2"/>
              <w:jc w:val="left"/>
              <w:rPr>
                <w:sz w:val="20"/>
              </w:rPr>
            </w:pPr>
            <w:r>
              <w:rPr>
                <w:sz w:val="20"/>
              </w:rPr>
              <w:t>ICERD</w:t>
            </w:r>
          </w:p>
        </w:tc>
        <w:tc>
          <w:tcPr>
            <w:tcW w:w="706" w:type="pct"/>
          </w:tcPr>
          <w:p w:rsidR="00000000" w:rsidRDefault="00000000">
            <w:pPr>
              <w:pStyle w:val="a2"/>
              <w:jc w:val="right"/>
              <w:rPr>
                <w:sz w:val="20"/>
              </w:rPr>
            </w:pPr>
            <w:r>
              <w:rPr>
                <w:sz w:val="20"/>
              </w:rPr>
              <w:t>170 (88%)</w:t>
            </w:r>
          </w:p>
        </w:tc>
        <w:tc>
          <w:tcPr>
            <w:tcW w:w="687" w:type="pct"/>
          </w:tcPr>
          <w:p w:rsidR="00000000" w:rsidRDefault="00000000">
            <w:pPr>
              <w:pStyle w:val="a2"/>
              <w:jc w:val="right"/>
              <w:rPr>
                <w:sz w:val="20"/>
              </w:rPr>
            </w:pPr>
            <w:r>
              <w:rPr>
                <w:sz w:val="20"/>
              </w:rPr>
              <w:t>152 (89%)</w:t>
            </w:r>
          </w:p>
        </w:tc>
        <w:tc>
          <w:tcPr>
            <w:tcW w:w="717" w:type="pct"/>
          </w:tcPr>
          <w:p w:rsidR="00000000" w:rsidRDefault="00000000">
            <w:pPr>
              <w:pStyle w:val="a2"/>
              <w:ind w:right="340"/>
              <w:jc w:val="right"/>
              <w:rPr>
                <w:sz w:val="20"/>
              </w:rPr>
            </w:pPr>
            <w:r>
              <w:rPr>
                <w:sz w:val="20"/>
              </w:rPr>
              <w:t>437</w:t>
            </w:r>
          </w:p>
        </w:tc>
        <w:tc>
          <w:tcPr>
            <w:tcW w:w="614" w:type="pct"/>
          </w:tcPr>
          <w:p w:rsidR="00000000" w:rsidRDefault="00000000">
            <w:pPr>
              <w:pStyle w:val="a2"/>
              <w:jc w:val="right"/>
              <w:rPr>
                <w:sz w:val="20"/>
              </w:rPr>
            </w:pPr>
            <w:r>
              <w:rPr>
                <w:sz w:val="20"/>
              </w:rPr>
              <w:t>60 (35%)</w:t>
            </w:r>
          </w:p>
        </w:tc>
        <w:tc>
          <w:tcPr>
            <w:tcW w:w="624" w:type="pct"/>
          </w:tcPr>
          <w:p w:rsidR="00000000" w:rsidRDefault="00000000">
            <w:pPr>
              <w:pStyle w:val="a2"/>
              <w:ind w:left="-57" w:right="-57"/>
              <w:jc w:val="right"/>
              <w:rPr>
                <w:sz w:val="20"/>
              </w:rPr>
            </w:pPr>
            <w:r>
              <w:rPr>
                <w:sz w:val="20"/>
              </w:rPr>
              <w:t>1695 (80%)</w:t>
            </w:r>
          </w:p>
        </w:tc>
        <w:tc>
          <w:tcPr>
            <w:tcW w:w="948" w:type="pct"/>
          </w:tcPr>
          <w:p w:rsidR="00000000" w:rsidRDefault="00000000">
            <w:pPr>
              <w:pStyle w:val="a2"/>
              <w:ind w:right="567"/>
              <w:jc w:val="right"/>
              <w:rPr>
                <w:sz w:val="20"/>
                <w:highlight w:val="yellow"/>
              </w:rPr>
            </w:pPr>
            <w:r>
              <w:rPr>
                <w:sz w:val="20"/>
              </w:rPr>
              <w:t>2132</w:t>
            </w:r>
          </w:p>
        </w:tc>
      </w:tr>
      <w:tr w:rsidR="00000000">
        <w:tc>
          <w:tcPr>
            <w:tcW w:w="704" w:type="pct"/>
          </w:tcPr>
          <w:p w:rsidR="00000000" w:rsidRDefault="00000000">
            <w:pPr>
              <w:pStyle w:val="a2"/>
              <w:jc w:val="left"/>
              <w:rPr>
                <w:sz w:val="20"/>
              </w:rPr>
            </w:pPr>
            <w:r>
              <w:rPr>
                <w:sz w:val="20"/>
              </w:rPr>
              <w:t>ICCPR</w:t>
            </w:r>
          </w:p>
        </w:tc>
        <w:tc>
          <w:tcPr>
            <w:tcW w:w="706" w:type="pct"/>
          </w:tcPr>
          <w:p w:rsidR="00000000" w:rsidRDefault="00000000">
            <w:pPr>
              <w:pStyle w:val="a2"/>
              <w:jc w:val="right"/>
              <w:rPr>
                <w:sz w:val="20"/>
              </w:rPr>
            </w:pPr>
            <w:r>
              <w:rPr>
                <w:sz w:val="20"/>
              </w:rPr>
              <w:t>155 (80%)</w:t>
            </w:r>
          </w:p>
        </w:tc>
        <w:tc>
          <w:tcPr>
            <w:tcW w:w="687" w:type="pct"/>
          </w:tcPr>
          <w:p w:rsidR="00000000" w:rsidRDefault="00000000">
            <w:pPr>
              <w:pStyle w:val="a2"/>
              <w:jc w:val="right"/>
              <w:rPr>
                <w:sz w:val="20"/>
              </w:rPr>
            </w:pPr>
            <w:r>
              <w:rPr>
                <w:sz w:val="20"/>
              </w:rPr>
              <w:t>129 (83%)</w:t>
            </w:r>
          </w:p>
        </w:tc>
        <w:tc>
          <w:tcPr>
            <w:tcW w:w="717" w:type="pct"/>
          </w:tcPr>
          <w:p w:rsidR="00000000" w:rsidRDefault="00000000">
            <w:pPr>
              <w:pStyle w:val="a2"/>
              <w:ind w:right="340"/>
              <w:jc w:val="right"/>
              <w:rPr>
                <w:sz w:val="20"/>
              </w:rPr>
            </w:pPr>
            <w:r>
              <w:rPr>
                <w:sz w:val="20"/>
              </w:rPr>
              <w:t>187</w:t>
            </w:r>
          </w:p>
        </w:tc>
        <w:tc>
          <w:tcPr>
            <w:tcW w:w="614" w:type="pct"/>
          </w:tcPr>
          <w:p w:rsidR="00000000" w:rsidRDefault="00000000">
            <w:pPr>
              <w:pStyle w:val="a2"/>
              <w:jc w:val="right"/>
              <w:rPr>
                <w:sz w:val="20"/>
              </w:rPr>
            </w:pPr>
            <w:r>
              <w:rPr>
                <w:sz w:val="20"/>
              </w:rPr>
              <w:t>53 (34%)</w:t>
            </w:r>
          </w:p>
        </w:tc>
        <w:tc>
          <w:tcPr>
            <w:tcW w:w="624" w:type="pct"/>
          </w:tcPr>
          <w:p w:rsidR="00000000" w:rsidRDefault="00000000">
            <w:pPr>
              <w:pStyle w:val="a2"/>
              <w:jc w:val="right"/>
              <w:rPr>
                <w:sz w:val="20"/>
              </w:rPr>
            </w:pPr>
            <w:r>
              <w:rPr>
                <w:sz w:val="20"/>
              </w:rPr>
              <w:t>334 (64%)</w:t>
            </w:r>
          </w:p>
        </w:tc>
        <w:tc>
          <w:tcPr>
            <w:tcW w:w="948" w:type="pct"/>
          </w:tcPr>
          <w:p w:rsidR="00000000" w:rsidRDefault="00000000">
            <w:pPr>
              <w:pStyle w:val="a2"/>
              <w:ind w:right="567"/>
              <w:jc w:val="right"/>
              <w:rPr>
                <w:sz w:val="20"/>
                <w:highlight w:val="yellow"/>
              </w:rPr>
            </w:pPr>
            <w:r>
              <w:rPr>
                <w:sz w:val="20"/>
              </w:rPr>
              <w:t>521</w:t>
            </w:r>
          </w:p>
        </w:tc>
      </w:tr>
      <w:tr w:rsidR="00000000">
        <w:tc>
          <w:tcPr>
            <w:tcW w:w="704" w:type="pct"/>
          </w:tcPr>
          <w:p w:rsidR="00000000" w:rsidRDefault="00000000">
            <w:pPr>
              <w:pStyle w:val="a2"/>
              <w:jc w:val="left"/>
              <w:rPr>
                <w:sz w:val="20"/>
              </w:rPr>
            </w:pPr>
            <w:r>
              <w:rPr>
                <w:sz w:val="20"/>
              </w:rPr>
              <w:t>ICESCR</w:t>
            </w:r>
          </w:p>
        </w:tc>
        <w:tc>
          <w:tcPr>
            <w:tcW w:w="706" w:type="pct"/>
          </w:tcPr>
          <w:p w:rsidR="00000000" w:rsidRDefault="00000000">
            <w:pPr>
              <w:pStyle w:val="a2"/>
              <w:jc w:val="right"/>
              <w:rPr>
                <w:sz w:val="20"/>
              </w:rPr>
            </w:pPr>
            <w:r>
              <w:rPr>
                <w:sz w:val="20"/>
              </w:rPr>
              <w:t>152 (78%)</w:t>
            </w:r>
          </w:p>
        </w:tc>
        <w:tc>
          <w:tcPr>
            <w:tcW w:w="687" w:type="pct"/>
          </w:tcPr>
          <w:p w:rsidR="00000000" w:rsidRDefault="00000000">
            <w:pPr>
              <w:pStyle w:val="a2"/>
              <w:jc w:val="right"/>
              <w:rPr>
                <w:sz w:val="20"/>
              </w:rPr>
            </w:pPr>
            <w:r>
              <w:rPr>
                <w:sz w:val="20"/>
              </w:rPr>
              <w:t>110 (72%)</w:t>
            </w:r>
          </w:p>
        </w:tc>
        <w:tc>
          <w:tcPr>
            <w:tcW w:w="717" w:type="pct"/>
          </w:tcPr>
          <w:p w:rsidR="00000000" w:rsidRDefault="00000000">
            <w:pPr>
              <w:pStyle w:val="a2"/>
              <w:ind w:right="340"/>
              <w:jc w:val="right"/>
              <w:rPr>
                <w:sz w:val="20"/>
              </w:rPr>
            </w:pPr>
            <w:r>
              <w:rPr>
                <w:sz w:val="20"/>
              </w:rPr>
              <w:t>211</w:t>
            </w:r>
          </w:p>
        </w:tc>
        <w:tc>
          <w:tcPr>
            <w:tcW w:w="614" w:type="pct"/>
          </w:tcPr>
          <w:p w:rsidR="00000000" w:rsidRDefault="00000000">
            <w:pPr>
              <w:pStyle w:val="a2"/>
              <w:jc w:val="right"/>
              <w:rPr>
                <w:sz w:val="20"/>
              </w:rPr>
            </w:pPr>
            <w:r>
              <w:rPr>
                <w:sz w:val="20"/>
              </w:rPr>
              <w:t>62 (41%)</w:t>
            </w:r>
          </w:p>
        </w:tc>
        <w:tc>
          <w:tcPr>
            <w:tcW w:w="624" w:type="pct"/>
          </w:tcPr>
          <w:p w:rsidR="00000000" w:rsidRDefault="00000000">
            <w:pPr>
              <w:pStyle w:val="a2"/>
              <w:jc w:val="right"/>
              <w:rPr>
                <w:sz w:val="20"/>
              </w:rPr>
            </w:pPr>
            <w:r>
              <w:rPr>
                <w:sz w:val="20"/>
              </w:rPr>
              <w:t>213 (50%)</w:t>
            </w:r>
          </w:p>
        </w:tc>
        <w:tc>
          <w:tcPr>
            <w:tcW w:w="948" w:type="pct"/>
          </w:tcPr>
          <w:p w:rsidR="00000000" w:rsidRDefault="00000000">
            <w:pPr>
              <w:pStyle w:val="a2"/>
              <w:ind w:right="567"/>
              <w:jc w:val="right"/>
              <w:rPr>
                <w:sz w:val="20"/>
                <w:highlight w:val="yellow"/>
              </w:rPr>
            </w:pPr>
            <w:r>
              <w:rPr>
                <w:sz w:val="20"/>
              </w:rPr>
              <w:t>424</w:t>
            </w:r>
          </w:p>
        </w:tc>
      </w:tr>
      <w:tr w:rsidR="00000000">
        <w:tc>
          <w:tcPr>
            <w:tcW w:w="704" w:type="pct"/>
          </w:tcPr>
          <w:p w:rsidR="00000000" w:rsidRDefault="00000000">
            <w:pPr>
              <w:pStyle w:val="a2"/>
              <w:jc w:val="left"/>
              <w:rPr>
                <w:sz w:val="20"/>
              </w:rPr>
            </w:pPr>
            <w:r>
              <w:rPr>
                <w:sz w:val="20"/>
              </w:rPr>
              <w:t>CEDAW</w:t>
            </w:r>
          </w:p>
        </w:tc>
        <w:tc>
          <w:tcPr>
            <w:tcW w:w="706" w:type="pct"/>
          </w:tcPr>
          <w:p w:rsidR="00000000" w:rsidRDefault="00000000">
            <w:pPr>
              <w:pStyle w:val="a2"/>
              <w:jc w:val="right"/>
              <w:rPr>
                <w:sz w:val="20"/>
              </w:rPr>
            </w:pPr>
            <w:r>
              <w:rPr>
                <w:sz w:val="20"/>
              </w:rPr>
              <w:t>180 (93%)</w:t>
            </w:r>
          </w:p>
        </w:tc>
        <w:tc>
          <w:tcPr>
            <w:tcW w:w="687" w:type="pct"/>
          </w:tcPr>
          <w:p w:rsidR="00000000" w:rsidRDefault="00000000">
            <w:pPr>
              <w:pStyle w:val="a2"/>
              <w:jc w:val="right"/>
              <w:rPr>
                <w:sz w:val="20"/>
              </w:rPr>
            </w:pPr>
            <w:r>
              <w:rPr>
                <w:sz w:val="20"/>
              </w:rPr>
              <w:t>151 (84%)</w:t>
            </w:r>
          </w:p>
        </w:tc>
        <w:tc>
          <w:tcPr>
            <w:tcW w:w="717" w:type="pct"/>
          </w:tcPr>
          <w:p w:rsidR="00000000" w:rsidRDefault="00000000">
            <w:pPr>
              <w:pStyle w:val="a2"/>
              <w:ind w:right="340"/>
              <w:jc w:val="right"/>
              <w:rPr>
                <w:sz w:val="20"/>
              </w:rPr>
            </w:pPr>
            <w:r>
              <w:rPr>
                <w:sz w:val="20"/>
              </w:rPr>
              <w:t>166</w:t>
            </w:r>
          </w:p>
        </w:tc>
        <w:tc>
          <w:tcPr>
            <w:tcW w:w="614" w:type="pct"/>
          </w:tcPr>
          <w:p w:rsidR="00000000" w:rsidRDefault="00000000">
            <w:pPr>
              <w:pStyle w:val="a2"/>
              <w:jc w:val="right"/>
              <w:rPr>
                <w:sz w:val="20"/>
              </w:rPr>
            </w:pPr>
            <w:r>
              <w:rPr>
                <w:sz w:val="20"/>
              </w:rPr>
              <w:t>94 (52%)</w:t>
            </w:r>
          </w:p>
        </w:tc>
        <w:tc>
          <w:tcPr>
            <w:tcW w:w="624" w:type="pct"/>
          </w:tcPr>
          <w:p w:rsidR="00000000" w:rsidRDefault="00000000">
            <w:pPr>
              <w:pStyle w:val="a2"/>
              <w:jc w:val="right"/>
              <w:rPr>
                <w:sz w:val="20"/>
              </w:rPr>
            </w:pPr>
            <w:r>
              <w:rPr>
                <w:sz w:val="20"/>
              </w:rPr>
              <w:t>592 (78%)</w:t>
            </w:r>
          </w:p>
        </w:tc>
        <w:tc>
          <w:tcPr>
            <w:tcW w:w="948" w:type="pct"/>
          </w:tcPr>
          <w:p w:rsidR="00000000" w:rsidRDefault="00000000">
            <w:pPr>
              <w:pStyle w:val="a2"/>
              <w:ind w:right="567"/>
              <w:jc w:val="right"/>
              <w:rPr>
                <w:sz w:val="20"/>
                <w:highlight w:val="yellow"/>
              </w:rPr>
            </w:pPr>
            <w:r>
              <w:rPr>
                <w:sz w:val="20"/>
              </w:rPr>
              <w:t>758</w:t>
            </w:r>
          </w:p>
        </w:tc>
      </w:tr>
      <w:tr w:rsidR="00000000">
        <w:tc>
          <w:tcPr>
            <w:tcW w:w="704" w:type="pct"/>
          </w:tcPr>
          <w:p w:rsidR="00000000" w:rsidRDefault="00000000">
            <w:pPr>
              <w:pStyle w:val="a2"/>
              <w:jc w:val="left"/>
              <w:rPr>
                <w:sz w:val="20"/>
              </w:rPr>
            </w:pPr>
            <w:r>
              <w:rPr>
                <w:sz w:val="20"/>
              </w:rPr>
              <w:t>CAT</w:t>
            </w:r>
          </w:p>
        </w:tc>
        <w:tc>
          <w:tcPr>
            <w:tcW w:w="706" w:type="pct"/>
          </w:tcPr>
          <w:p w:rsidR="00000000" w:rsidRDefault="00000000">
            <w:pPr>
              <w:pStyle w:val="a2"/>
              <w:jc w:val="right"/>
              <w:rPr>
                <w:sz w:val="20"/>
              </w:rPr>
            </w:pPr>
            <w:r>
              <w:rPr>
                <w:sz w:val="20"/>
              </w:rPr>
              <w:t>141 (73%)</w:t>
            </w:r>
          </w:p>
        </w:tc>
        <w:tc>
          <w:tcPr>
            <w:tcW w:w="687" w:type="pct"/>
          </w:tcPr>
          <w:p w:rsidR="00000000" w:rsidRDefault="00000000">
            <w:pPr>
              <w:pStyle w:val="a2"/>
              <w:jc w:val="right"/>
              <w:rPr>
                <w:sz w:val="20"/>
              </w:rPr>
            </w:pPr>
            <w:r>
              <w:rPr>
                <w:sz w:val="20"/>
              </w:rPr>
              <w:t>101 (72%)</w:t>
            </w:r>
          </w:p>
        </w:tc>
        <w:tc>
          <w:tcPr>
            <w:tcW w:w="717" w:type="pct"/>
          </w:tcPr>
          <w:p w:rsidR="00000000" w:rsidRDefault="00000000">
            <w:pPr>
              <w:pStyle w:val="a2"/>
              <w:ind w:right="340"/>
              <w:jc w:val="right"/>
              <w:rPr>
                <w:sz w:val="20"/>
              </w:rPr>
            </w:pPr>
            <w:r>
              <w:rPr>
                <w:sz w:val="20"/>
              </w:rPr>
              <w:t>178</w:t>
            </w:r>
          </w:p>
        </w:tc>
        <w:tc>
          <w:tcPr>
            <w:tcW w:w="614" w:type="pct"/>
          </w:tcPr>
          <w:p w:rsidR="00000000" w:rsidRDefault="00000000">
            <w:pPr>
              <w:pStyle w:val="a2"/>
              <w:jc w:val="right"/>
              <w:rPr>
                <w:sz w:val="20"/>
              </w:rPr>
            </w:pPr>
            <w:r>
              <w:rPr>
                <w:sz w:val="20"/>
              </w:rPr>
              <w:t>45 (32%)</w:t>
            </w:r>
          </w:p>
        </w:tc>
        <w:tc>
          <w:tcPr>
            <w:tcW w:w="624" w:type="pct"/>
          </w:tcPr>
          <w:p w:rsidR="00000000" w:rsidRDefault="00000000">
            <w:pPr>
              <w:pStyle w:val="a2"/>
              <w:jc w:val="right"/>
              <w:rPr>
                <w:sz w:val="20"/>
              </w:rPr>
            </w:pPr>
            <w:r>
              <w:rPr>
                <w:sz w:val="20"/>
              </w:rPr>
              <w:t>247 (58%)</w:t>
            </w:r>
          </w:p>
        </w:tc>
        <w:tc>
          <w:tcPr>
            <w:tcW w:w="948" w:type="pct"/>
          </w:tcPr>
          <w:p w:rsidR="00000000" w:rsidRDefault="00000000">
            <w:pPr>
              <w:pStyle w:val="a2"/>
              <w:ind w:right="567"/>
              <w:jc w:val="right"/>
              <w:rPr>
                <w:sz w:val="20"/>
                <w:highlight w:val="yellow"/>
              </w:rPr>
            </w:pPr>
            <w:r>
              <w:rPr>
                <w:sz w:val="20"/>
              </w:rPr>
              <w:t>425</w:t>
            </w:r>
          </w:p>
        </w:tc>
      </w:tr>
      <w:tr w:rsidR="00000000">
        <w:tc>
          <w:tcPr>
            <w:tcW w:w="704" w:type="pct"/>
          </w:tcPr>
          <w:p w:rsidR="00000000" w:rsidRDefault="00000000">
            <w:pPr>
              <w:pStyle w:val="a2"/>
              <w:jc w:val="left"/>
              <w:rPr>
                <w:sz w:val="20"/>
              </w:rPr>
            </w:pPr>
            <w:r>
              <w:rPr>
                <w:sz w:val="20"/>
              </w:rPr>
              <w:t>CRC</w:t>
            </w:r>
          </w:p>
        </w:tc>
        <w:tc>
          <w:tcPr>
            <w:tcW w:w="706" w:type="pct"/>
          </w:tcPr>
          <w:p w:rsidR="00000000" w:rsidRDefault="00000000">
            <w:pPr>
              <w:pStyle w:val="a2"/>
              <w:jc w:val="right"/>
              <w:rPr>
                <w:sz w:val="20"/>
              </w:rPr>
            </w:pPr>
            <w:r>
              <w:rPr>
                <w:sz w:val="20"/>
              </w:rPr>
              <w:t>192 (99%)</w:t>
            </w:r>
          </w:p>
        </w:tc>
        <w:tc>
          <w:tcPr>
            <w:tcW w:w="687" w:type="pct"/>
          </w:tcPr>
          <w:p w:rsidR="00000000" w:rsidRDefault="00000000">
            <w:pPr>
              <w:pStyle w:val="a2"/>
              <w:jc w:val="right"/>
              <w:rPr>
                <w:sz w:val="20"/>
              </w:rPr>
            </w:pPr>
            <w:r>
              <w:rPr>
                <w:sz w:val="20"/>
              </w:rPr>
              <w:t>183 (95%)</w:t>
            </w:r>
          </w:p>
        </w:tc>
        <w:tc>
          <w:tcPr>
            <w:tcW w:w="717" w:type="pct"/>
          </w:tcPr>
          <w:p w:rsidR="00000000" w:rsidRDefault="00000000">
            <w:pPr>
              <w:pStyle w:val="a2"/>
              <w:ind w:right="340"/>
              <w:jc w:val="right"/>
              <w:rPr>
                <w:sz w:val="20"/>
              </w:rPr>
            </w:pPr>
            <w:r>
              <w:rPr>
                <w:sz w:val="20"/>
              </w:rPr>
              <w:t>132</w:t>
            </w:r>
          </w:p>
        </w:tc>
        <w:tc>
          <w:tcPr>
            <w:tcW w:w="614" w:type="pct"/>
          </w:tcPr>
          <w:p w:rsidR="00000000" w:rsidRDefault="00000000">
            <w:pPr>
              <w:pStyle w:val="a2"/>
              <w:jc w:val="right"/>
              <w:rPr>
                <w:sz w:val="20"/>
              </w:rPr>
            </w:pPr>
            <w:r>
              <w:rPr>
                <w:sz w:val="20"/>
              </w:rPr>
              <w:t>115 (60%)</w:t>
            </w:r>
          </w:p>
        </w:tc>
        <w:tc>
          <w:tcPr>
            <w:tcW w:w="624" w:type="pct"/>
          </w:tcPr>
          <w:p w:rsidR="00000000" w:rsidRDefault="00000000">
            <w:pPr>
              <w:pStyle w:val="a2"/>
              <w:jc w:val="right"/>
              <w:rPr>
                <w:sz w:val="20"/>
              </w:rPr>
            </w:pPr>
            <w:r>
              <w:rPr>
                <w:sz w:val="20"/>
              </w:rPr>
              <w:t>302 (70%)</w:t>
            </w:r>
          </w:p>
        </w:tc>
        <w:tc>
          <w:tcPr>
            <w:tcW w:w="948" w:type="pct"/>
          </w:tcPr>
          <w:p w:rsidR="00000000" w:rsidRDefault="00000000">
            <w:pPr>
              <w:pStyle w:val="a2"/>
              <w:ind w:right="567"/>
              <w:jc w:val="right"/>
              <w:rPr>
                <w:sz w:val="20"/>
                <w:highlight w:val="yellow"/>
              </w:rPr>
            </w:pPr>
            <w:r>
              <w:rPr>
                <w:sz w:val="20"/>
              </w:rPr>
              <w:t>434</w:t>
            </w:r>
          </w:p>
        </w:tc>
      </w:tr>
      <w:tr w:rsidR="00000000">
        <w:tc>
          <w:tcPr>
            <w:tcW w:w="704" w:type="pct"/>
          </w:tcPr>
          <w:p w:rsidR="00000000" w:rsidRDefault="00000000">
            <w:pPr>
              <w:pStyle w:val="a2"/>
              <w:jc w:val="left"/>
              <w:rPr>
                <w:sz w:val="20"/>
              </w:rPr>
            </w:pPr>
            <w:r>
              <w:rPr>
                <w:sz w:val="20"/>
              </w:rPr>
              <w:t>CRC-OPAC</w:t>
            </w:r>
          </w:p>
        </w:tc>
        <w:tc>
          <w:tcPr>
            <w:tcW w:w="706" w:type="pct"/>
          </w:tcPr>
          <w:p w:rsidR="00000000" w:rsidRDefault="00000000">
            <w:pPr>
              <w:pStyle w:val="a2"/>
              <w:jc w:val="right"/>
              <w:rPr>
                <w:sz w:val="20"/>
              </w:rPr>
            </w:pPr>
            <w:r>
              <w:rPr>
                <w:sz w:val="20"/>
              </w:rPr>
              <w:t>104 (54%)</w:t>
            </w:r>
          </w:p>
        </w:tc>
        <w:tc>
          <w:tcPr>
            <w:tcW w:w="687" w:type="pct"/>
          </w:tcPr>
          <w:p w:rsidR="00000000" w:rsidRDefault="00000000">
            <w:pPr>
              <w:pStyle w:val="a2"/>
              <w:jc w:val="right"/>
              <w:rPr>
                <w:sz w:val="20"/>
              </w:rPr>
            </w:pPr>
            <w:r>
              <w:rPr>
                <w:sz w:val="20"/>
              </w:rPr>
              <w:t>18 (17%)</w:t>
            </w:r>
          </w:p>
        </w:tc>
        <w:tc>
          <w:tcPr>
            <w:tcW w:w="717" w:type="pct"/>
          </w:tcPr>
          <w:p w:rsidR="00000000" w:rsidRDefault="00000000">
            <w:pPr>
              <w:pStyle w:val="a2"/>
              <w:ind w:right="340"/>
              <w:jc w:val="right"/>
              <w:rPr>
                <w:sz w:val="20"/>
              </w:rPr>
            </w:pPr>
            <w:r>
              <w:rPr>
                <w:sz w:val="20"/>
              </w:rPr>
              <w:t>49</w:t>
            </w:r>
          </w:p>
        </w:tc>
        <w:tc>
          <w:tcPr>
            <w:tcW w:w="614" w:type="pct"/>
          </w:tcPr>
          <w:p w:rsidR="00000000" w:rsidRDefault="00000000">
            <w:pPr>
              <w:pStyle w:val="a2"/>
              <w:jc w:val="right"/>
              <w:rPr>
                <w:sz w:val="20"/>
              </w:rPr>
            </w:pPr>
            <w:r>
              <w:rPr>
                <w:sz w:val="20"/>
              </w:rPr>
              <w:t>55 (53%)</w:t>
            </w:r>
          </w:p>
        </w:tc>
        <w:tc>
          <w:tcPr>
            <w:tcW w:w="624" w:type="pct"/>
          </w:tcPr>
          <w:p w:rsidR="00000000" w:rsidRDefault="00000000">
            <w:pPr>
              <w:pStyle w:val="a2"/>
              <w:jc w:val="right"/>
              <w:rPr>
                <w:sz w:val="20"/>
              </w:rPr>
            </w:pPr>
            <w:r>
              <w:rPr>
                <w:sz w:val="20"/>
              </w:rPr>
              <w:t>18 (27%)</w:t>
            </w:r>
          </w:p>
        </w:tc>
        <w:tc>
          <w:tcPr>
            <w:tcW w:w="948" w:type="pct"/>
          </w:tcPr>
          <w:p w:rsidR="00000000" w:rsidRDefault="00000000">
            <w:pPr>
              <w:pStyle w:val="a2"/>
              <w:ind w:right="567"/>
              <w:jc w:val="right"/>
              <w:rPr>
                <w:sz w:val="20"/>
              </w:rPr>
            </w:pPr>
            <w:r>
              <w:rPr>
                <w:sz w:val="20"/>
              </w:rPr>
              <w:t>67</w:t>
            </w:r>
          </w:p>
        </w:tc>
      </w:tr>
      <w:tr w:rsidR="00000000">
        <w:tc>
          <w:tcPr>
            <w:tcW w:w="704" w:type="pct"/>
          </w:tcPr>
          <w:p w:rsidR="00000000" w:rsidRDefault="00000000">
            <w:pPr>
              <w:pStyle w:val="a2"/>
              <w:jc w:val="left"/>
              <w:rPr>
                <w:sz w:val="20"/>
              </w:rPr>
            </w:pPr>
            <w:r>
              <w:rPr>
                <w:sz w:val="20"/>
              </w:rPr>
              <w:t>CRC-OPSC</w:t>
            </w:r>
          </w:p>
        </w:tc>
        <w:tc>
          <w:tcPr>
            <w:tcW w:w="706" w:type="pct"/>
          </w:tcPr>
          <w:p w:rsidR="00000000" w:rsidRDefault="00000000">
            <w:pPr>
              <w:pStyle w:val="a2"/>
              <w:jc w:val="right"/>
              <w:rPr>
                <w:sz w:val="20"/>
              </w:rPr>
            </w:pPr>
            <w:r>
              <w:rPr>
                <w:sz w:val="20"/>
              </w:rPr>
              <w:t>103 (53%)</w:t>
            </w:r>
          </w:p>
        </w:tc>
        <w:tc>
          <w:tcPr>
            <w:tcW w:w="687" w:type="pct"/>
          </w:tcPr>
          <w:p w:rsidR="00000000" w:rsidRDefault="00000000">
            <w:pPr>
              <w:pStyle w:val="a2"/>
              <w:jc w:val="right"/>
              <w:rPr>
                <w:sz w:val="20"/>
              </w:rPr>
            </w:pPr>
            <w:r>
              <w:rPr>
                <w:sz w:val="20"/>
              </w:rPr>
              <w:t>14 (14%)</w:t>
            </w:r>
          </w:p>
        </w:tc>
        <w:tc>
          <w:tcPr>
            <w:tcW w:w="717" w:type="pct"/>
          </w:tcPr>
          <w:p w:rsidR="00000000" w:rsidRDefault="00000000">
            <w:pPr>
              <w:pStyle w:val="a2"/>
              <w:ind w:right="340"/>
              <w:jc w:val="right"/>
              <w:rPr>
                <w:sz w:val="20"/>
              </w:rPr>
            </w:pPr>
            <w:r>
              <w:rPr>
                <w:sz w:val="20"/>
              </w:rPr>
              <w:t>56</w:t>
            </w:r>
          </w:p>
        </w:tc>
        <w:tc>
          <w:tcPr>
            <w:tcW w:w="614" w:type="pct"/>
          </w:tcPr>
          <w:p w:rsidR="00000000" w:rsidRDefault="00000000">
            <w:pPr>
              <w:pStyle w:val="a2"/>
              <w:jc w:val="right"/>
              <w:rPr>
                <w:sz w:val="20"/>
              </w:rPr>
            </w:pPr>
            <w:r>
              <w:rPr>
                <w:sz w:val="20"/>
              </w:rPr>
              <w:t>47 (46%)</w:t>
            </w:r>
          </w:p>
        </w:tc>
        <w:tc>
          <w:tcPr>
            <w:tcW w:w="624" w:type="pct"/>
          </w:tcPr>
          <w:p w:rsidR="00000000" w:rsidRDefault="00000000">
            <w:pPr>
              <w:pStyle w:val="a2"/>
              <w:jc w:val="right"/>
              <w:rPr>
                <w:sz w:val="20"/>
              </w:rPr>
            </w:pPr>
            <w:r>
              <w:rPr>
                <w:sz w:val="20"/>
              </w:rPr>
              <w:t>14 (20%)</w:t>
            </w:r>
          </w:p>
        </w:tc>
        <w:tc>
          <w:tcPr>
            <w:tcW w:w="948" w:type="pct"/>
          </w:tcPr>
          <w:p w:rsidR="00000000" w:rsidRDefault="00000000">
            <w:pPr>
              <w:pStyle w:val="a2"/>
              <w:ind w:right="567"/>
              <w:jc w:val="right"/>
              <w:rPr>
                <w:sz w:val="20"/>
              </w:rPr>
            </w:pPr>
            <w:r>
              <w:rPr>
                <w:sz w:val="20"/>
              </w:rPr>
              <w:t>70</w:t>
            </w:r>
          </w:p>
        </w:tc>
      </w:tr>
      <w:tr w:rsidR="00000000">
        <w:tc>
          <w:tcPr>
            <w:tcW w:w="704" w:type="pct"/>
          </w:tcPr>
          <w:p w:rsidR="00000000" w:rsidRDefault="00000000">
            <w:pPr>
              <w:pStyle w:val="a2"/>
              <w:jc w:val="left"/>
              <w:rPr>
                <w:sz w:val="20"/>
              </w:rPr>
            </w:pPr>
            <w:r>
              <w:rPr>
                <w:sz w:val="20"/>
              </w:rPr>
              <w:t>ICRMW</w:t>
            </w:r>
          </w:p>
        </w:tc>
        <w:tc>
          <w:tcPr>
            <w:tcW w:w="706" w:type="pct"/>
          </w:tcPr>
          <w:p w:rsidR="00000000" w:rsidRDefault="00000000">
            <w:pPr>
              <w:pStyle w:val="a2"/>
              <w:jc w:val="right"/>
              <w:rPr>
                <w:sz w:val="20"/>
              </w:rPr>
            </w:pPr>
            <w:r>
              <w:rPr>
                <w:sz w:val="20"/>
              </w:rPr>
              <w:t>34 (18%)</w:t>
            </w:r>
          </w:p>
        </w:tc>
        <w:tc>
          <w:tcPr>
            <w:tcW w:w="687" w:type="pct"/>
          </w:tcPr>
          <w:p w:rsidR="00000000" w:rsidRDefault="00000000">
            <w:pPr>
              <w:pStyle w:val="a2"/>
              <w:jc w:val="right"/>
              <w:rPr>
                <w:sz w:val="20"/>
              </w:rPr>
            </w:pPr>
            <w:r>
              <w:rPr>
                <w:sz w:val="20"/>
              </w:rPr>
              <w:t>2 (6%)</w:t>
            </w:r>
          </w:p>
        </w:tc>
        <w:tc>
          <w:tcPr>
            <w:tcW w:w="717" w:type="pct"/>
          </w:tcPr>
          <w:p w:rsidR="00000000" w:rsidRDefault="00000000">
            <w:pPr>
              <w:pStyle w:val="a2"/>
              <w:ind w:right="340"/>
              <w:jc w:val="right"/>
              <w:rPr>
                <w:sz w:val="20"/>
              </w:rPr>
            </w:pPr>
            <w:r>
              <w:rPr>
                <w:sz w:val="20"/>
              </w:rPr>
              <w:t>26</w:t>
            </w:r>
          </w:p>
        </w:tc>
        <w:tc>
          <w:tcPr>
            <w:tcW w:w="614" w:type="pct"/>
          </w:tcPr>
          <w:p w:rsidR="00000000" w:rsidRDefault="00000000">
            <w:pPr>
              <w:pStyle w:val="a2"/>
              <w:jc w:val="right"/>
              <w:rPr>
                <w:sz w:val="20"/>
              </w:rPr>
            </w:pPr>
            <w:r>
              <w:rPr>
                <w:sz w:val="20"/>
              </w:rPr>
              <w:t>8 (24%)</w:t>
            </w:r>
          </w:p>
        </w:tc>
        <w:tc>
          <w:tcPr>
            <w:tcW w:w="624" w:type="pct"/>
          </w:tcPr>
          <w:p w:rsidR="00000000" w:rsidRDefault="00000000">
            <w:pPr>
              <w:pStyle w:val="a2"/>
              <w:jc w:val="right"/>
              <w:rPr>
                <w:sz w:val="20"/>
              </w:rPr>
            </w:pPr>
            <w:r>
              <w:rPr>
                <w:sz w:val="20"/>
              </w:rPr>
              <w:t>2 (7%)</w:t>
            </w:r>
          </w:p>
        </w:tc>
        <w:tc>
          <w:tcPr>
            <w:tcW w:w="948" w:type="pct"/>
          </w:tcPr>
          <w:p w:rsidR="00000000" w:rsidRDefault="00000000">
            <w:pPr>
              <w:pStyle w:val="a2"/>
              <w:ind w:right="567"/>
              <w:jc w:val="right"/>
              <w:rPr>
                <w:sz w:val="20"/>
              </w:rPr>
            </w:pPr>
            <w:r>
              <w:rPr>
                <w:sz w:val="20"/>
              </w:rPr>
              <w:t>28</w:t>
            </w:r>
          </w:p>
        </w:tc>
      </w:tr>
      <w:tr w:rsidR="00000000">
        <w:tc>
          <w:tcPr>
            <w:tcW w:w="704" w:type="pct"/>
          </w:tcPr>
          <w:p w:rsidR="00000000" w:rsidRDefault="00000000">
            <w:pPr>
              <w:jc w:val="left"/>
              <w:rPr>
                <w:rFonts w:hint="eastAsia"/>
                <w:sz w:val="20"/>
              </w:rPr>
            </w:pPr>
            <w:r>
              <w:rPr>
                <w:rFonts w:hint="eastAsia"/>
                <w:sz w:val="20"/>
              </w:rPr>
              <w:t>合</w:t>
            </w:r>
            <w:r>
              <w:rPr>
                <w:rFonts w:hint="eastAsia"/>
                <w:sz w:val="20"/>
              </w:rPr>
              <w:t xml:space="preserve">  </w:t>
            </w:r>
            <w:r>
              <w:rPr>
                <w:rFonts w:hint="eastAsia"/>
                <w:sz w:val="20"/>
              </w:rPr>
              <w:t>计</w:t>
            </w:r>
          </w:p>
        </w:tc>
        <w:tc>
          <w:tcPr>
            <w:tcW w:w="706" w:type="pct"/>
          </w:tcPr>
          <w:p w:rsidR="00000000" w:rsidRDefault="00000000">
            <w:pPr>
              <w:jc w:val="right"/>
              <w:rPr>
                <w:sz w:val="20"/>
              </w:rPr>
            </w:pPr>
            <w:r>
              <w:rPr>
                <w:sz w:val="20"/>
              </w:rPr>
              <w:t>1231 (71%)</w:t>
            </w:r>
          </w:p>
        </w:tc>
        <w:tc>
          <w:tcPr>
            <w:tcW w:w="687" w:type="pct"/>
          </w:tcPr>
          <w:p w:rsidR="00000000" w:rsidRDefault="00000000">
            <w:pPr>
              <w:jc w:val="right"/>
              <w:rPr>
                <w:sz w:val="20"/>
              </w:rPr>
            </w:pPr>
            <w:r>
              <w:rPr>
                <w:sz w:val="20"/>
              </w:rPr>
              <w:t>860 (70%)</w:t>
            </w:r>
          </w:p>
        </w:tc>
        <w:tc>
          <w:tcPr>
            <w:tcW w:w="717" w:type="pct"/>
          </w:tcPr>
          <w:p w:rsidR="00000000" w:rsidRDefault="00000000">
            <w:pPr>
              <w:ind w:right="340"/>
              <w:jc w:val="right"/>
              <w:rPr>
                <w:sz w:val="20"/>
              </w:rPr>
            </w:pPr>
            <w:r>
              <w:rPr>
                <w:sz w:val="20"/>
              </w:rPr>
              <w:t>1442</w:t>
            </w:r>
          </w:p>
        </w:tc>
        <w:tc>
          <w:tcPr>
            <w:tcW w:w="614" w:type="pct"/>
          </w:tcPr>
          <w:p w:rsidR="00000000" w:rsidRDefault="00000000">
            <w:pPr>
              <w:jc w:val="right"/>
              <w:rPr>
                <w:sz w:val="20"/>
              </w:rPr>
            </w:pPr>
          </w:p>
        </w:tc>
        <w:tc>
          <w:tcPr>
            <w:tcW w:w="624" w:type="pct"/>
          </w:tcPr>
          <w:p w:rsidR="00000000" w:rsidRDefault="00000000">
            <w:pPr>
              <w:ind w:left="-57" w:right="-57"/>
              <w:jc w:val="right"/>
              <w:rPr>
                <w:sz w:val="20"/>
              </w:rPr>
            </w:pPr>
            <w:r>
              <w:rPr>
                <w:sz w:val="20"/>
              </w:rPr>
              <w:t>3417(70%)*</w:t>
            </w:r>
          </w:p>
        </w:tc>
        <w:tc>
          <w:tcPr>
            <w:tcW w:w="948" w:type="pct"/>
          </w:tcPr>
          <w:p w:rsidR="00000000" w:rsidRDefault="00000000">
            <w:pPr>
              <w:ind w:right="567"/>
              <w:jc w:val="right"/>
              <w:rPr>
                <w:sz w:val="20"/>
                <w:highlight w:val="yellow"/>
              </w:rPr>
            </w:pPr>
            <w:r>
              <w:rPr>
                <w:sz w:val="20"/>
              </w:rPr>
              <w:t>4859</w:t>
            </w:r>
          </w:p>
        </w:tc>
      </w:tr>
    </w:tbl>
    <w:p w:rsidR="00000000" w:rsidRDefault="00000000">
      <w:pPr>
        <w:rPr>
          <w:sz w:val="22"/>
          <w:szCs w:val="22"/>
        </w:rPr>
      </w:pPr>
    </w:p>
    <w:p w:rsidR="00000000" w:rsidRDefault="00000000">
      <w:pPr>
        <w:numPr>
          <w:ilvl w:val="0"/>
          <w:numId w:val="79"/>
        </w:numPr>
        <w:rPr>
          <w:spacing w:val="4"/>
          <w:szCs w:val="22"/>
        </w:rPr>
      </w:pPr>
      <w:r>
        <w:rPr>
          <w:rFonts w:hint="eastAsia"/>
          <w:spacing w:val="4"/>
          <w:szCs w:val="22"/>
        </w:rPr>
        <w:t>截至</w:t>
      </w:r>
      <w:r>
        <w:rPr>
          <w:rFonts w:hint="eastAsia"/>
          <w:spacing w:val="4"/>
          <w:szCs w:val="22"/>
        </w:rPr>
        <w:t>2006</w:t>
      </w:r>
      <w:r>
        <w:rPr>
          <w:rFonts w:hint="eastAsia"/>
          <w:spacing w:val="4"/>
          <w:szCs w:val="22"/>
        </w:rPr>
        <w:t>年</w:t>
      </w:r>
      <w:r>
        <w:rPr>
          <w:rFonts w:hint="eastAsia"/>
          <w:spacing w:val="4"/>
          <w:szCs w:val="22"/>
        </w:rPr>
        <w:t>2</w:t>
      </w:r>
      <w:r>
        <w:rPr>
          <w:rFonts w:hint="eastAsia"/>
          <w:spacing w:val="4"/>
          <w:szCs w:val="22"/>
        </w:rPr>
        <w:t>月</w:t>
      </w:r>
      <w:r>
        <w:rPr>
          <w:rFonts w:hint="eastAsia"/>
          <w:spacing w:val="4"/>
          <w:szCs w:val="22"/>
        </w:rPr>
        <w:t>16</w:t>
      </w:r>
      <w:r>
        <w:rPr>
          <w:rFonts w:hint="eastAsia"/>
          <w:spacing w:val="4"/>
          <w:szCs w:val="22"/>
        </w:rPr>
        <w:t>日应提交的所有报告中，</w:t>
      </w:r>
      <w:r>
        <w:rPr>
          <w:spacing w:val="4"/>
          <w:szCs w:val="22"/>
        </w:rPr>
        <w:t>70%</w:t>
      </w:r>
      <w:r>
        <w:rPr>
          <w:rFonts w:hint="eastAsia"/>
          <w:spacing w:val="4"/>
          <w:szCs w:val="22"/>
        </w:rPr>
        <w:t>的报告事实上已经提交</w:t>
      </w:r>
      <w:r>
        <w:rPr>
          <w:spacing w:val="4"/>
          <w:szCs w:val="22"/>
        </w:rPr>
        <w:t>*</w:t>
      </w:r>
      <w:r>
        <w:rPr>
          <w:spacing w:val="4"/>
          <w:szCs w:val="22"/>
        </w:rPr>
        <w:t>；</w:t>
      </w:r>
    </w:p>
    <w:p w:rsidR="00000000" w:rsidRDefault="00000000">
      <w:pPr>
        <w:numPr>
          <w:ilvl w:val="0"/>
          <w:numId w:val="79"/>
        </w:numPr>
        <w:rPr>
          <w:szCs w:val="22"/>
        </w:rPr>
      </w:pPr>
      <w:r>
        <w:rPr>
          <w:rFonts w:hint="eastAsia"/>
          <w:szCs w:val="22"/>
        </w:rPr>
        <w:t>仍有</w:t>
      </w:r>
      <w:r>
        <w:rPr>
          <w:szCs w:val="22"/>
        </w:rPr>
        <w:t>30%</w:t>
      </w:r>
      <w:r>
        <w:rPr>
          <w:rFonts w:hint="eastAsia"/>
          <w:szCs w:val="22"/>
        </w:rPr>
        <w:t>初始报告尚未提交</w:t>
      </w:r>
      <w:r>
        <w:rPr>
          <w:szCs w:val="22"/>
        </w:rPr>
        <w:t>；</w:t>
      </w:r>
    </w:p>
    <w:p w:rsidR="00000000" w:rsidRDefault="00000000">
      <w:pPr>
        <w:numPr>
          <w:ilvl w:val="0"/>
          <w:numId w:val="79"/>
        </w:numPr>
        <w:rPr>
          <w:szCs w:val="22"/>
        </w:rPr>
      </w:pPr>
      <w:r>
        <w:rPr>
          <w:rFonts w:hint="eastAsia"/>
          <w:szCs w:val="22"/>
        </w:rPr>
        <w:t>如果一国批准了规定了报告义务的所有九项条约，则平均每隔</w:t>
      </w:r>
      <w:r>
        <w:rPr>
          <w:rFonts w:hint="eastAsia"/>
          <w:szCs w:val="22"/>
        </w:rPr>
        <w:t>5</w:t>
      </w:r>
      <w:r>
        <w:rPr>
          <w:rFonts w:hint="eastAsia"/>
          <w:szCs w:val="22"/>
        </w:rPr>
        <w:t>个半月就需要向条约机构提交一份报告</w:t>
      </w:r>
      <w:r>
        <w:rPr>
          <w:szCs w:val="22"/>
        </w:rPr>
        <w:t>；</w:t>
      </w:r>
    </w:p>
    <w:p w:rsidR="00000000" w:rsidRDefault="00000000">
      <w:pPr>
        <w:numPr>
          <w:ilvl w:val="0"/>
          <w:numId w:val="79"/>
        </w:numPr>
        <w:rPr>
          <w:b/>
          <w:bCs/>
          <w:sz w:val="22"/>
          <w:szCs w:val="22"/>
        </w:rPr>
      </w:pPr>
      <w:r>
        <w:rPr>
          <w:rFonts w:hint="eastAsia"/>
          <w:szCs w:val="22"/>
        </w:rPr>
        <w:t>从</w:t>
      </w:r>
      <w:r>
        <w:rPr>
          <w:rFonts w:hint="eastAsia"/>
          <w:szCs w:val="22"/>
        </w:rPr>
        <w:t>2004</w:t>
      </w:r>
      <w:r>
        <w:rPr>
          <w:rFonts w:hint="eastAsia"/>
          <w:szCs w:val="22"/>
        </w:rPr>
        <w:t>年</w:t>
      </w:r>
      <w:r>
        <w:rPr>
          <w:rFonts w:hint="eastAsia"/>
          <w:szCs w:val="22"/>
        </w:rPr>
        <w:t>1</w:t>
      </w:r>
      <w:r>
        <w:rPr>
          <w:rFonts w:hint="eastAsia"/>
          <w:szCs w:val="22"/>
        </w:rPr>
        <w:t>月至</w:t>
      </w:r>
      <w:r>
        <w:rPr>
          <w:rFonts w:hint="eastAsia"/>
          <w:szCs w:val="22"/>
        </w:rPr>
        <w:t>2005</w:t>
      </w:r>
      <w:r>
        <w:rPr>
          <w:rFonts w:hint="eastAsia"/>
          <w:szCs w:val="22"/>
        </w:rPr>
        <w:t>年</w:t>
      </w:r>
      <w:r>
        <w:rPr>
          <w:rFonts w:hint="eastAsia"/>
          <w:szCs w:val="22"/>
        </w:rPr>
        <w:t>12</w:t>
      </w:r>
      <w:r>
        <w:rPr>
          <w:rFonts w:hint="eastAsia"/>
          <w:szCs w:val="22"/>
        </w:rPr>
        <w:t>月，</w:t>
      </w:r>
      <w:r>
        <w:rPr>
          <w:rFonts w:hint="eastAsia"/>
          <w:szCs w:val="22"/>
        </w:rPr>
        <w:t>188</w:t>
      </w:r>
      <w:r>
        <w:rPr>
          <w:rFonts w:hint="eastAsia"/>
          <w:szCs w:val="22"/>
        </w:rPr>
        <w:t>个缔约国的报告得到审议：其中</w:t>
      </w:r>
      <w:r>
        <w:rPr>
          <w:rFonts w:hint="eastAsia"/>
          <w:szCs w:val="22"/>
        </w:rPr>
        <w:t>36</w:t>
      </w:r>
      <w:r>
        <w:rPr>
          <w:rFonts w:hint="eastAsia"/>
          <w:szCs w:val="22"/>
        </w:rPr>
        <w:t>国必须向两个以上条约机构提交一份报告，</w:t>
      </w:r>
      <w:r>
        <w:rPr>
          <w:rFonts w:hint="eastAsia"/>
          <w:szCs w:val="22"/>
        </w:rPr>
        <w:t>13</w:t>
      </w:r>
      <w:r>
        <w:rPr>
          <w:rFonts w:hint="eastAsia"/>
          <w:szCs w:val="22"/>
        </w:rPr>
        <w:t>个国家必须向三个条约机构提交报告，</w:t>
      </w:r>
      <w:r>
        <w:rPr>
          <w:rFonts w:hint="eastAsia"/>
          <w:szCs w:val="22"/>
        </w:rPr>
        <w:t>2</w:t>
      </w:r>
      <w:r>
        <w:rPr>
          <w:rFonts w:hint="eastAsia"/>
          <w:szCs w:val="22"/>
        </w:rPr>
        <w:t>个国家必须向四个条约机构提交报告。此外，人权事务委员会在未收到报告的情况下审议了两个缔约国的情况，消除种族歧视委员会完成了涉及四个缔约国的审查程序。</w:t>
      </w:r>
      <w:r>
        <w:rPr>
          <w:rStyle w:val="FootnoteReference"/>
          <w:sz w:val="22"/>
          <w:szCs w:val="22"/>
        </w:rPr>
        <w:footnoteReference w:id="15"/>
      </w:r>
    </w:p>
    <w:p w:rsidR="00000000" w:rsidRDefault="00000000">
      <w:pPr>
        <w:pStyle w:val="Heading2"/>
        <w:rPr>
          <w:rFonts w:hint="eastAsia"/>
        </w:rPr>
      </w:pPr>
      <w:r>
        <w:br w:type="page"/>
      </w:r>
      <w:r>
        <w:rPr>
          <w:rFonts w:hint="eastAsia"/>
        </w:rPr>
        <w:t>附</w:t>
      </w:r>
      <w:r>
        <w:rPr>
          <w:rFonts w:hint="eastAsia"/>
        </w:rPr>
        <w:t xml:space="preserve"> </w:t>
      </w:r>
      <w:r>
        <w:rPr>
          <w:rFonts w:hint="eastAsia"/>
        </w:rPr>
        <w:t>件</w:t>
      </w:r>
      <w:r>
        <w:rPr>
          <w:rFonts w:hint="eastAsia"/>
        </w:rPr>
        <w:t xml:space="preserve"> </w:t>
      </w:r>
      <w:r>
        <w:rPr>
          <w:rFonts w:hint="eastAsia"/>
        </w:rPr>
        <w:t>二</w:t>
      </w:r>
    </w:p>
    <w:p w:rsidR="00000000" w:rsidRDefault="00000000">
      <w:pPr>
        <w:pStyle w:val="Heading2"/>
        <w:rPr>
          <w:rFonts w:hint="eastAsia"/>
        </w:rPr>
      </w:pPr>
      <w:r>
        <w:rPr>
          <w:rFonts w:hint="eastAsia"/>
        </w:rPr>
        <w:t>截至</w:t>
      </w:r>
      <w:r>
        <w:rPr>
          <w:rFonts w:hint="eastAsia"/>
        </w:rPr>
        <w:t>2006</w:t>
      </w:r>
      <w:r>
        <w:rPr>
          <w:rFonts w:hint="eastAsia"/>
        </w:rPr>
        <w:t>年</w:t>
      </w:r>
      <w:r>
        <w:rPr>
          <w:rFonts w:hint="eastAsia"/>
        </w:rPr>
        <w:t>2</w:t>
      </w:r>
      <w:r>
        <w:rPr>
          <w:rFonts w:hint="eastAsia"/>
        </w:rPr>
        <w:t>月</w:t>
      </w:r>
      <w:r>
        <w:rPr>
          <w:rFonts w:hint="eastAsia"/>
        </w:rPr>
        <w:t>16</w:t>
      </w:r>
      <w:r>
        <w:rPr>
          <w:rFonts w:hint="eastAsia"/>
        </w:rPr>
        <w:t>日各缔约国</w:t>
      </w:r>
      <w:r>
        <w:br/>
      </w:r>
      <w:r>
        <w:rPr>
          <w:rFonts w:hint="eastAsia"/>
        </w:rPr>
        <w:t>提交报告的情况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8"/>
        <w:gridCol w:w="1230"/>
        <w:gridCol w:w="1040"/>
        <w:gridCol w:w="1230"/>
        <w:gridCol w:w="1175"/>
        <w:gridCol w:w="1863"/>
        <w:gridCol w:w="1034"/>
      </w:tblGrid>
      <w:tr w:rsidR="00000000">
        <w:trPr>
          <w:tblHeader/>
        </w:trPr>
        <w:tc>
          <w:tcPr>
            <w:tcW w:w="1998" w:type="dxa"/>
            <w:vAlign w:val="center"/>
          </w:tcPr>
          <w:p w:rsidR="00000000" w:rsidRDefault="00000000">
            <w:pPr>
              <w:spacing w:before="60" w:line="264" w:lineRule="auto"/>
              <w:jc w:val="center"/>
              <w:rPr>
                <w:rFonts w:ascii="Time New Roman" w:eastAsia="SimHei" w:hAnsi="Time New Roman" w:hint="eastAsia"/>
                <w:spacing w:val="0"/>
                <w:sz w:val="20"/>
              </w:rPr>
            </w:pPr>
            <w:r>
              <w:rPr>
                <w:rFonts w:ascii="Time New Roman" w:eastAsia="SimHei" w:hAnsi="Time New Roman" w:hint="eastAsia"/>
                <w:spacing w:val="0"/>
                <w:sz w:val="20"/>
              </w:rPr>
              <w:t>国</w:t>
            </w:r>
            <w:r>
              <w:rPr>
                <w:rFonts w:ascii="Time New Roman" w:eastAsia="SimHei" w:hAnsi="Time New Roman" w:hint="eastAsia"/>
                <w:spacing w:val="0"/>
                <w:sz w:val="20"/>
              </w:rPr>
              <w:t xml:space="preserve">  </w:t>
            </w:r>
            <w:r>
              <w:rPr>
                <w:rFonts w:ascii="Time New Roman" w:eastAsia="SimHei" w:hAnsi="Time New Roman" w:hint="eastAsia"/>
                <w:spacing w:val="0"/>
                <w:sz w:val="20"/>
              </w:rPr>
              <w:t>家</w:t>
            </w:r>
          </w:p>
        </w:tc>
        <w:tc>
          <w:tcPr>
            <w:tcW w:w="1230" w:type="dxa"/>
            <w:vAlign w:val="center"/>
          </w:tcPr>
          <w:p w:rsidR="00000000" w:rsidRDefault="00000000">
            <w:pPr>
              <w:spacing w:before="60" w:line="264" w:lineRule="auto"/>
              <w:jc w:val="center"/>
              <w:rPr>
                <w:rFonts w:ascii="Time New Roman" w:eastAsia="SimHei" w:hAnsi="Time New Roman" w:hint="eastAsia"/>
                <w:spacing w:val="0"/>
                <w:sz w:val="20"/>
              </w:rPr>
            </w:pPr>
            <w:r>
              <w:rPr>
                <w:rFonts w:ascii="Time New Roman" w:eastAsia="SimHei" w:hAnsi="Time New Roman" w:hint="eastAsia"/>
                <w:spacing w:val="0"/>
                <w:sz w:val="20"/>
              </w:rPr>
              <w:t>提交的报告</w:t>
            </w:r>
          </w:p>
        </w:tc>
        <w:tc>
          <w:tcPr>
            <w:tcW w:w="1040" w:type="dxa"/>
            <w:vAlign w:val="center"/>
          </w:tcPr>
          <w:p w:rsidR="00000000" w:rsidRDefault="00000000">
            <w:pPr>
              <w:spacing w:before="60" w:line="264" w:lineRule="auto"/>
              <w:jc w:val="center"/>
              <w:rPr>
                <w:rFonts w:ascii="Time New Roman" w:eastAsia="SimHei" w:hAnsi="Time New Roman" w:hint="eastAsia"/>
                <w:spacing w:val="0"/>
                <w:sz w:val="20"/>
              </w:rPr>
            </w:pPr>
            <w:r>
              <w:rPr>
                <w:rFonts w:ascii="Time New Roman" w:eastAsia="SimHei" w:hAnsi="Time New Roman" w:hint="eastAsia"/>
                <w:spacing w:val="0"/>
                <w:sz w:val="20"/>
              </w:rPr>
              <w:t>有待审议</w:t>
            </w:r>
          </w:p>
        </w:tc>
        <w:tc>
          <w:tcPr>
            <w:tcW w:w="1230" w:type="dxa"/>
            <w:vAlign w:val="center"/>
          </w:tcPr>
          <w:p w:rsidR="00000000" w:rsidRDefault="00000000">
            <w:pPr>
              <w:spacing w:before="60" w:line="264" w:lineRule="auto"/>
              <w:jc w:val="center"/>
              <w:rPr>
                <w:rFonts w:ascii="Time New Roman" w:eastAsia="SimHei" w:hAnsi="Time New Roman" w:hint="eastAsia"/>
                <w:spacing w:val="0"/>
                <w:sz w:val="20"/>
              </w:rPr>
            </w:pPr>
            <w:r>
              <w:rPr>
                <w:rFonts w:ascii="Time New Roman" w:eastAsia="SimHei" w:hAnsi="Time New Roman" w:hint="eastAsia"/>
                <w:spacing w:val="0"/>
                <w:sz w:val="20"/>
              </w:rPr>
              <w:t>拖欠的总数</w:t>
            </w:r>
          </w:p>
        </w:tc>
        <w:tc>
          <w:tcPr>
            <w:tcW w:w="1175" w:type="dxa"/>
            <w:vAlign w:val="center"/>
          </w:tcPr>
          <w:p w:rsidR="00000000" w:rsidRDefault="00000000">
            <w:pPr>
              <w:spacing w:before="60" w:line="264" w:lineRule="auto"/>
              <w:jc w:val="center"/>
              <w:rPr>
                <w:rFonts w:ascii="Time New Roman" w:eastAsia="SimHei" w:hAnsi="Time New Roman" w:hint="eastAsia"/>
                <w:spacing w:val="0"/>
                <w:sz w:val="20"/>
              </w:rPr>
            </w:pPr>
            <w:r>
              <w:rPr>
                <w:rFonts w:ascii="Time New Roman" w:eastAsia="SimHei" w:hAnsi="Time New Roman" w:hint="eastAsia"/>
                <w:spacing w:val="0"/>
                <w:sz w:val="20"/>
              </w:rPr>
              <w:t>拖欠超过</w:t>
            </w:r>
            <w:r>
              <w:rPr>
                <w:rFonts w:ascii="Time New Roman" w:eastAsia="SimHei" w:hAnsi="Time New Roman" w:hint="eastAsia"/>
                <w:b/>
                <w:spacing w:val="0"/>
                <w:sz w:val="20"/>
              </w:rPr>
              <w:t>5</w:t>
            </w:r>
            <w:r>
              <w:rPr>
                <w:rFonts w:ascii="Time New Roman" w:eastAsia="SimHei" w:hAnsi="Time New Roman" w:hint="eastAsia"/>
                <w:spacing w:val="0"/>
                <w:sz w:val="20"/>
              </w:rPr>
              <w:t>年的数量</w:t>
            </w:r>
          </w:p>
        </w:tc>
        <w:tc>
          <w:tcPr>
            <w:tcW w:w="1863" w:type="dxa"/>
            <w:vAlign w:val="center"/>
          </w:tcPr>
          <w:p w:rsidR="00000000" w:rsidRDefault="00000000">
            <w:pPr>
              <w:spacing w:before="60" w:line="264" w:lineRule="auto"/>
              <w:jc w:val="center"/>
              <w:rPr>
                <w:rFonts w:ascii="Time New Roman" w:eastAsia="SimHei" w:hAnsi="Time New Roman" w:hint="eastAsia"/>
                <w:spacing w:val="0"/>
                <w:sz w:val="20"/>
              </w:rPr>
            </w:pPr>
            <w:r>
              <w:rPr>
                <w:rFonts w:ascii="Time New Roman" w:eastAsia="SimHei" w:hAnsi="Time New Roman" w:hint="eastAsia"/>
                <w:spacing w:val="0"/>
                <w:sz w:val="20"/>
              </w:rPr>
              <w:t>拖欠超过</w:t>
            </w:r>
            <w:r>
              <w:rPr>
                <w:rFonts w:ascii="Time New Roman" w:eastAsia="SimHei" w:hAnsi="Time New Roman" w:hint="eastAsia"/>
                <w:b/>
                <w:spacing w:val="0"/>
                <w:sz w:val="20"/>
              </w:rPr>
              <w:t>10</w:t>
            </w:r>
            <w:r>
              <w:rPr>
                <w:rFonts w:ascii="Time New Roman" w:eastAsia="SimHei" w:hAnsi="Time New Roman" w:hint="eastAsia"/>
                <w:spacing w:val="0"/>
                <w:sz w:val="20"/>
              </w:rPr>
              <w:t>年</w:t>
            </w:r>
            <w:r>
              <w:rPr>
                <w:rFonts w:ascii="Time New Roman" w:eastAsia="SimHei" w:hAnsi="Time New Roman"/>
                <w:spacing w:val="0"/>
                <w:sz w:val="20"/>
              </w:rPr>
              <w:br/>
            </w:r>
            <w:r>
              <w:rPr>
                <w:rFonts w:ascii="Time New Roman" w:eastAsia="SimHei" w:hAnsi="Time New Roman" w:hint="eastAsia"/>
                <w:spacing w:val="0"/>
                <w:sz w:val="20"/>
              </w:rPr>
              <w:t>的数量</w:t>
            </w:r>
          </w:p>
        </w:tc>
        <w:tc>
          <w:tcPr>
            <w:tcW w:w="1034" w:type="dxa"/>
            <w:vAlign w:val="center"/>
          </w:tcPr>
          <w:p w:rsidR="00000000" w:rsidRDefault="00000000">
            <w:pPr>
              <w:spacing w:before="60" w:line="264" w:lineRule="auto"/>
              <w:jc w:val="center"/>
              <w:rPr>
                <w:rFonts w:ascii="Time New Roman" w:eastAsia="SimHei" w:hAnsi="Time New Roman" w:hint="eastAsia"/>
                <w:spacing w:val="0"/>
                <w:sz w:val="20"/>
              </w:rPr>
            </w:pPr>
            <w:r>
              <w:rPr>
                <w:rFonts w:ascii="Time New Roman" w:eastAsia="SimHei" w:hAnsi="Time New Roman" w:hint="eastAsia"/>
                <w:spacing w:val="0"/>
                <w:sz w:val="20"/>
              </w:rPr>
              <w:t>拖欠的初始报告</w:t>
            </w:r>
          </w:p>
        </w:tc>
      </w:tr>
      <w:tr w:rsidR="00000000">
        <w:tc>
          <w:tcPr>
            <w:tcW w:w="1998" w:type="dxa"/>
            <w:vAlign w:val="bottom"/>
          </w:tcPr>
          <w:p w:rsidR="00000000" w:rsidRDefault="00000000">
            <w:pPr>
              <w:pStyle w:val="a2"/>
              <w:ind w:left="57"/>
              <w:jc w:val="left"/>
              <w:rPr>
                <w:sz w:val="20"/>
              </w:rPr>
            </w:pPr>
            <w:r>
              <w:rPr>
                <w:sz w:val="20"/>
              </w:rPr>
              <w:t>阿富汗</w:t>
            </w:r>
          </w:p>
        </w:tc>
        <w:tc>
          <w:tcPr>
            <w:tcW w:w="1230" w:type="dxa"/>
            <w:vAlign w:val="bottom"/>
          </w:tcPr>
          <w:p w:rsidR="00000000" w:rsidRDefault="00000000">
            <w:pPr>
              <w:pStyle w:val="a2"/>
              <w:ind w:right="397"/>
              <w:jc w:val="right"/>
              <w:rPr>
                <w:sz w:val="22"/>
                <w:szCs w:val="22"/>
              </w:rPr>
            </w:pPr>
            <w:r>
              <w:rPr>
                <w:sz w:val="22"/>
                <w:szCs w:val="22"/>
              </w:rPr>
              <w:t>5</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25</w:t>
            </w:r>
          </w:p>
        </w:tc>
        <w:tc>
          <w:tcPr>
            <w:tcW w:w="1175" w:type="dxa"/>
            <w:vAlign w:val="bottom"/>
          </w:tcPr>
          <w:p w:rsidR="00000000" w:rsidRDefault="00000000">
            <w:pPr>
              <w:pStyle w:val="a2"/>
              <w:ind w:right="340"/>
              <w:jc w:val="right"/>
              <w:rPr>
                <w:sz w:val="22"/>
                <w:szCs w:val="22"/>
              </w:rPr>
            </w:pPr>
            <w:r>
              <w:rPr>
                <w:sz w:val="22"/>
                <w:szCs w:val="22"/>
              </w:rPr>
              <w:t>16</w:t>
            </w:r>
          </w:p>
        </w:tc>
        <w:tc>
          <w:tcPr>
            <w:tcW w:w="1863" w:type="dxa"/>
            <w:vAlign w:val="bottom"/>
          </w:tcPr>
          <w:p w:rsidR="00000000" w:rsidRDefault="00000000">
            <w:pPr>
              <w:pStyle w:val="a2"/>
              <w:ind w:right="567"/>
              <w:jc w:val="right"/>
              <w:rPr>
                <w:sz w:val="22"/>
                <w:szCs w:val="22"/>
              </w:rPr>
            </w:pPr>
            <w:r>
              <w:rPr>
                <w:sz w:val="22"/>
                <w:szCs w:val="22"/>
              </w:rPr>
              <w:t>8</w:t>
            </w:r>
          </w:p>
        </w:tc>
        <w:tc>
          <w:tcPr>
            <w:tcW w:w="1034" w:type="dxa"/>
            <w:vAlign w:val="bottom"/>
          </w:tcPr>
          <w:p w:rsidR="00000000" w:rsidRDefault="00000000">
            <w:pPr>
              <w:pStyle w:val="a2"/>
              <w:ind w:right="340"/>
              <w:jc w:val="right"/>
              <w:rPr>
                <w:sz w:val="22"/>
                <w:szCs w:val="22"/>
              </w:rPr>
            </w:pPr>
            <w:r>
              <w:rPr>
                <w:sz w:val="22"/>
                <w:szCs w:val="22"/>
              </w:rPr>
              <w:t>4</w:t>
            </w:r>
          </w:p>
        </w:tc>
      </w:tr>
      <w:tr w:rsidR="00000000">
        <w:tc>
          <w:tcPr>
            <w:tcW w:w="1998" w:type="dxa"/>
            <w:vAlign w:val="bottom"/>
          </w:tcPr>
          <w:p w:rsidR="00000000" w:rsidRDefault="00000000">
            <w:pPr>
              <w:pStyle w:val="a2"/>
              <w:ind w:left="57"/>
              <w:jc w:val="left"/>
              <w:rPr>
                <w:sz w:val="20"/>
              </w:rPr>
            </w:pPr>
            <w:r>
              <w:rPr>
                <w:sz w:val="20"/>
              </w:rPr>
              <w:t>阿尔巴尼亚</w:t>
            </w:r>
          </w:p>
        </w:tc>
        <w:tc>
          <w:tcPr>
            <w:tcW w:w="1230" w:type="dxa"/>
            <w:vAlign w:val="bottom"/>
          </w:tcPr>
          <w:p w:rsidR="00000000" w:rsidRDefault="00000000">
            <w:pPr>
              <w:pStyle w:val="a2"/>
              <w:ind w:right="397"/>
              <w:jc w:val="right"/>
              <w:rPr>
                <w:sz w:val="22"/>
                <w:szCs w:val="22"/>
              </w:rPr>
            </w:pPr>
            <w:r>
              <w:rPr>
                <w:sz w:val="22"/>
                <w:szCs w:val="22"/>
              </w:rPr>
              <w:t>10</w:t>
            </w:r>
          </w:p>
        </w:tc>
        <w:tc>
          <w:tcPr>
            <w:tcW w:w="1040" w:type="dxa"/>
            <w:vAlign w:val="bottom"/>
          </w:tcPr>
          <w:p w:rsidR="00000000" w:rsidRDefault="00000000">
            <w:pPr>
              <w:pStyle w:val="a2"/>
              <w:ind w:right="284"/>
              <w:jc w:val="right"/>
            </w:pPr>
            <w:r>
              <w:t>1</w:t>
            </w:r>
            <w:r>
              <w:rPr>
                <w:rStyle w:val="StyleFootnoteReference11pt"/>
              </w:rPr>
              <w:footnoteReference w:id="16"/>
            </w:r>
          </w:p>
        </w:tc>
        <w:tc>
          <w:tcPr>
            <w:tcW w:w="1230" w:type="dxa"/>
            <w:vAlign w:val="bottom"/>
          </w:tcPr>
          <w:p w:rsidR="00000000" w:rsidRDefault="00000000">
            <w:pPr>
              <w:pStyle w:val="a2"/>
              <w:ind w:right="397"/>
              <w:jc w:val="right"/>
              <w:rPr>
                <w:sz w:val="22"/>
                <w:szCs w:val="22"/>
              </w:rPr>
            </w:pPr>
            <w:r>
              <w:rPr>
                <w:sz w:val="22"/>
                <w:szCs w:val="22"/>
              </w:rPr>
              <w:t>3</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阿尔及利亚</w:t>
            </w:r>
          </w:p>
        </w:tc>
        <w:tc>
          <w:tcPr>
            <w:tcW w:w="1230" w:type="dxa"/>
            <w:vAlign w:val="bottom"/>
          </w:tcPr>
          <w:p w:rsidR="00000000" w:rsidRDefault="00000000">
            <w:pPr>
              <w:pStyle w:val="a2"/>
              <w:ind w:right="397"/>
              <w:jc w:val="right"/>
              <w:rPr>
                <w:sz w:val="22"/>
                <w:szCs w:val="22"/>
              </w:rPr>
            </w:pPr>
            <w:r>
              <w:rPr>
                <w:sz w:val="22"/>
                <w:szCs w:val="22"/>
              </w:rPr>
              <w:t>25</w:t>
            </w:r>
          </w:p>
        </w:tc>
        <w:tc>
          <w:tcPr>
            <w:tcW w:w="1040" w:type="dxa"/>
            <w:vAlign w:val="bottom"/>
          </w:tcPr>
          <w:p w:rsidR="00000000" w:rsidRDefault="00000000">
            <w:pPr>
              <w:pStyle w:val="a2"/>
              <w:ind w:right="284"/>
              <w:jc w:val="right"/>
            </w:pPr>
            <w:r>
              <w:t>1</w:t>
            </w:r>
            <w:r>
              <w:rPr>
                <w:rStyle w:val="StyleFootnoteReference11pt"/>
              </w:rPr>
              <w:footnoteReference w:id="17"/>
            </w:r>
          </w:p>
        </w:tc>
        <w:tc>
          <w:tcPr>
            <w:tcW w:w="1230" w:type="dxa"/>
            <w:vAlign w:val="bottom"/>
          </w:tcPr>
          <w:p w:rsidR="00000000" w:rsidRDefault="00000000">
            <w:pPr>
              <w:pStyle w:val="a2"/>
              <w:ind w:right="397"/>
              <w:jc w:val="right"/>
              <w:rPr>
                <w:sz w:val="22"/>
                <w:szCs w:val="22"/>
              </w:rPr>
            </w:pPr>
            <w:r>
              <w:rPr>
                <w:sz w:val="22"/>
                <w:szCs w:val="22"/>
              </w:rPr>
              <w:t>7</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安道尔</w:t>
            </w:r>
          </w:p>
        </w:tc>
        <w:tc>
          <w:tcPr>
            <w:tcW w:w="1230" w:type="dxa"/>
            <w:vAlign w:val="bottom"/>
          </w:tcPr>
          <w:p w:rsidR="00000000" w:rsidRDefault="00000000">
            <w:pPr>
              <w:pStyle w:val="a2"/>
              <w:ind w:right="397"/>
              <w:jc w:val="right"/>
              <w:rPr>
                <w:sz w:val="22"/>
                <w:szCs w:val="22"/>
              </w:rPr>
            </w:pPr>
            <w:r>
              <w:rPr>
                <w:sz w:val="22"/>
                <w:szCs w:val="22"/>
              </w:rPr>
              <w:t>4</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2</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安哥拉</w:t>
            </w:r>
          </w:p>
        </w:tc>
        <w:tc>
          <w:tcPr>
            <w:tcW w:w="1230" w:type="dxa"/>
            <w:vAlign w:val="bottom"/>
          </w:tcPr>
          <w:p w:rsidR="00000000" w:rsidRDefault="00000000">
            <w:pPr>
              <w:pStyle w:val="a2"/>
              <w:ind w:right="397"/>
              <w:jc w:val="right"/>
              <w:rPr>
                <w:sz w:val="22"/>
                <w:szCs w:val="22"/>
              </w:rPr>
            </w:pPr>
            <w:r>
              <w:rPr>
                <w:sz w:val="22"/>
                <w:szCs w:val="22"/>
              </w:rPr>
              <w:t>6</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6</w:t>
            </w:r>
          </w:p>
        </w:tc>
        <w:tc>
          <w:tcPr>
            <w:tcW w:w="1175" w:type="dxa"/>
            <w:vAlign w:val="bottom"/>
          </w:tcPr>
          <w:p w:rsidR="00000000" w:rsidRDefault="00000000">
            <w:pPr>
              <w:pStyle w:val="a2"/>
              <w:ind w:right="340"/>
              <w:jc w:val="right"/>
              <w:rPr>
                <w:sz w:val="22"/>
                <w:szCs w:val="22"/>
              </w:rPr>
            </w:pPr>
            <w:r>
              <w:rPr>
                <w:sz w:val="22"/>
                <w:szCs w:val="22"/>
              </w:rPr>
              <w:t>4</w:t>
            </w:r>
          </w:p>
        </w:tc>
        <w:tc>
          <w:tcPr>
            <w:tcW w:w="1863" w:type="dxa"/>
            <w:vAlign w:val="bottom"/>
          </w:tcPr>
          <w:p w:rsidR="00000000" w:rsidRDefault="00000000">
            <w:pPr>
              <w:pStyle w:val="a2"/>
              <w:ind w:right="567"/>
              <w:jc w:val="right"/>
              <w:rPr>
                <w:sz w:val="22"/>
                <w:szCs w:val="22"/>
              </w:rPr>
            </w:pPr>
            <w:r>
              <w:rPr>
                <w:sz w:val="22"/>
                <w:szCs w:val="22"/>
              </w:rPr>
              <w:t>2</w:t>
            </w: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rFonts w:hint="eastAsia"/>
                <w:sz w:val="20"/>
              </w:rPr>
            </w:pPr>
            <w:r>
              <w:rPr>
                <w:rFonts w:hint="eastAsia"/>
                <w:sz w:val="20"/>
              </w:rPr>
              <w:t>安提瓜和巴布达</w:t>
            </w:r>
          </w:p>
        </w:tc>
        <w:tc>
          <w:tcPr>
            <w:tcW w:w="1230" w:type="dxa"/>
            <w:vAlign w:val="bottom"/>
          </w:tcPr>
          <w:p w:rsidR="00000000" w:rsidRDefault="00000000">
            <w:pPr>
              <w:pStyle w:val="a2"/>
              <w:ind w:right="397"/>
              <w:jc w:val="right"/>
              <w:rPr>
                <w:sz w:val="22"/>
                <w:szCs w:val="22"/>
              </w:rPr>
            </w:pPr>
            <w:r>
              <w:rPr>
                <w:sz w:val="22"/>
                <w:szCs w:val="22"/>
              </w:rPr>
              <w:t>4</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14</w:t>
            </w:r>
          </w:p>
        </w:tc>
        <w:tc>
          <w:tcPr>
            <w:tcW w:w="1175" w:type="dxa"/>
            <w:vAlign w:val="bottom"/>
          </w:tcPr>
          <w:p w:rsidR="00000000" w:rsidRDefault="00000000">
            <w:pPr>
              <w:pStyle w:val="a2"/>
              <w:ind w:right="340"/>
              <w:jc w:val="right"/>
              <w:rPr>
                <w:sz w:val="22"/>
                <w:szCs w:val="22"/>
              </w:rPr>
            </w:pPr>
            <w:r>
              <w:rPr>
                <w:sz w:val="22"/>
                <w:szCs w:val="22"/>
              </w:rPr>
              <w:t>8</w:t>
            </w:r>
          </w:p>
        </w:tc>
        <w:tc>
          <w:tcPr>
            <w:tcW w:w="1863" w:type="dxa"/>
            <w:vAlign w:val="bottom"/>
          </w:tcPr>
          <w:p w:rsidR="00000000" w:rsidRDefault="00000000">
            <w:pPr>
              <w:pStyle w:val="a2"/>
              <w:ind w:right="567"/>
              <w:jc w:val="right"/>
              <w:rPr>
                <w:sz w:val="22"/>
                <w:szCs w:val="22"/>
              </w:rPr>
            </w:pPr>
            <w:r>
              <w:rPr>
                <w:sz w:val="22"/>
                <w:szCs w:val="22"/>
              </w:rPr>
              <w:t>5</w:t>
            </w: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z w:val="20"/>
              </w:rPr>
            </w:pPr>
            <w:r>
              <w:rPr>
                <w:sz w:val="20"/>
              </w:rPr>
              <w:t>阿根廷</w:t>
            </w:r>
          </w:p>
        </w:tc>
        <w:tc>
          <w:tcPr>
            <w:tcW w:w="1230" w:type="dxa"/>
            <w:vAlign w:val="bottom"/>
          </w:tcPr>
          <w:p w:rsidR="00000000" w:rsidRDefault="00000000">
            <w:pPr>
              <w:pStyle w:val="a2"/>
              <w:ind w:right="397"/>
              <w:jc w:val="right"/>
              <w:rPr>
                <w:sz w:val="22"/>
                <w:szCs w:val="22"/>
              </w:rPr>
            </w:pPr>
            <w:r>
              <w:rPr>
                <w:sz w:val="22"/>
                <w:szCs w:val="22"/>
              </w:rPr>
              <w:t>34</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4</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亚美尼亚</w:t>
            </w:r>
          </w:p>
        </w:tc>
        <w:tc>
          <w:tcPr>
            <w:tcW w:w="1230" w:type="dxa"/>
            <w:vAlign w:val="bottom"/>
          </w:tcPr>
          <w:p w:rsidR="00000000" w:rsidRDefault="00000000">
            <w:pPr>
              <w:pStyle w:val="a2"/>
              <w:ind w:right="397"/>
              <w:jc w:val="right"/>
              <w:rPr>
                <w:sz w:val="22"/>
                <w:szCs w:val="22"/>
              </w:rPr>
            </w:pPr>
            <w:r>
              <w:rPr>
                <w:sz w:val="22"/>
                <w:szCs w:val="22"/>
              </w:rPr>
              <w:t>12</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7</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澳大利亚</w:t>
            </w:r>
          </w:p>
        </w:tc>
        <w:tc>
          <w:tcPr>
            <w:tcW w:w="1230" w:type="dxa"/>
            <w:vAlign w:val="bottom"/>
          </w:tcPr>
          <w:p w:rsidR="00000000" w:rsidRDefault="00000000">
            <w:pPr>
              <w:pStyle w:val="a2"/>
              <w:ind w:right="397"/>
              <w:jc w:val="right"/>
              <w:rPr>
                <w:sz w:val="22"/>
                <w:szCs w:val="22"/>
              </w:rPr>
            </w:pPr>
            <w:r>
              <w:rPr>
                <w:sz w:val="22"/>
                <w:szCs w:val="22"/>
              </w:rPr>
              <w:t>32</w:t>
            </w:r>
          </w:p>
        </w:tc>
        <w:tc>
          <w:tcPr>
            <w:tcW w:w="1040" w:type="dxa"/>
            <w:vAlign w:val="bottom"/>
          </w:tcPr>
          <w:p w:rsidR="00000000" w:rsidRDefault="00000000">
            <w:pPr>
              <w:pStyle w:val="a2"/>
              <w:ind w:right="284"/>
              <w:jc w:val="right"/>
            </w:pPr>
            <w:r>
              <w:t>1</w:t>
            </w:r>
            <w:r>
              <w:rPr>
                <w:rStyle w:val="StyleFootnoteReference11pt"/>
              </w:rPr>
              <w:footnoteReference w:id="18"/>
            </w:r>
          </w:p>
        </w:tc>
        <w:tc>
          <w:tcPr>
            <w:tcW w:w="1230" w:type="dxa"/>
            <w:vAlign w:val="bottom"/>
          </w:tcPr>
          <w:p w:rsidR="00000000" w:rsidRDefault="00000000">
            <w:pPr>
              <w:pStyle w:val="a2"/>
              <w:ind w:right="397"/>
              <w:jc w:val="right"/>
              <w:rPr>
                <w:sz w:val="22"/>
                <w:szCs w:val="22"/>
              </w:rPr>
            </w:pPr>
            <w:r>
              <w:rPr>
                <w:sz w:val="22"/>
                <w:szCs w:val="22"/>
              </w:rPr>
              <w:t>2</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奥地利</w:t>
            </w:r>
          </w:p>
        </w:tc>
        <w:tc>
          <w:tcPr>
            <w:tcW w:w="1230" w:type="dxa"/>
            <w:vAlign w:val="bottom"/>
          </w:tcPr>
          <w:p w:rsidR="00000000" w:rsidRDefault="00000000">
            <w:pPr>
              <w:pStyle w:val="a2"/>
              <w:ind w:right="397"/>
              <w:jc w:val="right"/>
              <w:rPr>
                <w:sz w:val="22"/>
                <w:szCs w:val="22"/>
              </w:rPr>
            </w:pPr>
            <w:r>
              <w:rPr>
                <w:sz w:val="22"/>
                <w:szCs w:val="22"/>
              </w:rPr>
              <w:t>32</w:t>
            </w:r>
          </w:p>
        </w:tc>
        <w:tc>
          <w:tcPr>
            <w:tcW w:w="1040" w:type="dxa"/>
            <w:vAlign w:val="bottom"/>
          </w:tcPr>
          <w:p w:rsidR="00000000" w:rsidRDefault="00000000">
            <w:pPr>
              <w:pStyle w:val="a2"/>
              <w:ind w:right="284"/>
              <w:jc w:val="right"/>
            </w:pPr>
            <w:r>
              <w:t>1</w:t>
            </w:r>
            <w:r>
              <w:rPr>
                <w:rStyle w:val="StyleFootnoteReference11pt"/>
              </w:rPr>
              <w:footnoteReference w:id="19"/>
            </w:r>
          </w:p>
        </w:tc>
        <w:tc>
          <w:tcPr>
            <w:tcW w:w="1230" w:type="dxa"/>
            <w:vAlign w:val="bottom"/>
          </w:tcPr>
          <w:p w:rsidR="00000000" w:rsidRDefault="00000000">
            <w:pPr>
              <w:pStyle w:val="a2"/>
              <w:ind w:right="397"/>
              <w:jc w:val="right"/>
              <w:rPr>
                <w:sz w:val="22"/>
                <w:szCs w:val="22"/>
              </w:rPr>
            </w:pPr>
            <w:r>
              <w:rPr>
                <w:sz w:val="22"/>
                <w:szCs w:val="22"/>
              </w:rPr>
              <w:t>4</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阿塞拜疆</w:t>
            </w:r>
          </w:p>
        </w:tc>
        <w:tc>
          <w:tcPr>
            <w:tcW w:w="1230" w:type="dxa"/>
            <w:vAlign w:val="bottom"/>
          </w:tcPr>
          <w:p w:rsidR="00000000" w:rsidRDefault="00000000">
            <w:pPr>
              <w:pStyle w:val="a2"/>
              <w:ind w:right="397"/>
              <w:jc w:val="right"/>
              <w:rPr>
                <w:sz w:val="22"/>
                <w:szCs w:val="22"/>
              </w:rPr>
            </w:pPr>
            <w:r>
              <w:rPr>
                <w:sz w:val="22"/>
                <w:szCs w:val="22"/>
              </w:rPr>
              <w:t>15</w:t>
            </w:r>
          </w:p>
        </w:tc>
        <w:tc>
          <w:tcPr>
            <w:tcW w:w="1040" w:type="dxa"/>
            <w:vAlign w:val="bottom"/>
          </w:tcPr>
          <w:p w:rsidR="00000000" w:rsidRDefault="00000000">
            <w:pPr>
              <w:pStyle w:val="a2"/>
              <w:ind w:right="284"/>
              <w:jc w:val="right"/>
            </w:pPr>
            <w:r>
              <w:t>2</w:t>
            </w:r>
            <w:r>
              <w:rPr>
                <w:rStyle w:val="StyleFootnoteReference11pt"/>
              </w:rPr>
              <w:footnoteReference w:id="20"/>
            </w:r>
          </w:p>
        </w:tc>
        <w:tc>
          <w:tcPr>
            <w:tcW w:w="1230" w:type="dxa"/>
            <w:vAlign w:val="bottom"/>
          </w:tcPr>
          <w:p w:rsidR="00000000" w:rsidRDefault="00000000">
            <w:pPr>
              <w:pStyle w:val="a2"/>
              <w:ind w:right="397"/>
              <w:jc w:val="right"/>
              <w:rPr>
                <w:sz w:val="22"/>
                <w:szCs w:val="22"/>
              </w:rPr>
            </w:pPr>
            <w:r>
              <w:rPr>
                <w:sz w:val="22"/>
                <w:szCs w:val="22"/>
              </w:rPr>
              <w:t>5</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z w:val="20"/>
              </w:rPr>
            </w:pPr>
            <w:r>
              <w:rPr>
                <w:sz w:val="20"/>
              </w:rPr>
              <w:t>巴哈马</w:t>
            </w:r>
          </w:p>
        </w:tc>
        <w:tc>
          <w:tcPr>
            <w:tcW w:w="1230" w:type="dxa"/>
            <w:vAlign w:val="bottom"/>
          </w:tcPr>
          <w:p w:rsidR="00000000" w:rsidRDefault="00000000">
            <w:pPr>
              <w:pStyle w:val="a2"/>
              <w:ind w:right="397"/>
              <w:jc w:val="right"/>
              <w:rPr>
                <w:sz w:val="22"/>
                <w:szCs w:val="22"/>
              </w:rPr>
            </w:pPr>
            <w:r>
              <w:rPr>
                <w:sz w:val="22"/>
                <w:szCs w:val="22"/>
              </w:rPr>
              <w:t>15</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3</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r>
              <w:rPr>
                <w:sz w:val="22"/>
                <w:szCs w:val="22"/>
              </w:rPr>
              <w:t>1</w:t>
            </w: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巴林</w:t>
            </w:r>
          </w:p>
        </w:tc>
        <w:tc>
          <w:tcPr>
            <w:tcW w:w="1230" w:type="dxa"/>
            <w:vAlign w:val="bottom"/>
          </w:tcPr>
          <w:p w:rsidR="00000000" w:rsidRDefault="00000000">
            <w:pPr>
              <w:pStyle w:val="a2"/>
              <w:ind w:right="397"/>
              <w:jc w:val="right"/>
              <w:rPr>
                <w:sz w:val="22"/>
                <w:szCs w:val="22"/>
              </w:rPr>
            </w:pPr>
            <w:r>
              <w:rPr>
                <w:sz w:val="22"/>
                <w:szCs w:val="22"/>
              </w:rPr>
              <w:t>9</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5</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z w:val="20"/>
              </w:rPr>
            </w:pPr>
            <w:r>
              <w:rPr>
                <w:sz w:val="20"/>
              </w:rPr>
              <w:t>孟加拉国</w:t>
            </w:r>
          </w:p>
        </w:tc>
        <w:tc>
          <w:tcPr>
            <w:tcW w:w="1230" w:type="dxa"/>
            <w:vAlign w:val="bottom"/>
          </w:tcPr>
          <w:p w:rsidR="00000000" w:rsidRDefault="00000000">
            <w:pPr>
              <w:pStyle w:val="a2"/>
              <w:ind w:right="397"/>
              <w:jc w:val="right"/>
              <w:rPr>
                <w:sz w:val="22"/>
                <w:szCs w:val="22"/>
              </w:rPr>
            </w:pPr>
            <w:r>
              <w:rPr>
                <w:sz w:val="22"/>
                <w:szCs w:val="22"/>
              </w:rPr>
              <w:t>20</w:t>
            </w:r>
          </w:p>
        </w:tc>
        <w:tc>
          <w:tcPr>
            <w:tcW w:w="1040" w:type="dxa"/>
            <w:vAlign w:val="bottom"/>
          </w:tcPr>
          <w:p w:rsidR="00000000" w:rsidRDefault="00000000">
            <w:pPr>
              <w:pStyle w:val="a2"/>
              <w:ind w:right="284"/>
              <w:jc w:val="right"/>
            </w:pPr>
            <w:r>
              <w:t>1</w:t>
            </w:r>
            <w:r>
              <w:rPr>
                <w:rStyle w:val="StyleFootnoteReference11pt"/>
              </w:rPr>
              <w:footnoteReference w:id="21"/>
            </w:r>
          </w:p>
        </w:tc>
        <w:tc>
          <w:tcPr>
            <w:tcW w:w="1230" w:type="dxa"/>
            <w:vAlign w:val="bottom"/>
          </w:tcPr>
          <w:p w:rsidR="00000000" w:rsidRDefault="00000000">
            <w:pPr>
              <w:pStyle w:val="a2"/>
              <w:ind w:right="397"/>
              <w:jc w:val="right"/>
              <w:rPr>
                <w:sz w:val="22"/>
                <w:szCs w:val="22"/>
              </w:rPr>
            </w:pPr>
            <w:r>
              <w:rPr>
                <w:sz w:val="22"/>
                <w:szCs w:val="22"/>
              </w:rPr>
              <w:t>8</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z w:val="20"/>
              </w:rPr>
            </w:pPr>
            <w:r>
              <w:rPr>
                <w:sz w:val="20"/>
              </w:rPr>
              <w:t>巴巴多斯</w:t>
            </w:r>
          </w:p>
        </w:tc>
        <w:tc>
          <w:tcPr>
            <w:tcW w:w="1230" w:type="dxa"/>
            <w:vAlign w:val="bottom"/>
          </w:tcPr>
          <w:p w:rsidR="00000000" w:rsidRDefault="00000000">
            <w:pPr>
              <w:pStyle w:val="a2"/>
              <w:ind w:right="397"/>
              <w:jc w:val="right"/>
              <w:rPr>
                <w:sz w:val="22"/>
                <w:szCs w:val="22"/>
              </w:rPr>
            </w:pPr>
            <w:r>
              <w:rPr>
                <w:sz w:val="22"/>
                <w:szCs w:val="22"/>
              </w:rPr>
              <w:t>24</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10</w:t>
            </w:r>
          </w:p>
        </w:tc>
        <w:tc>
          <w:tcPr>
            <w:tcW w:w="1175" w:type="dxa"/>
            <w:vAlign w:val="bottom"/>
          </w:tcPr>
          <w:p w:rsidR="00000000" w:rsidRDefault="00000000">
            <w:pPr>
              <w:pStyle w:val="a2"/>
              <w:ind w:right="340"/>
              <w:jc w:val="right"/>
              <w:rPr>
                <w:sz w:val="22"/>
                <w:szCs w:val="22"/>
              </w:rPr>
            </w:pPr>
            <w:r>
              <w:rPr>
                <w:sz w:val="22"/>
                <w:szCs w:val="22"/>
              </w:rPr>
              <w:t>6</w:t>
            </w:r>
          </w:p>
        </w:tc>
        <w:tc>
          <w:tcPr>
            <w:tcW w:w="1863" w:type="dxa"/>
            <w:vAlign w:val="bottom"/>
          </w:tcPr>
          <w:p w:rsidR="00000000" w:rsidRDefault="00000000">
            <w:pPr>
              <w:pStyle w:val="a2"/>
              <w:ind w:right="567"/>
              <w:jc w:val="right"/>
              <w:rPr>
                <w:sz w:val="22"/>
                <w:szCs w:val="22"/>
              </w:rPr>
            </w:pPr>
            <w:r>
              <w:rPr>
                <w:sz w:val="22"/>
                <w:szCs w:val="22"/>
              </w:rPr>
              <w:t>2</w:t>
            </w: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白俄罗斯</w:t>
            </w:r>
          </w:p>
        </w:tc>
        <w:tc>
          <w:tcPr>
            <w:tcW w:w="1230" w:type="dxa"/>
            <w:vAlign w:val="bottom"/>
          </w:tcPr>
          <w:p w:rsidR="00000000" w:rsidRDefault="00000000">
            <w:pPr>
              <w:pStyle w:val="a2"/>
              <w:ind w:right="397"/>
              <w:jc w:val="right"/>
              <w:rPr>
                <w:sz w:val="22"/>
                <w:szCs w:val="22"/>
              </w:rPr>
            </w:pPr>
            <w:r>
              <w:rPr>
                <w:sz w:val="22"/>
                <w:szCs w:val="22"/>
              </w:rPr>
              <w:t>35</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6</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比利时</w:t>
            </w:r>
          </w:p>
        </w:tc>
        <w:tc>
          <w:tcPr>
            <w:tcW w:w="1230" w:type="dxa"/>
            <w:vAlign w:val="bottom"/>
          </w:tcPr>
          <w:p w:rsidR="00000000" w:rsidRDefault="00000000">
            <w:pPr>
              <w:pStyle w:val="a2"/>
              <w:ind w:right="397"/>
              <w:jc w:val="right"/>
              <w:rPr>
                <w:sz w:val="22"/>
                <w:szCs w:val="22"/>
              </w:rPr>
            </w:pPr>
            <w:r>
              <w:rPr>
                <w:sz w:val="22"/>
                <w:szCs w:val="22"/>
              </w:rPr>
              <w:t>27</w:t>
            </w:r>
          </w:p>
        </w:tc>
        <w:tc>
          <w:tcPr>
            <w:tcW w:w="1040" w:type="dxa"/>
            <w:vAlign w:val="bottom"/>
          </w:tcPr>
          <w:p w:rsidR="00000000" w:rsidRDefault="00000000">
            <w:pPr>
              <w:pStyle w:val="a2"/>
              <w:ind w:right="284"/>
              <w:jc w:val="right"/>
            </w:pPr>
            <w:r>
              <w:t>1</w:t>
            </w:r>
            <w:r>
              <w:rPr>
                <w:rStyle w:val="StyleFootnoteReference11pt"/>
              </w:rPr>
              <w:footnoteReference w:id="22"/>
            </w:r>
          </w:p>
        </w:tc>
        <w:tc>
          <w:tcPr>
            <w:tcW w:w="1230" w:type="dxa"/>
            <w:vAlign w:val="bottom"/>
          </w:tcPr>
          <w:p w:rsidR="00000000" w:rsidRDefault="00000000">
            <w:pPr>
              <w:pStyle w:val="a2"/>
              <w:ind w:right="397"/>
              <w:jc w:val="right"/>
              <w:rPr>
                <w:sz w:val="22"/>
                <w:szCs w:val="22"/>
              </w:rPr>
            </w:pPr>
            <w:r>
              <w:rPr>
                <w:sz w:val="22"/>
                <w:szCs w:val="22"/>
              </w:rPr>
              <w:t>5</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伯利兹</w:t>
            </w:r>
          </w:p>
        </w:tc>
        <w:tc>
          <w:tcPr>
            <w:tcW w:w="1230" w:type="dxa"/>
            <w:vAlign w:val="bottom"/>
          </w:tcPr>
          <w:p w:rsidR="00000000" w:rsidRDefault="00000000">
            <w:pPr>
              <w:pStyle w:val="a2"/>
              <w:ind w:right="397"/>
              <w:jc w:val="right"/>
              <w:rPr>
                <w:sz w:val="22"/>
                <w:szCs w:val="22"/>
              </w:rPr>
            </w:pPr>
            <w:r>
              <w:rPr>
                <w:sz w:val="22"/>
                <w:szCs w:val="22"/>
              </w:rPr>
              <w:t>7</w:t>
            </w:r>
          </w:p>
        </w:tc>
        <w:tc>
          <w:tcPr>
            <w:tcW w:w="1040" w:type="dxa"/>
            <w:vAlign w:val="bottom"/>
          </w:tcPr>
          <w:p w:rsidR="00000000" w:rsidRDefault="00000000">
            <w:pPr>
              <w:pStyle w:val="a2"/>
              <w:ind w:right="284"/>
              <w:jc w:val="right"/>
            </w:pPr>
            <w:r>
              <w:t>2</w:t>
            </w:r>
            <w:r>
              <w:rPr>
                <w:rStyle w:val="StyleFootnoteReference11pt"/>
              </w:rPr>
              <w:footnoteReference w:id="23"/>
            </w:r>
          </w:p>
        </w:tc>
        <w:tc>
          <w:tcPr>
            <w:tcW w:w="1230" w:type="dxa"/>
            <w:vAlign w:val="bottom"/>
          </w:tcPr>
          <w:p w:rsidR="00000000" w:rsidRDefault="00000000">
            <w:pPr>
              <w:pStyle w:val="a2"/>
              <w:ind w:right="397"/>
              <w:jc w:val="right"/>
              <w:rPr>
                <w:sz w:val="22"/>
                <w:szCs w:val="22"/>
              </w:rPr>
            </w:pPr>
            <w:r>
              <w:rPr>
                <w:sz w:val="22"/>
                <w:szCs w:val="22"/>
              </w:rPr>
              <w:t>11</w:t>
            </w:r>
          </w:p>
        </w:tc>
        <w:tc>
          <w:tcPr>
            <w:tcW w:w="1175" w:type="dxa"/>
            <w:vAlign w:val="bottom"/>
          </w:tcPr>
          <w:p w:rsidR="00000000" w:rsidRDefault="00000000">
            <w:pPr>
              <w:pStyle w:val="a2"/>
              <w:ind w:right="340"/>
              <w:jc w:val="right"/>
              <w:rPr>
                <w:sz w:val="22"/>
                <w:szCs w:val="22"/>
              </w:rPr>
            </w:pPr>
            <w:r>
              <w:rPr>
                <w:sz w:val="22"/>
                <w:szCs w:val="22"/>
              </w:rPr>
              <w:t>4</w:t>
            </w:r>
          </w:p>
        </w:tc>
        <w:tc>
          <w:tcPr>
            <w:tcW w:w="1863" w:type="dxa"/>
            <w:vAlign w:val="bottom"/>
          </w:tcPr>
          <w:p w:rsidR="00000000" w:rsidRDefault="00000000">
            <w:pPr>
              <w:pStyle w:val="a2"/>
              <w:ind w:right="567"/>
              <w:jc w:val="right"/>
              <w:rPr>
                <w:sz w:val="22"/>
                <w:szCs w:val="22"/>
              </w:rPr>
            </w:pPr>
            <w:r>
              <w:rPr>
                <w:sz w:val="22"/>
                <w:szCs w:val="22"/>
              </w:rPr>
              <w:t>1</w:t>
            </w:r>
          </w:p>
        </w:tc>
        <w:tc>
          <w:tcPr>
            <w:tcW w:w="1034" w:type="dxa"/>
            <w:vAlign w:val="bottom"/>
          </w:tcPr>
          <w:p w:rsidR="00000000" w:rsidRDefault="00000000">
            <w:pPr>
              <w:pStyle w:val="a2"/>
              <w:ind w:right="340"/>
              <w:jc w:val="right"/>
              <w:rPr>
                <w:sz w:val="22"/>
                <w:szCs w:val="22"/>
              </w:rPr>
            </w:pPr>
            <w:r>
              <w:rPr>
                <w:sz w:val="22"/>
                <w:szCs w:val="22"/>
              </w:rPr>
              <w:t>5</w:t>
            </w:r>
          </w:p>
        </w:tc>
      </w:tr>
      <w:tr w:rsidR="00000000">
        <w:tc>
          <w:tcPr>
            <w:tcW w:w="1998" w:type="dxa"/>
            <w:vAlign w:val="bottom"/>
          </w:tcPr>
          <w:p w:rsidR="00000000" w:rsidRDefault="00000000">
            <w:pPr>
              <w:pStyle w:val="a2"/>
              <w:ind w:left="57"/>
              <w:jc w:val="left"/>
              <w:rPr>
                <w:sz w:val="20"/>
              </w:rPr>
            </w:pPr>
            <w:r>
              <w:rPr>
                <w:sz w:val="20"/>
              </w:rPr>
              <w:t>贝宁</w:t>
            </w:r>
          </w:p>
        </w:tc>
        <w:tc>
          <w:tcPr>
            <w:tcW w:w="1230" w:type="dxa"/>
            <w:vAlign w:val="bottom"/>
          </w:tcPr>
          <w:p w:rsidR="00000000" w:rsidRDefault="00000000">
            <w:pPr>
              <w:pStyle w:val="a2"/>
              <w:ind w:right="397"/>
              <w:jc w:val="right"/>
              <w:rPr>
                <w:sz w:val="22"/>
                <w:szCs w:val="22"/>
              </w:rPr>
            </w:pPr>
            <w:r>
              <w:rPr>
                <w:sz w:val="22"/>
                <w:szCs w:val="22"/>
              </w:rPr>
              <w:t>9</w:t>
            </w:r>
          </w:p>
        </w:tc>
        <w:tc>
          <w:tcPr>
            <w:tcW w:w="1040" w:type="dxa"/>
            <w:vAlign w:val="bottom"/>
          </w:tcPr>
          <w:p w:rsidR="00000000" w:rsidRDefault="00000000">
            <w:pPr>
              <w:pStyle w:val="a2"/>
              <w:ind w:right="284"/>
              <w:jc w:val="right"/>
            </w:pPr>
            <w:r>
              <w:t>2</w:t>
            </w:r>
            <w:r>
              <w:rPr>
                <w:rStyle w:val="StyleFootnoteReference11pt"/>
              </w:rPr>
              <w:footnoteReference w:id="24"/>
            </w:r>
          </w:p>
        </w:tc>
        <w:tc>
          <w:tcPr>
            <w:tcW w:w="1230" w:type="dxa"/>
            <w:vAlign w:val="bottom"/>
          </w:tcPr>
          <w:p w:rsidR="00000000" w:rsidRDefault="00000000">
            <w:pPr>
              <w:pStyle w:val="a2"/>
              <w:ind w:right="397"/>
              <w:jc w:val="right"/>
              <w:rPr>
                <w:sz w:val="22"/>
                <w:szCs w:val="22"/>
              </w:rPr>
            </w:pPr>
            <w:r>
              <w:rPr>
                <w:sz w:val="22"/>
                <w:szCs w:val="22"/>
              </w:rPr>
              <w:t>5</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不丹</w:t>
            </w:r>
          </w:p>
        </w:tc>
        <w:tc>
          <w:tcPr>
            <w:tcW w:w="1230" w:type="dxa"/>
            <w:vAlign w:val="bottom"/>
          </w:tcPr>
          <w:p w:rsidR="00000000" w:rsidRDefault="00000000">
            <w:pPr>
              <w:pStyle w:val="a2"/>
              <w:ind w:right="397"/>
              <w:jc w:val="right"/>
              <w:rPr>
                <w:sz w:val="22"/>
                <w:szCs w:val="22"/>
              </w:rPr>
            </w:pPr>
            <w:r>
              <w:rPr>
                <w:sz w:val="22"/>
                <w:szCs w:val="22"/>
              </w:rPr>
              <w:t>7</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2</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玻利维亚</w:t>
            </w:r>
          </w:p>
        </w:tc>
        <w:tc>
          <w:tcPr>
            <w:tcW w:w="1230" w:type="dxa"/>
            <w:vAlign w:val="bottom"/>
          </w:tcPr>
          <w:p w:rsidR="00000000" w:rsidRDefault="00000000">
            <w:pPr>
              <w:pStyle w:val="a2"/>
              <w:ind w:right="397"/>
              <w:jc w:val="right"/>
              <w:rPr>
                <w:sz w:val="22"/>
                <w:szCs w:val="22"/>
              </w:rPr>
            </w:pPr>
            <w:r>
              <w:rPr>
                <w:sz w:val="22"/>
                <w:szCs w:val="22"/>
              </w:rPr>
              <w:t>27</w:t>
            </w:r>
          </w:p>
        </w:tc>
        <w:tc>
          <w:tcPr>
            <w:tcW w:w="1040" w:type="dxa"/>
            <w:vAlign w:val="bottom"/>
          </w:tcPr>
          <w:p w:rsidR="00000000" w:rsidRDefault="00000000">
            <w:pPr>
              <w:pStyle w:val="a2"/>
              <w:ind w:right="284"/>
              <w:jc w:val="right"/>
            </w:pPr>
            <w:r>
              <w:t>3</w:t>
            </w:r>
            <w:r>
              <w:rPr>
                <w:rStyle w:val="StyleFootnoteReference11pt"/>
              </w:rPr>
              <w:footnoteReference w:id="25"/>
            </w:r>
          </w:p>
        </w:tc>
        <w:tc>
          <w:tcPr>
            <w:tcW w:w="1230" w:type="dxa"/>
            <w:vAlign w:val="bottom"/>
          </w:tcPr>
          <w:p w:rsidR="00000000" w:rsidRDefault="00000000">
            <w:pPr>
              <w:pStyle w:val="a2"/>
              <w:ind w:right="397"/>
              <w:jc w:val="right"/>
              <w:rPr>
                <w:sz w:val="22"/>
                <w:szCs w:val="22"/>
              </w:rPr>
            </w:pPr>
            <w:r>
              <w:rPr>
                <w:sz w:val="22"/>
                <w:szCs w:val="22"/>
              </w:rPr>
              <w:t>8</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pageBreakBefore/>
              <w:ind w:left="57"/>
              <w:jc w:val="left"/>
              <w:rPr>
                <w:rFonts w:hint="eastAsia"/>
                <w:sz w:val="20"/>
              </w:rPr>
            </w:pPr>
            <w:r>
              <w:rPr>
                <w:rFonts w:hint="eastAsia"/>
                <w:sz w:val="20"/>
              </w:rPr>
              <w:t>波斯尼亚和黑塞哥维那</w:t>
            </w:r>
          </w:p>
        </w:tc>
        <w:tc>
          <w:tcPr>
            <w:tcW w:w="1230" w:type="dxa"/>
            <w:vAlign w:val="bottom"/>
          </w:tcPr>
          <w:p w:rsidR="00000000" w:rsidRDefault="00000000">
            <w:pPr>
              <w:pStyle w:val="a2"/>
              <w:ind w:right="397"/>
              <w:jc w:val="right"/>
              <w:rPr>
                <w:sz w:val="22"/>
                <w:szCs w:val="22"/>
              </w:rPr>
            </w:pPr>
            <w:r>
              <w:rPr>
                <w:sz w:val="22"/>
                <w:szCs w:val="22"/>
              </w:rPr>
              <w:t>12</w:t>
            </w:r>
          </w:p>
        </w:tc>
        <w:tc>
          <w:tcPr>
            <w:tcW w:w="1040" w:type="dxa"/>
            <w:vAlign w:val="bottom"/>
          </w:tcPr>
          <w:p w:rsidR="00000000" w:rsidRDefault="00000000">
            <w:pPr>
              <w:pStyle w:val="a2"/>
              <w:ind w:right="284"/>
              <w:jc w:val="right"/>
            </w:pPr>
            <w:r>
              <w:t>9</w:t>
            </w:r>
            <w:r>
              <w:rPr>
                <w:rStyle w:val="StyleFootnoteReference11pt"/>
              </w:rPr>
              <w:footnoteReference w:id="26"/>
            </w:r>
          </w:p>
        </w:tc>
        <w:tc>
          <w:tcPr>
            <w:tcW w:w="1230" w:type="dxa"/>
            <w:vAlign w:val="bottom"/>
          </w:tcPr>
          <w:p w:rsidR="00000000" w:rsidRDefault="00000000">
            <w:pPr>
              <w:pStyle w:val="a2"/>
              <w:ind w:right="397"/>
              <w:jc w:val="right"/>
              <w:rPr>
                <w:sz w:val="22"/>
                <w:szCs w:val="22"/>
              </w:rPr>
            </w:pPr>
            <w:r>
              <w:rPr>
                <w:sz w:val="22"/>
                <w:szCs w:val="22"/>
              </w:rPr>
              <w:t>6</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r>
              <w:rPr>
                <w:sz w:val="22"/>
                <w:szCs w:val="22"/>
              </w:rPr>
              <w:t>1</w:t>
            </w:r>
          </w:p>
        </w:tc>
        <w:tc>
          <w:tcPr>
            <w:tcW w:w="1034" w:type="dxa"/>
            <w:vAlign w:val="bottom"/>
          </w:tcPr>
          <w:p w:rsidR="00000000" w:rsidRDefault="00000000">
            <w:pPr>
              <w:pStyle w:val="a2"/>
              <w:ind w:right="340"/>
              <w:jc w:val="right"/>
              <w:rPr>
                <w:sz w:val="22"/>
                <w:szCs w:val="22"/>
              </w:rPr>
            </w:pPr>
            <w:r>
              <w:rPr>
                <w:sz w:val="22"/>
                <w:szCs w:val="22"/>
              </w:rPr>
              <w:t>4</w:t>
            </w:r>
          </w:p>
        </w:tc>
      </w:tr>
      <w:tr w:rsidR="00000000">
        <w:tc>
          <w:tcPr>
            <w:tcW w:w="1998" w:type="dxa"/>
            <w:vAlign w:val="bottom"/>
          </w:tcPr>
          <w:p w:rsidR="00000000" w:rsidRDefault="00000000">
            <w:pPr>
              <w:pStyle w:val="a2"/>
              <w:ind w:left="57"/>
              <w:jc w:val="left"/>
              <w:rPr>
                <w:sz w:val="20"/>
              </w:rPr>
            </w:pPr>
            <w:r>
              <w:rPr>
                <w:sz w:val="20"/>
              </w:rPr>
              <w:t>博茨瓦纳</w:t>
            </w:r>
          </w:p>
        </w:tc>
        <w:tc>
          <w:tcPr>
            <w:tcW w:w="1230" w:type="dxa"/>
            <w:vAlign w:val="bottom"/>
          </w:tcPr>
          <w:p w:rsidR="00000000" w:rsidRDefault="00000000">
            <w:pPr>
              <w:pStyle w:val="a2"/>
              <w:ind w:right="397"/>
              <w:jc w:val="right"/>
              <w:rPr>
                <w:sz w:val="22"/>
                <w:szCs w:val="22"/>
              </w:rPr>
            </w:pPr>
            <w:r>
              <w:rPr>
                <w:sz w:val="22"/>
                <w:szCs w:val="22"/>
              </w:rPr>
              <w:t>17</w:t>
            </w:r>
          </w:p>
        </w:tc>
        <w:tc>
          <w:tcPr>
            <w:tcW w:w="1040" w:type="dxa"/>
            <w:vAlign w:val="bottom"/>
          </w:tcPr>
          <w:p w:rsidR="00000000" w:rsidRDefault="00000000">
            <w:pPr>
              <w:pStyle w:val="a2"/>
              <w:ind w:right="284"/>
              <w:jc w:val="right"/>
            </w:pPr>
            <w:r>
              <w:t>2</w:t>
            </w:r>
            <w:r>
              <w:rPr>
                <w:rStyle w:val="StyleFootnoteReference11pt"/>
              </w:rPr>
              <w:footnoteReference w:id="27"/>
            </w:r>
          </w:p>
        </w:tc>
        <w:tc>
          <w:tcPr>
            <w:tcW w:w="1230" w:type="dxa"/>
            <w:vAlign w:val="bottom"/>
          </w:tcPr>
          <w:p w:rsidR="00000000" w:rsidRDefault="00000000">
            <w:pPr>
              <w:pStyle w:val="a2"/>
              <w:ind w:right="397"/>
              <w:jc w:val="right"/>
              <w:rPr>
                <w:sz w:val="22"/>
                <w:szCs w:val="22"/>
              </w:rPr>
            </w:pPr>
            <w:r>
              <w:rPr>
                <w:sz w:val="22"/>
                <w:szCs w:val="22"/>
              </w:rPr>
              <w:t>7</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4</w:t>
            </w:r>
          </w:p>
        </w:tc>
      </w:tr>
      <w:tr w:rsidR="00000000">
        <w:tc>
          <w:tcPr>
            <w:tcW w:w="1998" w:type="dxa"/>
            <w:vAlign w:val="bottom"/>
          </w:tcPr>
          <w:p w:rsidR="00000000" w:rsidRDefault="00000000">
            <w:pPr>
              <w:pStyle w:val="a2"/>
              <w:ind w:left="57"/>
              <w:jc w:val="left"/>
              <w:rPr>
                <w:sz w:val="20"/>
              </w:rPr>
            </w:pPr>
            <w:r>
              <w:rPr>
                <w:sz w:val="20"/>
              </w:rPr>
              <w:t>巴西</w:t>
            </w:r>
          </w:p>
        </w:tc>
        <w:tc>
          <w:tcPr>
            <w:tcW w:w="1230" w:type="dxa"/>
            <w:vAlign w:val="bottom"/>
          </w:tcPr>
          <w:p w:rsidR="00000000" w:rsidRDefault="00000000">
            <w:pPr>
              <w:pStyle w:val="a2"/>
              <w:ind w:right="397"/>
              <w:jc w:val="right"/>
              <w:rPr>
                <w:sz w:val="22"/>
                <w:szCs w:val="22"/>
              </w:rPr>
            </w:pPr>
            <w:r>
              <w:rPr>
                <w:sz w:val="22"/>
                <w:szCs w:val="22"/>
              </w:rPr>
              <w:t>28</w:t>
            </w:r>
          </w:p>
        </w:tc>
        <w:tc>
          <w:tcPr>
            <w:tcW w:w="1040" w:type="dxa"/>
            <w:vAlign w:val="bottom"/>
          </w:tcPr>
          <w:p w:rsidR="00000000" w:rsidRDefault="00000000">
            <w:pPr>
              <w:pStyle w:val="a2"/>
              <w:ind w:right="284"/>
              <w:jc w:val="right"/>
            </w:pPr>
            <w:r>
              <w:t>1</w:t>
            </w:r>
            <w:r>
              <w:rPr>
                <w:rStyle w:val="StyleFootnoteReference11pt"/>
              </w:rPr>
              <w:footnoteReference w:id="28"/>
            </w:r>
          </w:p>
        </w:tc>
        <w:tc>
          <w:tcPr>
            <w:tcW w:w="1230" w:type="dxa"/>
            <w:vAlign w:val="bottom"/>
          </w:tcPr>
          <w:p w:rsidR="00000000" w:rsidRDefault="00000000">
            <w:pPr>
              <w:pStyle w:val="a2"/>
              <w:ind w:right="397"/>
              <w:jc w:val="right"/>
              <w:rPr>
                <w:sz w:val="22"/>
                <w:szCs w:val="22"/>
              </w:rPr>
            </w:pPr>
            <w:r>
              <w:rPr>
                <w:sz w:val="22"/>
                <w:szCs w:val="22"/>
              </w:rPr>
              <w:t>3</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r>
              <w:rPr>
                <w:sz w:val="22"/>
                <w:szCs w:val="22"/>
              </w:rPr>
              <w:t>1</w:t>
            </w: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文莱达鲁萨兰国</w:t>
            </w:r>
          </w:p>
        </w:tc>
        <w:tc>
          <w:tcPr>
            <w:tcW w:w="1230" w:type="dxa"/>
            <w:vAlign w:val="bottom"/>
          </w:tcPr>
          <w:p w:rsidR="00000000" w:rsidRDefault="00000000">
            <w:pPr>
              <w:pStyle w:val="a2"/>
              <w:ind w:right="397"/>
              <w:jc w:val="right"/>
              <w:rPr>
                <w:sz w:val="22"/>
                <w:szCs w:val="22"/>
              </w:rPr>
            </w:pPr>
            <w:r>
              <w:rPr>
                <w:sz w:val="22"/>
                <w:szCs w:val="22"/>
              </w:rPr>
              <w:t>1</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保加利亚</w:t>
            </w:r>
          </w:p>
        </w:tc>
        <w:tc>
          <w:tcPr>
            <w:tcW w:w="1230" w:type="dxa"/>
            <w:vAlign w:val="bottom"/>
          </w:tcPr>
          <w:p w:rsidR="00000000" w:rsidRDefault="00000000">
            <w:pPr>
              <w:pStyle w:val="a2"/>
              <w:ind w:right="397"/>
              <w:jc w:val="right"/>
              <w:rPr>
                <w:sz w:val="22"/>
                <w:szCs w:val="22"/>
              </w:rPr>
            </w:pPr>
            <w:r>
              <w:rPr>
                <w:sz w:val="22"/>
                <w:szCs w:val="22"/>
              </w:rPr>
              <w:t>26</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17</w:t>
            </w:r>
          </w:p>
        </w:tc>
        <w:tc>
          <w:tcPr>
            <w:tcW w:w="1175" w:type="dxa"/>
            <w:vAlign w:val="bottom"/>
          </w:tcPr>
          <w:p w:rsidR="00000000" w:rsidRDefault="00000000">
            <w:pPr>
              <w:pStyle w:val="a2"/>
              <w:ind w:right="340"/>
              <w:jc w:val="right"/>
              <w:rPr>
                <w:sz w:val="22"/>
                <w:szCs w:val="22"/>
              </w:rPr>
            </w:pPr>
            <w:r>
              <w:rPr>
                <w:sz w:val="22"/>
                <w:szCs w:val="22"/>
              </w:rPr>
              <w:t>8</w:t>
            </w:r>
          </w:p>
        </w:tc>
        <w:tc>
          <w:tcPr>
            <w:tcW w:w="1863" w:type="dxa"/>
            <w:vAlign w:val="bottom"/>
          </w:tcPr>
          <w:p w:rsidR="00000000" w:rsidRDefault="00000000">
            <w:pPr>
              <w:pStyle w:val="a2"/>
              <w:ind w:right="567"/>
              <w:jc w:val="right"/>
              <w:rPr>
                <w:sz w:val="22"/>
                <w:szCs w:val="22"/>
              </w:rPr>
            </w:pPr>
            <w:r>
              <w:rPr>
                <w:sz w:val="22"/>
                <w:szCs w:val="22"/>
              </w:rPr>
              <w:t>2</w:t>
            </w: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布基纳法索</w:t>
            </w:r>
          </w:p>
        </w:tc>
        <w:tc>
          <w:tcPr>
            <w:tcW w:w="1230" w:type="dxa"/>
            <w:vAlign w:val="bottom"/>
          </w:tcPr>
          <w:p w:rsidR="00000000" w:rsidRDefault="00000000">
            <w:pPr>
              <w:pStyle w:val="a2"/>
              <w:ind w:right="397"/>
              <w:jc w:val="right"/>
              <w:rPr>
                <w:sz w:val="22"/>
                <w:szCs w:val="22"/>
              </w:rPr>
            </w:pPr>
            <w:r>
              <w:rPr>
                <w:sz w:val="22"/>
                <w:szCs w:val="22"/>
              </w:rPr>
              <w:t>18</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13</w:t>
            </w:r>
          </w:p>
        </w:tc>
        <w:tc>
          <w:tcPr>
            <w:tcW w:w="1175" w:type="dxa"/>
            <w:vAlign w:val="bottom"/>
          </w:tcPr>
          <w:p w:rsidR="00000000" w:rsidRDefault="00000000">
            <w:pPr>
              <w:pStyle w:val="a2"/>
              <w:ind w:right="340"/>
              <w:jc w:val="right"/>
              <w:rPr>
                <w:sz w:val="22"/>
                <w:szCs w:val="22"/>
              </w:rPr>
            </w:pPr>
            <w:r>
              <w:rPr>
                <w:sz w:val="22"/>
                <w:szCs w:val="22"/>
              </w:rPr>
              <w:t>5</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4</w:t>
            </w:r>
          </w:p>
        </w:tc>
      </w:tr>
      <w:tr w:rsidR="00000000">
        <w:tc>
          <w:tcPr>
            <w:tcW w:w="1998" w:type="dxa"/>
            <w:vAlign w:val="bottom"/>
          </w:tcPr>
          <w:p w:rsidR="00000000" w:rsidRDefault="00000000">
            <w:pPr>
              <w:pStyle w:val="a2"/>
              <w:ind w:left="57"/>
              <w:jc w:val="left"/>
              <w:rPr>
                <w:sz w:val="20"/>
              </w:rPr>
            </w:pPr>
            <w:r>
              <w:rPr>
                <w:sz w:val="20"/>
              </w:rPr>
              <w:t>布隆迪</w:t>
            </w:r>
          </w:p>
        </w:tc>
        <w:tc>
          <w:tcPr>
            <w:tcW w:w="1230" w:type="dxa"/>
            <w:vAlign w:val="bottom"/>
          </w:tcPr>
          <w:p w:rsidR="00000000" w:rsidRDefault="00000000">
            <w:pPr>
              <w:pStyle w:val="a2"/>
              <w:ind w:right="397"/>
              <w:jc w:val="right"/>
              <w:rPr>
                <w:sz w:val="22"/>
                <w:szCs w:val="22"/>
              </w:rPr>
            </w:pPr>
            <w:r>
              <w:rPr>
                <w:sz w:val="22"/>
                <w:szCs w:val="22"/>
              </w:rPr>
              <w:t>14</w:t>
            </w:r>
          </w:p>
        </w:tc>
        <w:tc>
          <w:tcPr>
            <w:tcW w:w="1040" w:type="dxa"/>
            <w:vAlign w:val="bottom"/>
          </w:tcPr>
          <w:p w:rsidR="00000000" w:rsidRDefault="00000000">
            <w:pPr>
              <w:pStyle w:val="a2"/>
              <w:ind w:right="284"/>
              <w:jc w:val="right"/>
            </w:pPr>
            <w:r>
              <w:t>1</w:t>
            </w:r>
            <w:r>
              <w:rPr>
                <w:rStyle w:val="StyleFootnoteReference11pt"/>
              </w:rPr>
              <w:footnoteReference w:id="29"/>
            </w:r>
          </w:p>
        </w:tc>
        <w:tc>
          <w:tcPr>
            <w:tcW w:w="1230" w:type="dxa"/>
            <w:vAlign w:val="bottom"/>
          </w:tcPr>
          <w:p w:rsidR="00000000" w:rsidRDefault="00000000">
            <w:pPr>
              <w:pStyle w:val="a2"/>
              <w:ind w:right="397"/>
              <w:jc w:val="right"/>
              <w:rPr>
                <w:sz w:val="22"/>
                <w:szCs w:val="22"/>
              </w:rPr>
            </w:pPr>
            <w:r>
              <w:rPr>
                <w:sz w:val="22"/>
                <w:szCs w:val="22"/>
              </w:rPr>
              <w:t>16</w:t>
            </w:r>
          </w:p>
        </w:tc>
        <w:tc>
          <w:tcPr>
            <w:tcW w:w="1175" w:type="dxa"/>
            <w:vAlign w:val="bottom"/>
          </w:tcPr>
          <w:p w:rsidR="00000000" w:rsidRDefault="00000000">
            <w:pPr>
              <w:pStyle w:val="a2"/>
              <w:ind w:right="340"/>
              <w:jc w:val="right"/>
              <w:rPr>
                <w:sz w:val="22"/>
                <w:szCs w:val="22"/>
              </w:rPr>
            </w:pPr>
            <w:r>
              <w:rPr>
                <w:sz w:val="22"/>
                <w:szCs w:val="22"/>
              </w:rPr>
              <w:t>8</w:t>
            </w:r>
          </w:p>
        </w:tc>
        <w:tc>
          <w:tcPr>
            <w:tcW w:w="1863" w:type="dxa"/>
            <w:vAlign w:val="bottom"/>
          </w:tcPr>
          <w:p w:rsidR="00000000" w:rsidRDefault="00000000">
            <w:pPr>
              <w:pStyle w:val="a2"/>
              <w:ind w:right="567"/>
              <w:jc w:val="right"/>
              <w:rPr>
                <w:sz w:val="22"/>
                <w:szCs w:val="22"/>
              </w:rPr>
            </w:pPr>
            <w:r>
              <w:rPr>
                <w:sz w:val="22"/>
                <w:szCs w:val="22"/>
              </w:rPr>
              <w:t>1</w:t>
            </w: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柬埔寨</w:t>
            </w:r>
          </w:p>
        </w:tc>
        <w:tc>
          <w:tcPr>
            <w:tcW w:w="1230" w:type="dxa"/>
            <w:vAlign w:val="bottom"/>
          </w:tcPr>
          <w:p w:rsidR="00000000" w:rsidRDefault="00000000">
            <w:pPr>
              <w:pStyle w:val="a2"/>
              <w:ind w:right="397"/>
              <w:jc w:val="right"/>
              <w:rPr>
                <w:sz w:val="22"/>
                <w:szCs w:val="22"/>
              </w:rPr>
            </w:pPr>
            <w:r>
              <w:rPr>
                <w:sz w:val="22"/>
                <w:szCs w:val="22"/>
              </w:rPr>
              <w:t>13</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14</w:t>
            </w:r>
          </w:p>
        </w:tc>
        <w:tc>
          <w:tcPr>
            <w:tcW w:w="1175" w:type="dxa"/>
            <w:vAlign w:val="bottom"/>
          </w:tcPr>
          <w:p w:rsidR="00000000" w:rsidRDefault="00000000">
            <w:pPr>
              <w:pStyle w:val="a2"/>
              <w:ind w:right="340"/>
              <w:jc w:val="right"/>
              <w:rPr>
                <w:sz w:val="22"/>
                <w:szCs w:val="22"/>
              </w:rPr>
            </w:pPr>
            <w:r>
              <w:rPr>
                <w:sz w:val="22"/>
                <w:szCs w:val="22"/>
              </w:rPr>
              <w:t>6</w:t>
            </w:r>
          </w:p>
        </w:tc>
        <w:tc>
          <w:tcPr>
            <w:tcW w:w="1863" w:type="dxa"/>
            <w:vAlign w:val="bottom"/>
          </w:tcPr>
          <w:p w:rsidR="00000000" w:rsidRDefault="00000000">
            <w:pPr>
              <w:pStyle w:val="a2"/>
              <w:ind w:right="567"/>
              <w:jc w:val="right"/>
              <w:rPr>
                <w:sz w:val="22"/>
                <w:szCs w:val="22"/>
              </w:rPr>
            </w:pPr>
            <w:r>
              <w:rPr>
                <w:sz w:val="22"/>
                <w:szCs w:val="22"/>
              </w:rPr>
              <w:t>1</w:t>
            </w: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喀麦隆</w:t>
            </w:r>
          </w:p>
        </w:tc>
        <w:tc>
          <w:tcPr>
            <w:tcW w:w="1230" w:type="dxa"/>
            <w:vAlign w:val="bottom"/>
          </w:tcPr>
          <w:p w:rsidR="00000000" w:rsidRDefault="00000000">
            <w:pPr>
              <w:pStyle w:val="a2"/>
              <w:ind w:right="397"/>
              <w:jc w:val="right"/>
              <w:rPr>
                <w:sz w:val="22"/>
                <w:szCs w:val="22"/>
              </w:rPr>
            </w:pPr>
            <w:r>
              <w:rPr>
                <w:sz w:val="22"/>
                <w:szCs w:val="22"/>
              </w:rPr>
              <w:t>22</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11</w:t>
            </w:r>
          </w:p>
        </w:tc>
        <w:tc>
          <w:tcPr>
            <w:tcW w:w="1175" w:type="dxa"/>
            <w:vAlign w:val="bottom"/>
          </w:tcPr>
          <w:p w:rsidR="00000000" w:rsidRDefault="00000000">
            <w:pPr>
              <w:pStyle w:val="a2"/>
              <w:ind w:right="340"/>
              <w:jc w:val="right"/>
              <w:rPr>
                <w:sz w:val="22"/>
                <w:szCs w:val="22"/>
              </w:rPr>
            </w:pPr>
            <w:r>
              <w:rPr>
                <w:sz w:val="22"/>
                <w:szCs w:val="22"/>
              </w:rPr>
              <w:t>4</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加拿大</w:t>
            </w:r>
          </w:p>
        </w:tc>
        <w:tc>
          <w:tcPr>
            <w:tcW w:w="1230" w:type="dxa"/>
            <w:vAlign w:val="bottom"/>
          </w:tcPr>
          <w:p w:rsidR="00000000" w:rsidRDefault="00000000">
            <w:pPr>
              <w:pStyle w:val="a2"/>
              <w:ind w:right="397"/>
              <w:jc w:val="right"/>
              <w:rPr>
                <w:sz w:val="22"/>
                <w:szCs w:val="22"/>
              </w:rPr>
            </w:pPr>
            <w:r>
              <w:rPr>
                <w:sz w:val="22"/>
                <w:szCs w:val="22"/>
              </w:rPr>
              <w:t>41</w:t>
            </w:r>
          </w:p>
        </w:tc>
        <w:tc>
          <w:tcPr>
            <w:tcW w:w="1040" w:type="dxa"/>
            <w:vAlign w:val="bottom"/>
          </w:tcPr>
          <w:p w:rsidR="00000000" w:rsidRDefault="00000000">
            <w:pPr>
              <w:pStyle w:val="a2"/>
              <w:ind w:right="284"/>
              <w:jc w:val="right"/>
            </w:pPr>
            <w:r>
              <w:t>7</w:t>
            </w:r>
            <w:r>
              <w:rPr>
                <w:rStyle w:val="StyleFootnoteReference11pt"/>
              </w:rPr>
              <w:footnoteReference w:id="30"/>
            </w:r>
          </w:p>
        </w:tc>
        <w:tc>
          <w:tcPr>
            <w:tcW w:w="1230" w:type="dxa"/>
            <w:vAlign w:val="bottom"/>
          </w:tcPr>
          <w:p w:rsidR="00000000" w:rsidRDefault="00000000">
            <w:pPr>
              <w:pStyle w:val="a2"/>
              <w:ind w:right="397"/>
              <w:jc w:val="right"/>
              <w:rPr>
                <w:sz w:val="22"/>
                <w:szCs w:val="22"/>
              </w:rPr>
            </w:pPr>
            <w:r>
              <w:rPr>
                <w:sz w:val="22"/>
                <w:szCs w:val="22"/>
              </w:rPr>
              <w:t>1</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佛得角</w:t>
            </w:r>
          </w:p>
        </w:tc>
        <w:tc>
          <w:tcPr>
            <w:tcW w:w="1230" w:type="dxa"/>
            <w:vAlign w:val="bottom"/>
          </w:tcPr>
          <w:p w:rsidR="00000000" w:rsidRDefault="00000000">
            <w:pPr>
              <w:pStyle w:val="a2"/>
              <w:ind w:right="397"/>
              <w:jc w:val="right"/>
              <w:rPr>
                <w:sz w:val="22"/>
                <w:szCs w:val="22"/>
              </w:rPr>
            </w:pPr>
            <w:r>
              <w:rPr>
                <w:sz w:val="22"/>
                <w:szCs w:val="22"/>
              </w:rPr>
              <w:t>19</w:t>
            </w:r>
          </w:p>
        </w:tc>
        <w:tc>
          <w:tcPr>
            <w:tcW w:w="1040" w:type="dxa"/>
            <w:vAlign w:val="bottom"/>
          </w:tcPr>
          <w:p w:rsidR="00000000" w:rsidRDefault="00000000">
            <w:pPr>
              <w:pStyle w:val="a2"/>
              <w:ind w:right="284"/>
              <w:jc w:val="right"/>
            </w:pPr>
            <w:r>
              <w:t>6</w:t>
            </w:r>
            <w:r>
              <w:rPr>
                <w:rStyle w:val="StyleFootnoteReference11pt"/>
              </w:rPr>
              <w:footnoteReference w:id="31"/>
            </w:r>
          </w:p>
        </w:tc>
        <w:tc>
          <w:tcPr>
            <w:tcW w:w="1230" w:type="dxa"/>
            <w:vAlign w:val="bottom"/>
          </w:tcPr>
          <w:p w:rsidR="00000000" w:rsidRDefault="00000000">
            <w:pPr>
              <w:pStyle w:val="a2"/>
              <w:ind w:right="397"/>
              <w:jc w:val="right"/>
              <w:rPr>
                <w:sz w:val="22"/>
                <w:szCs w:val="22"/>
              </w:rPr>
            </w:pPr>
            <w:r>
              <w:rPr>
                <w:sz w:val="22"/>
                <w:szCs w:val="22"/>
              </w:rPr>
              <w:t>15</w:t>
            </w:r>
          </w:p>
        </w:tc>
        <w:tc>
          <w:tcPr>
            <w:tcW w:w="1175" w:type="dxa"/>
            <w:vAlign w:val="bottom"/>
          </w:tcPr>
          <w:p w:rsidR="00000000" w:rsidRDefault="00000000">
            <w:pPr>
              <w:pStyle w:val="a2"/>
              <w:ind w:right="340"/>
              <w:jc w:val="right"/>
              <w:rPr>
                <w:sz w:val="22"/>
                <w:szCs w:val="22"/>
              </w:rPr>
            </w:pPr>
            <w:r>
              <w:rPr>
                <w:sz w:val="22"/>
                <w:szCs w:val="22"/>
              </w:rPr>
              <w:t>7</w:t>
            </w:r>
          </w:p>
        </w:tc>
        <w:tc>
          <w:tcPr>
            <w:tcW w:w="1863" w:type="dxa"/>
            <w:vAlign w:val="bottom"/>
          </w:tcPr>
          <w:p w:rsidR="00000000" w:rsidRDefault="00000000">
            <w:pPr>
              <w:pStyle w:val="a2"/>
              <w:ind w:right="567"/>
              <w:jc w:val="right"/>
              <w:rPr>
                <w:sz w:val="22"/>
                <w:szCs w:val="22"/>
              </w:rPr>
            </w:pPr>
            <w:r>
              <w:rPr>
                <w:sz w:val="22"/>
                <w:szCs w:val="22"/>
              </w:rPr>
              <w:t>3</w:t>
            </w:r>
          </w:p>
        </w:tc>
        <w:tc>
          <w:tcPr>
            <w:tcW w:w="1034" w:type="dxa"/>
            <w:vAlign w:val="bottom"/>
          </w:tcPr>
          <w:p w:rsidR="00000000" w:rsidRDefault="00000000">
            <w:pPr>
              <w:pStyle w:val="a2"/>
              <w:ind w:right="340"/>
              <w:jc w:val="right"/>
              <w:rPr>
                <w:sz w:val="22"/>
                <w:szCs w:val="22"/>
              </w:rPr>
            </w:pPr>
            <w:r>
              <w:rPr>
                <w:sz w:val="22"/>
                <w:szCs w:val="22"/>
              </w:rPr>
              <w:t>6</w:t>
            </w:r>
          </w:p>
        </w:tc>
      </w:tr>
      <w:tr w:rsidR="00000000">
        <w:tc>
          <w:tcPr>
            <w:tcW w:w="1998" w:type="dxa"/>
            <w:vAlign w:val="bottom"/>
          </w:tcPr>
          <w:p w:rsidR="00000000" w:rsidRDefault="00000000">
            <w:pPr>
              <w:pStyle w:val="a2"/>
              <w:ind w:left="57"/>
              <w:jc w:val="left"/>
              <w:rPr>
                <w:sz w:val="20"/>
              </w:rPr>
            </w:pPr>
            <w:r>
              <w:rPr>
                <w:sz w:val="20"/>
              </w:rPr>
              <w:t>中非共和国</w:t>
            </w:r>
          </w:p>
        </w:tc>
        <w:tc>
          <w:tcPr>
            <w:tcW w:w="1230" w:type="dxa"/>
            <w:vAlign w:val="bottom"/>
          </w:tcPr>
          <w:p w:rsidR="00000000" w:rsidRDefault="00000000">
            <w:pPr>
              <w:pStyle w:val="a2"/>
              <w:ind w:right="397"/>
              <w:jc w:val="right"/>
              <w:rPr>
                <w:sz w:val="22"/>
                <w:szCs w:val="22"/>
              </w:rPr>
            </w:pPr>
            <w:r>
              <w:rPr>
                <w:sz w:val="22"/>
                <w:szCs w:val="22"/>
              </w:rPr>
              <w:t>9</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24</w:t>
            </w:r>
          </w:p>
        </w:tc>
        <w:tc>
          <w:tcPr>
            <w:tcW w:w="1175" w:type="dxa"/>
            <w:vAlign w:val="bottom"/>
          </w:tcPr>
          <w:p w:rsidR="00000000" w:rsidRDefault="00000000">
            <w:pPr>
              <w:pStyle w:val="a2"/>
              <w:ind w:right="340"/>
              <w:jc w:val="right"/>
              <w:rPr>
                <w:sz w:val="22"/>
                <w:szCs w:val="22"/>
              </w:rPr>
            </w:pPr>
            <w:r>
              <w:rPr>
                <w:sz w:val="22"/>
                <w:szCs w:val="22"/>
              </w:rPr>
              <w:t>18</w:t>
            </w:r>
          </w:p>
        </w:tc>
        <w:tc>
          <w:tcPr>
            <w:tcW w:w="1863" w:type="dxa"/>
            <w:vAlign w:val="bottom"/>
          </w:tcPr>
          <w:p w:rsidR="00000000" w:rsidRDefault="00000000">
            <w:pPr>
              <w:pStyle w:val="a2"/>
              <w:ind w:right="567"/>
              <w:jc w:val="right"/>
              <w:rPr>
                <w:sz w:val="22"/>
                <w:szCs w:val="22"/>
              </w:rPr>
            </w:pPr>
            <w:r>
              <w:rPr>
                <w:sz w:val="22"/>
                <w:szCs w:val="22"/>
              </w:rPr>
              <w:t>10</w:t>
            </w: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乍得</w:t>
            </w:r>
          </w:p>
        </w:tc>
        <w:tc>
          <w:tcPr>
            <w:tcW w:w="1230" w:type="dxa"/>
            <w:vAlign w:val="bottom"/>
          </w:tcPr>
          <w:p w:rsidR="00000000" w:rsidRDefault="00000000">
            <w:pPr>
              <w:pStyle w:val="a2"/>
              <w:ind w:right="397"/>
              <w:jc w:val="right"/>
              <w:rPr>
                <w:sz w:val="22"/>
                <w:szCs w:val="22"/>
              </w:rPr>
            </w:pPr>
            <w:r>
              <w:rPr>
                <w:sz w:val="22"/>
                <w:szCs w:val="22"/>
              </w:rPr>
              <w:t>10</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19</w:t>
            </w:r>
          </w:p>
        </w:tc>
        <w:tc>
          <w:tcPr>
            <w:tcW w:w="1175" w:type="dxa"/>
            <w:vAlign w:val="bottom"/>
          </w:tcPr>
          <w:p w:rsidR="00000000" w:rsidRDefault="00000000">
            <w:pPr>
              <w:pStyle w:val="a2"/>
              <w:ind w:right="340"/>
              <w:jc w:val="right"/>
              <w:rPr>
                <w:sz w:val="22"/>
                <w:szCs w:val="22"/>
              </w:rPr>
            </w:pPr>
            <w:r>
              <w:rPr>
                <w:sz w:val="22"/>
                <w:szCs w:val="22"/>
              </w:rPr>
              <w:t>10</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6</w:t>
            </w:r>
          </w:p>
        </w:tc>
      </w:tr>
      <w:tr w:rsidR="00000000">
        <w:tc>
          <w:tcPr>
            <w:tcW w:w="1998" w:type="dxa"/>
            <w:vAlign w:val="bottom"/>
          </w:tcPr>
          <w:p w:rsidR="00000000" w:rsidRDefault="00000000">
            <w:pPr>
              <w:pStyle w:val="a2"/>
              <w:ind w:left="57"/>
              <w:jc w:val="left"/>
              <w:rPr>
                <w:sz w:val="20"/>
              </w:rPr>
            </w:pPr>
            <w:r>
              <w:rPr>
                <w:sz w:val="20"/>
              </w:rPr>
              <w:t>智利</w:t>
            </w:r>
          </w:p>
        </w:tc>
        <w:tc>
          <w:tcPr>
            <w:tcW w:w="1230" w:type="dxa"/>
            <w:vAlign w:val="bottom"/>
          </w:tcPr>
          <w:p w:rsidR="00000000" w:rsidRDefault="00000000">
            <w:pPr>
              <w:pStyle w:val="a2"/>
              <w:ind w:right="397"/>
              <w:jc w:val="right"/>
              <w:rPr>
                <w:sz w:val="22"/>
                <w:szCs w:val="22"/>
              </w:rPr>
            </w:pPr>
            <w:r>
              <w:rPr>
                <w:sz w:val="22"/>
                <w:szCs w:val="22"/>
              </w:rPr>
              <w:t>32</w:t>
            </w:r>
          </w:p>
        </w:tc>
        <w:tc>
          <w:tcPr>
            <w:tcW w:w="1040" w:type="dxa"/>
            <w:vAlign w:val="bottom"/>
          </w:tcPr>
          <w:p w:rsidR="00000000" w:rsidRDefault="00000000">
            <w:pPr>
              <w:pStyle w:val="a2"/>
              <w:ind w:right="284"/>
              <w:jc w:val="right"/>
            </w:pPr>
            <w:r>
              <w:t>2</w:t>
            </w:r>
            <w:r>
              <w:rPr>
                <w:rStyle w:val="StyleFootnoteReference11pt"/>
              </w:rPr>
              <w:footnoteReference w:id="32"/>
            </w:r>
          </w:p>
        </w:tc>
        <w:tc>
          <w:tcPr>
            <w:tcW w:w="1230" w:type="dxa"/>
            <w:vAlign w:val="bottom"/>
          </w:tcPr>
          <w:p w:rsidR="00000000" w:rsidRDefault="00000000">
            <w:pPr>
              <w:pStyle w:val="a2"/>
              <w:ind w:right="397"/>
              <w:jc w:val="right"/>
              <w:rPr>
                <w:sz w:val="22"/>
                <w:szCs w:val="22"/>
              </w:rPr>
            </w:pPr>
            <w:r>
              <w:rPr>
                <w:sz w:val="22"/>
                <w:szCs w:val="22"/>
              </w:rPr>
              <w:t>7</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中国</w:t>
            </w:r>
          </w:p>
        </w:tc>
        <w:tc>
          <w:tcPr>
            <w:tcW w:w="1230" w:type="dxa"/>
            <w:vAlign w:val="bottom"/>
          </w:tcPr>
          <w:p w:rsidR="00000000" w:rsidRDefault="00000000">
            <w:pPr>
              <w:pStyle w:val="a2"/>
              <w:ind w:right="397"/>
              <w:jc w:val="right"/>
              <w:rPr>
                <w:sz w:val="22"/>
                <w:szCs w:val="22"/>
              </w:rPr>
            </w:pPr>
            <w:r>
              <w:rPr>
                <w:sz w:val="22"/>
                <w:szCs w:val="22"/>
              </w:rPr>
              <w:t>22</w:t>
            </w:r>
          </w:p>
        </w:tc>
        <w:tc>
          <w:tcPr>
            <w:tcW w:w="1040" w:type="dxa"/>
            <w:vAlign w:val="bottom"/>
          </w:tcPr>
          <w:p w:rsidR="00000000" w:rsidRDefault="00000000">
            <w:pPr>
              <w:pStyle w:val="a2"/>
              <w:ind w:right="284"/>
              <w:jc w:val="right"/>
            </w:pPr>
            <w:r>
              <w:t>2</w:t>
            </w:r>
            <w:r>
              <w:rPr>
                <w:rStyle w:val="StyleFootnoteReference11pt"/>
              </w:rPr>
              <w:footnoteReference w:id="33"/>
            </w:r>
          </w:p>
        </w:tc>
        <w:tc>
          <w:tcPr>
            <w:tcW w:w="1230" w:type="dxa"/>
            <w:vAlign w:val="bottom"/>
          </w:tcPr>
          <w:p w:rsidR="00000000" w:rsidRDefault="00000000">
            <w:pPr>
              <w:pStyle w:val="a2"/>
              <w:ind w:right="397"/>
              <w:jc w:val="right"/>
              <w:rPr>
                <w:sz w:val="22"/>
                <w:szCs w:val="22"/>
              </w:rPr>
            </w:pPr>
            <w:r>
              <w:rPr>
                <w:sz w:val="22"/>
                <w:szCs w:val="22"/>
              </w:rPr>
              <w:t>5</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哥伦比亚</w:t>
            </w:r>
          </w:p>
        </w:tc>
        <w:tc>
          <w:tcPr>
            <w:tcW w:w="1230" w:type="dxa"/>
            <w:vAlign w:val="bottom"/>
          </w:tcPr>
          <w:p w:rsidR="00000000" w:rsidRDefault="00000000">
            <w:pPr>
              <w:pStyle w:val="a2"/>
              <w:ind w:right="397"/>
              <w:jc w:val="right"/>
              <w:rPr>
                <w:sz w:val="22"/>
                <w:szCs w:val="22"/>
              </w:rPr>
            </w:pPr>
            <w:r>
              <w:rPr>
                <w:sz w:val="22"/>
                <w:szCs w:val="22"/>
              </w:rPr>
              <w:t>30</w:t>
            </w:r>
          </w:p>
        </w:tc>
        <w:tc>
          <w:tcPr>
            <w:tcW w:w="1040" w:type="dxa"/>
            <w:vAlign w:val="bottom"/>
          </w:tcPr>
          <w:p w:rsidR="00000000" w:rsidRDefault="00000000">
            <w:pPr>
              <w:pStyle w:val="a2"/>
              <w:ind w:right="284"/>
              <w:jc w:val="right"/>
            </w:pPr>
            <w:r>
              <w:t>3</w:t>
            </w:r>
            <w:r>
              <w:rPr>
                <w:rStyle w:val="StyleFootnoteReference11pt"/>
              </w:rPr>
              <w:footnoteReference w:id="34"/>
            </w:r>
          </w:p>
        </w:tc>
        <w:tc>
          <w:tcPr>
            <w:tcW w:w="1230" w:type="dxa"/>
            <w:vAlign w:val="bottom"/>
          </w:tcPr>
          <w:p w:rsidR="00000000" w:rsidRDefault="00000000">
            <w:pPr>
              <w:pStyle w:val="a2"/>
              <w:ind w:right="397"/>
              <w:jc w:val="right"/>
              <w:rPr>
                <w:sz w:val="22"/>
                <w:szCs w:val="22"/>
              </w:rPr>
            </w:pPr>
            <w:r>
              <w:rPr>
                <w:sz w:val="22"/>
                <w:szCs w:val="22"/>
              </w:rPr>
              <w:t>7</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科摩罗</w:t>
            </w:r>
          </w:p>
        </w:tc>
        <w:tc>
          <w:tcPr>
            <w:tcW w:w="1230" w:type="dxa"/>
            <w:vAlign w:val="bottom"/>
          </w:tcPr>
          <w:p w:rsidR="00000000" w:rsidRDefault="00000000">
            <w:pPr>
              <w:pStyle w:val="a2"/>
              <w:ind w:right="397"/>
              <w:jc w:val="right"/>
              <w:rPr>
                <w:sz w:val="22"/>
                <w:szCs w:val="22"/>
              </w:rPr>
            </w:pPr>
            <w:r>
              <w:rPr>
                <w:sz w:val="22"/>
                <w:szCs w:val="22"/>
              </w:rPr>
              <w:t>1</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5</w:t>
            </w:r>
          </w:p>
        </w:tc>
        <w:tc>
          <w:tcPr>
            <w:tcW w:w="1175" w:type="dxa"/>
            <w:vAlign w:val="bottom"/>
          </w:tcPr>
          <w:p w:rsidR="00000000" w:rsidRDefault="00000000">
            <w:pPr>
              <w:pStyle w:val="a2"/>
              <w:ind w:right="340"/>
              <w:jc w:val="right"/>
              <w:rPr>
                <w:sz w:val="22"/>
                <w:szCs w:val="22"/>
              </w:rPr>
            </w:pPr>
            <w:r>
              <w:rPr>
                <w:sz w:val="22"/>
                <w:szCs w:val="22"/>
              </w:rPr>
              <w:t>3</w:t>
            </w:r>
          </w:p>
        </w:tc>
        <w:tc>
          <w:tcPr>
            <w:tcW w:w="1863" w:type="dxa"/>
            <w:vAlign w:val="bottom"/>
          </w:tcPr>
          <w:p w:rsidR="00000000" w:rsidRDefault="00000000">
            <w:pPr>
              <w:pStyle w:val="a2"/>
              <w:ind w:right="567"/>
              <w:jc w:val="right"/>
              <w:rPr>
                <w:sz w:val="22"/>
                <w:szCs w:val="22"/>
              </w:rPr>
            </w:pPr>
            <w:r>
              <w:rPr>
                <w:sz w:val="22"/>
                <w:szCs w:val="22"/>
              </w:rPr>
              <w:t>1</w:t>
            </w: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rFonts w:hint="eastAsia"/>
                <w:sz w:val="20"/>
              </w:rPr>
            </w:pPr>
            <w:r>
              <w:rPr>
                <w:sz w:val="20"/>
              </w:rPr>
              <w:t>刚果</w:t>
            </w:r>
            <w:r>
              <w:rPr>
                <w:sz w:val="20"/>
              </w:rPr>
              <w:t>(</w:t>
            </w:r>
            <w:r>
              <w:rPr>
                <w:rFonts w:hint="eastAsia"/>
                <w:sz w:val="20"/>
              </w:rPr>
              <w:t>共和国</w:t>
            </w:r>
            <w:r>
              <w:rPr>
                <w:rFonts w:hint="eastAsia"/>
                <w:sz w:val="20"/>
              </w:rPr>
              <w:t>)</w:t>
            </w:r>
          </w:p>
        </w:tc>
        <w:tc>
          <w:tcPr>
            <w:tcW w:w="1230" w:type="dxa"/>
            <w:vAlign w:val="bottom"/>
          </w:tcPr>
          <w:p w:rsidR="00000000" w:rsidRDefault="00000000">
            <w:pPr>
              <w:pStyle w:val="a2"/>
              <w:ind w:right="397"/>
              <w:jc w:val="right"/>
              <w:rPr>
                <w:sz w:val="22"/>
                <w:szCs w:val="22"/>
              </w:rPr>
            </w:pPr>
            <w:r>
              <w:rPr>
                <w:sz w:val="22"/>
                <w:szCs w:val="22"/>
              </w:rPr>
              <w:t>8</w:t>
            </w:r>
          </w:p>
        </w:tc>
        <w:tc>
          <w:tcPr>
            <w:tcW w:w="1040" w:type="dxa"/>
            <w:vAlign w:val="bottom"/>
          </w:tcPr>
          <w:p w:rsidR="00000000" w:rsidRDefault="00000000">
            <w:pPr>
              <w:pStyle w:val="a2"/>
              <w:ind w:right="284"/>
              <w:jc w:val="right"/>
            </w:pPr>
            <w:r>
              <w:t>1</w:t>
            </w:r>
            <w:r>
              <w:rPr>
                <w:rStyle w:val="StyleFootnoteReference11pt"/>
              </w:rPr>
              <w:footnoteReference w:id="35"/>
            </w:r>
          </w:p>
        </w:tc>
        <w:tc>
          <w:tcPr>
            <w:tcW w:w="1230" w:type="dxa"/>
            <w:vAlign w:val="bottom"/>
          </w:tcPr>
          <w:p w:rsidR="00000000" w:rsidRDefault="00000000">
            <w:pPr>
              <w:pStyle w:val="a2"/>
              <w:ind w:right="397"/>
              <w:jc w:val="right"/>
              <w:rPr>
                <w:sz w:val="22"/>
                <w:szCs w:val="22"/>
              </w:rPr>
            </w:pPr>
            <w:r>
              <w:rPr>
                <w:sz w:val="22"/>
                <w:szCs w:val="22"/>
              </w:rPr>
              <w:t>15</w:t>
            </w:r>
          </w:p>
        </w:tc>
        <w:tc>
          <w:tcPr>
            <w:tcW w:w="1175" w:type="dxa"/>
            <w:vAlign w:val="bottom"/>
          </w:tcPr>
          <w:p w:rsidR="00000000" w:rsidRDefault="00000000">
            <w:pPr>
              <w:pStyle w:val="a2"/>
              <w:ind w:right="340"/>
              <w:jc w:val="right"/>
              <w:rPr>
                <w:sz w:val="22"/>
                <w:szCs w:val="22"/>
              </w:rPr>
            </w:pPr>
            <w:r>
              <w:rPr>
                <w:sz w:val="22"/>
                <w:szCs w:val="22"/>
              </w:rPr>
              <w:t>9</w:t>
            </w:r>
          </w:p>
        </w:tc>
        <w:tc>
          <w:tcPr>
            <w:tcW w:w="1863" w:type="dxa"/>
            <w:vAlign w:val="bottom"/>
          </w:tcPr>
          <w:p w:rsidR="00000000" w:rsidRDefault="00000000">
            <w:pPr>
              <w:pStyle w:val="a2"/>
              <w:ind w:right="567"/>
              <w:jc w:val="right"/>
              <w:rPr>
                <w:sz w:val="22"/>
                <w:szCs w:val="22"/>
              </w:rPr>
            </w:pPr>
            <w:r>
              <w:rPr>
                <w:sz w:val="22"/>
                <w:szCs w:val="22"/>
              </w:rPr>
              <w:t>6</w:t>
            </w: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库克群岛</w:t>
            </w:r>
          </w:p>
        </w:tc>
        <w:tc>
          <w:tcPr>
            <w:tcW w:w="1230" w:type="dxa"/>
            <w:vAlign w:val="bottom"/>
          </w:tcPr>
          <w:p w:rsidR="00000000" w:rsidRDefault="00000000">
            <w:pPr>
              <w:pStyle w:val="a2"/>
              <w:ind w:right="397"/>
              <w:jc w:val="right"/>
              <w:rPr>
                <w:sz w:val="22"/>
                <w:szCs w:val="22"/>
              </w:rPr>
            </w:pPr>
            <w:r>
              <w:rPr>
                <w:sz w:val="22"/>
                <w:szCs w:val="22"/>
              </w:rPr>
              <w:t>0</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2</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哥斯达黎加</w:t>
            </w:r>
          </w:p>
        </w:tc>
        <w:tc>
          <w:tcPr>
            <w:tcW w:w="1230" w:type="dxa"/>
            <w:vAlign w:val="bottom"/>
          </w:tcPr>
          <w:p w:rsidR="00000000" w:rsidRDefault="00000000">
            <w:pPr>
              <w:pStyle w:val="a2"/>
              <w:ind w:right="397"/>
              <w:jc w:val="right"/>
              <w:rPr>
                <w:sz w:val="22"/>
                <w:szCs w:val="22"/>
              </w:rPr>
            </w:pPr>
            <w:r>
              <w:rPr>
                <w:sz w:val="22"/>
                <w:szCs w:val="22"/>
              </w:rPr>
              <w:t>31</w:t>
            </w:r>
          </w:p>
        </w:tc>
        <w:tc>
          <w:tcPr>
            <w:tcW w:w="1040" w:type="dxa"/>
            <w:vAlign w:val="bottom"/>
          </w:tcPr>
          <w:p w:rsidR="00000000" w:rsidRDefault="00000000">
            <w:pPr>
              <w:pStyle w:val="a2"/>
              <w:ind w:right="284"/>
              <w:jc w:val="right"/>
            </w:pPr>
            <w:r>
              <w:t>2</w:t>
            </w:r>
            <w:r>
              <w:rPr>
                <w:rStyle w:val="StyleFootnoteReference11pt"/>
              </w:rPr>
              <w:footnoteReference w:id="36"/>
            </w:r>
          </w:p>
        </w:tc>
        <w:tc>
          <w:tcPr>
            <w:tcW w:w="1230" w:type="dxa"/>
            <w:vAlign w:val="bottom"/>
          </w:tcPr>
          <w:p w:rsidR="00000000" w:rsidRDefault="00000000">
            <w:pPr>
              <w:pStyle w:val="a2"/>
              <w:ind w:right="397"/>
              <w:jc w:val="right"/>
              <w:rPr>
                <w:sz w:val="22"/>
                <w:szCs w:val="22"/>
              </w:rPr>
            </w:pPr>
            <w:r>
              <w:rPr>
                <w:sz w:val="22"/>
                <w:szCs w:val="22"/>
              </w:rPr>
              <w:t>9</w:t>
            </w:r>
          </w:p>
        </w:tc>
        <w:tc>
          <w:tcPr>
            <w:tcW w:w="1175" w:type="dxa"/>
            <w:vAlign w:val="bottom"/>
          </w:tcPr>
          <w:p w:rsidR="00000000" w:rsidRDefault="00000000">
            <w:pPr>
              <w:pStyle w:val="a2"/>
              <w:ind w:right="340"/>
              <w:jc w:val="right"/>
              <w:rPr>
                <w:sz w:val="22"/>
                <w:szCs w:val="22"/>
              </w:rPr>
            </w:pPr>
            <w:r>
              <w:rPr>
                <w:sz w:val="22"/>
                <w:szCs w:val="22"/>
              </w:rPr>
              <w:t>3</w:t>
            </w:r>
          </w:p>
        </w:tc>
        <w:tc>
          <w:tcPr>
            <w:tcW w:w="1863" w:type="dxa"/>
            <w:vAlign w:val="bottom"/>
          </w:tcPr>
          <w:p w:rsidR="00000000" w:rsidRDefault="00000000">
            <w:pPr>
              <w:pStyle w:val="a2"/>
              <w:ind w:right="567"/>
              <w:jc w:val="right"/>
              <w:rPr>
                <w:sz w:val="22"/>
                <w:szCs w:val="22"/>
              </w:rPr>
            </w:pPr>
            <w:r>
              <w:rPr>
                <w:sz w:val="22"/>
                <w:szCs w:val="22"/>
              </w:rPr>
              <w:t>1</w:t>
            </w: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科特迪瓦</w:t>
            </w:r>
          </w:p>
        </w:tc>
        <w:tc>
          <w:tcPr>
            <w:tcW w:w="1230" w:type="dxa"/>
            <w:vAlign w:val="bottom"/>
          </w:tcPr>
          <w:p w:rsidR="00000000" w:rsidRDefault="00000000">
            <w:pPr>
              <w:pStyle w:val="a2"/>
              <w:ind w:right="397"/>
              <w:jc w:val="right"/>
              <w:rPr>
                <w:sz w:val="22"/>
                <w:szCs w:val="22"/>
              </w:rPr>
            </w:pPr>
            <w:r>
              <w:rPr>
                <w:sz w:val="22"/>
                <w:szCs w:val="22"/>
              </w:rPr>
              <w:t>15</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17</w:t>
            </w:r>
          </w:p>
        </w:tc>
        <w:tc>
          <w:tcPr>
            <w:tcW w:w="1175" w:type="dxa"/>
            <w:vAlign w:val="bottom"/>
          </w:tcPr>
          <w:p w:rsidR="00000000" w:rsidRDefault="00000000">
            <w:pPr>
              <w:pStyle w:val="a2"/>
              <w:ind w:right="340"/>
              <w:jc w:val="right"/>
              <w:rPr>
                <w:sz w:val="22"/>
                <w:szCs w:val="22"/>
              </w:rPr>
            </w:pPr>
            <w:r>
              <w:rPr>
                <w:sz w:val="22"/>
                <w:szCs w:val="22"/>
              </w:rPr>
              <w:t>7</w:t>
            </w:r>
          </w:p>
        </w:tc>
        <w:tc>
          <w:tcPr>
            <w:tcW w:w="1863" w:type="dxa"/>
            <w:vAlign w:val="bottom"/>
          </w:tcPr>
          <w:p w:rsidR="00000000" w:rsidRDefault="00000000">
            <w:pPr>
              <w:pStyle w:val="a2"/>
              <w:ind w:right="567"/>
              <w:jc w:val="right"/>
              <w:rPr>
                <w:sz w:val="22"/>
                <w:szCs w:val="22"/>
              </w:rPr>
            </w:pPr>
            <w:r>
              <w:rPr>
                <w:sz w:val="22"/>
                <w:szCs w:val="22"/>
              </w:rPr>
              <w:t>2</w:t>
            </w:r>
          </w:p>
        </w:tc>
        <w:tc>
          <w:tcPr>
            <w:tcW w:w="1034" w:type="dxa"/>
            <w:vAlign w:val="bottom"/>
          </w:tcPr>
          <w:p w:rsidR="00000000" w:rsidRDefault="00000000">
            <w:pPr>
              <w:pStyle w:val="a2"/>
              <w:ind w:right="340"/>
              <w:jc w:val="right"/>
              <w:rPr>
                <w:sz w:val="22"/>
                <w:szCs w:val="22"/>
              </w:rPr>
            </w:pPr>
            <w:r>
              <w:rPr>
                <w:sz w:val="22"/>
                <w:szCs w:val="22"/>
              </w:rPr>
              <w:t>4</w:t>
            </w:r>
          </w:p>
        </w:tc>
      </w:tr>
      <w:tr w:rsidR="00000000">
        <w:tc>
          <w:tcPr>
            <w:tcW w:w="1998" w:type="dxa"/>
            <w:vAlign w:val="bottom"/>
          </w:tcPr>
          <w:p w:rsidR="00000000" w:rsidRDefault="00000000">
            <w:pPr>
              <w:pStyle w:val="a2"/>
              <w:ind w:left="57"/>
              <w:jc w:val="left"/>
              <w:rPr>
                <w:sz w:val="20"/>
              </w:rPr>
            </w:pPr>
            <w:r>
              <w:rPr>
                <w:sz w:val="20"/>
              </w:rPr>
              <w:t>克罗地亚</w:t>
            </w:r>
          </w:p>
        </w:tc>
        <w:tc>
          <w:tcPr>
            <w:tcW w:w="1230" w:type="dxa"/>
            <w:vAlign w:val="bottom"/>
          </w:tcPr>
          <w:p w:rsidR="00000000" w:rsidRDefault="00000000">
            <w:pPr>
              <w:pStyle w:val="a2"/>
              <w:ind w:right="397"/>
              <w:jc w:val="right"/>
              <w:rPr>
                <w:sz w:val="22"/>
                <w:szCs w:val="22"/>
              </w:rPr>
            </w:pPr>
            <w:r>
              <w:rPr>
                <w:sz w:val="22"/>
                <w:szCs w:val="22"/>
              </w:rPr>
              <w:t>15</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5</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古巴</w:t>
            </w:r>
          </w:p>
        </w:tc>
        <w:tc>
          <w:tcPr>
            <w:tcW w:w="1230" w:type="dxa"/>
            <w:vAlign w:val="bottom"/>
          </w:tcPr>
          <w:p w:rsidR="00000000" w:rsidRDefault="00000000">
            <w:pPr>
              <w:pStyle w:val="a2"/>
              <w:ind w:right="397"/>
              <w:jc w:val="right"/>
              <w:rPr>
                <w:sz w:val="22"/>
                <w:szCs w:val="22"/>
              </w:rPr>
            </w:pPr>
            <w:r>
              <w:rPr>
                <w:sz w:val="22"/>
                <w:szCs w:val="22"/>
              </w:rPr>
              <w:t>21</w:t>
            </w:r>
          </w:p>
        </w:tc>
        <w:tc>
          <w:tcPr>
            <w:tcW w:w="1040" w:type="dxa"/>
            <w:vAlign w:val="bottom"/>
          </w:tcPr>
          <w:p w:rsidR="00000000" w:rsidRDefault="00000000">
            <w:pPr>
              <w:pStyle w:val="a2"/>
              <w:ind w:right="284"/>
              <w:jc w:val="right"/>
            </w:pPr>
            <w:r>
              <w:t>2</w:t>
            </w:r>
            <w:r>
              <w:rPr>
                <w:rStyle w:val="StyleFootnoteReference11pt"/>
              </w:rPr>
              <w:footnoteReference w:id="37"/>
            </w:r>
          </w:p>
        </w:tc>
        <w:tc>
          <w:tcPr>
            <w:tcW w:w="1230" w:type="dxa"/>
            <w:vAlign w:val="bottom"/>
          </w:tcPr>
          <w:p w:rsidR="00000000" w:rsidRDefault="00000000">
            <w:pPr>
              <w:pStyle w:val="a2"/>
              <w:ind w:right="397"/>
              <w:jc w:val="right"/>
              <w:rPr>
                <w:sz w:val="22"/>
                <w:szCs w:val="22"/>
              </w:rPr>
            </w:pPr>
            <w:r>
              <w:rPr>
                <w:sz w:val="22"/>
                <w:szCs w:val="22"/>
              </w:rPr>
              <w:t>9</w:t>
            </w:r>
          </w:p>
        </w:tc>
        <w:tc>
          <w:tcPr>
            <w:tcW w:w="1175" w:type="dxa"/>
            <w:vAlign w:val="bottom"/>
          </w:tcPr>
          <w:p w:rsidR="00000000" w:rsidRDefault="00000000">
            <w:pPr>
              <w:pStyle w:val="a2"/>
              <w:ind w:right="340"/>
              <w:jc w:val="right"/>
              <w:rPr>
                <w:sz w:val="22"/>
                <w:szCs w:val="22"/>
              </w:rPr>
            </w:pPr>
            <w:r>
              <w:rPr>
                <w:sz w:val="22"/>
                <w:szCs w:val="22"/>
              </w:rPr>
              <w:t>3</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塞浦路斯</w:t>
            </w:r>
          </w:p>
        </w:tc>
        <w:tc>
          <w:tcPr>
            <w:tcW w:w="1230" w:type="dxa"/>
            <w:vAlign w:val="bottom"/>
          </w:tcPr>
          <w:p w:rsidR="00000000" w:rsidRDefault="00000000">
            <w:pPr>
              <w:pStyle w:val="a2"/>
              <w:ind w:right="397"/>
              <w:jc w:val="right"/>
              <w:rPr>
                <w:sz w:val="22"/>
                <w:szCs w:val="22"/>
              </w:rPr>
            </w:pPr>
            <w:r>
              <w:rPr>
                <w:sz w:val="22"/>
                <w:szCs w:val="22"/>
              </w:rPr>
              <w:t>32</w:t>
            </w:r>
          </w:p>
        </w:tc>
        <w:tc>
          <w:tcPr>
            <w:tcW w:w="1040" w:type="dxa"/>
            <w:vAlign w:val="bottom"/>
          </w:tcPr>
          <w:p w:rsidR="00000000" w:rsidRDefault="00000000">
            <w:pPr>
              <w:pStyle w:val="a2"/>
              <w:ind w:right="284"/>
              <w:jc w:val="right"/>
            </w:pPr>
            <w:r>
              <w:t>3</w:t>
            </w:r>
            <w:r>
              <w:rPr>
                <w:rStyle w:val="StyleFootnoteReference11pt"/>
              </w:rPr>
              <w:footnoteReference w:id="38"/>
            </w:r>
          </w:p>
        </w:tc>
        <w:tc>
          <w:tcPr>
            <w:tcW w:w="1230" w:type="dxa"/>
            <w:vAlign w:val="bottom"/>
          </w:tcPr>
          <w:p w:rsidR="00000000" w:rsidRDefault="00000000">
            <w:pPr>
              <w:pStyle w:val="a2"/>
              <w:ind w:right="397"/>
              <w:jc w:val="right"/>
              <w:rPr>
                <w:sz w:val="22"/>
                <w:szCs w:val="22"/>
              </w:rPr>
            </w:pPr>
            <w:r>
              <w:rPr>
                <w:sz w:val="22"/>
                <w:szCs w:val="22"/>
              </w:rPr>
              <w:t>6</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捷克共和国</w:t>
            </w:r>
          </w:p>
        </w:tc>
        <w:tc>
          <w:tcPr>
            <w:tcW w:w="1230" w:type="dxa"/>
            <w:vAlign w:val="bottom"/>
          </w:tcPr>
          <w:p w:rsidR="00000000" w:rsidRDefault="00000000">
            <w:pPr>
              <w:pStyle w:val="a2"/>
              <w:ind w:right="397"/>
              <w:jc w:val="right"/>
              <w:rPr>
                <w:sz w:val="22"/>
                <w:szCs w:val="22"/>
              </w:rPr>
            </w:pPr>
            <w:r>
              <w:rPr>
                <w:sz w:val="22"/>
                <w:szCs w:val="22"/>
              </w:rPr>
              <w:t>18</w:t>
            </w:r>
          </w:p>
        </w:tc>
        <w:tc>
          <w:tcPr>
            <w:tcW w:w="1040" w:type="dxa"/>
            <w:vAlign w:val="bottom"/>
          </w:tcPr>
          <w:p w:rsidR="00000000" w:rsidRDefault="00000000">
            <w:pPr>
              <w:pStyle w:val="a2"/>
              <w:ind w:right="284"/>
              <w:jc w:val="right"/>
            </w:pPr>
            <w:r>
              <w:t>4</w:t>
            </w:r>
            <w:r>
              <w:rPr>
                <w:rStyle w:val="StyleFootnoteReference11pt"/>
              </w:rPr>
              <w:footnoteReference w:id="39"/>
            </w:r>
          </w:p>
        </w:tc>
        <w:tc>
          <w:tcPr>
            <w:tcW w:w="1230" w:type="dxa"/>
            <w:vAlign w:val="bottom"/>
          </w:tcPr>
          <w:p w:rsidR="00000000" w:rsidRDefault="00000000">
            <w:pPr>
              <w:pStyle w:val="a2"/>
              <w:ind w:right="397"/>
              <w:jc w:val="right"/>
              <w:rPr>
                <w:sz w:val="22"/>
                <w:szCs w:val="22"/>
              </w:rPr>
            </w:pPr>
            <w:r>
              <w:rPr>
                <w:sz w:val="22"/>
                <w:szCs w:val="22"/>
              </w:rPr>
              <w:t>1</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rFonts w:hint="eastAsia"/>
                <w:sz w:val="20"/>
              </w:rPr>
            </w:pPr>
            <w:r>
              <w:rPr>
                <w:rFonts w:hint="eastAsia"/>
                <w:sz w:val="20"/>
              </w:rPr>
              <w:t>朝鲜民主主义人民共和国</w:t>
            </w:r>
          </w:p>
        </w:tc>
        <w:tc>
          <w:tcPr>
            <w:tcW w:w="1230" w:type="dxa"/>
            <w:vAlign w:val="bottom"/>
          </w:tcPr>
          <w:p w:rsidR="00000000" w:rsidRDefault="00000000">
            <w:pPr>
              <w:pStyle w:val="a2"/>
              <w:ind w:right="397"/>
              <w:jc w:val="right"/>
              <w:rPr>
                <w:sz w:val="22"/>
                <w:szCs w:val="22"/>
              </w:rPr>
            </w:pPr>
            <w:r>
              <w:rPr>
                <w:sz w:val="22"/>
                <w:szCs w:val="22"/>
              </w:rPr>
              <w:t>7</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rFonts w:hint="eastAsia"/>
                <w:sz w:val="20"/>
              </w:rPr>
            </w:pPr>
            <w:r>
              <w:rPr>
                <w:rFonts w:hint="eastAsia"/>
                <w:sz w:val="20"/>
              </w:rPr>
              <w:t>刚果民主共和国</w:t>
            </w:r>
          </w:p>
        </w:tc>
        <w:tc>
          <w:tcPr>
            <w:tcW w:w="1230" w:type="dxa"/>
            <w:vAlign w:val="bottom"/>
          </w:tcPr>
          <w:p w:rsidR="00000000" w:rsidRDefault="00000000">
            <w:pPr>
              <w:pStyle w:val="a2"/>
              <w:ind w:right="397"/>
              <w:jc w:val="right"/>
              <w:rPr>
                <w:sz w:val="22"/>
                <w:szCs w:val="22"/>
              </w:rPr>
            </w:pPr>
            <w:r>
              <w:rPr>
                <w:sz w:val="22"/>
                <w:szCs w:val="22"/>
              </w:rPr>
              <w:t>21</w:t>
            </w:r>
          </w:p>
        </w:tc>
        <w:tc>
          <w:tcPr>
            <w:tcW w:w="1040" w:type="dxa"/>
            <w:vAlign w:val="bottom"/>
          </w:tcPr>
          <w:p w:rsidR="00000000" w:rsidRDefault="00000000">
            <w:pPr>
              <w:pStyle w:val="a2"/>
              <w:ind w:right="284"/>
              <w:jc w:val="right"/>
            </w:pPr>
            <w:r>
              <w:t>3</w:t>
            </w:r>
            <w:r>
              <w:rPr>
                <w:rStyle w:val="StyleFootnoteReference11pt"/>
              </w:rPr>
              <w:footnoteReference w:id="40"/>
            </w:r>
          </w:p>
        </w:tc>
        <w:tc>
          <w:tcPr>
            <w:tcW w:w="1230" w:type="dxa"/>
            <w:vAlign w:val="bottom"/>
          </w:tcPr>
          <w:p w:rsidR="00000000" w:rsidRDefault="00000000">
            <w:pPr>
              <w:pStyle w:val="a2"/>
              <w:ind w:right="397"/>
              <w:jc w:val="right"/>
              <w:rPr>
                <w:sz w:val="22"/>
                <w:szCs w:val="22"/>
              </w:rPr>
            </w:pPr>
            <w:r>
              <w:rPr>
                <w:sz w:val="22"/>
                <w:szCs w:val="22"/>
              </w:rPr>
              <w:t>15</w:t>
            </w:r>
          </w:p>
        </w:tc>
        <w:tc>
          <w:tcPr>
            <w:tcW w:w="1175" w:type="dxa"/>
            <w:vAlign w:val="bottom"/>
          </w:tcPr>
          <w:p w:rsidR="00000000" w:rsidRDefault="00000000">
            <w:pPr>
              <w:pStyle w:val="a2"/>
              <w:ind w:right="340"/>
              <w:jc w:val="right"/>
              <w:rPr>
                <w:sz w:val="22"/>
                <w:szCs w:val="22"/>
              </w:rPr>
            </w:pPr>
            <w:r>
              <w:rPr>
                <w:sz w:val="22"/>
                <w:szCs w:val="22"/>
              </w:rPr>
              <w:t>6</w:t>
            </w:r>
          </w:p>
        </w:tc>
        <w:tc>
          <w:tcPr>
            <w:tcW w:w="1863" w:type="dxa"/>
            <w:vAlign w:val="bottom"/>
          </w:tcPr>
          <w:p w:rsidR="00000000" w:rsidRDefault="00000000">
            <w:pPr>
              <w:pStyle w:val="a2"/>
              <w:ind w:right="567"/>
              <w:jc w:val="right"/>
              <w:rPr>
                <w:sz w:val="22"/>
                <w:szCs w:val="22"/>
              </w:rPr>
            </w:pPr>
            <w:r>
              <w:rPr>
                <w:sz w:val="22"/>
                <w:szCs w:val="22"/>
              </w:rPr>
              <w:t>2</w:t>
            </w: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丹麦</w:t>
            </w:r>
          </w:p>
        </w:tc>
        <w:tc>
          <w:tcPr>
            <w:tcW w:w="1230" w:type="dxa"/>
            <w:vAlign w:val="bottom"/>
          </w:tcPr>
          <w:p w:rsidR="00000000" w:rsidRDefault="00000000">
            <w:pPr>
              <w:pStyle w:val="a2"/>
              <w:ind w:right="397"/>
              <w:jc w:val="right"/>
              <w:rPr>
                <w:sz w:val="22"/>
                <w:szCs w:val="22"/>
              </w:rPr>
            </w:pPr>
            <w:r>
              <w:rPr>
                <w:sz w:val="22"/>
                <w:szCs w:val="22"/>
              </w:rPr>
              <w:t>41</w:t>
            </w:r>
          </w:p>
        </w:tc>
        <w:tc>
          <w:tcPr>
            <w:tcW w:w="1040" w:type="dxa"/>
            <w:vAlign w:val="bottom"/>
          </w:tcPr>
          <w:p w:rsidR="00000000" w:rsidRDefault="00000000">
            <w:pPr>
              <w:pStyle w:val="a2"/>
              <w:ind w:right="284"/>
              <w:jc w:val="right"/>
            </w:pPr>
            <w:r>
              <w:t>5</w:t>
            </w:r>
            <w:r>
              <w:rPr>
                <w:rStyle w:val="StyleFootnoteReference11pt"/>
              </w:rPr>
              <w:footnoteReference w:id="41"/>
            </w:r>
          </w:p>
        </w:tc>
        <w:tc>
          <w:tcPr>
            <w:tcW w:w="1230" w:type="dxa"/>
            <w:vAlign w:val="bottom"/>
          </w:tcPr>
          <w:p w:rsidR="00000000" w:rsidRDefault="00000000">
            <w:pPr>
              <w:pStyle w:val="a2"/>
              <w:ind w:right="397"/>
              <w:jc w:val="right"/>
              <w:rPr>
                <w:sz w:val="22"/>
                <w:szCs w:val="22"/>
              </w:rPr>
            </w:pPr>
            <w:r>
              <w:rPr>
                <w:sz w:val="22"/>
                <w:szCs w:val="22"/>
              </w:rPr>
              <w:t>1</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吉布提</w:t>
            </w:r>
          </w:p>
        </w:tc>
        <w:tc>
          <w:tcPr>
            <w:tcW w:w="1230" w:type="dxa"/>
            <w:vAlign w:val="bottom"/>
          </w:tcPr>
          <w:p w:rsidR="00000000" w:rsidRDefault="00000000">
            <w:pPr>
              <w:pStyle w:val="a2"/>
              <w:ind w:right="397"/>
              <w:jc w:val="right"/>
              <w:rPr>
                <w:sz w:val="22"/>
                <w:szCs w:val="22"/>
              </w:rPr>
            </w:pPr>
            <w:r>
              <w:rPr>
                <w:sz w:val="22"/>
                <w:szCs w:val="22"/>
              </w:rPr>
              <w:t>1</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7</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4</w:t>
            </w:r>
          </w:p>
        </w:tc>
      </w:tr>
      <w:tr w:rsidR="00000000">
        <w:tc>
          <w:tcPr>
            <w:tcW w:w="1998" w:type="dxa"/>
            <w:vAlign w:val="bottom"/>
          </w:tcPr>
          <w:p w:rsidR="00000000" w:rsidRDefault="00000000">
            <w:pPr>
              <w:pStyle w:val="a2"/>
              <w:ind w:left="57"/>
              <w:jc w:val="left"/>
              <w:rPr>
                <w:sz w:val="20"/>
              </w:rPr>
            </w:pPr>
            <w:r>
              <w:rPr>
                <w:sz w:val="20"/>
              </w:rPr>
              <w:t>多米尼克</w:t>
            </w:r>
          </w:p>
        </w:tc>
        <w:tc>
          <w:tcPr>
            <w:tcW w:w="1230" w:type="dxa"/>
            <w:vAlign w:val="bottom"/>
          </w:tcPr>
          <w:p w:rsidR="00000000" w:rsidRDefault="00000000">
            <w:pPr>
              <w:pStyle w:val="a2"/>
              <w:ind w:right="397"/>
              <w:jc w:val="right"/>
              <w:rPr>
                <w:sz w:val="22"/>
                <w:szCs w:val="22"/>
              </w:rPr>
            </w:pPr>
            <w:r>
              <w:rPr>
                <w:sz w:val="22"/>
                <w:szCs w:val="22"/>
              </w:rPr>
              <w:t>1</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14</w:t>
            </w:r>
          </w:p>
        </w:tc>
        <w:tc>
          <w:tcPr>
            <w:tcW w:w="1175" w:type="dxa"/>
            <w:vAlign w:val="bottom"/>
          </w:tcPr>
          <w:p w:rsidR="00000000" w:rsidRDefault="00000000">
            <w:pPr>
              <w:pStyle w:val="a2"/>
              <w:ind w:right="340"/>
              <w:jc w:val="right"/>
              <w:rPr>
                <w:sz w:val="22"/>
                <w:szCs w:val="22"/>
              </w:rPr>
            </w:pPr>
            <w:r>
              <w:rPr>
                <w:sz w:val="22"/>
                <w:szCs w:val="22"/>
              </w:rPr>
              <w:t>9</w:t>
            </w:r>
          </w:p>
        </w:tc>
        <w:tc>
          <w:tcPr>
            <w:tcW w:w="1863" w:type="dxa"/>
            <w:vAlign w:val="bottom"/>
          </w:tcPr>
          <w:p w:rsidR="00000000" w:rsidRDefault="00000000">
            <w:pPr>
              <w:pStyle w:val="a2"/>
              <w:ind w:right="567"/>
              <w:jc w:val="right"/>
              <w:rPr>
                <w:sz w:val="22"/>
                <w:szCs w:val="22"/>
              </w:rPr>
            </w:pPr>
            <w:r>
              <w:rPr>
                <w:sz w:val="22"/>
                <w:szCs w:val="22"/>
              </w:rPr>
              <w:t>6</w:t>
            </w:r>
          </w:p>
        </w:tc>
        <w:tc>
          <w:tcPr>
            <w:tcW w:w="1034" w:type="dxa"/>
            <w:vAlign w:val="bottom"/>
          </w:tcPr>
          <w:p w:rsidR="00000000" w:rsidRDefault="00000000">
            <w:pPr>
              <w:pStyle w:val="a2"/>
              <w:ind w:right="340"/>
              <w:jc w:val="right"/>
              <w:rPr>
                <w:sz w:val="22"/>
                <w:szCs w:val="22"/>
              </w:rPr>
            </w:pPr>
            <w:r>
              <w:rPr>
                <w:sz w:val="22"/>
                <w:szCs w:val="22"/>
              </w:rPr>
              <w:t>5</w:t>
            </w:r>
          </w:p>
        </w:tc>
      </w:tr>
      <w:tr w:rsidR="00000000">
        <w:tc>
          <w:tcPr>
            <w:tcW w:w="1998" w:type="dxa"/>
            <w:vAlign w:val="bottom"/>
          </w:tcPr>
          <w:p w:rsidR="00000000" w:rsidRDefault="00000000">
            <w:pPr>
              <w:pStyle w:val="a2"/>
              <w:ind w:left="57"/>
              <w:jc w:val="left"/>
              <w:rPr>
                <w:sz w:val="20"/>
              </w:rPr>
            </w:pPr>
            <w:r>
              <w:rPr>
                <w:sz w:val="20"/>
              </w:rPr>
              <w:t>多米尼加共和国</w:t>
            </w:r>
          </w:p>
        </w:tc>
        <w:tc>
          <w:tcPr>
            <w:tcW w:w="1230" w:type="dxa"/>
            <w:vAlign w:val="bottom"/>
          </w:tcPr>
          <w:p w:rsidR="00000000" w:rsidRDefault="00000000">
            <w:pPr>
              <w:pStyle w:val="a2"/>
              <w:ind w:right="397"/>
              <w:jc w:val="right"/>
              <w:rPr>
                <w:sz w:val="22"/>
                <w:szCs w:val="22"/>
              </w:rPr>
            </w:pPr>
            <w:r>
              <w:rPr>
                <w:sz w:val="22"/>
                <w:szCs w:val="22"/>
              </w:rPr>
              <w:t>20</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8</w:t>
            </w:r>
          </w:p>
        </w:tc>
        <w:tc>
          <w:tcPr>
            <w:tcW w:w="1175" w:type="dxa"/>
            <w:vAlign w:val="bottom"/>
          </w:tcPr>
          <w:p w:rsidR="00000000" w:rsidRDefault="00000000">
            <w:pPr>
              <w:pStyle w:val="a2"/>
              <w:ind w:right="340"/>
              <w:jc w:val="right"/>
              <w:rPr>
                <w:sz w:val="22"/>
                <w:szCs w:val="22"/>
              </w:rPr>
            </w:pPr>
            <w:r>
              <w:rPr>
                <w:sz w:val="22"/>
                <w:szCs w:val="22"/>
              </w:rPr>
              <w:t>3</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厄瓜多尔</w:t>
            </w:r>
          </w:p>
        </w:tc>
        <w:tc>
          <w:tcPr>
            <w:tcW w:w="1230" w:type="dxa"/>
            <w:vAlign w:val="bottom"/>
          </w:tcPr>
          <w:p w:rsidR="00000000" w:rsidRDefault="00000000">
            <w:pPr>
              <w:pStyle w:val="a2"/>
              <w:ind w:right="397"/>
              <w:jc w:val="right"/>
              <w:rPr>
                <w:sz w:val="22"/>
                <w:szCs w:val="22"/>
              </w:rPr>
            </w:pPr>
            <w:r>
              <w:rPr>
                <w:sz w:val="22"/>
                <w:szCs w:val="22"/>
              </w:rPr>
              <w:t>33</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5</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埃及</w:t>
            </w:r>
          </w:p>
        </w:tc>
        <w:tc>
          <w:tcPr>
            <w:tcW w:w="1230" w:type="dxa"/>
            <w:vAlign w:val="bottom"/>
          </w:tcPr>
          <w:p w:rsidR="00000000" w:rsidRDefault="00000000">
            <w:pPr>
              <w:pStyle w:val="a2"/>
              <w:ind w:right="397"/>
              <w:jc w:val="right"/>
              <w:rPr>
                <w:sz w:val="22"/>
                <w:szCs w:val="22"/>
              </w:rPr>
            </w:pPr>
            <w:r>
              <w:rPr>
                <w:sz w:val="22"/>
                <w:szCs w:val="22"/>
              </w:rPr>
              <w:t>31</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10</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r>
              <w:rPr>
                <w:sz w:val="22"/>
                <w:szCs w:val="22"/>
              </w:rPr>
              <w:t>1</w:t>
            </w: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萨尔瓦多</w:t>
            </w:r>
          </w:p>
        </w:tc>
        <w:tc>
          <w:tcPr>
            <w:tcW w:w="1230" w:type="dxa"/>
            <w:vAlign w:val="bottom"/>
          </w:tcPr>
          <w:p w:rsidR="00000000" w:rsidRDefault="00000000">
            <w:pPr>
              <w:pStyle w:val="a2"/>
              <w:ind w:right="397"/>
              <w:jc w:val="right"/>
              <w:rPr>
                <w:sz w:val="22"/>
                <w:szCs w:val="22"/>
              </w:rPr>
            </w:pPr>
            <w:r>
              <w:rPr>
                <w:sz w:val="22"/>
                <w:szCs w:val="22"/>
              </w:rPr>
              <w:t>28</w:t>
            </w:r>
          </w:p>
        </w:tc>
        <w:tc>
          <w:tcPr>
            <w:tcW w:w="1040" w:type="dxa"/>
            <w:vAlign w:val="bottom"/>
          </w:tcPr>
          <w:p w:rsidR="00000000" w:rsidRDefault="00000000">
            <w:pPr>
              <w:pStyle w:val="a2"/>
              <w:ind w:right="284"/>
              <w:jc w:val="right"/>
            </w:pPr>
            <w:r>
              <w:t>7</w:t>
            </w:r>
            <w:r>
              <w:rPr>
                <w:rStyle w:val="StyleFootnoteReference11pt"/>
              </w:rPr>
              <w:footnoteReference w:id="42"/>
            </w:r>
          </w:p>
        </w:tc>
        <w:tc>
          <w:tcPr>
            <w:tcW w:w="1230" w:type="dxa"/>
            <w:vAlign w:val="bottom"/>
          </w:tcPr>
          <w:p w:rsidR="00000000" w:rsidRDefault="00000000">
            <w:pPr>
              <w:pStyle w:val="a2"/>
              <w:ind w:right="397"/>
              <w:jc w:val="right"/>
              <w:rPr>
                <w:sz w:val="22"/>
                <w:szCs w:val="22"/>
              </w:rPr>
            </w:pPr>
            <w:r>
              <w:rPr>
                <w:sz w:val="22"/>
                <w:szCs w:val="22"/>
              </w:rPr>
              <w:t>3</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赤道几内亚</w:t>
            </w:r>
          </w:p>
        </w:tc>
        <w:tc>
          <w:tcPr>
            <w:tcW w:w="1230" w:type="dxa"/>
            <w:vAlign w:val="bottom"/>
          </w:tcPr>
          <w:p w:rsidR="00000000" w:rsidRDefault="00000000">
            <w:pPr>
              <w:pStyle w:val="a2"/>
              <w:ind w:right="397"/>
              <w:jc w:val="right"/>
              <w:rPr>
                <w:sz w:val="22"/>
                <w:szCs w:val="22"/>
              </w:rPr>
            </w:pPr>
            <w:r>
              <w:rPr>
                <w:sz w:val="22"/>
                <w:szCs w:val="22"/>
              </w:rPr>
              <w:t>6</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13</w:t>
            </w:r>
          </w:p>
        </w:tc>
        <w:tc>
          <w:tcPr>
            <w:tcW w:w="1175" w:type="dxa"/>
            <w:vAlign w:val="bottom"/>
          </w:tcPr>
          <w:p w:rsidR="00000000" w:rsidRDefault="00000000">
            <w:pPr>
              <w:pStyle w:val="a2"/>
              <w:ind w:right="340"/>
              <w:jc w:val="right"/>
              <w:rPr>
                <w:sz w:val="22"/>
                <w:szCs w:val="22"/>
              </w:rPr>
            </w:pPr>
            <w:r>
              <w:rPr>
                <w:sz w:val="22"/>
                <w:szCs w:val="22"/>
              </w:rPr>
              <w:t>6</w:t>
            </w:r>
          </w:p>
        </w:tc>
        <w:tc>
          <w:tcPr>
            <w:tcW w:w="1863" w:type="dxa"/>
            <w:vAlign w:val="bottom"/>
          </w:tcPr>
          <w:p w:rsidR="00000000" w:rsidRDefault="00000000">
            <w:pPr>
              <w:pStyle w:val="a2"/>
              <w:ind w:right="567"/>
              <w:jc w:val="right"/>
              <w:rPr>
                <w:sz w:val="22"/>
                <w:szCs w:val="22"/>
              </w:rPr>
            </w:pPr>
            <w:r>
              <w:rPr>
                <w:sz w:val="22"/>
                <w:szCs w:val="22"/>
              </w:rPr>
              <w:t>4</w:t>
            </w:r>
          </w:p>
        </w:tc>
        <w:tc>
          <w:tcPr>
            <w:tcW w:w="1034" w:type="dxa"/>
            <w:vAlign w:val="bottom"/>
          </w:tcPr>
          <w:p w:rsidR="00000000" w:rsidRDefault="00000000">
            <w:pPr>
              <w:pStyle w:val="a2"/>
              <w:ind w:right="340"/>
              <w:jc w:val="right"/>
              <w:rPr>
                <w:sz w:val="22"/>
                <w:szCs w:val="22"/>
              </w:rPr>
            </w:pPr>
            <w:r>
              <w:rPr>
                <w:sz w:val="22"/>
                <w:szCs w:val="22"/>
              </w:rPr>
              <w:t>5</w:t>
            </w:r>
          </w:p>
        </w:tc>
      </w:tr>
      <w:tr w:rsidR="00000000">
        <w:tc>
          <w:tcPr>
            <w:tcW w:w="1998" w:type="dxa"/>
            <w:vAlign w:val="bottom"/>
          </w:tcPr>
          <w:p w:rsidR="00000000" w:rsidRDefault="00000000">
            <w:pPr>
              <w:pStyle w:val="a2"/>
              <w:ind w:left="57"/>
              <w:jc w:val="left"/>
              <w:rPr>
                <w:sz w:val="20"/>
              </w:rPr>
            </w:pPr>
            <w:r>
              <w:rPr>
                <w:sz w:val="20"/>
              </w:rPr>
              <w:t>厄立特里亚</w:t>
            </w:r>
          </w:p>
        </w:tc>
        <w:tc>
          <w:tcPr>
            <w:tcW w:w="1230" w:type="dxa"/>
            <w:vAlign w:val="bottom"/>
          </w:tcPr>
          <w:p w:rsidR="00000000" w:rsidRDefault="00000000">
            <w:pPr>
              <w:pStyle w:val="a2"/>
              <w:ind w:right="397"/>
              <w:jc w:val="right"/>
              <w:rPr>
                <w:sz w:val="22"/>
                <w:szCs w:val="22"/>
              </w:rPr>
            </w:pPr>
            <w:r>
              <w:rPr>
                <w:sz w:val="22"/>
                <w:szCs w:val="22"/>
              </w:rPr>
              <w:t>4</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4</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z w:val="20"/>
              </w:rPr>
            </w:pPr>
            <w:r>
              <w:rPr>
                <w:sz w:val="20"/>
              </w:rPr>
              <w:t>爱沙尼亚</w:t>
            </w:r>
          </w:p>
        </w:tc>
        <w:tc>
          <w:tcPr>
            <w:tcW w:w="1230" w:type="dxa"/>
            <w:vAlign w:val="bottom"/>
          </w:tcPr>
          <w:p w:rsidR="00000000" w:rsidRDefault="00000000">
            <w:pPr>
              <w:pStyle w:val="a2"/>
              <w:ind w:right="397"/>
              <w:jc w:val="right"/>
              <w:rPr>
                <w:sz w:val="22"/>
                <w:szCs w:val="22"/>
              </w:rPr>
            </w:pPr>
            <w:r>
              <w:rPr>
                <w:sz w:val="22"/>
                <w:szCs w:val="22"/>
              </w:rPr>
              <w:t>17</w:t>
            </w:r>
          </w:p>
        </w:tc>
        <w:tc>
          <w:tcPr>
            <w:tcW w:w="1040" w:type="dxa"/>
            <w:vAlign w:val="bottom"/>
          </w:tcPr>
          <w:p w:rsidR="00000000" w:rsidRDefault="00000000">
            <w:pPr>
              <w:pStyle w:val="a2"/>
              <w:ind w:right="284"/>
              <w:jc w:val="right"/>
            </w:pPr>
            <w:r>
              <w:t>4</w:t>
            </w:r>
            <w:r>
              <w:rPr>
                <w:rStyle w:val="StyleFootnoteReference11pt"/>
              </w:rPr>
              <w:footnoteReference w:id="43"/>
            </w:r>
          </w:p>
        </w:tc>
        <w:tc>
          <w:tcPr>
            <w:tcW w:w="1230" w:type="dxa"/>
            <w:vAlign w:val="bottom"/>
          </w:tcPr>
          <w:p w:rsidR="00000000" w:rsidRDefault="00000000">
            <w:pPr>
              <w:pStyle w:val="a2"/>
              <w:ind w:right="397"/>
              <w:jc w:val="right"/>
              <w:rPr>
                <w:sz w:val="22"/>
                <w:szCs w:val="22"/>
              </w:rPr>
            </w:pPr>
            <w:r>
              <w:rPr>
                <w:sz w:val="22"/>
                <w:szCs w:val="22"/>
              </w:rPr>
              <w:t>1</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埃塞俄比亚</w:t>
            </w:r>
          </w:p>
        </w:tc>
        <w:tc>
          <w:tcPr>
            <w:tcW w:w="1230" w:type="dxa"/>
            <w:vAlign w:val="bottom"/>
          </w:tcPr>
          <w:p w:rsidR="00000000" w:rsidRDefault="00000000">
            <w:pPr>
              <w:pStyle w:val="a2"/>
              <w:ind w:right="397"/>
              <w:jc w:val="right"/>
              <w:rPr>
                <w:sz w:val="22"/>
                <w:szCs w:val="22"/>
              </w:rPr>
            </w:pPr>
            <w:r>
              <w:rPr>
                <w:sz w:val="22"/>
                <w:szCs w:val="22"/>
              </w:rPr>
              <w:t>14</w:t>
            </w:r>
          </w:p>
        </w:tc>
        <w:tc>
          <w:tcPr>
            <w:tcW w:w="1040" w:type="dxa"/>
            <w:vAlign w:val="bottom"/>
          </w:tcPr>
          <w:p w:rsidR="00000000" w:rsidRDefault="00000000">
            <w:pPr>
              <w:pStyle w:val="a2"/>
              <w:ind w:right="284"/>
              <w:jc w:val="right"/>
            </w:pPr>
            <w:r>
              <w:t>1</w:t>
            </w:r>
            <w:r>
              <w:rPr>
                <w:rStyle w:val="StyleFootnoteReference11pt"/>
              </w:rPr>
              <w:footnoteReference w:id="44"/>
            </w:r>
          </w:p>
        </w:tc>
        <w:tc>
          <w:tcPr>
            <w:tcW w:w="1230" w:type="dxa"/>
            <w:vAlign w:val="bottom"/>
          </w:tcPr>
          <w:p w:rsidR="00000000" w:rsidRDefault="00000000">
            <w:pPr>
              <w:pStyle w:val="a2"/>
              <w:ind w:right="397"/>
              <w:jc w:val="right"/>
              <w:rPr>
                <w:sz w:val="22"/>
                <w:szCs w:val="22"/>
              </w:rPr>
            </w:pPr>
            <w:r>
              <w:rPr>
                <w:sz w:val="22"/>
                <w:szCs w:val="22"/>
              </w:rPr>
              <w:t>18</w:t>
            </w:r>
          </w:p>
        </w:tc>
        <w:tc>
          <w:tcPr>
            <w:tcW w:w="1175" w:type="dxa"/>
            <w:vAlign w:val="bottom"/>
          </w:tcPr>
          <w:p w:rsidR="00000000" w:rsidRDefault="00000000">
            <w:pPr>
              <w:pStyle w:val="a2"/>
              <w:ind w:right="340"/>
              <w:jc w:val="right"/>
              <w:rPr>
                <w:sz w:val="22"/>
                <w:szCs w:val="22"/>
              </w:rPr>
            </w:pPr>
            <w:r>
              <w:rPr>
                <w:sz w:val="22"/>
                <w:szCs w:val="22"/>
              </w:rPr>
              <w:t>12</w:t>
            </w:r>
          </w:p>
        </w:tc>
        <w:tc>
          <w:tcPr>
            <w:tcW w:w="1863" w:type="dxa"/>
            <w:vAlign w:val="bottom"/>
          </w:tcPr>
          <w:p w:rsidR="00000000" w:rsidRDefault="00000000">
            <w:pPr>
              <w:pStyle w:val="a2"/>
              <w:ind w:right="567"/>
              <w:jc w:val="right"/>
              <w:rPr>
                <w:sz w:val="22"/>
                <w:szCs w:val="22"/>
              </w:rPr>
            </w:pPr>
            <w:r>
              <w:rPr>
                <w:sz w:val="22"/>
                <w:szCs w:val="22"/>
              </w:rPr>
              <w:t>7</w:t>
            </w: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z w:val="20"/>
              </w:rPr>
            </w:pPr>
            <w:r>
              <w:rPr>
                <w:sz w:val="20"/>
              </w:rPr>
              <w:t>斐济</w:t>
            </w:r>
          </w:p>
        </w:tc>
        <w:tc>
          <w:tcPr>
            <w:tcW w:w="1230" w:type="dxa"/>
            <w:vAlign w:val="bottom"/>
          </w:tcPr>
          <w:p w:rsidR="00000000" w:rsidRDefault="00000000">
            <w:pPr>
              <w:pStyle w:val="a2"/>
              <w:ind w:right="397"/>
              <w:jc w:val="right"/>
              <w:rPr>
                <w:sz w:val="22"/>
                <w:szCs w:val="22"/>
              </w:rPr>
            </w:pPr>
            <w:r>
              <w:rPr>
                <w:sz w:val="22"/>
                <w:szCs w:val="22"/>
              </w:rPr>
              <w:t>17</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6</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芬兰</w:t>
            </w:r>
          </w:p>
        </w:tc>
        <w:tc>
          <w:tcPr>
            <w:tcW w:w="1230" w:type="dxa"/>
            <w:vAlign w:val="bottom"/>
          </w:tcPr>
          <w:p w:rsidR="00000000" w:rsidRDefault="00000000">
            <w:pPr>
              <w:pStyle w:val="a2"/>
              <w:ind w:right="397"/>
              <w:jc w:val="right"/>
              <w:rPr>
                <w:sz w:val="22"/>
                <w:szCs w:val="22"/>
              </w:rPr>
            </w:pPr>
            <w:r>
              <w:rPr>
                <w:sz w:val="22"/>
                <w:szCs w:val="22"/>
              </w:rPr>
              <w:t>39</w:t>
            </w:r>
          </w:p>
        </w:tc>
        <w:tc>
          <w:tcPr>
            <w:tcW w:w="1040" w:type="dxa"/>
            <w:vAlign w:val="bottom"/>
          </w:tcPr>
          <w:p w:rsidR="00000000" w:rsidRDefault="00000000">
            <w:pPr>
              <w:pStyle w:val="a2"/>
              <w:ind w:right="284"/>
              <w:jc w:val="right"/>
            </w:pPr>
            <w:r>
              <w:t>2</w:t>
            </w:r>
            <w:r>
              <w:rPr>
                <w:rStyle w:val="StyleFootnoteReference11pt"/>
              </w:rPr>
              <w:footnoteReference w:id="45"/>
            </w:r>
          </w:p>
        </w:tc>
        <w:tc>
          <w:tcPr>
            <w:tcW w:w="1230" w:type="dxa"/>
            <w:vAlign w:val="bottom"/>
          </w:tcPr>
          <w:p w:rsidR="00000000" w:rsidRDefault="00000000">
            <w:pPr>
              <w:pStyle w:val="a2"/>
              <w:ind w:right="397"/>
              <w:jc w:val="right"/>
              <w:rPr>
                <w:sz w:val="22"/>
                <w:szCs w:val="22"/>
              </w:rPr>
            </w:pP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法国</w:t>
            </w:r>
          </w:p>
        </w:tc>
        <w:tc>
          <w:tcPr>
            <w:tcW w:w="1230" w:type="dxa"/>
            <w:vAlign w:val="bottom"/>
          </w:tcPr>
          <w:p w:rsidR="00000000" w:rsidRDefault="00000000">
            <w:pPr>
              <w:pStyle w:val="a2"/>
              <w:ind w:right="397"/>
              <w:jc w:val="right"/>
              <w:rPr>
                <w:sz w:val="22"/>
                <w:szCs w:val="22"/>
              </w:rPr>
            </w:pPr>
            <w:r>
              <w:rPr>
                <w:sz w:val="22"/>
                <w:szCs w:val="22"/>
              </w:rPr>
              <w:t>31</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5</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加蓬</w:t>
            </w:r>
          </w:p>
        </w:tc>
        <w:tc>
          <w:tcPr>
            <w:tcW w:w="1230" w:type="dxa"/>
            <w:vAlign w:val="bottom"/>
          </w:tcPr>
          <w:p w:rsidR="00000000" w:rsidRDefault="00000000">
            <w:pPr>
              <w:pStyle w:val="a2"/>
              <w:ind w:right="397"/>
              <w:jc w:val="right"/>
              <w:rPr>
                <w:sz w:val="22"/>
                <w:szCs w:val="22"/>
              </w:rPr>
            </w:pPr>
            <w:r>
              <w:rPr>
                <w:sz w:val="22"/>
                <w:szCs w:val="22"/>
              </w:rPr>
              <w:t>17</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11</w:t>
            </w:r>
          </w:p>
        </w:tc>
        <w:tc>
          <w:tcPr>
            <w:tcW w:w="1175" w:type="dxa"/>
            <w:vAlign w:val="bottom"/>
          </w:tcPr>
          <w:p w:rsidR="00000000" w:rsidRDefault="00000000">
            <w:pPr>
              <w:pStyle w:val="a2"/>
              <w:ind w:right="340"/>
              <w:jc w:val="right"/>
              <w:rPr>
                <w:sz w:val="22"/>
                <w:szCs w:val="22"/>
              </w:rPr>
            </w:pPr>
            <w:r>
              <w:rPr>
                <w:sz w:val="22"/>
                <w:szCs w:val="22"/>
              </w:rPr>
              <w:t>4</w:t>
            </w:r>
          </w:p>
        </w:tc>
        <w:tc>
          <w:tcPr>
            <w:tcW w:w="1863" w:type="dxa"/>
            <w:vAlign w:val="bottom"/>
          </w:tcPr>
          <w:p w:rsidR="00000000" w:rsidRDefault="00000000">
            <w:pPr>
              <w:pStyle w:val="a2"/>
              <w:ind w:right="567"/>
              <w:jc w:val="right"/>
              <w:rPr>
                <w:sz w:val="22"/>
                <w:szCs w:val="22"/>
              </w:rPr>
            </w:pPr>
            <w:r>
              <w:rPr>
                <w:sz w:val="22"/>
                <w:szCs w:val="22"/>
              </w:rPr>
              <w:t>2</w:t>
            </w: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冈比亚</w:t>
            </w:r>
          </w:p>
        </w:tc>
        <w:tc>
          <w:tcPr>
            <w:tcW w:w="1230" w:type="dxa"/>
            <w:vAlign w:val="bottom"/>
          </w:tcPr>
          <w:p w:rsidR="00000000" w:rsidRDefault="00000000">
            <w:pPr>
              <w:pStyle w:val="a2"/>
              <w:ind w:right="397"/>
              <w:jc w:val="right"/>
              <w:rPr>
                <w:sz w:val="22"/>
                <w:szCs w:val="22"/>
              </w:rPr>
            </w:pPr>
            <w:r>
              <w:rPr>
                <w:sz w:val="22"/>
                <w:szCs w:val="22"/>
              </w:rPr>
              <w:t>6</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24</w:t>
            </w:r>
          </w:p>
        </w:tc>
        <w:tc>
          <w:tcPr>
            <w:tcW w:w="1175" w:type="dxa"/>
            <w:vAlign w:val="bottom"/>
          </w:tcPr>
          <w:p w:rsidR="00000000" w:rsidRDefault="00000000">
            <w:pPr>
              <w:pStyle w:val="a2"/>
              <w:ind w:right="340"/>
              <w:jc w:val="right"/>
              <w:rPr>
                <w:sz w:val="22"/>
                <w:szCs w:val="22"/>
              </w:rPr>
            </w:pPr>
            <w:r>
              <w:rPr>
                <w:sz w:val="22"/>
                <w:szCs w:val="22"/>
              </w:rPr>
              <w:t>18</w:t>
            </w:r>
          </w:p>
        </w:tc>
        <w:tc>
          <w:tcPr>
            <w:tcW w:w="1863" w:type="dxa"/>
            <w:vAlign w:val="bottom"/>
          </w:tcPr>
          <w:p w:rsidR="00000000" w:rsidRDefault="00000000">
            <w:pPr>
              <w:pStyle w:val="a2"/>
              <w:ind w:right="567"/>
              <w:jc w:val="right"/>
              <w:rPr>
                <w:sz w:val="22"/>
                <w:szCs w:val="22"/>
              </w:rPr>
            </w:pPr>
            <w:r>
              <w:rPr>
                <w:sz w:val="22"/>
                <w:szCs w:val="22"/>
              </w:rPr>
              <w:t>12</w:t>
            </w: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格鲁吉亚</w:t>
            </w:r>
          </w:p>
        </w:tc>
        <w:tc>
          <w:tcPr>
            <w:tcW w:w="1230" w:type="dxa"/>
            <w:vAlign w:val="bottom"/>
          </w:tcPr>
          <w:p w:rsidR="00000000" w:rsidRDefault="00000000">
            <w:pPr>
              <w:pStyle w:val="a2"/>
              <w:ind w:right="397"/>
              <w:jc w:val="right"/>
              <w:rPr>
                <w:sz w:val="22"/>
                <w:szCs w:val="22"/>
              </w:rPr>
            </w:pPr>
            <w:r>
              <w:rPr>
                <w:sz w:val="22"/>
                <w:szCs w:val="22"/>
              </w:rPr>
              <w:t>15</w:t>
            </w:r>
          </w:p>
        </w:tc>
        <w:tc>
          <w:tcPr>
            <w:tcW w:w="1040" w:type="dxa"/>
            <w:vAlign w:val="bottom"/>
          </w:tcPr>
          <w:p w:rsidR="00000000" w:rsidRDefault="00000000">
            <w:pPr>
              <w:pStyle w:val="a2"/>
              <w:ind w:right="284"/>
              <w:jc w:val="right"/>
            </w:pPr>
            <w:r>
              <w:t>3</w:t>
            </w:r>
            <w:r>
              <w:rPr>
                <w:rStyle w:val="StyleFootnoteReference11pt"/>
              </w:rPr>
              <w:footnoteReference w:id="46"/>
            </w:r>
          </w:p>
        </w:tc>
        <w:tc>
          <w:tcPr>
            <w:tcW w:w="1230" w:type="dxa"/>
            <w:vAlign w:val="bottom"/>
          </w:tcPr>
          <w:p w:rsidR="00000000" w:rsidRDefault="00000000">
            <w:pPr>
              <w:pStyle w:val="a2"/>
              <w:ind w:right="397"/>
              <w:jc w:val="right"/>
              <w:rPr>
                <w:sz w:val="22"/>
                <w:szCs w:val="22"/>
              </w:rPr>
            </w:pP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德国</w:t>
            </w:r>
          </w:p>
        </w:tc>
        <w:tc>
          <w:tcPr>
            <w:tcW w:w="1230" w:type="dxa"/>
            <w:vAlign w:val="bottom"/>
          </w:tcPr>
          <w:p w:rsidR="00000000" w:rsidRDefault="00000000">
            <w:pPr>
              <w:pStyle w:val="a2"/>
              <w:ind w:right="397"/>
              <w:jc w:val="right"/>
              <w:rPr>
                <w:sz w:val="22"/>
                <w:szCs w:val="22"/>
              </w:rPr>
            </w:pPr>
            <w:r>
              <w:rPr>
                <w:sz w:val="22"/>
                <w:szCs w:val="22"/>
              </w:rPr>
              <w:t>35</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3</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加纳</w:t>
            </w:r>
          </w:p>
        </w:tc>
        <w:tc>
          <w:tcPr>
            <w:tcW w:w="1230" w:type="dxa"/>
            <w:vAlign w:val="bottom"/>
          </w:tcPr>
          <w:p w:rsidR="00000000" w:rsidRDefault="00000000">
            <w:pPr>
              <w:pStyle w:val="a2"/>
              <w:ind w:right="397"/>
              <w:jc w:val="right"/>
              <w:rPr>
                <w:sz w:val="22"/>
                <w:szCs w:val="22"/>
              </w:rPr>
            </w:pPr>
            <w:r>
              <w:rPr>
                <w:sz w:val="22"/>
                <w:szCs w:val="22"/>
              </w:rPr>
              <w:t>24</w:t>
            </w:r>
          </w:p>
        </w:tc>
        <w:tc>
          <w:tcPr>
            <w:tcW w:w="1040" w:type="dxa"/>
            <w:vAlign w:val="bottom"/>
          </w:tcPr>
          <w:p w:rsidR="00000000" w:rsidRDefault="00000000">
            <w:pPr>
              <w:pStyle w:val="a2"/>
              <w:ind w:right="284"/>
              <w:jc w:val="right"/>
            </w:pPr>
            <w:r>
              <w:t>3</w:t>
            </w:r>
            <w:r>
              <w:rPr>
                <w:rStyle w:val="StyleFootnoteReference11pt"/>
              </w:rPr>
              <w:footnoteReference w:id="47"/>
            </w:r>
          </w:p>
        </w:tc>
        <w:tc>
          <w:tcPr>
            <w:tcW w:w="1230" w:type="dxa"/>
            <w:vAlign w:val="bottom"/>
          </w:tcPr>
          <w:p w:rsidR="00000000" w:rsidRDefault="00000000">
            <w:pPr>
              <w:pStyle w:val="a2"/>
              <w:ind w:right="397"/>
              <w:jc w:val="right"/>
              <w:rPr>
                <w:sz w:val="22"/>
                <w:szCs w:val="22"/>
              </w:rPr>
            </w:pPr>
            <w:r>
              <w:rPr>
                <w:sz w:val="22"/>
                <w:szCs w:val="22"/>
              </w:rPr>
              <w:t>8</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4</w:t>
            </w:r>
          </w:p>
        </w:tc>
      </w:tr>
      <w:tr w:rsidR="00000000">
        <w:tc>
          <w:tcPr>
            <w:tcW w:w="1998" w:type="dxa"/>
            <w:vAlign w:val="bottom"/>
          </w:tcPr>
          <w:p w:rsidR="00000000" w:rsidRDefault="00000000">
            <w:pPr>
              <w:pStyle w:val="a2"/>
              <w:ind w:left="57"/>
              <w:jc w:val="left"/>
              <w:rPr>
                <w:sz w:val="20"/>
              </w:rPr>
            </w:pPr>
            <w:r>
              <w:rPr>
                <w:sz w:val="20"/>
              </w:rPr>
              <w:t>希腊</w:t>
            </w:r>
          </w:p>
        </w:tc>
        <w:tc>
          <w:tcPr>
            <w:tcW w:w="1230" w:type="dxa"/>
            <w:vAlign w:val="bottom"/>
          </w:tcPr>
          <w:p w:rsidR="00000000" w:rsidRDefault="00000000">
            <w:pPr>
              <w:pStyle w:val="a2"/>
              <w:ind w:right="397"/>
              <w:jc w:val="right"/>
              <w:rPr>
                <w:sz w:val="22"/>
                <w:szCs w:val="22"/>
              </w:rPr>
            </w:pPr>
            <w:r>
              <w:rPr>
                <w:sz w:val="22"/>
                <w:szCs w:val="22"/>
              </w:rPr>
              <w:t>28</w:t>
            </w:r>
          </w:p>
        </w:tc>
        <w:tc>
          <w:tcPr>
            <w:tcW w:w="1040" w:type="dxa"/>
            <w:vAlign w:val="bottom"/>
          </w:tcPr>
          <w:p w:rsidR="00000000" w:rsidRDefault="00000000">
            <w:pPr>
              <w:pStyle w:val="a2"/>
              <w:ind w:right="284"/>
              <w:jc w:val="right"/>
            </w:pPr>
            <w:r>
              <w:t>1</w:t>
            </w:r>
            <w:r>
              <w:rPr>
                <w:rStyle w:val="StyleFootnoteReference11pt"/>
              </w:rPr>
              <w:footnoteReference w:id="48"/>
            </w:r>
          </w:p>
        </w:tc>
        <w:tc>
          <w:tcPr>
            <w:tcW w:w="1230" w:type="dxa"/>
            <w:vAlign w:val="bottom"/>
          </w:tcPr>
          <w:p w:rsidR="00000000" w:rsidRDefault="00000000">
            <w:pPr>
              <w:pStyle w:val="a2"/>
              <w:ind w:right="397"/>
              <w:jc w:val="right"/>
              <w:rPr>
                <w:sz w:val="22"/>
                <w:szCs w:val="22"/>
              </w:rPr>
            </w:pPr>
            <w:r>
              <w:rPr>
                <w:sz w:val="22"/>
                <w:szCs w:val="22"/>
              </w:rPr>
              <w:t>5</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格林纳达</w:t>
            </w:r>
          </w:p>
        </w:tc>
        <w:tc>
          <w:tcPr>
            <w:tcW w:w="1230" w:type="dxa"/>
            <w:vAlign w:val="bottom"/>
          </w:tcPr>
          <w:p w:rsidR="00000000" w:rsidRDefault="00000000">
            <w:pPr>
              <w:pStyle w:val="a2"/>
              <w:ind w:right="397"/>
              <w:jc w:val="right"/>
              <w:rPr>
                <w:sz w:val="22"/>
                <w:szCs w:val="22"/>
              </w:rPr>
            </w:pPr>
            <w:r>
              <w:rPr>
                <w:sz w:val="22"/>
                <w:szCs w:val="22"/>
              </w:rPr>
              <w:t>1</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12</w:t>
            </w:r>
          </w:p>
        </w:tc>
        <w:tc>
          <w:tcPr>
            <w:tcW w:w="1175" w:type="dxa"/>
            <w:vAlign w:val="bottom"/>
          </w:tcPr>
          <w:p w:rsidR="00000000" w:rsidRDefault="00000000">
            <w:pPr>
              <w:pStyle w:val="a2"/>
              <w:ind w:right="340"/>
              <w:jc w:val="right"/>
              <w:rPr>
                <w:sz w:val="22"/>
                <w:szCs w:val="22"/>
              </w:rPr>
            </w:pPr>
            <w:r>
              <w:rPr>
                <w:sz w:val="22"/>
                <w:szCs w:val="22"/>
              </w:rPr>
              <w:t>8</w:t>
            </w:r>
          </w:p>
        </w:tc>
        <w:tc>
          <w:tcPr>
            <w:tcW w:w="1863" w:type="dxa"/>
            <w:vAlign w:val="bottom"/>
          </w:tcPr>
          <w:p w:rsidR="00000000" w:rsidRDefault="00000000">
            <w:pPr>
              <w:pStyle w:val="a2"/>
              <w:ind w:right="567"/>
              <w:jc w:val="right"/>
              <w:rPr>
                <w:sz w:val="22"/>
                <w:szCs w:val="22"/>
              </w:rPr>
            </w:pPr>
            <w:r>
              <w:rPr>
                <w:sz w:val="22"/>
                <w:szCs w:val="22"/>
              </w:rPr>
              <w:t>4</w:t>
            </w: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z w:val="20"/>
              </w:rPr>
            </w:pPr>
            <w:r>
              <w:rPr>
                <w:sz w:val="20"/>
              </w:rPr>
              <w:t>危地马拉</w:t>
            </w:r>
          </w:p>
        </w:tc>
        <w:tc>
          <w:tcPr>
            <w:tcW w:w="1230" w:type="dxa"/>
            <w:vAlign w:val="bottom"/>
          </w:tcPr>
          <w:p w:rsidR="00000000" w:rsidRDefault="00000000">
            <w:pPr>
              <w:pStyle w:val="a2"/>
              <w:ind w:right="397"/>
              <w:jc w:val="right"/>
              <w:rPr>
                <w:sz w:val="22"/>
                <w:szCs w:val="22"/>
              </w:rPr>
            </w:pPr>
            <w:r>
              <w:rPr>
                <w:sz w:val="22"/>
                <w:szCs w:val="22"/>
              </w:rPr>
              <w:t>27</w:t>
            </w:r>
          </w:p>
        </w:tc>
        <w:tc>
          <w:tcPr>
            <w:tcW w:w="1040" w:type="dxa"/>
            <w:vAlign w:val="bottom"/>
          </w:tcPr>
          <w:p w:rsidR="00000000" w:rsidRDefault="00000000">
            <w:pPr>
              <w:pStyle w:val="a2"/>
              <w:ind w:right="284"/>
              <w:jc w:val="right"/>
            </w:pPr>
            <w:r>
              <w:t>6</w:t>
            </w:r>
            <w:r>
              <w:rPr>
                <w:rStyle w:val="StyleFootnoteReference11pt"/>
              </w:rPr>
              <w:footnoteReference w:id="49"/>
            </w:r>
          </w:p>
        </w:tc>
        <w:tc>
          <w:tcPr>
            <w:tcW w:w="1230" w:type="dxa"/>
            <w:vAlign w:val="bottom"/>
          </w:tcPr>
          <w:p w:rsidR="00000000" w:rsidRDefault="00000000">
            <w:pPr>
              <w:pStyle w:val="a2"/>
              <w:ind w:right="397"/>
              <w:jc w:val="right"/>
              <w:rPr>
                <w:sz w:val="22"/>
                <w:szCs w:val="22"/>
              </w:rPr>
            </w:pPr>
            <w:r>
              <w:rPr>
                <w:sz w:val="22"/>
                <w:szCs w:val="22"/>
              </w:rPr>
              <w:t>4</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z w:val="20"/>
              </w:rPr>
            </w:pPr>
            <w:r>
              <w:rPr>
                <w:sz w:val="20"/>
              </w:rPr>
              <w:t>几内亚</w:t>
            </w:r>
          </w:p>
        </w:tc>
        <w:tc>
          <w:tcPr>
            <w:tcW w:w="1230" w:type="dxa"/>
            <w:vAlign w:val="bottom"/>
          </w:tcPr>
          <w:p w:rsidR="00000000" w:rsidRDefault="00000000">
            <w:pPr>
              <w:pStyle w:val="a2"/>
              <w:ind w:right="397"/>
              <w:jc w:val="right"/>
              <w:rPr>
                <w:sz w:val="22"/>
                <w:szCs w:val="22"/>
              </w:rPr>
            </w:pPr>
            <w:r>
              <w:rPr>
                <w:sz w:val="22"/>
                <w:szCs w:val="22"/>
              </w:rPr>
              <w:t>20</w:t>
            </w:r>
          </w:p>
        </w:tc>
        <w:tc>
          <w:tcPr>
            <w:tcW w:w="1040" w:type="dxa"/>
            <w:vAlign w:val="bottom"/>
          </w:tcPr>
          <w:p w:rsidR="00000000" w:rsidRDefault="00000000">
            <w:pPr>
              <w:pStyle w:val="a2"/>
              <w:ind w:right="284"/>
              <w:jc w:val="right"/>
            </w:pPr>
            <w:r>
              <w:t>3</w:t>
            </w:r>
            <w:r>
              <w:rPr>
                <w:rStyle w:val="StyleFootnoteReference11pt"/>
              </w:rPr>
              <w:footnoteReference w:id="50"/>
            </w:r>
          </w:p>
        </w:tc>
        <w:tc>
          <w:tcPr>
            <w:tcW w:w="1230" w:type="dxa"/>
            <w:vAlign w:val="bottom"/>
          </w:tcPr>
          <w:p w:rsidR="00000000" w:rsidRDefault="00000000">
            <w:pPr>
              <w:pStyle w:val="a2"/>
              <w:ind w:right="397"/>
              <w:jc w:val="right"/>
              <w:rPr>
                <w:sz w:val="22"/>
                <w:szCs w:val="22"/>
              </w:rPr>
            </w:pPr>
            <w:r>
              <w:rPr>
                <w:sz w:val="22"/>
                <w:szCs w:val="22"/>
              </w:rPr>
              <w:t>17</w:t>
            </w:r>
          </w:p>
        </w:tc>
        <w:tc>
          <w:tcPr>
            <w:tcW w:w="1175" w:type="dxa"/>
            <w:vAlign w:val="bottom"/>
          </w:tcPr>
          <w:p w:rsidR="00000000" w:rsidRDefault="00000000">
            <w:pPr>
              <w:pStyle w:val="a2"/>
              <w:ind w:right="340"/>
              <w:jc w:val="right"/>
              <w:rPr>
                <w:sz w:val="22"/>
                <w:szCs w:val="22"/>
              </w:rPr>
            </w:pPr>
            <w:r>
              <w:rPr>
                <w:sz w:val="22"/>
                <w:szCs w:val="22"/>
              </w:rPr>
              <w:t>10</w:t>
            </w:r>
          </w:p>
        </w:tc>
        <w:tc>
          <w:tcPr>
            <w:tcW w:w="1863" w:type="dxa"/>
            <w:vAlign w:val="bottom"/>
          </w:tcPr>
          <w:p w:rsidR="00000000" w:rsidRDefault="00000000">
            <w:pPr>
              <w:pStyle w:val="a2"/>
              <w:ind w:right="567"/>
              <w:jc w:val="right"/>
              <w:rPr>
                <w:sz w:val="22"/>
                <w:szCs w:val="22"/>
              </w:rPr>
            </w:pPr>
            <w:r>
              <w:rPr>
                <w:sz w:val="22"/>
                <w:szCs w:val="22"/>
              </w:rPr>
              <w:t>5</w:t>
            </w: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z w:val="20"/>
              </w:rPr>
            </w:pPr>
            <w:r>
              <w:rPr>
                <w:sz w:val="20"/>
              </w:rPr>
              <w:t>几内亚比绍</w:t>
            </w:r>
          </w:p>
        </w:tc>
        <w:tc>
          <w:tcPr>
            <w:tcW w:w="1230" w:type="dxa"/>
            <w:vAlign w:val="bottom"/>
          </w:tcPr>
          <w:p w:rsidR="00000000" w:rsidRDefault="00000000">
            <w:pPr>
              <w:pStyle w:val="a2"/>
              <w:ind w:right="397"/>
              <w:jc w:val="right"/>
              <w:rPr>
                <w:sz w:val="22"/>
                <w:szCs w:val="22"/>
              </w:rPr>
            </w:pPr>
            <w:r>
              <w:rPr>
                <w:sz w:val="22"/>
                <w:szCs w:val="22"/>
              </w:rPr>
              <w:t>1</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10</w:t>
            </w:r>
          </w:p>
        </w:tc>
        <w:tc>
          <w:tcPr>
            <w:tcW w:w="1175" w:type="dxa"/>
            <w:vAlign w:val="bottom"/>
          </w:tcPr>
          <w:p w:rsidR="00000000" w:rsidRDefault="00000000">
            <w:pPr>
              <w:pStyle w:val="a2"/>
              <w:ind w:right="340"/>
              <w:jc w:val="right"/>
              <w:rPr>
                <w:sz w:val="22"/>
                <w:szCs w:val="22"/>
              </w:rPr>
            </w:pPr>
            <w:r>
              <w:rPr>
                <w:sz w:val="22"/>
                <w:szCs w:val="22"/>
              </w:rPr>
              <w:t>7</w:t>
            </w:r>
          </w:p>
        </w:tc>
        <w:tc>
          <w:tcPr>
            <w:tcW w:w="1863" w:type="dxa"/>
            <w:vAlign w:val="bottom"/>
          </w:tcPr>
          <w:p w:rsidR="00000000" w:rsidRDefault="00000000">
            <w:pPr>
              <w:pStyle w:val="a2"/>
              <w:ind w:right="567"/>
              <w:jc w:val="right"/>
              <w:rPr>
                <w:sz w:val="22"/>
                <w:szCs w:val="22"/>
              </w:rPr>
            </w:pPr>
            <w:r>
              <w:rPr>
                <w:sz w:val="22"/>
                <w:szCs w:val="22"/>
              </w:rPr>
              <w:t>4</w:t>
            </w: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圭亚那</w:t>
            </w:r>
          </w:p>
        </w:tc>
        <w:tc>
          <w:tcPr>
            <w:tcW w:w="1230" w:type="dxa"/>
            <w:vAlign w:val="bottom"/>
          </w:tcPr>
          <w:p w:rsidR="00000000" w:rsidRDefault="00000000">
            <w:pPr>
              <w:pStyle w:val="a2"/>
              <w:ind w:right="397"/>
              <w:jc w:val="right"/>
              <w:rPr>
                <w:sz w:val="22"/>
                <w:szCs w:val="22"/>
              </w:rPr>
            </w:pPr>
            <w:r>
              <w:rPr>
                <w:sz w:val="22"/>
                <w:szCs w:val="22"/>
              </w:rPr>
              <w:t>24</w:t>
            </w:r>
          </w:p>
        </w:tc>
        <w:tc>
          <w:tcPr>
            <w:tcW w:w="1040" w:type="dxa"/>
            <w:vAlign w:val="bottom"/>
          </w:tcPr>
          <w:p w:rsidR="00000000" w:rsidRDefault="00000000">
            <w:pPr>
              <w:pStyle w:val="a2"/>
              <w:ind w:right="284"/>
              <w:jc w:val="right"/>
            </w:pPr>
            <w:r>
              <w:t>14</w:t>
            </w:r>
            <w:r>
              <w:rPr>
                <w:rStyle w:val="StyleFootnoteReference11pt"/>
              </w:rPr>
              <w:footnoteReference w:id="51"/>
            </w:r>
          </w:p>
        </w:tc>
        <w:tc>
          <w:tcPr>
            <w:tcW w:w="1230" w:type="dxa"/>
            <w:vAlign w:val="bottom"/>
          </w:tcPr>
          <w:p w:rsidR="00000000" w:rsidRDefault="00000000">
            <w:pPr>
              <w:pStyle w:val="a2"/>
              <w:ind w:right="397"/>
              <w:jc w:val="right"/>
              <w:rPr>
                <w:sz w:val="22"/>
                <w:szCs w:val="22"/>
              </w:rPr>
            </w:pPr>
            <w:r>
              <w:rPr>
                <w:sz w:val="22"/>
                <w:szCs w:val="22"/>
              </w:rPr>
              <w:t>8</w:t>
            </w:r>
          </w:p>
        </w:tc>
        <w:tc>
          <w:tcPr>
            <w:tcW w:w="1175" w:type="dxa"/>
            <w:vAlign w:val="bottom"/>
          </w:tcPr>
          <w:p w:rsidR="00000000" w:rsidRDefault="00000000">
            <w:pPr>
              <w:pStyle w:val="a2"/>
              <w:ind w:right="340"/>
              <w:jc w:val="right"/>
              <w:rPr>
                <w:sz w:val="22"/>
                <w:szCs w:val="22"/>
              </w:rPr>
            </w:pPr>
            <w:r>
              <w:rPr>
                <w:sz w:val="22"/>
                <w:szCs w:val="22"/>
              </w:rPr>
              <w:t>4</w:t>
            </w:r>
          </w:p>
        </w:tc>
        <w:tc>
          <w:tcPr>
            <w:tcW w:w="1863" w:type="dxa"/>
            <w:vAlign w:val="bottom"/>
          </w:tcPr>
          <w:p w:rsidR="00000000" w:rsidRDefault="00000000">
            <w:pPr>
              <w:pStyle w:val="a2"/>
              <w:ind w:right="567"/>
              <w:jc w:val="right"/>
              <w:rPr>
                <w:sz w:val="22"/>
                <w:szCs w:val="22"/>
              </w:rPr>
            </w:pPr>
            <w:r>
              <w:rPr>
                <w:sz w:val="22"/>
                <w:szCs w:val="22"/>
              </w:rPr>
              <w:t>2</w:t>
            </w: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海地</w:t>
            </w:r>
          </w:p>
        </w:tc>
        <w:tc>
          <w:tcPr>
            <w:tcW w:w="1230" w:type="dxa"/>
            <w:vAlign w:val="bottom"/>
          </w:tcPr>
          <w:p w:rsidR="00000000" w:rsidRDefault="00000000">
            <w:pPr>
              <w:pStyle w:val="a2"/>
              <w:ind w:right="397"/>
              <w:jc w:val="right"/>
              <w:rPr>
                <w:sz w:val="22"/>
                <w:szCs w:val="22"/>
              </w:rPr>
            </w:pPr>
            <w:r>
              <w:rPr>
                <w:sz w:val="22"/>
                <w:szCs w:val="22"/>
              </w:rPr>
              <w:t>14</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13</w:t>
            </w:r>
          </w:p>
        </w:tc>
        <w:tc>
          <w:tcPr>
            <w:tcW w:w="1175" w:type="dxa"/>
            <w:vAlign w:val="bottom"/>
          </w:tcPr>
          <w:p w:rsidR="00000000" w:rsidRDefault="00000000">
            <w:pPr>
              <w:pStyle w:val="a2"/>
              <w:ind w:right="340"/>
              <w:jc w:val="right"/>
              <w:rPr>
                <w:sz w:val="22"/>
                <w:szCs w:val="22"/>
              </w:rPr>
            </w:pPr>
            <w:r>
              <w:rPr>
                <w:sz w:val="22"/>
                <w:szCs w:val="22"/>
              </w:rPr>
              <w:t>8</w:t>
            </w:r>
          </w:p>
        </w:tc>
        <w:tc>
          <w:tcPr>
            <w:tcW w:w="1863" w:type="dxa"/>
            <w:vAlign w:val="bottom"/>
          </w:tcPr>
          <w:p w:rsidR="00000000" w:rsidRDefault="00000000">
            <w:pPr>
              <w:pStyle w:val="a2"/>
              <w:ind w:right="567"/>
              <w:jc w:val="right"/>
              <w:rPr>
                <w:sz w:val="22"/>
                <w:szCs w:val="22"/>
              </w:rPr>
            </w:pPr>
            <w:r>
              <w:rPr>
                <w:sz w:val="22"/>
                <w:szCs w:val="22"/>
              </w:rPr>
              <w:t>4</w:t>
            </w: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rFonts w:hint="eastAsia"/>
                <w:sz w:val="20"/>
              </w:rPr>
            </w:pPr>
            <w:r>
              <w:rPr>
                <w:rFonts w:hint="eastAsia"/>
                <w:sz w:val="20"/>
              </w:rPr>
              <w:t>教廷</w:t>
            </w:r>
          </w:p>
        </w:tc>
        <w:tc>
          <w:tcPr>
            <w:tcW w:w="1230" w:type="dxa"/>
            <w:vAlign w:val="bottom"/>
          </w:tcPr>
          <w:p w:rsidR="00000000" w:rsidRDefault="00000000">
            <w:pPr>
              <w:pStyle w:val="a2"/>
              <w:ind w:right="397"/>
              <w:jc w:val="right"/>
              <w:rPr>
                <w:sz w:val="22"/>
                <w:szCs w:val="22"/>
              </w:rPr>
            </w:pPr>
            <w:r>
              <w:rPr>
                <w:sz w:val="22"/>
                <w:szCs w:val="22"/>
              </w:rPr>
              <w:t>16</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8</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z w:val="20"/>
              </w:rPr>
            </w:pPr>
            <w:r>
              <w:rPr>
                <w:sz w:val="20"/>
              </w:rPr>
              <w:t>洪都拉斯</w:t>
            </w:r>
          </w:p>
        </w:tc>
        <w:tc>
          <w:tcPr>
            <w:tcW w:w="1230" w:type="dxa"/>
            <w:vAlign w:val="bottom"/>
          </w:tcPr>
          <w:p w:rsidR="00000000" w:rsidRDefault="00000000">
            <w:pPr>
              <w:pStyle w:val="a2"/>
              <w:ind w:right="397"/>
              <w:jc w:val="right"/>
              <w:rPr>
                <w:sz w:val="22"/>
                <w:szCs w:val="22"/>
              </w:rPr>
            </w:pPr>
            <w:r>
              <w:rPr>
                <w:sz w:val="22"/>
                <w:szCs w:val="22"/>
              </w:rPr>
              <w:t>11</w:t>
            </w:r>
          </w:p>
        </w:tc>
        <w:tc>
          <w:tcPr>
            <w:tcW w:w="1040" w:type="dxa"/>
            <w:vAlign w:val="bottom"/>
          </w:tcPr>
          <w:p w:rsidR="00000000" w:rsidRDefault="00000000">
            <w:pPr>
              <w:pStyle w:val="a2"/>
              <w:ind w:right="284"/>
              <w:jc w:val="right"/>
            </w:pPr>
            <w:r>
              <w:t>5</w:t>
            </w:r>
            <w:r>
              <w:rPr>
                <w:rStyle w:val="StyleFootnoteReference11pt"/>
              </w:rPr>
              <w:footnoteReference w:id="52"/>
            </w:r>
          </w:p>
        </w:tc>
        <w:tc>
          <w:tcPr>
            <w:tcW w:w="1230" w:type="dxa"/>
            <w:vAlign w:val="bottom"/>
          </w:tcPr>
          <w:p w:rsidR="00000000" w:rsidRDefault="00000000">
            <w:pPr>
              <w:pStyle w:val="a2"/>
              <w:ind w:right="397"/>
              <w:jc w:val="right"/>
              <w:rPr>
                <w:sz w:val="22"/>
                <w:szCs w:val="22"/>
              </w:rPr>
            </w:pPr>
            <w:r>
              <w:rPr>
                <w:sz w:val="22"/>
                <w:szCs w:val="22"/>
              </w:rPr>
              <w:t>7</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z w:val="20"/>
              </w:rPr>
            </w:pPr>
            <w:r>
              <w:rPr>
                <w:sz w:val="20"/>
              </w:rPr>
              <w:t>匈牙利</w:t>
            </w:r>
          </w:p>
        </w:tc>
        <w:tc>
          <w:tcPr>
            <w:tcW w:w="1230" w:type="dxa"/>
            <w:vAlign w:val="bottom"/>
          </w:tcPr>
          <w:p w:rsidR="00000000" w:rsidRDefault="00000000">
            <w:pPr>
              <w:pStyle w:val="a2"/>
              <w:ind w:right="397"/>
              <w:jc w:val="right"/>
              <w:rPr>
                <w:sz w:val="22"/>
                <w:szCs w:val="22"/>
              </w:rPr>
            </w:pPr>
            <w:r>
              <w:rPr>
                <w:sz w:val="22"/>
                <w:szCs w:val="22"/>
              </w:rPr>
              <w:t>35</w:t>
            </w:r>
          </w:p>
        </w:tc>
        <w:tc>
          <w:tcPr>
            <w:tcW w:w="1040" w:type="dxa"/>
            <w:vAlign w:val="bottom"/>
          </w:tcPr>
          <w:p w:rsidR="00000000" w:rsidRDefault="00000000">
            <w:pPr>
              <w:pStyle w:val="a2"/>
              <w:ind w:right="284"/>
              <w:jc w:val="right"/>
            </w:pPr>
            <w:r>
              <w:t>2</w:t>
            </w:r>
            <w:r>
              <w:rPr>
                <w:rStyle w:val="StyleFootnoteReference11pt"/>
              </w:rPr>
              <w:footnoteReference w:id="53"/>
            </w:r>
          </w:p>
        </w:tc>
        <w:tc>
          <w:tcPr>
            <w:tcW w:w="1230" w:type="dxa"/>
            <w:vAlign w:val="bottom"/>
          </w:tcPr>
          <w:p w:rsidR="00000000" w:rsidRDefault="00000000">
            <w:pPr>
              <w:pStyle w:val="a2"/>
              <w:ind w:right="397"/>
              <w:jc w:val="right"/>
              <w:rPr>
                <w:sz w:val="22"/>
                <w:szCs w:val="22"/>
              </w:rPr>
            </w:pPr>
            <w:r>
              <w:rPr>
                <w:sz w:val="22"/>
                <w:szCs w:val="22"/>
              </w:rPr>
              <w:t>5</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冰岛</w:t>
            </w:r>
            <w:r>
              <w:rPr>
                <w:sz w:val="20"/>
              </w:rPr>
              <w:t xml:space="preserve"> </w:t>
            </w:r>
          </w:p>
        </w:tc>
        <w:tc>
          <w:tcPr>
            <w:tcW w:w="1230" w:type="dxa"/>
            <w:vAlign w:val="bottom"/>
          </w:tcPr>
          <w:p w:rsidR="00000000" w:rsidRDefault="00000000">
            <w:pPr>
              <w:pStyle w:val="a2"/>
              <w:ind w:right="397"/>
              <w:jc w:val="right"/>
              <w:rPr>
                <w:sz w:val="22"/>
                <w:szCs w:val="22"/>
              </w:rPr>
            </w:pPr>
            <w:r>
              <w:rPr>
                <w:sz w:val="22"/>
                <w:szCs w:val="22"/>
              </w:rPr>
              <w:t>37</w:t>
            </w:r>
          </w:p>
        </w:tc>
        <w:tc>
          <w:tcPr>
            <w:tcW w:w="1040" w:type="dxa"/>
            <w:vAlign w:val="bottom"/>
          </w:tcPr>
          <w:p w:rsidR="00000000" w:rsidRDefault="00000000">
            <w:pPr>
              <w:pStyle w:val="a2"/>
              <w:ind w:right="284"/>
              <w:jc w:val="right"/>
            </w:pPr>
            <w:r>
              <w:t>4</w:t>
            </w:r>
            <w:r>
              <w:rPr>
                <w:rStyle w:val="StyleFootnoteReference11pt"/>
              </w:rPr>
              <w:footnoteReference w:id="54"/>
            </w:r>
          </w:p>
        </w:tc>
        <w:tc>
          <w:tcPr>
            <w:tcW w:w="1230" w:type="dxa"/>
            <w:vAlign w:val="bottom"/>
          </w:tcPr>
          <w:p w:rsidR="00000000" w:rsidRDefault="00000000">
            <w:pPr>
              <w:pStyle w:val="a2"/>
              <w:ind w:right="397"/>
              <w:jc w:val="right"/>
              <w:rPr>
                <w:sz w:val="22"/>
                <w:szCs w:val="22"/>
              </w:rPr>
            </w:pP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印度</w:t>
            </w:r>
          </w:p>
        </w:tc>
        <w:tc>
          <w:tcPr>
            <w:tcW w:w="1230" w:type="dxa"/>
            <w:vAlign w:val="bottom"/>
          </w:tcPr>
          <w:p w:rsidR="00000000" w:rsidRDefault="00000000">
            <w:pPr>
              <w:pStyle w:val="a2"/>
              <w:ind w:right="397"/>
              <w:jc w:val="right"/>
              <w:rPr>
                <w:sz w:val="22"/>
                <w:szCs w:val="22"/>
              </w:rPr>
            </w:pPr>
            <w:r>
              <w:rPr>
                <w:sz w:val="22"/>
                <w:szCs w:val="22"/>
              </w:rPr>
              <w:t>27</w:t>
            </w:r>
          </w:p>
        </w:tc>
        <w:tc>
          <w:tcPr>
            <w:tcW w:w="1040" w:type="dxa"/>
            <w:vAlign w:val="bottom"/>
          </w:tcPr>
          <w:p w:rsidR="00000000" w:rsidRDefault="00000000">
            <w:pPr>
              <w:pStyle w:val="a2"/>
              <w:ind w:right="284"/>
              <w:jc w:val="right"/>
            </w:pPr>
            <w:r>
              <w:t>6</w:t>
            </w:r>
            <w:r>
              <w:rPr>
                <w:rStyle w:val="StyleFootnoteReference11pt"/>
              </w:rPr>
              <w:footnoteReference w:id="55"/>
            </w:r>
          </w:p>
        </w:tc>
        <w:tc>
          <w:tcPr>
            <w:tcW w:w="1230" w:type="dxa"/>
            <w:vAlign w:val="bottom"/>
          </w:tcPr>
          <w:p w:rsidR="00000000" w:rsidRDefault="00000000">
            <w:pPr>
              <w:pStyle w:val="a2"/>
              <w:ind w:right="397"/>
              <w:jc w:val="right"/>
              <w:rPr>
                <w:sz w:val="22"/>
                <w:szCs w:val="22"/>
              </w:rPr>
            </w:pPr>
            <w:r>
              <w:rPr>
                <w:sz w:val="22"/>
                <w:szCs w:val="22"/>
              </w:rPr>
              <w:t>4</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r>
              <w:rPr>
                <w:sz w:val="22"/>
                <w:szCs w:val="22"/>
              </w:rPr>
              <w:t>1</w:t>
            </w: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印度尼西亚</w:t>
            </w:r>
          </w:p>
        </w:tc>
        <w:tc>
          <w:tcPr>
            <w:tcW w:w="1230" w:type="dxa"/>
            <w:vAlign w:val="bottom"/>
          </w:tcPr>
          <w:p w:rsidR="00000000" w:rsidRDefault="00000000">
            <w:pPr>
              <w:pStyle w:val="a2"/>
              <w:ind w:right="397"/>
              <w:jc w:val="right"/>
              <w:rPr>
                <w:sz w:val="22"/>
                <w:szCs w:val="22"/>
              </w:rPr>
            </w:pPr>
            <w:r>
              <w:rPr>
                <w:sz w:val="22"/>
                <w:szCs w:val="22"/>
              </w:rPr>
              <w:t>9</w:t>
            </w:r>
          </w:p>
        </w:tc>
        <w:tc>
          <w:tcPr>
            <w:tcW w:w="1040" w:type="dxa"/>
            <w:vAlign w:val="bottom"/>
          </w:tcPr>
          <w:p w:rsidR="00000000" w:rsidRDefault="00000000">
            <w:pPr>
              <w:pStyle w:val="a2"/>
              <w:ind w:right="284"/>
              <w:jc w:val="right"/>
            </w:pPr>
            <w:r>
              <w:t>3</w:t>
            </w:r>
            <w:r>
              <w:rPr>
                <w:rStyle w:val="StyleFootnoteReference11pt"/>
              </w:rPr>
              <w:footnoteReference w:id="56"/>
            </w:r>
          </w:p>
        </w:tc>
        <w:tc>
          <w:tcPr>
            <w:tcW w:w="1230" w:type="dxa"/>
            <w:vAlign w:val="bottom"/>
          </w:tcPr>
          <w:p w:rsidR="00000000" w:rsidRDefault="00000000">
            <w:pPr>
              <w:pStyle w:val="a2"/>
              <w:ind w:right="397"/>
              <w:jc w:val="right"/>
              <w:rPr>
                <w:sz w:val="22"/>
                <w:szCs w:val="22"/>
              </w:rPr>
            </w:pPr>
            <w:r>
              <w:rPr>
                <w:sz w:val="22"/>
                <w:szCs w:val="22"/>
              </w:rPr>
              <w:t>4</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jc w:val="left"/>
              <w:rPr>
                <w:spacing w:val="0"/>
                <w:sz w:val="20"/>
              </w:rPr>
            </w:pPr>
            <w:r>
              <w:rPr>
                <w:spacing w:val="0"/>
                <w:sz w:val="20"/>
              </w:rPr>
              <w:t>伊朗伊斯兰共和国</w:t>
            </w:r>
          </w:p>
        </w:tc>
        <w:tc>
          <w:tcPr>
            <w:tcW w:w="1230" w:type="dxa"/>
            <w:vAlign w:val="bottom"/>
          </w:tcPr>
          <w:p w:rsidR="00000000" w:rsidRDefault="00000000">
            <w:pPr>
              <w:pStyle w:val="a2"/>
              <w:ind w:right="397"/>
              <w:jc w:val="right"/>
              <w:rPr>
                <w:sz w:val="22"/>
                <w:szCs w:val="22"/>
              </w:rPr>
            </w:pPr>
            <w:r>
              <w:rPr>
                <w:sz w:val="22"/>
                <w:szCs w:val="22"/>
              </w:rPr>
              <w:t>22</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8</w:t>
            </w:r>
          </w:p>
        </w:tc>
        <w:tc>
          <w:tcPr>
            <w:tcW w:w="1175" w:type="dxa"/>
            <w:vAlign w:val="bottom"/>
          </w:tcPr>
          <w:p w:rsidR="00000000" w:rsidRDefault="00000000">
            <w:pPr>
              <w:pStyle w:val="a2"/>
              <w:ind w:right="340"/>
              <w:jc w:val="right"/>
              <w:rPr>
                <w:sz w:val="22"/>
                <w:szCs w:val="22"/>
              </w:rPr>
            </w:pPr>
            <w:r>
              <w:rPr>
                <w:sz w:val="22"/>
                <w:szCs w:val="22"/>
              </w:rPr>
              <w:t>4</w:t>
            </w:r>
          </w:p>
        </w:tc>
        <w:tc>
          <w:tcPr>
            <w:tcW w:w="1863" w:type="dxa"/>
            <w:vAlign w:val="bottom"/>
          </w:tcPr>
          <w:p w:rsidR="00000000" w:rsidRDefault="00000000">
            <w:pPr>
              <w:pStyle w:val="a2"/>
              <w:ind w:right="567"/>
              <w:jc w:val="right"/>
              <w:rPr>
                <w:sz w:val="22"/>
                <w:szCs w:val="22"/>
              </w:rPr>
            </w:pPr>
            <w:r>
              <w:rPr>
                <w:sz w:val="22"/>
                <w:szCs w:val="22"/>
              </w:rPr>
              <w:t>2</w:t>
            </w: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伊拉克</w:t>
            </w:r>
          </w:p>
        </w:tc>
        <w:tc>
          <w:tcPr>
            <w:tcW w:w="1230" w:type="dxa"/>
            <w:vAlign w:val="bottom"/>
          </w:tcPr>
          <w:p w:rsidR="00000000" w:rsidRDefault="00000000">
            <w:pPr>
              <w:pStyle w:val="a2"/>
              <w:ind w:right="397"/>
              <w:jc w:val="right"/>
              <w:rPr>
                <w:sz w:val="22"/>
                <w:szCs w:val="22"/>
              </w:rPr>
            </w:pPr>
            <w:r>
              <w:rPr>
                <w:sz w:val="22"/>
                <w:szCs w:val="22"/>
              </w:rPr>
              <w:t>25</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11</w:t>
            </w:r>
          </w:p>
        </w:tc>
        <w:tc>
          <w:tcPr>
            <w:tcW w:w="1175" w:type="dxa"/>
            <w:vAlign w:val="bottom"/>
          </w:tcPr>
          <w:p w:rsidR="00000000" w:rsidRDefault="00000000">
            <w:pPr>
              <w:pStyle w:val="a2"/>
              <w:ind w:right="340"/>
              <w:jc w:val="right"/>
              <w:rPr>
                <w:sz w:val="22"/>
                <w:szCs w:val="22"/>
              </w:rPr>
            </w:pPr>
            <w:r>
              <w:rPr>
                <w:sz w:val="22"/>
                <w:szCs w:val="22"/>
              </w:rPr>
              <w:t>5</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rFonts w:hint="eastAsia"/>
                <w:sz w:val="20"/>
              </w:rPr>
            </w:pPr>
            <w:r>
              <w:rPr>
                <w:rFonts w:hint="eastAsia"/>
                <w:sz w:val="20"/>
              </w:rPr>
              <w:t>爱尔兰</w:t>
            </w:r>
          </w:p>
        </w:tc>
        <w:tc>
          <w:tcPr>
            <w:tcW w:w="1230" w:type="dxa"/>
            <w:vAlign w:val="bottom"/>
          </w:tcPr>
          <w:p w:rsidR="00000000" w:rsidRDefault="00000000">
            <w:pPr>
              <w:pStyle w:val="a2"/>
              <w:ind w:right="397"/>
              <w:jc w:val="right"/>
              <w:rPr>
                <w:sz w:val="22"/>
                <w:szCs w:val="22"/>
              </w:rPr>
            </w:pPr>
            <w:r>
              <w:rPr>
                <w:sz w:val="22"/>
                <w:szCs w:val="22"/>
              </w:rPr>
              <w:t>13</w:t>
            </w:r>
          </w:p>
        </w:tc>
        <w:tc>
          <w:tcPr>
            <w:tcW w:w="1040" w:type="dxa"/>
            <w:vAlign w:val="bottom"/>
          </w:tcPr>
          <w:p w:rsidR="00000000" w:rsidRDefault="00000000">
            <w:pPr>
              <w:pStyle w:val="a2"/>
              <w:ind w:right="284"/>
              <w:jc w:val="right"/>
            </w:pPr>
            <w:r>
              <w:t>1</w:t>
            </w:r>
            <w:r>
              <w:rPr>
                <w:rStyle w:val="StyleFootnoteReference11pt"/>
              </w:rPr>
              <w:footnoteReference w:id="57"/>
            </w:r>
          </w:p>
        </w:tc>
        <w:tc>
          <w:tcPr>
            <w:tcW w:w="1230" w:type="dxa"/>
            <w:vAlign w:val="bottom"/>
          </w:tcPr>
          <w:p w:rsidR="00000000" w:rsidRDefault="00000000">
            <w:pPr>
              <w:pStyle w:val="a2"/>
              <w:ind w:right="397"/>
              <w:jc w:val="right"/>
              <w:rPr>
                <w:sz w:val="22"/>
                <w:szCs w:val="22"/>
              </w:rPr>
            </w:pPr>
            <w:r>
              <w:rPr>
                <w:sz w:val="22"/>
                <w:szCs w:val="22"/>
              </w:rPr>
              <w:t>3</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以色列</w:t>
            </w:r>
          </w:p>
        </w:tc>
        <w:tc>
          <w:tcPr>
            <w:tcW w:w="1230" w:type="dxa"/>
            <w:vAlign w:val="bottom"/>
          </w:tcPr>
          <w:p w:rsidR="00000000" w:rsidRDefault="00000000">
            <w:pPr>
              <w:pStyle w:val="a2"/>
              <w:ind w:right="397"/>
              <w:jc w:val="right"/>
              <w:rPr>
                <w:sz w:val="22"/>
                <w:szCs w:val="22"/>
              </w:rPr>
            </w:pPr>
            <w:r>
              <w:rPr>
                <w:sz w:val="22"/>
                <w:szCs w:val="22"/>
              </w:rPr>
              <w:t>25</w:t>
            </w:r>
          </w:p>
        </w:tc>
        <w:tc>
          <w:tcPr>
            <w:tcW w:w="1040" w:type="dxa"/>
            <w:vAlign w:val="bottom"/>
          </w:tcPr>
          <w:p w:rsidR="00000000" w:rsidRDefault="00000000">
            <w:pPr>
              <w:pStyle w:val="a2"/>
              <w:ind w:right="284"/>
              <w:jc w:val="right"/>
            </w:pPr>
            <w:r>
              <w:t>5</w:t>
            </w:r>
            <w:r>
              <w:rPr>
                <w:rStyle w:val="StyleFootnoteReference11pt"/>
              </w:rPr>
              <w:footnoteReference w:id="58"/>
            </w:r>
          </w:p>
        </w:tc>
        <w:tc>
          <w:tcPr>
            <w:tcW w:w="1230" w:type="dxa"/>
            <w:vAlign w:val="bottom"/>
          </w:tcPr>
          <w:p w:rsidR="00000000" w:rsidRDefault="00000000">
            <w:pPr>
              <w:pStyle w:val="a2"/>
              <w:ind w:right="397"/>
              <w:jc w:val="right"/>
              <w:rPr>
                <w:sz w:val="22"/>
                <w:szCs w:val="22"/>
              </w:rPr>
            </w:pPr>
            <w:r>
              <w:rPr>
                <w:sz w:val="22"/>
                <w:szCs w:val="22"/>
              </w:rPr>
              <w:t>1</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意大利</w:t>
            </w:r>
          </w:p>
        </w:tc>
        <w:tc>
          <w:tcPr>
            <w:tcW w:w="1230" w:type="dxa"/>
            <w:vAlign w:val="bottom"/>
          </w:tcPr>
          <w:p w:rsidR="00000000" w:rsidRDefault="00000000">
            <w:pPr>
              <w:pStyle w:val="a2"/>
              <w:ind w:right="397"/>
              <w:jc w:val="right"/>
              <w:rPr>
                <w:sz w:val="22"/>
                <w:szCs w:val="22"/>
              </w:rPr>
            </w:pPr>
            <w:r>
              <w:rPr>
                <w:sz w:val="22"/>
                <w:szCs w:val="22"/>
              </w:rPr>
              <w:t>35</w:t>
            </w:r>
          </w:p>
        </w:tc>
        <w:tc>
          <w:tcPr>
            <w:tcW w:w="1040" w:type="dxa"/>
            <w:vAlign w:val="bottom"/>
          </w:tcPr>
          <w:p w:rsidR="00000000" w:rsidRDefault="00000000">
            <w:pPr>
              <w:pStyle w:val="a2"/>
              <w:ind w:right="284"/>
              <w:jc w:val="right"/>
            </w:pPr>
            <w:r>
              <w:t>3</w:t>
            </w:r>
            <w:r>
              <w:rPr>
                <w:rStyle w:val="StyleFootnoteReference11pt"/>
              </w:rPr>
              <w:footnoteReference w:id="59"/>
            </w:r>
          </w:p>
        </w:tc>
        <w:tc>
          <w:tcPr>
            <w:tcW w:w="1230" w:type="dxa"/>
            <w:vAlign w:val="bottom"/>
          </w:tcPr>
          <w:p w:rsidR="00000000" w:rsidRDefault="00000000">
            <w:pPr>
              <w:pStyle w:val="a2"/>
              <w:ind w:right="397"/>
              <w:jc w:val="right"/>
              <w:rPr>
                <w:sz w:val="22"/>
                <w:szCs w:val="22"/>
              </w:rPr>
            </w:pPr>
            <w:r>
              <w:rPr>
                <w:sz w:val="22"/>
                <w:szCs w:val="22"/>
              </w:rPr>
              <w:t>2</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牙买加</w:t>
            </w:r>
          </w:p>
        </w:tc>
        <w:tc>
          <w:tcPr>
            <w:tcW w:w="1230" w:type="dxa"/>
            <w:vAlign w:val="bottom"/>
          </w:tcPr>
          <w:p w:rsidR="00000000" w:rsidRDefault="00000000">
            <w:pPr>
              <w:pStyle w:val="a2"/>
              <w:ind w:right="397"/>
              <w:jc w:val="right"/>
              <w:rPr>
                <w:sz w:val="22"/>
                <w:szCs w:val="22"/>
              </w:rPr>
            </w:pPr>
            <w:r>
              <w:rPr>
                <w:sz w:val="22"/>
                <w:szCs w:val="22"/>
              </w:rPr>
              <w:t>26</w:t>
            </w:r>
          </w:p>
        </w:tc>
        <w:tc>
          <w:tcPr>
            <w:tcW w:w="1040" w:type="dxa"/>
            <w:vAlign w:val="bottom"/>
          </w:tcPr>
          <w:p w:rsidR="00000000" w:rsidRDefault="00000000">
            <w:pPr>
              <w:pStyle w:val="a2"/>
              <w:ind w:right="284"/>
              <w:jc w:val="right"/>
            </w:pPr>
            <w:r>
              <w:t>1</w:t>
            </w:r>
            <w:r>
              <w:rPr>
                <w:rStyle w:val="StyleFootnoteReference11pt"/>
              </w:rPr>
              <w:footnoteReference w:id="60"/>
            </w:r>
          </w:p>
        </w:tc>
        <w:tc>
          <w:tcPr>
            <w:tcW w:w="1230" w:type="dxa"/>
            <w:vAlign w:val="bottom"/>
          </w:tcPr>
          <w:p w:rsidR="00000000" w:rsidRDefault="00000000">
            <w:pPr>
              <w:pStyle w:val="a2"/>
              <w:ind w:right="397"/>
              <w:jc w:val="right"/>
              <w:rPr>
                <w:sz w:val="22"/>
                <w:szCs w:val="22"/>
              </w:rPr>
            </w:pPr>
            <w:r>
              <w:rPr>
                <w:sz w:val="22"/>
                <w:szCs w:val="22"/>
              </w:rPr>
              <w:t>6</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日本</w:t>
            </w:r>
          </w:p>
        </w:tc>
        <w:tc>
          <w:tcPr>
            <w:tcW w:w="1230" w:type="dxa"/>
            <w:vAlign w:val="bottom"/>
          </w:tcPr>
          <w:p w:rsidR="00000000" w:rsidRDefault="00000000">
            <w:pPr>
              <w:pStyle w:val="a2"/>
              <w:ind w:right="397"/>
              <w:jc w:val="right"/>
              <w:rPr>
                <w:sz w:val="22"/>
                <w:szCs w:val="22"/>
              </w:rPr>
            </w:pPr>
            <w:r>
              <w:rPr>
                <w:sz w:val="22"/>
                <w:szCs w:val="22"/>
              </w:rPr>
              <w:t>16</w:t>
            </w:r>
          </w:p>
        </w:tc>
        <w:tc>
          <w:tcPr>
            <w:tcW w:w="1040" w:type="dxa"/>
            <w:vAlign w:val="bottom"/>
          </w:tcPr>
          <w:p w:rsidR="00000000" w:rsidRDefault="00000000">
            <w:pPr>
              <w:pStyle w:val="a2"/>
              <w:ind w:right="284"/>
              <w:jc w:val="right"/>
            </w:pPr>
            <w:r>
              <w:t>1</w:t>
            </w:r>
            <w:r>
              <w:rPr>
                <w:rStyle w:val="StyleFootnoteReference11pt"/>
              </w:rPr>
              <w:footnoteReference w:id="61"/>
            </w:r>
          </w:p>
        </w:tc>
        <w:tc>
          <w:tcPr>
            <w:tcW w:w="1230" w:type="dxa"/>
            <w:vAlign w:val="bottom"/>
          </w:tcPr>
          <w:p w:rsidR="00000000" w:rsidRDefault="00000000">
            <w:pPr>
              <w:pStyle w:val="a2"/>
              <w:ind w:right="397"/>
              <w:jc w:val="right"/>
              <w:rPr>
                <w:sz w:val="22"/>
                <w:szCs w:val="22"/>
              </w:rPr>
            </w:pPr>
            <w:r>
              <w:rPr>
                <w:sz w:val="22"/>
                <w:szCs w:val="22"/>
              </w:rPr>
              <w:t>5</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约旦</w:t>
            </w:r>
          </w:p>
        </w:tc>
        <w:tc>
          <w:tcPr>
            <w:tcW w:w="1230" w:type="dxa"/>
            <w:vAlign w:val="bottom"/>
          </w:tcPr>
          <w:p w:rsidR="00000000" w:rsidRDefault="00000000">
            <w:pPr>
              <w:pStyle w:val="a2"/>
              <w:ind w:right="397"/>
              <w:jc w:val="right"/>
              <w:rPr>
                <w:sz w:val="22"/>
                <w:szCs w:val="22"/>
              </w:rPr>
            </w:pPr>
            <w:r>
              <w:rPr>
                <w:sz w:val="22"/>
                <w:szCs w:val="22"/>
              </w:rPr>
              <w:t>25</w:t>
            </w:r>
          </w:p>
        </w:tc>
        <w:tc>
          <w:tcPr>
            <w:tcW w:w="1040" w:type="dxa"/>
            <w:vAlign w:val="bottom"/>
          </w:tcPr>
          <w:p w:rsidR="00000000" w:rsidRDefault="00000000">
            <w:pPr>
              <w:pStyle w:val="a2"/>
              <w:ind w:right="284"/>
              <w:jc w:val="right"/>
            </w:pPr>
            <w:r>
              <w:t>3</w:t>
            </w:r>
            <w:r>
              <w:rPr>
                <w:rStyle w:val="StyleFootnoteReference11pt"/>
              </w:rPr>
              <w:footnoteReference w:id="62"/>
            </w:r>
          </w:p>
        </w:tc>
        <w:tc>
          <w:tcPr>
            <w:tcW w:w="1230" w:type="dxa"/>
            <w:vAlign w:val="bottom"/>
          </w:tcPr>
          <w:p w:rsidR="00000000" w:rsidRDefault="00000000">
            <w:pPr>
              <w:pStyle w:val="a2"/>
              <w:ind w:right="397"/>
              <w:jc w:val="right"/>
              <w:rPr>
                <w:sz w:val="22"/>
                <w:szCs w:val="22"/>
              </w:rPr>
            </w:pPr>
            <w:r>
              <w:rPr>
                <w:sz w:val="22"/>
                <w:szCs w:val="22"/>
              </w:rPr>
              <w:t>10</w:t>
            </w:r>
          </w:p>
        </w:tc>
        <w:tc>
          <w:tcPr>
            <w:tcW w:w="1175" w:type="dxa"/>
            <w:vAlign w:val="bottom"/>
          </w:tcPr>
          <w:p w:rsidR="00000000" w:rsidRDefault="00000000">
            <w:pPr>
              <w:pStyle w:val="a2"/>
              <w:ind w:right="340"/>
              <w:jc w:val="right"/>
              <w:rPr>
                <w:sz w:val="22"/>
                <w:szCs w:val="22"/>
              </w:rPr>
            </w:pPr>
            <w:r>
              <w:rPr>
                <w:sz w:val="22"/>
                <w:szCs w:val="22"/>
              </w:rPr>
              <w:t>4</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哈萨克斯坦</w:t>
            </w:r>
          </w:p>
        </w:tc>
        <w:tc>
          <w:tcPr>
            <w:tcW w:w="1230" w:type="dxa"/>
            <w:vAlign w:val="bottom"/>
          </w:tcPr>
          <w:p w:rsidR="00000000" w:rsidRDefault="00000000">
            <w:pPr>
              <w:pStyle w:val="a2"/>
              <w:ind w:right="397"/>
              <w:jc w:val="right"/>
              <w:rPr>
                <w:sz w:val="22"/>
                <w:szCs w:val="22"/>
              </w:rPr>
            </w:pPr>
            <w:r>
              <w:rPr>
                <w:sz w:val="22"/>
                <w:szCs w:val="22"/>
              </w:rPr>
              <w:t>9</w:t>
            </w:r>
          </w:p>
        </w:tc>
        <w:tc>
          <w:tcPr>
            <w:tcW w:w="1040" w:type="dxa"/>
            <w:vAlign w:val="bottom"/>
          </w:tcPr>
          <w:p w:rsidR="00000000" w:rsidRDefault="00000000">
            <w:pPr>
              <w:pStyle w:val="a2"/>
              <w:ind w:right="284"/>
              <w:jc w:val="right"/>
            </w:pPr>
            <w:r>
              <w:t>2</w:t>
            </w:r>
            <w:r>
              <w:rPr>
                <w:rStyle w:val="StyleFootnoteReference11pt"/>
              </w:rPr>
              <w:footnoteReference w:id="63"/>
            </w:r>
          </w:p>
        </w:tc>
        <w:tc>
          <w:tcPr>
            <w:tcW w:w="1230" w:type="dxa"/>
            <w:vAlign w:val="bottom"/>
          </w:tcPr>
          <w:p w:rsidR="00000000" w:rsidRDefault="00000000">
            <w:pPr>
              <w:pStyle w:val="a2"/>
              <w:ind w:right="397"/>
              <w:jc w:val="right"/>
              <w:rPr>
                <w:sz w:val="22"/>
                <w:szCs w:val="22"/>
              </w:rPr>
            </w:pPr>
            <w:r>
              <w:rPr>
                <w:sz w:val="22"/>
                <w:szCs w:val="22"/>
              </w:rPr>
              <w:t>1</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肯尼亚</w:t>
            </w:r>
          </w:p>
        </w:tc>
        <w:tc>
          <w:tcPr>
            <w:tcW w:w="1230" w:type="dxa"/>
            <w:vAlign w:val="bottom"/>
          </w:tcPr>
          <w:p w:rsidR="00000000" w:rsidRDefault="00000000">
            <w:pPr>
              <w:pStyle w:val="a2"/>
              <w:ind w:right="397"/>
              <w:jc w:val="right"/>
              <w:rPr>
                <w:sz w:val="22"/>
                <w:szCs w:val="22"/>
              </w:rPr>
            </w:pPr>
            <w:r>
              <w:rPr>
                <w:sz w:val="22"/>
                <w:szCs w:val="22"/>
              </w:rPr>
              <w:t>9</w:t>
            </w:r>
          </w:p>
        </w:tc>
        <w:tc>
          <w:tcPr>
            <w:tcW w:w="1040" w:type="dxa"/>
            <w:vAlign w:val="bottom"/>
          </w:tcPr>
          <w:p w:rsidR="00000000" w:rsidRDefault="00000000">
            <w:pPr>
              <w:pStyle w:val="a2"/>
              <w:ind w:right="284"/>
              <w:jc w:val="right"/>
            </w:pPr>
            <w:r>
              <w:t>1</w:t>
            </w:r>
            <w:r>
              <w:rPr>
                <w:rStyle w:val="StyleFootnoteReference11pt"/>
              </w:rPr>
              <w:footnoteReference w:id="64"/>
            </w:r>
          </w:p>
        </w:tc>
        <w:tc>
          <w:tcPr>
            <w:tcW w:w="1230" w:type="dxa"/>
            <w:vAlign w:val="bottom"/>
          </w:tcPr>
          <w:p w:rsidR="00000000" w:rsidRDefault="00000000">
            <w:pPr>
              <w:pStyle w:val="a2"/>
              <w:ind w:right="397"/>
              <w:jc w:val="right"/>
              <w:rPr>
                <w:sz w:val="22"/>
                <w:szCs w:val="22"/>
              </w:rPr>
            </w:pPr>
            <w:r>
              <w:rPr>
                <w:sz w:val="22"/>
                <w:szCs w:val="22"/>
              </w:rPr>
              <w:t>9</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z w:val="20"/>
              </w:rPr>
            </w:pPr>
            <w:r>
              <w:rPr>
                <w:sz w:val="20"/>
              </w:rPr>
              <w:t>基里巴斯</w:t>
            </w:r>
          </w:p>
        </w:tc>
        <w:tc>
          <w:tcPr>
            <w:tcW w:w="1230" w:type="dxa"/>
            <w:vAlign w:val="bottom"/>
          </w:tcPr>
          <w:p w:rsidR="00000000" w:rsidRDefault="00000000">
            <w:pPr>
              <w:pStyle w:val="a2"/>
              <w:ind w:right="397"/>
              <w:jc w:val="right"/>
              <w:rPr>
                <w:sz w:val="22"/>
                <w:szCs w:val="22"/>
              </w:rPr>
            </w:pPr>
            <w:r>
              <w:rPr>
                <w:sz w:val="22"/>
                <w:szCs w:val="22"/>
              </w:rPr>
              <w:t>1</w:t>
            </w:r>
          </w:p>
        </w:tc>
        <w:tc>
          <w:tcPr>
            <w:tcW w:w="1040" w:type="dxa"/>
            <w:vAlign w:val="bottom"/>
          </w:tcPr>
          <w:p w:rsidR="00000000" w:rsidRDefault="00000000">
            <w:pPr>
              <w:pStyle w:val="a2"/>
              <w:ind w:right="284"/>
              <w:jc w:val="right"/>
            </w:pPr>
            <w:r>
              <w:t>1</w:t>
            </w:r>
            <w:r>
              <w:rPr>
                <w:rStyle w:val="StyleFootnoteReference11pt"/>
              </w:rPr>
              <w:footnoteReference w:id="65"/>
            </w:r>
          </w:p>
        </w:tc>
        <w:tc>
          <w:tcPr>
            <w:tcW w:w="1230" w:type="dxa"/>
            <w:vAlign w:val="bottom"/>
          </w:tcPr>
          <w:p w:rsidR="00000000" w:rsidRDefault="00000000">
            <w:pPr>
              <w:pStyle w:val="a2"/>
              <w:ind w:right="397"/>
              <w:jc w:val="right"/>
              <w:rPr>
                <w:sz w:val="22"/>
                <w:szCs w:val="22"/>
              </w:rPr>
            </w:pPr>
            <w:r>
              <w:rPr>
                <w:sz w:val="22"/>
                <w:szCs w:val="22"/>
              </w:rPr>
              <w:t>2</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科威特</w:t>
            </w:r>
          </w:p>
        </w:tc>
        <w:tc>
          <w:tcPr>
            <w:tcW w:w="1230" w:type="dxa"/>
            <w:vAlign w:val="bottom"/>
          </w:tcPr>
          <w:p w:rsidR="00000000" w:rsidRDefault="00000000">
            <w:pPr>
              <w:pStyle w:val="a2"/>
              <w:ind w:right="397"/>
              <w:jc w:val="right"/>
              <w:rPr>
                <w:sz w:val="22"/>
                <w:szCs w:val="22"/>
              </w:rPr>
            </w:pPr>
            <w:r>
              <w:rPr>
                <w:sz w:val="22"/>
                <w:szCs w:val="22"/>
              </w:rPr>
              <w:t>20</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10</w:t>
            </w:r>
          </w:p>
        </w:tc>
        <w:tc>
          <w:tcPr>
            <w:tcW w:w="1175" w:type="dxa"/>
            <w:vAlign w:val="bottom"/>
          </w:tcPr>
          <w:p w:rsidR="00000000" w:rsidRDefault="00000000">
            <w:pPr>
              <w:pStyle w:val="a2"/>
              <w:ind w:right="340"/>
              <w:jc w:val="right"/>
              <w:rPr>
                <w:sz w:val="22"/>
                <w:szCs w:val="22"/>
              </w:rPr>
            </w:pPr>
            <w:r>
              <w:rPr>
                <w:sz w:val="22"/>
                <w:szCs w:val="22"/>
              </w:rPr>
              <w:t>3</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吉尔吉斯斯坦</w:t>
            </w:r>
          </w:p>
        </w:tc>
        <w:tc>
          <w:tcPr>
            <w:tcW w:w="1230" w:type="dxa"/>
            <w:vAlign w:val="bottom"/>
          </w:tcPr>
          <w:p w:rsidR="00000000" w:rsidRDefault="00000000">
            <w:pPr>
              <w:pStyle w:val="a2"/>
              <w:ind w:right="397"/>
              <w:jc w:val="right"/>
              <w:rPr>
                <w:sz w:val="22"/>
                <w:szCs w:val="22"/>
              </w:rPr>
            </w:pPr>
            <w:r>
              <w:rPr>
                <w:sz w:val="22"/>
                <w:szCs w:val="22"/>
              </w:rPr>
              <w:t>8</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9</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right="-57"/>
              <w:jc w:val="left"/>
              <w:rPr>
                <w:rFonts w:hint="eastAsia"/>
                <w:spacing w:val="0"/>
                <w:sz w:val="20"/>
              </w:rPr>
            </w:pPr>
            <w:r>
              <w:rPr>
                <w:rFonts w:hint="eastAsia"/>
                <w:spacing w:val="0"/>
                <w:sz w:val="20"/>
              </w:rPr>
              <w:t>老挝人民民主共和国</w:t>
            </w:r>
          </w:p>
        </w:tc>
        <w:tc>
          <w:tcPr>
            <w:tcW w:w="1230" w:type="dxa"/>
            <w:vAlign w:val="bottom"/>
          </w:tcPr>
          <w:p w:rsidR="00000000" w:rsidRDefault="00000000">
            <w:pPr>
              <w:pStyle w:val="a2"/>
              <w:ind w:right="397"/>
              <w:jc w:val="right"/>
              <w:rPr>
                <w:sz w:val="22"/>
                <w:szCs w:val="22"/>
              </w:rPr>
            </w:pPr>
            <w:r>
              <w:rPr>
                <w:sz w:val="22"/>
                <w:szCs w:val="22"/>
              </w:rPr>
              <w:t>21</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2</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拉脱维亚</w:t>
            </w:r>
          </w:p>
        </w:tc>
        <w:tc>
          <w:tcPr>
            <w:tcW w:w="1230" w:type="dxa"/>
            <w:vAlign w:val="bottom"/>
          </w:tcPr>
          <w:p w:rsidR="00000000" w:rsidRDefault="00000000">
            <w:pPr>
              <w:pStyle w:val="a2"/>
              <w:ind w:right="397"/>
              <w:jc w:val="right"/>
              <w:rPr>
                <w:sz w:val="22"/>
                <w:szCs w:val="22"/>
              </w:rPr>
            </w:pPr>
            <w:r>
              <w:rPr>
                <w:sz w:val="22"/>
                <w:szCs w:val="22"/>
              </w:rPr>
              <w:t>15</w:t>
            </w:r>
          </w:p>
        </w:tc>
        <w:tc>
          <w:tcPr>
            <w:tcW w:w="1040" w:type="dxa"/>
            <w:vAlign w:val="bottom"/>
          </w:tcPr>
          <w:p w:rsidR="00000000" w:rsidRDefault="00000000">
            <w:pPr>
              <w:pStyle w:val="a2"/>
              <w:ind w:right="284"/>
              <w:jc w:val="right"/>
            </w:pPr>
            <w:r>
              <w:t>3</w:t>
            </w:r>
            <w:r>
              <w:rPr>
                <w:rStyle w:val="StyleFootnoteReference11pt"/>
              </w:rPr>
              <w:footnoteReference w:id="66"/>
            </w:r>
          </w:p>
        </w:tc>
        <w:tc>
          <w:tcPr>
            <w:tcW w:w="1230" w:type="dxa"/>
            <w:vAlign w:val="bottom"/>
          </w:tcPr>
          <w:p w:rsidR="00000000" w:rsidRDefault="00000000">
            <w:pPr>
              <w:pStyle w:val="a2"/>
              <w:ind w:right="397"/>
              <w:jc w:val="right"/>
              <w:rPr>
                <w:sz w:val="22"/>
                <w:szCs w:val="22"/>
              </w:rPr>
            </w:pPr>
            <w:r>
              <w:rPr>
                <w:sz w:val="22"/>
                <w:szCs w:val="22"/>
              </w:rPr>
              <w:t>3</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黎巴嫩</w:t>
            </w:r>
          </w:p>
        </w:tc>
        <w:tc>
          <w:tcPr>
            <w:tcW w:w="1230" w:type="dxa"/>
            <w:vAlign w:val="bottom"/>
          </w:tcPr>
          <w:p w:rsidR="00000000" w:rsidRDefault="00000000">
            <w:pPr>
              <w:pStyle w:val="a2"/>
              <w:ind w:right="397"/>
              <w:jc w:val="right"/>
              <w:rPr>
                <w:sz w:val="22"/>
                <w:szCs w:val="22"/>
              </w:rPr>
            </w:pPr>
            <w:r>
              <w:rPr>
                <w:sz w:val="22"/>
                <w:szCs w:val="22"/>
              </w:rPr>
              <w:t>25</w:t>
            </w:r>
          </w:p>
        </w:tc>
        <w:tc>
          <w:tcPr>
            <w:tcW w:w="1040" w:type="dxa"/>
            <w:vAlign w:val="bottom"/>
          </w:tcPr>
          <w:p w:rsidR="00000000" w:rsidRDefault="00000000">
            <w:pPr>
              <w:pStyle w:val="a2"/>
              <w:ind w:right="284"/>
              <w:jc w:val="right"/>
            </w:pPr>
            <w:r>
              <w:t>1</w:t>
            </w:r>
            <w:r>
              <w:rPr>
                <w:rStyle w:val="StyleFootnoteReference11pt"/>
              </w:rPr>
              <w:footnoteReference w:id="67"/>
            </w:r>
          </w:p>
        </w:tc>
        <w:tc>
          <w:tcPr>
            <w:tcW w:w="1230" w:type="dxa"/>
            <w:vAlign w:val="bottom"/>
          </w:tcPr>
          <w:p w:rsidR="00000000" w:rsidRDefault="00000000">
            <w:pPr>
              <w:pStyle w:val="a2"/>
              <w:ind w:right="397"/>
              <w:jc w:val="right"/>
              <w:rPr>
                <w:sz w:val="22"/>
                <w:szCs w:val="22"/>
              </w:rPr>
            </w:pPr>
            <w:r>
              <w:rPr>
                <w:sz w:val="22"/>
                <w:szCs w:val="22"/>
              </w:rPr>
              <w:t>7</w:t>
            </w:r>
          </w:p>
        </w:tc>
        <w:tc>
          <w:tcPr>
            <w:tcW w:w="1175" w:type="dxa"/>
            <w:vAlign w:val="bottom"/>
          </w:tcPr>
          <w:p w:rsidR="00000000" w:rsidRDefault="00000000">
            <w:pPr>
              <w:pStyle w:val="a2"/>
              <w:ind w:right="340"/>
              <w:jc w:val="right"/>
              <w:rPr>
                <w:sz w:val="22"/>
                <w:szCs w:val="22"/>
              </w:rPr>
            </w:pPr>
            <w:r>
              <w:rPr>
                <w:sz w:val="22"/>
                <w:szCs w:val="22"/>
              </w:rPr>
              <w:t>3</w:t>
            </w:r>
          </w:p>
        </w:tc>
        <w:tc>
          <w:tcPr>
            <w:tcW w:w="1863" w:type="dxa"/>
            <w:vAlign w:val="bottom"/>
          </w:tcPr>
          <w:p w:rsidR="00000000" w:rsidRDefault="00000000">
            <w:pPr>
              <w:pStyle w:val="a2"/>
              <w:ind w:right="567"/>
              <w:jc w:val="right"/>
              <w:rPr>
                <w:sz w:val="22"/>
                <w:szCs w:val="22"/>
              </w:rPr>
            </w:pPr>
            <w:r>
              <w:rPr>
                <w:sz w:val="22"/>
                <w:szCs w:val="22"/>
              </w:rPr>
              <w:t>1</w:t>
            </w: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莱索托</w:t>
            </w:r>
          </w:p>
        </w:tc>
        <w:tc>
          <w:tcPr>
            <w:tcW w:w="1230" w:type="dxa"/>
            <w:vAlign w:val="bottom"/>
          </w:tcPr>
          <w:p w:rsidR="00000000" w:rsidRDefault="00000000">
            <w:pPr>
              <w:pStyle w:val="a2"/>
              <w:ind w:right="397"/>
              <w:jc w:val="right"/>
              <w:rPr>
                <w:sz w:val="22"/>
                <w:szCs w:val="22"/>
              </w:rPr>
            </w:pPr>
            <w:r>
              <w:rPr>
                <w:sz w:val="22"/>
                <w:szCs w:val="22"/>
              </w:rPr>
              <w:t>16</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15</w:t>
            </w:r>
          </w:p>
        </w:tc>
        <w:tc>
          <w:tcPr>
            <w:tcW w:w="1175" w:type="dxa"/>
            <w:vAlign w:val="bottom"/>
          </w:tcPr>
          <w:p w:rsidR="00000000" w:rsidRDefault="00000000">
            <w:pPr>
              <w:pStyle w:val="a2"/>
              <w:ind w:right="340"/>
              <w:jc w:val="right"/>
              <w:rPr>
                <w:sz w:val="22"/>
                <w:szCs w:val="22"/>
              </w:rPr>
            </w:pPr>
            <w:r>
              <w:rPr>
                <w:sz w:val="22"/>
                <w:szCs w:val="22"/>
              </w:rPr>
              <w:t>6</w:t>
            </w:r>
          </w:p>
        </w:tc>
        <w:tc>
          <w:tcPr>
            <w:tcW w:w="1863" w:type="dxa"/>
            <w:vAlign w:val="bottom"/>
          </w:tcPr>
          <w:p w:rsidR="00000000" w:rsidRDefault="00000000">
            <w:pPr>
              <w:pStyle w:val="a2"/>
              <w:ind w:right="567"/>
              <w:jc w:val="right"/>
              <w:rPr>
                <w:sz w:val="22"/>
                <w:szCs w:val="22"/>
              </w:rPr>
            </w:pPr>
            <w:r>
              <w:rPr>
                <w:sz w:val="22"/>
                <w:szCs w:val="22"/>
              </w:rPr>
              <w:t>1</w:t>
            </w:r>
          </w:p>
        </w:tc>
        <w:tc>
          <w:tcPr>
            <w:tcW w:w="1034" w:type="dxa"/>
            <w:vAlign w:val="bottom"/>
          </w:tcPr>
          <w:p w:rsidR="00000000" w:rsidRDefault="00000000">
            <w:pPr>
              <w:pStyle w:val="a2"/>
              <w:ind w:right="340"/>
              <w:jc w:val="right"/>
              <w:rPr>
                <w:sz w:val="22"/>
                <w:szCs w:val="22"/>
              </w:rPr>
            </w:pPr>
            <w:r>
              <w:rPr>
                <w:sz w:val="22"/>
                <w:szCs w:val="22"/>
              </w:rPr>
              <w:t>5</w:t>
            </w:r>
          </w:p>
        </w:tc>
      </w:tr>
      <w:tr w:rsidR="00000000">
        <w:tc>
          <w:tcPr>
            <w:tcW w:w="1998" w:type="dxa"/>
            <w:vAlign w:val="bottom"/>
          </w:tcPr>
          <w:p w:rsidR="00000000" w:rsidRDefault="00000000">
            <w:pPr>
              <w:pStyle w:val="a2"/>
              <w:ind w:left="57"/>
              <w:jc w:val="left"/>
              <w:rPr>
                <w:sz w:val="20"/>
              </w:rPr>
            </w:pPr>
            <w:r>
              <w:rPr>
                <w:sz w:val="20"/>
              </w:rPr>
              <w:t>利比里亚</w:t>
            </w:r>
          </w:p>
        </w:tc>
        <w:tc>
          <w:tcPr>
            <w:tcW w:w="1230" w:type="dxa"/>
            <w:vAlign w:val="bottom"/>
          </w:tcPr>
          <w:p w:rsidR="00000000" w:rsidRDefault="00000000">
            <w:pPr>
              <w:pStyle w:val="a2"/>
              <w:ind w:right="397"/>
              <w:jc w:val="right"/>
              <w:rPr>
                <w:sz w:val="22"/>
                <w:szCs w:val="22"/>
              </w:rPr>
            </w:pPr>
            <w:r>
              <w:rPr>
                <w:sz w:val="22"/>
                <w:szCs w:val="22"/>
              </w:rPr>
              <w:t>1</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23</w:t>
            </w:r>
          </w:p>
        </w:tc>
        <w:tc>
          <w:tcPr>
            <w:tcW w:w="1175" w:type="dxa"/>
            <w:vAlign w:val="bottom"/>
          </w:tcPr>
          <w:p w:rsidR="00000000" w:rsidRDefault="00000000">
            <w:pPr>
              <w:pStyle w:val="a2"/>
              <w:ind w:right="340"/>
              <w:jc w:val="right"/>
              <w:rPr>
                <w:sz w:val="22"/>
                <w:szCs w:val="22"/>
              </w:rPr>
            </w:pPr>
            <w:r>
              <w:rPr>
                <w:sz w:val="22"/>
                <w:szCs w:val="22"/>
              </w:rPr>
              <w:t>16</w:t>
            </w:r>
          </w:p>
        </w:tc>
        <w:tc>
          <w:tcPr>
            <w:tcW w:w="1863" w:type="dxa"/>
            <w:vAlign w:val="bottom"/>
          </w:tcPr>
          <w:p w:rsidR="00000000" w:rsidRDefault="00000000">
            <w:pPr>
              <w:pStyle w:val="a2"/>
              <w:ind w:right="567"/>
              <w:jc w:val="right"/>
              <w:rPr>
                <w:sz w:val="22"/>
                <w:szCs w:val="22"/>
              </w:rPr>
            </w:pPr>
            <w:r>
              <w:rPr>
                <w:sz w:val="22"/>
                <w:szCs w:val="22"/>
              </w:rPr>
              <w:t>13</w:t>
            </w:r>
          </w:p>
        </w:tc>
        <w:tc>
          <w:tcPr>
            <w:tcW w:w="1034" w:type="dxa"/>
            <w:vAlign w:val="bottom"/>
          </w:tcPr>
          <w:p w:rsidR="00000000" w:rsidRDefault="00000000">
            <w:pPr>
              <w:pStyle w:val="a2"/>
              <w:ind w:right="340"/>
              <w:jc w:val="right"/>
              <w:rPr>
                <w:sz w:val="22"/>
                <w:szCs w:val="22"/>
              </w:rPr>
            </w:pPr>
            <w:r>
              <w:rPr>
                <w:sz w:val="22"/>
                <w:szCs w:val="22"/>
              </w:rPr>
              <w:t>4</w:t>
            </w:r>
          </w:p>
        </w:tc>
      </w:tr>
      <w:tr w:rsidR="00000000">
        <w:tc>
          <w:tcPr>
            <w:tcW w:w="1998" w:type="dxa"/>
            <w:vAlign w:val="bottom"/>
          </w:tcPr>
          <w:p w:rsidR="00000000" w:rsidRDefault="00000000">
            <w:pPr>
              <w:pStyle w:val="a2"/>
              <w:ind w:left="-57" w:right="-57"/>
              <w:jc w:val="left"/>
              <w:rPr>
                <w:spacing w:val="0"/>
                <w:sz w:val="20"/>
              </w:rPr>
            </w:pPr>
            <w:r>
              <w:rPr>
                <w:spacing w:val="0"/>
                <w:sz w:val="20"/>
              </w:rPr>
              <w:t>阿拉伯利比亚民众国</w:t>
            </w:r>
          </w:p>
        </w:tc>
        <w:tc>
          <w:tcPr>
            <w:tcW w:w="1230" w:type="dxa"/>
            <w:vAlign w:val="bottom"/>
          </w:tcPr>
          <w:p w:rsidR="00000000" w:rsidRDefault="00000000">
            <w:pPr>
              <w:pStyle w:val="a2"/>
              <w:ind w:right="397"/>
              <w:jc w:val="right"/>
              <w:rPr>
                <w:sz w:val="22"/>
                <w:szCs w:val="22"/>
              </w:rPr>
            </w:pPr>
            <w:r>
              <w:rPr>
                <w:sz w:val="22"/>
                <w:szCs w:val="22"/>
              </w:rPr>
              <w:t>30</w:t>
            </w:r>
          </w:p>
        </w:tc>
        <w:tc>
          <w:tcPr>
            <w:tcW w:w="1040" w:type="dxa"/>
            <w:vAlign w:val="bottom"/>
          </w:tcPr>
          <w:p w:rsidR="00000000" w:rsidRDefault="00000000">
            <w:pPr>
              <w:pStyle w:val="a2"/>
              <w:ind w:right="284"/>
              <w:jc w:val="right"/>
            </w:pPr>
            <w:r>
              <w:t>2</w:t>
            </w:r>
            <w:r>
              <w:rPr>
                <w:rStyle w:val="StyleFootnoteReference11pt"/>
              </w:rPr>
              <w:footnoteReference w:id="68"/>
            </w:r>
          </w:p>
        </w:tc>
        <w:tc>
          <w:tcPr>
            <w:tcW w:w="1230" w:type="dxa"/>
            <w:vAlign w:val="bottom"/>
          </w:tcPr>
          <w:p w:rsidR="00000000" w:rsidRDefault="00000000">
            <w:pPr>
              <w:pStyle w:val="a2"/>
              <w:ind w:right="397"/>
              <w:jc w:val="right"/>
              <w:rPr>
                <w:sz w:val="22"/>
                <w:szCs w:val="22"/>
              </w:rPr>
            </w:pPr>
            <w:r>
              <w:rPr>
                <w:sz w:val="22"/>
                <w:szCs w:val="22"/>
              </w:rPr>
              <w:t>6</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列支敦士登</w:t>
            </w:r>
          </w:p>
        </w:tc>
        <w:tc>
          <w:tcPr>
            <w:tcW w:w="1230" w:type="dxa"/>
            <w:vAlign w:val="bottom"/>
          </w:tcPr>
          <w:p w:rsidR="00000000" w:rsidRDefault="00000000">
            <w:pPr>
              <w:pStyle w:val="a2"/>
              <w:ind w:right="397"/>
              <w:jc w:val="right"/>
              <w:rPr>
                <w:sz w:val="22"/>
                <w:szCs w:val="22"/>
              </w:rPr>
            </w:pPr>
            <w:r>
              <w:rPr>
                <w:sz w:val="22"/>
                <w:szCs w:val="22"/>
              </w:rPr>
              <w:t>11</w:t>
            </w:r>
          </w:p>
        </w:tc>
        <w:tc>
          <w:tcPr>
            <w:tcW w:w="1040" w:type="dxa"/>
            <w:vAlign w:val="bottom"/>
          </w:tcPr>
          <w:p w:rsidR="00000000" w:rsidRDefault="00000000">
            <w:pPr>
              <w:pStyle w:val="a2"/>
              <w:ind w:right="284"/>
              <w:jc w:val="right"/>
            </w:pPr>
            <w:r>
              <w:t>4</w:t>
            </w:r>
            <w:r>
              <w:rPr>
                <w:rStyle w:val="StyleFootnoteReference11pt"/>
              </w:rPr>
              <w:footnoteReference w:id="69"/>
            </w:r>
          </w:p>
        </w:tc>
        <w:tc>
          <w:tcPr>
            <w:tcW w:w="1230" w:type="dxa"/>
            <w:vAlign w:val="bottom"/>
          </w:tcPr>
          <w:p w:rsidR="00000000" w:rsidRDefault="00000000">
            <w:pPr>
              <w:pStyle w:val="a2"/>
              <w:ind w:right="397"/>
              <w:jc w:val="right"/>
              <w:rPr>
                <w:sz w:val="22"/>
                <w:szCs w:val="22"/>
              </w:rPr>
            </w:pPr>
            <w:r>
              <w:rPr>
                <w:sz w:val="22"/>
                <w:szCs w:val="22"/>
              </w:rPr>
              <w:t>3</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立陶宛</w:t>
            </w:r>
          </w:p>
        </w:tc>
        <w:tc>
          <w:tcPr>
            <w:tcW w:w="1230" w:type="dxa"/>
            <w:vAlign w:val="bottom"/>
          </w:tcPr>
          <w:p w:rsidR="00000000" w:rsidRDefault="00000000">
            <w:pPr>
              <w:pStyle w:val="a2"/>
              <w:ind w:right="397"/>
              <w:jc w:val="right"/>
              <w:rPr>
                <w:sz w:val="22"/>
                <w:szCs w:val="22"/>
              </w:rPr>
            </w:pPr>
            <w:r>
              <w:rPr>
                <w:sz w:val="22"/>
                <w:szCs w:val="22"/>
              </w:rPr>
              <w:t>12</w:t>
            </w:r>
          </w:p>
        </w:tc>
        <w:tc>
          <w:tcPr>
            <w:tcW w:w="1040" w:type="dxa"/>
            <w:vAlign w:val="bottom"/>
          </w:tcPr>
          <w:p w:rsidR="00000000" w:rsidRDefault="00000000">
            <w:pPr>
              <w:pStyle w:val="a2"/>
              <w:ind w:right="284"/>
              <w:jc w:val="right"/>
            </w:pPr>
            <w:r>
              <w:t>3</w:t>
            </w:r>
            <w:r>
              <w:rPr>
                <w:rStyle w:val="StyleFootnoteReference11pt"/>
              </w:rPr>
              <w:footnoteReference w:id="70"/>
            </w:r>
          </w:p>
        </w:tc>
        <w:tc>
          <w:tcPr>
            <w:tcW w:w="1230" w:type="dxa"/>
            <w:vAlign w:val="bottom"/>
          </w:tcPr>
          <w:p w:rsidR="00000000" w:rsidRDefault="00000000">
            <w:pPr>
              <w:pStyle w:val="a2"/>
              <w:ind w:right="397"/>
              <w:jc w:val="right"/>
              <w:rPr>
                <w:sz w:val="22"/>
                <w:szCs w:val="22"/>
              </w:rPr>
            </w:pPr>
            <w:r>
              <w:rPr>
                <w:sz w:val="22"/>
                <w:szCs w:val="22"/>
              </w:rPr>
              <w:t>3</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卢森堡</w:t>
            </w:r>
          </w:p>
        </w:tc>
        <w:tc>
          <w:tcPr>
            <w:tcW w:w="1230" w:type="dxa"/>
            <w:vAlign w:val="bottom"/>
          </w:tcPr>
          <w:p w:rsidR="00000000" w:rsidRDefault="00000000">
            <w:pPr>
              <w:pStyle w:val="a2"/>
              <w:ind w:right="397"/>
              <w:jc w:val="right"/>
              <w:rPr>
                <w:sz w:val="22"/>
                <w:szCs w:val="22"/>
              </w:rPr>
            </w:pPr>
            <w:r>
              <w:rPr>
                <w:sz w:val="22"/>
                <w:szCs w:val="22"/>
              </w:rPr>
              <w:t>30</w:t>
            </w:r>
          </w:p>
        </w:tc>
        <w:tc>
          <w:tcPr>
            <w:tcW w:w="1040" w:type="dxa"/>
            <w:vAlign w:val="bottom"/>
          </w:tcPr>
          <w:p w:rsidR="00000000" w:rsidRDefault="00000000">
            <w:pPr>
              <w:pStyle w:val="a2"/>
              <w:ind w:right="284"/>
              <w:jc w:val="right"/>
            </w:pPr>
            <w:r>
              <w:t>1</w:t>
            </w:r>
            <w:r>
              <w:rPr>
                <w:rStyle w:val="StyleFootnoteReference11pt"/>
              </w:rPr>
              <w:footnoteReference w:id="71"/>
            </w:r>
          </w:p>
        </w:tc>
        <w:tc>
          <w:tcPr>
            <w:tcW w:w="1230" w:type="dxa"/>
            <w:vAlign w:val="bottom"/>
          </w:tcPr>
          <w:p w:rsidR="00000000" w:rsidRDefault="00000000">
            <w:pPr>
              <w:pStyle w:val="a2"/>
              <w:ind w:right="397"/>
              <w:jc w:val="right"/>
              <w:rPr>
                <w:sz w:val="22"/>
                <w:szCs w:val="22"/>
              </w:rPr>
            </w:pP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马达加斯加</w:t>
            </w:r>
          </w:p>
        </w:tc>
        <w:tc>
          <w:tcPr>
            <w:tcW w:w="1230" w:type="dxa"/>
            <w:vAlign w:val="bottom"/>
          </w:tcPr>
          <w:p w:rsidR="00000000" w:rsidRDefault="00000000">
            <w:pPr>
              <w:pStyle w:val="a2"/>
              <w:ind w:right="397"/>
              <w:jc w:val="right"/>
              <w:rPr>
                <w:sz w:val="22"/>
                <w:szCs w:val="22"/>
              </w:rPr>
            </w:pPr>
            <w:r>
              <w:rPr>
                <w:sz w:val="22"/>
                <w:szCs w:val="22"/>
              </w:rPr>
              <w:t>25</w:t>
            </w:r>
          </w:p>
        </w:tc>
        <w:tc>
          <w:tcPr>
            <w:tcW w:w="1040" w:type="dxa"/>
            <w:vAlign w:val="bottom"/>
          </w:tcPr>
          <w:p w:rsidR="00000000" w:rsidRDefault="00000000">
            <w:pPr>
              <w:pStyle w:val="a2"/>
              <w:ind w:right="284"/>
              <w:jc w:val="right"/>
            </w:pPr>
            <w:r>
              <w:t>1</w:t>
            </w:r>
            <w:r>
              <w:rPr>
                <w:rStyle w:val="StyleFootnoteReference11pt"/>
              </w:rPr>
              <w:footnoteReference w:id="72"/>
            </w:r>
          </w:p>
        </w:tc>
        <w:tc>
          <w:tcPr>
            <w:tcW w:w="1230" w:type="dxa"/>
            <w:vAlign w:val="bottom"/>
          </w:tcPr>
          <w:p w:rsidR="00000000" w:rsidRDefault="00000000">
            <w:pPr>
              <w:pStyle w:val="a2"/>
              <w:ind w:right="397"/>
              <w:jc w:val="right"/>
              <w:rPr>
                <w:sz w:val="22"/>
                <w:szCs w:val="22"/>
              </w:rPr>
            </w:pPr>
            <w:r>
              <w:rPr>
                <w:sz w:val="22"/>
                <w:szCs w:val="22"/>
              </w:rPr>
              <w:t>11</w:t>
            </w:r>
          </w:p>
        </w:tc>
        <w:tc>
          <w:tcPr>
            <w:tcW w:w="1175" w:type="dxa"/>
            <w:vAlign w:val="bottom"/>
          </w:tcPr>
          <w:p w:rsidR="00000000" w:rsidRDefault="00000000">
            <w:pPr>
              <w:pStyle w:val="a2"/>
              <w:ind w:right="340"/>
              <w:jc w:val="right"/>
              <w:rPr>
                <w:sz w:val="22"/>
                <w:szCs w:val="22"/>
              </w:rPr>
            </w:pPr>
            <w:r>
              <w:rPr>
                <w:sz w:val="22"/>
                <w:szCs w:val="22"/>
              </w:rPr>
              <w:t>7</w:t>
            </w:r>
          </w:p>
        </w:tc>
        <w:tc>
          <w:tcPr>
            <w:tcW w:w="1863" w:type="dxa"/>
            <w:vAlign w:val="bottom"/>
          </w:tcPr>
          <w:p w:rsidR="00000000" w:rsidRDefault="00000000">
            <w:pPr>
              <w:pStyle w:val="a2"/>
              <w:ind w:right="567"/>
              <w:jc w:val="right"/>
              <w:rPr>
                <w:sz w:val="22"/>
                <w:szCs w:val="22"/>
              </w:rPr>
            </w:pPr>
            <w:r>
              <w:rPr>
                <w:sz w:val="22"/>
                <w:szCs w:val="22"/>
              </w:rPr>
              <w:t>4</w:t>
            </w: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马拉维</w:t>
            </w:r>
          </w:p>
        </w:tc>
        <w:tc>
          <w:tcPr>
            <w:tcW w:w="1230" w:type="dxa"/>
            <w:vAlign w:val="bottom"/>
          </w:tcPr>
          <w:p w:rsidR="00000000" w:rsidRDefault="00000000">
            <w:pPr>
              <w:pStyle w:val="a2"/>
              <w:ind w:right="397"/>
              <w:jc w:val="right"/>
              <w:rPr>
                <w:sz w:val="22"/>
                <w:szCs w:val="22"/>
              </w:rPr>
            </w:pPr>
            <w:r>
              <w:rPr>
                <w:sz w:val="22"/>
                <w:szCs w:val="22"/>
              </w:rPr>
              <w:t>6</w:t>
            </w:r>
          </w:p>
        </w:tc>
        <w:tc>
          <w:tcPr>
            <w:tcW w:w="1040" w:type="dxa"/>
            <w:vAlign w:val="bottom"/>
          </w:tcPr>
          <w:p w:rsidR="00000000" w:rsidRDefault="00000000">
            <w:pPr>
              <w:pStyle w:val="a2"/>
              <w:ind w:right="284"/>
              <w:jc w:val="right"/>
            </w:pPr>
            <w:r>
              <w:t>4</w:t>
            </w:r>
            <w:r>
              <w:rPr>
                <w:rStyle w:val="StyleFootnoteReference11pt"/>
              </w:rPr>
              <w:footnoteReference w:id="73"/>
            </w:r>
          </w:p>
        </w:tc>
        <w:tc>
          <w:tcPr>
            <w:tcW w:w="1230" w:type="dxa"/>
            <w:vAlign w:val="bottom"/>
          </w:tcPr>
          <w:p w:rsidR="00000000" w:rsidRDefault="00000000">
            <w:pPr>
              <w:pStyle w:val="a2"/>
              <w:ind w:right="397"/>
              <w:jc w:val="right"/>
              <w:rPr>
                <w:sz w:val="22"/>
                <w:szCs w:val="22"/>
              </w:rPr>
            </w:pPr>
            <w:r>
              <w:rPr>
                <w:sz w:val="22"/>
                <w:szCs w:val="22"/>
              </w:rPr>
              <w:t>14</w:t>
            </w:r>
          </w:p>
        </w:tc>
        <w:tc>
          <w:tcPr>
            <w:tcW w:w="1175" w:type="dxa"/>
            <w:vAlign w:val="bottom"/>
          </w:tcPr>
          <w:p w:rsidR="00000000" w:rsidRDefault="00000000">
            <w:pPr>
              <w:pStyle w:val="a2"/>
              <w:ind w:right="340"/>
              <w:jc w:val="right"/>
              <w:rPr>
                <w:sz w:val="22"/>
                <w:szCs w:val="22"/>
              </w:rPr>
            </w:pPr>
            <w:r>
              <w:rPr>
                <w:sz w:val="22"/>
                <w:szCs w:val="22"/>
              </w:rPr>
              <w:t>7</w:t>
            </w:r>
          </w:p>
        </w:tc>
        <w:tc>
          <w:tcPr>
            <w:tcW w:w="1863" w:type="dxa"/>
            <w:vAlign w:val="bottom"/>
          </w:tcPr>
          <w:p w:rsidR="00000000" w:rsidRDefault="00000000">
            <w:pPr>
              <w:pStyle w:val="a2"/>
              <w:ind w:right="567"/>
              <w:jc w:val="right"/>
              <w:rPr>
                <w:sz w:val="22"/>
                <w:szCs w:val="22"/>
              </w:rPr>
            </w:pPr>
            <w:r>
              <w:rPr>
                <w:sz w:val="22"/>
                <w:szCs w:val="22"/>
              </w:rPr>
              <w:t>1</w:t>
            </w:r>
          </w:p>
        </w:tc>
        <w:tc>
          <w:tcPr>
            <w:tcW w:w="1034" w:type="dxa"/>
            <w:vAlign w:val="bottom"/>
          </w:tcPr>
          <w:p w:rsidR="00000000" w:rsidRDefault="00000000">
            <w:pPr>
              <w:pStyle w:val="a2"/>
              <w:ind w:right="340"/>
              <w:jc w:val="right"/>
              <w:rPr>
                <w:sz w:val="22"/>
                <w:szCs w:val="22"/>
              </w:rPr>
            </w:pPr>
            <w:r>
              <w:rPr>
                <w:sz w:val="22"/>
                <w:szCs w:val="22"/>
              </w:rPr>
              <w:t>4</w:t>
            </w:r>
          </w:p>
        </w:tc>
      </w:tr>
      <w:tr w:rsidR="00000000">
        <w:tc>
          <w:tcPr>
            <w:tcW w:w="1998" w:type="dxa"/>
            <w:vAlign w:val="bottom"/>
          </w:tcPr>
          <w:p w:rsidR="00000000" w:rsidRDefault="00000000">
            <w:pPr>
              <w:pStyle w:val="a2"/>
              <w:ind w:left="57"/>
              <w:jc w:val="left"/>
              <w:rPr>
                <w:sz w:val="20"/>
              </w:rPr>
            </w:pPr>
            <w:r>
              <w:rPr>
                <w:sz w:val="20"/>
              </w:rPr>
              <w:t>马来西亚</w:t>
            </w:r>
          </w:p>
        </w:tc>
        <w:tc>
          <w:tcPr>
            <w:tcW w:w="1230" w:type="dxa"/>
            <w:vAlign w:val="bottom"/>
          </w:tcPr>
          <w:p w:rsidR="00000000" w:rsidRDefault="00000000">
            <w:pPr>
              <w:pStyle w:val="a2"/>
              <w:ind w:right="397"/>
              <w:jc w:val="right"/>
              <w:rPr>
                <w:sz w:val="22"/>
                <w:szCs w:val="22"/>
              </w:rPr>
            </w:pPr>
            <w:r>
              <w:rPr>
                <w:sz w:val="22"/>
                <w:szCs w:val="22"/>
              </w:rPr>
              <w:t>2</w:t>
            </w:r>
          </w:p>
        </w:tc>
        <w:tc>
          <w:tcPr>
            <w:tcW w:w="1040" w:type="dxa"/>
            <w:vAlign w:val="bottom"/>
          </w:tcPr>
          <w:p w:rsidR="00000000" w:rsidRDefault="00000000">
            <w:pPr>
              <w:pStyle w:val="a2"/>
              <w:ind w:right="284"/>
              <w:jc w:val="right"/>
            </w:pPr>
            <w:r>
              <w:t>2</w:t>
            </w:r>
            <w:r>
              <w:rPr>
                <w:rStyle w:val="StyleFootnoteReference11pt"/>
              </w:rPr>
              <w:footnoteReference w:id="74"/>
            </w:r>
          </w:p>
        </w:tc>
        <w:tc>
          <w:tcPr>
            <w:tcW w:w="1230" w:type="dxa"/>
            <w:vAlign w:val="bottom"/>
          </w:tcPr>
          <w:p w:rsidR="00000000" w:rsidRDefault="00000000">
            <w:pPr>
              <w:pStyle w:val="a2"/>
              <w:ind w:right="397"/>
              <w:jc w:val="right"/>
              <w:rPr>
                <w:sz w:val="22"/>
                <w:szCs w:val="22"/>
              </w:rPr>
            </w:pPr>
            <w:r>
              <w:rPr>
                <w:sz w:val="22"/>
                <w:szCs w:val="22"/>
              </w:rPr>
              <w:t>3</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马尔代夫</w:t>
            </w:r>
          </w:p>
        </w:tc>
        <w:tc>
          <w:tcPr>
            <w:tcW w:w="1230" w:type="dxa"/>
            <w:vAlign w:val="bottom"/>
          </w:tcPr>
          <w:p w:rsidR="00000000" w:rsidRDefault="00000000">
            <w:pPr>
              <w:pStyle w:val="a2"/>
              <w:ind w:right="397"/>
              <w:jc w:val="right"/>
              <w:rPr>
                <w:sz w:val="22"/>
                <w:szCs w:val="22"/>
              </w:rPr>
            </w:pPr>
            <w:r>
              <w:rPr>
                <w:sz w:val="22"/>
                <w:szCs w:val="22"/>
              </w:rPr>
              <w:t>8</w:t>
            </w:r>
          </w:p>
        </w:tc>
        <w:tc>
          <w:tcPr>
            <w:tcW w:w="1040" w:type="dxa"/>
            <w:vAlign w:val="bottom"/>
          </w:tcPr>
          <w:p w:rsidR="00000000" w:rsidRDefault="00000000">
            <w:pPr>
              <w:pStyle w:val="a2"/>
              <w:ind w:right="284"/>
              <w:jc w:val="right"/>
            </w:pPr>
            <w:r>
              <w:t>2</w:t>
            </w:r>
            <w:r>
              <w:rPr>
                <w:rStyle w:val="StyleFootnoteReference11pt"/>
              </w:rPr>
              <w:footnoteReference w:id="75"/>
            </w:r>
          </w:p>
        </w:tc>
        <w:tc>
          <w:tcPr>
            <w:tcW w:w="1230" w:type="dxa"/>
            <w:vAlign w:val="bottom"/>
          </w:tcPr>
          <w:p w:rsidR="00000000" w:rsidRDefault="00000000">
            <w:pPr>
              <w:pStyle w:val="a2"/>
              <w:ind w:right="397"/>
              <w:jc w:val="right"/>
              <w:rPr>
                <w:sz w:val="22"/>
                <w:szCs w:val="22"/>
              </w:rPr>
            </w:pPr>
            <w:r>
              <w:rPr>
                <w:sz w:val="22"/>
                <w:szCs w:val="22"/>
              </w:rPr>
              <w:t>11</w:t>
            </w:r>
          </w:p>
        </w:tc>
        <w:tc>
          <w:tcPr>
            <w:tcW w:w="1175" w:type="dxa"/>
            <w:vAlign w:val="bottom"/>
          </w:tcPr>
          <w:p w:rsidR="00000000" w:rsidRDefault="00000000">
            <w:pPr>
              <w:pStyle w:val="a2"/>
              <w:ind w:right="340"/>
              <w:jc w:val="right"/>
              <w:rPr>
                <w:sz w:val="22"/>
                <w:szCs w:val="22"/>
              </w:rPr>
            </w:pPr>
            <w:r>
              <w:rPr>
                <w:sz w:val="22"/>
                <w:szCs w:val="22"/>
              </w:rPr>
              <w:t>5</w:t>
            </w:r>
          </w:p>
        </w:tc>
        <w:tc>
          <w:tcPr>
            <w:tcW w:w="1863" w:type="dxa"/>
            <w:vAlign w:val="bottom"/>
          </w:tcPr>
          <w:p w:rsidR="00000000" w:rsidRDefault="00000000">
            <w:pPr>
              <w:pStyle w:val="a2"/>
              <w:ind w:right="567"/>
              <w:jc w:val="right"/>
              <w:rPr>
                <w:sz w:val="22"/>
                <w:szCs w:val="22"/>
              </w:rPr>
            </w:pPr>
            <w:r>
              <w:rPr>
                <w:sz w:val="22"/>
                <w:szCs w:val="22"/>
              </w:rPr>
              <w:t>2</w:t>
            </w: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马里</w:t>
            </w:r>
          </w:p>
        </w:tc>
        <w:tc>
          <w:tcPr>
            <w:tcW w:w="1230" w:type="dxa"/>
            <w:vAlign w:val="bottom"/>
          </w:tcPr>
          <w:p w:rsidR="00000000" w:rsidRDefault="00000000">
            <w:pPr>
              <w:pStyle w:val="a2"/>
              <w:ind w:right="397"/>
              <w:jc w:val="right"/>
              <w:rPr>
                <w:sz w:val="22"/>
                <w:szCs w:val="22"/>
              </w:rPr>
            </w:pPr>
            <w:r>
              <w:rPr>
                <w:sz w:val="22"/>
                <w:szCs w:val="22"/>
              </w:rPr>
              <w:t>24</w:t>
            </w:r>
          </w:p>
        </w:tc>
        <w:tc>
          <w:tcPr>
            <w:tcW w:w="1040" w:type="dxa"/>
            <w:vAlign w:val="bottom"/>
          </w:tcPr>
          <w:p w:rsidR="00000000" w:rsidRDefault="00000000">
            <w:pPr>
              <w:pStyle w:val="a2"/>
              <w:ind w:right="284"/>
              <w:jc w:val="right"/>
            </w:pPr>
            <w:r>
              <w:t>2</w:t>
            </w:r>
            <w:r>
              <w:rPr>
                <w:rStyle w:val="StyleFootnoteReference11pt"/>
              </w:rPr>
              <w:footnoteReference w:id="76"/>
            </w:r>
          </w:p>
        </w:tc>
        <w:tc>
          <w:tcPr>
            <w:tcW w:w="1230" w:type="dxa"/>
            <w:vAlign w:val="bottom"/>
          </w:tcPr>
          <w:p w:rsidR="00000000" w:rsidRDefault="00000000">
            <w:pPr>
              <w:pStyle w:val="a2"/>
              <w:ind w:right="397"/>
              <w:jc w:val="right"/>
              <w:rPr>
                <w:sz w:val="22"/>
                <w:szCs w:val="22"/>
              </w:rPr>
            </w:pPr>
            <w:r>
              <w:rPr>
                <w:sz w:val="22"/>
                <w:szCs w:val="22"/>
              </w:rPr>
              <w:t>12</w:t>
            </w:r>
          </w:p>
        </w:tc>
        <w:tc>
          <w:tcPr>
            <w:tcW w:w="1175" w:type="dxa"/>
            <w:vAlign w:val="bottom"/>
          </w:tcPr>
          <w:p w:rsidR="00000000" w:rsidRDefault="00000000">
            <w:pPr>
              <w:pStyle w:val="a2"/>
              <w:ind w:right="340"/>
              <w:jc w:val="right"/>
              <w:rPr>
                <w:sz w:val="22"/>
                <w:szCs w:val="22"/>
              </w:rPr>
            </w:pPr>
            <w:r>
              <w:rPr>
                <w:sz w:val="22"/>
                <w:szCs w:val="22"/>
              </w:rPr>
              <w:t>4</w:t>
            </w:r>
          </w:p>
        </w:tc>
        <w:tc>
          <w:tcPr>
            <w:tcW w:w="1863" w:type="dxa"/>
            <w:vAlign w:val="bottom"/>
          </w:tcPr>
          <w:p w:rsidR="00000000" w:rsidRDefault="00000000">
            <w:pPr>
              <w:pStyle w:val="a2"/>
              <w:ind w:right="567"/>
              <w:jc w:val="right"/>
              <w:rPr>
                <w:sz w:val="22"/>
                <w:szCs w:val="22"/>
              </w:rPr>
            </w:pPr>
            <w:r>
              <w:rPr>
                <w:sz w:val="22"/>
                <w:szCs w:val="22"/>
              </w:rPr>
              <w:t>2</w:t>
            </w:r>
          </w:p>
        </w:tc>
        <w:tc>
          <w:tcPr>
            <w:tcW w:w="1034" w:type="dxa"/>
            <w:vAlign w:val="bottom"/>
          </w:tcPr>
          <w:p w:rsidR="00000000" w:rsidRDefault="00000000">
            <w:pPr>
              <w:pStyle w:val="a2"/>
              <w:ind w:right="340"/>
              <w:jc w:val="right"/>
              <w:rPr>
                <w:sz w:val="22"/>
                <w:szCs w:val="22"/>
              </w:rPr>
            </w:pPr>
            <w:r>
              <w:rPr>
                <w:sz w:val="22"/>
                <w:szCs w:val="22"/>
              </w:rPr>
              <w:t>4</w:t>
            </w:r>
          </w:p>
        </w:tc>
      </w:tr>
      <w:tr w:rsidR="00000000">
        <w:tc>
          <w:tcPr>
            <w:tcW w:w="1998" w:type="dxa"/>
            <w:vAlign w:val="bottom"/>
          </w:tcPr>
          <w:p w:rsidR="00000000" w:rsidRDefault="00000000">
            <w:pPr>
              <w:pStyle w:val="a2"/>
              <w:ind w:left="57"/>
              <w:jc w:val="left"/>
              <w:rPr>
                <w:sz w:val="20"/>
              </w:rPr>
            </w:pPr>
            <w:r>
              <w:rPr>
                <w:sz w:val="20"/>
              </w:rPr>
              <w:t>马耳他</w:t>
            </w:r>
          </w:p>
        </w:tc>
        <w:tc>
          <w:tcPr>
            <w:tcW w:w="1230" w:type="dxa"/>
            <w:vAlign w:val="bottom"/>
          </w:tcPr>
          <w:p w:rsidR="00000000" w:rsidRDefault="00000000">
            <w:pPr>
              <w:pStyle w:val="a2"/>
              <w:ind w:right="397"/>
              <w:jc w:val="right"/>
              <w:rPr>
                <w:sz w:val="22"/>
                <w:szCs w:val="22"/>
              </w:rPr>
            </w:pPr>
            <w:r>
              <w:rPr>
                <w:sz w:val="22"/>
                <w:szCs w:val="22"/>
              </w:rPr>
              <w:t>23</w:t>
            </w:r>
          </w:p>
        </w:tc>
        <w:tc>
          <w:tcPr>
            <w:tcW w:w="1040" w:type="dxa"/>
            <w:vAlign w:val="bottom"/>
          </w:tcPr>
          <w:p w:rsidR="00000000" w:rsidRDefault="00000000">
            <w:pPr>
              <w:pStyle w:val="a2"/>
              <w:ind w:right="284"/>
              <w:jc w:val="right"/>
            </w:pPr>
            <w:r>
              <w:t>1</w:t>
            </w:r>
            <w:r>
              <w:rPr>
                <w:rStyle w:val="StyleFootnoteReference11pt"/>
              </w:rPr>
              <w:footnoteReference w:id="77"/>
            </w:r>
          </w:p>
        </w:tc>
        <w:tc>
          <w:tcPr>
            <w:tcW w:w="1230" w:type="dxa"/>
            <w:vAlign w:val="bottom"/>
          </w:tcPr>
          <w:p w:rsidR="00000000" w:rsidRDefault="00000000">
            <w:pPr>
              <w:pStyle w:val="a2"/>
              <w:ind w:right="397"/>
              <w:jc w:val="right"/>
              <w:rPr>
                <w:sz w:val="22"/>
                <w:szCs w:val="22"/>
              </w:rPr>
            </w:pPr>
            <w:r>
              <w:rPr>
                <w:sz w:val="22"/>
                <w:szCs w:val="22"/>
              </w:rPr>
              <w:t>10</w:t>
            </w:r>
          </w:p>
        </w:tc>
        <w:tc>
          <w:tcPr>
            <w:tcW w:w="1175" w:type="dxa"/>
            <w:vAlign w:val="bottom"/>
          </w:tcPr>
          <w:p w:rsidR="00000000" w:rsidRDefault="00000000">
            <w:pPr>
              <w:pStyle w:val="a2"/>
              <w:ind w:right="340"/>
              <w:jc w:val="right"/>
              <w:rPr>
                <w:sz w:val="22"/>
                <w:szCs w:val="22"/>
              </w:rPr>
            </w:pPr>
            <w:r>
              <w:rPr>
                <w:sz w:val="22"/>
                <w:szCs w:val="22"/>
              </w:rPr>
              <w:t>4</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马绍尔群岛</w:t>
            </w:r>
          </w:p>
        </w:tc>
        <w:tc>
          <w:tcPr>
            <w:tcW w:w="1230" w:type="dxa"/>
            <w:vAlign w:val="bottom"/>
          </w:tcPr>
          <w:p w:rsidR="00000000" w:rsidRDefault="00000000">
            <w:pPr>
              <w:pStyle w:val="a2"/>
              <w:ind w:right="397"/>
              <w:jc w:val="right"/>
              <w:rPr>
                <w:sz w:val="22"/>
                <w:szCs w:val="22"/>
              </w:rPr>
            </w:pPr>
            <w:r>
              <w:rPr>
                <w:sz w:val="22"/>
                <w:szCs w:val="22"/>
              </w:rPr>
              <w:t>2</w:t>
            </w:r>
          </w:p>
        </w:tc>
        <w:tc>
          <w:tcPr>
            <w:tcW w:w="1040" w:type="dxa"/>
            <w:vAlign w:val="bottom"/>
          </w:tcPr>
          <w:p w:rsidR="00000000" w:rsidRDefault="00000000">
            <w:pPr>
              <w:pStyle w:val="a2"/>
              <w:ind w:right="284"/>
              <w:jc w:val="right"/>
            </w:pPr>
            <w:r>
              <w:t>1</w:t>
            </w:r>
            <w:r>
              <w:rPr>
                <w:rStyle w:val="StyleFootnoteReference11pt"/>
              </w:rPr>
              <w:footnoteReference w:id="78"/>
            </w:r>
          </w:p>
        </w:tc>
        <w:tc>
          <w:tcPr>
            <w:tcW w:w="1230" w:type="dxa"/>
            <w:vAlign w:val="bottom"/>
          </w:tcPr>
          <w:p w:rsidR="00000000" w:rsidRDefault="00000000">
            <w:pPr>
              <w:pStyle w:val="a2"/>
              <w:ind w:right="397"/>
              <w:jc w:val="right"/>
              <w:rPr>
                <w:sz w:val="22"/>
                <w:szCs w:val="22"/>
              </w:rPr>
            </w:pPr>
            <w:r>
              <w:rPr>
                <w:sz w:val="22"/>
                <w:szCs w:val="22"/>
              </w:rPr>
              <w:t>1</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毛里塔尼亚</w:t>
            </w:r>
          </w:p>
        </w:tc>
        <w:tc>
          <w:tcPr>
            <w:tcW w:w="1230" w:type="dxa"/>
            <w:vAlign w:val="bottom"/>
          </w:tcPr>
          <w:p w:rsidR="00000000" w:rsidRDefault="00000000">
            <w:pPr>
              <w:pStyle w:val="a2"/>
              <w:ind w:right="397"/>
              <w:jc w:val="right"/>
              <w:rPr>
                <w:sz w:val="22"/>
                <w:szCs w:val="22"/>
              </w:rPr>
            </w:pPr>
            <w:r>
              <w:rPr>
                <w:sz w:val="22"/>
                <w:szCs w:val="22"/>
              </w:rPr>
              <w:t>9</w:t>
            </w:r>
          </w:p>
        </w:tc>
        <w:tc>
          <w:tcPr>
            <w:tcW w:w="1040" w:type="dxa"/>
            <w:vAlign w:val="bottom"/>
          </w:tcPr>
          <w:p w:rsidR="00000000" w:rsidRDefault="00000000">
            <w:pPr>
              <w:pStyle w:val="a2"/>
              <w:ind w:right="284"/>
              <w:jc w:val="right"/>
            </w:pPr>
            <w:r>
              <w:t>1</w:t>
            </w:r>
            <w:r>
              <w:rPr>
                <w:rStyle w:val="StyleFootnoteReference11pt"/>
              </w:rPr>
              <w:footnoteReference w:id="79"/>
            </w:r>
          </w:p>
        </w:tc>
        <w:tc>
          <w:tcPr>
            <w:tcW w:w="1230" w:type="dxa"/>
            <w:vAlign w:val="bottom"/>
          </w:tcPr>
          <w:p w:rsidR="00000000" w:rsidRDefault="00000000">
            <w:pPr>
              <w:pStyle w:val="a2"/>
              <w:ind w:right="397"/>
              <w:jc w:val="right"/>
              <w:rPr>
                <w:sz w:val="22"/>
                <w:szCs w:val="22"/>
              </w:rPr>
            </w:pPr>
            <w:r>
              <w:rPr>
                <w:sz w:val="22"/>
                <w:szCs w:val="22"/>
              </w:rPr>
              <w:t>2</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毛里求斯</w:t>
            </w:r>
          </w:p>
        </w:tc>
        <w:tc>
          <w:tcPr>
            <w:tcW w:w="1230" w:type="dxa"/>
            <w:vAlign w:val="bottom"/>
          </w:tcPr>
          <w:p w:rsidR="00000000" w:rsidRDefault="00000000">
            <w:pPr>
              <w:pStyle w:val="a2"/>
              <w:ind w:right="397"/>
              <w:jc w:val="right"/>
              <w:rPr>
                <w:sz w:val="22"/>
                <w:szCs w:val="22"/>
              </w:rPr>
            </w:pPr>
            <w:r>
              <w:rPr>
                <w:sz w:val="22"/>
                <w:szCs w:val="22"/>
              </w:rPr>
              <w:t>28</w:t>
            </w:r>
          </w:p>
        </w:tc>
        <w:tc>
          <w:tcPr>
            <w:tcW w:w="1040" w:type="dxa"/>
            <w:vAlign w:val="bottom"/>
          </w:tcPr>
          <w:p w:rsidR="00000000" w:rsidRDefault="00000000">
            <w:pPr>
              <w:pStyle w:val="a2"/>
              <w:ind w:right="284"/>
              <w:jc w:val="right"/>
            </w:pPr>
            <w:r>
              <w:t>3</w:t>
            </w:r>
            <w:r>
              <w:rPr>
                <w:rStyle w:val="StyleFootnoteReference11pt"/>
              </w:rPr>
              <w:footnoteReference w:id="80"/>
            </w:r>
          </w:p>
        </w:tc>
        <w:tc>
          <w:tcPr>
            <w:tcW w:w="1230" w:type="dxa"/>
            <w:vAlign w:val="bottom"/>
          </w:tcPr>
          <w:p w:rsidR="00000000" w:rsidRDefault="00000000">
            <w:pPr>
              <w:pStyle w:val="a2"/>
              <w:ind w:right="397"/>
              <w:jc w:val="right"/>
              <w:rPr>
                <w:sz w:val="22"/>
                <w:szCs w:val="22"/>
              </w:rPr>
            </w:pPr>
            <w:r>
              <w:rPr>
                <w:sz w:val="22"/>
                <w:szCs w:val="22"/>
              </w:rPr>
              <w:t>9</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r>
              <w:rPr>
                <w:sz w:val="22"/>
                <w:szCs w:val="22"/>
              </w:rPr>
              <w:t>1</w:t>
            </w: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墨西哥</w:t>
            </w:r>
          </w:p>
        </w:tc>
        <w:tc>
          <w:tcPr>
            <w:tcW w:w="1230" w:type="dxa"/>
            <w:vAlign w:val="bottom"/>
          </w:tcPr>
          <w:p w:rsidR="00000000" w:rsidRDefault="00000000">
            <w:pPr>
              <w:pStyle w:val="a2"/>
              <w:ind w:right="397"/>
              <w:jc w:val="right"/>
              <w:rPr>
                <w:sz w:val="22"/>
                <w:szCs w:val="22"/>
              </w:rPr>
            </w:pPr>
            <w:r>
              <w:rPr>
                <w:sz w:val="22"/>
                <w:szCs w:val="22"/>
              </w:rPr>
              <w:t>37</w:t>
            </w:r>
          </w:p>
        </w:tc>
        <w:tc>
          <w:tcPr>
            <w:tcW w:w="1040" w:type="dxa"/>
            <w:vAlign w:val="bottom"/>
          </w:tcPr>
          <w:p w:rsidR="00000000" w:rsidRDefault="00000000">
            <w:pPr>
              <w:pStyle w:val="a2"/>
              <w:ind w:right="284"/>
              <w:jc w:val="right"/>
            </w:pPr>
            <w:r>
              <w:t>9</w:t>
            </w:r>
            <w:r>
              <w:rPr>
                <w:rStyle w:val="StyleFootnoteReference11pt"/>
              </w:rPr>
              <w:footnoteReference w:id="81"/>
            </w:r>
          </w:p>
        </w:tc>
        <w:tc>
          <w:tcPr>
            <w:tcW w:w="1230" w:type="dxa"/>
            <w:vAlign w:val="bottom"/>
          </w:tcPr>
          <w:p w:rsidR="00000000" w:rsidRDefault="00000000">
            <w:pPr>
              <w:pStyle w:val="a2"/>
              <w:ind w:right="397"/>
              <w:jc w:val="right"/>
              <w:rPr>
                <w:sz w:val="22"/>
                <w:szCs w:val="22"/>
              </w:rPr>
            </w:pPr>
            <w:r>
              <w:rPr>
                <w:sz w:val="22"/>
                <w:szCs w:val="22"/>
              </w:rPr>
              <w:t>4</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rFonts w:hint="eastAsia"/>
                <w:spacing w:val="0"/>
                <w:sz w:val="20"/>
              </w:rPr>
            </w:pPr>
            <w:r>
              <w:rPr>
                <w:rFonts w:hint="eastAsia"/>
                <w:spacing w:val="0"/>
                <w:sz w:val="20"/>
              </w:rPr>
              <w:t>密克罗尼西亚联邦</w:t>
            </w:r>
          </w:p>
        </w:tc>
        <w:tc>
          <w:tcPr>
            <w:tcW w:w="1230" w:type="dxa"/>
            <w:vAlign w:val="bottom"/>
          </w:tcPr>
          <w:p w:rsidR="00000000" w:rsidRDefault="00000000">
            <w:pPr>
              <w:pStyle w:val="a2"/>
              <w:ind w:right="397"/>
              <w:jc w:val="right"/>
              <w:rPr>
                <w:sz w:val="22"/>
                <w:szCs w:val="22"/>
              </w:rPr>
            </w:pPr>
            <w:r>
              <w:rPr>
                <w:sz w:val="22"/>
                <w:szCs w:val="22"/>
              </w:rPr>
              <w:t>1</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2</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摩纳哥</w:t>
            </w:r>
          </w:p>
        </w:tc>
        <w:tc>
          <w:tcPr>
            <w:tcW w:w="1230" w:type="dxa"/>
            <w:vAlign w:val="bottom"/>
          </w:tcPr>
          <w:p w:rsidR="00000000" w:rsidRDefault="00000000">
            <w:pPr>
              <w:pStyle w:val="a2"/>
              <w:ind w:right="397"/>
              <w:jc w:val="right"/>
              <w:rPr>
                <w:sz w:val="22"/>
                <w:szCs w:val="22"/>
              </w:rPr>
            </w:pPr>
            <w:r>
              <w:rPr>
                <w:sz w:val="22"/>
                <w:szCs w:val="22"/>
              </w:rPr>
              <w:t>7</w:t>
            </w:r>
          </w:p>
        </w:tc>
        <w:tc>
          <w:tcPr>
            <w:tcW w:w="1040" w:type="dxa"/>
            <w:vAlign w:val="bottom"/>
          </w:tcPr>
          <w:p w:rsidR="00000000" w:rsidRDefault="00000000">
            <w:pPr>
              <w:pStyle w:val="a2"/>
              <w:ind w:right="284"/>
              <w:jc w:val="right"/>
            </w:pPr>
            <w:r>
              <w:t>2</w:t>
            </w:r>
            <w:r>
              <w:rPr>
                <w:rStyle w:val="StyleFootnoteReference11pt"/>
              </w:rPr>
              <w:footnoteReference w:id="82"/>
            </w:r>
          </w:p>
        </w:tc>
        <w:tc>
          <w:tcPr>
            <w:tcW w:w="1230" w:type="dxa"/>
            <w:vAlign w:val="bottom"/>
          </w:tcPr>
          <w:p w:rsidR="00000000" w:rsidRDefault="00000000">
            <w:pPr>
              <w:pStyle w:val="a2"/>
              <w:ind w:right="397"/>
              <w:jc w:val="right"/>
              <w:rPr>
                <w:sz w:val="22"/>
                <w:szCs w:val="22"/>
              </w:rPr>
            </w:pPr>
            <w:r>
              <w:rPr>
                <w:sz w:val="22"/>
                <w:szCs w:val="22"/>
              </w:rPr>
              <w:t>7</w:t>
            </w:r>
          </w:p>
        </w:tc>
        <w:tc>
          <w:tcPr>
            <w:tcW w:w="1175" w:type="dxa"/>
            <w:vAlign w:val="bottom"/>
          </w:tcPr>
          <w:p w:rsidR="00000000" w:rsidRDefault="00000000">
            <w:pPr>
              <w:pStyle w:val="a2"/>
              <w:ind w:right="340"/>
              <w:jc w:val="right"/>
              <w:rPr>
                <w:sz w:val="22"/>
                <w:szCs w:val="22"/>
              </w:rPr>
            </w:pPr>
            <w:r>
              <w:rPr>
                <w:sz w:val="22"/>
                <w:szCs w:val="22"/>
              </w:rPr>
              <w:t>4</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蒙古</w:t>
            </w:r>
          </w:p>
        </w:tc>
        <w:tc>
          <w:tcPr>
            <w:tcW w:w="1230" w:type="dxa"/>
            <w:vAlign w:val="bottom"/>
          </w:tcPr>
          <w:p w:rsidR="00000000" w:rsidRDefault="00000000">
            <w:pPr>
              <w:pStyle w:val="a2"/>
              <w:ind w:right="397"/>
              <w:jc w:val="right"/>
              <w:rPr>
                <w:sz w:val="22"/>
                <w:szCs w:val="22"/>
              </w:rPr>
            </w:pPr>
            <w:r>
              <w:rPr>
                <w:sz w:val="22"/>
                <w:szCs w:val="22"/>
              </w:rPr>
              <w:t>31</w:t>
            </w:r>
          </w:p>
        </w:tc>
        <w:tc>
          <w:tcPr>
            <w:tcW w:w="1040" w:type="dxa"/>
            <w:vAlign w:val="bottom"/>
          </w:tcPr>
          <w:p w:rsidR="00000000" w:rsidRDefault="00000000">
            <w:pPr>
              <w:pStyle w:val="a2"/>
              <w:ind w:right="284"/>
              <w:jc w:val="right"/>
            </w:pPr>
            <w:r>
              <w:t>3</w:t>
            </w:r>
            <w:r>
              <w:rPr>
                <w:rStyle w:val="StyleFootnoteReference11pt"/>
              </w:rPr>
              <w:footnoteReference w:id="83"/>
            </w:r>
          </w:p>
        </w:tc>
        <w:tc>
          <w:tcPr>
            <w:tcW w:w="1230" w:type="dxa"/>
            <w:vAlign w:val="bottom"/>
          </w:tcPr>
          <w:p w:rsidR="00000000" w:rsidRDefault="00000000">
            <w:pPr>
              <w:pStyle w:val="a2"/>
              <w:ind w:right="397"/>
              <w:jc w:val="right"/>
              <w:rPr>
                <w:sz w:val="22"/>
                <w:szCs w:val="22"/>
              </w:rPr>
            </w:pPr>
            <w:r>
              <w:rPr>
                <w:sz w:val="22"/>
                <w:szCs w:val="22"/>
              </w:rPr>
              <w:t>6</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摩洛哥</w:t>
            </w:r>
          </w:p>
        </w:tc>
        <w:tc>
          <w:tcPr>
            <w:tcW w:w="1230" w:type="dxa"/>
            <w:vAlign w:val="bottom"/>
          </w:tcPr>
          <w:p w:rsidR="00000000" w:rsidRDefault="00000000">
            <w:pPr>
              <w:pStyle w:val="a2"/>
              <w:ind w:right="397"/>
              <w:jc w:val="right"/>
              <w:rPr>
                <w:sz w:val="22"/>
                <w:szCs w:val="22"/>
              </w:rPr>
            </w:pPr>
            <w:r>
              <w:rPr>
                <w:sz w:val="22"/>
                <w:szCs w:val="22"/>
              </w:rPr>
              <w:t>32</w:t>
            </w:r>
          </w:p>
        </w:tc>
        <w:tc>
          <w:tcPr>
            <w:tcW w:w="1040" w:type="dxa"/>
            <w:vAlign w:val="bottom"/>
          </w:tcPr>
          <w:p w:rsidR="00000000" w:rsidRDefault="00000000">
            <w:pPr>
              <w:pStyle w:val="a2"/>
              <w:ind w:right="284"/>
              <w:jc w:val="right"/>
            </w:pPr>
            <w:r>
              <w:t>1</w:t>
            </w:r>
            <w:r>
              <w:rPr>
                <w:rStyle w:val="StyleFootnoteReference11pt"/>
              </w:rPr>
              <w:footnoteReference w:id="84"/>
            </w:r>
          </w:p>
        </w:tc>
        <w:tc>
          <w:tcPr>
            <w:tcW w:w="1230" w:type="dxa"/>
            <w:vAlign w:val="bottom"/>
          </w:tcPr>
          <w:p w:rsidR="00000000" w:rsidRDefault="00000000">
            <w:pPr>
              <w:pStyle w:val="a2"/>
              <w:ind w:right="397"/>
              <w:jc w:val="right"/>
              <w:rPr>
                <w:sz w:val="22"/>
                <w:szCs w:val="22"/>
              </w:rPr>
            </w:pPr>
            <w:r>
              <w:rPr>
                <w:sz w:val="22"/>
                <w:szCs w:val="22"/>
              </w:rPr>
              <w:t>5</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莫桑比克</w:t>
            </w:r>
          </w:p>
        </w:tc>
        <w:tc>
          <w:tcPr>
            <w:tcW w:w="1230" w:type="dxa"/>
            <w:vAlign w:val="bottom"/>
          </w:tcPr>
          <w:p w:rsidR="00000000" w:rsidRDefault="00000000">
            <w:pPr>
              <w:pStyle w:val="a2"/>
              <w:ind w:right="397"/>
              <w:jc w:val="right"/>
              <w:rPr>
                <w:sz w:val="22"/>
                <w:szCs w:val="22"/>
              </w:rPr>
            </w:pPr>
            <w:r>
              <w:rPr>
                <w:sz w:val="22"/>
                <w:szCs w:val="22"/>
              </w:rPr>
              <w:t>4</w:t>
            </w:r>
          </w:p>
        </w:tc>
        <w:tc>
          <w:tcPr>
            <w:tcW w:w="1040" w:type="dxa"/>
            <w:vAlign w:val="bottom"/>
          </w:tcPr>
          <w:p w:rsidR="00000000" w:rsidRDefault="00000000">
            <w:pPr>
              <w:pStyle w:val="a2"/>
              <w:ind w:right="284"/>
              <w:jc w:val="right"/>
            </w:pPr>
            <w:r>
              <w:t>2</w:t>
            </w:r>
            <w:r>
              <w:rPr>
                <w:rStyle w:val="StyleFootnoteReference11pt"/>
              </w:rPr>
              <w:footnoteReference w:id="85"/>
            </w:r>
          </w:p>
        </w:tc>
        <w:tc>
          <w:tcPr>
            <w:tcW w:w="1230" w:type="dxa"/>
            <w:vAlign w:val="bottom"/>
          </w:tcPr>
          <w:p w:rsidR="00000000" w:rsidRDefault="00000000">
            <w:pPr>
              <w:pStyle w:val="a2"/>
              <w:ind w:right="397"/>
              <w:jc w:val="right"/>
              <w:rPr>
                <w:sz w:val="22"/>
                <w:szCs w:val="22"/>
              </w:rPr>
            </w:pPr>
            <w:r>
              <w:rPr>
                <w:sz w:val="22"/>
                <w:szCs w:val="22"/>
              </w:rPr>
              <w:t>17</w:t>
            </w:r>
          </w:p>
        </w:tc>
        <w:tc>
          <w:tcPr>
            <w:tcW w:w="1175" w:type="dxa"/>
            <w:vAlign w:val="bottom"/>
          </w:tcPr>
          <w:p w:rsidR="00000000" w:rsidRDefault="00000000">
            <w:pPr>
              <w:pStyle w:val="a2"/>
              <w:ind w:right="340"/>
              <w:jc w:val="right"/>
              <w:rPr>
                <w:sz w:val="22"/>
                <w:szCs w:val="22"/>
              </w:rPr>
            </w:pPr>
            <w:r>
              <w:rPr>
                <w:sz w:val="22"/>
                <w:szCs w:val="22"/>
              </w:rPr>
              <w:t>11</w:t>
            </w:r>
          </w:p>
        </w:tc>
        <w:tc>
          <w:tcPr>
            <w:tcW w:w="1863" w:type="dxa"/>
            <w:vAlign w:val="bottom"/>
          </w:tcPr>
          <w:p w:rsidR="00000000" w:rsidRDefault="00000000">
            <w:pPr>
              <w:pStyle w:val="a2"/>
              <w:ind w:right="567"/>
              <w:jc w:val="right"/>
              <w:rPr>
                <w:sz w:val="22"/>
                <w:szCs w:val="22"/>
              </w:rPr>
            </w:pPr>
            <w:r>
              <w:rPr>
                <w:sz w:val="22"/>
                <w:szCs w:val="22"/>
              </w:rPr>
              <w:t>6</w:t>
            </w: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z w:val="20"/>
              </w:rPr>
            </w:pPr>
            <w:r>
              <w:rPr>
                <w:sz w:val="20"/>
              </w:rPr>
              <w:t>缅甸</w:t>
            </w:r>
          </w:p>
        </w:tc>
        <w:tc>
          <w:tcPr>
            <w:tcW w:w="1230" w:type="dxa"/>
            <w:vAlign w:val="bottom"/>
          </w:tcPr>
          <w:p w:rsidR="00000000" w:rsidRDefault="00000000">
            <w:pPr>
              <w:pStyle w:val="a2"/>
              <w:ind w:right="397"/>
              <w:jc w:val="right"/>
              <w:rPr>
                <w:sz w:val="22"/>
                <w:szCs w:val="22"/>
              </w:rPr>
            </w:pPr>
            <w:r>
              <w:rPr>
                <w:sz w:val="22"/>
                <w:szCs w:val="22"/>
              </w:rPr>
              <w:t>3</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纳米比亚</w:t>
            </w:r>
          </w:p>
        </w:tc>
        <w:tc>
          <w:tcPr>
            <w:tcW w:w="1230" w:type="dxa"/>
            <w:vAlign w:val="bottom"/>
          </w:tcPr>
          <w:p w:rsidR="00000000" w:rsidRDefault="00000000">
            <w:pPr>
              <w:pStyle w:val="a2"/>
              <w:ind w:right="397"/>
              <w:jc w:val="right"/>
              <w:rPr>
                <w:sz w:val="22"/>
                <w:szCs w:val="22"/>
              </w:rPr>
            </w:pPr>
            <w:r>
              <w:rPr>
                <w:sz w:val="22"/>
                <w:szCs w:val="22"/>
              </w:rPr>
              <w:t>13</w:t>
            </w:r>
          </w:p>
        </w:tc>
        <w:tc>
          <w:tcPr>
            <w:tcW w:w="1040" w:type="dxa"/>
            <w:vAlign w:val="bottom"/>
          </w:tcPr>
          <w:p w:rsidR="00000000" w:rsidRDefault="00000000">
            <w:pPr>
              <w:pStyle w:val="a2"/>
              <w:ind w:right="284"/>
              <w:jc w:val="right"/>
            </w:pPr>
            <w:r>
              <w:t>2</w:t>
            </w:r>
            <w:r>
              <w:rPr>
                <w:rStyle w:val="StyleFootnoteReference11pt"/>
              </w:rPr>
              <w:footnoteReference w:id="86"/>
            </w:r>
          </w:p>
        </w:tc>
        <w:tc>
          <w:tcPr>
            <w:tcW w:w="1230" w:type="dxa"/>
            <w:vAlign w:val="bottom"/>
          </w:tcPr>
          <w:p w:rsidR="00000000" w:rsidRDefault="00000000">
            <w:pPr>
              <w:pStyle w:val="a2"/>
              <w:ind w:right="397"/>
              <w:jc w:val="right"/>
              <w:rPr>
                <w:sz w:val="22"/>
                <w:szCs w:val="22"/>
              </w:rPr>
            </w:pPr>
            <w:r>
              <w:rPr>
                <w:sz w:val="22"/>
                <w:szCs w:val="22"/>
              </w:rPr>
              <w:t>14</w:t>
            </w:r>
          </w:p>
        </w:tc>
        <w:tc>
          <w:tcPr>
            <w:tcW w:w="1175" w:type="dxa"/>
            <w:vAlign w:val="bottom"/>
          </w:tcPr>
          <w:p w:rsidR="00000000" w:rsidRDefault="00000000">
            <w:pPr>
              <w:pStyle w:val="a2"/>
              <w:ind w:right="340"/>
              <w:jc w:val="right"/>
              <w:rPr>
                <w:sz w:val="22"/>
                <w:szCs w:val="22"/>
              </w:rPr>
            </w:pPr>
            <w:r>
              <w:rPr>
                <w:sz w:val="22"/>
                <w:szCs w:val="22"/>
              </w:rPr>
              <w:t>5</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z w:val="20"/>
              </w:rPr>
            </w:pPr>
            <w:r>
              <w:rPr>
                <w:sz w:val="20"/>
              </w:rPr>
              <w:t>瑙鲁</w:t>
            </w:r>
          </w:p>
        </w:tc>
        <w:tc>
          <w:tcPr>
            <w:tcW w:w="1230" w:type="dxa"/>
            <w:vAlign w:val="bottom"/>
          </w:tcPr>
          <w:p w:rsidR="00000000" w:rsidRDefault="00000000">
            <w:pPr>
              <w:pStyle w:val="a2"/>
              <w:ind w:right="397"/>
              <w:jc w:val="right"/>
              <w:rPr>
                <w:sz w:val="22"/>
                <w:szCs w:val="22"/>
              </w:rPr>
            </w:pPr>
            <w:r>
              <w:rPr>
                <w:sz w:val="22"/>
                <w:szCs w:val="22"/>
              </w:rPr>
              <w:t>0</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2</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尼泊尔</w:t>
            </w:r>
          </w:p>
        </w:tc>
        <w:tc>
          <w:tcPr>
            <w:tcW w:w="1230" w:type="dxa"/>
            <w:vAlign w:val="bottom"/>
          </w:tcPr>
          <w:p w:rsidR="00000000" w:rsidRDefault="00000000">
            <w:pPr>
              <w:pStyle w:val="a2"/>
              <w:ind w:right="397"/>
              <w:jc w:val="right"/>
              <w:rPr>
                <w:sz w:val="22"/>
                <w:szCs w:val="22"/>
              </w:rPr>
            </w:pPr>
            <w:r>
              <w:rPr>
                <w:sz w:val="22"/>
                <w:szCs w:val="22"/>
              </w:rPr>
              <w:t>25</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2</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荷兰</w:t>
            </w:r>
          </w:p>
        </w:tc>
        <w:tc>
          <w:tcPr>
            <w:tcW w:w="1230" w:type="dxa"/>
            <w:vAlign w:val="bottom"/>
          </w:tcPr>
          <w:p w:rsidR="00000000" w:rsidRDefault="00000000">
            <w:pPr>
              <w:pStyle w:val="a2"/>
              <w:ind w:right="397"/>
              <w:jc w:val="right"/>
              <w:rPr>
                <w:sz w:val="22"/>
                <w:szCs w:val="22"/>
              </w:rPr>
            </w:pPr>
            <w:r>
              <w:rPr>
                <w:sz w:val="22"/>
                <w:szCs w:val="22"/>
              </w:rPr>
              <w:t>32</w:t>
            </w:r>
          </w:p>
        </w:tc>
        <w:tc>
          <w:tcPr>
            <w:tcW w:w="1040" w:type="dxa"/>
            <w:vAlign w:val="bottom"/>
          </w:tcPr>
          <w:p w:rsidR="00000000" w:rsidRDefault="00000000">
            <w:pPr>
              <w:pStyle w:val="a2"/>
              <w:ind w:right="284"/>
              <w:jc w:val="right"/>
            </w:pPr>
            <w:r>
              <w:t>3</w:t>
            </w:r>
            <w:r>
              <w:rPr>
                <w:rStyle w:val="StyleFootnoteReference11pt"/>
              </w:rPr>
              <w:footnoteReference w:id="87"/>
            </w:r>
          </w:p>
        </w:tc>
        <w:tc>
          <w:tcPr>
            <w:tcW w:w="1230" w:type="dxa"/>
            <w:vAlign w:val="bottom"/>
          </w:tcPr>
          <w:p w:rsidR="00000000" w:rsidRDefault="00000000">
            <w:pPr>
              <w:pStyle w:val="a2"/>
              <w:ind w:right="397"/>
              <w:jc w:val="right"/>
              <w:rPr>
                <w:sz w:val="22"/>
                <w:szCs w:val="22"/>
              </w:rPr>
            </w:pPr>
            <w:r>
              <w:rPr>
                <w:sz w:val="22"/>
                <w:szCs w:val="22"/>
              </w:rPr>
              <w:t>1</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新西兰</w:t>
            </w:r>
          </w:p>
        </w:tc>
        <w:tc>
          <w:tcPr>
            <w:tcW w:w="1230" w:type="dxa"/>
            <w:vAlign w:val="bottom"/>
          </w:tcPr>
          <w:p w:rsidR="00000000" w:rsidRDefault="00000000">
            <w:pPr>
              <w:pStyle w:val="a2"/>
              <w:ind w:right="397"/>
              <w:jc w:val="right"/>
              <w:rPr>
                <w:sz w:val="22"/>
                <w:szCs w:val="22"/>
              </w:rPr>
            </w:pPr>
            <w:r>
              <w:rPr>
                <w:sz w:val="22"/>
                <w:szCs w:val="22"/>
              </w:rPr>
              <w:t>32</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4</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尼加拉瓜</w:t>
            </w:r>
          </w:p>
        </w:tc>
        <w:tc>
          <w:tcPr>
            <w:tcW w:w="1230" w:type="dxa"/>
            <w:vAlign w:val="bottom"/>
          </w:tcPr>
          <w:p w:rsidR="00000000" w:rsidRDefault="00000000">
            <w:pPr>
              <w:pStyle w:val="a2"/>
              <w:ind w:right="397"/>
              <w:jc w:val="right"/>
              <w:rPr>
                <w:sz w:val="22"/>
                <w:szCs w:val="22"/>
              </w:rPr>
            </w:pPr>
            <w:r>
              <w:rPr>
                <w:sz w:val="22"/>
                <w:szCs w:val="22"/>
              </w:rPr>
              <w:t>21</w:t>
            </w:r>
          </w:p>
        </w:tc>
        <w:tc>
          <w:tcPr>
            <w:tcW w:w="1040" w:type="dxa"/>
            <w:vAlign w:val="bottom"/>
          </w:tcPr>
          <w:p w:rsidR="00000000" w:rsidRDefault="00000000">
            <w:pPr>
              <w:pStyle w:val="a2"/>
              <w:ind w:right="284"/>
              <w:jc w:val="right"/>
            </w:pPr>
            <w:r>
              <w:t>1</w:t>
            </w:r>
            <w:r>
              <w:rPr>
                <w:rStyle w:val="StyleFootnoteReference11pt"/>
              </w:rPr>
              <w:footnoteReference w:id="88"/>
            </w:r>
          </w:p>
        </w:tc>
        <w:tc>
          <w:tcPr>
            <w:tcW w:w="1230" w:type="dxa"/>
            <w:vAlign w:val="bottom"/>
          </w:tcPr>
          <w:p w:rsidR="00000000" w:rsidRDefault="00000000">
            <w:pPr>
              <w:pStyle w:val="a2"/>
              <w:ind w:right="397"/>
              <w:jc w:val="right"/>
              <w:rPr>
                <w:sz w:val="22"/>
                <w:szCs w:val="22"/>
              </w:rPr>
            </w:pPr>
            <w:r>
              <w:rPr>
                <w:sz w:val="22"/>
                <w:szCs w:val="22"/>
              </w:rPr>
              <w:t>11</w:t>
            </w:r>
          </w:p>
        </w:tc>
        <w:tc>
          <w:tcPr>
            <w:tcW w:w="1175" w:type="dxa"/>
            <w:vAlign w:val="bottom"/>
          </w:tcPr>
          <w:p w:rsidR="00000000" w:rsidRDefault="00000000">
            <w:pPr>
              <w:pStyle w:val="a2"/>
              <w:ind w:right="340"/>
              <w:jc w:val="right"/>
              <w:rPr>
                <w:sz w:val="22"/>
                <w:szCs w:val="22"/>
              </w:rPr>
            </w:pPr>
            <w:r>
              <w:rPr>
                <w:sz w:val="22"/>
                <w:szCs w:val="22"/>
              </w:rPr>
              <w:t>5</w:t>
            </w:r>
          </w:p>
        </w:tc>
        <w:tc>
          <w:tcPr>
            <w:tcW w:w="1863" w:type="dxa"/>
            <w:vAlign w:val="bottom"/>
          </w:tcPr>
          <w:p w:rsidR="00000000" w:rsidRDefault="00000000">
            <w:pPr>
              <w:pStyle w:val="a2"/>
              <w:ind w:right="567"/>
              <w:jc w:val="right"/>
              <w:rPr>
                <w:sz w:val="22"/>
                <w:szCs w:val="22"/>
              </w:rPr>
            </w:pPr>
            <w:r>
              <w:rPr>
                <w:sz w:val="22"/>
                <w:szCs w:val="22"/>
              </w:rPr>
              <w:t>2</w:t>
            </w: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尼日尔</w:t>
            </w:r>
          </w:p>
        </w:tc>
        <w:tc>
          <w:tcPr>
            <w:tcW w:w="1230" w:type="dxa"/>
            <w:vAlign w:val="bottom"/>
          </w:tcPr>
          <w:p w:rsidR="00000000" w:rsidRDefault="00000000">
            <w:pPr>
              <w:pStyle w:val="a2"/>
              <w:ind w:right="397"/>
              <w:jc w:val="right"/>
              <w:rPr>
                <w:sz w:val="22"/>
                <w:szCs w:val="22"/>
              </w:rPr>
            </w:pPr>
            <w:r>
              <w:rPr>
                <w:sz w:val="22"/>
                <w:szCs w:val="22"/>
              </w:rPr>
              <w:t>18</w:t>
            </w:r>
          </w:p>
        </w:tc>
        <w:tc>
          <w:tcPr>
            <w:tcW w:w="1040" w:type="dxa"/>
            <w:vAlign w:val="bottom"/>
          </w:tcPr>
          <w:p w:rsidR="00000000" w:rsidRDefault="00000000">
            <w:pPr>
              <w:pStyle w:val="a2"/>
              <w:ind w:right="284"/>
              <w:jc w:val="right"/>
            </w:pPr>
            <w:r>
              <w:t>2</w:t>
            </w:r>
            <w:r>
              <w:rPr>
                <w:rStyle w:val="StyleFootnoteReference11pt"/>
              </w:rPr>
              <w:footnoteReference w:id="89"/>
            </w:r>
          </w:p>
        </w:tc>
        <w:tc>
          <w:tcPr>
            <w:tcW w:w="1230" w:type="dxa"/>
            <w:vAlign w:val="bottom"/>
          </w:tcPr>
          <w:p w:rsidR="00000000" w:rsidRDefault="00000000">
            <w:pPr>
              <w:pStyle w:val="a2"/>
              <w:ind w:right="397"/>
              <w:jc w:val="right"/>
              <w:rPr>
                <w:sz w:val="22"/>
                <w:szCs w:val="22"/>
              </w:rPr>
            </w:pPr>
            <w:r>
              <w:rPr>
                <w:sz w:val="22"/>
                <w:szCs w:val="22"/>
              </w:rPr>
              <w:t>14</w:t>
            </w:r>
          </w:p>
        </w:tc>
        <w:tc>
          <w:tcPr>
            <w:tcW w:w="1175" w:type="dxa"/>
            <w:vAlign w:val="bottom"/>
          </w:tcPr>
          <w:p w:rsidR="00000000" w:rsidRDefault="00000000">
            <w:pPr>
              <w:pStyle w:val="a2"/>
              <w:ind w:right="340"/>
              <w:jc w:val="right"/>
              <w:rPr>
                <w:sz w:val="22"/>
                <w:szCs w:val="22"/>
              </w:rPr>
            </w:pPr>
            <w:r>
              <w:rPr>
                <w:sz w:val="22"/>
                <w:szCs w:val="22"/>
              </w:rPr>
              <w:t>8</w:t>
            </w:r>
          </w:p>
        </w:tc>
        <w:tc>
          <w:tcPr>
            <w:tcW w:w="1863" w:type="dxa"/>
            <w:vAlign w:val="bottom"/>
          </w:tcPr>
          <w:p w:rsidR="00000000" w:rsidRDefault="00000000">
            <w:pPr>
              <w:pStyle w:val="a2"/>
              <w:ind w:right="567"/>
              <w:jc w:val="right"/>
              <w:rPr>
                <w:sz w:val="22"/>
                <w:szCs w:val="22"/>
              </w:rPr>
            </w:pPr>
            <w:r>
              <w:rPr>
                <w:sz w:val="22"/>
                <w:szCs w:val="22"/>
              </w:rPr>
              <w:t>3</w:t>
            </w: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尼日利亚</w:t>
            </w:r>
          </w:p>
        </w:tc>
        <w:tc>
          <w:tcPr>
            <w:tcW w:w="1230" w:type="dxa"/>
            <w:vAlign w:val="bottom"/>
          </w:tcPr>
          <w:p w:rsidR="00000000" w:rsidRDefault="00000000">
            <w:pPr>
              <w:pStyle w:val="a2"/>
              <w:ind w:right="397"/>
              <w:jc w:val="right"/>
              <w:rPr>
                <w:sz w:val="22"/>
                <w:szCs w:val="22"/>
              </w:rPr>
            </w:pPr>
            <w:r>
              <w:rPr>
                <w:sz w:val="22"/>
                <w:szCs w:val="22"/>
              </w:rPr>
              <w:t>27</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5</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纽埃</w:t>
            </w:r>
          </w:p>
        </w:tc>
        <w:tc>
          <w:tcPr>
            <w:tcW w:w="1230" w:type="dxa"/>
            <w:vAlign w:val="bottom"/>
          </w:tcPr>
          <w:p w:rsidR="00000000" w:rsidRDefault="00000000">
            <w:pPr>
              <w:pStyle w:val="a2"/>
              <w:ind w:right="397"/>
              <w:jc w:val="right"/>
              <w:rPr>
                <w:sz w:val="22"/>
                <w:szCs w:val="22"/>
              </w:rPr>
            </w:pPr>
            <w:r>
              <w:rPr>
                <w:sz w:val="22"/>
                <w:szCs w:val="22"/>
              </w:rPr>
              <w:t>0</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2</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挪威</w:t>
            </w:r>
          </w:p>
        </w:tc>
        <w:tc>
          <w:tcPr>
            <w:tcW w:w="1230" w:type="dxa"/>
            <w:vAlign w:val="bottom"/>
          </w:tcPr>
          <w:p w:rsidR="00000000" w:rsidRDefault="00000000">
            <w:pPr>
              <w:pStyle w:val="a2"/>
              <w:ind w:right="397"/>
              <w:jc w:val="right"/>
              <w:rPr>
                <w:sz w:val="22"/>
                <w:szCs w:val="22"/>
              </w:rPr>
            </w:pPr>
            <w:r>
              <w:rPr>
                <w:sz w:val="22"/>
                <w:szCs w:val="22"/>
              </w:rPr>
              <w:t>43</w:t>
            </w:r>
          </w:p>
        </w:tc>
        <w:tc>
          <w:tcPr>
            <w:tcW w:w="1040" w:type="dxa"/>
            <w:vAlign w:val="bottom"/>
          </w:tcPr>
          <w:p w:rsidR="00000000" w:rsidRDefault="00000000">
            <w:pPr>
              <w:pStyle w:val="a2"/>
              <w:ind w:right="284"/>
              <w:jc w:val="right"/>
            </w:pPr>
            <w:r>
              <w:t>5</w:t>
            </w:r>
            <w:r>
              <w:rPr>
                <w:rStyle w:val="StyleFootnoteReference11pt"/>
              </w:rPr>
              <w:footnoteReference w:id="90"/>
            </w:r>
          </w:p>
        </w:tc>
        <w:tc>
          <w:tcPr>
            <w:tcW w:w="1230" w:type="dxa"/>
            <w:vAlign w:val="bottom"/>
          </w:tcPr>
          <w:p w:rsidR="00000000" w:rsidRDefault="00000000">
            <w:pPr>
              <w:pStyle w:val="a2"/>
              <w:ind w:right="397"/>
              <w:jc w:val="right"/>
              <w:rPr>
                <w:sz w:val="22"/>
                <w:szCs w:val="22"/>
              </w:rPr>
            </w:pP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阿曼</w:t>
            </w:r>
          </w:p>
        </w:tc>
        <w:tc>
          <w:tcPr>
            <w:tcW w:w="1230" w:type="dxa"/>
            <w:vAlign w:val="bottom"/>
          </w:tcPr>
          <w:p w:rsidR="00000000" w:rsidRDefault="00000000">
            <w:pPr>
              <w:pStyle w:val="a2"/>
              <w:ind w:right="397"/>
              <w:jc w:val="right"/>
              <w:rPr>
                <w:sz w:val="22"/>
                <w:szCs w:val="22"/>
              </w:rPr>
            </w:pPr>
            <w:r>
              <w:rPr>
                <w:sz w:val="22"/>
                <w:szCs w:val="22"/>
              </w:rPr>
              <w:t>3</w:t>
            </w:r>
          </w:p>
        </w:tc>
        <w:tc>
          <w:tcPr>
            <w:tcW w:w="1040" w:type="dxa"/>
            <w:vAlign w:val="bottom"/>
          </w:tcPr>
          <w:p w:rsidR="00000000" w:rsidRDefault="00000000">
            <w:pPr>
              <w:pStyle w:val="a2"/>
              <w:ind w:right="284"/>
              <w:jc w:val="right"/>
            </w:pPr>
            <w:r>
              <w:t>2</w:t>
            </w:r>
            <w:r>
              <w:rPr>
                <w:rStyle w:val="StyleFootnoteReference11pt"/>
              </w:rPr>
              <w:footnoteReference w:id="91"/>
            </w:r>
          </w:p>
        </w:tc>
        <w:tc>
          <w:tcPr>
            <w:tcW w:w="1230" w:type="dxa"/>
            <w:vAlign w:val="bottom"/>
          </w:tcPr>
          <w:p w:rsidR="00000000" w:rsidRDefault="00000000">
            <w:pPr>
              <w:pStyle w:val="a2"/>
              <w:ind w:right="397"/>
              <w:jc w:val="right"/>
              <w:rPr>
                <w:sz w:val="22"/>
                <w:szCs w:val="22"/>
              </w:rPr>
            </w:pP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帕劳</w:t>
            </w:r>
          </w:p>
        </w:tc>
        <w:tc>
          <w:tcPr>
            <w:tcW w:w="1230" w:type="dxa"/>
            <w:vAlign w:val="bottom"/>
          </w:tcPr>
          <w:p w:rsidR="00000000" w:rsidRDefault="00000000">
            <w:pPr>
              <w:pStyle w:val="a2"/>
              <w:ind w:right="397"/>
              <w:jc w:val="right"/>
              <w:rPr>
                <w:sz w:val="22"/>
                <w:szCs w:val="22"/>
              </w:rPr>
            </w:pPr>
            <w:r>
              <w:rPr>
                <w:sz w:val="22"/>
                <w:szCs w:val="22"/>
              </w:rPr>
              <w:t>1</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巴拿马</w:t>
            </w:r>
          </w:p>
        </w:tc>
        <w:tc>
          <w:tcPr>
            <w:tcW w:w="1230" w:type="dxa"/>
            <w:vAlign w:val="bottom"/>
          </w:tcPr>
          <w:p w:rsidR="00000000" w:rsidRDefault="00000000">
            <w:pPr>
              <w:pStyle w:val="a2"/>
              <w:ind w:right="397"/>
              <w:jc w:val="right"/>
              <w:rPr>
                <w:sz w:val="22"/>
                <w:szCs w:val="22"/>
              </w:rPr>
            </w:pPr>
            <w:r>
              <w:rPr>
                <w:sz w:val="22"/>
                <w:szCs w:val="22"/>
              </w:rPr>
              <w:t>26</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17</w:t>
            </w:r>
          </w:p>
        </w:tc>
        <w:tc>
          <w:tcPr>
            <w:tcW w:w="1175" w:type="dxa"/>
            <w:vAlign w:val="bottom"/>
          </w:tcPr>
          <w:p w:rsidR="00000000" w:rsidRDefault="00000000">
            <w:pPr>
              <w:pStyle w:val="a2"/>
              <w:ind w:right="340"/>
              <w:jc w:val="right"/>
              <w:rPr>
                <w:sz w:val="22"/>
                <w:szCs w:val="22"/>
              </w:rPr>
            </w:pPr>
            <w:r>
              <w:rPr>
                <w:sz w:val="22"/>
                <w:szCs w:val="22"/>
              </w:rPr>
              <w:t>8</w:t>
            </w:r>
          </w:p>
        </w:tc>
        <w:tc>
          <w:tcPr>
            <w:tcW w:w="1863" w:type="dxa"/>
            <w:vAlign w:val="bottom"/>
          </w:tcPr>
          <w:p w:rsidR="00000000" w:rsidRDefault="00000000">
            <w:pPr>
              <w:pStyle w:val="a2"/>
              <w:ind w:right="567"/>
              <w:jc w:val="right"/>
              <w:rPr>
                <w:sz w:val="22"/>
                <w:szCs w:val="22"/>
              </w:rPr>
            </w:pPr>
            <w:r>
              <w:rPr>
                <w:sz w:val="22"/>
                <w:szCs w:val="22"/>
              </w:rPr>
              <w:t>3</w:t>
            </w: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巴布亚新几内亚</w:t>
            </w:r>
          </w:p>
        </w:tc>
        <w:tc>
          <w:tcPr>
            <w:tcW w:w="1230" w:type="dxa"/>
            <w:vAlign w:val="bottom"/>
          </w:tcPr>
          <w:p w:rsidR="00000000" w:rsidRDefault="00000000">
            <w:pPr>
              <w:pStyle w:val="a2"/>
              <w:ind w:right="397"/>
              <w:jc w:val="right"/>
              <w:rPr>
                <w:sz w:val="22"/>
                <w:szCs w:val="22"/>
              </w:rPr>
            </w:pPr>
            <w:r>
              <w:rPr>
                <w:sz w:val="22"/>
                <w:szCs w:val="22"/>
              </w:rPr>
              <w:t>2</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13</w:t>
            </w:r>
          </w:p>
        </w:tc>
        <w:tc>
          <w:tcPr>
            <w:tcW w:w="1175" w:type="dxa"/>
            <w:vAlign w:val="bottom"/>
          </w:tcPr>
          <w:p w:rsidR="00000000" w:rsidRDefault="00000000">
            <w:pPr>
              <w:pStyle w:val="a2"/>
              <w:ind w:right="340"/>
              <w:jc w:val="right"/>
              <w:rPr>
                <w:sz w:val="22"/>
                <w:szCs w:val="22"/>
              </w:rPr>
            </w:pPr>
            <w:r>
              <w:rPr>
                <w:sz w:val="22"/>
                <w:szCs w:val="22"/>
              </w:rPr>
              <w:t>10</w:t>
            </w:r>
          </w:p>
        </w:tc>
        <w:tc>
          <w:tcPr>
            <w:tcW w:w="1863" w:type="dxa"/>
            <w:vAlign w:val="bottom"/>
          </w:tcPr>
          <w:p w:rsidR="00000000" w:rsidRDefault="00000000">
            <w:pPr>
              <w:pStyle w:val="a2"/>
              <w:ind w:right="567"/>
              <w:jc w:val="right"/>
              <w:rPr>
                <w:sz w:val="22"/>
                <w:szCs w:val="22"/>
              </w:rPr>
            </w:pPr>
            <w:r>
              <w:rPr>
                <w:sz w:val="22"/>
                <w:szCs w:val="22"/>
              </w:rPr>
              <w:t>6</w:t>
            </w: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巴拉圭</w:t>
            </w:r>
          </w:p>
        </w:tc>
        <w:tc>
          <w:tcPr>
            <w:tcW w:w="1230" w:type="dxa"/>
            <w:vAlign w:val="bottom"/>
          </w:tcPr>
          <w:p w:rsidR="00000000" w:rsidRDefault="00000000">
            <w:pPr>
              <w:pStyle w:val="a2"/>
              <w:ind w:right="397"/>
              <w:jc w:val="right"/>
              <w:rPr>
                <w:sz w:val="22"/>
                <w:szCs w:val="22"/>
              </w:rPr>
            </w:pPr>
            <w:r>
              <w:rPr>
                <w:sz w:val="22"/>
                <w:szCs w:val="22"/>
              </w:rPr>
              <w:t>13</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7</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z w:val="20"/>
              </w:rPr>
            </w:pPr>
            <w:r>
              <w:rPr>
                <w:sz w:val="20"/>
              </w:rPr>
              <w:t>秘鲁</w:t>
            </w:r>
          </w:p>
        </w:tc>
        <w:tc>
          <w:tcPr>
            <w:tcW w:w="1230" w:type="dxa"/>
            <w:vAlign w:val="bottom"/>
          </w:tcPr>
          <w:p w:rsidR="00000000" w:rsidRDefault="00000000">
            <w:pPr>
              <w:pStyle w:val="a2"/>
              <w:ind w:right="397"/>
              <w:jc w:val="right"/>
              <w:rPr>
                <w:sz w:val="22"/>
                <w:szCs w:val="22"/>
              </w:rPr>
            </w:pPr>
            <w:r>
              <w:rPr>
                <w:sz w:val="22"/>
                <w:szCs w:val="22"/>
              </w:rPr>
              <w:t>31</w:t>
            </w:r>
          </w:p>
        </w:tc>
        <w:tc>
          <w:tcPr>
            <w:tcW w:w="1040" w:type="dxa"/>
            <w:vAlign w:val="bottom"/>
          </w:tcPr>
          <w:p w:rsidR="00000000" w:rsidRDefault="00000000">
            <w:pPr>
              <w:pStyle w:val="a2"/>
              <w:ind w:right="284"/>
              <w:jc w:val="right"/>
            </w:pPr>
            <w:r>
              <w:t>2</w:t>
            </w:r>
            <w:r>
              <w:rPr>
                <w:rStyle w:val="StyleFootnoteReference11pt"/>
              </w:rPr>
              <w:footnoteReference w:id="92"/>
            </w:r>
          </w:p>
        </w:tc>
        <w:tc>
          <w:tcPr>
            <w:tcW w:w="1230" w:type="dxa"/>
            <w:vAlign w:val="bottom"/>
          </w:tcPr>
          <w:p w:rsidR="00000000" w:rsidRDefault="00000000">
            <w:pPr>
              <w:pStyle w:val="a2"/>
              <w:ind w:right="397"/>
              <w:jc w:val="right"/>
              <w:rPr>
                <w:sz w:val="22"/>
                <w:szCs w:val="22"/>
              </w:rPr>
            </w:pPr>
            <w:r>
              <w:rPr>
                <w:sz w:val="22"/>
                <w:szCs w:val="22"/>
              </w:rPr>
              <w:t>10</w:t>
            </w:r>
          </w:p>
        </w:tc>
        <w:tc>
          <w:tcPr>
            <w:tcW w:w="1175" w:type="dxa"/>
            <w:vAlign w:val="bottom"/>
          </w:tcPr>
          <w:p w:rsidR="00000000" w:rsidRDefault="00000000">
            <w:pPr>
              <w:pStyle w:val="a2"/>
              <w:ind w:right="340"/>
              <w:jc w:val="right"/>
              <w:rPr>
                <w:sz w:val="22"/>
                <w:szCs w:val="22"/>
              </w:rPr>
            </w:pPr>
            <w:r>
              <w:rPr>
                <w:sz w:val="22"/>
                <w:szCs w:val="22"/>
              </w:rPr>
              <w:t>4</w:t>
            </w:r>
          </w:p>
        </w:tc>
        <w:tc>
          <w:tcPr>
            <w:tcW w:w="1863" w:type="dxa"/>
            <w:vAlign w:val="bottom"/>
          </w:tcPr>
          <w:p w:rsidR="00000000" w:rsidRDefault="00000000">
            <w:pPr>
              <w:pStyle w:val="a2"/>
              <w:ind w:right="567"/>
              <w:jc w:val="right"/>
              <w:rPr>
                <w:sz w:val="22"/>
                <w:szCs w:val="22"/>
              </w:rPr>
            </w:pPr>
            <w:r>
              <w:rPr>
                <w:sz w:val="22"/>
                <w:szCs w:val="22"/>
              </w:rPr>
              <w:t>1</w:t>
            </w: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菲律宾</w:t>
            </w:r>
          </w:p>
        </w:tc>
        <w:tc>
          <w:tcPr>
            <w:tcW w:w="1230" w:type="dxa"/>
            <w:vAlign w:val="bottom"/>
          </w:tcPr>
          <w:p w:rsidR="00000000" w:rsidRDefault="00000000">
            <w:pPr>
              <w:pStyle w:val="a2"/>
              <w:ind w:right="397"/>
              <w:jc w:val="right"/>
              <w:rPr>
                <w:sz w:val="22"/>
                <w:szCs w:val="22"/>
              </w:rPr>
            </w:pPr>
            <w:r>
              <w:rPr>
                <w:sz w:val="22"/>
                <w:szCs w:val="22"/>
              </w:rPr>
              <w:t>26</w:t>
            </w:r>
          </w:p>
        </w:tc>
        <w:tc>
          <w:tcPr>
            <w:tcW w:w="1040" w:type="dxa"/>
            <w:vAlign w:val="bottom"/>
          </w:tcPr>
          <w:p w:rsidR="00000000" w:rsidRDefault="00000000">
            <w:pPr>
              <w:pStyle w:val="a2"/>
              <w:ind w:right="284"/>
              <w:jc w:val="right"/>
            </w:pPr>
            <w:r>
              <w:t>2</w:t>
            </w:r>
            <w:r>
              <w:rPr>
                <w:rStyle w:val="StyleFootnoteReference11pt"/>
              </w:rPr>
              <w:footnoteReference w:id="93"/>
            </w:r>
          </w:p>
        </w:tc>
        <w:tc>
          <w:tcPr>
            <w:tcW w:w="1230" w:type="dxa"/>
            <w:vAlign w:val="bottom"/>
          </w:tcPr>
          <w:p w:rsidR="00000000" w:rsidRDefault="00000000">
            <w:pPr>
              <w:pStyle w:val="a2"/>
              <w:ind w:right="397"/>
              <w:jc w:val="right"/>
              <w:rPr>
                <w:sz w:val="22"/>
                <w:szCs w:val="22"/>
              </w:rPr>
            </w:pPr>
            <w:r>
              <w:rPr>
                <w:sz w:val="22"/>
                <w:szCs w:val="22"/>
              </w:rPr>
              <w:t>15</w:t>
            </w:r>
          </w:p>
        </w:tc>
        <w:tc>
          <w:tcPr>
            <w:tcW w:w="1175" w:type="dxa"/>
            <w:vAlign w:val="bottom"/>
          </w:tcPr>
          <w:p w:rsidR="00000000" w:rsidRDefault="00000000">
            <w:pPr>
              <w:pStyle w:val="a2"/>
              <w:ind w:right="340"/>
              <w:jc w:val="right"/>
              <w:rPr>
                <w:sz w:val="22"/>
                <w:szCs w:val="22"/>
              </w:rPr>
            </w:pPr>
            <w:r>
              <w:rPr>
                <w:sz w:val="22"/>
                <w:szCs w:val="22"/>
              </w:rPr>
              <w:t>7</w:t>
            </w:r>
          </w:p>
        </w:tc>
        <w:tc>
          <w:tcPr>
            <w:tcW w:w="1863" w:type="dxa"/>
            <w:vAlign w:val="bottom"/>
          </w:tcPr>
          <w:p w:rsidR="00000000" w:rsidRDefault="00000000">
            <w:pPr>
              <w:pStyle w:val="a2"/>
              <w:ind w:right="567"/>
              <w:jc w:val="right"/>
              <w:rPr>
                <w:sz w:val="22"/>
                <w:szCs w:val="22"/>
              </w:rPr>
            </w:pPr>
            <w:r>
              <w:rPr>
                <w:sz w:val="22"/>
                <w:szCs w:val="22"/>
              </w:rPr>
              <w:t>2</w:t>
            </w: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z w:val="20"/>
              </w:rPr>
            </w:pPr>
            <w:r>
              <w:rPr>
                <w:sz w:val="20"/>
              </w:rPr>
              <w:t>波兰</w:t>
            </w:r>
          </w:p>
        </w:tc>
        <w:tc>
          <w:tcPr>
            <w:tcW w:w="1230" w:type="dxa"/>
            <w:vAlign w:val="bottom"/>
          </w:tcPr>
          <w:p w:rsidR="00000000" w:rsidRDefault="00000000">
            <w:pPr>
              <w:pStyle w:val="a2"/>
              <w:ind w:right="397"/>
              <w:jc w:val="right"/>
              <w:rPr>
                <w:sz w:val="22"/>
                <w:szCs w:val="22"/>
              </w:rPr>
            </w:pPr>
            <w:r>
              <w:rPr>
                <w:sz w:val="22"/>
                <w:szCs w:val="22"/>
              </w:rPr>
              <w:t>37</w:t>
            </w:r>
          </w:p>
        </w:tc>
        <w:tc>
          <w:tcPr>
            <w:tcW w:w="1040" w:type="dxa"/>
            <w:vAlign w:val="bottom"/>
          </w:tcPr>
          <w:p w:rsidR="00000000" w:rsidRDefault="00000000">
            <w:pPr>
              <w:pStyle w:val="a2"/>
              <w:ind w:right="284"/>
              <w:jc w:val="right"/>
            </w:pPr>
            <w:r>
              <w:t>4</w:t>
            </w:r>
            <w:r>
              <w:rPr>
                <w:rStyle w:val="StyleFootnoteReference11pt"/>
              </w:rPr>
              <w:footnoteReference w:id="94"/>
            </w:r>
          </w:p>
        </w:tc>
        <w:tc>
          <w:tcPr>
            <w:tcW w:w="1230" w:type="dxa"/>
            <w:vAlign w:val="bottom"/>
          </w:tcPr>
          <w:p w:rsidR="00000000" w:rsidRDefault="00000000">
            <w:pPr>
              <w:pStyle w:val="a2"/>
              <w:ind w:right="397"/>
              <w:jc w:val="right"/>
              <w:rPr>
                <w:sz w:val="22"/>
                <w:szCs w:val="22"/>
              </w:rPr>
            </w:pPr>
            <w:r>
              <w:rPr>
                <w:sz w:val="22"/>
                <w:szCs w:val="22"/>
              </w:rPr>
              <w:t>3</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葡萄牙</w:t>
            </w:r>
            <w:r>
              <w:rPr>
                <w:sz w:val="20"/>
              </w:rPr>
              <w:t xml:space="preserve"> </w:t>
            </w:r>
          </w:p>
        </w:tc>
        <w:tc>
          <w:tcPr>
            <w:tcW w:w="1230" w:type="dxa"/>
            <w:vAlign w:val="bottom"/>
          </w:tcPr>
          <w:p w:rsidR="00000000" w:rsidRDefault="00000000">
            <w:pPr>
              <w:pStyle w:val="a2"/>
              <w:ind w:right="397"/>
              <w:jc w:val="right"/>
              <w:rPr>
                <w:sz w:val="22"/>
                <w:szCs w:val="22"/>
              </w:rPr>
            </w:pPr>
            <w:r>
              <w:rPr>
                <w:sz w:val="22"/>
                <w:szCs w:val="22"/>
              </w:rPr>
              <w:t>28</w:t>
            </w:r>
          </w:p>
        </w:tc>
        <w:tc>
          <w:tcPr>
            <w:tcW w:w="1040" w:type="dxa"/>
            <w:vAlign w:val="bottom"/>
          </w:tcPr>
          <w:p w:rsidR="00000000" w:rsidRDefault="00000000">
            <w:pPr>
              <w:pStyle w:val="a2"/>
              <w:ind w:right="284"/>
              <w:jc w:val="right"/>
            </w:pPr>
            <w:r>
              <w:t>1</w:t>
            </w:r>
            <w:r>
              <w:rPr>
                <w:rStyle w:val="StyleFootnoteReference11pt"/>
              </w:rPr>
              <w:footnoteReference w:id="95"/>
            </w:r>
          </w:p>
        </w:tc>
        <w:tc>
          <w:tcPr>
            <w:tcW w:w="1230" w:type="dxa"/>
            <w:vAlign w:val="bottom"/>
          </w:tcPr>
          <w:p w:rsidR="00000000" w:rsidRDefault="00000000">
            <w:pPr>
              <w:pStyle w:val="a2"/>
              <w:ind w:right="397"/>
              <w:jc w:val="right"/>
              <w:rPr>
                <w:sz w:val="22"/>
                <w:szCs w:val="22"/>
              </w:rPr>
            </w:pPr>
            <w:r>
              <w:rPr>
                <w:sz w:val="22"/>
                <w:szCs w:val="22"/>
              </w:rPr>
              <w:t>5</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卡塔尔</w:t>
            </w:r>
          </w:p>
        </w:tc>
        <w:tc>
          <w:tcPr>
            <w:tcW w:w="1230" w:type="dxa"/>
            <w:vAlign w:val="bottom"/>
          </w:tcPr>
          <w:p w:rsidR="00000000" w:rsidRDefault="00000000">
            <w:pPr>
              <w:pStyle w:val="a2"/>
              <w:ind w:right="397"/>
              <w:jc w:val="right"/>
              <w:rPr>
                <w:sz w:val="22"/>
                <w:szCs w:val="22"/>
              </w:rPr>
            </w:pPr>
            <w:r>
              <w:rPr>
                <w:sz w:val="22"/>
                <w:szCs w:val="22"/>
              </w:rPr>
              <w:t>15</w:t>
            </w:r>
          </w:p>
        </w:tc>
        <w:tc>
          <w:tcPr>
            <w:tcW w:w="1040" w:type="dxa"/>
            <w:vAlign w:val="bottom"/>
          </w:tcPr>
          <w:p w:rsidR="00000000" w:rsidRDefault="00000000">
            <w:pPr>
              <w:pStyle w:val="a2"/>
              <w:ind w:right="284"/>
              <w:jc w:val="right"/>
            </w:pPr>
            <w:r>
              <w:t>2</w:t>
            </w:r>
            <w:r>
              <w:rPr>
                <w:rStyle w:val="StyleFootnoteReference11pt"/>
              </w:rPr>
              <w:footnoteReference w:id="96"/>
            </w:r>
          </w:p>
        </w:tc>
        <w:tc>
          <w:tcPr>
            <w:tcW w:w="1230" w:type="dxa"/>
            <w:vAlign w:val="bottom"/>
          </w:tcPr>
          <w:p w:rsidR="00000000" w:rsidRDefault="00000000">
            <w:pPr>
              <w:pStyle w:val="a2"/>
              <w:ind w:right="397"/>
              <w:jc w:val="right"/>
              <w:rPr>
                <w:sz w:val="22"/>
                <w:szCs w:val="22"/>
              </w:rPr>
            </w:pPr>
            <w:r>
              <w:rPr>
                <w:sz w:val="22"/>
                <w:szCs w:val="22"/>
              </w:rPr>
              <w:t>6</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大韩民国</w:t>
            </w:r>
          </w:p>
        </w:tc>
        <w:tc>
          <w:tcPr>
            <w:tcW w:w="1230" w:type="dxa"/>
            <w:vAlign w:val="bottom"/>
          </w:tcPr>
          <w:p w:rsidR="00000000" w:rsidRDefault="00000000">
            <w:pPr>
              <w:pStyle w:val="a2"/>
              <w:ind w:right="397"/>
              <w:jc w:val="right"/>
              <w:rPr>
                <w:sz w:val="22"/>
                <w:szCs w:val="22"/>
              </w:rPr>
            </w:pPr>
            <w:r>
              <w:rPr>
                <w:sz w:val="22"/>
                <w:szCs w:val="22"/>
              </w:rPr>
              <w:t>26</w:t>
            </w:r>
          </w:p>
        </w:tc>
        <w:tc>
          <w:tcPr>
            <w:tcW w:w="1040" w:type="dxa"/>
            <w:vAlign w:val="bottom"/>
          </w:tcPr>
          <w:p w:rsidR="00000000" w:rsidRDefault="00000000">
            <w:pPr>
              <w:pStyle w:val="a2"/>
              <w:ind w:right="284"/>
              <w:jc w:val="right"/>
            </w:pPr>
            <w:r>
              <w:t>3</w:t>
            </w:r>
            <w:r>
              <w:rPr>
                <w:rStyle w:val="StyleFootnoteReference11pt"/>
              </w:rPr>
              <w:footnoteReference w:id="97"/>
            </w:r>
          </w:p>
        </w:tc>
        <w:tc>
          <w:tcPr>
            <w:tcW w:w="1230" w:type="dxa"/>
            <w:vAlign w:val="bottom"/>
          </w:tcPr>
          <w:p w:rsidR="00000000" w:rsidRDefault="00000000">
            <w:pPr>
              <w:pStyle w:val="a2"/>
              <w:ind w:right="397"/>
              <w:jc w:val="right"/>
              <w:rPr>
                <w:sz w:val="22"/>
                <w:szCs w:val="22"/>
              </w:rPr>
            </w:pPr>
            <w:r>
              <w:rPr>
                <w:sz w:val="22"/>
                <w:szCs w:val="22"/>
              </w:rPr>
              <w:t>3</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摩尔多瓦共和国</w:t>
            </w:r>
          </w:p>
        </w:tc>
        <w:tc>
          <w:tcPr>
            <w:tcW w:w="1230" w:type="dxa"/>
            <w:vAlign w:val="bottom"/>
          </w:tcPr>
          <w:p w:rsidR="00000000" w:rsidRDefault="00000000">
            <w:pPr>
              <w:pStyle w:val="a2"/>
              <w:ind w:right="397"/>
              <w:jc w:val="right"/>
              <w:rPr>
                <w:sz w:val="22"/>
                <w:szCs w:val="22"/>
              </w:rPr>
            </w:pPr>
            <w:r>
              <w:rPr>
                <w:sz w:val="22"/>
                <w:szCs w:val="22"/>
              </w:rPr>
              <w:t>11</w:t>
            </w:r>
          </w:p>
        </w:tc>
        <w:tc>
          <w:tcPr>
            <w:tcW w:w="1040" w:type="dxa"/>
            <w:vAlign w:val="bottom"/>
          </w:tcPr>
          <w:p w:rsidR="00000000" w:rsidRDefault="00000000">
            <w:pPr>
              <w:pStyle w:val="a2"/>
              <w:ind w:right="284"/>
              <w:jc w:val="right"/>
            </w:pPr>
            <w:r>
              <w:t>2</w:t>
            </w:r>
            <w:r>
              <w:rPr>
                <w:rStyle w:val="StyleFootnoteReference11pt"/>
              </w:rPr>
              <w:footnoteReference w:id="98"/>
            </w:r>
          </w:p>
        </w:tc>
        <w:tc>
          <w:tcPr>
            <w:tcW w:w="1230" w:type="dxa"/>
            <w:vAlign w:val="bottom"/>
          </w:tcPr>
          <w:p w:rsidR="00000000" w:rsidRDefault="00000000">
            <w:pPr>
              <w:pStyle w:val="a2"/>
              <w:ind w:right="397"/>
              <w:jc w:val="right"/>
              <w:rPr>
                <w:sz w:val="22"/>
                <w:szCs w:val="22"/>
              </w:rPr>
            </w:pPr>
            <w:r>
              <w:rPr>
                <w:sz w:val="22"/>
                <w:szCs w:val="22"/>
              </w:rPr>
              <w:t>6</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罗马尼亚</w:t>
            </w:r>
          </w:p>
        </w:tc>
        <w:tc>
          <w:tcPr>
            <w:tcW w:w="1230" w:type="dxa"/>
            <w:vAlign w:val="bottom"/>
          </w:tcPr>
          <w:p w:rsidR="00000000" w:rsidRDefault="00000000">
            <w:pPr>
              <w:pStyle w:val="a2"/>
              <w:ind w:right="397"/>
              <w:jc w:val="right"/>
              <w:rPr>
                <w:sz w:val="22"/>
                <w:szCs w:val="22"/>
              </w:rPr>
            </w:pPr>
            <w:r>
              <w:rPr>
                <w:sz w:val="22"/>
                <w:szCs w:val="22"/>
              </w:rPr>
              <w:t>30</w:t>
            </w:r>
          </w:p>
        </w:tc>
        <w:tc>
          <w:tcPr>
            <w:tcW w:w="1040" w:type="dxa"/>
            <w:vAlign w:val="bottom"/>
          </w:tcPr>
          <w:p w:rsidR="00000000" w:rsidRDefault="00000000">
            <w:pPr>
              <w:pStyle w:val="a2"/>
              <w:ind w:right="284"/>
              <w:jc w:val="right"/>
            </w:pPr>
            <w:r>
              <w:t>1</w:t>
            </w:r>
            <w:r>
              <w:rPr>
                <w:rStyle w:val="StyleFootnoteReference11pt"/>
              </w:rPr>
              <w:footnoteReference w:id="99"/>
            </w:r>
          </w:p>
        </w:tc>
        <w:tc>
          <w:tcPr>
            <w:tcW w:w="1230" w:type="dxa"/>
            <w:vAlign w:val="bottom"/>
          </w:tcPr>
          <w:p w:rsidR="00000000" w:rsidRDefault="00000000">
            <w:pPr>
              <w:pStyle w:val="a2"/>
              <w:ind w:right="397"/>
              <w:jc w:val="right"/>
              <w:rPr>
                <w:sz w:val="22"/>
                <w:szCs w:val="22"/>
              </w:rPr>
            </w:pPr>
            <w:r>
              <w:rPr>
                <w:sz w:val="22"/>
                <w:szCs w:val="22"/>
              </w:rPr>
              <w:t>13</w:t>
            </w:r>
          </w:p>
        </w:tc>
        <w:tc>
          <w:tcPr>
            <w:tcW w:w="1175" w:type="dxa"/>
            <w:vAlign w:val="bottom"/>
          </w:tcPr>
          <w:p w:rsidR="00000000" w:rsidRDefault="00000000">
            <w:pPr>
              <w:pStyle w:val="a2"/>
              <w:ind w:right="340"/>
              <w:jc w:val="right"/>
              <w:rPr>
                <w:sz w:val="22"/>
                <w:szCs w:val="22"/>
              </w:rPr>
            </w:pPr>
            <w:r>
              <w:rPr>
                <w:sz w:val="22"/>
                <w:szCs w:val="22"/>
              </w:rPr>
              <w:t>5</w:t>
            </w:r>
          </w:p>
        </w:tc>
        <w:tc>
          <w:tcPr>
            <w:tcW w:w="1863" w:type="dxa"/>
            <w:vAlign w:val="bottom"/>
          </w:tcPr>
          <w:p w:rsidR="00000000" w:rsidRDefault="00000000">
            <w:pPr>
              <w:pStyle w:val="a2"/>
              <w:ind w:right="567"/>
              <w:jc w:val="right"/>
              <w:rPr>
                <w:sz w:val="22"/>
                <w:szCs w:val="22"/>
              </w:rPr>
            </w:pPr>
            <w:r>
              <w:rPr>
                <w:sz w:val="22"/>
                <w:szCs w:val="22"/>
              </w:rPr>
              <w:t>2</w:t>
            </w: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俄罗斯联邦</w:t>
            </w:r>
          </w:p>
        </w:tc>
        <w:tc>
          <w:tcPr>
            <w:tcW w:w="1230" w:type="dxa"/>
            <w:vAlign w:val="bottom"/>
          </w:tcPr>
          <w:p w:rsidR="00000000" w:rsidRDefault="00000000">
            <w:pPr>
              <w:pStyle w:val="a2"/>
              <w:ind w:right="397"/>
              <w:jc w:val="right"/>
              <w:rPr>
                <w:sz w:val="22"/>
                <w:szCs w:val="22"/>
              </w:rPr>
            </w:pPr>
            <w:r>
              <w:rPr>
                <w:sz w:val="22"/>
                <w:szCs w:val="22"/>
              </w:rPr>
              <w:t>38</w:t>
            </w:r>
          </w:p>
        </w:tc>
        <w:tc>
          <w:tcPr>
            <w:tcW w:w="1040" w:type="dxa"/>
            <w:vAlign w:val="bottom"/>
          </w:tcPr>
          <w:p w:rsidR="00000000" w:rsidRDefault="00000000">
            <w:pPr>
              <w:pStyle w:val="a2"/>
              <w:ind w:right="284"/>
              <w:jc w:val="right"/>
            </w:pPr>
            <w:r>
              <w:t>1</w:t>
            </w:r>
            <w:r>
              <w:rPr>
                <w:rStyle w:val="StyleFootnoteReference11pt"/>
              </w:rPr>
              <w:footnoteReference w:id="100"/>
            </w:r>
          </w:p>
        </w:tc>
        <w:tc>
          <w:tcPr>
            <w:tcW w:w="1230" w:type="dxa"/>
            <w:vAlign w:val="bottom"/>
          </w:tcPr>
          <w:p w:rsidR="00000000" w:rsidRDefault="00000000">
            <w:pPr>
              <w:pStyle w:val="a2"/>
              <w:ind w:right="397"/>
              <w:jc w:val="right"/>
              <w:rPr>
                <w:sz w:val="22"/>
                <w:szCs w:val="22"/>
              </w:rPr>
            </w:pPr>
            <w:r>
              <w:rPr>
                <w:sz w:val="22"/>
                <w:szCs w:val="22"/>
              </w:rPr>
              <w:t>2</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卢旺达</w:t>
            </w:r>
          </w:p>
        </w:tc>
        <w:tc>
          <w:tcPr>
            <w:tcW w:w="1230" w:type="dxa"/>
            <w:vAlign w:val="bottom"/>
          </w:tcPr>
          <w:p w:rsidR="00000000" w:rsidRDefault="00000000">
            <w:pPr>
              <w:pStyle w:val="a2"/>
              <w:ind w:right="397"/>
              <w:jc w:val="right"/>
              <w:rPr>
                <w:sz w:val="22"/>
                <w:szCs w:val="22"/>
              </w:rPr>
            </w:pPr>
            <w:r>
              <w:rPr>
                <w:sz w:val="22"/>
                <w:szCs w:val="22"/>
              </w:rPr>
              <w:t>20</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16</w:t>
            </w:r>
          </w:p>
        </w:tc>
        <w:tc>
          <w:tcPr>
            <w:tcW w:w="1175" w:type="dxa"/>
            <w:vAlign w:val="bottom"/>
          </w:tcPr>
          <w:p w:rsidR="00000000" w:rsidRDefault="00000000">
            <w:pPr>
              <w:pStyle w:val="a2"/>
              <w:ind w:right="340"/>
              <w:jc w:val="right"/>
              <w:rPr>
                <w:sz w:val="22"/>
                <w:szCs w:val="22"/>
              </w:rPr>
            </w:pPr>
            <w:r>
              <w:rPr>
                <w:sz w:val="22"/>
                <w:szCs w:val="22"/>
              </w:rPr>
              <w:t>9</w:t>
            </w:r>
          </w:p>
        </w:tc>
        <w:tc>
          <w:tcPr>
            <w:tcW w:w="1863" w:type="dxa"/>
            <w:vAlign w:val="bottom"/>
          </w:tcPr>
          <w:p w:rsidR="00000000" w:rsidRDefault="00000000">
            <w:pPr>
              <w:pStyle w:val="a2"/>
              <w:ind w:right="567"/>
              <w:jc w:val="right"/>
              <w:rPr>
                <w:sz w:val="22"/>
                <w:szCs w:val="22"/>
              </w:rPr>
            </w:pPr>
            <w:r>
              <w:rPr>
                <w:sz w:val="22"/>
                <w:szCs w:val="22"/>
              </w:rPr>
              <w:t>5</w:t>
            </w: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pacing w:val="0"/>
                <w:sz w:val="20"/>
              </w:rPr>
            </w:pPr>
            <w:r>
              <w:rPr>
                <w:spacing w:val="0"/>
                <w:sz w:val="20"/>
              </w:rPr>
              <w:t>圣基茨和尼维斯</w:t>
            </w:r>
          </w:p>
        </w:tc>
        <w:tc>
          <w:tcPr>
            <w:tcW w:w="1230" w:type="dxa"/>
            <w:vAlign w:val="bottom"/>
          </w:tcPr>
          <w:p w:rsidR="00000000" w:rsidRDefault="00000000">
            <w:pPr>
              <w:pStyle w:val="a2"/>
              <w:ind w:right="397"/>
              <w:jc w:val="right"/>
              <w:rPr>
                <w:sz w:val="22"/>
                <w:szCs w:val="22"/>
              </w:rPr>
            </w:pPr>
            <w:r>
              <w:rPr>
                <w:sz w:val="22"/>
                <w:szCs w:val="22"/>
              </w:rPr>
              <w:t>5</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3</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pacing w:val="0"/>
                <w:sz w:val="20"/>
              </w:rPr>
            </w:pPr>
            <w:r>
              <w:rPr>
                <w:spacing w:val="0"/>
                <w:sz w:val="20"/>
              </w:rPr>
              <w:t>圣卢西亚</w:t>
            </w:r>
          </w:p>
        </w:tc>
        <w:tc>
          <w:tcPr>
            <w:tcW w:w="1230" w:type="dxa"/>
            <w:vAlign w:val="bottom"/>
          </w:tcPr>
          <w:p w:rsidR="00000000" w:rsidRDefault="00000000">
            <w:pPr>
              <w:pStyle w:val="a2"/>
              <w:ind w:right="397"/>
              <w:jc w:val="right"/>
              <w:rPr>
                <w:sz w:val="22"/>
                <w:szCs w:val="22"/>
              </w:rPr>
            </w:pPr>
            <w:r>
              <w:rPr>
                <w:sz w:val="22"/>
                <w:szCs w:val="22"/>
              </w:rPr>
              <w:t>7</w:t>
            </w:r>
          </w:p>
        </w:tc>
        <w:tc>
          <w:tcPr>
            <w:tcW w:w="1040" w:type="dxa"/>
            <w:vAlign w:val="bottom"/>
          </w:tcPr>
          <w:p w:rsidR="00000000" w:rsidRDefault="00000000">
            <w:pPr>
              <w:pStyle w:val="a2"/>
              <w:ind w:right="284"/>
              <w:jc w:val="right"/>
            </w:pPr>
            <w:r>
              <w:t>6</w:t>
            </w:r>
            <w:r>
              <w:rPr>
                <w:rStyle w:val="StyleFootnoteReference11pt"/>
              </w:rPr>
              <w:footnoteReference w:id="101"/>
            </w:r>
          </w:p>
        </w:tc>
        <w:tc>
          <w:tcPr>
            <w:tcW w:w="1230" w:type="dxa"/>
            <w:vAlign w:val="bottom"/>
          </w:tcPr>
          <w:p w:rsidR="00000000" w:rsidRDefault="00000000">
            <w:pPr>
              <w:pStyle w:val="a2"/>
              <w:ind w:right="397"/>
              <w:jc w:val="right"/>
              <w:rPr>
                <w:sz w:val="22"/>
                <w:szCs w:val="22"/>
              </w:rPr>
            </w:pPr>
            <w:r>
              <w:rPr>
                <w:sz w:val="22"/>
                <w:szCs w:val="22"/>
              </w:rPr>
              <w:t>8</w:t>
            </w:r>
          </w:p>
        </w:tc>
        <w:tc>
          <w:tcPr>
            <w:tcW w:w="1175" w:type="dxa"/>
            <w:vAlign w:val="bottom"/>
          </w:tcPr>
          <w:p w:rsidR="00000000" w:rsidRDefault="00000000">
            <w:pPr>
              <w:pStyle w:val="a2"/>
              <w:ind w:right="340"/>
              <w:jc w:val="right"/>
              <w:rPr>
                <w:sz w:val="22"/>
                <w:szCs w:val="22"/>
              </w:rPr>
            </w:pPr>
            <w:r>
              <w:rPr>
                <w:sz w:val="22"/>
                <w:szCs w:val="22"/>
              </w:rPr>
              <w:t>5</w:t>
            </w:r>
          </w:p>
        </w:tc>
        <w:tc>
          <w:tcPr>
            <w:tcW w:w="1863" w:type="dxa"/>
            <w:vAlign w:val="bottom"/>
          </w:tcPr>
          <w:p w:rsidR="00000000" w:rsidRDefault="00000000">
            <w:pPr>
              <w:pStyle w:val="a2"/>
              <w:ind w:right="567"/>
              <w:jc w:val="right"/>
              <w:rPr>
                <w:sz w:val="22"/>
                <w:szCs w:val="22"/>
              </w:rPr>
            </w:pPr>
            <w:r>
              <w:rPr>
                <w:sz w:val="22"/>
                <w:szCs w:val="22"/>
              </w:rPr>
              <w:t>3</w:t>
            </w: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rFonts w:hint="eastAsia"/>
                <w:spacing w:val="0"/>
                <w:sz w:val="20"/>
              </w:rPr>
            </w:pPr>
            <w:r>
              <w:rPr>
                <w:rFonts w:hint="eastAsia"/>
                <w:spacing w:val="0"/>
                <w:sz w:val="20"/>
              </w:rPr>
              <w:t>圣文森特和格林纳丁斯</w:t>
            </w:r>
          </w:p>
        </w:tc>
        <w:tc>
          <w:tcPr>
            <w:tcW w:w="1230" w:type="dxa"/>
            <w:vAlign w:val="bottom"/>
          </w:tcPr>
          <w:p w:rsidR="00000000" w:rsidRDefault="00000000">
            <w:pPr>
              <w:pStyle w:val="a2"/>
              <w:ind w:right="397"/>
              <w:jc w:val="right"/>
              <w:rPr>
                <w:sz w:val="22"/>
                <w:szCs w:val="22"/>
              </w:rPr>
            </w:pPr>
            <w:r>
              <w:rPr>
                <w:sz w:val="22"/>
                <w:szCs w:val="22"/>
              </w:rPr>
              <w:t>15</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14</w:t>
            </w:r>
          </w:p>
        </w:tc>
        <w:tc>
          <w:tcPr>
            <w:tcW w:w="1175" w:type="dxa"/>
            <w:vAlign w:val="bottom"/>
          </w:tcPr>
          <w:p w:rsidR="00000000" w:rsidRDefault="00000000">
            <w:pPr>
              <w:pStyle w:val="a2"/>
              <w:ind w:right="340"/>
              <w:jc w:val="right"/>
              <w:rPr>
                <w:sz w:val="22"/>
                <w:szCs w:val="22"/>
              </w:rPr>
            </w:pPr>
            <w:r>
              <w:rPr>
                <w:sz w:val="22"/>
                <w:szCs w:val="22"/>
              </w:rPr>
              <w:t>9</w:t>
            </w:r>
          </w:p>
        </w:tc>
        <w:tc>
          <w:tcPr>
            <w:tcW w:w="1863" w:type="dxa"/>
            <w:vAlign w:val="bottom"/>
          </w:tcPr>
          <w:p w:rsidR="00000000" w:rsidRDefault="00000000">
            <w:pPr>
              <w:pStyle w:val="a2"/>
              <w:ind w:right="567"/>
              <w:jc w:val="right"/>
              <w:rPr>
                <w:sz w:val="22"/>
                <w:szCs w:val="22"/>
              </w:rPr>
            </w:pPr>
            <w:r>
              <w:rPr>
                <w:sz w:val="22"/>
                <w:szCs w:val="22"/>
              </w:rPr>
              <w:t>5</w:t>
            </w: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pacing w:val="0"/>
                <w:sz w:val="20"/>
              </w:rPr>
            </w:pPr>
            <w:r>
              <w:rPr>
                <w:spacing w:val="0"/>
                <w:sz w:val="20"/>
              </w:rPr>
              <w:t>萨摩亚</w:t>
            </w:r>
          </w:p>
        </w:tc>
        <w:tc>
          <w:tcPr>
            <w:tcW w:w="1230" w:type="dxa"/>
            <w:vAlign w:val="bottom"/>
          </w:tcPr>
          <w:p w:rsidR="00000000" w:rsidRDefault="00000000">
            <w:pPr>
              <w:pStyle w:val="a2"/>
              <w:ind w:right="397"/>
              <w:jc w:val="right"/>
              <w:rPr>
                <w:sz w:val="22"/>
                <w:szCs w:val="22"/>
              </w:rPr>
            </w:pPr>
            <w:r>
              <w:rPr>
                <w:sz w:val="22"/>
                <w:szCs w:val="22"/>
              </w:rPr>
              <w:t>4</w:t>
            </w:r>
          </w:p>
        </w:tc>
        <w:tc>
          <w:tcPr>
            <w:tcW w:w="1040" w:type="dxa"/>
            <w:vAlign w:val="bottom"/>
          </w:tcPr>
          <w:p w:rsidR="00000000" w:rsidRDefault="00000000">
            <w:pPr>
              <w:pStyle w:val="a2"/>
              <w:ind w:right="284"/>
              <w:jc w:val="right"/>
            </w:pPr>
            <w:r>
              <w:t>1</w:t>
            </w:r>
            <w:r>
              <w:rPr>
                <w:rStyle w:val="StyleFootnoteReference11pt"/>
              </w:rPr>
              <w:footnoteReference w:id="102"/>
            </w:r>
          </w:p>
        </w:tc>
        <w:tc>
          <w:tcPr>
            <w:tcW w:w="1230" w:type="dxa"/>
            <w:vAlign w:val="bottom"/>
          </w:tcPr>
          <w:p w:rsidR="00000000" w:rsidRDefault="00000000">
            <w:pPr>
              <w:pStyle w:val="a2"/>
              <w:ind w:right="397"/>
              <w:jc w:val="right"/>
              <w:rPr>
                <w:sz w:val="22"/>
                <w:szCs w:val="22"/>
              </w:rPr>
            </w:pPr>
            <w:r>
              <w:rPr>
                <w:sz w:val="22"/>
                <w:szCs w:val="22"/>
              </w:rPr>
              <w:t>2</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pacing w:val="0"/>
                <w:sz w:val="20"/>
              </w:rPr>
            </w:pPr>
            <w:r>
              <w:rPr>
                <w:spacing w:val="0"/>
                <w:sz w:val="20"/>
              </w:rPr>
              <w:t>圣马力诺</w:t>
            </w:r>
          </w:p>
        </w:tc>
        <w:tc>
          <w:tcPr>
            <w:tcW w:w="1230" w:type="dxa"/>
            <w:vAlign w:val="bottom"/>
          </w:tcPr>
          <w:p w:rsidR="00000000" w:rsidRDefault="00000000">
            <w:pPr>
              <w:pStyle w:val="a2"/>
              <w:ind w:right="397"/>
              <w:jc w:val="right"/>
              <w:rPr>
                <w:sz w:val="22"/>
                <w:szCs w:val="22"/>
              </w:rPr>
            </w:pPr>
            <w:r>
              <w:rPr>
                <w:sz w:val="22"/>
                <w:szCs w:val="22"/>
              </w:rPr>
              <w:t>2</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9</w:t>
            </w:r>
          </w:p>
        </w:tc>
        <w:tc>
          <w:tcPr>
            <w:tcW w:w="1175" w:type="dxa"/>
            <w:vAlign w:val="bottom"/>
          </w:tcPr>
          <w:p w:rsidR="00000000" w:rsidRDefault="00000000">
            <w:pPr>
              <w:pStyle w:val="a2"/>
              <w:ind w:right="340"/>
              <w:jc w:val="right"/>
              <w:rPr>
                <w:sz w:val="22"/>
                <w:szCs w:val="22"/>
              </w:rPr>
            </w:pPr>
            <w:r>
              <w:rPr>
                <w:sz w:val="22"/>
                <w:szCs w:val="22"/>
              </w:rPr>
              <w:t>5</w:t>
            </w:r>
          </w:p>
        </w:tc>
        <w:tc>
          <w:tcPr>
            <w:tcW w:w="1863" w:type="dxa"/>
            <w:vAlign w:val="bottom"/>
          </w:tcPr>
          <w:p w:rsidR="00000000" w:rsidRDefault="00000000">
            <w:pPr>
              <w:pStyle w:val="a2"/>
              <w:ind w:right="567"/>
              <w:jc w:val="right"/>
              <w:rPr>
                <w:sz w:val="22"/>
                <w:szCs w:val="22"/>
              </w:rPr>
            </w:pPr>
            <w:r>
              <w:rPr>
                <w:sz w:val="22"/>
                <w:szCs w:val="22"/>
              </w:rPr>
              <w:t>3</w:t>
            </w: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rFonts w:hint="eastAsia"/>
                <w:spacing w:val="0"/>
                <w:sz w:val="20"/>
              </w:rPr>
            </w:pPr>
            <w:r>
              <w:rPr>
                <w:rFonts w:hint="eastAsia"/>
                <w:spacing w:val="0"/>
                <w:sz w:val="20"/>
              </w:rPr>
              <w:t>圣多美和普林西比</w:t>
            </w:r>
          </w:p>
        </w:tc>
        <w:tc>
          <w:tcPr>
            <w:tcW w:w="1230" w:type="dxa"/>
            <w:vAlign w:val="bottom"/>
          </w:tcPr>
          <w:p w:rsidR="00000000" w:rsidRDefault="00000000">
            <w:pPr>
              <w:pStyle w:val="a2"/>
              <w:ind w:right="397"/>
              <w:jc w:val="right"/>
              <w:rPr>
                <w:sz w:val="22"/>
                <w:szCs w:val="22"/>
              </w:rPr>
            </w:pPr>
            <w:r>
              <w:rPr>
                <w:sz w:val="22"/>
                <w:szCs w:val="22"/>
              </w:rPr>
              <w:t>1</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pacing w:val="0"/>
                <w:sz w:val="20"/>
              </w:rPr>
            </w:pPr>
            <w:r>
              <w:rPr>
                <w:spacing w:val="0"/>
                <w:sz w:val="20"/>
              </w:rPr>
              <w:t>沙特阿拉伯</w:t>
            </w:r>
          </w:p>
        </w:tc>
        <w:tc>
          <w:tcPr>
            <w:tcW w:w="1230" w:type="dxa"/>
            <w:vAlign w:val="bottom"/>
          </w:tcPr>
          <w:p w:rsidR="00000000" w:rsidRDefault="00000000">
            <w:pPr>
              <w:pStyle w:val="a2"/>
              <w:ind w:right="397"/>
              <w:jc w:val="right"/>
              <w:rPr>
                <w:sz w:val="22"/>
                <w:szCs w:val="22"/>
              </w:rPr>
            </w:pPr>
            <w:r>
              <w:rPr>
                <w:sz w:val="22"/>
                <w:szCs w:val="22"/>
              </w:rPr>
              <w:t>6</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3</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pacing w:val="0"/>
                <w:sz w:val="20"/>
              </w:rPr>
            </w:pPr>
            <w:r>
              <w:rPr>
                <w:spacing w:val="0"/>
                <w:sz w:val="20"/>
              </w:rPr>
              <w:t>塞内加尔</w:t>
            </w:r>
          </w:p>
        </w:tc>
        <w:tc>
          <w:tcPr>
            <w:tcW w:w="1230" w:type="dxa"/>
            <w:vAlign w:val="bottom"/>
          </w:tcPr>
          <w:p w:rsidR="00000000" w:rsidRDefault="00000000">
            <w:pPr>
              <w:pStyle w:val="a2"/>
              <w:ind w:right="397"/>
              <w:jc w:val="right"/>
              <w:rPr>
                <w:sz w:val="22"/>
                <w:szCs w:val="22"/>
              </w:rPr>
            </w:pPr>
            <w:r>
              <w:rPr>
                <w:sz w:val="22"/>
                <w:szCs w:val="22"/>
              </w:rPr>
              <w:t>27</w:t>
            </w:r>
          </w:p>
        </w:tc>
        <w:tc>
          <w:tcPr>
            <w:tcW w:w="1040" w:type="dxa"/>
            <w:vAlign w:val="bottom"/>
          </w:tcPr>
          <w:p w:rsidR="00000000" w:rsidRDefault="00000000">
            <w:pPr>
              <w:pStyle w:val="a2"/>
              <w:ind w:right="284"/>
              <w:jc w:val="right"/>
            </w:pPr>
            <w:r>
              <w:t>1</w:t>
            </w:r>
            <w:r>
              <w:rPr>
                <w:rStyle w:val="StyleFootnoteReference11pt"/>
              </w:rPr>
              <w:footnoteReference w:id="103"/>
            </w:r>
          </w:p>
        </w:tc>
        <w:tc>
          <w:tcPr>
            <w:tcW w:w="1230" w:type="dxa"/>
            <w:vAlign w:val="bottom"/>
          </w:tcPr>
          <w:p w:rsidR="00000000" w:rsidRDefault="00000000">
            <w:pPr>
              <w:pStyle w:val="a2"/>
              <w:ind w:right="397"/>
              <w:jc w:val="right"/>
              <w:rPr>
                <w:sz w:val="22"/>
                <w:szCs w:val="22"/>
              </w:rPr>
            </w:pPr>
            <w:r>
              <w:rPr>
                <w:sz w:val="22"/>
                <w:szCs w:val="22"/>
              </w:rPr>
              <w:t>14</w:t>
            </w:r>
          </w:p>
        </w:tc>
        <w:tc>
          <w:tcPr>
            <w:tcW w:w="1175" w:type="dxa"/>
            <w:vAlign w:val="bottom"/>
          </w:tcPr>
          <w:p w:rsidR="00000000" w:rsidRDefault="00000000">
            <w:pPr>
              <w:pStyle w:val="a2"/>
              <w:ind w:right="340"/>
              <w:jc w:val="right"/>
              <w:rPr>
                <w:sz w:val="22"/>
                <w:szCs w:val="22"/>
              </w:rPr>
            </w:pPr>
            <w:r>
              <w:rPr>
                <w:sz w:val="22"/>
                <w:szCs w:val="22"/>
              </w:rPr>
              <w:t>5</w:t>
            </w:r>
          </w:p>
        </w:tc>
        <w:tc>
          <w:tcPr>
            <w:tcW w:w="1863" w:type="dxa"/>
            <w:vAlign w:val="bottom"/>
          </w:tcPr>
          <w:p w:rsidR="00000000" w:rsidRDefault="00000000">
            <w:pPr>
              <w:pStyle w:val="a2"/>
              <w:ind w:right="567"/>
              <w:jc w:val="right"/>
              <w:rPr>
                <w:sz w:val="22"/>
                <w:szCs w:val="22"/>
              </w:rPr>
            </w:pPr>
            <w:r>
              <w:rPr>
                <w:sz w:val="22"/>
                <w:szCs w:val="22"/>
              </w:rPr>
              <w:t>1</w:t>
            </w: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pacing w:val="0"/>
                <w:sz w:val="20"/>
              </w:rPr>
            </w:pPr>
            <w:r>
              <w:rPr>
                <w:rFonts w:hint="eastAsia"/>
                <w:spacing w:val="0"/>
                <w:sz w:val="20"/>
              </w:rPr>
              <w:t>塞尔维亚和黑山</w:t>
            </w:r>
            <w:r>
              <w:rPr>
                <w:spacing w:val="0"/>
                <w:sz w:val="20"/>
              </w:rPr>
              <w:t xml:space="preserve"> </w:t>
            </w:r>
            <w:r>
              <w:rPr>
                <w:rStyle w:val="FootnoteReference"/>
                <w:sz w:val="20"/>
              </w:rPr>
              <w:footnoteReference w:id="104"/>
            </w:r>
          </w:p>
        </w:tc>
        <w:tc>
          <w:tcPr>
            <w:tcW w:w="1230" w:type="dxa"/>
            <w:vAlign w:val="bottom"/>
          </w:tcPr>
          <w:p w:rsidR="00000000" w:rsidRDefault="00000000">
            <w:pPr>
              <w:pStyle w:val="a2"/>
              <w:ind w:right="397"/>
              <w:jc w:val="right"/>
              <w:rPr>
                <w:sz w:val="22"/>
                <w:szCs w:val="22"/>
              </w:rPr>
            </w:pPr>
            <w:r>
              <w:rPr>
                <w:sz w:val="22"/>
                <w:szCs w:val="22"/>
              </w:rPr>
              <w:t>25</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11</w:t>
            </w:r>
          </w:p>
        </w:tc>
        <w:tc>
          <w:tcPr>
            <w:tcW w:w="1175" w:type="dxa"/>
            <w:vAlign w:val="bottom"/>
          </w:tcPr>
          <w:p w:rsidR="00000000" w:rsidRDefault="00000000">
            <w:pPr>
              <w:pStyle w:val="a2"/>
              <w:ind w:right="340"/>
              <w:jc w:val="right"/>
              <w:rPr>
                <w:sz w:val="22"/>
                <w:szCs w:val="22"/>
              </w:rPr>
            </w:pPr>
            <w:r>
              <w:rPr>
                <w:sz w:val="22"/>
                <w:szCs w:val="22"/>
              </w:rPr>
              <w:t>3</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4</w:t>
            </w:r>
          </w:p>
        </w:tc>
      </w:tr>
      <w:tr w:rsidR="00000000">
        <w:tc>
          <w:tcPr>
            <w:tcW w:w="1998" w:type="dxa"/>
            <w:vAlign w:val="bottom"/>
          </w:tcPr>
          <w:p w:rsidR="00000000" w:rsidRDefault="00000000">
            <w:pPr>
              <w:pStyle w:val="a2"/>
              <w:ind w:left="57"/>
              <w:jc w:val="left"/>
              <w:rPr>
                <w:spacing w:val="0"/>
                <w:sz w:val="20"/>
              </w:rPr>
            </w:pPr>
            <w:r>
              <w:rPr>
                <w:spacing w:val="0"/>
                <w:sz w:val="20"/>
              </w:rPr>
              <w:t>塞舌尔</w:t>
            </w:r>
          </w:p>
        </w:tc>
        <w:tc>
          <w:tcPr>
            <w:tcW w:w="1230" w:type="dxa"/>
            <w:vAlign w:val="bottom"/>
          </w:tcPr>
          <w:p w:rsidR="00000000" w:rsidRDefault="00000000">
            <w:pPr>
              <w:pStyle w:val="a2"/>
              <w:ind w:right="397"/>
              <w:jc w:val="right"/>
              <w:rPr>
                <w:sz w:val="22"/>
                <w:szCs w:val="22"/>
              </w:rPr>
            </w:pPr>
            <w:r>
              <w:rPr>
                <w:sz w:val="22"/>
                <w:szCs w:val="22"/>
              </w:rPr>
              <w:t>6</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24</w:t>
            </w:r>
          </w:p>
        </w:tc>
        <w:tc>
          <w:tcPr>
            <w:tcW w:w="1175" w:type="dxa"/>
            <w:vAlign w:val="bottom"/>
          </w:tcPr>
          <w:p w:rsidR="00000000" w:rsidRDefault="00000000">
            <w:pPr>
              <w:pStyle w:val="a2"/>
              <w:ind w:right="340"/>
              <w:jc w:val="right"/>
              <w:rPr>
                <w:sz w:val="22"/>
                <w:szCs w:val="22"/>
              </w:rPr>
            </w:pPr>
            <w:r>
              <w:rPr>
                <w:sz w:val="22"/>
                <w:szCs w:val="22"/>
              </w:rPr>
              <w:t>14</w:t>
            </w:r>
          </w:p>
        </w:tc>
        <w:tc>
          <w:tcPr>
            <w:tcW w:w="1863" w:type="dxa"/>
            <w:vAlign w:val="bottom"/>
          </w:tcPr>
          <w:p w:rsidR="00000000" w:rsidRDefault="00000000">
            <w:pPr>
              <w:pStyle w:val="a2"/>
              <w:ind w:right="567"/>
              <w:jc w:val="right"/>
              <w:rPr>
                <w:sz w:val="22"/>
                <w:szCs w:val="22"/>
              </w:rPr>
            </w:pPr>
            <w:r>
              <w:rPr>
                <w:sz w:val="22"/>
                <w:szCs w:val="22"/>
              </w:rPr>
              <w:t>8</w:t>
            </w:r>
          </w:p>
        </w:tc>
        <w:tc>
          <w:tcPr>
            <w:tcW w:w="1034" w:type="dxa"/>
            <w:vAlign w:val="bottom"/>
          </w:tcPr>
          <w:p w:rsidR="00000000" w:rsidRDefault="00000000">
            <w:pPr>
              <w:pStyle w:val="a2"/>
              <w:ind w:right="340"/>
              <w:jc w:val="right"/>
              <w:rPr>
                <w:sz w:val="22"/>
                <w:szCs w:val="22"/>
              </w:rPr>
            </w:pPr>
            <w:r>
              <w:rPr>
                <w:sz w:val="22"/>
                <w:szCs w:val="22"/>
              </w:rPr>
              <w:t>5</w:t>
            </w:r>
          </w:p>
        </w:tc>
      </w:tr>
      <w:tr w:rsidR="00000000">
        <w:tc>
          <w:tcPr>
            <w:tcW w:w="1998" w:type="dxa"/>
            <w:vAlign w:val="bottom"/>
          </w:tcPr>
          <w:p w:rsidR="00000000" w:rsidRDefault="00000000">
            <w:pPr>
              <w:pStyle w:val="a2"/>
              <w:ind w:left="57"/>
              <w:jc w:val="left"/>
              <w:rPr>
                <w:spacing w:val="0"/>
                <w:sz w:val="20"/>
              </w:rPr>
            </w:pPr>
            <w:r>
              <w:rPr>
                <w:spacing w:val="0"/>
                <w:sz w:val="20"/>
              </w:rPr>
              <w:t>塞拉利昂</w:t>
            </w:r>
          </w:p>
        </w:tc>
        <w:tc>
          <w:tcPr>
            <w:tcW w:w="1230" w:type="dxa"/>
            <w:vAlign w:val="bottom"/>
          </w:tcPr>
          <w:p w:rsidR="00000000" w:rsidRDefault="00000000">
            <w:pPr>
              <w:pStyle w:val="a2"/>
              <w:ind w:right="397"/>
              <w:jc w:val="right"/>
              <w:rPr>
                <w:sz w:val="22"/>
                <w:szCs w:val="22"/>
              </w:rPr>
            </w:pPr>
            <w:r>
              <w:rPr>
                <w:sz w:val="22"/>
                <w:szCs w:val="22"/>
              </w:rPr>
              <w:t>4</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30</w:t>
            </w:r>
          </w:p>
        </w:tc>
        <w:tc>
          <w:tcPr>
            <w:tcW w:w="1175" w:type="dxa"/>
            <w:vAlign w:val="bottom"/>
          </w:tcPr>
          <w:p w:rsidR="00000000" w:rsidRDefault="00000000">
            <w:pPr>
              <w:pStyle w:val="a2"/>
              <w:ind w:right="340"/>
              <w:jc w:val="right"/>
              <w:rPr>
                <w:sz w:val="22"/>
                <w:szCs w:val="22"/>
              </w:rPr>
            </w:pPr>
            <w:r>
              <w:rPr>
                <w:sz w:val="22"/>
                <w:szCs w:val="22"/>
              </w:rPr>
              <w:t>19</w:t>
            </w:r>
          </w:p>
        </w:tc>
        <w:tc>
          <w:tcPr>
            <w:tcW w:w="1863" w:type="dxa"/>
            <w:vAlign w:val="bottom"/>
          </w:tcPr>
          <w:p w:rsidR="00000000" w:rsidRDefault="00000000">
            <w:pPr>
              <w:pStyle w:val="a2"/>
              <w:ind w:right="567"/>
              <w:jc w:val="right"/>
              <w:rPr>
                <w:sz w:val="22"/>
                <w:szCs w:val="22"/>
              </w:rPr>
            </w:pPr>
            <w:r>
              <w:rPr>
                <w:sz w:val="22"/>
                <w:szCs w:val="22"/>
              </w:rPr>
              <w:t>13</w:t>
            </w:r>
          </w:p>
        </w:tc>
        <w:tc>
          <w:tcPr>
            <w:tcW w:w="1034" w:type="dxa"/>
            <w:vAlign w:val="bottom"/>
          </w:tcPr>
          <w:p w:rsidR="00000000" w:rsidRDefault="00000000">
            <w:pPr>
              <w:pStyle w:val="a2"/>
              <w:ind w:right="340"/>
              <w:jc w:val="right"/>
              <w:rPr>
                <w:sz w:val="22"/>
                <w:szCs w:val="22"/>
              </w:rPr>
            </w:pPr>
            <w:r>
              <w:rPr>
                <w:sz w:val="22"/>
                <w:szCs w:val="22"/>
              </w:rPr>
              <w:t>6</w:t>
            </w:r>
          </w:p>
        </w:tc>
      </w:tr>
      <w:tr w:rsidR="00000000">
        <w:tc>
          <w:tcPr>
            <w:tcW w:w="1998" w:type="dxa"/>
            <w:vAlign w:val="bottom"/>
          </w:tcPr>
          <w:p w:rsidR="00000000" w:rsidRDefault="00000000">
            <w:pPr>
              <w:pStyle w:val="a2"/>
              <w:ind w:left="57"/>
              <w:jc w:val="left"/>
              <w:rPr>
                <w:spacing w:val="0"/>
                <w:sz w:val="20"/>
              </w:rPr>
            </w:pPr>
            <w:r>
              <w:rPr>
                <w:spacing w:val="0"/>
                <w:sz w:val="20"/>
              </w:rPr>
              <w:t>新加坡</w:t>
            </w:r>
          </w:p>
        </w:tc>
        <w:tc>
          <w:tcPr>
            <w:tcW w:w="1230" w:type="dxa"/>
            <w:vAlign w:val="bottom"/>
          </w:tcPr>
          <w:p w:rsidR="00000000" w:rsidRDefault="00000000">
            <w:pPr>
              <w:pStyle w:val="a2"/>
              <w:ind w:right="397"/>
              <w:jc w:val="right"/>
              <w:rPr>
                <w:sz w:val="22"/>
                <w:szCs w:val="22"/>
              </w:rPr>
            </w:pPr>
            <w:r>
              <w:rPr>
                <w:sz w:val="22"/>
                <w:szCs w:val="22"/>
              </w:rPr>
              <w:t>4</w:t>
            </w:r>
          </w:p>
        </w:tc>
        <w:tc>
          <w:tcPr>
            <w:tcW w:w="1040" w:type="dxa"/>
            <w:vAlign w:val="bottom"/>
          </w:tcPr>
          <w:p w:rsidR="00000000" w:rsidRDefault="00000000">
            <w:pPr>
              <w:pStyle w:val="a2"/>
              <w:ind w:right="284"/>
              <w:jc w:val="right"/>
            </w:pPr>
            <w:r>
              <w:t>1</w:t>
            </w:r>
            <w:r>
              <w:rPr>
                <w:rStyle w:val="StyleFootnoteReference11pt"/>
              </w:rPr>
              <w:footnoteReference w:id="105"/>
            </w:r>
          </w:p>
        </w:tc>
        <w:tc>
          <w:tcPr>
            <w:tcW w:w="1230" w:type="dxa"/>
            <w:vAlign w:val="bottom"/>
          </w:tcPr>
          <w:p w:rsidR="00000000" w:rsidRDefault="00000000">
            <w:pPr>
              <w:pStyle w:val="a2"/>
              <w:ind w:right="397"/>
              <w:jc w:val="right"/>
              <w:rPr>
                <w:sz w:val="22"/>
                <w:szCs w:val="22"/>
              </w:rPr>
            </w:pP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pacing w:val="0"/>
                <w:sz w:val="20"/>
              </w:rPr>
            </w:pPr>
            <w:r>
              <w:rPr>
                <w:spacing w:val="0"/>
                <w:sz w:val="20"/>
              </w:rPr>
              <w:t>斯洛伐克</w:t>
            </w:r>
          </w:p>
        </w:tc>
        <w:tc>
          <w:tcPr>
            <w:tcW w:w="1230" w:type="dxa"/>
            <w:vAlign w:val="bottom"/>
          </w:tcPr>
          <w:p w:rsidR="00000000" w:rsidRDefault="00000000">
            <w:pPr>
              <w:pStyle w:val="a2"/>
              <w:ind w:right="397"/>
              <w:jc w:val="right"/>
              <w:rPr>
                <w:sz w:val="22"/>
                <w:szCs w:val="22"/>
              </w:rPr>
            </w:pPr>
            <w:r>
              <w:rPr>
                <w:sz w:val="22"/>
                <w:szCs w:val="22"/>
              </w:rPr>
              <w:t>11</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6</w:t>
            </w:r>
          </w:p>
        </w:tc>
        <w:tc>
          <w:tcPr>
            <w:tcW w:w="1175" w:type="dxa"/>
            <w:vAlign w:val="bottom"/>
          </w:tcPr>
          <w:p w:rsidR="00000000" w:rsidRDefault="00000000">
            <w:pPr>
              <w:pStyle w:val="a2"/>
              <w:ind w:right="340"/>
              <w:jc w:val="right"/>
              <w:rPr>
                <w:sz w:val="22"/>
                <w:szCs w:val="22"/>
              </w:rPr>
            </w:pPr>
            <w:r>
              <w:rPr>
                <w:sz w:val="22"/>
                <w:szCs w:val="22"/>
              </w:rPr>
              <w:t>3</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pacing w:val="0"/>
                <w:sz w:val="20"/>
              </w:rPr>
            </w:pPr>
            <w:r>
              <w:rPr>
                <w:spacing w:val="0"/>
                <w:sz w:val="20"/>
              </w:rPr>
              <w:t>斯洛文尼亚</w:t>
            </w:r>
          </w:p>
        </w:tc>
        <w:tc>
          <w:tcPr>
            <w:tcW w:w="1230" w:type="dxa"/>
            <w:vAlign w:val="bottom"/>
          </w:tcPr>
          <w:p w:rsidR="00000000" w:rsidRDefault="00000000">
            <w:pPr>
              <w:pStyle w:val="a2"/>
              <w:ind w:right="397"/>
              <w:jc w:val="right"/>
              <w:rPr>
                <w:sz w:val="22"/>
                <w:szCs w:val="22"/>
              </w:rPr>
            </w:pPr>
            <w:r>
              <w:rPr>
                <w:sz w:val="22"/>
                <w:szCs w:val="22"/>
              </w:rPr>
              <w:t>15</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3</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pacing w:val="0"/>
                <w:sz w:val="20"/>
              </w:rPr>
            </w:pPr>
            <w:r>
              <w:rPr>
                <w:spacing w:val="0"/>
                <w:sz w:val="20"/>
              </w:rPr>
              <w:t>所罗门群岛</w:t>
            </w:r>
          </w:p>
        </w:tc>
        <w:tc>
          <w:tcPr>
            <w:tcW w:w="1230" w:type="dxa"/>
            <w:vAlign w:val="bottom"/>
          </w:tcPr>
          <w:p w:rsidR="00000000" w:rsidRDefault="00000000">
            <w:pPr>
              <w:pStyle w:val="a2"/>
              <w:ind w:right="397"/>
              <w:jc w:val="right"/>
              <w:rPr>
                <w:sz w:val="22"/>
                <w:szCs w:val="22"/>
              </w:rPr>
            </w:pPr>
            <w:r>
              <w:rPr>
                <w:sz w:val="22"/>
                <w:szCs w:val="22"/>
              </w:rPr>
              <w:t>3</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12</w:t>
            </w:r>
          </w:p>
        </w:tc>
        <w:tc>
          <w:tcPr>
            <w:tcW w:w="1175" w:type="dxa"/>
            <w:vAlign w:val="bottom"/>
          </w:tcPr>
          <w:p w:rsidR="00000000" w:rsidRDefault="00000000">
            <w:pPr>
              <w:pStyle w:val="a2"/>
              <w:ind w:right="340"/>
              <w:jc w:val="right"/>
              <w:rPr>
                <w:sz w:val="22"/>
                <w:szCs w:val="22"/>
              </w:rPr>
            </w:pPr>
            <w:r>
              <w:rPr>
                <w:sz w:val="22"/>
                <w:szCs w:val="22"/>
              </w:rPr>
              <w:t>8</w:t>
            </w:r>
          </w:p>
        </w:tc>
        <w:tc>
          <w:tcPr>
            <w:tcW w:w="1863" w:type="dxa"/>
            <w:vAlign w:val="bottom"/>
          </w:tcPr>
          <w:p w:rsidR="00000000" w:rsidRDefault="00000000">
            <w:pPr>
              <w:pStyle w:val="a2"/>
              <w:ind w:right="567"/>
              <w:jc w:val="right"/>
              <w:rPr>
                <w:sz w:val="22"/>
                <w:szCs w:val="22"/>
              </w:rPr>
            </w:pPr>
            <w:r>
              <w:rPr>
                <w:sz w:val="22"/>
                <w:szCs w:val="22"/>
              </w:rPr>
              <w:t>6</w:t>
            </w: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pacing w:val="0"/>
                <w:sz w:val="20"/>
              </w:rPr>
            </w:pPr>
            <w:r>
              <w:rPr>
                <w:spacing w:val="0"/>
                <w:sz w:val="20"/>
              </w:rPr>
              <w:t>索马里</w:t>
            </w:r>
          </w:p>
        </w:tc>
        <w:tc>
          <w:tcPr>
            <w:tcW w:w="1230" w:type="dxa"/>
            <w:vAlign w:val="bottom"/>
          </w:tcPr>
          <w:p w:rsidR="00000000" w:rsidRDefault="00000000">
            <w:pPr>
              <w:pStyle w:val="a2"/>
              <w:ind w:right="397"/>
              <w:jc w:val="right"/>
              <w:rPr>
                <w:sz w:val="22"/>
                <w:szCs w:val="22"/>
              </w:rPr>
            </w:pPr>
            <w:r>
              <w:rPr>
                <w:sz w:val="22"/>
                <w:szCs w:val="22"/>
              </w:rPr>
              <w:t>4</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20</w:t>
            </w:r>
          </w:p>
        </w:tc>
        <w:tc>
          <w:tcPr>
            <w:tcW w:w="1175" w:type="dxa"/>
            <w:vAlign w:val="bottom"/>
          </w:tcPr>
          <w:p w:rsidR="00000000" w:rsidRDefault="00000000">
            <w:pPr>
              <w:pStyle w:val="a2"/>
              <w:ind w:right="340"/>
              <w:jc w:val="right"/>
              <w:rPr>
                <w:sz w:val="22"/>
                <w:szCs w:val="22"/>
              </w:rPr>
            </w:pPr>
            <w:r>
              <w:rPr>
                <w:sz w:val="22"/>
                <w:szCs w:val="22"/>
              </w:rPr>
              <w:t>16</w:t>
            </w:r>
          </w:p>
        </w:tc>
        <w:tc>
          <w:tcPr>
            <w:tcW w:w="1863" w:type="dxa"/>
            <w:vAlign w:val="bottom"/>
          </w:tcPr>
          <w:p w:rsidR="00000000" w:rsidRDefault="00000000">
            <w:pPr>
              <w:pStyle w:val="a2"/>
              <w:ind w:right="567"/>
              <w:jc w:val="right"/>
              <w:rPr>
                <w:sz w:val="22"/>
                <w:szCs w:val="22"/>
              </w:rPr>
            </w:pPr>
            <w:r>
              <w:rPr>
                <w:sz w:val="22"/>
                <w:szCs w:val="22"/>
              </w:rPr>
              <w:t>10</w:t>
            </w: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pacing w:val="0"/>
                <w:sz w:val="20"/>
              </w:rPr>
            </w:pPr>
            <w:r>
              <w:rPr>
                <w:spacing w:val="0"/>
                <w:sz w:val="20"/>
              </w:rPr>
              <w:t>南非</w:t>
            </w:r>
          </w:p>
        </w:tc>
        <w:tc>
          <w:tcPr>
            <w:tcW w:w="1230" w:type="dxa"/>
            <w:vAlign w:val="bottom"/>
          </w:tcPr>
          <w:p w:rsidR="00000000" w:rsidRDefault="00000000">
            <w:pPr>
              <w:pStyle w:val="a2"/>
              <w:ind w:right="397"/>
              <w:jc w:val="right"/>
              <w:rPr>
                <w:sz w:val="22"/>
                <w:szCs w:val="22"/>
              </w:rPr>
            </w:pPr>
            <w:r>
              <w:rPr>
                <w:sz w:val="22"/>
                <w:szCs w:val="22"/>
              </w:rPr>
              <w:t>6</w:t>
            </w:r>
          </w:p>
        </w:tc>
        <w:tc>
          <w:tcPr>
            <w:tcW w:w="1040" w:type="dxa"/>
            <w:vAlign w:val="bottom"/>
          </w:tcPr>
          <w:p w:rsidR="00000000" w:rsidRDefault="00000000">
            <w:pPr>
              <w:pStyle w:val="a2"/>
              <w:ind w:right="284"/>
              <w:jc w:val="right"/>
            </w:pPr>
            <w:r>
              <w:t>4</w:t>
            </w:r>
            <w:r>
              <w:rPr>
                <w:rStyle w:val="StyleFootnoteReference11pt"/>
              </w:rPr>
              <w:footnoteReference w:id="106"/>
            </w:r>
          </w:p>
        </w:tc>
        <w:tc>
          <w:tcPr>
            <w:tcW w:w="1230" w:type="dxa"/>
            <w:vAlign w:val="bottom"/>
          </w:tcPr>
          <w:p w:rsidR="00000000" w:rsidRDefault="00000000">
            <w:pPr>
              <w:pStyle w:val="a2"/>
              <w:ind w:right="397"/>
              <w:jc w:val="right"/>
              <w:rPr>
                <w:sz w:val="22"/>
                <w:szCs w:val="22"/>
              </w:rPr>
            </w:pPr>
            <w:r>
              <w:rPr>
                <w:sz w:val="22"/>
                <w:szCs w:val="22"/>
              </w:rPr>
              <w:t>7</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pacing w:val="0"/>
                <w:sz w:val="20"/>
              </w:rPr>
            </w:pPr>
            <w:r>
              <w:rPr>
                <w:spacing w:val="0"/>
                <w:sz w:val="20"/>
              </w:rPr>
              <w:t>西班牙</w:t>
            </w:r>
          </w:p>
        </w:tc>
        <w:tc>
          <w:tcPr>
            <w:tcW w:w="1230" w:type="dxa"/>
            <w:vAlign w:val="bottom"/>
          </w:tcPr>
          <w:p w:rsidR="00000000" w:rsidRDefault="00000000">
            <w:pPr>
              <w:pStyle w:val="a2"/>
              <w:ind w:right="397"/>
              <w:jc w:val="right"/>
              <w:rPr>
                <w:sz w:val="22"/>
                <w:szCs w:val="22"/>
              </w:rPr>
            </w:pPr>
            <w:r>
              <w:rPr>
                <w:sz w:val="22"/>
                <w:szCs w:val="22"/>
              </w:rPr>
              <w:t>36</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7</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pacing w:val="0"/>
                <w:sz w:val="20"/>
              </w:rPr>
            </w:pPr>
            <w:r>
              <w:rPr>
                <w:spacing w:val="0"/>
                <w:sz w:val="20"/>
              </w:rPr>
              <w:t>斯里兰卡</w:t>
            </w:r>
          </w:p>
        </w:tc>
        <w:tc>
          <w:tcPr>
            <w:tcW w:w="1230" w:type="dxa"/>
            <w:vAlign w:val="bottom"/>
          </w:tcPr>
          <w:p w:rsidR="00000000" w:rsidRDefault="00000000">
            <w:pPr>
              <w:pStyle w:val="a2"/>
              <w:ind w:right="397"/>
              <w:jc w:val="right"/>
              <w:rPr>
                <w:sz w:val="22"/>
                <w:szCs w:val="22"/>
              </w:rPr>
            </w:pPr>
            <w:r>
              <w:rPr>
                <w:sz w:val="22"/>
                <w:szCs w:val="22"/>
              </w:rPr>
              <w:t>22</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9</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pacing w:val="0"/>
                <w:sz w:val="20"/>
              </w:rPr>
            </w:pPr>
            <w:r>
              <w:rPr>
                <w:spacing w:val="0"/>
                <w:sz w:val="20"/>
              </w:rPr>
              <w:t>苏丹</w:t>
            </w:r>
          </w:p>
        </w:tc>
        <w:tc>
          <w:tcPr>
            <w:tcW w:w="1230" w:type="dxa"/>
            <w:vAlign w:val="bottom"/>
          </w:tcPr>
          <w:p w:rsidR="00000000" w:rsidRDefault="00000000">
            <w:pPr>
              <w:pStyle w:val="a2"/>
              <w:ind w:right="397"/>
              <w:jc w:val="right"/>
              <w:rPr>
                <w:sz w:val="22"/>
                <w:szCs w:val="22"/>
              </w:rPr>
            </w:pPr>
            <w:r>
              <w:rPr>
                <w:sz w:val="22"/>
                <w:szCs w:val="22"/>
              </w:rPr>
              <w:t>16</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6</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pacing w:val="0"/>
                <w:sz w:val="20"/>
              </w:rPr>
            </w:pPr>
            <w:r>
              <w:rPr>
                <w:spacing w:val="0"/>
                <w:sz w:val="20"/>
              </w:rPr>
              <w:t>苏里南</w:t>
            </w:r>
          </w:p>
        </w:tc>
        <w:tc>
          <w:tcPr>
            <w:tcW w:w="1230" w:type="dxa"/>
            <w:vAlign w:val="bottom"/>
          </w:tcPr>
          <w:p w:rsidR="00000000" w:rsidRDefault="00000000">
            <w:pPr>
              <w:pStyle w:val="a2"/>
              <w:ind w:right="397"/>
              <w:jc w:val="right"/>
              <w:rPr>
                <w:sz w:val="22"/>
                <w:szCs w:val="22"/>
              </w:rPr>
            </w:pPr>
            <w:r>
              <w:rPr>
                <w:sz w:val="22"/>
                <w:szCs w:val="22"/>
              </w:rPr>
              <w:t>18</w:t>
            </w:r>
          </w:p>
        </w:tc>
        <w:tc>
          <w:tcPr>
            <w:tcW w:w="1040" w:type="dxa"/>
            <w:vAlign w:val="bottom"/>
          </w:tcPr>
          <w:p w:rsidR="00000000" w:rsidRDefault="00000000">
            <w:pPr>
              <w:pStyle w:val="a2"/>
              <w:ind w:right="284"/>
              <w:jc w:val="right"/>
            </w:pPr>
            <w:r>
              <w:t>2</w:t>
            </w:r>
            <w:r>
              <w:rPr>
                <w:rStyle w:val="StyleFootnoteReference11pt"/>
              </w:rPr>
              <w:footnoteReference w:id="107"/>
            </w:r>
          </w:p>
        </w:tc>
        <w:tc>
          <w:tcPr>
            <w:tcW w:w="1230" w:type="dxa"/>
            <w:vAlign w:val="bottom"/>
          </w:tcPr>
          <w:p w:rsidR="00000000" w:rsidRDefault="00000000">
            <w:pPr>
              <w:pStyle w:val="a2"/>
              <w:ind w:right="397"/>
              <w:jc w:val="right"/>
              <w:rPr>
                <w:sz w:val="22"/>
                <w:szCs w:val="22"/>
              </w:rPr>
            </w:pPr>
            <w:r>
              <w:rPr>
                <w:sz w:val="22"/>
                <w:szCs w:val="22"/>
              </w:rPr>
              <w:t>3</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r>
              <w:rPr>
                <w:sz w:val="22"/>
                <w:szCs w:val="22"/>
              </w:rPr>
              <w:t>1</w:t>
            </w: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pacing w:val="0"/>
                <w:sz w:val="20"/>
              </w:rPr>
            </w:pPr>
            <w:r>
              <w:rPr>
                <w:spacing w:val="0"/>
                <w:sz w:val="20"/>
              </w:rPr>
              <w:t>斯威士兰</w:t>
            </w:r>
          </w:p>
        </w:tc>
        <w:tc>
          <w:tcPr>
            <w:tcW w:w="1230" w:type="dxa"/>
            <w:vAlign w:val="bottom"/>
          </w:tcPr>
          <w:p w:rsidR="00000000" w:rsidRDefault="00000000">
            <w:pPr>
              <w:pStyle w:val="a2"/>
              <w:ind w:right="397"/>
              <w:jc w:val="right"/>
              <w:rPr>
                <w:sz w:val="22"/>
                <w:szCs w:val="22"/>
              </w:rPr>
            </w:pPr>
            <w:r>
              <w:rPr>
                <w:sz w:val="22"/>
                <w:szCs w:val="22"/>
              </w:rPr>
              <w:t>15</w:t>
            </w:r>
          </w:p>
        </w:tc>
        <w:tc>
          <w:tcPr>
            <w:tcW w:w="1040" w:type="dxa"/>
            <w:vAlign w:val="bottom"/>
          </w:tcPr>
          <w:p w:rsidR="00000000" w:rsidRDefault="00000000">
            <w:pPr>
              <w:pStyle w:val="a2"/>
              <w:ind w:right="284"/>
              <w:jc w:val="right"/>
            </w:pPr>
            <w:r>
              <w:t>1</w:t>
            </w:r>
            <w:r>
              <w:rPr>
                <w:rStyle w:val="StyleFootnoteReference11pt"/>
              </w:rPr>
              <w:footnoteReference w:id="108"/>
            </w:r>
          </w:p>
        </w:tc>
        <w:tc>
          <w:tcPr>
            <w:tcW w:w="1230" w:type="dxa"/>
            <w:vAlign w:val="bottom"/>
          </w:tcPr>
          <w:p w:rsidR="00000000" w:rsidRDefault="00000000">
            <w:pPr>
              <w:pStyle w:val="a2"/>
              <w:ind w:right="397"/>
              <w:jc w:val="right"/>
              <w:rPr>
                <w:sz w:val="22"/>
                <w:szCs w:val="22"/>
              </w:rPr>
            </w:pPr>
            <w:r>
              <w:rPr>
                <w:sz w:val="22"/>
                <w:szCs w:val="22"/>
              </w:rPr>
              <w:t>8</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pacing w:val="0"/>
                <w:sz w:val="20"/>
              </w:rPr>
            </w:pPr>
            <w:r>
              <w:rPr>
                <w:spacing w:val="0"/>
                <w:sz w:val="20"/>
              </w:rPr>
              <w:t>瑞典</w:t>
            </w:r>
          </w:p>
        </w:tc>
        <w:tc>
          <w:tcPr>
            <w:tcW w:w="1230" w:type="dxa"/>
            <w:vAlign w:val="bottom"/>
          </w:tcPr>
          <w:p w:rsidR="00000000" w:rsidRDefault="00000000">
            <w:pPr>
              <w:pStyle w:val="a2"/>
              <w:ind w:right="397"/>
              <w:jc w:val="right"/>
              <w:rPr>
                <w:sz w:val="22"/>
                <w:szCs w:val="22"/>
              </w:rPr>
            </w:pPr>
            <w:r>
              <w:rPr>
                <w:sz w:val="22"/>
                <w:szCs w:val="22"/>
              </w:rPr>
              <w:t>38</w:t>
            </w:r>
          </w:p>
        </w:tc>
        <w:tc>
          <w:tcPr>
            <w:tcW w:w="1040" w:type="dxa"/>
            <w:vAlign w:val="bottom"/>
          </w:tcPr>
          <w:p w:rsidR="00000000" w:rsidRDefault="00000000">
            <w:pPr>
              <w:pStyle w:val="a2"/>
              <w:ind w:right="284"/>
              <w:jc w:val="right"/>
            </w:pPr>
            <w:r>
              <w:t>1</w:t>
            </w:r>
            <w:r>
              <w:rPr>
                <w:rStyle w:val="StyleFootnoteReference11pt"/>
              </w:rPr>
              <w:footnoteReference w:id="109"/>
            </w:r>
          </w:p>
        </w:tc>
        <w:tc>
          <w:tcPr>
            <w:tcW w:w="1230" w:type="dxa"/>
            <w:vAlign w:val="bottom"/>
          </w:tcPr>
          <w:p w:rsidR="00000000" w:rsidRDefault="00000000">
            <w:pPr>
              <w:pStyle w:val="a2"/>
              <w:ind w:right="397"/>
              <w:jc w:val="right"/>
              <w:rPr>
                <w:sz w:val="22"/>
                <w:szCs w:val="22"/>
              </w:rPr>
            </w:pPr>
            <w:r>
              <w:rPr>
                <w:sz w:val="22"/>
                <w:szCs w:val="22"/>
              </w:rPr>
              <w:t>2</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pacing w:val="0"/>
                <w:sz w:val="20"/>
              </w:rPr>
            </w:pPr>
            <w:r>
              <w:rPr>
                <w:spacing w:val="0"/>
                <w:sz w:val="20"/>
              </w:rPr>
              <w:t>瑞士</w:t>
            </w:r>
          </w:p>
        </w:tc>
        <w:tc>
          <w:tcPr>
            <w:tcW w:w="1230" w:type="dxa"/>
            <w:vAlign w:val="bottom"/>
          </w:tcPr>
          <w:p w:rsidR="00000000" w:rsidRDefault="00000000">
            <w:pPr>
              <w:pStyle w:val="a2"/>
              <w:ind w:right="397"/>
              <w:jc w:val="right"/>
              <w:rPr>
                <w:sz w:val="22"/>
                <w:szCs w:val="22"/>
              </w:rPr>
            </w:pPr>
            <w:r>
              <w:rPr>
                <w:sz w:val="22"/>
                <w:szCs w:val="22"/>
              </w:rPr>
              <w:t>14</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5</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right="-57"/>
              <w:jc w:val="left"/>
              <w:rPr>
                <w:spacing w:val="0"/>
                <w:sz w:val="20"/>
              </w:rPr>
            </w:pPr>
            <w:r>
              <w:rPr>
                <w:spacing w:val="0"/>
                <w:sz w:val="20"/>
              </w:rPr>
              <w:t>阿拉伯叙利亚共和国</w:t>
            </w:r>
          </w:p>
        </w:tc>
        <w:tc>
          <w:tcPr>
            <w:tcW w:w="1230" w:type="dxa"/>
            <w:vAlign w:val="bottom"/>
          </w:tcPr>
          <w:p w:rsidR="00000000" w:rsidRDefault="00000000">
            <w:pPr>
              <w:pStyle w:val="a2"/>
              <w:ind w:right="397"/>
              <w:jc w:val="right"/>
              <w:rPr>
                <w:sz w:val="22"/>
                <w:szCs w:val="22"/>
              </w:rPr>
            </w:pPr>
            <w:r>
              <w:rPr>
                <w:sz w:val="22"/>
                <w:szCs w:val="22"/>
              </w:rPr>
              <w:t>25</w:t>
            </w:r>
          </w:p>
        </w:tc>
        <w:tc>
          <w:tcPr>
            <w:tcW w:w="1040" w:type="dxa"/>
            <w:vAlign w:val="bottom"/>
          </w:tcPr>
          <w:p w:rsidR="00000000" w:rsidRDefault="00000000">
            <w:pPr>
              <w:pStyle w:val="a2"/>
              <w:ind w:right="284"/>
              <w:jc w:val="right"/>
            </w:pPr>
            <w:r>
              <w:t>2</w:t>
            </w:r>
            <w:r>
              <w:rPr>
                <w:rStyle w:val="StyleFootnoteReference11pt"/>
              </w:rPr>
              <w:footnoteReference w:id="110"/>
            </w:r>
          </w:p>
        </w:tc>
        <w:tc>
          <w:tcPr>
            <w:tcW w:w="1230" w:type="dxa"/>
            <w:vAlign w:val="bottom"/>
          </w:tcPr>
          <w:p w:rsidR="00000000" w:rsidRDefault="00000000">
            <w:pPr>
              <w:pStyle w:val="a2"/>
              <w:ind w:right="397"/>
              <w:jc w:val="right"/>
              <w:rPr>
                <w:sz w:val="22"/>
                <w:szCs w:val="22"/>
              </w:rPr>
            </w:pPr>
            <w:r>
              <w:rPr>
                <w:sz w:val="22"/>
                <w:szCs w:val="22"/>
              </w:rPr>
              <w:t>4</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塔吉克斯坦</w:t>
            </w:r>
          </w:p>
        </w:tc>
        <w:tc>
          <w:tcPr>
            <w:tcW w:w="1230" w:type="dxa"/>
            <w:vAlign w:val="bottom"/>
          </w:tcPr>
          <w:p w:rsidR="00000000" w:rsidRDefault="00000000">
            <w:pPr>
              <w:pStyle w:val="a2"/>
              <w:ind w:right="397"/>
              <w:jc w:val="right"/>
              <w:rPr>
                <w:sz w:val="22"/>
                <w:szCs w:val="22"/>
              </w:rPr>
            </w:pPr>
            <w:r>
              <w:rPr>
                <w:sz w:val="22"/>
                <w:szCs w:val="22"/>
              </w:rPr>
              <w:t>12</w:t>
            </w:r>
          </w:p>
        </w:tc>
        <w:tc>
          <w:tcPr>
            <w:tcW w:w="1040" w:type="dxa"/>
            <w:vAlign w:val="bottom"/>
          </w:tcPr>
          <w:p w:rsidR="00000000" w:rsidRDefault="00000000">
            <w:pPr>
              <w:pStyle w:val="a2"/>
              <w:ind w:right="284"/>
              <w:jc w:val="right"/>
            </w:pPr>
            <w:r>
              <w:t>5</w:t>
            </w:r>
            <w:r>
              <w:rPr>
                <w:rStyle w:val="StyleFootnoteReference11pt"/>
              </w:rPr>
              <w:footnoteReference w:id="111"/>
            </w:r>
          </w:p>
        </w:tc>
        <w:tc>
          <w:tcPr>
            <w:tcW w:w="1230" w:type="dxa"/>
            <w:vAlign w:val="bottom"/>
          </w:tcPr>
          <w:p w:rsidR="00000000" w:rsidRDefault="00000000">
            <w:pPr>
              <w:pStyle w:val="a2"/>
              <w:ind w:right="397"/>
              <w:jc w:val="right"/>
              <w:rPr>
                <w:sz w:val="22"/>
                <w:szCs w:val="22"/>
              </w:rPr>
            </w:pPr>
            <w:r>
              <w:rPr>
                <w:sz w:val="22"/>
                <w:szCs w:val="22"/>
              </w:rPr>
              <w:t>7</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z w:val="20"/>
              </w:rPr>
            </w:pPr>
            <w:r>
              <w:rPr>
                <w:sz w:val="20"/>
              </w:rPr>
              <w:t>泰国</w:t>
            </w:r>
          </w:p>
        </w:tc>
        <w:tc>
          <w:tcPr>
            <w:tcW w:w="1230" w:type="dxa"/>
            <w:vAlign w:val="bottom"/>
          </w:tcPr>
          <w:p w:rsidR="00000000" w:rsidRDefault="00000000">
            <w:pPr>
              <w:pStyle w:val="a2"/>
              <w:ind w:right="397"/>
              <w:jc w:val="right"/>
              <w:rPr>
                <w:sz w:val="22"/>
                <w:szCs w:val="22"/>
              </w:rPr>
            </w:pPr>
            <w:r>
              <w:rPr>
                <w:sz w:val="22"/>
                <w:szCs w:val="22"/>
              </w:rPr>
              <w:t>8</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2</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前南斯拉夫的马其顿共和国</w:t>
            </w:r>
          </w:p>
        </w:tc>
        <w:tc>
          <w:tcPr>
            <w:tcW w:w="1230" w:type="dxa"/>
            <w:vAlign w:val="bottom"/>
          </w:tcPr>
          <w:p w:rsidR="00000000" w:rsidRDefault="00000000">
            <w:pPr>
              <w:pStyle w:val="a2"/>
              <w:ind w:right="397"/>
              <w:jc w:val="right"/>
              <w:rPr>
                <w:sz w:val="22"/>
                <w:szCs w:val="22"/>
              </w:rPr>
            </w:pPr>
            <w:r>
              <w:rPr>
                <w:sz w:val="22"/>
                <w:szCs w:val="22"/>
              </w:rPr>
              <w:t>14</w:t>
            </w:r>
          </w:p>
        </w:tc>
        <w:tc>
          <w:tcPr>
            <w:tcW w:w="1040" w:type="dxa"/>
            <w:vAlign w:val="bottom"/>
          </w:tcPr>
          <w:p w:rsidR="00000000" w:rsidRDefault="00000000">
            <w:pPr>
              <w:pStyle w:val="a2"/>
              <w:ind w:right="284"/>
              <w:jc w:val="right"/>
            </w:pPr>
            <w:r>
              <w:t>5</w:t>
            </w:r>
            <w:r>
              <w:rPr>
                <w:rStyle w:val="StyleFootnoteReference11pt"/>
              </w:rPr>
              <w:footnoteReference w:id="112"/>
            </w:r>
          </w:p>
        </w:tc>
        <w:tc>
          <w:tcPr>
            <w:tcW w:w="1230" w:type="dxa"/>
            <w:vAlign w:val="bottom"/>
          </w:tcPr>
          <w:p w:rsidR="00000000" w:rsidRDefault="00000000">
            <w:pPr>
              <w:pStyle w:val="a2"/>
              <w:ind w:right="397"/>
              <w:jc w:val="right"/>
              <w:rPr>
                <w:sz w:val="22"/>
                <w:szCs w:val="22"/>
              </w:rPr>
            </w:pPr>
            <w:r>
              <w:rPr>
                <w:sz w:val="22"/>
                <w:szCs w:val="22"/>
              </w:rPr>
              <w:t>7</w:t>
            </w:r>
          </w:p>
        </w:tc>
        <w:tc>
          <w:tcPr>
            <w:tcW w:w="1175" w:type="dxa"/>
            <w:vAlign w:val="bottom"/>
          </w:tcPr>
          <w:p w:rsidR="00000000" w:rsidRDefault="00000000">
            <w:pPr>
              <w:pStyle w:val="a2"/>
              <w:ind w:right="340"/>
              <w:jc w:val="right"/>
              <w:rPr>
                <w:sz w:val="22"/>
                <w:szCs w:val="22"/>
              </w:rPr>
            </w:pPr>
            <w:r>
              <w:rPr>
                <w:sz w:val="22"/>
                <w:szCs w:val="22"/>
              </w:rPr>
              <w:t>3</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东帝汶</w:t>
            </w:r>
          </w:p>
        </w:tc>
        <w:tc>
          <w:tcPr>
            <w:tcW w:w="1230" w:type="dxa"/>
            <w:vAlign w:val="bottom"/>
          </w:tcPr>
          <w:p w:rsidR="00000000" w:rsidRDefault="00000000">
            <w:pPr>
              <w:pStyle w:val="a2"/>
              <w:ind w:right="397"/>
              <w:jc w:val="right"/>
              <w:rPr>
                <w:sz w:val="22"/>
                <w:szCs w:val="22"/>
              </w:rPr>
            </w:pPr>
            <w:r>
              <w:rPr>
                <w:sz w:val="22"/>
                <w:szCs w:val="22"/>
              </w:rPr>
              <w:t>0</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8</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8</w:t>
            </w:r>
          </w:p>
        </w:tc>
      </w:tr>
      <w:tr w:rsidR="00000000">
        <w:tc>
          <w:tcPr>
            <w:tcW w:w="1998" w:type="dxa"/>
            <w:vAlign w:val="bottom"/>
          </w:tcPr>
          <w:p w:rsidR="00000000" w:rsidRDefault="00000000">
            <w:pPr>
              <w:pStyle w:val="a2"/>
              <w:ind w:left="57"/>
              <w:jc w:val="left"/>
              <w:rPr>
                <w:sz w:val="20"/>
              </w:rPr>
            </w:pPr>
            <w:r>
              <w:rPr>
                <w:sz w:val="20"/>
              </w:rPr>
              <w:t>多哥</w:t>
            </w:r>
          </w:p>
        </w:tc>
        <w:tc>
          <w:tcPr>
            <w:tcW w:w="1230" w:type="dxa"/>
            <w:vAlign w:val="bottom"/>
          </w:tcPr>
          <w:p w:rsidR="00000000" w:rsidRDefault="00000000">
            <w:pPr>
              <w:pStyle w:val="a2"/>
              <w:ind w:right="397"/>
              <w:jc w:val="right"/>
              <w:rPr>
                <w:sz w:val="22"/>
                <w:szCs w:val="22"/>
              </w:rPr>
            </w:pPr>
            <w:r>
              <w:rPr>
                <w:sz w:val="22"/>
                <w:szCs w:val="22"/>
              </w:rPr>
              <w:t>16</w:t>
            </w:r>
          </w:p>
        </w:tc>
        <w:tc>
          <w:tcPr>
            <w:tcW w:w="1040" w:type="dxa"/>
            <w:vAlign w:val="bottom"/>
          </w:tcPr>
          <w:p w:rsidR="00000000" w:rsidRDefault="00000000">
            <w:pPr>
              <w:pStyle w:val="a2"/>
              <w:ind w:right="284"/>
              <w:jc w:val="right"/>
            </w:pPr>
            <w:r>
              <w:t>1</w:t>
            </w:r>
            <w:r>
              <w:rPr>
                <w:rStyle w:val="StyleFootnoteReference11pt"/>
              </w:rPr>
              <w:footnoteReference w:id="113"/>
            </w:r>
          </w:p>
        </w:tc>
        <w:tc>
          <w:tcPr>
            <w:tcW w:w="1230" w:type="dxa"/>
            <w:vAlign w:val="bottom"/>
          </w:tcPr>
          <w:p w:rsidR="00000000" w:rsidRDefault="00000000">
            <w:pPr>
              <w:pStyle w:val="a2"/>
              <w:ind w:right="397"/>
              <w:jc w:val="right"/>
              <w:rPr>
                <w:sz w:val="22"/>
                <w:szCs w:val="22"/>
              </w:rPr>
            </w:pPr>
            <w:r>
              <w:rPr>
                <w:sz w:val="22"/>
                <w:szCs w:val="22"/>
              </w:rPr>
              <w:t>21</w:t>
            </w:r>
          </w:p>
        </w:tc>
        <w:tc>
          <w:tcPr>
            <w:tcW w:w="1175" w:type="dxa"/>
            <w:vAlign w:val="bottom"/>
          </w:tcPr>
          <w:p w:rsidR="00000000" w:rsidRDefault="00000000">
            <w:pPr>
              <w:pStyle w:val="a2"/>
              <w:ind w:right="340"/>
              <w:jc w:val="right"/>
              <w:rPr>
                <w:sz w:val="22"/>
                <w:szCs w:val="22"/>
              </w:rPr>
            </w:pPr>
            <w:r>
              <w:rPr>
                <w:sz w:val="22"/>
                <w:szCs w:val="22"/>
              </w:rPr>
              <w:t>15</w:t>
            </w:r>
          </w:p>
        </w:tc>
        <w:tc>
          <w:tcPr>
            <w:tcW w:w="1863" w:type="dxa"/>
            <w:vAlign w:val="bottom"/>
          </w:tcPr>
          <w:p w:rsidR="00000000" w:rsidRDefault="00000000">
            <w:pPr>
              <w:pStyle w:val="a2"/>
              <w:ind w:right="567"/>
              <w:jc w:val="right"/>
              <w:rPr>
                <w:sz w:val="22"/>
                <w:szCs w:val="22"/>
              </w:rPr>
            </w:pPr>
            <w:r>
              <w:rPr>
                <w:sz w:val="22"/>
                <w:szCs w:val="22"/>
              </w:rPr>
              <w:t>10</w:t>
            </w: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汤加</w:t>
            </w:r>
          </w:p>
        </w:tc>
        <w:tc>
          <w:tcPr>
            <w:tcW w:w="1230" w:type="dxa"/>
            <w:vAlign w:val="bottom"/>
          </w:tcPr>
          <w:p w:rsidR="00000000" w:rsidRDefault="00000000">
            <w:pPr>
              <w:pStyle w:val="a2"/>
              <w:ind w:right="397"/>
              <w:jc w:val="right"/>
              <w:rPr>
                <w:sz w:val="22"/>
                <w:szCs w:val="22"/>
              </w:rPr>
            </w:pPr>
            <w:r>
              <w:rPr>
                <w:sz w:val="22"/>
                <w:szCs w:val="22"/>
              </w:rPr>
              <w:t>14</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5</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pacing w:val="0"/>
                <w:sz w:val="20"/>
              </w:rPr>
            </w:pPr>
            <w:r>
              <w:rPr>
                <w:spacing w:val="0"/>
                <w:sz w:val="20"/>
              </w:rPr>
              <w:t>特立尼达和多巴哥</w:t>
            </w:r>
          </w:p>
        </w:tc>
        <w:tc>
          <w:tcPr>
            <w:tcW w:w="1230" w:type="dxa"/>
            <w:vAlign w:val="bottom"/>
          </w:tcPr>
          <w:p w:rsidR="00000000" w:rsidRDefault="00000000">
            <w:pPr>
              <w:pStyle w:val="a2"/>
              <w:ind w:right="397"/>
              <w:jc w:val="right"/>
              <w:rPr>
                <w:sz w:val="22"/>
                <w:szCs w:val="22"/>
              </w:rPr>
            </w:pPr>
            <w:r>
              <w:rPr>
                <w:sz w:val="22"/>
                <w:szCs w:val="22"/>
              </w:rPr>
              <w:t>25</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4</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突尼斯</w:t>
            </w:r>
          </w:p>
        </w:tc>
        <w:tc>
          <w:tcPr>
            <w:tcW w:w="1230" w:type="dxa"/>
            <w:vAlign w:val="bottom"/>
          </w:tcPr>
          <w:p w:rsidR="00000000" w:rsidRDefault="00000000">
            <w:pPr>
              <w:pStyle w:val="a2"/>
              <w:ind w:right="397"/>
              <w:jc w:val="right"/>
              <w:rPr>
                <w:sz w:val="22"/>
                <w:szCs w:val="22"/>
              </w:rPr>
            </w:pPr>
            <w:r>
              <w:rPr>
                <w:sz w:val="22"/>
                <w:szCs w:val="22"/>
              </w:rPr>
              <w:t>31</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12</w:t>
            </w:r>
          </w:p>
        </w:tc>
        <w:tc>
          <w:tcPr>
            <w:tcW w:w="1175" w:type="dxa"/>
            <w:vAlign w:val="bottom"/>
          </w:tcPr>
          <w:p w:rsidR="00000000" w:rsidRDefault="00000000">
            <w:pPr>
              <w:pStyle w:val="a2"/>
              <w:ind w:right="340"/>
              <w:jc w:val="right"/>
              <w:rPr>
                <w:sz w:val="22"/>
                <w:szCs w:val="22"/>
              </w:rPr>
            </w:pPr>
            <w:r>
              <w:rPr>
                <w:sz w:val="22"/>
                <w:szCs w:val="22"/>
              </w:rPr>
              <w:t>3</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土耳其</w:t>
            </w:r>
          </w:p>
        </w:tc>
        <w:tc>
          <w:tcPr>
            <w:tcW w:w="1230" w:type="dxa"/>
            <w:vAlign w:val="bottom"/>
          </w:tcPr>
          <w:p w:rsidR="00000000" w:rsidRDefault="00000000">
            <w:pPr>
              <w:pStyle w:val="a2"/>
              <w:ind w:right="397"/>
              <w:jc w:val="right"/>
              <w:rPr>
                <w:sz w:val="22"/>
                <w:szCs w:val="22"/>
              </w:rPr>
            </w:pPr>
            <w:r>
              <w:rPr>
                <w:sz w:val="22"/>
                <w:szCs w:val="22"/>
              </w:rPr>
              <w:t>9</w:t>
            </w:r>
          </w:p>
        </w:tc>
        <w:tc>
          <w:tcPr>
            <w:tcW w:w="1040" w:type="dxa"/>
            <w:vAlign w:val="bottom"/>
          </w:tcPr>
          <w:p w:rsidR="00000000" w:rsidRDefault="00000000">
            <w:pPr>
              <w:pStyle w:val="a2"/>
              <w:ind w:right="284"/>
              <w:jc w:val="right"/>
            </w:pPr>
            <w:r>
              <w:t>1</w:t>
            </w:r>
            <w:r>
              <w:rPr>
                <w:rStyle w:val="StyleFootnoteReference11pt"/>
              </w:rPr>
              <w:footnoteReference w:id="114"/>
            </w:r>
          </w:p>
        </w:tc>
        <w:tc>
          <w:tcPr>
            <w:tcW w:w="1230" w:type="dxa"/>
            <w:vAlign w:val="bottom"/>
          </w:tcPr>
          <w:p w:rsidR="00000000" w:rsidRDefault="00000000">
            <w:pPr>
              <w:pStyle w:val="a2"/>
              <w:ind w:right="397"/>
              <w:jc w:val="right"/>
              <w:rPr>
                <w:sz w:val="22"/>
                <w:szCs w:val="22"/>
              </w:rPr>
            </w:pPr>
            <w:r>
              <w:rPr>
                <w:sz w:val="22"/>
                <w:szCs w:val="22"/>
              </w:rPr>
              <w:t>5</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z w:val="20"/>
              </w:rPr>
            </w:pPr>
            <w:r>
              <w:rPr>
                <w:sz w:val="20"/>
              </w:rPr>
              <w:t>土库曼斯坦</w:t>
            </w:r>
          </w:p>
        </w:tc>
        <w:tc>
          <w:tcPr>
            <w:tcW w:w="1230" w:type="dxa"/>
            <w:vAlign w:val="bottom"/>
          </w:tcPr>
          <w:p w:rsidR="00000000" w:rsidRDefault="00000000">
            <w:pPr>
              <w:pStyle w:val="a2"/>
              <w:ind w:right="397"/>
              <w:jc w:val="right"/>
              <w:rPr>
                <w:sz w:val="22"/>
                <w:szCs w:val="22"/>
              </w:rPr>
            </w:pPr>
            <w:r>
              <w:rPr>
                <w:sz w:val="22"/>
                <w:szCs w:val="22"/>
              </w:rPr>
              <w:t>8</w:t>
            </w:r>
          </w:p>
        </w:tc>
        <w:tc>
          <w:tcPr>
            <w:tcW w:w="1040" w:type="dxa"/>
            <w:vAlign w:val="bottom"/>
          </w:tcPr>
          <w:p w:rsidR="00000000" w:rsidRDefault="00000000">
            <w:pPr>
              <w:pStyle w:val="a2"/>
              <w:ind w:right="284"/>
              <w:jc w:val="right"/>
            </w:pPr>
            <w:r>
              <w:t>3</w:t>
            </w:r>
            <w:r>
              <w:rPr>
                <w:rStyle w:val="StyleFootnoteReference11pt"/>
              </w:rPr>
              <w:footnoteReference w:id="115"/>
            </w:r>
          </w:p>
        </w:tc>
        <w:tc>
          <w:tcPr>
            <w:tcW w:w="1230" w:type="dxa"/>
            <w:vAlign w:val="bottom"/>
          </w:tcPr>
          <w:p w:rsidR="00000000" w:rsidRDefault="00000000">
            <w:pPr>
              <w:pStyle w:val="a2"/>
              <w:ind w:right="397"/>
              <w:jc w:val="right"/>
              <w:rPr>
                <w:sz w:val="22"/>
                <w:szCs w:val="22"/>
              </w:rPr>
            </w:pPr>
            <w:r>
              <w:rPr>
                <w:sz w:val="22"/>
                <w:szCs w:val="22"/>
              </w:rPr>
              <w:t>8</w:t>
            </w:r>
          </w:p>
        </w:tc>
        <w:tc>
          <w:tcPr>
            <w:tcW w:w="1175" w:type="dxa"/>
            <w:vAlign w:val="bottom"/>
          </w:tcPr>
          <w:p w:rsidR="00000000" w:rsidRDefault="00000000">
            <w:pPr>
              <w:pStyle w:val="a2"/>
              <w:ind w:right="340"/>
              <w:jc w:val="right"/>
              <w:rPr>
                <w:sz w:val="22"/>
                <w:szCs w:val="22"/>
              </w:rPr>
            </w:pPr>
            <w:r>
              <w:rPr>
                <w:sz w:val="22"/>
                <w:szCs w:val="22"/>
              </w:rPr>
              <w:t>4</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z w:val="20"/>
              </w:rPr>
            </w:pPr>
            <w:r>
              <w:rPr>
                <w:sz w:val="20"/>
              </w:rPr>
              <w:t>图瓦卢</w:t>
            </w:r>
          </w:p>
        </w:tc>
        <w:tc>
          <w:tcPr>
            <w:tcW w:w="1230" w:type="dxa"/>
            <w:vAlign w:val="bottom"/>
          </w:tcPr>
          <w:p w:rsidR="00000000" w:rsidRDefault="00000000">
            <w:pPr>
              <w:pStyle w:val="a2"/>
              <w:ind w:right="397"/>
              <w:jc w:val="right"/>
              <w:rPr>
                <w:sz w:val="22"/>
                <w:szCs w:val="22"/>
              </w:rPr>
            </w:pPr>
            <w:r>
              <w:rPr>
                <w:sz w:val="22"/>
                <w:szCs w:val="22"/>
              </w:rPr>
              <w:t>0</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4</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乌干达</w:t>
            </w:r>
          </w:p>
        </w:tc>
        <w:tc>
          <w:tcPr>
            <w:tcW w:w="1230" w:type="dxa"/>
            <w:vAlign w:val="bottom"/>
          </w:tcPr>
          <w:p w:rsidR="00000000" w:rsidRDefault="00000000">
            <w:pPr>
              <w:pStyle w:val="a2"/>
              <w:ind w:right="397"/>
              <w:jc w:val="right"/>
              <w:rPr>
                <w:sz w:val="22"/>
                <w:szCs w:val="22"/>
              </w:rPr>
            </w:pPr>
            <w:r>
              <w:rPr>
                <w:sz w:val="22"/>
                <w:szCs w:val="22"/>
              </w:rPr>
              <w:t>17</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12</w:t>
            </w:r>
          </w:p>
        </w:tc>
        <w:tc>
          <w:tcPr>
            <w:tcW w:w="1175" w:type="dxa"/>
            <w:vAlign w:val="bottom"/>
          </w:tcPr>
          <w:p w:rsidR="00000000" w:rsidRDefault="00000000">
            <w:pPr>
              <w:pStyle w:val="a2"/>
              <w:ind w:right="340"/>
              <w:jc w:val="right"/>
              <w:rPr>
                <w:sz w:val="22"/>
                <w:szCs w:val="22"/>
              </w:rPr>
            </w:pPr>
            <w:r>
              <w:rPr>
                <w:sz w:val="22"/>
                <w:szCs w:val="22"/>
              </w:rPr>
              <w:t>4</w:t>
            </w:r>
          </w:p>
        </w:tc>
        <w:tc>
          <w:tcPr>
            <w:tcW w:w="1863" w:type="dxa"/>
            <w:vAlign w:val="bottom"/>
          </w:tcPr>
          <w:p w:rsidR="00000000" w:rsidRDefault="00000000">
            <w:pPr>
              <w:pStyle w:val="a2"/>
              <w:ind w:right="567"/>
              <w:jc w:val="right"/>
              <w:rPr>
                <w:sz w:val="22"/>
                <w:szCs w:val="22"/>
              </w:rPr>
            </w:pPr>
            <w:r>
              <w:rPr>
                <w:sz w:val="22"/>
                <w:szCs w:val="22"/>
              </w:rPr>
              <w:t>2</w:t>
            </w:r>
          </w:p>
        </w:tc>
        <w:tc>
          <w:tcPr>
            <w:tcW w:w="1034" w:type="dxa"/>
            <w:vAlign w:val="bottom"/>
          </w:tcPr>
          <w:p w:rsidR="00000000" w:rsidRDefault="00000000">
            <w:pPr>
              <w:pStyle w:val="a2"/>
              <w:ind w:right="340"/>
              <w:jc w:val="right"/>
              <w:rPr>
                <w:sz w:val="22"/>
                <w:szCs w:val="22"/>
              </w:rPr>
            </w:pPr>
            <w:r>
              <w:rPr>
                <w:sz w:val="22"/>
                <w:szCs w:val="22"/>
              </w:rPr>
              <w:t>4</w:t>
            </w:r>
          </w:p>
        </w:tc>
      </w:tr>
      <w:tr w:rsidR="00000000">
        <w:tc>
          <w:tcPr>
            <w:tcW w:w="1998" w:type="dxa"/>
            <w:vAlign w:val="bottom"/>
          </w:tcPr>
          <w:p w:rsidR="00000000" w:rsidRDefault="00000000">
            <w:pPr>
              <w:pStyle w:val="a2"/>
              <w:ind w:left="57"/>
              <w:jc w:val="left"/>
              <w:rPr>
                <w:sz w:val="20"/>
              </w:rPr>
            </w:pPr>
            <w:r>
              <w:rPr>
                <w:sz w:val="20"/>
              </w:rPr>
              <w:t>乌克兰</w:t>
            </w:r>
          </w:p>
        </w:tc>
        <w:tc>
          <w:tcPr>
            <w:tcW w:w="1230" w:type="dxa"/>
            <w:vAlign w:val="bottom"/>
          </w:tcPr>
          <w:p w:rsidR="00000000" w:rsidRDefault="00000000">
            <w:pPr>
              <w:pStyle w:val="a2"/>
              <w:ind w:right="397"/>
              <w:jc w:val="right"/>
              <w:rPr>
                <w:sz w:val="22"/>
                <w:szCs w:val="22"/>
              </w:rPr>
            </w:pPr>
            <w:r>
              <w:rPr>
                <w:sz w:val="22"/>
                <w:szCs w:val="22"/>
              </w:rPr>
              <w:t>40</w:t>
            </w:r>
          </w:p>
        </w:tc>
        <w:tc>
          <w:tcPr>
            <w:tcW w:w="1040" w:type="dxa"/>
            <w:vAlign w:val="bottom"/>
          </w:tcPr>
          <w:p w:rsidR="00000000" w:rsidRDefault="00000000">
            <w:pPr>
              <w:pStyle w:val="a2"/>
              <w:ind w:right="284"/>
              <w:jc w:val="right"/>
            </w:pPr>
            <w:r>
              <w:t>4</w:t>
            </w:r>
            <w:r>
              <w:rPr>
                <w:rStyle w:val="StyleFootnoteReference11pt"/>
              </w:rPr>
              <w:footnoteReference w:id="116"/>
            </w:r>
          </w:p>
        </w:tc>
        <w:tc>
          <w:tcPr>
            <w:tcW w:w="1230" w:type="dxa"/>
            <w:vAlign w:val="bottom"/>
          </w:tcPr>
          <w:p w:rsidR="00000000" w:rsidRDefault="00000000">
            <w:pPr>
              <w:pStyle w:val="a2"/>
              <w:ind w:right="397"/>
              <w:jc w:val="right"/>
              <w:rPr>
                <w:sz w:val="22"/>
                <w:szCs w:val="22"/>
              </w:rPr>
            </w:pPr>
            <w:r>
              <w:rPr>
                <w:sz w:val="22"/>
                <w:szCs w:val="22"/>
              </w:rPr>
              <w:t>2</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center"/>
          </w:tcPr>
          <w:p w:rsidR="00000000" w:rsidRDefault="00000000">
            <w:pPr>
              <w:pStyle w:val="a2"/>
              <w:ind w:left="57"/>
              <w:jc w:val="left"/>
              <w:rPr>
                <w:b/>
                <w:bCs/>
                <w:spacing w:val="0"/>
                <w:sz w:val="20"/>
              </w:rPr>
            </w:pPr>
            <w:r>
              <w:rPr>
                <w:spacing w:val="0"/>
                <w:sz w:val="20"/>
              </w:rPr>
              <w:t>阿拉伯联合酋长国</w:t>
            </w:r>
          </w:p>
        </w:tc>
        <w:tc>
          <w:tcPr>
            <w:tcW w:w="1230" w:type="dxa"/>
            <w:vAlign w:val="bottom"/>
          </w:tcPr>
          <w:p w:rsidR="00000000" w:rsidRDefault="00000000">
            <w:pPr>
              <w:pStyle w:val="a2"/>
              <w:ind w:right="397"/>
              <w:jc w:val="right"/>
              <w:rPr>
                <w:sz w:val="22"/>
                <w:szCs w:val="22"/>
              </w:rPr>
            </w:pPr>
            <w:r>
              <w:rPr>
                <w:sz w:val="22"/>
                <w:szCs w:val="22"/>
              </w:rPr>
              <w:t>12</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7</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jc w:val="left"/>
              <w:rPr>
                <w:sz w:val="20"/>
              </w:rPr>
            </w:pPr>
            <w:r>
              <w:rPr>
                <w:sz w:val="20"/>
              </w:rPr>
              <w:t>大不列颠及北爱尔兰联合王国</w:t>
            </w:r>
          </w:p>
        </w:tc>
        <w:tc>
          <w:tcPr>
            <w:tcW w:w="1230" w:type="dxa"/>
            <w:vAlign w:val="bottom"/>
          </w:tcPr>
          <w:p w:rsidR="00000000" w:rsidRDefault="00000000">
            <w:pPr>
              <w:pStyle w:val="a2"/>
              <w:ind w:right="397"/>
              <w:jc w:val="right"/>
              <w:rPr>
                <w:sz w:val="22"/>
                <w:szCs w:val="22"/>
              </w:rPr>
            </w:pPr>
            <w:r>
              <w:rPr>
                <w:sz w:val="22"/>
                <w:szCs w:val="22"/>
              </w:rPr>
              <w:t>37</w:t>
            </w:r>
          </w:p>
        </w:tc>
        <w:tc>
          <w:tcPr>
            <w:tcW w:w="1040" w:type="dxa"/>
            <w:vAlign w:val="bottom"/>
          </w:tcPr>
          <w:p w:rsidR="00000000" w:rsidRDefault="00000000">
            <w:pPr>
              <w:pStyle w:val="a2"/>
              <w:ind w:right="284"/>
              <w:jc w:val="right"/>
            </w:pPr>
            <w:r>
              <w:t>1</w:t>
            </w:r>
            <w:r>
              <w:rPr>
                <w:rStyle w:val="StyleFootnoteReference11pt"/>
              </w:rPr>
              <w:footnoteReference w:id="117"/>
            </w:r>
          </w:p>
        </w:tc>
        <w:tc>
          <w:tcPr>
            <w:tcW w:w="1230" w:type="dxa"/>
            <w:vAlign w:val="bottom"/>
          </w:tcPr>
          <w:p w:rsidR="00000000" w:rsidRDefault="00000000">
            <w:pPr>
              <w:pStyle w:val="a2"/>
              <w:ind w:right="397"/>
              <w:jc w:val="right"/>
              <w:rPr>
                <w:sz w:val="22"/>
                <w:szCs w:val="22"/>
              </w:rPr>
            </w:pPr>
            <w:r>
              <w:rPr>
                <w:sz w:val="22"/>
                <w:szCs w:val="22"/>
              </w:rPr>
              <w:t>1</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1</w:t>
            </w:r>
          </w:p>
        </w:tc>
      </w:tr>
      <w:tr w:rsidR="00000000">
        <w:tc>
          <w:tcPr>
            <w:tcW w:w="1998" w:type="dxa"/>
            <w:vAlign w:val="bottom"/>
          </w:tcPr>
          <w:p w:rsidR="00000000" w:rsidRDefault="00000000">
            <w:pPr>
              <w:pStyle w:val="a2"/>
              <w:ind w:left="-57" w:right="-57"/>
              <w:jc w:val="left"/>
              <w:rPr>
                <w:spacing w:val="0"/>
                <w:sz w:val="20"/>
              </w:rPr>
            </w:pPr>
            <w:r>
              <w:rPr>
                <w:spacing w:val="0"/>
                <w:sz w:val="20"/>
              </w:rPr>
              <w:t>坦桑尼亚联合共和国</w:t>
            </w:r>
          </w:p>
        </w:tc>
        <w:tc>
          <w:tcPr>
            <w:tcW w:w="1230" w:type="dxa"/>
            <w:vAlign w:val="bottom"/>
          </w:tcPr>
          <w:p w:rsidR="00000000" w:rsidRDefault="00000000">
            <w:pPr>
              <w:pStyle w:val="a2"/>
              <w:ind w:right="397"/>
              <w:jc w:val="right"/>
              <w:rPr>
                <w:sz w:val="22"/>
                <w:szCs w:val="22"/>
              </w:rPr>
            </w:pPr>
            <w:r>
              <w:rPr>
                <w:sz w:val="22"/>
                <w:szCs w:val="22"/>
              </w:rPr>
              <w:t>24</w:t>
            </w:r>
          </w:p>
        </w:tc>
        <w:tc>
          <w:tcPr>
            <w:tcW w:w="1040" w:type="dxa"/>
            <w:vAlign w:val="bottom"/>
          </w:tcPr>
          <w:p w:rsidR="00000000" w:rsidRDefault="00000000">
            <w:pPr>
              <w:pStyle w:val="a2"/>
              <w:ind w:right="284"/>
              <w:jc w:val="right"/>
            </w:pPr>
            <w:r>
              <w:t>1</w:t>
            </w:r>
            <w:r>
              <w:rPr>
                <w:rStyle w:val="StyleFootnoteReference11pt"/>
              </w:rPr>
              <w:footnoteReference w:id="118"/>
            </w:r>
          </w:p>
        </w:tc>
        <w:tc>
          <w:tcPr>
            <w:tcW w:w="1230" w:type="dxa"/>
            <w:vAlign w:val="bottom"/>
          </w:tcPr>
          <w:p w:rsidR="00000000" w:rsidRDefault="00000000">
            <w:pPr>
              <w:pStyle w:val="a2"/>
              <w:ind w:right="397"/>
              <w:jc w:val="right"/>
              <w:rPr>
                <w:sz w:val="22"/>
                <w:szCs w:val="22"/>
              </w:rPr>
            </w:pPr>
            <w:r>
              <w:rPr>
                <w:sz w:val="22"/>
                <w:szCs w:val="22"/>
              </w:rPr>
              <w:t>9</w:t>
            </w:r>
          </w:p>
        </w:tc>
        <w:tc>
          <w:tcPr>
            <w:tcW w:w="1175" w:type="dxa"/>
            <w:vAlign w:val="bottom"/>
          </w:tcPr>
          <w:p w:rsidR="00000000" w:rsidRDefault="00000000">
            <w:pPr>
              <w:pStyle w:val="a2"/>
              <w:ind w:right="340"/>
              <w:jc w:val="right"/>
              <w:rPr>
                <w:sz w:val="22"/>
                <w:szCs w:val="22"/>
              </w:rPr>
            </w:pPr>
            <w:r>
              <w:rPr>
                <w:sz w:val="22"/>
                <w:szCs w:val="22"/>
              </w:rPr>
              <w:t>4</w:t>
            </w:r>
          </w:p>
        </w:tc>
        <w:tc>
          <w:tcPr>
            <w:tcW w:w="1863" w:type="dxa"/>
            <w:vAlign w:val="bottom"/>
          </w:tcPr>
          <w:p w:rsidR="00000000" w:rsidRDefault="00000000">
            <w:pPr>
              <w:pStyle w:val="a2"/>
              <w:ind w:right="567"/>
              <w:jc w:val="right"/>
              <w:rPr>
                <w:sz w:val="22"/>
                <w:szCs w:val="22"/>
              </w:rPr>
            </w:pPr>
            <w:r>
              <w:rPr>
                <w:sz w:val="22"/>
                <w:szCs w:val="22"/>
              </w:rPr>
              <w:t>2</w:t>
            </w: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美利坚合众国</w:t>
            </w:r>
          </w:p>
        </w:tc>
        <w:tc>
          <w:tcPr>
            <w:tcW w:w="1230" w:type="dxa"/>
            <w:vAlign w:val="bottom"/>
          </w:tcPr>
          <w:p w:rsidR="00000000" w:rsidRDefault="00000000">
            <w:pPr>
              <w:pStyle w:val="a2"/>
              <w:ind w:right="397"/>
              <w:jc w:val="right"/>
              <w:rPr>
                <w:sz w:val="22"/>
                <w:szCs w:val="22"/>
              </w:rPr>
            </w:pPr>
            <w:r>
              <w:rPr>
                <w:sz w:val="22"/>
                <w:szCs w:val="22"/>
              </w:rPr>
              <w:t>8</w:t>
            </w:r>
          </w:p>
        </w:tc>
        <w:tc>
          <w:tcPr>
            <w:tcW w:w="1040" w:type="dxa"/>
            <w:vAlign w:val="bottom"/>
          </w:tcPr>
          <w:p w:rsidR="00000000" w:rsidRDefault="00000000">
            <w:pPr>
              <w:pStyle w:val="a2"/>
              <w:ind w:right="284"/>
              <w:jc w:val="right"/>
            </w:pPr>
            <w:r>
              <w:t>3</w:t>
            </w:r>
            <w:r>
              <w:rPr>
                <w:rStyle w:val="StyleFootnoteReference11pt"/>
              </w:rPr>
              <w:footnoteReference w:id="119"/>
            </w:r>
          </w:p>
        </w:tc>
        <w:tc>
          <w:tcPr>
            <w:tcW w:w="1230" w:type="dxa"/>
            <w:vAlign w:val="bottom"/>
          </w:tcPr>
          <w:p w:rsidR="00000000" w:rsidRDefault="00000000">
            <w:pPr>
              <w:pStyle w:val="a2"/>
              <w:ind w:right="397"/>
              <w:jc w:val="right"/>
              <w:rPr>
                <w:sz w:val="22"/>
                <w:szCs w:val="22"/>
              </w:rPr>
            </w:pPr>
            <w:r>
              <w:rPr>
                <w:sz w:val="22"/>
                <w:szCs w:val="22"/>
              </w:rPr>
              <w:t>6</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乌拉圭</w:t>
            </w:r>
          </w:p>
        </w:tc>
        <w:tc>
          <w:tcPr>
            <w:tcW w:w="1230" w:type="dxa"/>
            <w:vAlign w:val="bottom"/>
          </w:tcPr>
          <w:p w:rsidR="00000000" w:rsidRDefault="00000000">
            <w:pPr>
              <w:pStyle w:val="a2"/>
              <w:ind w:right="397"/>
              <w:jc w:val="right"/>
              <w:rPr>
                <w:sz w:val="22"/>
                <w:szCs w:val="22"/>
              </w:rPr>
            </w:pPr>
            <w:r>
              <w:rPr>
                <w:sz w:val="22"/>
                <w:szCs w:val="22"/>
              </w:rPr>
              <w:t>27</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18</w:t>
            </w:r>
          </w:p>
        </w:tc>
        <w:tc>
          <w:tcPr>
            <w:tcW w:w="1175" w:type="dxa"/>
            <w:vAlign w:val="bottom"/>
          </w:tcPr>
          <w:p w:rsidR="00000000" w:rsidRDefault="00000000">
            <w:pPr>
              <w:pStyle w:val="a2"/>
              <w:ind w:right="340"/>
              <w:jc w:val="right"/>
              <w:rPr>
                <w:sz w:val="22"/>
                <w:szCs w:val="22"/>
              </w:rPr>
            </w:pPr>
            <w:r>
              <w:rPr>
                <w:sz w:val="22"/>
                <w:szCs w:val="22"/>
              </w:rPr>
              <w:t>7</w:t>
            </w:r>
          </w:p>
        </w:tc>
        <w:tc>
          <w:tcPr>
            <w:tcW w:w="1863" w:type="dxa"/>
            <w:vAlign w:val="bottom"/>
          </w:tcPr>
          <w:p w:rsidR="00000000" w:rsidRDefault="00000000">
            <w:pPr>
              <w:pStyle w:val="a2"/>
              <w:ind w:right="567"/>
              <w:jc w:val="right"/>
              <w:rPr>
                <w:sz w:val="22"/>
                <w:szCs w:val="22"/>
              </w:rPr>
            </w:pPr>
            <w:r>
              <w:rPr>
                <w:sz w:val="22"/>
                <w:szCs w:val="22"/>
              </w:rPr>
              <w:t>1</w:t>
            </w:r>
          </w:p>
        </w:tc>
        <w:tc>
          <w:tcPr>
            <w:tcW w:w="1034" w:type="dxa"/>
            <w:vAlign w:val="bottom"/>
          </w:tcPr>
          <w:p w:rsidR="00000000" w:rsidRDefault="00000000">
            <w:pPr>
              <w:pStyle w:val="a2"/>
              <w:ind w:right="340"/>
              <w:jc w:val="right"/>
              <w:rPr>
                <w:sz w:val="22"/>
                <w:szCs w:val="22"/>
              </w:rPr>
            </w:pPr>
            <w:r>
              <w:rPr>
                <w:sz w:val="22"/>
                <w:szCs w:val="22"/>
              </w:rPr>
              <w:t>3</w:t>
            </w:r>
          </w:p>
        </w:tc>
      </w:tr>
      <w:tr w:rsidR="00000000">
        <w:tc>
          <w:tcPr>
            <w:tcW w:w="1998" w:type="dxa"/>
            <w:vAlign w:val="bottom"/>
          </w:tcPr>
          <w:p w:rsidR="00000000" w:rsidRDefault="00000000">
            <w:pPr>
              <w:pStyle w:val="a2"/>
              <w:ind w:left="57"/>
              <w:jc w:val="left"/>
              <w:rPr>
                <w:sz w:val="20"/>
              </w:rPr>
            </w:pPr>
            <w:r>
              <w:rPr>
                <w:sz w:val="20"/>
              </w:rPr>
              <w:t>乌兹别克斯坦</w:t>
            </w:r>
          </w:p>
        </w:tc>
        <w:tc>
          <w:tcPr>
            <w:tcW w:w="1230" w:type="dxa"/>
            <w:vAlign w:val="bottom"/>
          </w:tcPr>
          <w:p w:rsidR="00000000" w:rsidRDefault="00000000">
            <w:pPr>
              <w:pStyle w:val="a2"/>
              <w:ind w:right="397"/>
              <w:jc w:val="right"/>
              <w:rPr>
                <w:sz w:val="22"/>
                <w:szCs w:val="22"/>
              </w:rPr>
            </w:pPr>
            <w:r>
              <w:rPr>
                <w:sz w:val="22"/>
                <w:szCs w:val="22"/>
              </w:rPr>
              <w:t>16</w:t>
            </w:r>
          </w:p>
        </w:tc>
        <w:tc>
          <w:tcPr>
            <w:tcW w:w="1040" w:type="dxa"/>
            <w:vAlign w:val="bottom"/>
          </w:tcPr>
          <w:p w:rsidR="00000000" w:rsidRDefault="00000000">
            <w:pPr>
              <w:pStyle w:val="a2"/>
              <w:ind w:right="284"/>
              <w:jc w:val="right"/>
            </w:pPr>
            <w:r>
              <w:t>7</w:t>
            </w:r>
            <w:r>
              <w:rPr>
                <w:rStyle w:val="StyleFootnoteReference11pt"/>
              </w:rPr>
              <w:footnoteReference w:id="120"/>
            </w:r>
          </w:p>
        </w:tc>
        <w:tc>
          <w:tcPr>
            <w:tcW w:w="1230" w:type="dxa"/>
            <w:vAlign w:val="bottom"/>
          </w:tcPr>
          <w:p w:rsidR="00000000" w:rsidRDefault="00000000">
            <w:pPr>
              <w:pStyle w:val="a2"/>
              <w:ind w:right="397"/>
              <w:jc w:val="right"/>
              <w:rPr>
                <w:sz w:val="22"/>
                <w:szCs w:val="22"/>
              </w:rPr>
            </w:pP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瓦努阿图</w:t>
            </w:r>
          </w:p>
        </w:tc>
        <w:tc>
          <w:tcPr>
            <w:tcW w:w="1230" w:type="dxa"/>
            <w:vAlign w:val="bottom"/>
          </w:tcPr>
          <w:p w:rsidR="00000000" w:rsidRDefault="00000000">
            <w:pPr>
              <w:pStyle w:val="a2"/>
              <w:ind w:right="397"/>
              <w:jc w:val="right"/>
              <w:rPr>
                <w:sz w:val="22"/>
                <w:szCs w:val="22"/>
              </w:rPr>
            </w:pPr>
            <w:r>
              <w:rPr>
                <w:sz w:val="22"/>
                <w:szCs w:val="22"/>
              </w:rPr>
              <w:t>4</w:t>
            </w:r>
          </w:p>
        </w:tc>
        <w:tc>
          <w:tcPr>
            <w:tcW w:w="1040" w:type="dxa"/>
            <w:vAlign w:val="bottom"/>
          </w:tcPr>
          <w:p w:rsidR="00000000" w:rsidRDefault="00000000">
            <w:pPr>
              <w:pStyle w:val="a2"/>
              <w:ind w:right="284"/>
              <w:jc w:val="right"/>
            </w:pPr>
            <w:r>
              <w:t>3</w:t>
            </w:r>
            <w:r>
              <w:rPr>
                <w:rStyle w:val="StyleFootnoteReference11pt"/>
              </w:rPr>
              <w:footnoteReference w:id="121"/>
            </w:r>
          </w:p>
        </w:tc>
        <w:tc>
          <w:tcPr>
            <w:tcW w:w="1230" w:type="dxa"/>
            <w:vAlign w:val="bottom"/>
          </w:tcPr>
          <w:p w:rsidR="00000000" w:rsidRDefault="00000000">
            <w:pPr>
              <w:pStyle w:val="a2"/>
              <w:ind w:right="397"/>
              <w:jc w:val="right"/>
              <w:rPr>
                <w:sz w:val="22"/>
                <w:szCs w:val="22"/>
              </w:rPr>
            </w:pPr>
            <w:r>
              <w:rPr>
                <w:sz w:val="22"/>
                <w:szCs w:val="22"/>
              </w:rPr>
              <w:t>2</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rFonts w:hint="eastAsia"/>
                <w:sz w:val="20"/>
              </w:rPr>
            </w:pPr>
            <w:r>
              <w:rPr>
                <w:sz w:val="20"/>
              </w:rPr>
              <w:t>委内瑞拉</w:t>
            </w:r>
            <w:r>
              <w:rPr>
                <w:rFonts w:hint="eastAsia"/>
                <w:sz w:val="20"/>
              </w:rPr>
              <w:t>(</w:t>
            </w:r>
            <w:r>
              <w:rPr>
                <w:rFonts w:hint="eastAsia"/>
                <w:sz w:val="20"/>
              </w:rPr>
              <w:t>玻利瓦尔共和国</w:t>
            </w:r>
            <w:r>
              <w:rPr>
                <w:rFonts w:hint="eastAsia"/>
                <w:sz w:val="20"/>
              </w:rPr>
              <w:t>)</w:t>
            </w:r>
          </w:p>
        </w:tc>
        <w:tc>
          <w:tcPr>
            <w:tcW w:w="1230" w:type="dxa"/>
            <w:vAlign w:val="bottom"/>
          </w:tcPr>
          <w:p w:rsidR="00000000" w:rsidRDefault="00000000">
            <w:pPr>
              <w:pStyle w:val="a2"/>
              <w:ind w:right="397"/>
              <w:jc w:val="right"/>
              <w:rPr>
                <w:sz w:val="22"/>
                <w:szCs w:val="22"/>
              </w:rPr>
            </w:pPr>
            <w:r>
              <w:rPr>
                <w:sz w:val="22"/>
                <w:szCs w:val="22"/>
              </w:rPr>
              <w:t>33</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6</w:t>
            </w:r>
          </w:p>
        </w:tc>
        <w:tc>
          <w:tcPr>
            <w:tcW w:w="1175" w:type="dxa"/>
            <w:vAlign w:val="bottom"/>
          </w:tcPr>
          <w:p w:rsidR="00000000" w:rsidRDefault="00000000">
            <w:pPr>
              <w:pStyle w:val="a2"/>
              <w:ind w:right="340"/>
              <w:jc w:val="right"/>
              <w:rPr>
                <w:sz w:val="22"/>
                <w:szCs w:val="22"/>
              </w:rPr>
            </w:pPr>
            <w:r>
              <w:rPr>
                <w:sz w:val="22"/>
                <w:szCs w:val="22"/>
              </w:rPr>
              <w:t>1</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r>
              <w:rPr>
                <w:sz w:val="22"/>
                <w:szCs w:val="22"/>
              </w:rPr>
              <w:t>2</w:t>
            </w:r>
          </w:p>
        </w:tc>
      </w:tr>
      <w:tr w:rsidR="00000000">
        <w:tc>
          <w:tcPr>
            <w:tcW w:w="1998" w:type="dxa"/>
            <w:vAlign w:val="bottom"/>
          </w:tcPr>
          <w:p w:rsidR="00000000" w:rsidRDefault="00000000">
            <w:pPr>
              <w:pStyle w:val="a2"/>
              <w:ind w:left="57"/>
              <w:jc w:val="left"/>
              <w:rPr>
                <w:sz w:val="20"/>
              </w:rPr>
            </w:pPr>
            <w:r>
              <w:rPr>
                <w:sz w:val="20"/>
              </w:rPr>
              <w:t>越南</w:t>
            </w:r>
          </w:p>
        </w:tc>
        <w:tc>
          <w:tcPr>
            <w:tcW w:w="1230" w:type="dxa"/>
            <w:vAlign w:val="bottom"/>
          </w:tcPr>
          <w:p w:rsidR="00000000" w:rsidRDefault="00000000">
            <w:pPr>
              <w:pStyle w:val="a2"/>
              <w:ind w:right="397"/>
              <w:jc w:val="right"/>
              <w:rPr>
                <w:sz w:val="22"/>
                <w:szCs w:val="22"/>
              </w:rPr>
            </w:pPr>
            <w:r>
              <w:rPr>
                <w:sz w:val="22"/>
                <w:szCs w:val="22"/>
              </w:rPr>
              <w:t>22</w:t>
            </w:r>
          </w:p>
        </w:tc>
        <w:tc>
          <w:tcPr>
            <w:tcW w:w="1040" w:type="dxa"/>
            <w:vAlign w:val="bottom"/>
          </w:tcPr>
          <w:p w:rsidR="00000000" w:rsidRDefault="00000000">
            <w:pPr>
              <w:pStyle w:val="a2"/>
              <w:ind w:right="284"/>
              <w:jc w:val="right"/>
            </w:pPr>
            <w:r>
              <w:t>4</w:t>
            </w:r>
            <w:r>
              <w:rPr>
                <w:rStyle w:val="StyleFootnoteReference11pt"/>
              </w:rPr>
              <w:footnoteReference w:id="122"/>
            </w:r>
          </w:p>
        </w:tc>
        <w:tc>
          <w:tcPr>
            <w:tcW w:w="1230" w:type="dxa"/>
            <w:vAlign w:val="bottom"/>
          </w:tcPr>
          <w:p w:rsidR="00000000" w:rsidRDefault="00000000">
            <w:pPr>
              <w:pStyle w:val="a2"/>
              <w:ind w:right="397"/>
              <w:jc w:val="right"/>
              <w:rPr>
                <w:sz w:val="22"/>
                <w:szCs w:val="22"/>
              </w:rPr>
            </w:pPr>
            <w:r>
              <w:rPr>
                <w:sz w:val="22"/>
                <w:szCs w:val="22"/>
              </w:rPr>
              <w:t>7</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r>
              <w:rPr>
                <w:sz w:val="22"/>
                <w:szCs w:val="22"/>
              </w:rPr>
              <w:t>1</w:t>
            </w: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也门</w:t>
            </w:r>
          </w:p>
        </w:tc>
        <w:tc>
          <w:tcPr>
            <w:tcW w:w="1230" w:type="dxa"/>
            <w:vAlign w:val="bottom"/>
          </w:tcPr>
          <w:p w:rsidR="00000000" w:rsidRDefault="00000000">
            <w:pPr>
              <w:pStyle w:val="a2"/>
              <w:ind w:right="397"/>
              <w:jc w:val="right"/>
              <w:rPr>
                <w:sz w:val="22"/>
                <w:szCs w:val="22"/>
              </w:rPr>
            </w:pPr>
            <w:r>
              <w:rPr>
                <w:sz w:val="22"/>
                <w:szCs w:val="22"/>
              </w:rPr>
              <w:t>30</w:t>
            </w:r>
          </w:p>
        </w:tc>
        <w:tc>
          <w:tcPr>
            <w:tcW w:w="1040" w:type="dxa"/>
            <w:vAlign w:val="bottom"/>
          </w:tcPr>
          <w:p w:rsidR="00000000" w:rsidRDefault="00000000">
            <w:pPr>
              <w:pStyle w:val="a2"/>
              <w:ind w:right="284"/>
              <w:jc w:val="right"/>
            </w:pPr>
            <w:r>
              <w:t>2</w:t>
            </w:r>
            <w:r>
              <w:rPr>
                <w:rStyle w:val="StyleFootnoteReference11pt"/>
              </w:rPr>
              <w:footnoteReference w:id="123"/>
            </w:r>
          </w:p>
        </w:tc>
        <w:tc>
          <w:tcPr>
            <w:tcW w:w="1230" w:type="dxa"/>
            <w:vAlign w:val="bottom"/>
          </w:tcPr>
          <w:p w:rsidR="00000000" w:rsidRDefault="00000000">
            <w:pPr>
              <w:pStyle w:val="a2"/>
              <w:ind w:right="397"/>
              <w:jc w:val="right"/>
              <w:rPr>
                <w:sz w:val="22"/>
                <w:szCs w:val="22"/>
              </w:rPr>
            </w:pPr>
            <w:r>
              <w:rPr>
                <w:sz w:val="22"/>
                <w:szCs w:val="22"/>
              </w:rPr>
              <w:t>4</w:t>
            </w:r>
          </w:p>
        </w:tc>
        <w:tc>
          <w:tcPr>
            <w:tcW w:w="1175" w:type="dxa"/>
            <w:vAlign w:val="bottom"/>
          </w:tcPr>
          <w:p w:rsidR="00000000" w:rsidRDefault="00000000">
            <w:pPr>
              <w:pStyle w:val="a2"/>
              <w:ind w:right="340"/>
              <w:jc w:val="right"/>
              <w:rPr>
                <w:sz w:val="22"/>
                <w:szCs w:val="22"/>
              </w:rPr>
            </w:pPr>
            <w:r>
              <w:rPr>
                <w:sz w:val="22"/>
                <w:szCs w:val="22"/>
              </w:rPr>
              <w:t>2</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赞比亚</w:t>
            </w:r>
          </w:p>
        </w:tc>
        <w:tc>
          <w:tcPr>
            <w:tcW w:w="1230" w:type="dxa"/>
            <w:vAlign w:val="bottom"/>
          </w:tcPr>
          <w:p w:rsidR="00000000" w:rsidRDefault="00000000">
            <w:pPr>
              <w:pStyle w:val="a2"/>
              <w:ind w:right="397"/>
              <w:jc w:val="right"/>
              <w:rPr>
                <w:sz w:val="22"/>
                <w:szCs w:val="22"/>
              </w:rPr>
            </w:pPr>
            <w:r>
              <w:rPr>
                <w:sz w:val="22"/>
                <w:szCs w:val="22"/>
              </w:rPr>
              <w:t>27</w:t>
            </w:r>
          </w:p>
        </w:tc>
        <w:tc>
          <w:tcPr>
            <w:tcW w:w="1040" w:type="dxa"/>
            <w:vAlign w:val="bottom"/>
          </w:tcPr>
          <w:p w:rsidR="00000000" w:rsidRDefault="00000000">
            <w:pPr>
              <w:pStyle w:val="a2"/>
              <w:ind w:right="284"/>
              <w:jc w:val="right"/>
            </w:pPr>
            <w:r>
              <w:t>2</w:t>
            </w:r>
            <w:r>
              <w:rPr>
                <w:rStyle w:val="StyleFootnoteReference11pt"/>
              </w:rPr>
              <w:footnoteReference w:id="124"/>
            </w:r>
          </w:p>
        </w:tc>
        <w:tc>
          <w:tcPr>
            <w:tcW w:w="1230" w:type="dxa"/>
            <w:vAlign w:val="bottom"/>
          </w:tcPr>
          <w:p w:rsidR="00000000" w:rsidRDefault="00000000">
            <w:pPr>
              <w:pStyle w:val="a2"/>
              <w:ind w:right="397"/>
              <w:jc w:val="right"/>
              <w:rPr>
                <w:sz w:val="22"/>
                <w:szCs w:val="22"/>
              </w:rPr>
            </w:pPr>
            <w:r>
              <w:rPr>
                <w:sz w:val="22"/>
                <w:szCs w:val="22"/>
              </w:rPr>
              <w:t>2</w:t>
            </w:r>
          </w:p>
        </w:tc>
        <w:tc>
          <w:tcPr>
            <w:tcW w:w="1175" w:type="dxa"/>
            <w:vAlign w:val="bottom"/>
          </w:tcPr>
          <w:p w:rsidR="00000000" w:rsidRDefault="00000000">
            <w:pPr>
              <w:pStyle w:val="a2"/>
              <w:ind w:right="340"/>
              <w:jc w:val="right"/>
              <w:rPr>
                <w:sz w:val="22"/>
                <w:szCs w:val="22"/>
              </w:rPr>
            </w:pP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sz w:val="20"/>
              </w:rPr>
            </w:pPr>
            <w:r>
              <w:rPr>
                <w:sz w:val="20"/>
              </w:rPr>
              <w:t>津巴布韦</w:t>
            </w:r>
          </w:p>
        </w:tc>
        <w:tc>
          <w:tcPr>
            <w:tcW w:w="1230" w:type="dxa"/>
            <w:vAlign w:val="bottom"/>
          </w:tcPr>
          <w:p w:rsidR="00000000" w:rsidRDefault="00000000">
            <w:pPr>
              <w:pStyle w:val="a2"/>
              <w:ind w:right="397"/>
              <w:jc w:val="right"/>
              <w:rPr>
                <w:sz w:val="22"/>
                <w:szCs w:val="22"/>
              </w:rPr>
            </w:pPr>
            <w:r>
              <w:rPr>
                <w:sz w:val="22"/>
                <w:szCs w:val="22"/>
              </w:rPr>
              <w:t>8</w:t>
            </w:r>
          </w:p>
        </w:tc>
        <w:tc>
          <w:tcPr>
            <w:tcW w:w="1040" w:type="dxa"/>
            <w:vAlign w:val="bottom"/>
          </w:tcPr>
          <w:p w:rsidR="00000000" w:rsidRDefault="00000000">
            <w:pPr>
              <w:pStyle w:val="a2"/>
              <w:ind w:right="284"/>
              <w:jc w:val="right"/>
              <w:rPr>
                <w:sz w:val="22"/>
                <w:szCs w:val="22"/>
              </w:rPr>
            </w:pPr>
          </w:p>
        </w:tc>
        <w:tc>
          <w:tcPr>
            <w:tcW w:w="1230" w:type="dxa"/>
            <w:vAlign w:val="bottom"/>
          </w:tcPr>
          <w:p w:rsidR="00000000" w:rsidRDefault="00000000">
            <w:pPr>
              <w:pStyle w:val="a2"/>
              <w:ind w:right="397"/>
              <w:jc w:val="right"/>
              <w:rPr>
                <w:sz w:val="22"/>
                <w:szCs w:val="22"/>
              </w:rPr>
            </w:pPr>
            <w:r>
              <w:rPr>
                <w:sz w:val="22"/>
                <w:szCs w:val="22"/>
              </w:rPr>
              <w:t>11</w:t>
            </w:r>
          </w:p>
        </w:tc>
        <w:tc>
          <w:tcPr>
            <w:tcW w:w="1175" w:type="dxa"/>
            <w:vAlign w:val="bottom"/>
          </w:tcPr>
          <w:p w:rsidR="00000000" w:rsidRDefault="00000000">
            <w:pPr>
              <w:pStyle w:val="a2"/>
              <w:ind w:right="340"/>
              <w:jc w:val="right"/>
              <w:rPr>
                <w:sz w:val="22"/>
                <w:szCs w:val="22"/>
              </w:rPr>
            </w:pPr>
            <w:r>
              <w:rPr>
                <w:sz w:val="22"/>
                <w:szCs w:val="22"/>
              </w:rPr>
              <w:t>5</w:t>
            </w:r>
          </w:p>
        </w:tc>
        <w:tc>
          <w:tcPr>
            <w:tcW w:w="1863" w:type="dxa"/>
            <w:vAlign w:val="bottom"/>
          </w:tcPr>
          <w:p w:rsidR="00000000" w:rsidRDefault="00000000">
            <w:pPr>
              <w:pStyle w:val="a2"/>
              <w:ind w:right="567"/>
              <w:jc w:val="right"/>
              <w:rPr>
                <w:sz w:val="22"/>
                <w:szCs w:val="22"/>
              </w:rPr>
            </w:pPr>
          </w:p>
        </w:tc>
        <w:tc>
          <w:tcPr>
            <w:tcW w:w="1034" w:type="dxa"/>
            <w:vAlign w:val="bottom"/>
          </w:tcPr>
          <w:p w:rsidR="00000000" w:rsidRDefault="00000000">
            <w:pPr>
              <w:pStyle w:val="a2"/>
              <w:ind w:right="340"/>
              <w:jc w:val="right"/>
              <w:rPr>
                <w:sz w:val="22"/>
                <w:szCs w:val="22"/>
              </w:rPr>
            </w:pPr>
          </w:p>
        </w:tc>
      </w:tr>
      <w:tr w:rsidR="00000000">
        <w:tc>
          <w:tcPr>
            <w:tcW w:w="1998" w:type="dxa"/>
            <w:vAlign w:val="bottom"/>
          </w:tcPr>
          <w:p w:rsidR="00000000" w:rsidRDefault="00000000">
            <w:pPr>
              <w:pStyle w:val="a2"/>
              <w:ind w:left="57"/>
              <w:jc w:val="left"/>
              <w:rPr>
                <w:rFonts w:hint="eastAsia"/>
                <w:b/>
                <w:bCs/>
                <w:sz w:val="20"/>
              </w:rPr>
            </w:pPr>
            <w:r>
              <w:rPr>
                <w:rFonts w:hint="eastAsia"/>
                <w:b/>
                <w:bCs/>
                <w:sz w:val="20"/>
              </w:rPr>
              <w:t>合</w:t>
            </w:r>
            <w:r>
              <w:rPr>
                <w:rFonts w:hint="eastAsia"/>
                <w:b/>
                <w:bCs/>
                <w:sz w:val="20"/>
              </w:rPr>
              <w:t xml:space="preserve">   </w:t>
            </w:r>
            <w:r>
              <w:rPr>
                <w:rFonts w:hint="eastAsia"/>
                <w:b/>
                <w:bCs/>
                <w:sz w:val="20"/>
              </w:rPr>
              <w:t>计</w:t>
            </w:r>
          </w:p>
        </w:tc>
        <w:tc>
          <w:tcPr>
            <w:tcW w:w="1230" w:type="dxa"/>
            <w:vAlign w:val="bottom"/>
          </w:tcPr>
          <w:p w:rsidR="00000000" w:rsidRDefault="00000000">
            <w:pPr>
              <w:pStyle w:val="a2"/>
              <w:ind w:right="397"/>
              <w:jc w:val="right"/>
              <w:rPr>
                <w:b/>
                <w:bCs/>
                <w:sz w:val="22"/>
                <w:szCs w:val="22"/>
                <w:highlight w:val="yellow"/>
              </w:rPr>
            </w:pPr>
            <w:r>
              <w:rPr>
                <w:b/>
                <w:bCs/>
                <w:sz w:val="22"/>
                <w:szCs w:val="22"/>
              </w:rPr>
              <w:t>3417</w:t>
            </w:r>
          </w:p>
        </w:tc>
        <w:tc>
          <w:tcPr>
            <w:tcW w:w="1040" w:type="dxa"/>
            <w:vAlign w:val="bottom"/>
          </w:tcPr>
          <w:p w:rsidR="00000000" w:rsidRDefault="00000000">
            <w:pPr>
              <w:pStyle w:val="a2"/>
              <w:ind w:right="284"/>
              <w:jc w:val="right"/>
              <w:rPr>
                <w:b/>
                <w:bCs/>
                <w:sz w:val="22"/>
                <w:szCs w:val="22"/>
                <w:highlight w:val="yellow"/>
              </w:rPr>
            </w:pPr>
            <w:r>
              <w:rPr>
                <w:b/>
                <w:bCs/>
                <w:sz w:val="22"/>
                <w:szCs w:val="22"/>
              </w:rPr>
              <w:t>295</w:t>
            </w:r>
          </w:p>
        </w:tc>
        <w:tc>
          <w:tcPr>
            <w:tcW w:w="1230" w:type="dxa"/>
            <w:vAlign w:val="bottom"/>
          </w:tcPr>
          <w:p w:rsidR="00000000" w:rsidRDefault="00000000">
            <w:pPr>
              <w:pStyle w:val="a2"/>
              <w:ind w:right="397"/>
              <w:jc w:val="right"/>
              <w:rPr>
                <w:b/>
                <w:bCs/>
                <w:sz w:val="22"/>
                <w:szCs w:val="22"/>
                <w:highlight w:val="yellow"/>
              </w:rPr>
            </w:pPr>
            <w:r>
              <w:rPr>
                <w:b/>
                <w:bCs/>
                <w:sz w:val="22"/>
                <w:szCs w:val="22"/>
              </w:rPr>
              <w:t>1442</w:t>
            </w:r>
          </w:p>
        </w:tc>
        <w:tc>
          <w:tcPr>
            <w:tcW w:w="1175" w:type="dxa"/>
            <w:vAlign w:val="bottom"/>
          </w:tcPr>
          <w:p w:rsidR="00000000" w:rsidRDefault="00000000">
            <w:pPr>
              <w:pStyle w:val="a2"/>
              <w:ind w:right="340"/>
              <w:jc w:val="right"/>
              <w:rPr>
                <w:b/>
                <w:bCs/>
                <w:sz w:val="22"/>
                <w:szCs w:val="22"/>
                <w:highlight w:val="yellow"/>
              </w:rPr>
            </w:pPr>
            <w:r>
              <w:rPr>
                <w:b/>
                <w:bCs/>
                <w:sz w:val="22"/>
                <w:szCs w:val="22"/>
              </w:rPr>
              <w:t>585</w:t>
            </w:r>
          </w:p>
        </w:tc>
        <w:tc>
          <w:tcPr>
            <w:tcW w:w="1863" w:type="dxa"/>
            <w:vAlign w:val="bottom"/>
          </w:tcPr>
          <w:p w:rsidR="00000000" w:rsidRDefault="00000000">
            <w:pPr>
              <w:pStyle w:val="a2"/>
              <w:ind w:right="567"/>
              <w:jc w:val="right"/>
              <w:rPr>
                <w:b/>
                <w:bCs/>
                <w:sz w:val="22"/>
                <w:szCs w:val="22"/>
                <w:highlight w:val="yellow"/>
              </w:rPr>
            </w:pPr>
            <w:r>
              <w:rPr>
                <w:b/>
                <w:bCs/>
                <w:sz w:val="22"/>
                <w:szCs w:val="22"/>
              </w:rPr>
              <w:t>225</w:t>
            </w:r>
          </w:p>
        </w:tc>
        <w:tc>
          <w:tcPr>
            <w:tcW w:w="1034" w:type="dxa"/>
            <w:vAlign w:val="bottom"/>
          </w:tcPr>
          <w:p w:rsidR="00000000" w:rsidRDefault="00000000">
            <w:pPr>
              <w:pStyle w:val="a2"/>
              <w:ind w:right="340"/>
              <w:jc w:val="right"/>
              <w:rPr>
                <w:b/>
                <w:bCs/>
                <w:sz w:val="22"/>
                <w:szCs w:val="22"/>
                <w:highlight w:val="yellow"/>
              </w:rPr>
            </w:pPr>
            <w:r>
              <w:rPr>
                <w:b/>
                <w:bCs/>
                <w:sz w:val="22"/>
                <w:szCs w:val="22"/>
              </w:rPr>
              <w:t>282</w:t>
            </w:r>
          </w:p>
        </w:tc>
      </w:tr>
    </w:tbl>
    <w:p w:rsidR="00000000" w:rsidRDefault="00000000"/>
    <w:p w:rsidR="00000000" w:rsidRDefault="00000000">
      <w:pPr>
        <w:pStyle w:val="Heading2"/>
        <w:rPr>
          <w:rFonts w:hint="eastAsia"/>
        </w:rPr>
      </w:pPr>
      <w:r>
        <w:br w:type="page"/>
      </w:r>
      <w:r>
        <w:rPr>
          <w:rFonts w:hint="eastAsia"/>
        </w:rPr>
        <w:t>附</w:t>
      </w:r>
      <w:r>
        <w:rPr>
          <w:rFonts w:hint="eastAsia"/>
        </w:rPr>
        <w:t xml:space="preserve"> </w:t>
      </w:r>
      <w:r>
        <w:rPr>
          <w:rFonts w:hint="eastAsia"/>
        </w:rPr>
        <w:t>件</w:t>
      </w:r>
      <w:r>
        <w:rPr>
          <w:rFonts w:hint="eastAsia"/>
        </w:rPr>
        <w:t xml:space="preserve"> </w:t>
      </w:r>
      <w:r>
        <w:rPr>
          <w:rFonts w:hint="eastAsia"/>
        </w:rPr>
        <w:t>三</w:t>
      </w:r>
    </w:p>
    <w:p w:rsidR="00000000" w:rsidRDefault="00000000">
      <w:pPr>
        <w:pStyle w:val="Heading2"/>
        <w:rPr>
          <w:rFonts w:hint="eastAsia"/>
        </w:rPr>
      </w:pPr>
      <w:r>
        <w:rPr>
          <w:rFonts w:hint="eastAsia"/>
        </w:rPr>
        <w:t>2005</w:t>
      </w:r>
      <w:r>
        <w:rPr>
          <w:rFonts w:hint="eastAsia"/>
        </w:rPr>
        <w:t>年统计的从缔约国提交报告到条约机构</w:t>
      </w:r>
      <w:r>
        <w:br/>
      </w:r>
      <w:r>
        <w:rPr>
          <w:rFonts w:hint="eastAsia"/>
        </w:rPr>
        <w:t>审议报告平均间隔时间</w:t>
      </w:r>
    </w:p>
    <w:tbl>
      <w:tblPr>
        <w:tblW w:w="89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785"/>
        <w:gridCol w:w="1890"/>
        <w:gridCol w:w="1470"/>
        <w:gridCol w:w="1263"/>
      </w:tblGrid>
      <w:tr w:rsidR="00000000">
        <w:tc>
          <w:tcPr>
            <w:tcW w:w="2520" w:type="dxa"/>
            <w:vAlign w:val="center"/>
          </w:tcPr>
          <w:p w:rsidR="00000000" w:rsidRDefault="00000000">
            <w:pPr>
              <w:pStyle w:val="a2"/>
              <w:jc w:val="center"/>
              <w:rPr>
                <w:rFonts w:ascii="Time New Roman" w:eastAsia="SimHei" w:hAnsi="Time New Roman" w:hint="eastAsia"/>
              </w:rPr>
            </w:pPr>
            <w:r>
              <w:rPr>
                <w:rFonts w:ascii="Time New Roman" w:eastAsia="SimHei" w:hAnsi="Time New Roman" w:hint="eastAsia"/>
              </w:rPr>
              <w:t>条约机构</w:t>
            </w:r>
          </w:p>
        </w:tc>
        <w:tc>
          <w:tcPr>
            <w:tcW w:w="5145" w:type="dxa"/>
            <w:gridSpan w:val="3"/>
            <w:vAlign w:val="center"/>
          </w:tcPr>
          <w:p w:rsidR="00000000" w:rsidRDefault="00000000">
            <w:pPr>
              <w:pStyle w:val="a2"/>
              <w:jc w:val="center"/>
              <w:rPr>
                <w:rFonts w:ascii="Time New Roman" w:eastAsia="SimHei" w:hAnsi="Time New Roman" w:hint="eastAsia"/>
              </w:rPr>
            </w:pPr>
            <w:r>
              <w:rPr>
                <w:rFonts w:ascii="Time New Roman" w:eastAsia="SimHei" w:hAnsi="Time New Roman" w:hint="eastAsia"/>
              </w:rPr>
              <w:t>月</w:t>
            </w:r>
          </w:p>
        </w:tc>
        <w:tc>
          <w:tcPr>
            <w:tcW w:w="1263" w:type="dxa"/>
            <w:vAlign w:val="center"/>
          </w:tcPr>
          <w:p w:rsidR="00000000" w:rsidRDefault="00000000">
            <w:pPr>
              <w:pStyle w:val="a2"/>
              <w:jc w:val="center"/>
              <w:rPr>
                <w:rFonts w:ascii="Time New Roman" w:eastAsia="SimHei" w:hAnsi="Time New Roman" w:hint="eastAsia"/>
              </w:rPr>
            </w:pPr>
            <w:r>
              <w:rPr>
                <w:rFonts w:ascii="Time New Roman" w:eastAsia="SimHei" w:hAnsi="Time New Roman" w:hint="eastAsia"/>
              </w:rPr>
              <w:t>平均月数</w:t>
            </w:r>
          </w:p>
        </w:tc>
      </w:tr>
      <w:tr w:rsidR="00000000">
        <w:tc>
          <w:tcPr>
            <w:tcW w:w="2520" w:type="dxa"/>
          </w:tcPr>
          <w:p w:rsidR="00000000" w:rsidRDefault="00000000">
            <w:pPr>
              <w:pStyle w:val="a2"/>
              <w:ind w:left="170"/>
              <w:rPr>
                <w:rFonts w:hint="eastAsia"/>
              </w:rPr>
            </w:pPr>
            <w:r>
              <w:rPr>
                <w:rFonts w:hint="eastAsia"/>
              </w:rPr>
              <w:t>禁止酷刑委员会</w:t>
            </w:r>
          </w:p>
        </w:tc>
        <w:tc>
          <w:tcPr>
            <w:tcW w:w="1785" w:type="dxa"/>
          </w:tcPr>
          <w:p w:rsidR="00000000" w:rsidRDefault="00000000">
            <w:pPr>
              <w:pStyle w:val="a2"/>
              <w:jc w:val="center"/>
              <w:rPr>
                <w:rFonts w:hint="eastAsia"/>
              </w:rPr>
            </w:pPr>
            <w:r>
              <w:rPr>
                <w:rFonts w:hint="eastAsia"/>
              </w:rPr>
              <w:t>第</w:t>
            </w:r>
            <w:r>
              <w:t>34</w:t>
            </w:r>
            <w:r>
              <w:rPr>
                <w:rFonts w:hint="eastAsia"/>
              </w:rPr>
              <w:t>届会议</w:t>
            </w:r>
          </w:p>
        </w:tc>
        <w:tc>
          <w:tcPr>
            <w:tcW w:w="1890" w:type="dxa"/>
          </w:tcPr>
          <w:p w:rsidR="00000000" w:rsidRDefault="00000000">
            <w:pPr>
              <w:pStyle w:val="a2"/>
              <w:jc w:val="center"/>
            </w:pPr>
            <w:r>
              <w:rPr>
                <w:rFonts w:hint="eastAsia"/>
              </w:rPr>
              <w:t>第</w:t>
            </w:r>
            <w:r>
              <w:t>35</w:t>
            </w:r>
            <w:r>
              <w:rPr>
                <w:rFonts w:hint="eastAsia"/>
              </w:rPr>
              <w:t>届会议</w:t>
            </w:r>
          </w:p>
        </w:tc>
        <w:tc>
          <w:tcPr>
            <w:tcW w:w="1470" w:type="dxa"/>
          </w:tcPr>
          <w:p w:rsidR="00000000" w:rsidRDefault="00000000">
            <w:pPr>
              <w:pStyle w:val="a2"/>
              <w:jc w:val="center"/>
            </w:pPr>
          </w:p>
        </w:tc>
        <w:tc>
          <w:tcPr>
            <w:tcW w:w="1263" w:type="dxa"/>
          </w:tcPr>
          <w:p w:rsidR="00000000" w:rsidRDefault="00000000">
            <w:pPr>
              <w:pStyle w:val="a2"/>
              <w:ind w:right="284"/>
              <w:jc w:val="right"/>
            </w:pPr>
          </w:p>
        </w:tc>
      </w:tr>
      <w:tr w:rsidR="00000000">
        <w:tc>
          <w:tcPr>
            <w:tcW w:w="2520" w:type="dxa"/>
          </w:tcPr>
          <w:p w:rsidR="00000000" w:rsidRDefault="00000000">
            <w:pPr>
              <w:pStyle w:val="a2"/>
              <w:ind w:left="170"/>
            </w:pPr>
          </w:p>
        </w:tc>
        <w:tc>
          <w:tcPr>
            <w:tcW w:w="1785" w:type="dxa"/>
          </w:tcPr>
          <w:p w:rsidR="00000000" w:rsidRDefault="00000000">
            <w:pPr>
              <w:pStyle w:val="a2"/>
              <w:jc w:val="center"/>
              <w:rPr>
                <w:rFonts w:hint="eastAsia"/>
              </w:rPr>
            </w:pPr>
            <w:r>
              <w:t>17.5</w:t>
            </w:r>
            <w:r>
              <w:rPr>
                <w:rFonts w:hint="eastAsia"/>
              </w:rPr>
              <w:t>个月</w:t>
            </w:r>
          </w:p>
        </w:tc>
        <w:tc>
          <w:tcPr>
            <w:tcW w:w="1890" w:type="dxa"/>
          </w:tcPr>
          <w:p w:rsidR="00000000" w:rsidRDefault="00000000">
            <w:pPr>
              <w:pStyle w:val="a2"/>
              <w:jc w:val="center"/>
              <w:rPr>
                <w:rFonts w:hint="eastAsia"/>
              </w:rPr>
            </w:pPr>
            <w:r>
              <w:t>20.5</w:t>
            </w:r>
            <w:r>
              <w:rPr>
                <w:rFonts w:hint="eastAsia"/>
              </w:rPr>
              <w:t>个月</w:t>
            </w:r>
          </w:p>
        </w:tc>
        <w:tc>
          <w:tcPr>
            <w:tcW w:w="1470" w:type="dxa"/>
          </w:tcPr>
          <w:p w:rsidR="00000000" w:rsidRDefault="00000000">
            <w:pPr>
              <w:pStyle w:val="a2"/>
              <w:jc w:val="center"/>
            </w:pPr>
          </w:p>
        </w:tc>
        <w:tc>
          <w:tcPr>
            <w:tcW w:w="1263" w:type="dxa"/>
          </w:tcPr>
          <w:p w:rsidR="00000000" w:rsidRDefault="00000000">
            <w:pPr>
              <w:pStyle w:val="a2"/>
              <w:ind w:right="284"/>
              <w:jc w:val="right"/>
            </w:pPr>
            <w:r>
              <w:t>19</w:t>
            </w:r>
          </w:p>
        </w:tc>
      </w:tr>
      <w:tr w:rsidR="00000000">
        <w:tc>
          <w:tcPr>
            <w:tcW w:w="2520" w:type="dxa"/>
          </w:tcPr>
          <w:p w:rsidR="00000000" w:rsidRDefault="00000000">
            <w:pPr>
              <w:pStyle w:val="a2"/>
              <w:ind w:left="170"/>
              <w:rPr>
                <w:rFonts w:hint="eastAsia"/>
              </w:rPr>
            </w:pPr>
            <w:r>
              <w:rPr>
                <w:rFonts w:hint="eastAsia"/>
              </w:rPr>
              <w:t>经社文权利委员会</w:t>
            </w:r>
          </w:p>
        </w:tc>
        <w:tc>
          <w:tcPr>
            <w:tcW w:w="1785" w:type="dxa"/>
          </w:tcPr>
          <w:p w:rsidR="00000000" w:rsidRDefault="00000000">
            <w:pPr>
              <w:pStyle w:val="a2"/>
              <w:jc w:val="center"/>
            </w:pPr>
            <w:r>
              <w:rPr>
                <w:rFonts w:hint="eastAsia"/>
              </w:rPr>
              <w:t>第</w:t>
            </w:r>
            <w:r>
              <w:t>34</w:t>
            </w:r>
            <w:r>
              <w:rPr>
                <w:rFonts w:hint="eastAsia"/>
              </w:rPr>
              <w:t>届会议</w:t>
            </w:r>
          </w:p>
        </w:tc>
        <w:tc>
          <w:tcPr>
            <w:tcW w:w="1890" w:type="dxa"/>
          </w:tcPr>
          <w:p w:rsidR="00000000" w:rsidRDefault="00000000">
            <w:pPr>
              <w:pStyle w:val="a2"/>
              <w:jc w:val="center"/>
            </w:pPr>
            <w:r>
              <w:rPr>
                <w:rFonts w:hint="eastAsia"/>
              </w:rPr>
              <w:t>第</w:t>
            </w:r>
            <w:r>
              <w:t>35</w:t>
            </w:r>
            <w:r>
              <w:rPr>
                <w:rFonts w:hint="eastAsia"/>
              </w:rPr>
              <w:t>届会议</w:t>
            </w:r>
          </w:p>
        </w:tc>
        <w:tc>
          <w:tcPr>
            <w:tcW w:w="1470" w:type="dxa"/>
          </w:tcPr>
          <w:p w:rsidR="00000000" w:rsidRDefault="00000000">
            <w:pPr>
              <w:pStyle w:val="a2"/>
              <w:jc w:val="center"/>
            </w:pPr>
          </w:p>
        </w:tc>
        <w:tc>
          <w:tcPr>
            <w:tcW w:w="1263" w:type="dxa"/>
          </w:tcPr>
          <w:p w:rsidR="00000000" w:rsidRDefault="00000000">
            <w:pPr>
              <w:pStyle w:val="a2"/>
              <w:ind w:right="284"/>
              <w:jc w:val="right"/>
            </w:pPr>
          </w:p>
        </w:tc>
      </w:tr>
      <w:tr w:rsidR="00000000">
        <w:tc>
          <w:tcPr>
            <w:tcW w:w="2520" w:type="dxa"/>
          </w:tcPr>
          <w:p w:rsidR="00000000" w:rsidRDefault="00000000">
            <w:pPr>
              <w:pStyle w:val="a2"/>
              <w:ind w:left="170"/>
            </w:pPr>
          </w:p>
        </w:tc>
        <w:tc>
          <w:tcPr>
            <w:tcW w:w="1785" w:type="dxa"/>
          </w:tcPr>
          <w:p w:rsidR="00000000" w:rsidRDefault="00000000">
            <w:pPr>
              <w:pStyle w:val="a2"/>
              <w:jc w:val="center"/>
              <w:rPr>
                <w:rFonts w:hint="eastAsia"/>
              </w:rPr>
            </w:pPr>
            <w:r>
              <w:t>13</w:t>
            </w:r>
            <w:r>
              <w:rPr>
                <w:rFonts w:hint="eastAsia"/>
              </w:rPr>
              <w:t>个月</w:t>
            </w:r>
          </w:p>
        </w:tc>
        <w:tc>
          <w:tcPr>
            <w:tcW w:w="1890" w:type="dxa"/>
          </w:tcPr>
          <w:p w:rsidR="00000000" w:rsidRDefault="00000000">
            <w:pPr>
              <w:pStyle w:val="a2"/>
              <w:jc w:val="center"/>
              <w:rPr>
                <w:rFonts w:hint="eastAsia"/>
              </w:rPr>
            </w:pPr>
            <w:r>
              <w:t>18</w:t>
            </w:r>
            <w:r>
              <w:rPr>
                <w:rFonts w:hint="eastAsia"/>
              </w:rPr>
              <w:t>个月</w:t>
            </w:r>
          </w:p>
        </w:tc>
        <w:tc>
          <w:tcPr>
            <w:tcW w:w="1470" w:type="dxa"/>
          </w:tcPr>
          <w:p w:rsidR="00000000" w:rsidRDefault="00000000">
            <w:pPr>
              <w:pStyle w:val="a2"/>
              <w:jc w:val="center"/>
            </w:pPr>
          </w:p>
        </w:tc>
        <w:tc>
          <w:tcPr>
            <w:tcW w:w="1263" w:type="dxa"/>
          </w:tcPr>
          <w:p w:rsidR="00000000" w:rsidRDefault="00000000">
            <w:pPr>
              <w:pStyle w:val="a2"/>
              <w:ind w:right="284"/>
              <w:jc w:val="right"/>
            </w:pPr>
            <w:r>
              <w:t>15.5</w:t>
            </w:r>
          </w:p>
        </w:tc>
      </w:tr>
      <w:tr w:rsidR="00000000">
        <w:tc>
          <w:tcPr>
            <w:tcW w:w="2520" w:type="dxa"/>
          </w:tcPr>
          <w:p w:rsidR="00000000" w:rsidRDefault="00000000">
            <w:pPr>
              <w:pStyle w:val="a2"/>
              <w:ind w:left="170"/>
              <w:rPr>
                <w:rFonts w:hint="eastAsia"/>
              </w:rPr>
            </w:pPr>
            <w:r>
              <w:rPr>
                <w:rFonts w:hint="eastAsia"/>
              </w:rPr>
              <w:t>人权事务委员会</w:t>
            </w:r>
          </w:p>
        </w:tc>
        <w:tc>
          <w:tcPr>
            <w:tcW w:w="1785" w:type="dxa"/>
          </w:tcPr>
          <w:p w:rsidR="00000000" w:rsidRDefault="00000000">
            <w:pPr>
              <w:pStyle w:val="a2"/>
              <w:jc w:val="center"/>
            </w:pPr>
            <w:r>
              <w:rPr>
                <w:rFonts w:hint="eastAsia"/>
              </w:rPr>
              <w:t>第</w:t>
            </w:r>
            <w:r>
              <w:t>83</w:t>
            </w:r>
            <w:r>
              <w:rPr>
                <w:rFonts w:hint="eastAsia"/>
              </w:rPr>
              <w:t>届会议</w:t>
            </w:r>
          </w:p>
        </w:tc>
        <w:tc>
          <w:tcPr>
            <w:tcW w:w="1890" w:type="dxa"/>
          </w:tcPr>
          <w:p w:rsidR="00000000" w:rsidRDefault="00000000">
            <w:pPr>
              <w:pStyle w:val="a2"/>
              <w:jc w:val="center"/>
            </w:pPr>
            <w:r>
              <w:rPr>
                <w:rFonts w:hint="eastAsia"/>
              </w:rPr>
              <w:t>第</w:t>
            </w:r>
            <w:r>
              <w:t>84</w:t>
            </w:r>
            <w:r>
              <w:rPr>
                <w:rFonts w:hint="eastAsia"/>
              </w:rPr>
              <w:t>届会议</w:t>
            </w:r>
          </w:p>
        </w:tc>
        <w:tc>
          <w:tcPr>
            <w:tcW w:w="1470" w:type="dxa"/>
          </w:tcPr>
          <w:p w:rsidR="00000000" w:rsidRDefault="00000000">
            <w:pPr>
              <w:pStyle w:val="a2"/>
              <w:jc w:val="center"/>
            </w:pPr>
            <w:r>
              <w:rPr>
                <w:rFonts w:hint="eastAsia"/>
              </w:rPr>
              <w:t>第</w:t>
            </w:r>
            <w:r>
              <w:t>85</w:t>
            </w:r>
            <w:r>
              <w:rPr>
                <w:rFonts w:hint="eastAsia"/>
              </w:rPr>
              <w:t>届会议</w:t>
            </w:r>
          </w:p>
        </w:tc>
        <w:tc>
          <w:tcPr>
            <w:tcW w:w="1263" w:type="dxa"/>
          </w:tcPr>
          <w:p w:rsidR="00000000" w:rsidRDefault="00000000">
            <w:pPr>
              <w:pStyle w:val="a2"/>
              <w:ind w:right="284"/>
              <w:jc w:val="right"/>
            </w:pPr>
          </w:p>
        </w:tc>
      </w:tr>
      <w:tr w:rsidR="00000000">
        <w:tc>
          <w:tcPr>
            <w:tcW w:w="2520" w:type="dxa"/>
          </w:tcPr>
          <w:p w:rsidR="00000000" w:rsidRDefault="00000000">
            <w:pPr>
              <w:pStyle w:val="a2"/>
              <w:ind w:left="170"/>
            </w:pPr>
          </w:p>
        </w:tc>
        <w:tc>
          <w:tcPr>
            <w:tcW w:w="1785" w:type="dxa"/>
          </w:tcPr>
          <w:p w:rsidR="00000000" w:rsidRDefault="00000000">
            <w:pPr>
              <w:pStyle w:val="a2"/>
              <w:jc w:val="center"/>
              <w:rPr>
                <w:rFonts w:hint="eastAsia"/>
              </w:rPr>
            </w:pPr>
            <w:r>
              <w:t>10</w:t>
            </w:r>
            <w:r>
              <w:rPr>
                <w:rFonts w:hint="eastAsia"/>
              </w:rPr>
              <w:t>个月</w:t>
            </w:r>
          </w:p>
        </w:tc>
        <w:tc>
          <w:tcPr>
            <w:tcW w:w="1890" w:type="dxa"/>
          </w:tcPr>
          <w:p w:rsidR="00000000" w:rsidRDefault="00000000">
            <w:pPr>
              <w:pStyle w:val="a2"/>
              <w:jc w:val="center"/>
              <w:rPr>
                <w:rFonts w:hint="eastAsia"/>
              </w:rPr>
            </w:pPr>
            <w:r>
              <w:t>12</w:t>
            </w:r>
            <w:r>
              <w:rPr>
                <w:rFonts w:hint="eastAsia"/>
              </w:rPr>
              <w:t>个月</w:t>
            </w:r>
          </w:p>
        </w:tc>
        <w:tc>
          <w:tcPr>
            <w:tcW w:w="1470" w:type="dxa"/>
          </w:tcPr>
          <w:p w:rsidR="00000000" w:rsidRDefault="00000000">
            <w:pPr>
              <w:pStyle w:val="a2"/>
              <w:jc w:val="center"/>
              <w:rPr>
                <w:rFonts w:hint="eastAsia"/>
              </w:rPr>
            </w:pPr>
            <w:r>
              <w:t>14</w:t>
            </w:r>
            <w:r>
              <w:rPr>
                <w:rFonts w:hint="eastAsia"/>
              </w:rPr>
              <w:t>个月</w:t>
            </w:r>
          </w:p>
        </w:tc>
        <w:tc>
          <w:tcPr>
            <w:tcW w:w="1263" w:type="dxa"/>
          </w:tcPr>
          <w:p w:rsidR="00000000" w:rsidRDefault="00000000">
            <w:pPr>
              <w:pStyle w:val="a2"/>
              <w:ind w:right="284"/>
              <w:jc w:val="right"/>
            </w:pPr>
            <w:r>
              <w:t>12</w:t>
            </w:r>
          </w:p>
        </w:tc>
      </w:tr>
      <w:tr w:rsidR="00000000">
        <w:tc>
          <w:tcPr>
            <w:tcW w:w="2520" w:type="dxa"/>
          </w:tcPr>
          <w:p w:rsidR="00000000" w:rsidRDefault="00000000">
            <w:pPr>
              <w:pStyle w:val="a2"/>
              <w:ind w:left="170"/>
              <w:rPr>
                <w:rFonts w:hint="eastAsia"/>
              </w:rPr>
            </w:pPr>
            <w:r>
              <w:rPr>
                <w:rFonts w:hint="eastAsia"/>
              </w:rPr>
              <w:t>消除种族歧视委员会</w:t>
            </w:r>
          </w:p>
        </w:tc>
        <w:tc>
          <w:tcPr>
            <w:tcW w:w="1785" w:type="dxa"/>
          </w:tcPr>
          <w:p w:rsidR="00000000" w:rsidRDefault="00000000">
            <w:pPr>
              <w:pStyle w:val="a2"/>
              <w:jc w:val="center"/>
            </w:pPr>
            <w:r>
              <w:rPr>
                <w:rFonts w:hint="eastAsia"/>
              </w:rPr>
              <w:t>第</w:t>
            </w:r>
            <w:r>
              <w:t>66</w:t>
            </w:r>
            <w:r>
              <w:rPr>
                <w:rFonts w:hint="eastAsia"/>
              </w:rPr>
              <w:t>届会议</w:t>
            </w:r>
          </w:p>
        </w:tc>
        <w:tc>
          <w:tcPr>
            <w:tcW w:w="1890" w:type="dxa"/>
          </w:tcPr>
          <w:p w:rsidR="00000000" w:rsidRDefault="00000000">
            <w:pPr>
              <w:pStyle w:val="a2"/>
              <w:jc w:val="center"/>
            </w:pPr>
            <w:r>
              <w:rPr>
                <w:rFonts w:hint="eastAsia"/>
              </w:rPr>
              <w:t>第</w:t>
            </w:r>
            <w:r>
              <w:t>67</w:t>
            </w:r>
            <w:r>
              <w:rPr>
                <w:rFonts w:hint="eastAsia"/>
              </w:rPr>
              <w:t>届会议</w:t>
            </w:r>
          </w:p>
        </w:tc>
        <w:tc>
          <w:tcPr>
            <w:tcW w:w="1470" w:type="dxa"/>
          </w:tcPr>
          <w:p w:rsidR="00000000" w:rsidRDefault="00000000">
            <w:pPr>
              <w:pStyle w:val="a2"/>
              <w:jc w:val="center"/>
            </w:pPr>
          </w:p>
        </w:tc>
        <w:tc>
          <w:tcPr>
            <w:tcW w:w="1263" w:type="dxa"/>
          </w:tcPr>
          <w:p w:rsidR="00000000" w:rsidRDefault="00000000">
            <w:pPr>
              <w:pStyle w:val="a2"/>
              <w:ind w:right="284"/>
              <w:jc w:val="right"/>
            </w:pPr>
          </w:p>
        </w:tc>
      </w:tr>
      <w:tr w:rsidR="00000000">
        <w:tc>
          <w:tcPr>
            <w:tcW w:w="2520" w:type="dxa"/>
          </w:tcPr>
          <w:p w:rsidR="00000000" w:rsidRDefault="00000000">
            <w:pPr>
              <w:pStyle w:val="a2"/>
              <w:ind w:left="170"/>
            </w:pPr>
          </w:p>
        </w:tc>
        <w:tc>
          <w:tcPr>
            <w:tcW w:w="1785" w:type="dxa"/>
          </w:tcPr>
          <w:p w:rsidR="00000000" w:rsidRDefault="00000000">
            <w:pPr>
              <w:pStyle w:val="a2"/>
              <w:jc w:val="center"/>
              <w:rPr>
                <w:rFonts w:hint="eastAsia"/>
              </w:rPr>
            </w:pPr>
            <w:r>
              <w:t xml:space="preserve">12 </w:t>
            </w:r>
            <w:r>
              <w:rPr>
                <w:rFonts w:hint="eastAsia"/>
              </w:rPr>
              <w:t>个月</w:t>
            </w:r>
          </w:p>
        </w:tc>
        <w:tc>
          <w:tcPr>
            <w:tcW w:w="1890" w:type="dxa"/>
          </w:tcPr>
          <w:p w:rsidR="00000000" w:rsidRDefault="00000000">
            <w:pPr>
              <w:pStyle w:val="a2"/>
              <w:jc w:val="center"/>
              <w:rPr>
                <w:rFonts w:hint="eastAsia"/>
              </w:rPr>
            </w:pPr>
            <w:r>
              <w:t xml:space="preserve">13 </w:t>
            </w:r>
            <w:r>
              <w:rPr>
                <w:rFonts w:hint="eastAsia"/>
              </w:rPr>
              <w:t>个月</w:t>
            </w:r>
          </w:p>
        </w:tc>
        <w:tc>
          <w:tcPr>
            <w:tcW w:w="1470" w:type="dxa"/>
          </w:tcPr>
          <w:p w:rsidR="00000000" w:rsidRDefault="00000000">
            <w:pPr>
              <w:pStyle w:val="a2"/>
              <w:jc w:val="center"/>
            </w:pPr>
          </w:p>
        </w:tc>
        <w:tc>
          <w:tcPr>
            <w:tcW w:w="1263" w:type="dxa"/>
          </w:tcPr>
          <w:p w:rsidR="00000000" w:rsidRDefault="00000000">
            <w:pPr>
              <w:pStyle w:val="a2"/>
              <w:ind w:right="284"/>
              <w:jc w:val="right"/>
            </w:pPr>
            <w:r>
              <w:t>12.5</w:t>
            </w:r>
          </w:p>
        </w:tc>
      </w:tr>
      <w:tr w:rsidR="00000000">
        <w:tc>
          <w:tcPr>
            <w:tcW w:w="2520" w:type="dxa"/>
          </w:tcPr>
          <w:p w:rsidR="00000000" w:rsidRDefault="00000000">
            <w:pPr>
              <w:pStyle w:val="a2"/>
              <w:ind w:left="170"/>
              <w:rPr>
                <w:rFonts w:hint="eastAsia"/>
              </w:rPr>
            </w:pPr>
            <w:r>
              <w:rPr>
                <w:rFonts w:hint="eastAsia"/>
              </w:rPr>
              <w:t>儿童权利委员会</w:t>
            </w:r>
          </w:p>
        </w:tc>
        <w:tc>
          <w:tcPr>
            <w:tcW w:w="1785" w:type="dxa"/>
          </w:tcPr>
          <w:p w:rsidR="00000000" w:rsidRDefault="00000000">
            <w:pPr>
              <w:pStyle w:val="a2"/>
              <w:jc w:val="center"/>
            </w:pPr>
            <w:r>
              <w:rPr>
                <w:rFonts w:hint="eastAsia"/>
              </w:rPr>
              <w:t>第</w:t>
            </w:r>
            <w:r>
              <w:t>38</w:t>
            </w:r>
            <w:r>
              <w:rPr>
                <w:rFonts w:hint="eastAsia"/>
              </w:rPr>
              <w:t>届会议</w:t>
            </w:r>
          </w:p>
        </w:tc>
        <w:tc>
          <w:tcPr>
            <w:tcW w:w="1890" w:type="dxa"/>
          </w:tcPr>
          <w:p w:rsidR="00000000" w:rsidRDefault="00000000">
            <w:pPr>
              <w:pStyle w:val="a2"/>
              <w:jc w:val="center"/>
            </w:pPr>
            <w:r>
              <w:rPr>
                <w:rFonts w:hint="eastAsia"/>
              </w:rPr>
              <w:t>第</w:t>
            </w:r>
            <w:r>
              <w:t>39</w:t>
            </w:r>
            <w:r>
              <w:rPr>
                <w:rFonts w:hint="eastAsia"/>
              </w:rPr>
              <w:t>届会议</w:t>
            </w:r>
          </w:p>
        </w:tc>
        <w:tc>
          <w:tcPr>
            <w:tcW w:w="1470" w:type="dxa"/>
          </w:tcPr>
          <w:p w:rsidR="00000000" w:rsidRDefault="00000000">
            <w:pPr>
              <w:pStyle w:val="a2"/>
              <w:jc w:val="center"/>
            </w:pPr>
            <w:r>
              <w:rPr>
                <w:rFonts w:hint="eastAsia"/>
              </w:rPr>
              <w:t>第</w:t>
            </w:r>
            <w:r>
              <w:t>40</w:t>
            </w:r>
            <w:r>
              <w:rPr>
                <w:rFonts w:hint="eastAsia"/>
              </w:rPr>
              <w:t>届会议</w:t>
            </w:r>
          </w:p>
        </w:tc>
        <w:tc>
          <w:tcPr>
            <w:tcW w:w="1263" w:type="dxa"/>
          </w:tcPr>
          <w:p w:rsidR="00000000" w:rsidRDefault="00000000">
            <w:pPr>
              <w:pStyle w:val="a2"/>
              <w:ind w:right="284"/>
              <w:jc w:val="right"/>
            </w:pPr>
          </w:p>
        </w:tc>
      </w:tr>
      <w:tr w:rsidR="00000000">
        <w:tc>
          <w:tcPr>
            <w:tcW w:w="2520" w:type="dxa"/>
          </w:tcPr>
          <w:p w:rsidR="00000000" w:rsidRDefault="00000000">
            <w:pPr>
              <w:pStyle w:val="a2"/>
              <w:ind w:left="170"/>
            </w:pPr>
          </w:p>
        </w:tc>
        <w:tc>
          <w:tcPr>
            <w:tcW w:w="1785" w:type="dxa"/>
          </w:tcPr>
          <w:p w:rsidR="00000000" w:rsidRDefault="00000000">
            <w:pPr>
              <w:pStyle w:val="a2"/>
              <w:jc w:val="center"/>
              <w:rPr>
                <w:rFonts w:hint="eastAsia"/>
              </w:rPr>
            </w:pPr>
            <w:r>
              <w:t>24</w:t>
            </w:r>
            <w:r>
              <w:rPr>
                <w:rFonts w:hint="eastAsia"/>
              </w:rPr>
              <w:t>个月</w:t>
            </w:r>
          </w:p>
        </w:tc>
        <w:tc>
          <w:tcPr>
            <w:tcW w:w="1890" w:type="dxa"/>
          </w:tcPr>
          <w:p w:rsidR="00000000" w:rsidRDefault="00000000">
            <w:pPr>
              <w:pStyle w:val="a2"/>
              <w:jc w:val="center"/>
              <w:rPr>
                <w:rFonts w:hint="eastAsia"/>
              </w:rPr>
            </w:pPr>
            <w:r>
              <w:t xml:space="preserve">22 </w:t>
            </w:r>
            <w:r>
              <w:rPr>
                <w:rFonts w:hint="eastAsia"/>
              </w:rPr>
              <w:t>个月</w:t>
            </w:r>
          </w:p>
        </w:tc>
        <w:tc>
          <w:tcPr>
            <w:tcW w:w="1470" w:type="dxa"/>
          </w:tcPr>
          <w:p w:rsidR="00000000" w:rsidRDefault="00000000">
            <w:pPr>
              <w:pStyle w:val="a2"/>
              <w:jc w:val="center"/>
              <w:rPr>
                <w:rFonts w:hint="eastAsia"/>
              </w:rPr>
            </w:pPr>
            <w:r>
              <w:t xml:space="preserve">21 </w:t>
            </w:r>
            <w:r>
              <w:rPr>
                <w:rFonts w:hint="eastAsia"/>
              </w:rPr>
              <w:t>个月</w:t>
            </w:r>
          </w:p>
        </w:tc>
        <w:tc>
          <w:tcPr>
            <w:tcW w:w="1263" w:type="dxa"/>
          </w:tcPr>
          <w:p w:rsidR="00000000" w:rsidRDefault="00000000">
            <w:pPr>
              <w:pStyle w:val="a2"/>
              <w:ind w:right="284"/>
              <w:jc w:val="right"/>
            </w:pPr>
            <w:r>
              <w:t>22.3</w:t>
            </w:r>
          </w:p>
        </w:tc>
      </w:tr>
      <w:tr w:rsidR="00000000">
        <w:tc>
          <w:tcPr>
            <w:tcW w:w="2520" w:type="dxa"/>
          </w:tcPr>
          <w:p w:rsidR="00000000" w:rsidRDefault="00000000">
            <w:pPr>
              <w:pStyle w:val="a2"/>
              <w:ind w:left="170"/>
              <w:rPr>
                <w:rFonts w:hint="eastAsia"/>
                <w:spacing w:val="0"/>
              </w:rPr>
            </w:pPr>
            <w:r>
              <w:rPr>
                <w:rFonts w:hint="eastAsia"/>
                <w:spacing w:val="0"/>
              </w:rPr>
              <w:t>消除对妇女歧视委员会</w:t>
            </w:r>
          </w:p>
        </w:tc>
        <w:tc>
          <w:tcPr>
            <w:tcW w:w="1785" w:type="dxa"/>
          </w:tcPr>
          <w:p w:rsidR="00000000" w:rsidRDefault="00000000">
            <w:pPr>
              <w:pStyle w:val="a2"/>
              <w:jc w:val="center"/>
            </w:pPr>
            <w:r>
              <w:rPr>
                <w:rFonts w:hint="eastAsia"/>
              </w:rPr>
              <w:t>第</w:t>
            </w:r>
            <w:r>
              <w:t>32</w:t>
            </w:r>
            <w:r>
              <w:rPr>
                <w:rFonts w:hint="eastAsia"/>
              </w:rPr>
              <w:t>届会议</w:t>
            </w:r>
          </w:p>
        </w:tc>
        <w:tc>
          <w:tcPr>
            <w:tcW w:w="1890" w:type="dxa"/>
          </w:tcPr>
          <w:p w:rsidR="00000000" w:rsidRDefault="00000000">
            <w:pPr>
              <w:pStyle w:val="a2"/>
              <w:jc w:val="center"/>
            </w:pPr>
            <w:r>
              <w:rPr>
                <w:rFonts w:hint="eastAsia"/>
              </w:rPr>
              <w:t>第</w:t>
            </w:r>
            <w:r>
              <w:t>33</w:t>
            </w:r>
            <w:r>
              <w:rPr>
                <w:rFonts w:hint="eastAsia"/>
              </w:rPr>
              <w:t>届会议</w:t>
            </w:r>
          </w:p>
        </w:tc>
        <w:tc>
          <w:tcPr>
            <w:tcW w:w="1470" w:type="dxa"/>
          </w:tcPr>
          <w:p w:rsidR="00000000" w:rsidRDefault="00000000">
            <w:pPr>
              <w:pStyle w:val="a2"/>
              <w:jc w:val="center"/>
            </w:pPr>
          </w:p>
        </w:tc>
        <w:tc>
          <w:tcPr>
            <w:tcW w:w="1263" w:type="dxa"/>
          </w:tcPr>
          <w:p w:rsidR="00000000" w:rsidRDefault="00000000">
            <w:pPr>
              <w:pStyle w:val="a2"/>
              <w:ind w:right="284"/>
              <w:jc w:val="right"/>
            </w:pPr>
          </w:p>
        </w:tc>
      </w:tr>
      <w:tr w:rsidR="00000000">
        <w:tc>
          <w:tcPr>
            <w:tcW w:w="2520" w:type="dxa"/>
          </w:tcPr>
          <w:p w:rsidR="00000000" w:rsidRDefault="00000000">
            <w:pPr>
              <w:pStyle w:val="a2"/>
              <w:ind w:left="170"/>
            </w:pPr>
          </w:p>
        </w:tc>
        <w:tc>
          <w:tcPr>
            <w:tcW w:w="1785" w:type="dxa"/>
          </w:tcPr>
          <w:p w:rsidR="00000000" w:rsidRDefault="00000000">
            <w:pPr>
              <w:pStyle w:val="a2"/>
              <w:jc w:val="center"/>
              <w:rPr>
                <w:rFonts w:hint="eastAsia"/>
              </w:rPr>
            </w:pPr>
            <w:r>
              <w:t xml:space="preserve">18 </w:t>
            </w:r>
            <w:r>
              <w:rPr>
                <w:rFonts w:hint="eastAsia"/>
              </w:rPr>
              <w:t>个月</w:t>
            </w:r>
          </w:p>
        </w:tc>
        <w:tc>
          <w:tcPr>
            <w:tcW w:w="1890" w:type="dxa"/>
          </w:tcPr>
          <w:p w:rsidR="00000000" w:rsidRDefault="00000000">
            <w:pPr>
              <w:pStyle w:val="a2"/>
              <w:jc w:val="center"/>
              <w:rPr>
                <w:rFonts w:hint="eastAsia"/>
              </w:rPr>
            </w:pPr>
            <w:r>
              <w:t xml:space="preserve">28.5 </w:t>
            </w:r>
            <w:r>
              <w:rPr>
                <w:rFonts w:hint="eastAsia"/>
              </w:rPr>
              <w:t>个月</w:t>
            </w:r>
          </w:p>
        </w:tc>
        <w:tc>
          <w:tcPr>
            <w:tcW w:w="1470" w:type="dxa"/>
          </w:tcPr>
          <w:p w:rsidR="00000000" w:rsidRDefault="00000000">
            <w:pPr>
              <w:pStyle w:val="a2"/>
              <w:jc w:val="center"/>
            </w:pPr>
          </w:p>
        </w:tc>
        <w:tc>
          <w:tcPr>
            <w:tcW w:w="1263" w:type="dxa"/>
          </w:tcPr>
          <w:p w:rsidR="00000000" w:rsidRDefault="00000000">
            <w:pPr>
              <w:pStyle w:val="a2"/>
              <w:ind w:right="284"/>
              <w:jc w:val="right"/>
            </w:pPr>
            <w:r>
              <w:t>23.25</w:t>
            </w:r>
          </w:p>
        </w:tc>
      </w:tr>
      <w:tr w:rsidR="00000000">
        <w:tc>
          <w:tcPr>
            <w:tcW w:w="7665" w:type="dxa"/>
            <w:gridSpan w:val="4"/>
          </w:tcPr>
          <w:p w:rsidR="00000000" w:rsidRDefault="00000000">
            <w:pPr>
              <w:pStyle w:val="a2"/>
              <w:rPr>
                <w:rFonts w:ascii="Time New Roman" w:eastAsia="SimHei" w:hAnsi="Time New Roman" w:hint="eastAsia"/>
              </w:rPr>
            </w:pPr>
            <w:r>
              <w:rPr>
                <w:rFonts w:ascii="Time New Roman" w:eastAsia="SimHei" w:hAnsi="Time New Roman"/>
              </w:rPr>
              <w:tab/>
            </w:r>
            <w:r>
              <w:rPr>
                <w:rFonts w:ascii="Time New Roman" w:eastAsia="SimHei" w:hAnsi="Time New Roman" w:hint="eastAsia"/>
              </w:rPr>
              <w:t>合计平均数</w:t>
            </w:r>
          </w:p>
        </w:tc>
        <w:tc>
          <w:tcPr>
            <w:tcW w:w="1263" w:type="dxa"/>
          </w:tcPr>
          <w:p w:rsidR="00000000" w:rsidRDefault="00000000">
            <w:pPr>
              <w:pStyle w:val="a2"/>
              <w:ind w:right="284"/>
              <w:jc w:val="right"/>
            </w:pPr>
            <w:r>
              <w:t>17.4</w:t>
            </w:r>
          </w:p>
        </w:tc>
      </w:tr>
    </w:tbl>
    <w:p w:rsidR="00000000" w:rsidRDefault="00000000"/>
    <w:p w:rsidR="00000000" w:rsidRDefault="00000000">
      <w:pPr>
        <w:pStyle w:val="Heading2"/>
        <w:rPr>
          <w:rFonts w:hint="eastAsia"/>
        </w:rPr>
      </w:pPr>
      <w:r>
        <w:br w:type="page"/>
      </w:r>
      <w:r>
        <w:rPr>
          <w:rFonts w:hint="eastAsia"/>
        </w:rPr>
        <w:t>附</w:t>
      </w:r>
      <w:r>
        <w:rPr>
          <w:rFonts w:hint="eastAsia"/>
        </w:rPr>
        <w:t xml:space="preserve"> </w:t>
      </w:r>
      <w:r>
        <w:rPr>
          <w:rFonts w:hint="eastAsia"/>
        </w:rPr>
        <w:t>件</w:t>
      </w:r>
      <w:r>
        <w:rPr>
          <w:rFonts w:hint="eastAsia"/>
        </w:rPr>
        <w:t xml:space="preserve"> </w:t>
      </w:r>
      <w:r>
        <w:rPr>
          <w:rFonts w:hint="eastAsia"/>
        </w:rPr>
        <w:t>四</w:t>
      </w:r>
    </w:p>
    <w:p w:rsidR="00000000" w:rsidRDefault="00000000">
      <w:pPr>
        <w:pStyle w:val="Heading2"/>
        <w:spacing w:after="160" w:line="336" w:lineRule="auto"/>
        <w:rPr>
          <w:rFonts w:hint="eastAsia"/>
        </w:rPr>
      </w:pPr>
      <w:r>
        <w:rPr>
          <w:rFonts w:hint="eastAsia"/>
        </w:rPr>
        <w:t>与公民权利和政治权利委员会、禁止酷刑</w:t>
      </w:r>
      <w:r>
        <w:br/>
      </w:r>
      <w:r>
        <w:rPr>
          <w:rFonts w:hint="eastAsia"/>
        </w:rPr>
        <w:t>委员会和消除种族歧视委员会</w:t>
      </w:r>
      <w:r>
        <w:br/>
      </w:r>
      <w:r>
        <w:rPr>
          <w:rFonts w:hint="eastAsia"/>
        </w:rPr>
        <w:t>个人申诉程序有关的统计</w:t>
      </w:r>
    </w:p>
    <w:tbl>
      <w:tblPr>
        <w:tblpPr w:leftFromText="180" w:rightFromText="180" w:vertAnchor="text" w:horzAnchor="margin" w:tblpX="108" w:tblpY="339"/>
        <w:tblW w:w="874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720"/>
        <w:gridCol w:w="2748"/>
        <w:gridCol w:w="2205"/>
        <w:gridCol w:w="3075"/>
      </w:tblGrid>
      <w:tr w:rsidR="00000000">
        <w:trPr>
          <w:trHeight w:val="20"/>
        </w:trPr>
        <w:tc>
          <w:tcPr>
            <w:tcW w:w="8748" w:type="dxa"/>
            <w:gridSpan w:val="4"/>
            <w:tcBorders>
              <w:top w:val="single" w:sz="18" w:space="0" w:color="auto"/>
              <w:bottom w:val="nil"/>
            </w:tcBorders>
            <w:shd w:val="clear" w:color="auto" w:fill="E1F4FF"/>
            <w:vAlign w:val="center"/>
          </w:tcPr>
          <w:p w:rsidR="00000000" w:rsidRDefault="00000000">
            <w:pPr>
              <w:tabs>
                <w:tab w:val="right" w:pos="5103"/>
              </w:tabs>
              <w:spacing w:line="320" w:lineRule="exact"/>
              <w:rPr>
                <w:sz w:val="20"/>
                <w:szCs w:val="22"/>
              </w:rPr>
            </w:pPr>
            <w:r>
              <w:rPr>
                <w:rFonts w:hint="eastAsia"/>
                <w:sz w:val="20"/>
                <w:szCs w:val="22"/>
              </w:rPr>
              <w:t>公民权利和政治权利委员会登记的案件总数</w:t>
            </w:r>
            <w:r>
              <w:rPr>
                <w:sz w:val="20"/>
                <w:szCs w:val="22"/>
              </w:rPr>
              <w:tab/>
              <w:t>1453</w:t>
            </w:r>
          </w:p>
        </w:tc>
      </w:tr>
      <w:tr w:rsidR="00000000">
        <w:trPr>
          <w:trHeight w:val="20"/>
        </w:trPr>
        <w:tc>
          <w:tcPr>
            <w:tcW w:w="8748" w:type="dxa"/>
            <w:gridSpan w:val="4"/>
            <w:tcBorders>
              <w:top w:val="nil"/>
              <w:bottom w:val="nil"/>
            </w:tcBorders>
            <w:shd w:val="clear" w:color="auto" w:fill="E1F4FF"/>
            <w:vAlign w:val="center"/>
          </w:tcPr>
          <w:p w:rsidR="00000000" w:rsidRDefault="00000000">
            <w:pPr>
              <w:tabs>
                <w:tab w:val="right" w:pos="5103"/>
              </w:tabs>
              <w:spacing w:line="320" w:lineRule="exact"/>
              <w:rPr>
                <w:sz w:val="20"/>
                <w:szCs w:val="22"/>
              </w:rPr>
            </w:pPr>
            <w:r>
              <w:rPr>
                <w:rFonts w:hint="eastAsia"/>
                <w:sz w:val="20"/>
                <w:szCs w:val="22"/>
              </w:rPr>
              <w:t>尚未处理的案件</w:t>
            </w:r>
            <w:r>
              <w:rPr>
                <w:sz w:val="20"/>
                <w:szCs w:val="22"/>
              </w:rPr>
              <w:tab/>
              <w:t>316</w:t>
            </w:r>
            <w:r>
              <w:rPr>
                <w:sz w:val="20"/>
                <w:szCs w:val="22"/>
              </w:rPr>
              <w:tab/>
            </w:r>
            <w:r>
              <w:rPr>
                <w:sz w:val="20"/>
                <w:szCs w:val="22"/>
              </w:rPr>
              <w:tab/>
            </w:r>
            <w:r>
              <w:rPr>
                <w:sz w:val="20"/>
                <w:szCs w:val="22"/>
              </w:rPr>
              <w:tab/>
            </w:r>
            <w:r>
              <w:rPr>
                <w:sz w:val="20"/>
                <w:szCs w:val="22"/>
              </w:rPr>
              <w:tab/>
            </w:r>
          </w:p>
        </w:tc>
      </w:tr>
      <w:tr w:rsidR="00000000">
        <w:trPr>
          <w:trHeight w:val="20"/>
        </w:trPr>
        <w:tc>
          <w:tcPr>
            <w:tcW w:w="8748" w:type="dxa"/>
            <w:gridSpan w:val="4"/>
            <w:tcBorders>
              <w:top w:val="nil"/>
              <w:bottom w:val="single" w:sz="18" w:space="0" w:color="auto"/>
            </w:tcBorders>
            <w:shd w:val="clear" w:color="auto" w:fill="EBFFFF"/>
            <w:vAlign w:val="center"/>
          </w:tcPr>
          <w:p w:rsidR="00000000" w:rsidRDefault="00000000">
            <w:pPr>
              <w:spacing w:line="320" w:lineRule="exact"/>
              <w:jc w:val="center"/>
              <w:rPr>
                <w:rFonts w:hint="eastAsia"/>
                <w:b/>
                <w:bCs/>
                <w:sz w:val="20"/>
                <w:szCs w:val="22"/>
              </w:rPr>
            </w:pPr>
            <w:r>
              <w:rPr>
                <w:rFonts w:hint="eastAsia"/>
                <w:b/>
                <w:bCs/>
                <w:sz w:val="20"/>
                <w:szCs w:val="22"/>
              </w:rPr>
              <w:t>登记的案件数最多的国家</w:t>
            </w:r>
          </w:p>
        </w:tc>
      </w:tr>
      <w:tr w:rsidR="00000000">
        <w:trPr>
          <w:trHeight w:val="20"/>
        </w:trPr>
        <w:tc>
          <w:tcPr>
            <w:tcW w:w="720" w:type="dxa"/>
            <w:tcBorders>
              <w:top w:val="single" w:sz="18" w:space="0" w:color="auto"/>
              <w:bottom w:val="single" w:sz="18" w:space="0" w:color="auto"/>
              <w:right w:val="single" w:sz="18" w:space="0" w:color="auto"/>
            </w:tcBorders>
            <w:shd w:val="clear" w:color="auto" w:fill="E1FFE1"/>
          </w:tcPr>
          <w:p w:rsidR="00000000" w:rsidRDefault="00000000">
            <w:pPr>
              <w:spacing w:line="320" w:lineRule="exact"/>
              <w:rPr>
                <w:rFonts w:ascii="Time New Roman" w:eastAsia="SimHei" w:hAnsi="Time New Roman"/>
                <w:sz w:val="20"/>
                <w:szCs w:val="22"/>
              </w:rPr>
            </w:pPr>
          </w:p>
        </w:tc>
        <w:tc>
          <w:tcPr>
            <w:tcW w:w="2748"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spacing w:before="120" w:line="320" w:lineRule="exact"/>
              <w:jc w:val="center"/>
              <w:rPr>
                <w:rFonts w:ascii="Time New Roman" w:eastAsia="SimHei" w:hAnsi="Time New Roman" w:hint="eastAsia"/>
                <w:sz w:val="20"/>
                <w:szCs w:val="22"/>
                <w:lang w:val="es-ES_tradnl"/>
              </w:rPr>
            </w:pPr>
            <w:r>
              <w:rPr>
                <w:rFonts w:ascii="Time New Roman" w:eastAsia="SimHei" w:hAnsi="Time New Roman" w:hint="eastAsia"/>
                <w:sz w:val="20"/>
                <w:szCs w:val="22"/>
                <w:lang w:val="es-ES_tradnl"/>
              </w:rPr>
              <w:t>缔</w:t>
            </w:r>
            <w:r>
              <w:rPr>
                <w:rFonts w:ascii="Time New Roman" w:eastAsia="SimHei" w:hAnsi="Time New Roman" w:hint="eastAsia"/>
                <w:sz w:val="20"/>
                <w:szCs w:val="22"/>
                <w:lang w:val="es-ES_tradnl"/>
              </w:rPr>
              <w:t xml:space="preserve">  </w:t>
            </w:r>
            <w:r>
              <w:rPr>
                <w:rFonts w:ascii="Time New Roman" w:eastAsia="SimHei" w:hAnsi="Time New Roman" w:hint="eastAsia"/>
                <w:sz w:val="20"/>
                <w:szCs w:val="22"/>
                <w:lang w:val="es-ES_tradnl"/>
              </w:rPr>
              <w:t>约</w:t>
            </w:r>
            <w:r>
              <w:rPr>
                <w:rFonts w:ascii="Time New Roman" w:eastAsia="SimHei" w:hAnsi="Time New Roman" w:hint="eastAsia"/>
                <w:sz w:val="20"/>
                <w:szCs w:val="22"/>
                <w:lang w:val="es-ES_tradnl"/>
              </w:rPr>
              <w:t xml:space="preserve">  </w:t>
            </w:r>
            <w:r>
              <w:rPr>
                <w:rFonts w:ascii="Time New Roman" w:eastAsia="SimHei" w:hAnsi="Time New Roman" w:hint="eastAsia"/>
                <w:sz w:val="20"/>
                <w:szCs w:val="22"/>
                <w:lang w:val="es-ES_tradnl"/>
              </w:rPr>
              <w:t>国</w:t>
            </w:r>
          </w:p>
        </w:tc>
        <w:tc>
          <w:tcPr>
            <w:tcW w:w="2205"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spacing w:before="120" w:line="320" w:lineRule="exact"/>
              <w:rPr>
                <w:rFonts w:ascii="Time New Roman" w:eastAsia="SimHei" w:hAnsi="Time New Roman" w:hint="eastAsia"/>
                <w:sz w:val="20"/>
                <w:szCs w:val="22"/>
              </w:rPr>
            </w:pPr>
            <w:r>
              <w:rPr>
                <w:rFonts w:ascii="Time New Roman" w:eastAsia="SimHei" w:hAnsi="Time New Roman" w:hint="eastAsia"/>
                <w:sz w:val="20"/>
                <w:szCs w:val="22"/>
              </w:rPr>
              <w:t>登记的案件数</w:t>
            </w:r>
          </w:p>
        </w:tc>
        <w:tc>
          <w:tcPr>
            <w:tcW w:w="3075" w:type="dxa"/>
            <w:tcBorders>
              <w:top w:val="single" w:sz="18" w:space="0" w:color="auto"/>
              <w:left w:val="single" w:sz="18" w:space="0" w:color="auto"/>
              <w:bottom w:val="single" w:sz="18" w:space="0" w:color="auto"/>
            </w:tcBorders>
            <w:shd w:val="clear" w:color="auto" w:fill="E1FFE1"/>
          </w:tcPr>
          <w:p w:rsidR="00000000" w:rsidRDefault="00000000">
            <w:pPr>
              <w:spacing w:before="120" w:line="320" w:lineRule="exact"/>
              <w:rPr>
                <w:rFonts w:ascii="Time New Roman" w:eastAsia="SimHei" w:hAnsi="Time New Roman" w:hint="eastAsia"/>
                <w:sz w:val="20"/>
                <w:szCs w:val="22"/>
              </w:rPr>
            </w:pPr>
            <w:r>
              <w:rPr>
                <w:rFonts w:ascii="Time New Roman" w:eastAsia="SimHei" w:hAnsi="Time New Roman" w:hint="eastAsia"/>
                <w:sz w:val="20"/>
                <w:szCs w:val="22"/>
              </w:rPr>
              <w:t>占登记案件总数的百分比</w:t>
            </w:r>
          </w:p>
        </w:tc>
      </w:tr>
      <w:tr w:rsidR="00000000">
        <w:trPr>
          <w:trHeight w:val="20"/>
        </w:trPr>
        <w:tc>
          <w:tcPr>
            <w:tcW w:w="720" w:type="dxa"/>
            <w:tcBorders>
              <w:top w:val="single" w:sz="18" w:space="0" w:color="auto"/>
              <w:bottom w:val="nil"/>
              <w:right w:val="single" w:sz="18" w:space="0" w:color="auto"/>
            </w:tcBorders>
            <w:shd w:val="clear" w:color="auto" w:fill="FFFFD9"/>
          </w:tcPr>
          <w:p w:rsidR="00000000" w:rsidRDefault="00000000">
            <w:pPr>
              <w:numPr>
                <w:ilvl w:val="0"/>
                <w:numId w:val="121"/>
              </w:numPr>
              <w:spacing w:line="320" w:lineRule="exact"/>
              <w:rPr>
                <w:sz w:val="20"/>
                <w:szCs w:val="22"/>
              </w:rPr>
            </w:pPr>
          </w:p>
        </w:tc>
        <w:tc>
          <w:tcPr>
            <w:tcW w:w="2748" w:type="dxa"/>
            <w:tcBorders>
              <w:top w:val="single" w:sz="18" w:space="0" w:color="auto"/>
              <w:left w:val="single" w:sz="18" w:space="0" w:color="auto"/>
              <w:bottom w:val="nil"/>
              <w:right w:val="single" w:sz="18" w:space="0" w:color="auto"/>
            </w:tcBorders>
            <w:shd w:val="clear" w:color="auto" w:fill="FFFFD9"/>
          </w:tcPr>
          <w:p w:rsidR="00000000" w:rsidRDefault="00000000">
            <w:pPr>
              <w:spacing w:line="320" w:lineRule="exact"/>
              <w:ind w:left="340"/>
              <w:rPr>
                <w:sz w:val="20"/>
                <w:szCs w:val="22"/>
              </w:rPr>
            </w:pPr>
            <w:r>
              <w:rPr>
                <w:sz w:val="20"/>
                <w:szCs w:val="22"/>
                <w:lang w:val="es-ES_tradnl"/>
              </w:rPr>
              <w:t>牙买加</w:t>
            </w:r>
          </w:p>
        </w:tc>
        <w:tc>
          <w:tcPr>
            <w:tcW w:w="2205" w:type="dxa"/>
            <w:tcBorders>
              <w:top w:val="single" w:sz="18" w:space="0" w:color="auto"/>
              <w:left w:val="single" w:sz="18" w:space="0" w:color="auto"/>
              <w:bottom w:val="nil"/>
              <w:right w:val="single" w:sz="18" w:space="0" w:color="auto"/>
            </w:tcBorders>
            <w:shd w:val="clear" w:color="auto" w:fill="FFFFD9"/>
          </w:tcPr>
          <w:p w:rsidR="00000000" w:rsidRDefault="00000000">
            <w:pPr>
              <w:tabs>
                <w:tab w:val="right" w:pos="1418"/>
              </w:tabs>
              <w:spacing w:line="320" w:lineRule="exact"/>
              <w:jc w:val="center"/>
              <w:rPr>
                <w:sz w:val="20"/>
                <w:szCs w:val="22"/>
              </w:rPr>
            </w:pPr>
            <w:r>
              <w:rPr>
                <w:sz w:val="20"/>
                <w:szCs w:val="22"/>
                <w:lang w:val="es-ES_tradnl"/>
              </w:rPr>
              <w:t>177</w:t>
            </w:r>
          </w:p>
        </w:tc>
        <w:tc>
          <w:tcPr>
            <w:tcW w:w="3075" w:type="dxa"/>
            <w:tcBorders>
              <w:top w:val="single" w:sz="18" w:space="0" w:color="auto"/>
              <w:left w:val="single" w:sz="18" w:space="0" w:color="auto"/>
              <w:bottom w:val="nil"/>
            </w:tcBorders>
            <w:shd w:val="clear" w:color="auto" w:fill="FFFFD9"/>
          </w:tcPr>
          <w:p w:rsidR="00000000" w:rsidRDefault="00000000">
            <w:pPr>
              <w:tabs>
                <w:tab w:val="right" w:pos="1418"/>
              </w:tabs>
              <w:spacing w:line="320" w:lineRule="exact"/>
              <w:jc w:val="center"/>
              <w:rPr>
                <w:sz w:val="20"/>
                <w:szCs w:val="22"/>
              </w:rPr>
            </w:pPr>
            <w:r>
              <w:rPr>
                <w:sz w:val="20"/>
                <w:szCs w:val="22"/>
                <w:lang w:val="es-ES_tradnl"/>
              </w:rPr>
              <w:t>12.18</w:t>
            </w:r>
          </w:p>
        </w:tc>
      </w:tr>
      <w:tr w:rsidR="00000000">
        <w:trPr>
          <w:trHeight w:val="20"/>
        </w:trPr>
        <w:tc>
          <w:tcPr>
            <w:tcW w:w="720" w:type="dxa"/>
            <w:tcBorders>
              <w:top w:val="nil"/>
              <w:bottom w:val="nil"/>
              <w:right w:val="single" w:sz="18" w:space="0" w:color="auto"/>
            </w:tcBorders>
            <w:shd w:val="clear" w:color="auto" w:fill="FFFFD9"/>
          </w:tcPr>
          <w:p w:rsidR="00000000" w:rsidRDefault="00000000">
            <w:pPr>
              <w:numPr>
                <w:ilvl w:val="0"/>
                <w:numId w:val="121"/>
              </w:numPr>
              <w:spacing w:line="320" w:lineRule="exact"/>
              <w:rPr>
                <w:sz w:val="20"/>
                <w:szCs w:val="22"/>
              </w:rPr>
            </w:pPr>
          </w:p>
        </w:tc>
        <w:tc>
          <w:tcPr>
            <w:tcW w:w="2748" w:type="dxa"/>
            <w:tcBorders>
              <w:top w:val="nil"/>
              <w:left w:val="single" w:sz="18" w:space="0" w:color="auto"/>
              <w:bottom w:val="nil"/>
              <w:right w:val="single" w:sz="18" w:space="0" w:color="auto"/>
            </w:tcBorders>
            <w:shd w:val="clear" w:color="auto" w:fill="FFFFD9"/>
          </w:tcPr>
          <w:p w:rsidR="00000000" w:rsidRDefault="00000000">
            <w:pPr>
              <w:spacing w:line="320" w:lineRule="exact"/>
              <w:ind w:left="340"/>
              <w:rPr>
                <w:sz w:val="20"/>
                <w:szCs w:val="22"/>
              </w:rPr>
            </w:pPr>
            <w:r>
              <w:rPr>
                <w:sz w:val="20"/>
                <w:szCs w:val="22"/>
                <w:lang w:val="es-ES_tradnl"/>
              </w:rPr>
              <w:t>加拿大</w:t>
            </w:r>
          </w:p>
        </w:tc>
        <w:tc>
          <w:tcPr>
            <w:tcW w:w="2205" w:type="dxa"/>
            <w:tcBorders>
              <w:top w:val="nil"/>
              <w:left w:val="single" w:sz="18" w:space="0" w:color="auto"/>
              <w:bottom w:val="nil"/>
              <w:right w:val="single" w:sz="18" w:space="0" w:color="auto"/>
            </w:tcBorders>
            <w:shd w:val="clear" w:color="auto" w:fill="FFFFD9"/>
          </w:tcPr>
          <w:p w:rsidR="00000000" w:rsidRDefault="00000000">
            <w:pPr>
              <w:tabs>
                <w:tab w:val="right" w:pos="1418"/>
              </w:tabs>
              <w:spacing w:line="320" w:lineRule="exact"/>
              <w:jc w:val="center"/>
              <w:rPr>
                <w:sz w:val="20"/>
                <w:szCs w:val="22"/>
              </w:rPr>
            </w:pPr>
            <w:r>
              <w:rPr>
                <w:sz w:val="20"/>
                <w:szCs w:val="22"/>
                <w:lang w:val="es-ES_tradnl"/>
              </w:rPr>
              <w:t>118</w:t>
            </w:r>
          </w:p>
        </w:tc>
        <w:tc>
          <w:tcPr>
            <w:tcW w:w="3075" w:type="dxa"/>
            <w:tcBorders>
              <w:top w:val="nil"/>
              <w:left w:val="single" w:sz="18" w:space="0" w:color="auto"/>
              <w:bottom w:val="nil"/>
            </w:tcBorders>
            <w:shd w:val="clear" w:color="auto" w:fill="FFFFD9"/>
          </w:tcPr>
          <w:p w:rsidR="00000000" w:rsidRDefault="00000000">
            <w:pPr>
              <w:tabs>
                <w:tab w:val="right" w:pos="1418"/>
              </w:tabs>
              <w:spacing w:line="320" w:lineRule="exact"/>
              <w:jc w:val="center"/>
              <w:rPr>
                <w:sz w:val="20"/>
                <w:szCs w:val="22"/>
              </w:rPr>
            </w:pPr>
            <w:r>
              <w:rPr>
                <w:sz w:val="20"/>
                <w:szCs w:val="22"/>
                <w:lang w:val="es-ES_tradnl"/>
              </w:rPr>
              <w:t>8.12</w:t>
            </w:r>
          </w:p>
        </w:tc>
      </w:tr>
      <w:tr w:rsidR="00000000">
        <w:trPr>
          <w:trHeight w:val="20"/>
        </w:trPr>
        <w:tc>
          <w:tcPr>
            <w:tcW w:w="720" w:type="dxa"/>
            <w:tcBorders>
              <w:top w:val="nil"/>
              <w:bottom w:val="nil"/>
              <w:right w:val="single" w:sz="18" w:space="0" w:color="auto"/>
            </w:tcBorders>
            <w:shd w:val="clear" w:color="auto" w:fill="FFFFD9"/>
          </w:tcPr>
          <w:p w:rsidR="00000000" w:rsidRDefault="00000000">
            <w:pPr>
              <w:numPr>
                <w:ilvl w:val="0"/>
                <w:numId w:val="121"/>
              </w:numPr>
              <w:spacing w:line="320" w:lineRule="exact"/>
              <w:rPr>
                <w:sz w:val="20"/>
                <w:szCs w:val="22"/>
              </w:rPr>
            </w:pPr>
          </w:p>
        </w:tc>
        <w:tc>
          <w:tcPr>
            <w:tcW w:w="2748" w:type="dxa"/>
            <w:tcBorders>
              <w:top w:val="nil"/>
              <w:left w:val="single" w:sz="18" w:space="0" w:color="auto"/>
              <w:bottom w:val="nil"/>
              <w:right w:val="single" w:sz="18" w:space="0" w:color="auto"/>
            </w:tcBorders>
            <w:shd w:val="clear" w:color="auto" w:fill="FFFFD9"/>
          </w:tcPr>
          <w:p w:rsidR="00000000" w:rsidRDefault="00000000">
            <w:pPr>
              <w:spacing w:line="320" w:lineRule="exact"/>
              <w:ind w:left="340"/>
              <w:rPr>
                <w:sz w:val="20"/>
                <w:szCs w:val="22"/>
              </w:rPr>
            </w:pPr>
            <w:r>
              <w:rPr>
                <w:sz w:val="20"/>
                <w:szCs w:val="22"/>
                <w:lang w:val="es-ES_tradnl"/>
              </w:rPr>
              <w:t>澳大利亚</w:t>
            </w:r>
          </w:p>
        </w:tc>
        <w:tc>
          <w:tcPr>
            <w:tcW w:w="2205" w:type="dxa"/>
            <w:tcBorders>
              <w:top w:val="nil"/>
              <w:left w:val="single" w:sz="18" w:space="0" w:color="auto"/>
              <w:bottom w:val="nil"/>
              <w:right w:val="single" w:sz="18" w:space="0" w:color="auto"/>
            </w:tcBorders>
            <w:shd w:val="clear" w:color="auto" w:fill="FFFFD9"/>
          </w:tcPr>
          <w:p w:rsidR="00000000" w:rsidRDefault="00000000">
            <w:pPr>
              <w:tabs>
                <w:tab w:val="right" w:pos="1418"/>
              </w:tabs>
              <w:spacing w:line="320" w:lineRule="exact"/>
              <w:jc w:val="center"/>
              <w:rPr>
                <w:sz w:val="20"/>
                <w:szCs w:val="22"/>
              </w:rPr>
            </w:pPr>
            <w:r>
              <w:rPr>
                <w:sz w:val="20"/>
                <w:szCs w:val="22"/>
                <w:lang w:val="es-ES_tradnl"/>
              </w:rPr>
              <w:t>98</w:t>
            </w:r>
          </w:p>
        </w:tc>
        <w:tc>
          <w:tcPr>
            <w:tcW w:w="3075" w:type="dxa"/>
            <w:tcBorders>
              <w:top w:val="nil"/>
              <w:left w:val="single" w:sz="18" w:space="0" w:color="auto"/>
              <w:bottom w:val="nil"/>
            </w:tcBorders>
            <w:shd w:val="clear" w:color="auto" w:fill="FFFFD9"/>
          </w:tcPr>
          <w:p w:rsidR="00000000" w:rsidRDefault="00000000">
            <w:pPr>
              <w:tabs>
                <w:tab w:val="right" w:pos="1418"/>
              </w:tabs>
              <w:spacing w:line="320" w:lineRule="exact"/>
              <w:jc w:val="center"/>
              <w:rPr>
                <w:sz w:val="20"/>
                <w:szCs w:val="22"/>
              </w:rPr>
            </w:pPr>
            <w:r>
              <w:rPr>
                <w:sz w:val="20"/>
                <w:szCs w:val="22"/>
                <w:lang w:val="es-ES_tradnl"/>
              </w:rPr>
              <w:t>6.74</w:t>
            </w:r>
          </w:p>
        </w:tc>
      </w:tr>
      <w:tr w:rsidR="00000000">
        <w:trPr>
          <w:trHeight w:val="20"/>
        </w:trPr>
        <w:tc>
          <w:tcPr>
            <w:tcW w:w="720" w:type="dxa"/>
            <w:tcBorders>
              <w:top w:val="nil"/>
              <w:bottom w:val="nil"/>
              <w:right w:val="single" w:sz="18" w:space="0" w:color="auto"/>
            </w:tcBorders>
            <w:shd w:val="clear" w:color="auto" w:fill="FFFFD9"/>
          </w:tcPr>
          <w:p w:rsidR="00000000" w:rsidRDefault="00000000">
            <w:pPr>
              <w:numPr>
                <w:ilvl w:val="0"/>
                <w:numId w:val="121"/>
              </w:numPr>
              <w:spacing w:line="320" w:lineRule="exact"/>
              <w:rPr>
                <w:sz w:val="20"/>
                <w:szCs w:val="22"/>
              </w:rPr>
            </w:pPr>
          </w:p>
        </w:tc>
        <w:tc>
          <w:tcPr>
            <w:tcW w:w="2748" w:type="dxa"/>
            <w:tcBorders>
              <w:top w:val="nil"/>
              <w:left w:val="single" w:sz="18" w:space="0" w:color="auto"/>
              <w:bottom w:val="nil"/>
              <w:right w:val="single" w:sz="18" w:space="0" w:color="auto"/>
            </w:tcBorders>
            <w:shd w:val="clear" w:color="auto" w:fill="FFFFD9"/>
          </w:tcPr>
          <w:p w:rsidR="00000000" w:rsidRDefault="00000000">
            <w:pPr>
              <w:spacing w:line="320" w:lineRule="exact"/>
              <w:ind w:left="340"/>
              <w:rPr>
                <w:sz w:val="20"/>
                <w:szCs w:val="22"/>
                <w:lang w:val="es-ES_tradnl"/>
              </w:rPr>
            </w:pPr>
            <w:r>
              <w:rPr>
                <w:sz w:val="20"/>
                <w:szCs w:val="22"/>
                <w:lang w:val="es-ES_tradnl"/>
              </w:rPr>
              <w:t>西班牙</w:t>
            </w:r>
          </w:p>
        </w:tc>
        <w:tc>
          <w:tcPr>
            <w:tcW w:w="2205" w:type="dxa"/>
            <w:tcBorders>
              <w:top w:val="nil"/>
              <w:left w:val="single" w:sz="18" w:space="0" w:color="auto"/>
              <w:bottom w:val="nil"/>
              <w:right w:val="single" w:sz="18" w:space="0" w:color="auto"/>
            </w:tcBorders>
            <w:shd w:val="clear" w:color="auto" w:fill="FFFFD9"/>
          </w:tcPr>
          <w:p w:rsidR="00000000" w:rsidRDefault="00000000">
            <w:pPr>
              <w:tabs>
                <w:tab w:val="right" w:pos="1418"/>
              </w:tabs>
              <w:spacing w:line="320" w:lineRule="exact"/>
              <w:jc w:val="center"/>
              <w:rPr>
                <w:sz w:val="20"/>
                <w:szCs w:val="22"/>
                <w:lang w:val="es-ES_tradnl"/>
              </w:rPr>
            </w:pPr>
            <w:r>
              <w:rPr>
                <w:sz w:val="20"/>
                <w:szCs w:val="22"/>
                <w:lang w:val="es-ES_tradnl"/>
              </w:rPr>
              <w:t>93</w:t>
            </w:r>
          </w:p>
        </w:tc>
        <w:tc>
          <w:tcPr>
            <w:tcW w:w="3075" w:type="dxa"/>
            <w:tcBorders>
              <w:top w:val="nil"/>
              <w:left w:val="single" w:sz="18" w:space="0" w:color="auto"/>
              <w:bottom w:val="nil"/>
            </w:tcBorders>
            <w:shd w:val="clear" w:color="auto" w:fill="FFFFD9"/>
          </w:tcPr>
          <w:p w:rsidR="00000000" w:rsidRDefault="00000000">
            <w:pPr>
              <w:tabs>
                <w:tab w:val="right" w:pos="1418"/>
              </w:tabs>
              <w:spacing w:line="320" w:lineRule="exact"/>
              <w:jc w:val="center"/>
              <w:rPr>
                <w:sz w:val="20"/>
                <w:szCs w:val="22"/>
                <w:lang w:val="es-ES_tradnl"/>
              </w:rPr>
            </w:pPr>
            <w:r>
              <w:rPr>
                <w:sz w:val="20"/>
                <w:szCs w:val="22"/>
                <w:lang w:val="es-ES_tradnl"/>
              </w:rPr>
              <w:t>6.40</w:t>
            </w:r>
          </w:p>
        </w:tc>
      </w:tr>
      <w:tr w:rsidR="00000000">
        <w:trPr>
          <w:trHeight w:val="20"/>
        </w:trPr>
        <w:tc>
          <w:tcPr>
            <w:tcW w:w="720" w:type="dxa"/>
            <w:tcBorders>
              <w:top w:val="nil"/>
              <w:bottom w:val="nil"/>
              <w:right w:val="single" w:sz="18" w:space="0" w:color="auto"/>
            </w:tcBorders>
            <w:shd w:val="clear" w:color="auto" w:fill="FFFFD9"/>
          </w:tcPr>
          <w:p w:rsidR="00000000" w:rsidRDefault="00000000">
            <w:pPr>
              <w:numPr>
                <w:ilvl w:val="0"/>
                <w:numId w:val="121"/>
              </w:numPr>
              <w:spacing w:line="320" w:lineRule="exact"/>
              <w:rPr>
                <w:sz w:val="20"/>
                <w:szCs w:val="22"/>
              </w:rPr>
            </w:pPr>
          </w:p>
        </w:tc>
        <w:tc>
          <w:tcPr>
            <w:tcW w:w="2748" w:type="dxa"/>
            <w:tcBorders>
              <w:top w:val="nil"/>
              <w:left w:val="single" w:sz="18" w:space="0" w:color="auto"/>
              <w:bottom w:val="nil"/>
              <w:right w:val="single" w:sz="18" w:space="0" w:color="auto"/>
            </w:tcBorders>
            <w:shd w:val="clear" w:color="auto" w:fill="FFFFD9"/>
          </w:tcPr>
          <w:p w:rsidR="00000000" w:rsidRDefault="00000000">
            <w:pPr>
              <w:spacing w:line="320" w:lineRule="exact"/>
              <w:ind w:left="340"/>
              <w:rPr>
                <w:sz w:val="20"/>
                <w:szCs w:val="22"/>
                <w:lang w:val="es-ES_tradnl"/>
              </w:rPr>
            </w:pPr>
            <w:r>
              <w:rPr>
                <w:sz w:val="20"/>
                <w:szCs w:val="22"/>
                <w:lang w:val="es-ES_tradnl"/>
              </w:rPr>
              <w:t>荷兰</w:t>
            </w:r>
          </w:p>
        </w:tc>
        <w:tc>
          <w:tcPr>
            <w:tcW w:w="2205" w:type="dxa"/>
            <w:tcBorders>
              <w:top w:val="nil"/>
              <w:left w:val="single" w:sz="18" w:space="0" w:color="auto"/>
              <w:bottom w:val="nil"/>
              <w:right w:val="single" w:sz="18" w:space="0" w:color="auto"/>
            </w:tcBorders>
            <w:shd w:val="clear" w:color="auto" w:fill="FFFFD9"/>
          </w:tcPr>
          <w:p w:rsidR="00000000" w:rsidRDefault="00000000">
            <w:pPr>
              <w:tabs>
                <w:tab w:val="right" w:pos="1418"/>
              </w:tabs>
              <w:spacing w:line="320" w:lineRule="exact"/>
              <w:jc w:val="center"/>
              <w:rPr>
                <w:sz w:val="20"/>
                <w:szCs w:val="22"/>
                <w:lang w:val="es-ES_tradnl"/>
              </w:rPr>
            </w:pPr>
            <w:r>
              <w:rPr>
                <w:sz w:val="20"/>
                <w:szCs w:val="22"/>
                <w:lang w:val="es-ES_tradnl"/>
              </w:rPr>
              <w:t>82</w:t>
            </w:r>
          </w:p>
        </w:tc>
        <w:tc>
          <w:tcPr>
            <w:tcW w:w="3075" w:type="dxa"/>
            <w:tcBorders>
              <w:top w:val="nil"/>
              <w:left w:val="single" w:sz="18" w:space="0" w:color="auto"/>
              <w:bottom w:val="nil"/>
            </w:tcBorders>
            <w:shd w:val="clear" w:color="auto" w:fill="FFFFD9"/>
          </w:tcPr>
          <w:p w:rsidR="00000000" w:rsidRDefault="00000000">
            <w:pPr>
              <w:tabs>
                <w:tab w:val="right" w:pos="1418"/>
              </w:tabs>
              <w:spacing w:line="320" w:lineRule="exact"/>
              <w:jc w:val="center"/>
              <w:rPr>
                <w:sz w:val="20"/>
                <w:szCs w:val="22"/>
                <w:lang w:val="es-ES_tradnl"/>
              </w:rPr>
            </w:pPr>
            <w:r>
              <w:rPr>
                <w:sz w:val="20"/>
                <w:szCs w:val="22"/>
                <w:lang w:val="es-ES_tradnl"/>
              </w:rPr>
              <w:t>5.64</w:t>
            </w:r>
          </w:p>
        </w:tc>
      </w:tr>
      <w:tr w:rsidR="00000000">
        <w:trPr>
          <w:trHeight w:val="20"/>
        </w:trPr>
        <w:tc>
          <w:tcPr>
            <w:tcW w:w="720" w:type="dxa"/>
            <w:tcBorders>
              <w:top w:val="nil"/>
              <w:bottom w:val="nil"/>
              <w:right w:val="single" w:sz="18" w:space="0" w:color="auto"/>
            </w:tcBorders>
            <w:shd w:val="clear" w:color="auto" w:fill="FFFFD9"/>
          </w:tcPr>
          <w:p w:rsidR="00000000" w:rsidRDefault="00000000">
            <w:pPr>
              <w:numPr>
                <w:ilvl w:val="0"/>
                <w:numId w:val="121"/>
              </w:numPr>
              <w:spacing w:line="320" w:lineRule="exact"/>
              <w:rPr>
                <w:sz w:val="20"/>
                <w:szCs w:val="22"/>
              </w:rPr>
            </w:pPr>
          </w:p>
        </w:tc>
        <w:tc>
          <w:tcPr>
            <w:tcW w:w="2748" w:type="dxa"/>
            <w:tcBorders>
              <w:top w:val="nil"/>
              <w:left w:val="single" w:sz="18" w:space="0" w:color="auto"/>
              <w:bottom w:val="nil"/>
              <w:right w:val="single" w:sz="18" w:space="0" w:color="auto"/>
            </w:tcBorders>
            <w:shd w:val="clear" w:color="auto" w:fill="FFFFD9"/>
          </w:tcPr>
          <w:p w:rsidR="00000000" w:rsidRDefault="00000000">
            <w:pPr>
              <w:spacing w:line="320" w:lineRule="exact"/>
              <w:ind w:left="340"/>
              <w:rPr>
                <w:sz w:val="20"/>
                <w:szCs w:val="22"/>
                <w:lang w:val="es-ES_tradnl"/>
              </w:rPr>
            </w:pPr>
            <w:r>
              <w:rPr>
                <w:sz w:val="20"/>
                <w:szCs w:val="22"/>
              </w:rPr>
              <w:t>乌拉圭</w:t>
            </w:r>
          </w:p>
        </w:tc>
        <w:tc>
          <w:tcPr>
            <w:tcW w:w="2205" w:type="dxa"/>
            <w:tcBorders>
              <w:top w:val="nil"/>
              <w:left w:val="single" w:sz="18" w:space="0" w:color="auto"/>
              <w:bottom w:val="nil"/>
              <w:right w:val="single" w:sz="18" w:space="0" w:color="auto"/>
            </w:tcBorders>
            <w:shd w:val="clear" w:color="auto" w:fill="FFFFD9"/>
          </w:tcPr>
          <w:p w:rsidR="00000000" w:rsidRDefault="00000000">
            <w:pPr>
              <w:tabs>
                <w:tab w:val="right" w:pos="1418"/>
              </w:tabs>
              <w:spacing w:line="320" w:lineRule="exact"/>
              <w:jc w:val="center"/>
              <w:rPr>
                <w:sz w:val="20"/>
                <w:szCs w:val="22"/>
                <w:lang w:val="es-ES_tradnl"/>
              </w:rPr>
            </w:pPr>
            <w:r>
              <w:rPr>
                <w:sz w:val="20"/>
                <w:szCs w:val="22"/>
              </w:rPr>
              <w:t>79</w:t>
            </w:r>
          </w:p>
        </w:tc>
        <w:tc>
          <w:tcPr>
            <w:tcW w:w="3075" w:type="dxa"/>
            <w:tcBorders>
              <w:top w:val="nil"/>
              <w:left w:val="single" w:sz="18" w:space="0" w:color="auto"/>
              <w:bottom w:val="nil"/>
            </w:tcBorders>
            <w:shd w:val="clear" w:color="auto" w:fill="FFFFD9"/>
          </w:tcPr>
          <w:p w:rsidR="00000000" w:rsidRDefault="00000000">
            <w:pPr>
              <w:tabs>
                <w:tab w:val="right" w:pos="1418"/>
              </w:tabs>
              <w:spacing w:line="320" w:lineRule="exact"/>
              <w:jc w:val="center"/>
              <w:rPr>
                <w:sz w:val="20"/>
                <w:szCs w:val="22"/>
                <w:lang w:val="es-ES_tradnl"/>
              </w:rPr>
            </w:pPr>
            <w:r>
              <w:rPr>
                <w:sz w:val="20"/>
                <w:szCs w:val="22"/>
              </w:rPr>
              <w:t>5.44</w:t>
            </w:r>
          </w:p>
        </w:tc>
      </w:tr>
      <w:tr w:rsidR="00000000">
        <w:trPr>
          <w:trHeight w:val="20"/>
        </w:trPr>
        <w:tc>
          <w:tcPr>
            <w:tcW w:w="720" w:type="dxa"/>
            <w:tcBorders>
              <w:top w:val="nil"/>
              <w:bottom w:val="nil"/>
              <w:right w:val="single" w:sz="18" w:space="0" w:color="auto"/>
            </w:tcBorders>
            <w:shd w:val="clear" w:color="auto" w:fill="FFFFD9"/>
          </w:tcPr>
          <w:p w:rsidR="00000000" w:rsidRDefault="00000000">
            <w:pPr>
              <w:numPr>
                <w:ilvl w:val="0"/>
                <w:numId w:val="121"/>
              </w:numPr>
              <w:spacing w:line="320" w:lineRule="exact"/>
              <w:rPr>
                <w:sz w:val="20"/>
                <w:szCs w:val="22"/>
              </w:rPr>
            </w:pPr>
          </w:p>
        </w:tc>
        <w:tc>
          <w:tcPr>
            <w:tcW w:w="2748" w:type="dxa"/>
            <w:tcBorders>
              <w:top w:val="nil"/>
              <w:left w:val="single" w:sz="18" w:space="0" w:color="auto"/>
              <w:bottom w:val="nil"/>
              <w:right w:val="single" w:sz="18" w:space="0" w:color="auto"/>
            </w:tcBorders>
            <w:shd w:val="clear" w:color="auto" w:fill="FFFFD9"/>
          </w:tcPr>
          <w:p w:rsidR="00000000" w:rsidRDefault="00000000">
            <w:pPr>
              <w:spacing w:line="320" w:lineRule="exact"/>
              <w:ind w:left="340"/>
              <w:rPr>
                <w:sz w:val="20"/>
                <w:szCs w:val="22"/>
                <w:lang w:val="es-ES_tradnl"/>
              </w:rPr>
            </w:pPr>
            <w:r>
              <w:rPr>
                <w:sz w:val="20"/>
                <w:szCs w:val="22"/>
              </w:rPr>
              <w:t>乌兹别克斯坦</w:t>
            </w:r>
          </w:p>
        </w:tc>
        <w:tc>
          <w:tcPr>
            <w:tcW w:w="2205" w:type="dxa"/>
            <w:tcBorders>
              <w:top w:val="nil"/>
              <w:left w:val="single" w:sz="18" w:space="0" w:color="auto"/>
              <w:bottom w:val="nil"/>
              <w:right w:val="single" w:sz="18" w:space="0" w:color="auto"/>
            </w:tcBorders>
            <w:shd w:val="clear" w:color="auto" w:fill="FFFFD9"/>
          </w:tcPr>
          <w:p w:rsidR="00000000" w:rsidRDefault="00000000">
            <w:pPr>
              <w:tabs>
                <w:tab w:val="right" w:pos="1418"/>
              </w:tabs>
              <w:spacing w:line="320" w:lineRule="exact"/>
              <w:jc w:val="center"/>
              <w:rPr>
                <w:sz w:val="20"/>
                <w:szCs w:val="22"/>
                <w:lang w:val="es-ES_tradnl"/>
              </w:rPr>
            </w:pPr>
            <w:r>
              <w:rPr>
                <w:sz w:val="20"/>
                <w:szCs w:val="22"/>
              </w:rPr>
              <w:t>71</w:t>
            </w:r>
          </w:p>
        </w:tc>
        <w:tc>
          <w:tcPr>
            <w:tcW w:w="3075" w:type="dxa"/>
            <w:tcBorders>
              <w:top w:val="nil"/>
              <w:left w:val="single" w:sz="18" w:space="0" w:color="auto"/>
              <w:bottom w:val="nil"/>
            </w:tcBorders>
            <w:shd w:val="clear" w:color="auto" w:fill="FFFFD9"/>
          </w:tcPr>
          <w:p w:rsidR="00000000" w:rsidRDefault="00000000">
            <w:pPr>
              <w:tabs>
                <w:tab w:val="right" w:pos="1418"/>
              </w:tabs>
              <w:spacing w:line="320" w:lineRule="exact"/>
              <w:jc w:val="center"/>
              <w:rPr>
                <w:sz w:val="20"/>
                <w:szCs w:val="22"/>
                <w:lang w:val="es-ES_tradnl"/>
              </w:rPr>
            </w:pPr>
            <w:r>
              <w:rPr>
                <w:sz w:val="20"/>
                <w:szCs w:val="22"/>
              </w:rPr>
              <w:t>4.89</w:t>
            </w:r>
          </w:p>
        </w:tc>
      </w:tr>
      <w:tr w:rsidR="00000000">
        <w:trPr>
          <w:trHeight w:val="20"/>
        </w:trPr>
        <w:tc>
          <w:tcPr>
            <w:tcW w:w="720" w:type="dxa"/>
            <w:tcBorders>
              <w:top w:val="nil"/>
              <w:bottom w:val="single" w:sz="18" w:space="0" w:color="auto"/>
              <w:right w:val="single" w:sz="18" w:space="0" w:color="auto"/>
            </w:tcBorders>
            <w:shd w:val="clear" w:color="auto" w:fill="FFFFD9"/>
          </w:tcPr>
          <w:p w:rsidR="00000000" w:rsidRDefault="00000000">
            <w:pPr>
              <w:numPr>
                <w:ilvl w:val="0"/>
                <w:numId w:val="121"/>
              </w:numPr>
              <w:spacing w:line="320" w:lineRule="exact"/>
              <w:rPr>
                <w:sz w:val="20"/>
                <w:szCs w:val="22"/>
              </w:rPr>
            </w:pPr>
          </w:p>
        </w:tc>
        <w:tc>
          <w:tcPr>
            <w:tcW w:w="2748" w:type="dxa"/>
            <w:tcBorders>
              <w:top w:val="nil"/>
              <w:left w:val="single" w:sz="18" w:space="0" w:color="auto"/>
              <w:bottom w:val="single" w:sz="18" w:space="0" w:color="auto"/>
              <w:right w:val="single" w:sz="18" w:space="0" w:color="auto"/>
            </w:tcBorders>
            <w:shd w:val="clear" w:color="auto" w:fill="FFFFD9"/>
          </w:tcPr>
          <w:p w:rsidR="00000000" w:rsidRDefault="00000000">
            <w:pPr>
              <w:spacing w:line="320" w:lineRule="exact"/>
              <w:ind w:left="340"/>
              <w:rPr>
                <w:rFonts w:hint="eastAsia"/>
                <w:sz w:val="20"/>
                <w:szCs w:val="22"/>
                <w:lang w:val="es-ES_tradnl"/>
              </w:rPr>
            </w:pPr>
            <w:r>
              <w:rPr>
                <w:sz w:val="20"/>
                <w:szCs w:val="22"/>
              </w:rPr>
              <w:t>法国</w:t>
            </w:r>
          </w:p>
        </w:tc>
        <w:tc>
          <w:tcPr>
            <w:tcW w:w="2205" w:type="dxa"/>
            <w:tcBorders>
              <w:top w:val="nil"/>
              <w:left w:val="single" w:sz="18" w:space="0" w:color="auto"/>
              <w:bottom w:val="single" w:sz="18" w:space="0" w:color="auto"/>
              <w:right w:val="single" w:sz="18" w:space="0" w:color="auto"/>
            </w:tcBorders>
            <w:shd w:val="clear" w:color="auto" w:fill="FFFFD9"/>
          </w:tcPr>
          <w:p w:rsidR="00000000" w:rsidRDefault="00000000">
            <w:pPr>
              <w:tabs>
                <w:tab w:val="right" w:pos="1418"/>
              </w:tabs>
              <w:spacing w:line="320" w:lineRule="exact"/>
              <w:jc w:val="center"/>
              <w:rPr>
                <w:sz w:val="20"/>
                <w:szCs w:val="22"/>
                <w:lang w:val="es-ES_tradnl"/>
              </w:rPr>
            </w:pPr>
            <w:r>
              <w:rPr>
                <w:sz w:val="20"/>
                <w:szCs w:val="22"/>
              </w:rPr>
              <w:t>66</w:t>
            </w:r>
          </w:p>
        </w:tc>
        <w:tc>
          <w:tcPr>
            <w:tcW w:w="3075" w:type="dxa"/>
            <w:tcBorders>
              <w:top w:val="nil"/>
              <w:left w:val="single" w:sz="18" w:space="0" w:color="auto"/>
              <w:bottom w:val="single" w:sz="18" w:space="0" w:color="auto"/>
            </w:tcBorders>
            <w:shd w:val="clear" w:color="auto" w:fill="FFFFD9"/>
          </w:tcPr>
          <w:p w:rsidR="00000000" w:rsidRDefault="00000000">
            <w:pPr>
              <w:tabs>
                <w:tab w:val="right" w:pos="1418"/>
              </w:tabs>
              <w:spacing w:line="320" w:lineRule="exact"/>
              <w:jc w:val="center"/>
              <w:rPr>
                <w:sz w:val="20"/>
                <w:szCs w:val="22"/>
                <w:lang w:val="es-ES_tradnl"/>
              </w:rPr>
            </w:pPr>
            <w:r>
              <w:rPr>
                <w:sz w:val="20"/>
                <w:szCs w:val="22"/>
              </w:rPr>
              <w:t>4.54</w:t>
            </w:r>
          </w:p>
        </w:tc>
      </w:tr>
      <w:tr w:rsidR="00000000">
        <w:trPr>
          <w:trHeight w:val="20"/>
        </w:trPr>
        <w:tc>
          <w:tcPr>
            <w:tcW w:w="720" w:type="dxa"/>
            <w:tcBorders>
              <w:top w:val="single" w:sz="18" w:space="0" w:color="auto"/>
              <w:bottom w:val="single" w:sz="18" w:space="0" w:color="auto"/>
              <w:right w:val="single" w:sz="18" w:space="0" w:color="auto"/>
            </w:tcBorders>
            <w:shd w:val="clear" w:color="auto" w:fill="E1FFE1"/>
          </w:tcPr>
          <w:p w:rsidR="00000000" w:rsidRDefault="00000000">
            <w:pPr>
              <w:spacing w:line="320" w:lineRule="exact"/>
              <w:rPr>
                <w:sz w:val="20"/>
                <w:szCs w:val="22"/>
              </w:rPr>
            </w:pPr>
          </w:p>
        </w:tc>
        <w:tc>
          <w:tcPr>
            <w:tcW w:w="2748"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spacing w:line="320" w:lineRule="exact"/>
              <w:jc w:val="center"/>
              <w:rPr>
                <w:rFonts w:hint="eastAsia"/>
                <w:b/>
                <w:bCs/>
                <w:sz w:val="20"/>
                <w:szCs w:val="22"/>
              </w:rPr>
            </w:pPr>
            <w:r>
              <w:rPr>
                <w:rFonts w:hint="eastAsia"/>
                <w:b/>
                <w:bCs/>
                <w:sz w:val="20"/>
                <w:szCs w:val="22"/>
              </w:rPr>
              <w:t>合</w:t>
            </w:r>
            <w:r>
              <w:rPr>
                <w:rFonts w:hint="eastAsia"/>
                <w:b/>
                <w:bCs/>
                <w:sz w:val="20"/>
                <w:szCs w:val="22"/>
              </w:rPr>
              <w:t xml:space="preserve">  </w:t>
            </w:r>
            <w:r>
              <w:rPr>
                <w:rFonts w:hint="eastAsia"/>
                <w:b/>
                <w:bCs/>
                <w:sz w:val="20"/>
                <w:szCs w:val="22"/>
              </w:rPr>
              <w:t>计</w:t>
            </w:r>
          </w:p>
        </w:tc>
        <w:tc>
          <w:tcPr>
            <w:tcW w:w="2205"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tabs>
                <w:tab w:val="right" w:pos="1418"/>
              </w:tabs>
              <w:spacing w:line="320" w:lineRule="exact"/>
              <w:jc w:val="center"/>
              <w:rPr>
                <w:b/>
                <w:bCs/>
                <w:sz w:val="20"/>
                <w:szCs w:val="22"/>
              </w:rPr>
            </w:pPr>
            <w:r>
              <w:rPr>
                <w:b/>
                <w:bCs/>
                <w:sz w:val="20"/>
                <w:szCs w:val="22"/>
              </w:rPr>
              <w:t>784</w:t>
            </w:r>
          </w:p>
        </w:tc>
        <w:tc>
          <w:tcPr>
            <w:tcW w:w="3075" w:type="dxa"/>
            <w:tcBorders>
              <w:top w:val="single" w:sz="18" w:space="0" w:color="auto"/>
              <w:left w:val="single" w:sz="18" w:space="0" w:color="auto"/>
              <w:bottom w:val="single" w:sz="18" w:space="0" w:color="auto"/>
            </w:tcBorders>
            <w:shd w:val="clear" w:color="auto" w:fill="E1FFE1"/>
          </w:tcPr>
          <w:p w:rsidR="00000000" w:rsidRDefault="00000000">
            <w:pPr>
              <w:tabs>
                <w:tab w:val="right" w:pos="1418"/>
              </w:tabs>
              <w:spacing w:line="320" w:lineRule="exact"/>
              <w:jc w:val="center"/>
              <w:rPr>
                <w:b/>
                <w:bCs/>
                <w:sz w:val="20"/>
                <w:szCs w:val="22"/>
              </w:rPr>
            </w:pPr>
            <w:r>
              <w:rPr>
                <w:b/>
                <w:bCs/>
                <w:sz w:val="20"/>
                <w:szCs w:val="22"/>
              </w:rPr>
              <w:t>53.95</w:t>
            </w:r>
          </w:p>
        </w:tc>
      </w:tr>
    </w:tbl>
    <w:p w:rsidR="00000000" w:rsidRDefault="00000000">
      <w:pPr>
        <w:spacing w:line="320" w:lineRule="exact"/>
        <w:jc w:val="center"/>
        <w:rPr>
          <w:b/>
          <w:bCs/>
          <w:sz w:val="22"/>
          <w:szCs w:val="22"/>
        </w:rPr>
      </w:pPr>
    </w:p>
    <w:p w:rsidR="00000000" w:rsidRDefault="00000000">
      <w:pPr>
        <w:spacing w:line="320" w:lineRule="exact"/>
        <w:rPr>
          <w:sz w:val="22"/>
          <w:szCs w:val="22"/>
        </w:rPr>
      </w:pPr>
    </w:p>
    <w:tbl>
      <w:tblPr>
        <w:tblW w:w="87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720"/>
        <w:gridCol w:w="2745"/>
        <w:gridCol w:w="2205"/>
        <w:gridCol w:w="3090"/>
      </w:tblGrid>
      <w:tr w:rsidR="00000000">
        <w:trPr>
          <w:trHeight w:val="20"/>
        </w:trPr>
        <w:tc>
          <w:tcPr>
            <w:tcW w:w="8760" w:type="dxa"/>
            <w:gridSpan w:val="4"/>
            <w:tcBorders>
              <w:top w:val="single" w:sz="18" w:space="0" w:color="auto"/>
              <w:bottom w:val="nil"/>
            </w:tcBorders>
            <w:shd w:val="clear" w:color="auto" w:fill="E1F4FF"/>
            <w:vAlign w:val="center"/>
          </w:tcPr>
          <w:p w:rsidR="00000000" w:rsidRDefault="00000000">
            <w:pPr>
              <w:tabs>
                <w:tab w:val="right" w:pos="5103"/>
              </w:tabs>
              <w:spacing w:line="320" w:lineRule="exact"/>
              <w:rPr>
                <w:sz w:val="20"/>
                <w:szCs w:val="22"/>
              </w:rPr>
            </w:pPr>
            <w:r>
              <w:rPr>
                <w:rFonts w:hint="eastAsia"/>
                <w:sz w:val="20"/>
                <w:szCs w:val="22"/>
              </w:rPr>
              <w:t>禁止酷刑委员会登记的案件总数</w:t>
            </w:r>
            <w:r>
              <w:rPr>
                <w:sz w:val="20"/>
                <w:szCs w:val="22"/>
              </w:rPr>
              <w:tab/>
              <w:t>288</w:t>
            </w:r>
          </w:p>
        </w:tc>
      </w:tr>
      <w:tr w:rsidR="00000000">
        <w:trPr>
          <w:trHeight w:val="20"/>
        </w:trPr>
        <w:tc>
          <w:tcPr>
            <w:tcW w:w="8760" w:type="dxa"/>
            <w:gridSpan w:val="4"/>
            <w:tcBorders>
              <w:top w:val="nil"/>
              <w:bottom w:val="nil"/>
            </w:tcBorders>
            <w:shd w:val="clear" w:color="auto" w:fill="E1F4FF"/>
            <w:vAlign w:val="center"/>
          </w:tcPr>
          <w:p w:rsidR="00000000" w:rsidRDefault="00000000">
            <w:pPr>
              <w:tabs>
                <w:tab w:val="right" w:pos="5103"/>
              </w:tabs>
              <w:spacing w:line="320" w:lineRule="exact"/>
              <w:rPr>
                <w:sz w:val="20"/>
                <w:szCs w:val="22"/>
              </w:rPr>
            </w:pPr>
            <w:r>
              <w:rPr>
                <w:rFonts w:hint="eastAsia"/>
                <w:sz w:val="20"/>
                <w:szCs w:val="22"/>
              </w:rPr>
              <w:t>尚未处理的案件</w:t>
            </w:r>
            <w:r>
              <w:rPr>
                <w:sz w:val="20"/>
                <w:szCs w:val="22"/>
              </w:rPr>
              <w:tab/>
              <w:t>41</w:t>
            </w:r>
          </w:p>
        </w:tc>
      </w:tr>
      <w:tr w:rsidR="00000000">
        <w:trPr>
          <w:trHeight w:val="20"/>
        </w:trPr>
        <w:tc>
          <w:tcPr>
            <w:tcW w:w="8760" w:type="dxa"/>
            <w:gridSpan w:val="4"/>
            <w:tcBorders>
              <w:top w:val="nil"/>
              <w:bottom w:val="single" w:sz="18" w:space="0" w:color="auto"/>
            </w:tcBorders>
            <w:shd w:val="clear" w:color="auto" w:fill="EBFFFF"/>
            <w:vAlign w:val="center"/>
          </w:tcPr>
          <w:p w:rsidR="00000000" w:rsidRDefault="00000000">
            <w:pPr>
              <w:spacing w:line="320" w:lineRule="exact"/>
              <w:jc w:val="center"/>
              <w:rPr>
                <w:rFonts w:hint="eastAsia"/>
                <w:b/>
                <w:bCs/>
                <w:sz w:val="20"/>
                <w:szCs w:val="22"/>
              </w:rPr>
            </w:pPr>
            <w:r>
              <w:rPr>
                <w:rFonts w:hint="eastAsia"/>
                <w:b/>
                <w:bCs/>
                <w:sz w:val="20"/>
                <w:szCs w:val="22"/>
              </w:rPr>
              <w:t>登记的比例最高的国家</w:t>
            </w:r>
          </w:p>
        </w:tc>
      </w:tr>
      <w:tr w:rsidR="00000000">
        <w:trPr>
          <w:trHeight w:val="20"/>
        </w:trPr>
        <w:tc>
          <w:tcPr>
            <w:tcW w:w="720" w:type="dxa"/>
            <w:tcBorders>
              <w:top w:val="single" w:sz="18" w:space="0" w:color="auto"/>
              <w:bottom w:val="single" w:sz="18" w:space="0" w:color="auto"/>
              <w:right w:val="single" w:sz="18" w:space="0" w:color="auto"/>
            </w:tcBorders>
            <w:shd w:val="clear" w:color="auto" w:fill="E1FFE1"/>
          </w:tcPr>
          <w:p w:rsidR="00000000" w:rsidRDefault="00000000">
            <w:pPr>
              <w:spacing w:line="320" w:lineRule="exact"/>
              <w:rPr>
                <w:sz w:val="20"/>
                <w:szCs w:val="22"/>
              </w:rPr>
            </w:pPr>
          </w:p>
        </w:tc>
        <w:tc>
          <w:tcPr>
            <w:tcW w:w="2745"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spacing w:line="320" w:lineRule="exact"/>
              <w:jc w:val="center"/>
              <w:rPr>
                <w:rFonts w:hint="eastAsia"/>
                <w:sz w:val="20"/>
                <w:szCs w:val="22"/>
                <w:lang w:val="es-ES_tradnl"/>
              </w:rPr>
            </w:pPr>
            <w:r>
              <w:rPr>
                <w:rFonts w:hint="eastAsia"/>
                <w:sz w:val="20"/>
                <w:szCs w:val="22"/>
                <w:lang w:val="es-ES_tradnl"/>
              </w:rPr>
              <w:t>缔约国</w:t>
            </w:r>
          </w:p>
        </w:tc>
        <w:tc>
          <w:tcPr>
            <w:tcW w:w="2205"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spacing w:line="320" w:lineRule="exact"/>
              <w:jc w:val="center"/>
              <w:rPr>
                <w:rFonts w:hint="eastAsia"/>
                <w:sz w:val="20"/>
                <w:szCs w:val="22"/>
              </w:rPr>
            </w:pPr>
            <w:r>
              <w:rPr>
                <w:rFonts w:hint="eastAsia"/>
                <w:sz w:val="20"/>
                <w:szCs w:val="22"/>
              </w:rPr>
              <w:t>登记的案件数</w:t>
            </w:r>
          </w:p>
        </w:tc>
        <w:tc>
          <w:tcPr>
            <w:tcW w:w="3090" w:type="dxa"/>
            <w:tcBorders>
              <w:top w:val="single" w:sz="18" w:space="0" w:color="auto"/>
              <w:left w:val="single" w:sz="18" w:space="0" w:color="auto"/>
              <w:bottom w:val="single" w:sz="18" w:space="0" w:color="auto"/>
            </w:tcBorders>
            <w:shd w:val="clear" w:color="auto" w:fill="E1FFE1"/>
          </w:tcPr>
          <w:p w:rsidR="00000000" w:rsidRDefault="00000000">
            <w:pPr>
              <w:spacing w:line="320" w:lineRule="exact"/>
              <w:jc w:val="center"/>
              <w:rPr>
                <w:rFonts w:hint="eastAsia"/>
                <w:sz w:val="20"/>
                <w:szCs w:val="22"/>
              </w:rPr>
            </w:pPr>
            <w:r>
              <w:rPr>
                <w:rFonts w:hint="eastAsia"/>
                <w:sz w:val="20"/>
                <w:szCs w:val="22"/>
              </w:rPr>
              <w:t>占登记案件总数的百分比</w:t>
            </w:r>
          </w:p>
        </w:tc>
      </w:tr>
      <w:tr w:rsidR="00000000">
        <w:trPr>
          <w:trHeight w:val="20"/>
        </w:trPr>
        <w:tc>
          <w:tcPr>
            <w:tcW w:w="720" w:type="dxa"/>
            <w:tcBorders>
              <w:top w:val="single" w:sz="18" w:space="0" w:color="auto"/>
              <w:bottom w:val="nil"/>
              <w:right w:val="single" w:sz="18" w:space="0" w:color="auto"/>
            </w:tcBorders>
            <w:shd w:val="clear" w:color="auto" w:fill="FFFFD9"/>
          </w:tcPr>
          <w:p w:rsidR="00000000" w:rsidRDefault="00000000">
            <w:pPr>
              <w:spacing w:line="320" w:lineRule="exact"/>
              <w:rPr>
                <w:sz w:val="20"/>
                <w:szCs w:val="22"/>
              </w:rPr>
            </w:pPr>
            <w:r>
              <w:rPr>
                <w:sz w:val="20"/>
                <w:szCs w:val="22"/>
              </w:rPr>
              <w:t>1.</w:t>
            </w:r>
          </w:p>
        </w:tc>
        <w:tc>
          <w:tcPr>
            <w:tcW w:w="2745" w:type="dxa"/>
            <w:tcBorders>
              <w:top w:val="single" w:sz="18" w:space="0" w:color="auto"/>
              <w:left w:val="single" w:sz="18" w:space="0" w:color="auto"/>
              <w:bottom w:val="nil"/>
              <w:right w:val="single" w:sz="18" w:space="0" w:color="auto"/>
            </w:tcBorders>
            <w:shd w:val="clear" w:color="auto" w:fill="FFFFD9"/>
          </w:tcPr>
          <w:p w:rsidR="00000000" w:rsidRDefault="00000000">
            <w:pPr>
              <w:spacing w:line="320" w:lineRule="exact"/>
              <w:ind w:left="340"/>
              <w:rPr>
                <w:sz w:val="20"/>
                <w:szCs w:val="22"/>
              </w:rPr>
            </w:pPr>
            <w:r>
              <w:rPr>
                <w:sz w:val="20"/>
                <w:szCs w:val="22"/>
              </w:rPr>
              <w:t>瑞典</w:t>
            </w:r>
          </w:p>
        </w:tc>
        <w:tc>
          <w:tcPr>
            <w:tcW w:w="2205" w:type="dxa"/>
            <w:tcBorders>
              <w:top w:val="single" w:sz="18" w:space="0" w:color="auto"/>
              <w:left w:val="single" w:sz="18" w:space="0" w:color="auto"/>
              <w:bottom w:val="nil"/>
              <w:right w:val="single" w:sz="18" w:space="0" w:color="auto"/>
            </w:tcBorders>
            <w:shd w:val="clear" w:color="auto" w:fill="FFFFD9"/>
          </w:tcPr>
          <w:p w:rsidR="00000000" w:rsidRDefault="00000000">
            <w:pPr>
              <w:tabs>
                <w:tab w:val="right" w:pos="1418"/>
              </w:tabs>
              <w:spacing w:line="320" w:lineRule="exact"/>
              <w:jc w:val="center"/>
              <w:rPr>
                <w:sz w:val="20"/>
                <w:szCs w:val="22"/>
              </w:rPr>
            </w:pPr>
            <w:r>
              <w:rPr>
                <w:sz w:val="20"/>
                <w:szCs w:val="22"/>
              </w:rPr>
              <w:t>66</w:t>
            </w:r>
          </w:p>
        </w:tc>
        <w:tc>
          <w:tcPr>
            <w:tcW w:w="3090" w:type="dxa"/>
            <w:tcBorders>
              <w:top w:val="single" w:sz="18" w:space="0" w:color="auto"/>
              <w:left w:val="single" w:sz="18" w:space="0" w:color="auto"/>
              <w:bottom w:val="nil"/>
            </w:tcBorders>
            <w:shd w:val="clear" w:color="auto" w:fill="FFFFD9"/>
          </w:tcPr>
          <w:p w:rsidR="00000000" w:rsidRDefault="00000000">
            <w:pPr>
              <w:tabs>
                <w:tab w:val="right" w:pos="1418"/>
              </w:tabs>
              <w:spacing w:line="320" w:lineRule="exact"/>
              <w:jc w:val="center"/>
              <w:rPr>
                <w:sz w:val="20"/>
                <w:szCs w:val="22"/>
              </w:rPr>
            </w:pPr>
            <w:r>
              <w:rPr>
                <w:sz w:val="20"/>
                <w:szCs w:val="22"/>
              </w:rPr>
              <w:t>22.92</w:t>
            </w:r>
          </w:p>
        </w:tc>
      </w:tr>
      <w:tr w:rsidR="00000000">
        <w:trPr>
          <w:trHeight w:val="20"/>
        </w:trPr>
        <w:tc>
          <w:tcPr>
            <w:tcW w:w="720" w:type="dxa"/>
            <w:tcBorders>
              <w:top w:val="nil"/>
              <w:bottom w:val="nil"/>
              <w:right w:val="single" w:sz="18" w:space="0" w:color="auto"/>
            </w:tcBorders>
            <w:shd w:val="clear" w:color="auto" w:fill="FFFFD9"/>
          </w:tcPr>
          <w:p w:rsidR="00000000" w:rsidRDefault="00000000">
            <w:pPr>
              <w:spacing w:line="320" w:lineRule="exact"/>
              <w:rPr>
                <w:sz w:val="20"/>
                <w:szCs w:val="22"/>
              </w:rPr>
            </w:pPr>
            <w:r>
              <w:rPr>
                <w:sz w:val="20"/>
                <w:szCs w:val="22"/>
              </w:rPr>
              <w:t>2.</w:t>
            </w:r>
          </w:p>
        </w:tc>
        <w:tc>
          <w:tcPr>
            <w:tcW w:w="2745" w:type="dxa"/>
            <w:tcBorders>
              <w:top w:val="nil"/>
              <w:left w:val="single" w:sz="18" w:space="0" w:color="auto"/>
              <w:bottom w:val="nil"/>
              <w:right w:val="single" w:sz="18" w:space="0" w:color="auto"/>
            </w:tcBorders>
            <w:shd w:val="clear" w:color="auto" w:fill="FFFFD9"/>
          </w:tcPr>
          <w:p w:rsidR="00000000" w:rsidRDefault="00000000">
            <w:pPr>
              <w:spacing w:line="320" w:lineRule="exact"/>
              <w:ind w:left="340"/>
              <w:rPr>
                <w:sz w:val="20"/>
                <w:szCs w:val="22"/>
              </w:rPr>
            </w:pPr>
            <w:r>
              <w:rPr>
                <w:sz w:val="20"/>
                <w:szCs w:val="22"/>
              </w:rPr>
              <w:t>瑞士</w:t>
            </w:r>
          </w:p>
        </w:tc>
        <w:tc>
          <w:tcPr>
            <w:tcW w:w="2205" w:type="dxa"/>
            <w:tcBorders>
              <w:top w:val="nil"/>
              <w:left w:val="single" w:sz="18" w:space="0" w:color="auto"/>
              <w:bottom w:val="nil"/>
              <w:right w:val="single" w:sz="18" w:space="0" w:color="auto"/>
            </w:tcBorders>
            <w:shd w:val="clear" w:color="auto" w:fill="FFFFD9"/>
          </w:tcPr>
          <w:p w:rsidR="00000000" w:rsidRDefault="00000000">
            <w:pPr>
              <w:tabs>
                <w:tab w:val="right" w:pos="1418"/>
              </w:tabs>
              <w:spacing w:line="320" w:lineRule="exact"/>
              <w:jc w:val="center"/>
              <w:rPr>
                <w:sz w:val="20"/>
                <w:szCs w:val="22"/>
              </w:rPr>
            </w:pPr>
            <w:r>
              <w:rPr>
                <w:sz w:val="20"/>
                <w:szCs w:val="22"/>
              </w:rPr>
              <w:t>56</w:t>
            </w:r>
          </w:p>
        </w:tc>
        <w:tc>
          <w:tcPr>
            <w:tcW w:w="3090" w:type="dxa"/>
            <w:tcBorders>
              <w:top w:val="nil"/>
              <w:left w:val="single" w:sz="18" w:space="0" w:color="auto"/>
              <w:bottom w:val="nil"/>
            </w:tcBorders>
            <w:shd w:val="clear" w:color="auto" w:fill="FFFFD9"/>
          </w:tcPr>
          <w:p w:rsidR="00000000" w:rsidRDefault="00000000">
            <w:pPr>
              <w:tabs>
                <w:tab w:val="right" w:pos="1418"/>
              </w:tabs>
              <w:spacing w:line="320" w:lineRule="exact"/>
              <w:jc w:val="center"/>
              <w:rPr>
                <w:sz w:val="20"/>
                <w:szCs w:val="22"/>
              </w:rPr>
            </w:pPr>
            <w:r>
              <w:rPr>
                <w:sz w:val="20"/>
                <w:szCs w:val="22"/>
              </w:rPr>
              <w:t>19.44</w:t>
            </w:r>
          </w:p>
        </w:tc>
      </w:tr>
      <w:tr w:rsidR="00000000">
        <w:trPr>
          <w:trHeight w:val="20"/>
        </w:trPr>
        <w:tc>
          <w:tcPr>
            <w:tcW w:w="720" w:type="dxa"/>
            <w:tcBorders>
              <w:top w:val="nil"/>
              <w:bottom w:val="nil"/>
              <w:right w:val="single" w:sz="18" w:space="0" w:color="auto"/>
            </w:tcBorders>
            <w:shd w:val="clear" w:color="auto" w:fill="FFFFD9"/>
          </w:tcPr>
          <w:p w:rsidR="00000000" w:rsidRDefault="00000000">
            <w:pPr>
              <w:spacing w:line="320" w:lineRule="exact"/>
              <w:rPr>
                <w:sz w:val="20"/>
                <w:szCs w:val="22"/>
              </w:rPr>
            </w:pPr>
            <w:r>
              <w:rPr>
                <w:sz w:val="20"/>
                <w:szCs w:val="22"/>
              </w:rPr>
              <w:t>3.</w:t>
            </w:r>
          </w:p>
        </w:tc>
        <w:tc>
          <w:tcPr>
            <w:tcW w:w="2745" w:type="dxa"/>
            <w:tcBorders>
              <w:top w:val="nil"/>
              <w:left w:val="single" w:sz="18" w:space="0" w:color="auto"/>
              <w:bottom w:val="nil"/>
              <w:right w:val="single" w:sz="18" w:space="0" w:color="auto"/>
            </w:tcBorders>
            <w:shd w:val="clear" w:color="auto" w:fill="FFFFD9"/>
          </w:tcPr>
          <w:p w:rsidR="00000000" w:rsidRDefault="00000000">
            <w:pPr>
              <w:spacing w:line="320" w:lineRule="exact"/>
              <w:ind w:left="340"/>
              <w:rPr>
                <w:sz w:val="20"/>
                <w:szCs w:val="22"/>
              </w:rPr>
            </w:pPr>
            <w:r>
              <w:rPr>
                <w:sz w:val="20"/>
                <w:szCs w:val="22"/>
              </w:rPr>
              <w:t>加拿大</w:t>
            </w:r>
          </w:p>
        </w:tc>
        <w:tc>
          <w:tcPr>
            <w:tcW w:w="2205" w:type="dxa"/>
            <w:tcBorders>
              <w:top w:val="nil"/>
              <w:left w:val="single" w:sz="18" w:space="0" w:color="auto"/>
              <w:bottom w:val="nil"/>
              <w:right w:val="single" w:sz="18" w:space="0" w:color="auto"/>
            </w:tcBorders>
            <w:shd w:val="clear" w:color="auto" w:fill="FFFFD9"/>
          </w:tcPr>
          <w:p w:rsidR="00000000" w:rsidRDefault="00000000">
            <w:pPr>
              <w:tabs>
                <w:tab w:val="right" w:pos="1418"/>
              </w:tabs>
              <w:spacing w:line="320" w:lineRule="exact"/>
              <w:jc w:val="center"/>
              <w:rPr>
                <w:sz w:val="20"/>
                <w:szCs w:val="22"/>
              </w:rPr>
            </w:pPr>
            <w:r>
              <w:rPr>
                <w:sz w:val="20"/>
                <w:szCs w:val="22"/>
              </w:rPr>
              <w:t>49</w:t>
            </w:r>
          </w:p>
        </w:tc>
        <w:tc>
          <w:tcPr>
            <w:tcW w:w="3090" w:type="dxa"/>
            <w:tcBorders>
              <w:top w:val="nil"/>
              <w:left w:val="single" w:sz="18" w:space="0" w:color="auto"/>
              <w:bottom w:val="nil"/>
            </w:tcBorders>
            <w:shd w:val="clear" w:color="auto" w:fill="FFFFD9"/>
          </w:tcPr>
          <w:p w:rsidR="00000000" w:rsidRDefault="00000000">
            <w:pPr>
              <w:tabs>
                <w:tab w:val="right" w:pos="1418"/>
              </w:tabs>
              <w:spacing w:line="320" w:lineRule="exact"/>
              <w:jc w:val="center"/>
              <w:rPr>
                <w:sz w:val="20"/>
                <w:szCs w:val="22"/>
              </w:rPr>
            </w:pPr>
            <w:r>
              <w:rPr>
                <w:sz w:val="20"/>
                <w:szCs w:val="22"/>
              </w:rPr>
              <w:t>17.01</w:t>
            </w:r>
          </w:p>
        </w:tc>
      </w:tr>
      <w:tr w:rsidR="00000000">
        <w:trPr>
          <w:trHeight w:val="20"/>
        </w:trPr>
        <w:tc>
          <w:tcPr>
            <w:tcW w:w="720" w:type="dxa"/>
            <w:tcBorders>
              <w:top w:val="nil"/>
              <w:bottom w:val="nil"/>
              <w:right w:val="single" w:sz="18" w:space="0" w:color="auto"/>
            </w:tcBorders>
            <w:shd w:val="clear" w:color="auto" w:fill="FFFFD9"/>
          </w:tcPr>
          <w:p w:rsidR="00000000" w:rsidRDefault="00000000">
            <w:pPr>
              <w:spacing w:line="320" w:lineRule="exact"/>
              <w:rPr>
                <w:sz w:val="20"/>
                <w:szCs w:val="22"/>
              </w:rPr>
            </w:pPr>
            <w:r>
              <w:rPr>
                <w:sz w:val="20"/>
                <w:szCs w:val="22"/>
              </w:rPr>
              <w:t>4.</w:t>
            </w:r>
          </w:p>
        </w:tc>
        <w:tc>
          <w:tcPr>
            <w:tcW w:w="2745" w:type="dxa"/>
            <w:tcBorders>
              <w:top w:val="nil"/>
              <w:left w:val="single" w:sz="18" w:space="0" w:color="auto"/>
              <w:bottom w:val="nil"/>
              <w:right w:val="single" w:sz="18" w:space="0" w:color="auto"/>
            </w:tcBorders>
            <w:shd w:val="clear" w:color="auto" w:fill="FFFFD9"/>
          </w:tcPr>
          <w:p w:rsidR="00000000" w:rsidRDefault="00000000">
            <w:pPr>
              <w:spacing w:line="320" w:lineRule="exact"/>
              <w:ind w:left="340"/>
              <w:rPr>
                <w:sz w:val="20"/>
                <w:szCs w:val="22"/>
                <w:lang w:val="es-ES_tradnl"/>
              </w:rPr>
            </w:pPr>
            <w:r>
              <w:rPr>
                <w:sz w:val="20"/>
                <w:szCs w:val="22"/>
                <w:lang w:val="es-ES_tradnl"/>
              </w:rPr>
              <w:t>法国</w:t>
            </w:r>
          </w:p>
        </w:tc>
        <w:tc>
          <w:tcPr>
            <w:tcW w:w="2205" w:type="dxa"/>
            <w:tcBorders>
              <w:top w:val="nil"/>
              <w:left w:val="single" w:sz="18" w:space="0" w:color="auto"/>
              <w:bottom w:val="nil"/>
              <w:right w:val="single" w:sz="18" w:space="0" w:color="auto"/>
            </w:tcBorders>
            <w:shd w:val="clear" w:color="auto" w:fill="FFFFD9"/>
          </w:tcPr>
          <w:p w:rsidR="00000000" w:rsidRDefault="00000000">
            <w:pPr>
              <w:tabs>
                <w:tab w:val="right" w:pos="1418"/>
              </w:tabs>
              <w:spacing w:line="320" w:lineRule="exact"/>
              <w:jc w:val="center"/>
              <w:rPr>
                <w:sz w:val="20"/>
                <w:szCs w:val="22"/>
                <w:lang w:val="es-ES_tradnl"/>
              </w:rPr>
            </w:pPr>
            <w:r>
              <w:rPr>
                <w:sz w:val="20"/>
                <w:szCs w:val="22"/>
                <w:lang w:val="es-ES_tradnl"/>
              </w:rPr>
              <w:t>30</w:t>
            </w:r>
          </w:p>
        </w:tc>
        <w:tc>
          <w:tcPr>
            <w:tcW w:w="3090" w:type="dxa"/>
            <w:tcBorders>
              <w:top w:val="nil"/>
              <w:left w:val="single" w:sz="18" w:space="0" w:color="auto"/>
              <w:bottom w:val="nil"/>
            </w:tcBorders>
            <w:shd w:val="clear" w:color="auto" w:fill="FFFFD9"/>
          </w:tcPr>
          <w:p w:rsidR="00000000" w:rsidRDefault="00000000">
            <w:pPr>
              <w:tabs>
                <w:tab w:val="right" w:pos="1418"/>
              </w:tabs>
              <w:spacing w:line="320" w:lineRule="exact"/>
              <w:jc w:val="center"/>
              <w:rPr>
                <w:sz w:val="20"/>
                <w:szCs w:val="22"/>
                <w:lang w:val="es-ES_tradnl"/>
              </w:rPr>
            </w:pPr>
            <w:r>
              <w:rPr>
                <w:sz w:val="20"/>
                <w:szCs w:val="22"/>
                <w:lang w:val="es-ES_tradnl"/>
              </w:rPr>
              <w:t>10.42</w:t>
            </w:r>
          </w:p>
        </w:tc>
      </w:tr>
      <w:tr w:rsidR="00000000">
        <w:trPr>
          <w:trHeight w:val="20"/>
        </w:trPr>
        <w:tc>
          <w:tcPr>
            <w:tcW w:w="720" w:type="dxa"/>
            <w:tcBorders>
              <w:top w:val="nil"/>
              <w:bottom w:val="nil"/>
              <w:right w:val="single" w:sz="18" w:space="0" w:color="auto"/>
            </w:tcBorders>
            <w:shd w:val="clear" w:color="auto" w:fill="FFFFD9"/>
          </w:tcPr>
          <w:p w:rsidR="00000000" w:rsidRDefault="00000000">
            <w:pPr>
              <w:spacing w:line="320" w:lineRule="exact"/>
              <w:rPr>
                <w:sz w:val="20"/>
                <w:szCs w:val="22"/>
              </w:rPr>
            </w:pPr>
            <w:r>
              <w:rPr>
                <w:sz w:val="20"/>
                <w:szCs w:val="22"/>
              </w:rPr>
              <w:t>5.</w:t>
            </w:r>
          </w:p>
        </w:tc>
        <w:tc>
          <w:tcPr>
            <w:tcW w:w="2745" w:type="dxa"/>
            <w:tcBorders>
              <w:top w:val="nil"/>
              <w:left w:val="single" w:sz="18" w:space="0" w:color="auto"/>
              <w:bottom w:val="nil"/>
              <w:right w:val="single" w:sz="18" w:space="0" w:color="auto"/>
            </w:tcBorders>
            <w:shd w:val="clear" w:color="auto" w:fill="FFFFD9"/>
          </w:tcPr>
          <w:p w:rsidR="00000000" w:rsidRDefault="00000000">
            <w:pPr>
              <w:spacing w:line="320" w:lineRule="exact"/>
              <w:ind w:left="340"/>
              <w:rPr>
                <w:sz w:val="20"/>
                <w:szCs w:val="22"/>
                <w:lang w:val="es-ES_tradnl"/>
              </w:rPr>
            </w:pPr>
            <w:r>
              <w:rPr>
                <w:sz w:val="20"/>
                <w:szCs w:val="22"/>
                <w:lang w:val="es-ES_tradnl"/>
              </w:rPr>
              <w:t>澳大利亚</w:t>
            </w:r>
          </w:p>
        </w:tc>
        <w:tc>
          <w:tcPr>
            <w:tcW w:w="2205" w:type="dxa"/>
            <w:tcBorders>
              <w:top w:val="nil"/>
              <w:left w:val="single" w:sz="18" w:space="0" w:color="auto"/>
              <w:bottom w:val="nil"/>
              <w:right w:val="single" w:sz="18" w:space="0" w:color="auto"/>
            </w:tcBorders>
            <w:shd w:val="clear" w:color="auto" w:fill="FFFFD9"/>
          </w:tcPr>
          <w:p w:rsidR="00000000" w:rsidRDefault="00000000">
            <w:pPr>
              <w:tabs>
                <w:tab w:val="right" w:pos="1418"/>
              </w:tabs>
              <w:spacing w:line="320" w:lineRule="exact"/>
              <w:jc w:val="center"/>
              <w:rPr>
                <w:sz w:val="20"/>
                <w:szCs w:val="22"/>
                <w:lang w:val="es-ES_tradnl"/>
              </w:rPr>
            </w:pPr>
            <w:r>
              <w:rPr>
                <w:sz w:val="20"/>
                <w:szCs w:val="22"/>
                <w:lang w:val="es-ES_tradnl"/>
              </w:rPr>
              <w:t>20</w:t>
            </w:r>
          </w:p>
        </w:tc>
        <w:tc>
          <w:tcPr>
            <w:tcW w:w="3090" w:type="dxa"/>
            <w:tcBorders>
              <w:top w:val="nil"/>
              <w:left w:val="single" w:sz="18" w:space="0" w:color="auto"/>
              <w:bottom w:val="nil"/>
            </w:tcBorders>
            <w:shd w:val="clear" w:color="auto" w:fill="FFFFD9"/>
          </w:tcPr>
          <w:p w:rsidR="00000000" w:rsidRDefault="00000000">
            <w:pPr>
              <w:tabs>
                <w:tab w:val="right" w:pos="1418"/>
              </w:tabs>
              <w:spacing w:line="320" w:lineRule="exact"/>
              <w:jc w:val="center"/>
              <w:rPr>
                <w:sz w:val="20"/>
                <w:szCs w:val="22"/>
                <w:lang w:val="es-ES_tradnl"/>
              </w:rPr>
            </w:pPr>
            <w:r>
              <w:rPr>
                <w:sz w:val="20"/>
                <w:szCs w:val="22"/>
                <w:lang w:val="es-ES_tradnl"/>
              </w:rPr>
              <w:t>6.94</w:t>
            </w:r>
          </w:p>
        </w:tc>
      </w:tr>
      <w:tr w:rsidR="00000000">
        <w:trPr>
          <w:trHeight w:val="20"/>
        </w:trPr>
        <w:tc>
          <w:tcPr>
            <w:tcW w:w="720" w:type="dxa"/>
            <w:tcBorders>
              <w:top w:val="nil"/>
              <w:bottom w:val="single" w:sz="18" w:space="0" w:color="auto"/>
              <w:right w:val="single" w:sz="18" w:space="0" w:color="auto"/>
            </w:tcBorders>
            <w:shd w:val="clear" w:color="auto" w:fill="FFFFD9"/>
          </w:tcPr>
          <w:p w:rsidR="00000000" w:rsidRDefault="00000000">
            <w:pPr>
              <w:spacing w:line="320" w:lineRule="exact"/>
              <w:rPr>
                <w:sz w:val="20"/>
                <w:szCs w:val="22"/>
              </w:rPr>
            </w:pPr>
            <w:r>
              <w:rPr>
                <w:sz w:val="20"/>
                <w:szCs w:val="22"/>
              </w:rPr>
              <w:t>6.</w:t>
            </w:r>
          </w:p>
        </w:tc>
        <w:tc>
          <w:tcPr>
            <w:tcW w:w="2745" w:type="dxa"/>
            <w:tcBorders>
              <w:top w:val="nil"/>
              <w:left w:val="single" w:sz="18" w:space="0" w:color="auto"/>
              <w:bottom w:val="single" w:sz="18" w:space="0" w:color="auto"/>
              <w:right w:val="single" w:sz="18" w:space="0" w:color="auto"/>
            </w:tcBorders>
            <w:shd w:val="clear" w:color="auto" w:fill="FFFFD9"/>
          </w:tcPr>
          <w:p w:rsidR="00000000" w:rsidRDefault="00000000">
            <w:pPr>
              <w:spacing w:line="320" w:lineRule="exact"/>
              <w:ind w:left="340"/>
              <w:rPr>
                <w:sz w:val="20"/>
                <w:szCs w:val="22"/>
                <w:lang w:val="es-ES_tradnl"/>
              </w:rPr>
            </w:pPr>
            <w:r>
              <w:rPr>
                <w:sz w:val="20"/>
                <w:szCs w:val="22"/>
                <w:lang w:val="es-ES_tradnl"/>
              </w:rPr>
              <w:t>荷兰</w:t>
            </w:r>
          </w:p>
        </w:tc>
        <w:tc>
          <w:tcPr>
            <w:tcW w:w="2205" w:type="dxa"/>
            <w:tcBorders>
              <w:top w:val="nil"/>
              <w:left w:val="single" w:sz="18" w:space="0" w:color="auto"/>
              <w:bottom w:val="single" w:sz="18" w:space="0" w:color="auto"/>
              <w:right w:val="single" w:sz="18" w:space="0" w:color="auto"/>
            </w:tcBorders>
            <w:shd w:val="clear" w:color="auto" w:fill="FFFFD9"/>
          </w:tcPr>
          <w:p w:rsidR="00000000" w:rsidRDefault="00000000">
            <w:pPr>
              <w:tabs>
                <w:tab w:val="right" w:pos="1418"/>
              </w:tabs>
              <w:spacing w:line="320" w:lineRule="exact"/>
              <w:jc w:val="center"/>
              <w:rPr>
                <w:sz w:val="20"/>
                <w:szCs w:val="22"/>
                <w:lang w:val="es-ES_tradnl"/>
              </w:rPr>
            </w:pPr>
            <w:r>
              <w:rPr>
                <w:sz w:val="20"/>
                <w:szCs w:val="22"/>
                <w:lang w:val="es-ES_tradnl"/>
              </w:rPr>
              <w:t>14</w:t>
            </w:r>
          </w:p>
        </w:tc>
        <w:tc>
          <w:tcPr>
            <w:tcW w:w="3090" w:type="dxa"/>
            <w:tcBorders>
              <w:top w:val="nil"/>
              <w:left w:val="single" w:sz="18" w:space="0" w:color="auto"/>
              <w:bottom w:val="single" w:sz="18" w:space="0" w:color="auto"/>
            </w:tcBorders>
            <w:shd w:val="clear" w:color="auto" w:fill="FFFFD9"/>
          </w:tcPr>
          <w:p w:rsidR="00000000" w:rsidRDefault="00000000">
            <w:pPr>
              <w:tabs>
                <w:tab w:val="right" w:pos="1418"/>
              </w:tabs>
              <w:spacing w:line="320" w:lineRule="exact"/>
              <w:jc w:val="center"/>
              <w:rPr>
                <w:sz w:val="20"/>
                <w:szCs w:val="22"/>
                <w:lang w:val="es-ES_tradnl"/>
              </w:rPr>
            </w:pPr>
            <w:r>
              <w:rPr>
                <w:sz w:val="20"/>
                <w:szCs w:val="22"/>
                <w:lang w:val="es-ES_tradnl"/>
              </w:rPr>
              <w:t>4.86</w:t>
            </w:r>
          </w:p>
        </w:tc>
      </w:tr>
      <w:tr w:rsidR="00000000">
        <w:trPr>
          <w:trHeight w:val="20"/>
        </w:trPr>
        <w:tc>
          <w:tcPr>
            <w:tcW w:w="720" w:type="dxa"/>
            <w:tcBorders>
              <w:top w:val="single" w:sz="18" w:space="0" w:color="auto"/>
              <w:bottom w:val="single" w:sz="18" w:space="0" w:color="auto"/>
              <w:right w:val="single" w:sz="18" w:space="0" w:color="auto"/>
            </w:tcBorders>
            <w:shd w:val="clear" w:color="auto" w:fill="E1FFE1"/>
          </w:tcPr>
          <w:p w:rsidR="00000000" w:rsidRDefault="00000000">
            <w:pPr>
              <w:spacing w:line="320" w:lineRule="exact"/>
              <w:rPr>
                <w:sz w:val="20"/>
                <w:szCs w:val="22"/>
              </w:rPr>
            </w:pPr>
          </w:p>
        </w:tc>
        <w:tc>
          <w:tcPr>
            <w:tcW w:w="2745"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spacing w:line="320" w:lineRule="exact"/>
              <w:jc w:val="center"/>
              <w:rPr>
                <w:rFonts w:hint="eastAsia"/>
                <w:b/>
                <w:bCs/>
                <w:sz w:val="20"/>
                <w:szCs w:val="22"/>
              </w:rPr>
            </w:pPr>
            <w:r>
              <w:rPr>
                <w:rFonts w:hint="eastAsia"/>
                <w:b/>
                <w:bCs/>
                <w:sz w:val="20"/>
                <w:szCs w:val="22"/>
              </w:rPr>
              <w:t>合</w:t>
            </w:r>
            <w:r>
              <w:rPr>
                <w:rFonts w:hint="eastAsia"/>
                <w:b/>
                <w:bCs/>
                <w:sz w:val="20"/>
                <w:szCs w:val="22"/>
              </w:rPr>
              <w:t xml:space="preserve">  </w:t>
            </w:r>
            <w:r>
              <w:rPr>
                <w:rFonts w:hint="eastAsia"/>
                <w:b/>
                <w:bCs/>
                <w:sz w:val="20"/>
                <w:szCs w:val="22"/>
              </w:rPr>
              <w:t>计</w:t>
            </w:r>
          </w:p>
        </w:tc>
        <w:tc>
          <w:tcPr>
            <w:tcW w:w="2205"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tabs>
                <w:tab w:val="right" w:pos="1418"/>
              </w:tabs>
              <w:spacing w:line="320" w:lineRule="exact"/>
              <w:jc w:val="center"/>
              <w:rPr>
                <w:b/>
                <w:bCs/>
                <w:sz w:val="20"/>
                <w:szCs w:val="22"/>
              </w:rPr>
            </w:pPr>
            <w:r>
              <w:rPr>
                <w:b/>
                <w:bCs/>
                <w:sz w:val="20"/>
                <w:szCs w:val="22"/>
              </w:rPr>
              <w:t>235</w:t>
            </w:r>
          </w:p>
        </w:tc>
        <w:tc>
          <w:tcPr>
            <w:tcW w:w="3090" w:type="dxa"/>
            <w:tcBorders>
              <w:top w:val="single" w:sz="18" w:space="0" w:color="auto"/>
              <w:left w:val="single" w:sz="18" w:space="0" w:color="auto"/>
              <w:bottom w:val="single" w:sz="18" w:space="0" w:color="auto"/>
            </w:tcBorders>
            <w:shd w:val="clear" w:color="auto" w:fill="E1FFE1"/>
          </w:tcPr>
          <w:p w:rsidR="00000000" w:rsidRDefault="00000000">
            <w:pPr>
              <w:tabs>
                <w:tab w:val="right" w:pos="1418"/>
              </w:tabs>
              <w:spacing w:line="320" w:lineRule="exact"/>
              <w:jc w:val="center"/>
              <w:rPr>
                <w:b/>
                <w:bCs/>
                <w:sz w:val="20"/>
                <w:szCs w:val="22"/>
              </w:rPr>
            </w:pPr>
            <w:r>
              <w:rPr>
                <w:b/>
                <w:bCs/>
                <w:sz w:val="20"/>
                <w:szCs w:val="22"/>
              </w:rPr>
              <w:t>81.60</w:t>
            </w:r>
          </w:p>
        </w:tc>
      </w:tr>
    </w:tbl>
    <w:p w:rsidR="00000000" w:rsidRDefault="00000000"/>
    <w:p w:rsidR="00000000" w:rsidRDefault="00000000">
      <w:pPr>
        <w:spacing w:line="320" w:lineRule="exact"/>
        <w:rPr>
          <w:rFonts w:hint="eastAsia"/>
          <w:sz w:val="20"/>
        </w:rPr>
      </w:pPr>
      <w:r>
        <w:br w:type="page"/>
      </w:r>
    </w:p>
    <w:tbl>
      <w:tblPr>
        <w:tblW w:w="87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720"/>
        <w:gridCol w:w="2850"/>
        <w:gridCol w:w="2100"/>
        <w:gridCol w:w="3090"/>
      </w:tblGrid>
      <w:tr w:rsidR="00000000">
        <w:trPr>
          <w:trHeight w:val="20"/>
        </w:trPr>
        <w:tc>
          <w:tcPr>
            <w:tcW w:w="8760" w:type="dxa"/>
            <w:gridSpan w:val="4"/>
            <w:tcBorders>
              <w:top w:val="single" w:sz="18" w:space="0" w:color="auto"/>
              <w:bottom w:val="nil"/>
            </w:tcBorders>
            <w:shd w:val="clear" w:color="auto" w:fill="E1F4FF"/>
            <w:vAlign w:val="center"/>
          </w:tcPr>
          <w:p w:rsidR="00000000" w:rsidRDefault="00000000">
            <w:pPr>
              <w:tabs>
                <w:tab w:val="right" w:pos="5103"/>
              </w:tabs>
              <w:spacing w:line="320" w:lineRule="exact"/>
              <w:rPr>
                <w:sz w:val="20"/>
                <w:szCs w:val="22"/>
              </w:rPr>
            </w:pPr>
            <w:r>
              <w:rPr>
                <w:rFonts w:hint="eastAsia"/>
                <w:sz w:val="20"/>
                <w:szCs w:val="22"/>
              </w:rPr>
              <w:t>消除种族歧视委员会登记的案件总数</w:t>
            </w:r>
            <w:r>
              <w:rPr>
                <w:sz w:val="20"/>
                <w:szCs w:val="22"/>
              </w:rPr>
              <w:tab/>
              <w:t>35</w:t>
            </w:r>
          </w:p>
        </w:tc>
      </w:tr>
      <w:tr w:rsidR="00000000">
        <w:trPr>
          <w:trHeight w:val="20"/>
        </w:trPr>
        <w:tc>
          <w:tcPr>
            <w:tcW w:w="8760" w:type="dxa"/>
            <w:gridSpan w:val="4"/>
            <w:tcBorders>
              <w:top w:val="nil"/>
              <w:bottom w:val="nil"/>
            </w:tcBorders>
            <w:shd w:val="clear" w:color="auto" w:fill="E1F4FF"/>
            <w:vAlign w:val="center"/>
          </w:tcPr>
          <w:p w:rsidR="00000000" w:rsidRDefault="00000000">
            <w:pPr>
              <w:tabs>
                <w:tab w:val="right" w:pos="5103"/>
              </w:tabs>
              <w:spacing w:line="320" w:lineRule="exact"/>
              <w:rPr>
                <w:sz w:val="20"/>
                <w:szCs w:val="22"/>
              </w:rPr>
            </w:pPr>
            <w:r>
              <w:rPr>
                <w:rFonts w:hint="eastAsia"/>
                <w:sz w:val="20"/>
                <w:szCs w:val="22"/>
              </w:rPr>
              <w:t>尚未处理的案件</w:t>
            </w:r>
            <w:r>
              <w:rPr>
                <w:sz w:val="20"/>
                <w:szCs w:val="22"/>
              </w:rPr>
              <w:tab/>
              <w:t>3</w:t>
            </w:r>
            <w:r>
              <w:rPr>
                <w:sz w:val="20"/>
                <w:szCs w:val="22"/>
              </w:rPr>
              <w:tab/>
            </w:r>
            <w:r>
              <w:rPr>
                <w:sz w:val="20"/>
                <w:szCs w:val="22"/>
              </w:rPr>
              <w:tab/>
            </w:r>
            <w:r>
              <w:rPr>
                <w:sz w:val="20"/>
                <w:szCs w:val="22"/>
              </w:rPr>
              <w:tab/>
            </w:r>
            <w:r>
              <w:rPr>
                <w:sz w:val="20"/>
                <w:szCs w:val="22"/>
              </w:rPr>
              <w:tab/>
            </w:r>
          </w:p>
        </w:tc>
      </w:tr>
      <w:tr w:rsidR="00000000">
        <w:trPr>
          <w:trHeight w:val="20"/>
        </w:trPr>
        <w:tc>
          <w:tcPr>
            <w:tcW w:w="8760" w:type="dxa"/>
            <w:gridSpan w:val="4"/>
            <w:tcBorders>
              <w:top w:val="nil"/>
              <w:bottom w:val="single" w:sz="18" w:space="0" w:color="auto"/>
            </w:tcBorders>
            <w:shd w:val="clear" w:color="auto" w:fill="EBFFFF"/>
            <w:vAlign w:val="center"/>
          </w:tcPr>
          <w:p w:rsidR="00000000" w:rsidRDefault="00000000">
            <w:pPr>
              <w:spacing w:line="320" w:lineRule="exact"/>
              <w:jc w:val="center"/>
              <w:rPr>
                <w:rFonts w:hint="eastAsia"/>
                <w:b/>
                <w:bCs/>
                <w:sz w:val="20"/>
                <w:szCs w:val="22"/>
              </w:rPr>
            </w:pPr>
            <w:r>
              <w:rPr>
                <w:rFonts w:hint="eastAsia"/>
                <w:b/>
                <w:bCs/>
                <w:sz w:val="20"/>
                <w:szCs w:val="22"/>
              </w:rPr>
              <w:t>登记比例最高的国家</w:t>
            </w:r>
          </w:p>
        </w:tc>
      </w:tr>
      <w:tr w:rsidR="00000000">
        <w:trPr>
          <w:trHeight w:val="20"/>
        </w:trPr>
        <w:tc>
          <w:tcPr>
            <w:tcW w:w="720" w:type="dxa"/>
            <w:tcBorders>
              <w:top w:val="single" w:sz="18" w:space="0" w:color="auto"/>
              <w:bottom w:val="single" w:sz="18" w:space="0" w:color="auto"/>
              <w:right w:val="single" w:sz="18" w:space="0" w:color="auto"/>
            </w:tcBorders>
            <w:shd w:val="clear" w:color="auto" w:fill="E1FFE1"/>
          </w:tcPr>
          <w:p w:rsidR="00000000" w:rsidRDefault="00000000">
            <w:pPr>
              <w:spacing w:line="320" w:lineRule="exact"/>
              <w:rPr>
                <w:sz w:val="20"/>
                <w:szCs w:val="22"/>
              </w:rPr>
            </w:pPr>
          </w:p>
        </w:tc>
        <w:tc>
          <w:tcPr>
            <w:tcW w:w="2850"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spacing w:before="120" w:line="320" w:lineRule="exact"/>
              <w:jc w:val="center"/>
              <w:rPr>
                <w:rFonts w:hint="eastAsia"/>
                <w:sz w:val="20"/>
                <w:szCs w:val="22"/>
                <w:lang w:val="es-ES_tradnl"/>
              </w:rPr>
            </w:pPr>
            <w:r>
              <w:rPr>
                <w:rFonts w:hint="eastAsia"/>
                <w:sz w:val="20"/>
                <w:szCs w:val="22"/>
                <w:lang w:val="es-ES_tradnl"/>
              </w:rPr>
              <w:t>缔</w:t>
            </w:r>
            <w:r>
              <w:rPr>
                <w:rFonts w:hint="eastAsia"/>
                <w:sz w:val="20"/>
                <w:szCs w:val="22"/>
                <w:lang w:val="es-ES_tradnl"/>
              </w:rPr>
              <w:t xml:space="preserve">  </w:t>
            </w:r>
            <w:r>
              <w:rPr>
                <w:rFonts w:hint="eastAsia"/>
                <w:sz w:val="20"/>
                <w:szCs w:val="22"/>
                <w:lang w:val="es-ES_tradnl"/>
              </w:rPr>
              <w:t>约</w:t>
            </w:r>
            <w:r>
              <w:rPr>
                <w:rFonts w:hint="eastAsia"/>
                <w:sz w:val="20"/>
                <w:szCs w:val="22"/>
                <w:lang w:val="es-ES_tradnl"/>
              </w:rPr>
              <w:t xml:space="preserve">  </w:t>
            </w:r>
            <w:r>
              <w:rPr>
                <w:rFonts w:hint="eastAsia"/>
                <w:sz w:val="20"/>
                <w:szCs w:val="22"/>
                <w:lang w:val="es-ES_tradnl"/>
              </w:rPr>
              <w:t>国</w:t>
            </w:r>
          </w:p>
        </w:tc>
        <w:tc>
          <w:tcPr>
            <w:tcW w:w="2100"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spacing w:before="120" w:line="320" w:lineRule="exact"/>
              <w:jc w:val="center"/>
              <w:rPr>
                <w:rFonts w:hint="eastAsia"/>
                <w:sz w:val="20"/>
                <w:szCs w:val="22"/>
              </w:rPr>
            </w:pPr>
            <w:r>
              <w:rPr>
                <w:rFonts w:hint="eastAsia"/>
                <w:sz w:val="20"/>
                <w:szCs w:val="22"/>
              </w:rPr>
              <w:t>登记的案件数</w:t>
            </w:r>
          </w:p>
        </w:tc>
        <w:tc>
          <w:tcPr>
            <w:tcW w:w="3090" w:type="dxa"/>
            <w:tcBorders>
              <w:top w:val="single" w:sz="18" w:space="0" w:color="auto"/>
              <w:left w:val="single" w:sz="18" w:space="0" w:color="auto"/>
              <w:bottom w:val="single" w:sz="18" w:space="0" w:color="auto"/>
            </w:tcBorders>
            <w:shd w:val="clear" w:color="auto" w:fill="E1FFE1"/>
          </w:tcPr>
          <w:p w:rsidR="00000000" w:rsidRDefault="00000000">
            <w:pPr>
              <w:spacing w:before="120" w:line="320" w:lineRule="exact"/>
              <w:jc w:val="center"/>
              <w:rPr>
                <w:rFonts w:hint="eastAsia"/>
                <w:sz w:val="20"/>
                <w:szCs w:val="22"/>
              </w:rPr>
            </w:pPr>
            <w:r>
              <w:rPr>
                <w:rFonts w:hint="eastAsia"/>
                <w:sz w:val="20"/>
                <w:szCs w:val="22"/>
              </w:rPr>
              <w:t>占登记案件总数的百分比</w:t>
            </w:r>
          </w:p>
        </w:tc>
      </w:tr>
      <w:tr w:rsidR="00000000">
        <w:trPr>
          <w:trHeight w:val="20"/>
        </w:trPr>
        <w:tc>
          <w:tcPr>
            <w:tcW w:w="720" w:type="dxa"/>
            <w:tcBorders>
              <w:top w:val="single" w:sz="18" w:space="0" w:color="auto"/>
              <w:bottom w:val="nil"/>
              <w:right w:val="single" w:sz="18" w:space="0" w:color="auto"/>
            </w:tcBorders>
            <w:shd w:val="clear" w:color="auto" w:fill="FFFFD9"/>
          </w:tcPr>
          <w:p w:rsidR="00000000" w:rsidRDefault="00000000">
            <w:pPr>
              <w:spacing w:line="320" w:lineRule="exact"/>
              <w:rPr>
                <w:sz w:val="20"/>
                <w:szCs w:val="22"/>
              </w:rPr>
            </w:pPr>
            <w:r>
              <w:rPr>
                <w:sz w:val="20"/>
                <w:szCs w:val="22"/>
              </w:rPr>
              <w:t>1.</w:t>
            </w:r>
          </w:p>
        </w:tc>
        <w:tc>
          <w:tcPr>
            <w:tcW w:w="2850" w:type="dxa"/>
            <w:tcBorders>
              <w:top w:val="single" w:sz="18" w:space="0" w:color="auto"/>
              <w:left w:val="single" w:sz="18" w:space="0" w:color="auto"/>
              <w:bottom w:val="nil"/>
              <w:right w:val="single" w:sz="18" w:space="0" w:color="auto"/>
            </w:tcBorders>
            <w:shd w:val="clear" w:color="auto" w:fill="FFFFD9"/>
          </w:tcPr>
          <w:p w:rsidR="00000000" w:rsidRDefault="00000000">
            <w:pPr>
              <w:spacing w:line="320" w:lineRule="exact"/>
              <w:ind w:left="340"/>
              <w:rPr>
                <w:sz w:val="20"/>
                <w:szCs w:val="22"/>
              </w:rPr>
            </w:pPr>
            <w:r>
              <w:rPr>
                <w:sz w:val="20"/>
                <w:szCs w:val="22"/>
              </w:rPr>
              <w:t>丹麦</w:t>
            </w:r>
          </w:p>
        </w:tc>
        <w:tc>
          <w:tcPr>
            <w:tcW w:w="2100" w:type="dxa"/>
            <w:tcBorders>
              <w:top w:val="single" w:sz="18" w:space="0" w:color="auto"/>
              <w:left w:val="single" w:sz="18" w:space="0" w:color="auto"/>
              <w:bottom w:val="nil"/>
              <w:right w:val="single" w:sz="18" w:space="0" w:color="auto"/>
            </w:tcBorders>
            <w:shd w:val="clear" w:color="auto" w:fill="FFFFD9"/>
          </w:tcPr>
          <w:p w:rsidR="00000000" w:rsidRDefault="00000000">
            <w:pPr>
              <w:tabs>
                <w:tab w:val="right" w:pos="1418"/>
              </w:tabs>
              <w:spacing w:line="320" w:lineRule="exact"/>
              <w:jc w:val="center"/>
              <w:rPr>
                <w:sz w:val="20"/>
                <w:szCs w:val="22"/>
              </w:rPr>
            </w:pPr>
            <w:r>
              <w:rPr>
                <w:sz w:val="20"/>
                <w:szCs w:val="22"/>
              </w:rPr>
              <w:t>14</w:t>
            </w:r>
          </w:p>
        </w:tc>
        <w:tc>
          <w:tcPr>
            <w:tcW w:w="3090" w:type="dxa"/>
            <w:tcBorders>
              <w:top w:val="single" w:sz="18" w:space="0" w:color="auto"/>
              <w:left w:val="single" w:sz="18" w:space="0" w:color="auto"/>
              <w:bottom w:val="nil"/>
            </w:tcBorders>
            <w:shd w:val="clear" w:color="auto" w:fill="FFFFD9"/>
          </w:tcPr>
          <w:p w:rsidR="00000000" w:rsidRDefault="00000000">
            <w:pPr>
              <w:tabs>
                <w:tab w:val="right" w:pos="1418"/>
              </w:tabs>
              <w:spacing w:line="320" w:lineRule="exact"/>
              <w:jc w:val="center"/>
              <w:rPr>
                <w:sz w:val="20"/>
                <w:szCs w:val="22"/>
              </w:rPr>
            </w:pPr>
            <w:r>
              <w:rPr>
                <w:sz w:val="20"/>
                <w:szCs w:val="22"/>
              </w:rPr>
              <w:t>40.00</w:t>
            </w:r>
          </w:p>
        </w:tc>
      </w:tr>
      <w:tr w:rsidR="00000000">
        <w:trPr>
          <w:trHeight w:val="20"/>
        </w:trPr>
        <w:tc>
          <w:tcPr>
            <w:tcW w:w="720" w:type="dxa"/>
            <w:tcBorders>
              <w:top w:val="nil"/>
              <w:bottom w:val="nil"/>
              <w:right w:val="single" w:sz="18" w:space="0" w:color="auto"/>
            </w:tcBorders>
            <w:shd w:val="clear" w:color="auto" w:fill="FFFFD9"/>
          </w:tcPr>
          <w:p w:rsidR="00000000" w:rsidRDefault="00000000">
            <w:pPr>
              <w:spacing w:line="320" w:lineRule="exact"/>
              <w:rPr>
                <w:sz w:val="20"/>
                <w:szCs w:val="22"/>
              </w:rPr>
            </w:pPr>
            <w:r>
              <w:rPr>
                <w:sz w:val="20"/>
                <w:szCs w:val="22"/>
              </w:rPr>
              <w:t>2.</w:t>
            </w:r>
          </w:p>
        </w:tc>
        <w:tc>
          <w:tcPr>
            <w:tcW w:w="2850" w:type="dxa"/>
            <w:tcBorders>
              <w:top w:val="nil"/>
              <w:left w:val="single" w:sz="18" w:space="0" w:color="auto"/>
              <w:bottom w:val="nil"/>
              <w:right w:val="single" w:sz="18" w:space="0" w:color="auto"/>
            </w:tcBorders>
            <w:shd w:val="clear" w:color="auto" w:fill="FFFFD9"/>
          </w:tcPr>
          <w:p w:rsidR="00000000" w:rsidRDefault="00000000">
            <w:pPr>
              <w:spacing w:line="320" w:lineRule="exact"/>
              <w:ind w:left="340"/>
              <w:rPr>
                <w:sz w:val="20"/>
                <w:szCs w:val="22"/>
              </w:rPr>
            </w:pPr>
            <w:r>
              <w:rPr>
                <w:sz w:val="20"/>
                <w:szCs w:val="22"/>
              </w:rPr>
              <w:t>澳大利亚</w:t>
            </w:r>
          </w:p>
        </w:tc>
        <w:tc>
          <w:tcPr>
            <w:tcW w:w="2100" w:type="dxa"/>
            <w:tcBorders>
              <w:top w:val="nil"/>
              <w:left w:val="single" w:sz="18" w:space="0" w:color="auto"/>
              <w:bottom w:val="nil"/>
              <w:right w:val="single" w:sz="18" w:space="0" w:color="auto"/>
            </w:tcBorders>
            <w:shd w:val="clear" w:color="auto" w:fill="FFFFD9"/>
          </w:tcPr>
          <w:p w:rsidR="00000000" w:rsidRDefault="00000000">
            <w:pPr>
              <w:tabs>
                <w:tab w:val="right" w:pos="1418"/>
              </w:tabs>
              <w:spacing w:line="320" w:lineRule="exact"/>
              <w:jc w:val="center"/>
              <w:rPr>
                <w:sz w:val="20"/>
                <w:szCs w:val="22"/>
              </w:rPr>
            </w:pPr>
            <w:r>
              <w:rPr>
                <w:sz w:val="20"/>
                <w:szCs w:val="22"/>
              </w:rPr>
              <w:t>6</w:t>
            </w:r>
          </w:p>
        </w:tc>
        <w:tc>
          <w:tcPr>
            <w:tcW w:w="3090" w:type="dxa"/>
            <w:tcBorders>
              <w:top w:val="nil"/>
              <w:left w:val="single" w:sz="18" w:space="0" w:color="auto"/>
              <w:bottom w:val="nil"/>
            </w:tcBorders>
            <w:shd w:val="clear" w:color="auto" w:fill="FFFFD9"/>
          </w:tcPr>
          <w:p w:rsidR="00000000" w:rsidRDefault="00000000">
            <w:pPr>
              <w:tabs>
                <w:tab w:val="right" w:pos="1418"/>
              </w:tabs>
              <w:spacing w:line="320" w:lineRule="exact"/>
              <w:jc w:val="center"/>
              <w:rPr>
                <w:sz w:val="20"/>
                <w:szCs w:val="22"/>
              </w:rPr>
            </w:pPr>
            <w:r>
              <w:rPr>
                <w:sz w:val="20"/>
                <w:szCs w:val="22"/>
              </w:rPr>
              <w:t>17.14</w:t>
            </w:r>
          </w:p>
        </w:tc>
      </w:tr>
      <w:tr w:rsidR="00000000">
        <w:trPr>
          <w:trHeight w:val="20"/>
        </w:trPr>
        <w:tc>
          <w:tcPr>
            <w:tcW w:w="720" w:type="dxa"/>
            <w:tcBorders>
              <w:top w:val="nil"/>
              <w:bottom w:val="nil"/>
              <w:right w:val="single" w:sz="18" w:space="0" w:color="auto"/>
            </w:tcBorders>
            <w:shd w:val="clear" w:color="auto" w:fill="FFFFD9"/>
          </w:tcPr>
          <w:p w:rsidR="00000000" w:rsidRDefault="00000000">
            <w:pPr>
              <w:spacing w:line="320" w:lineRule="exact"/>
              <w:rPr>
                <w:sz w:val="20"/>
                <w:szCs w:val="22"/>
              </w:rPr>
            </w:pPr>
            <w:r>
              <w:rPr>
                <w:sz w:val="20"/>
                <w:szCs w:val="22"/>
              </w:rPr>
              <w:t>3.</w:t>
            </w:r>
          </w:p>
        </w:tc>
        <w:tc>
          <w:tcPr>
            <w:tcW w:w="2850" w:type="dxa"/>
            <w:tcBorders>
              <w:top w:val="nil"/>
              <w:left w:val="single" w:sz="18" w:space="0" w:color="auto"/>
              <w:bottom w:val="nil"/>
              <w:right w:val="single" w:sz="18" w:space="0" w:color="auto"/>
            </w:tcBorders>
            <w:shd w:val="clear" w:color="auto" w:fill="FFFFD9"/>
          </w:tcPr>
          <w:p w:rsidR="00000000" w:rsidRDefault="00000000">
            <w:pPr>
              <w:spacing w:line="320" w:lineRule="exact"/>
              <w:ind w:left="340"/>
              <w:rPr>
                <w:sz w:val="20"/>
                <w:szCs w:val="22"/>
              </w:rPr>
            </w:pPr>
            <w:r>
              <w:rPr>
                <w:sz w:val="20"/>
                <w:szCs w:val="22"/>
              </w:rPr>
              <w:t>瑞典</w:t>
            </w:r>
          </w:p>
        </w:tc>
        <w:tc>
          <w:tcPr>
            <w:tcW w:w="2100" w:type="dxa"/>
            <w:tcBorders>
              <w:top w:val="nil"/>
              <w:left w:val="single" w:sz="18" w:space="0" w:color="auto"/>
              <w:bottom w:val="nil"/>
              <w:right w:val="single" w:sz="18" w:space="0" w:color="auto"/>
            </w:tcBorders>
            <w:shd w:val="clear" w:color="auto" w:fill="FFFFD9"/>
          </w:tcPr>
          <w:p w:rsidR="00000000" w:rsidRDefault="00000000">
            <w:pPr>
              <w:tabs>
                <w:tab w:val="right" w:pos="1418"/>
              </w:tabs>
              <w:spacing w:line="320" w:lineRule="exact"/>
              <w:jc w:val="center"/>
              <w:rPr>
                <w:sz w:val="20"/>
                <w:szCs w:val="22"/>
              </w:rPr>
            </w:pPr>
            <w:r>
              <w:rPr>
                <w:sz w:val="20"/>
                <w:szCs w:val="22"/>
              </w:rPr>
              <w:t>3</w:t>
            </w:r>
          </w:p>
        </w:tc>
        <w:tc>
          <w:tcPr>
            <w:tcW w:w="3090" w:type="dxa"/>
            <w:tcBorders>
              <w:top w:val="nil"/>
              <w:left w:val="single" w:sz="18" w:space="0" w:color="auto"/>
              <w:bottom w:val="nil"/>
            </w:tcBorders>
            <w:shd w:val="clear" w:color="auto" w:fill="FFFFD9"/>
          </w:tcPr>
          <w:p w:rsidR="00000000" w:rsidRDefault="00000000">
            <w:pPr>
              <w:tabs>
                <w:tab w:val="right" w:pos="1418"/>
              </w:tabs>
              <w:spacing w:line="320" w:lineRule="exact"/>
              <w:jc w:val="center"/>
              <w:rPr>
                <w:sz w:val="20"/>
                <w:szCs w:val="22"/>
              </w:rPr>
            </w:pPr>
            <w:r>
              <w:rPr>
                <w:sz w:val="20"/>
                <w:szCs w:val="22"/>
              </w:rPr>
              <w:t>8.57</w:t>
            </w:r>
          </w:p>
        </w:tc>
      </w:tr>
      <w:tr w:rsidR="00000000">
        <w:trPr>
          <w:trHeight w:val="20"/>
        </w:trPr>
        <w:tc>
          <w:tcPr>
            <w:tcW w:w="720" w:type="dxa"/>
            <w:tcBorders>
              <w:top w:val="nil"/>
              <w:bottom w:val="nil"/>
              <w:right w:val="single" w:sz="18" w:space="0" w:color="auto"/>
            </w:tcBorders>
            <w:shd w:val="clear" w:color="auto" w:fill="FFFFD9"/>
          </w:tcPr>
          <w:p w:rsidR="00000000" w:rsidRDefault="00000000">
            <w:pPr>
              <w:spacing w:line="320" w:lineRule="exact"/>
              <w:rPr>
                <w:sz w:val="20"/>
                <w:szCs w:val="22"/>
              </w:rPr>
            </w:pPr>
            <w:r>
              <w:rPr>
                <w:sz w:val="20"/>
                <w:szCs w:val="22"/>
              </w:rPr>
              <w:t>4.</w:t>
            </w:r>
          </w:p>
        </w:tc>
        <w:tc>
          <w:tcPr>
            <w:tcW w:w="2850" w:type="dxa"/>
            <w:tcBorders>
              <w:top w:val="nil"/>
              <w:left w:val="single" w:sz="18" w:space="0" w:color="auto"/>
              <w:bottom w:val="nil"/>
              <w:right w:val="single" w:sz="18" w:space="0" w:color="auto"/>
            </w:tcBorders>
            <w:shd w:val="clear" w:color="auto" w:fill="FFFFD9"/>
          </w:tcPr>
          <w:p w:rsidR="00000000" w:rsidRDefault="00000000">
            <w:pPr>
              <w:spacing w:line="320" w:lineRule="exact"/>
              <w:ind w:left="340"/>
              <w:rPr>
                <w:sz w:val="20"/>
                <w:szCs w:val="22"/>
                <w:lang w:val="es-ES_tradnl"/>
              </w:rPr>
            </w:pPr>
            <w:r>
              <w:rPr>
                <w:sz w:val="20"/>
                <w:szCs w:val="22"/>
                <w:lang w:val="es-ES_tradnl"/>
              </w:rPr>
              <w:t>挪威</w:t>
            </w:r>
          </w:p>
        </w:tc>
        <w:tc>
          <w:tcPr>
            <w:tcW w:w="2100" w:type="dxa"/>
            <w:tcBorders>
              <w:top w:val="nil"/>
              <w:left w:val="single" w:sz="18" w:space="0" w:color="auto"/>
              <w:bottom w:val="nil"/>
              <w:right w:val="single" w:sz="18" w:space="0" w:color="auto"/>
            </w:tcBorders>
            <w:shd w:val="clear" w:color="auto" w:fill="FFFFD9"/>
          </w:tcPr>
          <w:p w:rsidR="00000000" w:rsidRDefault="00000000">
            <w:pPr>
              <w:tabs>
                <w:tab w:val="right" w:pos="1418"/>
              </w:tabs>
              <w:spacing w:line="320" w:lineRule="exact"/>
              <w:jc w:val="center"/>
              <w:rPr>
                <w:sz w:val="20"/>
                <w:szCs w:val="22"/>
                <w:lang w:val="es-ES_tradnl"/>
              </w:rPr>
            </w:pPr>
            <w:r>
              <w:rPr>
                <w:sz w:val="20"/>
                <w:szCs w:val="22"/>
                <w:lang w:val="es-ES_tradnl"/>
              </w:rPr>
              <w:t>3</w:t>
            </w:r>
          </w:p>
        </w:tc>
        <w:tc>
          <w:tcPr>
            <w:tcW w:w="3090" w:type="dxa"/>
            <w:tcBorders>
              <w:top w:val="nil"/>
              <w:left w:val="single" w:sz="18" w:space="0" w:color="auto"/>
              <w:bottom w:val="nil"/>
            </w:tcBorders>
            <w:shd w:val="clear" w:color="auto" w:fill="FFFFD9"/>
          </w:tcPr>
          <w:p w:rsidR="00000000" w:rsidRDefault="00000000">
            <w:pPr>
              <w:spacing w:line="320" w:lineRule="exact"/>
              <w:jc w:val="center"/>
              <w:rPr>
                <w:sz w:val="20"/>
                <w:szCs w:val="22"/>
              </w:rPr>
            </w:pPr>
            <w:r>
              <w:rPr>
                <w:sz w:val="20"/>
                <w:szCs w:val="22"/>
              </w:rPr>
              <w:t>8.57</w:t>
            </w:r>
          </w:p>
        </w:tc>
      </w:tr>
      <w:tr w:rsidR="00000000">
        <w:trPr>
          <w:trHeight w:val="20"/>
        </w:trPr>
        <w:tc>
          <w:tcPr>
            <w:tcW w:w="720" w:type="dxa"/>
            <w:tcBorders>
              <w:top w:val="nil"/>
              <w:bottom w:val="nil"/>
              <w:right w:val="single" w:sz="18" w:space="0" w:color="auto"/>
            </w:tcBorders>
            <w:shd w:val="clear" w:color="auto" w:fill="FFFFD9"/>
          </w:tcPr>
          <w:p w:rsidR="00000000" w:rsidRDefault="00000000">
            <w:pPr>
              <w:spacing w:line="320" w:lineRule="exact"/>
              <w:rPr>
                <w:sz w:val="20"/>
                <w:szCs w:val="22"/>
              </w:rPr>
            </w:pPr>
            <w:r>
              <w:rPr>
                <w:sz w:val="20"/>
                <w:szCs w:val="22"/>
              </w:rPr>
              <w:t>5.</w:t>
            </w:r>
          </w:p>
        </w:tc>
        <w:tc>
          <w:tcPr>
            <w:tcW w:w="2850" w:type="dxa"/>
            <w:tcBorders>
              <w:top w:val="nil"/>
              <w:left w:val="single" w:sz="18" w:space="0" w:color="auto"/>
              <w:bottom w:val="nil"/>
              <w:right w:val="single" w:sz="18" w:space="0" w:color="auto"/>
            </w:tcBorders>
            <w:shd w:val="clear" w:color="auto" w:fill="FFFFD9"/>
          </w:tcPr>
          <w:p w:rsidR="00000000" w:rsidRDefault="00000000">
            <w:pPr>
              <w:spacing w:line="320" w:lineRule="exact"/>
              <w:ind w:left="340"/>
              <w:rPr>
                <w:sz w:val="20"/>
                <w:szCs w:val="22"/>
                <w:lang w:val="es-ES_tradnl"/>
              </w:rPr>
            </w:pPr>
            <w:r>
              <w:rPr>
                <w:sz w:val="20"/>
                <w:szCs w:val="22"/>
                <w:lang w:val="es-ES_tradnl"/>
              </w:rPr>
              <w:t>斯洛伐克</w:t>
            </w:r>
          </w:p>
        </w:tc>
        <w:tc>
          <w:tcPr>
            <w:tcW w:w="2100" w:type="dxa"/>
            <w:tcBorders>
              <w:top w:val="nil"/>
              <w:left w:val="single" w:sz="18" w:space="0" w:color="auto"/>
              <w:bottom w:val="nil"/>
              <w:right w:val="single" w:sz="18" w:space="0" w:color="auto"/>
            </w:tcBorders>
            <w:shd w:val="clear" w:color="auto" w:fill="FFFFD9"/>
          </w:tcPr>
          <w:p w:rsidR="00000000" w:rsidRDefault="00000000">
            <w:pPr>
              <w:tabs>
                <w:tab w:val="right" w:pos="1418"/>
              </w:tabs>
              <w:spacing w:line="320" w:lineRule="exact"/>
              <w:jc w:val="center"/>
              <w:rPr>
                <w:sz w:val="20"/>
                <w:szCs w:val="22"/>
                <w:lang w:val="es-ES_tradnl"/>
              </w:rPr>
            </w:pPr>
            <w:r>
              <w:rPr>
                <w:sz w:val="20"/>
                <w:szCs w:val="22"/>
                <w:lang w:val="es-ES_tradnl"/>
              </w:rPr>
              <w:t>3</w:t>
            </w:r>
          </w:p>
        </w:tc>
        <w:tc>
          <w:tcPr>
            <w:tcW w:w="3090" w:type="dxa"/>
            <w:tcBorders>
              <w:top w:val="nil"/>
              <w:left w:val="single" w:sz="18" w:space="0" w:color="auto"/>
              <w:bottom w:val="nil"/>
            </w:tcBorders>
            <w:shd w:val="clear" w:color="auto" w:fill="FFFFD9"/>
          </w:tcPr>
          <w:p w:rsidR="00000000" w:rsidRDefault="00000000">
            <w:pPr>
              <w:spacing w:line="320" w:lineRule="exact"/>
              <w:jc w:val="center"/>
              <w:rPr>
                <w:sz w:val="20"/>
                <w:szCs w:val="22"/>
              </w:rPr>
            </w:pPr>
            <w:r>
              <w:rPr>
                <w:sz w:val="20"/>
                <w:szCs w:val="22"/>
              </w:rPr>
              <w:t>8.57</w:t>
            </w:r>
          </w:p>
        </w:tc>
      </w:tr>
      <w:tr w:rsidR="00000000">
        <w:trPr>
          <w:trHeight w:val="20"/>
        </w:trPr>
        <w:tc>
          <w:tcPr>
            <w:tcW w:w="720" w:type="dxa"/>
            <w:tcBorders>
              <w:top w:val="nil"/>
              <w:bottom w:val="nil"/>
              <w:right w:val="single" w:sz="18" w:space="0" w:color="auto"/>
            </w:tcBorders>
            <w:shd w:val="clear" w:color="auto" w:fill="FFFFD9"/>
          </w:tcPr>
          <w:p w:rsidR="00000000" w:rsidRDefault="00000000">
            <w:pPr>
              <w:spacing w:line="320" w:lineRule="exact"/>
              <w:rPr>
                <w:sz w:val="20"/>
                <w:szCs w:val="22"/>
              </w:rPr>
            </w:pPr>
            <w:r>
              <w:rPr>
                <w:sz w:val="20"/>
                <w:szCs w:val="22"/>
              </w:rPr>
              <w:t>6.</w:t>
            </w:r>
          </w:p>
        </w:tc>
        <w:tc>
          <w:tcPr>
            <w:tcW w:w="2850" w:type="dxa"/>
            <w:tcBorders>
              <w:top w:val="nil"/>
              <w:left w:val="single" w:sz="18" w:space="0" w:color="auto"/>
              <w:bottom w:val="nil"/>
              <w:right w:val="single" w:sz="18" w:space="0" w:color="auto"/>
            </w:tcBorders>
            <w:shd w:val="clear" w:color="auto" w:fill="FFFFD9"/>
          </w:tcPr>
          <w:p w:rsidR="00000000" w:rsidRDefault="00000000">
            <w:pPr>
              <w:spacing w:line="320" w:lineRule="exact"/>
              <w:ind w:left="340"/>
              <w:rPr>
                <w:sz w:val="20"/>
                <w:szCs w:val="22"/>
                <w:lang w:val="es-ES_tradnl"/>
              </w:rPr>
            </w:pPr>
            <w:r>
              <w:rPr>
                <w:sz w:val="20"/>
                <w:szCs w:val="22"/>
                <w:lang w:val="es-ES_tradnl"/>
              </w:rPr>
              <w:t>荷兰</w:t>
            </w:r>
          </w:p>
        </w:tc>
        <w:tc>
          <w:tcPr>
            <w:tcW w:w="2100" w:type="dxa"/>
            <w:tcBorders>
              <w:top w:val="nil"/>
              <w:left w:val="single" w:sz="18" w:space="0" w:color="auto"/>
              <w:bottom w:val="nil"/>
              <w:right w:val="single" w:sz="18" w:space="0" w:color="auto"/>
            </w:tcBorders>
            <w:shd w:val="clear" w:color="auto" w:fill="FFFFD9"/>
          </w:tcPr>
          <w:p w:rsidR="00000000" w:rsidRDefault="00000000">
            <w:pPr>
              <w:tabs>
                <w:tab w:val="right" w:pos="1418"/>
              </w:tabs>
              <w:spacing w:line="320" w:lineRule="exact"/>
              <w:jc w:val="center"/>
              <w:rPr>
                <w:sz w:val="20"/>
                <w:szCs w:val="22"/>
                <w:lang w:val="es-ES_tradnl"/>
              </w:rPr>
            </w:pPr>
            <w:r>
              <w:rPr>
                <w:sz w:val="20"/>
                <w:szCs w:val="22"/>
                <w:lang w:val="es-ES_tradnl"/>
              </w:rPr>
              <w:t>3</w:t>
            </w:r>
          </w:p>
        </w:tc>
        <w:tc>
          <w:tcPr>
            <w:tcW w:w="3090" w:type="dxa"/>
            <w:tcBorders>
              <w:top w:val="nil"/>
              <w:left w:val="single" w:sz="18" w:space="0" w:color="auto"/>
              <w:bottom w:val="nil"/>
            </w:tcBorders>
            <w:shd w:val="clear" w:color="auto" w:fill="FFFFD9"/>
          </w:tcPr>
          <w:p w:rsidR="00000000" w:rsidRDefault="00000000">
            <w:pPr>
              <w:spacing w:line="320" w:lineRule="exact"/>
              <w:jc w:val="center"/>
              <w:rPr>
                <w:sz w:val="20"/>
                <w:szCs w:val="22"/>
              </w:rPr>
            </w:pPr>
            <w:r>
              <w:rPr>
                <w:sz w:val="20"/>
                <w:szCs w:val="22"/>
              </w:rPr>
              <w:t>8.57</w:t>
            </w:r>
          </w:p>
        </w:tc>
      </w:tr>
      <w:tr w:rsidR="00000000">
        <w:trPr>
          <w:trHeight w:val="20"/>
        </w:trPr>
        <w:tc>
          <w:tcPr>
            <w:tcW w:w="720" w:type="dxa"/>
            <w:tcBorders>
              <w:top w:val="single" w:sz="18" w:space="0" w:color="auto"/>
              <w:bottom w:val="single" w:sz="18" w:space="0" w:color="auto"/>
              <w:right w:val="single" w:sz="18" w:space="0" w:color="auto"/>
            </w:tcBorders>
            <w:shd w:val="clear" w:color="auto" w:fill="E1FFE1"/>
          </w:tcPr>
          <w:p w:rsidR="00000000" w:rsidRDefault="00000000">
            <w:pPr>
              <w:spacing w:line="320" w:lineRule="exact"/>
              <w:rPr>
                <w:sz w:val="20"/>
                <w:szCs w:val="22"/>
              </w:rPr>
            </w:pPr>
          </w:p>
        </w:tc>
        <w:tc>
          <w:tcPr>
            <w:tcW w:w="2850"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spacing w:line="320" w:lineRule="exact"/>
              <w:jc w:val="center"/>
              <w:rPr>
                <w:b/>
                <w:bCs/>
                <w:sz w:val="20"/>
                <w:szCs w:val="22"/>
              </w:rPr>
            </w:pPr>
            <w:r>
              <w:rPr>
                <w:rFonts w:hint="eastAsia"/>
                <w:b/>
                <w:bCs/>
                <w:sz w:val="20"/>
                <w:szCs w:val="22"/>
              </w:rPr>
              <w:t>合</w:t>
            </w:r>
            <w:r>
              <w:rPr>
                <w:rFonts w:hint="eastAsia"/>
                <w:b/>
                <w:bCs/>
                <w:sz w:val="20"/>
                <w:szCs w:val="22"/>
              </w:rPr>
              <w:t xml:space="preserve">  </w:t>
            </w:r>
            <w:r>
              <w:rPr>
                <w:rFonts w:hint="eastAsia"/>
                <w:b/>
                <w:bCs/>
                <w:sz w:val="20"/>
                <w:szCs w:val="22"/>
              </w:rPr>
              <w:t>计</w:t>
            </w:r>
          </w:p>
        </w:tc>
        <w:tc>
          <w:tcPr>
            <w:tcW w:w="2100"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tabs>
                <w:tab w:val="right" w:pos="1418"/>
              </w:tabs>
              <w:spacing w:line="320" w:lineRule="exact"/>
              <w:jc w:val="center"/>
              <w:rPr>
                <w:b/>
                <w:bCs/>
                <w:sz w:val="20"/>
                <w:szCs w:val="22"/>
              </w:rPr>
            </w:pPr>
            <w:r>
              <w:rPr>
                <w:b/>
                <w:bCs/>
                <w:sz w:val="20"/>
                <w:szCs w:val="22"/>
              </w:rPr>
              <w:t>32</w:t>
            </w:r>
          </w:p>
        </w:tc>
        <w:tc>
          <w:tcPr>
            <w:tcW w:w="3090" w:type="dxa"/>
            <w:tcBorders>
              <w:top w:val="single" w:sz="18" w:space="0" w:color="auto"/>
              <w:left w:val="single" w:sz="18" w:space="0" w:color="auto"/>
              <w:bottom w:val="single" w:sz="18" w:space="0" w:color="auto"/>
            </w:tcBorders>
            <w:shd w:val="clear" w:color="auto" w:fill="E1FFE1"/>
          </w:tcPr>
          <w:p w:rsidR="00000000" w:rsidRDefault="00000000">
            <w:pPr>
              <w:tabs>
                <w:tab w:val="right" w:pos="1418"/>
              </w:tabs>
              <w:spacing w:line="320" w:lineRule="exact"/>
              <w:jc w:val="center"/>
              <w:rPr>
                <w:b/>
                <w:bCs/>
                <w:sz w:val="20"/>
                <w:szCs w:val="22"/>
              </w:rPr>
            </w:pPr>
            <w:r>
              <w:rPr>
                <w:b/>
                <w:bCs/>
                <w:sz w:val="20"/>
                <w:szCs w:val="22"/>
              </w:rPr>
              <w:t>91.43</w:t>
            </w:r>
          </w:p>
        </w:tc>
      </w:tr>
    </w:tbl>
    <w:p w:rsidR="00000000" w:rsidRDefault="00000000">
      <w:pPr>
        <w:spacing w:line="320" w:lineRule="exact"/>
        <w:rPr>
          <w:sz w:val="20"/>
        </w:rPr>
      </w:pPr>
    </w:p>
    <w:p w:rsidR="00000000" w:rsidRDefault="00000000">
      <w:pPr>
        <w:pStyle w:val="Heading2"/>
        <w:rPr>
          <w:rFonts w:hint="eastAsia"/>
        </w:rPr>
      </w:pPr>
      <w:r>
        <w:br w:type="page"/>
      </w:r>
      <w:r>
        <w:rPr>
          <w:rFonts w:hint="eastAsia"/>
        </w:rPr>
        <w:t>附</w:t>
      </w:r>
      <w:r>
        <w:rPr>
          <w:rFonts w:hint="eastAsia"/>
        </w:rPr>
        <w:t xml:space="preserve"> </w:t>
      </w:r>
      <w:r>
        <w:rPr>
          <w:rFonts w:hint="eastAsia"/>
        </w:rPr>
        <w:t>件</w:t>
      </w:r>
      <w:r>
        <w:rPr>
          <w:rFonts w:hint="eastAsia"/>
        </w:rPr>
        <w:t xml:space="preserve"> </w:t>
      </w:r>
      <w:r>
        <w:rPr>
          <w:rFonts w:hint="eastAsia"/>
        </w:rPr>
        <w:t>五</w:t>
      </w:r>
    </w:p>
    <w:p w:rsidR="00000000" w:rsidRDefault="00000000">
      <w:pPr>
        <w:pStyle w:val="Heading2"/>
        <w:rPr>
          <w:rFonts w:hint="eastAsia"/>
        </w:rPr>
      </w:pPr>
      <w:r>
        <w:rPr>
          <w:rFonts w:hint="eastAsia"/>
        </w:rPr>
        <w:t>人权条约机构所涉及的资源</w:t>
      </w:r>
    </w:p>
    <w:tbl>
      <w:tblPr>
        <w:tblW w:w="91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5"/>
        <w:gridCol w:w="1365"/>
        <w:gridCol w:w="1260"/>
        <w:gridCol w:w="1338"/>
      </w:tblGrid>
      <w:tr w:rsidR="00000000">
        <w:tc>
          <w:tcPr>
            <w:tcW w:w="5145" w:type="dxa"/>
          </w:tcPr>
          <w:p w:rsidR="00000000" w:rsidRDefault="00000000">
            <w:pPr>
              <w:spacing w:before="60"/>
              <w:jc w:val="center"/>
              <w:rPr>
                <w:b/>
                <w:bCs/>
                <w:sz w:val="20"/>
                <w:szCs w:val="22"/>
              </w:rPr>
            </w:pPr>
            <w:r>
              <w:rPr>
                <w:b/>
                <w:bCs/>
                <w:sz w:val="20"/>
                <w:szCs w:val="22"/>
              </w:rPr>
              <w:t>2006-2007</w:t>
            </w:r>
          </w:p>
        </w:tc>
        <w:tc>
          <w:tcPr>
            <w:tcW w:w="1365" w:type="dxa"/>
          </w:tcPr>
          <w:p w:rsidR="00000000" w:rsidRDefault="00000000">
            <w:pPr>
              <w:spacing w:before="60"/>
              <w:jc w:val="center"/>
              <w:rPr>
                <w:rFonts w:hint="eastAsia"/>
                <w:b/>
                <w:bCs/>
                <w:sz w:val="20"/>
                <w:szCs w:val="22"/>
              </w:rPr>
            </w:pPr>
            <w:r>
              <w:rPr>
                <w:rFonts w:hint="eastAsia"/>
                <w:b/>
                <w:bCs/>
                <w:sz w:val="20"/>
                <w:szCs w:val="22"/>
              </w:rPr>
              <w:t>经常预算</w:t>
            </w:r>
          </w:p>
        </w:tc>
        <w:tc>
          <w:tcPr>
            <w:tcW w:w="1260" w:type="dxa"/>
          </w:tcPr>
          <w:p w:rsidR="00000000" w:rsidRDefault="00000000">
            <w:pPr>
              <w:spacing w:before="60"/>
              <w:jc w:val="center"/>
              <w:rPr>
                <w:rFonts w:hint="eastAsia"/>
                <w:b/>
                <w:bCs/>
                <w:sz w:val="20"/>
                <w:szCs w:val="22"/>
              </w:rPr>
            </w:pPr>
            <w:r>
              <w:rPr>
                <w:rFonts w:hint="eastAsia"/>
                <w:b/>
                <w:bCs/>
                <w:sz w:val="20"/>
                <w:szCs w:val="22"/>
              </w:rPr>
              <w:t>预算外</w:t>
            </w:r>
          </w:p>
        </w:tc>
        <w:tc>
          <w:tcPr>
            <w:tcW w:w="1338" w:type="dxa"/>
          </w:tcPr>
          <w:p w:rsidR="00000000" w:rsidRDefault="00000000">
            <w:pPr>
              <w:spacing w:before="60"/>
              <w:jc w:val="center"/>
              <w:rPr>
                <w:rFonts w:hint="eastAsia"/>
                <w:b/>
                <w:bCs/>
                <w:sz w:val="20"/>
                <w:szCs w:val="22"/>
              </w:rPr>
            </w:pPr>
            <w:r>
              <w:rPr>
                <w:rFonts w:hint="eastAsia"/>
                <w:b/>
                <w:bCs/>
                <w:sz w:val="20"/>
                <w:szCs w:val="22"/>
              </w:rPr>
              <w:t>合</w:t>
            </w:r>
            <w:r>
              <w:rPr>
                <w:rFonts w:hint="eastAsia"/>
                <w:b/>
                <w:bCs/>
                <w:sz w:val="20"/>
                <w:szCs w:val="22"/>
              </w:rPr>
              <w:t xml:space="preserve">  </w:t>
            </w:r>
            <w:r>
              <w:rPr>
                <w:rFonts w:hint="eastAsia"/>
                <w:b/>
                <w:bCs/>
                <w:sz w:val="20"/>
                <w:szCs w:val="22"/>
              </w:rPr>
              <w:t>计</w:t>
            </w:r>
          </w:p>
        </w:tc>
      </w:tr>
      <w:tr w:rsidR="00000000">
        <w:tc>
          <w:tcPr>
            <w:tcW w:w="5145" w:type="dxa"/>
          </w:tcPr>
          <w:p w:rsidR="00000000" w:rsidRDefault="00000000">
            <w:pPr>
              <w:spacing w:before="60"/>
              <w:ind w:left="170"/>
              <w:rPr>
                <w:rFonts w:hint="eastAsia"/>
                <w:sz w:val="20"/>
                <w:szCs w:val="22"/>
              </w:rPr>
            </w:pPr>
            <w:r>
              <w:rPr>
                <w:rFonts w:hint="eastAsia"/>
                <w:sz w:val="20"/>
                <w:szCs w:val="22"/>
              </w:rPr>
              <w:t>结核病专家</w:t>
            </w:r>
            <w:r>
              <w:rPr>
                <w:rFonts w:hint="eastAsia"/>
                <w:sz w:val="20"/>
                <w:szCs w:val="22"/>
              </w:rPr>
              <w:t>(</w:t>
            </w:r>
            <w:r>
              <w:rPr>
                <w:rFonts w:hint="eastAsia"/>
                <w:sz w:val="20"/>
                <w:szCs w:val="22"/>
              </w:rPr>
              <w:t>旅费和每日津贴</w:t>
            </w:r>
            <w:r>
              <w:rPr>
                <w:rFonts w:hint="eastAsia"/>
                <w:sz w:val="20"/>
                <w:szCs w:val="22"/>
              </w:rPr>
              <w:t>)</w:t>
            </w:r>
            <w:r>
              <w:rPr>
                <w:rFonts w:hint="eastAsia"/>
                <w:sz w:val="20"/>
                <w:szCs w:val="22"/>
              </w:rPr>
              <w:t>，人权高专办</w:t>
            </w:r>
          </w:p>
        </w:tc>
        <w:tc>
          <w:tcPr>
            <w:tcW w:w="1365" w:type="dxa"/>
          </w:tcPr>
          <w:p w:rsidR="00000000" w:rsidRDefault="00000000">
            <w:pPr>
              <w:spacing w:before="60"/>
              <w:ind w:right="113"/>
              <w:jc w:val="right"/>
              <w:rPr>
                <w:sz w:val="20"/>
                <w:szCs w:val="22"/>
              </w:rPr>
            </w:pPr>
            <w:r>
              <w:rPr>
                <w:sz w:val="20"/>
                <w:szCs w:val="22"/>
              </w:rPr>
              <w:t>5,957,800</w:t>
            </w:r>
          </w:p>
        </w:tc>
        <w:tc>
          <w:tcPr>
            <w:tcW w:w="1260" w:type="dxa"/>
          </w:tcPr>
          <w:p w:rsidR="00000000" w:rsidRDefault="00000000">
            <w:pPr>
              <w:spacing w:before="60"/>
              <w:ind w:right="113"/>
              <w:jc w:val="right"/>
              <w:rPr>
                <w:sz w:val="20"/>
                <w:szCs w:val="22"/>
              </w:rPr>
            </w:pPr>
            <w:r>
              <w:rPr>
                <w:sz w:val="20"/>
                <w:szCs w:val="22"/>
              </w:rPr>
              <w:t>2,625,200</w:t>
            </w:r>
          </w:p>
        </w:tc>
        <w:tc>
          <w:tcPr>
            <w:tcW w:w="1338" w:type="dxa"/>
          </w:tcPr>
          <w:p w:rsidR="00000000" w:rsidRDefault="00000000">
            <w:pPr>
              <w:spacing w:before="60"/>
              <w:ind w:right="113"/>
              <w:jc w:val="right"/>
              <w:rPr>
                <w:sz w:val="20"/>
                <w:szCs w:val="22"/>
              </w:rPr>
            </w:pPr>
            <w:r>
              <w:rPr>
                <w:sz w:val="20"/>
                <w:szCs w:val="22"/>
              </w:rPr>
              <w:t>8,583,000</w:t>
            </w:r>
          </w:p>
        </w:tc>
      </w:tr>
      <w:tr w:rsidR="00000000">
        <w:tc>
          <w:tcPr>
            <w:tcW w:w="5145" w:type="dxa"/>
          </w:tcPr>
          <w:p w:rsidR="00000000" w:rsidRDefault="00000000">
            <w:pPr>
              <w:spacing w:before="60"/>
              <w:ind w:left="170"/>
              <w:rPr>
                <w:rFonts w:hint="eastAsia"/>
                <w:sz w:val="20"/>
                <w:szCs w:val="22"/>
              </w:rPr>
            </w:pPr>
            <w:r>
              <w:rPr>
                <w:rFonts w:hint="eastAsia"/>
                <w:sz w:val="20"/>
                <w:szCs w:val="22"/>
              </w:rPr>
              <w:t>人权高专办工作人员</w:t>
            </w:r>
          </w:p>
        </w:tc>
        <w:tc>
          <w:tcPr>
            <w:tcW w:w="1365" w:type="dxa"/>
          </w:tcPr>
          <w:p w:rsidR="00000000" w:rsidRDefault="00000000">
            <w:pPr>
              <w:spacing w:before="60"/>
              <w:ind w:right="113"/>
              <w:jc w:val="right"/>
              <w:rPr>
                <w:sz w:val="20"/>
                <w:szCs w:val="22"/>
              </w:rPr>
            </w:pPr>
            <w:r>
              <w:rPr>
                <w:sz w:val="20"/>
                <w:szCs w:val="22"/>
              </w:rPr>
              <w:t>10,756,500</w:t>
            </w:r>
          </w:p>
        </w:tc>
        <w:tc>
          <w:tcPr>
            <w:tcW w:w="1260" w:type="dxa"/>
          </w:tcPr>
          <w:p w:rsidR="00000000" w:rsidRDefault="00000000">
            <w:pPr>
              <w:spacing w:before="60"/>
              <w:ind w:right="113"/>
              <w:jc w:val="right"/>
              <w:rPr>
                <w:sz w:val="20"/>
                <w:szCs w:val="22"/>
              </w:rPr>
            </w:pPr>
            <w:r>
              <w:rPr>
                <w:sz w:val="20"/>
                <w:szCs w:val="22"/>
              </w:rPr>
              <w:t>6,133,000</w:t>
            </w:r>
          </w:p>
        </w:tc>
        <w:tc>
          <w:tcPr>
            <w:tcW w:w="1338" w:type="dxa"/>
          </w:tcPr>
          <w:p w:rsidR="00000000" w:rsidRDefault="00000000">
            <w:pPr>
              <w:spacing w:before="60"/>
              <w:ind w:right="113"/>
              <w:jc w:val="right"/>
              <w:rPr>
                <w:sz w:val="20"/>
                <w:szCs w:val="22"/>
              </w:rPr>
            </w:pPr>
            <w:r>
              <w:rPr>
                <w:sz w:val="20"/>
                <w:szCs w:val="22"/>
              </w:rPr>
              <w:t>16,889,500</w:t>
            </w:r>
          </w:p>
        </w:tc>
      </w:tr>
      <w:tr w:rsidR="00000000">
        <w:tc>
          <w:tcPr>
            <w:tcW w:w="5145" w:type="dxa"/>
          </w:tcPr>
          <w:p w:rsidR="00000000" w:rsidRDefault="00000000">
            <w:pPr>
              <w:spacing w:before="60"/>
              <w:ind w:left="170"/>
              <w:rPr>
                <w:sz w:val="20"/>
                <w:szCs w:val="22"/>
              </w:rPr>
            </w:pPr>
            <w:r>
              <w:rPr>
                <w:rFonts w:hint="eastAsia"/>
                <w:sz w:val="20"/>
                <w:szCs w:val="22"/>
              </w:rPr>
              <w:t>提高妇女地位司</w:t>
            </w:r>
            <w:r>
              <w:rPr>
                <w:rFonts w:hint="eastAsia"/>
                <w:sz w:val="20"/>
                <w:szCs w:val="22"/>
              </w:rPr>
              <w:t xml:space="preserve"> </w:t>
            </w:r>
            <w:r>
              <w:rPr>
                <w:rStyle w:val="FootnoteReference"/>
                <w:sz w:val="20"/>
                <w:szCs w:val="22"/>
              </w:rPr>
              <w:footnoteReference w:id="125"/>
            </w:r>
          </w:p>
        </w:tc>
        <w:tc>
          <w:tcPr>
            <w:tcW w:w="1365" w:type="dxa"/>
          </w:tcPr>
          <w:p w:rsidR="00000000" w:rsidRDefault="00000000">
            <w:pPr>
              <w:spacing w:before="60"/>
              <w:ind w:right="113"/>
              <w:jc w:val="right"/>
              <w:rPr>
                <w:sz w:val="20"/>
                <w:szCs w:val="22"/>
              </w:rPr>
            </w:pPr>
            <w:r>
              <w:rPr>
                <w:sz w:val="20"/>
                <w:szCs w:val="22"/>
              </w:rPr>
              <w:t>2,912,000</w:t>
            </w:r>
          </w:p>
        </w:tc>
        <w:tc>
          <w:tcPr>
            <w:tcW w:w="1260" w:type="dxa"/>
          </w:tcPr>
          <w:p w:rsidR="00000000" w:rsidRDefault="00000000">
            <w:pPr>
              <w:spacing w:before="60"/>
              <w:ind w:right="113"/>
              <w:jc w:val="right"/>
              <w:rPr>
                <w:sz w:val="20"/>
                <w:szCs w:val="22"/>
              </w:rPr>
            </w:pPr>
            <w:r>
              <w:rPr>
                <w:sz w:val="20"/>
                <w:szCs w:val="22"/>
              </w:rPr>
              <w:t>n/a</w:t>
            </w:r>
          </w:p>
        </w:tc>
        <w:tc>
          <w:tcPr>
            <w:tcW w:w="1338" w:type="dxa"/>
          </w:tcPr>
          <w:p w:rsidR="00000000" w:rsidRDefault="00000000">
            <w:pPr>
              <w:spacing w:before="60"/>
              <w:ind w:right="113"/>
              <w:jc w:val="right"/>
              <w:rPr>
                <w:sz w:val="20"/>
                <w:szCs w:val="22"/>
              </w:rPr>
            </w:pPr>
            <w:r>
              <w:rPr>
                <w:sz w:val="20"/>
                <w:szCs w:val="22"/>
              </w:rPr>
              <w:t>2,912,000</w:t>
            </w:r>
          </w:p>
        </w:tc>
      </w:tr>
      <w:tr w:rsidR="00000000">
        <w:tc>
          <w:tcPr>
            <w:tcW w:w="5145" w:type="dxa"/>
          </w:tcPr>
          <w:p w:rsidR="00000000" w:rsidRDefault="00000000">
            <w:pPr>
              <w:spacing w:before="60"/>
              <w:ind w:left="170"/>
              <w:rPr>
                <w:rFonts w:hint="eastAsia"/>
                <w:sz w:val="20"/>
                <w:szCs w:val="22"/>
              </w:rPr>
            </w:pPr>
            <w:r>
              <w:rPr>
                <w:rFonts w:hint="eastAsia"/>
                <w:sz w:val="20"/>
                <w:szCs w:val="22"/>
              </w:rPr>
              <w:t>消除对妇女歧视委员会</w:t>
            </w:r>
          </w:p>
        </w:tc>
        <w:tc>
          <w:tcPr>
            <w:tcW w:w="1365" w:type="dxa"/>
          </w:tcPr>
          <w:p w:rsidR="00000000" w:rsidRDefault="00000000">
            <w:pPr>
              <w:spacing w:before="60"/>
              <w:ind w:right="113"/>
              <w:jc w:val="right"/>
              <w:rPr>
                <w:sz w:val="20"/>
                <w:szCs w:val="22"/>
              </w:rPr>
            </w:pPr>
            <w:r>
              <w:rPr>
                <w:sz w:val="20"/>
                <w:szCs w:val="22"/>
              </w:rPr>
              <w:t>1,142,200</w:t>
            </w:r>
          </w:p>
        </w:tc>
        <w:tc>
          <w:tcPr>
            <w:tcW w:w="1260" w:type="dxa"/>
          </w:tcPr>
          <w:p w:rsidR="00000000" w:rsidRDefault="00000000">
            <w:pPr>
              <w:spacing w:before="60"/>
              <w:ind w:right="113"/>
              <w:jc w:val="right"/>
              <w:rPr>
                <w:sz w:val="20"/>
                <w:szCs w:val="22"/>
              </w:rPr>
            </w:pPr>
            <w:r>
              <w:rPr>
                <w:sz w:val="20"/>
                <w:szCs w:val="22"/>
              </w:rPr>
              <w:t>n/a</w:t>
            </w:r>
          </w:p>
        </w:tc>
        <w:tc>
          <w:tcPr>
            <w:tcW w:w="1338" w:type="dxa"/>
          </w:tcPr>
          <w:p w:rsidR="00000000" w:rsidRDefault="00000000">
            <w:pPr>
              <w:spacing w:before="60"/>
              <w:ind w:right="113"/>
              <w:jc w:val="right"/>
              <w:rPr>
                <w:sz w:val="20"/>
                <w:szCs w:val="22"/>
              </w:rPr>
            </w:pPr>
            <w:r>
              <w:rPr>
                <w:sz w:val="20"/>
                <w:szCs w:val="22"/>
              </w:rPr>
              <w:t>1,142,200</w:t>
            </w:r>
          </w:p>
        </w:tc>
      </w:tr>
      <w:tr w:rsidR="00000000">
        <w:tc>
          <w:tcPr>
            <w:tcW w:w="5145" w:type="dxa"/>
          </w:tcPr>
          <w:p w:rsidR="00000000" w:rsidRDefault="00000000">
            <w:pPr>
              <w:spacing w:before="60"/>
              <w:ind w:left="170"/>
              <w:rPr>
                <w:sz w:val="20"/>
                <w:szCs w:val="22"/>
              </w:rPr>
            </w:pPr>
            <w:r>
              <w:rPr>
                <w:rFonts w:hint="eastAsia"/>
                <w:sz w:val="20"/>
                <w:szCs w:val="22"/>
              </w:rPr>
              <w:t>会议事务</w:t>
            </w:r>
            <w:r>
              <w:rPr>
                <w:rFonts w:hint="eastAsia"/>
                <w:sz w:val="20"/>
                <w:szCs w:val="22"/>
              </w:rPr>
              <w:t xml:space="preserve"> </w:t>
            </w:r>
            <w:r>
              <w:rPr>
                <w:rStyle w:val="FootnoteReference"/>
                <w:sz w:val="20"/>
                <w:szCs w:val="22"/>
              </w:rPr>
              <w:footnoteReference w:id="126"/>
            </w:r>
          </w:p>
        </w:tc>
        <w:tc>
          <w:tcPr>
            <w:tcW w:w="1365" w:type="dxa"/>
          </w:tcPr>
          <w:p w:rsidR="00000000" w:rsidRDefault="00000000">
            <w:pPr>
              <w:spacing w:before="60"/>
              <w:ind w:right="113"/>
              <w:jc w:val="right"/>
              <w:rPr>
                <w:sz w:val="20"/>
                <w:szCs w:val="22"/>
              </w:rPr>
            </w:pPr>
            <w:r>
              <w:rPr>
                <w:sz w:val="20"/>
                <w:szCs w:val="22"/>
              </w:rPr>
              <w:t>19,200,000</w:t>
            </w:r>
          </w:p>
        </w:tc>
        <w:tc>
          <w:tcPr>
            <w:tcW w:w="1260" w:type="dxa"/>
          </w:tcPr>
          <w:p w:rsidR="00000000" w:rsidRDefault="00000000">
            <w:pPr>
              <w:spacing w:before="60"/>
              <w:ind w:right="113"/>
              <w:jc w:val="right"/>
              <w:rPr>
                <w:sz w:val="20"/>
                <w:szCs w:val="22"/>
              </w:rPr>
            </w:pPr>
            <w:r>
              <w:rPr>
                <w:sz w:val="20"/>
                <w:szCs w:val="22"/>
              </w:rPr>
              <w:t>n/a</w:t>
            </w:r>
          </w:p>
        </w:tc>
        <w:tc>
          <w:tcPr>
            <w:tcW w:w="1338" w:type="dxa"/>
          </w:tcPr>
          <w:p w:rsidR="00000000" w:rsidRDefault="00000000">
            <w:pPr>
              <w:spacing w:before="60"/>
              <w:ind w:right="113"/>
              <w:jc w:val="right"/>
              <w:rPr>
                <w:sz w:val="20"/>
                <w:szCs w:val="22"/>
              </w:rPr>
            </w:pPr>
            <w:r>
              <w:rPr>
                <w:sz w:val="20"/>
                <w:szCs w:val="22"/>
              </w:rPr>
              <w:t>19,200,000</w:t>
            </w:r>
          </w:p>
        </w:tc>
      </w:tr>
    </w:tbl>
    <w:p w:rsidR="00000000" w:rsidRDefault="00000000">
      <w:pPr>
        <w:rPr>
          <w:rFonts w:hint="eastAsia"/>
        </w:rPr>
      </w:pPr>
    </w:p>
    <w:p w:rsidR="00000000" w:rsidRDefault="00000000">
      <w:pPr>
        <w:pStyle w:val="Heading4"/>
        <w:rPr>
          <w:rFonts w:hint="eastAsia"/>
        </w:rPr>
      </w:pPr>
      <w:r>
        <w:rPr>
          <w:rFonts w:hint="eastAsia"/>
        </w:rPr>
        <w:t>2006-2007</w:t>
      </w:r>
    </w:p>
    <w:p w:rsidR="00000000" w:rsidRDefault="00000000">
      <w:pPr>
        <w:rPr>
          <w:rFonts w:hint="eastAsia"/>
        </w:rPr>
      </w:pPr>
      <w:r>
        <w:rPr>
          <w:rFonts w:hint="eastAsia"/>
        </w:rPr>
        <w:tab/>
      </w:r>
      <w:r>
        <w:rPr>
          <w:rFonts w:hint="eastAsia"/>
        </w:rPr>
        <w:t>联合国经常预算</w:t>
      </w:r>
      <w:r>
        <w:rPr>
          <w:rFonts w:hint="eastAsia"/>
        </w:rPr>
        <w:t>(</w:t>
      </w:r>
      <w:r>
        <w:rPr>
          <w:rFonts w:hint="eastAsia"/>
        </w:rPr>
        <w:t>第</w:t>
      </w:r>
      <w:r>
        <w:rPr>
          <w:rFonts w:hint="eastAsia"/>
        </w:rPr>
        <w:t>24</w:t>
      </w:r>
      <w:r>
        <w:rPr>
          <w:rFonts w:hint="eastAsia"/>
        </w:rPr>
        <w:t>款</w:t>
      </w:r>
      <w:r>
        <w:rPr>
          <w:rFonts w:hint="eastAsia"/>
        </w:rPr>
        <w:t>)</w:t>
      </w:r>
      <w:r>
        <w:rPr>
          <w:rFonts w:hint="eastAsia"/>
        </w:rPr>
        <w:t>分方案</w:t>
      </w:r>
      <w:r>
        <w:rPr>
          <w:rFonts w:hint="eastAsia"/>
        </w:rPr>
        <w:t>2</w:t>
      </w:r>
      <w:r>
        <w:rPr>
          <w:rFonts w:hint="eastAsia"/>
        </w:rPr>
        <w:t>为设在日内瓦的六个条约机构拨款</w:t>
      </w:r>
      <w:r>
        <w:rPr>
          <w:rFonts w:hint="eastAsia"/>
        </w:rPr>
        <w:t>5,957,800</w:t>
      </w:r>
      <w:r>
        <w:rPr>
          <w:rFonts w:hint="eastAsia"/>
        </w:rPr>
        <w:t>美元，用于</w:t>
      </w:r>
      <w:r>
        <w:rPr>
          <w:rFonts w:hint="eastAsia"/>
        </w:rPr>
        <w:t>92</w:t>
      </w:r>
      <w:r>
        <w:rPr>
          <w:rFonts w:hint="eastAsia"/>
        </w:rPr>
        <w:t>名专家的旅费和每日津贴。</w:t>
      </w:r>
    </w:p>
    <w:p w:rsidR="00000000" w:rsidRDefault="00000000">
      <w:pPr>
        <w:rPr>
          <w:rFonts w:hint="eastAsia"/>
        </w:rPr>
      </w:pPr>
      <w:r>
        <w:rPr>
          <w:rFonts w:hint="eastAsia"/>
        </w:rPr>
        <w:tab/>
      </w:r>
      <w:r>
        <w:rPr>
          <w:rFonts w:hint="eastAsia"/>
        </w:rPr>
        <w:t>第</w:t>
      </w:r>
      <w:r>
        <w:rPr>
          <w:rFonts w:hint="eastAsia"/>
        </w:rPr>
        <w:t>9</w:t>
      </w:r>
      <w:r>
        <w:rPr>
          <w:rFonts w:hint="eastAsia"/>
        </w:rPr>
        <w:t>款分方案</w:t>
      </w:r>
      <w:r>
        <w:rPr>
          <w:rFonts w:hint="eastAsia"/>
        </w:rPr>
        <w:t>2(DAW/DESA)</w:t>
      </w:r>
      <w:r>
        <w:rPr>
          <w:rFonts w:hint="eastAsia"/>
        </w:rPr>
        <w:t>为消除对妇女歧视委员会的</w:t>
      </w:r>
      <w:r>
        <w:rPr>
          <w:rFonts w:hint="eastAsia"/>
        </w:rPr>
        <w:t>23</w:t>
      </w:r>
      <w:r>
        <w:rPr>
          <w:rFonts w:hint="eastAsia"/>
        </w:rPr>
        <w:t>名专家拨出旅费和每日津贴款共</w:t>
      </w:r>
      <w:r>
        <w:rPr>
          <w:rFonts w:hint="eastAsia"/>
        </w:rPr>
        <w:t>1,142,200</w:t>
      </w:r>
      <w:r>
        <w:rPr>
          <w:rFonts w:hint="eastAsia"/>
        </w:rPr>
        <w:t>美元。</w:t>
      </w:r>
    </w:p>
    <w:p w:rsidR="00000000" w:rsidRDefault="00000000">
      <w:pPr>
        <w:rPr>
          <w:rFonts w:hint="eastAsia"/>
        </w:rPr>
      </w:pPr>
      <w:r>
        <w:rPr>
          <w:rFonts w:hint="eastAsia"/>
        </w:rPr>
        <w:tab/>
        <w:t>2006-2007</w:t>
      </w:r>
      <w:r>
        <w:rPr>
          <w:rFonts w:hint="eastAsia"/>
        </w:rPr>
        <w:t>两年期</w:t>
      </w:r>
      <w:r>
        <w:rPr>
          <w:rFonts w:hint="eastAsia"/>
        </w:rPr>
        <w:t>117</w:t>
      </w:r>
      <w:r>
        <w:rPr>
          <w:rFonts w:hint="eastAsia"/>
        </w:rPr>
        <w:t>名专家旅费和每日津贴总共拨款</w:t>
      </w:r>
      <w:r>
        <w:rPr>
          <w:rFonts w:hint="eastAsia"/>
        </w:rPr>
        <w:t>710</w:t>
      </w:r>
      <w:r>
        <w:rPr>
          <w:rFonts w:hint="eastAsia"/>
        </w:rPr>
        <w:t>万美元。</w:t>
      </w:r>
    </w:p>
    <w:p w:rsidR="00000000" w:rsidRDefault="00000000">
      <w:pPr>
        <w:spacing w:after="320"/>
        <w:rPr>
          <w:rFonts w:hint="eastAsia"/>
        </w:rPr>
      </w:pPr>
      <w:r>
        <w:rPr>
          <w:rFonts w:hint="eastAsia"/>
        </w:rPr>
        <w:tab/>
      </w:r>
      <w:r>
        <w:rPr>
          <w:rFonts w:hint="eastAsia"/>
        </w:rPr>
        <w:t>建立一个有</w:t>
      </w:r>
      <w:r>
        <w:rPr>
          <w:rFonts w:hint="eastAsia"/>
        </w:rPr>
        <w:t>25</w:t>
      </w:r>
      <w:r>
        <w:rPr>
          <w:rFonts w:hint="eastAsia"/>
        </w:rPr>
        <w:t>名专家组成的常设机构每年将花费大约</w:t>
      </w:r>
      <w:r>
        <w:rPr>
          <w:rFonts w:hint="eastAsia"/>
        </w:rPr>
        <w:t>770</w:t>
      </w:r>
      <w:r>
        <w:rPr>
          <w:rFonts w:hint="eastAsia"/>
        </w:rPr>
        <w:t>万美元。预计这些专家的级别相当于副秘书长级别。</w:t>
      </w:r>
    </w:p>
    <w:p w:rsidR="00000000" w:rsidRDefault="00000000">
      <w:pPr>
        <w:pStyle w:val="Heading4"/>
        <w:rPr>
          <w:rFonts w:hint="eastAsia"/>
        </w:rPr>
      </w:pPr>
      <w:r>
        <w:rPr>
          <w:rFonts w:hint="eastAsia"/>
        </w:rPr>
        <w:t>会议事务费用</w:t>
      </w:r>
    </w:p>
    <w:p w:rsidR="00000000" w:rsidRDefault="00000000">
      <w:pPr>
        <w:rPr>
          <w:rFonts w:hint="eastAsia"/>
        </w:rPr>
      </w:pPr>
      <w:r>
        <w:rPr>
          <w:rFonts w:hint="eastAsia"/>
        </w:rPr>
        <w:tab/>
      </w:r>
      <w:r>
        <w:rPr>
          <w:rFonts w:hint="eastAsia"/>
        </w:rPr>
        <w:t>根据纽约会议部门所提供的方案预算影响估计</w:t>
      </w:r>
      <w:r>
        <w:rPr>
          <w:rFonts w:hint="eastAsia"/>
        </w:rPr>
        <w:t>(</w:t>
      </w:r>
      <w:r>
        <w:rPr>
          <w:rFonts w:hint="eastAsia"/>
        </w:rPr>
        <w:t>用于</w:t>
      </w:r>
      <w:r>
        <w:rPr>
          <w:rFonts w:hint="eastAsia"/>
        </w:rPr>
        <w:t>2007</w:t>
      </w:r>
      <w:r>
        <w:rPr>
          <w:rFonts w:hint="eastAsia"/>
        </w:rPr>
        <w:t>年消除对妇女歧视委员会召开额外一届会议，</w:t>
      </w:r>
      <w:r>
        <w:rPr>
          <w:rFonts w:hint="eastAsia"/>
        </w:rPr>
        <w:t>A/59/38</w:t>
      </w:r>
      <w:r>
        <w:rPr>
          <w:rFonts w:hint="eastAsia"/>
        </w:rPr>
        <w:t>附件九，另外也用于儿童权利委员会的两个审议室</w:t>
      </w:r>
      <w:r>
        <w:rPr>
          <w:rFonts w:hint="eastAsia"/>
        </w:rPr>
        <w:t>)</w:t>
      </w:r>
      <w:r>
        <w:rPr>
          <w:rFonts w:hint="eastAsia"/>
        </w:rPr>
        <w:t>，召开</w:t>
      </w:r>
      <w:r>
        <w:rPr>
          <w:rFonts w:hint="eastAsia"/>
        </w:rPr>
        <w:t>3</w:t>
      </w:r>
      <w:r>
        <w:rPr>
          <w:rFonts w:hint="eastAsia"/>
        </w:rPr>
        <w:t>个星期的会议另加一个星期的工作组会议，将大约花费</w:t>
      </w:r>
      <w:r>
        <w:rPr>
          <w:rFonts w:hint="eastAsia"/>
        </w:rPr>
        <w:t>120</w:t>
      </w:r>
      <w:r>
        <w:rPr>
          <w:rFonts w:hint="eastAsia"/>
        </w:rPr>
        <w:t>万美元。</w:t>
      </w:r>
    </w:p>
    <w:p w:rsidR="00000000" w:rsidRDefault="00000000">
      <w:pPr>
        <w:rPr>
          <w:rFonts w:hint="eastAsia"/>
        </w:rPr>
      </w:pPr>
      <w:r>
        <w:rPr>
          <w:rFonts w:hint="eastAsia"/>
        </w:rPr>
        <w:tab/>
      </w:r>
      <w:r>
        <w:rPr>
          <w:rFonts w:hint="eastAsia"/>
        </w:rPr>
        <w:t>因此，每年要求召开的</w:t>
      </w:r>
      <w:r>
        <w:rPr>
          <w:rFonts w:hint="eastAsia"/>
        </w:rPr>
        <w:t>13</w:t>
      </w:r>
      <w:r>
        <w:rPr>
          <w:rFonts w:hint="eastAsia"/>
        </w:rPr>
        <w:t>届条约机构会议</w:t>
      </w:r>
      <w:r>
        <w:rPr>
          <w:rFonts w:hint="eastAsia"/>
        </w:rPr>
        <w:t xml:space="preserve"> </w:t>
      </w:r>
      <w:r>
        <w:rPr>
          <w:rStyle w:val="FootnoteReference"/>
        </w:rPr>
        <w:footnoteReference w:id="127"/>
      </w:r>
      <w:r>
        <w:rPr>
          <w:rFonts w:hint="eastAsia"/>
        </w:rPr>
        <w:t xml:space="preserve"> </w:t>
      </w:r>
      <w:r>
        <w:rPr>
          <w:rFonts w:hint="eastAsia"/>
        </w:rPr>
        <w:t>将要求大约向会议事务部门拨款</w:t>
      </w:r>
      <w:r>
        <w:rPr>
          <w:rFonts w:hint="eastAsia"/>
        </w:rPr>
        <w:t>1,920</w:t>
      </w:r>
      <w:r>
        <w:rPr>
          <w:rFonts w:hint="eastAsia"/>
        </w:rPr>
        <w:t>万美元。这些资源大部分已经提供给会议事务部门。</w:t>
      </w:r>
    </w:p>
    <w:p w:rsidR="00000000" w:rsidRDefault="00000000">
      <w:pPr>
        <w:rPr>
          <w:rFonts w:hint="eastAsia"/>
        </w:rPr>
      </w:pPr>
    </w:p>
    <w:p w:rsidR="00000000" w:rsidRDefault="00000000">
      <w:pPr>
        <w:rPr>
          <w:rFonts w:hint="eastAsia"/>
        </w:rPr>
      </w:pPr>
    </w:p>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长城楷体">
    <w:altName w:val="Arial Unicode MS"/>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06-41074 (C)</w:t>
          </w:r>
        </w:p>
      </w:tc>
      <w:tc>
        <w:tcPr>
          <w:tcW w:w="1050" w:type="dxa"/>
        </w:tcPr>
        <w:p w:rsidR="00000000" w:rsidRDefault="00000000">
          <w:pPr>
            <w:pStyle w:val="Footer"/>
          </w:pPr>
          <w:r>
            <w:t>010506</w:t>
          </w:r>
        </w:p>
      </w:tc>
      <w:tc>
        <w:tcPr>
          <w:tcW w:w="6061" w:type="dxa"/>
        </w:tcPr>
        <w:p w:rsidR="00000000" w:rsidRDefault="00000000">
          <w:pPr>
            <w:pStyle w:val="Footer"/>
          </w:pPr>
          <w:r>
            <w:t>030506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rPr>
          <w:rFonts w:hint="eastAsia"/>
        </w:rPr>
        <w:tab/>
      </w:r>
      <w:r>
        <w:t>A/59/2005/Add.3</w:t>
      </w:r>
      <w:r>
        <w:rPr>
          <w:rFonts w:hint="eastAsia"/>
        </w:rPr>
        <w:t>，第</w:t>
      </w:r>
      <w:r>
        <w:t>147</w:t>
      </w:r>
      <w:r>
        <w:rPr>
          <w:rFonts w:hint="eastAsia"/>
        </w:rPr>
        <w:t>段。</w:t>
      </w:r>
    </w:p>
  </w:footnote>
  <w:footnote w:id="2">
    <w:p w:rsidR="00000000" w:rsidRDefault="00000000">
      <w:pPr>
        <w:pStyle w:val="FootnoteText"/>
      </w:pPr>
      <w:r>
        <w:rPr>
          <w:rStyle w:val="FootnoteReference"/>
        </w:rPr>
        <w:footnoteRef/>
      </w:r>
      <w:r>
        <w:rPr>
          <w:rFonts w:hint="eastAsia"/>
        </w:rPr>
        <w:tab/>
      </w:r>
      <w:r>
        <w:rPr>
          <w:rFonts w:hint="eastAsia"/>
        </w:rPr>
        <w:t>在与高级专员进行商讨过程中，一些条约机构经高级专员邀请对其建议提出了初步看法；见</w:t>
      </w:r>
      <w:r>
        <w:t>CERD/C/SR.1723</w:t>
      </w:r>
      <w:r>
        <w:rPr>
          <w:rFonts w:hint="eastAsia"/>
        </w:rPr>
        <w:t>、</w:t>
      </w:r>
      <w:r>
        <w:t>CERD/C/SR.17</w:t>
      </w:r>
      <w:r>
        <w:rPr>
          <w:rFonts w:hint="eastAsia"/>
        </w:rPr>
        <w:t>2</w:t>
      </w:r>
      <w:r>
        <w:t>6</w:t>
      </w:r>
      <w:r>
        <w:rPr>
          <w:rFonts w:hint="eastAsia"/>
        </w:rPr>
        <w:t>、</w:t>
      </w:r>
      <w:r>
        <w:t>CCPR/C/SR.2296</w:t>
      </w:r>
      <w:r>
        <w:rPr>
          <w:rFonts w:hint="eastAsia"/>
        </w:rPr>
        <w:t>、</w:t>
      </w:r>
      <w:r>
        <w:t>E/C.12/2005/SR.47</w:t>
      </w:r>
      <w:r>
        <w:rPr>
          <w:rFonts w:hint="eastAsia"/>
        </w:rPr>
        <w:t>和</w:t>
      </w:r>
      <w:r>
        <w:t>CMW/C/SR.23</w:t>
      </w:r>
      <w:r>
        <w:rPr>
          <w:rFonts w:hint="eastAsia"/>
        </w:rPr>
        <w:t>号文件。</w:t>
      </w:r>
    </w:p>
  </w:footnote>
  <w:footnote w:id="3">
    <w:p w:rsidR="00000000" w:rsidRDefault="00000000">
      <w:pPr>
        <w:pStyle w:val="FootnoteText"/>
      </w:pPr>
      <w:r>
        <w:rPr>
          <w:rStyle w:val="FootnoteReference"/>
        </w:rPr>
        <w:footnoteRef/>
      </w:r>
      <w:r>
        <w:rPr>
          <w:rFonts w:hint="eastAsia"/>
        </w:rPr>
        <w:tab/>
      </w:r>
      <w:r>
        <w:rPr>
          <w:rFonts w:hint="eastAsia"/>
        </w:rPr>
        <w:t>七项核心人权条约为缔约国规定了促进和保护人权的法律标准，这七项条约是：《经济、社会、文化权利国际公约》</w:t>
      </w:r>
      <w:r>
        <w:rPr>
          <w:rFonts w:hint="eastAsia"/>
        </w:rPr>
        <w:t>(</w:t>
      </w:r>
      <w:r>
        <w:rPr>
          <w:rFonts w:hint="eastAsia"/>
        </w:rPr>
        <w:t>《经社文权利公约》；《公民权利和政治权利国际公约》</w:t>
      </w:r>
      <w:r>
        <w:rPr>
          <w:rFonts w:hint="eastAsia"/>
        </w:rPr>
        <w:t>(</w:t>
      </w:r>
      <w:r>
        <w:rPr>
          <w:rFonts w:hint="eastAsia"/>
        </w:rPr>
        <w:t>《公民权利和政治权利公约》</w:t>
      </w:r>
      <w:r>
        <w:rPr>
          <w:rFonts w:hint="eastAsia"/>
        </w:rPr>
        <w:t>)</w:t>
      </w:r>
      <w:r>
        <w:rPr>
          <w:rFonts w:hint="eastAsia"/>
        </w:rPr>
        <w:t>；《消除一切形式种族歧视国际公约》</w:t>
      </w:r>
      <w:r>
        <w:rPr>
          <w:rFonts w:hint="eastAsia"/>
        </w:rPr>
        <w:t>(</w:t>
      </w:r>
      <w:r>
        <w:rPr>
          <w:rFonts w:hint="eastAsia"/>
        </w:rPr>
        <w:t>《消除种族歧视公约》</w:t>
      </w:r>
      <w:r>
        <w:rPr>
          <w:rFonts w:hint="eastAsia"/>
        </w:rPr>
        <w:t>)</w:t>
      </w:r>
      <w:r>
        <w:rPr>
          <w:rFonts w:hint="eastAsia"/>
        </w:rPr>
        <w:t>；《消除对妇女一切形式歧视公约》</w:t>
      </w:r>
      <w:r>
        <w:rPr>
          <w:rFonts w:hint="eastAsia"/>
        </w:rPr>
        <w:t>(</w:t>
      </w:r>
      <w:r>
        <w:rPr>
          <w:rFonts w:hint="eastAsia"/>
        </w:rPr>
        <w:t>《消除对妇女歧视公约》</w:t>
      </w:r>
      <w:r>
        <w:rPr>
          <w:rFonts w:hint="eastAsia"/>
        </w:rPr>
        <w:t>)</w:t>
      </w:r>
      <w:r>
        <w:rPr>
          <w:rFonts w:hint="eastAsia"/>
        </w:rPr>
        <w:t>；《禁止酷刑和其他残忍、不人道或有辱人格的待遇或处罚公约》</w:t>
      </w:r>
      <w:r>
        <w:rPr>
          <w:rFonts w:hint="eastAsia"/>
        </w:rPr>
        <w:t>(</w:t>
      </w:r>
      <w:r>
        <w:rPr>
          <w:rFonts w:hint="eastAsia"/>
        </w:rPr>
        <w:t>《禁止酷刑公约》</w:t>
      </w:r>
      <w:r>
        <w:rPr>
          <w:rFonts w:hint="eastAsia"/>
        </w:rPr>
        <w:t>)</w:t>
      </w:r>
      <w:r>
        <w:rPr>
          <w:rFonts w:hint="eastAsia"/>
        </w:rPr>
        <w:t>；《儿童权利公约》；以及《保护所有移徙工人及其家庭成员权利国际公约》</w:t>
      </w:r>
      <w:r>
        <w:rPr>
          <w:rFonts w:hint="eastAsia"/>
        </w:rPr>
        <w:t>(</w:t>
      </w:r>
      <w:r>
        <w:rPr>
          <w:rFonts w:hint="eastAsia"/>
        </w:rPr>
        <w:t>《保护移徙工人权利公约》</w:t>
      </w:r>
      <w:r>
        <w:rPr>
          <w:rFonts w:hint="eastAsia"/>
        </w:rPr>
        <w:t>)</w:t>
      </w:r>
      <w:r>
        <w:rPr>
          <w:rFonts w:hint="eastAsia"/>
        </w:rPr>
        <w:t>。</w:t>
      </w:r>
    </w:p>
  </w:footnote>
  <w:footnote w:id="4">
    <w:p w:rsidR="00000000" w:rsidRDefault="00000000">
      <w:pPr>
        <w:pStyle w:val="FootnoteText"/>
      </w:pPr>
      <w:r>
        <w:rPr>
          <w:rStyle w:val="FootnoteReference"/>
        </w:rPr>
        <w:footnoteRef/>
      </w:r>
      <w:r>
        <w:tab/>
      </w:r>
      <w:r>
        <w:rPr>
          <w:rFonts w:hint="eastAsia"/>
        </w:rPr>
        <w:t>独立专家菲利普·阿尔斯通就提高联合国人权条约制度的长期有效性问题编写了三份报告。第一份报告</w:t>
      </w:r>
      <w:r>
        <w:rPr>
          <w:rFonts w:hint="eastAsia"/>
        </w:rPr>
        <w:t>(</w:t>
      </w:r>
      <w:r>
        <w:t>A/44/668</w:t>
      </w:r>
      <w:r>
        <w:rPr>
          <w:rFonts w:hint="eastAsia"/>
        </w:rPr>
        <w:t>)</w:t>
      </w:r>
      <w:r>
        <w:rPr>
          <w:rFonts w:hint="eastAsia"/>
        </w:rPr>
        <w:t>于</w:t>
      </w:r>
      <w:r>
        <w:rPr>
          <w:rFonts w:hint="eastAsia"/>
        </w:rPr>
        <w:t>1989</w:t>
      </w:r>
      <w:r>
        <w:rPr>
          <w:rFonts w:hint="eastAsia"/>
        </w:rPr>
        <w:t>年提交大会；中期报告</w:t>
      </w:r>
      <w:r>
        <w:rPr>
          <w:rFonts w:hint="eastAsia"/>
        </w:rPr>
        <w:t>(</w:t>
      </w:r>
      <w:r>
        <w:t>A/CONF.157/PC/62/Add.11/Rev.1</w:t>
      </w:r>
      <w:r>
        <w:rPr>
          <w:rFonts w:hint="eastAsia"/>
        </w:rPr>
        <w:t>)</w:t>
      </w:r>
      <w:r>
        <w:rPr>
          <w:rFonts w:hint="eastAsia"/>
        </w:rPr>
        <w:t>是为</w:t>
      </w:r>
      <w:r>
        <w:rPr>
          <w:rFonts w:hint="eastAsia"/>
        </w:rPr>
        <w:t>1993</w:t>
      </w:r>
      <w:r>
        <w:rPr>
          <w:rFonts w:hint="eastAsia"/>
        </w:rPr>
        <w:t>年的世界人权会议编写的；最后一份更新报告</w:t>
      </w:r>
      <w:r>
        <w:rPr>
          <w:rFonts w:hint="eastAsia"/>
        </w:rPr>
        <w:t>(</w:t>
      </w:r>
      <w:r>
        <w:t>E/CN.4</w:t>
      </w:r>
      <w:r>
        <w:rPr>
          <w:rFonts w:hint="eastAsia"/>
        </w:rPr>
        <w:t>/</w:t>
      </w:r>
      <w:r>
        <w:t>1997/74</w:t>
      </w:r>
      <w:r>
        <w:rPr>
          <w:rFonts w:hint="eastAsia"/>
        </w:rPr>
        <w:t>)</w:t>
      </w:r>
      <w:r>
        <w:rPr>
          <w:rFonts w:hint="eastAsia"/>
        </w:rPr>
        <w:t>于</w:t>
      </w:r>
      <w:r>
        <w:rPr>
          <w:rFonts w:hint="eastAsia"/>
        </w:rPr>
        <w:t>1997</w:t>
      </w:r>
      <w:r>
        <w:rPr>
          <w:rFonts w:hint="eastAsia"/>
        </w:rPr>
        <w:t>年转交人权委员会第五十三届会议。曾经请各国、联合国机构、秘书长以及其他相关方面对这份最后报告提出意见，这些意见于</w:t>
      </w:r>
      <w:r>
        <w:rPr>
          <w:rFonts w:hint="eastAsia"/>
        </w:rPr>
        <w:t>1998</w:t>
      </w:r>
      <w:r>
        <w:rPr>
          <w:rFonts w:hint="eastAsia"/>
        </w:rPr>
        <w:t>年和</w:t>
      </w:r>
      <w:r>
        <w:rPr>
          <w:rFonts w:hint="eastAsia"/>
        </w:rPr>
        <w:t>2000</w:t>
      </w:r>
      <w:r>
        <w:rPr>
          <w:rFonts w:hint="eastAsia"/>
        </w:rPr>
        <w:t>年提交人权委员会</w:t>
      </w:r>
      <w:r>
        <w:rPr>
          <w:rFonts w:hint="eastAsia"/>
        </w:rPr>
        <w:t>(</w:t>
      </w:r>
      <w:r>
        <w:t>E/CN.4/1998/85</w:t>
      </w:r>
      <w:r>
        <w:rPr>
          <w:rFonts w:hint="eastAsia"/>
        </w:rPr>
        <w:t>和</w:t>
      </w:r>
      <w:r>
        <w:t>E/CN.4/2000/98</w:t>
      </w:r>
      <w:r>
        <w:rPr>
          <w:rFonts w:hint="eastAsia"/>
        </w:rPr>
        <w:t>)</w:t>
      </w:r>
      <w:r>
        <w:rPr>
          <w:rFonts w:hint="eastAsia"/>
        </w:rPr>
        <w:t>。</w:t>
      </w:r>
    </w:p>
  </w:footnote>
  <w:footnote w:id="5">
    <w:p w:rsidR="00000000" w:rsidRDefault="00000000">
      <w:pPr>
        <w:pStyle w:val="FootnoteText"/>
      </w:pPr>
      <w:r>
        <w:rPr>
          <w:rStyle w:val="FootnoteReference"/>
        </w:rPr>
        <w:footnoteRef/>
      </w:r>
      <w:r>
        <w:rPr>
          <w:rFonts w:hint="eastAsia"/>
        </w:rPr>
        <w:tab/>
      </w:r>
      <w:r>
        <w:rPr>
          <w:rFonts w:hint="eastAsia"/>
        </w:rPr>
        <w:t>经济、社会、文化权利委员会在</w:t>
      </w:r>
      <w:r>
        <w:rPr>
          <w:rFonts w:hint="eastAsia"/>
        </w:rPr>
        <w:t>1989</w:t>
      </w:r>
      <w:r>
        <w:rPr>
          <w:rFonts w:hint="eastAsia"/>
        </w:rPr>
        <w:t>年第三届会议上通过的第一份一般性评论中，为报告进程规定了七项目标；见</w:t>
      </w:r>
      <w:r>
        <w:t>HRI/GEN/1/Rev.7</w:t>
      </w:r>
      <w:r>
        <w:rPr>
          <w:rFonts w:hint="eastAsia"/>
        </w:rPr>
        <w:t>。</w:t>
      </w:r>
    </w:p>
  </w:footnote>
  <w:footnote w:id="6">
    <w:p w:rsidR="00000000" w:rsidRDefault="00000000">
      <w:pPr>
        <w:pStyle w:val="FootnoteText"/>
      </w:pPr>
      <w:r>
        <w:rPr>
          <w:rStyle w:val="FootnoteReference"/>
        </w:rPr>
        <w:footnoteRef/>
      </w:r>
      <w:r>
        <w:tab/>
      </w:r>
      <w:r>
        <w:rPr>
          <w:rFonts w:hint="eastAsia"/>
        </w:rPr>
        <w:t>国际法协会国际人权法律和实践委员会，《关于联合国人权条约机构的裁定的影响的报告》</w:t>
      </w:r>
      <w:r>
        <w:rPr>
          <w:rFonts w:hint="eastAsia"/>
        </w:rPr>
        <w:t>(2004)</w:t>
      </w:r>
      <w:r>
        <w:rPr>
          <w:rFonts w:hint="eastAsia"/>
        </w:rPr>
        <w:t>。还见《关于联合国人权条约机构的工作对国内法院和法庭的影响的临时报告》</w:t>
      </w:r>
      <w:r>
        <w:rPr>
          <w:rFonts w:hint="eastAsia"/>
        </w:rPr>
        <w:t>(2002)</w:t>
      </w:r>
      <w:r>
        <w:rPr>
          <w:rFonts w:hint="eastAsia"/>
        </w:rPr>
        <w:t>。</w:t>
      </w:r>
    </w:p>
  </w:footnote>
  <w:footnote w:id="7">
    <w:p w:rsidR="00000000" w:rsidRDefault="00000000">
      <w:pPr>
        <w:pStyle w:val="FootnoteText"/>
      </w:pPr>
      <w:r>
        <w:rPr>
          <w:rStyle w:val="FootnoteReference"/>
        </w:rPr>
        <w:footnoteRef/>
      </w:r>
      <w:r>
        <w:tab/>
      </w:r>
      <w:r>
        <w:rPr>
          <w:rFonts w:hint="eastAsia"/>
        </w:rPr>
        <w:t>尚未生效的《禁止酷刑公约任择议定书》规定设立一个由十名委员组成的预防小组委员会，该小组委员会将负责访问缔约国境内的拘留场所。人权委员会的一个工作组于</w:t>
      </w:r>
      <w:r>
        <w:rPr>
          <w:rFonts w:hint="eastAsia"/>
        </w:rPr>
        <w:t>2005</w:t>
      </w:r>
      <w:r>
        <w:rPr>
          <w:rFonts w:hint="eastAsia"/>
        </w:rPr>
        <w:t>年</w:t>
      </w:r>
      <w:r>
        <w:rPr>
          <w:rFonts w:hint="eastAsia"/>
        </w:rPr>
        <w:t>9</w:t>
      </w:r>
      <w:r>
        <w:rPr>
          <w:rFonts w:hint="eastAsia"/>
        </w:rPr>
        <w:t>月通过的《保护所有的人免遭强迫失踪国际公约》</w:t>
      </w:r>
      <w:r>
        <w:rPr>
          <w:rFonts w:hint="eastAsia"/>
        </w:rPr>
        <w:t>(</w:t>
      </w:r>
      <w:r>
        <w:rPr>
          <w:rFonts w:hint="eastAsia"/>
        </w:rPr>
        <w:t>草案</w:t>
      </w:r>
      <w:r>
        <w:rPr>
          <w:rFonts w:hint="eastAsia"/>
        </w:rPr>
        <w:t>) (</w:t>
      </w:r>
      <w:r>
        <w:t>E/CN.4/2005/</w:t>
      </w:r>
      <w:r>
        <w:rPr>
          <w:rFonts w:hint="eastAsia"/>
        </w:rPr>
        <w:t xml:space="preserve"> </w:t>
      </w:r>
      <w:r>
        <w:t>WG.22/WP.1/Rev.4</w:t>
      </w:r>
      <w:r>
        <w:rPr>
          <w:rFonts w:hint="eastAsia"/>
        </w:rPr>
        <w:t>)</w:t>
      </w:r>
      <w:r>
        <w:rPr>
          <w:rFonts w:hint="eastAsia"/>
        </w:rPr>
        <w:t>，考虑设立一个由十名成员组成的条约机构以监测执行情况。</w:t>
      </w:r>
      <w:r>
        <w:t>大会</w:t>
      </w:r>
      <w:r>
        <w:rPr>
          <w:rFonts w:hint="eastAsia"/>
        </w:rPr>
        <w:t>《关于</w:t>
      </w:r>
      <w:r>
        <w:t>保护和增进残疾人</w:t>
      </w:r>
      <w:r>
        <w:rPr>
          <w:rFonts w:hint="eastAsia"/>
        </w:rPr>
        <w:t>权利和尊严</w:t>
      </w:r>
      <w:r>
        <w:t>全面和综合</w:t>
      </w:r>
      <w:r>
        <w:rPr>
          <w:rFonts w:hint="eastAsia"/>
        </w:rPr>
        <w:t>国际</w:t>
      </w:r>
      <w:r>
        <w:t>公约</w:t>
      </w:r>
      <w:r>
        <w:rPr>
          <w:rFonts w:hint="eastAsia"/>
        </w:rPr>
        <w:t>》</w:t>
      </w:r>
      <w:r>
        <w:t>特设委员会</w:t>
      </w:r>
      <w:r>
        <w:rPr>
          <w:rFonts w:hint="eastAsia"/>
        </w:rPr>
        <w:t>，正在考虑设立一个监测机构，包括酌情设立第九个条约机构。</w:t>
      </w:r>
    </w:p>
  </w:footnote>
  <w:footnote w:id="8">
    <w:p w:rsidR="00000000" w:rsidRDefault="00000000">
      <w:pPr>
        <w:pStyle w:val="FootnoteText"/>
      </w:pPr>
      <w:r>
        <w:rPr>
          <w:rStyle w:val="FootnoteReference"/>
        </w:rPr>
        <w:footnoteRef/>
      </w:r>
      <w:r>
        <w:tab/>
      </w:r>
      <w:r>
        <w:rPr>
          <w:rFonts w:hint="eastAsia"/>
        </w:rPr>
        <w:t>一些条约机构为处理拖欠报告问题接受合并报告。有一个缔约国用一份文件共</w:t>
      </w:r>
      <w:r>
        <w:rPr>
          <w:rFonts w:hint="eastAsia"/>
        </w:rPr>
        <w:t>24</w:t>
      </w:r>
      <w:r>
        <w:rPr>
          <w:rFonts w:hint="eastAsia"/>
        </w:rPr>
        <w:t>页的篇幅，提交了初次</w:t>
      </w:r>
      <w:r>
        <w:rPr>
          <w:rFonts w:hint="eastAsia"/>
        </w:rPr>
        <w:t>(</w:t>
      </w:r>
      <w:r>
        <w:rPr>
          <w:rFonts w:hint="eastAsia"/>
        </w:rPr>
        <w:t>应于</w:t>
      </w:r>
      <w:r>
        <w:rPr>
          <w:rFonts w:hint="eastAsia"/>
        </w:rPr>
        <w:t>19</w:t>
      </w:r>
      <w:r>
        <w:t>7</w:t>
      </w:r>
      <w:r>
        <w:rPr>
          <w:rFonts w:hint="eastAsia"/>
        </w:rPr>
        <w:t>8</w:t>
      </w:r>
      <w:r>
        <w:rPr>
          <w:rFonts w:hint="eastAsia"/>
        </w:rPr>
        <w:t>年</w:t>
      </w:r>
      <w:r>
        <w:rPr>
          <w:rFonts w:hint="eastAsia"/>
        </w:rPr>
        <w:t>3</w:t>
      </w:r>
      <w:r>
        <w:rPr>
          <w:rFonts w:hint="eastAsia"/>
        </w:rPr>
        <w:t>月</w:t>
      </w:r>
      <w:r>
        <w:rPr>
          <w:rFonts w:hint="eastAsia"/>
        </w:rPr>
        <w:t>17</w:t>
      </w:r>
      <w:r>
        <w:rPr>
          <w:rFonts w:hint="eastAsia"/>
        </w:rPr>
        <w:t>日之前提交</w:t>
      </w:r>
      <w:r>
        <w:rPr>
          <w:rFonts w:hint="eastAsia"/>
        </w:rPr>
        <w:t>)</w:t>
      </w:r>
      <w:r>
        <w:rPr>
          <w:rFonts w:hint="eastAsia"/>
        </w:rPr>
        <w:t>至第十四次定期</w:t>
      </w:r>
      <w:r>
        <w:rPr>
          <w:rFonts w:hint="eastAsia"/>
        </w:rPr>
        <w:t>(</w:t>
      </w:r>
      <w:r>
        <w:rPr>
          <w:rFonts w:hint="eastAsia"/>
        </w:rPr>
        <w:t>应于</w:t>
      </w:r>
      <w:r>
        <w:rPr>
          <w:rFonts w:hint="eastAsia"/>
        </w:rPr>
        <w:t>2004</w:t>
      </w:r>
      <w:r>
        <w:rPr>
          <w:rFonts w:hint="eastAsia"/>
        </w:rPr>
        <w:t>年</w:t>
      </w:r>
      <w:r>
        <w:rPr>
          <w:rFonts w:hint="eastAsia"/>
        </w:rPr>
        <w:t>3</w:t>
      </w:r>
      <w:r>
        <w:rPr>
          <w:rFonts w:hint="eastAsia"/>
        </w:rPr>
        <w:t>月</w:t>
      </w:r>
      <w:r>
        <w:rPr>
          <w:rFonts w:hint="eastAsia"/>
        </w:rPr>
        <w:t>17</w:t>
      </w:r>
      <w:r>
        <w:rPr>
          <w:rFonts w:hint="eastAsia"/>
        </w:rPr>
        <w:t>日之前提交</w:t>
      </w:r>
      <w:r>
        <w:rPr>
          <w:rFonts w:hint="eastAsia"/>
        </w:rPr>
        <w:t>)</w:t>
      </w:r>
      <w:r>
        <w:rPr>
          <w:rFonts w:hint="eastAsia"/>
        </w:rPr>
        <w:t>报告的合并报告。</w:t>
      </w:r>
    </w:p>
  </w:footnote>
  <w:footnote w:id="9">
    <w:p w:rsidR="00000000" w:rsidRDefault="00000000">
      <w:pPr>
        <w:pStyle w:val="FootnoteText"/>
      </w:pPr>
      <w:r>
        <w:rPr>
          <w:rStyle w:val="FootnoteReference"/>
        </w:rPr>
        <w:footnoteRef/>
      </w:r>
      <w:r>
        <w:tab/>
      </w:r>
      <w:r>
        <w:rPr>
          <w:rFonts w:hint="eastAsia"/>
        </w:rPr>
        <w:t>条约机构以不同方式看待继承国的报告义务。因此，报告总数可能略有差异。</w:t>
      </w:r>
    </w:p>
  </w:footnote>
  <w:footnote w:id="10">
    <w:p w:rsidR="00000000" w:rsidRDefault="00000000">
      <w:pPr>
        <w:pStyle w:val="FootnoteText"/>
        <w:rPr>
          <w:rFonts w:hint="eastAsia"/>
        </w:rPr>
      </w:pPr>
      <w:r>
        <w:rPr>
          <w:rStyle w:val="FootnoteReference"/>
        </w:rPr>
        <w:footnoteRef/>
      </w:r>
      <w:r>
        <w:tab/>
      </w:r>
      <w:r>
        <w:rPr>
          <w:rFonts w:hint="eastAsia"/>
        </w:rPr>
        <w:t xml:space="preserve">E/CN.4/2005/WG.22/WP.1/Rev.4, </w:t>
      </w:r>
      <w:r>
        <w:rPr>
          <w:rFonts w:hint="eastAsia"/>
        </w:rPr>
        <w:t>第</w:t>
      </w:r>
      <w:r>
        <w:rPr>
          <w:rFonts w:hint="eastAsia"/>
        </w:rPr>
        <w:t>28</w:t>
      </w:r>
      <w:r>
        <w:rPr>
          <w:rFonts w:hint="eastAsia"/>
        </w:rPr>
        <w:t>条第</w:t>
      </w:r>
      <w:r>
        <w:t>2</w:t>
      </w:r>
      <w:r>
        <w:rPr>
          <w:rFonts w:hint="eastAsia"/>
        </w:rPr>
        <w:t>款。</w:t>
      </w:r>
    </w:p>
  </w:footnote>
  <w:footnote w:id="11">
    <w:p w:rsidR="00000000" w:rsidRDefault="00000000">
      <w:pPr>
        <w:pStyle w:val="FootnoteText"/>
      </w:pPr>
      <w:r>
        <w:rPr>
          <w:rStyle w:val="FootnoteReference"/>
        </w:rPr>
        <w:footnoteRef/>
      </w:r>
      <w:r>
        <w:tab/>
      </w:r>
      <w:r>
        <w:rPr>
          <w:rFonts w:hint="eastAsia"/>
        </w:rPr>
        <w:t>人权事务高级专员办事处，《关于缔约国遵守条约机构报告程序现行准则情况的报告》。秘书处为统一报告准则问题技术工作组编写的非正式文件，</w:t>
      </w:r>
      <w:r>
        <w:rPr>
          <w:rFonts w:hint="eastAsia"/>
        </w:rPr>
        <w:t>2005</w:t>
      </w:r>
      <w:r>
        <w:rPr>
          <w:rFonts w:hint="eastAsia"/>
        </w:rPr>
        <w:t>年</w:t>
      </w:r>
      <w:r>
        <w:rPr>
          <w:rFonts w:hint="eastAsia"/>
        </w:rPr>
        <w:t>12</w:t>
      </w:r>
      <w:r>
        <w:rPr>
          <w:rFonts w:hint="eastAsia"/>
        </w:rPr>
        <w:t>月</w:t>
      </w:r>
      <w:r>
        <w:t>8-9</w:t>
      </w:r>
      <w:r>
        <w:rPr>
          <w:rFonts w:hint="eastAsia"/>
        </w:rPr>
        <w:t>日，日内瓦。</w:t>
      </w:r>
    </w:p>
  </w:footnote>
  <w:footnote w:id="12">
    <w:p w:rsidR="00000000" w:rsidRDefault="00000000">
      <w:pPr>
        <w:pStyle w:val="FootnoteText"/>
        <w:rPr>
          <w:rFonts w:hint="eastAsia"/>
        </w:rPr>
      </w:pPr>
      <w:r>
        <w:rPr>
          <w:rStyle w:val="FootnoteReference"/>
        </w:rPr>
        <w:footnoteRef/>
      </w:r>
      <w:r>
        <w:t xml:space="preserve"> </w:t>
      </w:r>
      <w:r>
        <w:rPr>
          <w:rFonts w:hint="eastAsia"/>
        </w:rPr>
        <w:tab/>
        <w:t>A/59/2005/</w:t>
      </w:r>
      <w:r>
        <w:t xml:space="preserve">Add.3, </w:t>
      </w:r>
      <w:r>
        <w:rPr>
          <w:rFonts w:hint="eastAsia"/>
        </w:rPr>
        <w:t>第</w:t>
      </w:r>
      <w:r>
        <w:rPr>
          <w:rFonts w:hint="eastAsia"/>
        </w:rPr>
        <w:t>144</w:t>
      </w:r>
      <w:r>
        <w:rPr>
          <w:rFonts w:hint="eastAsia"/>
        </w:rPr>
        <w:t>段。</w:t>
      </w:r>
    </w:p>
  </w:footnote>
  <w:footnote w:id="13">
    <w:p w:rsidR="00000000" w:rsidRDefault="00000000">
      <w:pPr>
        <w:pStyle w:val="FootnoteText"/>
        <w:rPr>
          <w:rFonts w:hint="eastAsia"/>
        </w:rPr>
      </w:pPr>
      <w:r>
        <w:rPr>
          <w:rStyle w:val="FootnoteReference"/>
        </w:rPr>
        <w:footnoteRef/>
      </w:r>
      <w:r>
        <w:t xml:space="preserve"> </w:t>
      </w:r>
      <w:r>
        <w:rPr>
          <w:rFonts w:hint="eastAsia"/>
        </w:rPr>
        <w:tab/>
      </w:r>
      <w:r>
        <w:rPr>
          <w:rFonts w:hint="eastAsia"/>
        </w:rPr>
        <w:t>《儿童权利公约》有一项独特的规定，即第</w:t>
      </w:r>
      <w:r>
        <w:rPr>
          <w:rFonts w:hint="eastAsia"/>
        </w:rPr>
        <w:t>45</w:t>
      </w:r>
      <w:r>
        <w:rPr>
          <w:rFonts w:hint="eastAsia"/>
        </w:rPr>
        <w:t>条</w:t>
      </w:r>
      <w:r>
        <w:rPr>
          <w:rFonts w:hint="eastAsia"/>
        </w:rPr>
        <w:t>(</w:t>
      </w:r>
      <w:r>
        <w:t>c</w:t>
      </w:r>
      <w:r>
        <w:rPr>
          <w:rFonts w:hint="eastAsia"/>
        </w:rPr>
        <w:t>)</w:t>
      </w:r>
      <w:r>
        <w:rPr>
          <w:rFonts w:hint="eastAsia"/>
        </w:rPr>
        <w:t>款，它使委员会能够向大会建议，由秘书长就与儿童权利有关的具体问题开展研究。大会请秘书长就武装冲突对儿童的影响以及对儿童的暴力行为等问题开展全面性研究。</w:t>
      </w:r>
    </w:p>
  </w:footnote>
  <w:footnote w:id="14">
    <w:p w:rsidR="00000000" w:rsidRDefault="00000000">
      <w:pPr>
        <w:pStyle w:val="FootnoteText"/>
        <w:rPr>
          <w:rFonts w:hint="eastAsia"/>
        </w:rPr>
      </w:pPr>
      <w:r>
        <w:rPr>
          <w:rStyle w:val="FootnoteReference"/>
        </w:rPr>
        <w:footnoteRef/>
      </w:r>
      <w:r>
        <w:t xml:space="preserve"> </w:t>
      </w:r>
      <w:r>
        <w:rPr>
          <w:rFonts w:hint="eastAsia"/>
        </w:rPr>
        <w:tab/>
      </w:r>
      <w:r>
        <w:rPr>
          <w:rFonts w:hint="eastAsia"/>
        </w:rPr>
        <w:t>一些条约机构接受提交合并的报告，以解决报告迟迟未交的问题。有一个缔约国以一份共</w:t>
      </w:r>
      <w:r>
        <w:rPr>
          <w:rFonts w:hint="eastAsia"/>
        </w:rPr>
        <w:t>24</w:t>
      </w:r>
      <w:r>
        <w:rPr>
          <w:rFonts w:hint="eastAsia"/>
        </w:rPr>
        <w:t>页的文件提交了其初始报告</w:t>
      </w:r>
      <w:r>
        <w:rPr>
          <w:rFonts w:hint="eastAsia"/>
        </w:rPr>
        <w:t>(</w:t>
      </w:r>
      <w:r>
        <w:rPr>
          <w:rFonts w:hint="eastAsia"/>
        </w:rPr>
        <w:t>应交期限为</w:t>
      </w:r>
      <w:r>
        <w:rPr>
          <w:rFonts w:hint="eastAsia"/>
        </w:rPr>
        <w:t>1978</w:t>
      </w:r>
      <w:r>
        <w:rPr>
          <w:rFonts w:hint="eastAsia"/>
        </w:rPr>
        <w:t>年</w:t>
      </w:r>
      <w:r>
        <w:rPr>
          <w:rFonts w:hint="eastAsia"/>
        </w:rPr>
        <w:t>3</w:t>
      </w:r>
      <w:r>
        <w:rPr>
          <w:rFonts w:hint="eastAsia"/>
        </w:rPr>
        <w:t>月</w:t>
      </w:r>
      <w:r>
        <w:rPr>
          <w:rFonts w:hint="eastAsia"/>
        </w:rPr>
        <w:t>17</w:t>
      </w:r>
      <w:r>
        <w:rPr>
          <w:rFonts w:hint="eastAsia"/>
        </w:rPr>
        <w:t>日</w:t>
      </w:r>
      <w:r>
        <w:rPr>
          <w:rFonts w:hint="eastAsia"/>
        </w:rPr>
        <w:t>)</w:t>
      </w:r>
      <w:r>
        <w:rPr>
          <w:rFonts w:hint="eastAsia"/>
        </w:rPr>
        <w:t>至第</w:t>
      </w:r>
      <w:r>
        <w:rPr>
          <w:rFonts w:hint="eastAsia"/>
        </w:rPr>
        <w:t>14</w:t>
      </w:r>
      <w:r>
        <w:rPr>
          <w:rFonts w:hint="eastAsia"/>
        </w:rPr>
        <w:t>次定期报告</w:t>
      </w:r>
      <w:r>
        <w:rPr>
          <w:rFonts w:hint="eastAsia"/>
        </w:rPr>
        <w:t>(</w:t>
      </w:r>
      <w:r>
        <w:rPr>
          <w:rFonts w:hint="eastAsia"/>
        </w:rPr>
        <w:t>应交期限为</w:t>
      </w:r>
      <w:r>
        <w:rPr>
          <w:rFonts w:hint="eastAsia"/>
        </w:rPr>
        <w:t>2004</w:t>
      </w:r>
      <w:r>
        <w:rPr>
          <w:rFonts w:hint="eastAsia"/>
        </w:rPr>
        <w:t>年</w:t>
      </w:r>
      <w:r>
        <w:rPr>
          <w:rFonts w:hint="eastAsia"/>
        </w:rPr>
        <w:t>3</w:t>
      </w:r>
      <w:r>
        <w:rPr>
          <w:rFonts w:hint="eastAsia"/>
        </w:rPr>
        <w:t>月</w:t>
      </w:r>
      <w:r>
        <w:rPr>
          <w:rFonts w:hint="eastAsia"/>
        </w:rPr>
        <w:t>17</w:t>
      </w:r>
      <w:r>
        <w:rPr>
          <w:rFonts w:hint="eastAsia"/>
        </w:rPr>
        <w:t>日）合并在一起的报告。</w:t>
      </w:r>
    </w:p>
  </w:footnote>
  <w:footnote w:id="15">
    <w:p w:rsidR="00000000" w:rsidRDefault="00000000">
      <w:pPr>
        <w:pStyle w:val="FootnoteText"/>
        <w:rPr>
          <w:rFonts w:hint="eastAsia"/>
          <w:lang w:val="en-GB"/>
        </w:rPr>
      </w:pPr>
      <w:r>
        <w:rPr>
          <w:rStyle w:val="FootnoteReference"/>
        </w:rPr>
        <w:footnoteRef/>
      </w:r>
      <w:r>
        <w:t xml:space="preserve"> </w:t>
      </w:r>
      <w:r>
        <w:rPr>
          <w:rFonts w:hint="eastAsia"/>
        </w:rPr>
        <w:tab/>
      </w:r>
      <w:r>
        <w:rPr>
          <w:rFonts w:hint="eastAsia"/>
        </w:rPr>
        <w:t>从</w:t>
      </w:r>
      <w:r>
        <w:rPr>
          <w:rFonts w:hint="eastAsia"/>
        </w:rPr>
        <w:t>2004</w:t>
      </w:r>
      <w:r>
        <w:rPr>
          <w:rFonts w:hint="eastAsia"/>
        </w:rPr>
        <w:t>年</w:t>
      </w:r>
      <w:r>
        <w:rPr>
          <w:rFonts w:hint="eastAsia"/>
        </w:rPr>
        <w:t>1</w:t>
      </w:r>
      <w:r>
        <w:rPr>
          <w:rFonts w:hint="eastAsia"/>
        </w:rPr>
        <w:t>月到</w:t>
      </w:r>
      <w:r>
        <w:rPr>
          <w:rFonts w:hint="eastAsia"/>
        </w:rPr>
        <w:t>2005</w:t>
      </w:r>
      <w:r>
        <w:rPr>
          <w:rFonts w:hint="eastAsia"/>
        </w:rPr>
        <w:t>年</w:t>
      </w:r>
      <w:r>
        <w:rPr>
          <w:rFonts w:hint="eastAsia"/>
        </w:rPr>
        <w:t>12</w:t>
      </w:r>
      <w:r>
        <w:rPr>
          <w:rFonts w:hint="eastAsia"/>
        </w:rPr>
        <w:t>月，消除种族歧视委员会排定了对</w:t>
      </w:r>
      <w:r>
        <w:rPr>
          <w:rFonts w:hint="eastAsia"/>
        </w:rPr>
        <w:t>24</w:t>
      </w:r>
      <w:r>
        <w:rPr>
          <w:rFonts w:hint="eastAsia"/>
        </w:rPr>
        <w:t>个缔约国公约执行情况进行审查的日期。在一些缔约国提交报告之后，这些国家被从审查程序中撤出来。另有一些情况，应有关缔约国请求，审查被推迟，这意味着这些国家打算在较短的时间内提交所要求的报告。</w:t>
      </w:r>
    </w:p>
  </w:footnote>
  <w:footnote w:id="16">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(CESCR)</w:t>
      </w:r>
    </w:p>
  </w:footnote>
  <w:footnote w:id="17">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(CAT)</w:t>
      </w:r>
    </w:p>
  </w:footnote>
  <w:footnote w:id="18">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(CAT)</w:t>
      </w:r>
    </w:p>
  </w:footnote>
  <w:footnote w:id="19">
    <w:p w:rsidR="00000000" w:rsidRDefault="00000000">
      <w:pPr>
        <w:pStyle w:val="FootnoteText"/>
        <w:rPr>
          <w:sz w:val="18"/>
          <w:szCs w:val="18"/>
          <w:lang w:val="en-GB"/>
        </w:rPr>
      </w:pPr>
      <w:r>
        <w:rPr>
          <w:rStyle w:val="FootnoteReference"/>
          <w:sz w:val="18"/>
          <w:szCs w:val="18"/>
        </w:rPr>
        <w:footnoteRef/>
      </w:r>
      <w:r>
        <w:rPr>
          <w:sz w:val="18"/>
          <w:szCs w:val="18"/>
        </w:rPr>
        <w:t xml:space="preserve"> Sixth periodic report (CEDAW)</w:t>
      </w:r>
    </w:p>
  </w:footnote>
  <w:footnote w:id="20">
    <w:p w:rsidR="00000000" w:rsidRDefault="00000000">
      <w:pPr>
        <w:pStyle w:val="FootnoteText"/>
        <w:rPr>
          <w:sz w:val="18"/>
          <w:szCs w:val="18"/>
          <w:lang w:val="en-GB"/>
        </w:rPr>
      </w:pPr>
      <w:r>
        <w:rPr>
          <w:rStyle w:val="FootnoteReference"/>
          <w:sz w:val="18"/>
          <w:szCs w:val="18"/>
        </w:rPr>
        <w:footnoteRef/>
      </w:r>
      <w:r>
        <w:rPr>
          <w:sz w:val="18"/>
          <w:szCs w:val="18"/>
        </w:rPr>
        <w:t xml:space="preserve"> Second and third periodic reports (CEDAW)</w:t>
      </w:r>
    </w:p>
  </w:footnote>
  <w:footnote w:id="21">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(CRC-SC)</w:t>
      </w:r>
    </w:p>
  </w:footnote>
  <w:footnote w:id="22">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CRC-AC)</w:t>
      </w:r>
    </w:p>
  </w:footnote>
  <w:footnote w:id="23">
    <w:p w:rsidR="00000000" w:rsidRDefault="00000000">
      <w:pPr>
        <w:pStyle w:val="FootnoteText"/>
        <w:rPr>
          <w:sz w:val="18"/>
          <w:szCs w:val="18"/>
          <w:lang w:val="en-GB"/>
        </w:rPr>
      </w:pPr>
      <w:r>
        <w:rPr>
          <w:rStyle w:val="FootnoteReference"/>
          <w:sz w:val="18"/>
          <w:szCs w:val="18"/>
        </w:rPr>
        <w:footnoteRef/>
      </w:r>
      <w:r>
        <w:rPr>
          <w:sz w:val="18"/>
          <w:szCs w:val="18"/>
        </w:rPr>
        <w:t xml:space="preserve"> Third and fourth periodic reports (CEDAW)</w:t>
      </w:r>
    </w:p>
  </w:footnote>
  <w:footnote w:id="24">
    <w:p w:rsidR="00000000" w:rsidRDefault="00000000">
      <w:pPr>
        <w:pStyle w:val="FootnoteText"/>
        <w:rPr>
          <w:sz w:val="18"/>
          <w:szCs w:val="18"/>
          <w:lang w:val="en-GB"/>
        </w:rPr>
      </w:pPr>
      <w:r>
        <w:rPr>
          <w:rStyle w:val="FootnoteReference"/>
          <w:sz w:val="18"/>
          <w:szCs w:val="18"/>
        </w:rPr>
        <w:footnoteRef/>
      </w:r>
      <w:r>
        <w:rPr>
          <w:sz w:val="18"/>
          <w:szCs w:val="18"/>
        </w:rPr>
        <w:t xml:space="preserve"> Second periodic reports (CAT and CRC)</w:t>
      </w:r>
    </w:p>
  </w:footnote>
  <w:footnote w:id="25">
    <w:p w:rsidR="00000000" w:rsidRDefault="00000000">
      <w:pPr>
        <w:pStyle w:val="FootnoteText"/>
        <w:rPr>
          <w:sz w:val="18"/>
          <w:szCs w:val="18"/>
          <w:lang w:val="en-GB"/>
        </w:rPr>
      </w:pPr>
      <w:r>
        <w:rPr>
          <w:rStyle w:val="FootnoteReference"/>
          <w:sz w:val="18"/>
          <w:szCs w:val="18"/>
        </w:rPr>
        <w:footnoteRef/>
      </w:r>
      <w:r>
        <w:rPr>
          <w:sz w:val="18"/>
          <w:szCs w:val="18"/>
        </w:rPr>
        <w:t xml:space="preserve"> Second to fourth periodic reports (CEDAW)</w:t>
      </w:r>
    </w:p>
  </w:footnote>
  <w:footnote w:id="26">
    <w:p w:rsidR="00000000" w:rsidRDefault="00000000">
      <w:pPr>
        <w:pStyle w:val="FootnoteText"/>
        <w:rPr>
          <w:sz w:val="18"/>
          <w:szCs w:val="18"/>
          <w:lang w:val="en-GB"/>
        </w:rPr>
      </w:pPr>
      <w:r>
        <w:rPr>
          <w:rStyle w:val="FootnoteReference"/>
          <w:sz w:val="18"/>
          <w:szCs w:val="18"/>
        </w:rPr>
        <w:footnoteRef/>
      </w:r>
      <w:r>
        <w:rPr>
          <w:sz w:val="18"/>
          <w:szCs w:val="18"/>
        </w:rPr>
        <w:t xml:space="preserve"> Initial to sixth periodic reports (CERD) and initial to third periodic reports (CEDAW)</w:t>
      </w:r>
    </w:p>
  </w:footnote>
  <w:footnote w:id="27">
    <w:p w:rsidR="00000000" w:rsidRDefault="00000000">
      <w:pPr>
        <w:pStyle w:val="FootnoteText"/>
        <w:rPr>
          <w:sz w:val="18"/>
          <w:szCs w:val="18"/>
          <w:lang w:val="en-GB"/>
        </w:rPr>
      </w:pPr>
      <w:r>
        <w:rPr>
          <w:rStyle w:val="FootnoteReference"/>
          <w:sz w:val="18"/>
          <w:szCs w:val="18"/>
        </w:rPr>
        <w:footnoteRef/>
      </w:r>
      <w:r>
        <w:rPr>
          <w:sz w:val="18"/>
          <w:szCs w:val="18"/>
        </w:rPr>
        <w:t xml:space="preserve"> Fifteenth and sixteenth periodic reports (CERD)</w:t>
      </w:r>
    </w:p>
  </w:footnote>
  <w:footnote w:id="28">
    <w:p w:rsidR="00000000" w:rsidRDefault="00000000">
      <w:pPr>
        <w:pStyle w:val="FootnoteText"/>
        <w:rPr>
          <w:sz w:val="18"/>
          <w:szCs w:val="18"/>
          <w:lang w:val="en-GB"/>
        </w:rPr>
      </w:pPr>
      <w:r>
        <w:rPr>
          <w:rStyle w:val="FootnoteReference"/>
          <w:sz w:val="18"/>
          <w:szCs w:val="18"/>
        </w:rPr>
        <w:footnoteRef/>
      </w:r>
      <w:r>
        <w:rPr>
          <w:sz w:val="18"/>
          <w:szCs w:val="18"/>
        </w:rPr>
        <w:t xml:space="preserve"> Sixth periodic report (CEDAW)</w:t>
      </w:r>
    </w:p>
  </w:footnote>
  <w:footnote w:id="29">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(CAT)</w:t>
      </w:r>
    </w:p>
  </w:footnote>
  <w:footnote w:id="30">
    <w:p w:rsidR="00000000" w:rsidRDefault="00000000">
      <w:pPr>
        <w:pStyle w:val="FootnoteText"/>
        <w:ind w:right="-180"/>
        <w:rPr>
          <w:sz w:val="18"/>
          <w:szCs w:val="18"/>
          <w:lang w:val="en-GB"/>
        </w:rPr>
      </w:pPr>
      <w:r>
        <w:rPr>
          <w:rStyle w:val="FootnoteReference"/>
          <w:sz w:val="18"/>
          <w:szCs w:val="18"/>
        </w:rPr>
        <w:footnoteRef/>
      </w:r>
      <w:r>
        <w:rPr>
          <w:sz w:val="18"/>
          <w:szCs w:val="18"/>
        </w:rPr>
        <w:t xml:space="preserve"> Fourth and fifth periodic reports (CESCR)</w:t>
      </w:r>
      <w:r>
        <w:rPr>
          <w:sz w:val="18"/>
          <w:szCs w:val="18"/>
          <w:lang w:val="en-GB"/>
        </w:rPr>
        <w:t>，</w:t>
      </w:r>
      <w:r>
        <w:rPr>
          <w:sz w:val="18"/>
          <w:szCs w:val="18"/>
        </w:rPr>
        <w:t xml:space="preserve"> fifteenth to eighteenth periodic reports (CERD) and initial report (CRC-AC)</w:t>
      </w:r>
    </w:p>
  </w:footnote>
  <w:footnote w:id="31">
    <w:p w:rsidR="00000000" w:rsidRDefault="00000000">
      <w:pPr>
        <w:pStyle w:val="FootnoteText"/>
        <w:rPr>
          <w:sz w:val="18"/>
          <w:szCs w:val="18"/>
          <w:lang w:val="en-GB"/>
        </w:rPr>
      </w:pPr>
      <w:r>
        <w:rPr>
          <w:rStyle w:val="FootnoteReference"/>
          <w:sz w:val="18"/>
          <w:szCs w:val="18"/>
        </w:rPr>
        <w:footnoteRef/>
      </w:r>
      <w:r>
        <w:rPr>
          <w:sz w:val="18"/>
          <w:szCs w:val="18"/>
          <w:lang w:val="en-GB"/>
        </w:rPr>
        <w:t>Initial to sixth periodic reports (CEDAW)</w:t>
      </w:r>
    </w:p>
  </w:footnote>
  <w:footnote w:id="32">
    <w:p w:rsidR="00000000" w:rsidRDefault="00000000">
      <w:pPr>
        <w:pStyle w:val="FootnoteText"/>
        <w:rPr>
          <w:sz w:val="18"/>
          <w:szCs w:val="18"/>
          <w:lang w:val="en-GB"/>
        </w:rPr>
      </w:pPr>
      <w:r>
        <w:rPr>
          <w:rStyle w:val="FootnoteReference"/>
          <w:sz w:val="18"/>
          <w:szCs w:val="18"/>
        </w:rPr>
        <w:footnoteRef/>
      </w:r>
      <w:r>
        <w:rPr>
          <w:sz w:val="18"/>
          <w:szCs w:val="18"/>
        </w:rPr>
        <w:t xml:space="preserve"> Fourth periodic report (CEDAW) and third periodic report (CRC)</w:t>
      </w:r>
    </w:p>
  </w:footnote>
  <w:footnote w:id="33">
    <w:p w:rsidR="00000000" w:rsidRDefault="00000000">
      <w:pPr>
        <w:pStyle w:val="FootnoteText"/>
        <w:rPr>
          <w:sz w:val="18"/>
          <w:szCs w:val="18"/>
          <w:lang w:val="en-GB"/>
        </w:rPr>
      </w:pPr>
      <w:r>
        <w:rPr>
          <w:rStyle w:val="FootnoteReference"/>
          <w:sz w:val="18"/>
          <w:szCs w:val="18"/>
        </w:rPr>
        <w:footnoteRef/>
      </w:r>
      <w:r>
        <w:rPr>
          <w:sz w:val="18"/>
          <w:szCs w:val="18"/>
        </w:rPr>
        <w:t xml:space="preserve"> Fifth and sixth periodic reports (CEDAW)</w:t>
      </w:r>
    </w:p>
  </w:footnote>
  <w:footnote w:id="34">
    <w:p w:rsidR="00000000" w:rsidRDefault="00000000">
      <w:pPr>
        <w:pStyle w:val="FootnoteText"/>
        <w:rPr>
          <w:sz w:val="18"/>
          <w:szCs w:val="18"/>
          <w:lang w:val="en-GB"/>
        </w:rPr>
      </w:pPr>
      <w:r>
        <w:rPr>
          <w:rStyle w:val="FootnoteReference"/>
          <w:sz w:val="18"/>
          <w:szCs w:val="18"/>
        </w:rPr>
        <w:footnoteRef/>
      </w:r>
      <w:r>
        <w:rPr>
          <w:sz w:val="18"/>
          <w:szCs w:val="18"/>
        </w:rPr>
        <w:t xml:space="preserve"> Fifth and sixth periodic reports (CEDAW) and third periodic report (CRC)</w:t>
      </w:r>
    </w:p>
  </w:footnote>
  <w:footnote w:id="35">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(CRC)</w:t>
      </w:r>
    </w:p>
  </w:footnote>
  <w:footnote w:id="36">
    <w:p w:rsidR="00000000" w:rsidRDefault="00000000">
      <w:pPr>
        <w:pStyle w:val="FootnoteText"/>
        <w:rPr>
          <w:sz w:val="18"/>
          <w:szCs w:val="18"/>
          <w:lang w:val="en-GB"/>
        </w:rPr>
      </w:pPr>
      <w:r>
        <w:rPr>
          <w:rStyle w:val="FootnoteReference"/>
          <w:sz w:val="18"/>
          <w:szCs w:val="18"/>
        </w:rPr>
        <w:footnoteRef/>
      </w:r>
      <w:r>
        <w:rPr>
          <w:sz w:val="18"/>
          <w:szCs w:val="18"/>
        </w:rPr>
        <w:t xml:space="preserve"> Initial reports (CRC-AC and CRC-SC)</w:t>
      </w:r>
    </w:p>
  </w:footnote>
  <w:footnote w:id="37">
    <w:p w:rsidR="00000000" w:rsidRDefault="00000000">
      <w:pPr>
        <w:pStyle w:val="FootnoteText"/>
        <w:rPr>
          <w:sz w:val="18"/>
          <w:szCs w:val="18"/>
          <w:lang w:val="en-GB"/>
        </w:rPr>
      </w:pPr>
      <w:r>
        <w:rPr>
          <w:rStyle w:val="FootnoteReference"/>
          <w:sz w:val="18"/>
          <w:szCs w:val="18"/>
        </w:rPr>
        <w:footnoteRef/>
      </w:r>
      <w:r>
        <w:rPr>
          <w:sz w:val="18"/>
          <w:szCs w:val="18"/>
        </w:rPr>
        <w:t xml:space="preserve"> Fifth and sixth periodic reports (CEDAW)</w:t>
      </w:r>
    </w:p>
  </w:footnote>
  <w:footnote w:id="38">
    <w:p w:rsidR="00000000" w:rsidRDefault="00000000">
      <w:pPr>
        <w:pStyle w:val="FootnoteText"/>
        <w:rPr>
          <w:sz w:val="18"/>
          <w:szCs w:val="18"/>
          <w:lang w:val="en-GB"/>
        </w:rPr>
      </w:pPr>
      <w:r>
        <w:rPr>
          <w:rStyle w:val="FootnoteReference"/>
          <w:sz w:val="18"/>
          <w:szCs w:val="18"/>
        </w:rPr>
        <w:footnoteRef/>
      </w:r>
      <w:r>
        <w:rPr>
          <w:sz w:val="18"/>
          <w:szCs w:val="18"/>
        </w:rPr>
        <w:t xml:space="preserve"> Third to fifth periodic reports (CEDAW)</w:t>
      </w:r>
    </w:p>
  </w:footnote>
  <w:footnote w:id="39">
    <w:p w:rsidR="00000000" w:rsidRDefault="00000000">
      <w:pPr>
        <w:pStyle w:val="FootnoteText"/>
        <w:rPr>
          <w:sz w:val="18"/>
          <w:szCs w:val="18"/>
          <w:lang w:val="en-GB"/>
        </w:rPr>
      </w:pPr>
      <w:r>
        <w:rPr>
          <w:rStyle w:val="FootnoteReference"/>
          <w:sz w:val="18"/>
          <w:szCs w:val="18"/>
        </w:rPr>
        <w:footnoteRef/>
      </w:r>
      <w:r>
        <w:rPr>
          <w:sz w:val="18"/>
          <w:szCs w:val="18"/>
        </w:rPr>
        <w:t xml:space="preserve"> Sixth and seventh periodic reports (CERD)</w:t>
      </w:r>
      <w:r>
        <w:rPr>
          <w:sz w:val="18"/>
          <w:szCs w:val="18"/>
          <w:lang w:val="en-GB"/>
        </w:rPr>
        <w:t>，</w:t>
      </w:r>
      <w:r>
        <w:rPr>
          <w:sz w:val="18"/>
          <w:szCs w:val="18"/>
        </w:rPr>
        <w:t xml:space="preserve"> third periodic report (CEDAW) and initial report (CRC-AC)</w:t>
      </w:r>
    </w:p>
  </w:footnote>
  <w:footnote w:id="40">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(CCPR) and fourth and fifth periodic reports (CEDAW)</w:t>
      </w:r>
    </w:p>
  </w:footnote>
  <w:footnote w:id="41">
    <w:p w:rsidR="00000000" w:rsidRDefault="00000000">
      <w:pPr>
        <w:pStyle w:val="FootnoteText"/>
        <w:rPr>
          <w:sz w:val="18"/>
          <w:szCs w:val="18"/>
          <w:lang w:val="en-GB"/>
        </w:rPr>
      </w:pPr>
      <w:r>
        <w:rPr>
          <w:rStyle w:val="FootnoteReference"/>
          <w:sz w:val="18"/>
          <w:szCs w:val="18"/>
        </w:rPr>
        <w:footnoteRef/>
      </w:r>
      <w:r>
        <w:rPr>
          <w:sz w:val="18"/>
          <w:szCs w:val="18"/>
        </w:rPr>
        <w:t xml:space="preserve"> Sixteenth and seventeenth periodic reports (CERD)</w:t>
      </w:r>
      <w:r>
        <w:rPr>
          <w:sz w:val="18"/>
          <w:szCs w:val="18"/>
          <w:lang w:val="en-GB"/>
        </w:rPr>
        <w:t>，</w:t>
      </w:r>
      <w:r>
        <w:rPr>
          <w:sz w:val="18"/>
          <w:szCs w:val="18"/>
        </w:rPr>
        <w:t xml:space="preserve"> sixth periodic report (CEDAW)</w:t>
      </w:r>
      <w:r>
        <w:rPr>
          <w:sz w:val="18"/>
          <w:szCs w:val="18"/>
          <w:lang w:val="en-GB"/>
        </w:rPr>
        <w:t>，</w:t>
      </w:r>
      <w:r>
        <w:rPr>
          <w:sz w:val="18"/>
          <w:szCs w:val="18"/>
        </w:rPr>
        <w:t xml:space="preserve"> fifth periodic report (CAT) and initial report (CRC-SC)</w:t>
      </w:r>
    </w:p>
  </w:footnote>
  <w:footnote w:id="42">
    <w:p w:rsidR="00000000" w:rsidRDefault="00000000">
      <w:pPr>
        <w:pStyle w:val="FootnoteText"/>
        <w:rPr>
          <w:sz w:val="18"/>
          <w:szCs w:val="18"/>
          <w:lang w:val="en-GB"/>
        </w:rPr>
      </w:pPr>
      <w:r>
        <w:rPr>
          <w:rStyle w:val="FootnoteReference"/>
          <w:sz w:val="18"/>
          <w:szCs w:val="18"/>
        </w:rPr>
        <w:footnoteRef/>
      </w:r>
      <w:r>
        <w:rPr>
          <w:sz w:val="18"/>
          <w:szCs w:val="18"/>
        </w:rPr>
        <w:t xml:space="preserve"> Second periodic report (CESCR)</w:t>
      </w:r>
      <w:r>
        <w:rPr>
          <w:sz w:val="18"/>
          <w:szCs w:val="18"/>
          <w:lang w:val="en-GB"/>
        </w:rPr>
        <w:t>，</w:t>
      </w:r>
      <w:r>
        <w:rPr>
          <w:sz w:val="18"/>
          <w:szCs w:val="18"/>
        </w:rPr>
        <w:t xml:space="preserve"> ninth to thirteenth periodic reports (CERD) and initial report (CRC-AC)</w:t>
      </w:r>
    </w:p>
  </w:footnote>
  <w:footnote w:id="43">
    <w:p w:rsidR="00000000" w:rsidRDefault="00000000">
      <w:pPr>
        <w:pStyle w:val="FootnoteText"/>
        <w:rPr>
          <w:sz w:val="18"/>
          <w:szCs w:val="18"/>
          <w:lang w:val="en-GB"/>
        </w:rPr>
      </w:pPr>
      <w:r>
        <w:rPr>
          <w:rStyle w:val="FootnoteReference"/>
          <w:sz w:val="18"/>
          <w:szCs w:val="18"/>
        </w:rPr>
        <w:footnoteRef/>
      </w:r>
      <w:r>
        <w:rPr>
          <w:sz w:val="18"/>
          <w:szCs w:val="18"/>
        </w:rPr>
        <w:t xml:space="preserve"> Sixth and seventh periodic reports (CERD)</w:t>
      </w:r>
      <w:r>
        <w:rPr>
          <w:sz w:val="18"/>
          <w:szCs w:val="18"/>
          <w:lang w:val="en-GB"/>
        </w:rPr>
        <w:t>，</w:t>
      </w:r>
      <w:r>
        <w:rPr>
          <w:sz w:val="18"/>
          <w:szCs w:val="18"/>
        </w:rPr>
        <w:t xml:space="preserve"> fourth periodic report (CEDAW) and second periodic report (CAT)</w:t>
      </w:r>
    </w:p>
  </w:footnote>
  <w:footnote w:id="44">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(CRC)</w:t>
      </w:r>
    </w:p>
  </w:footnote>
  <w:footnote w:id="45">
    <w:p w:rsidR="00000000" w:rsidRDefault="00000000">
      <w:pPr>
        <w:pStyle w:val="FootnoteText"/>
        <w:rPr>
          <w:sz w:val="18"/>
          <w:szCs w:val="18"/>
          <w:lang w:val="en-GB"/>
        </w:rPr>
      </w:pPr>
      <w:r>
        <w:rPr>
          <w:rStyle w:val="FootnoteReference"/>
          <w:sz w:val="18"/>
          <w:szCs w:val="18"/>
        </w:rPr>
        <w:footnoteRef/>
      </w:r>
      <w:r>
        <w:rPr>
          <w:sz w:val="18"/>
          <w:szCs w:val="18"/>
        </w:rPr>
        <w:t xml:space="preserve"> Fifth periodic reports (CESCR and CEDAW)</w:t>
      </w:r>
    </w:p>
  </w:footnote>
  <w:footnote w:id="46">
    <w:p w:rsidR="00000000" w:rsidRDefault="00000000">
      <w:pPr>
        <w:pStyle w:val="FootnoteText"/>
        <w:rPr>
          <w:sz w:val="18"/>
          <w:szCs w:val="18"/>
          <w:lang w:val="en-GB"/>
        </w:rPr>
      </w:pPr>
      <w:r>
        <w:rPr>
          <w:rStyle w:val="FootnoteReference"/>
          <w:sz w:val="18"/>
          <w:szCs w:val="18"/>
        </w:rPr>
        <w:footnoteRef/>
      </w:r>
      <w:r>
        <w:rPr>
          <w:sz w:val="18"/>
          <w:szCs w:val="18"/>
        </w:rPr>
        <w:t xml:space="preserve"> Second and third periodic reports (CEDAW) and third periodic report (CAT)</w:t>
      </w:r>
    </w:p>
  </w:footnote>
  <w:footnote w:id="47">
    <w:p w:rsidR="00000000" w:rsidRDefault="00000000">
      <w:pPr>
        <w:pStyle w:val="FootnoteText"/>
        <w:rPr>
          <w:sz w:val="18"/>
          <w:szCs w:val="18"/>
          <w:lang w:val="en-GB"/>
        </w:rPr>
      </w:pPr>
      <w:r>
        <w:rPr>
          <w:rStyle w:val="FootnoteReference"/>
          <w:sz w:val="18"/>
          <w:szCs w:val="18"/>
        </w:rPr>
        <w:footnoteRef/>
      </w:r>
      <w:r>
        <w:rPr>
          <w:sz w:val="18"/>
          <w:szCs w:val="18"/>
        </w:rPr>
        <w:t xml:space="preserve"> Third to fifth periodic reports (CEDAW)</w:t>
      </w:r>
    </w:p>
  </w:footnote>
  <w:footnote w:id="48">
    <w:p w:rsidR="00000000" w:rsidRDefault="00000000">
      <w:pPr>
        <w:pStyle w:val="FootnoteText"/>
        <w:rPr>
          <w:sz w:val="18"/>
          <w:szCs w:val="18"/>
          <w:lang w:val="en-GB"/>
        </w:rPr>
      </w:pPr>
      <w:r>
        <w:rPr>
          <w:rStyle w:val="FootnoteReference"/>
          <w:sz w:val="18"/>
          <w:szCs w:val="18"/>
        </w:rPr>
        <w:footnoteRef/>
      </w:r>
      <w:r>
        <w:rPr>
          <w:sz w:val="18"/>
          <w:szCs w:val="18"/>
        </w:rPr>
        <w:t xml:space="preserve"> Sixth periodic report (CEDAW)</w:t>
      </w:r>
    </w:p>
  </w:footnote>
  <w:footnote w:id="49">
    <w:p w:rsidR="00000000" w:rsidRDefault="00000000">
      <w:pPr>
        <w:pStyle w:val="FootnoteText"/>
        <w:rPr>
          <w:sz w:val="18"/>
          <w:szCs w:val="18"/>
          <w:lang w:val="en-GB"/>
        </w:rPr>
      </w:pPr>
      <w:r>
        <w:rPr>
          <w:rStyle w:val="FootnoteReference"/>
          <w:sz w:val="18"/>
          <w:szCs w:val="18"/>
        </w:rPr>
        <w:footnoteRef/>
      </w:r>
      <w:r>
        <w:rPr>
          <w:sz w:val="18"/>
          <w:szCs w:val="18"/>
        </w:rPr>
        <w:t xml:space="preserve"> Eighth to eleventh periodic reports (CERD)</w:t>
      </w:r>
      <w:r>
        <w:rPr>
          <w:sz w:val="18"/>
          <w:szCs w:val="18"/>
          <w:lang w:val="en-GB"/>
        </w:rPr>
        <w:t>，</w:t>
      </w:r>
      <w:r>
        <w:rPr>
          <w:sz w:val="18"/>
          <w:szCs w:val="18"/>
        </w:rPr>
        <w:t xml:space="preserve"> sixth periodic report (CEDAW) and fourth periodic report (CAT)</w:t>
      </w:r>
    </w:p>
  </w:footnote>
  <w:footnote w:id="50">
    <w:p w:rsidR="00000000" w:rsidRDefault="00000000">
      <w:pPr>
        <w:pStyle w:val="FootnoteText"/>
        <w:rPr>
          <w:sz w:val="18"/>
          <w:szCs w:val="18"/>
          <w:lang w:val="en-GB"/>
        </w:rPr>
      </w:pPr>
      <w:r>
        <w:rPr>
          <w:rStyle w:val="FootnoteReference"/>
          <w:sz w:val="18"/>
          <w:szCs w:val="18"/>
        </w:rPr>
        <w:footnoteRef/>
      </w:r>
      <w:r>
        <w:rPr>
          <w:sz w:val="18"/>
          <w:szCs w:val="18"/>
        </w:rPr>
        <w:t xml:space="preserve"> Fourth to sixth periodic reports (CEDAW)</w:t>
      </w:r>
    </w:p>
  </w:footnote>
  <w:footnote w:id="51">
    <w:p w:rsidR="00000000" w:rsidRDefault="00000000">
      <w:pPr>
        <w:pStyle w:val="FootnoteText"/>
        <w:rPr>
          <w:sz w:val="18"/>
          <w:szCs w:val="18"/>
          <w:lang w:val="en-GB"/>
        </w:rPr>
      </w:pPr>
      <w:r>
        <w:rPr>
          <w:rStyle w:val="FootnoteReference"/>
          <w:sz w:val="18"/>
          <w:szCs w:val="18"/>
        </w:rPr>
        <w:footnoteRef/>
      </w:r>
      <w:r>
        <w:rPr>
          <w:sz w:val="18"/>
          <w:szCs w:val="18"/>
        </w:rPr>
        <w:t xml:space="preserve"> Initial to fourteenth periodic reports (CERD)</w:t>
      </w:r>
    </w:p>
  </w:footnote>
  <w:footnote w:id="52">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(CCPR)</w:t>
      </w:r>
      <w:r>
        <w:rPr>
          <w:sz w:val="18"/>
          <w:szCs w:val="18"/>
          <w:lang w:val="en-GB"/>
        </w:rPr>
        <w:t>，</w:t>
      </w:r>
      <w:r>
        <w:rPr>
          <w:sz w:val="18"/>
          <w:szCs w:val="18"/>
        </w:rPr>
        <w:t xml:space="preserve"> fourth to sixth periodic reports (CEDAW) and third periodic report (CRC) </w:t>
      </w:r>
    </w:p>
  </w:footnote>
  <w:footnote w:id="53">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(CESCR) and fourth periodic report (CAT)</w:t>
      </w:r>
    </w:p>
  </w:footnote>
  <w:footnote w:id="54">
    <w:p w:rsidR="00000000" w:rsidRDefault="00000000">
      <w:pPr>
        <w:pStyle w:val="FootnoteText"/>
        <w:rPr>
          <w:sz w:val="18"/>
          <w:szCs w:val="18"/>
          <w:lang w:val="en-GB"/>
        </w:rPr>
      </w:pPr>
      <w:r>
        <w:rPr>
          <w:rStyle w:val="FootnoteReference"/>
          <w:sz w:val="18"/>
          <w:szCs w:val="18"/>
        </w:rPr>
        <w:footnoteRef/>
      </w:r>
      <w:r>
        <w:rPr>
          <w:sz w:val="18"/>
          <w:szCs w:val="18"/>
        </w:rPr>
        <w:t xml:space="preserve"> Fifth periodic report (CEDAW)</w:t>
      </w:r>
      <w:r>
        <w:rPr>
          <w:sz w:val="18"/>
          <w:szCs w:val="18"/>
          <w:lang w:val="en-GB"/>
        </w:rPr>
        <w:t>，</w:t>
      </w:r>
      <w:r>
        <w:rPr>
          <w:sz w:val="18"/>
          <w:szCs w:val="18"/>
        </w:rPr>
        <w:t xml:space="preserve"> third periodic report (CAT) and initial reports (CRC-AC and CRC-SC)</w:t>
      </w:r>
    </w:p>
  </w:footnote>
  <w:footnote w:id="55">
    <w:p w:rsidR="00000000" w:rsidRDefault="00000000">
      <w:pPr>
        <w:pStyle w:val="FootnoteText"/>
        <w:rPr>
          <w:sz w:val="18"/>
          <w:szCs w:val="18"/>
          <w:lang w:val="en-GB"/>
        </w:rPr>
      </w:pPr>
      <w:r>
        <w:rPr>
          <w:rStyle w:val="FootnoteReference"/>
          <w:sz w:val="18"/>
          <w:szCs w:val="18"/>
        </w:rPr>
        <w:footnoteRef/>
      </w:r>
      <w:r>
        <w:rPr>
          <w:sz w:val="18"/>
          <w:szCs w:val="18"/>
        </w:rPr>
        <w:t xml:space="preserve"> Second and third periodic reports (CEDAW) and fifteenth to eighteenth periodic reports (CERD) </w:t>
      </w:r>
    </w:p>
  </w:footnote>
  <w:footnote w:id="56">
    <w:p w:rsidR="00000000" w:rsidRDefault="00000000">
      <w:pPr>
        <w:pStyle w:val="FootnoteText"/>
        <w:rPr>
          <w:sz w:val="18"/>
          <w:szCs w:val="18"/>
          <w:lang w:val="en-GB"/>
        </w:rPr>
      </w:pPr>
      <w:r>
        <w:rPr>
          <w:rStyle w:val="FootnoteReference"/>
          <w:sz w:val="18"/>
          <w:szCs w:val="18"/>
        </w:rPr>
        <w:footnoteRef/>
      </w:r>
      <w:r>
        <w:rPr>
          <w:sz w:val="18"/>
          <w:szCs w:val="18"/>
        </w:rPr>
        <w:t xml:space="preserve"> Fourth and fifth periodic reports (CEDAW) and second periodic report (CAT)</w:t>
      </w:r>
    </w:p>
  </w:footnote>
  <w:footnote w:id="57">
    <w:p w:rsidR="00000000" w:rsidRDefault="00000000">
      <w:pPr>
        <w:pStyle w:val="FootnoteText"/>
        <w:rPr>
          <w:sz w:val="18"/>
          <w:szCs w:val="18"/>
          <w:lang w:val="en-GB"/>
        </w:rPr>
      </w:pPr>
      <w:r>
        <w:rPr>
          <w:rStyle w:val="FootnoteReference"/>
          <w:sz w:val="18"/>
          <w:szCs w:val="18"/>
        </w:rPr>
        <w:footnoteRef/>
      </w:r>
      <w:r>
        <w:rPr>
          <w:sz w:val="18"/>
          <w:szCs w:val="18"/>
        </w:rPr>
        <w:t xml:space="preserve"> Second periodic report (CRC)</w:t>
      </w:r>
    </w:p>
  </w:footnote>
  <w:footnote w:id="58">
    <w:p w:rsidR="00000000" w:rsidRDefault="00000000">
      <w:pPr>
        <w:pStyle w:val="FootnoteText"/>
        <w:rPr>
          <w:sz w:val="18"/>
          <w:szCs w:val="18"/>
          <w:lang w:val="en-GB"/>
        </w:rPr>
      </w:pPr>
      <w:r>
        <w:rPr>
          <w:rStyle w:val="FootnoteReference"/>
          <w:sz w:val="18"/>
          <w:szCs w:val="18"/>
        </w:rPr>
        <w:footnoteRef/>
      </w:r>
      <w:r>
        <w:rPr>
          <w:sz w:val="18"/>
          <w:szCs w:val="18"/>
        </w:rPr>
        <w:t xml:space="preserve"> Tenth to thirteenth periodic reports (CERD) and fourth periodic report (CEDAW)</w:t>
      </w:r>
    </w:p>
  </w:footnote>
  <w:footnote w:id="59">
    <w:p w:rsidR="00000000" w:rsidRDefault="00000000">
      <w:pPr>
        <w:pStyle w:val="FootnoteText"/>
        <w:rPr>
          <w:sz w:val="18"/>
          <w:szCs w:val="18"/>
          <w:lang w:val="en-GB"/>
        </w:rPr>
      </w:pPr>
      <w:r>
        <w:rPr>
          <w:rStyle w:val="FootnoteReference"/>
          <w:sz w:val="18"/>
          <w:szCs w:val="18"/>
        </w:rPr>
        <w:footnoteRef/>
      </w:r>
      <w:r>
        <w:rPr>
          <w:sz w:val="18"/>
          <w:szCs w:val="18"/>
        </w:rPr>
        <w:t xml:space="preserve"> Fourth periodic report (CAT) and initial reports (CRC-AC and CRC-SC)</w:t>
      </w:r>
    </w:p>
  </w:footnote>
  <w:footnote w:id="60">
    <w:p w:rsidR="00000000" w:rsidRDefault="00000000">
      <w:pPr>
        <w:pStyle w:val="FootnoteText"/>
        <w:rPr>
          <w:sz w:val="18"/>
          <w:szCs w:val="18"/>
          <w:lang w:val="en-GB"/>
        </w:rPr>
      </w:pPr>
      <w:r>
        <w:rPr>
          <w:rStyle w:val="FootnoteReference"/>
          <w:sz w:val="18"/>
          <w:szCs w:val="18"/>
        </w:rPr>
        <w:footnoteRef/>
      </w:r>
      <w:r>
        <w:rPr>
          <w:sz w:val="18"/>
          <w:szCs w:val="18"/>
        </w:rPr>
        <w:t xml:space="preserve"> Fifth periodic report (CEDAW)</w:t>
      </w:r>
    </w:p>
  </w:footnote>
  <w:footnote w:id="61">
    <w:p w:rsidR="00000000" w:rsidRDefault="00000000">
      <w:pPr>
        <w:pStyle w:val="FootnoteText"/>
        <w:rPr>
          <w:sz w:val="18"/>
          <w:szCs w:val="18"/>
          <w:lang w:val="en-GB"/>
        </w:rPr>
      </w:pPr>
      <w:r>
        <w:rPr>
          <w:rStyle w:val="FootnoteReference"/>
          <w:sz w:val="18"/>
          <w:szCs w:val="18"/>
        </w:rPr>
        <w:footnoteRef/>
      </w:r>
      <w:r>
        <w:rPr>
          <w:sz w:val="18"/>
          <w:szCs w:val="18"/>
          <w:lang w:val="en-GB"/>
        </w:rPr>
        <w:t xml:space="preserve"> Initial report (CAT)</w:t>
      </w:r>
    </w:p>
  </w:footnote>
  <w:footnote w:id="62">
    <w:p w:rsidR="00000000" w:rsidRDefault="00000000">
      <w:pPr>
        <w:pStyle w:val="FootnoteText"/>
        <w:rPr>
          <w:sz w:val="18"/>
          <w:szCs w:val="18"/>
          <w:lang w:val="en-GB"/>
        </w:rPr>
      </w:pPr>
      <w:r>
        <w:rPr>
          <w:rStyle w:val="FootnoteReference"/>
          <w:sz w:val="18"/>
          <w:szCs w:val="18"/>
        </w:rPr>
        <w:footnoteRef/>
      </w:r>
      <w:r>
        <w:rPr>
          <w:sz w:val="18"/>
          <w:szCs w:val="18"/>
        </w:rPr>
        <w:t xml:space="preserve"> Third and fourth periodic reports (CEDAW) and third periodic report (CRC)</w:t>
      </w:r>
    </w:p>
  </w:footnote>
  <w:footnote w:id="63">
    <w:p w:rsidR="00000000" w:rsidRDefault="00000000">
      <w:pPr>
        <w:pStyle w:val="FootnoteText"/>
        <w:rPr>
          <w:sz w:val="18"/>
          <w:szCs w:val="18"/>
          <w:lang w:val="en-GB"/>
        </w:rPr>
      </w:pPr>
      <w:r>
        <w:rPr>
          <w:rStyle w:val="FootnoteReference"/>
          <w:sz w:val="18"/>
          <w:szCs w:val="18"/>
        </w:rPr>
        <w:footnoteRef/>
      </w:r>
      <w:r>
        <w:rPr>
          <w:sz w:val="18"/>
          <w:szCs w:val="18"/>
        </w:rPr>
        <w:t xml:space="preserve"> Second periodic report (CEDAW) and initial report (CRC-AC)</w:t>
      </w:r>
    </w:p>
  </w:footnote>
  <w:footnote w:id="64">
    <w:p w:rsidR="00000000" w:rsidRDefault="00000000">
      <w:pPr>
        <w:pStyle w:val="FootnoteText"/>
        <w:rPr>
          <w:sz w:val="18"/>
          <w:szCs w:val="18"/>
          <w:lang w:val="en-GB"/>
        </w:rPr>
      </w:pPr>
      <w:r>
        <w:rPr>
          <w:rStyle w:val="FootnoteReference"/>
          <w:sz w:val="18"/>
          <w:szCs w:val="18"/>
        </w:rPr>
        <w:footnoteRef/>
      </w:r>
      <w:r>
        <w:rPr>
          <w:sz w:val="18"/>
          <w:szCs w:val="18"/>
        </w:rPr>
        <w:t xml:space="preserve"> Second periodic report (CRC)</w:t>
      </w:r>
    </w:p>
  </w:footnote>
  <w:footnote w:id="65">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(CRC)</w:t>
      </w:r>
    </w:p>
  </w:footnote>
  <w:footnote w:id="66">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(CESCR) and second periodic reports (CAT and CRC) </w:t>
      </w:r>
    </w:p>
  </w:footnote>
  <w:footnote w:id="67">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(CRC)</w:t>
      </w:r>
    </w:p>
  </w:footnote>
  <w:footnote w:id="68">
    <w:p w:rsidR="00000000" w:rsidRDefault="00000000">
      <w:pPr>
        <w:pStyle w:val="FootnoteText"/>
        <w:rPr>
          <w:sz w:val="18"/>
          <w:szCs w:val="18"/>
          <w:lang w:val="en-GB"/>
        </w:rPr>
      </w:pPr>
      <w:r>
        <w:rPr>
          <w:rStyle w:val="FootnoteReference"/>
          <w:sz w:val="18"/>
          <w:szCs w:val="18"/>
        </w:rPr>
        <w:footnoteRef/>
      </w:r>
      <w:r>
        <w:rPr>
          <w:sz w:val="18"/>
          <w:szCs w:val="18"/>
          <w:lang w:val="en-GB"/>
        </w:rPr>
        <w:t xml:space="preserve"> Fourth periodic report (CCPR) and second periodic report (CEDAW)</w:t>
      </w:r>
    </w:p>
  </w:footnote>
  <w:footnote w:id="69">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(CESCR)</w:t>
      </w:r>
      <w:r>
        <w:rPr>
          <w:sz w:val="18"/>
          <w:szCs w:val="18"/>
          <w:lang w:val="en-GB"/>
        </w:rPr>
        <w:t>，</w:t>
      </w:r>
      <w:r>
        <w:rPr>
          <w:sz w:val="18"/>
          <w:szCs w:val="18"/>
        </w:rPr>
        <w:t xml:space="preserve"> second and third periodic reports (CERD) and second periodic report (CEDAW)</w:t>
      </w:r>
    </w:p>
  </w:footnote>
  <w:footnote w:id="70">
    <w:p w:rsidR="00000000" w:rsidRDefault="00000000">
      <w:pPr>
        <w:pStyle w:val="FootnoteText"/>
        <w:rPr>
          <w:sz w:val="18"/>
          <w:szCs w:val="18"/>
          <w:lang w:val="en-GB"/>
        </w:rPr>
      </w:pPr>
      <w:r>
        <w:rPr>
          <w:rStyle w:val="FootnoteReference"/>
          <w:sz w:val="18"/>
          <w:szCs w:val="18"/>
        </w:rPr>
        <w:footnoteRef/>
      </w:r>
      <w:r>
        <w:rPr>
          <w:sz w:val="18"/>
          <w:szCs w:val="18"/>
        </w:rPr>
        <w:t xml:space="preserve"> Second and third periodic reports (CERD) and third periodic report (CEDAW)</w:t>
      </w:r>
    </w:p>
  </w:footnote>
  <w:footnote w:id="71">
    <w:p w:rsidR="00000000" w:rsidRDefault="00000000">
      <w:pPr>
        <w:pStyle w:val="FootnoteText"/>
        <w:rPr>
          <w:sz w:val="18"/>
          <w:szCs w:val="18"/>
          <w:lang w:val="en-GB"/>
        </w:rPr>
      </w:pPr>
      <w:r>
        <w:rPr>
          <w:rStyle w:val="FootnoteReference"/>
          <w:sz w:val="18"/>
          <w:szCs w:val="18"/>
        </w:rPr>
        <w:footnoteRef/>
      </w:r>
      <w:r>
        <w:rPr>
          <w:sz w:val="18"/>
          <w:szCs w:val="18"/>
        </w:rPr>
        <w:t xml:space="preserve"> Fifth periodic report (CAT)</w:t>
      </w:r>
    </w:p>
  </w:footnote>
  <w:footnote w:id="72">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(CCPR)</w:t>
      </w:r>
    </w:p>
  </w:footnote>
  <w:footnote w:id="73">
    <w:p w:rsidR="00000000" w:rsidRDefault="00000000">
      <w:pPr>
        <w:pStyle w:val="FootnoteText"/>
        <w:rPr>
          <w:sz w:val="18"/>
          <w:szCs w:val="18"/>
          <w:lang w:val="en-GB"/>
        </w:rPr>
      </w:pPr>
      <w:r>
        <w:rPr>
          <w:rStyle w:val="FootnoteReference"/>
          <w:sz w:val="18"/>
          <w:szCs w:val="18"/>
        </w:rPr>
        <w:footnoteRef/>
      </w:r>
      <w:r>
        <w:rPr>
          <w:sz w:val="18"/>
          <w:szCs w:val="18"/>
        </w:rPr>
        <w:t xml:space="preserve"> Second to fifth periodic reports (CEDAW)</w:t>
      </w:r>
    </w:p>
  </w:footnote>
  <w:footnote w:id="74">
    <w:p w:rsidR="00000000" w:rsidRDefault="00000000">
      <w:pPr>
        <w:pStyle w:val="FootnoteText"/>
        <w:rPr>
          <w:sz w:val="18"/>
          <w:szCs w:val="18"/>
          <w:lang w:val="en-GB"/>
        </w:rPr>
      </w:pPr>
      <w:r>
        <w:rPr>
          <w:rStyle w:val="FootnoteReference"/>
          <w:sz w:val="18"/>
          <w:szCs w:val="18"/>
        </w:rPr>
        <w:footnoteRef/>
      </w:r>
      <w:r>
        <w:rPr>
          <w:sz w:val="18"/>
          <w:szCs w:val="18"/>
        </w:rPr>
        <w:t xml:space="preserve"> Initial and second periodic reports (CEDAW)</w:t>
      </w:r>
    </w:p>
  </w:footnote>
  <w:footnote w:id="75">
    <w:p w:rsidR="00000000" w:rsidRDefault="00000000">
      <w:pPr>
        <w:pStyle w:val="FootnoteText"/>
        <w:rPr>
          <w:sz w:val="18"/>
          <w:szCs w:val="18"/>
          <w:lang w:val="en-GB"/>
        </w:rPr>
      </w:pPr>
      <w:r>
        <w:rPr>
          <w:rStyle w:val="FootnoteReference"/>
          <w:sz w:val="18"/>
          <w:szCs w:val="18"/>
        </w:rPr>
        <w:footnoteRef/>
      </w:r>
      <w:r>
        <w:rPr>
          <w:sz w:val="18"/>
          <w:szCs w:val="18"/>
        </w:rPr>
        <w:t xml:space="preserve"> Second and third periodic reports (CEDAW)</w:t>
      </w:r>
    </w:p>
  </w:footnote>
  <w:footnote w:id="76">
    <w:p w:rsidR="00000000" w:rsidRDefault="00000000">
      <w:pPr>
        <w:pStyle w:val="FootnoteText"/>
        <w:rPr>
          <w:sz w:val="18"/>
          <w:szCs w:val="18"/>
          <w:lang w:val="en-GB"/>
        </w:rPr>
      </w:pPr>
      <w:r>
        <w:rPr>
          <w:rStyle w:val="FootnoteReference"/>
          <w:sz w:val="18"/>
          <w:szCs w:val="18"/>
        </w:rPr>
        <w:footnoteRef/>
      </w:r>
      <w:r>
        <w:rPr>
          <w:sz w:val="18"/>
          <w:szCs w:val="18"/>
        </w:rPr>
        <w:t xml:space="preserve"> Second periodic report (CRC) and initial report (CMW)</w:t>
      </w:r>
    </w:p>
  </w:footnote>
  <w:footnote w:id="77">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(CRC-AC)</w:t>
      </w:r>
    </w:p>
  </w:footnote>
  <w:footnote w:id="78">
    <w:p w:rsidR="00000000" w:rsidRDefault="00000000">
      <w:pPr>
        <w:pStyle w:val="FootnoteText"/>
        <w:rPr>
          <w:sz w:val="18"/>
          <w:szCs w:val="18"/>
          <w:lang w:val="en-GB"/>
        </w:rPr>
      </w:pPr>
      <w:r>
        <w:rPr>
          <w:rStyle w:val="FootnoteReference"/>
          <w:sz w:val="18"/>
          <w:szCs w:val="18"/>
        </w:rPr>
        <w:footnoteRef/>
      </w:r>
      <w:r>
        <w:rPr>
          <w:sz w:val="18"/>
          <w:szCs w:val="18"/>
        </w:rPr>
        <w:t xml:space="preserve"> Second periodic report (CRC)</w:t>
      </w:r>
    </w:p>
  </w:footnote>
  <w:footnote w:id="79">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(CEDAW)</w:t>
      </w:r>
    </w:p>
  </w:footnote>
  <w:footnote w:id="80">
    <w:p w:rsidR="00000000" w:rsidRDefault="00000000">
      <w:pPr>
        <w:pStyle w:val="FootnoteText"/>
        <w:rPr>
          <w:sz w:val="18"/>
          <w:szCs w:val="18"/>
          <w:lang w:val="en-GB"/>
        </w:rPr>
      </w:pPr>
      <w:r>
        <w:rPr>
          <w:rStyle w:val="FootnoteReference"/>
          <w:sz w:val="18"/>
          <w:szCs w:val="18"/>
        </w:rPr>
        <w:footnoteRef/>
      </w:r>
      <w:r>
        <w:rPr>
          <w:sz w:val="18"/>
          <w:szCs w:val="18"/>
        </w:rPr>
        <w:t xml:space="preserve"> Third to fifth periodic reports (CEDAW)</w:t>
      </w:r>
    </w:p>
  </w:footnote>
  <w:footnote w:id="81">
    <w:p w:rsidR="00000000" w:rsidRDefault="00000000">
      <w:pPr>
        <w:pStyle w:val="FootnoteText"/>
        <w:rPr>
          <w:sz w:val="18"/>
          <w:szCs w:val="18"/>
          <w:lang w:val="en-GB"/>
        </w:rPr>
      </w:pPr>
      <w:r>
        <w:rPr>
          <w:rStyle w:val="FootnoteReference"/>
          <w:sz w:val="18"/>
          <w:szCs w:val="18"/>
        </w:rPr>
        <w:footnoteRef/>
      </w:r>
      <w:r>
        <w:rPr>
          <w:sz w:val="18"/>
          <w:szCs w:val="18"/>
        </w:rPr>
        <w:t xml:space="preserve"> Fourth periodic report (CESCR)</w:t>
      </w:r>
      <w:r>
        <w:rPr>
          <w:sz w:val="18"/>
          <w:szCs w:val="18"/>
          <w:lang w:val="en-GB"/>
        </w:rPr>
        <w:t>，</w:t>
      </w:r>
      <w:r>
        <w:rPr>
          <w:sz w:val="18"/>
          <w:szCs w:val="18"/>
        </w:rPr>
        <w:t xml:space="preserve"> twelfth to fifteenth periodic reports (CERD)</w:t>
      </w:r>
      <w:r>
        <w:rPr>
          <w:sz w:val="18"/>
          <w:szCs w:val="18"/>
          <w:lang w:val="en-GB"/>
        </w:rPr>
        <w:t>，</w:t>
      </w:r>
      <w:r>
        <w:rPr>
          <w:sz w:val="18"/>
          <w:szCs w:val="18"/>
        </w:rPr>
        <w:t xml:space="preserve"> sixth periodic report (CEDAW)</w:t>
      </w:r>
      <w:r>
        <w:rPr>
          <w:sz w:val="18"/>
          <w:szCs w:val="18"/>
          <w:lang w:val="en-GB"/>
        </w:rPr>
        <w:t>，</w:t>
      </w:r>
      <w:r>
        <w:rPr>
          <w:sz w:val="18"/>
          <w:szCs w:val="18"/>
        </w:rPr>
        <w:t xml:space="preserve"> fourth periodic report (CAT)</w:t>
      </w:r>
      <w:r>
        <w:rPr>
          <w:sz w:val="18"/>
          <w:szCs w:val="18"/>
          <w:lang w:val="en-GB"/>
        </w:rPr>
        <w:t>，</w:t>
      </w:r>
      <w:r>
        <w:rPr>
          <w:sz w:val="18"/>
          <w:szCs w:val="18"/>
        </w:rPr>
        <w:t xml:space="preserve"> third periodic report (CRC) and initial report (CMW) </w:t>
      </w:r>
    </w:p>
  </w:footnote>
  <w:footnote w:id="82">
    <w:p w:rsidR="00000000" w:rsidRDefault="00000000">
      <w:pPr>
        <w:pStyle w:val="FootnoteText"/>
        <w:rPr>
          <w:sz w:val="18"/>
          <w:szCs w:val="18"/>
          <w:lang w:val="en-GB"/>
        </w:rPr>
      </w:pPr>
      <w:r>
        <w:rPr>
          <w:rStyle w:val="FootnoteReference"/>
          <w:sz w:val="18"/>
          <w:szCs w:val="18"/>
        </w:rPr>
        <w:footnoteRef/>
      </w:r>
      <w:r>
        <w:rPr>
          <w:sz w:val="18"/>
          <w:szCs w:val="18"/>
        </w:rPr>
        <w:t xml:space="preserve"> Initial reports (CESCR and CRC-AC)  </w:t>
      </w:r>
    </w:p>
  </w:footnote>
  <w:footnote w:id="83">
    <w:p w:rsidR="00000000" w:rsidRDefault="00000000">
      <w:pPr>
        <w:pStyle w:val="FootnoteText"/>
        <w:rPr>
          <w:sz w:val="18"/>
          <w:szCs w:val="18"/>
          <w:lang w:val="en-GB"/>
        </w:rPr>
      </w:pPr>
      <w:r>
        <w:rPr>
          <w:rStyle w:val="FootnoteReference"/>
          <w:sz w:val="18"/>
          <w:szCs w:val="18"/>
        </w:rPr>
        <w:footnoteRef/>
      </w:r>
      <w:r>
        <w:rPr>
          <w:sz w:val="18"/>
          <w:szCs w:val="18"/>
        </w:rPr>
        <w:t xml:space="preserve"> Sixteenth to eighteenth periodic reports (CERD)</w:t>
      </w:r>
    </w:p>
  </w:footnote>
  <w:footnote w:id="84">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(CESCR)</w:t>
      </w:r>
    </w:p>
  </w:footnote>
  <w:footnote w:id="85">
    <w:p w:rsidR="00000000" w:rsidRDefault="00000000">
      <w:pPr>
        <w:pStyle w:val="FootnoteText"/>
        <w:rPr>
          <w:sz w:val="18"/>
          <w:szCs w:val="18"/>
          <w:lang w:val="en-GB"/>
        </w:rPr>
      </w:pPr>
      <w:r>
        <w:rPr>
          <w:rStyle w:val="FootnoteReference"/>
          <w:sz w:val="18"/>
          <w:szCs w:val="18"/>
        </w:rPr>
        <w:footnoteRef/>
      </w:r>
      <w:r>
        <w:rPr>
          <w:sz w:val="18"/>
          <w:szCs w:val="18"/>
        </w:rPr>
        <w:t xml:space="preserve"> Initial and second periodic reports (CEDAW)</w:t>
      </w:r>
    </w:p>
  </w:footnote>
  <w:footnote w:id="86">
    <w:p w:rsidR="00000000" w:rsidRDefault="00000000">
      <w:pPr>
        <w:pStyle w:val="FootnoteText"/>
        <w:rPr>
          <w:sz w:val="18"/>
          <w:szCs w:val="18"/>
          <w:lang w:val="en-GB"/>
        </w:rPr>
      </w:pPr>
      <w:r>
        <w:rPr>
          <w:rStyle w:val="FootnoteReference"/>
          <w:sz w:val="18"/>
          <w:szCs w:val="18"/>
        </w:rPr>
        <w:footnoteRef/>
      </w:r>
      <w:r>
        <w:rPr>
          <w:sz w:val="18"/>
          <w:szCs w:val="18"/>
        </w:rPr>
        <w:t xml:space="preserve"> Second and third periodic reports (CEDAW)</w:t>
      </w:r>
    </w:p>
  </w:footnote>
  <w:footnote w:id="87">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(CESCR) and fourth periodic reports (CEDAW and CAT)</w:t>
      </w:r>
    </w:p>
  </w:footnote>
  <w:footnote w:id="88">
    <w:p w:rsidR="00000000" w:rsidRDefault="00000000">
      <w:pPr>
        <w:pStyle w:val="FootnoteText"/>
        <w:rPr>
          <w:sz w:val="18"/>
          <w:szCs w:val="18"/>
          <w:lang w:val="en-GB"/>
        </w:rPr>
      </w:pPr>
      <w:r>
        <w:rPr>
          <w:rStyle w:val="FootnoteReference"/>
          <w:sz w:val="18"/>
          <w:szCs w:val="18"/>
        </w:rPr>
        <w:footnoteRef/>
      </w:r>
      <w:r>
        <w:rPr>
          <w:sz w:val="18"/>
          <w:szCs w:val="18"/>
        </w:rPr>
        <w:t xml:space="preserve"> Sixth periodic report (CEDAW)</w:t>
      </w:r>
    </w:p>
  </w:footnote>
  <w:footnote w:id="89">
    <w:p w:rsidR="00000000" w:rsidRDefault="00000000">
      <w:pPr>
        <w:pStyle w:val="FootnoteText"/>
        <w:rPr>
          <w:sz w:val="18"/>
          <w:szCs w:val="18"/>
          <w:lang w:val="en-GB"/>
        </w:rPr>
      </w:pPr>
      <w:r>
        <w:rPr>
          <w:rStyle w:val="FootnoteReference"/>
          <w:sz w:val="18"/>
          <w:szCs w:val="18"/>
        </w:rPr>
        <w:footnoteRef/>
      </w:r>
      <w:r>
        <w:rPr>
          <w:sz w:val="18"/>
          <w:szCs w:val="18"/>
        </w:rPr>
        <w:t xml:space="preserve"> Initial and second periodic reports (CEDAW)</w:t>
      </w:r>
    </w:p>
  </w:footnote>
  <w:footnote w:id="90">
    <w:p w:rsidR="00000000" w:rsidRDefault="00000000">
      <w:pPr>
        <w:pStyle w:val="FootnoteText"/>
        <w:rPr>
          <w:sz w:val="18"/>
          <w:szCs w:val="18"/>
          <w:lang w:val="en-GB"/>
        </w:rPr>
      </w:pPr>
      <w:r>
        <w:rPr>
          <w:rStyle w:val="FootnoteReference"/>
          <w:sz w:val="18"/>
          <w:szCs w:val="18"/>
        </w:rPr>
        <w:footnoteRef/>
      </w:r>
      <w:r>
        <w:rPr>
          <w:sz w:val="18"/>
          <w:szCs w:val="18"/>
        </w:rPr>
        <w:t xml:space="preserve"> Fifth periodic report (CCPR)</w:t>
      </w:r>
      <w:r>
        <w:rPr>
          <w:sz w:val="18"/>
          <w:szCs w:val="18"/>
          <w:lang w:val="en-GB"/>
        </w:rPr>
        <w:t>，</w:t>
      </w:r>
      <w:r>
        <w:rPr>
          <w:sz w:val="18"/>
          <w:szCs w:val="18"/>
        </w:rPr>
        <w:t xml:space="preserve"> seventeenth and eighteenth periodic reports (CERD)</w:t>
      </w:r>
      <w:r>
        <w:rPr>
          <w:sz w:val="18"/>
          <w:szCs w:val="18"/>
          <w:lang w:val="en-GB"/>
        </w:rPr>
        <w:t>，</w:t>
      </w:r>
      <w:r>
        <w:rPr>
          <w:sz w:val="18"/>
          <w:szCs w:val="18"/>
        </w:rPr>
        <w:t xml:space="preserve"> fifth periodic report (CAT) and initial report (CRC-AC)</w:t>
      </w:r>
    </w:p>
  </w:footnote>
  <w:footnote w:id="91">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(CERD) and second periodic report (CRC)</w:t>
      </w:r>
    </w:p>
  </w:footnote>
  <w:footnote w:id="92">
    <w:p w:rsidR="00000000" w:rsidRDefault="00000000">
      <w:pPr>
        <w:pStyle w:val="FootnoteText"/>
        <w:rPr>
          <w:sz w:val="18"/>
          <w:szCs w:val="18"/>
          <w:lang w:val="en-GB"/>
        </w:rPr>
      </w:pPr>
      <w:r>
        <w:rPr>
          <w:rStyle w:val="FootnoteReference"/>
          <w:sz w:val="18"/>
          <w:szCs w:val="18"/>
        </w:rPr>
        <w:footnoteRef/>
      </w:r>
      <w:r>
        <w:rPr>
          <w:sz w:val="18"/>
          <w:szCs w:val="18"/>
          <w:lang w:val="en-GB"/>
        </w:rPr>
        <w:t xml:space="preserve"> Sixth periodic report (CEDAW) and fourth periodic report (CAT)</w:t>
      </w:r>
    </w:p>
  </w:footnote>
  <w:footnote w:id="93">
    <w:p w:rsidR="00000000" w:rsidRDefault="00000000">
      <w:pPr>
        <w:pStyle w:val="FootnoteText"/>
        <w:rPr>
          <w:sz w:val="18"/>
          <w:szCs w:val="18"/>
          <w:lang w:val="en-GB"/>
        </w:rPr>
      </w:pPr>
      <w:r>
        <w:rPr>
          <w:rStyle w:val="FootnoteReference"/>
          <w:sz w:val="18"/>
          <w:szCs w:val="18"/>
        </w:rPr>
        <w:footnoteRef/>
      </w:r>
      <w:r>
        <w:rPr>
          <w:sz w:val="18"/>
          <w:szCs w:val="18"/>
        </w:rPr>
        <w:t xml:space="preserve"> Fifth and sixth periodic reports (CEDAW)</w:t>
      </w:r>
    </w:p>
  </w:footnote>
  <w:footnote w:id="94">
    <w:p w:rsidR="00000000" w:rsidRDefault="00000000">
      <w:pPr>
        <w:pStyle w:val="FootnoteText"/>
        <w:rPr>
          <w:sz w:val="18"/>
          <w:szCs w:val="18"/>
          <w:lang w:val="en-GB"/>
        </w:rPr>
      </w:pPr>
      <w:r>
        <w:rPr>
          <w:rStyle w:val="FootnoteReference"/>
          <w:sz w:val="18"/>
          <w:szCs w:val="18"/>
        </w:rPr>
        <w:footnoteRef/>
      </w:r>
      <w:r>
        <w:rPr>
          <w:sz w:val="18"/>
          <w:szCs w:val="18"/>
        </w:rPr>
        <w:t xml:space="preserve"> Fourth to sixth periodic reports (CEDAW) and fourth periodic report (CAT)</w:t>
      </w:r>
    </w:p>
  </w:footnote>
  <w:footnote w:id="95">
    <w:p w:rsidR="00000000" w:rsidRDefault="00000000">
      <w:pPr>
        <w:pStyle w:val="FootnoteText"/>
        <w:rPr>
          <w:sz w:val="18"/>
          <w:szCs w:val="18"/>
          <w:lang w:val="en-GB"/>
        </w:rPr>
      </w:pPr>
      <w:r>
        <w:rPr>
          <w:rStyle w:val="FootnoteReference"/>
          <w:sz w:val="18"/>
          <w:szCs w:val="18"/>
        </w:rPr>
        <w:footnoteRef/>
      </w:r>
      <w:r>
        <w:rPr>
          <w:sz w:val="18"/>
          <w:szCs w:val="18"/>
        </w:rPr>
        <w:t xml:space="preserve"> Fourth periodic report (CAT)</w:t>
      </w:r>
    </w:p>
  </w:footnote>
  <w:footnote w:id="96">
    <w:p w:rsidR="00000000" w:rsidRDefault="00000000">
      <w:pPr>
        <w:pStyle w:val="FootnoteText"/>
        <w:rPr>
          <w:sz w:val="18"/>
          <w:szCs w:val="18"/>
          <w:lang w:val="en-GB"/>
        </w:rPr>
      </w:pPr>
      <w:r>
        <w:rPr>
          <w:rStyle w:val="FootnoteReference"/>
          <w:sz w:val="18"/>
          <w:szCs w:val="18"/>
        </w:rPr>
        <w:footnoteRef/>
      </w:r>
      <w:r>
        <w:rPr>
          <w:sz w:val="18"/>
          <w:szCs w:val="18"/>
        </w:rPr>
        <w:t xml:space="preserve"> Initial reports (CAT and CRC-SC) </w:t>
      </w:r>
    </w:p>
  </w:footnote>
  <w:footnote w:id="97">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(CCPR)</w:t>
      </w:r>
      <w:r>
        <w:rPr>
          <w:sz w:val="18"/>
          <w:szCs w:val="18"/>
          <w:lang w:val="en-GB"/>
        </w:rPr>
        <w:t>，</w:t>
      </w:r>
      <w:r>
        <w:rPr>
          <w:sz w:val="18"/>
          <w:szCs w:val="18"/>
        </w:rPr>
        <w:t xml:space="preserve"> fifth periodic report (CEDAW) and second periodic report (CAT)</w:t>
      </w:r>
    </w:p>
  </w:footnote>
  <w:footnote w:id="98">
    <w:p w:rsidR="00000000" w:rsidRDefault="00000000">
      <w:pPr>
        <w:pStyle w:val="FootnoteText"/>
        <w:rPr>
          <w:sz w:val="18"/>
          <w:szCs w:val="18"/>
          <w:lang w:val="en-GB"/>
        </w:rPr>
      </w:pPr>
      <w:r>
        <w:rPr>
          <w:rStyle w:val="FootnoteReference"/>
          <w:sz w:val="18"/>
          <w:szCs w:val="18"/>
        </w:rPr>
        <w:footnoteRef/>
      </w:r>
      <w:r>
        <w:rPr>
          <w:sz w:val="18"/>
          <w:szCs w:val="18"/>
        </w:rPr>
        <w:t xml:space="preserve"> Second and third periodic reports (CEDAW)</w:t>
      </w:r>
    </w:p>
  </w:footnote>
  <w:footnote w:id="99">
    <w:p w:rsidR="00000000" w:rsidRDefault="00000000">
      <w:pPr>
        <w:pStyle w:val="FootnoteText"/>
        <w:rPr>
          <w:sz w:val="18"/>
          <w:szCs w:val="18"/>
          <w:lang w:val="en-GB"/>
        </w:rPr>
      </w:pPr>
      <w:r>
        <w:rPr>
          <w:rStyle w:val="FootnoteReference"/>
          <w:sz w:val="18"/>
          <w:szCs w:val="18"/>
        </w:rPr>
        <w:footnoteRef/>
      </w:r>
      <w:r>
        <w:rPr>
          <w:sz w:val="18"/>
          <w:szCs w:val="18"/>
        </w:rPr>
        <w:t xml:space="preserve"> Sixth periodic report (CEDAW)</w:t>
      </w:r>
    </w:p>
  </w:footnote>
  <w:footnote w:id="100">
    <w:p w:rsidR="00000000" w:rsidRDefault="00000000">
      <w:pPr>
        <w:pStyle w:val="FootnoteText"/>
        <w:rPr>
          <w:sz w:val="18"/>
          <w:szCs w:val="18"/>
          <w:lang w:val="en-GB"/>
        </w:rPr>
      </w:pPr>
      <w:r>
        <w:rPr>
          <w:rStyle w:val="FootnoteReference"/>
          <w:sz w:val="18"/>
          <w:szCs w:val="18"/>
        </w:rPr>
        <w:footnoteRef/>
      </w:r>
      <w:r>
        <w:rPr>
          <w:sz w:val="18"/>
          <w:szCs w:val="18"/>
        </w:rPr>
        <w:t xml:space="preserve"> Fourth periodic report (CAT)</w:t>
      </w:r>
    </w:p>
  </w:footnote>
  <w:footnote w:id="101">
    <w:p w:rsidR="00000000" w:rsidRDefault="00000000">
      <w:pPr>
        <w:pStyle w:val="FootnoteText"/>
        <w:rPr>
          <w:sz w:val="18"/>
          <w:szCs w:val="18"/>
          <w:lang w:val="en-GB"/>
        </w:rPr>
      </w:pPr>
      <w:r>
        <w:rPr>
          <w:rStyle w:val="FootnoteReference"/>
          <w:sz w:val="18"/>
          <w:szCs w:val="18"/>
        </w:rPr>
        <w:footnoteRef/>
      </w:r>
      <w:r>
        <w:rPr>
          <w:sz w:val="18"/>
          <w:szCs w:val="18"/>
        </w:rPr>
        <w:t xml:space="preserve"> Initial to sixth periodic reports (CEDAW)</w:t>
      </w:r>
    </w:p>
  </w:footnote>
  <w:footnote w:id="102">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(CRC)</w:t>
      </w:r>
    </w:p>
  </w:footnote>
  <w:footnote w:id="103">
    <w:p w:rsidR="00000000" w:rsidRDefault="00000000">
      <w:pPr>
        <w:pStyle w:val="FootnoteText"/>
        <w:rPr>
          <w:sz w:val="18"/>
          <w:szCs w:val="18"/>
          <w:lang w:val="en-GB"/>
        </w:rPr>
      </w:pPr>
      <w:r>
        <w:rPr>
          <w:rStyle w:val="FootnoteReference"/>
          <w:sz w:val="18"/>
          <w:szCs w:val="18"/>
        </w:rPr>
        <w:footnoteRef/>
      </w:r>
      <w:r>
        <w:rPr>
          <w:sz w:val="18"/>
          <w:szCs w:val="18"/>
        </w:rPr>
        <w:t xml:space="preserve"> Second periodic report (CRC)</w:t>
      </w:r>
    </w:p>
  </w:footnote>
  <w:footnote w:id="104">
    <w:p w:rsidR="00000000" w:rsidRDefault="00000000">
      <w:pPr>
        <w:pStyle w:val="FootnoteText"/>
        <w:rPr>
          <w:sz w:val="18"/>
          <w:szCs w:val="18"/>
          <w:lang w:val="en-GB"/>
        </w:rPr>
      </w:pPr>
      <w:r>
        <w:rPr>
          <w:rStyle w:val="FootnoteReference"/>
          <w:sz w:val="18"/>
          <w:szCs w:val="18"/>
        </w:rPr>
        <w:footnoteRef/>
      </w:r>
      <w:r>
        <w:rPr>
          <w:sz w:val="18"/>
          <w:szCs w:val="18"/>
        </w:rPr>
        <w:t xml:space="preserve"> </w:t>
      </w:r>
      <w:r>
        <w:rPr>
          <w:color w:val="000000"/>
          <w:sz w:val="18"/>
          <w:szCs w:val="18"/>
        </w:rPr>
        <w:t>The treaty bodies have considered reporting obligations of successor States in different ways. Consequently, there may be slight variations in the number of reports. In this case, the reports submitted i</w:t>
      </w:r>
      <w:r>
        <w:rPr>
          <w:sz w:val="18"/>
          <w:szCs w:val="18"/>
        </w:rPr>
        <w:t>nclude reports submitted by the former Yugoslavia, the Federal Republic of Yugoslavia and Serbia and Montenegro. See http://untreaty.un.org/ENGLISH/bible/englishinternetbible/historicalinfo.asp</w:t>
      </w:r>
    </w:p>
  </w:footnote>
  <w:footnote w:id="105">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(CEDAW)</w:t>
      </w:r>
    </w:p>
  </w:footnote>
  <w:footnote w:id="106">
    <w:p w:rsidR="00000000" w:rsidRDefault="00000000">
      <w:pPr>
        <w:pStyle w:val="FootnoteText"/>
        <w:rPr>
          <w:sz w:val="18"/>
          <w:szCs w:val="18"/>
          <w:lang w:val="en-GB"/>
        </w:rPr>
      </w:pPr>
      <w:r>
        <w:rPr>
          <w:rStyle w:val="FootnoteReference"/>
          <w:sz w:val="18"/>
          <w:szCs w:val="18"/>
        </w:rPr>
        <w:footnoteRef/>
      </w:r>
      <w:r>
        <w:rPr>
          <w:sz w:val="18"/>
          <w:szCs w:val="18"/>
        </w:rPr>
        <w:t xml:space="preserve"> Initial to third periodic reports (CERD) and initial report (CAT)</w:t>
      </w:r>
    </w:p>
  </w:footnote>
  <w:footnote w:id="107">
    <w:p w:rsidR="00000000" w:rsidRDefault="00000000">
      <w:pPr>
        <w:pStyle w:val="FootnoteText"/>
        <w:rPr>
          <w:sz w:val="18"/>
          <w:szCs w:val="18"/>
          <w:lang w:val="en-GB"/>
        </w:rPr>
      </w:pPr>
      <w:r>
        <w:rPr>
          <w:rStyle w:val="FootnoteReference"/>
          <w:sz w:val="18"/>
          <w:szCs w:val="18"/>
        </w:rPr>
        <w:footnoteRef/>
      </w:r>
      <w:r>
        <w:rPr>
          <w:sz w:val="18"/>
          <w:szCs w:val="18"/>
        </w:rPr>
        <w:t xml:space="preserve"> Third periodic report (CEDAW) and second periodic report (CRC)</w:t>
      </w:r>
    </w:p>
  </w:footnote>
  <w:footnote w:id="108">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(CRC)</w:t>
      </w:r>
    </w:p>
  </w:footnote>
  <w:footnote w:id="109">
    <w:p w:rsidR="00000000" w:rsidRDefault="00000000">
      <w:pPr>
        <w:pStyle w:val="FootnoteText"/>
        <w:rPr>
          <w:sz w:val="18"/>
          <w:szCs w:val="18"/>
          <w:lang w:val="en-GB"/>
        </w:rPr>
      </w:pPr>
      <w:r>
        <w:rPr>
          <w:rStyle w:val="FootnoteReference"/>
          <w:sz w:val="18"/>
          <w:szCs w:val="18"/>
        </w:rPr>
        <w:footnoteRef/>
      </w:r>
      <w:r>
        <w:rPr>
          <w:sz w:val="18"/>
          <w:szCs w:val="18"/>
        </w:rPr>
        <w:t xml:space="preserve"> Fifth periodic report (CAT)</w:t>
      </w:r>
    </w:p>
  </w:footnote>
  <w:footnote w:id="110">
    <w:p w:rsidR="00000000" w:rsidRDefault="00000000">
      <w:pPr>
        <w:pStyle w:val="FootnoteText"/>
        <w:rPr>
          <w:sz w:val="18"/>
          <w:szCs w:val="18"/>
          <w:lang w:val="en-GB"/>
        </w:rPr>
      </w:pPr>
      <w:r>
        <w:rPr>
          <w:rStyle w:val="FootnoteReference"/>
          <w:sz w:val="18"/>
          <w:szCs w:val="18"/>
        </w:rPr>
        <w:footnoteRef/>
      </w:r>
      <w:r>
        <w:rPr>
          <w:sz w:val="18"/>
          <w:szCs w:val="18"/>
        </w:rPr>
        <w:t xml:space="preserve"> Initial reports (CEDAW and CRC-SC) </w:t>
      </w:r>
    </w:p>
  </w:footnote>
  <w:footnote w:id="111">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(CESCR)</w:t>
      </w:r>
      <w:r>
        <w:rPr>
          <w:sz w:val="18"/>
          <w:szCs w:val="18"/>
          <w:lang w:val="en-GB"/>
        </w:rPr>
        <w:t>，</w:t>
      </w:r>
      <w:r>
        <w:rPr>
          <w:sz w:val="18"/>
          <w:szCs w:val="18"/>
        </w:rPr>
        <w:t xml:space="preserve"> initial to third periodic reports (CEDAW) and initial report (CAT)</w:t>
      </w:r>
    </w:p>
  </w:footnote>
  <w:footnote w:id="112">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(CESCR) and fourth to seventh periodic reports (CERD)  </w:t>
      </w:r>
    </w:p>
  </w:footnote>
  <w:footnote w:id="113">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(CAT)</w:t>
      </w:r>
    </w:p>
  </w:footnote>
  <w:footnote w:id="114">
    <w:p w:rsidR="00000000" w:rsidRDefault="00000000">
      <w:pPr>
        <w:pStyle w:val="FootnoteText"/>
        <w:rPr>
          <w:sz w:val="18"/>
          <w:szCs w:val="18"/>
          <w:lang w:val="en-GB"/>
        </w:rPr>
      </w:pPr>
      <w:r>
        <w:rPr>
          <w:rStyle w:val="FootnoteReference"/>
          <w:sz w:val="18"/>
          <w:szCs w:val="18"/>
        </w:rPr>
        <w:footnoteRef/>
      </w:r>
      <w:r>
        <w:rPr>
          <w:sz w:val="18"/>
          <w:szCs w:val="18"/>
        </w:rPr>
        <w:t xml:space="preserve"> Initial report (CRC-SC)</w:t>
      </w:r>
    </w:p>
  </w:footnote>
  <w:footnote w:id="115">
    <w:p w:rsidR="00000000" w:rsidRDefault="00000000">
      <w:pPr>
        <w:pStyle w:val="FootnoteText"/>
        <w:rPr>
          <w:sz w:val="18"/>
          <w:szCs w:val="18"/>
          <w:lang w:val="en-GB"/>
        </w:rPr>
      </w:pPr>
      <w:r>
        <w:rPr>
          <w:rStyle w:val="FootnoteReference"/>
          <w:sz w:val="18"/>
          <w:szCs w:val="18"/>
        </w:rPr>
        <w:footnoteRef/>
      </w:r>
      <w:r>
        <w:rPr>
          <w:sz w:val="18"/>
          <w:szCs w:val="18"/>
        </w:rPr>
        <w:t xml:space="preserve"> Initial and second periodic reports (CEDAW) and initial report (CRC)</w:t>
      </w:r>
    </w:p>
  </w:footnote>
  <w:footnote w:id="116">
    <w:p w:rsidR="00000000" w:rsidRDefault="00000000">
      <w:pPr>
        <w:pStyle w:val="FootnoteText"/>
        <w:rPr>
          <w:sz w:val="18"/>
          <w:szCs w:val="18"/>
          <w:lang w:val="en-GB"/>
        </w:rPr>
      </w:pPr>
      <w:r>
        <w:rPr>
          <w:rStyle w:val="FootnoteReference"/>
          <w:sz w:val="18"/>
          <w:szCs w:val="18"/>
        </w:rPr>
        <w:footnoteRef/>
      </w:r>
      <w:r>
        <w:rPr>
          <w:sz w:val="18"/>
          <w:szCs w:val="18"/>
        </w:rPr>
        <w:t xml:space="preserve"> Sixth periodic report (CCPR)</w:t>
      </w:r>
      <w:r>
        <w:rPr>
          <w:sz w:val="18"/>
          <w:szCs w:val="18"/>
          <w:lang w:val="en-GB"/>
        </w:rPr>
        <w:t>，</w:t>
      </w:r>
      <w:r>
        <w:rPr>
          <w:sz w:val="18"/>
          <w:szCs w:val="18"/>
        </w:rPr>
        <w:t xml:space="preserve"> seventeenth and eighteenth periodic reports (CERD) and fifth periodic report (CAT)</w:t>
      </w:r>
    </w:p>
  </w:footnote>
  <w:footnote w:id="117">
    <w:p w:rsidR="00000000" w:rsidRDefault="00000000">
      <w:pPr>
        <w:pStyle w:val="FootnoteText"/>
        <w:rPr>
          <w:sz w:val="18"/>
          <w:szCs w:val="18"/>
          <w:lang w:val="en-GB"/>
        </w:rPr>
      </w:pPr>
      <w:r>
        <w:rPr>
          <w:rStyle w:val="FootnoteReference"/>
          <w:sz w:val="18"/>
          <w:szCs w:val="18"/>
        </w:rPr>
        <w:footnoteRef/>
      </w:r>
      <w:r>
        <w:rPr>
          <w:sz w:val="18"/>
          <w:szCs w:val="18"/>
        </w:rPr>
        <w:t xml:space="preserve"> Fifth periodic report (CEDAW)</w:t>
      </w:r>
    </w:p>
  </w:footnote>
  <w:footnote w:id="118">
    <w:p w:rsidR="00000000" w:rsidRDefault="00000000">
      <w:pPr>
        <w:pStyle w:val="FootnoteText"/>
        <w:rPr>
          <w:sz w:val="18"/>
          <w:szCs w:val="18"/>
          <w:lang w:val="en-GB"/>
        </w:rPr>
      </w:pPr>
      <w:r>
        <w:rPr>
          <w:rStyle w:val="FootnoteReference"/>
          <w:sz w:val="18"/>
          <w:szCs w:val="18"/>
        </w:rPr>
        <w:footnoteRef/>
      </w:r>
      <w:r>
        <w:rPr>
          <w:sz w:val="18"/>
          <w:szCs w:val="18"/>
        </w:rPr>
        <w:t xml:space="preserve"> Second periodic report (CRC)</w:t>
      </w:r>
    </w:p>
  </w:footnote>
  <w:footnote w:id="119">
    <w:p w:rsidR="00000000" w:rsidRDefault="00000000">
      <w:pPr>
        <w:pStyle w:val="FootnoteText"/>
        <w:rPr>
          <w:sz w:val="18"/>
          <w:szCs w:val="18"/>
          <w:lang w:val="en-GB"/>
        </w:rPr>
      </w:pPr>
      <w:r>
        <w:rPr>
          <w:rStyle w:val="FootnoteReference"/>
          <w:sz w:val="18"/>
          <w:szCs w:val="18"/>
        </w:rPr>
        <w:footnoteRef/>
      </w:r>
      <w:r>
        <w:rPr>
          <w:sz w:val="18"/>
          <w:szCs w:val="18"/>
        </w:rPr>
        <w:t xml:space="preserve"> Second and third periodic reports (CCPR) and second periodic report (CAT)</w:t>
      </w:r>
    </w:p>
  </w:footnote>
  <w:footnote w:id="120">
    <w:p w:rsidR="00000000" w:rsidRDefault="00000000">
      <w:pPr>
        <w:pStyle w:val="FootnoteText"/>
        <w:rPr>
          <w:sz w:val="18"/>
          <w:szCs w:val="18"/>
          <w:lang w:val="en-GB"/>
        </w:rPr>
      </w:pPr>
      <w:r>
        <w:rPr>
          <w:rStyle w:val="FootnoteReference"/>
          <w:sz w:val="18"/>
          <w:szCs w:val="18"/>
        </w:rPr>
        <w:footnoteRef/>
      </w:r>
      <w:r>
        <w:rPr>
          <w:sz w:val="18"/>
          <w:szCs w:val="18"/>
        </w:rPr>
        <w:t xml:space="preserve"> Third to fifth periodic reports (CERD)</w:t>
      </w:r>
      <w:r>
        <w:rPr>
          <w:sz w:val="18"/>
          <w:szCs w:val="18"/>
          <w:lang w:val="en-GB"/>
        </w:rPr>
        <w:t>，</w:t>
      </w:r>
      <w:r>
        <w:rPr>
          <w:sz w:val="18"/>
          <w:szCs w:val="18"/>
        </w:rPr>
        <w:t xml:space="preserve"> second and third periodic reports (CEDAW)</w:t>
      </w:r>
      <w:r>
        <w:rPr>
          <w:sz w:val="18"/>
          <w:szCs w:val="18"/>
          <w:lang w:val="en-GB"/>
        </w:rPr>
        <w:t>，</w:t>
      </w:r>
      <w:r>
        <w:rPr>
          <w:sz w:val="18"/>
          <w:szCs w:val="18"/>
        </w:rPr>
        <w:t xml:space="preserve"> third periodic report (CAT) and second periodic report (CRC) </w:t>
      </w:r>
    </w:p>
  </w:footnote>
  <w:footnote w:id="121">
    <w:p w:rsidR="00000000" w:rsidRDefault="00000000">
      <w:pPr>
        <w:pStyle w:val="FootnoteText"/>
        <w:rPr>
          <w:sz w:val="18"/>
          <w:szCs w:val="18"/>
          <w:lang w:val="en-GB"/>
        </w:rPr>
      </w:pPr>
      <w:r>
        <w:rPr>
          <w:rStyle w:val="FootnoteReference"/>
          <w:sz w:val="18"/>
          <w:szCs w:val="18"/>
        </w:rPr>
        <w:footnoteRef/>
      </w:r>
      <w:r>
        <w:rPr>
          <w:sz w:val="18"/>
          <w:szCs w:val="18"/>
        </w:rPr>
        <w:t xml:space="preserve"> Initial to third periodic reports (CEDAW)</w:t>
      </w:r>
    </w:p>
  </w:footnote>
  <w:footnote w:id="122">
    <w:p w:rsidR="00000000" w:rsidRDefault="00000000">
      <w:pPr>
        <w:pStyle w:val="FootnoteText"/>
        <w:rPr>
          <w:sz w:val="18"/>
          <w:szCs w:val="18"/>
          <w:lang w:val="en-GB"/>
        </w:rPr>
      </w:pPr>
      <w:r>
        <w:rPr>
          <w:rStyle w:val="FootnoteReference"/>
          <w:sz w:val="18"/>
          <w:szCs w:val="18"/>
        </w:rPr>
        <w:footnoteRef/>
      </w:r>
      <w:r>
        <w:rPr>
          <w:sz w:val="18"/>
          <w:szCs w:val="18"/>
        </w:rPr>
        <w:t xml:space="preserve"> Fifth and sixth periodic reports (CEDAW) and initial reports (CRC-AC and CRC-SC)</w:t>
      </w:r>
    </w:p>
  </w:footnote>
  <w:footnote w:id="123">
    <w:p w:rsidR="00000000" w:rsidRDefault="00000000">
      <w:pPr>
        <w:pStyle w:val="FootnoteText"/>
        <w:rPr>
          <w:sz w:val="18"/>
          <w:szCs w:val="18"/>
          <w:lang w:val="en-GB"/>
        </w:rPr>
      </w:pPr>
      <w:r>
        <w:rPr>
          <w:rStyle w:val="FootnoteReference"/>
          <w:sz w:val="18"/>
          <w:szCs w:val="18"/>
        </w:rPr>
        <w:footnoteRef/>
      </w:r>
      <w:r>
        <w:rPr>
          <w:sz w:val="18"/>
          <w:szCs w:val="18"/>
        </w:rPr>
        <w:t xml:space="preserve"> </w:t>
      </w:r>
      <w:r>
        <w:rPr>
          <w:rFonts w:hint="eastAsia"/>
          <w:sz w:val="18"/>
          <w:szCs w:val="18"/>
        </w:rPr>
        <w:tab/>
      </w:r>
      <w:r>
        <w:rPr>
          <w:sz w:val="18"/>
          <w:szCs w:val="18"/>
        </w:rPr>
        <w:t>Fifteenth and sixteenth periodic reports (CERD)</w:t>
      </w:r>
    </w:p>
  </w:footnote>
  <w:footnote w:id="124">
    <w:p w:rsidR="00000000" w:rsidRDefault="00000000">
      <w:pPr>
        <w:pStyle w:val="FootnoteText"/>
        <w:rPr>
          <w:sz w:val="18"/>
          <w:szCs w:val="18"/>
          <w:lang w:val="en-GB"/>
        </w:rPr>
      </w:pPr>
      <w:r>
        <w:rPr>
          <w:rStyle w:val="FootnoteReference"/>
          <w:sz w:val="18"/>
          <w:szCs w:val="18"/>
        </w:rPr>
        <w:footnoteRef/>
      </w:r>
      <w:r>
        <w:rPr>
          <w:sz w:val="18"/>
          <w:szCs w:val="18"/>
        </w:rPr>
        <w:t xml:space="preserve"> </w:t>
      </w:r>
      <w:r>
        <w:rPr>
          <w:rFonts w:hint="eastAsia"/>
          <w:sz w:val="18"/>
          <w:szCs w:val="18"/>
        </w:rPr>
        <w:tab/>
      </w:r>
      <w:r>
        <w:rPr>
          <w:sz w:val="18"/>
          <w:szCs w:val="18"/>
        </w:rPr>
        <w:t>Third periodic report (CCPR) and second periodic report (CAT)</w:t>
      </w:r>
    </w:p>
  </w:footnote>
  <w:footnote w:id="125">
    <w:p w:rsidR="00000000" w:rsidRDefault="00000000">
      <w:pPr>
        <w:pStyle w:val="FootnoteText"/>
        <w:rPr>
          <w:rFonts w:hint="eastAsia"/>
        </w:rPr>
      </w:pPr>
      <w:r>
        <w:rPr>
          <w:rStyle w:val="FootnoteReference"/>
        </w:rPr>
        <w:footnoteRef/>
      </w:r>
      <w:r>
        <w:t xml:space="preserve"> </w:t>
      </w:r>
      <w:r>
        <w:rPr>
          <w:rFonts w:hint="eastAsia"/>
        </w:rPr>
        <w:tab/>
      </w:r>
      <w:r>
        <w:rPr>
          <w:rFonts w:hint="eastAsia"/>
        </w:rPr>
        <w:t>提高妇女地位司妇女权利科的工作人员专门为消除对妇女歧视委员会提供服务</w:t>
      </w:r>
      <w:r>
        <w:rPr>
          <w:rFonts w:hint="eastAsia"/>
        </w:rPr>
        <w:t>(2</w:t>
      </w:r>
      <w:r>
        <w:rPr>
          <w:rFonts w:hint="eastAsia"/>
        </w:rPr>
        <w:t>个</w:t>
      </w:r>
      <w:r>
        <w:rPr>
          <w:rFonts w:hint="eastAsia"/>
        </w:rPr>
        <w:t>P-4, 1</w:t>
      </w:r>
      <w:r>
        <w:rPr>
          <w:rFonts w:hint="eastAsia"/>
        </w:rPr>
        <w:t>个</w:t>
      </w:r>
      <w:r>
        <w:rPr>
          <w:rFonts w:hint="eastAsia"/>
        </w:rPr>
        <w:t>P-3, 1</w:t>
      </w:r>
      <w:r>
        <w:rPr>
          <w:rFonts w:hint="eastAsia"/>
        </w:rPr>
        <w:t>个</w:t>
      </w:r>
      <w:r>
        <w:rPr>
          <w:rFonts w:hint="eastAsia"/>
        </w:rPr>
        <w:t>P-2, 2</w:t>
      </w:r>
      <w:r>
        <w:rPr>
          <w:rFonts w:hint="eastAsia"/>
        </w:rPr>
        <w:t>个</w:t>
      </w:r>
      <w:r>
        <w:rPr>
          <w:rFonts w:hint="eastAsia"/>
        </w:rPr>
        <w:t>GS)</w:t>
      </w:r>
      <w:r>
        <w:rPr>
          <w:rFonts w:hint="eastAsia"/>
        </w:rPr>
        <w:t>。</w:t>
      </w:r>
    </w:p>
  </w:footnote>
  <w:footnote w:id="126">
    <w:p w:rsidR="00000000" w:rsidRDefault="00000000">
      <w:pPr>
        <w:pStyle w:val="FootnoteText"/>
        <w:rPr>
          <w:rFonts w:hint="eastAsia"/>
        </w:rPr>
      </w:pPr>
      <w:r>
        <w:rPr>
          <w:rStyle w:val="FootnoteReference"/>
        </w:rPr>
        <w:footnoteRef/>
      </w:r>
      <w:r>
        <w:t xml:space="preserve"> </w:t>
      </w:r>
      <w:r>
        <w:rPr>
          <w:rFonts w:hint="eastAsia"/>
        </w:rPr>
        <w:tab/>
      </w:r>
      <w:r>
        <w:rPr>
          <w:rFonts w:hint="eastAsia"/>
        </w:rPr>
        <w:t>这些费用是指示性的，本年度具体费用如何，会议事务司尚未核准，这些数字产生于人权高专办和提高妇女地位司往年得到的费用数字。</w:t>
      </w:r>
    </w:p>
  </w:footnote>
  <w:footnote w:id="127">
    <w:p w:rsidR="00000000" w:rsidRDefault="00000000">
      <w:pPr>
        <w:pStyle w:val="FootnoteText"/>
        <w:rPr>
          <w:rFonts w:hint="eastAsia"/>
        </w:rPr>
      </w:pPr>
      <w:r>
        <w:rPr>
          <w:rStyle w:val="FootnoteReference"/>
        </w:rPr>
        <w:footnoteRef/>
      </w:r>
      <w:r>
        <w:t xml:space="preserve"> </w:t>
      </w:r>
      <w:r>
        <w:rPr>
          <w:rFonts w:hint="eastAsia"/>
        </w:rPr>
        <w:tab/>
      </w:r>
      <w:r>
        <w:rPr>
          <w:rFonts w:hint="eastAsia"/>
        </w:rPr>
        <w:t>人权事务委员会和消除对妇女歧视委员会：每年召开每届为期</w:t>
      </w:r>
      <w:r>
        <w:rPr>
          <w:rFonts w:hint="eastAsia"/>
        </w:rPr>
        <w:t>3</w:t>
      </w:r>
      <w:r>
        <w:rPr>
          <w:rFonts w:hint="eastAsia"/>
        </w:rPr>
        <w:t>个星期的三届会议，在此之前先召开一个星期的工作组会议；儿童权利委员会：每年召开每届为期三个星期的三届会议，在此之前先召开一个星期的工作组会议；经社文权利委员会：每年召开每届为期三个星期的两届会议，在开会前先召开一个星期的工作组会议；消除种族歧视委员会：每年召开每届为期三个星期的两届会议；禁止酷刑委员会：每年召开两届会议，一届为两个星期，一届为三个星期，每次开会前先召开一个星期的工作组会议；移民工人权利委员会：每年召开为期三个星期的一届会议。</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HRI/MC</w:t>
    </w:r>
    <w:r>
      <w:rPr>
        <w:rFonts w:hint="eastAsia"/>
      </w:rPr>
      <w:t>/</w:t>
    </w:r>
    <w:r>
      <w:t>2006/2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r>
    <w:r>
      <w:tab/>
      <w:t>HRI/MC</w:t>
    </w:r>
    <w:r>
      <w:rPr>
        <w:rFonts w:hint="eastAsia"/>
      </w:rPr>
      <w:t>/</w:t>
    </w:r>
    <w:r>
      <w:t>2006/2</w:t>
    </w:r>
  </w:p>
  <w:p w:rsidR="00000000" w:rsidRDefault="00000000">
    <w:pPr>
      <w:pStyle w:val="Header"/>
    </w:pPr>
    <w:r>
      <w:tab/>
    </w: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437" w:wrap="around" w:x="114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31" style="position:absolute;left:0;text-align:left;margin-left:486.3pt;margin-top:57.65pt;width:58.5pt;height:31.25pt;z-index:-3;mso-position-horizontal-relative:page;mso-position-vertical-relative:page" o:allowincell="f" filled="f" stroked="f" strokeweight="0">
          <v:textbox inset="0,0,0,0">
            <w:txbxContent>
              <w:p w:rsidR="00000000" w:rsidRDefault="00000000">
                <w:pPr>
                  <w:pStyle w:val="1R1"/>
                  <w:rPr>
                    <w:rFonts w:ascii="Univers Bold" w:hAnsi="Univers Bold"/>
                  </w:rPr>
                </w:pPr>
                <w:r>
                  <w:t>HRI</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shape id="_x0000_s1033" type="#_x0000_t202" style="position:absolute;left:0;text-align:left;margin-left:344.5pt;margin-top:2.8pt;width:130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HRI/MC</w:t>
                </w:r>
                <w:r>
                  <w:rPr>
                    <w:rFonts w:hint="eastAsia"/>
                  </w:rPr>
                  <w:t>/</w:t>
                </w:r>
                <w:r>
                  <w:t>2006/2</w:t>
                </w:r>
              </w:p>
              <w:p w:rsidR="00000000" w:rsidRDefault="00000000">
                <w:pPr>
                  <w:pStyle w:val="Header"/>
                </w:pPr>
                <w:r>
                  <w:t>22 March 2006</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r>
      <w:rPr>
        <w:noProof/>
        <w:snapToGrid/>
        <w:lang w:eastAsia="zh-TW"/>
      </w:rPr>
      <w:pict>
        <v:rect id="_x0000_s1032" style="position:absolute;left:0;text-align:left;margin-left:135.3pt;margin-top:120.05pt;width:156pt;height:31.25pt;z-index:-2;mso-position-horizontal-relative:page;mso-position-vertical-relative:page" o:allowincell="f" filled="f" stroked="f" strokeweight="0">
          <v:textbox inset="0,0,0,0">
            <w:txbxContent>
              <w:p w:rsidR="00000000" w:rsidRDefault="00000000">
                <w:pPr>
                  <w:pStyle w:val="1m1"/>
                </w:pPr>
                <w:r>
                  <w:rPr>
                    <w:rFonts w:hint="eastAsia"/>
                    <w:spacing w:val="20"/>
                    <w:sz w:val="44"/>
                  </w:rPr>
                  <w:t>国际人权文书</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4;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196167B"/>
    <w:multiLevelType w:val="hybridMultilevel"/>
    <w:tmpl w:val="ED56A9CC"/>
    <w:lvl w:ilvl="0" w:tplc="C5A276B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FC259B"/>
    <w:multiLevelType w:val="hybridMultilevel"/>
    <w:tmpl w:val="22D82118"/>
    <w:lvl w:ilvl="0" w:tplc="80745230">
      <w:start w:val="1"/>
      <w:numFmt w:val="decimal"/>
      <w:lvlText w:val="%1."/>
      <w:lvlJc w:val="left"/>
      <w:pPr>
        <w:tabs>
          <w:tab w:val="num" w:pos="360"/>
        </w:tabs>
        <w:ind w:left="360" w:hanging="360"/>
      </w:pPr>
      <w:rPr>
        <w:b w:val="0"/>
        <w:bCs w:val="0"/>
      </w:rPr>
    </w:lvl>
    <w:lvl w:ilvl="1" w:tplc="4F500778">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4">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
    <w:nsid w:val="03947763"/>
    <w:multiLevelType w:val="hybridMultilevel"/>
    <w:tmpl w:val="BDA4E94C"/>
    <w:lvl w:ilvl="0" w:tplc="A8D814F2">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D">
      <w:start w:val="1"/>
      <w:numFmt w:val="bullet"/>
      <w:lvlText w:val=""/>
      <w:lvlJc w:val="left"/>
      <w:pPr>
        <w:tabs>
          <w:tab w:val="num" w:pos="1800"/>
        </w:tabs>
        <w:ind w:left="1800" w:hanging="360"/>
      </w:pPr>
      <w:rPr>
        <w:rFonts w:ascii="Wingdings" w:hAnsi="Wingdings"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575769D"/>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7">
    <w:nsid w:val="084B5507"/>
    <w:multiLevelType w:val="hybridMultilevel"/>
    <w:tmpl w:val="875406A2"/>
    <w:lvl w:ilvl="0" w:tplc="58EE053C">
      <w:start w:val="1"/>
      <w:numFmt w:val="lowerRoman"/>
      <w:lvlText w:val="%1."/>
      <w:lvlJc w:val="left"/>
      <w:pPr>
        <w:tabs>
          <w:tab w:val="num" w:pos="1440"/>
        </w:tabs>
        <w:ind w:left="144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9">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10">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0CAA017D"/>
    <w:multiLevelType w:val="hybridMultilevel"/>
    <w:tmpl w:val="8376C670"/>
    <w:lvl w:ilvl="0" w:tplc="53D48074">
      <w:start w:val="7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14">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113C52EC"/>
    <w:multiLevelType w:val="hybridMultilevel"/>
    <w:tmpl w:val="F2B0CCE4"/>
    <w:lvl w:ilvl="0" w:tplc="89DA10A2">
      <w:start w:val="46"/>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9">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20">
    <w:nsid w:val="127C5413"/>
    <w:multiLevelType w:val="hybridMultilevel"/>
    <w:tmpl w:val="6A804B14"/>
    <w:lvl w:ilvl="0" w:tplc="737CBABA">
      <w:start w:val="1"/>
      <w:numFmt w:val="lowerLetter"/>
      <w:lvlRestart w:val="0"/>
      <w:lvlText w:val="(%1)"/>
      <w:lvlJc w:val="right"/>
      <w:pPr>
        <w:tabs>
          <w:tab w:val="num" w:pos="1531"/>
        </w:tabs>
        <w:ind w:left="1531" w:hanging="227"/>
      </w:pPr>
      <w:rPr>
        <w:rFonts w:ascii="Times New Roman" w:hAnsi="Times New Roman" w:hint="default"/>
        <w:b w:val="0"/>
        <w:i w:val="0"/>
        <w:caps w:val="0"/>
        <w:strike w:val="0"/>
        <w:dstrike w:val="0"/>
        <w:shadow w:val="0"/>
        <w:emboss w:val="0"/>
        <w:imprint w:val="0"/>
        <w:vanish w:val="0"/>
        <w:sz w:val="24"/>
        <w:vertAlign w:val="baseline"/>
      </w:rPr>
    </w:lvl>
    <w:lvl w:ilvl="1" w:tplc="2A2C5B0C">
      <w:start w:val="1"/>
      <w:numFmt w:val="taiwaneseCountingThousand"/>
      <w:lvlText w:val="%2、"/>
      <w:lvlJc w:val="left"/>
      <w:pPr>
        <w:tabs>
          <w:tab w:val="num" w:pos="1200"/>
        </w:tabs>
        <w:ind w:left="1200" w:hanging="720"/>
      </w:pPr>
      <w:rPr>
        <w:rFonts w:hint="eastAsia"/>
      </w:rPr>
    </w:lvl>
    <w:lvl w:ilvl="2" w:tplc="BC02366E">
      <w:start w:val="1"/>
      <w:numFmt w:val="upperLetter"/>
      <w:lvlText w:val="%3."/>
      <w:lvlJc w:val="left"/>
      <w:pPr>
        <w:tabs>
          <w:tab w:val="num" w:pos="1500"/>
        </w:tabs>
        <w:ind w:left="1500" w:hanging="54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13763862"/>
    <w:multiLevelType w:val="multilevel"/>
    <w:tmpl w:val="C884E32E"/>
    <w:lvl w:ilvl="0">
      <w:start w:val="1"/>
      <w:numFmt w:val="upperRoman"/>
      <w:lvlText w:val="%1."/>
      <w:lvlJc w:val="right"/>
      <w:pPr>
        <w:tabs>
          <w:tab w:val="num" w:pos="540"/>
        </w:tabs>
        <w:ind w:left="540" w:hanging="18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16487B5E"/>
    <w:multiLevelType w:val="hybridMultilevel"/>
    <w:tmpl w:val="719027AA"/>
    <w:lvl w:ilvl="0" w:tplc="04090017">
      <w:start w:val="1"/>
      <w:numFmt w:val="lowerLetter"/>
      <w:lvlText w:val="%1)"/>
      <w:lvlJc w:val="left"/>
      <w:pPr>
        <w:tabs>
          <w:tab w:val="num" w:pos="720"/>
        </w:tabs>
        <w:ind w:left="720" w:hanging="360"/>
      </w:pPr>
      <w:rPr>
        <w:rFonts w:hint="default"/>
        <w:u w:val="none"/>
      </w:rPr>
    </w:lvl>
    <w:lvl w:ilvl="1" w:tplc="0409000D">
      <w:start w:val="1"/>
      <w:numFmt w:val="bullet"/>
      <w:lvlText w:val=""/>
      <w:lvlJc w:val="left"/>
      <w:pPr>
        <w:tabs>
          <w:tab w:val="num" w:pos="1440"/>
        </w:tabs>
        <w:ind w:left="1440" w:hanging="360"/>
      </w:pPr>
      <w:rPr>
        <w:rFonts w:ascii="Wingdings" w:hAnsi="Wingdings"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64919A1"/>
    <w:multiLevelType w:val="hybridMultilevel"/>
    <w:tmpl w:val="EDCC5A4E"/>
    <w:lvl w:ilvl="0" w:tplc="3F284278">
      <w:start w:val="1"/>
      <w:numFmt w:val="decimal"/>
      <w:lvlText w:val="%1."/>
      <w:lvlJc w:val="left"/>
      <w:pPr>
        <w:tabs>
          <w:tab w:val="num" w:pos="567"/>
        </w:tabs>
        <w:ind w:left="0" w:firstLine="0"/>
      </w:pPr>
      <w:rPr>
        <w:rFonts w:hint="default"/>
      </w:rPr>
    </w:lvl>
    <w:lvl w:ilvl="1" w:tplc="3F284278">
      <w:start w:val="1"/>
      <w:numFmt w:val="decimal"/>
      <w:lvlText w:val="%2."/>
      <w:lvlJc w:val="left"/>
      <w:pPr>
        <w:tabs>
          <w:tab w:val="num" w:pos="1647"/>
        </w:tabs>
        <w:ind w:left="1080" w:firstLine="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27">
    <w:nsid w:val="1C495DB0"/>
    <w:multiLevelType w:val="multilevel"/>
    <w:tmpl w:val="FF74C1D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1D126B11"/>
    <w:multiLevelType w:val="hybridMultilevel"/>
    <w:tmpl w:val="8ACE6EC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30">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1">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32">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33">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25A85FFB"/>
    <w:multiLevelType w:val="hybridMultilevel"/>
    <w:tmpl w:val="FF9C9F62"/>
    <w:lvl w:ilvl="0" w:tplc="FFFFFFFF">
      <w:start w:val="1"/>
      <w:numFmt w:val="decimal"/>
      <w:lvlText w:val="%1."/>
      <w:lvlJc w:val="left"/>
      <w:pPr>
        <w:tabs>
          <w:tab w:val="num" w:pos="720"/>
        </w:tabs>
        <w:ind w:left="720" w:hanging="360"/>
      </w:pPr>
    </w:lvl>
    <w:lvl w:ilvl="1" w:tplc="40B2426E">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36">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7">
    <w:nsid w:val="2849304F"/>
    <w:multiLevelType w:val="hybridMultilevel"/>
    <w:tmpl w:val="E34A10B6"/>
    <w:lvl w:ilvl="0" w:tplc="1084F728">
      <w:start w:val="53"/>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296533A8"/>
    <w:multiLevelType w:val="hybridMultilevel"/>
    <w:tmpl w:val="C25015E0"/>
    <w:lvl w:ilvl="0" w:tplc="04090001">
      <w:start w:val="1"/>
      <w:numFmt w:val="decimal"/>
      <w:lvlText w:val="%1."/>
      <w:lvlJc w:val="left"/>
      <w:pPr>
        <w:tabs>
          <w:tab w:val="num" w:pos="567"/>
        </w:tabs>
        <w:ind w:left="0" w:firstLine="0"/>
      </w:pPr>
      <w:rPr>
        <w:rFonts w:hint="default"/>
      </w:rPr>
    </w:lvl>
    <w:lvl w:ilvl="1" w:tplc="0DE6B68E"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0">
    <w:nsid w:val="2ED56604"/>
    <w:multiLevelType w:val="hybridMultilevel"/>
    <w:tmpl w:val="F1B2EA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077757B"/>
    <w:multiLevelType w:val="hybridMultilevel"/>
    <w:tmpl w:val="904A00D6"/>
    <w:lvl w:ilvl="0" w:tplc="79702C16">
      <w:start w:val="82"/>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43">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44">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45">
    <w:nsid w:val="34C92DED"/>
    <w:multiLevelType w:val="hybridMultilevel"/>
    <w:tmpl w:val="0DFA96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357868A3"/>
    <w:multiLevelType w:val="hybridMultilevel"/>
    <w:tmpl w:val="F0D4A60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8">
    <w:nsid w:val="36FD4EFC"/>
    <w:multiLevelType w:val="hybridMultilevel"/>
    <w:tmpl w:val="9DA0B02E"/>
    <w:lvl w:ilvl="0" w:tplc="44CC92D6">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5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51">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52">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53">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4">
    <w:nsid w:val="40037053"/>
    <w:multiLevelType w:val="multilevel"/>
    <w:tmpl w:val="F0D4A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5">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56">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57">
    <w:nsid w:val="444F5F42"/>
    <w:multiLevelType w:val="hybridMultilevel"/>
    <w:tmpl w:val="5B7CFA36"/>
    <w:lvl w:ilvl="0" w:tplc="58EE053C">
      <w:start w:val="1"/>
      <w:numFmt w:val="lowerRoman"/>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448B3C45"/>
    <w:multiLevelType w:val="multilevel"/>
    <w:tmpl w:val="BDA4E94C"/>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
      <w:lvlJc w:val="left"/>
      <w:pPr>
        <w:tabs>
          <w:tab w:val="num" w:pos="1800"/>
        </w:tabs>
        <w:ind w:left="1800" w:hanging="360"/>
      </w:pPr>
      <w:rPr>
        <w:rFonts w:ascii="Wingdings" w:hAnsi="Wingdings"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59">
    <w:nsid w:val="451027F2"/>
    <w:multiLevelType w:val="hybridMultilevel"/>
    <w:tmpl w:val="5CB2A21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61">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2">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3">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5">
    <w:nsid w:val="4B053582"/>
    <w:multiLevelType w:val="hybridMultilevel"/>
    <w:tmpl w:val="10F4E270"/>
    <w:lvl w:ilvl="0" w:tplc="0409000D">
      <w:start w:val="1"/>
      <w:numFmt w:val="bullet"/>
      <w:lvlText w:val=""/>
      <w:lvlJc w:val="left"/>
      <w:pPr>
        <w:tabs>
          <w:tab w:val="num" w:pos="1080"/>
        </w:tabs>
        <w:ind w:left="1080" w:hanging="360"/>
      </w:pPr>
      <w:rPr>
        <w:rFonts w:ascii="Wingdings" w:hAnsi="Wingdings" w:hint="default"/>
      </w:rPr>
    </w:lvl>
    <w:lvl w:ilvl="1" w:tplc="6AA839B6">
      <w:start w:val="1"/>
      <w:numFmt w:val="bullet"/>
      <w:lvlText w:val="-"/>
      <w:lvlJc w:val="left"/>
      <w:pPr>
        <w:tabs>
          <w:tab w:val="num" w:pos="1800"/>
        </w:tabs>
        <w:ind w:left="1800" w:hanging="360"/>
      </w:pPr>
      <w:rPr>
        <w:rFonts w:ascii="Times New Roman" w:eastAsia="Times New Roman" w:hAnsi="Times New Roman" w:cs="Times New Roman" w:hint="default"/>
        <w:b/>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6">
    <w:nsid w:val="4C8F5217"/>
    <w:multiLevelType w:val="hybridMultilevel"/>
    <w:tmpl w:val="FE4665CE"/>
    <w:lvl w:ilvl="0" w:tplc="03985DCE">
      <w:start w:val="90"/>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68">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69">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70">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72">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73">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74">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75">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76">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77">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59A43CDE"/>
    <w:multiLevelType w:val="hybridMultilevel"/>
    <w:tmpl w:val="E4BEF56E"/>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80">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81">
    <w:nsid w:val="5C340545"/>
    <w:multiLevelType w:val="hybridMultilevel"/>
    <w:tmpl w:val="C4928ECE"/>
    <w:lvl w:ilvl="0" w:tplc="CE9AA50E">
      <w:start w:val="16"/>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3">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4">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5">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86">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87">
    <w:nsid w:val="5F626CC9"/>
    <w:multiLevelType w:val="hybridMultilevel"/>
    <w:tmpl w:val="FF74C1DE"/>
    <w:lvl w:ilvl="0" w:tplc="A8D814F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5FCB43C9"/>
    <w:multiLevelType w:val="hybridMultilevel"/>
    <w:tmpl w:val="4D38CC76"/>
    <w:lvl w:ilvl="0" w:tplc="C1C06D86">
      <w:start w:val="58"/>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61D20B4C"/>
    <w:multiLevelType w:val="hybridMultilevel"/>
    <w:tmpl w:val="1BC2429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61D56729"/>
    <w:multiLevelType w:val="hybridMultilevel"/>
    <w:tmpl w:val="D1043C32"/>
    <w:lvl w:ilvl="0" w:tplc="0409000D">
      <w:start w:val="1"/>
      <w:numFmt w:val="bullet"/>
      <w:lvlText w:val=""/>
      <w:lvlJc w:val="left"/>
      <w:pPr>
        <w:tabs>
          <w:tab w:val="num" w:pos="1080"/>
        </w:tabs>
        <w:ind w:left="1080" w:hanging="360"/>
      </w:pPr>
      <w:rPr>
        <w:rFonts w:ascii="Wingdings" w:hAnsi="Wingdings" w:hint="default"/>
      </w:rPr>
    </w:lvl>
    <w:lvl w:ilvl="1" w:tplc="0409000D">
      <w:start w:val="1"/>
      <w:numFmt w:val="bullet"/>
      <w:lvlText w:val=""/>
      <w:lvlJc w:val="left"/>
      <w:pPr>
        <w:tabs>
          <w:tab w:val="num" w:pos="1800"/>
        </w:tabs>
        <w:ind w:left="1800" w:hanging="360"/>
      </w:pPr>
      <w:rPr>
        <w:rFonts w:ascii="Wingdings" w:hAnsi="Wingdings"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1">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2">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93">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94">
    <w:nsid w:val="659A21CA"/>
    <w:multiLevelType w:val="hybridMultilevel"/>
    <w:tmpl w:val="E1AAC71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96">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7">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98">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99">
    <w:nsid w:val="6AAA4050"/>
    <w:multiLevelType w:val="hybridMultilevel"/>
    <w:tmpl w:val="4244A088"/>
    <w:lvl w:ilvl="0" w:tplc="FFFFFFF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0">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1">
    <w:nsid w:val="6CC51B61"/>
    <w:multiLevelType w:val="hybridMultilevel"/>
    <w:tmpl w:val="41F2630A"/>
    <w:lvl w:ilvl="0" w:tplc="B65A4566">
      <w:start w:val="66"/>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6D3C777B"/>
    <w:multiLevelType w:val="hybridMultilevel"/>
    <w:tmpl w:val="52A27D56"/>
    <w:lvl w:ilvl="0" w:tplc="6B6C8F64">
      <w:numFmt w:val="bullet"/>
      <w:lvlText w:val=""/>
      <w:lvlJc w:val="left"/>
      <w:pPr>
        <w:tabs>
          <w:tab w:val="num" w:pos="720"/>
        </w:tabs>
        <w:ind w:left="720" w:hanging="360"/>
      </w:pPr>
      <w:rPr>
        <w:rFonts w:ascii="Wingdings" w:eastAsia="SimSu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4">
    <w:nsid w:val="70B1033E"/>
    <w:multiLevelType w:val="hybridMultilevel"/>
    <w:tmpl w:val="FB220FB2"/>
    <w:lvl w:ilvl="0" w:tplc="651ECD76">
      <w:start w:val="1"/>
      <w:numFmt w:val="decimal"/>
      <w:lvlText w:val="%1."/>
      <w:lvlJc w:val="left"/>
      <w:pPr>
        <w:tabs>
          <w:tab w:val="num" w:pos="0"/>
        </w:tabs>
        <w:ind w:left="0" w:firstLine="0"/>
      </w:pPr>
      <w:rPr>
        <w:rFonts w:hint="default"/>
        <w:b w:val="0"/>
        <w:bCs w:val="0"/>
        <w:i w:val="0"/>
        <w:iCs w:val="0"/>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71145A60"/>
    <w:multiLevelType w:val="hybridMultilevel"/>
    <w:tmpl w:val="CC6E4F64"/>
    <w:lvl w:ilvl="0" w:tplc="0409000D">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6">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7">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8">
    <w:nsid w:val="732B07EC"/>
    <w:multiLevelType w:val="hybridMultilevel"/>
    <w:tmpl w:val="18943180"/>
    <w:lvl w:ilvl="0" w:tplc="58EE053C">
      <w:start w:val="1"/>
      <w:numFmt w:val="lowerRoman"/>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0">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11">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3">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14">
    <w:nsid w:val="7869248F"/>
    <w:multiLevelType w:val="hybridMultilevel"/>
    <w:tmpl w:val="5DD2AFCC"/>
    <w:lvl w:ilvl="0" w:tplc="FFFFFFF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7AD46601"/>
    <w:multiLevelType w:val="hybridMultilevel"/>
    <w:tmpl w:val="DDD832DC"/>
    <w:lvl w:ilvl="0" w:tplc="8ABCF25C">
      <w:start w:val="74"/>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17">
    <w:nsid w:val="7B3F67DE"/>
    <w:multiLevelType w:val="hybridMultilevel"/>
    <w:tmpl w:val="585C47D8"/>
    <w:lvl w:ilvl="0" w:tplc="04090013">
      <w:start w:val="1"/>
      <w:numFmt w:val="upperRoman"/>
      <w:lvlText w:val="%1."/>
      <w:lvlJc w:val="right"/>
      <w:pPr>
        <w:tabs>
          <w:tab w:val="num" w:pos="180"/>
        </w:tabs>
        <w:ind w:left="180" w:hanging="180"/>
      </w:pPr>
      <w:rPr>
        <w:rFonts w:hint="default"/>
      </w:rPr>
    </w:lvl>
    <w:lvl w:ilvl="1" w:tplc="0409000D">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FC12EA00">
      <w:start w:val="3"/>
      <w:numFmt w:val="lowerLetter"/>
      <w:lvlText w:val="%5)"/>
      <w:lvlJc w:val="left"/>
      <w:pPr>
        <w:tabs>
          <w:tab w:val="num" w:pos="3600"/>
        </w:tabs>
        <w:ind w:left="3600" w:hanging="360"/>
      </w:pPr>
      <w:rPr>
        <w:rFonts w:hint="default"/>
      </w:rPr>
    </w:lvl>
    <w:lvl w:ilvl="5" w:tplc="9C4C9568">
      <w:start w:val="1"/>
      <w:numFmt w:val="decimal"/>
      <w:lvlText w:val="%6"/>
      <w:lvlJc w:val="left"/>
      <w:pPr>
        <w:tabs>
          <w:tab w:val="num" w:pos="4320"/>
        </w:tabs>
        <w:ind w:left="4320" w:hanging="360"/>
      </w:pPr>
      <w:rPr>
        <w:rFont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19">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0">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121">
    <w:nsid w:val="7F0359B9"/>
    <w:multiLevelType w:val="hybridMultilevel"/>
    <w:tmpl w:val="CD8AC52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2"/>
  </w:num>
  <w:num w:numId="2">
    <w:abstractNumId w:val="50"/>
  </w:num>
  <w:num w:numId="3">
    <w:abstractNumId w:val="42"/>
  </w:num>
  <w:num w:numId="4">
    <w:abstractNumId w:val="43"/>
  </w:num>
  <w:num w:numId="5">
    <w:abstractNumId w:val="112"/>
  </w:num>
  <w:num w:numId="6">
    <w:abstractNumId w:val="0"/>
  </w:num>
  <w:num w:numId="7">
    <w:abstractNumId w:val="63"/>
  </w:num>
  <w:num w:numId="8">
    <w:abstractNumId w:val="36"/>
  </w:num>
  <w:num w:numId="9">
    <w:abstractNumId w:val="14"/>
  </w:num>
  <w:num w:numId="10">
    <w:abstractNumId w:val="24"/>
  </w:num>
  <w:num w:numId="11">
    <w:abstractNumId w:val="103"/>
  </w:num>
  <w:num w:numId="12">
    <w:abstractNumId w:val="29"/>
  </w:num>
  <w:num w:numId="13">
    <w:abstractNumId w:val="110"/>
  </w:num>
  <w:num w:numId="14">
    <w:abstractNumId w:val="69"/>
  </w:num>
  <w:num w:numId="15">
    <w:abstractNumId w:val="73"/>
  </w:num>
  <w:num w:numId="16">
    <w:abstractNumId w:val="9"/>
  </w:num>
  <w:num w:numId="17">
    <w:abstractNumId w:val="119"/>
  </w:num>
  <w:num w:numId="18">
    <w:abstractNumId w:val="100"/>
  </w:num>
  <w:num w:numId="19">
    <w:abstractNumId w:val="96"/>
  </w:num>
  <w:num w:numId="20">
    <w:abstractNumId w:val="11"/>
  </w:num>
  <w:num w:numId="21">
    <w:abstractNumId w:val="71"/>
  </w:num>
  <w:num w:numId="22">
    <w:abstractNumId w:val="75"/>
  </w:num>
  <w:num w:numId="23">
    <w:abstractNumId w:val="116"/>
  </w:num>
  <w:num w:numId="24">
    <w:abstractNumId w:val="85"/>
  </w:num>
  <w:num w:numId="25">
    <w:abstractNumId w:val="83"/>
  </w:num>
  <w:num w:numId="26">
    <w:abstractNumId w:val="62"/>
  </w:num>
  <w:num w:numId="27">
    <w:abstractNumId w:val="16"/>
  </w:num>
  <w:num w:numId="28">
    <w:abstractNumId w:val="13"/>
  </w:num>
  <w:num w:numId="29">
    <w:abstractNumId w:val="120"/>
  </w:num>
  <w:num w:numId="30">
    <w:abstractNumId w:val="3"/>
  </w:num>
  <w:num w:numId="31">
    <w:abstractNumId w:val="26"/>
  </w:num>
  <w:num w:numId="32">
    <w:abstractNumId w:val="109"/>
  </w:num>
  <w:num w:numId="33">
    <w:abstractNumId w:val="38"/>
  </w:num>
  <w:num w:numId="34">
    <w:abstractNumId w:val="95"/>
  </w:num>
  <w:num w:numId="35">
    <w:abstractNumId w:val="93"/>
  </w:num>
  <w:num w:numId="36">
    <w:abstractNumId w:val="51"/>
  </w:num>
  <w:num w:numId="37">
    <w:abstractNumId w:val="76"/>
  </w:num>
  <w:num w:numId="38">
    <w:abstractNumId w:val="82"/>
  </w:num>
  <w:num w:numId="39">
    <w:abstractNumId w:val="106"/>
  </w:num>
  <w:num w:numId="40">
    <w:abstractNumId w:val="10"/>
  </w:num>
  <w:num w:numId="41">
    <w:abstractNumId w:val="47"/>
  </w:num>
  <w:num w:numId="42">
    <w:abstractNumId w:val="118"/>
  </w:num>
  <w:num w:numId="43">
    <w:abstractNumId w:val="80"/>
  </w:num>
  <w:num w:numId="44">
    <w:abstractNumId w:val="97"/>
  </w:num>
  <w:num w:numId="45">
    <w:abstractNumId w:val="35"/>
  </w:num>
  <w:num w:numId="46">
    <w:abstractNumId w:val="49"/>
  </w:num>
  <w:num w:numId="47">
    <w:abstractNumId w:val="19"/>
  </w:num>
  <w:num w:numId="48">
    <w:abstractNumId w:val="86"/>
  </w:num>
  <w:num w:numId="49">
    <w:abstractNumId w:val="77"/>
  </w:num>
  <w:num w:numId="50">
    <w:abstractNumId w:val="53"/>
  </w:num>
  <w:num w:numId="51">
    <w:abstractNumId w:val="25"/>
  </w:num>
  <w:num w:numId="52">
    <w:abstractNumId w:val="79"/>
  </w:num>
  <w:num w:numId="53">
    <w:abstractNumId w:val="18"/>
  </w:num>
  <w:num w:numId="54">
    <w:abstractNumId w:val="52"/>
  </w:num>
  <w:num w:numId="55">
    <w:abstractNumId w:val="67"/>
  </w:num>
  <w:num w:numId="56">
    <w:abstractNumId w:val="113"/>
  </w:num>
  <w:num w:numId="57">
    <w:abstractNumId w:val="74"/>
  </w:num>
  <w:num w:numId="58">
    <w:abstractNumId w:val="55"/>
  </w:num>
  <w:num w:numId="59">
    <w:abstractNumId w:val="44"/>
  </w:num>
  <w:num w:numId="60">
    <w:abstractNumId w:val="8"/>
  </w:num>
  <w:num w:numId="61">
    <w:abstractNumId w:val="68"/>
  </w:num>
  <w:num w:numId="62">
    <w:abstractNumId w:val="31"/>
  </w:num>
  <w:num w:numId="63">
    <w:abstractNumId w:val="92"/>
  </w:num>
  <w:num w:numId="64">
    <w:abstractNumId w:val="91"/>
  </w:num>
  <w:num w:numId="65">
    <w:abstractNumId w:val="4"/>
  </w:num>
  <w:num w:numId="66">
    <w:abstractNumId w:val="70"/>
  </w:num>
  <w:num w:numId="67">
    <w:abstractNumId w:val="30"/>
  </w:num>
  <w:num w:numId="68">
    <w:abstractNumId w:val="64"/>
  </w:num>
  <w:num w:numId="69">
    <w:abstractNumId w:val="15"/>
  </w:num>
  <w:num w:numId="70">
    <w:abstractNumId w:val="84"/>
  </w:num>
  <w:num w:numId="71">
    <w:abstractNumId w:val="61"/>
  </w:num>
  <w:num w:numId="72">
    <w:abstractNumId w:val="107"/>
  </w:num>
  <w:num w:numId="73">
    <w:abstractNumId w:val="98"/>
  </w:num>
  <w:num w:numId="74">
    <w:abstractNumId w:val="32"/>
  </w:num>
  <w:num w:numId="75">
    <w:abstractNumId w:val="56"/>
  </w:num>
  <w:num w:numId="76">
    <w:abstractNumId w:val="60"/>
  </w:num>
  <w:num w:numId="77">
    <w:abstractNumId w:val="33"/>
  </w:num>
  <w:num w:numId="78">
    <w:abstractNumId w:val="111"/>
  </w:num>
  <w:num w:numId="79">
    <w:abstractNumId w:val="40"/>
  </w:num>
  <w:num w:numId="80">
    <w:abstractNumId w:val="39"/>
  </w:num>
  <w:num w:numId="81">
    <w:abstractNumId w:val="34"/>
  </w:num>
  <w:num w:numId="82">
    <w:abstractNumId w:val="99"/>
  </w:num>
  <w:num w:numId="83">
    <w:abstractNumId w:val="7"/>
  </w:num>
  <w:num w:numId="84">
    <w:abstractNumId w:val="23"/>
  </w:num>
  <w:num w:numId="85">
    <w:abstractNumId w:val="114"/>
  </w:num>
  <w:num w:numId="86">
    <w:abstractNumId w:val="108"/>
  </w:num>
  <w:num w:numId="87">
    <w:abstractNumId w:val="57"/>
  </w:num>
  <w:num w:numId="88">
    <w:abstractNumId w:val="65"/>
  </w:num>
  <w:num w:numId="89">
    <w:abstractNumId w:val="46"/>
  </w:num>
  <w:num w:numId="90">
    <w:abstractNumId w:val="54"/>
  </w:num>
  <w:num w:numId="91">
    <w:abstractNumId w:val="117"/>
  </w:num>
  <w:num w:numId="92">
    <w:abstractNumId w:val="28"/>
  </w:num>
  <w:num w:numId="93">
    <w:abstractNumId w:val="22"/>
  </w:num>
  <w:num w:numId="94">
    <w:abstractNumId w:val="94"/>
  </w:num>
  <w:num w:numId="95">
    <w:abstractNumId w:val="87"/>
  </w:num>
  <w:num w:numId="96">
    <w:abstractNumId w:val="27"/>
  </w:num>
  <w:num w:numId="97">
    <w:abstractNumId w:val="5"/>
  </w:num>
  <w:num w:numId="98">
    <w:abstractNumId w:val="58"/>
  </w:num>
  <w:num w:numId="99">
    <w:abstractNumId w:val="90"/>
  </w:num>
  <w:num w:numId="100">
    <w:abstractNumId w:val="59"/>
  </w:num>
  <w:num w:numId="101">
    <w:abstractNumId w:val="21"/>
  </w:num>
  <w:num w:numId="102">
    <w:abstractNumId w:val="89"/>
  </w:num>
  <w:num w:numId="103">
    <w:abstractNumId w:val="105"/>
  </w:num>
  <w:num w:numId="104">
    <w:abstractNumId w:val="121"/>
  </w:num>
  <w:num w:numId="105">
    <w:abstractNumId w:val="1"/>
  </w:num>
  <w:num w:numId="106">
    <w:abstractNumId w:val="81"/>
  </w:num>
  <w:num w:numId="107">
    <w:abstractNumId w:val="102"/>
  </w:num>
  <w:num w:numId="108">
    <w:abstractNumId w:val="6"/>
  </w:num>
  <w:num w:numId="109">
    <w:abstractNumId w:val="37"/>
  </w:num>
  <w:num w:numId="110">
    <w:abstractNumId w:val="17"/>
  </w:num>
  <w:num w:numId="111">
    <w:abstractNumId w:val="88"/>
  </w:num>
  <w:num w:numId="112">
    <w:abstractNumId w:val="101"/>
  </w:num>
  <w:num w:numId="113">
    <w:abstractNumId w:val="12"/>
  </w:num>
  <w:num w:numId="114">
    <w:abstractNumId w:val="115"/>
  </w:num>
  <w:num w:numId="115">
    <w:abstractNumId w:val="41"/>
  </w:num>
  <w:num w:numId="116">
    <w:abstractNumId w:val="66"/>
  </w:num>
  <w:num w:numId="117">
    <w:abstractNumId w:val="48"/>
  </w:num>
  <w:num w:numId="118">
    <w:abstractNumId w:val="78"/>
  </w:num>
  <w:num w:numId="119">
    <w:abstractNumId w:val="2"/>
  </w:num>
  <w:num w:numId="120">
    <w:abstractNumId w:val="45"/>
  </w:num>
  <w:num w:numId="121">
    <w:abstractNumId w:val="104"/>
  </w:num>
  <w:num w:numId="1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aliases w:val="Footnote Quote,Footnote Quote1,Footnote Quote2,Footnote Quote3,Footnote Quote4,Footnote Quote5,Footnote Quote6,Footnote Quote7,Footnote Quote8,Footnote Quote9,Footnote Quote10,Footnote Quote11,Footnote Quote12,Footnote Quote13"/>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rFonts w:eastAsia="SimSun"/>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cdL1">
    <w:name w:val="cdL1"/>
    <w:basedOn w:val="Normal"/>
    <w:pPr>
      <w:widowControl w:val="0"/>
      <w:tabs>
        <w:tab w:val="left" w:pos="510"/>
      </w:tabs>
    </w:pPr>
    <w:rPr>
      <w:snapToGrid/>
      <w:spacing w:val="0"/>
    </w:rPr>
  </w:style>
  <w:style w:type="character" w:customStyle="1" w:styleId="StyleFootnoteReference11pt">
    <w:name w:val="Style Footnote Reference + 11 pt"/>
    <w:rPr>
      <w:rFonts w:ascii="Times New Roman" w:eastAsia="KaiTi_GB2312" w:hAnsi="Times New Roman"/>
      <w:b/>
      <w:color w:val="0000FF"/>
      <w:spacing w:val="0"/>
      <w:position w:val="6"/>
      <w:sz w:val="18"/>
      <w:szCs w:val="22"/>
      <w:vertAlign w:val="superscript"/>
    </w:rPr>
  </w:style>
  <w:style w:type="paragraph" w:styleId="PlainText">
    <w:name w:val="Plain Text"/>
    <w:basedOn w:val="Normal"/>
    <w:semiHidden/>
    <w:rPr>
      <w:rFonts w:ascii="MingLiU" w:eastAsia="MingLiU" w:hAnsi="Courier New" w:cs="Courier New"/>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4</TotalTime>
  <Pages>1</Pages>
  <Words>3504</Words>
  <Characters>19975</Characters>
  <Application>Microsoft Office Word</Application>
  <DocSecurity>4</DocSecurity>
  <Lines>166</Lines>
  <Paragraphs>39</Paragraphs>
  <ScaleCrop>false</ScaleCrop>
  <HeadingPairs>
    <vt:vector size="4" baseType="variant">
      <vt:variant>
        <vt:lpstr>题目</vt:lpstr>
      </vt:variant>
      <vt:variant>
        <vt:i4>1</vt:i4>
      </vt:variant>
      <vt:variant>
        <vt:lpstr>标题</vt:lpstr>
      </vt:variant>
      <vt:variant>
        <vt:i4>43</vt:i4>
      </vt:variant>
    </vt:vector>
  </HeadingPairs>
  <TitlesOfParts>
    <vt:vector size="44" baseType="lpstr">
      <vt:lpstr>人权机构第五次委员会间会议</vt:lpstr>
      <vt:lpstr>    关于高级专员设立统一常设条约机构建议的构想文件</vt:lpstr>
      <vt:lpstr>        秘书处的报告</vt:lpstr>
      <vt:lpstr>    导  言</vt:lpstr>
      <vt:lpstr>一、改革的目的和指导原则</vt:lpstr>
      <vt:lpstr>    二、本制度的目的和成绩及当前的挑战</vt:lpstr>
      <vt:lpstr>        A.  监测程序的目的</vt:lpstr>
      <vt:lpstr>        B.  成  绩</vt:lpstr>
      <vt:lpstr>        C.  本制度面临的难题</vt:lpstr>
      <vt:lpstr>        表 1： 条约机构的构成</vt:lpstr>
      <vt:lpstr>        表 2： 各条约规定的报告提交定期</vt:lpstr>
      <vt:lpstr>    三、一个统一的常设条约机构的设立据 以处理当前的难题的途径</vt:lpstr>
      <vt:lpstr>    四、落实措施：统一的常设条约机构</vt:lpstr>
      <vt:lpstr>        A.  运作形式/方形</vt:lpstr>
      <vt:lpstr>        1.  不设审议室的单一机构</vt:lpstr>
      <vt:lpstr>        2.  平行运作的几个审议室</vt:lpstr>
      <vt:lpstr>        3.  按照职能设立审议室</vt:lpstr>
      <vt:lpstr>        4.  按照条约设置审议室</vt:lpstr>
      <vt:lpstr>        5.  按照专题设置审议室</vt:lpstr>
      <vt:lpstr>        6.  按照区域设置审议室</vt:lpstr>
      <vt:lpstr>        B.  职  能</vt:lpstr>
      <vt:lpstr>        1.  报  告</vt:lpstr>
      <vt:lpstr>        2.  个人申诉</vt:lpstr>
      <vt:lpstr>        3.  查  询</vt:lpstr>
      <vt:lpstr>        4.  一般性意见</vt:lpstr>
      <vt:lpstr>        5.  后续行动</vt:lpstr>
      <vt:lpstr>        6.  早期预警和情况调查</vt:lpstr>
      <vt:lpstr>        7.  与伙伴的合作</vt:lpstr>
      <vt:lpstr>        8.  一般讨论日</vt:lpstr>
      <vt:lpstr>    五、在建立统一的常设条约机构时需考虑的问题</vt:lpstr>
      <vt:lpstr>        A.  具体性</vt:lpstr>
      <vt:lpstr>        B.  不同的批准模式</vt:lpstr>
      <vt:lpstr>        C.  成  员</vt:lpstr>
      <vt:lpstr>        D.  法律问题</vt:lpstr>
      <vt:lpstr>    附 件 一</vt:lpstr>
      <vt:lpstr>    与报告有关的事实和数字</vt:lpstr>
      <vt:lpstr>    附 件 二</vt:lpstr>
      <vt:lpstr>    截至2006年2月16日各缔约国 提交报告的情况</vt:lpstr>
      <vt:lpstr>    附 件 三</vt:lpstr>
      <vt:lpstr>    2005年统计的从缔约国提交报告到条约机构 审议报告平均间隔时间</vt:lpstr>
      <vt:lpstr>    附 件 四</vt:lpstr>
      <vt:lpstr>    与公民权利和政治权利委员会、禁止酷刑 委员会和消除种族歧视委员会 个人申诉程序有关的统计</vt:lpstr>
      <vt:lpstr>    附 件 五</vt:lpstr>
      <vt:lpstr>    人权条约机构所涉及的资源</vt:lpstr>
    </vt:vector>
  </TitlesOfParts>
  <Company>Chinese Unit - GE</Company>
  <LinksUpToDate>false</LinksUpToDate>
  <CharactersWithSpaces>24530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人权机构第五次委员会间会议</dc:title>
  <dc:subject/>
  <dc:creator>Chang</dc:creator>
  <cp:keywords/>
  <dc:description>国际人权文书</dc:description>
  <cp:lastModifiedBy>Kong</cp:lastModifiedBy>
  <cp:revision>3</cp:revision>
  <cp:lastPrinted>2006-05-03T14:55:00Z</cp:lastPrinted>
  <dcterms:created xsi:type="dcterms:W3CDTF">2006-05-03T14:55:00Z</dcterms:created>
  <dcterms:modified xsi:type="dcterms:W3CDTF">2006-05-03T14:59:00Z</dcterms:modified>
  <cp:category>HRI</cp:category>
</cp:coreProperties>
</file>