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8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E/1990/6/Add.36</w:t>
                  </w:r>
                  <w:r>
                    <w:rPr>
                      <w:szCs w:val="22"/>
                      <w:lang w:eastAsia="en-US"/>
                    </w:rPr>
                    <w:br/>
                    <w:t>20 December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SPANISH</w:t>
                  </w:r>
                </w:p>
              </w:txbxContent>
            </v:textbox>
            <w10:wrap anchorx="page"/>
            <w10:anchorlock/>
          </v:shape>
        </w:pict>
      </w:r>
      <w:r>
        <w:rPr>
          <w:rFonts w:hint="cs"/>
          <w:rtl/>
          <w:lang w:eastAsia="en-US"/>
        </w:rPr>
        <w:t>الدورة الموضوعية لعام 2003</w:t>
      </w:r>
    </w:p>
    <w:p w:rsidR="00000000" w:rsidRDefault="00000000">
      <w:pPr>
        <w:jc w:val="both"/>
        <w:rPr>
          <w:rFonts w:hint="cs"/>
          <w:rtl/>
        </w:rPr>
      </w:pPr>
    </w:p>
    <w:p w:rsidR="00000000" w:rsidRDefault="00000000">
      <w:pPr>
        <w:jc w:val="center"/>
        <w:rPr>
          <w:rFonts w:hint="cs"/>
          <w:b/>
          <w:bCs/>
          <w:sz w:val="36"/>
          <w:szCs w:val="36"/>
          <w:rtl/>
        </w:rPr>
      </w:pPr>
      <w:r>
        <w:rPr>
          <w:rFonts w:hint="cs"/>
          <w:b/>
          <w:bCs/>
          <w:sz w:val="36"/>
          <w:szCs w:val="36"/>
          <w:rtl/>
        </w:rPr>
        <w:t>تنفيذ العهد الدولي الخاص بالحقوق الاقتصادية والاجتماعية والثقافية</w:t>
      </w:r>
    </w:p>
    <w:p w:rsidR="00000000" w:rsidRDefault="00000000">
      <w:pPr>
        <w:jc w:val="center"/>
        <w:rPr>
          <w:rFonts w:hint="cs"/>
          <w:b/>
          <w:bCs/>
          <w:rtl/>
        </w:rPr>
      </w:pPr>
      <w:r>
        <w:rPr>
          <w:rFonts w:hint="cs"/>
          <w:b/>
          <w:bCs/>
          <w:rtl/>
        </w:rPr>
        <w:t>التقارير الدورية الثانية المقدمة من الدول الأطراف بموجب</w:t>
      </w:r>
      <w:r>
        <w:rPr>
          <w:b/>
          <w:bCs/>
          <w:rtl/>
        </w:rPr>
        <w:br/>
      </w:r>
      <w:r>
        <w:rPr>
          <w:rFonts w:hint="cs"/>
          <w:b/>
          <w:bCs/>
          <w:rtl/>
        </w:rPr>
        <w:t>المادتين 16 و17 من العهد</w:t>
      </w:r>
    </w:p>
    <w:p w:rsidR="00000000" w:rsidRDefault="00000000">
      <w:pPr>
        <w:jc w:val="center"/>
        <w:rPr>
          <w:rFonts w:hint="cs"/>
          <w:b/>
          <w:bCs/>
          <w:rtl/>
        </w:rPr>
      </w:pPr>
      <w:r>
        <w:rPr>
          <w:rFonts w:hint="cs"/>
          <w:b/>
          <w:bCs/>
          <w:rtl/>
        </w:rPr>
        <w:t>إضافة</w:t>
      </w:r>
    </w:p>
    <w:p w:rsidR="00000000" w:rsidRDefault="00000000">
      <w:pPr>
        <w:jc w:val="center"/>
        <w:rPr>
          <w:rFonts w:hint="cs"/>
          <w:rtl/>
        </w:rPr>
      </w:pPr>
      <w:r>
        <w:rPr>
          <w:rFonts w:hint="cs"/>
          <w:b/>
          <w:bCs/>
          <w:sz w:val="36"/>
          <w:szCs w:val="36"/>
          <w:rtl/>
        </w:rPr>
        <w:t>إكوادور</w:t>
      </w:r>
      <w:r>
        <w:rPr>
          <w:rFonts w:hint="cs"/>
          <w:b/>
          <w:bCs/>
          <w:rtl/>
        </w:rPr>
        <w:t>* **</w:t>
      </w:r>
    </w:p>
    <w:p w:rsidR="00000000" w:rsidRDefault="00000000">
      <w:pPr>
        <w:jc w:val="right"/>
        <w:rPr>
          <w:rFonts w:hint="cs"/>
          <w:rtl/>
        </w:rPr>
      </w:pPr>
      <w:r>
        <w:rPr>
          <w:rFonts w:hint="cs"/>
          <w:rtl/>
        </w:rPr>
        <w:t>[25 تشرين الأول/أكتوبر 2002]</w:t>
      </w:r>
    </w:p>
    <w:p w:rsidR="00000000" w:rsidRDefault="00000000">
      <w:pPr>
        <w:jc w:val="both"/>
        <w:rPr>
          <w:rFonts w:hint="cs"/>
          <w:rtl/>
        </w:rPr>
      </w:pPr>
      <w:r>
        <w:rPr>
          <w:rFonts w:hint="cs"/>
          <w:rtl/>
        </w:rPr>
        <w:t>ـــــــــ</w:t>
      </w:r>
    </w:p>
    <w:p w:rsidR="00000000" w:rsidRDefault="00000000">
      <w:pPr>
        <w:spacing w:line="380" w:lineRule="exact"/>
        <w:jc w:val="both"/>
        <w:rPr>
          <w:rFonts w:hint="cs"/>
          <w:rtl/>
        </w:rPr>
      </w:pPr>
      <w:r>
        <w:rPr>
          <w:rFonts w:hint="cs"/>
          <w:rtl/>
        </w:rPr>
        <w:tab/>
        <w:t>*</w:t>
      </w:r>
      <w:r>
        <w:rPr>
          <w:rFonts w:hint="cs"/>
          <w:rtl/>
        </w:rPr>
        <w:tab/>
        <w:t>نظر في التقارير الأوَّلية (</w:t>
      </w:r>
      <w:r>
        <w:t>E/1978/8/Add.1</w:t>
      </w:r>
      <w:r>
        <w:rPr>
          <w:rFonts w:hint="cs"/>
          <w:rtl/>
        </w:rPr>
        <w:t xml:space="preserve"> و</w:t>
      </w:r>
      <w:r>
        <w:t>E/1986/3/Add.14</w:t>
      </w:r>
      <w:r>
        <w:rPr>
          <w:rFonts w:hint="cs"/>
          <w:rtl/>
        </w:rPr>
        <w:t xml:space="preserve"> و</w:t>
      </w:r>
      <w:r>
        <w:t>E/1988/5/Add.7</w:t>
      </w:r>
      <w:r>
        <w:rPr>
          <w:rFonts w:hint="cs"/>
          <w:rtl/>
        </w:rPr>
        <w:t xml:space="preserve">) المتعلقة بالحقوق المشمولة بالمواد من 6 إلى 9 ومن 10 إلى 12 ومن 13 إلى 15 من العهد، وفي التقارير الدورية الثانية المتعلقة بالحقوق المشمولة بالمادتين 6 و9 من العهد، المقدمة من حكومة إكوادور، كل من فريق الخبراء الحكوميين العامل التابع للمجلس الاقتصادي والاجتماعي في عام 1980 (انظر الوثيقتين </w:t>
      </w:r>
      <w:r>
        <w:t>E/1980/WG.1/SR.4 and 5</w:t>
      </w:r>
      <w:r>
        <w:rPr>
          <w:rFonts w:hint="cs"/>
          <w:rtl/>
        </w:rPr>
        <w:t xml:space="preserve">) وفي عام 1984 (انظر الوثيقتين </w:t>
      </w:r>
      <w:r>
        <w:t>E/1984/WG.1/SR.20 and 22</w:t>
      </w:r>
      <w:r>
        <w:rPr>
          <w:rFonts w:hint="cs"/>
          <w:rtl/>
        </w:rPr>
        <w:t xml:space="preserve">)، ولجنة الحقوق الاقتصادية والاجتماعية والثقافية في دورتها الخامسة المعقودة في عام 1990 (انظر الوثائق </w:t>
      </w:r>
      <w:r>
        <w:t>E/C.12/1990/SR.37-39 and 42</w:t>
      </w:r>
      <w:r>
        <w:rPr>
          <w:rFonts w:hint="cs"/>
          <w:rtl/>
        </w:rPr>
        <w:t>).</w:t>
      </w:r>
    </w:p>
    <w:p w:rsidR="00000000" w:rsidRDefault="00000000">
      <w:pPr>
        <w:spacing w:line="380" w:lineRule="exact"/>
        <w:jc w:val="both"/>
        <w:rPr>
          <w:rtl/>
        </w:rPr>
      </w:pPr>
      <w:r>
        <w:rPr>
          <w:rFonts w:hint="cs"/>
          <w:rtl/>
        </w:rPr>
        <w:tab/>
        <w:t>**</w:t>
      </w:r>
      <w:r>
        <w:rPr>
          <w:rFonts w:hint="cs"/>
          <w:rtl/>
        </w:rPr>
        <w:tab/>
        <w:t>ترد في الوثيقة الأساسية (</w:t>
      </w:r>
      <w:r>
        <w:t>HRI/CORE/1/Add.7</w:t>
      </w:r>
      <w:r>
        <w:rPr>
          <w:rFonts w:hint="cs"/>
          <w:rtl/>
        </w:rPr>
        <w:t>) المعلومات المقدمة وفقاً للمبادئ التوجيهية الموحدة المتعلقة بالجزء الأول من تقارير الدول الأطراف.</w:t>
      </w:r>
    </w:p>
    <w:p w:rsidR="00000000" w:rsidRDefault="00000000">
      <w:pPr>
        <w:spacing w:line="380" w:lineRule="exact"/>
        <w:jc w:val="center"/>
        <w:rPr>
          <w:b/>
          <w:bCs/>
          <w:szCs w:val="28"/>
          <w:rtl/>
          <w:lang w:eastAsia="en-US"/>
        </w:rPr>
      </w:pPr>
      <w:r>
        <w:rPr>
          <w:b/>
          <w:bCs/>
          <w:sz w:val="36"/>
          <w:szCs w:val="36"/>
          <w:rtl/>
          <w:lang w:eastAsia="en-US"/>
        </w:rPr>
        <w:t>المحتويات</w:t>
      </w:r>
    </w:p>
    <w:p w:rsidR="00000000" w:rsidRDefault="00000000">
      <w:pPr>
        <w:tabs>
          <w:tab w:val="left" w:pos="7194"/>
        </w:tabs>
        <w:spacing w:line="380" w:lineRule="exact"/>
        <w:jc w:val="both"/>
        <w:rPr>
          <w:i/>
          <w:iCs/>
          <w:rtl/>
          <w:lang w:eastAsia="en-US"/>
        </w:rPr>
      </w:pPr>
      <w:r>
        <w:rPr>
          <w:rFonts w:hint="cs"/>
          <w:i/>
          <w:iCs/>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r>
      <w:r>
        <w:rPr>
          <w:rFonts w:hint="cs"/>
          <w:rtl/>
          <w:lang w:eastAsia="en-US"/>
        </w:rPr>
        <w:tab/>
        <w:t>1-5</w:t>
      </w:r>
      <w:r>
        <w:rPr>
          <w:rFonts w:hint="cs"/>
          <w:rtl/>
          <w:lang w:eastAsia="en-US"/>
        </w:rPr>
        <w:tab/>
        <w:t>3</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1</w:t>
      </w:r>
      <w:r>
        <w:rPr>
          <w:rFonts w:hint="cs"/>
          <w:rtl/>
          <w:lang w:eastAsia="en-US"/>
        </w:rPr>
        <w:tab/>
      </w:r>
      <w:r>
        <w:rPr>
          <w:rFonts w:hint="cs"/>
          <w:rtl/>
          <w:lang w:eastAsia="en-US"/>
        </w:rPr>
        <w:tab/>
      </w:r>
      <w:r>
        <w:rPr>
          <w:rFonts w:hint="cs"/>
          <w:rtl/>
          <w:lang w:eastAsia="en-US"/>
        </w:rPr>
        <w:tab/>
        <w:t>6</w:t>
      </w:r>
      <w:r>
        <w:rPr>
          <w:rFonts w:hint="cs"/>
          <w:rtl/>
          <w:lang w:eastAsia="en-US"/>
        </w:rPr>
        <w:tab/>
        <w:t>3</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2</w:t>
      </w:r>
      <w:r>
        <w:rPr>
          <w:rFonts w:hint="cs"/>
          <w:rtl/>
          <w:lang w:eastAsia="en-US"/>
        </w:rPr>
        <w:tab/>
      </w:r>
      <w:r>
        <w:rPr>
          <w:rFonts w:hint="cs"/>
          <w:rtl/>
          <w:lang w:eastAsia="en-US"/>
        </w:rPr>
        <w:tab/>
      </w:r>
      <w:r>
        <w:rPr>
          <w:rFonts w:hint="cs"/>
          <w:rtl/>
          <w:lang w:eastAsia="en-US"/>
        </w:rPr>
        <w:tab/>
        <w:t>7-11</w:t>
      </w:r>
      <w:r>
        <w:rPr>
          <w:rFonts w:hint="cs"/>
          <w:rtl/>
          <w:lang w:eastAsia="en-US"/>
        </w:rPr>
        <w:tab/>
        <w:t>3</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3</w:t>
      </w:r>
      <w:r>
        <w:rPr>
          <w:rFonts w:hint="cs"/>
          <w:rtl/>
          <w:lang w:eastAsia="en-US"/>
        </w:rPr>
        <w:tab/>
      </w:r>
      <w:r>
        <w:rPr>
          <w:rFonts w:hint="cs"/>
          <w:rtl/>
          <w:lang w:eastAsia="en-US"/>
        </w:rPr>
        <w:tab/>
      </w:r>
      <w:r>
        <w:rPr>
          <w:rFonts w:hint="cs"/>
          <w:rtl/>
          <w:lang w:eastAsia="en-US"/>
        </w:rPr>
        <w:tab/>
        <w:t>12-35</w:t>
      </w:r>
      <w:r>
        <w:rPr>
          <w:rFonts w:hint="cs"/>
          <w:rtl/>
          <w:lang w:eastAsia="en-US"/>
        </w:rPr>
        <w:tab/>
        <w:t>4</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4</w:t>
      </w:r>
      <w:r>
        <w:rPr>
          <w:rFonts w:hint="cs"/>
          <w:rtl/>
          <w:lang w:eastAsia="en-US"/>
        </w:rPr>
        <w:tab/>
      </w:r>
      <w:r>
        <w:rPr>
          <w:rFonts w:hint="cs"/>
          <w:rtl/>
          <w:lang w:eastAsia="en-US"/>
        </w:rPr>
        <w:tab/>
      </w:r>
      <w:r>
        <w:rPr>
          <w:rFonts w:hint="cs"/>
          <w:rtl/>
          <w:lang w:eastAsia="en-US"/>
        </w:rPr>
        <w:tab/>
        <w:t>36</w:t>
      </w:r>
      <w:r>
        <w:rPr>
          <w:rFonts w:hint="cs"/>
          <w:rtl/>
          <w:lang w:eastAsia="en-US"/>
        </w:rPr>
        <w:tab/>
        <w:t>9</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5</w:t>
      </w:r>
      <w:r>
        <w:rPr>
          <w:rFonts w:hint="cs"/>
          <w:rtl/>
          <w:lang w:eastAsia="en-US"/>
        </w:rPr>
        <w:tab/>
      </w:r>
      <w:r>
        <w:rPr>
          <w:rFonts w:hint="cs"/>
          <w:rtl/>
          <w:lang w:eastAsia="en-US"/>
        </w:rPr>
        <w:tab/>
      </w:r>
      <w:r>
        <w:rPr>
          <w:rFonts w:hint="cs"/>
          <w:rtl/>
          <w:lang w:eastAsia="en-US"/>
        </w:rPr>
        <w:tab/>
        <w:t>37-41</w:t>
      </w:r>
      <w:r>
        <w:rPr>
          <w:rFonts w:hint="cs"/>
          <w:rtl/>
          <w:lang w:eastAsia="en-US"/>
        </w:rPr>
        <w:tab/>
        <w:t>9</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6</w:t>
      </w:r>
      <w:r>
        <w:rPr>
          <w:rFonts w:hint="cs"/>
          <w:rtl/>
          <w:lang w:eastAsia="en-US"/>
        </w:rPr>
        <w:tab/>
      </w:r>
      <w:r>
        <w:rPr>
          <w:rFonts w:hint="cs"/>
          <w:rtl/>
          <w:lang w:eastAsia="en-US"/>
        </w:rPr>
        <w:tab/>
      </w:r>
      <w:r>
        <w:rPr>
          <w:rFonts w:hint="cs"/>
          <w:rtl/>
          <w:lang w:eastAsia="en-US"/>
        </w:rPr>
        <w:tab/>
        <w:t>42-83</w:t>
      </w:r>
      <w:r>
        <w:rPr>
          <w:rFonts w:hint="cs"/>
          <w:rtl/>
          <w:lang w:eastAsia="en-US"/>
        </w:rPr>
        <w:tab/>
        <w:t>10</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7</w:t>
      </w:r>
      <w:r>
        <w:rPr>
          <w:rFonts w:hint="cs"/>
          <w:rtl/>
          <w:lang w:eastAsia="en-US"/>
        </w:rPr>
        <w:tab/>
      </w:r>
      <w:r>
        <w:rPr>
          <w:rFonts w:hint="cs"/>
          <w:rtl/>
          <w:lang w:eastAsia="en-US"/>
        </w:rPr>
        <w:tab/>
      </w:r>
      <w:r>
        <w:rPr>
          <w:rFonts w:hint="cs"/>
          <w:rtl/>
          <w:lang w:eastAsia="en-US"/>
        </w:rPr>
        <w:tab/>
        <w:t>84-138</w:t>
      </w:r>
      <w:r>
        <w:rPr>
          <w:rFonts w:hint="cs"/>
          <w:rtl/>
          <w:lang w:eastAsia="en-US"/>
        </w:rPr>
        <w:tab/>
        <w:t>21</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8</w:t>
      </w:r>
      <w:r>
        <w:rPr>
          <w:rFonts w:hint="cs"/>
          <w:rtl/>
          <w:lang w:eastAsia="en-US"/>
        </w:rPr>
        <w:tab/>
      </w:r>
      <w:r>
        <w:rPr>
          <w:rFonts w:hint="cs"/>
          <w:rtl/>
          <w:lang w:eastAsia="en-US"/>
        </w:rPr>
        <w:tab/>
      </w:r>
      <w:r>
        <w:rPr>
          <w:rFonts w:hint="cs"/>
          <w:rtl/>
          <w:lang w:eastAsia="en-US"/>
        </w:rPr>
        <w:tab/>
        <w:t>139-158</w:t>
      </w:r>
      <w:r>
        <w:rPr>
          <w:rFonts w:hint="cs"/>
          <w:rtl/>
          <w:lang w:eastAsia="en-US"/>
        </w:rPr>
        <w:tab/>
        <w:t>34</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9</w:t>
      </w:r>
      <w:r>
        <w:rPr>
          <w:rFonts w:hint="cs"/>
          <w:rtl/>
          <w:lang w:eastAsia="en-US"/>
        </w:rPr>
        <w:tab/>
      </w:r>
      <w:r>
        <w:rPr>
          <w:rFonts w:hint="cs"/>
          <w:rtl/>
          <w:lang w:eastAsia="en-US"/>
        </w:rPr>
        <w:tab/>
      </w:r>
      <w:r>
        <w:rPr>
          <w:rFonts w:hint="cs"/>
          <w:rtl/>
          <w:lang w:eastAsia="en-US"/>
        </w:rPr>
        <w:tab/>
        <w:t>159-209</w:t>
      </w:r>
      <w:r>
        <w:rPr>
          <w:rFonts w:hint="cs"/>
          <w:rtl/>
          <w:lang w:eastAsia="en-US"/>
        </w:rPr>
        <w:tab/>
        <w:t>38</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10</w:t>
      </w:r>
      <w:r>
        <w:rPr>
          <w:rFonts w:hint="cs"/>
          <w:rtl/>
          <w:lang w:eastAsia="en-US"/>
        </w:rPr>
        <w:tab/>
      </w:r>
      <w:r>
        <w:rPr>
          <w:rFonts w:hint="cs"/>
          <w:rtl/>
          <w:lang w:eastAsia="en-US"/>
        </w:rPr>
        <w:tab/>
      </w:r>
      <w:r>
        <w:rPr>
          <w:rFonts w:hint="cs"/>
          <w:rtl/>
          <w:lang w:eastAsia="en-US"/>
        </w:rPr>
        <w:tab/>
        <w:t>210-274</w:t>
      </w:r>
      <w:r>
        <w:rPr>
          <w:rFonts w:hint="cs"/>
          <w:rtl/>
          <w:lang w:eastAsia="en-US"/>
        </w:rPr>
        <w:tab/>
        <w:t>46</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11</w:t>
      </w:r>
      <w:r>
        <w:rPr>
          <w:rFonts w:hint="cs"/>
          <w:rtl/>
          <w:lang w:eastAsia="en-US"/>
        </w:rPr>
        <w:tab/>
      </w:r>
      <w:r>
        <w:rPr>
          <w:rFonts w:hint="cs"/>
          <w:rtl/>
          <w:lang w:eastAsia="en-US"/>
        </w:rPr>
        <w:tab/>
      </w:r>
      <w:r>
        <w:rPr>
          <w:rFonts w:hint="cs"/>
          <w:rtl/>
          <w:lang w:eastAsia="en-US"/>
        </w:rPr>
        <w:tab/>
        <w:t>275-376</w:t>
      </w:r>
      <w:r>
        <w:rPr>
          <w:rFonts w:hint="cs"/>
          <w:rtl/>
          <w:lang w:eastAsia="en-US"/>
        </w:rPr>
        <w:tab/>
        <w:t>56</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12</w:t>
      </w:r>
      <w:r>
        <w:rPr>
          <w:rFonts w:hint="cs"/>
          <w:rtl/>
          <w:lang w:eastAsia="en-US"/>
        </w:rPr>
        <w:tab/>
      </w:r>
      <w:r>
        <w:rPr>
          <w:rFonts w:hint="cs"/>
          <w:rtl/>
          <w:lang w:eastAsia="en-US"/>
        </w:rPr>
        <w:tab/>
      </w:r>
      <w:r>
        <w:rPr>
          <w:rFonts w:hint="cs"/>
          <w:rtl/>
          <w:lang w:eastAsia="en-US"/>
        </w:rPr>
        <w:tab/>
        <w:t>377-480</w:t>
      </w:r>
      <w:r>
        <w:rPr>
          <w:rFonts w:hint="cs"/>
          <w:rtl/>
          <w:lang w:eastAsia="en-US"/>
        </w:rPr>
        <w:tab/>
        <w:t>79</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13</w:t>
      </w:r>
      <w:r>
        <w:rPr>
          <w:rFonts w:hint="cs"/>
          <w:rtl/>
          <w:lang w:eastAsia="en-US"/>
        </w:rPr>
        <w:tab/>
      </w:r>
      <w:r>
        <w:rPr>
          <w:rFonts w:hint="cs"/>
          <w:rtl/>
          <w:lang w:eastAsia="en-US"/>
        </w:rPr>
        <w:tab/>
      </w:r>
      <w:r>
        <w:rPr>
          <w:rFonts w:hint="cs"/>
          <w:rtl/>
          <w:lang w:eastAsia="en-US"/>
        </w:rPr>
        <w:tab/>
        <w:t>481-544</w:t>
      </w:r>
      <w:r>
        <w:rPr>
          <w:rFonts w:hint="cs"/>
          <w:rtl/>
          <w:lang w:eastAsia="en-US"/>
        </w:rPr>
        <w:tab/>
        <w:t>103</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14</w:t>
      </w:r>
      <w:r>
        <w:rPr>
          <w:rFonts w:hint="cs"/>
          <w:rtl/>
          <w:lang w:eastAsia="en-US"/>
        </w:rPr>
        <w:tab/>
      </w:r>
      <w:r>
        <w:rPr>
          <w:rFonts w:hint="cs"/>
          <w:rtl/>
          <w:lang w:eastAsia="en-US"/>
        </w:rPr>
        <w:tab/>
      </w:r>
      <w:r>
        <w:rPr>
          <w:rFonts w:hint="cs"/>
          <w:rtl/>
          <w:lang w:eastAsia="en-US"/>
        </w:rPr>
        <w:tab/>
        <w:t>545</w:t>
      </w:r>
      <w:r>
        <w:rPr>
          <w:rFonts w:hint="cs"/>
          <w:rtl/>
          <w:lang w:eastAsia="en-US"/>
        </w:rPr>
        <w:tab/>
        <w:t>121</w:t>
      </w:r>
    </w:p>
    <w:p w:rsidR="00000000" w:rsidRDefault="00000000">
      <w:pPr>
        <w:tabs>
          <w:tab w:val="left" w:pos="928"/>
          <w:tab w:val="left" w:leader="dot" w:pos="6448"/>
          <w:tab w:val="center" w:pos="7645"/>
          <w:tab w:val="center" w:pos="9013"/>
        </w:tabs>
        <w:spacing w:before="180" w:after="180" w:line="380" w:lineRule="exact"/>
        <w:jc w:val="both"/>
        <w:rPr>
          <w:rFonts w:hint="cs"/>
          <w:rtl/>
          <w:lang w:eastAsia="en-US"/>
        </w:rPr>
      </w:pPr>
      <w:r>
        <w:rPr>
          <w:rFonts w:hint="cs"/>
          <w:rtl/>
          <w:lang w:eastAsia="en-US"/>
        </w:rPr>
        <w:t>المادة 15</w:t>
      </w:r>
      <w:r>
        <w:rPr>
          <w:rFonts w:hint="cs"/>
          <w:rtl/>
          <w:lang w:eastAsia="en-US"/>
        </w:rPr>
        <w:tab/>
      </w:r>
      <w:r>
        <w:rPr>
          <w:rFonts w:hint="cs"/>
          <w:rtl/>
          <w:lang w:eastAsia="en-US"/>
        </w:rPr>
        <w:tab/>
      </w:r>
      <w:r>
        <w:rPr>
          <w:rFonts w:hint="cs"/>
          <w:rtl/>
          <w:lang w:eastAsia="en-US"/>
        </w:rPr>
        <w:tab/>
        <w:t>546-615</w:t>
      </w:r>
      <w:r>
        <w:rPr>
          <w:rFonts w:hint="cs"/>
          <w:rtl/>
          <w:lang w:eastAsia="en-US"/>
        </w:rPr>
        <w:tab/>
        <w:t>121</w:t>
      </w:r>
    </w:p>
    <w:p w:rsidR="00000000" w:rsidRDefault="00000000">
      <w:pPr>
        <w:spacing w:line="380" w:lineRule="exact"/>
        <w:jc w:val="both"/>
        <w:rPr>
          <w:rFonts w:hint="cs"/>
          <w:rtl/>
        </w:rPr>
      </w:pPr>
      <w:r>
        <w:rPr>
          <w:rtl/>
        </w:rPr>
        <w:br w:type="page"/>
      </w:r>
      <w:r>
        <w:rPr>
          <w:rFonts w:hint="cs"/>
          <w:b/>
          <w:bCs/>
          <w:rtl/>
        </w:rPr>
        <w:t>مقدمة</w:t>
      </w:r>
    </w:p>
    <w:p w:rsidR="00000000" w:rsidRDefault="00000000">
      <w:pPr>
        <w:spacing w:line="380" w:lineRule="exact"/>
        <w:jc w:val="both"/>
        <w:rPr>
          <w:rFonts w:hint="cs"/>
          <w:rtl/>
        </w:rPr>
      </w:pPr>
      <w:r>
        <w:rPr>
          <w:rFonts w:hint="cs"/>
          <w:rtl/>
        </w:rPr>
        <w:t>1-</w:t>
      </w:r>
      <w:r>
        <w:rPr>
          <w:rFonts w:hint="cs"/>
          <w:rtl/>
        </w:rPr>
        <w:tab/>
        <w:t>يغطي هذا التقرير المقدم من إكوادور بشأن الحقوق الاقتصادية والاجتماعية فترة التسعينات شاملاً إسقاطات حتى عام 2002.</w:t>
      </w:r>
    </w:p>
    <w:p w:rsidR="00000000" w:rsidRDefault="00000000">
      <w:pPr>
        <w:spacing w:line="380" w:lineRule="exact"/>
        <w:jc w:val="both"/>
        <w:rPr>
          <w:rFonts w:hint="cs"/>
          <w:rtl/>
        </w:rPr>
      </w:pPr>
      <w:r>
        <w:rPr>
          <w:rFonts w:hint="cs"/>
          <w:rtl/>
        </w:rPr>
        <w:t>2-</w:t>
      </w:r>
      <w:r>
        <w:rPr>
          <w:rFonts w:hint="cs"/>
          <w:rtl/>
        </w:rPr>
        <w:tab/>
        <w:t>وكما ذكر من قبل، دافعت إكوادور عن تقاريرها الأوَّلية وعن تقريرها الدوري الثاني المتعلق بالحقوق المشمولة بالمواد 6 إلى 9 من العهد الدولي الخاص بالحقوق الاجتماعية والاقتصادية والثقافية</w:t>
      </w:r>
      <w:r>
        <w:rPr>
          <w:rFonts w:hint="cs"/>
          <w:vertAlign w:val="superscript"/>
          <w:rtl/>
        </w:rPr>
        <w:t>(1)</w:t>
      </w:r>
      <w:r>
        <w:rPr>
          <w:rFonts w:hint="cs"/>
          <w:rtl/>
        </w:rPr>
        <w:t>. وتجدر الإشارة إلى أن التقارير المعنية سبق أن قُدمت إلى اللجان الجديدة التي أنشأتها الأمم المتحدة، ولا سيما لجنة القضاء على التمييز ضد المرأة (</w:t>
      </w:r>
      <w:r>
        <w:t>CEDAW/C/ECU/4-5</w:t>
      </w:r>
      <w:r>
        <w:rPr>
          <w:rFonts w:hint="cs"/>
          <w:rtl/>
        </w:rPr>
        <w:t>)، ولجنة حقوق الطفل (</w:t>
      </w:r>
      <w:r>
        <w:t>CRC/C/3/Add.44</w:t>
      </w:r>
      <w:r>
        <w:rPr>
          <w:rFonts w:hint="cs"/>
          <w:rtl/>
        </w:rPr>
        <w:t>)، ولجنة القضاء على التمييز العنصري (</w:t>
      </w:r>
      <w:r>
        <w:t>CERD/C/226/Add.1</w:t>
      </w:r>
      <w:r>
        <w:rPr>
          <w:rFonts w:hint="cs"/>
          <w:rtl/>
        </w:rPr>
        <w:t>)، وهي تقارير يمكن استخدامها لاستكمال بعض الفصول في هذه الوثيقة التي قد تعد غير كاملة.</w:t>
      </w:r>
    </w:p>
    <w:p w:rsidR="00000000" w:rsidRDefault="00000000">
      <w:pPr>
        <w:spacing w:line="380" w:lineRule="exact"/>
        <w:jc w:val="both"/>
        <w:rPr>
          <w:rFonts w:hint="cs"/>
          <w:rtl/>
        </w:rPr>
      </w:pPr>
      <w:r>
        <w:rPr>
          <w:rFonts w:hint="cs"/>
          <w:rtl/>
        </w:rPr>
        <w:t>3-</w:t>
      </w:r>
      <w:r>
        <w:rPr>
          <w:rFonts w:hint="cs"/>
          <w:rtl/>
        </w:rPr>
        <w:tab/>
        <w:t>لقد انخفض عدد سكان إكوادور، وإذا وضعنا في الاعتبار الإسقاطات التي أجريت في التعداد الوطني لعام 1990 نجد أن التناقص بلغ قرابة نصف مليون نسمة. ويمكن تفسير ذلك أساساً بموجة الهجرة من إكوادور إلى البلدان الأخرى، ولا سيما الولايات المتحدة الأمريكية وإسبانيا وإيطاليا</w:t>
      </w:r>
      <w:r>
        <w:rPr>
          <w:rFonts w:hint="cs"/>
          <w:vertAlign w:val="superscript"/>
          <w:rtl/>
        </w:rPr>
        <w:t>(2)</w:t>
      </w:r>
      <w:r>
        <w:rPr>
          <w:rFonts w:hint="cs"/>
          <w:rtl/>
        </w:rPr>
        <w:t>.</w:t>
      </w:r>
    </w:p>
    <w:p w:rsidR="00000000" w:rsidRDefault="00000000">
      <w:pPr>
        <w:spacing w:line="380" w:lineRule="exact"/>
        <w:jc w:val="both"/>
        <w:rPr>
          <w:rFonts w:hint="cs"/>
          <w:rtl/>
        </w:rPr>
      </w:pPr>
      <w:r>
        <w:rPr>
          <w:rFonts w:hint="cs"/>
          <w:rtl/>
        </w:rPr>
        <w:t>4-</w:t>
      </w:r>
      <w:r>
        <w:rPr>
          <w:rFonts w:hint="cs"/>
          <w:rtl/>
        </w:rPr>
        <w:tab/>
        <w:t>ويقر الدستور الجديد الذي اعتمدته الجمعية التأسيسية في عام 1998 بعض الحقوق الأساسية مثل الاعتراف بالأقليات الإثنية وبلغاتها وثقافاتها العريقة، وهي حقوق لم تكن مشمولة في الدساتير السابقة. ومن العناصر المبتكرة في الدستور الجديد التمتع على قدم المساواة بالحقوق من الجيلين الأول والثاني، وإنشاء آليات للدفاع عنها مثل الحماية الدستورية (أمبارو) وحق إتاحة المعلومات وأمين المظالم.</w:t>
      </w:r>
    </w:p>
    <w:p w:rsidR="00000000" w:rsidRDefault="00000000">
      <w:pPr>
        <w:spacing w:line="380" w:lineRule="exact"/>
        <w:jc w:val="both"/>
        <w:rPr>
          <w:rFonts w:hint="cs"/>
          <w:rtl/>
        </w:rPr>
      </w:pPr>
      <w:r>
        <w:rPr>
          <w:rFonts w:hint="cs"/>
          <w:rtl/>
        </w:rPr>
        <w:t>5-</w:t>
      </w:r>
      <w:r>
        <w:rPr>
          <w:rFonts w:hint="cs"/>
          <w:rtl/>
        </w:rPr>
        <w:tab/>
        <w:t>وحرصاً على حسن فهم الإحصاءات الواردة في هذا التقرير، التي تستند إلى سعر صرف السكر المعمول به حتى عام 2000، أدرجنا في المرفق جدولاً لمكافئات سعر الصرف خلال فترة التسعينات.</w:t>
      </w:r>
    </w:p>
    <w:p w:rsidR="00000000" w:rsidRDefault="00000000">
      <w:pPr>
        <w:spacing w:line="380" w:lineRule="exact"/>
        <w:jc w:val="center"/>
        <w:rPr>
          <w:rFonts w:hint="cs"/>
          <w:rtl/>
        </w:rPr>
      </w:pPr>
      <w:r>
        <w:rPr>
          <w:rFonts w:hint="cs"/>
          <w:b/>
          <w:bCs/>
          <w:rtl/>
        </w:rPr>
        <w:t>المادة 1</w:t>
      </w:r>
    </w:p>
    <w:p w:rsidR="00000000" w:rsidRDefault="00000000">
      <w:pPr>
        <w:spacing w:line="380" w:lineRule="exact"/>
        <w:jc w:val="both"/>
        <w:rPr>
          <w:rFonts w:hint="cs"/>
          <w:spacing w:val="0"/>
          <w:rtl/>
        </w:rPr>
      </w:pPr>
      <w:r>
        <w:rPr>
          <w:rFonts w:hint="cs"/>
          <w:spacing w:val="0"/>
          <w:rtl/>
        </w:rPr>
        <w:t>6-</w:t>
      </w:r>
      <w:r>
        <w:rPr>
          <w:rFonts w:hint="cs"/>
          <w:spacing w:val="0"/>
          <w:rtl/>
        </w:rPr>
        <w:tab/>
        <w:t>تنص المادة 1 من دستور إكوادور على ما يلي: "إكوادور دولة اجتماعية ذات سيادة، وحدوية مستقلة، ديمقراطية، متعددة الثقافات والإثنيات، قائمة على سيادة القانون. [...] والشعب مصدر السيادة، وإرادته أساس السلطة التي يمارسها عن طريق الأجهزة الحكومية والوسائل الديمقراطية المنصوص عليها في هذا الدستور". وتنص المادة 4 من الدستور على حق تقرير المصير: "تستبعد إكوادور [...]، في علاقاتها مع المجتمع الدولي، جميع أشكال الاستعمار أو الاستعمار الجديد أو التمييز أو الفصل، [و] تعترف بحق الشعوب في تقرير مصيرها وفي التحرر من الأنظمة المستبدة".</w:t>
      </w:r>
    </w:p>
    <w:p w:rsidR="00000000" w:rsidRDefault="00000000">
      <w:pPr>
        <w:spacing w:line="380" w:lineRule="exact"/>
        <w:jc w:val="center"/>
        <w:rPr>
          <w:rFonts w:hint="cs"/>
          <w:rtl/>
        </w:rPr>
      </w:pPr>
      <w:r>
        <w:rPr>
          <w:rFonts w:hint="cs"/>
          <w:b/>
          <w:bCs/>
          <w:rtl/>
        </w:rPr>
        <w:t>المادة 2</w:t>
      </w:r>
    </w:p>
    <w:p w:rsidR="00000000" w:rsidRDefault="00000000">
      <w:pPr>
        <w:spacing w:line="380" w:lineRule="exact"/>
        <w:jc w:val="both"/>
        <w:rPr>
          <w:rFonts w:hint="cs"/>
          <w:rtl/>
        </w:rPr>
      </w:pPr>
      <w:r>
        <w:rPr>
          <w:rFonts w:hint="cs"/>
          <w:rtl/>
        </w:rPr>
        <w:t>7-</w:t>
      </w:r>
      <w:r>
        <w:rPr>
          <w:rFonts w:hint="cs"/>
          <w:rtl/>
        </w:rPr>
        <w:tab/>
        <w:t>تنص المادة 23 من الدستور على ما يلي: "المساواة أمام القانون. جميع الأشخاص متساوون ويتمتعون بنفس الحقوق والحريات والفرص، دون تمييز على أساس النسب أو العمر أو الجنس أو الجماعة الإثنية أو اللون أو الأصل الاجتماعي أو اللغة أو الدين أو الانتماء السياسي أو الثروة أو الميل الجنسي أو الحالة الصحية أو العجز أو الاختلاف أياً كانت طبيعته".</w:t>
      </w:r>
    </w:p>
    <w:p w:rsidR="00000000" w:rsidRDefault="00000000">
      <w:pPr>
        <w:spacing w:line="380" w:lineRule="exact"/>
        <w:jc w:val="both"/>
        <w:rPr>
          <w:rFonts w:hint="cs"/>
          <w:rtl/>
        </w:rPr>
      </w:pPr>
      <w:r>
        <w:rPr>
          <w:rFonts w:hint="cs"/>
          <w:rtl/>
        </w:rPr>
        <w:t>8-</w:t>
      </w:r>
      <w:r>
        <w:rPr>
          <w:rFonts w:hint="cs"/>
          <w:rtl/>
        </w:rPr>
        <w:tab/>
        <w:t>وتقع على عاتق إكوادور، من خلال مؤسساتها، مهمة عليا تتمثل في ضمان الممارسة الفعلية لحقوق الإنسان والمواطن الأساسية واحترامها وإعمالها، دون تمييز قائم على الجنسية، إما لأن هذه الحقوق واردة في الدستور الإكوادوري وإما لأن إكوادور ملزمة بموجب الاتفاقات الدولية بدعم هذه الحقوق.</w:t>
      </w:r>
    </w:p>
    <w:p w:rsidR="00000000" w:rsidRDefault="00000000">
      <w:pPr>
        <w:spacing w:line="380" w:lineRule="exact"/>
        <w:jc w:val="both"/>
        <w:rPr>
          <w:rFonts w:hint="cs"/>
          <w:rtl/>
        </w:rPr>
      </w:pPr>
      <w:r>
        <w:rPr>
          <w:rFonts w:hint="cs"/>
          <w:rtl/>
        </w:rPr>
        <w:t>9-</w:t>
      </w:r>
      <w:r>
        <w:rPr>
          <w:rFonts w:hint="cs"/>
          <w:rtl/>
        </w:rPr>
        <w:tab/>
        <w:t>وتنص المادة 3 من الدستور على واجب الدولة "ضمان الممارسة الفعلية لحقوق الإنسان".</w:t>
      </w:r>
    </w:p>
    <w:p w:rsidR="00000000" w:rsidRDefault="00000000">
      <w:pPr>
        <w:spacing w:line="380" w:lineRule="exact"/>
        <w:jc w:val="both"/>
        <w:rPr>
          <w:rFonts w:hint="cs"/>
          <w:rtl/>
        </w:rPr>
      </w:pPr>
      <w:r>
        <w:rPr>
          <w:rFonts w:hint="cs"/>
          <w:rtl/>
        </w:rPr>
        <w:t>10-</w:t>
      </w:r>
      <w:r>
        <w:rPr>
          <w:rFonts w:hint="cs"/>
          <w:rtl/>
        </w:rPr>
        <w:tab/>
        <w:t>وتعترف المادة 13 من الدستور بالمساواة في الحقوق بين الأجانب والإكوادوريين، باستثناء الحقوق المدنية والسياسية المقصورة على الإكوادوريين وفقاً للدستور والقانون.</w:t>
      </w:r>
    </w:p>
    <w:p w:rsidR="00000000" w:rsidRDefault="00000000">
      <w:pPr>
        <w:spacing w:line="380" w:lineRule="exact"/>
        <w:jc w:val="both"/>
        <w:rPr>
          <w:rFonts w:hint="cs"/>
          <w:rtl/>
        </w:rPr>
      </w:pPr>
      <w:r>
        <w:rPr>
          <w:rFonts w:hint="cs"/>
          <w:rtl/>
        </w:rPr>
        <w:t>11-</w:t>
      </w:r>
      <w:r>
        <w:rPr>
          <w:rFonts w:hint="cs"/>
          <w:rtl/>
        </w:rPr>
        <w:tab/>
        <w:t>وتوجب المادة 1 من قانون الأجانب على الدولة تنظيم وضع الأجانب في إكوادور.</w:t>
      </w:r>
    </w:p>
    <w:p w:rsidR="00000000" w:rsidRDefault="00000000">
      <w:pPr>
        <w:spacing w:line="380" w:lineRule="exact"/>
        <w:jc w:val="center"/>
        <w:rPr>
          <w:rFonts w:hint="cs"/>
          <w:rtl/>
        </w:rPr>
      </w:pPr>
      <w:r>
        <w:rPr>
          <w:rFonts w:hint="cs"/>
          <w:b/>
          <w:bCs/>
          <w:rtl/>
        </w:rPr>
        <w:t>المادة 3</w:t>
      </w:r>
    </w:p>
    <w:p w:rsidR="00000000" w:rsidRDefault="00000000">
      <w:pPr>
        <w:spacing w:line="380" w:lineRule="exact"/>
        <w:jc w:val="both"/>
        <w:rPr>
          <w:rFonts w:hint="cs"/>
          <w:rtl/>
        </w:rPr>
      </w:pPr>
      <w:r>
        <w:rPr>
          <w:rFonts w:hint="cs"/>
          <w:rtl/>
        </w:rPr>
        <w:t>12-</w:t>
      </w:r>
      <w:r>
        <w:rPr>
          <w:rFonts w:hint="cs"/>
          <w:rtl/>
        </w:rPr>
        <w:tab/>
        <w:t>إن نص الدستور الذي أعدته الجمعية التأسيسية الوطنية ونُشر في العدد الأول من الجريدة الرسمية الصادر في 11 آب/أغسطس 1998 أخذ في الحسبان المقترحات التي طرحها المجتمع المدني وأدمج عناصر مثل المساواة بين الجنسين، والعدالة الاجتماعية، والهوية المتعددة الثقافات، وحقوق الإنسان، والبيئة، وتعزيز حقوق الإكوادوريين الاقتصادية والاجتماعية والثقافية، وسيادة النظام الديمقراطي. وتشير المواد 34 و41 و102 من الدستور الحالي إلى الحقوق المتصلة بالمساواة بين الجنسين.</w:t>
      </w:r>
    </w:p>
    <w:p w:rsidR="00000000" w:rsidRDefault="00000000">
      <w:pPr>
        <w:spacing w:line="380" w:lineRule="exact"/>
        <w:jc w:val="both"/>
        <w:rPr>
          <w:rFonts w:hint="cs"/>
          <w:rtl/>
        </w:rPr>
      </w:pPr>
      <w:r>
        <w:rPr>
          <w:rFonts w:hint="cs"/>
          <w:rtl/>
        </w:rPr>
        <w:t>13-</w:t>
      </w:r>
      <w:r>
        <w:rPr>
          <w:rFonts w:hint="cs"/>
          <w:rtl/>
        </w:rPr>
        <w:tab/>
        <w:t>فالمادة 34 تنص على أن "الدولة تكفل تكافؤ الحقوق والفرص للمرأة والرجل في الحصول على موارد الإنتاج واتخاذ القرارات الاقتصادية في إطار الشراكة الزوجية وإدارة الممتلكات". ووفقاً للمادة 41، "تضع الدولة وتنفذ سياسات تهدف إلى تحقيق تكافؤ الفرص بين الرجل والمرأة". وتنص المادة 102 على "تساوي النساء والرجال في المشاركة كمرشحين في الانتخابات الشعبية وفي أجهزة الإدارة والقرار في المجال العام". وتكمل هذه المواد الفقرة 3 من المادة 23 التي تتناول الحقوق الدستورية وتنص صراحة على عدم التمييز على أساس الجنس أو الجماعة الإثنية أو اللون أو العجز أو أي اختلافات أخرى.</w:t>
      </w:r>
    </w:p>
    <w:p w:rsidR="00000000" w:rsidRDefault="00000000">
      <w:pPr>
        <w:spacing w:line="380" w:lineRule="exact"/>
        <w:jc w:val="both"/>
        <w:rPr>
          <w:rFonts w:hint="cs"/>
          <w:rtl/>
        </w:rPr>
      </w:pPr>
      <w:r>
        <w:rPr>
          <w:rFonts w:hint="cs"/>
          <w:rtl/>
        </w:rPr>
        <w:t>14-</w:t>
      </w:r>
      <w:r>
        <w:rPr>
          <w:rFonts w:hint="cs"/>
          <w:rtl/>
        </w:rPr>
        <w:tab/>
        <w:t>وتعتبر المادة 47 من الدستور الأطفال والمراهقين والحوامل والمعوقين والمسنين والمصابين بأمراض خطيرة فئات مستضعفة وتنص على إيلائهم عناية خاصة من الهيئات الحكومية والأهلية.</w:t>
      </w:r>
    </w:p>
    <w:p w:rsidR="00000000" w:rsidRDefault="00000000">
      <w:pPr>
        <w:spacing w:line="380" w:lineRule="exact"/>
        <w:jc w:val="both"/>
        <w:rPr>
          <w:rFonts w:hint="cs"/>
          <w:rtl/>
        </w:rPr>
      </w:pPr>
      <w:r>
        <w:rPr>
          <w:rFonts w:hint="cs"/>
          <w:rtl/>
        </w:rPr>
        <w:t>15-</w:t>
      </w:r>
      <w:r>
        <w:rPr>
          <w:rFonts w:hint="cs"/>
          <w:rtl/>
        </w:rPr>
        <w:tab/>
        <w:t>ويؤكد الدستور مجدداً أن التشريع الإكوادوري الحالي يحظر جميع أشكال التمييز على أساس العرق أو الجنس أو الدين أو العجز وأنه يجري وضع سياسات لتعزيز مشاركة المرأة مشاركة فعلية فيما يخص الحقوق وتكافؤ الفرص، وهي عملية ينبغي أن تشمل المجتمع برمته مستبعداً الفكرة القائلة إنه ينبغي اعتبار المساواة مشكلة تخص المرأة وحدها.</w:t>
      </w:r>
    </w:p>
    <w:p w:rsidR="00000000" w:rsidRDefault="00000000">
      <w:pPr>
        <w:spacing w:line="380" w:lineRule="exact"/>
        <w:jc w:val="both"/>
        <w:rPr>
          <w:rFonts w:hint="cs"/>
          <w:rtl/>
        </w:rPr>
      </w:pPr>
      <w:r>
        <w:rPr>
          <w:rFonts w:hint="cs"/>
          <w:rtl/>
        </w:rPr>
        <w:t>16-</w:t>
      </w:r>
      <w:r>
        <w:rPr>
          <w:rFonts w:hint="cs"/>
          <w:rtl/>
        </w:rPr>
        <w:tab/>
        <w:t>وظفرت المرأة، بعد جهد جهيد، بدور هام في تطوير المجتمع الإكوادوري يتسم أساساً بزيادة مشاركة المرأة في صنع القرار في السنوات الأخيرة. وتتبوأ النساء أكثر فأكثر مناصب بارزة في مجال السياسة، حيث يسعين إلى إسماع أصواتهن بوصفهن جزءاً من سكان البلد.</w:t>
      </w:r>
    </w:p>
    <w:p w:rsidR="00000000" w:rsidRDefault="00000000">
      <w:pPr>
        <w:spacing w:line="380" w:lineRule="exact"/>
        <w:jc w:val="both"/>
        <w:rPr>
          <w:rFonts w:hint="cs"/>
          <w:rtl/>
        </w:rPr>
      </w:pPr>
      <w:r>
        <w:rPr>
          <w:rFonts w:hint="cs"/>
          <w:rtl/>
        </w:rPr>
        <w:t>17-</w:t>
      </w:r>
      <w:r>
        <w:rPr>
          <w:rFonts w:hint="cs"/>
          <w:rtl/>
        </w:rPr>
        <w:tab/>
        <w:t>ففي العقد الماضي، اضطلعت المرأة بدور أبرز في مجال السياسة. وإبان الفترة الرئاسية 1980-1984، عُيِّنت للمرة الأولى امرأة في منصب وزيرة الرعاية الاجتماعية. وفي عام 1990 لم تشغل أي امرأة منصباً وزارياً. وخلال الفترة الرئاسية 1993-1996، عُيِّنت في الحكومة وزيرتان هما وزيرة التربية ووزيرة الرعاية الاجتماعية. وكان من بين 74 نائبا ثلاث نساء. وفي عام 1978، لم تتجاوز نسبة النساء المنتخبات في المجالس البلدية 4 في المائة، في حين كانت هناك إبان الفترة الرئاسية 1997-2000، 86 مرشحة لمناصب مختلفة، و58 مرشحة لمناصب تمثيل بالإنابة، و5 مرشحات لمناصب تمثيل إقليمي.</w:t>
      </w:r>
    </w:p>
    <w:p w:rsidR="00000000" w:rsidRDefault="00000000">
      <w:pPr>
        <w:spacing w:line="380" w:lineRule="exact"/>
        <w:jc w:val="both"/>
        <w:rPr>
          <w:rFonts w:hint="cs"/>
          <w:rtl/>
        </w:rPr>
      </w:pPr>
      <w:r>
        <w:rPr>
          <w:rFonts w:hint="cs"/>
          <w:rtl/>
        </w:rPr>
        <w:t>18-</w:t>
      </w:r>
      <w:r>
        <w:rPr>
          <w:rFonts w:hint="cs"/>
          <w:rtl/>
        </w:rPr>
        <w:tab/>
        <w:t>أما اليوم فبات مألوفاً، وإن على نطاق محدود، أن تترأس نساء شركات كبيرة ومجالس إدارة ومنظمات نقابية ورابطات شتى. كما يتزايد في الوزارات والمجالس عدد النساء اللاتي يتخذن قرارات سياسية صعبة وهامة.</w:t>
      </w:r>
    </w:p>
    <w:p w:rsidR="00000000" w:rsidRDefault="00000000">
      <w:pPr>
        <w:spacing w:line="380" w:lineRule="exact"/>
        <w:jc w:val="both"/>
        <w:rPr>
          <w:rFonts w:hint="cs"/>
          <w:rtl/>
        </w:rPr>
      </w:pPr>
      <w:r>
        <w:rPr>
          <w:rFonts w:hint="cs"/>
          <w:rtl/>
        </w:rPr>
        <w:t>19-</w:t>
      </w:r>
      <w:r>
        <w:rPr>
          <w:rFonts w:hint="cs"/>
          <w:rtl/>
        </w:rPr>
        <w:tab/>
        <w:t>ووفقاً لتعداد السكان لعام 1990 في إكوادور بلغ عدد النساء 777 851 4 امرأة وعـدد الرجال 412 796 4 رجلاً، بحيث كانت نسبة النساء 50.3 في المائة من مجموع السكان. ويزيد عدد الذكور على عدد الإناث في الفئة العمرية من صفر إلى 14 سنة، ويزيد عدد الإناث على عدد الذكور في الفئة العمرية بين 15 و64 سنة، ويرجع هذا أساساً إلى كون متوسط العمر المتوقع لدى الولادة أعلى عند المرأة منه عند الرجل.</w:t>
      </w:r>
    </w:p>
    <w:p w:rsidR="00000000" w:rsidRDefault="00000000">
      <w:pPr>
        <w:spacing w:line="380" w:lineRule="exact"/>
        <w:jc w:val="both"/>
        <w:rPr>
          <w:rFonts w:hint="cs"/>
          <w:spacing w:val="2"/>
          <w:rtl/>
        </w:rPr>
      </w:pPr>
      <w:r>
        <w:rPr>
          <w:rFonts w:hint="cs"/>
          <w:spacing w:val="2"/>
          <w:rtl/>
        </w:rPr>
        <w:t>20-</w:t>
      </w:r>
      <w:r>
        <w:rPr>
          <w:rFonts w:hint="cs"/>
          <w:spacing w:val="2"/>
          <w:rtl/>
        </w:rPr>
        <w:tab/>
        <w:t>وتشكل النساء نسبة 48.9 في المائة من مجموع سكان الأرياف و51.4 في المائة من مجموع سكان المناطق الحضرية. وهذا يعني أن عدد النساء اللاتي يعشن في المناطق الحضرية أعلى من عدد اللاتي يعشن في المناطق الريفية.</w:t>
      </w:r>
    </w:p>
    <w:p w:rsidR="00000000" w:rsidRDefault="00000000">
      <w:pPr>
        <w:spacing w:line="380" w:lineRule="exact"/>
        <w:jc w:val="both"/>
        <w:rPr>
          <w:rFonts w:hint="cs"/>
          <w:rtl/>
        </w:rPr>
      </w:pPr>
      <w:r>
        <w:rPr>
          <w:rFonts w:hint="cs"/>
          <w:rtl/>
        </w:rPr>
        <w:t>21-</w:t>
      </w:r>
      <w:r>
        <w:rPr>
          <w:rFonts w:hint="cs"/>
          <w:rtl/>
        </w:rPr>
        <w:tab/>
        <w:t xml:space="preserve">وتبدأ المرأة في تكوين الأسرة في سن أصغر من الرجل. فوفقاً للمعهد الوطني للإحصاء وتعداد السكان، كانت معظم النساء اللاتي تزوجن في عام 1997 دون سن الخامسة عشرة وبين الخامسة عشرة والتاسعة عشرة، بينما يتزوج معظم الرجال بين العشرين والرابعة والعشرين من عمرهم. </w:t>
      </w:r>
    </w:p>
    <w:p w:rsidR="00000000" w:rsidRDefault="00000000">
      <w:pPr>
        <w:spacing w:line="380" w:lineRule="exact"/>
        <w:jc w:val="both"/>
        <w:rPr>
          <w:rFonts w:hint="cs"/>
          <w:rtl/>
        </w:rPr>
      </w:pPr>
      <w:r>
        <w:rPr>
          <w:rFonts w:hint="cs"/>
          <w:rtl/>
        </w:rPr>
        <w:t>22-</w:t>
      </w:r>
      <w:r>
        <w:rPr>
          <w:rFonts w:hint="cs"/>
          <w:rtl/>
        </w:rPr>
        <w:tab/>
        <w:t>ويحمي الدستور الزواج مثلما يحمي القران العرفي الذي يستطيع بموجبه رجل وامرأة لا تربطهما رابطة زواج بشخص آخر تكوين أسرة عرفية لها من الحقوق والواجبات ما لغيرها من الأسر المكونة بموجب الزواج. و"المخادنة أكثر انتشاراً بكثير بين نساء المنطقة الساحلية حيث يزيد عدد المخادنات على عدد المتزوجات، بينما ينتشر الزواج أكثر في المرتفعات"</w:t>
      </w:r>
      <w:r>
        <w:rPr>
          <w:rFonts w:hint="cs"/>
          <w:vertAlign w:val="superscript"/>
          <w:rtl/>
        </w:rPr>
        <w:t>(3)</w:t>
      </w:r>
      <w:r>
        <w:rPr>
          <w:rFonts w:hint="cs"/>
          <w:rtl/>
        </w:rPr>
        <w:t>.</w:t>
      </w:r>
    </w:p>
    <w:p w:rsidR="00000000" w:rsidRDefault="00000000">
      <w:pPr>
        <w:spacing w:line="380" w:lineRule="exact"/>
        <w:jc w:val="both"/>
        <w:rPr>
          <w:rFonts w:hint="cs"/>
          <w:rtl/>
        </w:rPr>
      </w:pPr>
      <w:r>
        <w:rPr>
          <w:rFonts w:hint="cs"/>
          <w:rtl/>
        </w:rPr>
        <w:t>23-</w:t>
      </w:r>
      <w:r>
        <w:rPr>
          <w:rFonts w:hint="cs"/>
          <w:rtl/>
        </w:rPr>
        <w:tab/>
        <w:t>وانخفض معدل الخصوبة لدى المرأة الإكوادورية كما هو مبين في الجدول التالي.</w:t>
      </w:r>
    </w:p>
    <w:p w:rsidR="00000000" w:rsidRDefault="00000000">
      <w:pPr>
        <w:spacing w:line="380" w:lineRule="exact"/>
        <w:jc w:val="both"/>
        <w:rPr>
          <w:rFonts w:hint="cs"/>
          <w:rtl/>
        </w:rPr>
      </w:pPr>
    </w:p>
    <w:p w:rsidR="00000000" w:rsidRDefault="00000000">
      <w:pPr>
        <w:spacing w:line="380" w:lineRule="exact"/>
        <w:jc w:val="both"/>
        <w:rPr>
          <w:rFonts w:hint="cs"/>
          <w:rtl/>
        </w:rPr>
      </w:pPr>
    </w:p>
    <w:p w:rsidR="00000000" w:rsidRDefault="00000000">
      <w:pPr>
        <w:spacing w:line="380" w:lineRule="exact"/>
        <w:jc w:val="both"/>
        <w:rPr>
          <w:rFonts w:hint="cs"/>
          <w:rtl/>
        </w:rPr>
      </w:pPr>
    </w:p>
    <w:p w:rsidR="00000000" w:rsidRDefault="00000000">
      <w:pPr>
        <w:spacing w:line="380" w:lineRule="exact"/>
        <w:jc w:val="center"/>
        <w:rPr>
          <w:rFonts w:hint="cs"/>
          <w:b/>
          <w:bCs/>
          <w:rtl/>
        </w:rPr>
      </w:pPr>
      <w:r>
        <w:rPr>
          <w:rFonts w:hint="cs"/>
          <w:b/>
          <w:bCs/>
          <w:rtl/>
        </w:rPr>
        <w:t>معدل الخصوبة العام للنساء المتراوحة أعمارهن بين 15 و49 سنة</w:t>
      </w:r>
      <w:r>
        <w:rPr>
          <w:b/>
          <w:bCs/>
          <w:rtl/>
        </w:rPr>
        <w:br/>
      </w:r>
      <w:r>
        <w:rPr>
          <w:rFonts w:hint="cs"/>
          <w:b/>
          <w:bCs/>
          <w:rtl/>
        </w:rPr>
        <w:t>(عدد الأطفال المتوقع، 1965-1999)</w:t>
      </w:r>
    </w:p>
    <w:tbl>
      <w:tblPr>
        <w:bidiVisual/>
        <w:tblW w:w="0" w:type="auto"/>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3"/>
        <w:gridCol w:w="2785"/>
      </w:tblGrid>
      <w:tr w:rsidR="00567B15" w:rsidTr="00567B15">
        <w:tblPrEx>
          <w:tblCellMar>
            <w:top w:w="0" w:type="dxa"/>
            <w:bottom w:w="0" w:type="dxa"/>
          </w:tblCellMar>
        </w:tblPrEx>
        <w:tc>
          <w:tcPr>
            <w:tcW w:w="3363" w:type="dxa"/>
            <w:tcBorders>
              <w:bottom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السنوات</w:t>
            </w:r>
          </w:p>
        </w:tc>
        <w:tc>
          <w:tcPr>
            <w:tcW w:w="2785" w:type="dxa"/>
            <w:tcBorders>
              <w:bottom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عدد الأطفال</w:t>
            </w:r>
          </w:p>
        </w:tc>
      </w:tr>
      <w:tr w:rsidR="00567B15" w:rsidTr="00567B15">
        <w:tblPrEx>
          <w:tblCellMar>
            <w:top w:w="0" w:type="dxa"/>
            <w:bottom w:w="0" w:type="dxa"/>
          </w:tblCellMar>
        </w:tblPrEx>
        <w:tc>
          <w:tcPr>
            <w:tcW w:w="3363" w:type="dxa"/>
            <w:tcBorders>
              <w:top w:val="single" w:sz="4" w:space="0" w:color="auto"/>
              <w:left w:val="single" w:sz="4" w:space="0" w:color="auto"/>
              <w:bottom w:val="nil"/>
              <w:right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1965-1969</w:t>
            </w:r>
          </w:p>
        </w:tc>
        <w:tc>
          <w:tcPr>
            <w:tcW w:w="2785" w:type="dxa"/>
            <w:tcBorders>
              <w:top w:val="single" w:sz="4" w:space="0" w:color="auto"/>
              <w:left w:val="single" w:sz="4" w:space="0" w:color="auto"/>
              <w:bottom w:val="nil"/>
              <w:right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6.9</w:t>
            </w:r>
          </w:p>
        </w:tc>
      </w:tr>
      <w:tr w:rsidR="00567B15" w:rsidTr="00567B15">
        <w:tblPrEx>
          <w:tblCellMar>
            <w:top w:w="0" w:type="dxa"/>
            <w:bottom w:w="0" w:type="dxa"/>
          </w:tblCellMar>
        </w:tblPrEx>
        <w:tc>
          <w:tcPr>
            <w:tcW w:w="3363" w:type="dxa"/>
            <w:tcBorders>
              <w:top w:val="nil"/>
              <w:left w:val="single" w:sz="4" w:space="0" w:color="auto"/>
              <w:bottom w:val="nil"/>
              <w:right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1975-1979</w:t>
            </w:r>
          </w:p>
        </w:tc>
        <w:tc>
          <w:tcPr>
            <w:tcW w:w="2785" w:type="dxa"/>
            <w:tcBorders>
              <w:top w:val="nil"/>
              <w:left w:val="single" w:sz="4" w:space="0" w:color="auto"/>
              <w:bottom w:val="nil"/>
              <w:right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5.4</w:t>
            </w:r>
          </w:p>
        </w:tc>
      </w:tr>
      <w:tr w:rsidR="00567B15" w:rsidTr="00567B15">
        <w:tblPrEx>
          <w:tblCellMar>
            <w:top w:w="0" w:type="dxa"/>
            <w:bottom w:w="0" w:type="dxa"/>
          </w:tblCellMar>
        </w:tblPrEx>
        <w:tc>
          <w:tcPr>
            <w:tcW w:w="3363" w:type="dxa"/>
            <w:tcBorders>
              <w:top w:val="nil"/>
              <w:left w:val="single" w:sz="4" w:space="0" w:color="auto"/>
              <w:bottom w:val="nil"/>
              <w:right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1981-1982</w:t>
            </w:r>
          </w:p>
        </w:tc>
        <w:tc>
          <w:tcPr>
            <w:tcW w:w="2785" w:type="dxa"/>
            <w:tcBorders>
              <w:top w:val="nil"/>
              <w:left w:val="single" w:sz="4" w:space="0" w:color="auto"/>
              <w:bottom w:val="nil"/>
              <w:right w:val="single" w:sz="4" w:space="0" w:color="auto"/>
            </w:tcBorders>
          </w:tcPr>
          <w:p w:rsidR="00567B15" w:rsidRDefault="00567B15">
            <w:pPr>
              <w:spacing w:before="0" w:after="0" w:line="380" w:lineRule="exact"/>
              <w:jc w:val="center"/>
              <w:rPr>
                <w:rStyle w:val="FootnoteReference"/>
                <w:rFonts w:hint="cs"/>
                <w:bCs w:val="0"/>
                <w:sz w:val="26"/>
                <w:szCs w:val="26"/>
                <w:vertAlign w:val="baseline"/>
              </w:rPr>
            </w:pPr>
            <w:r>
              <w:rPr>
                <w:rFonts w:hint="cs"/>
                <w:sz w:val="26"/>
                <w:szCs w:val="26"/>
                <w:rtl/>
              </w:rPr>
              <w:t>4.9</w:t>
            </w:r>
          </w:p>
        </w:tc>
      </w:tr>
      <w:tr w:rsidR="00567B15" w:rsidTr="00567B15">
        <w:tblPrEx>
          <w:tblCellMar>
            <w:top w:w="0" w:type="dxa"/>
            <w:bottom w:w="0" w:type="dxa"/>
          </w:tblCellMar>
        </w:tblPrEx>
        <w:tc>
          <w:tcPr>
            <w:tcW w:w="3363" w:type="dxa"/>
            <w:tcBorders>
              <w:top w:val="nil"/>
              <w:left w:val="single" w:sz="4" w:space="0" w:color="auto"/>
              <w:bottom w:val="nil"/>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1982-1987</w:t>
            </w:r>
          </w:p>
        </w:tc>
        <w:tc>
          <w:tcPr>
            <w:tcW w:w="2785" w:type="dxa"/>
            <w:tcBorders>
              <w:top w:val="nil"/>
              <w:left w:val="single" w:sz="4" w:space="0" w:color="auto"/>
              <w:bottom w:val="nil"/>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4.3</w:t>
            </w:r>
          </w:p>
        </w:tc>
      </w:tr>
      <w:tr w:rsidR="00567B15" w:rsidTr="00567B15">
        <w:tblPrEx>
          <w:tblCellMar>
            <w:top w:w="0" w:type="dxa"/>
            <w:bottom w:w="0" w:type="dxa"/>
          </w:tblCellMar>
        </w:tblPrEx>
        <w:tc>
          <w:tcPr>
            <w:tcW w:w="3363" w:type="dxa"/>
            <w:tcBorders>
              <w:top w:val="nil"/>
              <w:left w:val="single" w:sz="4" w:space="0" w:color="auto"/>
              <w:bottom w:val="nil"/>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1984-1989</w:t>
            </w:r>
          </w:p>
        </w:tc>
        <w:tc>
          <w:tcPr>
            <w:tcW w:w="2785" w:type="dxa"/>
            <w:tcBorders>
              <w:top w:val="nil"/>
              <w:left w:val="single" w:sz="4" w:space="0" w:color="auto"/>
              <w:bottom w:val="nil"/>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3.8</w:t>
            </w:r>
          </w:p>
        </w:tc>
      </w:tr>
      <w:tr w:rsidR="00567B15" w:rsidTr="00567B15">
        <w:tblPrEx>
          <w:tblCellMar>
            <w:top w:w="0" w:type="dxa"/>
            <w:bottom w:w="0" w:type="dxa"/>
          </w:tblCellMar>
        </w:tblPrEx>
        <w:tc>
          <w:tcPr>
            <w:tcW w:w="3363" w:type="dxa"/>
            <w:tcBorders>
              <w:top w:val="nil"/>
              <w:left w:val="single" w:sz="4" w:space="0" w:color="auto"/>
              <w:bottom w:val="nil"/>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1989-1994</w:t>
            </w:r>
          </w:p>
        </w:tc>
        <w:tc>
          <w:tcPr>
            <w:tcW w:w="2785" w:type="dxa"/>
            <w:tcBorders>
              <w:top w:val="nil"/>
              <w:left w:val="single" w:sz="4" w:space="0" w:color="auto"/>
              <w:bottom w:val="nil"/>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3.6</w:t>
            </w:r>
          </w:p>
        </w:tc>
      </w:tr>
      <w:tr w:rsidR="00567B15" w:rsidTr="00567B15">
        <w:tblPrEx>
          <w:tblCellMar>
            <w:top w:w="0" w:type="dxa"/>
            <w:bottom w:w="0" w:type="dxa"/>
          </w:tblCellMar>
        </w:tblPrEx>
        <w:tc>
          <w:tcPr>
            <w:tcW w:w="3363" w:type="dxa"/>
            <w:tcBorders>
              <w:top w:val="nil"/>
              <w:left w:val="single" w:sz="4" w:space="0" w:color="auto"/>
              <w:bottom w:val="single" w:sz="4" w:space="0" w:color="auto"/>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1994-1999*</w:t>
            </w:r>
          </w:p>
        </w:tc>
        <w:tc>
          <w:tcPr>
            <w:tcW w:w="2785" w:type="dxa"/>
            <w:tcBorders>
              <w:top w:val="nil"/>
              <w:left w:val="single" w:sz="4" w:space="0" w:color="auto"/>
              <w:bottom w:val="single" w:sz="4" w:space="0" w:color="auto"/>
              <w:right w:val="single" w:sz="4" w:space="0" w:color="auto"/>
            </w:tcBorders>
          </w:tcPr>
          <w:p w:rsidR="00567B15" w:rsidRDefault="00567B15">
            <w:pPr>
              <w:spacing w:before="0" w:after="0" w:line="380" w:lineRule="exact"/>
              <w:jc w:val="center"/>
              <w:rPr>
                <w:rFonts w:hint="cs"/>
                <w:sz w:val="26"/>
                <w:szCs w:val="26"/>
                <w:rtl/>
              </w:rPr>
            </w:pPr>
            <w:r>
              <w:rPr>
                <w:rFonts w:hint="cs"/>
                <w:sz w:val="26"/>
                <w:szCs w:val="26"/>
                <w:rtl/>
              </w:rPr>
              <w:t>3.4</w:t>
            </w:r>
          </w:p>
        </w:tc>
      </w:tr>
    </w:tbl>
    <w:p w:rsidR="00000000" w:rsidRDefault="00567B15">
      <w:pPr>
        <w:spacing w:before="120" w:after="0" w:line="340" w:lineRule="exact"/>
        <w:ind w:left="2171" w:hanging="856"/>
        <w:jc w:val="both"/>
        <w:rPr>
          <w:rFonts w:hint="cs"/>
          <w:i/>
          <w:iCs/>
          <w:rtl/>
        </w:rPr>
      </w:pPr>
      <w:r>
        <w:rPr>
          <w:rFonts w:hint="cs"/>
          <w:rtl/>
        </w:rPr>
        <w:tab/>
      </w:r>
      <w:r>
        <w:rPr>
          <w:rFonts w:hint="cs"/>
          <w:u w:val="single"/>
          <w:rtl/>
        </w:rPr>
        <w:t>المصدر</w:t>
      </w:r>
      <w:r>
        <w:rPr>
          <w:rFonts w:hint="cs"/>
          <w:rtl/>
        </w:rPr>
        <w:t xml:space="preserve">: </w:t>
      </w:r>
      <w:r>
        <w:rPr>
          <w:rFonts w:hint="cs"/>
          <w:i/>
          <w:iCs/>
          <w:rtl/>
        </w:rPr>
        <w:t>صورة للمرأة. مؤشرات اجتماعية عن حالة المرأة القروية</w:t>
      </w:r>
    </w:p>
    <w:p w:rsidR="00000000" w:rsidRDefault="00567B15">
      <w:pPr>
        <w:spacing w:before="0" w:after="0" w:line="340" w:lineRule="exact"/>
        <w:ind w:left="2171" w:hanging="856"/>
        <w:jc w:val="both"/>
        <w:rPr>
          <w:rFonts w:hint="cs"/>
          <w:spacing w:val="2"/>
          <w:rtl/>
        </w:rPr>
      </w:pPr>
      <w:r>
        <w:rPr>
          <w:rFonts w:hint="cs"/>
          <w:i/>
          <w:iCs/>
          <w:spacing w:val="2"/>
          <w:rtl/>
        </w:rPr>
        <w:t>والأصلية في ريف إكوادور</w:t>
      </w:r>
      <w:r>
        <w:rPr>
          <w:rFonts w:hint="cs"/>
          <w:spacing w:val="2"/>
          <w:rtl/>
        </w:rPr>
        <w:t xml:space="preserve">، </w:t>
      </w:r>
      <w:r>
        <w:rPr>
          <w:rFonts w:hint="cs"/>
          <w:spacing w:val="2"/>
          <w:u w:val="single"/>
          <w:rtl/>
        </w:rPr>
        <w:t>التنمية الاجتماعية في إكوادور 2</w:t>
      </w:r>
      <w:r>
        <w:rPr>
          <w:rFonts w:hint="cs"/>
          <w:spacing w:val="2"/>
          <w:rtl/>
        </w:rPr>
        <w:t>، كيتو، الأمانـة</w:t>
      </w:r>
    </w:p>
    <w:p w:rsidR="00000000" w:rsidRDefault="00567B15">
      <w:pPr>
        <w:spacing w:before="0" w:after="0" w:line="340" w:lineRule="exact"/>
        <w:ind w:left="2171" w:hanging="856"/>
        <w:jc w:val="both"/>
        <w:rPr>
          <w:rFonts w:hint="cs"/>
          <w:spacing w:val="0"/>
          <w:rtl/>
        </w:rPr>
      </w:pPr>
      <w:r>
        <w:rPr>
          <w:rFonts w:hint="cs"/>
          <w:spacing w:val="0"/>
          <w:rtl/>
        </w:rPr>
        <w:t>الفنية للجبهة الاجتماعية، صندوق الأمم المتحدة الإنمائية للمرأة والبرنامج العالمي</w:t>
      </w:r>
    </w:p>
    <w:p w:rsidR="00000000" w:rsidRDefault="00567B15">
      <w:pPr>
        <w:spacing w:before="0" w:after="0" w:line="340" w:lineRule="exact"/>
        <w:ind w:left="2171" w:hanging="856"/>
        <w:jc w:val="both"/>
        <w:rPr>
          <w:rFonts w:hint="cs"/>
          <w:rtl/>
        </w:rPr>
      </w:pPr>
      <w:r>
        <w:rPr>
          <w:rFonts w:hint="cs"/>
          <w:rtl/>
        </w:rPr>
        <w:t>ب</w:t>
      </w:r>
      <w:r>
        <w:rPr>
          <w:rFonts w:hint="cs"/>
          <w:rtl/>
        </w:rPr>
        <w:t>شأن الإيدز، 1998.</w:t>
      </w:r>
    </w:p>
    <w:p w:rsidR="00000000" w:rsidRDefault="00567B15">
      <w:pPr>
        <w:spacing w:line="380" w:lineRule="exact"/>
        <w:ind w:left="1318"/>
        <w:jc w:val="both"/>
        <w:rPr>
          <w:rFonts w:hint="cs"/>
          <w:rtl/>
        </w:rPr>
      </w:pPr>
      <w:r>
        <w:rPr>
          <w:rFonts w:hint="cs"/>
          <w:rtl/>
        </w:rPr>
        <w:tab/>
      </w:r>
      <w:r>
        <w:rPr>
          <w:rFonts w:hint="cs"/>
          <w:rtl/>
        </w:rPr>
        <w:tab/>
        <w:t>*</w:t>
      </w:r>
      <w:r>
        <w:rPr>
          <w:rFonts w:hint="cs"/>
          <w:rtl/>
        </w:rPr>
        <w:tab/>
        <w:t>دراسة بشأن السكان وصحة الأم والطفل، 1999.</w:t>
      </w:r>
    </w:p>
    <w:p w:rsidR="00000000" w:rsidRDefault="00567B15">
      <w:pPr>
        <w:spacing w:line="380" w:lineRule="exact"/>
        <w:jc w:val="both"/>
        <w:rPr>
          <w:rFonts w:hint="cs"/>
          <w:rtl/>
        </w:rPr>
      </w:pPr>
      <w:r>
        <w:rPr>
          <w:rFonts w:hint="cs"/>
          <w:rtl/>
        </w:rPr>
        <w:t>24-</w:t>
      </w:r>
      <w:r>
        <w:rPr>
          <w:rFonts w:hint="cs"/>
          <w:rtl/>
        </w:rPr>
        <w:tab/>
        <w:t>وتشير آخر دراسـة سكانيـة أجريت في عام 1999 إلى أن معـدل الخصوبة العام في إكوادور للفترة 1994-1999 بلغ 3.4 أطفال لكل امرأة. وبلغ المعدل العام المقدر في المناطق الريفية 4.4 أطفال وهو معدل أع</w:t>
      </w:r>
      <w:r>
        <w:rPr>
          <w:rFonts w:hint="cs"/>
          <w:rtl/>
        </w:rPr>
        <w:t>لى كثيراً من معدل الخصوبة العام في المناطق الحضرية البالغ 2.8 أطفال.</w:t>
      </w:r>
    </w:p>
    <w:p w:rsidR="00000000" w:rsidRDefault="00567B15">
      <w:pPr>
        <w:spacing w:line="380" w:lineRule="exact"/>
        <w:jc w:val="both"/>
        <w:rPr>
          <w:rFonts w:hint="cs"/>
          <w:rtl/>
        </w:rPr>
      </w:pPr>
      <w:r>
        <w:rPr>
          <w:rFonts w:hint="cs"/>
          <w:rtl/>
        </w:rPr>
        <w:t>25-</w:t>
      </w:r>
      <w:r>
        <w:rPr>
          <w:rFonts w:hint="cs"/>
          <w:rtl/>
        </w:rPr>
        <w:tab/>
        <w:t xml:space="preserve">وعلى صعيد المناطق، سُجل أدنى معدل خصوبة عام في منطقة الجزر، حيث بلغ 2.3 أطفال، وهو رقم مماثل لما يسجل في البلدان المتقدمة؛ وبلغ المعدل في المنطقة الساحلية 3 أطفال، ووصل إلى 3.6 أطفال </w:t>
      </w:r>
      <w:r>
        <w:rPr>
          <w:rFonts w:hint="cs"/>
          <w:rtl/>
        </w:rPr>
        <w:t>في منطقة المرتفعات. ويصل المعدل إلى أعلى مستوياته في منطقة الأمازون (5.5 أطفال لكل امرأة وهو رقم يعادل متوسط عدد الولادات في إكوادور في أواسط الستينات)</w:t>
      </w:r>
      <w:r>
        <w:rPr>
          <w:rFonts w:hint="cs"/>
          <w:vertAlign w:val="superscript"/>
          <w:rtl/>
        </w:rPr>
        <w:t>(4)</w:t>
      </w:r>
      <w:r>
        <w:rPr>
          <w:rFonts w:hint="cs"/>
          <w:rtl/>
        </w:rPr>
        <w:t>.</w:t>
      </w:r>
    </w:p>
    <w:p w:rsidR="00000000" w:rsidRDefault="00567B15">
      <w:pPr>
        <w:spacing w:line="380" w:lineRule="exact"/>
        <w:jc w:val="both"/>
        <w:rPr>
          <w:rFonts w:hint="cs"/>
          <w:rtl/>
        </w:rPr>
      </w:pPr>
      <w:r>
        <w:rPr>
          <w:rFonts w:hint="cs"/>
          <w:rtl/>
        </w:rPr>
        <w:t>26-</w:t>
      </w:r>
      <w:r>
        <w:rPr>
          <w:rFonts w:hint="cs"/>
          <w:rtl/>
        </w:rPr>
        <w:tab/>
        <w:t>ولئن تراجع معدل الأمية في إكوادور تراجعاً كبيراً فإنه لا تزال توجد فوارق في هذا المعدل بين الجنس</w:t>
      </w:r>
      <w:r>
        <w:rPr>
          <w:rFonts w:hint="cs"/>
          <w:rtl/>
        </w:rPr>
        <w:t>ين. ففي عام 1998 بلغت نسبة الأمية نحو 12.1 في المائة بين النساء الإكوادوريات و8.3 في المائة بين الرجال الإكوادوريين. وتصل الأمية إلى أعلى مستوياتها بين سكان الأرياف.</w:t>
      </w:r>
    </w:p>
    <w:p w:rsidR="00000000" w:rsidRDefault="00567B15">
      <w:pPr>
        <w:spacing w:line="380" w:lineRule="exact"/>
        <w:jc w:val="both"/>
        <w:rPr>
          <w:rFonts w:hint="cs"/>
          <w:rtl/>
        </w:rPr>
      </w:pPr>
      <w:r>
        <w:rPr>
          <w:rFonts w:hint="cs"/>
          <w:rtl/>
        </w:rPr>
        <w:t>27-</w:t>
      </w:r>
      <w:r>
        <w:rPr>
          <w:rFonts w:hint="cs"/>
          <w:rtl/>
        </w:rPr>
        <w:tab/>
        <w:t>ونجحت إكوادور في رفع مستوى التعليم ونوعيته عن طريق إصلاح النظام التعليمي، بهدف تحسين و</w:t>
      </w:r>
      <w:r>
        <w:rPr>
          <w:rFonts w:hint="cs"/>
          <w:rtl/>
        </w:rPr>
        <w:t>تسريع التحصيل المدرسي للأطفال. وتمكنت إكوادور أيضاً من تقليص الفوارق في ميدان التعليم. فالجهود المبذولة من أجل توفير التعليم للمرأة تزيد من احتمالات دخولها قوة العمل وتمتع أطفالها بمستويات تعليمية أعلى. وكلما ارتفع مستوى تعليم المرأة ازدادت فرص عملها في ال</w:t>
      </w:r>
      <w:r>
        <w:rPr>
          <w:rFonts w:hint="cs"/>
          <w:rtl/>
        </w:rPr>
        <w:t>قطاع الرسمي وارتفع دخل الأسرة وقل عدد الأطفال في الأسرة وتحسن تعليم الأطفال بوجه عام وتراجع تعرض المرأة للعنف. وإذا كانت مشاركة المرأة في سوق العمل تجاوزت مشاركة الرجل في السنوات الأخيرة فإن البطالة لا تزال تصيب النساء أكثر من الرجال.</w:t>
      </w:r>
    </w:p>
    <w:p w:rsidR="00000000" w:rsidRDefault="00567B15">
      <w:pPr>
        <w:spacing w:line="380" w:lineRule="exact"/>
        <w:jc w:val="both"/>
        <w:rPr>
          <w:rFonts w:hint="cs"/>
          <w:rtl/>
        </w:rPr>
      </w:pPr>
      <w:r>
        <w:rPr>
          <w:rFonts w:hint="cs"/>
          <w:rtl/>
        </w:rPr>
        <w:t>28-</w:t>
      </w:r>
      <w:r>
        <w:rPr>
          <w:rFonts w:hint="cs"/>
          <w:rtl/>
        </w:rPr>
        <w:tab/>
        <w:t xml:space="preserve">وينص قانون العمل </w:t>
      </w:r>
      <w:r>
        <w:rPr>
          <w:rFonts w:hint="cs"/>
          <w:rtl/>
        </w:rPr>
        <w:t>على تساوي الأجر للمرأة والرجل، وهو ما يتوقف على مكان ونوع عمل المرأة. فالمادة 78 من قانون العمل تنص على "تساوي الأجر عن العمل المتساوي، دون تمييز على أساس الجنس أو العرق أو الجنسية أو الدين؛ كما أن التخصص والخبرة في أداء العمل يؤخذان في الاعتبار لأغراض حسا</w:t>
      </w:r>
      <w:r>
        <w:rPr>
          <w:rFonts w:hint="cs"/>
          <w:rtl/>
        </w:rPr>
        <w:t>ب الأجر".</w:t>
      </w:r>
    </w:p>
    <w:p w:rsidR="00000000" w:rsidRDefault="00567B15">
      <w:pPr>
        <w:spacing w:line="380" w:lineRule="exact"/>
        <w:jc w:val="both"/>
        <w:rPr>
          <w:rFonts w:hint="cs"/>
          <w:rtl/>
        </w:rPr>
      </w:pPr>
      <w:r>
        <w:rPr>
          <w:rFonts w:hint="cs"/>
          <w:rtl/>
        </w:rPr>
        <w:t>29-</w:t>
      </w:r>
      <w:r>
        <w:rPr>
          <w:rFonts w:hint="cs"/>
          <w:rtl/>
        </w:rPr>
        <w:tab/>
        <w:t>وعدد النساء في قوة العمل أقل من عدد الرجال، وينتشر عمل المرأة في القطاع غير الرسمي الذي يدفع أجوراً أدنى مما يدفعه القطاع الرسمي. وتتأثر مشاركة المرأة تأثراً شديداً بدرجة تعليمها وبعدد أطفالها. ويقل الفارق في الأجر بين الرجل والمرأة في القطاع</w:t>
      </w:r>
      <w:r>
        <w:rPr>
          <w:rFonts w:hint="cs"/>
          <w:rtl/>
        </w:rPr>
        <w:t xml:space="preserve"> الرسمي عنه في القطاع غير الرسمي. ففي عام 1995 كان دخل المرأة في المتوسط أدنى من دخل الرجل بنحو الثلث (27 في المائة). ويرتفع هذا الفارق في العمل الزراعي حيث تتقاضى المرأة أجراً يقل عن أجر الرجل بنحو 37 في المائة</w:t>
      </w:r>
      <w:r>
        <w:rPr>
          <w:rFonts w:hint="cs"/>
          <w:vertAlign w:val="superscript"/>
          <w:rtl/>
        </w:rPr>
        <w:t>(5)</w:t>
      </w:r>
      <w:r>
        <w:rPr>
          <w:rFonts w:hint="cs"/>
          <w:rtl/>
        </w:rPr>
        <w:t>.</w:t>
      </w:r>
    </w:p>
    <w:p w:rsidR="00000000" w:rsidRDefault="00567B15">
      <w:pPr>
        <w:spacing w:line="380" w:lineRule="exact"/>
        <w:jc w:val="both"/>
        <w:rPr>
          <w:rFonts w:hint="cs"/>
          <w:rtl/>
        </w:rPr>
      </w:pPr>
      <w:r>
        <w:rPr>
          <w:rFonts w:hint="cs"/>
          <w:rtl/>
        </w:rPr>
        <w:t>30-</w:t>
      </w:r>
      <w:r>
        <w:rPr>
          <w:rFonts w:hint="cs"/>
          <w:rtl/>
        </w:rPr>
        <w:tab/>
        <w:t xml:space="preserve">ويبين الجدول التالي متوسط دخل الرجل </w:t>
      </w:r>
      <w:r>
        <w:rPr>
          <w:rFonts w:hint="cs"/>
          <w:rtl/>
        </w:rPr>
        <w:t>والمرأة بحسب المهنة. ويتضح منه أن دخل المرأة في المتوسط أدنى من دخل الرجل. ويجدر بالملاحظة أيضاً الفارق المقدر بين المناطق الحضرية والريفية</w:t>
      </w:r>
      <w:r>
        <w:rPr>
          <w:rFonts w:hint="cs"/>
          <w:vertAlign w:val="superscript"/>
          <w:rtl/>
        </w:rPr>
        <w:t>(6)</w:t>
      </w:r>
      <w:r>
        <w:rPr>
          <w:rFonts w:hint="cs"/>
          <w:rtl/>
        </w:rPr>
        <w:t xml:space="preserve">. </w:t>
      </w:r>
    </w:p>
    <w:tbl>
      <w:tblPr>
        <w:bidiVisual/>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2392"/>
        <w:gridCol w:w="2393"/>
        <w:gridCol w:w="2272"/>
      </w:tblGrid>
      <w:tr w:rsidR="00567B15" w:rsidTr="00567B15">
        <w:tblPrEx>
          <w:tblCellMar>
            <w:top w:w="0" w:type="dxa"/>
            <w:bottom w:w="0" w:type="dxa"/>
          </w:tblCellMar>
        </w:tblPrEx>
        <w:trPr>
          <w:cantSplit/>
        </w:trPr>
        <w:tc>
          <w:tcPr>
            <w:tcW w:w="2280"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المنطقة</w:t>
            </w:r>
          </w:p>
        </w:tc>
        <w:tc>
          <w:tcPr>
            <w:tcW w:w="7057" w:type="dxa"/>
            <w:gridSpan w:val="3"/>
            <w:tcBorders>
              <w:bottom w:val="single" w:sz="4" w:space="0" w:color="auto"/>
            </w:tcBorders>
          </w:tcPr>
          <w:p w:rsidR="00567B15" w:rsidRDefault="00567B15">
            <w:pPr>
              <w:spacing w:before="0" w:after="0"/>
              <w:jc w:val="center"/>
              <w:rPr>
                <w:rFonts w:hint="cs"/>
                <w:sz w:val="26"/>
                <w:szCs w:val="26"/>
              </w:rPr>
            </w:pPr>
            <w:r>
              <w:rPr>
                <w:rFonts w:hint="cs"/>
                <w:sz w:val="26"/>
                <w:szCs w:val="26"/>
                <w:rtl/>
              </w:rPr>
              <w:t>متوسط الدخل</w:t>
            </w:r>
          </w:p>
        </w:tc>
      </w:tr>
      <w:tr w:rsidR="00567B15" w:rsidTr="00567B15">
        <w:tblPrEx>
          <w:tblCellMar>
            <w:top w:w="0" w:type="dxa"/>
            <w:bottom w:w="0" w:type="dxa"/>
          </w:tblCellMar>
        </w:tblPrEx>
        <w:tc>
          <w:tcPr>
            <w:tcW w:w="2280" w:type="dxa"/>
            <w:tcBorders>
              <w:top w:val="single" w:sz="4" w:space="0" w:color="auto"/>
              <w:bottom w:val="single" w:sz="4" w:space="0" w:color="auto"/>
            </w:tcBorders>
          </w:tcPr>
          <w:p w:rsidR="00567B15" w:rsidRDefault="00567B15">
            <w:pPr>
              <w:spacing w:before="0" w:after="0" w:line="240" w:lineRule="exact"/>
              <w:jc w:val="both"/>
              <w:rPr>
                <w:sz w:val="26"/>
                <w:szCs w:val="26"/>
              </w:rPr>
            </w:pPr>
          </w:p>
        </w:tc>
        <w:tc>
          <w:tcPr>
            <w:tcW w:w="2392" w:type="dxa"/>
            <w:tcBorders>
              <w:top w:val="single" w:sz="4" w:space="0" w:color="auto"/>
              <w:bottom w:val="single" w:sz="4" w:space="0" w:color="auto"/>
            </w:tcBorders>
          </w:tcPr>
          <w:p w:rsidR="00567B15" w:rsidRDefault="00567B15">
            <w:pPr>
              <w:spacing w:after="0" w:line="240" w:lineRule="exact"/>
              <w:jc w:val="center"/>
              <w:rPr>
                <w:rFonts w:hint="cs"/>
                <w:sz w:val="26"/>
                <w:szCs w:val="26"/>
              </w:rPr>
            </w:pPr>
            <w:r>
              <w:rPr>
                <w:rFonts w:hint="cs"/>
                <w:sz w:val="26"/>
                <w:szCs w:val="26"/>
                <w:rtl/>
              </w:rPr>
              <w:t>المرأة</w:t>
            </w:r>
          </w:p>
        </w:tc>
        <w:tc>
          <w:tcPr>
            <w:tcW w:w="2393" w:type="dxa"/>
            <w:tcBorders>
              <w:top w:val="single" w:sz="4" w:space="0" w:color="auto"/>
              <w:bottom w:val="single" w:sz="4" w:space="0" w:color="auto"/>
            </w:tcBorders>
          </w:tcPr>
          <w:p w:rsidR="00567B15" w:rsidRDefault="00567B15">
            <w:pPr>
              <w:spacing w:after="0" w:line="240" w:lineRule="exact"/>
              <w:jc w:val="center"/>
              <w:rPr>
                <w:rFonts w:hint="cs"/>
                <w:sz w:val="26"/>
                <w:szCs w:val="26"/>
              </w:rPr>
            </w:pPr>
            <w:r>
              <w:rPr>
                <w:rFonts w:hint="cs"/>
                <w:sz w:val="26"/>
                <w:szCs w:val="26"/>
                <w:rtl/>
              </w:rPr>
              <w:t>الرجل</w:t>
            </w:r>
          </w:p>
        </w:tc>
        <w:tc>
          <w:tcPr>
            <w:tcW w:w="2272" w:type="dxa"/>
            <w:tcBorders>
              <w:top w:val="single" w:sz="4" w:space="0" w:color="auto"/>
              <w:bottom w:val="single" w:sz="4" w:space="0" w:color="auto"/>
            </w:tcBorders>
          </w:tcPr>
          <w:p w:rsidR="00567B15" w:rsidRDefault="00567B15">
            <w:pPr>
              <w:spacing w:before="120" w:after="120" w:line="240" w:lineRule="exact"/>
              <w:jc w:val="center"/>
              <w:rPr>
                <w:rFonts w:hint="cs"/>
                <w:sz w:val="26"/>
                <w:szCs w:val="26"/>
              </w:rPr>
            </w:pPr>
            <w:r>
              <w:rPr>
                <w:rFonts w:hint="cs"/>
                <w:sz w:val="26"/>
                <w:szCs w:val="26"/>
                <w:rtl/>
              </w:rPr>
              <w:t>الفارق</w:t>
            </w:r>
            <w:r>
              <w:rPr>
                <w:sz w:val="26"/>
                <w:szCs w:val="26"/>
                <w:rtl/>
              </w:rPr>
              <w:br/>
            </w:r>
            <w:r>
              <w:rPr>
                <w:rFonts w:hint="cs"/>
                <w:sz w:val="26"/>
                <w:szCs w:val="26"/>
                <w:rtl/>
              </w:rPr>
              <w:t>(نسبة مئوية)</w:t>
            </w:r>
          </w:p>
        </w:tc>
      </w:tr>
      <w:tr w:rsidR="00567B15" w:rsidTr="00567B15">
        <w:tblPrEx>
          <w:tblCellMar>
            <w:top w:w="0" w:type="dxa"/>
            <w:bottom w:w="0" w:type="dxa"/>
          </w:tblCellMar>
        </w:tblPrEx>
        <w:tc>
          <w:tcPr>
            <w:tcW w:w="2280" w:type="dxa"/>
            <w:tcBorders>
              <w:bottom w:val="nil"/>
            </w:tcBorders>
          </w:tcPr>
          <w:p w:rsidR="00567B15" w:rsidRDefault="00567B15">
            <w:pPr>
              <w:spacing w:before="0" w:after="0"/>
              <w:jc w:val="both"/>
              <w:rPr>
                <w:rFonts w:hint="cs"/>
                <w:sz w:val="26"/>
                <w:szCs w:val="26"/>
              </w:rPr>
            </w:pPr>
            <w:r>
              <w:rPr>
                <w:rFonts w:hint="cs"/>
                <w:sz w:val="26"/>
                <w:szCs w:val="26"/>
                <w:rtl/>
              </w:rPr>
              <w:t>المناطق الحضرية</w:t>
            </w:r>
          </w:p>
        </w:tc>
        <w:tc>
          <w:tcPr>
            <w:tcW w:w="2392" w:type="dxa"/>
            <w:tcBorders>
              <w:bottom w:val="nil"/>
            </w:tcBorders>
          </w:tcPr>
          <w:p w:rsidR="00567B15" w:rsidRDefault="00567B15">
            <w:pPr>
              <w:spacing w:before="0" w:after="0"/>
              <w:jc w:val="center"/>
              <w:rPr>
                <w:rFonts w:hint="cs"/>
                <w:sz w:val="26"/>
                <w:szCs w:val="26"/>
              </w:rPr>
            </w:pPr>
            <w:r>
              <w:rPr>
                <w:rFonts w:hint="cs"/>
                <w:sz w:val="26"/>
                <w:szCs w:val="26"/>
                <w:rtl/>
              </w:rPr>
              <w:t>077 881</w:t>
            </w:r>
          </w:p>
        </w:tc>
        <w:tc>
          <w:tcPr>
            <w:tcW w:w="2393" w:type="dxa"/>
            <w:tcBorders>
              <w:bottom w:val="nil"/>
            </w:tcBorders>
          </w:tcPr>
          <w:p w:rsidR="00567B15" w:rsidRDefault="00567B15">
            <w:pPr>
              <w:spacing w:before="0" w:after="0"/>
              <w:jc w:val="center"/>
              <w:rPr>
                <w:rFonts w:hint="cs"/>
                <w:sz w:val="26"/>
                <w:szCs w:val="26"/>
              </w:rPr>
            </w:pPr>
            <w:r>
              <w:rPr>
                <w:rFonts w:hint="cs"/>
                <w:sz w:val="26"/>
                <w:szCs w:val="26"/>
                <w:rtl/>
              </w:rPr>
              <w:t xml:space="preserve"> 489 337 1</w:t>
            </w:r>
          </w:p>
        </w:tc>
        <w:tc>
          <w:tcPr>
            <w:tcW w:w="2272" w:type="dxa"/>
            <w:tcBorders>
              <w:bottom w:val="nil"/>
            </w:tcBorders>
          </w:tcPr>
          <w:p w:rsidR="00567B15" w:rsidRDefault="00567B15">
            <w:pPr>
              <w:spacing w:before="0" w:after="0"/>
              <w:jc w:val="center"/>
              <w:rPr>
                <w:rFonts w:hint="cs"/>
                <w:sz w:val="26"/>
                <w:szCs w:val="26"/>
              </w:rPr>
            </w:pPr>
            <w:r>
              <w:rPr>
                <w:rFonts w:hint="cs"/>
                <w:sz w:val="26"/>
                <w:szCs w:val="26"/>
                <w:rtl/>
              </w:rPr>
              <w:t>56.9</w:t>
            </w:r>
          </w:p>
        </w:tc>
      </w:tr>
      <w:tr w:rsidR="00567B15" w:rsidTr="00567B15">
        <w:tblPrEx>
          <w:tblCellMar>
            <w:top w:w="0" w:type="dxa"/>
            <w:bottom w:w="0" w:type="dxa"/>
          </w:tblCellMar>
        </w:tblPrEx>
        <w:tc>
          <w:tcPr>
            <w:tcW w:w="2280" w:type="dxa"/>
            <w:tcBorders>
              <w:top w:val="nil"/>
              <w:bottom w:val="nil"/>
            </w:tcBorders>
          </w:tcPr>
          <w:p w:rsidR="00567B15" w:rsidRDefault="00567B15">
            <w:pPr>
              <w:spacing w:before="0" w:after="0"/>
              <w:jc w:val="both"/>
              <w:rPr>
                <w:rFonts w:hint="cs"/>
                <w:sz w:val="26"/>
                <w:szCs w:val="26"/>
              </w:rPr>
            </w:pPr>
            <w:r>
              <w:rPr>
                <w:rFonts w:hint="cs"/>
                <w:sz w:val="26"/>
                <w:szCs w:val="26"/>
                <w:rtl/>
              </w:rPr>
              <w:t>المناطق الريفية</w:t>
            </w:r>
          </w:p>
        </w:tc>
        <w:tc>
          <w:tcPr>
            <w:tcW w:w="2392" w:type="dxa"/>
            <w:tcBorders>
              <w:top w:val="nil"/>
              <w:bottom w:val="nil"/>
            </w:tcBorders>
          </w:tcPr>
          <w:p w:rsidR="00567B15" w:rsidRDefault="00567B15">
            <w:pPr>
              <w:spacing w:before="0" w:after="0"/>
              <w:jc w:val="center"/>
              <w:rPr>
                <w:rFonts w:hint="cs"/>
                <w:sz w:val="26"/>
                <w:szCs w:val="26"/>
              </w:rPr>
            </w:pPr>
            <w:r>
              <w:rPr>
                <w:rFonts w:hint="cs"/>
                <w:sz w:val="26"/>
                <w:szCs w:val="26"/>
                <w:rtl/>
              </w:rPr>
              <w:t>911 328</w:t>
            </w:r>
          </w:p>
        </w:tc>
        <w:tc>
          <w:tcPr>
            <w:tcW w:w="2393" w:type="dxa"/>
            <w:tcBorders>
              <w:top w:val="nil"/>
              <w:bottom w:val="nil"/>
            </w:tcBorders>
          </w:tcPr>
          <w:p w:rsidR="00567B15" w:rsidRDefault="00567B15">
            <w:pPr>
              <w:spacing w:before="0" w:after="0"/>
              <w:jc w:val="center"/>
              <w:rPr>
                <w:rFonts w:hint="cs"/>
                <w:sz w:val="26"/>
                <w:szCs w:val="26"/>
              </w:rPr>
            </w:pPr>
            <w:r>
              <w:rPr>
                <w:rFonts w:hint="cs"/>
                <w:sz w:val="26"/>
                <w:szCs w:val="26"/>
                <w:rtl/>
              </w:rPr>
              <w:t>253 613</w:t>
            </w:r>
          </w:p>
        </w:tc>
        <w:tc>
          <w:tcPr>
            <w:tcW w:w="2272" w:type="dxa"/>
            <w:tcBorders>
              <w:top w:val="nil"/>
              <w:bottom w:val="nil"/>
            </w:tcBorders>
          </w:tcPr>
          <w:p w:rsidR="00567B15" w:rsidRDefault="00567B15">
            <w:pPr>
              <w:spacing w:before="0" w:after="0"/>
              <w:jc w:val="center"/>
              <w:rPr>
                <w:rFonts w:hint="cs"/>
                <w:sz w:val="26"/>
                <w:szCs w:val="26"/>
              </w:rPr>
            </w:pPr>
            <w:r>
              <w:rPr>
                <w:rFonts w:hint="cs"/>
                <w:sz w:val="26"/>
                <w:szCs w:val="26"/>
                <w:rtl/>
              </w:rPr>
              <w:t>53.6</w:t>
            </w:r>
          </w:p>
        </w:tc>
      </w:tr>
      <w:tr w:rsidR="00567B15" w:rsidTr="00567B15">
        <w:tblPrEx>
          <w:tblCellMar>
            <w:top w:w="0" w:type="dxa"/>
            <w:bottom w:w="0" w:type="dxa"/>
          </w:tblCellMar>
        </w:tblPrEx>
        <w:tc>
          <w:tcPr>
            <w:tcW w:w="2280" w:type="dxa"/>
            <w:tcBorders>
              <w:top w:val="nil"/>
            </w:tcBorders>
          </w:tcPr>
          <w:p w:rsidR="00567B15" w:rsidRDefault="00567B15">
            <w:pPr>
              <w:spacing w:before="0" w:after="0"/>
              <w:jc w:val="both"/>
              <w:rPr>
                <w:rFonts w:hint="cs"/>
                <w:sz w:val="26"/>
                <w:szCs w:val="26"/>
              </w:rPr>
            </w:pPr>
            <w:r>
              <w:rPr>
                <w:rFonts w:hint="cs"/>
                <w:sz w:val="26"/>
                <w:szCs w:val="26"/>
                <w:rtl/>
              </w:rPr>
              <w:t>المجموع الوطني</w:t>
            </w:r>
          </w:p>
        </w:tc>
        <w:tc>
          <w:tcPr>
            <w:tcW w:w="2392" w:type="dxa"/>
            <w:tcBorders>
              <w:top w:val="nil"/>
            </w:tcBorders>
          </w:tcPr>
          <w:p w:rsidR="00567B15" w:rsidRDefault="00567B15">
            <w:pPr>
              <w:spacing w:before="0" w:after="0"/>
              <w:jc w:val="center"/>
              <w:rPr>
                <w:rFonts w:hint="cs"/>
                <w:sz w:val="26"/>
                <w:szCs w:val="26"/>
              </w:rPr>
            </w:pPr>
            <w:r>
              <w:rPr>
                <w:rFonts w:hint="cs"/>
                <w:sz w:val="26"/>
                <w:szCs w:val="26"/>
                <w:rtl/>
              </w:rPr>
              <w:t>040 700</w:t>
            </w:r>
          </w:p>
        </w:tc>
        <w:tc>
          <w:tcPr>
            <w:tcW w:w="2393" w:type="dxa"/>
            <w:tcBorders>
              <w:top w:val="nil"/>
            </w:tcBorders>
          </w:tcPr>
          <w:p w:rsidR="00567B15" w:rsidRDefault="00567B15">
            <w:pPr>
              <w:spacing w:before="0" w:after="0"/>
              <w:jc w:val="center"/>
              <w:rPr>
                <w:rFonts w:hint="cs"/>
                <w:sz w:val="26"/>
                <w:szCs w:val="26"/>
              </w:rPr>
            </w:pPr>
            <w:r>
              <w:rPr>
                <w:rFonts w:hint="cs"/>
                <w:sz w:val="26"/>
                <w:szCs w:val="26"/>
                <w:rtl/>
              </w:rPr>
              <w:t xml:space="preserve"> 779 036 1</w:t>
            </w:r>
          </w:p>
        </w:tc>
        <w:tc>
          <w:tcPr>
            <w:tcW w:w="2272" w:type="dxa"/>
            <w:tcBorders>
              <w:top w:val="nil"/>
            </w:tcBorders>
          </w:tcPr>
          <w:p w:rsidR="00567B15" w:rsidRDefault="00567B15">
            <w:pPr>
              <w:spacing w:before="0" w:after="0"/>
              <w:jc w:val="center"/>
              <w:rPr>
                <w:rFonts w:hint="cs"/>
                <w:sz w:val="26"/>
                <w:szCs w:val="26"/>
              </w:rPr>
            </w:pPr>
            <w:r>
              <w:rPr>
                <w:rFonts w:hint="cs"/>
                <w:sz w:val="26"/>
                <w:szCs w:val="26"/>
                <w:rtl/>
              </w:rPr>
              <w:t>67.5</w:t>
            </w:r>
          </w:p>
        </w:tc>
      </w:tr>
    </w:tbl>
    <w:p w:rsidR="00000000" w:rsidRDefault="00567B15">
      <w:pPr>
        <w:tabs>
          <w:tab w:val="left" w:pos="634"/>
        </w:tabs>
        <w:spacing w:line="380" w:lineRule="exact"/>
        <w:jc w:val="both"/>
        <w:rPr>
          <w:rFonts w:hint="cs"/>
          <w:rtl/>
        </w:rPr>
      </w:pPr>
      <w:r>
        <w:rPr>
          <w:rFonts w:hint="cs"/>
          <w:spacing w:val="2"/>
          <w:rtl/>
        </w:rPr>
        <w:tab/>
      </w:r>
      <w:r>
        <w:rPr>
          <w:rFonts w:hint="cs"/>
          <w:spacing w:val="2"/>
          <w:u w:val="single"/>
          <w:rtl/>
        </w:rPr>
        <w:t>المصدر</w:t>
      </w:r>
      <w:r>
        <w:rPr>
          <w:rFonts w:hint="cs"/>
          <w:spacing w:val="2"/>
          <w:rtl/>
        </w:rPr>
        <w:t>: المعهد الوطني للإحصاء وتعداد السكان، دراسة استقصائية للأوضاع المعيشية، المرحلة الثالثة، 1998</w:t>
      </w:r>
      <w:r>
        <w:rPr>
          <w:rFonts w:hint="cs"/>
          <w:rtl/>
        </w:rPr>
        <w:t>.</w:t>
      </w:r>
    </w:p>
    <w:p w:rsidR="00000000" w:rsidRDefault="00567B15">
      <w:pPr>
        <w:spacing w:line="380" w:lineRule="exact"/>
        <w:jc w:val="both"/>
        <w:rPr>
          <w:rFonts w:hint="cs"/>
          <w:rtl/>
        </w:rPr>
      </w:pPr>
      <w:r>
        <w:rPr>
          <w:rFonts w:hint="cs"/>
          <w:rtl/>
        </w:rPr>
        <w:t>31-</w:t>
      </w:r>
      <w:r>
        <w:rPr>
          <w:rFonts w:hint="cs"/>
          <w:rtl/>
        </w:rPr>
        <w:tab/>
        <w:t>وبغية تحسين قدرة المرأة على البحث عن وظائف جيدة والحصول عليها، أُدخلت إصلاحات على تشر</w:t>
      </w:r>
      <w:r>
        <w:rPr>
          <w:rFonts w:hint="cs"/>
          <w:rtl/>
        </w:rPr>
        <w:t>يعات العمل بهدف القضاء على التمييز ضد المرأة. وينص قانون حماية العمل على ألا تقل معدل استخدام النساء العاملات عن نسبة مئوية معينة؛ وستتولى تنظيم استخدام العاملات اللجان القطاعية التابعة لوزارة العمل إلا أن ثمة إصلاحات أخرى تنتمي بوضوح إلى مجال السياسة الاج</w:t>
      </w:r>
      <w:r>
        <w:rPr>
          <w:rFonts w:hint="cs"/>
          <w:rtl/>
        </w:rPr>
        <w:t>تماعية، مثل تعزيز خدمات الرعاية النهارية والتعليم قبل المدرسي. والغرض من هذه الإصلاحات تمكين المرأة من شغل الوظائف، وفي الوقت نفسه تحسين قدرة الطفل على التعلم والنماء وإتمام المراحل الدراسية.</w:t>
      </w:r>
    </w:p>
    <w:p w:rsidR="00000000" w:rsidRDefault="00567B15">
      <w:pPr>
        <w:spacing w:line="380" w:lineRule="exact"/>
        <w:jc w:val="both"/>
        <w:rPr>
          <w:rFonts w:hint="cs"/>
          <w:rtl/>
        </w:rPr>
      </w:pPr>
      <w:r>
        <w:rPr>
          <w:rFonts w:hint="cs"/>
          <w:rtl/>
        </w:rPr>
        <w:t>32-</w:t>
      </w:r>
      <w:r>
        <w:rPr>
          <w:rFonts w:hint="cs"/>
          <w:rtl/>
        </w:rPr>
        <w:tab/>
        <w:t>وتنشأ الفوارق الكبرى من تفاوت مستويات التعليم ومن الطريقة ال</w:t>
      </w:r>
      <w:r>
        <w:rPr>
          <w:rFonts w:hint="cs"/>
          <w:rtl/>
        </w:rPr>
        <w:t>تي تكافئ بها السوق مختلفة أنواع التعليم: فالذين يملكون خبرة أكبر يتقاضون مرتبات أعلى؛ والرجال يكسبون أكثر من النساء؛ والنساء يشغلن في الغالب وظائف متدنية الأجور. كما أن تدني أجور النساء يعزى جزئياً إلى كونهن يكتسبن خبرة مهنية أقل من الرجال لأنهن لا يعملن ب</w:t>
      </w:r>
      <w:r>
        <w:rPr>
          <w:rFonts w:hint="cs"/>
          <w:rtl/>
        </w:rPr>
        <w:t xml:space="preserve">صفة مستمرة نظراً لمتطلبات الأمومة والأعباء المنزلية. وإذا كانت هذه الفوارق تقل في وظائف القطاع الرسمي فإنها تزداد بصورة ملحوظة في الأعمال الحرة. </w:t>
      </w:r>
    </w:p>
    <w:p w:rsidR="00000000" w:rsidRDefault="00567B15">
      <w:pPr>
        <w:spacing w:line="380" w:lineRule="exact"/>
        <w:jc w:val="both"/>
        <w:rPr>
          <w:rFonts w:hint="cs"/>
          <w:rtl/>
        </w:rPr>
      </w:pPr>
      <w:r>
        <w:rPr>
          <w:rFonts w:hint="cs"/>
          <w:rtl/>
        </w:rPr>
        <w:t>33-</w:t>
      </w:r>
      <w:r>
        <w:rPr>
          <w:rFonts w:hint="cs"/>
          <w:rtl/>
        </w:rPr>
        <w:tab/>
        <w:t>وفي القطاع الريفي، تشارك النساء البالغات، ولا سيما القرويات والنساء من السكان الأصليين، في قوة العمل على أ</w:t>
      </w:r>
      <w:r>
        <w:rPr>
          <w:rFonts w:hint="cs"/>
          <w:rtl/>
        </w:rPr>
        <w:t>ساس متكافئ. وتعمل معظم النساء في الزراعة على أراضٍ مملوكة للأسر بلا أجر ويعانين نتائج التمييز الذي تعرضن لـه خلال العقود الماضية.</w:t>
      </w:r>
    </w:p>
    <w:p w:rsidR="00000000" w:rsidRDefault="00567B15">
      <w:pPr>
        <w:spacing w:line="380" w:lineRule="exact"/>
        <w:jc w:val="both"/>
        <w:rPr>
          <w:rFonts w:hint="cs"/>
          <w:rtl/>
        </w:rPr>
      </w:pPr>
      <w:r>
        <w:rPr>
          <w:rFonts w:hint="cs"/>
          <w:rtl/>
        </w:rPr>
        <w:t>34-</w:t>
      </w:r>
      <w:r>
        <w:rPr>
          <w:rFonts w:hint="cs"/>
          <w:rtl/>
        </w:rPr>
        <w:tab/>
        <w:t>وقد اتخذ عدد كبير من الإصلاحات التشريعية وتدابير السياسة العامة بهدف إلى تعزيز تكافؤ الفرص بين الرجل والمرأة، منها:</w:t>
      </w:r>
    </w:p>
    <w:p w:rsidR="00000000" w:rsidRDefault="00567B15">
      <w:pPr>
        <w:spacing w:line="380" w:lineRule="exact"/>
        <w:jc w:val="both"/>
        <w:rPr>
          <w:rFonts w:hint="cs"/>
          <w:rtl/>
        </w:rPr>
      </w:pPr>
      <w:r>
        <w:rPr>
          <w:rFonts w:hint="cs"/>
          <w:rtl/>
        </w:rPr>
        <w:tab/>
        <w:t>(أ)</w:t>
      </w:r>
      <w:r>
        <w:rPr>
          <w:rFonts w:hint="cs"/>
          <w:rtl/>
        </w:rPr>
        <w:tab/>
        <w:t>ا</w:t>
      </w:r>
      <w:r>
        <w:rPr>
          <w:rFonts w:hint="cs"/>
          <w:rtl/>
        </w:rPr>
        <w:t>لأنظمة المنقحة بشأن عمل المفوضية المعنية بالمرأة والأسرة، التي نشرت في العدد 758 من الجريدة الرسمية الصادر في 14 آب/أغسطس 1995. وتراعي هذه الأنظمة كون العنف ضد المرأة والطفل مشكلة اجتماعية تقتضي ضمانات كافية لمعالجتها معالجة متخصصة. وسيكون للمفوضية المعنية</w:t>
      </w:r>
      <w:r>
        <w:rPr>
          <w:rFonts w:hint="cs"/>
          <w:rtl/>
        </w:rPr>
        <w:t xml:space="preserve"> بالمرأة والأسرة اختصاص تفضيلي وإن لم يكن مطلقاً في حالات العنف المنزلي والمخالفات المرتكبة ضد المرأة والطفل. ويعاقب على هذه المخالفات بموجب التشريعات المعمول بها. ووفقاً لأحكام المادة 662 من قانون العقوبات، يجوز اتخاذ تدابير وقائية وعلاجية بغية حماية أمن </w:t>
      </w:r>
      <w:r>
        <w:rPr>
          <w:rFonts w:hint="cs"/>
          <w:rtl/>
        </w:rPr>
        <w:t>المرأة والطفل وسلامتهما الجسدية والعاطفية؛</w:t>
      </w:r>
    </w:p>
    <w:p w:rsidR="00000000" w:rsidRDefault="00567B15">
      <w:pPr>
        <w:spacing w:line="380" w:lineRule="exact"/>
        <w:jc w:val="both"/>
        <w:rPr>
          <w:rFonts w:hint="cs"/>
          <w:rtl/>
        </w:rPr>
      </w:pPr>
      <w:r>
        <w:rPr>
          <w:rFonts w:hint="cs"/>
          <w:rtl/>
        </w:rPr>
        <w:tab/>
        <w:t>(ب)</w:t>
      </w:r>
      <w:r>
        <w:rPr>
          <w:rFonts w:hint="cs"/>
          <w:rtl/>
        </w:rPr>
        <w:tab/>
        <w:t>التصديق على اتفاقية البلدان الأمريكية بشأن منع العنف ضد المرأة والمعاقبة والقضاء عليه. ("اتفاقية بيليم دو بارا")، التي نشرت في العدد 728 من الجريدة الرسمية الصادر في 30 حزيران/يونيه 1995؛</w:t>
      </w:r>
    </w:p>
    <w:p w:rsidR="00000000" w:rsidRDefault="00567B15">
      <w:pPr>
        <w:spacing w:line="380" w:lineRule="exact"/>
        <w:jc w:val="both"/>
        <w:rPr>
          <w:rFonts w:hint="cs"/>
          <w:rtl/>
        </w:rPr>
      </w:pPr>
      <w:r>
        <w:rPr>
          <w:rFonts w:hint="cs"/>
          <w:rtl/>
        </w:rPr>
        <w:tab/>
        <w:t>(ج)</w:t>
      </w:r>
      <w:r>
        <w:rPr>
          <w:rFonts w:hint="cs"/>
          <w:rtl/>
        </w:rPr>
        <w:tab/>
        <w:t xml:space="preserve">قانون العنف ضد </w:t>
      </w:r>
      <w:r>
        <w:rPr>
          <w:rFonts w:hint="cs"/>
          <w:rtl/>
        </w:rPr>
        <w:t>المرأة والأسرة، الذي نشر في العدد 839 من الجريدة الرسمية الصادر في 11 كانون الأول/ديسمبر 1995، هذا القانون الذي يجرم العنف الجسدي والنفسي والجنسي ضد المرأة والأسرة ويعاقب عليه ويتضمن تدابير لحماية ضحايا العنف المنزلي. وينص القانون على إضفاء قوة القانون على</w:t>
      </w:r>
      <w:r>
        <w:rPr>
          <w:rFonts w:hint="cs"/>
          <w:rtl/>
        </w:rPr>
        <w:t xml:space="preserve"> الصكوك الدولية المتعلقة بمنع العنف ضد المرأة والمعاقبة عليه التي صدقت عليها إكوادور؛</w:t>
      </w:r>
    </w:p>
    <w:p w:rsidR="00000000" w:rsidRDefault="00567B15">
      <w:pPr>
        <w:spacing w:line="380" w:lineRule="exact"/>
        <w:jc w:val="both"/>
        <w:rPr>
          <w:rFonts w:hint="cs"/>
          <w:rtl/>
        </w:rPr>
      </w:pPr>
      <w:r>
        <w:rPr>
          <w:rFonts w:hint="cs"/>
          <w:rtl/>
        </w:rPr>
        <w:tab/>
        <w:t>(د)</w:t>
      </w:r>
      <w:r>
        <w:rPr>
          <w:rFonts w:hint="cs"/>
          <w:rtl/>
        </w:rPr>
        <w:tab/>
        <w:t>قانون حماية عمل المرأة، الذي نشر في العدد 124 من الجريدة الرسمية الصادر في 6 شباط/فبراير 1997، والذي يعدل قانون العمل والقانون الانتخابي وقانون تنظيم القضاء؛</w:t>
      </w:r>
    </w:p>
    <w:p w:rsidR="00000000" w:rsidRDefault="00567B15">
      <w:pPr>
        <w:spacing w:line="380" w:lineRule="exact"/>
        <w:jc w:val="both"/>
        <w:rPr>
          <w:rStyle w:val="FootnoteReference"/>
          <w:rFonts w:hint="cs"/>
          <w:bCs w:val="0"/>
          <w:vertAlign w:val="baseline"/>
          <w:rtl/>
        </w:rPr>
      </w:pPr>
      <w:r>
        <w:rPr>
          <w:rFonts w:hint="cs"/>
          <w:rtl/>
        </w:rPr>
        <w:tab/>
        <w:t>(ه‍)</w:t>
      </w:r>
      <w:r>
        <w:rPr>
          <w:rFonts w:hint="cs"/>
          <w:rtl/>
        </w:rPr>
        <w:tab/>
        <w:t>ا</w:t>
      </w:r>
      <w:r>
        <w:rPr>
          <w:rFonts w:hint="cs"/>
          <w:rtl/>
        </w:rPr>
        <w:t>لمجلس الوطني للمرأة، وهو مؤسسة من مؤسسات القانون العام يهدف إلى تحقيق غرض اجتماعي وعام، ويتبع ديوان رئيس الجمهورية. ويرشد المجلس السياسات العامة ذات المنظور الجنساني، ويقوم بمراقبة وتنظيم الأنشطة بهدف ضمان تكافؤ الفرص للمرأة والرجل في جميع هيئات القطاع الع</w:t>
      </w:r>
      <w:r>
        <w:rPr>
          <w:rFonts w:hint="cs"/>
          <w:rtl/>
        </w:rPr>
        <w:t>ام، ويشجع مشاركة المرأة الكاملة وتنمية قدراتها في الحياة الاجتماعية والاقتصادية والسياسية، ووضع برامج لإدماج المرأة اجتماعياً، كما يهدف إلى تعزيز عمل المرأة في الوظائف والأعمال الحرة، ومحو أميتها وتعليمها، وتوفير الرعاية الشاملة للنساء من ضحايا العنف. ويشج</w:t>
      </w:r>
      <w:r>
        <w:rPr>
          <w:rFonts w:hint="cs"/>
          <w:rtl/>
        </w:rPr>
        <w:t>ع المجلس البرامج التي تمكن المرأة والرجل من موازنة العمل مع الحياة الأسرية. وقد أنشئ المجلس بموجب المرسوم التنفيذي رقم 764 المؤرخ 24 تشرين الأول/أكتوبر 1997، الذي نشر في ملحق العدد 182 من الجريدة الرسمية الصادر في 28 تشرين الأول/أكتوبر 1997؛</w:t>
      </w:r>
    </w:p>
    <w:p w:rsidR="00000000" w:rsidRDefault="00567B15">
      <w:pPr>
        <w:spacing w:line="380" w:lineRule="exact"/>
        <w:jc w:val="both"/>
        <w:rPr>
          <w:rFonts w:hint="cs"/>
          <w:rtl/>
        </w:rPr>
      </w:pPr>
      <w:r>
        <w:rPr>
          <w:rFonts w:hint="cs"/>
          <w:rtl/>
        </w:rPr>
        <w:tab/>
        <w:t>(و)</w:t>
      </w:r>
      <w:r>
        <w:rPr>
          <w:rFonts w:hint="cs"/>
          <w:rtl/>
        </w:rPr>
        <w:tab/>
        <w:t>قانون (تع</w:t>
      </w:r>
      <w:r>
        <w:rPr>
          <w:rFonts w:hint="cs"/>
          <w:rtl/>
        </w:rPr>
        <w:t>ديل) الأمومة المجانية، الذي نُشر في العدد 381 من الجريدة الرسمية الصادر في 10 آب/أغسطس 1998، بهدف خفض معدلات وفيات الأمهات والرضع. ويرمي القانون إلى تحقيق هدف آخر هو ضمان الحق في رعاية صحية مجانية عالية الجودة تغطي تكاليف الأدوية والفحوص المختبرية الأساسية</w:t>
      </w:r>
      <w:r>
        <w:rPr>
          <w:rFonts w:hint="cs"/>
          <w:rtl/>
        </w:rPr>
        <w:t xml:space="preserve"> وفحوص المتابعة للحوامل والمواليد الجدد والأطفال دون سن الخامسة. </w:t>
      </w:r>
    </w:p>
    <w:p w:rsidR="00000000" w:rsidRDefault="00567B15">
      <w:pPr>
        <w:spacing w:line="380" w:lineRule="exact"/>
        <w:jc w:val="both"/>
        <w:rPr>
          <w:rFonts w:hint="cs"/>
          <w:rtl/>
        </w:rPr>
      </w:pPr>
      <w:r>
        <w:rPr>
          <w:rFonts w:hint="cs"/>
          <w:rtl/>
        </w:rPr>
        <w:t>35-</w:t>
      </w:r>
      <w:r>
        <w:rPr>
          <w:rFonts w:hint="cs"/>
          <w:rtl/>
        </w:rPr>
        <w:tab/>
        <w:t>وازداد الاهتمام في السنوات الأخيرة بخفض التمييز ضد فئات معينة على أساس الجنس أو العرق أو الأصل الإثني بهدف ضمان استفادة هذه الفئات كما ينبغي من الخدمات العامة والمعاملة المنصفة في سوق ال</w:t>
      </w:r>
      <w:r>
        <w:rPr>
          <w:rFonts w:hint="cs"/>
          <w:rtl/>
        </w:rPr>
        <w:t>عمل. وسيكون للكثير من تدابير السياسة الاجتماعية الجاري اتخاذها حالياً تأثير في رفاهية الأجيال المقبلة.</w:t>
      </w:r>
    </w:p>
    <w:p w:rsidR="00000000" w:rsidRDefault="00567B15">
      <w:pPr>
        <w:spacing w:line="380" w:lineRule="exact"/>
        <w:jc w:val="center"/>
        <w:rPr>
          <w:rFonts w:hint="cs"/>
          <w:b/>
          <w:bCs/>
          <w:rtl/>
        </w:rPr>
      </w:pPr>
      <w:r>
        <w:rPr>
          <w:rFonts w:hint="cs"/>
          <w:b/>
          <w:bCs/>
          <w:rtl/>
        </w:rPr>
        <w:t>المادة 4</w:t>
      </w:r>
    </w:p>
    <w:p w:rsidR="00000000" w:rsidRDefault="00567B15">
      <w:pPr>
        <w:spacing w:line="380" w:lineRule="exact"/>
        <w:jc w:val="both"/>
        <w:rPr>
          <w:rFonts w:hint="cs"/>
          <w:rtl/>
        </w:rPr>
      </w:pPr>
      <w:r>
        <w:rPr>
          <w:rFonts w:hint="cs"/>
          <w:rtl/>
        </w:rPr>
        <w:t>36-</w:t>
      </w:r>
      <w:r>
        <w:rPr>
          <w:rFonts w:hint="cs"/>
          <w:rtl/>
        </w:rPr>
        <w:tab/>
        <w:t>تضمن إكوادور سيادة أحكام دستورها بحيث لا يتعارض أي قانون من قوانينها مع الحقوق المكفولة في العهد الدولي الخاص بالحقوق الاقتصادية والاجتماعية</w:t>
      </w:r>
      <w:r>
        <w:rPr>
          <w:rFonts w:hint="cs"/>
          <w:rtl/>
        </w:rPr>
        <w:t xml:space="preserve"> والثقافية. وتعترف أحكام الدستور والقانون بحقوق الإنسان وتكفلها وتعززها، كما تشجع التقدم الاقتصادي والاجتماعي والثقافي لجميع الأشخاص المشمولين بولايتها.</w:t>
      </w:r>
    </w:p>
    <w:p w:rsidR="00000000" w:rsidRDefault="00567B15">
      <w:pPr>
        <w:spacing w:line="380" w:lineRule="exact"/>
        <w:jc w:val="center"/>
        <w:rPr>
          <w:rFonts w:hint="cs"/>
          <w:b/>
          <w:bCs/>
          <w:rtl/>
        </w:rPr>
      </w:pPr>
      <w:r>
        <w:rPr>
          <w:rFonts w:hint="cs"/>
          <w:b/>
          <w:bCs/>
          <w:rtl/>
        </w:rPr>
        <w:t>المادة 5</w:t>
      </w:r>
    </w:p>
    <w:p w:rsidR="00000000" w:rsidRDefault="00567B15">
      <w:pPr>
        <w:spacing w:line="380" w:lineRule="exact"/>
        <w:jc w:val="both"/>
        <w:rPr>
          <w:rFonts w:hint="cs"/>
          <w:rtl/>
        </w:rPr>
      </w:pPr>
      <w:r>
        <w:rPr>
          <w:rFonts w:hint="cs"/>
          <w:rtl/>
        </w:rPr>
        <w:t>37-</w:t>
      </w:r>
      <w:r>
        <w:rPr>
          <w:rFonts w:hint="cs"/>
          <w:rtl/>
        </w:rPr>
        <w:tab/>
        <w:t>يكفل دستور إكوادور ممارسة حقوق الإنسان ممارسة فعلية. ويجب أن تكون أحكام القوانين الأخرى مت</w:t>
      </w:r>
      <w:r>
        <w:rPr>
          <w:rFonts w:hint="cs"/>
          <w:rtl/>
        </w:rPr>
        <w:t>فقة مع الدستور، بحيث تمنح الأولوية لحقوق الإنسان وحرياته وتعزز التنمية بهدف تحقيق التقدم الاجتماعي والاقتصادي.</w:t>
      </w:r>
    </w:p>
    <w:p w:rsidR="00000000" w:rsidRDefault="00567B15">
      <w:pPr>
        <w:spacing w:line="380" w:lineRule="exact"/>
        <w:jc w:val="both"/>
        <w:rPr>
          <w:rFonts w:hint="cs"/>
          <w:rtl/>
        </w:rPr>
      </w:pPr>
      <w:r>
        <w:rPr>
          <w:rFonts w:hint="cs"/>
          <w:rtl/>
        </w:rPr>
        <w:t>38-</w:t>
      </w:r>
      <w:r>
        <w:rPr>
          <w:rFonts w:hint="cs"/>
          <w:rtl/>
        </w:rPr>
        <w:tab/>
        <w:t>ولكل شخص تتأثر حقوقه بإجراء إداري أو قضائي أن يلجأ إلى سبل الانتصاف التالية:</w:t>
      </w:r>
    </w:p>
    <w:p w:rsidR="00000000" w:rsidRDefault="00567B15">
      <w:pPr>
        <w:spacing w:before="180" w:after="180" w:line="380" w:lineRule="exact"/>
        <w:jc w:val="both"/>
        <w:rPr>
          <w:rtl/>
        </w:rPr>
      </w:pPr>
      <w:r>
        <w:rPr>
          <w:rFonts w:hint="cs"/>
          <w:rtl/>
        </w:rPr>
        <w:tab/>
        <w:t>(أ)</w:t>
      </w:r>
      <w:r>
        <w:rPr>
          <w:rFonts w:hint="cs"/>
          <w:rtl/>
        </w:rPr>
        <w:tab/>
        <w:t xml:space="preserve">حق المثول أمام القضاء </w:t>
      </w:r>
      <w:r>
        <w:t>(Habeas corpus)</w:t>
      </w:r>
      <w:r>
        <w:rPr>
          <w:rFonts w:hint="cs"/>
          <w:vertAlign w:val="superscript"/>
          <w:rtl/>
        </w:rPr>
        <w:t>(8)</w:t>
      </w:r>
      <w:r>
        <w:rPr>
          <w:rFonts w:hint="cs"/>
          <w:rtl/>
        </w:rPr>
        <w:t xml:space="preserve">، الذي ينطبق عندما </w:t>
      </w:r>
      <w:r>
        <w:rPr>
          <w:rFonts w:hint="cs"/>
          <w:rtl/>
        </w:rPr>
        <w:t>يُحرم شخص من حريته بصورة غير مشروعة؛</w:t>
      </w:r>
    </w:p>
    <w:p w:rsidR="00000000" w:rsidRDefault="00567B15">
      <w:pPr>
        <w:spacing w:before="180" w:after="180" w:line="380" w:lineRule="exact"/>
        <w:jc w:val="both"/>
        <w:rPr>
          <w:rtl/>
        </w:rPr>
      </w:pPr>
      <w:r>
        <w:rPr>
          <w:rFonts w:hint="cs"/>
          <w:rtl/>
        </w:rPr>
        <w:tab/>
        <w:t>(ب)</w:t>
      </w:r>
      <w:r>
        <w:rPr>
          <w:rFonts w:hint="cs"/>
          <w:rtl/>
        </w:rPr>
        <w:tab/>
        <w:t xml:space="preserve">حق إتاحة البيانات </w:t>
      </w:r>
      <w:r>
        <w:t>(Habeas data)</w:t>
      </w:r>
      <w:r>
        <w:rPr>
          <w:rFonts w:hint="cs"/>
          <w:rtl/>
        </w:rPr>
        <w:t>: "لكل شخص الحق في الاطلاع على ما يتعلق به أو بأملاكه من وثائق وبيانات وتقارير موجودة في حوزة كيانات عامة أو خاصة، كما لـه الحق في معرفة كيفية استخدام هذه البيانات والغرض من استخدامها</w:t>
      </w:r>
      <w:r>
        <w:rPr>
          <w:rFonts w:hint="cs"/>
          <w:rtl/>
        </w:rPr>
        <w:t>"</w:t>
      </w:r>
      <w:r>
        <w:rPr>
          <w:rFonts w:hint="cs"/>
          <w:vertAlign w:val="superscript"/>
          <w:rtl/>
        </w:rPr>
        <w:t>(9)</w:t>
      </w:r>
      <w:r>
        <w:rPr>
          <w:rFonts w:hint="cs"/>
          <w:rtl/>
        </w:rPr>
        <w:t>؛</w:t>
      </w:r>
    </w:p>
    <w:p w:rsidR="00000000" w:rsidRDefault="00567B15">
      <w:pPr>
        <w:spacing w:before="180" w:after="180" w:line="380" w:lineRule="exact"/>
        <w:jc w:val="both"/>
        <w:rPr>
          <w:rFonts w:hint="cs"/>
          <w:rtl/>
        </w:rPr>
      </w:pPr>
      <w:r>
        <w:rPr>
          <w:rFonts w:hint="cs"/>
          <w:rtl/>
        </w:rPr>
        <w:tab/>
        <w:t>(ج)</w:t>
      </w:r>
      <w:r>
        <w:rPr>
          <w:rFonts w:hint="cs"/>
          <w:rtl/>
        </w:rPr>
        <w:tab/>
        <w:t xml:space="preserve">الحماية الدستورية </w:t>
      </w:r>
      <w:r>
        <w:t>(</w:t>
      </w:r>
      <w:r>
        <w:rPr>
          <w:u w:val="single"/>
        </w:rPr>
        <w:t>amparo</w:t>
      </w:r>
      <w:r>
        <w:t>)</w:t>
      </w:r>
      <w:r>
        <w:rPr>
          <w:rFonts w:hint="cs"/>
          <w:rtl/>
        </w:rPr>
        <w:t>: "ينطوي سبيل الانتصاف هذا على اتخاذ إجراءات تفضيلية موجزة وعاجلة لوقف أو تلافي ارتكاب سلطة عامة فعلاً غير مشروع أو تقصيراً ينتهك أو يمكن أن ينتهك أي حق مكرَّس في الدستور أو لجبر نتائجه على الفور"</w:t>
      </w:r>
      <w:r>
        <w:rPr>
          <w:rFonts w:hint="cs"/>
          <w:vertAlign w:val="superscript"/>
          <w:rtl/>
        </w:rPr>
        <w:t>(10)</w:t>
      </w:r>
      <w:r>
        <w:rPr>
          <w:rFonts w:hint="cs"/>
          <w:rtl/>
        </w:rPr>
        <w:t>؛</w:t>
      </w:r>
    </w:p>
    <w:p w:rsidR="00000000" w:rsidRDefault="00567B15">
      <w:pPr>
        <w:spacing w:before="180" w:after="180" w:line="380" w:lineRule="exact"/>
        <w:jc w:val="both"/>
        <w:rPr>
          <w:rFonts w:hint="cs"/>
          <w:rtl/>
        </w:rPr>
      </w:pPr>
      <w:r>
        <w:rPr>
          <w:rFonts w:hint="cs"/>
          <w:rtl/>
        </w:rPr>
        <w:tab/>
        <w:t>(د)</w:t>
      </w:r>
      <w:r>
        <w:rPr>
          <w:rFonts w:hint="cs"/>
          <w:rtl/>
        </w:rPr>
        <w:tab/>
        <w:t>مكتب أمين ال</w:t>
      </w:r>
      <w:r>
        <w:rPr>
          <w:rFonts w:hint="cs"/>
          <w:rtl/>
        </w:rPr>
        <w:t xml:space="preserve">مظالم: "يعيَّن أمين للمظالم يكون لـه اختصاص وطني في دعم أو رعاية ما يتخذه الأشخاص من إجراءات طلباً للمثول أمام القضاء أو للحماية الدستورية، وفي حماية وتعزيز احترام الحقوق الأساسية المكفولة بالدستور، وفي مراقبة نوعية الخدمات العامة وأداء أي مهام أخرى تُسند </w:t>
      </w:r>
      <w:r>
        <w:rPr>
          <w:rFonts w:hint="cs"/>
          <w:rtl/>
        </w:rPr>
        <w:t>إليه بموجب القانون".</w:t>
      </w:r>
    </w:p>
    <w:p w:rsidR="00000000" w:rsidRDefault="00567B15">
      <w:pPr>
        <w:spacing w:line="380" w:lineRule="exact"/>
        <w:jc w:val="both"/>
        <w:rPr>
          <w:rFonts w:hint="cs"/>
          <w:rtl/>
        </w:rPr>
      </w:pPr>
      <w:r>
        <w:rPr>
          <w:rFonts w:hint="cs"/>
          <w:rtl/>
        </w:rPr>
        <w:t>39-</w:t>
      </w:r>
      <w:r>
        <w:rPr>
          <w:rFonts w:hint="cs"/>
          <w:rtl/>
        </w:rPr>
        <w:tab/>
        <w:t>وتفيد المعلومات التي قدمها مكتب أمين المظالم، من تاريخ إنشاء المكتب في أيلول/سبتمبر 1988 إلى تشرين الأول/أكتوبر 1999، أنه تلقى وعالج الحالات التالية:</w:t>
      </w:r>
    </w:p>
    <w:p w:rsidR="00000000" w:rsidRDefault="00567B15">
      <w:pPr>
        <w:spacing w:before="180" w:after="180" w:line="380" w:lineRule="exact"/>
        <w:ind w:left="720"/>
        <w:jc w:val="both"/>
        <w:rPr>
          <w:rFonts w:hint="cs"/>
          <w:rtl/>
        </w:rPr>
      </w:pPr>
      <w:r>
        <w:rPr>
          <w:rFonts w:hint="cs"/>
          <w:rtl/>
        </w:rPr>
        <w:t xml:space="preserve">شكاوى تتعلق بانتهاك حقوق الإنسان </w:t>
      </w:r>
      <w:r>
        <w:rPr>
          <w:rFonts w:hint="cs"/>
          <w:rtl/>
        </w:rPr>
        <w:tab/>
        <w:t>160 3</w:t>
      </w:r>
    </w:p>
    <w:p w:rsidR="00000000" w:rsidRDefault="00567B15">
      <w:pPr>
        <w:spacing w:before="180" w:after="180" w:line="380" w:lineRule="exact"/>
        <w:ind w:left="720"/>
        <w:jc w:val="both"/>
        <w:rPr>
          <w:rFonts w:hint="cs"/>
          <w:rtl/>
        </w:rPr>
      </w:pPr>
      <w:r>
        <w:rPr>
          <w:rFonts w:hint="cs"/>
          <w:rtl/>
        </w:rPr>
        <w:t>الحالات المبتوت فيها</w:t>
      </w:r>
      <w:r>
        <w:rPr>
          <w:rFonts w:hint="cs"/>
          <w:rtl/>
        </w:rPr>
        <w:tab/>
      </w:r>
      <w:r>
        <w:rPr>
          <w:rFonts w:hint="cs"/>
          <w:rtl/>
        </w:rPr>
        <w:tab/>
      </w:r>
      <w:r>
        <w:rPr>
          <w:rFonts w:hint="cs"/>
          <w:rtl/>
        </w:rPr>
        <w:tab/>
        <w:t>201 2</w:t>
      </w:r>
    </w:p>
    <w:p w:rsidR="00000000" w:rsidRDefault="00567B15">
      <w:pPr>
        <w:spacing w:line="380" w:lineRule="exact"/>
        <w:ind w:left="720"/>
        <w:jc w:val="both"/>
        <w:rPr>
          <w:rFonts w:hint="cs"/>
          <w:rtl/>
        </w:rPr>
      </w:pPr>
      <w:r>
        <w:rPr>
          <w:rFonts w:hint="cs"/>
          <w:rtl/>
        </w:rPr>
        <w:t>الطلبات الوا</w:t>
      </w:r>
      <w:r>
        <w:rPr>
          <w:rFonts w:hint="cs"/>
          <w:rtl/>
        </w:rPr>
        <w:t>ردة من أجل ما يلي:</w:t>
      </w:r>
    </w:p>
    <w:p w:rsidR="00000000" w:rsidRDefault="00567B15">
      <w:pPr>
        <w:spacing w:before="0" w:after="0" w:line="380" w:lineRule="exact"/>
        <w:ind w:left="1435"/>
        <w:jc w:val="both"/>
        <w:rPr>
          <w:rFonts w:hint="cs"/>
          <w:rtl/>
        </w:rPr>
      </w:pPr>
      <w:r>
        <w:rPr>
          <w:rFonts w:hint="cs"/>
          <w:rtl/>
        </w:rPr>
        <w:t>المثول أمام القضاء</w:t>
      </w:r>
      <w:r>
        <w:rPr>
          <w:rFonts w:hint="cs"/>
          <w:rtl/>
        </w:rPr>
        <w:tab/>
      </w:r>
      <w:r>
        <w:rPr>
          <w:rFonts w:hint="cs"/>
          <w:rtl/>
        </w:rPr>
        <w:tab/>
        <w:t>495</w:t>
      </w:r>
    </w:p>
    <w:p w:rsidR="00000000" w:rsidRDefault="00567B15">
      <w:pPr>
        <w:spacing w:before="0" w:after="0" w:line="380" w:lineRule="exact"/>
        <w:ind w:left="1435"/>
        <w:jc w:val="both"/>
        <w:rPr>
          <w:rFonts w:hint="cs"/>
          <w:rtl/>
        </w:rPr>
      </w:pPr>
      <w:r>
        <w:rPr>
          <w:rFonts w:hint="cs"/>
          <w:rtl/>
        </w:rPr>
        <w:t>عدد الحالات الملبَّاة</w:t>
      </w:r>
      <w:r>
        <w:rPr>
          <w:rFonts w:hint="cs"/>
          <w:rtl/>
        </w:rPr>
        <w:tab/>
      </w:r>
      <w:r>
        <w:rPr>
          <w:rFonts w:hint="cs"/>
          <w:rtl/>
        </w:rPr>
        <w:tab/>
        <w:t>357</w:t>
      </w:r>
    </w:p>
    <w:p w:rsidR="00000000" w:rsidRDefault="00567B15">
      <w:pPr>
        <w:spacing w:before="180" w:after="0" w:line="380" w:lineRule="exact"/>
        <w:ind w:left="1435"/>
        <w:jc w:val="both"/>
        <w:rPr>
          <w:rFonts w:hint="cs"/>
          <w:rtl/>
        </w:rPr>
      </w:pPr>
      <w:r>
        <w:rPr>
          <w:rFonts w:hint="cs"/>
          <w:rtl/>
        </w:rPr>
        <w:t>حق إتاحة المعلومات</w:t>
      </w:r>
      <w:r>
        <w:rPr>
          <w:rFonts w:hint="cs"/>
          <w:rtl/>
        </w:rPr>
        <w:tab/>
      </w:r>
      <w:r>
        <w:rPr>
          <w:rFonts w:hint="cs"/>
          <w:rtl/>
        </w:rPr>
        <w:tab/>
        <w:t>30</w:t>
      </w:r>
    </w:p>
    <w:p w:rsidR="00000000" w:rsidRDefault="00567B15">
      <w:pPr>
        <w:spacing w:before="0" w:after="0" w:line="380" w:lineRule="exact"/>
        <w:ind w:left="1434"/>
        <w:jc w:val="both"/>
        <w:rPr>
          <w:rFonts w:hint="cs"/>
          <w:rtl/>
        </w:rPr>
      </w:pPr>
      <w:r>
        <w:rPr>
          <w:rFonts w:hint="cs"/>
          <w:rtl/>
        </w:rPr>
        <w:t>عدد الحالات الملبَّاة</w:t>
      </w:r>
      <w:r>
        <w:rPr>
          <w:rFonts w:hint="cs"/>
          <w:rtl/>
        </w:rPr>
        <w:tab/>
      </w:r>
      <w:r>
        <w:rPr>
          <w:rFonts w:hint="cs"/>
          <w:rtl/>
        </w:rPr>
        <w:tab/>
        <w:t>26</w:t>
      </w:r>
    </w:p>
    <w:p w:rsidR="00000000" w:rsidRDefault="00567B15">
      <w:pPr>
        <w:spacing w:before="180" w:after="0" w:line="380" w:lineRule="exact"/>
        <w:ind w:left="1435"/>
        <w:jc w:val="both"/>
        <w:rPr>
          <w:rFonts w:hint="cs"/>
          <w:rtl/>
        </w:rPr>
      </w:pPr>
      <w:r>
        <w:rPr>
          <w:rFonts w:hint="cs"/>
          <w:rtl/>
        </w:rPr>
        <w:t>طلبات الحماية الدستورية</w:t>
      </w:r>
      <w:r>
        <w:rPr>
          <w:rFonts w:hint="cs"/>
          <w:rtl/>
        </w:rPr>
        <w:tab/>
      </w:r>
      <w:r>
        <w:rPr>
          <w:rFonts w:hint="cs"/>
          <w:rtl/>
        </w:rPr>
        <w:tab/>
        <w:t>186</w:t>
      </w:r>
    </w:p>
    <w:p w:rsidR="00000000" w:rsidRDefault="00567B15">
      <w:pPr>
        <w:spacing w:before="0" w:after="0" w:line="380" w:lineRule="exact"/>
        <w:ind w:left="1434"/>
        <w:jc w:val="both"/>
        <w:rPr>
          <w:rFonts w:hint="cs"/>
          <w:rtl/>
        </w:rPr>
      </w:pPr>
      <w:r>
        <w:rPr>
          <w:rFonts w:hint="cs"/>
          <w:rtl/>
        </w:rPr>
        <w:t>عدد الحالات الملبَّاة</w:t>
      </w:r>
      <w:r>
        <w:rPr>
          <w:rFonts w:hint="cs"/>
          <w:rtl/>
        </w:rPr>
        <w:tab/>
        <w:t>136</w:t>
      </w:r>
      <w:r>
        <w:rPr>
          <w:rFonts w:hint="cs"/>
          <w:vertAlign w:val="superscript"/>
          <w:rtl/>
        </w:rPr>
        <w:t>(12)</w:t>
      </w:r>
    </w:p>
    <w:p w:rsidR="00000000" w:rsidRDefault="00567B15">
      <w:pPr>
        <w:spacing w:line="380" w:lineRule="exact"/>
        <w:jc w:val="both"/>
        <w:rPr>
          <w:rFonts w:hint="cs"/>
          <w:rtl/>
        </w:rPr>
      </w:pPr>
      <w:r>
        <w:rPr>
          <w:rFonts w:hint="cs"/>
          <w:rtl/>
        </w:rPr>
        <w:t>40-</w:t>
      </w:r>
      <w:r>
        <w:rPr>
          <w:rFonts w:hint="cs"/>
          <w:rtl/>
        </w:rPr>
        <w:tab/>
        <w:t>وكانت معظم الشكاوى المتعلقة بانتهاكات مزعومة لحقوق الإنسان موجهة ضد الشرطة</w:t>
      </w:r>
      <w:r>
        <w:rPr>
          <w:rFonts w:hint="cs"/>
          <w:rtl/>
        </w:rPr>
        <w:t xml:space="preserve"> والقضاء والحكومات الإقليمية وضد مؤسسات عامة وخاصة والقوات المسلحة.</w:t>
      </w:r>
    </w:p>
    <w:p w:rsidR="00000000" w:rsidRDefault="00567B15">
      <w:pPr>
        <w:spacing w:line="380" w:lineRule="exact"/>
        <w:jc w:val="both"/>
        <w:rPr>
          <w:rFonts w:hint="cs"/>
          <w:rtl/>
        </w:rPr>
      </w:pPr>
      <w:r>
        <w:rPr>
          <w:rFonts w:hint="cs"/>
          <w:rtl/>
        </w:rPr>
        <w:t>41-</w:t>
      </w:r>
      <w:r>
        <w:rPr>
          <w:rFonts w:hint="cs"/>
          <w:rtl/>
        </w:rPr>
        <w:tab/>
        <w:t>ولا بد من توعية الناس في إكوادور من أجل تمكينهم من تأكيد حقوقهم كما ينبغي.</w:t>
      </w:r>
    </w:p>
    <w:p w:rsidR="00000000" w:rsidRDefault="00567B15">
      <w:pPr>
        <w:spacing w:line="380" w:lineRule="exact"/>
        <w:jc w:val="center"/>
        <w:rPr>
          <w:rFonts w:hint="cs"/>
          <w:b/>
          <w:bCs/>
          <w:rtl/>
        </w:rPr>
      </w:pPr>
      <w:r>
        <w:rPr>
          <w:rFonts w:hint="cs"/>
          <w:b/>
          <w:bCs/>
          <w:rtl/>
        </w:rPr>
        <w:t>المادة 6</w:t>
      </w:r>
    </w:p>
    <w:p w:rsidR="00000000" w:rsidRDefault="00567B15">
      <w:pPr>
        <w:spacing w:line="380" w:lineRule="exact"/>
        <w:jc w:val="both"/>
        <w:rPr>
          <w:rFonts w:hint="cs"/>
          <w:b/>
          <w:bCs/>
          <w:rtl/>
        </w:rPr>
      </w:pPr>
      <w:r>
        <w:rPr>
          <w:rFonts w:hint="cs"/>
          <w:b/>
          <w:bCs/>
          <w:rtl/>
        </w:rPr>
        <w:t>العمالة والتحديث</w:t>
      </w:r>
    </w:p>
    <w:p w:rsidR="00000000" w:rsidRDefault="00567B15">
      <w:pPr>
        <w:spacing w:line="380" w:lineRule="exact"/>
        <w:jc w:val="both"/>
        <w:rPr>
          <w:rFonts w:hint="cs"/>
          <w:rtl/>
        </w:rPr>
      </w:pPr>
      <w:r>
        <w:rPr>
          <w:rFonts w:hint="cs"/>
          <w:rtl/>
        </w:rPr>
        <w:t>42-</w:t>
      </w:r>
      <w:r>
        <w:rPr>
          <w:rFonts w:hint="cs"/>
          <w:rtl/>
        </w:rPr>
        <w:tab/>
        <w:t>وقَّعت إكوادور، بصفتها عضواً في منظمة العمل الدولية، اتفاقية المنظمة رقم 122 ال</w:t>
      </w:r>
      <w:r>
        <w:rPr>
          <w:rFonts w:hint="cs"/>
          <w:rtl/>
        </w:rPr>
        <w:t>متعلقة بسياسة العمالة، واتفاقية المنظمة رقم 111 المتعلقة بالتفرقة العنصرية في العمالة والمهن، كما قدمت، بصفتها طرفاً في الاتفاقية الدولية للقضاء على جميع أشكال التمييز العنصري واتفاقية القضاء على جميع أشكال التمييز ضد المرأة، تقارير بشأن أحكام المادة 6 إلى</w:t>
      </w:r>
      <w:r>
        <w:rPr>
          <w:rFonts w:hint="cs"/>
          <w:rtl/>
        </w:rPr>
        <w:t xml:space="preserve"> لجان الرصد المختصة.</w:t>
      </w:r>
    </w:p>
    <w:p w:rsidR="00000000" w:rsidRDefault="00567B15">
      <w:pPr>
        <w:spacing w:line="380" w:lineRule="exact"/>
        <w:jc w:val="both"/>
        <w:rPr>
          <w:rFonts w:hint="cs"/>
          <w:rtl/>
        </w:rPr>
      </w:pPr>
      <w:r>
        <w:rPr>
          <w:rFonts w:hint="cs"/>
          <w:rtl/>
        </w:rPr>
        <w:t>43-</w:t>
      </w:r>
      <w:r>
        <w:rPr>
          <w:rFonts w:hint="cs"/>
          <w:rtl/>
        </w:rPr>
        <w:tab/>
        <w:t>وتنص المادة 35، الفرع 2، الفصل 4 من الدستور الجديد على أن "العمل حق وواجب اجتماعي. ويتمتع العمل بحماية الدولة التي تكفل للعاملين كرامتهم ومستوى معيشياً لائقاً وأجراً عادلاً يلبي احتياجاتهم واحتياجات أسرهم".</w:t>
      </w:r>
    </w:p>
    <w:p w:rsidR="00000000" w:rsidRDefault="00567B15">
      <w:pPr>
        <w:spacing w:line="380" w:lineRule="exact"/>
        <w:jc w:val="both"/>
        <w:rPr>
          <w:rFonts w:hint="cs"/>
          <w:rtl/>
        </w:rPr>
      </w:pPr>
      <w:r>
        <w:rPr>
          <w:rFonts w:hint="cs"/>
          <w:rtl/>
        </w:rPr>
        <w:t>44-</w:t>
      </w:r>
      <w:r>
        <w:rPr>
          <w:rFonts w:hint="cs"/>
          <w:rtl/>
        </w:rPr>
        <w:tab/>
        <w:t>وتضع المادة 1 من قان</w:t>
      </w:r>
      <w:r>
        <w:rPr>
          <w:rFonts w:hint="cs"/>
          <w:rtl/>
        </w:rPr>
        <w:t>ون العمل الإطار والمبادئ الناظمة للعلاقات بين أرباب العمل والعاملين في مختلف أشكال وشروط العمل، وتتضمن معايير العمل الواردة في تشريعات محددة أو في اتفاقيات دولية.</w:t>
      </w:r>
    </w:p>
    <w:p w:rsidR="00000000" w:rsidRDefault="00567B15">
      <w:pPr>
        <w:spacing w:line="380" w:lineRule="exact"/>
        <w:jc w:val="both"/>
        <w:rPr>
          <w:rFonts w:hint="cs"/>
          <w:rtl/>
        </w:rPr>
      </w:pPr>
      <w:r>
        <w:rPr>
          <w:rFonts w:hint="cs"/>
          <w:rtl/>
        </w:rPr>
        <w:t>45-</w:t>
      </w:r>
      <w:r>
        <w:rPr>
          <w:rFonts w:hint="cs"/>
          <w:rtl/>
        </w:rPr>
        <w:tab/>
        <w:t xml:space="preserve">وتنص تشريعات إكوادور على حرية العمل والتعاقد. فالمادة 3 من قانون العمل تعزز حق العامل في </w:t>
      </w:r>
      <w:r>
        <w:rPr>
          <w:rFonts w:hint="cs"/>
          <w:rtl/>
        </w:rPr>
        <w:t>حرية اختيار العمل المشروع الذي يود تكريس جهوده لأجله، وتوجب أن يكون كل عمل مأجوراً.</w:t>
      </w:r>
    </w:p>
    <w:p w:rsidR="00000000" w:rsidRDefault="00567B15">
      <w:pPr>
        <w:spacing w:line="380" w:lineRule="exact"/>
        <w:jc w:val="both"/>
        <w:rPr>
          <w:rFonts w:hint="cs"/>
          <w:rtl/>
        </w:rPr>
      </w:pPr>
      <w:r>
        <w:rPr>
          <w:rFonts w:hint="cs"/>
          <w:rtl/>
        </w:rPr>
        <w:t>46-</w:t>
      </w:r>
      <w:r>
        <w:rPr>
          <w:rFonts w:hint="cs"/>
          <w:rtl/>
        </w:rPr>
        <w:tab/>
        <w:t>أما قانون حماية عمل المرأة، الذي نُشر في العدد 124 من الجريدة الرسمية الصادر في 6 شباط/فبراير 1997، والذي يعدِّل قانون العمل، فينص على تخصيص حصة من الوظائف للنساء لا تق</w:t>
      </w:r>
      <w:r>
        <w:rPr>
          <w:rFonts w:hint="cs"/>
          <w:rtl/>
        </w:rPr>
        <w:t>ل عن نسبة تحددها اللجان القطاعية التابعة لوزارة العمل. ويعدِّل القانون أيضاً قانون (تنظيم) القضاء بهدف خفض التمييز ضد المرأة، وينص على تخصيص ما لا يقل عن 20 في المائة من وظائف قضاة المحكمة العليا وكتَّاب العدل وأُمناء السجل وغيرهم من الموظفين للنساء.</w:t>
      </w:r>
    </w:p>
    <w:p w:rsidR="00000000" w:rsidRDefault="00567B15">
      <w:pPr>
        <w:spacing w:line="380" w:lineRule="exact"/>
        <w:jc w:val="both"/>
        <w:rPr>
          <w:rFonts w:hint="cs"/>
          <w:rtl/>
        </w:rPr>
      </w:pPr>
      <w:r>
        <w:rPr>
          <w:rFonts w:hint="cs"/>
          <w:rtl/>
        </w:rPr>
        <w:t>47-</w:t>
      </w:r>
      <w:r>
        <w:rPr>
          <w:rFonts w:hint="cs"/>
          <w:rtl/>
        </w:rPr>
        <w:tab/>
        <w:t>و</w:t>
      </w:r>
      <w:r>
        <w:rPr>
          <w:rFonts w:hint="cs"/>
          <w:rtl/>
        </w:rPr>
        <w:t xml:space="preserve">وفقاً للمادة 4 من القانون، يجوز للنساء العاملات في القطاع الخاص تقديم شكاوى بشأن تطبيق القانون إلى مفتش العمل أو نائبه. </w:t>
      </w:r>
    </w:p>
    <w:p w:rsidR="00000000" w:rsidRDefault="00567B15">
      <w:pPr>
        <w:spacing w:line="380" w:lineRule="exact"/>
        <w:jc w:val="both"/>
        <w:rPr>
          <w:rFonts w:hint="cs"/>
          <w:b/>
          <w:bCs/>
          <w:rtl/>
        </w:rPr>
      </w:pPr>
      <w:r>
        <w:rPr>
          <w:rFonts w:hint="cs"/>
          <w:b/>
          <w:bCs/>
          <w:rtl/>
        </w:rPr>
        <w:t>سياسة العمالة</w:t>
      </w:r>
    </w:p>
    <w:p w:rsidR="00000000" w:rsidRDefault="00567B15">
      <w:pPr>
        <w:spacing w:line="380" w:lineRule="exact"/>
        <w:jc w:val="both"/>
        <w:rPr>
          <w:rFonts w:hint="cs"/>
          <w:rtl/>
        </w:rPr>
      </w:pPr>
      <w:r>
        <w:rPr>
          <w:rFonts w:hint="cs"/>
          <w:rtl/>
        </w:rPr>
        <w:t>48-</w:t>
      </w:r>
      <w:r>
        <w:rPr>
          <w:rFonts w:hint="cs"/>
          <w:rtl/>
        </w:rPr>
        <w:tab/>
        <w:t>أدت المشاكل الناجمة عن الأزمة الاقتصادية التي يمر بها البلد إلى تردي الحالة الاجتماعية وزيادة الفقر والفوارق الاجتماع</w:t>
      </w:r>
      <w:r>
        <w:rPr>
          <w:rFonts w:hint="cs"/>
          <w:rtl/>
        </w:rPr>
        <w:t>ية. ويعد أكثر من 78.5 في المائة من سكان إكوادور فقراء، و46.2 في المائة معدمين، بمعنى أن أسرهم عاجزة عن تلبية احتياجاته الغذائية الدنيا. وفي السنوات الأخيرة ، ازداد عدد الأسر التي يقل دخلها عن خط الفقر، وثبت أن هذه المشكلة تمثل عائقاً رئيسياً أمام التنمية ا</w:t>
      </w:r>
      <w:r>
        <w:rPr>
          <w:rFonts w:hint="cs"/>
          <w:rtl/>
        </w:rPr>
        <w:t>لاقتصادية.</w:t>
      </w:r>
    </w:p>
    <w:p w:rsidR="00000000" w:rsidRDefault="00567B15">
      <w:pPr>
        <w:spacing w:line="380" w:lineRule="exact"/>
        <w:jc w:val="both"/>
        <w:rPr>
          <w:rFonts w:hint="cs"/>
          <w:spacing w:val="2"/>
          <w:rtl/>
        </w:rPr>
      </w:pPr>
      <w:r>
        <w:rPr>
          <w:rFonts w:hint="cs"/>
          <w:spacing w:val="2"/>
          <w:rtl/>
        </w:rPr>
        <w:t>49-</w:t>
      </w:r>
      <w:r>
        <w:rPr>
          <w:rFonts w:hint="cs"/>
          <w:spacing w:val="2"/>
          <w:rtl/>
        </w:rPr>
        <w:tab/>
        <w:t>ويعاني سكان الأرياف، ولا سيما السكان الأصليون والسود، تركة الماضي من تهميش وإقصاء اجتماعي. وتتمثل مشكلاتهم الرئيسية في ضيق فرص الحصول على الأرض وتركُّز ملكية الأراضي في أيدي قلة من الملاّكين، وهي حالة ظلت قائمة لأن قانوني الإصلاح الزراعي لعا</w:t>
      </w:r>
      <w:r>
        <w:rPr>
          <w:rFonts w:hint="cs"/>
          <w:spacing w:val="2"/>
          <w:rtl/>
        </w:rPr>
        <w:t>م 1964 و1973 لم يكن لهما أثر كبير في توزيع الأراضي.</w:t>
      </w:r>
    </w:p>
    <w:p w:rsidR="00000000" w:rsidRDefault="00567B15">
      <w:pPr>
        <w:spacing w:line="380" w:lineRule="exact"/>
        <w:jc w:val="both"/>
        <w:rPr>
          <w:rFonts w:hint="cs"/>
          <w:rtl/>
        </w:rPr>
      </w:pPr>
      <w:r>
        <w:rPr>
          <w:rFonts w:hint="cs"/>
          <w:rtl/>
        </w:rPr>
        <w:t>50-</w:t>
      </w:r>
      <w:r>
        <w:rPr>
          <w:rFonts w:hint="cs"/>
          <w:rtl/>
        </w:rPr>
        <w:tab/>
        <w:t>وليس أمام سكان الأرياف سوى خيار ضئيل في العمل الزراعي: فأغلبية العاملين يعانون من البطالة الجزئية وارتفاع معدلات الأمية وتدني مستويات التعليم، ويعيشون في ظروف مهمشة لا تتوافر فيها سوى خدمات أساسية قلي</w:t>
      </w:r>
      <w:r>
        <w:rPr>
          <w:rFonts w:hint="cs"/>
          <w:rtl/>
        </w:rPr>
        <w:t>لة. ويتجلى هذا في مزاولتهم مهناً متدنية الإنتاجية للغاية وفي تدني الدخل الذي تعود به المُلكيات الصغيرة التي لا تسمح إلا بمعيشة الكفاف. وفضلاً عن اتباع طرائق تقليدية وهامشية في العمل الزراعي على أراضٍ غير مروية تقع في حالات كثيرة على سفوح الهضاب حيث تتعرض ل</w:t>
      </w:r>
      <w:r>
        <w:rPr>
          <w:rFonts w:hint="cs"/>
          <w:rtl/>
        </w:rPr>
        <w:t>عوامل التعرية، حمل نقص الائتمان والمساعدة الفنية الناس على النـزوح من القرى إلى المدن الكبيرة، ولا سيما كيتو وغواياكيل، حيث يشكِّلون "أحزمة فقر حضرية" أو أحياء بائسة على أطراف المدن؛ وفي كثير من المدن التي تعاني مشاكل من هذا القبيل لم يتم بعد تسوية الوضع ا</w:t>
      </w:r>
      <w:r>
        <w:rPr>
          <w:rFonts w:hint="cs"/>
          <w:rtl/>
        </w:rPr>
        <w:t>لقانوني لهذه المستوطنات.</w:t>
      </w:r>
    </w:p>
    <w:p w:rsidR="00000000" w:rsidRDefault="00567B15">
      <w:pPr>
        <w:spacing w:line="380" w:lineRule="exact"/>
        <w:jc w:val="both"/>
        <w:rPr>
          <w:rFonts w:hint="cs"/>
          <w:rtl/>
        </w:rPr>
      </w:pPr>
      <w:r>
        <w:rPr>
          <w:rFonts w:hint="cs"/>
          <w:rtl/>
        </w:rPr>
        <w:t>51-</w:t>
      </w:r>
      <w:r>
        <w:rPr>
          <w:rFonts w:hint="cs"/>
          <w:rtl/>
        </w:rPr>
        <w:tab/>
        <w:t>وبلغ مجموع سكان الأرياف 695 384 4 نسمة في عام 1990 كان 49 في المائة منهم نساءً و51 في المائة رجالاً. وتشكل نسبة العاملين منهم 96 في المائة، نسبة الرجال منهم 64.8 في المائة ونسبة النساء منهم 35.2 في المائة. وبلغ معدل البطالة 4 ف</w:t>
      </w:r>
      <w:r>
        <w:rPr>
          <w:rFonts w:hint="cs"/>
          <w:rtl/>
        </w:rPr>
        <w:t>ي المائة، وتصل نسبة السكان غير النشطين اقتصادياً إلى 36.9 في المائة من مجموع السكان الذين هم في سن العمل.</w:t>
      </w:r>
    </w:p>
    <w:p w:rsidR="00000000" w:rsidRDefault="00567B15">
      <w:pPr>
        <w:spacing w:line="380" w:lineRule="exact"/>
        <w:jc w:val="both"/>
        <w:rPr>
          <w:rFonts w:hint="cs"/>
          <w:spacing w:val="0"/>
          <w:rtl/>
        </w:rPr>
      </w:pPr>
      <w:r>
        <w:rPr>
          <w:rFonts w:hint="cs"/>
          <w:spacing w:val="0"/>
          <w:rtl/>
        </w:rPr>
        <w:t>52-</w:t>
      </w:r>
      <w:r>
        <w:rPr>
          <w:rFonts w:hint="cs"/>
          <w:spacing w:val="0"/>
          <w:rtl/>
        </w:rPr>
        <w:tab/>
        <w:t xml:space="preserve">وفيما يلي توزيع العاملين في القطاع الريفي من الاقتصاد: 14.1 في المائة يعملون في القطاع الحديث، </w:t>
      </w:r>
      <w:r>
        <w:rPr>
          <w:spacing w:val="0"/>
          <w:rtl/>
        </w:rPr>
        <w:br/>
      </w:r>
      <w:r>
        <w:rPr>
          <w:rFonts w:hint="cs"/>
          <w:spacing w:val="0"/>
          <w:rtl/>
        </w:rPr>
        <w:t>و85 في المائة يعملون في القطاع التقليدي، و0.9 في ا</w:t>
      </w:r>
      <w:r>
        <w:rPr>
          <w:rFonts w:hint="cs"/>
          <w:spacing w:val="0"/>
          <w:rtl/>
        </w:rPr>
        <w:t>لمائة يعملون في الخدمة المنزلية. ويبين توزيع العاملين بحسب النشاط أن 65 في المائة يعملون في الزراعة و10.2 في المائة في الصناعة التحويلية و10 في المائة يعملون في التجارة والمطاعم.</w:t>
      </w:r>
    </w:p>
    <w:p w:rsidR="00000000" w:rsidRDefault="00567B15">
      <w:pPr>
        <w:spacing w:line="380" w:lineRule="exact"/>
        <w:jc w:val="both"/>
        <w:rPr>
          <w:rFonts w:hint="cs"/>
          <w:rtl/>
        </w:rPr>
      </w:pPr>
      <w:r>
        <w:rPr>
          <w:rFonts w:hint="cs"/>
          <w:rtl/>
        </w:rPr>
        <w:t>53-</w:t>
      </w:r>
      <w:r>
        <w:rPr>
          <w:rFonts w:hint="cs"/>
          <w:rtl/>
        </w:rPr>
        <w:tab/>
        <w:t>وتبلغ نسبة البطالة في القطاع الريفي 4 في المائة وتبلغ نسبة النساء من مجمو</w:t>
      </w:r>
      <w:r>
        <w:rPr>
          <w:rFonts w:hint="cs"/>
          <w:rtl/>
        </w:rPr>
        <w:t>ع العاطلين عن العمل 62 في المائة بينما تبلغ نسبة الرجال 37 في المائة. وتزيد نسبة البطالة في المناطق الحضرية عنها في المناطق الريفية.</w:t>
      </w:r>
    </w:p>
    <w:p w:rsidR="00000000" w:rsidRDefault="00567B15">
      <w:pPr>
        <w:jc w:val="center"/>
        <w:rPr>
          <w:rFonts w:hint="cs"/>
          <w:b/>
          <w:bCs/>
          <w:rtl/>
        </w:rPr>
      </w:pPr>
      <w:r>
        <w:rPr>
          <w:rFonts w:hint="cs"/>
          <w:b/>
          <w:bCs/>
          <w:rtl/>
        </w:rPr>
        <w:t>مجموع سكان الأرياف في عام 1990</w:t>
      </w:r>
    </w:p>
    <w:tbl>
      <w:tblPr>
        <w:bidiVisual/>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5"/>
        <w:gridCol w:w="2160"/>
        <w:gridCol w:w="2130"/>
      </w:tblGrid>
      <w:tr w:rsidR="00567B15" w:rsidTr="00567B15">
        <w:tblPrEx>
          <w:tblCellMar>
            <w:top w:w="0" w:type="dxa"/>
            <w:bottom w:w="0" w:type="dxa"/>
          </w:tblCellMar>
        </w:tblPrEx>
        <w:tc>
          <w:tcPr>
            <w:tcW w:w="5005" w:type="dxa"/>
            <w:tcBorders>
              <w:bottom w:val="single" w:sz="4" w:space="0" w:color="auto"/>
            </w:tcBorders>
          </w:tcPr>
          <w:p w:rsidR="00567B15" w:rsidRDefault="00567B15">
            <w:pPr>
              <w:spacing w:before="0" w:after="0"/>
              <w:jc w:val="both"/>
              <w:rPr>
                <w:rStyle w:val="FootnoteReference"/>
                <w:rFonts w:hint="cs"/>
                <w:bCs w:val="0"/>
                <w:szCs w:val="26"/>
                <w:vertAlign w:val="baseline"/>
              </w:rPr>
            </w:pPr>
          </w:p>
        </w:tc>
        <w:tc>
          <w:tcPr>
            <w:tcW w:w="2160" w:type="dxa"/>
            <w:tcBorders>
              <w:bottom w:val="single" w:sz="4"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المجموع</w:t>
            </w:r>
          </w:p>
        </w:tc>
        <w:tc>
          <w:tcPr>
            <w:tcW w:w="2130" w:type="dxa"/>
            <w:tcBorders>
              <w:bottom w:val="single" w:sz="4"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النسبة المئوية</w:t>
            </w:r>
          </w:p>
        </w:tc>
      </w:tr>
      <w:tr w:rsidR="00567B15" w:rsidTr="00567B15">
        <w:tblPrEx>
          <w:tblCellMar>
            <w:top w:w="0" w:type="dxa"/>
            <w:bottom w:w="0" w:type="dxa"/>
          </w:tblCellMar>
        </w:tblPrEx>
        <w:tc>
          <w:tcPr>
            <w:tcW w:w="5005" w:type="dxa"/>
            <w:tcBorders>
              <w:bottom w:val="nil"/>
            </w:tcBorders>
          </w:tcPr>
          <w:p w:rsidR="00567B15" w:rsidRDefault="00567B15">
            <w:pPr>
              <w:spacing w:before="0" w:after="0"/>
              <w:jc w:val="both"/>
              <w:rPr>
                <w:rStyle w:val="FootnoteReference"/>
                <w:rFonts w:hint="cs"/>
                <w:bCs w:val="0"/>
                <w:szCs w:val="26"/>
                <w:vertAlign w:val="baseline"/>
              </w:rPr>
            </w:pPr>
            <w:r>
              <w:rPr>
                <w:rFonts w:hint="cs"/>
                <w:szCs w:val="26"/>
                <w:rtl/>
              </w:rPr>
              <w:t>مجموع السكان</w:t>
            </w:r>
          </w:p>
        </w:tc>
        <w:tc>
          <w:tcPr>
            <w:tcW w:w="2160" w:type="dxa"/>
            <w:tcBorders>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695 384 4</w:t>
            </w:r>
          </w:p>
        </w:tc>
        <w:tc>
          <w:tcPr>
            <w:tcW w:w="2130" w:type="dxa"/>
            <w:tcBorders>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100</w:t>
            </w:r>
          </w:p>
        </w:tc>
      </w:tr>
      <w:tr w:rsidR="00567B15" w:rsidTr="00567B15">
        <w:tblPrEx>
          <w:tblCellMar>
            <w:top w:w="0" w:type="dxa"/>
            <w:bottom w:w="0" w:type="dxa"/>
          </w:tblCellMar>
        </w:tblPrEx>
        <w:tc>
          <w:tcPr>
            <w:tcW w:w="5005" w:type="dxa"/>
            <w:tcBorders>
              <w:top w:val="nil"/>
              <w:bottom w:val="nil"/>
            </w:tcBorders>
          </w:tcPr>
          <w:p w:rsidR="00567B15" w:rsidRDefault="00567B15">
            <w:pPr>
              <w:spacing w:before="0" w:after="0"/>
              <w:ind w:left="354"/>
              <w:jc w:val="both"/>
              <w:rPr>
                <w:rFonts w:hint="cs"/>
                <w:szCs w:val="26"/>
                <w:rtl/>
              </w:rPr>
            </w:pPr>
            <w:r>
              <w:rPr>
                <w:rFonts w:hint="cs"/>
                <w:szCs w:val="26"/>
                <w:rtl/>
              </w:rPr>
              <w:t>السكان المتراوحة أعمارهم بين صفر و10 سنوات</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387 235 1</w:t>
            </w:r>
          </w:p>
        </w:tc>
        <w:tc>
          <w:tcPr>
            <w:tcW w:w="213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28.20</w:t>
            </w:r>
          </w:p>
        </w:tc>
      </w:tr>
      <w:tr w:rsidR="00567B15" w:rsidTr="00567B15">
        <w:tblPrEx>
          <w:tblCellMar>
            <w:top w:w="0" w:type="dxa"/>
            <w:bottom w:w="0" w:type="dxa"/>
          </w:tblCellMar>
        </w:tblPrEx>
        <w:tc>
          <w:tcPr>
            <w:tcW w:w="5005" w:type="dxa"/>
            <w:tcBorders>
              <w:top w:val="nil"/>
              <w:bottom w:val="nil"/>
            </w:tcBorders>
          </w:tcPr>
          <w:p w:rsidR="00567B15" w:rsidRDefault="00567B15">
            <w:pPr>
              <w:spacing w:before="0" w:after="0"/>
              <w:ind w:left="354"/>
              <w:jc w:val="both"/>
              <w:rPr>
                <w:rFonts w:hint="cs"/>
                <w:szCs w:val="26"/>
                <w:rtl/>
              </w:rPr>
            </w:pPr>
            <w:r>
              <w:rPr>
                <w:rFonts w:hint="cs"/>
                <w:szCs w:val="26"/>
                <w:rtl/>
              </w:rPr>
              <w:t>السكان في سن العمل</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308 149 3</w:t>
            </w:r>
          </w:p>
        </w:tc>
        <w:tc>
          <w:tcPr>
            <w:tcW w:w="213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71.80</w:t>
            </w:r>
          </w:p>
        </w:tc>
      </w:tr>
      <w:tr w:rsidR="00567B15" w:rsidTr="00567B15">
        <w:tblPrEx>
          <w:tblCellMar>
            <w:top w:w="0" w:type="dxa"/>
            <w:bottom w:w="0" w:type="dxa"/>
          </w:tblCellMar>
        </w:tblPrEx>
        <w:tc>
          <w:tcPr>
            <w:tcW w:w="5005" w:type="dxa"/>
            <w:tcBorders>
              <w:top w:val="nil"/>
              <w:bottom w:val="nil"/>
            </w:tcBorders>
          </w:tcPr>
          <w:p w:rsidR="00567B15" w:rsidRDefault="00567B15">
            <w:pPr>
              <w:spacing w:before="0" w:after="0"/>
              <w:ind w:left="354"/>
              <w:jc w:val="both"/>
              <w:rPr>
                <w:rFonts w:hint="cs"/>
                <w:szCs w:val="26"/>
                <w:rtl/>
              </w:rPr>
            </w:pPr>
            <w:r>
              <w:rPr>
                <w:rFonts w:hint="cs"/>
                <w:szCs w:val="26"/>
                <w:rtl/>
              </w:rPr>
              <w:t>السكان النشطون اقتصادياً</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435 986 1</w:t>
            </w:r>
          </w:p>
        </w:tc>
        <w:tc>
          <w:tcPr>
            <w:tcW w:w="213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63.10</w:t>
            </w:r>
          </w:p>
        </w:tc>
      </w:tr>
      <w:tr w:rsidR="00567B15" w:rsidTr="00567B15">
        <w:tblPrEx>
          <w:tblCellMar>
            <w:top w:w="0" w:type="dxa"/>
            <w:bottom w:w="0" w:type="dxa"/>
          </w:tblCellMar>
        </w:tblPrEx>
        <w:tc>
          <w:tcPr>
            <w:tcW w:w="5005" w:type="dxa"/>
            <w:tcBorders>
              <w:top w:val="nil"/>
              <w:bottom w:val="nil"/>
            </w:tcBorders>
          </w:tcPr>
          <w:p w:rsidR="00567B15" w:rsidRDefault="00567B15">
            <w:pPr>
              <w:spacing w:before="0" w:after="0"/>
              <w:jc w:val="both"/>
              <w:rPr>
                <w:rFonts w:hint="cs"/>
                <w:szCs w:val="26"/>
                <w:rtl/>
              </w:rPr>
            </w:pPr>
            <w:r>
              <w:rPr>
                <w:rFonts w:hint="cs"/>
                <w:szCs w:val="26"/>
                <w:rtl/>
              </w:rPr>
              <w:t>العاطلون عن العمل</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563 79</w:t>
            </w:r>
          </w:p>
        </w:tc>
        <w:tc>
          <w:tcPr>
            <w:tcW w:w="2130" w:type="dxa"/>
            <w:tcBorders>
              <w:top w:val="nil"/>
              <w:bottom w:val="nil"/>
            </w:tcBorders>
          </w:tcPr>
          <w:p w:rsidR="00567B15" w:rsidRDefault="00567B15">
            <w:pPr>
              <w:spacing w:before="0" w:after="0"/>
              <w:ind w:left="972"/>
              <w:jc w:val="both"/>
              <w:rPr>
                <w:rStyle w:val="FootnoteReference"/>
                <w:rFonts w:hint="cs"/>
                <w:bCs w:val="0"/>
                <w:szCs w:val="26"/>
                <w:vertAlign w:val="baseline"/>
              </w:rPr>
            </w:pPr>
            <w:r>
              <w:rPr>
                <w:rFonts w:hint="cs"/>
                <w:szCs w:val="26"/>
                <w:rtl/>
              </w:rPr>
              <w:t>4</w:t>
            </w:r>
          </w:p>
        </w:tc>
      </w:tr>
      <w:tr w:rsidR="00567B15" w:rsidTr="00567B15">
        <w:tblPrEx>
          <w:tblCellMar>
            <w:top w:w="0" w:type="dxa"/>
            <w:bottom w:w="0" w:type="dxa"/>
          </w:tblCellMar>
        </w:tblPrEx>
        <w:tc>
          <w:tcPr>
            <w:tcW w:w="5005" w:type="dxa"/>
            <w:tcBorders>
              <w:top w:val="nil"/>
              <w:bottom w:val="nil"/>
            </w:tcBorders>
          </w:tcPr>
          <w:p w:rsidR="00567B15" w:rsidRDefault="00567B15">
            <w:pPr>
              <w:spacing w:before="0" w:after="0"/>
              <w:jc w:val="both"/>
              <w:rPr>
                <w:rFonts w:hint="cs"/>
                <w:szCs w:val="26"/>
                <w:rtl/>
              </w:rPr>
            </w:pPr>
            <w:r>
              <w:rPr>
                <w:rFonts w:hint="cs"/>
                <w:szCs w:val="26"/>
                <w:rtl/>
              </w:rPr>
              <w:t>مجموع العاملين</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872 906 1</w:t>
            </w:r>
          </w:p>
        </w:tc>
        <w:tc>
          <w:tcPr>
            <w:tcW w:w="2130" w:type="dxa"/>
            <w:tcBorders>
              <w:top w:val="nil"/>
              <w:bottom w:val="nil"/>
            </w:tcBorders>
          </w:tcPr>
          <w:p w:rsidR="00567B15" w:rsidRDefault="00567B15">
            <w:pPr>
              <w:spacing w:before="0" w:after="0"/>
              <w:ind w:left="972"/>
              <w:jc w:val="both"/>
              <w:rPr>
                <w:rStyle w:val="FootnoteReference"/>
                <w:rFonts w:hint="cs"/>
                <w:bCs w:val="0"/>
                <w:szCs w:val="26"/>
                <w:vertAlign w:val="baseline"/>
              </w:rPr>
            </w:pPr>
            <w:r>
              <w:rPr>
                <w:rFonts w:hint="cs"/>
                <w:szCs w:val="26"/>
                <w:rtl/>
              </w:rPr>
              <w:t>100</w:t>
            </w:r>
          </w:p>
        </w:tc>
      </w:tr>
      <w:tr w:rsidR="00567B15" w:rsidTr="00567B15">
        <w:tblPrEx>
          <w:tblCellMar>
            <w:top w:w="0" w:type="dxa"/>
            <w:bottom w:w="0" w:type="dxa"/>
          </w:tblCellMar>
        </w:tblPrEx>
        <w:tc>
          <w:tcPr>
            <w:tcW w:w="5005" w:type="dxa"/>
            <w:tcBorders>
              <w:top w:val="nil"/>
              <w:bottom w:val="nil"/>
            </w:tcBorders>
          </w:tcPr>
          <w:p w:rsidR="00567B15" w:rsidRDefault="00567B15">
            <w:pPr>
              <w:tabs>
                <w:tab w:val="left" w:pos="354"/>
              </w:tabs>
              <w:spacing w:before="0" w:after="0"/>
              <w:jc w:val="both"/>
              <w:rPr>
                <w:rFonts w:hint="cs"/>
                <w:szCs w:val="26"/>
                <w:rtl/>
              </w:rPr>
            </w:pPr>
            <w:r>
              <w:rPr>
                <w:szCs w:val="26"/>
                <w:rtl/>
              </w:rPr>
              <w:tab/>
            </w:r>
            <w:r>
              <w:rPr>
                <w:rFonts w:hint="cs"/>
                <w:szCs w:val="26"/>
                <w:rtl/>
              </w:rPr>
              <w:t>القطاع الحديث</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122 268</w:t>
            </w:r>
          </w:p>
        </w:tc>
        <w:tc>
          <w:tcPr>
            <w:tcW w:w="213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14.10</w:t>
            </w:r>
          </w:p>
        </w:tc>
      </w:tr>
      <w:tr w:rsidR="00567B15" w:rsidTr="00567B15">
        <w:tblPrEx>
          <w:tblCellMar>
            <w:top w:w="0" w:type="dxa"/>
            <w:bottom w:w="0" w:type="dxa"/>
          </w:tblCellMar>
        </w:tblPrEx>
        <w:tc>
          <w:tcPr>
            <w:tcW w:w="5005" w:type="dxa"/>
            <w:tcBorders>
              <w:top w:val="nil"/>
              <w:bottom w:val="nil"/>
            </w:tcBorders>
          </w:tcPr>
          <w:p w:rsidR="00567B15" w:rsidRDefault="00567B15">
            <w:pPr>
              <w:tabs>
                <w:tab w:val="left" w:pos="354"/>
              </w:tabs>
              <w:spacing w:before="0" w:after="0"/>
              <w:jc w:val="both"/>
              <w:rPr>
                <w:rFonts w:hint="cs"/>
                <w:szCs w:val="26"/>
                <w:rtl/>
              </w:rPr>
            </w:pPr>
            <w:r>
              <w:rPr>
                <w:szCs w:val="26"/>
                <w:rtl/>
              </w:rPr>
              <w:tab/>
            </w:r>
            <w:r>
              <w:rPr>
                <w:rFonts w:hint="cs"/>
                <w:szCs w:val="26"/>
                <w:rtl/>
              </w:rPr>
              <w:t>القطاع التقليدي</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361 621 1</w:t>
            </w:r>
          </w:p>
        </w:tc>
        <w:tc>
          <w:tcPr>
            <w:tcW w:w="2130" w:type="dxa"/>
            <w:tcBorders>
              <w:top w:val="nil"/>
              <w:bottom w:val="nil"/>
            </w:tcBorders>
          </w:tcPr>
          <w:p w:rsidR="00567B15" w:rsidRDefault="00567B15">
            <w:pPr>
              <w:spacing w:before="0" w:after="0"/>
              <w:ind w:left="612" w:firstLine="360"/>
              <w:jc w:val="both"/>
              <w:rPr>
                <w:rStyle w:val="FootnoteReference"/>
                <w:rFonts w:hint="cs"/>
                <w:bCs w:val="0"/>
                <w:szCs w:val="26"/>
                <w:vertAlign w:val="baseline"/>
              </w:rPr>
            </w:pPr>
            <w:r>
              <w:rPr>
                <w:rFonts w:hint="cs"/>
                <w:szCs w:val="26"/>
                <w:rtl/>
              </w:rPr>
              <w:t>85</w:t>
            </w:r>
          </w:p>
        </w:tc>
      </w:tr>
      <w:tr w:rsidR="00567B15" w:rsidTr="00567B15">
        <w:tblPrEx>
          <w:tblCellMar>
            <w:top w:w="0" w:type="dxa"/>
            <w:bottom w:w="0" w:type="dxa"/>
          </w:tblCellMar>
        </w:tblPrEx>
        <w:tc>
          <w:tcPr>
            <w:tcW w:w="5005" w:type="dxa"/>
            <w:tcBorders>
              <w:top w:val="nil"/>
              <w:bottom w:val="nil"/>
            </w:tcBorders>
          </w:tcPr>
          <w:p w:rsidR="00567B15" w:rsidRDefault="00567B15">
            <w:pPr>
              <w:tabs>
                <w:tab w:val="left" w:pos="354"/>
              </w:tabs>
              <w:spacing w:before="0" w:after="0"/>
              <w:jc w:val="both"/>
              <w:rPr>
                <w:rFonts w:hint="cs"/>
                <w:szCs w:val="26"/>
                <w:rtl/>
              </w:rPr>
            </w:pPr>
            <w:r>
              <w:rPr>
                <w:szCs w:val="26"/>
                <w:rtl/>
              </w:rPr>
              <w:tab/>
            </w:r>
            <w:r>
              <w:rPr>
                <w:rFonts w:hint="cs"/>
                <w:szCs w:val="26"/>
                <w:rtl/>
              </w:rPr>
              <w:t>الخدمة المنزلية</w:t>
            </w:r>
          </w:p>
        </w:tc>
        <w:tc>
          <w:tcPr>
            <w:tcW w:w="216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389 17</w:t>
            </w:r>
          </w:p>
        </w:tc>
        <w:tc>
          <w:tcPr>
            <w:tcW w:w="2130" w:type="dxa"/>
            <w:tcBorders>
              <w:top w:val="nil"/>
              <w:bottom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0.91</w:t>
            </w:r>
          </w:p>
        </w:tc>
      </w:tr>
      <w:tr w:rsidR="00567B15" w:rsidTr="00567B15">
        <w:tblPrEx>
          <w:tblCellMar>
            <w:top w:w="0" w:type="dxa"/>
            <w:bottom w:w="0" w:type="dxa"/>
          </w:tblCellMar>
        </w:tblPrEx>
        <w:tc>
          <w:tcPr>
            <w:tcW w:w="5005" w:type="dxa"/>
            <w:tcBorders>
              <w:top w:val="nil"/>
            </w:tcBorders>
          </w:tcPr>
          <w:p w:rsidR="00567B15" w:rsidRDefault="00567B15">
            <w:pPr>
              <w:spacing w:before="0" w:after="0"/>
              <w:jc w:val="both"/>
              <w:rPr>
                <w:rFonts w:hint="cs"/>
                <w:szCs w:val="26"/>
                <w:rtl/>
              </w:rPr>
            </w:pPr>
            <w:r>
              <w:rPr>
                <w:rFonts w:hint="cs"/>
                <w:szCs w:val="26"/>
                <w:rtl/>
              </w:rPr>
              <w:t>السكان غير النشطين اقتصادياً</w:t>
            </w:r>
          </w:p>
        </w:tc>
        <w:tc>
          <w:tcPr>
            <w:tcW w:w="2160" w:type="dxa"/>
            <w:tcBorders>
              <w:top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873 162 1</w:t>
            </w:r>
          </w:p>
        </w:tc>
        <w:tc>
          <w:tcPr>
            <w:tcW w:w="2130" w:type="dxa"/>
            <w:tcBorders>
              <w:top w:val="nil"/>
            </w:tcBorders>
          </w:tcPr>
          <w:p w:rsidR="00567B15" w:rsidRDefault="00567B15">
            <w:pPr>
              <w:spacing w:before="0" w:after="0"/>
              <w:ind w:left="612"/>
              <w:jc w:val="both"/>
              <w:rPr>
                <w:rStyle w:val="FootnoteReference"/>
                <w:rFonts w:hint="cs"/>
                <w:bCs w:val="0"/>
                <w:szCs w:val="26"/>
                <w:vertAlign w:val="baseline"/>
              </w:rPr>
            </w:pPr>
            <w:r>
              <w:rPr>
                <w:rFonts w:hint="cs"/>
                <w:szCs w:val="26"/>
                <w:rtl/>
              </w:rPr>
              <w:t>36.90</w:t>
            </w:r>
          </w:p>
        </w:tc>
      </w:tr>
    </w:tbl>
    <w:p w:rsidR="00000000" w:rsidRDefault="00567B15">
      <w:pPr>
        <w:spacing w:line="380" w:lineRule="exact"/>
        <w:jc w:val="both"/>
        <w:rPr>
          <w:rStyle w:val="FootnoteReference"/>
          <w:rFonts w:hint="cs"/>
          <w:bCs w:val="0"/>
          <w:vertAlign w:val="baseline"/>
          <w:rtl/>
        </w:rPr>
      </w:pPr>
      <w:r>
        <w:rPr>
          <w:rFonts w:hint="cs"/>
          <w:rtl/>
        </w:rPr>
        <w:tab/>
      </w:r>
      <w:r>
        <w:rPr>
          <w:rFonts w:hint="cs"/>
          <w:u w:val="single"/>
          <w:rtl/>
        </w:rPr>
        <w:t>المصدر</w:t>
      </w:r>
      <w:r>
        <w:rPr>
          <w:rFonts w:hint="cs"/>
          <w:rtl/>
        </w:rPr>
        <w:t>:</w:t>
      </w:r>
      <w:r>
        <w:rPr>
          <w:rFonts w:hint="cs"/>
          <w:rtl/>
        </w:rPr>
        <w:tab/>
        <w:t xml:space="preserve">معهد العمالة الوطني، </w:t>
      </w:r>
      <w:r>
        <w:rPr>
          <w:rFonts w:hint="cs"/>
          <w:i/>
          <w:iCs/>
          <w:rtl/>
        </w:rPr>
        <w:t>الدراسة الدائمة للأسر المعيشية والعمالة والعمالة الناقصة والبطالة</w:t>
      </w:r>
      <w:r>
        <w:rPr>
          <w:rFonts w:hint="cs"/>
          <w:rtl/>
        </w:rPr>
        <w:t>.</w:t>
      </w:r>
    </w:p>
    <w:p w:rsidR="00000000" w:rsidRDefault="00567B15">
      <w:pPr>
        <w:spacing w:line="380" w:lineRule="exact"/>
        <w:jc w:val="both"/>
        <w:rPr>
          <w:rFonts w:hint="cs"/>
          <w:rtl/>
        </w:rPr>
      </w:pPr>
      <w:r>
        <w:rPr>
          <w:rFonts w:hint="cs"/>
          <w:rtl/>
        </w:rPr>
        <w:t>54-</w:t>
      </w:r>
      <w:r>
        <w:rPr>
          <w:rFonts w:hint="cs"/>
          <w:rtl/>
        </w:rPr>
        <w:tab/>
        <w:t>ووفقاً لدراسة أجرتها أمانة الجبهة الاجتماعية، بلغت نسبة الفقر في الأرياف نحو 70 في المائة في عام 1994، بينما بلغت هذه</w:t>
      </w:r>
      <w:r>
        <w:rPr>
          <w:rFonts w:hint="cs"/>
          <w:rtl/>
        </w:rPr>
        <w:t xml:space="preserve"> النسبة في المدن 35 في المائة. "وتوجد أيضاً فوارق اجتماعية كبيرة بين المناطق التي تقطنها أغلبية من السكان الأصليين وبقية مناطق البلد، فبينما بلغ معدل الفقر الإجمالي 52 في المائة، في عام 1994 وصل لدى السكان الأصليين إلى 80 في المائة [...]. وعلى الصعيد الإقل</w:t>
      </w:r>
      <w:r>
        <w:rPr>
          <w:rFonts w:hint="cs"/>
          <w:rtl/>
        </w:rPr>
        <w:t>يمي، يوجد فارق شاسع بين المنطقة الشرقية وبقية المناطق. ففي المنطقة الشرقية ينتشر الفقر المدقع على نطاق واسع، ويمكن العثور على أسوأ الظروف المعيشية في الجزء الريفي من المنطقة الشرقية حيث تصل مستويات الفقر في بعض الكانتونات مثل أوريانا (نابو) ومورونا (مورونا</w:t>
      </w:r>
      <w:r>
        <w:rPr>
          <w:rFonts w:hint="cs"/>
          <w:rtl/>
        </w:rPr>
        <w:t xml:space="preserve"> سانتياغو) ولاغو أغريو (سوكومبيوس)، إلى 95 في المائة أو أكثر. ويرتبط الفقر في منطقة ريف الأمازون ارتباطاً وثيقاً بالنقص الكبير في الهياكل الأساسية وبتدني الأجور، ولا سيما بتدني الانتاجية الزراعية [...]. وتختلف طبيعة الحرمان الاجتماعي بين المنطقة الساحلية و</w:t>
      </w:r>
      <w:r>
        <w:rPr>
          <w:rFonts w:hint="cs"/>
          <w:rtl/>
        </w:rPr>
        <w:t>منطقة المرتفعات وإن كانت المستويات العامة للفقـر والإملاق متشابهة. وينتشر الفقر الريفي في منطقة المرتفعات بصفة رئيسية، ولا سيما في مقاطعـات لوخا (84 في المائة) وتشيمبوراسو (81 في المائة) وكوتوباتشي (80 في المائة). وعلى وجه العموم، يقل الفقر الريفي في المنط</w:t>
      </w:r>
      <w:r>
        <w:rPr>
          <w:rFonts w:hint="cs"/>
          <w:rtl/>
        </w:rPr>
        <w:t>قة الساحلية عنه في منطقة المرتفعات"</w:t>
      </w:r>
      <w:r>
        <w:rPr>
          <w:rFonts w:hint="cs"/>
          <w:vertAlign w:val="superscript"/>
          <w:rtl/>
        </w:rPr>
        <w:t>(13)</w:t>
      </w:r>
      <w:r>
        <w:rPr>
          <w:rFonts w:hint="cs"/>
          <w:rtl/>
        </w:rPr>
        <w:t>.</w:t>
      </w:r>
    </w:p>
    <w:p w:rsidR="00000000" w:rsidRDefault="00567B15">
      <w:pPr>
        <w:spacing w:line="380" w:lineRule="exact"/>
        <w:jc w:val="both"/>
        <w:rPr>
          <w:rFonts w:hint="cs"/>
          <w:spacing w:val="2"/>
          <w:rtl/>
        </w:rPr>
      </w:pPr>
      <w:r>
        <w:rPr>
          <w:rFonts w:hint="cs"/>
          <w:spacing w:val="2"/>
          <w:rtl/>
        </w:rPr>
        <w:t>55-</w:t>
      </w:r>
      <w:r>
        <w:rPr>
          <w:rFonts w:hint="cs"/>
          <w:spacing w:val="2"/>
          <w:rtl/>
        </w:rPr>
        <w:tab/>
        <w:t>وفي القطاع الحضري، ارتفع معدل البطالة المعلنة من 6.1 في المائة في عام 1990 إلى 6.9 في المائة في عام 1995، ثم إلى 11.5 في المائة في عام 1998 و14.4 في المائة في عام 1999؛ وقد زاد هذا المعدل بنسبة 66.7 في المائة بي</w:t>
      </w:r>
      <w:r>
        <w:rPr>
          <w:rFonts w:hint="cs"/>
          <w:spacing w:val="2"/>
          <w:rtl/>
        </w:rPr>
        <w:t>ن عامي 1995 و1998 وبنسبة 25.22 في المائة بين عامي 1997 و1998. وتنتشر البطالة بين الأسر الكبيرة المتدنية الدخل. وانخفضت البطالة انخفاضاً حاداً في عام 2002 نتيجة الهجرة والانتعاش الاقتصادي.</w:t>
      </w:r>
    </w:p>
    <w:tbl>
      <w:tblPr>
        <w:bidiVisual/>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852"/>
        <w:gridCol w:w="2679"/>
      </w:tblGrid>
      <w:tr w:rsidR="00567B15" w:rsidTr="00567B15">
        <w:tblPrEx>
          <w:tblCellMar>
            <w:top w:w="0" w:type="dxa"/>
            <w:bottom w:w="0" w:type="dxa"/>
          </w:tblCellMar>
        </w:tblPrEx>
        <w:tc>
          <w:tcPr>
            <w:tcW w:w="2392" w:type="dxa"/>
            <w:tcBorders>
              <w:bottom w:val="single" w:sz="4"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الفترة</w:t>
            </w:r>
          </w:p>
        </w:tc>
        <w:tc>
          <w:tcPr>
            <w:tcW w:w="2852" w:type="dxa"/>
            <w:tcBorders>
              <w:bottom w:val="single" w:sz="4"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البطالة</w:t>
            </w:r>
          </w:p>
        </w:tc>
        <w:tc>
          <w:tcPr>
            <w:tcW w:w="2679" w:type="dxa"/>
            <w:tcBorders>
              <w:bottom w:val="single" w:sz="4"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التغير (نسبة مئوية)</w:t>
            </w:r>
          </w:p>
        </w:tc>
      </w:tr>
      <w:tr w:rsidR="00567B15" w:rsidTr="00567B15">
        <w:tblPrEx>
          <w:tblCellMar>
            <w:top w:w="0" w:type="dxa"/>
            <w:bottom w:w="0" w:type="dxa"/>
          </w:tblCellMar>
        </w:tblPrEx>
        <w:tc>
          <w:tcPr>
            <w:tcW w:w="2392" w:type="dxa"/>
            <w:tcBorders>
              <w:bottom w:val="nil"/>
            </w:tcBorders>
          </w:tcPr>
          <w:p w:rsidR="00567B15" w:rsidRDefault="00567B15">
            <w:pPr>
              <w:spacing w:before="0" w:after="0"/>
              <w:jc w:val="center"/>
              <w:rPr>
                <w:rStyle w:val="FootnoteReference"/>
                <w:rFonts w:hint="cs"/>
                <w:bCs w:val="0"/>
                <w:szCs w:val="26"/>
                <w:vertAlign w:val="baseline"/>
                <w:rtl/>
              </w:rPr>
            </w:pPr>
            <w:r>
              <w:rPr>
                <w:rFonts w:hint="cs"/>
                <w:szCs w:val="26"/>
                <w:rtl/>
              </w:rPr>
              <w:t>1990</w:t>
            </w:r>
          </w:p>
        </w:tc>
        <w:tc>
          <w:tcPr>
            <w:tcW w:w="2852" w:type="dxa"/>
            <w:tcBorders>
              <w:bottom w:val="nil"/>
            </w:tcBorders>
          </w:tcPr>
          <w:p w:rsidR="00567B15" w:rsidRDefault="00567B15">
            <w:pPr>
              <w:spacing w:before="0" w:after="0"/>
              <w:ind w:left="1124"/>
              <w:jc w:val="both"/>
              <w:rPr>
                <w:rStyle w:val="FootnoteReference"/>
                <w:rFonts w:hint="cs"/>
                <w:bCs w:val="0"/>
                <w:szCs w:val="26"/>
                <w:vertAlign w:val="baseline"/>
              </w:rPr>
            </w:pPr>
            <w:r>
              <w:rPr>
                <w:rFonts w:hint="cs"/>
                <w:szCs w:val="26"/>
                <w:rtl/>
              </w:rPr>
              <w:t>6.1</w:t>
            </w:r>
          </w:p>
        </w:tc>
        <w:tc>
          <w:tcPr>
            <w:tcW w:w="2679" w:type="dxa"/>
            <w:tcBorders>
              <w:bottom w:val="nil"/>
            </w:tcBorders>
          </w:tcPr>
          <w:p w:rsidR="00567B15" w:rsidRDefault="00567B15">
            <w:pPr>
              <w:spacing w:before="0" w:after="0"/>
              <w:ind w:left="972" w:firstLine="180"/>
              <w:jc w:val="both"/>
              <w:rPr>
                <w:rStyle w:val="FootnoteReference"/>
                <w:rFonts w:hint="cs"/>
                <w:bCs w:val="0"/>
                <w:szCs w:val="26"/>
                <w:vertAlign w:val="baseline"/>
              </w:rPr>
            </w:pPr>
            <w:r>
              <w:rPr>
                <w:rFonts w:hint="cs"/>
                <w:szCs w:val="26"/>
                <w:rtl/>
              </w:rPr>
              <w:t>صفر</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jc w:val="center"/>
              <w:rPr>
                <w:rStyle w:val="FootnoteReference"/>
                <w:rFonts w:hint="cs"/>
                <w:bCs w:val="0"/>
                <w:szCs w:val="26"/>
                <w:vertAlign w:val="baseline"/>
                <w:rtl/>
              </w:rPr>
            </w:pPr>
            <w:r>
              <w:rPr>
                <w:rFonts w:hint="cs"/>
                <w:szCs w:val="26"/>
                <w:rtl/>
              </w:rPr>
              <w:t>1995</w:t>
            </w:r>
          </w:p>
        </w:tc>
        <w:tc>
          <w:tcPr>
            <w:tcW w:w="2852" w:type="dxa"/>
            <w:tcBorders>
              <w:top w:val="nil"/>
              <w:bottom w:val="nil"/>
            </w:tcBorders>
          </w:tcPr>
          <w:p w:rsidR="00567B15" w:rsidRDefault="00567B15">
            <w:pPr>
              <w:spacing w:before="0" w:after="0"/>
              <w:ind w:left="1124"/>
              <w:jc w:val="both"/>
              <w:rPr>
                <w:rStyle w:val="FootnoteReference"/>
                <w:rFonts w:hint="cs"/>
                <w:bCs w:val="0"/>
                <w:szCs w:val="26"/>
                <w:vertAlign w:val="baseline"/>
              </w:rPr>
            </w:pPr>
            <w:r>
              <w:rPr>
                <w:rFonts w:hint="cs"/>
                <w:szCs w:val="26"/>
                <w:rtl/>
              </w:rPr>
              <w:t>6.9</w:t>
            </w:r>
          </w:p>
        </w:tc>
        <w:tc>
          <w:tcPr>
            <w:tcW w:w="2679" w:type="dxa"/>
            <w:tcBorders>
              <w:top w:val="nil"/>
              <w:bottom w:val="nil"/>
            </w:tcBorders>
          </w:tcPr>
          <w:p w:rsidR="00567B15" w:rsidRDefault="00567B15">
            <w:pPr>
              <w:spacing w:before="0" w:after="0"/>
              <w:ind w:left="972" w:firstLine="360"/>
              <w:jc w:val="both"/>
              <w:rPr>
                <w:rStyle w:val="FootnoteReference"/>
                <w:rFonts w:hint="cs"/>
                <w:bCs w:val="0"/>
                <w:szCs w:val="26"/>
                <w:vertAlign w:val="baseline"/>
              </w:rPr>
            </w:pPr>
            <w:r>
              <w:rPr>
                <w:rFonts w:hint="cs"/>
                <w:szCs w:val="26"/>
                <w:rtl/>
              </w:rPr>
              <w:t>13</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jc w:val="center"/>
              <w:rPr>
                <w:rStyle w:val="FootnoteReference"/>
                <w:rFonts w:hint="cs"/>
                <w:bCs w:val="0"/>
                <w:szCs w:val="26"/>
                <w:vertAlign w:val="baseline"/>
                <w:rtl/>
              </w:rPr>
            </w:pPr>
            <w:r>
              <w:rPr>
                <w:rFonts w:hint="cs"/>
                <w:szCs w:val="26"/>
                <w:rtl/>
              </w:rPr>
              <w:t>1998</w:t>
            </w:r>
          </w:p>
        </w:tc>
        <w:tc>
          <w:tcPr>
            <w:tcW w:w="2852" w:type="dxa"/>
            <w:tcBorders>
              <w:top w:val="nil"/>
              <w:bottom w:val="nil"/>
            </w:tcBorders>
          </w:tcPr>
          <w:p w:rsidR="00567B15" w:rsidRDefault="00567B15">
            <w:pPr>
              <w:spacing w:before="0" w:after="0"/>
              <w:ind w:left="1124"/>
              <w:jc w:val="both"/>
              <w:rPr>
                <w:rStyle w:val="FootnoteReference"/>
                <w:rFonts w:hint="cs"/>
                <w:bCs w:val="0"/>
                <w:szCs w:val="26"/>
                <w:vertAlign w:val="baseline"/>
              </w:rPr>
            </w:pPr>
            <w:r>
              <w:rPr>
                <w:rFonts w:hint="cs"/>
                <w:szCs w:val="26"/>
                <w:rtl/>
              </w:rPr>
              <w:t>11.5</w:t>
            </w:r>
          </w:p>
        </w:tc>
        <w:tc>
          <w:tcPr>
            <w:tcW w:w="2679" w:type="dxa"/>
            <w:tcBorders>
              <w:top w:val="nil"/>
              <w:bottom w:val="nil"/>
            </w:tcBorders>
          </w:tcPr>
          <w:p w:rsidR="00567B15" w:rsidRDefault="00567B15">
            <w:pPr>
              <w:spacing w:before="0" w:after="0"/>
              <w:ind w:left="972"/>
              <w:jc w:val="both"/>
              <w:rPr>
                <w:rStyle w:val="FootnoteReference"/>
                <w:rFonts w:hint="cs"/>
                <w:bCs w:val="0"/>
                <w:szCs w:val="26"/>
                <w:vertAlign w:val="baseline"/>
              </w:rPr>
            </w:pPr>
            <w:r>
              <w:rPr>
                <w:rFonts w:hint="cs"/>
                <w:szCs w:val="26"/>
                <w:rtl/>
              </w:rPr>
              <w:t>66.67</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jc w:val="center"/>
              <w:rPr>
                <w:rStyle w:val="FootnoteReference"/>
                <w:rFonts w:hint="cs"/>
                <w:bCs w:val="0"/>
                <w:szCs w:val="26"/>
                <w:vertAlign w:val="baseline"/>
                <w:rtl/>
              </w:rPr>
            </w:pPr>
            <w:r>
              <w:rPr>
                <w:rFonts w:hint="cs"/>
                <w:szCs w:val="26"/>
                <w:rtl/>
              </w:rPr>
              <w:t>1999</w:t>
            </w:r>
          </w:p>
        </w:tc>
        <w:tc>
          <w:tcPr>
            <w:tcW w:w="2852" w:type="dxa"/>
            <w:tcBorders>
              <w:top w:val="nil"/>
              <w:bottom w:val="nil"/>
            </w:tcBorders>
          </w:tcPr>
          <w:p w:rsidR="00567B15" w:rsidRDefault="00567B15">
            <w:pPr>
              <w:spacing w:before="0" w:after="0"/>
              <w:ind w:left="1124"/>
              <w:jc w:val="both"/>
              <w:rPr>
                <w:rStyle w:val="FootnoteReference"/>
                <w:rFonts w:hint="cs"/>
                <w:bCs w:val="0"/>
                <w:szCs w:val="26"/>
                <w:vertAlign w:val="baseline"/>
              </w:rPr>
            </w:pPr>
            <w:r>
              <w:rPr>
                <w:rFonts w:hint="cs"/>
                <w:szCs w:val="26"/>
                <w:rtl/>
              </w:rPr>
              <w:t>14.4</w:t>
            </w:r>
          </w:p>
        </w:tc>
        <w:tc>
          <w:tcPr>
            <w:tcW w:w="2679" w:type="dxa"/>
            <w:tcBorders>
              <w:top w:val="nil"/>
              <w:bottom w:val="nil"/>
            </w:tcBorders>
          </w:tcPr>
          <w:p w:rsidR="00567B15" w:rsidRDefault="00567B15">
            <w:pPr>
              <w:spacing w:before="0" w:after="0"/>
              <w:ind w:left="972"/>
              <w:jc w:val="both"/>
              <w:rPr>
                <w:rStyle w:val="FootnoteReference"/>
                <w:rFonts w:hint="cs"/>
                <w:bCs w:val="0"/>
                <w:szCs w:val="26"/>
                <w:vertAlign w:val="baseline"/>
              </w:rPr>
            </w:pPr>
            <w:r>
              <w:rPr>
                <w:rFonts w:hint="cs"/>
                <w:szCs w:val="26"/>
                <w:rtl/>
              </w:rPr>
              <w:t>25.22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jc w:val="center"/>
              <w:rPr>
                <w:rStyle w:val="FootnoteReference"/>
                <w:rFonts w:hint="cs"/>
                <w:bCs w:val="0"/>
                <w:szCs w:val="26"/>
                <w:vertAlign w:val="baseline"/>
                <w:rtl/>
              </w:rPr>
            </w:pPr>
            <w:r>
              <w:rPr>
                <w:rFonts w:hint="cs"/>
                <w:szCs w:val="26"/>
                <w:rtl/>
              </w:rPr>
              <w:t>2000</w:t>
            </w:r>
          </w:p>
        </w:tc>
        <w:tc>
          <w:tcPr>
            <w:tcW w:w="2852" w:type="dxa"/>
            <w:tcBorders>
              <w:top w:val="nil"/>
              <w:bottom w:val="nil"/>
            </w:tcBorders>
          </w:tcPr>
          <w:p w:rsidR="00567B15" w:rsidRDefault="00567B15">
            <w:pPr>
              <w:spacing w:before="0" w:after="0"/>
              <w:ind w:left="1124" w:firstLine="180"/>
              <w:jc w:val="both"/>
              <w:rPr>
                <w:rStyle w:val="FootnoteReference"/>
                <w:rFonts w:hint="cs"/>
                <w:bCs w:val="0"/>
                <w:szCs w:val="26"/>
                <w:vertAlign w:val="baseline"/>
              </w:rPr>
            </w:pPr>
            <w:r>
              <w:rPr>
                <w:rFonts w:hint="cs"/>
                <w:szCs w:val="26"/>
                <w:rtl/>
              </w:rPr>
              <w:t>17</w:t>
            </w:r>
          </w:p>
        </w:tc>
        <w:tc>
          <w:tcPr>
            <w:tcW w:w="2679" w:type="dxa"/>
            <w:tcBorders>
              <w:top w:val="nil"/>
              <w:bottom w:val="nil"/>
            </w:tcBorders>
          </w:tcPr>
          <w:p w:rsidR="00567B15" w:rsidRDefault="00567B15">
            <w:pPr>
              <w:spacing w:before="0" w:after="0"/>
              <w:ind w:left="972"/>
              <w:jc w:val="both"/>
              <w:rPr>
                <w:rStyle w:val="FootnoteReference"/>
                <w:rFonts w:hint="cs"/>
                <w:bCs w:val="0"/>
                <w:szCs w:val="26"/>
                <w:vertAlign w:val="baseline"/>
              </w:rPr>
            </w:pPr>
            <w:r>
              <w:rPr>
                <w:rFonts w:hint="cs"/>
                <w:szCs w:val="26"/>
                <w:rtl/>
              </w:rPr>
              <w:t>18.06</w:t>
            </w:r>
          </w:p>
        </w:tc>
      </w:tr>
      <w:tr w:rsidR="00567B15" w:rsidTr="00567B15">
        <w:tblPrEx>
          <w:tblCellMar>
            <w:top w:w="0" w:type="dxa"/>
            <w:bottom w:w="0" w:type="dxa"/>
          </w:tblCellMar>
        </w:tblPrEx>
        <w:tc>
          <w:tcPr>
            <w:tcW w:w="2392" w:type="dxa"/>
            <w:tcBorders>
              <w:top w:val="nil"/>
            </w:tcBorders>
          </w:tcPr>
          <w:p w:rsidR="00567B15" w:rsidRDefault="00567B15">
            <w:pPr>
              <w:spacing w:before="0" w:after="0"/>
              <w:jc w:val="center"/>
              <w:rPr>
                <w:rStyle w:val="FootnoteReference"/>
                <w:rFonts w:hint="cs"/>
                <w:bCs w:val="0"/>
                <w:szCs w:val="26"/>
                <w:vertAlign w:val="baseline"/>
                <w:rtl/>
              </w:rPr>
            </w:pPr>
            <w:r>
              <w:rPr>
                <w:rFonts w:hint="cs"/>
                <w:szCs w:val="26"/>
                <w:rtl/>
              </w:rPr>
              <w:t>2002</w:t>
            </w:r>
          </w:p>
        </w:tc>
        <w:tc>
          <w:tcPr>
            <w:tcW w:w="2852" w:type="dxa"/>
            <w:tcBorders>
              <w:top w:val="nil"/>
            </w:tcBorders>
          </w:tcPr>
          <w:p w:rsidR="00567B15" w:rsidRDefault="00567B15">
            <w:pPr>
              <w:spacing w:before="0" w:after="0"/>
              <w:ind w:left="1124"/>
              <w:jc w:val="both"/>
              <w:rPr>
                <w:rStyle w:val="FootnoteReference"/>
                <w:rFonts w:hint="cs"/>
                <w:bCs w:val="0"/>
                <w:szCs w:val="26"/>
                <w:vertAlign w:val="baseline"/>
              </w:rPr>
            </w:pPr>
            <w:r>
              <w:rPr>
                <w:rFonts w:hint="cs"/>
                <w:szCs w:val="26"/>
                <w:rtl/>
              </w:rPr>
              <w:t>8.4</w:t>
            </w:r>
          </w:p>
        </w:tc>
        <w:tc>
          <w:tcPr>
            <w:tcW w:w="2679" w:type="dxa"/>
            <w:tcBorders>
              <w:top w:val="nil"/>
            </w:tcBorders>
          </w:tcPr>
          <w:p w:rsidR="00567B15" w:rsidRDefault="00567B15">
            <w:pPr>
              <w:spacing w:before="0" w:after="0"/>
              <w:ind w:left="792"/>
              <w:jc w:val="both"/>
              <w:rPr>
                <w:rStyle w:val="FootnoteReference"/>
                <w:rFonts w:hint="cs"/>
                <w:bCs w:val="0"/>
                <w:szCs w:val="26"/>
                <w:vertAlign w:val="baseline"/>
              </w:rPr>
            </w:pPr>
            <w:r>
              <w:rPr>
                <w:rFonts w:hint="cs"/>
                <w:szCs w:val="26"/>
                <w:rtl/>
              </w:rPr>
              <w:t>-50.59</w:t>
            </w:r>
          </w:p>
        </w:tc>
      </w:tr>
    </w:tbl>
    <w:p w:rsidR="00000000" w:rsidRDefault="00567B15">
      <w:pPr>
        <w:spacing w:line="380" w:lineRule="exact"/>
        <w:jc w:val="both"/>
        <w:rPr>
          <w:rFonts w:hint="cs"/>
          <w:rtl/>
        </w:rPr>
      </w:pPr>
      <w:r>
        <w:rPr>
          <w:rFonts w:hint="cs"/>
          <w:rtl/>
        </w:rPr>
        <w:tab/>
      </w:r>
      <w:r>
        <w:rPr>
          <w:rFonts w:hint="cs"/>
          <w:u w:val="single"/>
          <w:rtl/>
        </w:rPr>
        <w:t>المصدر</w:t>
      </w:r>
      <w:r>
        <w:rPr>
          <w:rFonts w:hint="cs"/>
          <w:rtl/>
        </w:rPr>
        <w:t xml:space="preserve">: المعهد الوطني للإحصاء وتعداد السكان، دراسة عن </w:t>
      </w:r>
      <w:r>
        <w:rPr>
          <w:rFonts w:hint="cs"/>
          <w:i/>
          <w:iCs/>
          <w:rtl/>
        </w:rPr>
        <w:t>العمالة والعمالة الناقصة والبطالة في المدن</w:t>
      </w:r>
      <w:r>
        <w:rPr>
          <w:rFonts w:hint="cs"/>
          <w:rtl/>
        </w:rPr>
        <w:t>.</w:t>
      </w:r>
    </w:p>
    <w:p w:rsidR="00000000" w:rsidRDefault="00567B15">
      <w:pPr>
        <w:spacing w:line="380" w:lineRule="exact"/>
        <w:jc w:val="both"/>
        <w:rPr>
          <w:rFonts w:hint="cs"/>
          <w:spacing w:val="0"/>
          <w:rtl/>
        </w:rPr>
      </w:pPr>
      <w:r>
        <w:rPr>
          <w:rFonts w:hint="cs"/>
          <w:spacing w:val="0"/>
          <w:rtl/>
        </w:rPr>
        <w:t>56-</w:t>
      </w:r>
      <w:r>
        <w:rPr>
          <w:rFonts w:hint="cs"/>
          <w:spacing w:val="0"/>
          <w:rtl/>
        </w:rPr>
        <w:tab/>
        <w:t>وتصادف النساء من أصول فقيرة، المعيلة أو غير المعيلة لأسرة، صعوبات أكبر في دخول سوق العمل حيث</w:t>
      </w:r>
      <w:r>
        <w:rPr>
          <w:rFonts w:hint="cs"/>
          <w:spacing w:val="0"/>
          <w:rtl/>
        </w:rPr>
        <w:t xml:space="preserve"> يعانين من ضعف مستوى التعليم الأساسي ومهارات العمل الأساسية ومن عبء المسؤوليات المنزلية والأسرية.</w:t>
      </w:r>
    </w:p>
    <w:p w:rsidR="00000000" w:rsidRDefault="00567B15">
      <w:pPr>
        <w:spacing w:line="380" w:lineRule="exact"/>
        <w:jc w:val="both"/>
        <w:rPr>
          <w:rFonts w:hint="cs"/>
          <w:rtl/>
        </w:rPr>
      </w:pPr>
      <w:r>
        <w:rPr>
          <w:rFonts w:hint="cs"/>
          <w:rtl/>
        </w:rPr>
        <w:t>57-</w:t>
      </w:r>
      <w:r>
        <w:rPr>
          <w:rFonts w:hint="cs"/>
          <w:rtl/>
        </w:rPr>
        <w:tab/>
        <w:t xml:space="preserve">وأشد الفئات تضرراً بالبطالة هي فئة الشباب المتراوحة أعمارهم بين 15 و24 سنة، ولا سيما الشابات. </w:t>
      </w:r>
    </w:p>
    <w:p w:rsidR="00000000" w:rsidRDefault="00567B15">
      <w:pPr>
        <w:spacing w:line="380" w:lineRule="exact"/>
        <w:jc w:val="center"/>
        <w:rPr>
          <w:rFonts w:hint="cs"/>
          <w:b/>
          <w:bCs/>
          <w:rtl/>
        </w:rPr>
      </w:pPr>
      <w:r>
        <w:rPr>
          <w:rFonts w:hint="cs"/>
          <w:b/>
          <w:bCs/>
          <w:rtl/>
        </w:rPr>
        <w:t>البطالة بحسب الجنس والفئة العمرية (1998)</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8"/>
        <w:gridCol w:w="2392"/>
        <w:gridCol w:w="2393"/>
        <w:gridCol w:w="2258"/>
      </w:tblGrid>
      <w:tr w:rsidR="00567B15" w:rsidTr="00567B15">
        <w:tblPrEx>
          <w:tblCellMar>
            <w:top w:w="0" w:type="dxa"/>
            <w:bottom w:w="0" w:type="dxa"/>
          </w:tblCellMar>
        </w:tblPrEx>
        <w:tc>
          <w:tcPr>
            <w:tcW w:w="2308" w:type="dxa"/>
            <w:tcBorders>
              <w:bottom w:val="single" w:sz="4" w:space="0" w:color="auto"/>
            </w:tcBorders>
          </w:tcPr>
          <w:p w:rsidR="00567B15" w:rsidRDefault="00567B15">
            <w:pPr>
              <w:spacing w:before="0" w:after="0"/>
              <w:jc w:val="center"/>
              <w:rPr>
                <w:rFonts w:hint="cs"/>
                <w:szCs w:val="26"/>
              </w:rPr>
            </w:pPr>
            <w:r>
              <w:rPr>
                <w:rFonts w:hint="cs"/>
                <w:szCs w:val="26"/>
                <w:rtl/>
              </w:rPr>
              <w:t>العمر</w:t>
            </w:r>
          </w:p>
        </w:tc>
        <w:tc>
          <w:tcPr>
            <w:tcW w:w="2392" w:type="dxa"/>
            <w:tcBorders>
              <w:bottom w:val="single" w:sz="4" w:space="0" w:color="auto"/>
            </w:tcBorders>
          </w:tcPr>
          <w:p w:rsidR="00567B15" w:rsidRDefault="00567B15">
            <w:pPr>
              <w:spacing w:before="0" w:after="0"/>
              <w:jc w:val="center"/>
              <w:rPr>
                <w:rFonts w:hint="cs"/>
                <w:szCs w:val="26"/>
              </w:rPr>
            </w:pPr>
            <w:r>
              <w:rPr>
                <w:rFonts w:hint="cs"/>
                <w:szCs w:val="26"/>
                <w:rtl/>
              </w:rPr>
              <w:t>الرجال</w:t>
            </w:r>
          </w:p>
        </w:tc>
        <w:tc>
          <w:tcPr>
            <w:tcW w:w="2393" w:type="dxa"/>
            <w:tcBorders>
              <w:bottom w:val="single" w:sz="4" w:space="0" w:color="auto"/>
            </w:tcBorders>
          </w:tcPr>
          <w:p w:rsidR="00567B15" w:rsidRDefault="00567B15">
            <w:pPr>
              <w:spacing w:before="0" w:after="0"/>
              <w:jc w:val="center"/>
              <w:rPr>
                <w:rFonts w:hint="cs"/>
                <w:szCs w:val="26"/>
              </w:rPr>
            </w:pPr>
            <w:r>
              <w:rPr>
                <w:rFonts w:hint="cs"/>
                <w:szCs w:val="26"/>
                <w:rtl/>
              </w:rPr>
              <w:t>النساء</w:t>
            </w:r>
          </w:p>
        </w:tc>
        <w:tc>
          <w:tcPr>
            <w:tcW w:w="2258" w:type="dxa"/>
            <w:tcBorders>
              <w:bottom w:val="single" w:sz="4" w:space="0" w:color="auto"/>
            </w:tcBorders>
          </w:tcPr>
          <w:p w:rsidR="00567B15" w:rsidRDefault="00567B15">
            <w:pPr>
              <w:spacing w:before="0" w:after="0"/>
              <w:jc w:val="center"/>
              <w:rPr>
                <w:rFonts w:hint="cs"/>
                <w:szCs w:val="26"/>
              </w:rPr>
            </w:pPr>
            <w:r>
              <w:rPr>
                <w:rFonts w:hint="cs"/>
                <w:szCs w:val="26"/>
                <w:rtl/>
              </w:rPr>
              <w:t>المجموع</w:t>
            </w:r>
          </w:p>
        </w:tc>
      </w:tr>
      <w:tr w:rsidR="00567B15" w:rsidTr="00567B15">
        <w:tblPrEx>
          <w:tblCellMar>
            <w:top w:w="0" w:type="dxa"/>
            <w:bottom w:w="0" w:type="dxa"/>
          </w:tblCellMar>
        </w:tblPrEx>
        <w:tc>
          <w:tcPr>
            <w:tcW w:w="2308" w:type="dxa"/>
            <w:tcBorders>
              <w:bottom w:val="nil"/>
            </w:tcBorders>
          </w:tcPr>
          <w:p w:rsidR="00567B15" w:rsidRDefault="00567B15">
            <w:pPr>
              <w:spacing w:before="0" w:after="0"/>
              <w:ind w:left="534"/>
              <w:jc w:val="both"/>
              <w:rPr>
                <w:rFonts w:hint="cs"/>
                <w:szCs w:val="26"/>
              </w:rPr>
            </w:pPr>
            <w:r>
              <w:rPr>
                <w:rFonts w:hint="cs"/>
                <w:szCs w:val="26"/>
                <w:rtl/>
              </w:rPr>
              <w:t>10-11</w:t>
            </w:r>
          </w:p>
        </w:tc>
        <w:tc>
          <w:tcPr>
            <w:tcW w:w="2392" w:type="dxa"/>
            <w:tcBorders>
              <w:bottom w:val="nil"/>
            </w:tcBorders>
          </w:tcPr>
          <w:p w:rsidR="00567B15" w:rsidRDefault="00567B15">
            <w:pPr>
              <w:spacing w:before="0" w:after="0"/>
              <w:ind w:left="842"/>
              <w:jc w:val="both"/>
              <w:rPr>
                <w:rFonts w:hint="cs"/>
                <w:szCs w:val="26"/>
              </w:rPr>
            </w:pPr>
            <w:r>
              <w:rPr>
                <w:rFonts w:hint="cs"/>
                <w:szCs w:val="26"/>
                <w:rtl/>
              </w:rPr>
              <w:t>151</w:t>
            </w:r>
          </w:p>
        </w:tc>
        <w:tc>
          <w:tcPr>
            <w:tcW w:w="2393" w:type="dxa"/>
            <w:tcBorders>
              <w:bottom w:val="nil"/>
            </w:tcBorders>
          </w:tcPr>
          <w:p w:rsidR="00567B15" w:rsidRDefault="00567B15">
            <w:pPr>
              <w:spacing w:before="0" w:after="0"/>
              <w:ind w:left="790"/>
              <w:jc w:val="both"/>
              <w:rPr>
                <w:rFonts w:hint="cs"/>
                <w:szCs w:val="26"/>
              </w:rPr>
            </w:pPr>
            <w:r>
              <w:rPr>
                <w:rFonts w:hint="cs"/>
                <w:szCs w:val="26"/>
                <w:rtl/>
              </w:rPr>
              <w:t>428</w:t>
            </w:r>
          </w:p>
        </w:tc>
        <w:tc>
          <w:tcPr>
            <w:tcW w:w="2258" w:type="dxa"/>
            <w:tcBorders>
              <w:bottom w:val="nil"/>
            </w:tcBorders>
          </w:tcPr>
          <w:p w:rsidR="00567B15" w:rsidRDefault="00567B15">
            <w:pPr>
              <w:spacing w:before="0" w:after="0"/>
              <w:ind w:left="737"/>
              <w:jc w:val="both"/>
              <w:rPr>
                <w:rFonts w:hint="cs"/>
                <w:szCs w:val="26"/>
              </w:rPr>
            </w:pPr>
            <w:r>
              <w:rPr>
                <w:rFonts w:hint="cs"/>
                <w:szCs w:val="26"/>
                <w:rtl/>
              </w:rPr>
              <w:t>579</w:t>
            </w:r>
          </w:p>
        </w:tc>
      </w:tr>
      <w:tr w:rsidR="00567B15" w:rsidTr="00567B15">
        <w:tblPrEx>
          <w:tblCellMar>
            <w:top w:w="0" w:type="dxa"/>
            <w:bottom w:w="0" w:type="dxa"/>
          </w:tblCellMar>
        </w:tblPrEx>
        <w:tc>
          <w:tcPr>
            <w:tcW w:w="2308" w:type="dxa"/>
            <w:tcBorders>
              <w:top w:val="nil"/>
              <w:bottom w:val="nil"/>
            </w:tcBorders>
          </w:tcPr>
          <w:p w:rsidR="00567B15" w:rsidRDefault="00567B15">
            <w:pPr>
              <w:spacing w:before="0" w:after="0"/>
              <w:ind w:left="534"/>
              <w:jc w:val="both"/>
              <w:rPr>
                <w:rFonts w:hint="cs"/>
                <w:szCs w:val="26"/>
              </w:rPr>
            </w:pPr>
            <w:r>
              <w:rPr>
                <w:rFonts w:hint="cs"/>
                <w:szCs w:val="26"/>
                <w:rtl/>
              </w:rPr>
              <w:t>12-14</w:t>
            </w:r>
          </w:p>
        </w:tc>
        <w:tc>
          <w:tcPr>
            <w:tcW w:w="2392" w:type="dxa"/>
            <w:tcBorders>
              <w:top w:val="nil"/>
              <w:bottom w:val="nil"/>
            </w:tcBorders>
          </w:tcPr>
          <w:p w:rsidR="00567B15" w:rsidRDefault="00567B15">
            <w:pPr>
              <w:spacing w:before="0" w:after="0"/>
              <w:ind w:left="842"/>
              <w:jc w:val="both"/>
              <w:rPr>
                <w:rFonts w:hint="cs"/>
                <w:szCs w:val="26"/>
              </w:rPr>
            </w:pPr>
            <w:r>
              <w:rPr>
                <w:rFonts w:hint="cs"/>
                <w:szCs w:val="26"/>
                <w:rtl/>
              </w:rPr>
              <w:t>476 3</w:t>
            </w:r>
          </w:p>
        </w:tc>
        <w:tc>
          <w:tcPr>
            <w:tcW w:w="2393" w:type="dxa"/>
            <w:tcBorders>
              <w:top w:val="nil"/>
              <w:bottom w:val="nil"/>
            </w:tcBorders>
          </w:tcPr>
          <w:p w:rsidR="00567B15" w:rsidRDefault="00567B15">
            <w:pPr>
              <w:spacing w:before="0" w:after="0"/>
              <w:ind w:left="790"/>
              <w:jc w:val="both"/>
              <w:rPr>
                <w:rFonts w:hint="cs"/>
                <w:szCs w:val="26"/>
              </w:rPr>
            </w:pPr>
            <w:r>
              <w:rPr>
                <w:rFonts w:hint="cs"/>
                <w:szCs w:val="26"/>
                <w:rtl/>
              </w:rPr>
              <w:t>953 3</w:t>
            </w:r>
          </w:p>
        </w:tc>
        <w:tc>
          <w:tcPr>
            <w:tcW w:w="2258" w:type="dxa"/>
            <w:tcBorders>
              <w:top w:val="nil"/>
              <w:bottom w:val="nil"/>
            </w:tcBorders>
          </w:tcPr>
          <w:p w:rsidR="00567B15" w:rsidRDefault="00567B15">
            <w:pPr>
              <w:spacing w:before="0" w:after="0"/>
              <w:ind w:left="737"/>
              <w:jc w:val="both"/>
              <w:rPr>
                <w:rFonts w:hint="cs"/>
                <w:szCs w:val="26"/>
              </w:rPr>
            </w:pPr>
            <w:r>
              <w:rPr>
                <w:rFonts w:hint="cs"/>
                <w:szCs w:val="26"/>
                <w:rtl/>
              </w:rPr>
              <w:t>429 7</w:t>
            </w:r>
          </w:p>
        </w:tc>
      </w:tr>
      <w:tr w:rsidR="00567B15" w:rsidTr="00567B15">
        <w:tblPrEx>
          <w:tblCellMar>
            <w:top w:w="0" w:type="dxa"/>
            <w:bottom w:w="0" w:type="dxa"/>
          </w:tblCellMar>
        </w:tblPrEx>
        <w:tc>
          <w:tcPr>
            <w:tcW w:w="2308" w:type="dxa"/>
            <w:tcBorders>
              <w:top w:val="nil"/>
              <w:bottom w:val="nil"/>
            </w:tcBorders>
          </w:tcPr>
          <w:p w:rsidR="00567B15" w:rsidRDefault="00567B15">
            <w:pPr>
              <w:spacing w:before="0" w:after="0"/>
              <w:ind w:left="534"/>
              <w:jc w:val="both"/>
              <w:rPr>
                <w:rFonts w:hint="cs"/>
                <w:szCs w:val="26"/>
              </w:rPr>
            </w:pPr>
            <w:r>
              <w:rPr>
                <w:rFonts w:hint="cs"/>
                <w:szCs w:val="26"/>
                <w:rtl/>
              </w:rPr>
              <w:t>15-24</w:t>
            </w:r>
          </w:p>
        </w:tc>
        <w:tc>
          <w:tcPr>
            <w:tcW w:w="2392" w:type="dxa"/>
            <w:tcBorders>
              <w:top w:val="nil"/>
              <w:bottom w:val="nil"/>
            </w:tcBorders>
          </w:tcPr>
          <w:p w:rsidR="00567B15" w:rsidRDefault="00567B15">
            <w:pPr>
              <w:spacing w:before="0" w:after="0"/>
              <w:ind w:left="842"/>
              <w:jc w:val="both"/>
              <w:rPr>
                <w:rFonts w:hint="cs"/>
                <w:szCs w:val="26"/>
              </w:rPr>
            </w:pPr>
            <w:r>
              <w:rPr>
                <w:rFonts w:hint="cs"/>
                <w:szCs w:val="26"/>
                <w:rtl/>
              </w:rPr>
              <w:t>188 86</w:t>
            </w:r>
          </w:p>
        </w:tc>
        <w:tc>
          <w:tcPr>
            <w:tcW w:w="2393" w:type="dxa"/>
            <w:tcBorders>
              <w:top w:val="nil"/>
              <w:bottom w:val="nil"/>
            </w:tcBorders>
          </w:tcPr>
          <w:p w:rsidR="00567B15" w:rsidRDefault="00567B15">
            <w:pPr>
              <w:spacing w:before="0" w:after="0"/>
              <w:ind w:left="790"/>
              <w:jc w:val="both"/>
              <w:rPr>
                <w:rFonts w:hint="cs"/>
                <w:szCs w:val="26"/>
              </w:rPr>
            </w:pPr>
            <w:r>
              <w:rPr>
                <w:rFonts w:hint="cs"/>
                <w:szCs w:val="26"/>
                <w:rtl/>
              </w:rPr>
              <w:t>926 110</w:t>
            </w:r>
          </w:p>
        </w:tc>
        <w:tc>
          <w:tcPr>
            <w:tcW w:w="2258" w:type="dxa"/>
            <w:tcBorders>
              <w:top w:val="nil"/>
              <w:bottom w:val="nil"/>
            </w:tcBorders>
          </w:tcPr>
          <w:p w:rsidR="00567B15" w:rsidRDefault="00567B15">
            <w:pPr>
              <w:spacing w:before="0" w:after="0"/>
              <w:ind w:left="737"/>
              <w:jc w:val="both"/>
              <w:rPr>
                <w:rFonts w:hint="cs"/>
                <w:szCs w:val="26"/>
              </w:rPr>
            </w:pPr>
            <w:r>
              <w:rPr>
                <w:rFonts w:hint="cs"/>
                <w:szCs w:val="26"/>
                <w:rtl/>
              </w:rPr>
              <w:t>114 197</w:t>
            </w:r>
          </w:p>
        </w:tc>
      </w:tr>
      <w:tr w:rsidR="00567B15" w:rsidTr="00567B15">
        <w:tblPrEx>
          <w:tblCellMar>
            <w:top w:w="0" w:type="dxa"/>
            <w:bottom w:w="0" w:type="dxa"/>
          </w:tblCellMar>
        </w:tblPrEx>
        <w:tc>
          <w:tcPr>
            <w:tcW w:w="2308" w:type="dxa"/>
            <w:tcBorders>
              <w:top w:val="nil"/>
              <w:bottom w:val="nil"/>
            </w:tcBorders>
          </w:tcPr>
          <w:p w:rsidR="00567B15" w:rsidRDefault="00567B15">
            <w:pPr>
              <w:spacing w:before="0" w:after="0"/>
              <w:ind w:left="534"/>
              <w:jc w:val="both"/>
              <w:rPr>
                <w:rFonts w:hint="cs"/>
                <w:szCs w:val="26"/>
              </w:rPr>
            </w:pPr>
            <w:r>
              <w:rPr>
                <w:rFonts w:hint="cs"/>
                <w:szCs w:val="26"/>
                <w:rtl/>
              </w:rPr>
              <w:t>25-54</w:t>
            </w:r>
          </w:p>
        </w:tc>
        <w:tc>
          <w:tcPr>
            <w:tcW w:w="2392" w:type="dxa"/>
            <w:tcBorders>
              <w:top w:val="nil"/>
              <w:bottom w:val="nil"/>
            </w:tcBorders>
          </w:tcPr>
          <w:p w:rsidR="00567B15" w:rsidRDefault="00567B15">
            <w:pPr>
              <w:spacing w:before="0" w:after="0"/>
              <w:ind w:left="842"/>
              <w:jc w:val="both"/>
              <w:rPr>
                <w:rFonts w:hint="cs"/>
                <w:szCs w:val="26"/>
              </w:rPr>
            </w:pPr>
            <w:r>
              <w:rPr>
                <w:rFonts w:hint="cs"/>
                <w:szCs w:val="26"/>
                <w:rtl/>
              </w:rPr>
              <w:t>878 71</w:t>
            </w:r>
          </w:p>
        </w:tc>
        <w:tc>
          <w:tcPr>
            <w:tcW w:w="2393" w:type="dxa"/>
            <w:tcBorders>
              <w:top w:val="nil"/>
              <w:bottom w:val="nil"/>
            </w:tcBorders>
          </w:tcPr>
          <w:p w:rsidR="00567B15" w:rsidRDefault="00567B15">
            <w:pPr>
              <w:spacing w:before="0" w:after="0"/>
              <w:ind w:left="790"/>
              <w:jc w:val="both"/>
              <w:rPr>
                <w:rFonts w:hint="cs"/>
                <w:szCs w:val="26"/>
              </w:rPr>
            </w:pPr>
            <w:r>
              <w:rPr>
                <w:rFonts w:hint="cs"/>
                <w:szCs w:val="26"/>
                <w:rtl/>
              </w:rPr>
              <w:t>053 113</w:t>
            </w:r>
          </w:p>
        </w:tc>
        <w:tc>
          <w:tcPr>
            <w:tcW w:w="2258" w:type="dxa"/>
            <w:tcBorders>
              <w:top w:val="nil"/>
              <w:bottom w:val="nil"/>
            </w:tcBorders>
          </w:tcPr>
          <w:p w:rsidR="00567B15" w:rsidRDefault="00567B15">
            <w:pPr>
              <w:spacing w:before="0" w:after="0"/>
              <w:ind w:left="737"/>
              <w:jc w:val="both"/>
              <w:rPr>
                <w:rFonts w:hint="cs"/>
                <w:szCs w:val="26"/>
              </w:rPr>
            </w:pPr>
            <w:r>
              <w:rPr>
                <w:rFonts w:hint="cs"/>
                <w:szCs w:val="26"/>
                <w:rtl/>
              </w:rPr>
              <w:t>931 184</w:t>
            </w:r>
          </w:p>
        </w:tc>
      </w:tr>
      <w:tr w:rsidR="00567B15" w:rsidTr="00567B15">
        <w:tblPrEx>
          <w:tblCellMar>
            <w:top w:w="0" w:type="dxa"/>
            <w:bottom w:w="0" w:type="dxa"/>
          </w:tblCellMar>
        </w:tblPrEx>
        <w:tc>
          <w:tcPr>
            <w:tcW w:w="2308" w:type="dxa"/>
            <w:tcBorders>
              <w:top w:val="nil"/>
              <w:bottom w:val="single" w:sz="4" w:space="0" w:color="auto"/>
            </w:tcBorders>
          </w:tcPr>
          <w:p w:rsidR="00567B15" w:rsidRDefault="00567B15">
            <w:pPr>
              <w:spacing w:before="0" w:after="0"/>
              <w:ind w:left="534"/>
              <w:jc w:val="both"/>
              <w:rPr>
                <w:rFonts w:hint="cs"/>
                <w:szCs w:val="26"/>
              </w:rPr>
            </w:pPr>
            <w:r>
              <w:rPr>
                <w:rFonts w:hint="cs"/>
                <w:szCs w:val="26"/>
                <w:rtl/>
              </w:rPr>
              <w:t>55 وما فوق</w:t>
            </w:r>
          </w:p>
        </w:tc>
        <w:tc>
          <w:tcPr>
            <w:tcW w:w="2392" w:type="dxa"/>
            <w:tcBorders>
              <w:top w:val="nil"/>
              <w:bottom w:val="single" w:sz="4" w:space="0" w:color="auto"/>
            </w:tcBorders>
          </w:tcPr>
          <w:p w:rsidR="00567B15" w:rsidRDefault="00567B15">
            <w:pPr>
              <w:spacing w:before="0" w:after="0"/>
              <w:ind w:left="842"/>
              <w:jc w:val="both"/>
              <w:rPr>
                <w:rFonts w:hint="cs"/>
                <w:szCs w:val="26"/>
              </w:rPr>
            </w:pPr>
            <w:r>
              <w:rPr>
                <w:rFonts w:hint="cs"/>
                <w:szCs w:val="26"/>
                <w:rtl/>
              </w:rPr>
              <w:t>775 13</w:t>
            </w:r>
          </w:p>
        </w:tc>
        <w:tc>
          <w:tcPr>
            <w:tcW w:w="2393" w:type="dxa"/>
            <w:tcBorders>
              <w:top w:val="nil"/>
              <w:bottom w:val="single" w:sz="4" w:space="0" w:color="auto"/>
            </w:tcBorders>
          </w:tcPr>
          <w:p w:rsidR="00567B15" w:rsidRDefault="00567B15">
            <w:pPr>
              <w:spacing w:before="0" w:after="0"/>
              <w:ind w:left="790"/>
              <w:jc w:val="both"/>
              <w:rPr>
                <w:rFonts w:hint="cs"/>
                <w:szCs w:val="26"/>
              </w:rPr>
            </w:pPr>
            <w:r>
              <w:rPr>
                <w:rFonts w:hint="cs"/>
                <w:szCs w:val="26"/>
                <w:rtl/>
              </w:rPr>
              <w:t>453 5</w:t>
            </w:r>
          </w:p>
        </w:tc>
        <w:tc>
          <w:tcPr>
            <w:tcW w:w="2258" w:type="dxa"/>
            <w:tcBorders>
              <w:top w:val="nil"/>
              <w:bottom w:val="single" w:sz="4" w:space="0" w:color="auto"/>
            </w:tcBorders>
          </w:tcPr>
          <w:p w:rsidR="00567B15" w:rsidRDefault="00567B15">
            <w:pPr>
              <w:spacing w:before="0" w:after="0"/>
              <w:ind w:left="737"/>
              <w:jc w:val="both"/>
              <w:rPr>
                <w:rFonts w:hint="cs"/>
                <w:szCs w:val="26"/>
              </w:rPr>
            </w:pPr>
            <w:r>
              <w:rPr>
                <w:rFonts w:hint="cs"/>
                <w:szCs w:val="26"/>
                <w:rtl/>
              </w:rPr>
              <w:t>228 19</w:t>
            </w:r>
          </w:p>
        </w:tc>
      </w:tr>
    </w:tbl>
    <w:p w:rsidR="00000000" w:rsidRDefault="00567B15">
      <w:pPr>
        <w:spacing w:line="380" w:lineRule="exact"/>
        <w:jc w:val="both"/>
        <w:rPr>
          <w:rFonts w:hint="cs"/>
          <w:rtl/>
        </w:rPr>
      </w:pPr>
      <w:r>
        <w:rPr>
          <w:rFonts w:hint="cs"/>
          <w:rtl/>
        </w:rPr>
        <w:tab/>
      </w:r>
      <w:r>
        <w:rPr>
          <w:rFonts w:hint="cs"/>
          <w:u w:val="single"/>
          <w:rtl/>
        </w:rPr>
        <w:t>المصدر</w:t>
      </w:r>
      <w:r>
        <w:rPr>
          <w:rFonts w:hint="cs"/>
          <w:rtl/>
        </w:rPr>
        <w:t xml:space="preserve">: المعهد الوطني للإحصاء وتعداد السكان، دراسة عن </w:t>
      </w:r>
      <w:r>
        <w:rPr>
          <w:rFonts w:hint="cs"/>
          <w:i/>
          <w:iCs/>
          <w:rtl/>
        </w:rPr>
        <w:t>العمالة والعمالة الناقصة والبطالة في المدن</w:t>
      </w:r>
      <w:r>
        <w:rPr>
          <w:rFonts w:hint="cs"/>
          <w:rtl/>
        </w:rPr>
        <w:t>.</w:t>
      </w:r>
    </w:p>
    <w:p w:rsidR="00000000" w:rsidRDefault="00567B15">
      <w:pPr>
        <w:spacing w:line="380" w:lineRule="exact"/>
        <w:jc w:val="both"/>
        <w:rPr>
          <w:rFonts w:hint="cs"/>
          <w:rtl/>
        </w:rPr>
      </w:pPr>
      <w:r>
        <w:rPr>
          <w:rFonts w:hint="cs"/>
          <w:rtl/>
        </w:rPr>
        <w:t>58-</w:t>
      </w:r>
      <w:r>
        <w:rPr>
          <w:rFonts w:hint="cs"/>
          <w:rtl/>
        </w:rPr>
        <w:tab/>
        <w:t>وارتفع</w:t>
      </w:r>
      <w:r>
        <w:rPr>
          <w:rFonts w:hint="cs"/>
          <w:rtl/>
        </w:rPr>
        <w:t>ت نسبة البطالة في جميع أرجاء البلد، وكان هذا الارتفاع في المنطقة الساحلية أكبر منه في المناطق الأخرى، لأسباب أهمها الأضرار التي تسببت بها ظاهرة النينيو. فقد ارتفعت نسبة البطالة من 7.1 في المائة إلى 15.8 في المائة بين عامي 1995 و1999، مما يمثل زيادة نسبية ق</w:t>
      </w:r>
      <w:r>
        <w:rPr>
          <w:rFonts w:hint="cs"/>
          <w:rtl/>
        </w:rPr>
        <w:t>درها 123 في المائة خلال تلك الفترة.</w:t>
      </w:r>
    </w:p>
    <w:p w:rsidR="00000000" w:rsidRDefault="00567B15">
      <w:pPr>
        <w:spacing w:line="380" w:lineRule="exact"/>
        <w:jc w:val="both"/>
        <w:rPr>
          <w:rFonts w:hint="cs"/>
          <w:rtl/>
        </w:rPr>
      </w:pPr>
    </w:p>
    <w:p w:rsidR="00000000" w:rsidRDefault="00567B15">
      <w:pPr>
        <w:spacing w:line="380" w:lineRule="exact"/>
        <w:jc w:val="both"/>
        <w:rPr>
          <w:rFonts w:hint="cs"/>
          <w:rtl/>
        </w:rPr>
      </w:pPr>
    </w:p>
    <w:p w:rsidR="00000000" w:rsidRDefault="00567B15">
      <w:pPr>
        <w:spacing w:line="380" w:lineRule="exact"/>
        <w:jc w:val="both"/>
        <w:rPr>
          <w:rFonts w:hint="cs"/>
          <w:rtl/>
        </w:rPr>
      </w:pPr>
    </w:p>
    <w:p w:rsidR="00000000" w:rsidRDefault="00567B15">
      <w:pPr>
        <w:jc w:val="center"/>
        <w:rPr>
          <w:rFonts w:hint="cs"/>
          <w:b/>
          <w:bCs/>
          <w:rtl/>
        </w:rPr>
      </w:pPr>
      <w:r>
        <w:rPr>
          <w:rFonts w:hint="cs"/>
          <w:b/>
          <w:bCs/>
          <w:rtl/>
        </w:rPr>
        <w:t>الاتجاهات في معدلات البطالة</w:t>
      </w: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3"/>
        <w:gridCol w:w="1080"/>
        <w:gridCol w:w="1080"/>
        <w:gridCol w:w="1082"/>
        <w:gridCol w:w="1196"/>
        <w:gridCol w:w="1196"/>
        <w:gridCol w:w="1197"/>
        <w:gridCol w:w="1089"/>
      </w:tblGrid>
      <w:tr w:rsidR="00567B15" w:rsidTr="00567B15">
        <w:tblPrEx>
          <w:tblCellMar>
            <w:top w:w="0" w:type="dxa"/>
            <w:bottom w:w="0" w:type="dxa"/>
          </w:tblCellMar>
        </w:tblPrEx>
        <w:trPr>
          <w:cantSplit/>
          <w:trHeight w:val="554"/>
        </w:trPr>
        <w:tc>
          <w:tcPr>
            <w:tcW w:w="1433" w:type="dxa"/>
            <w:tcBorders>
              <w:bottom w:val="single" w:sz="4" w:space="0" w:color="auto"/>
            </w:tcBorders>
          </w:tcPr>
          <w:p w:rsidR="00567B15" w:rsidRDefault="00567B15">
            <w:pPr>
              <w:spacing w:before="260" w:after="0" w:line="320" w:lineRule="exact"/>
              <w:jc w:val="center"/>
              <w:rPr>
                <w:sz w:val="26"/>
                <w:szCs w:val="26"/>
              </w:rPr>
            </w:pPr>
            <w:r>
              <w:rPr>
                <w:rFonts w:hint="cs"/>
                <w:sz w:val="26"/>
                <w:szCs w:val="26"/>
                <w:rtl/>
              </w:rPr>
              <w:t>المنطقة</w:t>
            </w:r>
          </w:p>
        </w:tc>
        <w:tc>
          <w:tcPr>
            <w:tcW w:w="1080" w:type="dxa"/>
            <w:tcBorders>
              <w:bottom w:val="single" w:sz="4" w:space="0" w:color="auto"/>
            </w:tcBorders>
          </w:tcPr>
          <w:p w:rsidR="00567B15" w:rsidRDefault="00567B15">
            <w:pPr>
              <w:spacing w:before="260" w:after="0" w:line="320" w:lineRule="exact"/>
              <w:jc w:val="center"/>
              <w:rPr>
                <w:rFonts w:hint="cs"/>
                <w:sz w:val="26"/>
                <w:szCs w:val="26"/>
              </w:rPr>
            </w:pPr>
            <w:r>
              <w:rPr>
                <w:rFonts w:hint="cs"/>
                <w:sz w:val="26"/>
                <w:szCs w:val="26"/>
                <w:rtl/>
              </w:rPr>
              <w:t>1995</w:t>
            </w:r>
          </w:p>
        </w:tc>
        <w:tc>
          <w:tcPr>
            <w:tcW w:w="1080" w:type="dxa"/>
            <w:tcBorders>
              <w:bottom w:val="single" w:sz="4" w:space="0" w:color="auto"/>
            </w:tcBorders>
          </w:tcPr>
          <w:p w:rsidR="00567B15" w:rsidRDefault="00567B15">
            <w:pPr>
              <w:spacing w:before="260" w:after="0" w:line="320" w:lineRule="exact"/>
              <w:jc w:val="center"/>
              <w:rPr>
                <w:rFonts w:hint="cs"/>
                <w:sz w:val="26"/>
                <w:szCs w:val="26"/>
              </w:rPr>
            </w:pPr>
            <w:r>
              <w:rPr>
                <w:rFonts w:hint="cs"/>
                <w:sz w:val="26"/>
                <w:szCs w:val="26"/>
                <w:rtl/>
              </w:rPr>
              <w:t>1998</w:t>
            </w:r>
          </w:p>
        </w:tc>
        <w:tc>
          <w:tcPr>
            <w:tcW w:w="1082" w:type="dxa"/>
            <w:tcBorders>
              <w:bottom w:val="single" w:sz="4" w:space="0" w:color="auto"/>
            </w:tcBorders>
          </w:tcPr>
          <w:p w:rsidR="00567B15" w:rsidRDefault="00567B15">
            <w:pPr>
              <w:spacing w:before="260" w:after="0" w:line="320" w:lineRule="exact"/>
              <w:jc w:val="center"/>
              <w:rPr>
                <w:rFonts w:hint="cs"/>
                <w:sz w:val="26"/>
                <w:szCs w:val="26"/>
              </w:rPr>
            </w:pPr>
            <w:r>
              <w:rPr>
                <w:rFonts w:hint="cs"/>
                <w:sz w:val="26"/>
                <w:szCs w:val="26"/>
                <w:rtl/>
              </w:rPr>
              <w:t>1999</w:t>
            </w:r>
          </w:p>
        </w:tc>
        <w:tc>
          <w:tcPr>
            <w:tcW w:w="2392" w:type="dxa"/>
            <w:gridSpan w:val="2"/>
            <w:tcBorders>
              <w:bottom w:val="single" w:sz="4" w:space="0" w:color="auto"/>
            </w:tcBorders>
          </w:tcPr>
          <w:p w:rsidR="00567B15" w:rsidRDefault="00567B15">
            <w:pPr>
              <w:spacing w:before="0" w:after="0" w:line="320" w:lineRule="exact"/>
              <w:jc w:val="center"/>
              <w:rPr>
                <w:rFonts w:hint="cs"/>
                <w:sz w:val="26"/>
                <w:szCs w:val="26"/>
                <w:rtl/>
              </w:rPr>
            </w:pPr>
            <w:r>
              <w:rPr>
                <w:rFonts w:hint="cs"/>
                <w:sz w:val="26"/>
                <w:szCs w:val="26"/>
                <w:rtl/>
              </w:rPr>
              <w:t>التغير في الفترة</w:t>
            </w:r>
          </w:p>
          <w:p w:rsidR="00567B15" w:rsidRDefault="00567B15">
            <w:pPr>
              <w:spacing w:before="0" w:after="0" w:line="320" w:lineRule="exact"/>
              <w:jc w:val="center"/>
              <w:rPr>
                <w:rFonts w:hint="cs"/>
                <w:sz w:val="26"/>
                <w:szCs w:val="26"/>
              </w:rPr>
            </w:pPr>
            <w:r>
              <w:rPr>
                <w:rFonts w:hint="cs"/>
                <w:sz w:val="26"/>
                <w:szCs w:val="26"/>
                <w:rtl/>
              </w:rPr>
              <w:t>1995-1998</w:t>
            </w:r>
          </w:p>
        </w:tc>
        <w:tc>
          <w:tcPr>
            <w:tcW w:w="2286" w:type="dxa"/>
            <w:gridSpan w:val="2"/>
            <w:tcBorders>
              <w:bottom w:val="single" w:sz="4" w:space="0" w:color="auto"/>
            </w:tcBorders>
          </w:tcPr>
          <w:p w:rsidR="00567B15" w:rsidRDefault="00567B15">
            <w:pPr>
              <w:spacing w:before="0" w:after="0" w:line="320" w:lineRule="exact"/>
              <w:jc w:val="center"/>
              <w:rPr>
                <w:rFonts w:hint="cs"/>
                <w:sz w:val="26"/>
                <w:szCs w:val="26"/>
                <w:rtl/>
              </w:rPr>
            </w:pPr>
            <w:r>
              <w:rPr>
                <w:rFonts w:hint="cs"/>
                <w:sz w:val="26"/>
                <w:szCs w:val="26"/>
                <w:rtl/>
              </w:rPr>
              <w:t>التغير في الفترة</w:t>
            </w:r>
          </w:p>
          <w:p w:rsidR="00567B15" w:rsidRDefault="00567B15">
            <w:pPr>
              <w:spacing w:before="0" w:after="0" w:line="320" w:lineRule="exact"/>
              <w:jc w:val="center"/>
              <w:rPr>
                <w:rFonts w:hint="cs"/>
                <w:sz w:val="26"/>
                <w:szCs w:val="26"/>
              </w:rPr>
            </w:pPr>
            <w:r>
              <w:rPr>
                <w:rFonts w:hint="cs"/>
                <w:sz w:val="26"/>
                <w:szCs w:val="26"/>
                <w:rtl/>
              </w:rPr>
              <w:t>1995-1999</w:t>
            </w:r>
          </w:p>
        </w:tc>
      </w:tr>
      <w:tr w:rsidR="00567B15" w:rsidTr="00567B15">
        <w:tblPrEx>
          <w:tblCellMar>
            <w:top w:w="0" w:type="dxa"/>
            <w:bottom w:w="0" w:type="dxa"/>
          </w:tblCellMar>
        </w:tblPrEx>
        <w:tc>
          <w:tcPr>
            <w:tcW w:w="1433" w:type="dxa"/>
            <w:tcBorders>
              <w:top w:val="single" w:sz="4" w:space="0" w:color="auto"/>
              <w:bottom w:val="single" w:sz="4" w:space="0" w:color="auto"/>
            </w:tcBorders>
          </w:tcPr>
          <w:p w:rsidR="00567B15" w:rsidRDefault="00567B15">
            <w:pPr>
              <w:spacing w:before="0" w:after="0" w:line="380" w:lineRule="exact"/>
              <w:jc w:val="both"/>
              <w:rPr>
                <w:sz w:val="26"/>
                <w:szCs w:val="26"/>
              </w:rPr>
            </w:pPr>
          </w:p>
        </w:tc>
        <w:tc>
          <w:tcPr>
            <w:tcW w:w="1080" w:type="dxa"/>
            <w:tcBorders>
              <w:top w:val="single" w:sz="4" w:space="0" w:color="auto"/>
              <w:bottom w:val="single" w:sz="4" w:space="0" w:color="auto"/>
            </w:tcBorders>
          </w:tcPr>
          <w:p w:rsidR="00567B15" w:rsidRDefault="00567B15">
            <w:pPr>
              <w:spacing w:before="0" w:after="0" w:line="380" w:lineRule="exact"/>
              <w:jc w:val="both"/>
              <w:rPr>
                <w:rFonts w:hint="cs"/>
                <w:sz w:val="26"/>
                <w:szCs w:val="26"/>
              </w:rPr>
            </w:pPr>
          </w:p>
        </w:tc>
        <w:tc>
          <w:tcPr>
            <w:tcW w:w="1080" w:type="dxa"/>
            <w:tcBorders>
              <w:top w:val="single" w:sz="4" w:space="0" w:color="auto"/>
              <w:bottom w:val="single" w:sz="4" w:space="0" w:color="auto"/>
            </w:tcBorders>
          </w:tcPr>
          <w:p w:rsidR="00567B15" w:rsidRDefault="00567B15">
            <w:pPr>
              <w:spacing w:before="0" w:after="0" w:line="380" w:lineRule="exact"/>
              <w:ind w:firstLine="72"/>
              <w:jc w:val="both"/>
              <w:rPr>
                <w:rFonts w:hint="cs"/>
                <w:sz w:val="26"/>
                <w:szCs w:val="26"/>
              </w:rPr>
            </w:pPr>
          </w:p>
        </w:tc>
        <w:tc>
          <w:tcPr>
            <w:tcW w:w="1082" w:type="dxa"/>
            <w:tcBorders>
              <w:top w:val="single" w:sz="4" w:space="0" w:color="auto"/>
              <w:bottom w:val="single" w:sz="4" w:space="0" w:color="auto"/>
            </w:tcBorders>
          </w:tcPr>
          <w:p w:rsidR="00567B15" w:rsidRDefault="00567B15">
            <w:pPr>
              <w:spacing w:before="0" w:after="0" w:line="380" w:lineRule="exact"/>
              <w:ind w:left="46" w:firstLine="26"/>
              <w:jc w:val="both"/>
              <w:rPr>
                <w:rFonts w:hint="cs"/>
                <w:sz w:val="26"/>
                <w:szCs w:val="26"/>
              </w:rPr>
            </w:pPr>
          </w:p>
        </w:tc>
        <w:tc>
          <w:tcPr>
            <w:tcW w:w="1196" w:type="dxa"/>
            <w:tcBorders>
              <w:top w:val="single" w:sz="4" w:space="0" w:color="auto"/>
              <w:bottom w:val="single" w:sz="4" w:space="0" w:color="auto"/>
            </w:tcBorders>
          </w:tcPr>
          <w:p w:rsidR="00567B15" w:rsidRDefault="00567B15">
            <w:pPr>
              <w:spacing w:before="0" w:after="0" w:line="380" w:lineRule="exact"/>
              <w:jc w:val="both"/>
              <w:rPr>
                <w:rFonts w:hint="cs"/>
                <w:sz w:val="26"/>
                <w:szCs w:val="26"/>
              </w:rPr>
            </w:pPr>
            <w:r>
              <w:rPr>
                <w:rFonts w:hint="cs"/>
                <w:sz w:val="26"/>
                <w:szCs w:val="26"/>
                <w:rtl/>
              </w:rPr>
              <w:t>أرقام مطلقة</w:t>
            </w:r>
          </w:p>
        </w:tc>
        <w:tc>
          <w:tcPr>
            <w:tcW w:w="1196" w:type="dxa"/>
            <w:tcBorders>
              <w:top w:val="single" w:sz="4" w:space="0" w:color="auto"/>
              <w:bottom w:val="single" w:sz="4" w:space="0" w:color="auto"/>
            </w:tcBorders>
          </w:tcPr>
          <w:p w:rsidR="00567B15" w:rsidRDefault="00567B15">
            <w:pPr>
              <w:spacing w:before="0" w:after="0" w:line="380" w:lineRule="exact"/>
              <w:jc w:val="both"/>
              <w:rPr>
                <w:rFonts w:hint="cs"/>
                <w:sz w:val="26"/>
                <w:szCs w:val="26"/>
              </w:rPr>
            </w:pPr>
            <w:r>
              <w:rPr>
                <w:rFonts w:hint="cs"/>
                <w:sz w:val="26"/>
                <w:szCs w:val="26"/>
                <w:rtl/>
              </w:rPr>
              <w:t>نسبة مئوية</w:t>
            </w:r>
          </w:p>
        </w:tc>
        <w:tc>
          <w:tcPr>
            <w:tcW w:w="1197" w:type="dxa"/>
            <w:tcBorders>
              <w:top w:val="single" w:sz="4" w:space="0" w:color="auto"/>
              <w:bottom w:val="single" w:sz="4" w:space="0" w:color="auto"/>
            </w:tcBorders>
          </w:tcPr>
          <w:p w:rsidR="00567B15" w:rsidRDefault="00567B15">
            <w:pPr>
              <w:spacing w:before="0" w:after="0" w:line="380" w:lineRule="exact"/>
              <w:jc w:val="both"/>
              <w:rPr>
                <w:rFonts w:hint="cs"/>
                <w:sz w:val="26"/>
                <w:szCs w:val="26"/>
              </w:rPr>
            </w:pPr>
            <w:r>
              <w:rPr>
                <w:rFonts w:hint="cs"/>
                <w:sz w:val="26"/>
                <w:szCs w:val="26"/>
                <w:rtl/>
              </w:rPr>
              <w:t>أرقام مطلقة</w:t>
            </w:r>
          </w:p>
        </w:tc>
        <w:tc>
          <w:tcPr>
            <w:tcW w:w="1089" w:type="dxa"/>
            <w:tcBorders>
              <w:top w:val="single" w:sz="4" w:space="0" w:color="auto"/>
              <w:bottom w:val="single" w:sz="4" w:space="0" w:color="auto"/>
            </w:tcBorders>
          </w:tcPr>
          <w:p w:rsidR="00567B15" w:rsidRDefault="00567B15">
            <w:pPr>
              <w:spacing w:before="0" w:after="0" w:line="380" w:lineRule="exact"/>
              <w:jc w:val="both"/>
              <w:rPr>
                <w:rFonts w:hint="cs"/>
                <w:sz w:val="26"/>
                <w:szCs w:val="26"/>
              </w:rPr>
            </w:pPr>
            <w:r>
              <w:rPr>
                <w:rFonts w:hint="cs"/>
                <w:sz w:val="26"/>
                <w:szCs w:val="26"/>
                <w:rtl/>
              </w:rPr>
              <w:t>نسبة مئوية</w:t>
            </w:r>
          </w:p>
        </w:tc>
      </w:tr>
      <w:tr w:rsidR="00567B15" w:rsidTr="00567B15">
        <w:tblPrEx>
          <w:tblCellMar>
            <w:top w:w="0" w:type="dxa"/>
            <w:bottom w:w="0" w:type="dxa"/>
          </w:tblCellMar>
        </w:tblPrEx>
        <w:tc>
          <w:tcPr>
            <w:tcW w:w="1433" w:type="dxa"/>
            <w:tcBorders>
              <w:bottom w:val="nil"/>
            </w:tcBorders>
          </w:tcPr>
          <w:p w:rsidR="00567B15" w:rsidRDefault="00567B15">
            <w:pPr>
              <w:spacing w:before="0" w:after="0" w:line="380" w:lineRule="exact"/>
              <w:jc w:val="both"/>
              <w:rPr>
                <w:rFonts w:hint="cs"/>
                <w:sz w:val="26"/>
                <w:szCs w:val="26"/>
              </w:rPr>
            </w:pPr>
            <w:r>
              <w:rPr>
                <w:rFonts w:hint="cs"/>
                <w:sz w:val="26"/>
                <w:szCs w:val="26"/>
                <w:rtl/>
              </w:rPr>
              <w:t>منطقة المرتفعات</w:t>
            </w:r>
          </w:p>
        </w:tc>
        <w:tc>
          <w:tcPr>
            <w:tcW w:w="1080" w:type="dxa"/>
            <w:tcBorders>
              <w:bottom w:val="nil"/>
            </w:tcBorders>
          </w:tcPr>
          <w:p w:rsidR="00567B15" w:rsidRDefault="00567B15">
            <w:pPr>
              <w:spacing w:before="0" w:after="0" w:line="380" w:lineRule="exact"/>
              <w:jc w:val="center"/>
              <w:rPr>
                <w:rFonts w:hint="cs"/>
                <w:sz w:val="26"/>
                <w:szCs w:val="26"/>
              </w:rPr>
            </w:pPr>
            <w:r>
              <w:rPr>
                <w:rFonts w:hint="cs"/>
                <w:sz w:val="26"/>
                <w:szCs w:val="26"/>
                <w:rtl/>
              </w:rPr>
              <w:t>6.5</w:t>
            </w:r>
          </w:p>
        </w:tc>
        <w:tc>
          <w:tcPr>
            <w:tcW w:w="1080" w:type="dxa"/>
            <w:tcBorders>
              <w:bottom w:val="nil"/>
            </w:tcBorders>
          </w:tcPr>
          <w:p w:rsidR="00567B15" w:rsidRDefault="00567B15">
            <w:pPr>
              <w:spacing w:before="0" w:after="0" w:line="380" w:lineRule="exact"/>
              <w:ind w:left="72" w:firstLine="72"/>
              <w:jc w:val="both"/>
              <w:rPr>
                <w:rFonts w:hint="cs"/>
                <w:sz w:val="26"/>
                <w:szCs w:val="26"/>
              </w:rPr>
            </w:pPr>
            <w:r>
              <w:rPr>
                <w:rFonts w:hint="cs"/>
                <w:sz w:val="26"/>
                <w:szCs w:val="26"/>
                <w:rtl/>
              </w:rPr>
              <w:t>9.6</w:t>
            </w:r>
          </w:p>
        </w:tc>
        <w:tc>
          <w:tcPr>
            <w:tcW w:w="1082" w:type="dxa"/>
            <w:tcBorders>
              <w:bottom w:val="nil"/>
            </w:tcBorders>
          </w:tcPr>
          <w:p w:rsidR="00567B15" w:rsidRDefault="00567B15">
            <w:pPr>
              <w:spacing w:before="0" w:after="0" w:line="380" w:lineRule="exact"/>
              <w:ind w:left="46" w:firstLine="26"/>
              <w:jc w:val="center"/>
              <w:rPr>
                <w:rFonts w:hint="cs"/>
                <w:sz w:val="26"/>
                <w:szCs w:val="26"/>
              </w:rPr>
            </w:pPr>
            <w:r>
              <w:rPr>
                <w:rFonts w:hint="cs"/>
                <w:sz w:val="26"/>
                <w:szCs w:val="26"/>
                <w:rtl/>
              </w:rPr>
              <w:t>12.7</w:t>
            </w:r>
          </w:p>
        </w:tc>
        <w:tc>
          <w:tcPr>
            <w:tcW w:w="1196" w:type="dxa"/>
            <w:tcBorders>
              <w:bottom w:val="nil"/>
            </w:tcBorders>
          </w:tcPr>
          <w:p w:rsidR="00567B15" w:rsidRDefault="00567B15">
            <w:pPr>
              <w:spacing w:before="0" w:after="0" w:line="380" w:lineRule="exact"/>
              <w:jc w:val="center"/>
              <w:rPr>
                <w:rFonts w:hint="cs"/>
                <w:sz w:val="26"/>
                <w:szCs w:val="26"/>
              </w:rPr>
            </w:pPr>
            <w:r>
              <w:rPr>
                <w:rFonts w:hint="cs"/>
                <w:sz w:val="26"/>
                <w:szCs w:val="26"/>
                <w:rtl/>
              </w:rPr>
              <w:t>3.1</w:t>
            </w:r>
          </w:p>
        </w:tc>
        <w:tc>
          <w:tcPr>
            <w:tcW w:w="1196" w:type="dxa"/>
            <w:tcBorders>
              <w:bottom w:val="nil"/>
            </w:tcBorders>
          </w:tcPr>
          <w:p w:rsidR="00567B15" w:rsidRDefault="00567B15">
            <w:pPr>
              <w:spacing w:before="0" w:after="0" w:line="380" w:lineRule="exact"/>
              <w:jc w:val="center"/>
              <w:rPr>
                <w:rFonts w:hint="cs"/>
                <w:sz w:val="26"/>
                <w:szCs w:val="26"/>
              </w:rPr>
            </w:pPr>
            <w:r>
              <w:rPr>
                <w:rFonts w:hint="cs"/>
                <w:sz w:val="26"/>
                <w:szCs w:val="26"/>
                <w:rtl/>
              </w:rPr>
              <w:t>48</w:t>
            </w:r>
            <w:r>
              <w:rPr>
                <w:rFonts w:cs="Mudir MT" w:hint="cs"/>
                <w:sz w:val="26"/>
                <w:szCs w:val="26"/>
                <w:rtl/>
                <w:lang w:eastAsia="en-US"/>
              </w:rPr>
              <w:t>%</w:t>
            </w:r>
          </w:p>
        </w:tc>
        <w:tc>
          <w:tcPr>
            <w:tcW w:w="1197" w:type="dxa"/>
            <w:tcBorders>
              <w:bottom w:val="nil"/>
            </w:tcBorders>
          </w:tcPr>
          <w:p w:rsidR="00567B15" w:rsidRDefault="00567B15">
            <w:pPr>
              <w:spacing w:before="0" w:after="0" w:line="380" w:lineRule="exact"/>
              <w:jc w:val="center"/>
              <w:rPr>
                <w:rFonts w:hint="cs"/>
                <w:sz w:val="26"/>
                <w:szCs w:val="26"/>
              </w:rPr>
            </w:pPr>
            <w:r>
              <w:rPr>
                <w:rFonts w:hint="cs"/>
                <w:sz w:val="26"/>
                <w:szCs w:val="26"/>
                <w:rtl/>
              </w:rPr>
              <w:t>6.2</w:t>
            </w:r>
          </w:p>
        </w:tc>
        <w:tc>
          <w:tcPr>
            <w:tcW w:w="1089" w:type="dxa"/>
            <w:tcBorders>
              <w:bottom w:val="nil"/>
            </w:tcBorders>
          </w:tcPr>
          <w:p w:rsidR="00567B15" w:rsidRDefault="00567B15">
            <w:pPr>
              <w:spacing w:before="0" w:after="0" w:line="380" w:lineRule="exact"/>
              <w:ind w:left="81"/>
              <w:jc w:val="both"/>
              <w:rPr>
                <w:rFonts w:hint="cs"/>
                <w:sz w:val="26"/>
                <w:szCs w:val="26"/>
              </w:rPr>
            </w:pPr>
            <w:r>
              <w:rPr>
                <w:rFonts w:hint="cs"/>
                <w:sz w:val="26"/>
                <w:szCs w:val="26"/>
                <w:rtl/>
              </w:rPr>
              <w:t>95</w:t>
            </w:r>
            <w:r>
              <w:rPr>
                <w:rFonts w:cs="Mudir MT" w:hint="cs"/>
                <w:sz w:val="26"/>
                <w:szCs w:val="26"/>
                <w:rtl/>
                <w:lang w:eastAsia="en-US"/>
              </w:rPr>
              <w:t>%</w:t>
            </w:r>
          </w:p>
        </w:tc>
      </w:tr>
      <w:tr w:rsidR="00567B15" w:rsidTr="00567B15">
        <w:tblPrEx>
          <w:tblCellMar>
            <w:top w:w="0" w:type="dxa"/>
            <w:bottom w:w="0" w:type="dxa"/>
          </w:tblCellMar>
        </w:tblPrEx>
        <w:tc>
          <w:tcPr>
            <w:tcW w:w="1433" w:type="dxa"/>
            <w:tcBorders>
              <w:top w:val="nil"/>
              <w:bottom w:val="nil"/>
            </w:tcBorders>
          </w:tcPr>
          <w:p w:rsidR="00567B15" w:rsidRDefault="00567B15">
            <w:pPr>
              <w:spacing w:before="0" w:after="0" w:line="380" w:lineRule="exact"/>
              <w:jc w:val="both"/>
              <w:rPr>
                <w:rFonts w:hint="cs"/>
                <w:sz w:val="26"/>
                <w:szCs w:val="26"/>
              </w:rPr>
            </w:pPr>
            <w:r>
              <w:rPr>
                <w:rFonts w:hint="cs"/>
                <w:sz w:val="26"/>
                <w:szCs w:val="26"/>
                <w:rtl/>
              </w:rPr>
              <w:t>المنطقة الساحلية</w:t>
            </w:r>
          </w:p>
        </w:tc>
        <w:tc>
          <w:tcPr>
            <w:tcW w:w="1080" w:type="dxa"/>
            <w:tcBorders>
              <w:top w:val="nil"/>
              <w:bottom w:val="nil"/>
            </w:tcBorders>
          </w:tcPr>
          <w:p w:rsidR="00567B15" w:rsidRDefault="00567B15">
            <w:pPr>
              <w:spacing w:before="0" w:after="0" w:line="380" w:lineRule="exact"/>
              <w:jc w:val="center"/>
              <w:rPr>
                <w:rFonts w:hint="cs"/>
                <w:sz w:val="26"/>
                <w:szCs w:val="26"/>
              </w:rPr>
            </w:pPr>
            <w:r>
              <w:rPr>
                <w:rFonts w:hint="cs"/>
                <w:sz w:val="26"/>
                <w:szCs w:val="26"/>
                <w:rtl/>
              </w:rPr>
              <w:t>7.1</w:t>
            </w:r>
          </w:p>
        </w:tc>
        <w:tc>
          <w:tcPr>
            <w:tcW w:w="1080" w:type="dxa"/>
            <w:tcBorders>
              <w:top w:val="nil"/>
              <w:bottom w:val="nil"/>
            </w:tcBorders>
          </w:tcPr>
          <w:p w:rsidR="00567B15" w:rsidRDefault="00567B15">
            <w:pPr>
              <w:spacing w:before="0" w:after="0" w:line="380" w:lineRule="exact"/>
              <w:ind w:left="72" w:firstLine="72"/>
              <w:jc w:val="both"/>
              <w:rPr>
                <w:rFonts w:hint="cs"/>
                <w:sz w:val="26"/>
                <w:szCs w:val="26"/>
              </w:rPr>
            </w:pPr>
            <w:r>
              <w:rPr>
                <w:rFonts w:hint="cs"/>
                <w:sz w:val="26"/>
                <w:szCs w:val="26"/>
                <w:rtl/>
              </w:rPr>
              <w:t>12.8</w:t>
            </w:r>
          </w:p>
        </w:tc>
        <w:tc>
          <w:tcPr>
            <w:tcW w:w="1082" w:type="dxa"/>
            <w:tcBorders>
              <w:top w:val="nil"/>
              <w:bottom w:val="nil"/>
            </w:tcBorders>
          </w:tcPr>
          <w:p w:rsidR="00567B15" w:rsidRDefault="00567B15">
            <w:pPr>
              <w:spacing w:before="0" w:after="0" w:line="380" w:lineRule="exact"/>
              <w:ind w:left="46" w:firstLine="26"/>
              <w:jc w:val="center"/>
              <w:rPr>
                <w:rFonts w:hint="cs"/>
                <w:sz w:val="26"/>
                <w:szCs w:val="26"/>
              </w:rPr>
            </w:pPr>
            <w:r>
              <w:rPr>
                <w:rFonts w:hint="cs"/>
                <w:sz w:val="26"/>
                <w:szCs w:val="26"/>
                <w:rtl/>
              </w:rPr>
              <w:t>15.8</w:t>
            </w:r>
          </w:p>
        </w:tc>
        <w:tc>
          <w:tcPr>
            <w:tcW w:w="1196" w:type="dxa"/>
            <w:tcBorders>
              <w:top w:val="nil"/>
              <w:bottom w:val="nil"/>
            </w:tcBorders>
          </w:tcPr>
          <w:p w:rsidR="00567B15" w:rsidRDefault="00567B15">
            <w:pPr>
              <w:spacing w:before="0" w:after="0" w:line="380" w:lineRule="exact"/>
              <w:jc w:val="center"/>
              <w:rPr>
                <w:rFonts w:hint="cs"/>
                <w:sz w:val="26"/>
                <w:szCs w:val="26"/>
              </w:rPr>
            </w:pPr>
            <w:r>
              <w:rPr>
                <w:rFonts w:hint="cs"/>
                <w:sz w:val="26"/>
                <w:szCs w:val="26"/>
                <w:rtl/>
              </w:rPr>
              <w:t>5.7</w:t>
            </w:r>
          </w:p>
        </w:tc>
        <w:tc>
          <w:tcPr>
            <w:tcW w:w="1196" w:type="dxa"/>
            <w:tcBorders>
              <w:top w:val="nil"/>
              <w:bottom w:val="nil"/>
            </w:tcBorders>
          </w:tcPr>
          <w:p w:rsidR="00567B15" w:rsidRDefault="00567B15">
            <w:pPr>
              <w:spacing w:before="0" w:after="0" w:line="380" w:lineRule="exact"/>
              <w:jc w:val="center"/>
              <w:rPr>
                <w:rFonts w:hint="cs"/>
                <w:sz w:val="26"/>
                <w:szCs w:val="26"/>
              </w:rPr>
            </w:pPr>
            <w:r>
              <w:rPr>
                <w:rFonts w:hint="cs"/>
                <w:sz w:val="26"/>
                <w:szCs w:val="26"/>
                <w:rtl/>
              </w:rPr>
              <w:t>80</w:t>
            </w:r>
            <w:r>
              <w:rPr>
                <w:rFonts w:cs="Mudir MT" w:hint="cs"/>
                <w:sz w:val="26"/>
                <w:szCs w:val="26"/>
                <w:rtl/>
                <w:lang w:eastAsia="en-US"/>
              </w:rPr>
              <w:t>%</w:t>
            </w:r>
          </w:p>
        </w:tc>
        <w:tc>
          <w:tcPr>
            <w:tcW w:w="1197" w:type="dxa"/>
            <w:tcBorders>
              <w:top w:val="nil"/>
              <w:bottom w:val="nil"/>
            </w:tcBorders>
          </w:tcPr>
          <w:p w:rsidR="00567B15" w:rsidRDefault="00567B15">
            <w:pPr>
              <w:spacing w:before="0" w:after="0" w:line="380" w:lineRule="exact"/>
              <w:jc w:val="center"/>
              <w:rPr>
                <w:rFonts w:hint="cs"/>
                <w:sz w:val="26"/>
                <w:szCs w:val="26"/>
              </w:rPr>
            </w:pPr>
            <w:r>
              <w:rPr>
                <w:rFonts w:hint="cs"/>
                <w:sz w:val="26"/>
                <w:szCs w:val="26"/>
                <w:rtl/>
              </w:rPr>
              <w:t>8.7</w:t>
            </w:r>
          </w:p>
        </w:tc>
        <w:tc>
          <w:tcPr>
            <w:tcW w:w="1089" w:type="dxa"/>
            <w:tcBorders>
              <w:top w:val="nil"/>
              <w:bottom w:val="nil"/>
            </w:tcBorders>
          </w:tcPr>
          <w:p w:rsidR="00567B15" w:rsidRDefault="00567B15">
            <w:pPr>
              <w:spacing w:before="0" w:after="0" w:line="380" w:lineRule="exact"/>
              <w:ind w:left="81"/>
              <w:jc w:val="both"/>
              <w:rPr>
                <w:rFonts w:hint="cs"/>
                <w:sz w:val="26"/>
                <w:szCs w:val="26"/>
              </w:rPr>
            </w:pPr>
            <w:r>
              <w:rPr>
                <w:rFonts w:hint="cs"/>
                <w:sz w:val="26"/>
                <w:szCs w:val="26"/>
                <w:rtl/>
              </w:rPr>
              <w:t>123</w:t>
            </w:r>
            <w:r>
              <w:rPr>
                <w:rFonts w:cs="Mudir MT" w:hint="cs"/>
                <w:sz w:val="26"/>
                <w:szCs w:val="26"/>
                <w:rtl/>
                <w:lang w:eastAsia="en-US"/>
              </w:rPr>
              <w:t>%</w:t>
            </w:r>
          </w:p>
        </w:tc>
      </w:tr>
      <w:tr w:rsidR="00567B15" w:rsidTr="00567B15">
        <w:tblPrEx>
          <w:tblCellMar>
            <w:top w:w="0" w:type="dxa"/>
            <w:bottom w:w="0" w:type="dxa"/>
          </w:tblCellMar>
        </w:tblPrEx>
        <w:tc>
          <w:tcPr>
            <w:tcW w:w="1433" w:type="dxa"/>
            <w:tcBorders>
              <w:top w:val="nil"/>
            </w:tcBorders>
          </w:tcPr>
          <w:p w:rsidR="00567B15" w:rsidRDefault="00567B15">
            <w:pPr>
              <w:spacing w:before="0" w:after="0" w:line="380" w:lineRule="exact"/>
              <w:jc w:val="both"/>
              <w:rPr>
                <w:rFonts w:hint="cs"/>
                <w:sz w:val="26"/>
                <w:szCs w:val="26"/>
              </w:rPr>
            </w:pPr>
            <w:r>
              <w:rPr>
                <w:rFonts w:hint="cs"/>
                <w:sz w:val="26"/>
                <w:szCs w:val="26"/>
                <w:rtl/>
              </w:rPr>
              <w:t>منطقة الأمازون</w:t>
            </w:r>
          </w:p>
        </w:tc>
        <w:tc>
          <w:tcPr>
            <w:tcW w:w="1080" w:type="dxa"/>
            <w:tcBorders>
              <w:top w:val="nil"/>
            </w:tcBorders>
          </w:tcPr>
          <w:p w:rsidR="00567B15" w:rsidRDefault="00567B15">
            <w:pPr>
              <w:spacing w:before="0" w:after="0" w:line="380" w:lineRule="exact"/>
              <w:jc w:val="center"/>
              <w:rPr>
                <w:rFonts w:hint="cs"/>
                <w:sz w:val="26"/>
                <w:szCs w:val="26"/>
              </w:rPr>
            </w:pPr>
            <w:r>
              <w:rPr>
                <w:rFonts w:hint="cs"/>
                <w:sz w:val="26"/>
                <w:szCs w:val="26"/>
                <w:rtl/>
              </w:rPr>
              <w:t>5.5</w:t>
            </w:r>
          </w:p>
        </w:tc>
        <w:tc>
          <w:tcPr>
            <w:tcW w:w="1080" w:type="dxa"/>
            <w:tcBorders>
              <w:top w:val="nil"/>
            </w:tcBorders>
          </w:tcPr>
          <w:p w:rsidR="00567B15" w:rsidRDefault="00567B15">
            <w:pPr>
              <w:spacing w:before="0" w:after="0" w:line="380" w:lineRule="exact"/>
              <w:ind w:left="72" w:firstLine="72"/>
              <w:jc w:val="both"/>
              <w:rPr>
                <w:rFonts w:hint="cs"/>
                <w:sz w:val="26"/>
                <w:szCs w:val="26"/>
              </w:rPr>
            </w:pPr>
            <w:r>
              <w:rPr>
                <w:rFonts w:hint="cs"/>
                <w:sz w:val="26"/>
                <w:szCs w:val="26"/>
                <w:rtl/>
              </w:rPr>
              <w:t>8.6</w:t>
            </w:r>
          </w:p>
        </w:tc>
        <w:tc>
          <w:tcPr>
            <w:tcW w:w="1082" w:type="dxa"/>
            <w:tcBorders>
              <w:top w:val="nil"/>
            </w:tcBorders>
          </w:tcPr>
          <w:p w:rsidR="00567B15" w:rsidRDefault="00567B15">
            <w:pPr>
              <w:spacing w:before="0" w:after="0" w:line="380" w:lineRule="exact"/>
              <w:ind w:left="46" w:firstLine="26"/>
              <w:jc w:val="center"/>
              <w:rPr>
                <w:rFonts w:hint="cs"/>
                <w:sz w:val="26"/>
                <w:szCs w:val="26"/>
              </w:rPr>
            </w:pPr>
            <w:r>
              <w:rPr>
                <w:rFonts w:hint="cs"/>
                <w:sz w:val="26"/>
                <w:szCs w:val="26"/>
                <w:rtl/>
              </w:rPr>
              <w:t>12.2</w:t>
            </w:r>
          </w:p>
        </w:tc>
        <w:tc>
          <w:tcPr>
            <w:tcW w:w="1196" w:type="dxa"/>
            <w:tcBorders>
              <w:top w:val="nil"/>
            </w:tcBorders>
          </w:tcPr>
          <w:p w:rsidR="00567B15" w:rsidRDefault="00567B15">
            <w:pPr>
              <w:spacing w:before="0" w:after="0" w:line="380" w:lineRule="exact"/>
              <w:jc w:val="center"/>
              <w:rPr>
                <w:rFonts w:hint="cs"/>
                <w:sz w:val="26"/>
                <w:szCs w:val="26"/>
              </w:rPr>
            </w:pPr>
            <w:r>
              <w:rPr>
                <w:rFonts w:hint="cs"/>
                <w:sz w:val="26"/>
                <w:szCs w:val="26"/>
                <w:rtl/>
              </w:rPr>
              <w:t>3.1</w:t>
            </w:r>
          </w:p>
        </w:tc>
        <w:tc>
          <w:tcPr>
            <w:tcW w:w="1196" w:type="dxa"/>
            <w:tcBorders>
              <w:top w:val="nil"/>
            </w:tcBorders>
          </w:tcPr>
          <w:p w:rsidR="00567B15" w:rsidRDefault="00567B15">
            <w:pPr>
              <w:spacing w:before="0" w:after="0" w:line="380" w:lineRule="exact"/>
              <w:jc w:val="center"/>
              <w:rPr>
                <w:rFonts w:hint="cs"/>
                <w:sz w:val="26"/>
                <w:szCs w:val="26"/>
              </w:rPr>
            </w:pPr>
            <w:r>
              <w:rPr>
                <w:rFonts w:hint="cs"/>
                <w:sz w:val="26"/>
                <w:szCs w:val="26"/>
                <w:rtl/>
              </w:rPr>
              <w:t>56</w:t>
            </w:r>
            <w:r>
              <w:rPr>
                <w:rFonts w:cs="Mudir MT" w:hint="cs"/>
                <w:sz w:val="26"/>
                <w:szCs w:val="26"/>
                <w:rtl/>
                <w:lang w:eastAsia="en-US"/>
              </w:rPr>
              <w:t>%</w:t>
            </w:r>
          </w:p>
        </w:tc>
        <w:tc>
          <w:tcPr>
            <w:tcW w:w="1197" w:type="dxa"/>
            <w:tcBorders>
              <w:top w:val="nil"/>
            </w:tcBorders>
          </w:tcPr>
          <w:p w:rsidR="00567B15" w:rsidRDefault="00567B15">
            <w:pPr>
              <w:spacing w:before="0" w:after="0" w:line="380" w:lineRule="exact"/>
              <w:jc w:val="center"/>
              <w:rPr>
                <w:rFonts w:hint="cs"/>
                <w:sz w:val="26"/>
                <w:szCs w:val="26"/>
              </w:rPr>
            </w:pPr>
            <w:r>
              <w:rPr>
                <w:rFonts w:hint="cs"/>
                <w:sz w:val="26"/>
                <w:szCs w:val="26"/>
                <w:rtl/>
              </w:rPr>
              <w:t>6.7</w:t>
            </w:r>
          </w:p>
        </w:tc>
        <w:tc>
          <w:tcPr>
            <w:tcW w:w="1089" w:type="dxa"/>
            <w:tcBorders>
              <w:top w:val="nil"/>
            </w:tcBorders>
          </w:tcPr>
          <w:p w:rsidR="00567B15" w:rsidRDefault="00567B15">
            <w:pPr>
              <w:spacing w:before="0" w:after="0" w:line="380" w:lineRule="exact"/>
              <w:ind w:left="81"/>
              <w:jc w:val="both"/>
              <w:rPr>
                <w:rFonts w:hint="cs"/>
                <w:sz w:val="26"/>
                <w:szCs w:val="26"/>
              </w:rPr>
            </w:pPr>
            <w:r>
              <w:rPr>
                <w:rFonts w:hint="cs"/>
                <w:sz w:val="26"/>
                <w:szCs w:val="26"/>
                <w:rtl/>
              </w:rPr>
              <w:t>122</w:t>
            </w:r>
            <w:r>
              <w:rPr>
                <w:rFonts w:cs="Mudir MT" w:hint="cs"/>
                <w:sz w:val="26"/>
                <w:szCs w:val="26"/>
                <w:rtl/>
                <w:lang w:eastAsia="en-US"/>
              </w:rPr>
              <w:t>%</w:t>
            </w:r>
          </w:p>
        </w:tc>
      </w:tr>
    </w:tbl>
    <w:p w:rsidR="00000000" w:rsidRDefault="00567B15">
      <w:pPr>
        <w:spacing w:line="380" w:lineRule="exact"/>
        <w:jc w:val="both"/>
        <w:rPr>
          <w:rFonts w:hint="cs"/>
          <w:rtl/>
        </w:rPr>
      </w:pPr>
      <w:r>
        <w:rPr>
          <w:rFonts w:hint="cs"/>
          <w:rtl/>
        </w:rPr>
        <w:tab/>
      </w:r>
      <w:r>
        <w:rPr>
          <w:rFonts w:hint="cs"/>
          <w:u w:val="single"/>
          <w:rtl/>
        </w:rPr>
        <w:t>المصدر</w:t>
      </w:r>
      <w:r>
        <w:rPr>
          <w:rFonts w:hint="cs"/>
          <w:rtl/>
        </w:rPr>
        <w:t xml:space="preserve">: المعهد الوطني للإحصاء وتعداد السكان، دراسة عن </w:t>
      </w:r>
      <w:r>
        <w:rPr>
          <w:rFonts w:hint="cs"/>
          <w:i/>
          <w:iCs/>
          <w:rtl/>
        </w:rPr>
        <w:t>العمالة والعمالة الناقصة والبطالة في المدن</w:t>
      </w:r>
      <w:r>
        <w:rPr>
          <w:rFonts w:hint="cs"/>
          <w:rtl/>
        </w:rPr>
        <w:t>.</w:t>
      </w:r>
    </w:p>
    <w:p w:rsidR="00000000" w:rsidRDefault="00567B15">
      <w:pPr>
        <w:spacing w:after="180" w:line="380" w:lineRule="exact"/>
        <w:jc w:val="both"/>
        <w:rPr>
          <w:rFonts w:hint="cs"/>
          <w:rtl/>
        </w:rPr>
      </w:pPr>
      <w:r>
        <w:rPr>
          <w:rFonts w:hint="cs"/>
          <w:rtl/>
        </w:rPr>
        <w:t>59-</w:t>
      </w:r>
      <w:r>
        <w:rPr>
          <w:rFonts w:hint="cs"/>
          <w:rtl/>
        </w:rPr>
        <w:tab/>
        <w:t>وتعزى البطالة إلى سببين رئيسيين هما: تناقص الطلب على العمل ونمو السكان ا</w:t>
      </w:r>
      <w:r>
        <w:rPr>
          <w:rFonts w:hint="cs"/>
          <w:rtl/>
        </w:rPr>
        <w:t>لذين هم في سن العمل.</w:t>
      </w:r>
    </w:p>
    <w:p w:rsidR="00000000" w:rsidRDefault="00567B15">
      <w:pPr>
        <w:spacing w:before="180" w:line="380" w:lineRule="exact"/>
        <w:jc w:val="center"/>
        <w:rPr>
          <w:rFonts w:hint="cs"/>
          <w:b/>
          <w:bCs/>
          <w:rtl/>
        </w:rPr>
      </w:pPr>
      <w:r>
        <w:rPr>
          <w:rFonts w:hint="cs"/>
          <w:b/>
          <w:bCs/>
          <w:rtl/>
        </w:rPr>
        <w:t>مجموع سكان المناطق الحضرية (1990)</w:t>
      </w: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3"/>
        <w:gridCol w:w="1980"/>
        <w:gridCol w:w="1800"/>
        <w:gridCol w:w="1604"/>
      </w:tblGrid>
      <w:tr w:rsidR="00567B15" w:rsidTr="00567B15">
        <w:tblPrEx>
          <w:tblCellMar>
            <w:top w:w="0" w:type="dxa"/>
            <w:bottom w:w="0" w:type="dxa"/>
          </w:tblCellMar>
        </w:tblPrEx>
        <w:tc>
          <w:tcPr>
            <w:tcW w:w="3953"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الفئة</w:t>
            </w:r>
          </w:p>
        </w:tc>
        <w:tc>
          <w:tcPr>
            <w:tcW w:w="1980"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المجموع</w:t>
            </w:r>
          </w:p>
        </w:tc>
        <w:tc>
          <w:tcPr>
            <w:tcW w:w="1800"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الرجال</w:t>
            </w:r>
          </w:p>
        </w:tc>
        <w:tc>
          <w:tcPr>
            <w:tcW w:w="1604"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النساء</w:t>
            </w:r>
          </w:p>
        </w:tc>
      </w:tr>
      <w:tr w:rsidR="00567B15" w:rsidTr="00567B15">
        <w:tblPrEx>
          <w:tblCellMar>
            <w:top w:w="0" w:type="dxa"/>
            <w:bottom w:w="0" w:type="dxa"/>
          </w:tblCellMar>
        </w:tblPrEx>
        <w:tc>
          <w:tcPr>
            <w:tcW w:w="3953" w:type="dxa"/>
            <w:tcBorders>
              <w:top w:val="single" w:sz="4" w:space="0" w:color="auto"/>
              <w:bottom w:val="nil"/>
            </w:tcBorders>
          </w:tcPr>
          <w:p w:rsidR="00567B15" w:rsidRDefault="00567B15">
            <w:pPr>
              <w:spacing w:before="0" w:after="0"/>
              <w:jc w:val="both"/>
              <w:rPr>
                <w:rFonts w:hint="cs"/>
                <w:sz w:val="26"/>
                <w:szCs w:val="26"/>
              </w:rPr>
            </w:pPr>
            <w:r>
              <w:rPr>
                <w:rFonts w:hint="cs"/>
                <w:sz w:val="26"/>
                <w:szCs w:val="26"/>
                <w:rtl/>
              </w:rPr>
              <w:t>مجموع السكان</w:t>
            </w:r>
          </w:p>
        </w:tc>
        <w:tc>
          <w:tcPr>
            <w:tcW w:w="1980" w:type="dxa"/>
            <w:tcBorders>
              <w:top w:val="single" w:sz="4" w:space="0" w:color="auto"/>
              <w:bottom w:val="nil"/>
            </w:tcBorders>
          </w:tcPr>
          <w:p w:rsidR="00567B15" w:rsidRDefault="00567B15">
            <w:pPr>
              <w:spacing w:before="0" w:after="0"/>
              <w:ind w:left="252"/>
              <w:jc w:val="both"/>
              <w:rPr>
                <w:rFonts w:hint="cs"/>
                <w:sz w:val="26"/>
                <w:szCs w:val="26"/>
              </w:rPr>
            </w:pPr>
            <w:r>
              <w:rPr>
                <w:rFonts w:hint="cs"/>
                <w:sz w:val="26"/>
                <w:szCs w:val="26"/>
                <w:rtl/>
              </w:rPr>
              <w:t>978 172 6</w:t>
            </w:r>
          </w:p>
        </w:tc>
        <w:tc>
          <w:tcPr>
            <w:tcW w:w="1800" w:type="dxa"/>
            <w:tcBorders>
              <w:top w:val="single" w:sz="4" w:space="0" w:color="auto"/>
              <w:bottom w:val="nil"/>
            </w:tcBorders>
          </w:tcPr>
          <w:p w:rsidR="00567B15" w:rsidRDefault="00567B15">
            <w:pPr>
              <w:spacing w:before="0" w:after="0"/>
              <w:ind w:left="252"/>
              <w:jc w:val="both"/>
              <w:rPr>
                <w:rFonts w:hint="cs"/>
                <w:sz w:val="26"/>
                <w:szCs w:val="26"/>
              </w:rPr>
            </w:pPr>
            <w:r>
              <w:rPr>
                <w:rFonts w:hint="cs"/>
                <w:sz w:val="26"/>
                <w:szCs w:val="26"/>
                <w:rtl/>
              </w:rPr>
              <w:t>358 020 3</w:t>
            </w:r>
          </w:p>
        </w:tc>
        <w:tc>
          <w:tcPr>
            <w:tcW w:w="1604" w:type="dxa"/>
            <w:tcBorders>
              <w:top w:val="single" w:sz="4" w:space="0" w:color="auto"/>
              <w:bottom w:val="nil"/>
            </w:tcBorders>
          </w:tcPr>
          <w:p w:rsidR="00567B15" w:rsidRDefault="00567B15">
            <w:pPr>
              <w:spacing w:before="0" w:after="0"/>
              <w:ind w:left="252"/>
              <w:jc w:val="both"/>
              <w:rPr>
                <w:rFonts w:hint="cs"/>
                <w:sz w:val="26"/>
                <w:szCs w:val="26"/>
              </w:rPr>
            </w:pPr>
            <w:r>
              <w:rPr>
                <w:rFonts w:hint="cs"/>
                <w:sz w:val="26"/>
                <w:szCs w:val="26"/>
                <w:rtl/>
              </w:rPr>
              <w:t>620 152 3</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Pr>
            </w:pPr>
            <w:r>
              <w:rPr>
                <w:rFonts w:hint="cs"/>
                <w:sz w:val="26"/>
                <w:szCs w:val="26"/>
                <w:rtl/>
              </w:rPr>
              <w:t>السكان دون سن العاشرة</w:t>
            </w:r>
          </w:p>
        </w:tc>
        <w:tc>
          <w:tcPr>
            <w:tcW w:w="1980" w:type="dxa"/>
            <w:tcBorders>
              <w:top w:val="nil"/>
              <w:bottom w:val="nil"/>
            </w:tcBorders>
          </w:tcPr>
          <w:p w:rsidR="00567B15" w:rsidRDefault="00567B15">
            <w:pPr>
              <w:spacing w:before="0" w:after="0"/>
              <w:ind w:left="252"/>
              <w:jc w:val="both"/>
              <w:rPr>
                <w:rFonts w:hint="cs"/>
                <w:sz w:val="26"/>
                <w:szCs w:val="26"/>
              </w:rPr>
            </w:pPr>
            <w:r>
              <w:rPr>
                <w:rFonts w:hint="cs"/>
                <w:sz w:val="26"/>
                <w:szCs w:val="26"/>
                <w:rtl/>
              </w:rPr>
              <w:t>662 432 1</w:t>
            </w:r>
          </w:p>
        </w:tc>
        <w:tc>
          <w:tcPr>
            <w:tcW w:w="1800" w:type="dxa"/>
            <w:tcBorders>
              <w:top w:val="nil"/>
              <w:bottom w:val="nil"/>
            </w:tcBorders>
          </w:tcPr>
          <w:p w:rsidR="00567B15" w:rsidRDefault="00567B15">
            <w:pPr>
              <w:spacing w:before="0" w:after="0"/>
              <w:ind w:left="252"/>
              <w:jc w:val="both"/>
              <w:rPr>
                <w:rFonts w:hint="cs"/>
                <w:sz w:val="26"/>
                <w:szCs w:val="26"/>
              </w:rPr>
            </w:pPr>
            <w:r>
              <w:rPr>
                <w:rFonts w:hint="cs"/>
                <w:sz w:val="26"/>
                <w:szCs w:val="26"/>
                <w:rtl/>
              </w:rPr>
              <w:t>411 730</w:t>
            </w:r>
          </w:p>
        </w:tc>
        <w:tc>
          <w:tcPr>
            <w:tcW w:w="1604" w:type="dxa"/>
            <w:tcBorders>
              <w:top w:val="nil"/>
              <w:bottom w:val="nil"/>
            </w:tcBorders>
          </w:tcPr>
          <w:p w:rsidR="00567B15" w:rsidRDefault="00567B15">
            <w:pPr>
              <w:spacing w:before="0" w:after="0"/>
              <w:ind w:left="252"/>
              <w:jc w:val="both"/>
              <w:rPr>
                <w:rFonts w:hint="cs"/>
                <w:sz w:val="26"/>
                <w:szCs w:val="26"/>
              </w:rPr>
            </w:pPr>
            <w:r>
              <w:rPr>
                <w:rFonts w:hint="cs"/>
                <w:sz w:val="26"/>
                <w:szCs w:val="26"/>
                <w:rtl/>
              </w:rPr>
              <w:t>251 702</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السكان الذين هم في سن العمل</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316 740 4</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947 289 2</w:t>
            </w:r>
          </w:p>
        </w:tc>
        <w:tc>
          <w:tcPr>
            <w:tcW w:w="1604"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369 450 2</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السكان غير النشطين اقتصادياً</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331 259 2</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208 723</w:t>
            </w:r>
          </w:p>
        </w:tc>
        <w:tc>
          <w:tcPr>
            <w:tcW w:w="1604"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123 536 1</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السكان النشطون اقتصادياً</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985 480 2</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739 566 1</w:t>
            </w:r>
          </w:p>
        </w:tc>
        <w:tc>
          <w:tcPr>
            <w:tcW w:w="1604"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246 914</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العاطلون عن العمل</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472 150</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945 66</w:t>
            </w:r>
          </w:p>
        </w:tc>
        <w:tc>
          <w:tcPr>
            <w:tcW w:w="1604"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527 83</w:t>
            </w:r>
          </w:p>
        </w:tc>
      </w:tr>
      <w:tr w:rsidR="00567B15" w:rsidTr="00567B15">
        <w:tblPrEx>
          <w:tblCellMar>
            <w:top w:w="0" w:type="dxa"/>
            <w:bottom w:w="0" w:type="dxa"/>
          </w:tblCellMar>
        </w:tblPrEx>
        <w:tc>
          <w:tcPr>
            <w:tcW w:w="3953" w:type="dxa"/>
            <w:tcBorders>
              <w:top w:val="nil"/>
              <w:bottom w:val="single" w:sz="4" w:space="0" w:color="auto"/>
            </w:tcBorders>
          </w:tcPr>
          <w:p w:rsidR="00567B15" w:rsidRDefault="00567B15">
            <w:pPr>
              <w:spacing w:before="0" w:after="0"/>
              <w:jc w:val="both"/>
              <w:rPr>
                <w:rFonts w:hint="cs"/>
                <w:sz w:val="26"/>
                <w:szCs w:val="26"/>
                <w:rtl/>
              </w:rPr>
            </w:pPr>
            <w:r>
              <w:rPr>
                <w:rFonts w:hint="cs"/>
                <w:sz w:val="26"/>
                <w:szCs w:val="26"/>
                <w:rtl/>
              </w:rPr>
              <w:t>العاملون</w:t>
            </w:r>
          </w:p>
        </w:tc>
        <w:tc>
          <w:tcPr>
            <w:tcW w:w="1980" w:type="dxa"/>
            <w:tcBorders>
              <w:top w:val="nil"/>
              <w:bottom w:val="single" w:sz="4" w:space="0" w:color="auto"/>
            </w:tcBorders>
          </w:tcPr>
          <w:p w:rsidR="00567B15" w:rsidRDefault="00567B15">
            <w:pPr>
              <w:spacing w:before="0" w:after="0"/>
              <w:ind w:left="252"/>
              <w:jc w:val="both"/>
              <w:rPr>
                <w:rFonts w:hint="cs"/>
                <w:sz w:val="26"/>
                <w:szCs w:val="26"/>
                <w:rtl/>
              </w:rPr>
            </w:pPr>
            <w:r>
              <w:rPr>
                <w:rFonts w:hint="cs"/>
                <w:sz w:val="26"/>
                <w:szCs w:val="26"/>
                <w:rtl/>
              </w:rPr>
              <w:t>513 330 2</w:t>
            </w:r>
          </w:p>
        </w:tc>
        <w:tc>
          <w:tcPr>
            <w:tcW w:w="1800" w:type="dxa"/>
            <w:tcBorders>
              <w:top w:val="nil"/>
              <w:bottom w:val="single" w:sz="4" w:space="0" w:color="auto"/>
            </w:tcBorders>
          </w:tcPr>
          <w:p w:rsidR="00567B15" w:rsidRDefault="00567B15">
            <w:pPr>
              <w:spacing w:before="0" w:after="0"/>
              <w:ind w:left="252"/>
              <w:jc w:val="both"/>
              <w:rPr>
                <w:rFonts w:hint="cs"/>
                <w:sz w:val="26"/>
                <w:szCs w:val="26"/>
                <w:rtl/>
              </w:rPr>
            </w:pPr>
            <w:r>
              <w:rPr>
                <w:rFonts w:hint="cs"/>
                <w:sz w:val="26"/>
                <w:szCs w:val="26"/>
                <w:rtl/>
              </w:rPr>
              <w:t>794 499 1</w:t>
            </w:r>
          </w:p>
        </w:tc>
        <w:tc>
          <w:tcPr>
            <w:tcW w:w="1604" w:type="dxa"/>
            <w:tcBorders>
              <w:top w:val="nil"/>
              <w:bottom w:val="single" w:sz="4" w:space="0" w:color="auto"/>
            </w:tcBorders>
          </w:tcPr>
          <w:p w:rsidR="00567B15" w:rsidRDefault="00567B15">
            <w:pPr>
              <w:spacing w:before="0" w:after="0"/>
              <w:ind w:left="252"/>
              <w:jc w:val="both"/>
              <w:rPr>
                <w:rFonts w:hint="cs"/>
                <w:sz w:val="26"/>
                <w:szCs w:val="26"/>
                <w:rtl/>
              </w:rPr>
            </w:pPr>
            <w:r>
              <w:rPr>
                <w:rFonts w:hint="cs"/>
                <w:sz w:val="26"/>
                <w:szCs w:val="26"/>
                <w:rtl/>
              </w:rPr>
              <w:t>719 830</w:t>
            </w:r>
          </w:p>
        </w:tc>
      </w:tr>
    </w:tbl>
    <w:p w:rsidR="00000000" w:rsidRDefault="00567B15">
      <w:pPr>
        <w:spacing w:before="120" w:after="120"/>
        <w:jc w:val="both"/>
      </w:pPr>
      <w:r>
        <w:rPr>
          <w:rFonts w:hint="cs"/>
          <w:rtl/>
        </w:rPr>
        <w:tab/>
      </w:r>
      <w:r>
        <w:rPr>
          <w:rFonts w:hint="eastAsia"/>
          <w:u w:val="single"/>
          <w:rtl/>
        </w:rPr>
        <w:t>المصدر</w:t>
      </w:r>
      <w:r>
        <w:rPr>
          <w:rtl/>
        </w:rPr>
        <w:t xml:space="preserve">: </w:t>
      </w:r>
      <w:r>
        <w:rPr>
          <w:rFonts w:hint="eastAsia"/>
          <w:rtl/>
        </w:rPr>
        <w:t>المعهد</w:t>
      </w:r>
      <w:r>
        <w:rPr>
          <w:rtl/>
        </w:rPr>
        <w:t xml:space="preserve"> الوطني للإحصاء وتعداد السكان، دراسة عن </w:t>
      </w:r>
      <w:r>
        <w:rPr>
          <w:i/>
          <w:iCs/>
          <w:rtl/>
        </w:rPr>
        <w:t>العمالة والعمالة الناقصة والبط</w:t>
      </w:r>
      <w:r>
        <w:rPr>
          <w:i/>
          <w:iCs/>
          <w:rtl/>
        </w:rPr>
        <w:t xml:space="preserve">الة </w:t>
      </w:r>
      <w:r>
        <w:rPr>
          <w:rFonts w:hint="eastAsia"/>
          <w:i/>
          <w:iCs/>
          <w:rtl/>
        </w:rPr>
        <w:t>في</w:t>
      </w:r>
      <w:r>
        <w:rPr>
          <w:i/>
          <w:iCs/>
          <w:rtl/>
        </w:rPr>
        <w:t xml:space="preserve"> المدن</w:t>
      </w:r>
      <w:r>
        <w:rPr>
          <w:rtl/>
        </w:rPr>
        <w:t>.</w:t>
      </w:r>
    </w:p>
    <w:p w:rsidR="00000000" w:rsidRDefault="00567B15">
      <w:pPr>
        <w:spacing w:before="120" w:after="120"/>
        <w:jc w:val="center"/>
        <w:rPr>
          <w:rFonts w:hint="cs"/>
          <w:b/>
          <w:bCs/>
          <w:rtl/>
        </w:rPr>
      </w:pPr>
      <w:r>
        <w:rPr>
          <w:rFonts w:hint="cs"/>
          <w:b/>
          <w:bCs/>
          <w:rtl/>
        </w:rPr>
        <w:t>مجموع سكان المناطق الحضرية (1995)</w:t>
      </w: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3"/>
        <w:gridCol w:w="1980"/>
        <w:gridCol w:w="1800"/>
        <w:gridCol w:w="1618"/>
      </w:tblGrid>
      <w:tr w:rsidR="00567B15" w:rsidTr="00567B15">
        <w:tblPrEx>
          <w:tblCellMar>
            <w:top w:w="0" w:type="dxa"/>
            <w:bottom w:w="0" w:type="dxa"/>
          </w:tblCellMar>
        </w:tblPrEx>
        <w:tc>
          <w:tcPr>
            <w:tcW w:w="3953"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الفئة</w:t>
            </w:r>
          </w:p>
        </w:tc>
        <w:tc>
          <w:tcPr>
            <w:tcW w:w="1980"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المجموع</w:t>
            </w:r>
          </w:p>
        </w:tc>
        <w:tc>
          <w:tcPr>
            <w:tcW w:w="1800"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الرجال</w:t>
            </w:r>
          </w:p>
        </w:tc>
        <w:tc>
          <w:tcPr>
            <w:tcW w:w="1618" w:type="dxa"/>
            <w:tcBorders>
              <w:bottom w:val="single" w:sz="4" w:space="0" w:color="auto"/>
            </w:tcBorders>
          </w:tcPr>
          <w:p w:rsidR="00567B15" w:rsidRDefault="00567B15">
            <w:pPr>
              <w:spacing w:before="0" w:after="0"/>
              <w:jc w:val="center"/>
              <w:rPr>
                <w:rFonts w:hint="cs"/>
                <w:sz w:val="26"/>
                <w:szCs w:val="26"/>
              </w:rPr>
            </w:pPr>
            <w:r>
              <w:rPr>
                <w:rFonts w:hint="cs"/>
                <w:sz w:val="26"/>
                <w:szCs w:val="26"/>
                <w:rtl/>
              </w:rPr>
              <w:t>النساء</w:t>
            </w:r>
          </w:p>
        </w:tc>
      </w:tr>
      <w:tr w:rsidR="00567B15" w:rsidTr="00567B15">
        <w:tblPrEx>
          <w:tblCellMar>
            <w:top w:w="0" w:type="dxa"/>
            <w:bottom w:w="0" w:type="dxa"/>
          </w:tblCellMar>
        </w:tblPrEx>
        <w:tc>
          <w:tcPr>
            <w:tcW w:w="3953" w:type="dxa"/>
            <w:tcBorders>
              <w:top w:val="single" w:sz="4" w:space="0" w:color="auto"/>
              <w:bottom w:val="nil"/>
            </w:tcBorders>
          </w:tcPr>
          <w:p w:rsidR="00567B15" w:rsidRDefault="00567B15">
            <w:pPr>
              <w:spacing w:before="0" w:after="0"/>
              <w:jc w:val="both"/>
              <w:rPr>
                <w:rFonts w:hint="cs"/>
                <w:sz w:val="26"/>
                <w:szCs w:val="26"/>
              </w:rPr>
            </w:pPr>
            <w:r>
              <w:rPr>
                <w:rFonts w:hint="cs"/>
                <w:sz w:val="26"/>
                <w:szCs w:val="26"/>
                <w:rtl/>
              </w:rPr>
              <w:t>مجموع السكان</w:t>
            </w:r>
          </w:p>
        </w:tc>
        <w:tc>
          <w:tcPr>
            <w:tcW w:w="1980" w:type="dxa"/>
            <w:tcBorders>
              <w:top w:val="single" w:sz="4" w:space="0" w:color="auto"/>
              <w:bottom w:val="nil"/>
            </w:tcBorders>
          </w:tcPr>
          <w:p w:rsidR="00567B15" w:rsidRDefault="00567B15">
            <w:pPr>
              <w:spacing w:before="0" w:after="0"/>
              <w:ind w:left="252"/>
              <w:jc w:val="both"/>
              <w:rPr>
                <w:rFonts w:hint="cs"/>
                <w:sz w:val="26"/>
                <w:szCs w:val="26"/>
              </w:rPr>
            </w:pPr>
            <w:r>
              <w:rPr>
                <w:rFonts w:hint="cs"/>
                <w:sz w:val="26"/>
                <w:szCs w:val="26"/>
                <w:rtl/>
              </w:rPr>
              <w:t>563 037 7</w:t>
            </w:r>
          </w:p>
        </w:tc>
        <w:tc>
          <w:tcPr>
            <w:tcW w:w="1800" w:type="dxa"/>
            <w:tcBorders>
              <w:top w:val="single" w:sz="4" w:space="0" w:color="auto"/>
              <w:bottom w:val="nil"/>
            </w:tcBorders>
          </w:tcPr>
          <w:p w:rsidR="00567B15" w:rsidRDefault="00567B15">
            <w:pPr>
              <w:spacing w:before="0" w:after="0"/>
              <w:ind w:left="252"/>
              <w:jc w:val="both"/>
              <w:rPr>
                <w:rFonts w:hint="cs"/>
                <w:sz w:val="26"/>
                <w:szCs w:val="26"/>
              </w:rPr>
            </w:pPr>
            <w:r>
              <w:rPr>
                <w:rFonts w:hint="cs"/>
                <w:sz w:val="26"/>
                <w:szCs w:val="26"/>
                <w:rtl/>
              </w:rPr>
              <w:t>990 422 3</w:t>
            </w:r>
          </w:p>
        </w:tc>
        <w:tc>
          <w:tcPr>
            <w:tcW w:w="1618" w:type="dxa"/>
            <w:tcBorders>
              <w:top w:val="single" w:sz="4" w:space="0" w:color="auto"/>
              <w:bottom w:val="nil"/>
            </w:tcBorders>
          </w:tcPr>
          <w:p w:rsidR="00567B15" w:rsidRDefault="00567B15">
            <w:pPr>
              <w:spacing w:before="0" w:after="0"/>
              <w:ind w:left="252"/>
              <w:jc w:val="both"/>
              <w:rPr>
                <w:rFonts w:hint="cs"/>
                <w:sz w:val="26"/>
                <w:szCs w:val="26"/>
              </w:rPr>
            </w:pPr>
            <w:r>
              <w:rPr>
                <w:rFonts w:hint="cs"/>
                <w:sz w:val="26"/>
                <w:szCs w:val="26"/>
                <w:rtl/>
              </w:rPr>
              <w:t>573 614 3</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Pr>
            </w:pPr>
            <w:r>
              <w:rPr>
                <w:rFonts w:hint="cs"/>
                <w:sz w:val="26"/>
                <w:szCs w:val="26"/>
                <w:rtl/>
              </w:rPr>
              <w:t>السكان دون سن العاشرة</w:t>
            </w:r>
          </w:p>
        </w:tc>
        <w:tc>
          <w:tcPr>
            <w:tcW w:w="1980" w:type="dxa"/>
            <w:tcBorders>
              <w:top w:val="nil"/>
              <w:bottom w:val="nil"/>
            </w:tcBorders>
          </w:tcPr>
          <w:p w:rsidR="00567B15" w:rsidRDefault="00567B15">
            <w:pPr>
              <w:spacing w:before="0" w:after="0"/>
              <w:ind w:left="252"/>
              <w:jc w:val="both"/>
              <w:rPr>
                <w:rFonts w:hint="cs"/>
                <w:sz w:val="26"/>
                <w:szCs w:val="26"/>
              </w:rPr>
            </w:pPr>
            <w:r>
              <w:rPr>
                <w:rFonts w:hint="cs"/>
                <w:sz w:val="26"/>
                <w:szCs w:val="26"/>
                <w:rtl/>
              </w:rPr>
              <w:t>250 468 1</w:t>
            </w:r>
          </w:p>
        </w:tc>
        <w:tc>
          <w:tcPr>
            <w:tcW w:w="1800" w:type="dxa"/>
            <w:tcBorders>
              <w:top w:val="nil"/>
              <w:bottom w:val="nil"/>
            </w:tcBorders>
          </w:tcPr>
          <w:p w:rsidR="00567B15" w:rsidRDefault="00567B15">
            <w:pPr>
              <w:spacing w:before="0" w:after="0"/>
              <w:ind w:left="252"/>
              <w:jc w:val="both"/>
              <w:rPr>
                <w:rFonts w:hint="cs"/>
                <w:sz w:val="26"/>
                <w:szCs w:val="26"/>
              </w:rPr>
            </w:pPr>
            <w:r>
              <w:rPr>
                <w:rFonts w:hint="cs"/>
                <w:sz w:val="26"/>
                <w:szCs w:val="26"/>
                <w:rtl/>
              </w:rPr>
              <w:t>211 746</w:t>
            </w:r>
          </w:p>
        </w:tc>
        <w:tc>
          <w:tcPr>
            <w:tcW w:w="1618" w:type="dxa"/>
            <w:tcBorders>
              <w:top w:val="nil"/>
              <w:bottom w:val="nil"/>
            </w:tcBorders>
          </w:tcPr>
          <w:p w:rsidR="00567B15" w:rsidRDefault="00567B15">
            <w:pPr>
              <w:spacing w:before="0" w:after="0"/>
              <w:ind w:left="252"/>
              <w:jc w:val="both"/>
              <w:rPr>
                <w:rFonts w:hint="cs"/>
                <w:sz w:val="26"/>
                <w:szCs w:val="26"/>
              </w:rPr>
            </w:pPr>
            <w:r>
              <w:rPr>
                <w:rFonts w:hint="cs"/>
                <w:sz w:val="26"/>
                <w:szCs w:val="26"/>
                <w:rtl/>
              </w:rPr>
              <w:t>039 722</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السكان الذين هم في سنة العمل</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313 569 5</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779 676 2</w:t>
            </w:r>
          </w:p>
        </w:tc>
        <w:tc>
          <w:tcPr>
            <w:tcW w:w="1618"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534 892 2</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السكان غير النشطين اقتصادياً</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999 464 2</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138 798</w:t>
            </w:r>
          </w:p>
        </w:tc>
        <w:tc>
          <w:tcPr>
            <w:tcW w:w="1618"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861 666 1</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السكان النشطون اقتصادياً</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314 104 3</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641 878 1</w:t>
            </w:r>
          </w:p>
        </w:tc>
        <w:tc>
          <w:tcPr>
            <w:tcW w:w="1618"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673 225 1</w:t>
            </w:r>
          </w:p>
        </w:tc>
      </w:tr>
      <w:tr w:rsidR="00567B15" w:rsidTr="00567B15">
        <w:tblPrEx>
          <w:tblCellMar>
            <w:top w:w="0" w:type="dxa"/>
            <w:bottom w:w="0" w:type="dxa"/>
          </w:tblCellMar>
        </w:tblPrEx>
        <w:tc>
          <w:tcPr>
            <w:tcW w:w="3953" w:type="dxa"/>
            <w:tcBorders>
              <w:top w:val="nil"/>
              <w:bottom w:val="nil"/>
            </w:tcBorders>
          </w:tcPr>
          <w:p w:rsidR="00567B15" w:rsidRDefault="00567B15">
            <w:pPr>
              <w:spacing w:before="0" w:after="0"/>
              <w:jc w:val="both"/>
              <w:rPr>
                <w:rFonts w:hint="cs"/>
                <w:sz w:val="26"/>
                <w:szCs w:val="26"/>
                <w:rtl/>
              </w:rPr>
            </w:pPr>
            <w:r>
              <w:rPr>
                <w:rFonts w:hint="cs"/>
                <w:sz w:val="26"/>
                <w:szCs w:val="26"/>
                <w:rtl/>
              </w:rPr>
              <w:t>العاطلون عن العمل</w:t>
            </w:r>
          </w:p>
        </w:tc>
        <w:tc>
          <w:tcPr>
            <w:tcW w:w="198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655 212</w:t>
            </w:r>
          </w:p>
        </w:tc>
        <w:tc>
          <w:tcPr>
            <w:tcW w:w="1800"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226 104</w:t>
            </w:r>
          </w:p>
        </w:tc>
        <w:tc>
          <w:tcPr>
            <w:tcW w:w="1618" w:type="dxa"/>
            <w:tcBorders>
              <w:top w:val="nil"/>
              <w:bottom w:val="nil"/>
            </w:tcBorders>
          </w:tcPr>
          <w:p w:rsidR="00567B15" w:rsidRDefault="00567B15">
            <w:pPr>
              <w:spacing w:before="0" w:after="0"/>
              <w:ind w:left="252"/>
              <w:jc w:val="both"/>
              <w:rPr>
                <w:rFonts w:hint="cs"/>
                <w:sz w:val="26"/>
                <w:szCs w:val="26"/>
                <w:rtl/>
              </w:rPr>
            </w:pPr>
            <w:r>
              <w:rPr>
                <w:rFonts w:hint="cs"/>
                <w:sz w:val="26"/>
                <w:szCs w:val="26"/>
                <w:rtl/>
              </w:rPr>
              <w:t>429 108</w:t>
            </w:r>
          </w:p>
        </w:tc>
      </w:tr>
      <w:tr w:rsidR="00567B15" w:rsidTr="00567B15">
        <w:tblPrEx>
          <w:tblCellMar>
            <w:top w:w="0" w:type="dxa"/>
            <w:bottom w:w="0" w:type="dxa"/>
          </w:tblCellMar>
        </w:tblPrEx>
        <w:tc>
          <w:tcPr>
            <w:tcW w:w="3953" w:type="dxa"/>
            <w:tcBorders>
              <w:top w:val="nil"/>
              <w:bottom w:val="single" w:sz="4" w:space="0" w:color="auto"/>
            </w:tcBorders>
          </w:tcPr>
          <w:p w:rsidR="00567B15" w:rsidRDefault="00567B15">
            <w:pPr>
              <w:spacing w:before="0" w:after="0"/>
              <w:jc w:val="both"/>
              <w:rPr>
                <w:rFonts w:hint="cs"/>
                <w:sz w:val="26"/>
                <w:szCs w:val="26"/>
                <w:rtl/>
              </w:rPr>
            </w:pPr>
            <w:r>
              <w:rPr>
                <w:rFonts w:hint="cs"/>
                <w:sz w:val="26"/>
                <w:szCs w:val="26"/>
                <w:rtl/>
              </w:rPr>
              <w:t>العاملون</w:t>
            </w:r>
          </w:p>
        </w:tc>
        <w:tc>
          <w:tcPr>
            <w:tcW w:w="1980" w:type="dxa"/>
            <w:tcBorders>
              <w:top w:val="nil"/>
              <w:bottom w:val="single" w:sz="4" w:space="0" w:color="auto"/>
            </w:tcBorders>
          </w:tcPr>
          <w:p w:rsidR="00567B15" w:rsidRDefault="00567B15">
            <w:pPr>
              <w:spacing w:before="0" w:after="0"/>
              <w:ind w:left="252"/>
              <w:jc w:val="both"/>
              <w:rPr>
                <w:rFonts w:hint="cs"/>
                <w:sz w:val="26"/>
                <w:szCs w:val="26"/>
                <w:rtl/>
              </w:rPr>
            </w:pPr>
            <w:r>
              <w:rPr>
                <w:rFonts w:hint="cs"/>
                <w:sz w:val="26"/>
                <w:szCs w:val="26"/>
                <w:rtl/>
              </w:rPr>
              <w:t>659 891 2</w:t>
            </w:r>
          </w:p>
        </w:tc>
        <w:tc>
          <w:tcPr>
            <w:tcW w:w="1800" w:type="dxa"/>
            <w:tcBorders>
              <w:top w:val="nil"/>
              <w:bottom w:val="single" w:sz="4" w:space="0" w:color="auto"/>
            </w:tcBorders>
          </w:tcPr>
          <w:p w:rsidR="00567B15" w:rsidRDefault="00567B15">
            <w:pPr>
              <w:spacing w:before="0" w:after="0"/>
              <w:ind w:left="252"/>
              <w:jc w:val="both"/>
              <w:rPr>
                <w:rFonts w:hint="cs"/>
                <w:sz w:val="26"/>
                <w:szCs w:val="26"/>
                <w:rtl/>
              </w:rPr>
            </w:pPr>
            <w:r>
              <w:rPr>
                <w:rFonts w:hint="cs"/>
                <w:sz w:val="26"/>
                <w:szCs w:val="26"/>
                <w:rtl/>
              </w:rPr>
              <w:t>415 774 1</w:t>
            </w:r>
          </w:p>
        </w:tc>
        <w:tc>
          <w:tcPr>
            <w:tcW w:w="1618" w:type="dxa"/>
            <w:tcBorders>
              <w:top w:val="nil"/>
              <w:bottom w:val="single" w:sz="4" w:space="0" w:color="auto"/>
            </w:tcBorders>
          </w:tcPr>
          <w:p w:rsidR="00567B15" w:rsidRDefault="00567B15">
            <w:pPr>
              <w:spacing w:before="0" w:after="0"/>
              <w:ind w:left="252"/>
              <w:jc w:val="both"/>
              <w:rPr>
                <w:rFonts w:hint="cs"/>
                <w:sz w:val="26"/>
                <w:szCs w:val="26"/>
                <w:rtl/>
              </w:rPr>
            </w:pPr>
            <w:r>
              <w:rPr>
                <w:rFonts w:hint="cs"/>
                <w:sz w:val="26"/>
                <w:szCs w:val="26"/>
                <w:rtl/>
              </w:rPr>
              <w:t>244 117 1</w:t>
            </w:r>
          </w:p>
        </w:tc>
      </w:tr>
    </w:tbl>
    <w:p w:rsidR="00000000" w:rsidRDefault="00567B15">
      <w:pPr>
        <w:spacing w:before="120"/>
        <w:jc w:val="both"/>
      </w:pPr>
      <w:r>
        <w:rPr>
          <w:rFonts w:hint="cs"/>
          <w:rtl/>
        </w:rPr>
        <w:tab/>
      </w:r>
      <w:r>
        <w:rPr>
          <w:rFonts w:hint="eastAsia"/>
          <w:u w:val="single"/>
          <w:rtl/>
        </w:rPr>
        <w:t>المصدر</w:t>
      </w:r>
      <w:r>
        <w:rPr>
          <w:rtl/>
        </w:rPr>
        <w:t xml:space="preserve">: </w:t>
      </w:r>
      <w:r>
        <w:rPr>
          <w:rFonts w:hint="eastAsia"/>
          <w:rtl/>
        </w:rPr>
        <w:t>المعهد</w:t>
      </w:r>
      <w:r>
        <w:rPr>
          <w:rtl/>
        </w:rPr>
        <w:t xml:space="preserve"> الوطني للإحصاء وتعداد السكان، دراسة عن </w:t>
      </w:r>
      <w:r>
        <w:rPr>
          <w:i/>
          <w:iCs/>
          <w:rtl/>
        </w:rPr>
        <w:t>العمالة والعمالة الناقصة والبط</w:t>
      </w:r>
      <w:r>
        <w:rPr>
          <w:i/>
          <w:iCs/>
          <w:rtl/>
        </w:rPr>
        <w:t xml:space="preserve">الة </w:t>
      </w:r>
      <w:r>
        <w:rPr>
          <w:rFonts w:hint="eastAsia"/>
          <w:i/>
          <w:iCs/>
          <w:rtl/>
        </w:rPr>
        <w:t>في</w:t>
      </w:r>
      <w:r>
        <w:rPr>
          <w:i/>
          <w:iCs/>
          <w:rtl/>
        </w:rPr>
        <w:t xml:space="preserve"> المدن</w:t>
      </w:r>
      <w:r>
        <w:rPr>
          <w:rtl/>
        </w:rPr>
        <w:t>.</w:t>
      </w:r>
    </w:p>
    <w:p w:rsidR="00000000" w:rsidRDefault="00567B15">
      <w:pPr>
        <w:jc w:val="center"/>
        <w:rPr>
          <w:b/>
          <w:bCs/>
        </w:rPr>
      </w:pPr>
      <w:r>
        <w:rPr>
          <w:rFonts w:hint="eastAsia"/>
          <w:b/>
          <w:bCs/>
          <w:rtl/>
        </w:rPr>
        <w:t>مجموع</w:t>
      </w:r>
      <w:r>
        <w:rPr>
          <w:b/>
          <w:bCs/>
          <w:rtl/>
        </w:rPr>
        <w:t xml:space="preserve"> </w:t>
      </w:r>
      <w:r>
        <w:rPr>
          <w:rFonts w:hint="eastAsia"/>
          <w:b/>
          <w:bCs/>
          <w:rtl/>
        </w:rPr>
        <w:t>سكان</w:t>
      </w:r>
      <w:r>
        <w:rPr>
          <w:b/>
          <w:bCs/>
          <w:rtl/>
        </w:rPr>
        <w:t xml:space="preserve"> المناطق الحضرية (199</w:t>
      </w:r>
      <w:r>
        <w:rPr>
          <w:rFonts w:hint="cs"/>
          <w:b/>
          <w:bCs/>
          <w:rtl/>
        </w:rPr>
        <w:t>8</w:t>
      </w:r>
      <w:r>
        <w:rPr>
          <w:b/>
          <w:bCs/>
          <w:rtl/>
        </w:rPr>
        <w:t>)</w:t>
      </w:r>
    </w:p>
    <w:tbl>
      <w:tblPr>
        <w:bidiVisual/>
        <w:tblW w:w="0" w:type="auto"/>
        <w:tblInd w:w="11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50"/>
        <w:gridCol w:w="1980"/>
        <w:gridCol w:w="1800"/>
        <w:gridCol w:w="1593"/>
      </w:tblGrid>
      <w:tr w:rsidR="00567B15" w:rsidTr="00567B15">
        <w:tc>
          <w:tcPr>
            <w:tcW w:w="3950" w:type="dxa"/>
            <w:tcBorders>
              <w:top w:val="single" w:sz="4" w:space="0" w:color="auto"/>
              <w:left w:val="single" w:sz="4" w:space="0" w:color="auto"/>
              <w:bottom w:val="single" w:sz="4" w:space="0" w:color="auto"/>
              <w:right w:val="single" w:sz="4" w:space="0" w:color="auto"/>
            </w:tcBorders>
          </w:tcPr>
          <w:p w:rsidR="00567B15" w:rsidRDefault="00567B15">
            <w:pPr>
              <w:spacing w:before="0" w:after="0"/>
              <w:jc w:val="center"/>
              <w:rPr>
                <w:szCs w:val="26"/>
              </w:rPr>
            </w:pPr>
            <w:r>
              <w:rPr>
                <w:rFonts w:hint="eastAsia"/>
                <w:szCs w:val="26"/>
                <w:rtl/>
              </w:rPr>
              <w:t>الفئة</w:t>
            </w:r>
          </w:p>
        </w:tc>
        <w:tc>
          <w:tcPr>
            <w:tcW w:w="1980" w:type="dxa"/>
            <w:tcBorders>
              <w:top w:val="single" w:sz="4" w:space="0" w:color="auto"/>
              <w:left w:val="single" w:sz="4" w:space="0" w:color="auto"/>
              <w:bottom w:val="single" w:sz="4" w:space="0" w:color="auto"/>
              <w:right w:val="single" w:sz="4" w:space="0" w:color="auto"/>
            </w:tcBorders>
          </w:tcPr>
          <w:p w:rsidR="00567B15" w:rsidRDefault="00567B15">
            <w:pPr>
              <w:spacing w:before="0" w:after="0"/>
              <w:jc w:val="center"/>
              <w:rPr>
                <w:szCs w:val="26"/>
              </w:rPr>
            </w:pPr>
            <w:r>
              <w:rPr>
                <w:rFonts w:hint="eastAsia"/>
                <w:szCs w:val="26"/>
                <w:rtl/>
              </w:rPr>
              <w:t>المجموع</w:t>
            </w:r>
          </w:p>
        </w:tc>
        <w:tc>
          <w:tcPr>
            <w:tcW w:w="1800" w:type="dxa"/>
            <w:tcBorders>
              <w:top w:val="single" w:sz="4" w:space="0" w:color="auto"/>
              <w:left w:val="single" w:sz="4" w:space="0" w:color="auto"/>
              <w:bottom w:val="single" w:sz="4" w:space="0" w:color="auto"/>
              <w:right w:val="single" w:sz="4" w:space="0" w:color="auto"/>
            </w:tcBorders>
          </w:tcPr>
          <w:p w:rsidR="00567B15" w:rsidRDefault="00567B15">
            <w:pPr>
              <w:spacing w:before="0" w:after="0"/>
              <w:jc w:val="center"/>
              <w:rPr>
                <w:szCs w:val="26"/>
              </w:rPr>
            </w:pPr>
            <w:r>
              <w:rPr>
                <w:rFonts w:hint="eastAsia"/>
                <w:szCs w:val="26"/>
                <w:rtl/>
              </w:rPr>
              <w:t>الرجال</w:t>
            </w:r>
          </w:p>
        </w:tc>
        <w:tc>
          <w:tcPr>
            <w:tcW w:w="1593" w:type="dxa"/>
            <w:tcBorders>
              <w:top w:val="single" w:sz="4" w:space="0" w:color="auto"/>
              <w:left w:val="single" w:sz="4" w:space="0" w:color="auto"/>
              <w:bottom w:val="single" w:sz="4" w:space="0" w:color="auto"/>
              <w:right w:val="single" w:sz="4" w:space="0" w:color="auto"/>
            </w:tcBorders>
          </w:tcPr>
          <w:p w:rsidR="00567B15" w:rsidRDefault="00567B15">
            <w:pPr>
              <w:spacing w:before="0" w:after="0"/>
              <w:jc w:val="center"/>
              <w:rPr>
                <w:szCs w:val="26"/>
              </w:rPr>
            </w:pPr>
            <w:r>
              <w:rPr>
                <w:rFonts w:hint="eastAsia"/>
                <w:szCs w:val="26"/>
                <w:rtl/>
              </w:rPr>
              <w:t>النساء</w:t>
            </w:r>
          </w:p>
        </w:tc>
      </w:tr>
      <w:tr w:rsidR="00567B15" w:rsidTr="00567B15">
        <w:tc>
          <w:tcPr>
            <w:tcW w:w="3950" w:type="dxa"/>
            <w:tcBorders>
              <w:top w:val="single" w:sz="4" w:space="0" w:color="auto"/>
              <w:left w:val="single" w:sz="4" w:space="0" w:color="auto"/>
              <w:bottom w:val="nil"/>
              <w:right w:val="single" w:sz="4" w:space="0" w:color="auto"/>
            </w:tcBorders>
          </w:tcPr>
          <w:p w:rsidR="00567B15" w:rsidRDefault="00567B15">
            <w:pPr>
              <w:spacing w:before="0" w:after="0"/>
              <w:jc w:val="both"/>
              <w:rPr>
                <w:szCs w:val="26"/>
              </w:rPr>
            </w:pPr>
            <w:r>
              <w:rPr>
                <w:rFonts w:hint="eastAsia"/>
                <w:szCs w:val="26"/>
                <w:rtl/>
              </w:rPr>
              <w:t>مجموع</w:t>
            </w:r>
            <w:r>
              <w:rPr>
                <w:szCs w:val="26"/>
                <w:rtl/>
              </w:rPr>
              <w:t xml:space="preserve"> السكان</w:t>
            </w:r>
          </w:p>
        </w:tc>
        <w:tc>
          <w:tcPr>
            <w:tcW w:w="1980" w:type="dxa"/>
            <w:tcBorders>
              <w:top w:val="single" w:sz="4" w:space="0" w:color="auto"/>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286 780 7</w:t>
            </w:r>
          </w:p>
        </w:tc>
        <w:tc>
          <w:tcPr>
            <w:tcW w:w="1800" w:type="dxa"/>
            <w:tcBorders>
              <w:top w:val="single" w:sz="4" w:space="0" w:color="auto"/>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813 800 3</w:t>
            </w:r>
          </w:p>
        </w:tc>
        <w:tc>
          <w:tcPr>
            <w:tcW w:w="1593" w:type="dxa"/>
            <w:tcBorders>
              <w:top w:val="single" w:sz="4" w:space="0" w:color="auto"/>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473 979 3</w:t>
            </w:r>
          </w:p>
        </w:tc>
      </w:tr>
      <w:tr w:rsidR="00567B15" w:rsidTr="00567B15">
        <w:tc>
          <w:tcPr>
            <w:tcW w:w="3950" w:type="dxa"/>
            <w:tcBorders>
              <w:top w:val="nil"/>
              <w:left w:val="single" w:sz="4" w:space="0" w:color="auto"/>
              <w:bottom w:val="nil"/>
              <w:right w:val="single" w:sz="4" w:space="0" w:color="auto"/>
            </w:tcBorders>
          </w:tcPr>
          <w:p w:rsidR="00567B15" w:rsidRDefault="00567B15">
            <w:pPr>
              <w:spacing w:before="0" w:after="0"/>
              <w:jc w:val="both"/>
              <w:rPr>
                <w:szCs w:val="26"/>
              </w:rPr>
            </w:pPr>
            <w:r>
              <w:rPr>
                <w:rFonts w:hint="eastAsia"/>
                <w:szCs w:val="26"/>
                <w:rtl/>
              </w:rPr>
              <w:t>السكان</w:t>
            </w:r>
            <w:r>
              <w:rPr>
                <w:szCs w:val="26"/>
                <w:rtl/>
              </w:rPr>
              <w:t xml:space="preserve"> دون سن </w:t>
            </w:r>
            <w:r>
              <w:rPr>
                <w:rFonts w:hint="eastAsia"/>
                <w:szCs w:val="26"/>
                <w:rtl/>
              </w:rPr>
              <w:t>العاشرة</w:t>
            </w:r>
          </w:p>
        </w:tc>
        <w:tc>
          <w:tcPr>
            <w:tcW w:w="198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600 686 1</w:t>
            </w:r>
          </w:p>
        </w:tc>
        <w:tc>
          <w:tcPr>
            <w:tcW w:w="180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700 881</w:t>
            </w:r>
          </w:p>
        </w:tc>
        <w:tc>
          <w:tcPr>
            <w:tcW w:w="1593"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900 804</w:t>
            </w:r>
          </w:p>
        </w:tc>
      </w:tr>
      <w:tr w:rsidR="00567B15" w:rsidTr="00567B15">
        <w:tc>
          <w:tcPr>
            <w:tcW w:w="3950" w:type="dxa"/>
            <w:tcBorders>
              <w:top w:val="nil"/>
              <w:left w:val="single" w:sz="4" w:space="0" w:color="auto"/>
              <w:bottom w:val="nil"/>
              <w:right w:val="single" w:sz="4" w:space="0" w:color="auto"/>
            </w:tcBorders>
          </w:tcPr>
          <w:p w:rsidR="00567B15" w:rsidRDefault="00567B15">
            <w:pPr>
              <w:spacing w:before="0" w:after="0"/>
              <w:jc w:val="both"/>
              <w:rPr>
                <w:szCs w:val="26"/>
              </w:rPr>
            </w:pPr>
            <w:r>
              <w:rPr>
                <w:rFonts w:hint="eastAsia"/>
                <w:szCs w:val="26"/>
                <w:rtl/>
              </w:rPr>
              <w:t>السكان</w:t>
            </w:r>
            <w:r>
              <w:rPr>
                <w:szCs w:val="26"/>
                <w:rtl/>
              </w:rPr>
              <w:t xml:space="preserve"> الذين هم </w:t>
            </w:r>
            <w:r>
              <w:rPr>
                <w:rFonts w:hint="eastAsia"/>
                <w:szCs w:val="26"/>
                <w:rtl/>
              </w:rPr>
              <w:t>في</w:t>
            </w:r>
            <w:r>
              <w:rPr>
                <w:szCs w:val="26"/>
                <w:rtl/>
              </w:rPr>
              <w:t xml:space="preserve"> سنة العمل</w:t>
            </w:r>
          </w:p>
        </w:tc>
        <w:tc>
          <w:tcPr>
            <w:tcW w:w="198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686 093 2</w:t>
            </w:r>
          </w:p>
        </w:tc>
        <w:tc>
          <w:tcPr>
            <w:tcW w:w="180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113 919 2</w:t>
            </w:r>
          </w:p>
        </w:tc>
        <w:tc>
          <w:tcPr>
            <w:tcW w:w="1593"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573 174 3</w:t>
            </w:r>
          </w:p>
        </w:tc>
      </w:tr>
      <w:tr w:rsidR="00567B15" w:rsidTr="00567B15">
        <w:tc>
          <w:tcPr>
            <w:tcW w:w="3950" w:type="dxa"/>
            <w:tcBorders>
              <w:top w:val="nil"/>
              <w:left w:val="single" w:sz="4" w:space="0" w:color="auto"/>
              <w:bottom w:val="nil"/>
              <w:right w:val="single" w:sz="4" w:space="0" w:color="auto"/>
            </w:tcBorders>
          </w:tcPr>
          <w:p w:rsidR="00567B15" w:rsidRDefault="00567B15">
            <w:pPr>
              <w:spacing w:before="0" w:after="0"/>
              <w:jc w:val="both"/>
              <w:rPr>
                <w:szCs w:val="26"/>
              </w:rPr>
            </w:pPr>
            <w:r>
              <w:rPr>
                <w:rFonts w:hint="eastAsia"/>
                <w:szCs w:val="26"/>
                <w:rtl/>
              </w:rPr>
              <w:t>السكان</w:t>
            </w:r>
            <w:r>
              <w:rPr>
                <w:szCs w:val="26"/>
                <w:rtl/>
              </w:rPr>
              <w:t xml:space="preserve"> غير </w:t>
            </w:r>
            <w:r>
              <w:rPr>
                <w:rFonts w:hint="eastAsia"/>
                <w:szCs w:val="26"/>
                <w:rtl/>
              </w:rPr>
              <w:t>النشطين</w:t>
            </w:r>
            <w:r>
              <w:rPr>
                <w:szCs w:val="26"/>
                <w:rtl/>
              </w:rPr>
              <w:t xml:space="preserve"> اقتصادياً</w:t>
            </w:r>
          </w:p>
        </w:tc>
        <w:tc>
          <w:tcPr>
            <w:tcW w:w="198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202 533 2</w:t>
            </w:r>
          </w:p>
        </w:tc>
        <w:tc>
          <w:tcPr>
            <w:tcW w:w="180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851 822</w:t>
            </w:r>
          </w:p>
        </w:tc>
        <w:tc>
          <w:tcPr>
            <w:tcW w:w="1593"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351 710 1</w:t>
            </w:r>
          </w:p>
        </w:tc>
      </w:tr>
      <w:tr w:rsidR="00567B15" w:rsidTr="00567B15">
        <w:tc>
          <w:tcPr>
            <w:tcW w:w="3950" w:type="dxa"/>
            <w:tcBorders>
              <w:top w:val="nil"/>
              <w:left w:val="single" w:sz="4" w:space="0" w:color="auto"/>
              <w:bottom w:val="nil"/>
              <w:right w:val="single" w:sz="4" w:space="0" w:color="auto"/>
            </w:tcBorders>
          </w:tcPr>
          <w:p w:rsidR="00567B15" w:rsidRDefault="00567B15">
            <w:pPr>
              <w:spacing w:before="0" w:after="0"/>
              <w:jc w:val="both"/>
              <w:rPr>
                <w:szCs w:val="26"/>
              </w:rPr>
            </w:pPr>
            <w:r>
              <w:rPr>
                <w:rFonts w:hint="eastAsia"/>
                <w:szCs w:val="26"/>
                <w:rtl/>
              </w:rPr>
              <w:t>السكان</w:t>
            </w:r>
            <w:r>
              <w:rPr>
                <w:szCs w:val="26"/>
                <w:rtl/>
              </w:rPr>
              <w:t xml:space="preserve"> النشطون </w:t>
            </w:r>
            <w:r>
              <w:rPr>
                <w:rFonts w:hint="eastAsia"/>
                <w:szCs w:val="26"/>
                <w:rtl/>
              </w:rPr>
              <w:t>اقتصادياً</w:t>
            </w:r>
          </w:p>
        </w:tc>
        <w:tc>
          <w:tcPr>
            <w:tcW w:w="198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484 560 3</w:t>
            </w:r>
          </w:p>
        </w:tc>
        <w:tc>
          <w:tcPr>
            <w:tcW w:w="180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262 096 2</w:t>
            </w:r>
          </w:p>
        </w:tc>
        <w:tc>
          <w:tcPr>
            <w:tcW w:w="1593"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222 464 1</w:t>
            </w:r>
          </w:p>
        </w:tc>
      </w:tr>
      <w:tr w:rsidR="00567B15" w:rsidTr="00567B15">
        <w:tc>
          <w:tcPr>
            <w:tcW w:w="3950" w:type="dxa"/>
            <w:tcBorders>
              <w:top w:val="nil"/>
              <w:left w:val="single" w:sz="4" w:space="0" w:color="auto"/>
              <w:bottom w:val="nil"/>
              <w:right w:val="single" w:sz="4" w:space="0" w:color="auto"/>
            </w:tcBorders>
          </w:tcPr>
          <w:p w:rsidR="00567B15" w:rsidRDefault="00567B15">
            <w:pPr>
              <w:spacing w:before="0" w:after="0"/>
              <w:jc w:val="both"/>
              <w:rPr>
                <w:szCs w:val="26"/>
              </w:rPr>
            </w:pPr>
            <w:r>
              <w:rPr>
                <w:rFonts w:hint="eastAsia"/>
                <w:szCs w:val="26"/>
                <w:rtl/>
              </w:rPr>
              <w:t>العاطلون</w:t>
            </w:r>
            <w:r>
              <w:rPr>
                <w:szCs w:val="26"/>
                <w:rtl/>
              </w:rPr>
              <w:t xml:space="preserve"> عن العمل</w:t>
            </w:r>
          </w:p>
        </w:tc>
        <w:tc>
          <w:tcPr>
            <w:tcW w:w="198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034 237</w:t>
            </w:r>
          </w:p>
        </w:tc>
        <w:tc>
          <w:tcPr>
            <w:tcW w:w="1800"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862 91</w:t>
            </w:r>
          </w:p>
        </w:tc>
        <w:tc>
          <w:tcPr>
            <w:tcW w:w="1593" w:type="dxa"/>
            <w:tcBorders>
              <w:top w:val="nil"/>
              <w:left w:val="single" w:sz="4" w:space="0" w:color="auto"/>
              <w:bottom w:val="nil"/>
              <w:right w:val="single" w:sz="4" w:space="0" w:color="auto"/>
            </w:tcBorders>
          </w:tcPr>
          <w:p w:rsidR="00567B15" w:rsidRDefault="00567B15">
            <w:pPr>
              <w:spacing w:before="0" w:after="0"/>
              <w:ind w:left="252"/>
              <w:jc w:val="both"/>
              <w:rPr>
                <w:rFonts w:hint="cs"/>
                <w:szCs w:val="26"/>
              </w:rPr>
            </w:pPr>
            <w:r>
              <w:rPr>
                <w:rFonts w:hint="cs"/>
                <w:szCs w:val="26"/>
                <w:rtl/>
              </w:rPr>
              <w:t>172 145</w:t>
            </w:r>
          </w:p>
        </w:tc>
      </w:tr>
      <w:tr w:rsidR="00567B15" w:rsidTr="00567B15">
        <w:tc>
          <w:tcPr>
            <w:tcW w:w="3950" w:type="dxa"/>
            <w:tcBorders>
              <w:top w:val="nil"/>
              <w:left w:val="single" w:sz="4" w:space="0" w:color="auto"/>
              <w:bottom w:val="single" w:sz="4" w:space="0" w:color="auto"/>
              <w:right w:val="single" w:sz="4" w:space="0" w:color="auto"/>
            </w:tcBorders>
          </w:tcPr>
          <w:p w:rsidR="00567B15" w:rsidRDefault="00567B15">
            <w:pPr>
              <w:spacing w:before="0" w:after="0"/>
              <w:jc w:val="both"/>
              <w:rPr>
                <w:szCs w:val="26"/>
              </w:rPr>
            </w:pPr>
            <w:r>
              <w:rPr>
                <w:rFonts w:hint="eastAsia"/>
                <w:szCs w:val="26"/>
                <w:rtl/>
              </w:rPr>
              <w:t>العاملون</w:t>
            </w:r>
          </w:p>
        </w:tc>
        <w:tc>
          <w:tcPr>
            <w:tcW w:w="1980" w:type="dxa"/>
            <w:tcBorders>
              <w:top w:val="nil"/>
              <w:left w:val="single" w:sz="4" w:space="0" w:color="auto"/>
              <w:bottom w:val="single" w:sz="4" w:space="0" w:color="auto"/>
              <w:right w:val="single" w:sz="4" w:space="0" w:color="auto"/>
            </w:tcBorders>
          </w:tcPr>
          <w:p w:rsidR="00567B15" w:rsidRDefault="00567B15">
            <w:pPr>
              <w:spacing w:before="0" w:after="0"/>
              <w:ind w:left="252"/>
              <w:jc w:val="both"/>
              <w:rPr>
                <w:rFonts w:hint="cs"/>
                <w:szCs w:val="26"/>
              </w:rPr>
            </w:pPr>
            <w:r>
              <w:rPr>
                <w:rFonts w:hint="cs"/>
                <w:szCs w:val="26"/>
                <w:rtl/>
              </w:rPr>
              <w:t>203 151 3</w:t>
            </w:r>
          </w:p>
        </w:tc>
        <w:tc>
          <w:tcPr>
            <w:tcW w:w="1800" w:type="dxa"/>
            <w:tcBorders>
              <w:top w:val="nil"/>
              <w:left w:val="single" w:sz="4" w:space="0" w:color="auto"/>
              <w:bottom w:val="single" w:sz="4" w:space="0" w:color="auto"/>
              <w:right w:val="single" w:sz="4" w:space="0" w:color="auto"/>
            </w:tcBorders>
          </w:tcPr>
          <w:p w:rsidR="00567B15" w:rsidRDefault="00567B15">
            <w:pPr>
              <w:spacing w:before="0" w:after="0"/>
              <w:ind w:left="252"/>
              <w:jc w:val="both"/>
              <w:rPr>
                <w:rFonts w:hint="cs"/>
                <w:szCs w:val="26"/>
              </w:rPr>
            </w:pPr>
            <w:r>
              <w:rPr>
                <w:rFonts w:hint="cs"/>
                <w:szCs w:val="26"/>
                <w:rtl/>
              </w:rPr>
              <w:t>794 920 1</w:t>
            </w:r>
          </w:p>
        </w:tc>
        <w:tc>
          <w:tcPr>
            <w:tcW w:w="1593" w:type="dxa"/>
            <w:tcBorders>
              <w:top w:val="nil"/>
              <w:left w:val="single" w:sz="4" w:space="0" w:color="auto"/>
              <w:bottom w:val="single" w:sz="4" w:space="0" w:color="auto"/>
              <w:right w:val="single" w:sz="4" w:space="0" w:color="auto"/>
            </w:tcBorders>
          </w:tcPr>
          <w:p w:rsidR="00567B15" w:rsidRDefault="00567B15">
            <w:pPr>
              <w:spacing w:before="0" w:after="0"/>
              <w:ind w:left="252"/>
              <w:jc w:val="both"/>
              <w:rPr>
                <w:rFonts w:hint="cs"/>
                <w:szCs w:val="26"/>
              </w:rPr>
            </w:pPr>
            <w:r>
              <w:rPr>
                <w:rFonts w:hint="cs"/>
                <w:szCs w:val="26"/>
                <w:rtl/>
              </w:rPr>
              <w:t>409 230 1</w:t>
            </w:r>
          </w:p>
        </w:tc>
      </w:tr>
    </w:tbl>
    <w:p w:rsidR="00000000" w:rsidRDefault="00567B15">
      <w:pPr>
        <w:jc w:val="both"/>
      </w:pPr>
      <w:r>
        <w:rPr>
          <w:rFonts w:hint="cs"/>
          <w:rtl/>
        </w:rPr>
        <w:tab/>
      </w:r>
      <w:r>
        <w:rPr>
          <w:rFonts w:hint="eastAsia"/>
          <w:u w:val="single"/>
          <w:rtl/>
        </w:rPr>
        <w:t>المصدر</w:t>
      </w:r>
      <w:r>
        <w:rPr>
          <w:rtl/>
        </w:rPr>
        <w:t xml:space="preserve">: </w:t>
      </w:r>
      <w:r>
        <w:rPr>
          <w:rFonts w:hint="eastAsia"/>
          <w:rtl/>
        </w:rPr>
        <w:t>المعهد</w:t>
      </w:r>
      <w:r>
        <w:rPr>
          <w:rtl/>
        </w:rPr>
        <w:t xml:space="preserve"> الوطني للإحصاء وتعداد السكان، دراسة عن </w:t>
      </w:r>
      <w:r>
        <w:rPr>
          <w:i/>
          <w:iCs/>
          <w:rtl/>
        </w:rPr>
        <w:t>العمالة والعمالة الناقصة والبطا</w:t>
      </w:r>
      <w:r>
        <w:rPr>
          <w:i/>
          <w:iCs/>
          <w:rtl/>
        </w:rPr>
        <w:t xml:space="preserve">لة </w:t>
      </w:r>
      <w:r>
        <w:rPr>
          <w:rFonts w:hint="eastAsia"/>
          <w:i/>
          <w:iCs/>
          <w:rtl/>
        </w:rPr>
        <w:t>في</w:t>
      </w:r>
      <w:r>
        <w:rPr>
          <w:i/>
          <w:iCs/>
          <w:rtl/>
        </w:rPr>
        <w:t xml:space="preserve"> المدن</w:t>
      </w:r>
      <w:r>
        <w:rPr>
          <w:rtl/>
        </w:rPr>
        <w:t>.</w:t>
      </w:r>
    </w:p>
    <w:p w:rsidR="00000000" w:rsidRDefault="00567B15">
      <w:pPr>
        <w:jc w:val="center"/>
        <w:rPr>
          <w:rFonts w:hint="cs"/>
          <w:rtl/>
        </w:rPr>
      </w:pPr>
      <w:r>
        <w:rPr>
          <w:rFonts w:hint="cs"/>
          <w:b/>
          <w:bCs/>
          <w:rtl/>
        </w:rPr>
        <w:t>مجموع سكان المناطق لحضرية (1999)</w:t>
      </w:r>
    </w:p>
    <w:tbl>
      <w:tblPr>
        <w:bidiVisual/>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3"/>
        <w:gridCol w:w="2697"/>
      </w:tblGrid>
      <w:tr w:rsidR="00567B15" w:rsidTr="00567B15">
        <w:tblPrEx>
          <w:tblCellMar>
            <w:top w:w="0" w:type="dxa"/>
            <w:bottom w:w="0" w:type="dxa"/>
          </w:tblCellMar>
        </w:tblPrEx>
        <w:tc>
          <w:tcPr>
            <w:tcW w:w="3423" w:type="dxa"/>
            <w:tcBorders>
              <w:bottom w:val="single" w:sz="4" w:space="0" w:color="auto"/>
            </w:tcBorders>
          </w:tcPr>
          <w:p w:rsidR="00567B15" w:rsidRDefault="00567B15">
            <w:pPr>
              <w:spacing w:before="0" w:after="0"/>
              <w:jc w:val="center"/>
              <w:rPr>
                <w:rFonts w:hint="cs"/>
                <w:szCs w:val="26"/>
              </w:rPr>
            </w:pPr>
            <w:r>
              <w:rPr>
                <w:rFonts w:hint="cs"/>
                <w:szCs w:val="26"/>
                <w:rtl/>
              </w:rPr>
              <w:t>الفئة</w:t>
            </w:r>
          </w:p>
        </w:tc>
        <w:tc>
          <w:tcPr>
            <w:tcW w:w="2697" w:type="dxa"/>
            <w:tcBorders>
              <w:bottom w:val="single" w:sz="4" w:space="0" w:color="auto"/>
            </w:tcBorders>
          </w:tcPr>
          <w:p w:rsidR="00567B15" w:rsidRDefault="00567B15">
            <w:pPr>
              <w:spacing w:before="0" w:after="0"/>
              <w:jc w:val="center"/>
              <w:rPr>
                <w:rFonts w:hint="cs"/>
                <w:szCs w:val="26"/>
              </w:rPr>
            </w:pPr>
            <w:r>
              <w:rPr>
                <w:rFonts w:hint="cs"/>
                <w:szCs w:val="26"/>
                <w:rtl/>
              </w:rPr>
              <w:t>المجموع</w:t>
            </w:r>
          </w:p>
        </w:tc>
      </w:tr>
      <w:tr w:rsidR="00567B15" w:rsidTr="00567B15">
        <w:tblPrEx>
          <w:tblCellMar>
            <w:top w:w="0" w:type="dxa"/>
            <w:bottom w:w="0" w:type="dxa"/>
          </w:tblCellMar>
        </w:tblPrEx>
        <w:tc>
          <w:tcPr>
            <w:tcW w:w="3423" w:type="dxa"/>
            <w:tcBorders>
              <w:top w:val="single" w:sz="4" w:space="0" w:color="auto"/>
              <w:bottom w:val="nil"/>
            </w:tcBorders>
          </w:tcPr>
          <w:p w:rsidR="00567B15" w:rsidRDefault="00567B15">
            <w:pPr>
              <w:spacing w:before="0" w:after="0"/>
              <w:jc w:val="both"/>
              <w:rPr>
                <w:rFonts w:hint="cs"/>
                <w:szCs w:val="26"/>
              </w:rPr>
            </w:pPr>
            <w:r>
              <w:rPr>
                <w:rFonts w:hint="cs"/>
                <w:szCs w:val="26"/>
                <w:rtl/>
              </w:rPr>
              <w:t>مجموع السكان</w:t>
            </w:r>
          </w:p>
        </w:tc>
        <w:tc>
          <w:tcPr>
            <w:tcW w:w="2697" w:type="dxa"/>
            <w:tcBorders>
              <w:top w:val="single" w:sz="4" w:space="0" w:color="auto"/>
              <w:bottom w:val="nil"/>
            </w:tcBorders>
          </w:tcPr>
          <w:p w:rsidR="00567B15" w:rsidRDefault="00567B15">
            <w:pPr>
              <w:spacing w:before="0" w:after="0"/>
              <w:ind w:left="609"/>
              <w:jc w:val="both"/>
              <w:rPr>
                <w:rFonts w:hint="cs"/>
                <w:szCs w:val="26"/>
              </w:rPr>
            </w:pPr>
            <w:r>
              <w:rPr>
                <w:rFonts w:hint="cs"/>
                <w:szCs w:val="26"/>
                <w:rtl/>
              </w:rPr>
              <w:t>454 023 8</w:t>
            </w:r>
          </w:p>
        </w:tc>
      </w:tr>
      <w:tr w:rsidR="00567B15" w:rsidTr="00567B15">
        <w:tblPrEx>
          <w:tblCellMar>
            <w:top w:w="0" w:type="dxa"/>
            <w:bottom w:w="0" w:type="dxa"/>
          </w:tblCellMar>
        </w:tblPrEx>
        <w:tc>
          <w:tcPr>
            <w:tcW w:w="3423" w:type="dxa"/>
            <w:tcBorders>
              <w:top w:val="nil"/>
              <w:bottom w:val="nil"/>
            </w:tcBorders>
          </w:tcPr>
          <w:p w:rsidR="00567B15" w:rsidRDefault="00567B15">
            <w:pPr>
              <w:spacing w:before="0" w:after="0"/>
              <w:jc w:val="both"/>
              <w:rPr>
                <w:rFonts w:hint="cs"/>
                <w:szCs w:val="26"/>
              </w:rPr>
            </w:pPr>
            <w:r>
              <w:rPr>
                <w:rFonts w:hint="cs"/>
                <w:szCs w:val="26"/>
                <w:rtl/>
              </w:rPr>
              <w:t>السكان دون سن العاشرة</w:t>
            </w:r>
          </w:p>
        </w:tc>
        <w:tc>
          <w:tcPr>
            <w:tcW w:w="2697" w:type="dxa"/>
            <w:tcBorders>
              <w:top w:val="nil"/>
              <w:bottom w:val="nil"/>
            </w:tcBorders>
          </w:tcPr>
          <w:p w:rsidR="00567B15" w:rsidRDefault="00567B15">
            <w:pPr>
              <w:spacing w:before="0" w:after="0"/>
              <w:ind w:left="609"/>
              <w:jc w:val="both"/>
              <w:rPr>
                <w:rFonts w:hint="cs"/>
                <w:szCs w:val="26"/>
              </w:rPr>
            </w:pPr>
            <w:r>
              <w:rPr>
                <w:rFonts w:hint="cs"/>
                <w:szCs w:val="26"/>
                <w:rtl/>
              </w:rPr>
              <w:t>514 742 1</w:t>
            </w:r>
          </w:p>
        </w:tc>
      </w:tr>
      <w:tr w:rsidR="00567B15" w:rsidTr="00567B15">
        <w:tblPrEx>
          <w:tblCellMar>
            <w:top w:w="0" w:type="dxa"/>
            <w:bottom w:w="0" w:type="dxa"/>
          </w:tblCellMar>
        </w:tblPrEx>
        <w:tc>
          <w:tcPr>
            <w:tcW w:w="3423" w:type="dxa"/>
            <w:tcBorders>
              <w:top w:val="nil"/>
              <w:bottom w:val="nil"/>
            </w:tcBorders>
          </w:tcPr>
          <w:p w:rsidR="00567B15" w:rsidRDefault="00567B15">
            <w:pPr>
              <w:spacing w:before="0" w:after="0"/>
              <w:jc w:val="both"/>
              <w:rPr>
                <w:rFonts w:hint="cs"/>
                <w:szCs w:val="26"/>
                <w:rtl/>
              </w:rPr>
            </w:pPr>
            <w:r>
              <w:rPr>
                <w:rFonts w:hint="cs"/>
                <w:szCs w:val="26"/>
                <w:rtl/>
              </w:rPr>
              <w:t>السكان الذين هم في سن العمل</w:t>
            </w:r>
          </w:p>
        </w:tc>
        <w:tc>
          <w:tcPr>
            <w:tcW w:w="2697" w:type="dxa"/>
            <w:tcBorders>
              <w:top w:val="nil"/>
              <w:bottom w:val="nil"/>
            </w:tcBorders>
          </w:tcPr>
          <w:p w:rsidR="00567B15" w:rsidRDefault="00567B15">
            <w:pPr>
              <w:spacing w:before="0" w:after="0"/>
              <w:ind w:left="609"/>
              <w:jc w:val="both"/>
              <w:rPr>
                <w:rFonts w:hint="cs"/>
                <w:szCs w:val="26"/>
              </w:rPr>
            </w:pPr>
            <w:r>
              <w:rPr>
                <w:rFonts w:hint="cs"/>
                <w:szCs w:val="26"/>
                <w:rtl/>
              </w:rPr>
              <w:t>940 280 6</w:t>
            </w:r>
          </w:p>
        </w:tc>
      </w:tr>
      <w:tr w:rsidR="00567B15" w:rsidTr="00567B15">
        <w:tblPrEx>
          <w:tblCellMar>
            <w:top w:w="0" w:type="dxa"/>
            <w:bottom w:w="0" w:type="dxa"/>
          </w:tblCellMar>
        </w:tblPrEx>
        <w:tc>
          <w:tcPr>
            <w:tcW w:w="3423" w:type="dxa"/>
            <w:tcBorders>
              <w:top w:val="nil"/>
              <w:bottom w:val="nil"/>
            </w:tcBorders>
          </w:tcPr>
          <w:p w:rsidR="00567B15" w:rsidRDefault="00567B15">
            <w:pPr>
              <w:spacing w:before="0" w:after="0"/>
              <w:jc w:val="both"/>
              <w:rPr>
                <w:rFonts w:hint="cs"/>
                <w:szCs w:val="26"/>
                <w:rtl/>
              </w:rPr>
            </w:pPr>
            <w:r>
              <w:rPr>
                <w:rFonts w:hint="cs"/>
                <w:szCs w:val="26"/>
                <w:rtl/>
              </w:rPr>
              <w:t>السكان غير النشطين اقتصادياً</w:t>
            </w:r>
          </w:p>
        </w:tc>
        <w:tc>
          <w:tcPr>
            <w:tcW w:w="2697" w:type="dxa"/>
            <w:tcBorders>
              <w:top w:val="nil"/>
              <w:bottom w:val="nil"/>
            </w:tcBorders>
          </w:tcPr>
          <w:p w:rsidR="00567B15" w:rsidRDefault="00567B15">
            <w:pPr>
              <w:spacing w:before="0" w:after="0"/>
              <w:ind w:left="609"/>
              <w:jc w:val="both"/>
              <w:rPr>
                <w:rFonts w:hint="cs"/>
                <w:szCs w:val="26"/>
              </w:rPr>
            </w:pPr>
            <w:r>
              <w:rPr>
                <w:rFonts w:hint="cs"/>
                <w:szCs w:val="26"/>
                <w:rtl/>
              </w:rPr>
              <w:t>360 511 2</w:t>
            </w:r>
          </w:p>
        </w:tc>
      </w:tr>
      <w:tr w:rsidR="00567B15" w:rsidTr="00567B15">
        <w:tblPrEx>
          <w:tblCellMar>
            <w:top w:w="0" w:type="dxa"/>
            <w:bottom w:w="0" w:type="dxa"/>
          </w:tblCellMar>
        </w:tblPrEx>
        <w:tc>
          <w:tcPr>
            <w:tcW w:w="3423" w:type="dxa"/>
            <w:tcBorders>
              <w:top w:val="nil"/>
              <w:bottom w:val="nil"/>
            </w:tcBorders>
          </w:tcPr>
          <w:p w:rsidR="00567B15" w:rsidRDefault="00567B15">
            <w:pPr>
              <w:spacing w:before="0" w:after="0"/>
              <w:jc w:val="both"/>
              <w:rPr>
                <w:rFonts w:hint="cs"/>
                <w:szCs w:val="26"/>
                <w:rtl/>
              </w:rPr>
            </w:pPr>
            <w:r>
              <w:rPr>
                <w:rFonts w:hint="cs"/>
                <w:szCs w:val="26"/>
                <w:rtl/>
              </w:rPr>
              <w:t>السكان النشطون اقتصادياً</w:t>
            </w:r>
          </w:p>
        </w:tc>
        <w:tc>
          <w:tcPr>
            <w:tcW w:w="2697" w:type="dxa"/>
            <w:tcBorders>
              <w:top w:val="nil"/>
              <w:bottom w:val="nil"/>
            </w:tcBorders>
          </w:tcPr>
          <w:p w:rsidR="00567B15" w:rsidRDefault="00567B15">
            <w:pPr>
              <w:spacing w:before="0" w:after="0"/>
              <w:ind w:left="609"/>
              <w:jc w:val="both"/>
              <w:rPr>
                <w:rFonts w:hint="cs"/>
                <w:szCs w:val="26"/>
              </w:rPr>
            </w:pPr>
            <w:r>
              <w:rPr>
                <w:rFonts w:hint="cs"/>
                <w:szCs w:val="26"/>
                <w:rtl/>
              </w:rPr>
              <w:t>580 769 3</w:t>
            </w:r>
          </w:p>
        </w:tc>
      </w:tr>
      <w:tr w:rsidR="00567B15" w:rsidTr="00567B15">
        <w:tblPrEx>
          <w:tblCellMar>
            <w:top w:w="0" w:type="dxa"/>
            <w:bottom w:w="0" w:type="dxa"/>
          </w:tblCellMar>
        </w:tblPrEx>
        <w:tc>
          <w:tcPr>
            <w:tcW w:w="3423" w:type="dxa"/>
            <w:tcBorders>
              <w:top w:val="nil"/>
              <w:bottom w:val="nil"/>
            </w:tcBorders>
          </w:tcPr>
          <w:p w:rsidR="00567B15" w:rsidRDefault="00567B15">
            <w:pPr>
              <w:spacing w:before="0" w:after="0"/>
              <w:jc w:val="both"/>
              <w:rPr>
                <w:rFonts w:hint="cs"/>
                <w:szCs w:val="26"/>
                <w:rtl/>
              </w:rPr>
            </w:pPr>
            <w:r>
              <w:rPr>
                <w:rFonts w:hint="cs"/>
                <w:szCs w:val="26"/>
                <w:rtl/>
              </w:rPr>
              <w:t>العاطلون عن العمل</w:t>
            </w:r>
          </w:p>
        </w:tc>
        <w:tc>
          <w:tcPr>
            <w:tcW w:w="2697" w:type="dxa"/>
            <w:tcBorders>
              <w:top w:val="nil"/>
              <w:bottom w:val="nil"/>
            </w:tcBorders>
          </w:tcPr>
          <w:p w:rsidR="00567B15" w:rsidRDefault="00567B15">
            <w:pPr>
              <w:spacing w:before="0" w:after="0"/>
              <w:ind w:left="609"/>
              <w:jc w:val="both"/>
              <w:rPr>
                <w:rFonts w:hint="cs"/>
                <w:szCs w:val="26"/>
              </w:rPr>
            </w:pPr>
            <w:r>
              <w:rPr>
                <w:rFonts w:hint="cs"/>
                <w:szCs w:val="26"/>
                <w:rtl/>
              </w:rPr>
              <w:t>452 543</w:t>
            </w:r>
          </w:p>
        </w:tc>
      </w:tr>
      <w:tr w:rsidR="00567B15" w:rsidTr="00567B15">
        <w:tblPrEx>
          <w:tblCellMar>
            <w:top w:w="0" w:type="dxa"/>
            <w:bottom w:w="0" w:type="dxa"/>
          </w:tblCellMar>
        </w:tblPrEx>
        <w:tc>
          <w:tcPr>
            <w:tcW w:w="3423" w:type="dxa"/>
            <w:tcBorders>
              <w:top w:val="nil"/>
            </w:tcBorders>
          </w:tcPr>
          <w:p w:rsidR="00567B15" w:rsidRDefault="00567B15">
            <w:pPr>
              <w:spacing w:before="0" w:after="0"/>
              <w:jc w:val="both"/>
              <w:rPr>
                <w:rFonts w:hint="cs"/>
                <w:szCs w:val="26"/>
                <w:rtl/>
              </w:rPr>
            </w:pPr>
            <w:r>
              <w:rPr>
                <w:rFonts w:hint="cs"/>
                <w:szCs w:val="26"/>
                <w:rtl/>
              </w:rPr>
              <w:t>العاملون</w:t>
            </w:r>
          </w:p>
        </w:tc>
        <w:tc>
          <w:tcPr>
            <w:tcW w:w="2697" w:type="dxa"/>
            <w:tcBorders>
              <w:top w:val="nil"/>
            </w:tcBorders>
          </w:tcPr>
          <w:p w:rsidR="00567B15" w:rsidRDefault="00567B15">
            <w:pPr>
              <w:spacing w:before="0" w:after="0"/>
              <w:ind w:left="609"/>
              <w:jc w:val="both"/>
              <w:rPr>
                <w:rFonts w:hint="cs"/>
                <w:szCs w:val="26"/>
              </w:rPr>
            </w:pPr>
            <w:r>
              <w:rPr>
                <w:rFonts w:hint="cs"/>
                <w:szCs w:val="26"/>
                <w:rtl/>
              </w:rPr>
              <w:t>128 226 3</w:t>
            </w:r>
          </w:p>
        </w:tc>
      </w:tr>
    </w:tbl>
    <w:p w:rsidR="00000000" w:rsidRDefault="00567B15">
      <w:pPr>
        <w:spacing w:before="120" w:after="0"/>
        <w:jc w:val="both"/>
        <w:rPr>
          <w:rFonts w:hint="cs"/>
          <w:i/>
          <w:iCs/>
          <w:rtl/>
        </w:rPr>
      </w:pPr>
      <w:r>
        <w:rPr>
          <w:rFonts w:hint="cs"/>
          <w:rtl/>
        </w:rPr>
        <w:tab/>
      </w:r>
      <w:r>
        <w:rPr>
          <w:rFonts w:hint="cs"/>
          <w:rtl/>
        </w:rPr>
        <w:tab/>
      </w:r>
      <w:r>
        <w:rPr>
          <w:rFonts w:hint="eastAsia"/>
          <w:u w:val="single"/>
          <w:rtl/>
        </w:rPr>
        <w:t>المصدر</w:t>
      </w:r>
      <w:r>
        <w:rPr>
          <w:rtl/>
        </w:rPr>
        <w:t xml:space="preserve">: </w:t>
      </w:r>
      <w:r>
        <w:rPr>
          <w:rFonts w:hint="eastAsia"/>
          <w:rtl/>
        </w:rPr>
        <w:t>المعهد</w:t>
      </w:r>
      <w:r>
        <w:rPr>
          <w:rtl/>
        </w:rPr>
        <w:t xml:space="preserve"> الوطني للإحصاء وتعداد السكان، دراسة عن </w:t>
      </w:r>
      <w:r>
        <w:rPr>
          <w:i/>
          <w:iCs/>
          <w:rtl/>
        </w:rPr>
        <w:t>العمالة</w:t>
      </w:r>
    </w:p>
    <w:p w:rsidR="00000000" w:rsidRDefault="00567B15">
      <w:pPr>
        <w:spacing w:before="0" w:after="0"/>
        <w:jc w:val="both"/>
      </w:pPr>
      <w:r>
        <w:rPr>
          <w:rFonts w:hint="cs"/>
          <w:i/>
          <w:iCs/>
          <w:rtl/>
        </w:rPr>
        <w:tab/>
      </w:r>
      <w:r>
        <w:rPr>
          <w:rFonts w:hint="cs"/>
          <w:i/>
          <w:iCs/>
          <w:rtl/>
        </w:rPr>
        <w:tab/>
      </w:r>
      <w:r>
        <w:rPr>
          <w:rFonts w:hint="cs"/>
          <w:i/>
          <w:iCs/>
          <w:rtl/>
        </w:rPr>
        <w:tab/>
      </w:r>
      <w:r>
        <w:rPr>
          <w:i/>
          <w:iCs/>
          <w:rtl/>
        </w:rPr>
        <w:t xml:space="preserve">والعمالة الناقصة والبطالة </w:t>
      </w:r>
      <w:r>
        <w:rPr>
          <w:rFonts w:hint="eastAsia"/>
          <w:i/>
          <w:iCs/>
          <w:rtl/>
        </w:rPr>
        <w:t>في</w:t>
      </w:r>
      <w:r>
        <w:rPr>
          <w:i/>
          <w:iCs/>
          <w:rtl/>
        </w:rPr>
        <w:t xml:space="preserve"> المدن</w:t>
      </w:r>
      <w:r>
        <w:rPr>
          <w:rtl/>
        </w:rPr>
        <w:t>.</w:t>
      </w:r>
    </w:p>
    <w:p w:rsidR="00000000" w:rsidRDefault="00567B15">
      <w:pPr>
        <w:spacing w:line="380" w:lineRule="exact"/>
        <w:jc w:val="both"/>
        <w:rPr>
          <w:rFonts w:hint="cs"/>
          <w:rtl/>
        </w:rPr>
      </w:pPr>
      <w:r>
        <w:rPr>
          <w:rFonts w:hint="cs"/>
          <w:rtl/>
        </w:rPr>
        <w:t>60-</w:t>
      </w:r>
      <w:r>
        <w:rPr>
          <w:rFonts w:hint="cs"/>
          <w:rtl/>
        </w:rPr>
        <w:tab/>
        <w:t>ويؤكد النمو في عدد السكان النشطين اقتصادياً اتجاهاً لوحظ على مر سنوات عدة، وهو الزيادة المطردة في عدد المشاركين في النشاط الا</w:t>
      </w:r>
      <w:r>
        <w:rPr>
          <w:rFonts w:hint="cs"/>
          <w:rtl/>
        </w:rPr>
        <w:t>قتصادي. فقد بلغ معدل المشاركة الإجمالي (السكان النشطون اقتصادياً/السكان الذين هم في سن العمـل) 52.34 في المائة في تشرين الثاني/نوفمبر 1990، و58.43 في المائة في عام 1998، و60 في المائة في عام 1999.</w:t>
      </w:r>
    </w:p>
    <w:p w:rsidR="00000000" w:rsidRDefault="00567B15">
      <w:pPr>
        <w:spacing w:line="380" w:lineRule="exact"/>
        <w:jc w:val="both"/>
        <w:rPr>
          <w:rFonts w:hint="cs"/>
          <w:rtl/>
        </w:rPr>
      </w:pPr>
      <w:r>
        <w:rPr>
          <w:rFonts w:hint="cs"/>
          <w:rtl/>
        </w:rPr>
        <w:t>61-</w:t>
      </w:r>
      <w:r>
        <w:rPr>
          <w:rFonts w:hint="cs"/>
          <w:rtl/>
        </w:rPr>
        <w:tab/>
        <w:t>وتفيد الدراسة المتعلقة بالعمالة والعمالة الناقصة والبطا</w:t>
      </w:r>
      <w:r>
        <w:rPr>
          <w:rFonts w:hint="cs"/>
          <w:rtl/>
        </w:rPr>
        <w:t>لة في المدن التي أُجريت في تشرين الثاني/نوفمبر 1998 أن النساء أشد تأثراً بالبطالة، ذلك أن نسبة النساء غير النشطات اقتصادياً تبلغ 15.9 في المائة في حين لا تتجاوز هذه النسبة 8.3 في المائة لدى الرجال، وهذا يعني عدم تكافؤ الفرص بين النساء والرجال.</w:t>
      </w:r>
    </w:p>
    <w:p w:rsidR="00000000" w:rsidRDefault="00567B15">
      <w:pPr>
        <w:spacing w:line="380" w:lineRule="exact"/>
        <w:jc w:val="both"/>
        <w:rPr>
          <w:rFonts w:hint="cs"/>
          <w:rtl/>
        </w:rPr>
      </w:pPr>
      <w:r>
        <w:rPr>
          <w:rFonts w:hint="cs"/>
          <w:rtl/>
        </w:rPr>
        <w:t>62-</w:t>
      </w:r>
      <w:r>
        <w:rPr>
          <w:rFonts w:hint="cs"/>
          <w:rtl/>
        </w:rPr>
        <w:tab/>
        <w:t>وتختلف س</w:t>
      </w:r>
      <w:r>
        <w:rPr>
          <w:rFonts w:hint="cs"/>
          <w:rtl/>
        </w:rPr>
        <w:t xml:space="preserve">وق العمل للرجال والنساء في جميع أرجاء البلد، إذ يجد الرجال أعمالاً مأجورة أكثر من النساء اللاتي يؤدين في الغالب أنشطة لحسابهن الخاص ويقمن بالعمل الأسري غير المأجور. أما الفرص المتاحة للمرأة للعثور على عمل في القطاع العام أو الخاص أو لإدارة مشروع تجاري خاص </w:t>
      </w:r>
      <w:r>
        <w:rPr>
          <w:rFonts w:hint="cs"/>
          <w:rtl/>
        </w:rPr>
        <w:t>بها فهي محدودة في الأرياف أكثر بكثير منها في المدن، ولا سيما للقرويات والنساء من السكان الأصليين.</w:t>
      </w:r>
    </w:p>
    <w:p w:rsidR="00000000" w:rsidRDefault="00567B15">
      <w:pPr>
        <w:spacing w:line="380" w:lineRule="exact"/>
        <w:jc w:val="both"/>
        <w:rPr>
          <w:rFonts w:hint="cs"/>
          <w:spacing w:val="2"/>
          <w:rtl/>
        </w:rPr>
      </w:pPr>
      <w:r>
        <w:rPr>
          <w:rFonts w:hint="cs"/>
          <w:spacing w:val="2"/>
          <w:rtl/>
        </w:rPr>
        <w:t>63-</w:t>
      </w:r>
      <w:r>
        <w:rPr>
          <w:rFonts w:hint="cs"/>
          <w:spacing w:val="2"/>
          <w:rtl/>
        </w:rPr>
        <w:tab/>
        <w:t>وأثار النمو في الصادرات الأمل في حدوث انتعاش ملموس في الطلب على اليد العاملة في القطاع الريفي. إلا أن الانتعاش كان متواضعاً وأقل مما هو مطلوب، لأسباب أهمه</w:t>
      </w:r>
      <w:r>
        <w:rPr>
          <w:rFonts w:hint="cs"/>
          <w:spacing w:val="2"/>
          <w:rtl/>
        </w:rPr>
        <w:t>ا الدمار الذي خلّفته ظاهرة النينيو التي ضربت المنطقة الساحلية في عامي 1997 و1998، فقد تضرر إنتاج الزراعة والمواشي وتدنى بنسبة 0.8 في المائة؛ ودُمرت 80 في المائة من طرق المنطقة؛ وتأثرت أيضاً مباني المستشفيات إذ لحقت الأضرار بما لا يقل عن 23 مرفقاً صحياً.</w:t>
      </w:r>
    </w:p>
    <w:p w:rsidR="00000000" w:rsidRDefault="00567B15">
      <w:pPr>
        <w:spacing w:before="0" w:after="0"/>
        <w:jc w:val="center"/>
        <w:rPr>
          <w:rFonts w:hint="cs"/>
          <w:b/>
          <w:bCs/>
          <w:rtl/>
        </w:rPr>
      </w:pPr>
      <w:r>
        <w:rPr>
          <w:rFonts w:hint="cs"/>
          <w:b/>
          <w:bCs/>
          <w:rtl/>
        </w:rPr>
        <w:t>ال</w:t>
      </w:r>
      <w:r>
        <w:rPr>
          <w:rFonts w:hint="cs"/>
          <w:b/>
          <w:bCs/>
          <w:rtl/>
        </w:rPr>
        <w:t>صادرات التقليدية</w:t>
      </w:r>
    </w:p>
    <w:p w:rsidR="00000000" w:rsidRDefault="00567B15">
      <w:pPr>
        <w:spacing w:before="0" w:after="120"/>
        <w:jc w:val="center"/>
        <w:rPr>
          <w:rFonts w:hint="cs"/>
          <w:b/>
          <w:bCs/>
          <w:rtl/>
        </w:rPr>
      </w:pPr>
      <w:r>
        <w:rPr>
          <w:rFonts w:hint="cs"/>
          <w:b/>
          <w:bCs/>
          <w:rtl/>
        </w:rPr>
        <w:t>(بملايين الدولارات فوب)</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440"/>
        <w:gridCol w:w="1260"/>
        <w:gridCol w:w="1260"/>
        <w:gridCol w:w="1080"/>
        <w:gridCol w:w="1260"/>
      </w:tblGrid>
      <w:tr w:rsidR="00567B15" w:rsidTr="00567B15">
        <w:tblPrEx>
          <w:tblCellMar>
            <w:top w:w="0" w:type="dxa"/>
            <w:bottom w:w="0" w:type="dxa"/>
          </w:tblCellMar>
        </w:tblPrEx>
        <w:tc>
          <w:tcPr>
            <w:tcW w:w="3060" w:type="dxa"/>
            <w:tcBorders>
              <w:bottom w:val="single" w:sz="4" w:space="0" w:color="auto"/>
            </w:tcBorders>
          </w:tcPr>
          <w:p w:rsidR="00567B15" w:rsidRDefault="00567B15">
            <w:pPr>
              <w:spacing w:before="0" w:after="0"/>
              <w:jc w:val="center"/>
              <w:rPr>
                <w:rFonts w:hint="cs"/>
                <w:szCs w:val="26"/>
              </w:rPr>
            </w:pPr>
          </w:p>
        </w:tc>
        <w:tc>
          <w:tcPr>
            <w:tcW w:w="1440" w:type="dxa"/>
            <w:tcBorders>
              <w:bottom w:val="single" w:sz="4" w:space="0" w:color="auto"/>
            </w:tcBorders>
          </w:tcPr>
          <w:p w:rsidR="00567B15" w:rsidRDefault="00567B15">
            <w:pPr>
              <w:spacing w:before="0" w:after="0"/>
              <w:jc w:val="center"/>
              <w:rPr>
                <w:rFonts w:hint="cs"/>
                <w:szCs w:val="26"/>
              </w:rPr>
            </w:pPr>
            <w:r>
              <w:rPr>
                <w:rFonts w:hint="cs"/>
                <w:szCs w:val="26"/>
                <w:rtl/>
              </w:rPr>
              <w:t>1995</w:t>
            </w:r>
          </w:p>
        </w:tc>
        <w:tc>
          <w:tcPr>
            <w:tcW w:w="1260" w:type="dxa"/>
            <w:tcBorders>
              <w:bottom w:val="single" w:sz="4" w:space="0" w:color="auto"/>
            </w:tcBorders>
          </w:tcPr>
          <w:p w:rsidR="00567B15" w:rsidRDefault="00567B15">
            <w:pPr>
              <w:spacing w:before="0" w:after="0"/>
              <w:jc w:val="center"/>
              <w:rPr>
                <w:rFonts w:hint="cs"/>
                <w:szCs w:val="26"/>
              </w:rPr>
            </w:pPr>
            <w:r>
              <w:rPr>
                <w:rFonts w:hint="cs"/>
                <w:szCs w:val="26"/>
                <w:rtl/>
              </w:rPr>
              <w:t>1996</w:t>
            </w:r>
          </w:p>
        </w:tc>
        <w:tc>
          <w:tcPr>
            <w:tcW w:w="1260" w:type="dxa"/>
            <w:tcBorders>
              <w:bottom w:val="single" w:sz="4" w:space="0" w:color="auto"/>
            </w:tcBorders>
          </w:tcPr>
          <w:p w:rsidR="00567B15" w:rsidRDefault="00567B15">
            <w:pPr>
              <w:spacing w:before="0" w:after="0"/>
              <w:jc w:val="center"/>
              <w:rPr>
                <w:rFonts w:hint="cs"/>
                <w:szCs w:val="26"/>
              </w:rPr>
            </w:pPr>
            <w:r>
              <w:rPr>
                <w:rFonts w:hint="cs"/>
                <w:szCs w:val="26"/>
                <w:rtl/>
              </w:rPr>
              <w:t>1997</w:t>
            </w:r>
          </w:p>
        </w:tc>
        <w:tc>
          <w:tcPr>
            <w:tcW w:w="1080" w:type="dxa"/>
            <w:tcBorders>
              <w:bottom w:val="single" w:sz="4" w:space="0" w:color="auto"/>
            </w:tcBorders>
          </w:tcPr>
          <w:p w:rsidR="00567B15" w:rsidRDefault="00567B15">
            <w:pPr>
              <w:spacing w:before="0" w:after="0"/>
              <w:jc w:val="center"/>
              <w:rPr>
                <w:rFonts w:hint="cs"/>
                <w:szCs w:val="26"/>
              </w:rPr>
            </w:pPr>
            <w:r>
              <w:rPr>
                <w:rFonts w:hint="cs"/>
                <w:szCs w:val="26"/>
                <w:rtl/>
              </w:rPr>
              <w:t>1998</w:t>
            </w:r>
          </w:p>
        </w:tc>
        <w:tc>
          <w:tcPr>
            <w:tcW w:w="1260" w:type="dxa"/>
            <w:tcBorders>
              <w:bottom w:val="single" w:sz="4" w:space="0" w:color="auto"/>
            </w:tcBorders>
          </w:tcPr>
          <w:p w:rsidR="00567B15" w:rsidRDefault="00567B15">
            <w:pPr>
              <w:spacing w:before="0" w:after="0"/>
              <w:jc w:val="center"/>
              <w:rPr>
                <w:rFonts w:hint="cs"/>
                <w:szCs w:val="26"/>
              </w:rPr>
            </w:pPr>
            <w:r>
              <w:rPr>
                <w:rFonts w:hint="cs"/>
                <w:szCs w:val="26"/>
                <w:rtl/>
              </w:rPr>
              <w:t>1999</w:t>
            </w:r>
          </w:p>
        </w:tc>
      </w:tr>
      <w:tr w:rsidR="00567B15" w:rsidTr="00567B15">
        <w:tblPrEx>
          <w:tblCellMar>
            <w:top w:w="0" w:type="dxa"/>
            <w:bottom w:w="0" w:type="dxa"/>
          </w:tblCellMar>
        </w:tblPrEx>
        <w:tc>
          <w:tcPr>
            <w:tcW w:w="3060" w:type="dxa"/>
            <w:tcBorders>
              <w:bottom w:val="nil"/>
            </w:tcBorders>
          </w:tcPr>
          <w:p w:rsidR="00567B15" w:rsidRDefault="00567B15">
            <w:pPr>
              <w:spacing w:before="0" w:after="0"/>
              <w:jc w:val="both"/>
              <w:rPr>
                <w:rFonts w:hint="cs"/>
                <w:szCs w:val="26"/>
              </w:rPr>
            </w:pPr>
            <w:r>
              <w:rPr>
                <w:rFonts w:hint="cs"/>
                <w:szCs w:val="26"/>
                <w:rtl/>
              </w:rPr>
              <w:t>الموز</w:t>
            </w:r>
          </w:p>
        </w:tc>
        <w:tc>
          <w:tcPr>
            <w:tcW w:w="1440" w:type="dxa"/>
            <w:tcBorders>
              <w:bottom w:val="nil"/>
            </w:tcBorders>
          </w:tcPr>
          <w:p w:rsidR="00567B15" w:rsidRDefault="00567B15">
            <w:pPr>
              <w:spacing w:before="0" w:after="0"/>
              <w:ind w:left="404"/>
              <w:jc w:val="both"/>
              <w:rPr>
                <w:rFonts w:hint="cs"/>
                <w:szCs w:val="26"/>
                <w:rtl/>
              </w:rPr>
            </w:pPr>
            <w:r>
              <w:rPr>
                <w:rFonts w:hint="cs"/>
                <w:szCs w:val="26"/>
                <w:rtl/>
              </w:rPr>
              <w:t>857</w:t>
            </w:r>
          </w:p>
        </w:tc>
        <w:tc>
          <w:tcPr>
            <w:tcW w:w="1260" w:type="dxa"/>
            <w:tcBorders>
              <w:bottom w:val="nil"/>
            </w:tcBorders>
          </w:tcPr>
          <w:p w:rsidR="00567B15" w:rsidRDefault="00567B15">
            <w:pPr>
              <w:spacing w:before="0" w:after="0"/>
              <w:ind w:left="224"/>
              <w:jc w:val="both"/>
              <w:rPr>
                <w:rFonts w:hint="cs"/>
                <w:szCs w:val="26"/>
                <w:rtl/>
              </w:rPr>
            </w:pPr>
            <w:r>
              <w:rPr>
                <w:rFonts w:hint="cs"/>
                <w:szCs w:val="26"/>
                <w:rtl/>
              </w:rPr>
              <w:t>973</w:t>
            </w:r>
          </w:p>
        </w:tc>
        <w:tc>
          <w:tcPr>
            <w:tcW w:w="1260" w:type="dxa"/>
            <w:tcBorders>
              <w:bottom w:val="nil"/>
            </w:tcBorders>
          </w:tcPr>
          <w:p w:rsidR="00567B15" w:rsidRDefault="00567B15">
            <w:pPr>
              <w:spacing w:before="0" w:after="0"/>
              <w:ind w:left="252" w:hanging="28"/>
              <w:jc w:val="both"/>
              <w:rPr>
                <w:rFonts w:hint="cs"/>
                <w:szCs w:val="26"/>
                <w:rtl/>
              </w:rPr>
            </w:pPr>
            <w:r>
              <w:rPr>
                <w:rFonts w:hint="cs"/>
                <w:szCs w:val="26"/>
                <w:rtl/>
              </w:rPr>
              <w:t>327 1</w:t>
            </w:r>
          </w:p>
        </w:tc>
        <w:tc>
          <w:tcPr>
            <w:tcW w:w="1080" w:type="dxa"/>
            <w:tcBorders>
              <w:bottom w:val="nil"/>
            </w:tcBorders>
          </w:tcPr>
          <w:p w:rsidR="00567B15" w:rsidRDefault="00567B15">
            <w:pPr>
              <w:spacing w:before="0" w:after="0"/>
              <w:ind w:left="224"/>
              <w:jc w:val="both"/>
              <w:rPr>
                <w:rFonts w:hint="cs"/>
                <w:szCs w:val="26"/>
                <w:rtl/>
              </w:rPr>
            </w:pPr>
            <w:r>
              <w:rPr>
                <w:rFonts w:hint="cs"/>
                <w:szCs w:val="26"/>
                <w:rtl/>
              </w:rPr>
              <w:t>070 1</w:t>
            </w:r>
          </w:p>
        </w:tc>
        <w:tc>
          <w:tcPr>
            <w:tcW w:w="1260" w:type="dxa"/>
            <w:tcBorders>
              <w:bottom w:val="nil"/>
            </w:tcBorders>
          </w:tcPr>
          <w:p w:rsidR="00567B15" w:rsidRDefault="00567B15">
            <w:pPr>
              <w:tabs>
                <w:tab w:val="left" w:pos="252"/>
              </w:tabs>
              <w:spacing w:before="0" w:after="0"/>
              <w:ind w:left="224"/>
              <w:jc w:val="both"/>
              <w:rPr>
                <w:rFonts w:hint="cs"/>
                <w:szCs w:val="26"/>
                <w:rtl/>
              </w:rPr>
            </w:pPr>
            <w:r>
              <w:rPr>
                <w:rFonts w:hint="cs"/>
                <w:szCs w:val="26"/>
                <w:rtl/>
              </w:rPr>
              <w:t>954</w:t>
            </w:r>
          </w:p>
        </w:tc>
      </w:tr>
      <w:tr w:rsidR="00567B15" w:rsidTr="00567B15">
        <w:tblPrEx>
          <w:tblCellMar>
            <w:top w:w="0" w:type="dxa"/>
            <w:bottom w:w="0" w:type="dxa"/>
          </w:tblCellMar>
        </w:tblPrEx>
        <w:tc>
          <w:tcPr>
            <w:tcW w:w="3060" w:type="dxa"/>
            <w:tcBorders>
              <w:top w:val="nil"/>
              <w:bottom w:val="nil"/>
            </w:tcBorders>
          </w:tcPr>
          <w:p w:rsidR="00567B15" w:rsidRDefault="00567B15">
            <w:pPr>
              <w:spacing w:before="0" w:after="0"/>
              <w:jc w:val="both"/>
              <w:rPr>
                <w:rFonts w:hint="cs"/>
                <w:szCs w:val="26"/>
                <w:rtl/>
              </w:rPr>
            </w:pPr>
            <w:r>
              <w:rPr>
                <w:rFonts w:hint="cs"/>
                <w:szCs w:val="26"/>
                <w:rtl/>
              </w:rPr>
              <w:t>البن (حبوب أو مجهز)</w:t>
            </w:r>
          </w:p>
        </w:tc>
        <w:tc>
          <w:tcPr>
            <w:tcW w:w="1440" w:type="dxa"/>
            <w:tcBorders>
              <w:top w:val="nil"/>
              <w:bottom w:val="nil"/>
            </w:tcBorders>
          </w:tcPr>
          <w:p w:rsidR="00567B15" w:rsidRDefault="00567B15">
            <w:pPr>
              <w:spacing w:before="0" w:after="0"/>
              <w:ind w:left="404"/>
              <w:jc w:val="both"/>
              <w:rPr>
                <w:rFonts w:hint="cs"/>
                <w:szCs w:val="26"/>
                <w:rtl/>
              </w:rPr>
            </w:pPr>
            <w:r>
              <w:rPr>
                <w:rFonts w:hint="cs"/>
                <w:szCs w:val="26"/>
                <w:rtl/>
              </w:rPr>
              <w:t>244</w:t>
            </w:r>
          </w:p>
        </w:tc>
        <w:tc>
          <w:tcPr>
            <w:tcW w:w="1260" w:type="dxa"/>
            <w:tcBorders>
              <w:top w:val="nil"/>
              <w:bottom w:val="nil"/>
            </w:tcBorders>
          </w:tcPr>
          <w:p w:rsidR="00567B15" w:rsidRDefault="00567B15">
            <w:pPr>
              <w:spacing w:before="0" w:after="0"/>
              <w:ind w:left="224"/>
              <w:jc w:val="both"/>
              <w:rPr>
                <w:rFonts w:hint="cs"/>
                <w:szCs w:val="26"/>
                <w:rtl/>
              </w:rPr>
            </w:pPr>
            <w:r>
              <w:rPr>
                <w:rFonts w:hint="cs"/>
                <w:szCs w:val="26"/>
                <w:rtl/>
              </w:rPr>
              <w:t>160</w:t>
            </w:r>
          </w:p>
        </w:tc>
        <w:tc>
          <w:tcPr>
            <w:tcW w:w="1260" w:type="dxa"/>
            <w:tcBorders>
              <w:top w:val="nil"/>
              <w:bottom w:val="nil"/>
            </w:tcBorders>
          </w:tcPr>
          <w:p w:rsidR="00567B15" w:rsidRDefault="00567B15">
            <w:pPr>
              <w:spacing w:before="0" w:after="0"/>
              <w:ind w:left="252" w:hanging="28"/>
              <w:jc w:val="both"/>
              <w:rPr>
                <w:rFonts w:hint="cs"/>
                <w:szCs w:val="26"/>
                <w:rtl/>
              </w:rPr>
            </w:pPr>
            <w:r>
              <w:rPr>
                <w:rFonts w:hint="cs"/>
                <w:szCs w:val="26"/>
                <w:rtl/>
              </w:rPr>
              <w:t>121</w:t>
            </w:r>
          </w:p>
        </w:tc>
        <w:tc>
          <w:tcPr>
            <w:tcW w:w="1080" w:type="dxa"/>
            <w:tcBorders>
              <w:top w:val="nil"/>
              <w:bottom w:val="nil"/>
            </w:tcBorders>
          </w:tcPr>
          <w:p w:rsidR="00567B15" w:rsidRDefault="00567B15">
            <w:pPr>
              <w:spacing w:before="0" w:after="0"/>
              <w:ind w:left="224"/>
              <w:jc w:val="both"/>
              <w:rPr>
                <w:rFonts w:hint="cs"/>
                <w:szCs w:val="26"/>
                <w:rtl/>
              </w:rPr>
            </w:pPr>
            <w:r>
              <w:rPr>
                <w:rFonts w:hint="cs"/>
                <w:szCs w:val="26"/>
                <w:rtl/>
              </w:rPr>
              <w:t>105</w:t>
            </w:r>
          </w:p>
        </w:tc>
        <w:tc>
          <w:tcPr>
            <w:tcW w:w="1260" w:type="dxa"/>
            <w:tcBorders>
              <w:top w:val="nil"/>
              <w:bottom w:val="nil"/>
            </w:tcBorders>
          </w:tcPr>
          <w:p w:rsidR="00567B15" w:rsidRDefault="00567B15">
            <w:pPr>
              <w:tabs>
                <w:tab w:val="left" w:pos="252"/>
              </w:tabs>
              <w:spacing w:before="0" w:after="0"/>
              <w:ind w:left="224"/>
              <w:jc w:val="both"/>
              <w:rPr>
                <w:rFonts w:hint="cs"/>
                <w:szCs w:val="26"/>
                <w:rtl/>
              </w:rPr>
            </w:pPr>
            <w:r>
              <w:rPr>
                <w:rFonts w:hint="cs"/>
                <w:szCs w:val="26"/>
                <w:rtl/>
              </w:rPr>
              <w:t>78</w:t>
            </w:r>
          </w:p>
        </w:tc>
      </w:tr>
      <w:tr w:rsidR="00567B15" w:rsidTr="00567B15">
        <w:tblPrEx>
          <w:tblCellMar>
            <w:top w:w="0" w:type="dxa"/>
            <w:bottom w:w="0" w:type="dxa"/>
          </w:tblCellMar>
        </w:tblPrEx>
        <w:tc>
          <w:tcPr>
            <w:tcW w:w="3060" w:type="dxa"/>
            <w:tcBorders>
              <w:top w:val="nil"/>
              <w:bottom w:val="nil"/>
            </w:tcBorders>
          </w:tcPr>
          <w:p w:rsidR="00567B15" w:rsidRDefault="00567B15">
            <w:pPr>
              <w:spacing w:before="0" w:after="0"/>
              <w:jc w:val="both"/>
              <w:rPr>
                <w:rFonts w:hint="cs"/>
                <w:szCs w:val="26"/>
                <w:rtl/>
              </w:rPr>
            </w:pPr>
            <w:r>
              <w:rPr>
                <w:rFonts w:hint="cs"/>
                <w:szCs w:val="26"/>
                <w:rtl/>
              </w:rPr>
              <w:t>الكاكاو (حبوب أو مجهز)</w:t>
            </w:r>
          </w:p>
        </w:tc>
        <w:tc>
          <w:tcPr>
            <w:tcW w:w="1440" w:type="dxa"/>
            <w:tcBorders>
              <w:top w:val="nil"/>
              <w:bottom w:val="nil"/>
            </w:tcBorders>
          </w:tcPr>
          <w:p w:rsidR="00567B15" w:rsidRDefault="00567B15">
            <w:pPr>
              <w:spacing w:before="0" w:after="0"/>
              <w:ind w:left="404"/>
              <w:jc w:val="both"/>
              <w:rPr>
                <w:rFonts w:hint="cs"/>
                <w:szCs w:val="26"/>
                <w:rtl/>
              </w:rPr>
            </w:pPr>
            <w:r>
              <w:rPr>
                <w:rFonts w:hint="cs"/>
                <w:szCs w:val="26"/>
                <w:rtl/>
              </w:rPr>
              <w:t>133</w:t>
            </w:r>
          </w:p>
        </w:tc>
        <w:tc>
          <w:tcPr>
            <w:tcW w:w="1260" w:type="dxa"/>
            <w:tcBorders>
              <w:top w:val="nil"/>
              <w:bottom w:val="nil"/>
            </w:tcBorders>
          </w:tcPr>
          <w:p w:rsidR="00567B15" w:rsidRDefault="00567B15">
            <w:pPr>
              <w:spacing w:before="0" w:after="0"/>
              <w:ind w:left="224"/>
              <w:jc w:val="both"/>
              <w:rPr>
                <w:rFonts w:hint="cs"/>
                <w:szCs w:val="26"/>
                <w:rtl/>
              </w:rPr>
            </w:pPr>
            <w:r>
              <w:rPr>
                <w:rFonts w:hint="cs"/>
                <w:szCs w:val="26"/>
                <w:rtl/>
              </w:rPr>
              <w:t>164</w:t>
            </w:r>
          </w:p>
        </w:tc>
        <w:tc>
          <w:tcPr>
            <w:tcW w:w="1260" w:type="dxa"/>
            <w:tcBorders>
              <w:top w:val="nil"/>
              <w:bottom w:val="nil"/>
            </w:tcBorders>
          </w:tcPr>
          <w:p w:rsidR="00567B15" w:rsidRDefault="00567B15">
            <w:pPr>
              <w:spacing w:before="0" w:after="0"/>
              <w:ind w:left="252" w:hanging="28"/>
              <w:jc w:val="both"/>
              <w:rPr>
                <w:rFonts w:hint="cs"/>
                <w:szCs w:val="26"/>
                <w:rtl/>
              </w:rPr>
            </w:pPr>
            <w:r>
              <w:rPr>
                <w:rFonts w:hint="cs"/>
                <w:szCs w:val="26"/>
                <w:rtl/>
              </w:rPr>
              <w:t>132</w:t>
            </w:r>
          </w:p>
        </w:tc>
        <w:tc>
          <w:tcPr>
            <w:tcW w:w="1080" w:type="dxa"/>
            <w:tcBorders>
              <w:top w:val="nil"/>
              <w:bottom w:val="nil"/>
            </w:tcBorders>
          </w:tcPr>
          <w:p w:rsidR="00567B15" w:rsidRDefault="00567B15">
            <w:pPr>
              <w:spacing w:before="0" w:after="0"/>
              <w:ind w:left="224"/>
              <w:jc w:val="both"/>
              <w:rPr>
                <w:rFonts w:hint="cs"/>
                <w:szCs w:val="26"/>
                <w:rtl/>
              </w:rPr>
            </w:pPr>
            <w:r>
              <w:rPr>
                <w:rFonts w:hint="cs"/>
                <w:szCs w:val="26"/>
                <w:rtl/>
              </w:rPr>
              <w:t>47</w:t>
            </w:r>
          </w:p>
        </w:tc>
        <w:tc>
          <w:tcPr>
            <w:tcW w:w="1260" w:type="dxa"/>
            <w:tcBorders>
              <w:top w:val="nil"/>
              <w:bottom w:val="nil"/>
            </w:tcBorders>
          </w:tcPr>
          <w:p w:rsidR="00567B15" w:rsidRDefault="00567B15">
            <w:pPr>
              <w:tabs>
                <w:tab w:val="left" w:pos="252"/>
              </w:tabs>
              <w:spacing w:before="0" w:after="0"/>
              <w:ind w:left="224"/>
              <w:jc w:val="both"/>
              <w:rPr>
                <w:rFonts w:hint="cs"/>
                <w:szCs w:val="26"/>
                <w:rtl/>
              </w:rPr>
            </w:pPr>
            <w:r>
              <w:rPr>
                <w:rFonts w:hint="cs"/>
                <w:szCs w:val="26"/>
                <w:rtl/>
              </w:rPr>
              <w:t>106</w:t>
            </w:r>
          </w:p>
        </w:tc>
      </w:tr>
      <w:tr w:rsidR="00567B15" w:rsidTr="00567B15">
        <w:tblPrEx>
          <w:tblCellMar>
            <w:top w:w="0" w:type="dxa"/>
            <w:bottom w:w="0" w:type="dxa"/>
          </w:tblCellMar>
        </w:tblPrEx>
        <w:tc>
          <w:tcPr>
            <w:tcW w:w="3060" w:type="dxa"/>
            <w:tcBorders>
              <w:top w:val="nil"/>
              <w:bottom w:val="nil"/>
            </w:tcBorders>
          </w:tcPr>
          <w:p w:rsidR="00567B15" w:rsidRDefault="00567B15">
            <w:pPr>
              <w:spacing w:before="0" w:after="0"/>
              <w:jc w:val="both"/>
              <w:rPr>
                <w:rFonts w:hint="cs"/>
                <w:szCs w:val="26"/>
                <w:rtl/>
              </w:rPr>
            </w:pPr>
            <w:r>
              <w:rPr>
                <w:rFonts w:hint="cs"/>
                <w:szCs w:val="26"/>
                <w:rtl/>
              </w:rPr>
              <w:t>التونة والسمك</w:t>
            </w:r>
          </w:p>
        </w:tc>
        <w:tc>
          <w:tcPr>
            <w:tcW w:w="1440" w:type="dxa"/>
            <w:tcBorders>
              <w:top w:val="nil"/>
              <w:bottom w:val="nil"/>
            </w:tcBorders>
          </w:tcPr>
          <w:p w:rsidR="00567B15" w:rsidRDefault="00567B15">
            <w:pPr>
              <w:spacing w:before="0" w:after="0"/>
              <w:ind w:left="404"/>
              <w:jc w:val="both"/>
              <w:rPr>
                <w:rFonts w:hint="cs"/>
                <w:szCs w:val="26"/>
                <w:rtl/>
              </w:rPr>
            </w:pPr>
            <w:r>
              <w:rPr>
                <w:rFonts w:hint="cs"/>
                <w:szCs w:val="26"/>
                <w:rtl/>
              </w:rPr>
              <w:t>89</w:t>
            </w:r>
          </w:p>
        </w:tc>
        <w:tc>
          <w:tcPr>
            <w:tcW w:w="1260" w:type="dxa"/>
            <w:tcBorders>
              <w:top w:val="nil"/>
              <w:bottom w:val="nil"/>
            </w:tcBorders>
          </w:tcPr>
          <w:p w:rsidR="00567B15" w:rsidRDefault="00567B15">
            <w:pPr>
              <w:spacing w:before="0" w:after="0"/>
              <w:ind w:left="224"/>
              <w:jc w:val="both"/>
              <w:rPr>
                <w:rFonts w:hint="cs"/>
                <w:szCs w:val="26"/>
                <w:rtl/>
              </w:rPr>
            </w:pPr>
            <w:r>
              <w:rPr>
                <w:rFonts w:hint="cs"/>
                <w:szCs w:val="26"/>
                <w:rtl/>
              </w:rPr>
              <w:t>85</w:t>
            </w:r>
          </w:p>
        </w:tc>
        <w:tc>
          <w:tcPr>
            <w:tcW w:w="1260" w:type="dxa"/>
            <w:tcBorders>
              <w:top w:val="nil"/>
              <w:bottom w:val="nil"/>
            </w:tcBorders>
          </w:tcPr>
          <w:p w:rsidR="00567B15" w:rsidRDefault="00567B15">
            <w:pPr>
              <w:spacing w:before="0" w:after="0"/>
              <w:ind w:left="252" w:hanging="28"/>
              <w:jc w:val="both"/>
              <w:rPr>
                <w:rFonts w:hint="cs"/>
                <w:szCs w:val="26"/>
                <w:rtl/>
              </w:rPr>
            </w:pPr>
            <w:r>
              <w:rPr>
                <w:rFonts w:hint="cs"/>
                <w:szCs w:val="26"/>
                <w:rtl/>
              </w:rPr>
              <w:t>99</w:t>
            </w:r>
          </w:p>
        </w:tc>
        <w:tc>
          <w:tcPr>
            <w:tcW w:w="1080" w:type="dxa"/>
            <w:tcBorders>
              <w:top w:val="nil"/>
              <w:bottom w:val="nil"/>
            </w:tcBorders>
          </w:tcPr>
          <w:p w:rsidR="00567B15" w:rsidRDefault="00567B15">
            <w:pPr>
              <w:spacing w:before="0" w:after="0"/>
              <w:ind w:left="224"/>
              <w:jc w:val="both"/>
              <w:rPr>
                <w:rFonts w:hint="cs"/>
                <w:szCs w:val="26"/>
                <w:rtl/>
              </w:rPr>
            </w:pPr>
            <w:r>
              <w:rPr>
                <w:rFonts w:hint="cs"/>
                <w:szCs w:val="26"/>
                <w:rtl/>
              </w:rPr>
              <w:t>83</w:t>
            </w:r>
          </w:p>
        </w:tc>
        <w:tc>
          <w:tcPr>
            <w:tcW w:w="1260" w:type="dxa"/>
            <w:tcBorders>
              <w:top w:val="nil"/>
              <w:bottom w:val="nil"/>
            </w:tcBorders>
          </w:tcPr>
          <w:p w:rsidR="00567B15" w:rsidRDefault="00567B15">
            <w:pPr>
              <w:tabs>
                <w:tab w:val="left" w:pos="252"/>
              </w:tabs>
              <w:spacing w:before="0" w:after="0"/>
              <w:ind w:left="224"/>
              <w:jc w:val="both"/>
              <w:rPr>
                <w:rFonts w:hint="cs"/>
                <w:szCs w:val="26"/>
                <w:rtl/>
              </w:rPr>
            </w:pPr>
            <w:r>
              <w:rPr>
                <w:rFonts w:hint="cs"/>
                <w:szCs w:val="26"/>
                <w:rtl/>
              </w:rPr>
              <w:t>69</w:t>
            </w:r>
          </w:p>
        </w:tc>
      </w:tr>
      <w:tr w:rsidR="00567B15" w:rsidTr="00567B15">
        <w:tblPrEx>
          <w:tblCellMar>
            <w:top w:w="0" w:type="dxa"/>
            <w:bottom w:w="0" w:type="dxa"/>
          </w:tblCellMar>
        </w:tblPrEx>
        <w:tc>
          <w:tcPr>
            <w:tcW w:w="3060" w:type="dxa"/>
            <w:tcBorders>
              <w:top w:val="nil"/>
            </w:tcBorders>
          </w:tcPr>
          <w:p w:rsidR="00567B15" w:rsidRDefault="00567B15">
            <w:pPr>
              <w:spacing w:before="0" w:after="0"/>
              <w:jc w:val="both"/>
              <w:rPr>
                <w:rFonts w:hint="cs"/>
                <w:szCs w:val="26"/>
                <w:rtl/>
              </w:rPr>
            </w:pPr>
            <w:r>
              <w:rPr>
                <w:rFonts w:hint="cs"/>
                <w:szCs w:val="26"/>
                <w:rtl/>
              </w:rPr>
              <w:t>الروبيان</w:t>
            </w:r>
          </w:p>
        </w:tc>
        <w:tc>
          <w:tcPr>
            <w:tcW w:w="1440" w:type="dxa"/>
            <w:tcBorders>
              <w:top w:val="nil"/>
            </w:tcBorders>
          </w:tcPr>
          <w:p w:rsidR="00567B15" w:rsidRDefault="00567B15">
            <w:pPr>
              <w:spacing w:before="0" w:after="0"/>
              <w:ind w:left="404"/>
              <w:jc w:val="both"/>
              <w:rPr>
                <w:rFonts w:hint="cs"/>
                <w:szCs w:val="26"/>
                <w:rtl/>
              </w:rPr>
            </w:pPr>
            <w:r>
              <w:rPr>
                <w:rFonts w:hint="cs"/>
                <w:szCs w:val="26"/>
                <w:rtl/>
              </w:rPr>
              <w:t>673</w:t>
            </w:r>
          </w:p>
        </w:tc>
        <w:tc>
          <w:tcPr>
            <w:tcW w:w="1260" w:type="dxa"/>
            <w:tcBorders>
              <w:top w:val="nil"/>
            </w:tcBorders>
          </w:tcPr>
          <w:p w:rsidR="00567B15" w:rsidRDefault="00567B15">
            <w:pPr>
              <w:spacing w:before="0" w:after="0"/>
              <w:ind w:left="224"/>
              <w:jc w:val="both"/>
              <w:rPr>
                <w:rFonts w:hint="cs"/>
                <w:szCs w:val="26"/>
                <w:rtl/>
              </w:rPr>
            </w:pPr>
            <w:r>
              <w:rPr>
                <w:rFonts w:hint="cs"/>
                <w:szCs w:val="26"/>
                <w:rtl/>
              </w:rPr>
              <w:t>631</w:t>
            </w:r>
          </w:p>
        </w:tc>
        <w:tc>
          <w:tcPr>
            <w:tcW w:w="1260" w:type="dxa"/>
            <w:tcBorders>
              <w:top w:val="nil"/>
            </w:tcBorders>
          </w:tcPr>
          <w:p w:rsidR="00567B15" w:rsidRDefault="00567B15">
            <w:pPr>
              <w:spacing w:before="0" w:after="0"/>
              <w:ind w:left="252" w:hanging="28"/>
              <w:jc w:val="both"/>
              <w:rPr>
                <w:rFonts w:hint="cs"/>
                <w:szCs w:val="26"/>
                <w:rtl/>
              </w:rPr>
            </w:pPr>
            <w:r>
              <w:rPr>
                <w:rFonts w:hint="cs"/>
                <w:szCs w:val="26"/>
                <w:rtl/>
              </w:rPr>
              <w:t>886</w:t>
            </w:r>
          </w:p>
        </w:tc>
        <w:tc>
          <w:tcPr>
            <w:tcW w:w="1080" w:type="dxa"/>
            <w:tcBorders>
              <w:top w:val="nil"/>
            </w:tcBorders>
          </w:tcPr>
          <w:p w:rsidR="00567B15" w:rsidRDefault="00567B15">
            <w:pPr>
              <w:spacing w:before="0" w:after="0"/>
              <w:ind w:left="224"/>
              <w:jc w:val="both"/>
              <w:rPr>
                <w:rFonts w:hint="cs"/>
                <w:szCs w:val="26"/>
                <w:rtl/>
              </w:rPr>
            </w:pPr>
            <w:r>
              <w:rPr>
                <w:rFonts w:hint="cs"/>
                <w:szCs w:val="26"/>
                <w:rtl/>
              </w:rPr>
              <w:t>872</w:t>
            </w:r>
          </w:p>
        </w:tc>
        <w:tc>
          <w:tcPr>
            <w:tcW w:w="1260" w:type="dxa"/>
            <w:tcBorders>
              <w:top w:val="nil"/>
            </w:tcBorders>
          </w:tcPr>
          <w:p w:rsidR="00567B15" w:rsidRDefault="00567B15">
            <w:pPr>
              <w:tabs>
                <w:tab w:val="left" w:pos="252"/>
              </w:tabs>
              <w:spacing w:before="0" w:after="0"/>
              <w:ind w:left="224"/>
              <w:jc w:val="both"/>
              <w:rPr>
                <w:rFonts w:hint="cs"/>
                <w:szCs w:val="26"/>
                <w:rtl/>
              </w:rPr>
            </w:pPr>
            <w:r>
              <w:rPr>
                <w:rFonts w:hint="cs"/>
                <w:szCs w:val="26"/>
                <w:rtl/>
              </w:rPr>
              <w:t>607</w:t>
            </w:r>
          </w:p>
        </w:tc>
      </w:tr>
      <w:tr w:rsidR="00567B15" w:rsidTr="00567B15">
        <w:tblPrEx>
          <w:tblCellMar>
            <w:top w:w="0" w:type="dxa"/>
            <w:bottom w:w="0" w:type="dxa"/>
          </w:tblCellMar>
        </w:tblPrEx>
        <w:tc>
          <w:tcPr>
            <w:tcW w:w="3060" w:type="dxa"/>
          </w:tcPr>
          <w:p w:rsidR="00567B15" w:rsidRDefault="00567B15">
            <w:pPr>
              <w:spacing w:before="0" w:after="0"/>
              <w:jc w:val="both"/>
              <w:rPr>
                <w:rFonts w:hint="cs"/>
                <w:szCs w:val="26"/>
                <w:rtl/>
              </w:rPr>
            </w:pPr>
            <w:r>
              <w:rPr>
                <w:rFonts w:hint="cs"/>
                <w:szCs w:val="26"/>
                <w:rtl/>
              </w:rPr>
              <w:t>المجموع</w:t>
            </w:r>
          </w:p>
        </w:tc>
        <w:tc>
          <w:tcPr>
            <w:tcW w:w="1440" w:type="dxa"/>
          </w:tcPr>
          <w:p w:rsidR="00567B15" w:rsidRDefault="00567B15">
            <w:pPr>
              <w:spacing w:before="0" w:after="0"/>
              <w:ind w:left="404"/>
              <w:jc w:val="both"/>
              <w:rPr>
                <w:rFonts w:hint="cs"/>
                <w:szCs w:val="26"/>
                <w:rtl/>
              </w:rPr>
            </w:pPr>
            <w:r>
              <w:rPr>
                <w:rFonts w:hint="cs"/>
                <w:szCs w:val="26"/>
                <w:rtl/>
              </w:rPr>
              <w:t>996 1</w:t>
            </w:r>
          </w:p>
        </w:tc>
        <w:tc>
          <w:tcPr>
            <w:tcW w:w="1260" w:type="dxa"/>
          </w:tcPr>
          <w:p w:rsidR="00567B15" w:rsidRDefault="00567B15">
            <w:pPr>
              <w:spacing w:before="0" w:after="0"/>
              <w:ind w:left="224"/>
              <w:jc w:val="both"/>
              <w:rPr>
                <w:rFonts w:hint="cs"/>
                <w:szCs w:val="26"/>
                <w:rtl/>
              </w:rPr>
            </w:pPr>
            <w:r>
              <w:rPr>
                <w:rFonts w:hint="cs"/>
                <w:szCs w:val="26"/>
                <w:rtl/>
              </w:rPr>
              <w:t>013 2</w:t>
            </w:r>
          </w:p>
        </w:tc>
        <w:tc>
          <w:tcPr>
            <w:tcW w:w="1260" w:type="dxa"/>
          </w:tcPr>
          <w:p w:rsidR="00567B15" w:rsidRDefault="00567B15">
            <w:pPr>
              <w:spacing w:before="0" w:after="0"/>
              <w:ind w:left="252" w:hanging="28"/>
              <w:jc w:val="both"/>
              <w:rPr>
                <w:rFonts w:hint="cs"/>
                <w:szCs w:val="26"/>
                <w:rtl/>
              </w:rPr>
            </w:pPr>
            <w:r>
              <w:rPr>
                <w:rFonts w:hint="cs"/>
                <w:szCs w:val="26"/>
                <w:rtl/>
              </w:rPr>
              <w:t>565 2</w:t>
            </w:r>
          </w:p>
        </w:tc>
        <w:tc>
          <w:tcPr>
            <w:tcW w:w="1080" w:type="dxa"/>
          </w:tcPr>
          <w:p w:rsidR="00567B15" w:rsidRDefault="00567B15">
            <w:pPr>
              <w:spacing w:before="0" w:after="0"/>
              <w:ind w:left="224"/>
              <w:jc w:val="both"/>
              <w:rPr>
                <w:rFonts w:hint="cs"/>
                <w:szCs w:val="26"/>
                <w:rtl/>
              </w:rPr>
            </w:pPr>
            <w:r>
              <w:rPr>
                <w:rFonts w:hint="cs"/>
                <w:szCs w:val="26"/>
                <w:rtl/>
              </w:rPr>
              <w:t>177 2</w:t>
            </w:r>
          </w:p>
        </w:tc>
        <w:tc>
          <w:tcPr>
            <w:tcW w:w="1260" w:type="dxa"/>
          </w:tcPr>
          <w:p w:rsidR="00567B15" w:rsidRDefault="00567B15">
            <w:pPr>
              <w:tabs>
                <w:tab w:val="left" w:pos="252"/>
              </w:tabs>
              <w:spacing w:before="0" w:after="0"/>
              <w:ind w:left="224"/>
              <w:jc w:val="both"/>
              <w:rPr>
                <w:rFonts w:hint="cs"/>
                <w:szCs w:val="26"/>
                <w:rtl/>
              </w:rPr>
            </w:pPr>
            <w:r>
              <w:rPr>
                <w:rFonts w:hint="cs"/>
                <w:szCs w:val="26"/>
                <w:rtl/>
              </w:rPr>
              <w:t>815 1</w:t>
            </w:r>
          </w:p>
        </w:tc>
      </w:tr>
    </w:tbl>
    <w:p w:rsidR="00000000" w:rsidRDefault="00567B15">
      <w:pPr>
        <w:jc w:val="both"/>
        <w:rPr>
          <w:rFonts w:hint="cs"/>
          <w:rtl/>
        </w:rPr>
      </w:pPr>
      <w:r>
        <w:rPr>
          <w:rFonts w:hint="cs"/>
          <w:rtl/>
        </w:rPr>
        <w:tab/>
      </w:r>
      <w:r>
        <w:rPr>
          <w:rFonts w:hint="cs"/>
          <w:u w:val="single"/>
          <w:rtl/>
        </w:rPr>
        <w:t>المصدر</w:t>
      </w:r>
      <w:r>
        <w:rPr>
          <w:rFonts w:hint="cs"/>
          <w:rtl/>
        </w:rPr>
        <w:t>: المصرف المركزي،</w:t>
      </w:r>
      <w:r>
        <w:rPr>
          <w:rFonts w:hint="cs"/>
          <w:i/>
          <w:iCs/>
          <w:rtl/>
        </w:rPr>
        <w:t xml:space="preserve"> نشرة إحصائية.</w:t>
      </w:r>
    </w:p>
    <w:p w:rsidR="00000000" w:rsidRDefault="00567B15">
      <w:pPr>
        <w:spacing w:line="380" w:lineRule="exact"/>
        <w:jc w:val="both"/>
        <w:rPr>
          <w:rFonts w:hint="cs"/>
          <w:rtl/>
        </w:rPr>
      </w:pPr>
      <w:r>
        <w:rPr>
          <w:rFonts w:hint="cs"/>
          <w:rtl/>
        </w:rPr>
        <w:t>64-</w:t>
      </w:r>
      <w:r>
        <w:rPr>
          <w:rFonts w:hint="cs"/>
          <w:rtl/>
        </w:rPr>
        <w:tab/>
        <w:t>وكان لظاهرة النينيو أيضاً تأثير ضار في الصادرات التقليدية وأدت إلى زيادة الواردات من السلع الاستهلاكية غير المعمرة (المواد الغذائية) والسلع الرأسمالية الموجهة لإصلاح المنطقة الساحلية. وقدر</w:t>
      </w:r>
      <w:r>
        <w:rPr>
          <w:rFonts w:hint="cs"/>
          <w:rtl/>
        </w:rPr>
        <w:t>ت لجنة الأمم المتحدة الاقتصادية لأمريكا اللاتينية الخسائر في الهياكل الأساسية والإنتاج والدخل ب‍ 900 2 مليون دولار من دولارات الولايات المتحدة (14.5 في المائة من الناتج المحلي الإجمالي).</w:t>
      </w:r>
    </w:p>
    <w:p w:rsidR="00000000" w:rsidRDefault="00567B15">
      <w:pPr>
        <w:spacing w:before="0" w:after="120" w:line="380" w:lineRule="exact"/>
        <w:jc w:val="center"/>
        <w:rPr>
          <w:rFonts w:hint="cs"/>
          <w:b/>
          <w:bCs/>
          <w:rtl/>
        </w:rPr>
      </w:pPr>
      <w:r>
        <w:rPr>
          <w:rFonts w:hint="cs"/>
          <w:b/>
          <w:bCs/>
          <w:rtl/>
        </w:rPr>
        <w:t>الواردات من السلع الاستهلاكية</w:t>
      </w:r>
    </w:p>
    <w:p w:rsidR="00000000" w:rsidRDefault="00567B15">
      <w:pPr>
        <w:spacing w:before="120" w:after="120" w:line="380" w:lineRule="exact"/>
        <w:jc w:val="center"/>
        <w:rPr>
          <w:rFonts w:hint="cs"/>
          <w:b/>
          <w:bCs/>
          <w:rtl/>
        </w:rPr>
      </w:pPr>
      <w:r>
        <w:rPr>
          <w:rFonts w:hint="cs"/>
          <w:b/>
          <w:bCs/>
          <w:rtl/>
        </w:rPr>
        <w:t>(بملايين الدولارات فوب)</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440"/>
        <w:gridCol w:w="1260"/>
        <w:gridCol w:w="1260"/>
        <w:gridCol w:w="1260"/>
        <w:gridCol w:w="1064"/>
      </w:tblGrid>
      <w:tr w:rsidR="00567B15" w:rsidTr="00567B15">
        <w:tblPrEx>
          <w:tblCellMar>
            <w:top w:w="0" w:type="dxa"/>
            <w:bottom w:w="0" w:type="dxa"/>
          </w:tblCellMar>
        </w:tblPrEx>
        <w:tc>
          <w:tcPr>
            <w:tcW w:w="3060" w:type="dxa"/>
            <w:tcBorders>
              <w:bottom w:val="single" w:sz="4" w:space="0" w:color="auto"/>
            </w:tcBorders>
          </w:tcPr>
          <w:p w:rsidR="00567B15" w:rsidRDefault="00567B15">
            <w:pPr>
              <w:spacing w:before="0" w:after="0"/>
              <w:jc w:val="both"/>
              <w:rPr>
                <w:rFonts w:hint="cs"/>
                <w:szCs w:val="26"/>
              </w:rPr>
            </w:pPr>
          </w:p>
        </w:tc>
        <w:tc>
          <w:tcPr>
            <w:tcW w:w="1440" w:type="dxa"/>
            <w:tcBorders>
              <w:bottom w:val="single" w:sz="4" w:space="0" w:color="auto"/>
            </w:tcBorders>
          </w:tcPr>
          <w:p w:rsidR="00567B15" w:rsidRDefault="00567B15">
            <w:pPr>
              <w:spacing w:before="0" w:after="0"/>
              <w:ind w:left="252"/>
              <w:jc w:val="both"/>
              <w:rPr>
                <w:rFonts w:hint="cs"/>
                <w:szCs w:val="26"/>
              </w:rPr>
            </w:pPr>
            <w:r>
              <w:rPr>
                <w:rFonts w:hint="cs"/>
                <w:szCs w:val="26"/>
                <w:rtl/>
              </w:rPr>
              <w:t>1995</w:t>
            </w:r>
          </w:p>
        </w:tc>
        <w:tc>
          <w:tcPr>
            <w:tcW w:w="1260" w:type="dxa"/>
            <w:tcBorders>
              <w:bottom w:val="single" w:sz="4" w:space="0" w:color="auto"/>
            </w:tcBorders>
          </w:tcPr>
          <w:p w:rsidR="00567B15" w:rsidRDefault="00567B15">
            <w:pPr>
              <w:spacing w:before="0" w:after="0"/>
              <w:ind w:left="224"/>
              <w:jc w:val="both"/>
              <w:rPr>
                <w:rFonts w:hint="cs"/>
                <w:szCs w:val="26"/>
              </w:rPr>
            </w:pPr>
            <w:r>
              <w:rPr>
                <w:rFonts w:hint="cs"/>
                <w:szCs w:val="26"/>
                <w:rtl/>
              </w:rPr>
              <w:t>1996</w:t>
            </w:r>
          </w:p>
        </w:tc>
        <w:tc>
          <w:tcPr>
            <w:tcW w:w="1260" w:type="dxa"/>
            <w:tcBorders>
              <w:bottom w:val="single" w:sz="4" w:space="0" w:color="auto"/>
            </w:tcBorders>
          </w:tcPr>
          <w:p w:rsidR="00567B15" w:rsidRDefault="00567B15">
            <w:pPr>
              <w:spacing w:before="0" w:after="0"/>
              <w:ind w:left="224"/>
              <w:jc w:val="both"/>
              <w:rPr>
                <w:rFonts w:hint="cs"/>
                <w:szCs w:val="26"/>
              </w:rPr>
            </w:pPr>
            <w:r>
              <w:rPr>
                <w:rFonts w:hint="cs"/>
                <w:szCs w:val="26"/>
                <w:rtl/>
              </w:rPr>
              <w:t>1997</w:t>
            </w:r>
          </w:p>
        </w:tc>
        <w:tc>
          <w:tcPr>
            <w:tcW w:w="1260" w:type="dxa"/>
            <w:tcBorders>
              <w:bottom w:val="single" w:sz="4" w:space="0" w:color="auto"/>
            </w:tcBorders>
          </w:tcPr>
          <w:p w:rsidR="00567B15" w:rsidRDefault="00567B15">
            <w:pPr>
              <w:spacing w:before="0" w:after="0"/>
              <w:ind w:left="72"/>
              <w:jc w:val="both"/>
              <w:rPr>
                <w:rFonts w:hint="cs"/>
                <w:szCs w:val="26"/>
              </w:rPr>
            </w:pPr>
            <w:r>
              <w:rPr>
                <w:rFonts w:hint="cs"/>
                <w:szCs w:val="26"/>
                <w:rtl/>
              </w:rPr>
              <w:t>1998</w:t>
            </w:r>
          </w:p>
        </w:tc>
        <w:tc>
          <w:tcPr>
            <w:tcW w:w="1064" w:type="dxa"/>
            <w:tcBorders>
              <w:bottom w:val="single" w:sz="4" w:space="0" w:color="auto"/>
            </w:tcBorders>
          </w:tcPr>
          <w:p w:rsidR="00567B15" w:rsidRDefault="00567B15">
            <w:pPr>
              <w:spacing w:before="0" w:after="0"/>
              <w:ind w:left="72"/>
              <w:jc w:val="both"/>
              <w:rPr>
                <w:rFonts w:hint="cs"/>
                <w:szCs w:val="26"/>
              </w:rPr>
            </w:pPr>
            <w:r>
              <w:rPr>
                <w:rFonts w:hint="cs"/>
                <w:szCs w:val="26"/>
                <w:rtl/>
              </w:rPr>
              <w:t>1999</w:t>
            </w:r>
          </w:p>
        </w:tc>
      </w:tr>
      <w:tr w:rsidR="00567B15" w:rsidTr="00567B15">
        <w:tblPrEx>
          <w:tblCellMar>
            <w:top w:w="0" w:type="dxa"/>
            <w:bottom w:w="0" w:type="dxa"/>
          </w:tblCellMar>
        </w:tblPrEx>
        <w:tc>
          <w:tcPr>
            <w:tcW w:w="3060" w:type="dxa"/>
            <w:tcBorders>
              <w:bottom w:val="nil"/>
            </w:tcBorders>
          </w:tcPr>
          <w:p w:rsidR="00567B15" w:rsidRDefault="00567B15">
            <w:pPr>
              <w:spacing w:before="0" w:after="0"/>
              <w:jc w:val="both"/>
              <w:rPr>
                <w:rFonts w:hint="cs"/>
                <w:szCs w:val="26"/>
              </w:rPr>
            </w:pPr>
            <w:r>
              <w:rPr>
                <w:rFonts w:hint="cs"/>
                <w:szCs w:val="26"/>
                <w:rtl/>
              </w:rPr>
              <w:t xml:space="preserve">السلع غير المعمرة </w:t>
            </w:r>
          </w:p>
        </w:tc>
        <w:tc>
          <w:tcPr>
            <w:tcW w:w="1440" w:type="dxa"/>
            <w:tcBorders>
              <w:bottom w:val="nil"/>
            </w:tcBorders>
          </w:tcPr>
          <w:p w:rsidR="00567B15" w:rsidRDefault="00567B15">
            <w:pPr>
              <w:spacing w:before="0" w:after="0"/>
              <w:ind w:left="252"/>
              <w:jc w:val="both"/>
              <w:rPr>
                <w:rFonts w:hint="cs"/>
                <w:szCs w:val="26"/>
                <w:rtl/>
              </w:rPr>
            </w:pPr>
            <w:r>
              <w:rPr>
                <w:rFonts w:hint="cs"/>
                <w:szCs w:val="26"/>
                <w:rtl/>
              </w:rPr>
              <w:t>398</w:t>
            </w:r>
          </w:p>
        </w:tc>
        <w:tc>
          <w:tcPr>
            <w:tcW w:w="1260" w:type="dxa"/>
            <w:tcBorders>
              <w:bottom w:val="nil"/>
            </w:tcBorders>
          </w:tcPr>
          <w:p w:rsidR="00567B15" w:rsidRDefault="00567B15">
            <w:pPr>
              <w:spacing w:before="0" w:after="0"/>
              <w:ind w:left="224"/>
              <w:jc w:val="both"/>
              <w:rPr>
                <w:rFonts w:hint="cs"/>
                <w:szCs w:val="26"/>
                <w:rtl/>
              </w:rPr>
            </w:pPr>
            <w:r>
              <w:rPr>
                <w:rFonts w:hint="cs"/>
                <w:szCs w:val="26"/>
                <w:rtl/>
              </w:rPr>
              <w:t>459</w:t>
            </w:r>
          </w:p>
        </w:tc>
        <w:tc>
          <w:tcPr>
            <w:tcW w:w="1260" w:type="dxa"/>
            <w:tcBorders>
              <w:bottom w:val="nil"/>
            </w:tcBorders>
          </w:tcPr>
          <w:p w:rsidR="00567B15" w:rsidRDefault="00567B15">
            <w:pPr>
              <w:spacing w:before="0" w:after="0"/>
              <w:ind w:left="224"/>
              <w:jc w:val="both"/>
              <w:rPr>
                <w:rFonts w:hint="cs"/>
                <w:szCs w:val="26"/>
                <w:rtl/>
              </w:rPr>
            </w:pPr>
            <w:r>
              <w:rPr>
                <w:rFonts w:hint="cs"/>
                <w:szCs w:val="26"/>
                <w:rtl/>
              </w:rPr>
              <w:t>563</w:t>
            </w:r>
          </w:p>
        </w:tc>
        <w:tc>
          <w:tcPr>
            <w:tcW w:w="1260" w:type="dxa"/>
            <w:tcBorders>
              <w:bottom w:val="nil"/>
            </w:tcBorders>
          </w:tcPr>
          <w:p w:rsidR="00567B15" w:rsidRDefault="00567B15">
            <w:pPr>
              <w:spacing w:before="0" w:after="0"/>
              <w:ind w:left="72"/>
              <w:jc w:val="both"/>
              <w:rPr>
                <w:rFonts w:hint="cs"/>
                <w:szCs w:val="26"/>
                <w:rtl/>
              </w:rPr>
            </w:pPr>
            <w:r>
              <w:rPr>
                <w:rFonts w:hint="cs"/>
                <w:szCs w:val="26"/>
                <w:rtl/>
              </w:rPr>
              <w:t>660</w:t>
            </w:r>
          </w:p>
        </w:tc>
        <w:tc>
          <w:tcPr>
            <w:tcW w:w="1064" w:type="dxa"/>
            <w:tcBorders>
              <w:bottom w:val="nil"/>
            </w:tcBorders>
          </w:tcPr>
          <w:p w:rsidR="00567B15" w:rsidRDefault="00567B15">
            <w:pPr>
              <w:spacing w:before="0" w:after="0"/>
              <w:ind w:left="72"/>
              <w:jc w:val="both"/>
              <w:rPr>
                <w:rFonts w:hint="cs"/>
                <w:szCs w:val="26"/>
                <w:rtl/>
              </w:rPr>
            </w:pPr>
            <w:r>
              <w:rPr>
                <w:rFonts w:hint="cs"/>
                <w:szCs w:val="26"/>
                <w:rtl/>
              </w:rPr>
              <w:t>412</w:t>
            </w:r>
          </w:p>
        </w:tc>
      </w:tr>
      <w:tr w:rsidR="00567B15" w:rsidTr="00567B15">
        <w:tblPrEx>
          <w:tblCellMar>
            <w:top w:w="0" w:type="dxa"/>
            <w:bottom w:w="0" w:type="dxa"/>
          </w:tblCellMar>
        </w:tblPrEx>
        <w:tc>
          <w:tcPr>
            <w:tcW w:w="3060" w:type="dxa"/>
            <w:tcBorders>
              <w:top w:val="nil"/>
            </w:tcBorders>
          </w:tcPr>
          <w:p w:rsidR="00567B15" w:rsidRDefault="00567B15">
            <w:pPr>
              <w:spacing w:before="0" w:after="0"/>
              <w:jc w:val="both"/>
              <w:rPr>
                <w:rFonts w:hint="cs"/>
                <w:szCs w:val="26"/>
                <w:rtl/>
              </w:rPr>
            </w:pPr>
            <w:r>
              <w:rPr>
                <w:rFonts w:hint="cs"/>
                <w:szCs w:val="26"/>
                <w:rtl/>
              </w:rPr>
              <w:t>السلع المعمرة</w:t>
            </w:r>
          </w:p>
        </w:tc>
        <w:tc>
          <w:tcPr>
            <w:tcW w:w="1440" w:type="dxa"/>
            <w:tcBorders>
              <w:top w:val="nil"/>
            </w:tcBorders>
          </w:tcPr>
          <w:p w:rsidR="00567B15" w:rsidRDefault="00567B15">
            <w:pPr>
              <w:spacing w:before="0" w:after="0"/>
              <w:ind w:left="252"/>
              <w:jc w:val="both"/>
              <w:rPr>
                <w:rFonts w:hint="cs"/>
                <w:szCs w:val="26"/>
                <w:rtl/>
              </w:rPr>
            </w:pPr>
            <w:r>
              <w:rPr>
                <w:rFonts w:hint="cs"/>
                <w:szCs w:val="26"/>
                <w:rtl/>
              </w:rPr>
              <w:t>340</w:t>
            </w:r>
          </w:p>
        </w:tc>
        <w:tc>
          <w:tcPr>
            <w:tcW w:w="1260" w:type="dxa"/>
            <w:tcBorders>
              <w:top w:val="nil"/>
            </w:tcBorders>
          </w:tcPr>
          <w:p w:rsidR="00567B15" w:rsidRDefault="00567B15">
            <w:pPr>
              <w:spacing w:before="0" w:after="0"/>
              <w:ind w:left="224"/>
              <w:jc w:val="both"/>
              <w:rPr>
                <w:rFonts w:hint="cs"/>
                <w:szCs w:val="26"/>
                <w:rtl/>
              </w:rPr>
            </w:pPr>
            <w:r>
              <w:rPr>
                <w:rFonts w:hint="cs"/>
                <w:szCs w:val="26"/>
                <w:rtl/>
              </w:rPr>
              <w:t>319</w:t>
            </w:r>
          </w:p>
        </w:tc>
        <w:tc>
          <w:tcPr>
            <w:tcW w:w="1260" w:type="dxa"/>
            <w:tcBorders>
              <w:top w:val="nil"/>
            </w:tcBorders>
          </w:tcPr>
          <w:p w:rsidR="00567B15" w:rsidRDefault="00567B15">
            <w:pPr>
              <w:spacing w:before="0" w:after="0"/>
              <w:ind w:left="224"/>
              <w:jc w:val="both"/>
              <w:rPr>
                <w:rFonts w:hint="cs"/>
                <w:szCs w:val="26"/>
                <w:rtl/>
              </w:rPr>
            </w:pPr>
            <w:r>
              <w:rPr>
                <w:rFonts w:hint="cs"/>
                <w:szCs w:val="26"/>
                <w:rtl/>
              </w:rPr>
              <w:t>385</w:t>
            </w:r>
          </w:p>
        </w:tc>
        <w:tc>
          <w:tcPr>
            <w:tcW w:w="1260" w:type="dxa"/>
            <w:tcBorders>
              <w:top w:val="nil"/>
            </w:tcBorders>
          </w:tcPr>
          <w:p w:rsidR="00567B15" w:rsidRDefault="00567B15">
            <w:pPr>
              <w:spacing w:before="0" w:after="0"/>
              <w:ind w:left="72"/>
              <w:jc w:val="both"/>
              <w:rPr>
                <w:rFonts w:hint="cs"/>
                <w:szCs w:val="26"/>
                <w:rtl/>
              </w:rPr>
            </w:pPr>
            <w:r>
              <w:rPr>
                <w:rFonts w:hint="cs"/>
                <w:szCs w:val="26"/>
                <w:rtl/>
              </w:rPr>
              <w:t>420</w:t>
            </w:r>
          </w:p>
        </w:tc>
        <w:tc>
          <w:tcPr>
            <w:tcW w:w="1064" w:type="dxa"/>
            <w:tcBorders>
              <w:top w:val="nil"/>
            </w:tcBorders>
          </w:tcPr>
          <w:p w:rsidR="00567B15" w:rsidRDefault="00567B15">
            <w:pPr>
              <w:spacing w:before="0" w:after="0"/>
              <w:ind w:left="72"/>
              <w:jc w:val="both"/>
              <w:rPr>
                <w:rFonts w:hint="cs"/>
                <w:szCs w:val="26"/>
                <w:rtl/>
              </w:rPr>
            </w:pPr>
            <w:r>
              <w:rPr>
                <w:rFonts w:hint="cs"/>
                <w:szCs w:val="26"/>
                <w:rtl/>
              </w:rPr>
              <w:t>160.3</w:t>
            </w:r>
          </w:p>
        </w:tc>
      </w:tr>
      <w:tr w:rsidR="00567B15" w:rsidTr="00567B15">
        <w:tblPrEx>
          <w:tblCellMar>
            <w:top w:w="0" w:type="dxa"/>
            <w:bottom w:w="0" w:type="dxa"/>
          </w:tblCellMar>
        </w:tblPrEx>
        <w:tc>
          <w:tcPr>
            <w:tcW w:w="3060" w:type="dxa"/>
          </w:tcPr>
          <w:p w:rsidR="00567B15" w:rsidRDefault="00567B15">
            <w:pPr>
              <w:spacing w:before="0" w:after="0"/>
              <w:jc w:val="both"/>
              <w:rPr>
                <w:rFonts w:hint="cs"/>
                <w:szCs w:val="26"/>
                <w:rtl/>
              </w:rPr>
            </w:pPr>
            <w:r>
              <w:rPr>
                <w:rFonts w:hint="cs"/>
                <w:szCs w:val="26"/>
                <w:rtl/>
              </w:rPr>
              <w:t>المجموع</w:t>
            </w:r>
          </w:p>
        </w:tc>
        <w:tc>
          <w:tcPr>
            <w:tcW w:w="1440" w:type="dxa"/>
          </w:tcPr>
          <w:p w:rsidR="00567B15" w:rsidRDefault="00567B15">
            <w:pPr>
              <w:spacing w:before="0" w:after="0"/>
              <w:ind w:left="252"/>
              <w:jc w:val="both"/>
              <w:rPr>
                <w:rFonts w:hint="cs"/>
                <w:szCs w:val="26"/>
                <w:rtl/>
              </w:rPr>
            </w:pPr>
            <w:r>
              <w:rPr>
                <w:rFonts w:hint="cs"/>
                <w:szCs w:val="26"/>
                <w:rtl/>
              </w:rPr>
              <w:t>738</w:t>
            </w:r>
          </w:p>
        </w:tc>
        <w:tc>
          <w:tcPr>
            <w:tcW w:w="1260" w:type="dxa"/>
          </w:tcPr>
          <w:p w:rsidR="00567B15" w:rsidRDefault="00567B15">
            <w:pPr>
              <w:spacing w:before="0" w:after="0"/>
              <w:ind w:left="224"/>
              <w:jc w:val="both"/>
              <w:rPr>
                <w:rFonts w:hint="cs"/>
                <w:szCs w:val="26"/>
                <w:rtl/>
              </w:rPr>
            </w:pPr>
            <w:r>
              <w:rPr>
                <w:rFonts w:hint="cs"/>
                <w:szCs w:val="26"/>
                <w:rtl/>
              </w:rPr>
              <w:t>779</w:t>
            </w:r>
          </w:p>
        </w:tc>
        <w:tc>
          <w:tcPr>
            <w:tcW w:w="1260" w:type="dxa"/>
          </w:tcPr>
          <w:p w:rsidR="00567B15" w:rsidRDefault="00567B15">
            <w:pPr>
              <w:spacing w:before="0" w:after="0"/>
              <w:ind w:left="224"/>
              <w:jc w:val="both"/>
              <w:rPr>
                <w:rFonts w:hint="cs"/>
                <w:szCs w:val="26"/>
                <w:rtl/>
              </w:rPr>
            </w:pPr>
            <w:r>
              <w:rPr>
                <w:rFonts w:hint="cs"/>
                <w:szCs w:val="26"/>
                <w:rtl/>
              </w:rPr>
              <w:t>948</w:t>
            </w:r>
          </w:p>
        </w:tc>
        <w:tc>
          <w:tcPr>
            <w:tcW w:w="1260" w:type="dxa"/>
          </w:tcPr>
          <w:p w:rsidR="00567B15" w:rsidRDefault="00567B15">
            <w:pPr>
              <w:spacing w:before="0" w:after="0"/>
              <w:ind w:left="72"/>
              <w:jc w:val="both"/>
              <w:rPr>
                <w:rFonts w:hint="cs"/>
                <w:szCs w:val="26"/>
                <w:rtl/>
              </w:rPr>
            </w:pPr>
            <w:r>
              <w:rPr>
                <w:rFonts w:hint="cs"/>
                <w:szCs w:val="26"/>
                <w:rtl/>
              </w:rPr>
              <w:t>080 1</w:t>
            </w:r>
          </w:p>
        </w:tc>
        <w:tc>
          <w:tcPr>
            <w:tcW w:w="1064" w:type="dxa"/>
          </w:tcPr>
          <w:p w:rsidR="00567B15" w:rsidRDefault="00567B15">
            <w:pPr>
              <w:spacing w:before="0" w:after="0"/>
              <w:ind w:left="72"/>
              <w:jc w:val="both"/>
              <w:rPr>
                <w:rFonts w:hint="cs"/>
                <w:szCs w:val="26"/>
                <w:rtl/>
              </w:rPr>
            </w:pPr>
            <w:r>
              <w:rPr>
                <w:rFonts w:hint="cs"/>
                <w:szCs w:val="26"/>
                <w:rtl/>
              </w:rPr>
              <w:t>572</w:t>
            </w:r>
          </w:p>
        </w:tc>
      </w:tr>
    </w:tbl>
    <w:p w:rsidR="00000000" w:rsidRDefault="00567B15">
      <w:pPr>
        <w:spacing w:before="0"/>
        <w:jc w:val="both"/>
        <w:rPr>
          <w:rFonts w:hint="cs"/>
          <w:rtl/>
        </w:rPr>
      </w:pPr>
      <w:r>
        <w:rPr>
          <w:rFonts w:hint="cs"/>
          <w:rtl/>
        </w:rPr>
        <w:tab/>
      </w:r>
      <w:r>
        <w:rPr>
          <w:rFonts w:hint="cs"/>
          <w:u w:val="single"/>
          <w:rtl/>
        </w:rPr>
        <w:t>المصدر</w:t>
      </w:r>
      <w:r>
        <w:rPr>
          <w:rFonts w:hint="cs"/>
          <w:rtl/>
        </w:rPr>
        <w:t>: إحصاءات مصرف إكوادور المركزي.</w:t>
      </w:r>
    </w:p>
    <w:p w:rsidR="00000000" w:rsidRDefault="00567B15">
      <w:pPr>
        <w:spacing w:line="380" w:lineRule="exact"/>
        <w:jc w:val="both"/>
        <w:rPr>
          <w:rFonts w:hint="cs"/>
          <w:rtl/>
        </w:rPr>
      </w:pPr>
      <w:r>
        <w:rPr>
          <w:rFonts w:hint="cs"/>
          <w:rtl/>
        </w:rPr>
        <w:t>65-</w:t>
      </w:r>
      <w:r>
        <w:rPr>
          <w:rFonts w:hint="cs"/>
          <w:rtl/>
        </w:rPr>
        <w:tab/>
        <w:t>وأدت هذه المشاكل وغيرها من المشاكل المتصلة بانخفاض الإنتاج بسبب ظاهرة النينيو إلى الضغط على م</w:t>
      </w:r>
      <w:r>
        <w:rPr>
          <w:rFonts w:hint="cs"/>
          <w:rtl/>
        </w:rPr>
        <w:t xml:space="preserve">ستويات الأسعار وعلى سعر الصرف وأسعار الفائدة. ولم يخلق انتعاش الصادرات الزراعية في السنوات الأخيرة فرص عمل جديدة كافية ولم يقلب الاتجاه السلبي. ويبلغ معدل البطالة 14.4 في المائة ومعدل العمالة الناقصة 56.9 في المائة. وتستمر الأجور الحقيقية في الهبوط ويزداد </w:t>
      </w:r>
      <w:r>
        <w:rPr>
          <w:rFonts w:hint="cs"/>
          <w:rtl/>
        </w:rPr>
        <w:t>تركيز الثروة.</w:t>
      </w:r>
    </w:p>
    <w:p w:rsidR="00000000" w:rsidRDefault="00567B15">
      <w:pPr>
        <w:spacing w:line="380" w:lineRule="exact"/>
        <w:jc w:val="both"/>
        <w:rPr>
          <w:rStyle w:val="FootnoteReference"/>
          <w:rFonts w:hint="cs"/>
          <w:bCs w:val="0"/>
          <w:spacing w:val="0"/>
          <w:vertAlign w:val="baseline"/>
          <w:rtl/>
        </w:rPr>
      </w:pPr>
      <w:r>
        <w:rPr>
          <w:rFonts w:hint="cs"/>
          <w:spacing w:val="0"/>
          <w:rtl/>
        </w:rPr>
        <w:t>66-</w:t>
      </w:r>
      <w:r>
        <w:rPr>
          <w:rFonts w:hint="cs"/>
          <w:spacing w:val="0"/>
          <w:rtl/>
        </w:rPr>
        <w:tab/>
        <w:t>وعلى هذه الخلفية، ارتفعت نسبة الفقر في إكوادور في السنوات الأخيرة، فبلغت نسبة السكان الحضر الفقراء في عام 1997، 69.7 في المائة 30.5 في المائة منهم معدمون، بينما بلغ معدل الفقر في عام 1999، 78.5 في المائة 46.2 في المائة منهم معدمون. وضمن ا</w:t>
      </w:r>
      <w:r>
        <w:rPr>
          <w:rFonts w:hint="cs"/>
          <w:spacing w:val="0"/>
          <w:rtl/>
        </w:rPr>
        <w:t>لقطاع الريفي تزداد هذه المشكلة حدة بين السكان الأصليين والسود.</w:t>
      </w:r>
    </w:p>
    <w:p w:rsidR="00000000" w:rsidRDefault="00567B15">
      <w:pPr>
        <w:spacing w:line="380" w:lineRule="exact"/>
        <w:jc w:val="both"/>
        <w:rPr>
          <w:rFonts w:hint="cs"/>
          <w:rtl/>
        </w:rPr>
      </w:pPr>
      <w:r>
        <w:rPr>
          <w:rFonts w:hint="cs"/>
          <w:rtl/>
        </w:rPr>
        <w:t>67-</w:t>
      </w:r>
      <w:r>
        <w:rPr>
          <w:rFonts w:hint="cs"/>
          <w:rtl/>
        </w:rPr>
        <w:tab/>
        <w:t>إلاّ أن الصورة مختلفة نوعاً ما في مجال المنتجات غير التقليدية. ويدل تحليل النمو في الصادات غير التقليدية من إكوادور خلال السنوات العشر الماضية على ما يمكن وصفه بالمعجزة الاقتصادية. فقد قفزت</w:t>
      </w:r>
      <w:r>
        <w:rPr>
          <w:rFonts w:hint="cs"/>
          <w:rtl/>
        </w:rPr>
        <w:t xml:space="preserve"> الصادرات غير التقليدية من 318 مليون دولار من دولارات الولايات المتحدة في عام 1992 إلى ما يقدر بنحو 344 1 مليون دولار للسنة الحالية، وليس هذا فحسب بل إن معظم هذا النمو شمل منتجات تتطلب درجة معينة من التجهيز الصناعي، حيث ارتفعت صادرات هذه المنتجات من 228 مل</w:t>
      </w:r>
      <w:r>
        <w:rPr>
          <w:rFonts w:hint="cs"/>
          <w:rtl/>
        </w:rPr>
        <w:t>يون دولار إلى 941 مليون دولار فيما ازدادت صادرات السلع الأساسية من 89 مليون دولار إلى 402 مليون دولار. وثمة مجال آخر بدأ يشهد نمواً هاماً هو صادرات الفواكه الطازجة التي يتوقع أن تبلغ 33 مليون دولار في السنة الحالية. وأفضل المنتجات المجهزة أداءً هي المنتجات</w:t>
      </w:r>
      <w:r>
        <w:rPr>
          <w:rFonts w:hint="cs"/>
          <w:rtl/>
        </w:rPr>
        <w:t xml:space="preserve"> السمكية التي ارتفعت من 55 مليون دولار إلى 335 مليون دولار، إلا أن نمواً هاماً حدث أيضاً في المنتجات الكيميائية والصيدلانية والجلود واللدائن والمطاط وطائفة من المنتجات الأخرى التي تستأثر بأكثر من 170 مليون دولار من صادرات هذا العام. ويبدو أن الدولرة خلفت أ</w:t>
      </w:r>
      <w:r>
        <w:rPr>
          <w:rFonts w:hint="cs"/>
          <w:rtl/>
        </w:rPr>
        <w:t xml:space="preserve">ثراً عميقاً في صادرات المنتجات المعدنية والسيارات والمنسوجات التي تشمل الملبوسات ومنتجات أخرى. ومما يجدر ذكره هو الزيادة في صادرات عصير الفواكه والفواكه المعلبة نتيجة الأداء الإيجابي للفواكه الطبيعية. </w:t>
      </w:r>
    </w:p>
    <w:p w:rsidR="00000000" w:rsidRDefault="00567B15">
      <w:pPr>
        <w:spacing w:line="380" w:lineRule="exact"/>
        <w:jc w:val="both"/>
        <w:rPr>
          <w:rFonts w:hint="cs"/>
          <w:i/>
          <w:iCs/>
          <w:rtl/>
        </w:rPr>
      </w:pPr>
      <w:r>
        <w:rPr>
          <w:rFonts w:hint="cs"/>
          <w:i/>
          <w:iCs/>
          <w:rtl/>
        </w:rPr>
        <w:t>العجز</w:t>
      </w:r>
    </w:p>
    <w:p w:rsidR="00000000" w:rsidRDefault="00567B15">
      <w:pPr>
        <w:spacing w:line="380" w:lineRule="exact"/>
        <w:jc w:val="both"/>
        <w:rPr>
          <w:rFonts w:hint="cs"/>
          <w:rtl/>
        </w:rPr>
      </w:pPr>
      <w:r>
        <w:rPr>
          <w:rFonts w:hint="cs"/>
          <w:rtl/>
        </w:rPr>
        <w:t>68-</w:t>
      </w:r>
      <w:r>
        <w:rPr>
          <w:rFonts w:hint="cs"/>
          <w:rtl/>
        </w:rPr>
        <w:tab/>
        <w:t>تفيد دراسة أجراها المجلس الوطني المعني بالعج</w:t>
      </w:r>
      <w:r>
        <w:rPr>
          <w:rFonts w:hint="cs"/>
          <w:rtl/>
        </w:rPr>
        <w:t>ز في عام 1996 أن عدد المعوقين يبلغ 000 600 1 نسمة أو ما يعادل 13.2 من مجموع السكان</w:t>
      </w:r>
      <w:r>
        <w:rPr>
          <w:rFonts w:hint="cs"/>
          <w:vertAlign w:val="superscript"/>
          <w:rtl/>
        </w:rPr>
        <w:t>(15)</w:t>
      </w:r>
      <w:r>
        <w:rPr>
          <w:rFonts w:hint="cs"/>
          <w:rtl/>
        </w:rPr>
        <w:t>.</w:t>
      </w:r>
    </w:p>
    <w:p w:rsidR="00000000" w:rsidRDefault="00567B15">
      <w:pPr>
        <w:spacing w:after="120" w:line="380" w:lineRule="exact"/>
        <w:jc w:val="both"/>
        <w:rPr>
          <w:rFonts w:hint="cs"/>
          <w:rtl/>
        </w:rPr>
      </w:pPr>
      <w:r>
        <w:rPr>
          <w:rFonts w:hint="cs"/>
          <w:rtl/>
        </w:rPr>
        <w:t>69-</w:t>
      </w:r>
      <w:r>
        <w:rPr>
          <w:rFonts w:hint="cs"/>
          <w:rtl/>
        </w:rPr>
        <w:tab/>
        <w:t>وتتضمن الخطة الوطنية للعجز الجاري تنفيذها حالياً في إكوادور إطاراً نظرياً وتشخيصياً لتنظيم مبادرات لصالح المعوقين. وتشمل الخطة برامج ومشاريع وأنشطة تقوم بتنفيذها ال</w:t>
      </w:r>
      <w:r>
        <w:rPr>
          <w:rFonts w:hint="cs"/>
          <w:rtl/>
        </w:rPr>
        <w:t>دولة والقطاع الخاص. ويضع المجلس، في سبيل الوفاء بمسؤولياته، خطط تنفيذية سنوية تخضع للميزانية العامة للدولة التي تشكل مصدر التمويل الرئيسي.</w:t>
      </w:r>
    </w:p>
    <w:p w:rsidR="00000000" w:rsidRDefault="00567B15">
      <w:pPr>
        <w:spacing w:before="120" w:after="0" w:line="380" w:lineRule="exact"/>
        <w:jc w:val="center"/>
        <w:rPr>
          <w:rFonts w:hint="cs"/>
          <w:b/>
          <w:bCs/>
          <w:rtl/>
        </w:rPr>
      </w:pPr>
      <w:r>
        <w:rPr>
          <w:rFonts w:hint="cs"/>
          <w:b/>
          <w:bCs/>
          <w:rtl/>
        </w:rPr>
        <w:t>خطط التنفيذ السنوية</w:t>
      </w:r>
    </w:p>
    <w:p w:rsidR="00000000" w:rsidRDefault="00567B15">
      <w:pPr>
        <w:spacing w:before="0" w:after="120" w:line="380" w:lineRule="exact"/>
        <w:jc w:val="center"/>
        <w:rPr>
          <w:rFonts w:hint="cs"/>
          <w:b/>
          <w:bCs/>
          <w:rtl/>
        </w:rPr>
      </w:pPr>
      <w:r>
        <w:rPr>
          <w:rFonts w:hint="cs"/>
          <w:b/>
          <w:bCs/>
          <w:rtl/>
        </w:rPr>
        <w:t>(بالسوكر)</w:t>
      </w:r>
    </w:p>
    <w:tbl>
      <w:tblPr>
        <w:bidiVisual/>
        <w:tblW w:w="0" w:type="auto"/>
        <w:tblInd w:w="2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5"/>
        <w:gridCol w:w="3780"/>
      </w:tblGrid>
      <w:tr w:rsidR="00567B15" w:rsidTr="00567B15">
        <w:tblPrEx>
          <w:tblCellMar>
            <w:top w:w="0" w:type="dxa"/>
            <w:bottom w:w="0" w:type="dxa"/>
          </w:tblCellMar>
        </w:tblPrEx>
        <w:tc>
          <w:tcPr>
            <w:tcW w:w="1515" w:type="dxa"/>
          </w:tcPr>
          <w:p w:rsidR="00567B15" w:rsidRDefault="00567B15">
            <w:pPr>
              <w:spacing w:before="0" w:after="0"/>
              <w:jc w:val="center"/>
              <w:rPr>
                <w:rStyle w:val="FootnoteReference"/>
                <w:rFonts w:hint="cs"/>
                <w:bCs w:val="0"/>
                <w:sz w:val="26"/>
                <w:szCs w:val="26"/>
                <w:vertAlign w:val="baseline"/>
              </w:rPr>
            </w:pPr>
            <w:r>
              <w:rPr>
                <w:rFonts w:hint="cs"/>
                <w:sz w:val="26"/>
                <w:szCs w:val="26"/>
                <w:rtl/>
              </w:rPr>
              <w:t>1995</w:t>
            </w:r>
          </w:p>
        </w:tc>
        <w:tc>
          <w:tcPr>
            <w:tcW w:w="3780" w:type="dxa"/>
          </w:tcPr>
          <w:p w:rsidR="00567B15" w:rsidRDefault="00567B15">
            <w:pPr>
              <w:spacing w:before="0" w:after="0"/>
              <w:jc w:val="center"/>
              <w:rPr>
                <w:rStyle w:val="FootnoteReference"/>
                <w:rFonts w:hint="cs"/>
                <w:bCs w:val="0"/>
                <w:sz w:val="26"/>
                <w:szCs w:val="26"/>
                <w:vertAlign w:val="baseline"/>
              </w:rPr>
            </w:pPr>
            <w:r>
              <w:rPr>
                <w:rFonts w:hint="cs"/>
                <w:sz w:val="26"/>
                <w:szCs w:val="26"/>
                <w:rtl/>
              </w:rPr>
              <w:t>350 422 546 1</w:t>
            </w:r>
          </w:p>
        </w:tc>
      </w:tr>
      <w:tr w:rsidR="00567B15" w:rsidTr="00567B15">
        <w:tblPrEx>
          <w:tblCellMar>
            <w:top w:w="0" w:type="dxa"/>
            <w:bottom w:w="0" w:type="dxa"/>
          </w:tblCellMar>
        </w:tblPrEx>
        <w:tc>
          <w:tcPr>
            <w:tcW w:w="1515" w:type="dxa"/>
          </w:tcPr>
          <w:p w:rsidR="00567B15" w:rsidRDefault="00567B15">
            <w:pPr>
              <w:spacing w:before="0" w:after="0"/>
              <w:jc w:val="center"/>
              <w:rPr>
                <w:rStyle w:val="FootnoteReference"/>
                <w:rFonts w:hint="cs"/>
                <w:bCs w:val="0"/>
                <w:sz w:val="26"/>
                <w:szCs w:val="26"/>
                <w:vertAlign w:val="baseline"/>
              </w:rPr>
            </w:pPr>
            <w:r>
              <w:rPr>
                <w:rFonts w:hint="cs"/>
                <w:sz w:val="26"/>
                <w:szCs w:val="26"/>
                <w:rtl/>
              </w:rPr>
              <w:t>1998</w:t>
            </w:r>
          </w:p>
        </w:tc>
        <w:tc>
          <w:tcPr>
            <w:tcW w:w="3780" w:type="dxa"/>
          </w:tcPr>
          <w:p w:rsidR="00567B15" w:rsidRDefault="00567B15">
            <w:pPr>
              <w:spacing w:before="0" w:after="0"/>
              <w:jc w:val="center"/>
              <w:rPr>
                <w:rStyle w:val="FootnoteReference"/>
                <w:rFonts w:hint="cs"/>
                <w:bCs w:val="0"/>
                <w:sz w:val="26"/>
                <w:szCs w:val="26"/>
                <w:vertAlign w:val="baseline"/>
              </w:rPr>
            </w:pPr>
            <w:r>
              <w:rPr>
                <w:rFonts w:hint="cs"/>
                <w:sz w:val="26"/>
                <w:szCs w:val="26"/>
                <w:rtl/>
              </w:rPr>
              <w:t>000 811 643 3</w:t>
            </w:r>
          </w:p>
        </w:tc>
      </w:tr>
    </w:tbl>
    <w:p w:rsidR="00000000" w:rsidRDefault="00567B15">
      <w:pPr>
        <w:spacing w:before="0" w:after="0"/>
        <w:jc w:val="both"/>
        <w:rPr>
          <w:rFonts w:hint="cs"/>
          <w:rtl/>
        </w:rPr>
      </w:pPr>
      <w:r>
        <w:rPr>
          <w:rFonts w:hint="cs"/>
          <w:rtl/>
        </w:rPr>
        <w:tab/>
      </w:r>
      <w:r>
        <w:rPr>
          <w:rFonts w:hint="cs"/>
          <w:rtl/>
        </w:rPr>
        <w:tab/>
      </w:r>
      <w:r>
        <w:rPr>
          <w:rFonts w:hint="cs"/>
          <w:rtl/>
        </w:rPr>
        <w:tab/>
      </w:r>
      <w:r>
        <w:rPr>
          <w:rFonts w:hint="cs"/>
          <w:rtl/>
        </w:rPr>
        <w:tab/>
      </w:r>
      <w:r>
        <w:rPr>
          <w:rFonts w:hint="cs"/>
          <w:u w:val="single"/>
          <w:rtl/>
        </w:rPr>
        <w:t>المصدر</w:t>
      </w:r>
      <w:r>
        <w:rPr>
          <w:rFonts w:hint="cs"/>
          <w:rtl/>
        </w:rPr>
        <w:t>:</w:t>
      </w:r>
      <w:r>
        <w:rPr>
          <w:rFonts w:hint="cs"/>
          <w:rtl/>
        </w:rPr>
        <w:tab/>
        <w:t>المجلس الوطني المعني بالعجز.</w:t>
      </w:r>
    </w:p>
    <w:p w:rsidR="00000000" w:rsidRDefault="00567B15">
      <w:pPr>
        <w:spacing w:line="380" w:lineRule="exact"/>
        <w:jc w:val="both"/>
        <w:rPr>
          <w:rFonts w:hint="cs"/>
          <w:rtl/>
        </w:rPr>
      </w:pPr>
      <w:r>
        <w:rPr>
          <w:rFonts w:hint="cs"/>
          <w:rtl/>
        </w:rPr>
        <w:t>70-</w:t>
      </w:r>
      <w:r>
        <w:rPr>
          <w:rFonts w:hint="cs"/>
          <w:rtl/>
        </w:rPr>
        <w:tab/>
        <w:t>وت</w:t>
      </w:r>
      <w:r>
        <w:rPr>
          <w:rFonts w:hint="cs"/>
          <w:rtl/>
        </w:rPr>
        <w:t xml:space="preserve">نص المادة 47 من دستور إكوادور الحالي على توفير الدولة الرعاية للفئات المستضعفة كما يلي: "في القطاعين العام والخاص، توفَّر رعاية متخصصة وتفضيلية على سبيل الأولوية للأطفال والشبان والحوامل والمعوقين والأشخاص المصابين بمرض عضال بالغ التعقيد والمسنين. وتوفَّر </w:t>
      </w:r>
      <w:r>
        <w:rPr>
          <w:rFonts w:hint="cs"/>
          <w:rtl/>
        </w:rPr>
        <w:t>رعاية مماثلة للأفراد المعرضين للخطر وضحايا العنف المنزلي والأطفال المعرضين لسوء المعاملة وضحايا الكوارث الطبيعية أو التي هي من صنع الإنسان".</w:t>
      </w:r>
    </w:p>
    <w:p w:rsidR="00000000" w:rsidRDefault="00567B15">
      <w:pPr>
        <w:spacing w:line="380" w:lineRule="exact"/>
        <w:jc w:val="both"/>
        <w:rPr>
          <w:rFonts w:hint="cs"/>
          <w:rtl/>
        </w:rPr>
      </w:pPr>
      <w:r>
        <w:rPr>
          <w:rFonts w:hint="cs"/>
          <w:rtl/>
        </w:rPr>
        <w:t>71-</w:t>
      </w:r>
      <w:r>
        <w:rPr>
          <w:rFonts w:hint="cs"/>
          <w:rtl/>
        </w:rPr>
        <w:tab/>
        <w:t>وتتوخى البرامج التعليمية الحكومية إدماج المعوقين بوجه عام الذين يحق لهم الالتحاق بالبرامج النظامية، وتوجد أيضاً</w:t>
      </w:r>
      <w:r>
        <w:rPr>
          <w:rFonts w:hint="cs"/>
          <w:rtl/>
        </w:rPr>
        <w:t xml:space="preserve"> خطة إدماج تعليمي للأطفال ذوي الاحتياجات التعليمية الخاصة بحيث يمكن تكييف المناهج المدرسية مع هذه الاحتياجات. وتقع المسؤولية عن التدريب المهني والتوظيف على هيئات حكومية وخاصة تدعمها الدولة عن طريق المجلس الوطني المعني بالعجز؛ إلاّ أن هذه الهيئات تعاني قيود</w:t>
      </w:r>
      <w:r>
        <w:rPr>
          <w:rFonts w:hint="cs"/>
          <w:rtl/>
        </w:rPr>
        <w:t xml:space="preserve">اً كبيرة ولا سيما في الميزانية والموارد البشرية. </w:t>
      </w:r>
    </w:p>
    <w:p w:rsidR="00000000" w:rsidRDefault="00567B15">
      <w:pPr>
        <w:spacing w:line="380" w:lineRule="exact"/>
        <w:jc w:val="both"/>
        <w:rPr>
          <w:rFonts w:hint="cs"/>
          <w:rtl/>
        </w:rPr>
      </w:pPr>
      <w:r>
        <w:rPr>
          <w:rFonts w:hint="cs"/>
          <w:rtl/>
        </w:rPr>
        <w:t>72-</w:t>
      </w:r>
      <w:r>
        <w:rPr>
          <w:rFonts w:hint="cs"/>
          <w:rtl/>
        </w:rPr>
        <w:tab/>
        <w:t>وتنص المادة 53 من الدستور على ما يلي: "تكفل الدولة الوقاية من العجز وتوفير رعاية شاملة للمعوقين وتأهيلهم، ولا سيما المعوزين منهم. وتقع على عاتق الدولة والمجتمع والأسرة مسؤولية مشتركة عن إدماجهم الاجتماع</w:t>
      </w:r>
      <w:r>
        <w:rPr>
          <w:rFonts w:hint="cs"/>
          <w:rtl/>
        </w:rPr>
        <w:t>ي وعن معاملتهم على أساس تكافؤ الفرص. وعلى الدولة أن تتخذ خطوات بغية ضمان حصول المعوقين على السلع والخدمات، ولا سيما في مجالات الصحة والتعليم والتدريب والعمل والترفيه، وبغية إزالة العقبات والعوائق التي تحول دون اتصالهم وتنقلهم في الأماكن والمباني والمواصلات</w:t>
      </w:r>
      <w:r>
        <w:rPr>
          <w:rFonts w:hint="cs"/>
          <w:rtl/>
        </w:rPr>
        <w:t xml:space="preserve"> العامة. وعلى البلديات واجب اتخاذ هذه التدابير ضمن نطاق صلاحياتها وولايتها. ويُمنح المعوقون معاملة تفضيلية في مجال الائتمان والإعفاءات والتخفيضات الضريبية وفقاً للقانون. وللمعوقين الحق في استخدام سبل اتصال بديلة، مثل لغة الإشارات الإكوادورية للصم، ولغة الش</w:t>
      </w:r>
      <w:r>
        <w:rPr>
          <w:rFonts w:hint="cs"/>
          <w:rtl/>
        </w:rPr>
        <w:t>فاه، ولغة برايل للمكفوفين، وما إلى ذلك".</w:t>
      </w:r>
    </w:p>
    <w:p w:rsidR="00000000" w:rsidRDefault="00567B15">
      <w:pPr>
        <w:spacing w:line="380" w:lineRule="exact"/>
        <w:jc w:val="both"/>
        <w:rPr>
          <w:rFonts w:hint="cs"/>
          <w:rtl/>
        </w:rPr>
      </w:pPr>
      <w:r>
        <w:rPr>
          <w:rFonts w:hint="cs"/>
          <w:rtl/>
        </w:rPr>
        <w:t>73-</w:t>
      </w:r>
      <w:r>
        <w:rPr>
          <w:rFonts w:hint="cs"/>
          <w:rtl/>
        </w:rPr>
        <w:tab/>
        <w:t xml:space="preserve">ويمكن إيجاز أهم المشاكل التي يواجهها المعوقون في المجتمع الإكوادوري كما يلي: </w:t>
      </w:r>
    </w:p>
    <w:p w:rsidR="00000000" w:rsidRDefault="00567B15">
      <w:pPr>
        <w:spacing w:before="180" w:after="180" w:line="380" w:lineRule="exact"/>
        <w:jc w:val="both"/>
        <w:rPr>
          <w:rFonts w:hint="cs"/>
          <w:rtl/>
        </w:rPr>
      </w:pPr>
      <w:r>
        <w:rPr>
          <w:rFonts w:hint="cs"/>
          <w:rtl/>
        </w:rPr>
        <w:tab/>
        <w:t>(أ)</w:t>
      </w:r>
      <w:r>
        <w:rPr>
          <w:rFonts w:hint="cs"/>
          <w:rtl/>
        </w:rPr>
        <w:tab/>
        <w:t>قلة برامج الوقاية من العجز؛</w:t>
      </w:r>
    </w:p>
    <w:p w:rsidR="00000000" w:rsidRDefault="00567B15">
      <w:pPr>
        <w:spacing w:before="180" w:after="180" w:line="380" w:lineRule="exact"/>
        <w:jc w:val="both"/>
        <w:rPr>
          <w:rFonts w:hint="cs"/>
          <w:rtl/>
        </w:rPr>
      </w:pPr>
      <w:r>
        <w:rPr>
          <w:rFonts w:hint="cs"/>
          <w:rtl/>
        </w:rPr>
        <w:tab/>
        <w:t>(ب)</w:t>
      </w:r>
      <w:r>
        <w:rPr>
          <w:rFonts w:hint="cs"/>
          <w:rtl/>
        </w:rPr>
        <w:tab/>
        <w:t>قلة خدمات التشخيص والعلاج المبكر؛</w:t>
      </w:r>
    </w:p>
    <w:p w:rsidR="00000000" w:rsidRDefault="00567B15">
      <w:pPr>
        <w:spacing w:before="180" w:after="180" w:line="380" w:lineRule="exact"/>
        <w:jc w:val="both"/>
        <w:rPr>
          <w:rFonts w:hint="cs"/>
          <w:rtl/>
        </w:rPr>
      </w:pPr>
      <w:r>
        <w:rPr>
          <w:rFonts w:hint="cs"/>
          <w:rtl/>
        </w:rPr>
        <w:tab/>
        <w:t>(ج)</w:t>
      </w:r>
      <w:r>
        <w:rPr>
          <w:rFonts w:hint="cs"/>
          <w:rtl/>
        </w:rPr>
        <w:tab/>
        <w:t>عدم وجود برامج لتوفير أدوية لا تحمل اسماً تجارياً للمصاب</w:t>
      </w:r>
      <w:r>
        <w:rPr>
          <w:rFonts w:hint="cs"/>
          <w:rtl/>
        </w:rPr>
        <w:t>ين بإعاقات خطيرة في الشرائح الاجتماعية - الاقتصادية الدنيا؛</w:t>
      </w:r>
    </w:p>
    <w:p w:rsidR="00000000" w:rsidRDefault="00567B15">
      <w:pPr>
        <w:spacing w:before="180" w:after="180" w:line="380" w:lineRule="exact"/>
        <w:jc w:val="both"/>
        <w:rPr>
          <w:rFonts w:hint="cs"/>
          <w:rtl/>
        </w:rPr>
      </w:pPr>
      <w:r>
        <w:rPr>
          <w:rFonts w:hint="cs"/>
          <w:rtl/>
        </w:rPr>
        <w:tab/>
        <w:t>(د)</w:t>
      </w:r>
      <w:r>
        <w:rPr>
          <w:rFonts w:hint="cs"/>
          <w:rtl/>
        </w:rPr>
        <w:tab/>
        <w:t>قلة الخدمات المتاحة للمساعدة على إدماج المعوقين في النظام التعليمي والمجتمع وعالم العمل؛</w:t>
      </w:r>
    </w:p>
    <w:p w:rsidR="00000000" w:rsidRDefault="00567B15">
      <w:pPr>
        <w:spacing w:before="180" w:after="180" w:line="380" w:lineRule="exact"/>
        <w:jc w:val="both"/>
        <w:rPr>
          <w:rFonts w:hint="cs"/>
          <w:rtl/>
        </w:rPr>
      </w:pPr>
      <w:r>
        <w:rPr>
          <w:rFonts w:hint="cs"/>
          <w:rtl/>
        </w:rPr>
        <w:tab/>
        <w:t>(ه‍)</w:t>
      </w:r>
      <w:r>
        <w:rPr>
          <w:rFonts w:hint="cs"/>
          <w:rtl/>
        </w:rPr>
        <w:tab/>
        <w:t>قلة خدمات المساعدة الفنية؛</w:t>
      </w:r>
    </w:p>
    <w:p w:rsidR="00000000" w:rsidRDefault="00567B15">
      <w:pPr>
        <w:spacing w:before="180" w:after="180" w:line="380" w:lineRule="exact"/>
        <w:jc w:val="both"/>
        <w:rPr>
          <w:rFonts w:hint="cs"/>
          <w:rtl/>
        </w:rPr>
      </w:pPr>
      <w:r>
        <w:rPr>
          <w:rFonts w:hint="cs"/>
          <w:rtl/>
        </w:rPr>
        <w:tab/>
        <w:t>(و)</w:t>
      </w:r>
      <w:r>
        <w:rPr>
          <w:rFonts w:hint="cs"/>
          <w:rtl/>
        </w:rPr>
        <w:tab/>
        <w:t>قلة البرامج التعليمية والتدريبية الخاصة بالمعوقين؛</w:t>
      </w:r>
    </w:p>
    <w:p w:rsidR="00000000" w:rsidRDefault="00567B15">
      <w:pPr>
        <w:spacing w:before="180" w:after="180" w:line="380" w:lineRule="exact"/>
        <w:jc w:val="both"/>
        <w:rPr>
          <w:rFonts w:hint="cs"/>
          <w:rtl/>
        </w:rPr>
      </w:pPr>
      <w:r>
        <w:rPr>
          <w:rFonts w:hint="cs"/>
          <w:rtl/>
        </w:rPr>
        <w:tab/>
        <w:t>(ز)</w:t>
      </w:r>
      <w:r>
        <w:rPr>
          <w:rFonts w:hint="cs"/>
          <w:rtl/>
        </w:rPr>
        <w:tab/>
        <w:t xml:space="preserve">نقص فرص </w:t>
      </w:r>
      <w:r>
        <w:rPr>
          <w:rFonts w:hint="cs"/>
          <w:rtl/>
        </w:rPr>
        <w:t>العمل للمعوقين المدربين أو المؤهلين مهنياً؛</w:t>
      </w:r>
    </w:p>
    <w:p w:rsidR="00000000" w:rsidRDefault="00567B15">
      <w:pPr>
        <w:spacing w:before="180" w:after="180" w:line="380" w:lineRule="exact"/>
        <w:jc w:val="both"/>
        <w:rPr>
          <w:rFonts w:hint="cs"/>
          <w:rtl/>
        </w:rPr>
      </w:pPr>
      <w:r>
        <w:rPr>
          <w:rFonts w:hint="cs"/>
          <w:rtl/>
        </w:rPr>
        <w:tab/>
        <w:t>(ح)</w:t>
      </w:r>
      <w:r>
        <w:rPr>
          <w:rFonts w:hint="cs"/>
          <w:rtl/>
        </w:rPr>
        <w:tab/>
        <w:t>القصور في تنفيذ الأحكام القانونية الخاصة بإزالة العقبات التي تعترض المعوقين في الأماكن والمباني والمواصلات العامة.</w:t>
      </w:r>
    </w:p>
    <w:p w:rsidR="00000000" w:rsidRDefault="00567B15">
      <w:pPr>
        <w:spacing w:line="380" w:lineRule="exact"/>
        <w:jc w:val="both"/>
        <w:rPr>
          <w:rFonts w:hint="cs"/>
          <w:rtl/>
        </w:rPr>
      </w:pPr>
      <w:r>
        <w:rPr>
          <w:rFonts w:hint="cs"/>
          <w:rtl/>
        </w:rPr>
        <w:t>74-</w:t>
      </w:r>
      <w:r>
        <w:rPr>
          <w:rFonts w:hint="cs"/>
          <w:rtl/>
        </w:rPr>
        <w:tab/>
        <w:t>ويوجد في إكوادور تمييز ضد المعوقين، ولا سيما ضد المعوقات، في مجال العمل، ذلك أنه يخشى من</w:t>
      </w:r>
      <w:r>
        <w:rPr>
          <w:rFonts w:hint="cs"/>
          <w:rtl/>
        </w:rPr>
        <w:t xml:space="preserve"> ضمهم إلى القوى العاملة بسبب احتمال تعرضهم لحوادث تزيد من إعاقتهم البدنية مع ما يترتب على ذلك من آثار مالية للشركة التي تستخدمهم؛ ولا يوجد وعي كافي بخصال المعوقين أو قدراتهم الحقيقية. ولم تعالج مسألة المعوقين كحالة خاصة وإنما جرى تناولها في السياق العام لم</w:t>
      </w:r>
      <w:r>
        <w:rPr>
          <w:rFonts w:hint="cs"/>
          <w:rtl/>
        </w:rPr>
        <w:t>سألة العجز في إكوادور، وخاصة منذ إنشاء المجلس الوطني للمرأة بوصفه هيئة مستقلة مسؤولة عن السياسات والإجراءات في مجال حماية المرأة ورعايتها.</w:t>
      </w:r>
    </w:p>
    <w:p w:rsidR="00000000" w:rsidRDefault="00567B15">
      <w:pPr>
        <w:spacing w:line="380" w:lineRule="exact"/>
        <w:jc w:val="both"/>
        <w:rPr>
          <w:rFonts w:hint="cs"/>
          <w:rtl/>
        </w:rPr>
      </w:pPr>
      <w:r>
        <w:rPr>
          <w:rFonts w:hint="cs"/>
          <w:rtl/>
        </w:rPr>
        <w:t>75-</w:t>
      </w:r>
      <w:r>
        <w:rPr>
          <w:rFonts w:hint="cs"/>
          <w:rtl/>
        </w:rPr>
        <w:tab/>
        <w:t>وقد أنشئ المجلس الوطني المعني بالعجز بموجب المادة 7 من قانون العجز الذي صدر في الجريدة الرسمية المؤرخة 7 آب/أغسطس</w:t>
      </w:r>
      <w:r>
        <w:rPr>
          <w:rFonts w:hint="cs"/>
          <w:rtl/>
        </w:rPr>
        <w:t xml:space="preserve"> 1982، بوصفه هيئة ذات صلاحيات على المستوى الوطني لترويج المشاريع الاجتماعية وإجراء الدراسات وتنسيق المبادرات بين القطاعات والمؤسسات العامة أو الخاصة المسؤولة عن توفير الرعاية والوقاية والتعليم للمعوقين وإدماجهم. ويتولى المجلس أيضاً وضع السياسة الوطنية بشأن</w:t>
      </w:r>
      <w:r>
        <w:rPr>
          <w:rFonts w:hint="cs"/>
          <w:rtl/>
        </w:rPr>
        <w:t xml:space="preserve"> العجز.</w:t>
      </w:r>
    </w:p>
    <w:p w:rsidR="00000000" w:rsidRDefault="00567B15">
      <w:pPr>
        <w:spacing w:line="380" w:lineRule="exact"/>
        <w:jc w:val="both"/>
        <w:rPr>
          <w:rFonts w:hint="cs"/>
          <w:spacing w:val="2"/>
          <w:rtl/>
        </w:rPr>
      </w:pPr>
      <w:r>
        <w:rPr>
          <w:rFonts w:hint="cs"/>
          <w:spacing w:val="2"/>
          <w:rtl/>
        </w:rPr>
        <w:t>76-</w:t>
      </w:r>
      <w:r>
        <w:rPr>
          <w:rFonts w:hint="cs"/>
          <w:spacing w:val="2"/>
          <w:rtl/>
        </w:rPr>
        <w:tab/>
        <w:t>ولا يمكن القول إن قانون العجز، أو القانون رقم 180، غيّر شيئاً في حياة المعوقين ولكن لا بد من التسليم بأنه ساعد على جعل المجتمع الإكوادوري بجميع شرائحه أكثر انفتاحاً لمناقشة هذا الموضوع بحرية وصراحة. ولذلك، لاقت المبادرات التي خطط لها ونفذها الم</w:t>
      </w:r>
      <w:r>
        <w:rPr>
          <w:rFonts w:hint="cs"/>
          <w:spacing w:val="2"/>
          <w:rtl/>
        </w:rPr>
        <w:t>جلس عن طريق المؤسسات العامة والخاصة المسؤولة عن توفير الوقاية والرعاية للمعوقين وإدماجهم صدى إيجابياً. ويوجد في إكوادور أساس قانوني للوفاء باحتياجات هذا القطاع وتحسين أوضاع المعوقين إلا أن التنسيق المطلوب بين مختلف الجهات في التطبيق العملي معدوم، فنوعية ال</w:t>
      </w:r>
      <w:r>
        <w:rPr>
          <w:rFonts w:hint="cs"/>
          <w:spacing w:val="2"/>
          <w:rtl/>
        </w:rPr>
        <w:t>علاج والخدمات متدنية ومخصصات الميزانية الحكومية غير كافية، ما يفسر الزيادة المطردة في مشاركة المنظمات غير الحكومية.</w:t>
      </w:r>
    </w:p>
    <w:p w:rsidR="00000000" w:rsidRDefault="00567B15">
      <w:pPr>
        <w:spacing w:line="380" w:lineRule="exact"/>
        <w:jc w:val="both"/>
        <w:rPr>
          <w:rFonts w:hint="cs"/>
          <w:rtl/>
        </w:rPr>
      </w:pPr>
      <w:r>
        <w:rPr>
          <w:rFonts w:hint="cs"/>
          <w:rtl/>
        </w:rPr>
        <w:t>77-</w:t>
      </w:r>
      <w:r>
        <w:rPr>
          <w:rFonts w:hint="cs"/>
          <w:rtl/>
        </w:rPr>
        <w:tab/>
        <w:t>ولا توجد في إكوادور خطة وطنية لمساعدة أو تدريب الأشخاص المصابين بأي نوع من أنواع العجز. وليس لدى أي مركز من مراكز التعليم التقليدية برام</w:t>
      </w:r>
      <w:r>
        <w:rPr>
          <w:rFonts w:hint="cs"/>
          <w:rtl/>
        </w:rPr>
        <w:t>ج لقبول المعوقين أو تدريبهم أو توظيفهم أو متابعتهم.</w:t>
      </w:r>
    </w:p>
    <w:p w:rsidR="00000000" w:rsidRDefault="00567B15">
      <w:pPr>
        <w:spacing w:line="380" w:lineRule="exact"/>
        <w:jc w:val="both"/>
        <w:rPr>
          <w:rFonts w:hint="cs"/>
          <w:rtl/>
        </w:rPr>
      </w:pPr>
      <w:r>
        <w:rPr>
          <w:rFonts w:hint="cs"/>
          <w:rtl/>
        </w:rPr>
        <w:t>78-</w:t>
      </w:r>
      <w:r>
        <w:rPr>
          <w:rFonts w:hint="cs"/>
          <w:rtl/>
        </w:rPr>
        <w:tab/>
        <w:t>وتتوخى السياسات القطاعية في مجال التوظيف الإجراءات التالية التي يجب على دولة إكوادور الاضطلاع بها من خلال وزارة العمل والموارد البشرية:</w:t>
      </w:r>
    </w:p>
    <w:p w:rsidR="00000000" w:rsidRDefault="00567B15">
      <w:pPr>
        <w:spacing w:before="180" w:after="180" w:line="380" w:lineRule="exact"/>
        <w:jc w:val="both"/>
        <w:rPr>
          <w:rFonts w:hint="cs"/>
          <w:rtl/>
        </w:rPr>
      </w:pPr>
      <w:r>
        <w:rPr>
          <w:rFonts w:hint="cs"/>
          <w:rtl/>
        </w:rPr>
        <w:tab/>
        <w:t>(أ)</w:t>
      </w:r>
      <w:r>
        <w:rPr>
          <w:rFonts w:hint="cs"/>
          <w:rtl/>
        </w:rPr>
        <w:tab/>
        <w:t>التنسيق الأمثل بين خدمات التعليم والصحة والرعاية الاجتماعية</w:t>
      </w:r>
      <w:r>
        <w:rPr>
          <w:rFonts w:hint="cs"/>
          <w:rtl/>
        </w:rPr>
        <w:t xml:space="preserve"> وخدمات التدريب الفني والمهني بهدف تيسير التوظيف المناسب؛</w:t>
      </w:r>
    </w:p>
    <w:p w:rsidR="00000000" w:rsidRDefault="00567B15">
      <w:pPr>
        <w:spacing w:before="180" w:after="180" w:line="380" w:lineRule="exact"/>
        <w:jc w:val="both"/>
        <w:rPr>
          <w:rFonts w:hint="cs"/>
          <w:rtl/>
        </w:rPr>
      </w:pPr>
      <w:r>
        <w:rPr>
          <w:rFonts w:hint="cs"/>
          <w:rtl/>
        </w:rPr>
        <w:tab/>
        <w:t>(ب)</w:t>
      </w:r>
      <w:r>
        <w:rPr>
          <w:rFonts w:hint="cs"/>
          <w:rtl/>
        </w:rPr>
        <w:tab/>
        <w:t>إنشاء آليات مناسبة لتنسيق جهود المؤسسات العامة والخاصة في قطاعات الصحة والتعليم والتوظيف فيما يخص الوقاية من الحوادث في أماكن العمل، أو إنشاء آليات مستقلة تعنى بالذين لم يجدوا بعد عملاً نظامياً</w:t>
      </w:r>
      <w:r>
        <w:rPr>
          <w:rFonts w:hint="cs"/>
          <w:rtl/>
        </w:rPr>
        <w:t xml:space="preserve"> ثابتاً؛</w:t>
      </w:r>
    </w:p>
    <w:p w:rsidR="00000000" w:rsidRDefault="00567B15">
      <w:pPr>
        <w:spacing w:before="180" w:after="180" w:line="380" w:lineRule="exact"/>
        <w:jc w:val="both"/>
        <w:rPr>
          <w:rFonts w:hint="cs"/>
          <w:rtl/>
        </w:rPr>
      </w:pPr>
      <w:r>
        <w:rPr>
          <w:rFonts w:hint="cs"/>
          <w:rtl/>
        </w:rPr>
        <w:tab/>
        <w:t>(ج)</w:t>
      </w:r>
      <w:r>
        <w:rPr>
          <w:rFonts w:hint="cs"/>
          <w:rtl/>
        </w:rPr>
        <w:tab/>
        <w:t>التشجيع على إنشاء وتعزيز مؤسسات الائتمان والمؤسسات التي توفر الدعم المالي بشروط تفضيلية لتكوين وحدات إنتاج مخصصة للمعوقين؛</w:t>
      </w:r>
    </w:p>
    <w:p w:rsidR="00000000" w:rsidRDefault="00567B15">
      <w:pPr>
        <w:spacing w:before="180" w:after="180" w:line="380" w:lineRule="exact"/>
        <w:jc w:val="both"/>
        <w:rPr>
          <w:rFonts w:hint="cs"/>
          <w:rtl/>
        </w:rPr>
      </w:pPr>
      <w:r>
        <w:rPr>
          <w:rFonts w:hint="cs"/>
          <w:rtl/>
        </w:rPr>
        <w:tab/>
        <w:t>(د)</w:t>
      </w:r>
      <w:r>
        <w:rPr>
          <w:rFonts w:hint="cs"/>
          <w:rtl/>
        </w:rPr>
        <w:tab/>
        <w:t xml:space="preserve">وضع نموذج للتأهيل الشامل يتضمن التقييم والتوجيه والتكييف والتدريب المهني والتوظيف والمتابعة، وتدعيم مراكز التدريب </w:t>
      </w:r>
      <w:r>
        <w:rPr>
          <w:rFonts w:hint="cs"/>
          <w:rtl/>
        </w:rPr>
        <w:t>والتأهيل الفني والمهني في إكوادور وإعادة توجيهها.</w:t>
      </w:r>
    </w:p>
    <w:p w:rsidR="00000000" w:rsidRDefault="00567B15">
      <w:pPr>
        <w:spacing w:line="380" w:lineRule="exact"/>
        <w:jc w:val="both"/>
        <w:rPr>
          <w:rStyle w:val="FootnoteReference"/>
          <w:rFonts w:hint="cs"/>
          <w:bCs w:val="0"/>
          <w:vertAlign w:val="baseline"/>
          <w:rtl/>
        </w:rPr>
      </w:pPr>
      <w:r>
        <w:rPr>
          <w:rFonts w:hint="cs"/>
          <w:rtl/>
        </w:rPr>
        <w:t>79-</w:t>
      </w:r>
      <w:r>
        <w:rPr>
          <w:rFonts w:hint="cs"/>
          <w:rtl/>
        </w:rPr>
        <w:tab/>
        <w:t xml:space="preserve">ولقد أقصي المعوقون من المشاركة النشطة في حياة المجتمع، ولم تُكسر بعد جميع الحواجز والأحكام المسبقة، وتعاني هذه الفئة من الناس تمييزاً في سوق العمل، كما تتركز جميع الخدمات الخاصة بهم في المدن والمقاطعات </w:t>
      </w:r>
      <w:r>
        <w:rPr>
          <w:rFonts w:hint="cs"/>
          <w:rtl/>
        </w:rPr>
        <w:t>الكبرى، ما يؤدي إلى تهميش آلاف الناس الذين يعيشون بعيداً عن مراكز التنمية. وتعتمد الدولة في تنفيذ سياساتها على هيئات مثل الهيئة الإكوادورية للتدريب المهني، التي يتوقع أن تكيف شروط القبول في برامجها النظامية للتدريب المهني والفني لمراعاة احتياجات المعوقين.</w:t>
      </w:r>
    </w:p>
    <w:p w:rsidR="00000000" w:rsidRDefault="00567B15">
      <w:pPr>
        <w:spacing w:line="380" w:lineRule="exact"/>
        <w:jc w:val="both"/>
        <w:rPr>
          <w:rFonts w:hint="cs"/>
          <w:rtl/>
        </w:rPr>
      </w:pPr>
      <w:r>
        <w:rPr>
          <w:rFonts w:hint="cs"/>
          <w:i/>
          <w:iCs/>
          <w:rtl/>
        </w:rPr>
        <w:t>التشريع الإكوادوري بشأن العجز: الدستـور؛ قانـون العجـز (القانون رقم 180)؛ الأنظمة المتعلقة بالقانون رقم 180؛ السياسات العامة والقطاعية بشأن العجز</w:t>
      </w:r>
    </w:p>
    <w:p w:rsidR="00000000" w:rsidRDefault="00567B15">
      <w:pPr>
        <w:spacing w:line="380" w:lineRule="exact"/>
        <w:jc w:val="both"/>
        <w:rPr>
          <w:rFonts w:hint="cs"/>
          <w:spacing w:val="2"/>
          <w:rtl/>
        </w:rPr>
      </w:pPr>
      <w:r>
        <w:rPr>
          <w:rFonts w:hint="cs"/>
          <w:spacing w:val="2"/>
          <w:rtl/>
        </w:rPr>
        <w:t>80-</w:t>
      </w:r>
      <w:r>
        <w:rPr>
          <w:rFonts w:hint="cs"/>
          <w:spacing w:val="2"/>
          <w:rtl/>
        </w:rPr>
        <w:tab/>
        <w:t>تقدم الحكومة الإسبانية مساهمة هامة عن طريق المعهد الوطني للهجرة والخدمات الاجتماعية، والوكالة الإسبانية لل</w:t>
      </w:r>
      <w:r>
        <w:rPr>
          <w:rFonts w:hint="cs"/>
          <w:spacing w:val="2"/>
          <w:rtl/>
        </w:rPr>
        <w:t>تعاون الدولي، والشبكة الإيبيرية - الأمريكية للتعاون التقني بشأن العجز، ومؤسسة الملكة صوفيا للمعوقين.</w:t>
      </w:r>
    </w:p>
    <w:p w:rsidR="00000000" w:rsidRDefault="00567B15">
      <w:pPr>
        <w:spacing w:line="380" w:lineRule="exact"/>
        <w:jc w:val="both"/>
        <w:rPr>
          <w:rFonts w:hint="cs"/>
          <w:rtl/>
        </w:rPr>
      </w:pPr>
      <w:r>
        <w:rPr>
          <w:rFonts w:hint="cs"/>
          <w:rtl/>
        </w:rPr>
        <w:t>81-</w:t>
      </w:r>
      <w:r>
        <w:rPr>
          <w:rFonts w:hint="cs"/>
          <w:rtl/>
        </w:rPr>
        <w:tab/>
        <w:t>وحتى 14 كانون الأول/ديسمبر 1999، كان المجلس الوطني المعني بالعجز قد منح بطاقات هوية لما مجموعه 000 30 شخص معوق في البلد؛ وتيسيراً لحصول المعوقين على ال</w:t>
      </w:r>
      <w:r>
        <w:rPr>
          <w:rFonts w:hint="cs"/>
          <w:rtl/>
        </w:rPr>
        <w:t>مستحقات، رأت الحكومة أن من العدل توسيع نطاق حق الاستفادة من "قسيمة التضامن" ليشمل المعوقين ذوي الإمكانات الاقتصادية المحدودة الذين يحملون وثيقة مصدقة قانوناً من وحدة طبية تابعة لوزارة الصحة أو الضمان الاجتماعي أو القوات المسلحة أو الشرطة الوطنية تشهد على إ</w:t>
      </w:r>
      <w:r>
        <w:rPr>
          <w:rFonts w:hint="cs"/>
          <w:rtl/>
        </w:rPr>
        <w:t>صابتهم بالعجز بنسبة لا تقل عن 60 في المائة. وقد تلقى 500 4 شخص معوق في جميع أرجاء البلد "قسائم التضامن" حتى كانون الأول/ديسمبر 1999، ويمكن أن يتأهل للاستفادة من هذه القسائم عدد أكبر بكثير، تبعاً لقرارات المجلس الوطني لتحديث الدولة وحالة الميزانية الحكومية.</w:t>
      </w:r>
    </w:p>
    <w:p w:rsidR="00000000" w:rsidRDefault="00567B15">
      <w:pPr>
        <w:spacing w:line="380" w:lineRule="exact"/>
        <w:jc w:val="both"/>
        <w:rPr>
          <w:rFonts w:hint="cs"/>
          <w:rtl/>
        </w:rPr>
      </w:pPr>
      <w:r>
        <w:rPr>
          <w:rFonts w:hint="cs"/>
          <w:rtl/>
        </w:rPr>
        <w:t>82-</w:t>
      </w:r>
      <w:r>
        <w:rPr>
          <w:rFonts w:hint="cs"/>
          <w:rtl/>
        </w:rPr>
        <w:tab/>
        <w:t>ويجدر التنويه بالعمل الذي تضطلع به منظمات غير حكومية لا تستهدف الربح لصالح المعوقين في إكوادور. فعلى سبيل المثال يوفر برنامج رامون أريغي مونريال التابع لمؤسسة إكوادور تدريباً مهنياً لشبان معوقين عقلياً تتراوح أعمارهم بين 15 و25 سنة. فهم يتلقون دورات ف</w:t>
      </w:r>
      <w:r>
        <w:rPr>
          <w:rFonts w:hint="cs"/>
          <w:rtl/>
        </w:rPr>
        <w:t>ي الخياطة والصناعات اليدوية وصناعة الخزف والنجارة والبستنة والخدمات العامة.</w:t>
      </w:r>
    </w:p>
    <w:p w:rsidR="00000000" w:rsidRDefault="00567B15">
      <w:pPr>
        <w:spacing w:line="380" w:lineRule="exact"/>
        <w:jc w:val="both"/>
        <w:rPr>
          <w:rFonts w:hint="cs"/>
          <w:rtl/>
        </w:rPr>
      </w:pPr>
      <w:r>
        <w:rPr>
          <w:rFonts w:hint="cs"/>
          <w:rtl/>
        </w:rPr>
        <w:t>83-</w:t>
      </w:r>
      <w:r>
        <w:rPr>
          <w:rFonts w:hint="cs"/>
          <w:rtl/>
        </w:rPr>
        <w:tab/>
        <w:t>وأتم البرنامجَ حتى اليوم ثمانية دفعات وتلقى التدريب ما مجموعه 182 طالباً. وعند التخرج، وجد 60 في المائة من الطلبة عملاً في المنافسة المفتوحة. أما نسبة ال‍ 40 في المائة المتبقية</w:t>
      </w:r>
      <w:r>
        <w:rPr>
          <w:rFonts w:hint="cs"/>
          <w:rtl/>
        </w:rPr>
        <w:t xml:space="preserve"> فعُهد بهم إلى وحدات دعمهم الأولى (أي أسرهم) أو أوجدت لهم أعمال محمية أو أعمال ضمن مجتمعهم. وتابع البرنامج المعوقين ال‍ 182 الذي تخرجوا بين عامي 1991 و1998 وأجرى مقابلات مع 150 منهم وهم 55 امرأة و95 رجلاً، ولم يتمكن من العثور على 32 منهم. وتبين لـه أن اثني</w:t>
      </w:r>
      <w:r>
        <w:rPr>
          <w:rFonts w:hint="cs"/>
          <w:rtl/>
        </w:rPr>
        <w:t>ن وثمانين منهم يعملون (54.7 في المائة). وقد وجد الرجال منهم عملاً بسهولة أكبر من النساء (64 رجلاً من أصل 95 و18 امرأة من أصل 55). وفي 51.2 في المائة من الحالات، وجد المعوقون عملاً عن طريق مؤسسة إكوادور ويكاد جميعهم يعملون في شركات خاصة. أما البقية فقد عادو</w:t>
      </w:r>
      <w:r>
        <w:rPr>
          <w:rFonts w:hint="cs"/>
          <w:rtl/>
        </w:rPr>
        <w:t>ا إلى وحدة دعمهم الأولى (أسرتهم) وأخذوا يؤدون أعمالاً منزلية لم تكن مأجورة سوى في حالتين.</w:t>
      </w:r>
    </w:p>
    <w:p w:rsidR="00000000" w:rsidRDefault="00567B15">
      <w:pPr>
        <w:spacing w:line="380" w:lineRule="exact"/>
        <w:jc w:val="both"/>
        <w:rPr>
          <w:rFonts w:hint="cs"/>
          <w:rtl/>
        </w:rPr>
      </w:pPr>
    </w:p>
    <w:p w:rsidR="00000000" w:rsidRDefault="00567B15">
      <w:pPr>
        <w:spacing w:line="380" w:lineRule="exact"/>
        <w:jc w:val="both"/>
        <w:rPr>
          <w:rFonts w:hint="cs"/>
          <w:rtl/>
        </w:rPr>
      </w:pPr>
    </w:p>
    <w:p w:rsidR="00000000" w:rsidRDefault="00567B15">
      <w:pPr>
        <w:spacing w:line="380" w:lineRule="exact"/>
        <w:jc w:val="center"/>
        <w:rPr>
          <w:rFonts w:hint="cs"/>
          <w:b/>
          <w:bCs/>
          <w:rtl/>
        </w:rPr>
      </w:pPr>
      <w:r>
        <w:rPr>
          <w:rFonts w:hint="cs"/>
          <w:b/>
          <w:bCs/>
          <w:rtl/>
        </w:rPr>
        <w:t>المادة 7</w:t>
      </w:r>
    </w:p>
    <w:p w:rsidR="00000000" w:rsidRDefault="00567B15">
      <w:pPr>
        <w:spacing w:line="380" w:lineRule="exact"/>
        <w:jc w:val="both"/>
        <w:rPr>
          <w:rFonts w:hint="cs"/>
          <w:b/>
          <w:bCs/>
          <w:rtl/>
        </w:rPr>
      </w:pPr>
      <w:r>
        <w:rPr>
          <w:rFonts w:hint="cs"/>
          <w:b/>
          <w:bCs/>
          <w:rtl/>
        </w:rPr>
        <w:t>الحق في العمل</w:t>
      </w:r>
    </w:p>
    <w:p w:rsidR="00000000" w:rsidRDefault="00567B15">
      <w:pPr>
        <w:spacing w:line="380" w:lineRule="exact"/>
        <w:jc w:val="both"/>
        <w:rPr>
          <w:rFonts w:hint="cs"/>
          <w:rtl/>
        </w:rPr>
      </w:pPr>
      <w:r>
        <w:rPr>
          <w:rFonts w:hint="cs"/>
          <w:rtl/>
        </w:rPr>
        <w:t>84-</w:t>
      </w:r>
      <w:r>
        <w:rPr>
          <w:rFonts w:hint="cs"/>
          <w:rtl/>
        </w:rPr>
        <w:tab/>
        <w:t>يعترف الدستور بأن من الواجبات الأساسية للدولة ما يلي: "القضاء على الفقر وتعزيز التقدم الاقتصادي والاجتماعي والثقافي لسكان البلد"</w:t>
      </w:r>
      <w:r>
        <w:rPr>
          <w:rFonts w:hint="cs"/>
          <w:vertAlign w:val="superscript"/>
          <w:rtl/>
        </w:rPr>
        <w:t>(16)</w:t>
      </w:r>
      <w:r>
        <w:rPr>
          <w:rFonts w:hint="cs"/>
          <w:rtl/>
        </w:rPr>
        <w:t>؛ وله</w:t>
      </w:r>
      <w:r>
        <w:rPr>
          <w:rFonts w:hint="cs"/>
          <w:rtl/>
        </w:rPr>
        <w:t>ذه الغاية تقر الدولة وتكفل "حرية العمل" و"الحق في مستوى معيشي يضمن الصحة والغذاء والتغذية والماء الصالح للشرب والبيئة الصحية والتعليم والعمل والتوظيف والترفيه والسكن والملبس وغير ذلك من الخدمات الاجتماعية اللازمة"</w:t>
      </w:r>
      <w:r>
        <w:rPr>
          <w:rFonts w:hint="cs"/>
          <w:vertAlign w:val="superscript"/>
          <w:rtl/>
        </w:rPr>
        <w:t>(17)</w:t>
      </w:r>
      <w:r>
        <w:rPr>
          <w:rFonts w:hint="cs"/>
          <w:rtl/>
        </w:rPr>
        <w:t>.</w:t>
      </w:r>
    </w:p>
    <w:p w:rsidR="00000000" w:rsidRDefault="00567B15">
      <w:pPr>
        <w:spacing w:line="380" w:lineRule="exact"/>
        <w:jc w:val="both"/>
        <w:rPr>
          <w:rFonts w:hint="cs"/>
          <w:rtl/>
        </w:rPr>
      </w:pPr>
      <w:r>
        <w:rPr>
          <w:rFonts w:hint="cs"/>
          <w:rtl/>
        </w:rPr>
        <w:t>85-</w:t>
      </w:r>
      <w:r>
        <w:rPr>
          <w:rFonts w:hint="cs"/>
          <w:rtl/>
        </w:rPr>
        <w:tab/>
        <w:t>وينص الدستور على أن "العمل حق ووا</w:t>
      </w:r>
      <w:r>
        <w:rPr>
          <w:rFonts w:hint="cs"/>
          <w:rtl/>
        </w:rPr>
        <w:t>جب اجتماعي، تحميه الدولة التي تكفل للعاملين كرامتهم ومستوى معيشياً لائقاً وأجراً عادلاً يغطي احتياجاتهم واحتياجات أسرهم". كما تنص هذه المادة على أن "حقوق العاملين غير قابلة للتصرف، ولذلك فإن أي شرط يقضي بالتنازل عن هذه الحقوق أو إضعافها أو تعديلها هو شرط ب</w:t>
      </w:r>
      <w:r>
        <w:rPr>
          <w:rFonts w:hint="cs"/>
          <w:rtl/>
        </w:rPr>
        <w:t>اطل"</w:t>
      </w:r>
      <w:r>
        <w:rPr>
          <w:rFonts w:hint="cs"/>
          <w:vertAlign w:val="superscript"/>
          <w:rtl/>
        </w:rPr>
        <w:t>(18)</w:t>
      </w:r>
      <w:r>
        <w:rPr>
          <w:rFonts w:hint="cs"/>
          <w:rtl/>
        </w:rPr>
        <w:t>.</w:t>
      </w:r>
    </w:p>
    <w:p w:rsidR="00000000" w:rsidRDefault="00567B15">
      <w:pPr>
        <w:spacing w:line="380" w:lineRule="exact"/>
        <w:jc w:val="both"/>
        <w:rPr>
          <w:rFonts w:hint="cs"/>
          <w:rtl/>
        </w:rPr>
      </w:pPr>
      <w:r>
        <w:rPr>
          <w:rFonts w:hint="cs"/>
          <w:rtl/>
        </w:rPr>
        <w:t>86-</w:t>
      </w:r>
      <w:r>
        <w:rPr>
          <w:rFonts w:hint="cs"/>
          <w:rtl/>
        </w:rPr>
        <w:tab/>
        <w:t>ويضيف الدستور تغييرات هامة من حيث الاعتراف بالحقوق بما في ذلك "دخول المرأة مجال العمل المأجور بنفس الحقوق والفرص بما يكفل لها أجراً متساوياً عن العمل ذي القيمة المتساوية". وبالإضافة إلى ذلك "تولى عناية خاصة لحقوق العمل والإنجاب من أجل تحسين ظ</w:t>
      </w:r>
      <w:r>
        <w:rPr>
          <w:rFonts w:hint="cs"/>
          <w:rtl/>
        </w:rPr>
        <w:t>روف العمل والاستفادة من نظم الضمان الاجتماعي، ولا سيما للحوامل والأمهات المرضعات والنساء العاملات في القطاع غير الرسمي وفي الصناعات اليدوية والمعيلات لأسرهن والأرامل. وتُحظر جميع أنواع التمييز ضد المرأة في مجال العمل. ويؤخذ في الاعتبار عمل الزوج أو شريك ال</w:t>
      </w:r>
      <w:r>
        <w:rPr>
          <w:rFonts w:hint="cs"/>
          <w:rtl/>
        </w:rPr>
        <w:t>حياة من أجل ضمان تعويض منصف، وخاصة في الحالات التي يكون فيه وضعه الاقتصادي سيئاً. ويُعترف بالعمل المنزلي غير المأجور بأنه عمل منتج"</w:t>
      </w:r>
      <w:r>
        <w:rPr>
          <w:rFonts w:hint="cs"/>
          <w:vertAlign w:val="superscript"/>
          <w:rtl/>
        </w:rPr>
        <w:t>(19)</w:t>
      </w:r>
      <w:r>
        <w:rPr>
          <w:rFonts w:hint="cs"/>
          <w:rtl/>
        </w:rPr>
        <w:t>.</w:t>
      </w:r>
    </w:p>
    <w:p w:rsidR="00000000" w:rsidRDefault="00567B15">
      <w:pPr>
        <w:spacing w:line="380" w:lineRule="exact"/>
        <w:jc w:val="both"/>
        <w:rPr>
          <w:rFonts w:hint="cs"/>
          <w:rtl/>
        </w:rPr>
      </w:pPr>
      <w:r>
        <w:rPr>
          <w:rFonts w:hint="cs"/>
          <w:rtl/>
        </w:rPr>
        <w:t>87-</w:t>
      </w:r>
      <w:r>
        <w:rPr>
          <w:rFonts w:hint="cs"/>
          <w:rtl/>
        </w:rPr>
        <w:tab/>
        <w:t xml:space="preserve">ويقر قانون العمل حق الأفراد في اختيار أي مهنة مشروعة: "لا يجوز إجبار أحد على أداء خدمات مجانية أو مأجورة لا يفرضها </w:t>
      </w:r>
      <w:r>
        <w:rPr>
          <w:rFonts w:hint="cs"/>
          <w:rtl/>
        </w:rPr>
        <w:t>القانون، إلا في حالات الطوارئ الشديدة أو في حالات الحاجة إلى مساعدة فورية. وباستثناء هذه الحالات، لا يجوز إجبار أحد على العمل دون عقد ودون أجر مناسب. وعموماً يجب أن يكون كل عمل مأجوراً"</w:t>
      </w:r>
      <w:r>
        <w:rPr>
          <w:rFonts w:hint="cs"/>
          <w:vertAlign w:val="superscript"/>
          <w:rtl/>
        </w:rPr>
        <w:t>(20)</w:t>
      </w:r>
      <w:r>
        <w:rPr>
          <w:rFonts w:hint="cs"/>
          <w:rtl/>
        </w:rPr>
        <w:t>.</w:t>
      </w:r>
    </w:p>
    <w:p w:rsidR="00000000" w:rsidRDefault="00567B15">
      <w:pPr>
        <w:spacing w:line="380" w:lineRule="exact"/>
        <w:jc w:val="both"/>
        <w:rPr>
          <w:rFonts w:hint="cs"/>
          <w:i/>
          <w:iCs/>
          <w:rtl/>
        </w:rPr>
      </w:pPr>
      <w:r>
        <w:rPr>
          <w:rFonts w:hint="cs"/>
          <w:i/>
          <w:iCs/>
          <w:rtl/>
        </w:rPr>
        <w:t>نظام تحديد الأجور</w:t>
      </w:r>
    </w:p>
    <w:p w:rsidR="00000000" w:rsidRDefault="00567B15">
      <w:pPr>
        <w:spacing w:line="380" w:lineRule="exact"/>
        <w:jc w:val="both"/>
        <w:rPr>
          <w:rFonts w:hint="cs"/>
          <w:rtl/>
        </w:rPr>
      </w:pPr>
      <w:r>
        <w:rPr>
          <w:rFonts w:hint="cs"/>
          <w:rtl/>
        </w:rPr>
        <w:t>88-</w:t>
      </w:r>
      <w:r>
        <w:rPr>
          <w:rFonts w:hint="cs"/>
          <w:rtl/>
        </w:rPr>
        <w:tab/>
        <w:t>تحدد المادة 118 من الدستور المؤسسات التي تش</w:t>
      </w:r>
      <w:r>
        <w:rPr>
          <w:rFonts w:hint="cs"/>
          <w:rtl/>
        </w:rPr>
        <w:t>كل القطاع العام. وتميز الفقرة 9 من المادة 35 بين قطاعين رئيسيين هما: الموظفون الخاضعون للقوانين الناظمة للإدارة العامة، والعاملون والمستخدمون المشمولون بقانون العمل.</w:t>
      </w:r>
    </w:p>
    <w:p w:rsidR="00000000" w:rsidRDefault="00567B15">
      <w:pPr>
        <w:spacing w:line="380" w:lineRule="exact"/>
        <w:jc w:val="both"/>
        <w:rPr>
          <w:rFonts w:hint="cs"/>
          <w:rtl/>
        </w:rPr>
      </w:pPr>
      <w:r>
        <w:rPr>
          <w:rFonts w:hint="cs"/>
          <w:rtl/>
        </w:rPr>
        <w:t>89-</w:t>
      </w:r>
      <w:r>
        <w:rPr>
          <w:rFonts w:hint="cs"/>
          <w:rtl/>
        </w:rPr>
        <w:tab/>
        <w:t xml:space="preserve">ووفقاً للمبادئ التي أقرها الدستور ولأحكام قانون العمل، تحدَّد مستويات الأجور باستخدام </w:t>
      </w:r>
      <w:r>
        <w:rPr>
          <w:rFonts w:hint="cs"/>
          <w:rtl/>
        </w:rPr>
        <w:t>ثلاث آليات، كما يلي:</w:t>
      </w:r>
    </w:p>
    <w:p w:rsidR="00000000" w:rsidRDefault="00567B15">
      <w:pPr>
        <w:spacing w:before="180" w:after="180" w:line="380" w:lineRule="exact"/>
        <w:jc w:val="both"/>
        <w:rPr>
          <w:rFonts w:hint="cs"/>
          <w:rtl/>
        </w:rPr>
      </w:pPr>
      <w:r>
        <w:rPr>
          <w:rFonts w:hint="cs"/>
          <w:rtl/>
        </w:rPr>
        <w:tab/>
        <w:t>(أ)</w:t>
      </w:r>
      <w:r>
        <w:rPr>
          <w:rFonts w:hint="cs"/>
          <w:rtl/>
        </w:rPr>
        <w:tab/>
        <w:t>في الماضي كان الكونغرس هو المسؤول عن تحديد مستويات الأجور، ثم انتقلت هذه المسؤولية إلى الإدارة الحكومية، ويؤدي هذه المهمة الآن مجلس الأجور الوطني. ويحدَّد الأجر المعيشي الأدنى لجميع العاملين كل ستة أشهر بقرار من المجلس. ويقرر المج</w:t>
      </w:r>
      <w:r>
        <w:rPr>
          <w:rFonts w:hint="cs"/>
          <w:rtl/>
        </w:rPr>
        <w:t>لس أيضاً، على فترات منتظمة، زيادات عامة في الأجور. ويحدد رئيس إكوادور بمرسوم الأجر الأساسي للمعلمين في المدارس الحكومية، وفقاً للتشريعات المناسبة ورهناً بالأجر الأدنى الذي يحدده المجلس؛</w:t>
      </w:r>
    </w:p>
    <w:p w:rsidR="00000000" w:rsidRDefault="00567B15">
      <w:pPr>
        <w:spacing w:before="180" w:after="180" w:line="380" w:lineRule="exact"/>
        <w:jc w:val="both"/>
        <w:rPr>
          <w:rFonts w:hint="cs"/>
          <w:spacing w:val="2"/>
          <w:rtl/>
        </w:rPr>
      </w:pPr>
      <w:r>
        <w:rPr>
          <w:rFonts w:hint="cs"/>
          <w:spacing w:val="2"/>
          <w:rtl/>
        </w:rPr>
        <w:tab/>
        <w:t>(ب)</w:t>
      </w:r>
      <w:r>
        <w:rPr>
          <w:rFonts w:hint="cs"/>
          <w:spacing w:val="2"/>
          <w:rtl/>
        </w:rPr>
        <w:tab/>
        <w:t>اللجان القطاعية للأجور الدنيا هي هيئات ثلاثية تضم ممثلين عن العما</w:t>
      </w:r>
      <w:r>
        <w:rPr>
          <w:rFonts w:hint="cs"/>
          <w:spacing w:val="2"/>
          <w:rtl/>
        </w:rPr>
        <w:t>ل وأرباب العمل والحكومة؛ وهي مسؤولة عن تحديد الأجور و/أو الواتب و/أو معدلات المدفوعات القطاعية الدنيا للعاملين المشمولين بحماية قانون العمل، في مختلف فروع النشاط، عن طريق اللجان القطاعية وبمشورة من مجلس الأجور الوطني؛</w:t>
      </w:r>
    </w:p>
    <w:p w:rsidR="00000000" w:rsidRDefault="00567B15">
      <w:pPr>
        <w:spacing w:before="180" w:after="180" w:line="380" w:lineRule="exact"/>
        <w:jc w:val="both"/>
        <w:rPr>
          <w:rFonts w:hint="cs"/>
          <w:rtl/>
        </w:rPr>
      </w:pPr>
      <w:r>
        <w:rPr>
          <w:rFonts w:hint="cs"/>
          <w:rtl/>
        </w:rPr>
        <w:tab/>
        <w:t>(ج)</w:t>
      </w:r>
      <w:r>
        <w:rPr>
          <w:rFonts w:hint="cs"/>
          <w:rtl/>
        </w:rPr>
        <w:tab/>
        <w:t>الآلية الثالثة لتحديد الأجور هي ا</w:t>
      </w:r>
      <w:r>
        <w:rPr>
          <w:rFonts w:hint="cs"/>
          <w:rtl/>
        </w:rPr>
        <w:t>لتفاوض على اتفاقات جماعية، حيث يتفاوض العاملون المنتسبون إلى نقابة مباشرة مع رب عملهم، بمشاركة وزارة العمل والموارد البشرية، على شروط الاستخدام، بما في ذلك مستويات الرواتب الأساسية وبعض المستحقات الاجتماعية، تبعاً لموارد الشركة.</w:t>
      </w:r>
    </w:p>
    <w:p w:rsidR="00000000" w:rsidRDefault="00567B15">
      <w:pPr>
        <w:spacing w:line="380" w:lineRule="exact"/>
        <w:jc w:val="both"/>
        <w:rPr>
          <w:rFonts w:hint="cs"/>
          <w:rtl/>
        </w:rPr>
      </w:pPr>
      <w:r>
        <w:rPr>
          <w:rFonts w:hint="cs"/>
          <w:rtl/>
        </w:rPr>
        <w:t>90-</w:t>
      </w:r>
      <w:r>
        <w:rPr>
          <w:rFonts w:hint="cs"/>
          <w:rtl/>
        </w:rPr>
        <w:tab/>
        <w:t>أما الأجر المعيشي الأدن</w:t>
      </w:r>
      <w:r>
        <w:rPr>
          <w:rFonts w:hint="cs"/>
          <w:rtl/>
        </w:rPr>
        <w:t>ى فينطبق على كل شخص يعمل في نشاط غير مشمول بقائمة المهن الواردة في جداول الأجور القطاعية بحسب النشاط الاقتصادي.</w:t>
      </w:r>
    </w:p>
    <w:p w:rsidR="00000000" w:rsidRDefault="00567B15">
      <w:pPr>
        <w:spacing w:line="380" w:lineRule="exact"/>
        <w:jc w:val="both"/>
        <w:rPr>
          <w:rFonts w:hint="cs"/>
          <w:rtl/>
        </w:rPr>
      </w:pPr>
      <w:r>
        <w:rPr>
          <w:rFonts w:hint="cs"/>
          <w:rtl/>
        </w:rPr>
        <w:t>91-</w:t>
      </w:r>
      <w:r>
        <w:rPr>
          <w:rFonts w:hint="cs"/>
          <w:rtl/>
        </w:rPr>
        <w:tab/>
        <w:t>ووفقاً للمعلومات الواردة من شعبة الأجور الدنيا في وزارة العمل والموارد البشرية، ليس لدى إكوادور احصاءات عن عدد الأشخاص في هذه الفئة.</w:t>
      </w:r>
    </w:p>
    <w:p w:rsidR="00000000" w:rsidRDefault="00567B15">
      <w:pPr>
        <w:spacing w:line="380" w:lineRule="exact"/>
        <w:jc w:val="both"/>
        <w:rPr>
          <w:rFonts w:hint="cs"/>
          <w:rtl/>
        </w:rPr>
      </w:pPr>
      <w:r>
        <w:rPr>
          <w:rFonts w:hint="cs"/>
          <w:rtl/>
        </w:rPr>
        <w:t>92-</w:t>
      </w:r>
      <w:r>
        <w:rPr>
          <w:rFonts w:hint="cs"/>
          <w:rtl/>
        </w:rPr>
        <w:tab/>
        <w:t>وال</w:t>
      </w:r>
      <w:r>
        <w:rPr>
          <w:rFonts w:hint="cs"/>
          <w:rtl/>
        </w:rPr>
        <w:t>معهد الوطني للإحصاء وتعداد السكان هو الهيئة التي تجري دراسات عن الأوضاع المعيشية والعمالة والبطالة والعمالة الناقصة وتجمع بيانات عن دخل العاملين. وقد تبين أن الاستمارات التي يستخدمها المعهد لا تتضمن سؤالاً بشأن الأجور الأساسية تحديداً، وإنما يتضمن سؤالاً ع</w:t>
      </w:r>
      <w:r>
        <w:rPr>
          <w:rFonts w:hint="cs"/>
          <w:rtl/>
        </w:rPr>
        <w:t>ن الدخل الإجمالي الذي يشمل أي دخل إضافي. ويضاف إلى هذا العيب أن المعهد يُجري دراسته في المناطق الحضرية حصراً.</w:t>
      </w:r>
    </w:p>
    <w:p w:rsidR="00000000" w:rsidRDefault="00567B15">
      <w:pPr>
        <w:spacing w:line="380" w:lineRule="exact"/>
        <w:jc w:val="both"/>
        <w:rPr>
          <w:rFonts w:hint="cs"/>
          <w:rtl/>
        </w:rPr>
      </w:pPr>
      <w:r>
        <w:rPr>
          <w:rFonts w:hint="cs"/>
          <w:rtl/>
        </w:rPr>
        <w:t>93-</w:t>
      </w:r>
      <w:r>
        <w:rPr>
          <w:rFonts w:hint="cs"/>
          <w:rtl/>
        </w:rPr>
        <w:tab/>
        <w:t>والأجور الدنيا المحددة في كل حالة هي أجور ملزمة قانوناً، تُعمِلها هيئة التفتيش في وزارة العمل والموارد البشرية؛ ويراقَب تطبيق الأجر المعيشي ال</w:t>
      </w:r>
      <w:r>
        <w:rPr>
          <w:rFonts w:hint="cs"/>
          <w:rtl/>
        </w:rPr>
        <w:t>أدنى والأجور و/أو الرواتب و/أو معدلات المدفوعات القطاعية الدنيا عن طريق إدارة شؤون العمل في مقاطعة بيتشينشا والمكاتب الإقليمية المناظرة في سائر أرجاء البلد، أي مكاتب العمل الإقليمية في المناطق الساحلية والجنوبية والوسطى، ومفتشيات العمل في المقاطعات الأخرى؛</w:t>
      </w:r>
      <w:r>
        <w:rPr>
          <w:rFonts w:hint="cs"/>
          <w:rtl/>
        </w:rPr>
        <w:t xml:space="preserve"> ويجوز للعاملين وأرباب العمل استشارة إدارتهم المحلية في مسألة تطبيق التشريعات السارية بشأن الأجور وطلب إعمالها.</w:t>
      </w:r>
    </w:p>
    <w:p w:rsidR="00000000" w:rsidRDefault="00567B15">
      <w:pPr>
        <w:spacing w:line="380" w:lineRule="exact"/>
        <w:jc w:val="both"/>
        <w:rPr>
          <w:rFonts w:hint="cs"/>
          <w:rtl/>
        </w:rPr>
      </w:pPr>
      <w:r>
        <w:rPr>
          <w:rFonts w:hint="cs"/>
          <w:rtl/>
        </w:rPr>
        <w:t>94-</w:t>
      </w:r>
      <w:r>
        <w:rPr>
          <w:rFonts w:hint="cs"/>
          <w:rtl/>
        </w:rPr>
        <w:tab/>
        <w:t>ومنذ عام 1997، ساعد المعهد الإكوادوري للضمان الاجتماعي في إعمال جداول الأجور السارية. وبغية زيادة أرصدة أعضائه، يطلب المعهد الآن من أرباب ال</w:t>
      </w:r>
      <w:r>
        <w:rPr>
          <w:rFonts w:hint="cs"/>
          <w:rtl/>
        </w:rPr>
        <w:t>عمل حساب اشتراك كل من رب العمل والعامل في صندوق المعهد على أساس مستويات الأجور المحددة قانوناً.</w:t>
      </w:r>
    </w:p>
    <w:p w:rsidR="00000000" w:rsidRDefault="00567B15">
      <w:pPr>
        <w:spacing w:line="380" w:lineRule="exact"/>
        <w:jc w:val="both"/>
        <w:rPr>
          <w:rFonts w:hint="cs"/>
          <w:rtl/>
        </w:rPr>
      </w:pPr>
    </w:p>
    <w:p w:rsidR="00000000" w:rsidRDefault="00567B15">
      <w:pPr>
        <w:spacing w:line="380" w:lineRule="exact"/>
        <w:jc w:val="both"/>
        <w:rPr>
          <w:rFonts w:hint="cs"/>
          <w:rtl/>
        </w:rPr>
      </w:pPr>
    </w:p>
    <w:p w:rsidR="00000000" w:rsidRDefault="00567B15">
      <w:pPr>
        <w:spacing w:before="200" w:after="200" w:line="360" w:lineRule="exact"/>
        <w:jc w:val="both"/>
        <w:rPr>
          <w:rFonts w:hint="cs"/>
          <w:rtl/>
        </w:rPr>
      </w:pPr>
      <w:r>
        <w:rPr>
          <w:rFonts w:hint="cs"/>
          <w:b/>
          <w:bCs/>
          <w:rtl/>
        </w:rPr>
        <w:t>تحديد الأجر الأدنى</w:t>
      </w:r>
    </w:p>
    <w:p w:rsidR="00000000" w:rsidRDefault="00567B15">
      <w:pPr>
        <w:spacing w:before="200" w:after="200" w:line="360" w:lineRule="exact"/>
        <w:jc w:val="both"/>
        <w:rPr>
          <w:rFonts w:hint="cs"/>
          <w:rtl/>
        </w:rPr>
      </w:pPr>
      <w:r>
        <w:rPr>
          <w:rFonts w:hint="cs"/>
          <w:rtl/>
        </w:rPr>
        <w:t>95-</w:t>
      </w:r>
      <w:r>
        <w:rPr>
          <w:rFonts w:hint="cs"/>
          <w:rtl/>
        </w:rPr>
        <w:tab/>
        <w:t xml:space="preserve">تحدد الأجر المعيشي الأدنى إدارة الأجور الدنيا التي تعمل بصفتها أمانة فنية لمجلس الأجور الوطني، وهي في سبيل ذلك تُعد تقريراً فنياً يحلل </w:t>
      </w:r>
      <w:r>
        <w:rPr>
          <w:rFonts w:hint="cs"/>
          <w:rtl/>
        </w:rPr>
        <w:t>الأوضاع الاقتصادية والاجتماعية في البلد إجمالاً وأوضاع فئة العاملين المشمولين بآلية الأجر المعيشي الأدنى وآلية الأجور القطاعية.</w:t>
      </w:r>
    </w:p>
    <w:p w:rsidR="00000000" w:rsidRDefault="00567B15">
      <w:pPr>
        <w:spacing w:before="200" w:after="200" w:line="360" w:lineRule="exact"/>
        <w:jc w:val="both"/>
        <w:rPr>
          <w:rFonts w:hint="cs"/>
          <w:rtl/>
        </w:rPr>
      </w:pPr>
      <w:r>
        <w:rPr>
          <w:rFonts w:hint="cs"/>
          <w:rtl/>
        </w:rPr>
        <w:t>96-</w:t>
      </w:r>
      <w:r>
        <w:rPr>
          <w:rFonts w:hint="cs"/>
          <w:rtl/>
        </w:rPr>
        <w:tab/>
        <w:t xml:space="preserve">والتقرير الذي تعده الأمانة الفنية لمجلس الأجور الوطني يشكل، مع مساهمات واقتراحات أعضاء المجلس نفسه، الأساس للتحليل المستخدم </w:t>
      </w:r>
      <w:r>
        <w:rPr>
          <w:rFonts w:hint="cs"/>
          <w:rtl/>
        </w:rPr>
        <w:t>في تحديد الأجر المعيشي الأدنى. ويجرى في إطار عملية تحديد الأجور في اللجان القطاعية استقصاءُّ ودراسات ذات صلة؛ أما في عملية التفاوض الجماعي فالعامل الرئيسي هو حسن نية الأطراف، بالإضافة إلى الوضع الاقتصادي لكل شركة وآفاقها المستقبلية.</w:t>
      </w:r>
    </w:p>
    <w:p w:rsidR="00000000" w:rsidRDefault="00567B15">
      <w:pPr>
        <w:spacing w:before="200" w:after="200" w:line="360" w:lineRule="exact"/>
        <w:jc w:val="both"/>
        <w:rPr>
          <w:rFonts w:hint="cs"/>
          <w:rtl/>
        </w:rPr>
      </w:pPr>
      <w:r>
        <w:rPr>
          <w:rFonts w:hint="cs"/>
          <w:rtl/>
        </w:rPr>
        <w:t>97-</w:t>
      </w:r>
      <w:r>
        <w:rPr>
          <w:rFonts w:hint="cs"/>
          <w:rtl/>
        </w:rPr>
        <w:tab/>
        <w:t>وتخضع إدارة الموارد</w:t>
      </w:r>
      <w:r>
        <w:rPr>
          <w:rFonts w:hint="cs"/>
          <w:rtl/>
        </w:rPr>
        <w:t xml:space="preserve"> البشرية في إكوادور لنصوص تشريعية مختلفة، والنصان الرئيسيان اللذان يشملان الخدمة المدنية هما قانون الخدمة المدنية والإدارة العامة وقانون (مكافأة) الموظفين العموميين، بينما يغطي العمل في القطاع الخاص قانون العمل والدستور.</w:t>
      </w:r>
    </w:p>
    <w:p w:rsidR="00000000" w:rsidRDefault="00567B15">
      <w:pPr>
        <w:spacing w:before="200" w:after="200" w:line="360" w:lineRule="exact"/>
        <w:jc w:val="both"/>
        <w:rPr>
          <w:rStyle w:val="FootnoteReference"/>
          <w:rFonts w:hint="cs"/>
          <w:bCs w:val="0"/>
          <w:vertAlign w:val="baseline"/>
          <w:rtl/>
        </w:rPr>
      </w:pPr>
      <w:r>
        <w:rPr>
          <w:rFonts w:hint="cs"/>
          <w:rtl/>
        </w:rPr>
        <w:t>98-</w:t>
      </w:r>
      <w:r>
        <w:rPr>
          <w:rFonts w:hint="cs"/>
          <w:rtl/>
        </w:rPr>
        <w:tab/>
        <w:t>وقد صدر قانون (مكافأة) الموظفين</w:t>
      </w:r>
      <w:r>
        <w:rPr>
          <w:rFonts w:hint="cs"/>
          <w:rtl/>
        </w:rPr>
        <w:t xml:space="preserve"> العموميين سنة 1975 من أجل تنظيم أجور الخدمة المدنية. وصدر تشريع الأجور المهنية في التسعينات وهو ينظم بصفة رئيسية جداول الأجور المهنية الأساسية.</w:t>
      </w:r>
    </w:p>
    <w:p w:rsidR="00000000" w:rsidRDefault="00567B15">
      <w:pPr>
        <w:spacing w:before="200" w:after="200" w:line="360" w:lineRule="exact"/>
        <w:jc w:val="both"/>
        <w:rPr>
          <w:rFonts w:hint="cs"/>
          <w:rtl/>
        </w:rPr>
      </w:pPr>
      <w:r>
        <w:rPr>
          <w:rFonts w:hint="cs"/>
          <w:rtl/>
        </w:rPr>
        <w:t>99-</w:t>
      </w:r>
      <w:r>
        <w:rPr>
          <w:rFonts w:hint="cs"/>
          <w:rtl/>
        </w:rPr>
        <w:tab/>
        <w:t>وتنشئ المادة 51 من قانون (إصلاح) المالية العامة، الذي نشر في العدد 181 من الجريدة الرسمية الصادر في 30 نيسا</w:t>
      </w:r>
      <w:r>
        <w:rPr>
          <w:rFonts w:hint="cs"/>
          <w:rtl/>
        </w:rPr>
        <w:t>ن/أبريل 1999، المجلس الوطني لأجور القطاع العام الذي يتولى "وضع سياسات الأجور الواجب تطبيقها في مؤسسات الدولة، سواء أكان موظفوها أو مستخدموها أو العاملون فيها مشمولين بقانون الخدمة المدنية والإدارة العامة أو بتشريع خاص آخر ينظم خدمتهم أو بقانون العمل".</w:t>
      </w:r>
    </w:p>
    <w:p w:rsidR="00000000" w:rsidRDefault="00567B15">
      <w:pPr>
        <w:spacing w:before="200" w:after="200" w:line="360" w:lineRule="exact"/>
        <w:jc w:val="both"/>
        <w:rPr>
          <w:rFonts w:hint="cs"/>
          <w:rtl/>
        </w:rPr>
      </w:pPr>
      <w:r>
        <w:rPr>
          <w:rFonts w:hint="cs"/>
          <w:rtl/>
        </w:rPr>
        <w:t>100-</w:t>
      </w:r>
      <w:r>
        <w:rPr>
          <w:rFonts w:hint="cs"/>
          <w:rtl/>
        </w:rPr>
        <w:tab/>
        <w:t xml:space="preserve">ويعتبر التقرير الفني الذي يعده مجلس الأجور الوطني وثيقة عمل أساسية لتحليل الأجور ومناقشتها، بيد أن الاعتبار الرئيسي هو التأثير المترتب في خزينة الدولة، ذلك أن الأجر المعيشي الأدنى مرتبط بطائفة من المستحقات السارية على العاملين المشمولين بحماية بالاتفاقات </w:t>
      </w:r>
      <w:r>
        <w:rPr>
          <w:rFonts w:hint="cs"/>
          <w:rtl/>
        </w:rPr>
        <w:t xml:space="preserve">الجماعية أو بجداول أجور المعلمين وغيرها من جداول الأجور المهنية، ولذلك فله تأثير كبير في مالية الدولة. وتتمثل السياسة المطبقة منذ عام 1994 في زيادة المستحقات الأخرى التي تشكل جزءاً من مكافأة العاملين، مثل بدل غلاء المعيشة والعلاوات، التي لها آثار اقتصادية </w:t>
      </w:r>
      <w:r>
        <w:rPr>
          <w:rFonts w:hint="cs"/>
          <w:rtl/>
        </w:rPr>
        <w:t>أقل بالنسبة للدولة.</w:t>
      </w:r>
    </w:p>
    <w:p w:rsidR="00000000" w:rsidRDefault="00567B15">
      <w:pPr>
        <w:spacing w:before="200" w:after="200" w:line="360" w:lineRule="exact"/>
        <w:jc w:val="both"/>
        <w:rPr>
          <w:rFonts w:hint="cs"/>
          <w:rtl/>
        </w:rPr>
      </w:pPr>
      <w:r>
        <w:rPr>
          <w:rFonts w:hint="cs"/>
          <w:rtl/>
        </w:rPr>
        <w:t>101-</w:t>
      </w:r>
      <w:r>
        <w:rPr>
          <w:rFonts w:hint="cs"/>
          <w:rtl/>
        </w:rPr>
        <w:tab/>
        <w:t>وتنظم أحكام المادة 53 من قانون (إصلاح) المالية العامة آليات تحديد أجور القطاع العام ورصدها وتعديلها، كما يلي: "للمجلس الوطني لأجور القطاع العام وحده صلاحية تحديد ووضع السياسات والمعايير الناظمة لمكافأة موظفي ومستخدمي مؤسسات الدولة؛</w:t>
      </w:r>
      <w:r>
        <w:rPr>
          <w:rFonts w:hint="cs"/>
          <w:rtl/>
        </w:rPr>
        <w:t xml:space="preserve"> فعلى المجلس، بالإضافة إلى الحفاظ على القوة الشرائية للرواتب، أن يضع، رهناً بتوافر الأموال، جداول الرواتب الواجبة التطبيق بصفة عامة على هؤلاء الموظفين".</w:t>
      </w:r>
    </w:p>
    <w:p w:rsidR="00000000" w:rsidRDefault="00567B15">
      <w:pPr>
        <w:spacing w:before="200" w:after="200" w:line="360" w:lineRule="exact"/>
        <w:jc w:val="both"/>
        <w:rPr>
          <w:rFonts w:hint="cs"/>
          <w:spacing w:val="0"/>
          <w:rtl/>
        </w:rPr>
      </w:pPr>
      <w:r>
        <w:rPr>
          <w:rFonts w:hint="cs"/>
          <w:spacing w:val="0"/>
          <w:rtl/>
        </w:rPr>
        <w:t>102-</w:t>
      </w:r>
      <w:r>
        <w:rPr>
          <w:rFonts w:hint="cs"/>
          <w:spacing w:val="0"/>
          <w:rtl/>
        </w:rPr>
        <w:tab/>
        <w:t>ويوضع نظام الأجور الأساسية للقطاع العام رهناً بتوافر أموال الدولة ومستوى التضخم (السابق) ودرجة الم</w:t>
      </w:r>
      <w:r>
        <w:rPr>
          <w:rFonts w:hint="cs"/>
          <w:spacing w:val="0"/>
          <w:rtl/>
        </w:rPr>
        <w:t>سؤولية.</w:t>
      </w:r>
    </w:p>
    <w:p w:rsidR="00000000" w:rsidRDefault="00567B15">
      <w:pPr>
        <w:spacing w:before="200" w:after="200" w:line="360" w:lineRule="exact"/>
        <w:jc w:val="both"/>
        <w:rPr>
          <w:rFonts w:hint="cs"/>
          <w:spacing w:val="0"/>
          <w:w w:val="99"/>
          <w:rtl/>
        </w:rPr>
      </w:pPr>
      <w:r>
        <w:rPr>
          <w:rFonts w:hint="cs"/>
          <w:spacing w:val="0"/>
          <w:w w:val="99"/>
          <w:rtl/>
        </w:rPr>
        <w:t>103-</w:t>
      </w:r>
      <w:r>
        <w:rPr>
          <w:rFonts w:hint="cs"/>
          <w:spacing w:val="0"/>
          <w:w w:val="99"/>
          <w:rtl/>
        </w:rPr>
        <w:tab/>
        <w:t>ويتولى مجلس الأجور الوطني وضع سياسات الأجور وتحديد الأجر الأدنى والزيادات العامة للعاملين في القطاع الخاص.</w:t>
      </w:r>
    </w:p>
    <w:p w:rsidR="00000000" w:rsidRDefault="00567B15">
      <w:pPr>
        <w:spacing w:before="0" w:after="0"/>
        <w:jc w:val="center"/>
        <w:rPr>
          <w:rFonts w:hint="cs"/>
          <w:b/>
          <w:bCs/>
          <w:rtl/>
        </w:rPr>
      </w:pPr>
      <w:r>
        <w:rPr>
          <w:rFonts w:hint="cs"/>
          <w:b/>
          <w:bCs/>
          <w:rtl/>
        </w:rPr>
        <w:t>الدخل الإجمالي للعاملين بوجه عام</w:t>
      </w:r>
    </w:p>
    <w:p w:rsidR="00000000" w:rsidRDefault="00567B15">
      <w:pPr>
        <w:spacing w:before="0" w:after="0"/>
        <w:jc w:val="center"/>
        <w:rPr>
          <w:rFonts w:hint="cs"/>
          <w:b/>
          <w:bCs/>
          <w:rtl/>
        </w:rPr>
      </w:pPr>
      <w:r>
        <w:rPr>
          <w:rFonts w:hint="cs"/>
          <w:b/>
          <w:bCs/>
          <w:rtl/>
        </w:rPr>
        <w:t>في ظل رئاسة بورخا وبارودي، آب/أغسطس 1988 - آب/أغسطس 1992</w:t>
      </w:r>
    </w:p>
    <w:p w:rsidR="00000000" w:rsidRDefault="00567B15">
      <w:pPr>
        <w:spacing w:before="0" w:after="120"/>
        <w:jc w:val="center"/>
        <w:rPr>
          <w:rFonts w:hint="cs"/>
          <w:b/>
          <w:bCs/>
          <w:rtl/>
        </w:rPr>
      </w:pPr>
      <w:r>
        <w:rPr>
          <w:rFonts w:hint="cs"/>
          <w:b/>
          <w:bCs/>
          <w:rtl/>
        </w:rPr>
        <w:t>(بالسوكر)</w:t>
      </w:r>
    </w:p>
    <w:tbl>
      <w:tblPr>
        <w:bidiVisual/>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4"/>
        <w:gridCol w:w="1440"/>
        <w:gridCol w:w="1260"/>
        <w:gridCol w:w="1440"/>
        <w:gridCol w:w="1260"/>
        <w:gridCol w:w="1080"/>
        <w:gridCol w:w="965"/>
      </w:tblGrid>
      <w:tr w:rsidR="00567B15" w:rsidTr="00567B15">
        <w:tblPrEx>
          <w:tblCellMar>
            <w:top w:w="0" w:type="dxa"/>
            <w:bottom w:w="0" w:type="dxa"/>
          </w:tblCellMar>
        </w:tblPrEx>
        <w:trPr>
          <w:cantSplit/>
          <w:jc w:val="center"/>
        </w:trPr>
        <w:tc>
          <w:tcPr>
            <w:tcW w:w="1974" w:type="dxa"/>
          </w:tcPr>
          <w:p w:rsidR="00567B15" w:rsidRDefault="00567B15">
            <w:pPr>
              <w:spacing w:before="0" w:after="0" w:line="360" w:lineRule="exact"/>
              <w:jc w:val="center"/>
              <w:rPr>
                <w:rStyle w:val="FootnoteReference"/>
                <w:sz w:val="24"/>
                <w:szCs w:val="24"/>
              </w:rPr>
            </w:pPr>
            <w:r>
              <w:rPr>
                <w:rFonts w:hint="cs"/>
                <w:sz w:val="24"/>
                <w:szCs w:val="24"/>
                <w:rtl/>
              </w:rPr>
              <w:t>عنصر الأجر والسنة</w:t>
            </w:r>
          </w:p>
        </w:tc>
        <w:tc>
          <w:tcPr>
            <w:tcW w:w="2700" w:type="dxa"/>
            <w:gridSpan w:val="2"/>
          </w:tcPr>
          <w:p w:rsidR="00567B15" w:rsidRDefault="00567B15">
            <w:pPr>
              <w:spacing w:before="0" w:after="0" w:line="360" w:lineRule="exact"/>
              <w:jc w:val="center"/>
              <w:rPr>
                <w:rStyle w:val="FootnoteReference"/>
                <w:rFonts w:hint="cs"/>
                <w:sz w:val="24"/>
                <w:szCs w:val="24"/>
              </w:rPr>
            </w:pPr>
            <w:r>
              <w:rPr>
                <w:rFonts w:hint="cs"/>
                <w:sz w:val="24"/>
                <w:szCs w:val="24"/>
                <w:rtl/>
              </w:rPr>
              <w:t>1990</w:t>
            </w:r>
          </w:p>
        </w:tc>
        <w:tc>
          <w:tcPr>
            <w:tcW w:w="2700" w:type="dxa"/>
            <w:gridSpan w:val="2"/>
          </w:tcPr>
          <w:p w:rsidR="00567B15" w:rsidRDefault="00567B15">
            <w:pPr>
              <w:spacing w:before="0" w:after="0" w:line="360" w:lineRule="exact"/>
              <w:jc w:val="center"/>
              <w:rPr>
                <w:rStyle w:val="FootnoteReference"/>
                <w:rFonts w:hint="cs"/>
                <w:sz w:val="24"/>
                <w:szCs w:val="24"/>
              </w:rPr>
            </w:pPr>
            <w:r>
              <w:rPr>
                <w:rFonts w:hint="cs"/>
                <w:sz w:val="24"/>
                <w:szCs w:val="24"/>
                <w:rtl/>
              </w:rPr>
              <w:t>1992</w:t>
            </w:r>
          </w:p>
        </w:tc>
        <w:tc>
          <w:tcPr>
            <w:tcW w:w="2045" w:type="dxa"/>
            <w:gridSpan w:val="2"/>
          </w:tcPr>
          <w:p w:rsidR="00567B15" w:rsidRDefault="00567B15">
            <w:pPr>
              <w:spacing w:before="0" w:after="0" w:line="360" w:lineRule="exact"/>
              <w:jc w:val="center"/>
              <w:rPr>
                <w:rStyle w:val="FootnoteReference"/>
                <w:rFonts w:hint="cs"/>
                <w:sz w:val="24"/>
                <w:szCs w:val="24"/>
              </w:rPr>
            </w:pPr>
            <w:r>
              <w:rPr>
                <w:rFonts w:hint="cs"/>
                <w:sz w:val="24"/>
                <w:szCs w:val="24"/>
                <w:rtl/>
              </w:rPr>
              <w:t>الزيادة للفترة</w:t>
            </w:r>
          </w:p>
        </w:tc>
      </w:tr>
      <w:tr w:rsidR="00567B15" w:rsidTr="00567B15">
        <w:tblPrEx>
          <w:tblCellMar>
            <w:top w:w="0" w:type="dxa"/>
            <w:bottom w:w="0" w:type="dxa"/>
          </w:tblCellMar>
        </w:tblPrEx>
        <w:trPr>
          <w:jc w:val="center"/>
        </w:trPr>
        <w:tc>
          <w:tcPr>
            <w:tcW w:w="1974" w:type="dxa"/>
            <w:tcBorders>
              <w:bottom w:val="single" w:sz="4" w:space="0" w:color="auto"/>
            </w:tcBorders>
          </w:tcPr>
          <w:p w:rsidR="00567B15" w:rsidRDefault="00567B15">
            <w:pPr>
              <w:spacing w:before="0" w:after="0" w:line="360" w:lineRule="exact"/>
              <w:jc w:val="both"/>
              <w:rPr>
                <w:rStyle w:val="FootnoteReference"/>
                <w:rFonts w:hint="cs"/>
                <w:bCs w:val="0"/>
                <w:sz w:val="20"/>
                <w:szCs w:val="20"/>
                <w:vertAlign w:val="baseline"/>
                <w:rtl/>
              </w:rPr>
            </w:pPr>
          </w:p>
        </w:tc>
        <w:tc>
          <w:tcPr>
            <w:tcW w:w="1440" w:type="dxa"/>
            <w:tcBorders>
              <w:bottom w:val="single" w:sz="4" w:space="0" w:color="auto"/>
            </w:tcBorders>
          </w:tcPr>
          <w:p w:rsidR="00567B15" w:rsidRDefault="00567B15">
            <w:pPr>
              <w:spacing w:before="0" w:after="0" w:line="360" w:lineRule="exact"/>
              <w:jc w:val="both"/>
              <w:rPr>
                <w:rStyle w:val="FootnoteReference"/>
                <w:rFonts w:hint="cs"/>
                <w:bCs w:val="0"/>
                <w:sz w:val="20"/>
                <w:szCs w:val="20"/>
                <w:vertAlign w:val="baseline"/>
              </w:rPr>
            </w:pPr>
            <w:r>
              <w:rPr>
                <w:rFonts w:hint="cs"/>
                <w:sz w:val="20"/>
                <w:szCs w:val="20"/>
                <w:rtl/>
              </w:rPr>
              <w:t>1 كانون الثاني/ يناير</w:t>
            </w:r>
          </w:p>
        </w:tc>
        <w:tc>
          <w:tcPr>
            <w:tcW w:w="1260" w:type="dxa"/>
            <w:tcBorders>
              <w:bottom w:val="single" w:sz="4" w:space="0" w:color="auto"/>
            </w:tcBorders>
          </w:tcPr>
          <w:p w:rsidR="00567B15" w:rsidRDefault="00567B15">
            <w:pPr>
              <w:spacing w:before="0" w:after="0" w:line="360" w:lineRule="exact"/>
              <w:jc w:val="both"/>
              <w:rPr>
                <w:rStyle w:val="FootnoteReference"/>
                <w:rFonts w:hint="cs"/>
                <w:bCs w:val="0"/>
                <w:sz w:val="20"/>
                <w:szCs w:val="20"/>
                <w:vertAlign w:val="baseline"/>
              </w:rPr>
            </w:pPr>
            <w:r>
              <w:rPr>
                <w:rFonts w:hint="cs"/>
                <w:sz w:val="20"/>
                <w:szCs w:val="20"/>
                <w:rtl/>
              </w:rPr>
              <w:t>22 تموز/يوليه</w:t>
            </w:r>
          </w:p>
        </w:tc>
        <w:tc>
          <w:tcPr>
            <w:tcW w:w="1440" w:type="dxa"/>
            <w:tcBorders>
              <w:bottom w:val="single" w:sz="4" w:space="0" w:color="auto"/>
            </w:tcBorders>
          </w:tcPr>
          <w:p w:rsidR="00567B15" w:rsidRDefault="00567B15">
            <w:pPr>
              <w:spacing w:before="0" w:after="0" w:line="360" w:lineRule="exact"/>
              <w:jc w:val="both"/>
              <w:rPr>
                <w:rStyle w:val="FootnoteReference"/>
                <w:rFonts w:hint="cs"/>
                <w:bCs w:val="0"/>
                <w:sz w:val="20"/>
                <w:szCs w:val="20"/>
                <w:vertAlign w:val="baseline"/>
              </w:rPr>
            </w:pPr>
            <w:r>
              <w:rPr>
                <w:rFonts w:hint="cs"/>
                <w:sz w:val="20"/>
                <w:szCs w:val="20"/>
                <w:rtl/>
              </w:rPr>
              <w:t>1 كانون الثاني/ يناير</w:t>
            </w:r>
          </w:p>
        </w:tc>
        <w:tc>
          <w:tcPr>
            <w:tcW w:w="1260" w:type="dxa"/>
            <w:tcBorders>
              <w:bottom w:val="single" w:sz="4" w:space="0" w:color="auto"/>
            </w:tcBorders>
          </w:tcPr>
          <w:p w:rsidR="00567B15" w:rsidRDefault="00567B15">
            <w:pPr>
              <w:spacing w:before="0" w:after="0" w:line="360" w:lineRule="exact"/>
              <w:jc w:val="both"/>
              <w:rPr>
                <w:rStyle w:val="FootnoteReference"/>
                <w:rFonts w:hint="cs"/>
                <w:bCs w:val="0"/>
                <w:sz w:val="20"/>
                <w:szCs w:val="20"/>
                <w:vertAlign w:val="baseline"/>
              </w:rPr>
            </w:pPr>
            <w:r>
              <w:rPr>
                <w:rFonts w:hint="cs"/>
                <w:sz w:val="20"/>
                <w:szCs w:val="20"/>
                <w:rtl/>
              </w:rPr>
              <w:t>10 آب/ أغسطس</w:t>
            </w:r>
          </w:p>
        </w:tc>
        <w:tc>
          <w:tcPr>
            <w:tcW w:w="1080" w:type="dxa"/>
            <w:tcBorders>
              <w:bottom w:val="single" w:sz="4" w:space="0" w:color="auto"/>
            </w:tcBorders>
          </w:tcPr>
          <w:p w:rsidR="00567B15" w:rsidRDefault="00567B15">
            <w:pPr>
              <w:spacing w:before="0" w:after="0" w:line="360" w:lineRule="exact"/>
              <w:jc w:val="both"/>
              <w:rPr>
                <w:rStyle w:val="FootnoteReference"/>
                <w:rFonts w:hint="cs"/>
                <w:bCs w:val="0"/>
                <w:sz w:val="20"/>
                <w:szCs w:val="20"/>
                <w:vertAlign w:val="baseline"/>
              </w:rPr>
            </w:pPr>
            <w:r>
              <w:rPr>
                <w:rFonts w:hint="cs"/>
                <w:sz w:val="20"/>
                <w:szCs w:val="20"/>
                <w:rtl/>
              </w:rPr>
              <w:t>نسبة مئوية</w:t>
            </w:r>
          </w:p>
        </w:tc>
        <w:tc>
          <w:tcPr>
            <w:tcW w:w="965" w:type="dxa"/>
            <w:tcBorders>
              <w:bottom w:val="single" w:sz="4" w:space="0" w:color="auto"/>
            </w:tcBorders>
          </w:tcPr>
          <w:p w:rsidR="00567B15" w:rsidRDefault="00567B15">
            <w:pPr>
              <w:spacing w:before="0" w:after="0" w:line="360" w:lineRule="exact"/>
              <w:jc w:val="both"/>
              <w:rPr>
                <w:rStyle w:val="FootnoteReference"/>
                <w:rFonts w:hint="cs"/>
                <w:bCs w:val="0"/>
                <w:sz w:val="20"/>
                <w:szCs w:val="20"/>
                <w:vertAlign w:val="baseline"/>
              </w:rPr>
            </w:pPr>
            <w:r>
              <w:rPr>
                <w:rFonts w:hint="cs"/>
                <w:sz w:val="20"/>
                <w:szCs w:val="20"/>
                <w:rtl/>
              </w:rPr>
              <w:t>أرقام مطلقة</w:t>
            </w:r>
          </w:p>
        </w:tc>
      </w:tr>
      <w:tr w:rsidR="00567B15" w:rsidTr="00567B15">
        <w:tblPrEx>
          <w:tblCellMar>
            <w:top w:w="0" w:type="dxa"/>
            <w:bottom w:w="0" w:type="dxa"/>
          </w:tblCellMar>
        </w:tblPrEx>
        <w:trPr>
          <w:jc w:val="center"/>
        </w:trPr>
        <w:tc>
          <w:tcPr>
            <w:tcW w:w="1974" w:type="dxa"/>
            <w:tcBorders>
              <w:bottom w:val="nil"/>
            </w:tcBorders>
          </w:tcPr>
          <w:p w:rsidR="00567B15" w:rsidRDefault="00567B15">
            <w:pPr>
              <w:spacing w:before="0" w:after="0" w:line="360" w:lineRule="exact"/>
              <w:jc w:val="both"/>
              <w:rPr>
                <w:rStyle w:val="FootnoteReference"/>
                <w:rFonts w:hint="cs"/>
                <w:bCs w:val="0"/>
                <w:sz w:val="24"/>
                <w:szCs w:val="24"/>
                <w:vertAlign w:val="baseline"/>
                <w:rtl/>
              </w:rPr>
            </w:pPr>
            <w:r>
              <w:rPr>
                <w:rFonts w:hint="cs"/>
                <w:sz w:val="24"/>
                <w:szCs w:val="24"/>
                <w:rtl/>
              </w:rPr>
              <w:t>الأجر المعيشي الأدنى</w:t>
            </w:r>
          </w:p>
        </w:tc>
        <w:tc>
          <w:tcPr>
            <w:tcW w:w="1440" w:type="dxa"/>
            <w:tcBorders>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000 32</w:t>
            </w:r>
          </w:p>
        </w:tc>
        <w:tc>
          <w:tcPr>
            <w:tcW w:w="1260" w:type="dxa"/>
            <w:tcBorders>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000 32</w:t>
            </w:r>
          </w:p>
        </w:tc>
        <w:tc>
          <w:tcPr>
            <w:tcW w:w="1440" w:type="dxa"/>
            <w:tcBorders>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000 40</w:t>
            </w:r>
          </w:p>
        </w:tc>
        <w:tc>
          <w:tcPr>
            <w:tcW w:w="1260" w:type="dxa"/>
            <w:tcBorders>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000 60</w:t>
            </w:r>
          </w:p>
        </w:tc>
        <w:tc>
          <w:tcPr>
            <w:tcW w:w="1080" w:type="dxa"/>
            <w:tcBorders>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87.50</w:t>
            </w:r>
          </w:p>
        </w:tc>
        <w:tc>
          <w:tcPr>
            <w:tcW w:w="965" w:type="dxa"/>
            <w:tcBorders>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000 28</w:t>
            </w:r>
          </w:p>
        </w:tc>
      </w:tr>
      <w:tr w:rsidR="00567B15" w:rsidTr="00567B15">
        <w:tblPrEx>
          <w:tblCellMar>
            <w:top w:w="0" w:type="dxa"/>
            <w:bottom w:w="0" w:type="dxa"/>
          </w:tblCellMar>
        </w:tblPrEx>
        <w:trPr>
          <w:jc w:val="center"/>
        </w:trPr>
        <w:tc>
          <w:tcPr>
            <w:tcW w:w="1974"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tl/>
              </w:rPr>
            </w:pPr>
            <w:r>
              <w:rPr>
                <w:rFonts w:hint="cs"/>
                <w:sz w:val="24"/>
                <w:szCs w:val="24"/>
                <w:rtl/>
              </w:rPr>
              <w:t>بدل غلاء المعيشة</w:t>
            </w:r>
          </w:p>
        </w:tc>
        <w:tc>
          <w:tcPr>
            <w:tcW w:w="1440" w:type="dxa"/>
            <w:tcBorders>
              <w:top w:val="nil"/>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500 2</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500 2</w:t>
            </w:r>
          </w:p>
        </w:tc>
        <w:tc>
          <w:tcPr>
            <w:tcW w:w="144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000 20</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000 20</w:t>
            </w:r>
          </w:p>
        </w:tc>
        <w:tc>
          <w:tcPr>
            <w:tcW w:w="108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233.33 1</w:t>
            </w:r>
          </w:p>
        </w:tc>
        <w:tc>
          <w:tcPr>
            <w:tcW w:w="965"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500 17</w:t>
            </w:r>
          </w:p>
        </w:tc>
      </w:tr>
      <w:tr w:rsidR="00567B15" w:rsidTr="00567B15">
        <w:tblPrEx>
          <w:tblCellMar>
            <w:top w:w="0" w:type="dxa"/>
            <w:bottom w:w="0" w:type="dxa"/>
          </w:tblCellMar>
        </w:tblPrEx>
        <w:trPr>
          <w:jc w:val="center"/>
        </w:trPr>
        <w:tc>
          <w:tcPr>
            <w:tcW w:w="1974" w:type="dxa"/>
            <w:tcBorders>
              <w:top w:val="nil"/>
              <w:bottom w:val="nil"/>
            </w:tcBorders>
          </w:tcPr>
          <w:p w:rsidR="00567B15" w:rsidRDefault="00567B15">
            <w:pPr>
              <w:spacing w:before="0" w:after="0" w:line="360" w:lineRule="exact"/>
              <w:jc w:val="both"/>
              <w:rPr>
                <w:rFonts w:hint="cs"/>
                <w:sz w:val="24"/>
                <w:szCs w:val="24"/>
                <w:rtl/>
              </w:rPr>
            </w:pPr>
            <w:r>
              <w:rPr>
                <w:rFonts w:hint="cs"/>
                <w:sz w:val="24"/>
                <w:szCs w:val="24"/>
                <w:rtl/>
              </w:rPr>
              <w:t>العلاوات</w:t>
            </w:r>
          </w:p>
        </w:tc>
        <w:tc>
          <w:tcPr>
            <w:tcW w:w="1440" w:type="dxa"/>
            <w:tcBorders>
              <w:top w:val="nil"/>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000 1</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000 1</w:t>
            </w:r>
          </w:p>
        </w:tc>
        <w:tc>
          <w:tcPr>
            <w:tcW w:w="144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000 1</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000 1</w:t>
            </w:r>
          </w:p>
        </w:tc>
        <w:tc>
          <w:tcPr>
            <w:tcW w:w="108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100.00</w:t>
            </w:r>
          </w:p>
        </w:tc>
        <w:tc>
          <w:tcPr>
            <w:tcW w:w="965"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صفر</w:t>
            </w:r>
          </w:p>
        </w:tc>
      </w:tr>
      <w:tr w:rsidR="00567B15" w:rsidTr="00567B15">
        <w:tblPrEx>
          <w:tblCellMar>
            <w:top w:w="0" w:type="dxa"/>
            <w:bottom w:w="0" w:type="dxa"/>
          </w:tblCellMar>
        </w:tblPrEx>
        <w:trPr>
          <w:jc w:val="center"/>
        </w:trPr>
        <w:tc>
          <w:tcPr>
            <w:tcW w:w="1974" w:type="dxa"/>
            <w:tcBorders>
              <w:top w:val="nil"/>
              <w:bottom w:val="nil"/>
            </w:tcBorders>
          </w:tcPr>
          <w:p w:rsidR="00567B15" w:rsidRDefault="00567B15">
            <w:pPr>
              <w:spacing w:before="0" w:after="0" w:line="360" w:lineRule="exact"/>
              <w:jc w:val="both"/>
              <w:rPr>
                <w:rFonts w:hint="cs"/>
                <w:sz w:val="24"/>
                <w:szCs w:val="24"/>
                <w:rtl/>
              </w:rPr>
            </w:pPr>
            <w:r>
              <w:rPr>
                <w:rFonts w:hint="cs"/>
                <w:sz w:val="24"/>
                <w:szCs w:val="24"/>
                <w:rtl/>
              </w:rPr>
              <w:t>بدل السفر</w:t>
            </w:r>
          </w:p>
        </w:tc>
        <w:tc>
          <w:tcPr>
            <w:tcW w:w="1440" w:type="dxa"/>
            <w:tcBorders>
              <w:top w:val="nil"/>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400 2</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200 3</w:t>
            </w:r>
          </w:p>
        </w:tc>
        <w:tc>
          <w:tcPr>
            <w:tcW w:w="144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000 4</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200 7</w:t>
            </w:r>
          </w:p>
        </w:tc>
        <w:tc>
          <w:tcPr>
            <w:tcW w:w="108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260.00</w:t>
            </w:r>
          </w:p>
        </w:tc>
        <w:tc>
          <w:tcPr>
            <w:tcW w:w="965"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800 4</w:t>
            </w:r>
          </w:p>
        </w:tc>
      </w:tr>
      <w:tr w:rsidR="00567B15" w:rsidTr="00567B15">
        <w:tblPrEx>
          <w:tblCellMar>
            <w:top w:w="0" w:type="dxa"/>
            <w:bottom w:w="0" w:type="dxa"/>
          </w:tblCellMar>
        </w:tblPrEx>
        <w:trPr>
          <w:jc w:val="center"/>
        </w:trPr>
        <w:tc>
          <w:tcPr>
            <w:tcW w:w="1974" w:type="dxa"/>
            <w:tcBorders>
              <w:top w:val="nil"/>
              <w:bottom w:val="nil"/>
            </w:tcBorders>
          </w:tcPr>
          <w:p w:rsidR="00567B15" w:rsidRDefault="00567B15">
            <w:pPr>
              <w:spacing w:before="0" w:after="0" w:line="360" w:lineRule="exact"/>
              <w:jc w:val="both"/>
              <w:rPr>
                <w:rFonts w:hint="cs"/>
                <w:sz w:val="24"/>
                <w:szCs w:val="24"/>
                <w:rtl/>
              </w:rPr>
            </w:pPr>
            <w:r>
              <w:rPr>
                <w:rFonts w:hint="cs"/>
                <w:sz w:val="24"/>
                <w:szCs w:val="24"/>
                <w:rtl/>
              </w:rPr>
              <w:t>الأجر الشهري الاسمي</w:t>
            </w:r>
          </w:p>
        </w:tc>
        <w:tc>
          <w:tcPr>
            <w:tcW w:w="1440" w:type="dxa"/>
            <w:tcBorders>
              <w:top w:val="nil"/>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900 37</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700 38</w:t>
            </w:r>
          </w:p>
        </w:tc>
        <w:tc>
          <w:tcPr>
            <w:tcW w:w="144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000 65</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200 88</w:t>
            </w:r>
          </w:p>
        </w:tc>
        <w:tc>
          <w:tcPr>
            <w:tcW w:w="108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132.72</w:t>
            </w:r>
          </w:p>
        </w:tc>
        <w:tc>
          <w:tcPr>
            <w:tcW w:w="965"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300 50</w:t>
            </w:r>
          </w:p>
        </w:tc>
      </w:tr>
      <w:tr w:rsidR="00567B15" w:rsidTr="00567B15">
        <w:tblPrEx>
          <w:tblCellMar>
            <w:top w:w="0" w:type="dxa"/>
            <w:bottom w:w="0" w:type="dxa"/>
          </w:tblCellMar>
        </w:tblPrEx>
        <w:trPr>
          <w:jc w:val="center"/>
        </w:trPr>
        <w:tc>
          <w:tcPr>
            <w:tcW w:w="1974" w:type="dxa"/>
            <w:tcBorders>
              <w:top w:val="nil"/>
              <w:bottom w:val="nil"/>
            </w:tcBorders>
          </w:tcPr>
          <w:p w:rsidR="00567B15" w:rsidRDefault="00567B15">
            <w:pPr>
              <w:spacing w:before="0" w:after="0" w:line="360" w:lineRule="exact"/>
              <w:jc w:val="both"/>
              <w:rPr>
                <w:rFonts w:hint="cs"/>
                <w:sz w:val="24"/>
                <w:szCs w:val="24"/>
                <w:rtl/>
              </w:rPr>
            </w:pPr>
            <w:r>
              <w:rPr>
                <w:rFonts w:hint="cs"/>
                <w:sz w:val="24"/>
                <w:szCs w:val="24"/>
                <w:rtl/>
              </w:rPr>
              <w:t>أجر الشهر الثالث عشر</w:t>
            </w:r>
          </w:p>
        </w:tc>
        <w:tc>
          <w:tcPr>
            <w:tcW w:w="1440" w:type="dxa"/>
            <w:tcBorders>
              <w:top w:val="nil"/>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667 2</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667 2</w:t>
            </w:r>
          </w:p>
        </w:tc>
        <w:tc>
          <w:tcPr>
            <w:tcW w:w="144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333 3</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000 5</w:t>
            </w:r>
          </w:p>
        </w:tc>
        <w:tc>
          <w:tcPr>
            <w:tcW w:w="108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122.22</w:t>
            </w:r>
          </w:p>
        </w:tc>
        <w:tc>
          <w:tcPr>
            <w:tcW w:w="965"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333 2</w:t>
            </w:r>
          </w:p>
        </w:tc>
      </w:tr>
      <w:tr w:rsidR="00567B15" w:rsidTr="00567B15">
        <w:tblPrEx>
          <w:tblCellMar>
            <w:top w:w="0" w:type="dxa"/>
            <w:bottom w:w="0" w:type="dxa"/>
          </w:tblCellMar>
        </w:tblPrEx>
        <w:trPr>
          <w:jc w:val="center"/>
        </w:trPr>
        <w:tc>
          <w:tcPr>
            <w:tcW w:w="1974" w:type="dxa"/>
            <w:tcBorders>
              <w:top w:val="nil"/>
              <w:bottom w:val="nil"/>
            </w:tcBorders>
          </w:tcPr>
          <w:p w:rsidR="00567B15" w:rsidRDefault="00567B15">
            <w:pPr>
              <w:spacing w:before="0" w:after="0" w:line="360" w:lineRule="exact"/>
              <w:jc w:val="both"/>
              <w:rPr>
                <w:rFonts w:hint="cs"/>
                <w:sz w:val="24"/>
                <w:szCs w:val="24"/>
                <w:rtl/>
              </w:rPr>
            </w:pPr>
            <w:r>
              <w:rPr>
                <w:rFonts w:hint="cs"/>
                <w:sz w:val="24"/>
                <w:szCs w:val="24"/>
                <w:rtl/>
              </w:rPr>
              <w:t>أجر الشهر الرابع عشر</w:t>
            </w:r>
          </w:p>
        </w:tc>
        <w:tc>
          <w:tcPr>
            <w:tcW w:w="1440" w:type="dxa"/>
            <w:tcBorders>
              <w:top w:val="nil"/>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333 5</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333 5</w:t>
            </w:r>
          </w:p>
        </w:tc>
        <w:tc>
          <w:tcPr>
            <w:tcW w:w="144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667 6</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000 10</w:t>
            </w:r>
          </w:p>
        </w:tc>
        <w:tc>
          <w:tcPr>
            <w:tcW w:w="108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122.22</w:t>
            </w:r>
          </w:p>
        </w:tc>
        <w:tc>
          <w:tcPr>
            <w:tcW w:w="965"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667 4</w:t>
            </w:r>
          </w:p>
        </w:tc>
      </w:tr>
      <w:tr w:rsidR="00567B15" w:rsidTr="00567B15">
        <w:tblPrEx>
          <w:tblCellMar>
            <w:top w:w="0" w:type="dxa"/>
            <w:bottom w:w="0" w:type="dxa"/>
          </w:tblCellMar>
        </w:tblPrEx>
        <w:trPr>
          <w:jc w:val="center"/>
        </w:trPr>
        <w:tc>
          <w:tcPr>
            <w:tcW w:w="1974" w:type="dxa"/>
            <w:tcBorders>
              <w:top w:val="nil"/>
              <w:bottom w:val="nil"/>
            </w:tcBorders>
          </w:tcPr>
          <w:p w:rsidR="00567B15" w:rsidRDefault="00567B15">
            <w:pPr>
              <w:spacing w:before="0" w:after="0" w:line="360" w:lineRule="exact"/>
              <w:jc w:val="both"/>
              <w:rPr>
                <w:rFonts w:hint="cs"/>
                <w:sz w:val="24"/>
                <w:szCs w:val="24"/>
                <w:rtl/>
              </w:rPr>
            </w:pPr>
            <w:r>
              <w:rPr>
                <w:rFonts w:hint="cs"/>
                <w:sz w:val="24"/>
                <w:szCs w:val="24"/>
                <w:rtl/>
              </w:rPr>
              <w:t>أجر الشهر الخامس عشر</w:t>
            </w:r>
          </w:p>
        </w:tc>
        <w:tc>
          <w:tcPr>
            <w:tcW w:w="1440" w:type="dxa"/>
            <w:tcBorders>
              <w:top w:val="nil"/>
              <w:bottom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833</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167 4</w:t>
            </w:r>
          </w:p>
        </w:tc>
        <w:tc>
          <w:tcPr>
            <w:tcW w:w="144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167 4</w:t>
            </w:r>
          </w:p>
        </w:tc>
        <w:tc>
          <w:tcPr>
            <w:tcW w:w="126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167 4</w:t>
            </w:r>
          </w:p>
        </w:tc>
        <w:tc>
          <w:tcPr>
            <w:tcW w:w="1080"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400.00</w:t>
            </w:r>
          </w:p>
        </w:tc>
        <w:tc>
          <w:tcPr>
            <w:tcW w:w="965" w:type="dxa"/>
            <w:tcBorders>
              <w:top w:val="nil"/>
              <w:bottom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333 3</w:t>
            </w:r>
          </w:p>
        </w:tc>
      </w:tr>
      <w:tr w:rsidR="00567B15" w:rsidTr="00567B15">
        <w:tblPrEx>
          <w:tblCellMar>
            <w:top w:w="0" w:type="dxa"/>
            <w:bottom w:w="0" w:type="dxa"/>
          </w:tblCellMar>
        </w:tblPrEx>
        <w:trPr>
          <w:jc w:val="center"/>
        </w:trPr>
        <w:tc>
          <w:tcPr>
            <w:tcW w:w="1974" w:type="dxa"/>
            <w:tcBorders>
              <w:top w:val="nil"/>
            </w:tcBorders>
          </w:tcPr>
          <w:p w:rsidR="00567B15" w:rsidRDefault="00567B15">
            <w:pPr>
              <w:spacing w:before="0" w:after="0" w:line="360" w:lineRule="exact"/>
              <w:jc w:val="both"/>
              <w:rPr>
                <w:rFonts w:hint="cs"/>
                <w:sz w:val="24"/>
                <w:szCs w:val="24"/>
                <w:rtl/>
              </w:rPr>
            </w:pPr>
            <w:r>
              <w:rPr>
                <w:rFonts w:hint="cs"/>
                <w:sz w:val="24"/>
                <w:szCs w:val="24"/>
                <w:rtl/>
              </w:rPr>
              <w:t>صندوق الاحتياطي</w:t>
            </w:r>
          </w:p>
        </w:tc>
        <w:tc>
          <w:tcPr>
            <w:tcW w:w="1440" w:type="dxa"/>
            <w:tcBorders>
              <w:top w:val="nil"/>
            </w:tcBorders>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667 2</w:t>
            </w:r>
          </w:p>
        </w:tc>
        <w:tc>
          <w:tcPr>
            <w:tcW w:w="1260" w:type="dxa"/>
            <w:tcBorders>
              <w:top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667 2</w:t>
            </w:r>
          </w:p>
        </w:tc>
        <w:tc>
          <w:tcPr>
            <w:tcW w:w="1440" w:type="dxa"/>
            <w:tcBorders>
              <w:top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333 3</w:t>
            </w:r>
          </w:p>
        </w:tc>
        <w:tc>
          <w:tcPr>
            <w:tcW w:w="1260" w:type="dxa"/>
            <w:tcBorders>
              <w:top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000 5</w:t>
            </w:r>
          </w:p>
        </w:tc>
        <w:tc>
          <w:tcPr>
            <w:tcW w:w="1080" w:type="dxa"/>
            <w:tcBorders>
              <w:top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122.22</w:t>
            </w:r>
          </w:p>
        </w:tc>
        <w:tc>
          <w:tcPr>
            <w:tcW w:w="965" w:type="dxa"/>
            <w:tcBorders>
              <w:top w:val="nil"/>
            </w:tcBorders>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333 2</w:t>
            </w:r>
          </w:p>
        </w:tc>
      </w:tr>
      <w:tr w:rsidR="00567B15" w:rsidTr="00567B15">
        <w:tblPrEx>
          <w:tblCellMar>
            <w:top w:w="0" w:type="dxa"/>
            <w:bottom w:w="0" w:type="dxa"/>
          </w:tblCellMar>
        </w:tblPrEx>
        <w:trPr>
          <w:jc w:val="center"/>
        </w:trPr>
        <w:tc>
          <w:tcPr>
            <w:tcW w:w="1974" w:type="dxa"/>
          </w:tcPr>
          <w:p w:rsidR="00567B15" w:rsidRDefault="00567B15">
            <w:pPr>
              <w:spacing w:before="0" w:after="0" w:line="360" w:lineRule="exact"/>
              <w:jc w:val="both"/>
              <w:rPr>
                <w:rFonts w:hint="cs"/>
                <w:sz w:val="24"/>
                <w:szCs w:val="24"/>
                <w:rtl/>
              </w:rPr>
            </w:pPr>
            <w:r>
              <w:rPr>
                <w:sz w:val="24"/>
                <w:szCs w:val="24"/>
                <w:rtl/>
              </w:rPr>
              <w:tab/>
              <w:t xml:space="preserve">الدخل </w:t>
            </w:r>
            <w:r>
              <w:rPr>
                <w:rFonts w:hint="cs"/>
                <w:sz w:val="24"/>
                <w:szCs w:val="24"/>
                <w:rtl/>
              </w:rPr>
              <w:t>الإجمالي</w:t>
            </w:r>
          </w:p>
        </w:tc>
        <w:tc>
          <w:tcPr>
            <w:tcW w:w="1440" w:type="dxa"/>
          </w:tcPr>
          <w:p w:rsidR="00567B15" w:rsidRDefault="00567B15">
            <w:pPr>
              <w:spacing w:before="0" w:after="0" w:line="360" w:lineRule="exact"/>
              <w:ind w:firstLine="252"/>
              <w:jc w:val="both"/>
              <w:rPr>
                <w:rStyle w:val="FootnoteReference"/>
                <w:rFonts w:hint="cs"/>
                <w:bCs w:val="0"/>
                <w:sz w:val="24"/>
                <w:szCs w:val="24"/>
                <w:vertAlign w:val="baseline"/>
              </w:rPr>
            </w:pPr>
            <w:r>
              <w:rPr>
                <w:rFonts w:hint="cs"/>
                <w:sz w:val="24"/>
                <w:szCs w:val="24"/>
                <w:rtl/>
              </w:rPr>
              <w:t>400 49</w:t>
            </w:r>
          </w:p>
        </w:tc>
        <w:tc>
          <w:tcPr>
            <w:tcW w:w="1260" w:type="dxa"/>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533 53</w:t>
            </w:r>
          </w:p>
        </w:tc>
        <w:tc>
          <w:tcPr>
            <w:tcW w:w="1440" w:type="dxa"/>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500 82</w:t>
            </w:r>
          </w:p>
        </w:tc>
        <w:tc>
          <w:tcPr>
            <w:tcW w:w="1260" w:type="dxa"/>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367 112</w:t>
            </w:r>
          </w:p>
        </w:tc>
        <w:tc>
          <w:tcPr>
            <w:tcW w:w="1080" w:type="dxa"/>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175.18</w:t>
            </w:r>
          </w:p>
        </w:tc>
        <w:tc>
          <w:tcPr>
            <w:tcW w:w="965" w:type="dxa"/>
          </w:tcPr>
          <w:p w:rsidR="00567B15" w:rsidRDefault="00567B15">
            <w:pPr>
              <w:spacing w:before="0" w:after="0" w:line="360" w:lineRule="exact"/>
              <w:jc w:val="both"/>
              <w:rPr>
                <w:rStyle w:val="FootnoteReference"/>
                <w:rFonts w:hint="cs"/>
                <w:bCs w:val="0"/>
                <w:sz w:val="24"/>
                <w:szCs w:val="24"/>
                <w:vertAlign w:val="baseline"/>
              </w:rPr>
            </w:pPr>
            <w:r>
              <w:rPr>
                <w:rFonts w:hint="cs"/>
                <w:sz w:val="24"/>
                <w:szCs w:val="24"/>
                <w:rtl/>
              </w:rPr>
              <w:t>967 62</w:t>
            </w:r>
          </w:p>
        </w:tc>
      </w:tr>
    </w:tbl>
    <w:p w:rsidR="00000000" w:rsidRDefault="00567B15">
      <w:pPr>
        <w:spacing w:after="0"/>
        <w:jc w:val="center"/>
        <w:rPr>
          <w:rFonts w:hint="cs"/>
          <w:b/>
          <w:bCs/>
          <w:rtl/>
        </w:rPr>
      </w:pPr>
      <w:r>
        <w:rPr>
          <w:rFonts w:hint="cs"/>
          <w:b/>
          <w:bCs/>
          <w:rtl/>
        </w:rPr>
        <w:t>الدخل الإجمالي للعاملين بوجه عام</w:t>
      </w:r>
    </w:p>
    <w:p w:rsidR="00000000" w:rsidRDefault="00567B15">
      <w:pPr>
        <w:spacing w:before="0" w:after="0"/>
        <w:jc w:val="center"/>
        <w:rPr>
          <w:rFonts w:hint="cs"/>
          <w:b/>
          <w:bCs/>
          <w:rtl/>
        </w:rPr>
      </w:pPr>
      <w:r>
        <w:rPr>
          <w:rFonts w:hint="cs"/>
          <w:b/>
          <w:bCs/>
          <w:rtl/>
        </w:rPr>
        <w:t xml:space="preserve">في ظل رئاسة دوران بايين وداهيك وبينيا تريفينيو، آب/أغسطس 1992 </w:t>
      </w:r>
      <w:r>
        <w:rPr>
          <w:rFonts w:hint="cs"/>
          <w:b/>
          <w:bCs/>
          <w:rtl/>
        </w:rPr>
        <w:t>- آب/أغسطس 1996</w:t>
      </w:r>
    </w:p>
    <w:p w:rsidR="00000000" w:rsidRDefault="00567B15">
      <w:pPr>
        <w:spacing w:before="0" w:after="120"/>
        <w:jc w:val="center"/>
        <w:rPr>
          <w:rFonts w:hint="cs"/>
          <w:b/>
          <w:bCs/>
          <w:rtl/>
        </w:rPr>
      </w:pPr>
      <w:r>
        <w:rPr>
          <w:rFonts w:hint="cs"/>
          <w:b/>
          <w:bCs/>
          <w:rtl/>
        </w:rPr>
        <w:t>(بالسوكر)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2"/>
        <w:gridCol w:w="1162"/>
        <w:gridCol w:w="1302"/>
        <w:gridCol w:w="1287"/>
        <w:gridCol w:w="1358"/>
        <w:gridCol w:w="840"/>
        <w:gridCol w:w="1041"/>
        <w:gridCol w:w="883"/>
      </w:tblGrid>
      <w:tr w:rsidR="00567B15" w:rsidTr="00567B15">
        <w:tblPrEx>
          <w:tblCellMar>
            <w:top w:w="0" w:type="dxa"/>
            <w:bottom w:w="0" w:type="dxa"/>
          </w:tblCellMar>
        </w:tblPrEx>
        <w:trPr>
          <w:cantSplit/>
          <w:jc w:val="center"/>
        </w:trPr>
        <w:tc>
          <w:tcPr>
            <w:tcW w:w="1572" w:type="dxa"/>
          </w:tcPr>
          <w:p w:rsidR="00567B15" w:rsidRDefault="00567B15">
            <w:pPr>
              <w:spacing w:before="0" w:after="0" w:line="360" w:lineRule="exact"/>
              <w:jc w:val="center"/>
              <w:rPr>
                <w:rStyle w:val="FootnoteReference"/>
                <w:sz w:val="18"/>
                <w:szCs w:val="18"/>
              </w:rPr>
            </w:pPr>
            <w:r>
              <w:rPr>
                <w:rFonts w:hint="cs"/>
                <w:sz w:val="18"/>
                <w:szCs w:val="18"/>
                <w:rtl/>
              </w:rPr>
              <w:t>عنصر الأجر والسنة</w:t>
            </w:r>
          </w:p>
        </w:tc>
        <w:tc>
          <w:tcPr>
            <w:tcW w:w="1162" w:type="dxa"/>
          </w:tcPr>
          <w:p w:rsidR="00567B15" w:rsidRDefault="00567B15">
            <w:pPr>
              <w:spacing w:before="0" w:after="0" w:line="360" w:lineRule="exact"/>
              <w:jc w:val="center"/>
              <w:rPr>
                <w:rStyle w:val="FootnoteReference"/>
                <w:sz w:val="18"/>
                <w:szCs w:val="18"/>
              </w:rPr>
            </w:pPr>
            <w:r>
              <w:rPr>
                <w:rFonts w:hint="cs"/>
                <w:sz w:val="18"/>
                <w:szCs w:val="18"/>
                <w:rtl/>
              </w:rPr>
              <w:t>1992</w:t>
            </w:r>
          </w:p>
        </w:tc>
        <w:tc>
          <w:tcPr>
            <w:tcW w:w="1302" w:type="dxa"/>
          </w:tcPr>
          <w:p w:rsidR="00567B15" w:rsidRDefault="00567B15">
            <w:pPr>
              <w:spacing w:before="0" w:after="0" w:line="360" w:lineRule="exact"/>
              <w:jc w:val="center"/>
              <w:rPr>
                <w:rStyle w:val="FootnoteReference"/>
                <w:sz w:val="18"/>
                <w:szCs w:val="18"/>
              </w:rPr>
            </w:pPr>
            <w:r>
              <w:rPr>
                <w:rFonts w:hint="cs"/>
                <w:sz w:val="18"/>
                <w:szCs w:val="18"/>
                <w:rtl/>
              </w:rPr>
              <w:t>1994</w:t>
            </w:r>
          </w:p>
        </w:tc>
        <w:tc>
          <w:tcPr>
            <w:tcW w:w="1287" w:type="dxa"/>
          </w:tcPr>
          <w:p w:rsidR="00567B15" w:rsidRDefault="00567B15">
            <w:pPr>
              <w:spacing w:before="0" w:after="0" w:line="360" w:lineRule="exact"/>
              <w:jc w:val="center"/>
              <w:rPr>
                <w:rStyle w:val="FootnoteReference"/>
                <w:sz w:val="18"/>
                <w:szCs w:val="18"/>
              </w:rPr>
            </w:pPr>
            <w:r>
              <w:rPr>
                <w:rFonts w:hint="cs"/>
                <w:sz w:val="18"/>
                <w:szCs w:val="18"/>
                <w:rtl/>
              </w:rPr>
              <w:t>1995</w:t>
            </w:r>
          </w:p>
        </w:tc>
        <w:tc>
          <w:tcPr>
            <w:tcW w:w="2198" w:type="dxa"/>
            <w:gridSpan w:val="2"/>
          </w:tcPr>
          <w:p w:rsidR="00567B15" w:rsidRDefault="00567B15">
            <w:pPr>
              <w:spacing w:before="0" w:after="0" w:line="360" w:lineRule="exact"/>
              <w:jc w:val="center"/>
              <w:rPr>
                <w:rStyle w:val="FootnoteReference"/>
                <w:sz w:val="18"/>
                <w:szCs w:val="18"/>
              </w:rPr>
            </w:pPr>
            <w:r>
              <w:rPr>
                <w:rFonts w:hint="cs"/>
                <w:sz w:val="18"/>
                <w:szCs w:val="18"/>
                <w:rtl/>
              </w:rPr>
              <w:t>1996</w:t>
            </w:r>
          </w:p>
        </w:tc>
        <w:tc>
          <w:tcPr>
            <w:tcW w:w="1924" w:type="dxa"/>
            <w:gridSpan w:val="2"/>
          </w:tcPr>
          <w:p w:rsidR="00567B15" w:rsidRDefault="00567B15">
            <w:pPr>
              <w:spacing w:before="0" w:after="0" w:line="360" w:lineRule="exact"/>
              <w:jc w:val="center"/>
              <w:rPr>
                <w:rStyle w:val="FootnoteReference"/>
                <w:rFonts w:hint="cs"/>
                <w:sz w:val="18"/>
                <w:szCs w:val="18"/>
              </w:rPr>
            </w:pPr>
            <w:r>
              <w:rPr>
                <w:rFonts w:hint="cs"/>
                <w:sz w:val="18"/>
                <w:szCs w:val="18"/>
                <w:rtl/>
              </w:rPr>
              <w:t>الزيادة للفترة</w:t>
            </w:r>
          </w:p>
        </w:tc>
      </w:tr>
      <w:tr w:rsidR="00567B15" w:rsidTr="00567B15">
        <w:tblPrEx>
          <w:tblCellMar>
            <w:top w:w="0" w:type="dxa"/>
            <w:bottom w:w="0" w:type="dxa"/>
          </w:tblCellMar>
        </w:tblPrEx>
        <w:trPr>
          <w:jc w:val="center"/>
        </w:trPr>
        <w:tc>
          <w:tcPr>
            <w:tcW w:w="1572" w:type="dxa"/>
            <w:tcBorders>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tl/>
              </w:rPr>
            </w:pPr>
          </w:p>
        </w:tc>
        <w:tc>
          <w:tcPr>
            <w:tcW w:w="1162"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10 آب/أغسطس</w:t>
            </w:r>
          </w:p>
        </w:tc>
        <w:tc>
          <w:tcPr>
            <w:tcW w:w="1302"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1 كانون الثاني/يناير</w:t>
            </w:r>
          </w:p>
        </w:tc>
        <w:tc>
          <w:tcPr>
            <w:tcW w:w="1287"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1 كانون الثاني/يناير</w:t>
            </w:r>
          </w:p>
        </w:tc>
        <w:tc>
          <w:tcPr>
            <w:tcW w:w="1358"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1 كانون الثاني/يناير</w:t>
            </w:r>
          </w:p>
        </w:tc>
        <w:tc>
          <w:tcPr>
            <w:tcW w:w="840" w:type="dxa"/>
            <w:tcBorders>
              <w:bottom w:val="single" w:sz="4" w:space="0" w:color="auto"/>
            </w:tcBorders>
          </w:tcPr>
          <w:p w:rsidR="00567B15" w:rsidRDefault="00567B15">
            <w:pPr>
              <w:spacing w:before="0" w:after="0" w:line="360" w:lineRule="exact"/>
              <w:jc w:val="center"/>
              <w:rPr>
                <w:rStyle w:val="FootnoteReference"/>
                <w:rFonts w:hint="cs"/>
                <w:bCs w:val="0"/>
                <w:spacing w:val="0"/>
                <w:sz w:val="18"/>
                <w:szCs w:val="18"/>
                <w:vertAlign w:val="baseline"/>
              </w:rPr>
            </w:pPr>
            <w:r>
              <w:rPr>
                <w:rFonts w:hint="cs"/>
                <w:spacing w:val="0"/>
                <w:sz w:val="18"/>
                <w:szCs w:val="18"/>
                <w:rtl/>
              </w:rPr>
              <w:t>1 تموز/يوليه</w:t>
            </w:r>
          </w:p>
        </w:tc>
        <w:tc>
          <w:tcPr>
            <w:tcW w:w="1041"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نسبة مئوية</w:t>
            </w:r>
          </w:p>
        </w:tc>
        <w:tc>
          <w:tcPr>
            <w:tcW w:w="883"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أرقام مطلقة</w:t>
            </w:r>
          </w:p>
        </w:tc>
      </w:tr>
      <w:tr w:rsidR="00567B15" w:rsidTr="00567B15">
        <w:tblPrEx>
          <w:tblCellMar>
            <w:top w:w="0" w:type="dxa"/>
            <w:bottom w:w="0" w:type="dxa"/>
          </w:tblCellMar>
        </w:tblPrEx>
        <w:trPr>
          <w:jc w:val="center"/>
        </w:trPr>
        <w:tc>
          <w:tcPr>
            <w:tcW w:w="1572"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الأجر المعيشي الأدنى</w:t>
            </w:r>
          </w:p>
        </w:tc>
        <w:tc>
          <w:tcPr>
            <w:tcW w:w="1162" w:type="dxa"/>
            <w:tcBorders>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000 60</w:t>
            </w:r>
          </w:p>
        </w:tc>
        <w:tc>
          <w:tcPr>
            <w:tcW w:w="1302"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000 66</w:t>
            </w:r>
          </w:p>
        </w:tc>
        <w:tc>
          <w:tcPr>
            <w:tcW w:w="1287"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000 75</w:t>
            </w:r>
          </w:p>
        </w:tc>
        <w:tc>
          <w:tcPr>
            <w:tcW w:w="1358"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000 95</w:t>
            </w:r>
          </w:p>
        </w:tc>
        <w:tc>
          <w:tcPr>
            <w:tcW w:w="840"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000 95</w:t>
            </w:r>
          </w:p>
        </w:tc>
        <w:tc>
          <w:tcPr>
            <w:tcW w:w="1041"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58.33</w:t>
            </w:r>
          </w:p>
        </w:tc>
        <w:tc>
          <w:tcPr>
            <w:tcW w:w="883"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000 35</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بدل غلاء المعيشة</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000 20</w:t>
            </w: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000 100</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000 125</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000 145</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000 155</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675.00</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000 135</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العلاوات</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000 1</w:t>
            </w: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000 96</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000 180</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000 240</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900.00 23</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000 239</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بدل السفر</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200 7</w:t>
            </w: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000 12</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000 16</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000 20</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000 20</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177.78</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800 12</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السادس عشر</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000 11</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500 12</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833 15</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833 15</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58.33</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833 15</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الاسمي</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200 88</w:t>
            </w: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000 190</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500 324</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833 455</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833 485</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450.83</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633 397</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الثالث عشر</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000 5</w:t>
            </w: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500 5</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250 6</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917 7</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917 7</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58.33</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917 2</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الرابع عشر</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000 10</w:t>
            </w: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000 11</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500 12</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833 15</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833 15</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58.33</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833 5</w:t>
            </w:r>
          </w:p>
        </w:tc>
      </w:tr>
      <w:tr w:rsidR="00567B15" w:rsidTr="00567B15">
        <w:tblPrEx>
          <w:tblCellMar>
            <w:top w:w="0" w:type="dxa"/>
            <w:bottom w:w="0" w:type="dxa"/>
          </w:tblCellMar>
        </w:tblPrEx>
        <w:trPr>
          <w:jc w:val="center"/>
        </w:trPr>
        <w:tc>
          <w:tcPr>
            <w:tcW w:w="1572"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الخامس عشر</w:t>
            </w:r>
          </w:p>
        </w:tc>
        <w:tc>
          <w:tcPr>
            <w:tcW w:w="1162"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167 4</w:t>
            </w:r>
          </w:p>
        </w:tc>
        <w:tc>
          <w:tcPr>
            <w:tcW w:w="130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128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13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84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1041"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w:t>
            </w:r>
          </w:p>
        </w:tc>
        <w:tc>
          <w:tcPr>
            <w:tcW w:w="883"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صفر</w:t>
            </w:r>
          </w:p>
        </w:tc>
      </w:tr>
      <w:tr w:rsidR="00567B15" w:rsidTr="00567B15">
        <w:tblPrEx>
          <w:tblCellMar>
            <w:top w:w="0" w:type="dxa"/>
            <w:bottom w:w="0" w:type="dxa"/>
          </w:tblCellMar>
        </w:tblPrEx>
        <w:trPr>
          <w:jc w:val="center"/>
        </w:trPr>
        <w:tc>
          <w:tcPr>
            <w:tcW w:w="1572" w:type="dxa"/>
            <w:tcBorders>
              <w:top w:val="nil"/>
              <w:bottom w:val="single" w:sz="4" w:space="0" w:color="auto"/>
            </w:tcBorders>
          </w:tcPr>
          <w:p w:rsidR="00567B15" w:rsidRDefault="00567B15">
            <w:pPr>
              <w:spacing w:before="0" w:after="0" w:line="360" w:lineRule="exact"/>
              <w:jc w:val="both"/>
              <w:rPr>
                <w:rFonts w:hint="cs"/>
                <w:sz w:val="18"/>
                <w:szCs w:val="18"/>
                <w:rtl/>
              </w:rPr>
            </w:pPr>
            <w:r>
              <w:rPr>
                <w:rFonts w:hint="cs"/>
                <w:sz w:val="18"/>
                <w:szCs w:val="18"/>
                <w:rtl/>
              </w:rPr>
              <w:t>صندوق الاحتياطي</w:t>
            </w:r>
          </w:p>
        </w:tc>
        <w:tc>
          <w:tcPr>
            <w:tcW w:w="1162" w:type="dxa"/>
            <w:tcBorders>
              <w:top w:val="nil"/>
              <w:bottom w:val="single" w:sz="4" w:space="0" w:color="auto"/>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000 5</w:t>
            </w:r>
          </w:p>
        </w:tc>
        <w:tc>
          <w:tcPr>
            <w:tcW w:w="1302"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500 5</w:t>
            </w:r>
          </w:p>
        </w:tc>
        <w:tc>
          <w:tcPr>
            <w:tcW w:w="1287"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250 6</w:t>
            </w:r>
          </w:p>
        </w:tc>
        <w:tc>
          <w:tcPr>
            <w:tcW w:w="1358"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917 7</w:t>
            </w:r>
          </w:p>
        </w:tc>
        <w:tc>
          <w:tcPr>
            <w:tcW w:w="840"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917 7</w:t>
            </w:r>
          </w:p>
        </w:tc>
        <w:tc>
          <w:tcPr>
            <w:tcW w:w="1041"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58.33</w:t>
            </w:r>
          </w:p>
        </w:tc>
        <w:tc>
          <w:tcPr>
            <w:tcW w:w="883"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917 2</w:t>
            </w:r>
          </w:p>
        </w:tc>
      </w:tr>
      <w:tr w:rsidR="00567B15" w:rsidTr="00567B15">
        <w:tblPrEx>
          <w:tblCellMar>
            <w:top w:w="0" w:type="dxa"/>
            <w:bottom w:w="0" w:type="dxa"/>
          </w:tblCellMar>
        </w:tblPrEx>
        <w:trPr>
          <w:jc w:val="center"/>
        </w:trPr>
        <w:tc>
          <w:tcPr>
            <w:tcW w:w="1572" w:type="dxa"/>
            <w:tcBorders>
              <w:top w:val="single" w:sz="4" w:space="0" w:color="auto"/>
            </w:tcBorders>
          </w:tcPr>
          <w:p w:rsidR="00567B15" w:rsidRDefault="00567B15">
            <w:pPr>
              <w:spacing w:before="0" w:after="0" w:line="360" w:lineRule="exact"/>
              <w:jc w:val="both"/>
              <w:rPr>
                <w:rFonts w:hint="cs"/>
                <w:sz w:val="18"/>
                <w:szCs w:val="18"/>
                <w:rtl/>
              </w:rPr>
            </w:pPr>
            <w:r>
              <w:rPr>
                <w:rFonts w:hint="cs"/>
                <w:sz w:val="18"/>
                <w:szCs w:val="18"/>
                <w:rtl/>
              </w:rPr>
              <w:t xml:space="preserve">        </w:t>
            </w:r>
            <w:r>
              <w:rPr>
                <w:sz w:val="18"/>
                <w:szCs w:val="18"/>
                <w:rtl/>
              </w:rPr>
              <w:t xml:space="preserve">الدخل </w:t>
            </w:r>
            <w:r>
              <w:rPr>
                <w:rFonts w:hint="cs"/>
                <w:sz w:val="18"/>
                <w:szCs w:val="18"/>
                <w:rtl/>
              </w:rPr>
              <w:t>الإجمالي</w:t>
            </w:r>
          </w:p>
        </w:tc>
        <w:tc>
          <w:tcPr>
            <w:tcW w:w="1162" w:type="dxa"/>
            <w:tcBorders>
              <w:top w:val="single" w:sz="4" w:space="0" w:color="auto"/>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367 112</w:t>
            </w:r>
          </w:p>
        </w:tc>
        <w:tc>
          <w:tcPr>
            <w:tcW w:w="1302" w:type="dxa"/>
            <w:tcBorders>
              <w:top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167 216</w:t>
            </w:r>
          </w:p>
        </w:tc>
        <w:tc>
          <w:tcPr>
            <w:tcW w:w="1287" w:type="dxa"/>
            <w:tcBorders>
              <w:top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667 353</w:t>
            </w:r>
          </w:p>
        </w:tc>
        <w:tc>
          <w:tcPr>
            <w:tcW w:w="1358" w:type="dxa"/>
            <w:tcBorders>
              <w:top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667 491</w:t>
            </w:r>
          </w:p>
        </w:tc>
        <w:tc>
          <w:tcPr>
            <w:tcW w:w="840" w:type="dxa"/>
            <w:tcBorders>
              <w:top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667 521</w:t>
            </w:r>
          </w:p>
        </w:tc>
        <w:tc>
          <w:tcPr>
            <w:tcW w:w="1041" w:type="dxa"/>
            <w:tcBorders>
              <w:top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364.25</w:t>
            </w:r>
          </w:p>
        </w:tc>
        <w:tc>
          <w:tcPr>
            <w:tcW w:w="883" w:type="dxa"/>
            <w:tcBorders>
              <w:top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300 409</w:t>
            </w:r>
          </w:p>
        </w:tc>
      </w:tr>
    </w:tbl>
    <w:p w:rsidR="00000000" w:rsidRDefault="00567B15">
      <w:pPr>
        <w:spacing w:before="0" w:after="0"/>
        <w:jc w:val="both"/>
        <w:rPr>
          <w:rFonts w:hint="cs"/>
          <w:b/>
          <w:bCs/>
          <w:sz w:val="18"/>
          <w:szCs w:val="18"/>
          <w:rtl/>
        </w:rPr>
      </w:pPr>
    </w:p>
    <w:p w:rsidR="00000000" w:rsidRDefault="00567B15">
      <w:pPr>
        <w:spacing w:before="0" w:after="0"/>
        <w:jc w:val="both"/>
        <w:rPr>
          <w:rFonts w:hint="cs"/>
          <w:b/>
          <w:bCs/>
          <w:sz w:val="18"/>
          <w:szCs w:val="18"/>
          <w:rtl/>
        </w:rPr>
      </w:pPr>
    </w:p>
    <w:p w:rsidR="00000000" w:rsidRDefault="00567B15">
      <w:pPr>
        <w:spacing w:before="0" w:after="0"/>
        <w:jc w:val="center"/>
        <w:rPr>
          <w:rFonts w:hint="cs"/>
          <w:b/>
          <w:bCs/>
          <w:rtl/>
        </w:rPr>
      </w:pPr>
      <w:r>
        <w:rPr>
          <w:rFonts w:hint="cs"/>
          <w:b/>
          <w:bCs/>
          <w:rtl/>
        </w:rPr>
        <w:t>الدخل الإجمالي للعاملين بوجه عام</w:t>
      </w:r>
    </w:p>
    <w:p w:rsidR="00000000" w:rsidRDefault="00567B15">
      <w:pPr>
        <w:spacing w:before="0" w:after="0"/>
        <w:jc w:val="center"/>
        <w:rPr>
          <w:rFonts w:hint="cs"/>
          <w:b/>
          <w:bCs/>
          <w:rtl/>
        </w:rPr>
      </w:pPr>
      <w:r>
        <w:rPr>
          <w:rFonts w:hint="cs"/>
          <w:b/>
          <w:bCs/>
          <w:rtl/>
        </w:rPr>
        <w:t>في ظل رئاسة عبد الله بوكرم وروزاليا أرتياغا، آب/أغسطس 1996 - شبا</w:t>
      </w:r>
      <w:r>
        <w:rPr>
          <w:rFonts w:hint="cs"/>
          <w:b/>
          <w:bCs/>
          <w:rtl/>
        </w:rPr>
        <w:t>ط/فبراير 1997</w:t>
      </w:r>
    </w:p>
    <w:p w:rsidR="00000000" w:rsidRDefault="00567B15">
      <w:pPr>
        <w:spacing w:before="0" w:after="0"/>
        <w:jc w:val="center"/>
        <w:rPr>
          <w:rFonts w:hint="cs"/>
          <w:b/>
          <w:bCs/>
          <w:rtl/>
        </w:rPr>
      </w:pPr>
      <w:r>
        <w:rPr>
          <w:rFonts w:hint="cs"/>
          <w:b/>
          <w:bCs/>
          <w:rtl/>
        </w:rPr>
        <w:t>فابيان ألاركون، شباط/فبراير 1997 - آب/أغسطس 1998</w:t>
      </w:r>
    </w:p>
    <w:p w:rsidR="00000000" w:rsidRDefault="00567B15">
      <w:pPr>
        <w:spacing w:before="0" w:after="0"/>
        <w:jc w:val="center"/>
        <w:rPr>
          <w:rFonts w:hint="cs"/>
          <w:b/>
          <w:bCs/>
          <w:rtl/>
        </w:rPr>
      </w:pPr>
      <w:r>
        <w:rPr>
          <w:rFonts w:hint="cs"/>
          <w:b/>
          <w:bCs/>
          <w:rtl/>
        </w:rPr>
        <w:t>جميل معوض وغوستافو نوبوا، آب/أغسطس 1998 حتى اليوم</w:t>
      </w:r>
    </w:p>
    <w:p w:rsidR="00000000" w:rsidRDefault="00567B15">
      <w:pPr>
        <w:spacing w:before="120" w:after="120"/>
        <w:jc w:val="center"/>
        <w:rPr>
          <w:rFonts w:hint="cs"/>
          <w:b/>
          <w:bCs/>
          <w:rtl/>
        </w:rPr>
      </w:pPr>
      <w:r>
        <w:rPr>
          <w:rFonts w:hint="cs"/>
          <w:b/>
          <w:bCs/>
          <w:rtl/>
        </w:rPr>
        <w:t>(بالسوكر)</w:t>
      </w:r>
    </w:p>
    <w:tbl>
      <w:tblPr>
        <w:bidiVisual/>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3"/>
        <w:gridCol w:w="1103"/>
        <w:gridCol w:w="1417"/>
        <w:gridCol w:w="1260"/>
        <w:gridCol w:w="1258"/>
        <w:gridCol w:w="992"/>
        <w:gridCol w:w="990"/>
        <w:gridCol w:w="1008"/>
      </w:tblGrid>
      <w:tr w:rsidR="00567B15" w:rsidTr="00567B15">
        <w:tblPrEx>
          <w:tblCellMar>
            <w:top w:w="0" w:type="dxa"/>
            <w:bottom w:w="0" w:type="dxa"/>
          </w:tblCellMar>
        </w:tblPrEx>
        <w:trPr>
          <w:cantSplit/>
          <w:jc w:val="center"/>
        </w:trPr>
        <w:tc>
          <w:tcPr>
            <w:tcW w:w="1473" w:type="dxa"/>
          </w:tcPr>
          <w:p w:rsidR="00567B15" w:rsidRDefault="00567B15">
            <w:pPr>
              <w:spacing w:before="0" w:after="0" w:line="360" w:lineRule="exact"/>
              <w:jc w:val="center"/>
              <w:rPr>
                <w:rStyle w:val="FootnoteReference"/>
                <w:sz w:val="18"/>
                <w:szCs w:val="18"/>
              </w:rPr>
            </w:pPr>
            <w:r>
              <w:rPr>
                <w:rFonts w:hint="cs"/>
                <w:sz w:val="18"/>
                <w:szCs w:val="18"/>
                <w:rtl/>
              </w:rPr>
              <w:t>عنصر الأجر والسنة</w:t>
            </w:r>
          </w:p>
        </w:tc>
        <w:tc>
          <w:tcPr>
            <w:tcW w:w="1103" w:type="dxa"/>
          </w:tcPr>
          <w:p w:rsidR="00567B15" w:rsidRDefault="00567B15">
            <w:pPr>
              <w:spacing w:before="0" w:after="0" w:line="360" w:lineRule="exact"/>
              <w:jc w:val="center"/>
              <w:rPr>
                <w:rStyle w:val="FootnoteReference"/>
                <w:sz w:val="18"/>
                <w:szCs w:val="18"/>
              </w:rPr>
            </w:pPr>
            <w:r>
              <w:rPr>
                <w:rFonts w:hint="cs"/>
                <w:sz w:val="18"/>
                <w:szCs w:val="18"/>
                <w:rtl/>
              </w:rPr>
              <w:t>1996</w:t>
            </w:r>
          </w:p>
        </w:tc>
        <w:tc>
          <w:tcPr>
            <w:tcW w:w="1417" w:type="dxa"/>
          </w:tcPr>
          <w:p w:rsidR="00567B15" w:rsidRDefault="00567B15">
            <w:pPr>
              <w:spacing w:before="0" w:after="0" w:line="360" w:lineRule="exact"/>
              <w:jc w:val="center"/>
              <w:rPr>
                <w:rStyle w:val="FootnoteReference"/>
                <w:sz w:val="18"/>
                <w:szCs w:val="18"/>
              </w:rPr>
            </w:pPr>
            <w:r>
              <w:rPr>
                <w:rFonts w:hint="cs"/>
                <w:sz w:val="18"/>
                <w:szCs w:val="18"/>
                <w:rtl/>
              </w:rPr>
              <w:t>1997</w:t>
            </w:r>
          </w:p>
        </w:tc>
        <w:tc>
          <w:tcPr>
            <w:tcW w:w="1260" w:type="dxa"/>
          </w:tcPr>
          <w:p w:rsidR="00567B15" w:rsidRDefault="00567B15">
            <w:pPr>
              <w:spacing w:before="0" w:after="0" w:line="360" w:lineRule="exact"/>
              <w:jc w:val="center"/>
              <w:rPr>
                <w:rStyle w:val="FootnoteReference"/>
                <w:sz w:val="18"/>
                <w:szCs w:val="18"/>
              </w:rPr>
            </w:pPr>
            <w:r>
              <w:rPr>
                <w:rFonts w:hint="cs"/>
                <w:sz w:val="18"/>
                <w:szCs w:val="18"/>
                <w:rtl/>
              </w:rPr>
              <w:t>1998</w:t>
            </w:r>
          </w:p>
        </w:tc>
        <w:tc>
          <w:tcPr>
            <w:tcW w:w="2250" w:type="dxa"/>
            <w:gridSpan w:val="2"/>
          </w:tcPr>
          <w:p w:rsidR="00567B15" w:rsidRDefault="00567B15">
            <w:pPr>
              <w:spacing w:before="0" w:after="0" w:line="360" w:lineRule="exact"/>
              <w:jc w:val="center"/>
              <w:rPr>
                <w:rStyle w:val="FootnoteReference"/>
                <w:sz w:val="18"/>
                <w:szCs w:val="18"/>
              </w:rPr>
            </w:pPr>
            <w:r>
              <w:rPr>
                <w:rFonts w:hint="cs"/>
                <w:sz w:val="18"/>
                <w:szCs w:val="18"/>
                <w:rtl/>
              </w:rPr>
              <w:t>1999</w:t>
            </w:r>
          </w:p>
        </w:tc>
        <w:tc>
          <w:tcPr>
            <w:tcW w:w="1998" w:type="dxa"/>
            <w:gridSpan w:val="2"/>
          </w:tcPr>
          <w:p w:rsidR="00567B15" w:rsidRDefault="00567B15">
            <w:pPr>
              <w:spacing w:before="0" w:after="0" w:line="360" w:lineRule="exact"/>
              <w:jc w:val="center"/>
              <w:rPr>
                <w:rStyle w:val="FootnoteReference"/>
                <w:rFonts w:hint="cs"/>
                <w:sz w:val="18"/>
                <w:szCs w:val="18"/>
              </w:rPr>
            </w:pPr>
            <w:r>
              <w:rPr>
                <w:rFonts w:hint="cs"/>
                <w:sz w:val="18"/>
                <w:szCs w:val="18"/>
                <w:rtl/>
              </w:rPr>
              <w:t>الزيادة للفترة</w:t>
            </w:r>
          </w:p>
        </w:tc>
      </w:tr>
      <w:tr w:rsidR="00567B15" w:rsidTr="00567B15">
        <w:tblPrEx>
          <w:tblCellMar>
            <w:top w:w="0" w:type="dxa"/>
            <w:bottom w:w="0" w:type="dxa"/>
          </w:tblCellMar>
        </w:tblPrEx>
        <w:trPr>
          <w:jc w:val="center"/>
        </w:trPr>
        <w:tc>
          <w:tcPr>
            <w:tcW w:w="1473" w:type="dxa"/>
            <w:tcBorders>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tl/>
              </w:rPr>
            </w:pPr>
          </w:p>
        </w:tc>
        <w:tc>
          <w:tcPr>
            <w:tcW w:w="1103" w:type="dxa"/>
            <w:tcBorders>
              <w:bottom w:val="single" w:sz="4" w:space="0" w:color="auto"/>
            </w:tcBorders>
          </w:tcPr>
          <w:p w:rsidR="00567B15" w:rsidRDefault="00567B15">
            <w:pPr>
              <w:spacing w:before="0" w:after="0" w:line="360" w:lineRule="exact"/>
              <w:jc w:val="center"/>
              <w:rPr>
                <w:rStyle w:val="FootnoteReference"/>
                <w:rFonts w:hint="cs"/>
                <w:bCs w:val="0"/>
                <w:spacing w:val="0"/>
                <w:sz w:val="18"/>
                <w:szCs w:val="18"/>
                <w:vertAlign w:val="baseline"/>
              </w:rPr>
            </w:pPr>
            <w:r>
              <w:rPr>
                <w:rFonts w:hint="cs"/>
                <w:spacing w:val="0"/>
                <w:sz w:val="18"/>
                <w:szCs w:val="18"/>
                <w:rtl/>
              </w:rPr>
              <w:t>10 آب/أغسطس</w:t>
            </w:r>
          </w:p>
        </w:tc>
        <w:tc>
          <w:tcPr>
            <w:tcW w:w="1417"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1 كانون الثاني/يناير</w:t>
            </w:r>
          </w:p>
        </w:tc>
        <w:tc>
          <w:tcPr>
            <w:tcW w:w="1260" w:type="dxa"/>
            <w:tcBorders>
              <w:bottom w:val="single" w:sz="4" w:space="0" w:color="auto"/>
            </w:tcBorders>
          </w:tcPr>
          <w:p w:rsidR="00567B15" w:rsidRDefault="00567B15">
            <w:pPr>
              <w:spacing w:before="0" w:after="0" w:line="360" w:lineRule="exact"/>
              <w:jc w:val="center"/>
              <w:rPr>
                <w:rStyle w:val="FootnoteReference"/>
                <w:rFonts w:hint="cs"/>
                <w:bCs w:val="0"/>
                <w:spacing w:val="0"/>
                <w:sz w:val="18"/>
                <w:szCs w:val="18"/>
                <w:vertAlign w:val="baseline"/>
              </w:rPr>
            </w:pPr>
            <w:r>
              <w:rPr>
                <w:rFonts w:hint="cs"/>
                <w:spacing w:val="0"/>
                <w:sz w:val="18"/>
                <w:szCs w:val="18"/>
                <w:rtl/>
              </w:rPr>
              <w:t>1 كانون الثاني/يناير</w:t>
            </w:r>
          </w:p>
        </w:tc>
        <w:tc>
          <w:tcPr>
            <w:tcW w:w="1258" w:type="dxa"/>
            <w:tcBorders>
              <w:bottom w:val="single" w:sz="4" w:space="0" w:color="auto"/>
            </w:tcBorders>
          </w:tcPr>
          <w:p w:rsidR="00567B15" w:rsidRDefault="00567B15">
            <w:pPr>
              <w:spacing w:before="0" w:after="0" w:line="360" w:lineRule="exact"/>
              <w:jc w:val="center"/>
              <w:rPr>
                <w:rStyle w:val="FootnoteReference"/>
                <w:rFonts w:hint="cs"/>
                <w:bCs w:val="0"/>
                <w:spacing w:val="0"/>
                <w:sz w:val="18"/>
                <w:szCs w:val="18"/>
                <w:vertAlign w:val="baseline"/>
              </w:rPr>
            </w:pPr>
            <w:r>
              <w:rPr>
                <w:rFonts w:hint="cs"/>
                <w:spacing w:val="0"/>
                <w:sz w:val="18"/>
                <w:szCs w:val="18"/>
                <w:rtl/>
              </w:rPr>
              <w:t>1 كانون الثاني/يناير</w:t>
            </w:r>
          </w:p>
        </w:tc>
        <w:tc>
          <w:tcPr>
            <w:tcW w:w="992"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1 تموز/يوليه</w:t>
            </w:r>
          </w:p>
        </w:tc>
        <w:tc>
          <w:tcPr>
            <w:tcW w:w="990"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نسبة مئوية</w:t>
            </w:r>
          </w:p>
        </w:tc>
        <w:tc>
          <w:tcPr>
            <w:tcW w:w="1008" w:type="dxa"/>
            <w:tcBorders>
              <w:bottom w:val="single" w:sz="4" w:space="0" w:color="auto"/>
            </w:tcBorders>
          </w:tcPr>
          <w:p w:rsidR="00567B15" w:rsidRDefault="00567B15">
            <w:pPr>
              <w:spacing w:before="0" w:after="0" w:line="360" w:lineRule="exact"/>
              <w:jc w:val="center"/>
              <w:rPr>
                <w:rStyle w:val="FootnoteReference"/>
                <w:rFonts w:hint="cs"/>
                <w:bCs w:val="0"/>
                <w:sz w:val="18"/>
                <w:szCs w:val="18"/>
                <w:vertAlign w:val="baseline"/>
              </w:rPr>
            </w:pPr>
            <w:r>
              <w:rPr>
                <w:rFonts w:hint="cs"/>
                <w:sz w:val="18"/>
                <w:szCs w:val="18"/>
                <w:rtl/>
              </w:rPr>
              <w:t>أرقام مطلقة</w:t>
            </w:r>
          </w:p>
        </w:tc>
      </w:tr>
      <w:tr w:rsidR="00567B15" w:rsidTr="00567B15">
        <w:tblPrEx>
          <w:tblCellMar>
            <w:top w:w="0" w:type="dxa"/>
            <w:bottom w:w="0" w:type="dxa"/>
          </w:tblCellMar>
        </w:tblPrEx>
        <w:trPr>
          <w:jc w:val="center"/>
        </w:trPr>
        <w:tc>
          <w:tcPr>
            <w:tcW w:w="1473"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الأجر المعيشي الأدنى</w:t>
            </w:r>
          </w:p>
        </w:tc>
        <w:tc>
          <w:tcPr>
            <w:tcW w:w="1103" w:type="dxa"/>
            <w:tcBorders>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000 95</w:t>
            </w:r>
          </w:p>
        </w:tc>
        <w:tc>
          <w:tcPr>
            <w:tcW w:w="1417"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000 95</w:t>
            </w:r>
          </w:p>
        </w:tc>
        <w:tc>
          <w:tcPr>
            <w:tcW w:w="1260"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000 100</w:t>
            </w:r>
          </w:p>
        </w:tc>
        <w:tc>
          <w:tcPr>
            <w:tcW w:w="1258"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000 100</w:t>
            </w:r>
          </w:p>
        </w:tc>
        <w:tc>
          <w:tcPr>
            <w:tcW w:w="992"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000 100</w:t>
            </w:r>
          </w:p>
        </w:tc>
        <w:tc>
          <w:tcPr>
            <w:tcW w:w="990"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5.26</w:t>
            </w:r>
          </w:p>
        </w:tc>
        <w:tc>
          <w:tcPr>
            <w:tcW w:w="1008"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000 5</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بدل غلاء المعيشة</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000 155</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000 175</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000 190</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000 300</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000 300</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93.55</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000 145</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العلاوات</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000 240</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000 282</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000 386</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400 546</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000 700</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191.67</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000 460</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بدل السفر</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000 20</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000 32</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000 40</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000 56</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000 80</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300.00</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000 60</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pacing w:val="0"/>
                <w:sz w:val="18"/>
                <w:szCs w:val="18"/>
                <w:rtl/>
              </w:rPr>
            </w:pPr>
            <w:r>
              <w:rPr>
                <w:rFonts w:hint="cs"/>
                <w:spacing w:val="0"/>
                <w:sz w:val="18"/>
                <w:szCs w:val="18"/>
                <w:rtl/>
              </w:rPr>
              <w:t>أجر الشهر السادس عشر</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833 15</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833 15</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667 16</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667 16</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667 16</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5.27</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834</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الاسمي</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833 525</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833 599</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667 732</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067 019 1</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667 196 1</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127.58</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834 670</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الثالث عشر</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917 7</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090 8</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333 8</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333 8</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333 8</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5.26</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417</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الرابع عشر</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833 15</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667 16</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668 16</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668 16</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668 16</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5.27</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834</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الخامس عشر</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167 4</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w:t>
            </w:r>
          </w:p>
        </w:tc>
      </w:tr>
      <w:tr w:rsidR="00567B15" w:rsidTr="00567B15">
        <w:tblPrEx>
          <w:tblCellMar>
            <w:top w:w="0" w:type="dxa"/>
            <w:bottom w:w="0" w:type="dxa"/>
          </w:tblCellMar>
        </w:tblPrEx>
        <w:trPr>
          <w:jc w:val="center"/>
        </w:trPr>
        <w:tc>
          <w:tcPr>
            <w:tcW w:w="1473"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صندوق الاحتياطي</w:t>
            </w:r>
          </w:p>
        </w:tc>
        <w:tc>
          <w:tcPr>
            <w:tcW w:w="1103" w:type="dxa"/>
            <w:tcBorders>
              <w:top w:val="nil"/>
              <w:bottom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917 7</w:t>
            </w:r>
          </w:p>
        </w:tc>
        <w:tc>
          <w:tcPr>
            <w:tcW w:w="1417"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090 8</w:t>
            </w:r>
          </w:p>
        </w:tc>
        <w:tc>
          <w:tcPr>
            <w:tcW w:w="126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333 8</w:t>
            </w:r>
          </w:p>
        </w:tc>
        <w:tc>
          <w:tcPr>
            <w:tcW w:w="125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333 8</w:t>
            </w:r>
          </w:p>
        </w:tc>
        <w:tc>
          <w:tcPr>
            <w:tcW w:w="992"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333 8</w:t>
            </w:r>
          </w:p>
        </w:tc>
        <w:tc>
          <w:tcPr>
            <w:tcW w:w="99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5.26</w:t>
            </w:r>
          </w:p>
        </w:tc>
        <w:tc>
          <w:tcPr>
            <w:tcW w:w="1008"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417</w:t>
            </w:r>
          </w:p>
        </w:tc>
      </w:tr>
      <w:tr w:rsidR="00567B15" w:rsidTr="00567B15">
        <w:tblPrEx>
          <w:tblCellMar>
            <w:top w:w="0" w:type="dxa"/>
            <w:bottom w:w="0" w:type="dxa"/>
          </w:tblCellMar>
        </w:tblPrEx>
        <w:trPr>
          <w:trHeight w:val="385"/>
          <w:jc w:val="center"/>
        </w:trPr>
        <w:tc>
          <w:tcPr>
            <w:tcW w:w="1473" w:type="dxa"/>
            <w:tcBorders>
              <w:top w:val="nil"/>
            </w:tcBorders>
          </w:tcPr>
          <w:p w:rsidR="00567B15" w:rsidRDefault="00567B15">
            <w:pPr>
              <w:spacing w:before="0" w:after="0" w:line="360" w:lineRule="exact"/>
              <w:jc w:val="both"/>
              <w:rPr>
                <w:rFonts w:hint="cs"/>
                <w:sz w:val="18"/>
                <w:szCs w:val="18"/>
                <w:rtl/>
              </w:rPr>
            </w:pPr>
            <w:r>
              <w:rPr>
                <w:rFonts w:hint="cs"/>
                <w:sz w:val="18"/>
                <w:szCs w:val="18"/>
                <w:rtl/>
              </w:rPr>
              <w:t xml:space="preserve">        </w:t>
            </w:r>
            <w:r>
              <w:rPr>
                <w:sz w:val="18"/>
                <w:szCs w:val="18"/>
                <w:rtl/>
              </w:rPr>
              <w:t xml:space="preserve">الدخل </w:t>
            </w:r>
            <w:r>
              <w:rPr>
                <w:rFonts w:hint="cs"/>
                <w:sz w:val="18"/>
                <w:szCs w:val="18"/>
                <w:rtl/>
              </w:rPr>
              <w:t>الإجمالي</w:t>
            </w:r>
          </w:p>
        </w:tc>
        <w:tc>
          <w:tcPr>
            <w:tcW w:w="1103" w:type="dxa"/>
            <w:tcBorders>
              <w:top w:val="nil"/>
            </w:tcBorders>
          </w:tcPr>
          <w:p w:rsidR="00567B15" w:rsidRDefault="00567B15">
            <w:pPr>
              <w:spacing w:before="0" w:after="0" w:line="360" w:lineRule="exact"/>
              <w:ind w:firstLine="224"/>
              <w:jc w:val="both"/>
              <w:rPr>
                <w:rStyle w:val="FootnoteReference"/>
                <w:rFonts w:hint="cs"/>
                <w:bCs w:val="0"/>
                <w:sz w:val="18"/>
                <w:szCs w:val="18"/>
                <w:vertAlign w:val="baseline"/>
              </w:rPr>
            </w:pPr>
            <w:r>
              <w:rPr>
                <w:rFonts w:hint="cs"/>
                <w:sz w:val="18"/>
                <w:szCs w:val="18"/>
                <w:rtl/>
              </w:rPr>
              <w:t>666 561</w:t>
            </w:r>
          </w:p>
        </w:tc>
        <w:tc>
          <w:tcPr>
            <w:tcW w:w="1417"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847 636</w:t>
            </w:r>
          </w:p>
        </w:tc>
        <w:tc>
          <w:tcPr>
            <w:tcW w:w="1260"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168 770</w:t>
            </w:r>
          </w:p>
        </w:tc>
        <w:tc>
          <w:tcPr>
            <w:tcW w:w="1258"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568 056 1</w:t>
            </w:r>
          </w:p>
        </w:tc>
        <w:tc>
          <w:tcPr>
            <w:tcW w:w="992"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168 234 1</w:t>
            </w:r>
          </w:p>
        </w:tc>
        <w:tc>
          <w:tcPr>
            <w:tcW w:w="990"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119.73</w:t>
            </w:r>
          </w:p>
        </w:tc>
        <w:tc>
          <w:tcPr>
            <w:tcW w:w="1008"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502 672</w:t>
            </w:r>
          </w:p>
        </w:tc>
      </w:tr>
    </w:tbl>
    <w:p w:rsidR="00000000" w:rsidRDefault="00567B15">
      <w:pPr>
        <w:spacing w:after="0" w:line="360" w:lineRule="exact"/>
        <w:jc w:val="center"/>
        <w:rPr>
          <w:rFonts w:hint="cs"/>
          <w:b/>
          <w:bCs/>
          <w:sz w:val="30"/>
          <w:rtl/>
        </w:rPr>
      </w:pPr>
      <w:r>
        <w:rPr>
          <w:rFonts w:hint="cs"/>
          <w:b/>
          <w:bCs/>
          <w:sz w:val="30"/>
          <w:rtl/>
        </w:rPr>
        <w:t>الدخل الإجمالي للعاملين بوجه عام</w:t>
      </w:r>
    </w:p>
    <w:p w:rsidR="00000000" w:rsidRDefault="00567B15">
      <w:pPr>
        <w:jc w:val="center"/>
        <w:rPr>
          <w:rFonts w:hint="cs"/>
          <w:b/>
          <w:bCs/>
          <w:rtl/>
        </w:rPr>
      </w:pPr>
      <w:r>
        <w:rPr>
          <w:rFonts w:hint="cs"/>
          <w:b/>
          <w:bCs/>
          <w:rtl/>
        </w:rPr>
        <w:t>(بالسوكر)</w:t>
      </w:r>
    </w:p>
    <w:tbl>
      <w:tblPr>
        <w:bidiVisual/>
        <w:tblW w:w="0" w:type="auto"/>
        <w:jc w:val="center"/>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9"/>
        <w:gridCol w:w="1080"/>
        <w:gridCol w:w="1080"/>
        <w:gridCol w:w="1226"/>
        <w:gridCol w:w="1235"/>
        <w:gridCol w:w="1428"/>
        <w:gridCol w:w="1381"/>
      </w:tblGrid>
      <w:tr w:rsidR="00567B15" w:rsidTr="00567B15">
        <w:tblPrEx>
          <w:tblCellMar>
            <w:top w:w="0" w:type="dxa"/>
            <w:bottom w:w="0" w:type="dxa"/>
          </w:tblCellMar>
        </w:tblPrEx>
        <w:trPr>
          <w:cantSplit/>
          <w:tblHeader/>
          <w:jc w:val="center"/>
        </w:trPr>
        <w:tc>
          <w:tcPr>
            <w:tcW w:w="1999" w:type="dxa"/>
          </w:tcPr>
          <w:p w:rsidR="00567B15" w:rsidRDefault="00567B15">
            <w:pPr>
              <w:spacing w:before="0" w:after="0" w:line="360" w:lineRule="exact"/>
              <w:jc w:val="center"/>
              <w:rPr>
                <w:rStyle w:val="FootnoteReference"/>
                <w:sz w:val="18"/>
                <w:szCs w:val="18"/>
              </w:rPr>
            </w:pPr>
          </w:p>
        </w:tc>
        <w:tc>
          <w:tcPr>
            <w:tcW w:w="1080" w:type="dxa"/>
          </w:tcPr>
          <w:p w:rsidR="00567B15" w:rsidRDefault="00567B15">
            <w:pPr>
              <w:spacing w:before="0" w:after="0" w:line="360" w:lineRule="exact"/>
              <w:jc w:val="center"/>
              <w:rPr>
                <w:rStyle w:val="FootnoteReference"/>
                <w:sz w:val="18"/>
                <w:szCs w:val="18"/>
              </w:rPr>
            </w:pPr>
            <w:r>
              <w:rPr>
                <w:rFonts w:hint="cs"/>
                <w:sz w:val="18"/>
                <w:szCs w:val="18"/>
                <w:rtl/>
              </w:rPr>
              <w:t>1990</w:t>
            </w:r>
          </w:p>
        </w:tc>
        <w:tc>
          <w:tcPr>
            <w:tcW w:w="1080" w:type="dxa"/>
          </w:tcPr>
          <w:p w:rsidR="00567B15" w:rsidRDefault="00567B15">
            <w:pPr>
              <w:spacing w:before="0" w:after="0" w:line="360" w:lineRule="exact"/>
              <w:jc w:val="center"/>
              <w:rPr>
                <w:rStyle w:val="FootnoteReference"/>
                <w:sz w:val="18"/>
                <w:szCs w:val="18"/>
              </w:rPr>
            </w:pPr>
            <w:r>
              <w:rPr>
                <w:rFonts w:hint="cs"/>
                <w:sz w:val="18"/>
                <w:szCs w:val="18"/>
                <w:rtl/>
              </w:rPr>
              <w:t>1995</w:t>
            </w:r>
          </w:p>
        </w:tc>
        <w:tc>
          <w:tcPr>
            <w:tcW w:w="1226" w:type="dxa"/>
          </w:tcPr>
          <w:p w:rsidR="00567B15" w:rsidRDefault="00567B15">
            <w:pPr>
              <w:spacing w:before="0" w:after="0" w:line="360" w:lineRule="exact"/>
              <w:jc w:val="center"/>
              <w:rPr>
                <w:rStyle w:val="FootnoteReference"/>
                <w:sz w:val="18"/>
                <w:szCs w:val="18"/>
              </w:rPr>
            </w:pPr>
            <w:r>
              <w:rPr>
                <w:rFonts w:hint="cs"/>
                <w:sz w:val="18"/>
                <w:szCs w:val="18"/>
                <w:rtl/>
              </w:rPr>
              <w:t>1999</w:t>
            </w:r>
          </w:p>
        </w:tc>
        <w:tc>
          <w:tcPr>
            <w:tcW w:w="4044" w:type="dxa"/>
            <w:gridSpan w:val="3"/>
          </w:tcPr>
          <w:p w:rsidR="00567B15" w:rsidRDefault="00567B15">
            <w:pPr>
              <w:spacing w:before="0" w:after="0" w:line="360" w:lineRule="exact"/>
              <w:jc w:val="center"/>
              <w:rPr>
                <w:rStyle w:val="FootnoteReference"/>
                <w:rFonts w:hint="cs"/>
                <w:sz w:val="18"/>
                <w:szCs w:val="18"/>
              </w:rPr>
            </w:pPr>
            <w:r>
              <w:rPr>
                <w:rFonts w:hint="cs"/>
                <w:sz w:val="18"/>
                <w:szCs w:val="18"/>
                <w:rtl/>
              </w:rPr>
              <w:t>التغير</w:t>
            </w:r>
          </w:p>
        </w:tc>
      </w:tr>
      <w:tr w:rsidR="00567B15" w:rsidTr="00567B15">
        <w:tblPrEx>
          <w:tblCellMar>
            <w:top w:w="0" w:type="dxa"/>
            <w:bottom w:w="0" w:type="dxa"/>
          </w:tblCellMar>
        </w:tblPrEx>
        <w:trPr>
          <w:trHeight w:val="1056"/>
          <w:tblHeader/>
          <w:jc w:val="center"/>
        </w:trPr>
        <w:tc>
          <w:tcPr>
            <w:tcW w:w="1999" w:type="dxa"/>
            <w:tcBorders>
              <w:bottom w:val="single" w:sz="4" w:space="0" w:color="auto"/>
            </w:tcBorders>
          </w:tcPr>
          <w:p w:rsidR="00567B15" w:rsidRDefault="00567B15">
            <w:pPr>
              <w:spacing w:before="0" w:after="0" w:line="320" w:lineRule="exact"/>
              <w:jc w:val="both"/>
              <w:rPr>
                <w:rStyle w:val="FootnoteReference"/>
                <w:rFonts w:hint="cs"/>
                <w:bCs w:val="0"/>
                <w:sz w:val="18"/>
                <w:szCs w:val="18"/>
                <w:vertAlign w:val="baseline"/>
              </w:rPr>
            </w:pPr>
          </w:p>
        </w:tc>
        <w:tc>
          <w:tcPr>
            <w:tcW w:w="1080" w:type="dxa"/>
            <w:tcBorders>
              <w:bottom w:val="single" w:sz="4" w:space="0" w:color="auto"/>
            </w:tcBorders>
          </w:tcPr>
          <w:p w:rsidR="00567B15" w:rsidRDefault="00567B15">
            <w:pPr>
              <w:spacing w:before="0" w:after="0" w:line="320" w:lineRule="exact"/>
              <w:jc w:val="both"/>
              <w:rPr>
                <w:rFonts w:hint="cs"/>
                <w:spacing w:val="0"/>
                <w:sz w:val="18"/>
                <w:szCs w:val="18"/>
                <w:rtl/>
              </w:rPr>
            </w:pPr>
          </w:p>
          <w:p w:rsidR="00567B15" w:rsidRDefault="00567B15">
            <w:pPr>
              <w:spacing w:before="0" w:after="0" w:line="320" w:lineRule="exact"/>
              <w:jc w:val="both"/>
              <w:rPr>
                <w:rFonts w:hint="cs"/>
                <w:spacing w:val="0"/>
                <w:sz w:val="18"/>
                <w:szCs w:val="18"/>
                <w:rtl/>
              </w:rPr>
            </w:pPr>
          </w:p>
          <w:p w:rsidR="00567B15" w:rsidRDefault="00567B15">
            <w:pPr>
              <w:spacing w:before="0" w:after="0" w:line="320" w:lineRule="exact"/>
              <w:jc w:val="both"/>
              <w:rPr>
                <w:rStyle w:val="FootnoteReference"/>
                <w:rFonts w:hint="cs"/>
                <w:bCs w:val="0"/>
                <w:spacing w:val="0"/>
                <w:sz w:val="18"/>
                <w:szCs w:val="18"/>
                <w:vertAlign w:val="baseline"/>
              </w:rPr>
            </w:pPr>
            <w:r>
              <w:rPr>
                <w:rFonts w:hint="cs"/>
                <w:spacing w:val="0"/>
                <w:sz w:val="18"/>
                <w:szCs w:val="18"/>
                <w:rtl/>
              </w:rPr>
              <w:t>كانون الثاني/يناير</w:t>
            </w:r>
          </w:p>
        </w:tc>
        <w:tc>
          <w:tcPr>
            <w:tcW w:w="1080" w:type="dxa"/>
            <w:tcBorders>
              <w:bottom w:val="single" w:sz="4" w:space="0" w:color="auto"/>
            </w:tcBorders>
          </w:tcPr>
          <w:p w:rsidR="00567B15" w:rsidRDefault="00567B15">
            <w:pPr>
              <w:spacing w:before="0" w:after="0" w:line="320" w:lineRule="exact"/>
              <w:jc w:val="center"/>
              <w:rPr>
                <w:rFonts w:hint="cs"/>
                <w:sz w:val="18"/>
                <w:szCs w:val="18"/>
                <w:rtl/>
              </w:rPr>
            </w:pPr>
          </w:p>
          <w:p w:rsidR="00567B15" w:rsidRDefault="00567B15">
            <w:pPr>
              <w:spacing w:before="0" w:after="0" w:line="320" w:lineRule="exact"/>
              <w:jc w:val="center"/>
              <w:rPr>
                <w:rFonts w:hint="cs"/>
                <w:sz w:val="18"/>
                <w:szCs w:val="18"/>
                <w:rtl/>
              </w:rPr>
            </w:pPr>
          </w:p>
          <w:p w:rsidR="00567B15" w:rsidRDefault="00567B15">
            <w:pPr>
              <w:spacing w:before="0" w:after="0" w:line="320" w:lineRule="exact"/>
              <w:jc w:val="center"/>
              <w:rPr>
                <w:rStyle w:val="FootnoteReference"/>
                <w:rFonts w:hint="cs"/>
                <w:bCs w:val="0"/>
                <w:sz w:val="18"/>
                <w:szCs w:val="18"/>
                <w:vertAlign w:val="baseline"/>
              </w:rPr>
            </w:pPr>
            <w:r>
              <w:rPr>
                <w:rFonts w:hint="cs"/>
                <w:sz w:val="18"/>
                <w:szCs w:val="18"/>
                <w:rtl/>
              </w:rPr>
              <w:t>شباط/فبراير</w:t>
            </w:r>
          </w:p>
        </w:tc>
        <w:tc>
          <w:tcPr>
            <w:tcW w:w="1226" w:type="dxa"/>
            <w:tcBorders>
              <w:bottom w:val="single" w:sz="4" w:space="0" w:color="auto"/>
            </w:tcBorders>
          </w:tcPr>
          <w:p w:rsidR="00567B15" w:rsidRDefault="00567B15">
            <w:pPr>
              <w:spacing w:before="0" w:after="0" w:line="320" w:lineRule="exact"/>
              <w:jc w:val="center"/>
              <w:rPr>
                <w:rFonts w:hint="cs"/>
                <w:sz w:val="18"/>
                <w:szCs w:val="18"/>
                <w:rtl/>
              </w:rPr>
            </w:pPr>
          </w:p>
          <w:p w:rsidR="00567B15" w:rsidRDefault="00567B15">
            <w:pPr>
              <w:spacing w:before="0" w:after="0" w:line="320" w:lineRule="exact"/>
              <w:jc w:val="center"/>
              <w:rPr>
                <w:rStyle w:val="FootnoteReference"/>
                <w:rFonts w:hint="cs"/>
                <w:bCs w:val="0"/>
                <w:sz w:val="18"/>
                <w:szCs w:val="18"/>
                <w:vertAlign w:val="baseline"/>
              </w:rPr>
            </w:pPr>
            <w:r>
              <w:rPr>
                <w:rFonts w:hint="cs"/>
                <w:sz w:val="18"/>
                <w:szCs w:val="18"/>
                <w:rtl/>
              </w:rPr>
              <w:t>كانون الأول/ ديسمبر</w:t>
            </w:r>
          </w:p>
        </w:tc>
        <w:tc>
          <w:tcPr>
            <w:tcW w:w="1235" w:type="dxa"/>
            <w:tcBorders>
              <w:bottom w:val="single" w:sz="4" w:space="0" w:color="auto"/>
            </w:tcBorders>
          </w:tcPr>
          <w:p w:rsidR="00567B15" w:rsidRDefault="00567B15">
            <w:pPr>
              <w:spacing w:before="0" w:after="0" w:line="320" w:lineRule="exact"/>
              <w:jc w:val="both"/>
              <w:rPr>
                <w:rStyle w:val="FootnoteReference"/>
                <w:rFonts w:hint="cs"/>
                <w:bCs w:val="0"/>
                <w:sz w:val="18"/>
                <w:szCs w:val="18"/>
                <w:vertAlign w:val="baseline"/>
              </w:rPr>
            </w:pPr>
            <w:r>
              <w:rPr>
                <w:rFonts w:hint="cs"/>
                <w:sz w:val="18"/>
                <w:szCs w:val="18"/>
                <w:rtl/>
              </w:rPr>
              <w:t>كانون الثاني/يناير 1990 - كانون الثاني/يناير 1995</w:t>
            </w:r>
          </w:p>
        </w:tc>
        <w:tc>
          <w:tcPr>
            <w:tcW w:w="1428" w:type="dxa"/>
            <w:tcBorders>
              <w:bottom w:val="single" w:sz="4" w:space="0" w:color="auto"/>
            </w:tcBorders>
          </w:tcPr>
          <w:p w:rsidR="00567B15" w:rsidRDefault="00567B15">
            <w:pPr>
              <w:spacing w:before="0" w:after="0" w:line="320" w:lineRule="exact"/>
              <w:jc w:val="both"/>
              <w:rPr>
                <w:rStyle w:val="FootnoteReference"/>
                <w:rFonts w:hint="cs"/>
                <w:bCs w:val="0"/>
                <w:sz w:val="18"/>
                <w:szCs w:val="18"/>
                <w:vertAlign w:val="baseline"/>
              </w:rPr>
            </w:pPr>
            <w:r>
              <w:rPr>
                <w:rFonts w:hint="cs"/>
                <w:sz w:val="18"/>
                <w:szCs w:val="18"/>
                <w:rtl/>
              </w:rPr>
              <w:t>كانون الأول/ديسمبر 1990 - كانون الثاني/يناير 1990</w:t>
            </w:r>
          </w:p>
        </w:tc>
        <w:tc>
          <w:tcPr>
            <w:tcW w:w="1381" w:type="dxa"/>
            <w:tcBorders>
              <w:bottom w:val="single" w:sz="4" w:space="0" w:color="auto"/>
            </w:tcBorders>
          </w:tcPr>
          <w:p w:rsidR="00567B15" w:rsidRDefault="00567B15">
            <w:pPr>
              <w:spacing w:before="0" w:after="0" w:line="320" w:lineRule="exact"/>
              <w:jc w:val="both"/>
              <w:rPr>
                <w:rStyle w:val="FootnoteReference"/>
                <w:rFonts w:hint="cs"/>
                <w:bCs w:val="0"/>
                <w:sz w:val="18"/>
                <w:szCs w:val="18"/>
                <w:vertAlign w:val="baseline"/>
              </w:rPr>
            </w:pPr>
            <w:r>
              <w:rPr>
                <w:rFonts w:hint="cs"/>
                <w:sz w:val="18"/>
                <w:szCs w:val="18"/>
                <w:rtl/>
              </w:rPr>
              <w:t>كانون الثاني/يناير 1995 - كانون الأول/ديسمبر 1999</w:t>
            </w:r>
          </w:p>
        </w:tc>
      </w:tr>
      <w:tr w:rsidR="00567B15" w:rsidTr="00567B15">
        <w:tblPrEx>
          <w:tblCellMar>
            <w:top w:w="0" w:type="dxa"/>
            <w:bottom w:w="0" w:type="dxa"/>
          </w:tblCellMar>
        </w:tblPrEx>
        <w:trPr>
          <w:jc w:val="center"/>
        </w:trPr>
        <w:tc>
          <w:tcPr>
            <w:tcW w:w="1999"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الأجر المعيشي الأدنى</w:t>
            </w:r>
          </w:p>
        </w:tc>
        <w:tc>
          <w:tcPr>
            <w:tcW w:w="1080" w:type="dxa"/>
            <w:tcBorders>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000 32</w:t>
            </w:r>
          </w:p>
        </w:tc>
        <w:tc>
          <w:tcPr>
            <w:tcW w:w="1080"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000 75</w:t>
            </w:r>
          </w:p>
        </w:tc>
        <w:tc>
          <w:tcPr>
            <w:tcW w:w="1226"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000 100</w:t>
            </w:r>
          </w:p>
        </w:tc>
        <w:tc>
          <w:tcPr>
            <w:tcW w:w="1235" w:type="dxa"/>
            <w:tcBorders>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134</w:t>
            </w:r>
            <w:r>
              <w:rPr>
                <w:rFonts w:cs="Mudir MT" w:hint="cs"/>
                <w:sz w:val="18"/>
                <w:szCs w:val="18"/>
                <w:rtl/>
                <w:lang w:eastAsia="en-US"/>
              </w:rPr>
              <w:t>%</w:t>
            </w:r>
          </w:p>
        </w:tc>
        <w:tc>
          <w:tcPr>
            <w:tcW w:w="1428" w:type="dxa"/>
            <w:tcBorders>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213</w:t>
            </w:r>
            <w:r>
              <w:rPr>
                <w:rFonts w:cs="Mudir MT" w:hint="cs"/>
                <w:sz w:val="18"/>
                <w:szCs w:val="18"/>
                <w:rtl/>
                <w:lang w:eastAsia="en-US"/>
              </w:rPr>
              <w:t>%</w:t>
            </w:r>
          </w:p>
        </w:tc>
        <w:tc>
          <w:tcPr>
            <w:tcW w:w="1381" w:type="dxa"/>
            <w:tcBorders>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33</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بدل غلاء المعيشة</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500 2</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000 125</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000 300</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900 4</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900 11</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140</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العلاوات</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000 1</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000 96</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000 700</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500 9</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900 69</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629</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بدل السفر</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400 2</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000 16</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000 80</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567</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233 3</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400</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السادس عشر</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500 12</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667 16</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33</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الثالث عشر</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667 2</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250 6</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333 8</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134</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212</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33</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single" w:sz="4" w:space="0" w:color="auto"/>
            </w:tcBorders>
          </w:tcPr>
          <w:p w:rsidR="00567B15" w:rsidRDefault="00567B15">
            <w:pPr>
              <w:spacing w:before="0" w:after="0" w:line="360" w:lineRule="exact"/>
              <w:jc w:val="both"/>
              <w:rPr>
                <w:rFonts w:hint="cs"/>
                <w:sz w:val="18"/>
                <w:szCs w:val="18"/>
                <w:rtl/>
              </w:rPr>
            </w:pPr>
            <w:r>
              <w:rPr>
                <w:rFonts w:hint="cs"/>
                <w:sz w:val="18"/>
                <w:szCs w:val="18"/>
                <w:rtl/>
              </w:rPr>
              <w:t>أجر الشهر الرابع عشر</w:t>
            </w:r>
          </w:p>
        </w:tc>
        <w:tc>
          <w:tcPr>
            <w:tcW w:w="1080" w:type="dxa"/>
            <w:tcBorders>
              <w:top w:val="nil"/>
              <w:bottom w:val="single" w:sz="4" w:space="0" w:color="auto"/>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333 5</w:t>
            </w:r>
          </w:p>
        </w:tc>
        <w:tc>
          <w:tcPr>
            <w:tcW w:w="1080"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500 12</w:t>
            </w:r>
          </w:p>
        </w:tc>
        <w:tc>
          <w:tcPr>
            <w:tcW w:w="1226" w:type="dxa"/>
            <w:tcBorders>
              <w:top w:val="nil"/>
              <w:bottom w:val="single" w:sz="4" w:space="0" w:color="auto"/>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667 16</w:t>
            </w:r>
          </w:p>
        </w:tc>
        <w:tc>
          <w:tcPr>
            <w:tcW w:w="1235" w:type="dxa"/>
            <w:tcBorders>
              <w:top w:val="nil"/>
              <w:bottom w:val="single" w:sz="4" w:space="0" w:color="auto"/>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134</w:t>
            </w:r>
            <w:r>
              <w:rPr>
                <w:rFonts w:cs="Mudir MT" w:hint="cs"/>
                <w:sz w:val="18"/>
                <w:szCs w:val="18"/>
                <w:rtl/>
                <w:lang w:eastAsia="en-US"/>
              </w:rPr>
              <w:t>%</w:t>
            </w:r>
          </w:p>
        </w:tc>
        <w:tc>
          <w:tcPr>
            <w:tcW w:w="1428" w:type="dxa"/>
            <w:tcBorders>
              <w:top w:val="nil"/>
              <w:bottom w:val="single" w:sz="4" w:space="0" w:color="auto"/>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213</w:t>
            </w:r>
            <w:r>
              <w:rPr>
                <w:rFonts w:cs="Mudir MT" w:hint="cs"/>
                <w:sz w:val="18"/>
                <w:szCs w:val="18"/>
                <w:rtl/>
                <w:lang w:eastAsia="en-US"/>
              </w:rPr>
              <w:t>%</w:t>
            </w:r>
          </w:p>
        </w:tc>
        <w:tc>
          <w:tcPr>
            <w:tcW w:w="1381" w:type="dxa"/>
            <w:tcBorders>
              <w:top w:val="nil"/>
              <w:bottom w:val="single" w:sz="4" w:space="0" w:color="auto"/>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33</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bottom w:val="nil"/>
            </w:tcBorders>
          </w:tcPr>
          <w:p w:rsidR="00567B15" w:rsidRDefault="00567B15">
            <w:pPr>
              <w:spacing w:before="0" w:after="0" w:line="360" w:lineRule="exact"/>
              <w:jc w:val="both"/>
              <w:rPr>
                <w:rFonts w:hint="cs"/>
                <w:sz w:val="18"/>
                <w:szCs w:val="18"/>
                <w:rtl/>
              </w:rPr>
            </w:pPr>
            <w:r>
              <w:rPr>
                <w:rFonts w:hint="cs"/>
                <w:sz w:val="18"/>
                <w:szCs w:val="18"/>
                <w:rtl/>
              </w:rPr>
              <w:t>أجر الشهر الخامس عشر</w:t>
            </w:r>
          </w:p>
        </w:tc>
        <w:tc>
          <w:tcPr>
            <w:tcW w:w="1080" w:type="dxa"/>
            <w:tcBorders>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833</w:t>
            </w:r>
          </w:p>
        </w:tc>
        <w:tc>
          <w:tcPr>
            <w:tcW w:w="1080"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167 4</w:t>
            </w:r>
          </w:p>
        </w:tc>
        <w:tc>
          <w:tcPr>
            <w:tcW w:w="1226" w:type="dxa"/>
            <w:tcBorders>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208 4</w:t>
            </w:r>
          </w:p>
        </w:tc>
        <w:tc>
          <w:tcPr>
            <w:tcW w:w="1235" w:type="dxa"/>
            <w:tcBorders>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400</w:t>
            </w:r>
            <w:r>
              <w:rPr>
                <w:rFonts w:cs="Mudir MT" w:hint="cs"/>
                <w:sz w:val="18"/>
                <w:szCs w:val="18"/>
                <w:rtl/>
                <w:lang w:eastAsia="en-US"/>
              </w:rPr>
              <w:t>%</w:t>
            </w:r>
          </w:p>
        </w:tc>
        <w:tc>
          <w:tcPr>
            <w:tcW w:w="1428" w:type="dxa"/>
            <w:tcBorders>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405</w:t>
            </w:r>
            <w:r>
              <w:rPr>
                <w:rFonts w:cs="Mudir MT" w:hint="cs"/>
                <w:sz w:val="18"/>
                <w:szCs w:val="18"/>
                <w:rtl/>
                <w:lang w:eastAsia="en-US"/>
              </w:rPr>
              <w:t>%</w:t>
            </w:r>
          </w:p>
        </w:tc>
        <w:tc>
          <w:tcPr>
            <w:tcW w:w="1381" w:type="dxa"/>
            <w:tcBorders>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1</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صندوق الاحتياطي</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667 2</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250 6</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417 8</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134</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216</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35</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الدخل الاسمي الإجمالي</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400 49</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667 353</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292 234 1</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616</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399 2</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249</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سلة المشتريات الأساسية</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785 124</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832 858</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099 990 3</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588</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098 3</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365</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pacing w:val="0"/>
                <w:sz w:val="18"/>
                <w:szCs w:val="18"/>
                <w:rtl/>
              </w:rPr>
            </w:pPr>
            <w:r>
              <w:rPr>
                <w:rFonts w:hint="cs"/>
                <w:spacing w:val="0"/>
                <w:sz w:val="18"/>
                <w:szCs w:val="18"/>
                <w:rtl/>
              </w:rPr>
              <w:t>الرقم القياسي للأسعار الاستهلاكية</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17.1</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99.5</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448.7</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4.8</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25.2</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3.5</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دخل الأسرة المتاح</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534 79</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403 569</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210 987 1</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616</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399 2</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249</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bottom w:val="nil"/>
            </w:tcBorders>
          </w:tcPr>
          <w:p w:rsidR="00567B15" w:rsidRDefault="00567B15">
            <w:pPr>
              <w:spacing w:before="0" w:after="0" w:line="360" w:lineRule="exact"/>
              <w:jc w:val="both"/>
              <w:rPr>
                <w:rFonts w:hint="cs"/>
                <w:sz w:val="18"/>
                <w:szCs w:val="18"/>
                <w:rtl/>
              </w:rPr>
            </w:pPr>
            <w:r>
              <w:rPr>
                <w:rFonts w:hint="cs"/>
                <w:sz w:val="18"/>
                <w:szCs w:val="18"/>
                <w:rtl/>
              </w:rPr>
              <w:t>الدخل الحقيقي الإجمالي</w:t>
            </w:r>
          </w:p>
        </w:tc>
        <w:tc>
          <w:tcPr>
            <w:tcW w:w="1080" w:type="dxa"/>
            <w:tcBorders>
              <w:top w:val="nil"/>
              <w:bottom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889 288</w:t>
            </w:r>
          </w:p>
        </w:tc>
        <w:tc>
          <w:tcPr>
            <w:tcW w:w="1080"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444 355</w:t>
            </w:r>
          </w:p>
        </w:tc>
        <w:tc>
          <w:tcPr>
            <w:tcW w:w="1226" w:type="dxa"/>
            <w:tcBorders>
              <w:top w:val="nil"/>
              <w:bottom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082 275</w:t>
            </w:r>
          </w:p>
        </w:tc>
        <w:tc>
          <w:tcPr>
            <w:tcW w:w="1235" w:type="dxa"/>
            <w:tcBorders>
              <w:top w:val="nil"/>
              <w:bottom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23</w:t>
            </w:r>
            <w:r>
              <w:rPr>
                <w:rFonts w:cs="Mudir MT" w:hint="cs"/>
                <w:sz w:val="18"/>
                <w:szCs w:val="18"/>
                <w:rtl/>
                <w:lang w:eastAsia="en-US"/>
              </w:rPr>
              <w:t>%</w:t>
            </w:r>
          </w:p>
        </w:tc>
        <w:tc>
          <w:tcPr>
            <w:tcW w:w="1428" w:type="dxa"/>
            <w:tcBorders>
              <w:top w:val="nil"/>
              <w:bottom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-5</w:t>
            </w:r>
            <w:r>
              <w:rPr>
                <w:rFonts w:cs="Mudir MT" w:hint="cs"/>
                <w:sz w:val="18"/>
                <w:szCs w:val="18"/>
                <w:rtl/>
                <w:lang w:eastAsia="en-US"/>
              </w:rPr>
              <w:t>%</w:t>
            </w:r>
          </w:p>
        </w:tc>
        <w:tc>
          <w:tcPr>
            <w:tcW w:w="1381" w:type="dxa"/>
            <w:tcBorders>
              <w:top w:val="nil"/>
              <w:bottom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-23</w:t>
            </w:r>
            <w:r>
              <w:rPr>
                <w:rFonts w:cs="Mudir MT" w:hint="cs"/>
                <w:sz w:val="18"/>
                <w:szCs w:val="18"/>
                <w:rtl/>
                <w:lang w:eastAsia="en-US"/>
              </w:rPr>
              <w:t>%</w:t>
            </w:r>
          </w:p>
        </w:tc>
      </w:tr>
      <w:tr w:rsidR="00567B15" w:rsidTr="00567B15">
        <w:tblPrEx>
          <w:tblCellMar>
            <w:top w:w="0" w:type="dxa"/>
            <w:bottom w:w="0" w:type="dxa"/>
          </w:tblCellMar>
        </w:tblPrEx>
        <w:trPr>
          <w:jc w:val="center"/>
        </w:trPr>
        <w:tc>
          <w:tcPr>
            <w:tcW w:w="1999" w:type="dxa"/>
            <w:tcBorders>
              <w:top w:val="nil"/>
            </w:tcBorders>
          </w:tcPr>
          <w:p w:rsidR="00567B15" w:rsidRDefault="00567B15">
            <w:pPr>
              <w:spacing w:before="0" w:after="0" w:line="360" w:lineRule="exact"/>
              <w:jc w:val="both"/>
              <w:rPr>
                <w:rFonts w:hint="cs"/>
                <w:sz w:val="18"/>
                <w:szCs w:val="18"/>
                <w:rtl/>
              </w:rPr>
            </w:pPr>
            <w:r>
              <w:rPr>
                <w:rFonts w:hint="cs"/>
                <w:sz w:val="18"/>
                <w:szCs w:val="18"/>
                <w:rtl/>
              </w:rPr>
              <w:t>تمويل سلة المشتريات الأساسية</w:t>
            </w:r>
          </w:p>
        </w:tc>
        <w:tc>
          <w:tcPr>
            <w:tcW w:w="1080" w:type="dxa"/>
            <w:tcBorders>
              <w:top w:val="nil"/>
            </w:tcBorders>
          </w:tcPr>
          <w:p w:rsidR="00567B15" w:rsidRDefault="00567B15">
            <w:pPr>
              <w:spacing w:before="0" w:after="0" w:line="360" w:lineRule="exact"/>
              <w:ind w:firstLine="72"/>
              <w:jc w:val="both"/>
              <w:rPr>
                <w:rStyle w:val="FootnoteReference"/>
                <w:rFonts w:hint="cs"/>
                <w:bCs w:val="0"/>
                <w:sz w:val="18"/>
                <w:szCs w:val="18"/>
                <w:vertAlign w:val="baseline"/>
              </w:rPr>
            </w:pPr>
            <w:r>
              <w:rPr>
                <w:rFonts w:hint="cs"/>
                <w:sz w:val="18"/>
                <w:szCs w:val="18"/>
                <w:rtl/>
              </w:rPr>
              <w:t>63.7</w:t>
            </w:r>
            <w:r>
              <w:rPr>
                <w:rFonts w:cs="Mudir MT" w:hint="cs"/>
                <w:sz w:val="18"/>
                <w:szCs w:val="18"/>
                <w:rtl/>
                <w:lang w:eastAsia="en-US"/>
              </w:rPr>
              <w:t>%</w:t>
            </w:r>
          </w:p>
        </w:tc>
        <w:tc>
          <w:tcPr>
            <w:tcW w:w="1080"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66.3</w:t>
            </w:r>
            <w:r>
              <w:rPr>
                <w:rFonts w:cs="Mudir MT" w:hint="cs"/>
                <w:sz w:val="18"/>
                <w:szCs w:val="18"/>
                <w:rtl/>
                <w:lang w:eastAsia="en-US"/>
              </w:rPr>
              <w:t>%</w:t>
            </w:r>
          </w:p>
        </w:tc>
        <w:tc>
          <w:tcPr>
            <w:tcW w:w="1226" w:type="dxa"/>
            <w:tcBorders>
              <w:top w:val="nil"/>
            </w:tcBorders>
          </w:tcPr>
          <w:p w:rsidR="00567B15" w:rsidRDefault="00567B15">
            <w:pPr>
              <w:spacing w:before="0" w:after="0" w:line="360" w:lineRule="exact"/>
              <w:jc w:val="both"/>
              <w:rPr>
                <w:rStyle w:val="FootnoteReference"/>
                <w:rFonts w:hint="cs"/>
                <w:bCs w:val="0"/>
                <w:sz w:val="18"/>
                <w:szCs w:val="18"/>
                <w:vertAlign w:val="baseline"/>
              </w:rPr>
            </w:pPr>
            <w:r>
              <w:rPr>
                <w:rFonts w:hint="cs"/>
                <w:sz w:val="18"/>
                <w:szCs w:val="18"/>
                <w:rtl/>
              </w:rPr>
              <w:t>49.8</w:t>
            </w:r>
            <w:r>
              <w:rPr>
                <w:rFonts w:cs="Mudir MT" w:hint="cs"/>
                <w:sz w:val="18"/>
                <w:szCs w:val="18"/>
                <w:rtl/>
                <w:lang w:eastAsia="en-US"/>
              </w:rPr>
              <w:t>%</w:t>
            </w:r>
          </w:p>
        </w:tc>
        <w:tc>
          <w:tcPr>
            <w:tcW w:w="1235" w:type="dxa"/>
            <w:tcBorders>
              <w:top w:val="nil"/>
            </w:tcBorders>
          </w:tcPr>
          <w:p w:rsidR="00567B15" w:rsidRDefault="00567B15">
            <w:pPr>
              <w:spacing w:before="0" w:after="0" w:line="360" w:lineRule="exact"/>
              <w:ind w:firstLine="286"/>
              <w:jc w:val="both"/>
              <w:rPr>
                <w:rStyle w:val="FootnoteReference"/>
                <w:rFonts w:hint="cs"/>
                <w:bCs w:val="0"/>
                <w:sz w:val="18"/>
                <w:szCs w:val="18"/>
                <w:vertAlign w:val="baseline"/>
              </w:rPr>
            </w:pPr>
            <w:r>
              <w:rPr>
                <w:rFonts w:hint="cs"/>
                <w:sz w:val="18"/>
                <w:szCs w:val="18"/>
                <w:rtl/>
              </w:rPr>
              <w:t>4</w:t>
            </w:r>
            <w:r>
              <w:rPr>
                <w:rFonts w:cs="Mudir MT" w:hint="cs"/>
                <w:sz w:val="18"/>
                <w:szCs w:val="18"/>
                <w:rtl/>
                <w:lang w:eastAsia="en-US"/>
              </w:rPr>
              <w:t>%</w:t>
            </w:r>
          </w:p>
        </w:tc>
        <w:tc>
          <w:tcPr>
            <w:tcW w:w="1428" w:type="dxa"/>
            <w:tcBorders>
              <w:top w:val="nil"/>
            </w:tcBorders>
          </w:tcPr>
          <w:p w:rsidR="00567B15" w:rsidRDefault="00567B15">
            <w:pPr>
              <w:spacing w:before="0" w:after="0" w:line="360" w:lineRule="exact"/>
              <w:ind w:firstLine="179"/>
              <w:jc w:val="both"/>
              <w:rPr>
                <w:rStyle w:val="FootnoteReference"/>
                <w:rFonts w:hint="cs"/>
                <w:bCs w:val="0"/>
                <w:sz w:val="18"/>
                <w:szCs w:val="18"/>
                <w:vertAlign w:val="baseline"/>
              </w:rPr>
            </w:pPr>
            <w:r>
              <w:rPr>
                <w:rFonts w:hint="cs"/>
                <w:sz w:val="18"/>
                <w:szCs w:val="18"/>
                <w:rtl/>
              </w:rPr>
              <w:t>-21.9</w:t>
            </w:r>
            <w:r>
              <w:rPr>
                <w:rFonts w:cs="Mudir MT" w:hint="cs"/>
                <w:sz w:val="18"/>
                <w:szCs w:val="18"/>
                <w:rtl/>
                <w:lang w:eastAsia="en-US"/>
              </w:rPr>
              <w:t>%</w:t>
            </w:r>
          </w:p>
        </w:tc>
        <w:tc>
          <w:tcPr>
            <w:tcW w:w="1381" w:type="dxa"/>
            <w:tcBorders>
              <w:top w:val="nil"/>
            </w:tcBorders>
          </w:tcPr>
          <w:p w:rsidR="00567B15" w:rsidRDefault="00567B15">
            <w:pPr>
              <w:spacing w:before="0" w:after="0" w:line="360" w:lineRule="exact"/>
              <w:ind w:firstLine="252"/>
              <w:jc w:val="both"/>
              <w:rPr>
                <w:rStyle w:val="FootnoteReference"/>
                <w:rFonts w:hint="cs"/>
                <w:bCs w:val="0"/>
                <w:sz w:val="18"/>
                <w:szCs w:val="18"/>
                <w:vertAlign w:val="baseline"/>
              </w:rPr>
            </w:pPr>
            <w:r>
              <w:rPr>
                <w:rFonts w:hint="cs"/>
                <w:sz w:val="18"/>
                <w:szCs w:val="18"/>
                <w:rtl/>
              </w:rPr>
              <w:t>-24.9</w:t>
            </w:r>
            <w:r>
              <w:rPr>
                <w:rFonts w:cs="Mudir MT" w:hint="cs"/>
                <w:sz w:val="18"/>
                <w:szCs w:val="18"/>
                <w:rtl/>
                <w:lang w:eastAsia="en-US"/>
              </w:rPr>
              <w:t>%</w:t>
            </w:r>
          </w:p>
        </w:tc>
      </w:tr>
    </w:tbl>
    <w:p w:rsidR="00000000" w:rsidRDefault="00567B15">
      <w:pPr>
        <w:spacing w:line="380" w:lineRule="exact"/>
        <w:jc w:val="both"/>
        <w:rPr>
          <w:rFonts w:hint="cs"/>
          <w:rtl/>
        </w:rPr>
      </w:pPr>
      <w:r>
        <w:rPr>
          <w:rFonts w:hint="cs"/>
          <w:sz w:val="18"/>
          <w:szCs w:val="18"/>
          <w:rtl/>
        </w:rPr>
        <w:tab/>
      </w:r>
      <w:r>
        <w:rPr>
          <w:rFonts w:hint="cs"/>
          <w:u w:val="single"/>
          <w:rtl/>
        </w:rPr>
        <w:t>المصدر</w:t>
      </w:r>
      <w:r>
        <w:rPr>
          <w:rFonts w:hint="cs"/>
          <w:rtl/>
        </w:rPr>
        <w:t xml:space="preserve">: بيانات عن الرقم القياسي للأسعار الاستهلاكية في المدن والتضخم وسلة المشتريات الأسرية الأساسية: المعهد الوطني للإحصاء وتعداد السكان؛ بيانات عن </w:t>
      </w:r>
      <w:r>
        <w:rPr>
          <w:rFonts w:hint="cs"/>
          <w:rtl/>
        </w:rPr>
        <w:t>الأجور: وزارة العمل والموارد البشرية.</w:t>
      </w:r>
    </w:p>
    <w:p w:rsidR="00000000" w:rsidRDefault="00567B15">
      <w:pPr>
        <w:spacing w:line="380" w:lineRule="exact"/>
        <w:jc w:val="both"/>
        <w:rPr>
          <w:rFonts w:hint="cs"/>
          <w:rtl/>
        </w:rPr>
      </w:pPr>
      <w:r>
        <w:rPr>
          <w:rFonts w:hint="cs"/>
          <w:rtl/>
        </w:rPr>
        <w:tab/>
      </w:r>
      <w:r>
        <w:rPr>
          <w:rFonts w:hint="cs"/>
          <w:u w:val="single"/>
          <w:rtl/>
        </w:rPr>
        <w:t>ملحوظة</w:t>
      </w:r>
      <w:r>
        <w:rPr>
          <w:rFonts w:hint="cs"/>
          <w:rtl/>
        </w:rPr>
        <w:t>: تكلفة سلة المشتريات الأساسية لأسرة مكونة من خمسة أفراد. دخل الأسرة الشهري المتاح محسوب على أساس أن 1.61 من أفراد الأسرة يكسبون الأجر المعيشي الأدنى. تمويل سلة المشتريات الأساسية: دخل الأسرة مقسوماً على تكلفة س</w:t>
      </w:r>
      <w:r>
        <w:rPr>
          <w:rFonts w:hint="cs"/>
          <w:rtl/>
        </w:rPr>
        <w:t>لة المشتريات الأسرية الأساسية.</w:t>
      </w:r>
    </w:p>
    <w:p w:rsidR="00000000" w:rsidRDefault="00567B15">
      <w:pPr>
        <w:spacing w:line="380" w:lineRule="exact"/>
        <w:jc w:val="both"/>
        <w:rPr>
          <w:rFonts w:hint="cs"/>
          <w:rtl/>
        </w:rPr>
      </w:pPr>
      <w:r>
        <w:rPr>
          <w:rFonts w:hint="cs"/>
          <w:rtl/>
        </w:rPr>
        <w:t>104-</w:t>
      </w:r>
      <w:r>
        <w:rPr>
          <w:rFonts w:hint="cs"/>
          <w:rtl/>
        </w:rPr>
        <w:tab/>
        <w:t>وتبين الاتجاهات في الأجر المعيشي الأدنى العام وغيره من العناصر المقررة قانوناً لدخل العاملين بوجه عام تغيراً إجمالياً قدره 33 في المائة و249 في المائة على التوالي في الفترة ما بين كانون الثاني/يناير 1995 وكانون الأول/ديس</w:t>
      </w:r>
      <w:r>
        <w:rPr>
          <w:rFonts w:hint="cs"/>
          <w:rtl/>
        </w:rPr>
        <w:t>مبر 1999. وارتفع الرقم القياسي للأسعار الاستهلاكية بنسبة قدرها 351 في المائة، أي بما يزيد على الزيادة المئوية في الدخل الاسمي، مما يعني أن الدخل الحقيقي انخفض بنحو 23 في المائة.</w:t>
      </w:r>
    </w:p>
    <w:p w:rsidR="00000000" w:rsidRDefault="00567B15">
      <w:pPr>
        <w:spacing w:line="380" w:lineRule="exact"/>
        <w:jc w:val="both"/>
        <w:rPr>
          <w:rFonts w:hint="cs"/>
          <w:rtl/>
        </w:rPr>
      </w:pPr>
      <w:r>
        <w:rPr>
          <w:rFonts w:hint="cs"/>
          <w:rtl/>
        </w:rPr>
        <w:t>105-</w:t>
      </w:r>
      <w:r>
        <w:rPr>
          <w:rFonts w:hint="cs"/>
          <w:rtl/>
        </w:rPr>
        <w:tab/>
        <w:t>وتعد سلة المشتريات الأسرية الأساسية وسلة مشتريات الأسر الفقيرة أداتين هام</w:t>
      </w:r>
      <w:r>
        <w:rPr>
          <w:rFonts w:hint="cs"/>
          <w:rtl/>
        </w:rPr>
        <w:t>تين في تحديد الاحتياجات الأساسية للعاملين وأسرهم. ويجري المعهد الوطني للإحصاء وتعداد السكان دراسة شهرية بالاستناد إلى نموذج أسرة مكونة من خمسة أفراد، آخذاً في اعتباره الغذاء والسكن والملبس وبنوداً متفرقة. والفرق بين الحالتين أن الحالة الأولى تتناول الاحتيا</w:t>
      </w:r>
      <w:r>
        <w:rPr>
          <w:rFonts w:hint="cs"/>
          <w:rtl/>
        </w:rPr>
        <w:t>جات الدنيا للأسر الحضرية المتوسطة والمتدنية الدخل بينما تقدر الحالة الثانية الاحتياجات المعيشية الدنيا لأشد الفئات السكانية فقراً.</w:t>
      </w:r>
    </w:p>
    <w:p w:rsidR="00000000" w:rsidRDefault="00567B15">
      <w:pPr>
        <w:spacing w:line="380" w:lineRule="exact"/>
        <w:jc w:val="both"/>
        <w:rPr>
          <w:rFonts w:hint="cs"/>
          <w:spacing w:val="0"/>
          <w:rtl/>
        </w:rPr>
      </w:pPr>
      <w:r>
        <w:rPr>
          <w:rFonts w:hint="cs"/>
          <w:spacing w:val="0"/>
          <w:rtl/>
        </w:rPr>
        <w:t>106-</w:t>
      </w:r>
      <w:r>
        <w:rPr>
          <w:rFonts w:hint="cs"/>
          <w:spacing w:val="0"/>
          <w:rtl/>
        </w:rPr>
        <w:tab/>
        <w:t>ويحسب دخل الأسرة على أساس أن 1.61 من أفرادها يكسبون الأجر المعيشي الأدنى؛ وبمقارنة هذا المبلغ بتكلفة سلة المشتريات الأسر</w:t>
      </w:r>
      <w:r>
        <w:rPr>
          <w:rFonts w:hint="cs"/>
          <w:spacing w:val="0"/>
          <w:rtl/>
        </w:rPr>
        <w:t>ية ذات الصلة، يمكن تحديد مستوى تغطية الاستهلاك الأسري أو أي نقص في هذه التغطية.</w:t>
      </w:r>
    </w:p>
    <w:p w:rsidR="00000000" w:rsidRDefault="00567B15">
      <w:pPr>
        <w:spacing w:line="380" w:lineRule="exact"/>
        <w:jc w:val="both"/>
        <w:rPr>
          <w:rFonts w:hint="cs"/>
          <w:spacing w:val="0"/>
          <w:rtl/>
        </w:rPr>
      </w:pPr>
      <w:r>
        <w:rPr>
          <w:rFonts w:hint="cs"/>
          <w:spacing w:val="0"/>
          <w:rtl/>
        </w:rPr>
        <w:t>107-</w:t>
      </w:r>
      <w:r>
        <w:rPr>
          <w:rFonts w:hint="cs"/>
          <w:spacing w:val="0"/>
          <w:rtl/>
        </w:rPr>
        <w:tab/>
        <w:t>والاتجاهات في تكلفة سلة المشتريات هي كما يلي: في كانون الثاني/يناير 1995، بلغت قيمة سلة المشتريات 832 858 سوكراً وارتفعت بحلول كانون الأول/ديسمبر 1999 إلى 099 990 3 سوكراً</w:t>
      </w:r>
      <w:r>
        <w:rPr>
          <w:rFonts w:hint="cs"/>
          <w:spacing w:val="0"/>
          <w:rtl/>
        </w:rPr>
        <w:t>، أي بزيادة إجمالية قدرها 365 في المائة. وعليه، بلغ مستوى التغطية 66.3 في المائة في كانون الثاني/يناير 1995 وتراجع إلى 49.8 في المائة في كانون الأول/ديسمبر 1999، مما يمثل انخفاضاً قدره 25 في المائة في الاستهلاك خلال تلك الفترة.</w:t>
      </w:r>
    </w:p>
    <w:p w:rsidR="00000000" w:rsidRDefault="00567B15">
      <w:pPr>
        <w:spacing w:line="380" w:lineRule="exact"/>
        <w:jc w:val="both"/>
        <w:rPr>
          <w:rFonts w:hint="cs"/>
          <w:rtl/>
        </w:rPr>
      </w:pPr>
      <w:r>
        <w:rPr>
          <w:rFonts w:hint="cs"/>
          <w:i/>
          <w:iCs/>
          <w:rtl/>
        </w:rPr>
        <w:t>نظام مراقبة الأجور</w:t>
      </w:r>
    </w:p>
    <w:p w:rsidR="00000000" w:rsidRDefault="00567B15">
      <w:pPr>
        <w:spacing w:line="380" w:lineRule="exact"/>
        <w:jc w:val="both"/>
        <w:rPr>
          <w:rFonts w:hint="cs"/>
          <w:rtl/>
        </w:rPr>
      </w:pPr>
      <w:r>
        <w:rPr>
          <w:rFonts w:hint="cs"/>
          <w:rtl/>
        </w:rPr>
        <w:t>108-</w:t>
      </w:r>
      <w:r>
        <w:rPr>
          <w:rFonts w:hint="cs"/>
          <w:rtl/>
        </w:rPr>
        <w:tab/>
        <w:t>تحدد</w:t>
      </w:r>
      <w:r>
        <w:rPr>
          <w:rFonts w:hint="cs"/>
          <w:rtl/>
        </w:rPr>
        <w:t xml:space="preserve"> الأجور والرواتب وفقاً لأحكام القانون؛ إلا أن القيود المفروضة على الميزانية مؤخراً حالت دون رصد التنفيذ. ومع ذلك ففي حالات تقديم شكاوى من العاملين أو من أرباب العمل تُتخذ إجراءات التفتيش اللازمة عن طريق مفتشيات العمل.</w:t>
      </w:r>
    </w:p>
    <w:p w:rsidR="00000000" w:rsidRDefault="00567B15">
      <w:pPr>
        <w:spacing w:line="380" w:lineRule="exact"/>
        <w:jc w:val="both"/>
        <w:rPr>
          <w:rFonts w:hint="cs"/>
          <w:rtl/>
        </w:rPr>
      </w:pPr>
      <w:r>
        <w:rPr>
          <w:rFonts w:hint="cs"/>
          <w:rtl/>
        </w:rPr>
        <w:t>109-</w:t>
      </w:r>
      <w:r>
        <w:rPr>
          <w:rFonts w:hint="cs"/>
          <w:rtl/>
        </w:rPr>
        <w:tab/>
        <w:t>وتتولى مراقبة الأجور مفتشيات وزار</w:t>
      </w:r>
      <w:r>
        <w:rPr>
          <w:rFonts w:hint="cs"/>
          <w:rtl/>
        </w:rPr>
        <w:t>ة العمل والموارد البشرية المسؤولة عن ضمان واشتراط الامتثال التام لأحكام القانون. ويعدَّل الأجر المعيشي الأدنى على أساس نصف سنوي، بينما تعدَّل الأجور والرواتب ومعدلات المدفوعات القطاعية الدنيا على أساس سنوي.</w:t>
      </w:r>
    </w:p>
    <w:p w:rsidR="00000000" w:rsidRDefault="00567B15">
      <w:pPr>
        <w:spacing w:line="380" w:lineRule="exact"/>
        <w:jc w:val="both"/>
        <w:rPr>
          <w:rFonts w:hint="cs"/>
          <w:rtl/>
        </w:rPr>
      </w:pPr>
      <w:r>
        <w:rPr>
          <w:rFonts w:hint="cs"/>
          <w:i/>
          <w:iCs/>
          <w:rtl/>
        </w:rPr>
        <w:t>المساواة في الأجر</w:t>
      </w:r>
    </w:p>
    <w:p w:rsidR="00000000" w:rsidRDefault="00567B15">
      <w:pPr>
        <w:spacing w:line="380" w:lineRule="exact"/>
        <w:jc w:val="both"/>
        <w:rPr>
          <w:rFonts w:hint="cs"/>
          <w:rtl/>
        </w:rPr>
      </w:pPr>
      <w:r>
        <w:rPr>
          <w:rFonts w:hint="cs"/>
          <w:rtl/>
        </w:rPr>
        <w:t>110-</w:t>
      </w:r>
      <w:r>
        <w:rPr>
          <w:rFonts w:hint="cs"/>
          <w:rtl/>
        </w:rPr>
        <w:tab/>
        <w:t>لم تعتد إكوادور على التصدي</w:t>
      </w:r>
      <w:r>
        <w:rPr>
          <w:rFonts w:hint="cs"/>
          <w:rtl/>
        </w:rPr>
        <w:t xml:space="preserve"> لأوجه اللامساواة، إلا أنه يجري وضع آليات وتقنيات تسمح، في جميع مجالات الاقتصاد، بإقرار الحقوق المكفولة في الدستور والصكوك الدولية كجزء من الرصيد الاجتماعي الذي يشكل أساس التحديث.</w:t>
      </w:r>
    </w:p>
    <w:p w:rsidR="00000000" w:rsidRDefault="00567B15">
      <w:pPr>
        <w:spacing w:line="380" w:lineRule="exact"/>
        <w:jc w:val="both"/>
        <w:rPr>
          <w:rFonts w:hint="cs"/>
          <w:rtl/>
        </w:rPr>
      </w:pPr>
      <w:r>
        <w:rPr>
          <w:rFonts w:hint="cs"/>
          <w:rtl/>
        </w:rPr>
        <w:t>111-</w:t>
      </w:r>
      <w:r>
        <w:rPr>
          <w:rFonts w:hint="cs"/>
          <w:rtl/>
        </w:rPr>
        <w:tab/>
        <w:t>فالدستور يعزز حق المرأة في الحصول على عمل مأجور على أساس تكافؤ الحقوق و</w:t>
      </w:r>
      <w:r>
        <w:rPr>
          <w:rFonts w:hint="cs"/>
          <w:rtl/>
        </w:rPr>
        <w:t>الفرص ويكفل أجراً متساوياً عن العمل ذي القيمة المتساوية. ويعترف الدستور أيضاً بالعمل المنزلي غير المأجور بوصفه نشاطاً إنتاجياً.</w:t>
      </w:r>
    </w:p>
    <w:p w:rsidR="00000000" w:rsidRDefault="00567B15">
      <w:pPr>
        <w:spacing w:line="380" w:lineRule="exact"/>
        <w:jc w:val="both"/>
        <w:rPr>
          <w:rFonts w:hint="cs"/>
          <w:rtl/>
        </w:rPr>
      </w:pPr>
      <w:r>
        <w:rPr>
          <w:rFonts w:hint="cs"/>
          <w:rtl/>
        </w:rPr>
        <w:t>112-</w:t>
      </w:r>
      <w:r>
        <w:rPr>
          <w:rFonts w:hint="cs"/>
          <w:rtl/>
        </w:rPr>
        <w:tab/>
        <w:t>ويطبق القطاع العام سياسة المساواة في الأجر بين الرجال والنساء الذين يشغلون مناصب متماثلة أو يؤدون أعمالاً متماثلة. والفوارق</w:t>
      </w:r>
      <w:r>
        <w:rPr>
          <w:rFonts w:hint="cs"/>
          <w:rtl/>
        </w:rPr>
        <w:t xml:space="preserve"> إذا وجدت فهي تعزى إلى كون المناصب الإدارية يشغلها الرجال أساساً؛ كما يمكن الوقوع على فوارق لدى المقارنة بين هيئات القطاع العام حيث توجد فوارق كبيرة في مستويات الأجور.</w:t>
      </w:r>
    </w:p>
    <w:p w:rsidR="00000000" w:rsidRDefault="00567B15">
      <w:pPr>
        <w:spacing w:line="380" w:lineRule="exact"/>
        <w:jc w:val="both"/>
        <w:rPr>
          <w:rFonts w:hint="cs"/>
          <w:spacing w:val="0"/>
          <w:rtl/>
        </w:rPr>
      </w:pPr>
      <w:r>
        <w:rPr>
          <w:rFonts w:hint="cs"/>
          <w:spacing w:val="0"/>
          <w:rtl/>
        </w:rPr>
        <w:t>113-</w:t>
      </w:r>
      <w:r>
        <w:rPr>
          <w:rFonts w:hint="cs"/>
          <w:spacing w:val="0"/>
          <w:rtl/>
        </w:rPr>
        <w:tab/>
        <w:t>وتقاضي أجر عادل عن العمل حق لا يقبل أي نوع من أنواع التمييز. وتنطبق أنظمة الأجور ال</w:t>
      </w:r>
      <w:r>
        <w:rPr>
          <w:rFonts w:hint="cs"/>
          <w:spacing w:val="0"/>
          <w:rtl/>
        </w:rPr>
        <w:t>مقررة للعاملين المشمولين بحماية قانون العمل على الصعيد الوطني على كلا الجنسين. كما أن اللجان القطاعية ترمي إلى ضمان المكافأة عن العمل وفقاً للمهام التي يؤديها العاملون، ولذلك توجد هياكل مهنية مختلفة لكل مجال من مجالات النشاط.</w:t>
      </w:r>
    </w:p>
    <w:p w:rsidR="00000000" w:rsidRDefault="00567B15">
      <w:pPr>
        <w:spacing w:line="380" w:lineRule="exact"/>
        <w:jc w:val="both"/>
        <w:rPr>
          <w:rFonts w:hint="cs"/>
          <w:rtl/>
        </w:rPr>
      </w:pPr>
      <w:r>
        <w:rPr>
          <w:rFonts w:hint="cs"/>
          <w:rtl/>
        </w:rPr>
        <w:t>114-</w:t>
      </w:r>
      <w:r>
        <w:rPr>
          <w:rFonts w:hint="cs"/>
          <w:rtl/>
        </w:rPr>
        <w:tab/>
        <w:t xml:space="preserve">وعلى الرغم من أن الرواتب </w:t>
      </w:r>
      <w:r>
        <w:rPr>
          <w:rFonts w:hint="cs"/>
          <w:rtl/>
        </w:rPr>
        <w:t>والأجور القطاعية الدنيا تحدَّد دون تمييز بين الجنسين، دلت الدراسات التي أجراها المجلس الوطني للمرأة على وجود أوجه لا مساواة فيما يتعلق بالأجور المدفوعة للنساء العاملات في القطاع غير الرسمي.</w:t>
      </w:r>
    </w:p>
    <w:p w:rsidR="00000000" w:rsidRDefault="00567B15">
      <w:pPr>
        <w:spacing w:line="380" w:lineRule="exact"/>
        <w:jc w:val="both"/>
        <w:rPr>
          <w:rFonts w:hint="cs"/>
          <w:rtl/>
        </w:rPr>
      </w:pPr>
      <w:r>
        <w:rPr>
          <w:rFonts w:hint="cs"/>
          <w:rtl/>
        </w:rPr>
        <w:t>115-</w:t>
      </w:r>
      <w:r>
        <w:rPr>
          <w:rFonts w:hint="cs"/>
          <w:rtl/>
        </w:rPr>
        <w:tab/>
        <w:t>وفيما يخص التدابير المتخذة لمنع التمييز ضد المرأة في مجال الم</w:t>
      </w:r>
      <w:r>
        <w:rPr>
          <w:rFonts w:hint="cs"/>
          <w:rtl/>
        </w:rPr>
        <w:t>ساواة في الأجر عن العمل ذي القيمة المتساوية، تنص المادة 1 من قانون حماية عمل المرأة الصادر في 16 كانون الثاني/يناير 1997 على تخصيص حصة من الوظائف للنساء العاملات لا تقل عن نسبة مئوية معينة.</w:t>
      </w:r>
    </w:p>
    <w:p w:rsidR="00000000" w:rsidRDefault="00567B15">
      <w:pPr>
        <w:spacing w:line="380" w:lineRule="exact"/>
        <w:jc w:val="both"/>
        <w:rPr>
          <w:rFonts w:hint="cs"/>
          <w:rtl/>
        </w:rPr>
      </w:pPr>
      <w:r>
        <w:rPr>
          <w:rFonts w:hint="cs"/>
          <w:rtl/>
        </w:rPr>
        <w:t>116-</w:t>
      </w:r>
      <w:r>
        <w:rPr>
          <w:rFonts w:hint="cs"/>
          <w:rtl/>
        </w:rPr>
        <w:tab/>
        <w:t>ويتوخى الاتفاق الموقع بين المجلس الوطني للمرأة ووزارة العمل و</w:t>
      </w:r>
      <w:r>
        <w:rPr>
          <w:rFonts w:hint="cs"/>
          <w:rtl/>
        </w:rPr>
        <w:t>الموارد البشرية اتخاذ إجراءات منسقة في المجالات التي تحظى باهتمام مشترك لتطبيق مبدإ المساواة بين الجنسين، ودعم المرأة في دخولها سوق العمل وفي مجال الدخل، وتضييق الفجوة بين الرجل والمرأة.</w:t>
      </w:r>
    </w:p>
    <w:p w:rsidR="00000000" w:rsidRDefault="00567B15">
      <w:pPr>
        <w:spacing w:line="380" w:lineRule="exact"/>
        <w:jc w:val="both"/>
        <w:rPr>
          <w:rFonts w:hint="cs"/>
          <w:rtl/>
        </w:rPr>
      </w:pPr>
      <w:r>
        <w:rPr>
          <w:rFonts w:hint="cs"/>
          <w:rtl/>
        </w:rPr>
        <w:t>117-</w:t>
      </w:r>
      <w:r>
        <w:rPr>
          <w:rFonts w:hint="cs"/>
          <w:rtl/>
        </w:rPr>
        <w:tab/>
        <w:t>وقد تعهدت وزارة العمل والموارد البشرية بتجميع ونشر وتحديث معلوما</w:t>
      </w:r>
      <w:r>
        <w:rPr>
          <w:rFonts w:hint="cs"/>
          <w:rtl/>
        </w:rPr>
        <w:t>ت إحصائية عن عمل المرأة والأجور التي تتقاضاها؛ ولذلك سيجري تجهيز بيانات الوزارة للخروج بصورة عن وضع المرأة فيما يخص العمل والأجر في كل مجال من مجالات النشاط الاقتصادي. ويجري في هذا الصدد وضع بارامترات متعددة من أجل تنفيذ المشروع ضمن المهلة الزمنية المقررة.</w:t>
      </w:r>
    </w:p>
    <w:p w:rsidR="00000000" w:rsidRDefault="00567B15">
      <w:pPr>
        <w:spacing w:line="380" w:lineRule="exact"/>
        <w:jc w:val="both"/>
        <w:rPr>
          <w:rFonts w:hint="cs"/>
          <w:spacing w:val="0"/>
          <w:rtl/>
        </w:rPr>
      </w:pPr>
      <w:r>
        <w:rPr>
          <w:rFonts w:hint="cs"/>
          <w:spacing w:val="0"/>
          <w:rtl/>
        </w:rPr>
        <w:t>118-</w:t>
      </w:r>
      <w:r>
        <w:rPr>
          <w:rFonts w:hint="cs"/>
          <w:spacing w:val="0"/>
          <w:rtl/>
        </w:rPr>
        <w:tab/>
        <w:t>وسيشكل تحليل النتائج المستمدة من تجهيز هذه البيانات منطلقاً لتنفيذ قانون حماية عمل المرأة في هذا المجال.</w:t>
      </w:r>
    </w:p>
    <w:p w:rsidR="00000000" w:rsidRDefault="00567B15">
      <w:pPr>
        <w:spacing w:line="380" w:lineRule="exact"/>
        <w:jc w:val="both"/>
        <w:rPr>
          <w:rFonts w:hint="cs"/>
          <w:rtl/>
        </w:rPr>
      </w:pPr>
      <w:r>
        <w:rPr>
          <w:rFonts w:hint="cs"/>
          <w:rtl/>
        </w:rPr>
        <w:t>119-</w:t>
      </w:r>
      <w:r>
        <w:rPr>
          <w:rFonts w:hint="cs"/>
          <w:rtl/>
        </w:rPr>
        <w:tab/>
        <w:t>وتسعى مشاريع التشغيل الخاصة التي وضعتها وزارة العمل والموارد البشرية إلى إيجاد وظائف دائمة جديدة و/أو تحسين الوظائف القائمة ورفع المعايير ال</w:t>
      </w:r>
      <w:r>
        <w:rPr>
          <w:rFonts w:hint="cs"/>
          <w:rtl/>
        </w:rPr>
        <w:t>معيشية ومستويات الدخل، وتعزز في الوقت نفسه إعادة توزيع الموارد نحو أفقر قطاعات السكان وتساعد على الحد من نزوح السكان من الأرياف إلى المدن.</w:t>
      </w:r>
    </w:p>
    <w:p w:rsidR="00000000" w:rsidRDefault="00567B15">
      <w:pPr>
        <w:spacing w:line="380" w:lineRule="exact"/>
        <w:jc w:val="both"/>
        <w:rPr>
          <w:rFonts w:hint="cs"/>
          <w:rtl/>
        </w:rPr>
      </w:pPr>
      <w:r>
        <w:rPr>
          <w:rFonts w:hint="cs"/>
          <w:rtl/>
        </w:rPr>
        <w:t>120-</w:t>
      </w:r>
      <w:r>
        <w:rPr>
          <w:rFonts w:hint="cs"/>
          <w:rtl/>
        </w:rPr>
        <w:tab/>
        <w:t>وتحقيقاً لهذه الغاية، توضع إجراءات للمتابعة والتقييم بغية قياس الأثر والفعالية، وتحديد أعداد المستفيدين بصفة مبا</w:t>
      </w:r>
      <w:r>
        <w:rPr>
          <w:rFonts w:hint="cs"/>
          <w:rtl/>
        </w:rPr>
        <w:t>شرة وغير مباشرة، امتثالاً للأهداف والغايات التي وُضع لأجلها كل مشروع من هذه المشاريع. وستنفَّذ هذه الإجراءات باستخدام أدوات أُوجدت خصيصاً لهذا الغرض.</w:t>
      </w:r>
    </w:p>
    <w:p w:rsidR="00000000" w:rsidRDefault="00567B15">
      <w:pPr>
        <w:spacing w:line="380" w:lineRule="exact"/>
        <w:jc w:val="both"/>
        <w:rPr>
          <w:rFonts w:hint="cs"/>
          <w:rtl/>
        </w:rPr>
      </w:pPr>
      <w:r>
        <w:rPr>
          <w:rFonts w:hint="cs"/>
          <w:rtl/>
        </w:rPr>
        <w:t>121-</w:t>
      </w:r>
      <w:r>
        <w:rPr>
          <w:rFonts w:hint="cs"/>
          <w:rtl/>
        </w:rPr>
        <w:tab/>
        <w:t xml:space="preserve">وتؤدي الوزارة أيضاً دور الوسيط بين الباحثين عن عمل وأرباب العمل. وتُجرى عقب ذلك تقييمات دورية للوقوف </w:t>
      </w:r>
      <w:r>
        <w:rPr>
          <w:rFonts w:hint="cs"/>
          <w:rtl/>
        </w:rPr>
        <w:t>على درجة الرضا عن الوظائف ومدى التكيف معها ووضع تقديرات إحصائية للنسبة المئوية من الأشخاص الذين تم تشغيلهم وفقاً للعرض والطلب.</w:t>
      </w:r>
    </w:p>
    <w:p w:rsidR="00000000" w:rsidRDefault="00567B15">
      <w:pPr>
        <w:spacing w:line="380" w:lineRule="exact"/>
        <w:jc w:val="both"/>
        <w:rPr>
          <w:rFonts w:hint="cs"/>
          <w:rtl/>
        </w:rPr>
      </w:pPr>
      <w:r>
        <w:rPr>
          <w:rFonts w:hint="cs"/>
          <w:i/>
          <w:iCs/>
          <w:rtl/>
        </w:rPr>
        <w:t>القطاعان العام والخاص</w:t>
      </w:r>
    </w:p>
    <w:p w:rsidR="00000000" w:rsidRDefault="00567B15">
      <w:pPr>
        <w:spacing w:line="380" w:lineRule="exact"/>
        <w:jc w:val="both"/>
        <w:rPr>
          <w:rFonts w:hint="cs"/>
          <w:rtl/>
        </w:rPr>
      </w:pPr>
      <w:r>
        <w:rPr>
          <w:rFonts w:hint="cs"/>
          <w:rtl/>
        </w:rPr>
        <w:t>122-</w:t>
      </w:r>
      <w:r>
        <w:rPr>
          <w:rFonts w:hint="cs"/>
          <w:rtl/>
        </w:rPr>
        <w:tab/>
        <w:t>ينطبق الأجر المعيشي الأدنى والأجر القطاعي الأدنى المحددان للعاملين المشمولين بحماية قانون العمل على ال</w:t>
      </w:r>
      <w:r>
        <w:rPr>
          <w:rFonts w:hint="cs"/>
          <w:rtl/>
        </w:rPr>
        <w:t>صعيد الوطني وعلى القطاعين العام والخاص. وتمنح في كل قطاع مستحقات إضافية، نقدية وغير نقدية، تبعاً للموارد المالية للشركات أو للميزانية الحكومية.</w:t>
      </w:r>
    </w:p>
    <w:p w:rsidR="00000000" w:rsidRDefault="00567B15">
      <w:pPr>
        <w:spacing w:line="380" w:lineRule="exact"/>
        <w:jc w:val="both"/>
        <w:rPr>
          <w:rFonts w:hint="cs"/>
          <w:rtl/>
        </w:rPr>
      </w:pPr>
      <w:r>
        <w:rPr>
          <w:rFonts w:hint="cs"/>
          <w:rtl/>
        </w:rPr>
        <w:t>123-</w:t>
      </w:r>
      <w:r>
        <w:rPr>
          <w:rFonts w:hint="cs"/>
          <w:rtl/>
        </w:rPr>
        <w:tab/>
        <w:t>وينص القانون على العناصر المختلفة التالية التي تشكل الدخل الإجمالي للعاملين في القطاعين العام والخاص المشمو</w:t>
      </w:r>
      <w:r>
        <w:rPr>
          <w:rFonts w:hint="cs"/>
          <w:rtl/>
        </w:rPr>
        <w:t>لين بحماية قانون العمل:</w:t>
      </w:r>
    </w:p>
    <w:p w:rsidR="00000000" w:rsidRDefault="00567B15">
      <w:pPr>
        <w:spacing w:line="380" w:lineRule="exact"/>
        <w:jc w:val="both"/>
        <w:rPr>
          <w:rFonts w:hint="cs"/>
          <w:rtl/>
        </w:rPr>
      </w:pPr>
      <w:r>
        <w:rPr>
          <w:rFonts w:hint="cs"/>
          <w:rtl/>
        </w:rPr>
        <w:tab/>
        <w:t>(أ)</w:t>
      </w:r>
      <w:r>
        <w:rPr>
          <w:rFonts w:hint="cs"/>
          <w:rtl/>
        </w:rPr>
        <w:tab/>
        <w:t>الأجر أو الراتب الأساسي: وفقاً للمادتين 133 و119 من قانون العمل، تكفل الدولة، عن طريق الهيئات المختصة، الأجر المعيشي الأدنى والأجور و/أو الرواتب و/أو معدلات المدفوعات القطاعية الدنيا للعاملين في كل مجال من مجالات النشاط؛</w:t>
      </w:r>
    </w:p>
    <w:p w:rsidR="00000000" w:rsidRDefault="00567B15">
      <w:pPr>
        <w:spacing w:line="380" w:lineRule="exact"/>
        <w:jc w:val="both"/>
        <w:rPr>
          <w:rFonts w:hint="cs"/>
          <w:rtl/>
        </w:rPr>
      </w:pPr>
      <w:r>
        <w:rPr>
          <w:rFonts w:hint="cs"/>
          <w:rtl/>
        </w:rPr>
        <w:tab/>
        <w:t>(ب)</w:t>
      </w:r>
      <w:r>
        <w:rPr>
          <w:rFonts w:hint="cs"/>
          <w:rtl/>
        </w:rPr>
        <w:tab/>
        <w:t>ب</w:t>
      </w:r>
      <w:r>
        <w:rPr>
          <w:rFonts w:hint="cs"/>
          <w:rtl/>
        </w:rPr>
        <w:t>دل غلاء المعيشة: بدل يُصرف للعاملين الذين يكسبون أجراً أساسياً لا يتجاوز 000 600 سوكر. وكل من يكسب أكثر من ذلك يمنح بدلاً قدره 000 205 سوكر في الشهر؛</w:t>
      </w:r>
    </w:p>
    <w:p w:rsidR="00000000" w:rsidRDefault="00567B15">
      <w:pPr>
        <w:spacing w:line="380" w:lineRule="exact"/>
        <w:jc w:val="both"/>
        <w:rPr>
          <w:rStyle w:val="FootnoteReference"/>
          <w:rFonts w:hint="cs"/>
          <w:bCs w:val="0"/>
          <w:spacing w:val="0"/>
          <w:vertAlign w:val="baseline"/>
          <w:rtl/>
        </w:rPr>
      </w:pPr>
      <w:r>
        <w:rPr>
          <w:rFonts w:hint="cs"/>
          <w:spacing w:val="0"/>
          <w:rtl/>
        </w:rPr>
        <w:tab/>
        <w:t>(ج)</w:t>
      </w:r>
      <w:r>
        <w:rPr>
          <w:rFonts w:hint="cs"/>
          <w:spacing w:val="0"/>
          <w:rtl/>
        </w:rPr>
        <w:tab/>
        <w:t>العلاوات: تحدد بمبلغ 7 ملايين سوكر في السنة، وتدفع في عشرة أقساط متساوية بالإضافة إلى أجر أو راتب نها</w:t>
      </w:r>
      <w:r>
        <w:rPr>
          <w:rFonts w:hint="cs"/>
          <w:spacing w:val="0"/>
          <w:rtl/>
        </w:rPr>
        <w:t>ية الشهر، فيما عدا شهري أيلول/سبتمبر وكانون الأول/ديسمبر (المواد 115-118 من قانون العمل)؛</w:t>
      </w:r>
    </w:p>
    <w:p w:rsidR="00000000" w:rsidRDefault="00567B15">
      <w:pPr>
        <w:spacing w:line="380" w:lineRule="exact"/>
        <w:jc w:val="both"/>
        <w:rPr>
          <w:rFonts w:hint="cs"/>
          <w:rtl/>
        </w:rPr>
      </w:pPr>
      <w:r>
        <w:rPr>
          <w:rFonts w:hint="cs"/>
          <w:rtl/>
        </w:rPr>
        <w:tab/>
        <w:t>(د)</w:t>
      </w:r>
      <w:r>
        <w:rPr>
          <w:rFonts w:hint="cs"/>
          <w:rtl/>
        </w:rPr>
        <w:tab/>
        <w:t xml:space="preserve">أجر الشهر السادس عشر: أُقر بموجب القانون رقم 19 الذي نُشر في العدد 90 من الجريدة الرسمية الصادر في 18 كانون الأول/ديسمبر 1992. وهو يعادل ثمن الأجر الأساسي، ولكن </w:t>
      </w:r>
      <w:r>
        <w:rPr>
          <w:rFonts w:hint="cs"/>
          <w:rtl/>
        </w:rPr>
        <w:t>المبلغ المدفوع يجب ألا يقل عن 1/12 من الأجر المعيشي الأدنى العام الحالي ويجب ألا يزيد عن وحدة واحدة من الأجر الأدنى العام؛</w:t>
      </w:r>
    </w:p>
    <w:p w:rsidR="00000000" w:rsidRDefault="00567B15">
      <w:pPr>
        <w:spacing w:line="380" w:lineRule="exact"/>
        <w:jc w:val="both"/>
        <w:rPr>
          <w:rFonts w:hint="cs"/>
          <w:rtl/>
        </w:rPr>
      </w:pPr>
      <w:r>
        <w:rPr>
          <w:rFonts w:hint="cs"/>
          <w:rtl/>
        </w:rPr>
        <w:tab/>
        <w:t>(ه‍)</w:t>
      </w:r>
      <w:r>
        <w:rPr>
          <w:rFonts w:hint="cs"/>
          <w:rtl/>
        </w:rPr>
        <w:tab/>
        <w:t>بدل السفر: كل شخص لا تتوافر لـه وسيلة نقل مؤهل للحصول على بدل كجزء من أجره الأساسي، بما يعادل وحدتين من الأجر المعيشي الأدنى ال</w:t>
      </w:r>
      <w:r>
        <w:rPr>
          <w:rFonts w:hint="cs"/>
          <w:rtl/>
        </w:rPr>
        <w:t>عام الحالي شرط أن يكون مقيماً في نطاق دائرة لا تبعد أكثر من كيلومتر عن مكان عمله. ويحسب البدل بضرب ثمن تذكرة حافلة المدينة، كما يحدده مجلس النقل الوطني، بأربع رحلات يومياً و20 يوم عمل؛</w:t>
      </w:r>
    </w:p>
    <w:p w:rsidR="00000000" w:rsidRDefault="00567B15">
      <w:pPr>
        <w:spacing w:line="380" w:lineRule="exact"/>
        <w:jc w:val="both"/>
        <w:rPr>
          <w:rFonts w:hint="cs"/>
          <w:rtl/>
        </w:rPr>
      </w:pPr>
      <w:r>
        <w:rPr>
          <w:rFonts w:hint="cs"/>
          <w:rtl/>
        </w:rPr>
        <w:tab/>
        <w:t>(و)</w:t>
      </w:r>
      <w:r>
        <w:rPr>
          <w:rFonts w:hint="cs"/>
          <w:rtl/>
        </w:rPr>
        <w:tab/>
        <w:t>أجر الشهر الثالث عشر: يعادل 1/12 من المبلغ المكتسب بين 1 كانون الأ</w:t>
      </w:r>
      <w:r>
        <w:rPr>
          <w:rFonts w:hint="cs"/>
          <w:rtl/>
        </w:rPr>
        <w:t>ول/ديسمبر من العام المنصرم و30 تشرين الثاني/نوفمبر من السنة التي يؤدى فيها المبلغ، مع احتساب الأجور الأساسية وساعات العمل الإضافية والاستثنائية، والعمولات وما إلى ذلك (المواد 95 و111 و112 من قانون العمل). ويدفع هذا الأجر حتى 24 كانون الأول/ديسمبر؛</w:t>
      </w:r>
    </w:p>
    <w:p w:rsidR="00000000" w:rsidRDefault="00567B15">
      <w:pPr>
        <w:spacing w:line="380" w:lineRule="exact"/>
        <w:jc w:val="both"/>
        <w:rPr>
          <w:rFonts w:hint="cs"/>
          <w:rtl/>
        </w:rPr>
      </w:pPr>
      <w:r>
        <w:rPr>
          <w:rFonts w:hint="cs"/>
          <w:rtl/>
        </w:rPr>
        <w:tab/>
        <w:t>(ز)</w:t>
      </w:r>
      <w:r>
        <w:rPr>
          <w:rFonts w:hint="cs"/>
          <w:rtl/>
        </w:rPr>
        <w:tab/>
        <w:t>أجر</w:t>
      </w:r>
      <w:r>
        <w:rPr>
          <w:rFonts w:hint="cs"/>
          <w:rtl/>
        </w:rPr>
        <w:t xml:space="preserve"> الشهر الرابع عشر: يعادل وحدتين من الأجر المعيشي الأدنى العام الحالي ويدفع حتى 15 أيلول/سبتمبر عن الفترة ما بين 1 أيلول/سبتمبر من السنة المنصرمة و31 آب/أغسطس من السنة التي يؤدى فيها المبلغ (المادتان 113 و114 من قانون العمل)؛</w:t>
      </w:r>
    </w:p>
    <w:p w:rsidR="00000000" w:rsidRDefault="00567B15">
      <w:pPr>
        <w:spacing w:line="380" w:lineRule="exact"/>
        <w:jc w:val="both"/>
        <w:rPr>
          <w:rFonts w:hint="cs"/>
          <w:rtl/>
        </w:rPr>
      </w:pPr>
      <w:r>
        <w:rPr>
          <w:rFonts w:hint="cs"/>
          <w:rtl/>
        </w:rPr>
        <w:tab/>
        <w:t>(ح)</w:t>
      </w:r>
      <w:r>
        <w:rPr>
          <w:rFonts w:hint="cs"/>
          <w:rtl/>
        </w:rPr>
        <w:tab/>
        <w:t xml:space="preserve">أجر الشهر الخامس عشر: 000 </w:t>
      </w:r>
      <w:r>
        <w:rPr>
          <w:rFonts w:hint="cs"/>
          <w:rtl/>
        </w:rPr>
        <w:t>50 سوكر، تدفَع في خمسة أقساط يبلغ واحدها 000 10 سوكر خلال الأيام السبعة الأولى من شباط/فبراير ونيسان/أبريل وحزيران/يونيه وآب/أغسطس وتشرين الأول/أكتوبر عن الفترة ما بين 1 شباط/فبراير من السنة المنصرمة و31 كانون الثاني/يناير من السنة التي يؤدى فيها المبلغ (ا</w:t>
      </w:r>
      <w:r>
        <w:rPr>
          <w:rFonts w:hint="cs"/>
          <w:rtl/>
        </w:rPr>
        <w:t xml:space="preserve">لقانون رقم 79 الذي نشر في العدد 464 من </w:t>
      </w:r>
      <w:r>
        <w:rPr>
          <w:rFonts w:hint="cs"/>
          <w:i/>
          <w:iCs/>
          <w:rtl/>
        </w:rPr>
        <w:t>الجريدة الرسمية</w:t>
      </w:r>
      <w:r>
        <w:rPr>
          <w:rFonts w:hint="cs"/>
          <w:rtl/>
        </w:rPr>
        <w:t xml:space="preserve"> الصادر في 22 حزيران/يونيه 1990)؛</w:t>
      </w:r>
    </w:p>
    <w:p w:rsidR="00000000" w:rsidRDefault="00567B15">
      <w:pPr>
        <w:spacing w:line="380" w:lineRule="exact"/>
        <w:jc w:val="both"/>
        <w:rPr>
          <w:rFonts w:hint="cs"/>
          <w:rtl/>
        </w:rPr>
      </w:pPr>
      <w:r>
        <w:rPr>
          <w:rFonts w:hint="cs"/>
          <w:rtl/>
        </w:rPr>
        <w:tab/>
        <w:t>(ط)</w:t>
      </w:r>
      <w:r>
        <w:rPr>
          <w:rFonts w:hint="cs"/>
          <w:rtl/>
        </w:rPr>
        <w:tab/>
        <w:t>صندوق الاحتياطي: يحسب على أساس مماثل لحساب أجر الشهر الثالث عشر، إلا أن الفترة الفعلية تتوقف على تاريخ الدخول. ويُستحق هذا المبلغ اعتباراً من نهاية سنة الخدمة الثا</w:t>
      </w:r>
      <w:r>
        <w:rPr>
          <w:rFonts w:hint="cs"/>
          <w:rtl/>
        </w:rPr>
        <w:t>نية، ويودع رب العمل المبلغ في صندوق المعهد الإكوادوري للضمان الاجتماعي (المادتان 169 و201 من قانون العمل)؛</w:t>
      </w:r>
    </w:p>
    <w:p w:rsidR="00000000" w:rsidRDefault="00567B15">
      <w:pPr>
        <w:spacing w:line="380" w:lineRule="exact"/>
        <w:jc w:val="both"/>
        <w:rPr>
          <w:rFonts w:hint="cs"/>
          <w:rtl/>
        </w:rPr>
      </w:pPr>
      <w:r>
        <w:rPr>
          <w:rFonts w:hint="cs"/>
          <w:rtl/>
        </w:rPr>
        <w:tab/>
        <w:t>(ي)</w:t>
      </w:r>
      <w:r>
        <w:rPr>
          <w:rFonts w:hint="cs"/>
          <w:rtl/>
        </w:rPr>
        <w:tab/>
        <w:t>حصة الأرباح: للعاملين في القطاع الخاص الحق في حصة من أرباح الشركة السنوية، تحسب على أساس بيانات ضريبة الدخل أو تقديراتها (المواد 97-110 من قانون</w:t>
      </w:r>
      <w:r>
        <w:rPr>
          <w:rFonts w:hint="cs"/>
          <w:rtl/>
        </w:rPr>
        <w:t xml:space="preserve"> العمل، والتعديلات ذات الصلة بموجب القانون رقم 85 الذي نُشر في العدد 672 من </w:t>
      </w:r>
      <w:r>
        <w:rPr>
          <w:rFonts w:hint="cs"/>
          <w:i/>
          <w:iCs/>
          <w:rtl/>
        </w:rPr>
        <w:t>الجريدة الرسمية</w:t>
      </w:r>
      <w:r>
        <w:rPr>
          <w:rFonts w:hint="cs"/>
          <w:rtl/>
        </w:rPr>
        <w:t xml:space="preserve"> الصادر في نيسان/أبريل 1995). والفترة المرجعية هي من 1 كانون الثاني/يناير إلى 31 كانون الأول/ديسمبر، ويدفع المبلغ حتى 15 نيسان/أبريل من السنة التالية.</w:t>
      </w:r>
    </w:p>
    <w:p w:rsidR="00000000" w:rsidRDefault="00567B15">
      <w:pPr>
        <w:spacing w:line="380" w:lineRule="exact"/>
        <w:jc w:val="both"/>
        <w:rPr>
          <w:rFonts w:hint="cs"/>
          <w:rtl/>
        </w:rPr>
      </w:pPr>
    </w:p>
    <w:p w:rsidR="00000000" w:rsidRDefault="00567B15">
      <w:pPr>
        <w:spacing w:line="380" w:lineRule="exact"/>
        <w:jc w:val="both"/>
        <w:rPr>
          <w:rFonts w:hint="cs"/>
          <w:i/>
          <w:iCs/>
          <w:rtl/>
        </w:rPr>
      </w:pPr>
      <w:r>
        <w:rPr>
          <w:rFonts w:hint="cs"/>
          <w:i/>
          <w:iCs/>
          <w:rtl/>
        </w:rPr>
        <w:t>الصحة والسلام</w:t>
      </w:r>
      <w:r>
        <w:rPr>
          <w:rFonts w:hint="cs"/>
          <w:i/>
          <w:iCs/>
          <w:rtl/>
        </w:rPr>
        <w:t>ة في العمل</w:t>
      </w:r>
    </w:p>
    <w:p w:rsidR="00000000" w:rsidRDefault="00567B15">
      <w:pPr>
        <w:spacing w:line="380" w:lineRule="exact"/>
        <w:jc w:val="both"/>
        <w:rPr>
          <w:rFonts w:hint="cs"/>
          <w:rtl/>
        </w:rPr>
      </w:pPr>
      <w:r>
        <w:rPr>
          <w:rFonts w:hint="cs"/>
          <w:rtl/>
        </w:rPr>
        <w:t>124-</w:t>
      </w:r>
      <w:r>
        <w:rPr>
          <w:rFonts w:hint="cs"/>
          <w:rtl/>
        </w:rPr>
        <w:tab/>
        <w:t>تتولى إدارة شؤون العمل أو مكاتبها الفرعية، التابعة لوزارة العمل والموارد البشرية، مراقبة ورصد تقيد العاملين الإكوادوريين بالأحكام القانونية النافذة في مجال الصحة والسلامة في العمل، عن طريق إدارة شؤون الصحة والسلامة في العمل ومفتشيات العمل.</w:t>
      </w:r>
    </w:p>
    <w:p w:rsidR="00000000" w:rsidRDefault="00567B15">
      <w:pPr>
        <w:spacing w:line="380" w:lineRule="exact"/>
        <w:jc w:val="both"/>
        <w:rPr>
          <w:rFonts w:hint="cs"/>
          <w:rtl/>
        </w:rPr>
      </w:pPr>
      <w:r>
        <w:rPr>
          <w:rFonts w:hint="cs"/>
          <w:rtl/>
        </w:rPr>
        <w:t>125-</w:t>
      </w:r>
      <w:r>
        <w:rPr>
          <w:rFonts w:hint="cs"/>
          <w:rtl/>
        </w:rPr>
        <w:tab/>
        <w:t>والأساس القانوني الحالي هو المادة 416 من العنوان الرابع، "المخاطر في العمل"، من قانون العمل. وتنص هذه المادة على التزامات أرباب العمل والعاملين فيما يخص الوقاية من المخاطر كما يلي: "على أرباب العمل أن يكفلوا لعامليهم شروط عمل لا تعرض صحتهم أو حياتهم ل</w:t>
      </w:r>
      <w:r>
        <w:rPr>
          <w:rFonts w:hint="cs"/>
          <w:rtl/>
        </w:rPr>
        <w:t>لخطر. وعلى العاملين التقيد بتدابير الوقاية والسلامة والصحة المقررة في الأنظمة التي يوفرها رب العمل. والامتناع عن ذلك يشكل سبباً مشروعاً لإنهاء عقد عملهم".</w:t>
      </w:r>
    </w:p>
    <w:p w:rsidR="00000000" w:rsidRDefault="00567B15">
      <w:pPr>
        <w:spacing w:line="380" w:lineRule="exact"/>
        <w:jc w:val="both"/>
        <w:rPr>
          <w:rFonts w:hint="cs"/>
          <w:rtl/>
        </w:rPr>
      </w:pPr>
      <w:r>
        <w:rPr>
          <w:rFonts w:hint="cs"/>
          <w:rtl/>
        </w:rPr>
        <w:t>126-</w:t>
      </w:r>
      <w:r>
        <w:rPr>
          <w:rFonts w:hint="cs"/>
          <w:rtl/>
        </w:rPr>
        <w:tab/>
        <w:t>وعلى إدارة شؤون الصحة والسلامة في العمل ومفتشيات العمل أن توجب على أصحاب المشاغل أو المصانع وغير</w:t>
      </w:r>
      <w:r>
        <w:rPr>
          <w:rFonts w:hint="cs"/>
          <w:rtl/>
        </w:rPr>
        <w:t>ها من أماكن العمل امتثال الأنظمة النافذة بشأن شروط الصحة والسلامة الدنيا في مكان العمل، بغية ضمان شروط مناسبة تمكن أرباب العمل والعاملين من أداء مهامهم.</w:t>
      </w:r>
    </w:p>
    <w:p w:rsidR="00000000" w:rsidRDefault="00567B15">
      <w:pPr>
        <w:spacing w:line="380" w:lineRule="exact"/>
        <w:jc w:val="both"/>
        <w:rPr>
          <w:rFonts w:hint="cs"/>
          <w:rtl/>
        </w:rPr>
      </w:pPr>
      <w:r>
        <w:rPr>
          <w:rFonts w:hint="cs"/>
          <w:rtl/>
        </w:rPr>
        <w:t>127-</w:t>
      </w:r>
      <w:r>
        <w:rPr>
          <w:rFonts w:hint="cs"/>
          <w:rtl/>
        </w:rPr>
        <w:tab/>
        <w:t xml:space="preserve">وتصدر إدارة شؤون العمل أو مكاتبها الفرعية الأنظمة ذات الصلة التي تتضمن التدابير الواجب اتخاذها في </w:t>
      </w:r>
      <w:r>
        <w:rPr>
          <w:rFonts w:hint="cs"/>
          <w:rtl/>
        </w:rPr>
        <w:t>مختلف الصناعات للوقاية من المخاطر المتصلة بالعمل، وعليها أن تراقب تنفيذ التدابير الوقائية اللازمة لحماية صحة العاملين وسلامتهم.</w:t>
      </w:r>
    </w:p>
    <w:p w:rsidR="00000000" w:rsidRDefault="00567B15">
      <w:pPr>
        <w:spacing w:line="380" w:lineRule="exact"/>
        <w:jc w:val="both"/>
        <w:rPr>
          <w:rFonts w:hint="cs"/>
          <w:rtl/>
        </w:rPr>
      </w:pPr>
      <w:r>
        <w:rPr>
          <w:rFonts w:hint="cs"/>
          <w:rtl/>
        </w:rPr>
        <w:t>128-</w:t>
      </w:r>
      <w:r>
        <w:rPr>
          <w:rFonts w:hint="cs"/>
          <w:rtl/>
        </w:rPr>
        <w:tab/>
        <w:t>وفي الشركات التي يسري عليها نظام المخاطر في العمل، تسري أيضاً الأحكام والمعايير الصادرة عن المعهد الإكوادوري للضمان الاجتما</w:t>
      </w:r>
      <w:r>
        <w:rPr>
          <w:rFonts w:hint="cs"/>
          <w:rtl/>
        </w:rPr>
        <w:t>عي، بالإضافة إلى قواعد الوقاية من المخاطر المنصوص عليها في قانون العمل (المواد 418 و434 و438 من قانون العمل).</w:t>
      </w:r>
    </w:p>
    <w:p w:rsidR="00000000" w:rsidRDefault="00567B15">
      <w:pPr>
        <w:spacing w:line="380" w:lineRule="exact"/>
        <w:jc w:val="both"/>
        <w:rPr>
          <w:rFonts w:hint="cs"/>
          <w:rtl/>
        </w:rPr>
      </w:pPr>
      <w:r>
        <w:rPr>
          <w:rFonts w:hint="cs"/>
          <w:rtl/>
        </w:rPr>
        <w:t>129-</w:t>
      </w:r>
      <w:r>
        <w:rPr>
          <w:rFonts w:hint="cs"/>
          <w:rtl/>
        </w:rPr>
        <w:tab/>
        <w:t>وتخول المادة 443 من قانون العمل وزارة العمل والموارد البشرية "تعليق الأنشطة أو إغلاق أماكن العمل أو التعاونيات التي تشكل خطراً على صحة العامل</w:t>
      </w:r>
      <w:r>
        <w:rPr>
          <w:rFonts w:hint="cs"/>
          <w:rtl/>
        </w:rPr>
        <w:t>ين وسلامتهم أو مساساً بها، أو التي تخالف تدابير الصحة والسلامة المقررة، دون الإخلال بتوقيع عقوبات قانونية أخرى. ويستلزم هذا القرار رأياً مسبقاً من رئيس إدارة شؤون الصحة والسلامة في العمل".</w:t>
      </w:r>
    </w:p>
    <w:p w:rsidR="00000000" w:rsidRDefault="00567B15">
      <w:pPr>
        <w:spacing w:line="380" w:lineRule="exact"/>
        <w:jc w:val="both"/>
        <w:rPr>
          <w:rFonts w:hint="cs"/>
          <w:rtl/>
        </w:rPr>
      </w:pPr>
      <w:r>
        <w:rPr>
          <w:rFonts w:hint="cs"/>
          <w:rtl/>
        </w:rPr>
        <w:t>130-</w:t>
      </w:r>
      <w:r>
        <w:rPr>
          <w:rFonts w:hint="cs"/>
          <w:rtl/>
        </w:rPr>
        <w:tab/>
        <w:t>والأنظمة المعمول بها حالياً في مجال السلامة في مكان العمل هي ا</w:t>
      </w:r>
      <w:r>
        <w:rPr>
          <w:rFonts w:hint="cs"/>
          <w:rtl/>
        </w:rPr>
        <w:t>لتالية:</w:t>
      </w:r>
    </w:p>
    <w:p w:rsidR="00000000" w:rsidRDefault="00567B15">
      <w:pPr>
        <w:spacing w:before="180" w:after="180" w:line="380" w:lineRule="exact"/>
        <w:jc w:val="both"/>
        <w:rPr>
          <w:rFonts w:hint="cs"/>
          <w:rtl/>
        </w:rPr>
      </w:pPr>
      <w:r>
        <w:rPr>
          <w:rFonts w:hint="cs"/>
          <w:rtl/>
        </w:rPr>
        <w:tab/>
        <w:t>(أ)</w:t>
      </w:r>
      <w:r>
        <w:rPr>
          <w:rFonts w:hint="cs"/>
          <w:rtl/>
        </w:rPr>
        <w:tab/>
        <w:t>أنظمة الدوائر الطبية في الشركات؛</w:t>
      </w:r>
    </w:p>
    <w:p w:rsidR="00000000" w:rsidRDefault="00567B15">
      <w:pPr>
        <w:spacing w:before="180" w:after="180" w:line="380" w:lineRule="exact"/>
        <w:jc w:val="both"/>
        <w:rPr>
          <w:rFonts w:hint="cs"/>
          <w:rtl/>
        </w:rPr>
      </w:pPr>
      <w:r>
        <w:rPr>
          <w:rFonts w:hint="cs"/>
          <w:rtl/>
        </w:rPr>
        <w:tab/>
        <w:t>(ب)</w:t>
      </w:r>
      <w:r>
        <w:rPr>
          <w:rFonts w:hint="cs"/>
          <w:rtl/>
        </w:rPr>
        <w:tab/>
        <w:t xml:space="preserve">الأنظمة المتعلقة بصحة العاملين وسلامتهم وتحسين بيئة العمل، التي نُشرت في العدد 565 من </w:t>
      </w:r>
      <w:r>
        <w:rPr>
          <w:rFonts w:hint="cs"/>
          <w:i/>
          <w:iCs/>
          <w:rtl/>
        </w:rPr>
        <w:t>الجريدة الرسمية</w:t>
      </w:r>
      <w:r>
        <w:rPr>
          <w:rFonts w:hint="cs"/>
          <w:rtl/>
        </w:rPr>
        <w:t xml:space="preserve"> الصادر في 17 تشرين الثاني/نوفمبر 1986، وبصيغتها المعدلة (العدد 997 من </w:t>
      </w:r>
      <w:r>
        <w:rPr>
          <w:rFonts w:hint="cs"/>
          <w:i/>
          <w:iCs/>
          <w:rtl/>
        </w:rPr>
        <w:t>الجريدة الرسمية</w:t>
      </w:r>
      <w:r>
        <w:rPr>
          <w:rFonts w:hint="cs"/>
          <w:rtl/>
        </w:rPr>
        <w:t xml:space="preserve"> الصادر في 10 آب/أ</w:t>
      </w:r>
      <w:r>
        <w:rPr>
          <w:rFonts w:hint="cs"/>
          <w:rtl/>
        </w:rPr>
        <w:t>غسطس 1988)؛</w:t>
      </w:r>
    </w:p>
    <w:p w:rsidR="00000000" w:rsidRDefault="00567B15">
      <w:pPr>
        <w:spacing w:before="180" w:after="180" w:line="380" w:lineRule="exact"/>
        <w:jc w:val="both"/>
        <w:rPr>
          <w:rFonts w:hint="cs"/>
          <w:rtl/>
        </w:rPr>
      </w:pPr>
      <w:r>
        <w:rPr>
          <w:rFonts w:hint="cs"/>
          <w:rtl/>
        </w:rPr>
        <w:tab/>
        <w:t>(ج)</w:t>
      </w:r>
      <w:r>
        <w:rPr>
          <w:rFonts w:hint="cs"/>
          <w:rtl/>
        </w:rPr>
        <w:tab/>
        <w:t xml:space="preserve">أنظمة السلامة في المناجم، التي نشرت في العدد 999 من </w:t>
      </w:r>
      <w:r>
        <w:rPr>
          <w:rFonts w:hint="cs"/>
          <w:i/>
          <w:iCs/>
          <w:rtl/>
        </w:rPr>
        <w:t xml:space="preserve">الجريدة الرسمية </w:t>
      </w:r>
      <w:r>
        <w:rPr>
          <w:rFonts w:hint="cs"/>
          <w:rtl/>
        </w:rPr>
        <w:t>الصادر في 30 تموز/يوليه 1986؛</w:t>
      </w:r>
    </w:p>
    <w:p w:rsidR="00000000" w:rsidRDefault="00567B15">
      <w:pPr>
        <w:spacing w:before="180" w:after="180" w:line="380" w:lineRule="exact"/>
        <w:jc w:val="both"/>
        <w:rPr>
          <w:rFonts w:hint="cs"/>
          <w:rtl/>
        </w:rPr>
      </w:pPr>
      <w:r>
        <w:rPr>
          <w:rFonts w:hint="cs"/>
          <w:rtl/>
        </w:rPr>
        <w:tab/>
        <w:t>(د)</w:t>
      </w:r>
      <w:r>
        <w:rPr>
          <w:rFonts w:hint="cs"/>
          <w:rtl/>
        </w:rPr>
        <w:tab/>
        <w:t xml:space="preserve">أنظمة السلامة في مكان العمل والوقاية من المخاطر في محطات توليد الكهرباء، التي نشرت في العدد 249 من </w:t>
      </w:r>
      <w:r>
        <w:rPr>
          <w:rFonts w:hint="cs"/>
          <w:i/>
          <w:iCs/>
          <w:rtl/>
        </w:rPr>
        <w:t>الجريدة الرسمية</w:t>
      </w:r>
      <w:r>
        <w:rPr>
          <w:rFonts w:hint="cs"/>
          <w:rtl/>
        </w:rPr>
        <w:t xml:space="preserve"> الصادر في 3 شباط/فبرا</w:t>
      </w:r>
      <w:r>
        <w:rPr>
          <w:rFonts w:hint="cs"/>
          <w:rtl/>
        </w:rPr>
        <w:t>ير 1999؛</w:t>
      </w:r>
    </w:p>
    <w:p w:rsidR="00000000" w:rsidRDefault="00567B15">
      <w:pPr>
        <w:spacing w:before="180" w:after="180" w:line="380" w:lineRule="exact"/>
        <w:jc w:val="both"/>
        <w:rPr>
          <w:rFonts w:hint="cs"/>
          <w:rtl/>
        </w:rPr>
      </w:pPr>
      <w:r>
        <w:rPr>
          <w:rFonts w:hint="cs"/>
          <w:rtl/>
        </w:rPr>
        <w:tab/>
        <w:t>(ه‍)</w:t>
      </w:r>
      <w:r>
        <w:rPr>
          <w:rFonts w:hint="cs"/>
          <w:rtl/>
        </w:rPr>
        <w:tab/>
        <w:t xml:space="preserve">أنظمة السلامة في مشاريع البناء التابعة للقطاع العام، التي نشرت في العدد 253 من </w:t>
      </w:r>
      <w:r>
        <w:rPr>
          <w:rFonts w:hint="cs"/>
          <w:i/>
          <w:iCs/>
          <w:rtl/>
        </w:rPr>
        <w:t>الجريدة الرسمية</w:t>
      </w:r>
      <w:r>
        <w:rPr>
          <w:rFonts w:hint="cs"/>
          <w:rtl/>
        </w:rPr>
        <w:t xml:space="preserve"> الصادر في 9 شباط/فبراير 1999.</w:t>
      </w:r>
    </w:p>
    <w:p w:rsidR="00000000" w:rsidRDefault="00567B15">
      <w:pPr>
        <w:spacing w:line="380" w:lineRule="exact"/>
        <w:jc w:val="both"/>
        <w:rPr>
          <w:rFonts w:hint="cs"/>
          <w:rtl/>
        </w:rPr>
      </w:pPr>
      <w:r>
        <w:rPr>
          <w:rFonts w:hint="cs"/>
          <w:rtl/>
        </w:rPr>
        <w:t>131-</w:t>
      </w:r>
      <w:r>
        <w:rPr>
          <w:rFonts w:hint="cs"/>
          <w:rtl/>
        </w:rPr>
        <w:tab/>
        <w:t>وتخضع التدابير الإدارية المعتمدة للأحكام والأنظمة القانونية المناسبة.</w:t>
      </w:r>
    </w:p>
    <w:p w:rsidR="00000000" w:rsidRDefault="00567B15">
      <w:pPr>
        <w:spacing w:line="380" w:lineRule="exact"/>
        <w:jc w:val="both"/>
        <w:rPr>
          <w:rFonts w:hint="cs"/>
          <w:rtl/>
        </w:rPr>
      </w:pPr>
      <w:r>
        <w:rPr>
          <w:rFonts w:hint="cs"/>
          <w:rtl/>
        </w:rPr>
        <w:t>132-</w:t>
      </w:r>
      <w:r>
        <w:rPr>
          <w:rFonts w:hint="cs"/>
          <w:rtl/>
        </w:rPr>
        <w:tab/>
        <w:t>وتتضمن الآليات والإجراءات الخاصة برص</w:t>
      </w:r>
      <w:r>
        <w:rPr>
          <w:rFonts w:hint="cs"/>
          <w:rtl/>
        </w:rPr>
        <w:t>د تنفيذ هذه المعايير خطط ومشاريع وزارة العمل والموارد البشرية، وشكاوى العاملين أو النقابات أو لجان العمل بشأن عدم الامتثال. ولا تستبعد المعايير المعمول بها في إكوادور بشأن الصحة والسلامة في العمل أي فئة من فئات العاملين، وإنما تشمل جميع العاملين.</w:t>
      </w:r>
    </w:p>
    <w:p w:rsidR="00000000" w:rsidRDefault="00567B15">
      <w:pPr>
        <w:spacing w:before="120" w:after="120"/>
        <w:jc w:val="center"/>
        <w:rPr>
          <w:rFonts w:hint="cs"/>
          <w:b/>
          <w:bCs/>
          <w:rtl/>
        </w:rPr>
      </w:pPr>
      <w:r>
        <w:rPr>
          <w:rFonts w:hint="cs"/>
          <w:b/>
          <w:bCs/>
          <w:rtl/>
        </w:rPr>
        <w:t>إحصاءات ب</w:t>
      </w:r>
      <w:r>
        <w:rPr>
          <w:rFonts w:hint="cs"/>
          <w:b/>
          <w:bCs/>
          <w:rtl/>
        </w:rPr>
        <w:t>شأن الحوادث في أماكن العمل والأمراض المتصلة بالعمل</w:t>
      </w:r>
    </w:p>
    <w:p w:rsidR="00000000" w:rsidRDefault="00567B15">
      <w:pPr>
        <w:spacing w:before="120" w:after="120"/>
        <w:jc w:val="center"/>
        <w:rPr>
          <w:rFonts w:hint="cs"/>
          <w:b/>
          <w:bCs/>
          <w:rtl/>
        </w:rPr>
      </w:pPr>
      <w:r>
        <w:rPr>
          <w:rFonts w:hint="cs"/>
          <w:b/>
          <w:bCs/>
          <w:rtl/>
        </w:rPr>
        <w:t>عدد الحوادث في أماكن العمل والأمراض المتصلة بالعمل</w:t>
      </w:r>
    </w:p>
    <w:tbl>
      <w:tblPr>
        <w:bidiVisual/>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1595"/>
        <w:gridCol w:w="1595"/>
        <w:gridCol w:w="1595"/>
        <w:gridCol w:w="1595"/>
        <w:gridCol w:w="1519"/>
      </w:tblGrid>
      <w:tr w:rsidR="00567B15" w:rsidTr="00567B15">
        <w:tblPrEx>
          <w:tblCellMar>
            <w:top w:w="0" w:type="dxa"/>
            <w:bottom w:w="0" w:type="dxa"/>
          </w:tblCellMar>
        </w:tblPrEx>
        <w:trPr>
          <w:cantSplit/>
          <w:jc w:val="center"/>
        </w:trPr>
        <w:tc>
          <w:tcPr>
            <w:tcW w:w="1526" w:type="dxa"/>
            <w:vMerge w:val="restart"/>
            <w:vAlign w:val="center"/>
          </w:tcPr>
          <w:p w:rsidR="00567B15" w:rsidRDefault="00567B15">
            <w:pPr>
              <w:spacing w:before="0" w:after="0" w:line="340" w:lineRule="exact"/>
              <w:jc w:val="center"/>
              <w:rPr>
                <w:rFonts w:hint="cs"/>
                <w:sz w:val="26"/>
                <w:szCs w:val="26"/>
              </w:rPr>
            </w:pPr>
            <w:r>
              <w:rPr>
                <w:rFonts w:hint="cs"/>
                <w:sz w:val="26"/>
                <w:szCs w:val="26"/>
                <w:rtl/>
              </w:rPr>
              <w:t>السنة</w:t>
            </w:r>
          </w:p>
        </w:tc>
        <w:tc>
          <w:tcPr>
            <w:tcW w:w="4785" w:type="dxa"/>
            <w:gridSpan w:val="3"/>
          </w:tcPr>
          <w:p w:rsidR="00567B15" w:rsidRDefault="00567B15">
            <w:pPr>
              <w:spacing w:before="0" w:after="0" w:line="340" w:lineRule="exact"/>
              <w:jc w:val="center"/>
              <w:rPr>
                <w:rFonts w:hint="cs"/>
                <w:sz w:val="26"/>
                <w:szCs w:val="26"/>
              </w:rPr>
            </w:pPr>
            <w:r>
              <w:rPr>
                <w:rFonts w:hint="cs"/>
                <w:sz w:val="26"/>
                <w:szCs w:val="26"/>
                <w:rtl/>
              </w:rPr>
              <w:t>نوع العجز</w:t>
            </w:r>
          </w:p>
        </w:tc>
        <w:tc>
          <w:tcPr>
            <w:tcW w:w="1595" w:type="dxa"/>
            <w:vMerge w:val="restart"/>
            <w:vAlign w:val="center"/>
          </w:tcPr>
          <w:p w:rsidR="00567B15" w:rsidRDefault="00567B15">
            <w:pPr>
              <w:spacing w:before="0" w:after="0" w:line="340" w:lineRule="exact"/>
              <w:jc w:val="center"/>
              <w:rPr>
                <w:rFonts w:hint="cs"/>
                <w:sz w:val="26"/>
                <w:szCs w:val="26"/>
              </w:rPr>
            </w:pPr>
            <w:r>
              <w:rPr>
                <w:rFonts w:hint="cs"/>
                <w:sz w:val="26"/>
                <w:szCs w:val="26"/>
                <w:rtl/>
              </w:rPr>
              <w:t>المجموع</w:t>
            </w:r>
          </w:p>
        </w:tc>
        <w:tc>
          <w:tcPr>
            <w:tcW w:w="1519" w:type="dxa"/>
            <w:vMerge w:val="restart"/>
            <w:vAlign w:val="center"/>
          </w:tcPr>
          <w:p w:rsidR="00567B15" w:rsidRDefault="00567B15">
            <w:pPr>
              <w:spacing w:before="0" w:after="0" w:line="340" w:lineRule="exact"/>
              <w:jc w:val="center"/>
              <w:rPr>
                <w:rFonts w:hint="cs"/>
                <w:sz w:val="26"/>
                <w:szCs w:val="26"/>
              </w:rPr>
            </w:pPr>
            <w:r>
              <w:rPr>
                <w:rFonts w:hint="cs"/>
                <w:sz w:val="26"/>
                <w:szCs w:val="26"/>
                <w:rtl/>
              </w:rPr>
              <w:t>عدد الأعضاء</w:t>
            </w:r>
          </w:p>
        </w:tc>
      </w:tr>
      <w:tr w:rsidR="00567B15" w:rsidTr="00567B15">
        <w:tblPrEx>
          <w:tblCellMar>
            <w:top w:w="0" w:type="dxa"/>
            <w:bottom w:w="0" w:type="dxa"/>
          </w:tblCellMar>
        </w:tblPrEx>
        <w:trPr>
          <w:cantSplit/>
          <w:jc w:val="center"/>
        </w:trPr>
        <w:tc>
          <w:tcPr>
            <w:tcW w:w="1526" w:type="dxa"/>
            <w:vMerge/>
            <w:tcBorders>
              <w:bottom w:val="single" w:sz="4" w:space="0" w:color="auto"/>
            </w:tcBorders>
          </w:tcPr>
          <w:p w:rsidR="00567B15" w:rsidRDefault="00567B15">
            <w:pPr>
              <w:spacing w:before="0" w:after="0" w:line="340" w:lineRule="exact"/>
              <w:jc w:val="both"/>
              <w:rPr>
                <w:sz w:val="26"/>
                <w:szCs w:val="26"/>
              </w:rPr>
            </w:pPr>
          </w:p>
        </w:tc>
        <w:tc>
          <w:tcPr>
            <w:tcW w:w="1595"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مؤقت</w:t>
            </w:r>
          </w:p>
        </w:tc>
        <w:tc>
          <w:tcPr>
            <w:tcW w:w="1595"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دائم</w:t>
            </w:r>
          </w:p>
        </w:tc>
        <w:tc>
          <w:tcPr>
            <w:tcW w:w="1595"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وفاة</w:t>
            </w:r>
          </w:p>
        </w:tc>
        <w:tc>
          <w:tcPr>
            <w:tcW w:w="1595" w:type="dxa"/>
            <w:vMerge/>
            <w:tcBorders>
              <w:bottom w:val="single" w:sz="4" w:space="0" w:color="auto"/>
            </w:tcBorders>
          </w:tcPr>
          <w:p w:rsidR="00567B15" w:rsidRDefault="00567B15">
            <w:pPr>
              <w:spacing w:before="0" w:after="0" w:line="340" w:lineRule="exact"/>
              <w:jc w:val="both"/>
              <w:rPr>
                <w:sz w:val="26"/>
                <w:szCs w:val="26"/>
              </w:rPr>
            </w:pPr>
          </w:p>
        </w:tc>
        <w:tc>
          <w:tcPr>
            <w:tcW w:w="1519" w:type="dxa"/>
            <w:vMerge/>
            <w:tcBorders>
              <w:bottom w:val="single" w:sz="4" w:space="0" w:color="auto"/>
            </w:tcBorders>
          </w:tcPr>
          <w:p w:rsidR="00567B15" w:rsidRDefault="00567B15">
            <w:pPr>
              <w:spacing w:before="0" w:after="0" w:line="340" w:lineRule="exact"/>
              <w:jc w:val="both"/>
              <w:rPr>
                <w:sz w:val="26"/>
                <w:szCs w:val="26"/>
              </w:rPr>
            </w:pPr>
          </w:p>
        </w:tc>
      </w:tr>
      <w:tr w:rsidR="00567B15" w:rsidTr="00567B15">
        <w:tblPrEx>
          <w:tblCellMar>
            <w:top w:w="0" w:type="dxa"/>
            <w:bottom w:w="0" w:type="dxa"/>
          </w:tblCellMar>
        </w:tblPrEx>
        <w:trPr>
          <w:jc w:val="center"/>
        </w:trPr>
        <w:tc>
          <w:tcPr>
            <w:tcW w:w="1526" w:type="dxa"/>
            <w:tcBorders>
              <w:bottom w:val="nil"/>
            </w:tcBorders>
          </w:tcPr>
          <w:p w:rsidR="00567B15" w:rsidRDefault="00567B15">
            <w:pPr>
              <w:spacing w:before="0" w:after="0" w:line="340" w:lineRule="exact"/>
              <w:jc w:val="both"/>
              <w:rPr>
                <w:sz w:val="26"/>
                <w:szCs w:val="26"/>
              </w:rPr>
            </w:pPr>
            <w:r>
              <w:rPr>
                <w:rFonts w:hint="cs"/>
                <w:sz w:val="26"/>
                <w:szCs w:val="26"/>
                <w:rtl/>
              </w:rPr>
              <w:t>1990</w:t>
            </w:r>
          </w:p>
        </w:tc>
        <w:tc>
          <w:tcPr>
            <w:tcW w:w="1595" w:type="dxa"/>
            <w:tcBorders>
              <w:bottom w:val="nil"/>
            </w:tcBorders>
          </w:tcPr>
          <w:p w:rsidR="00567B15" w:rsidRDefault="00567B15">
            <w:pPr>
              <w:spacing w:before="0" w:after="0" w:line="340" w:lineRule="exact"/>
              <w:ind w:firstLine="199"/>
              <w:jc w:val="both"/>
              <w:rPr>
                <w:rFonts w:hint="cs"/>
                <w:sz w:val="26"/>
                <w:szCs w:val="26"/>
              </w:rPr>
            </w:pPr>
            <w:r>
              <w:rPr>
                <w:rFonts w:hint="cs"/>
                <w:sz w:val="26"/>
                <w:szCs w:val="26"/>
                <w:rtl/>
              </w:rPr>
              <w:t>185 4</w:t>
            </w:r>
          </w:p>
        </w:tc>
        <w:tc>
          <w:tcPr>
            <w:tcW w:w="1595" w:type="dxa"/>
            <w:tcBorders>
              <w:bottom w:val="nil"/>
            </w:tcBorders>
          </w:tcPr>
          <w:p w:rsidR="00567B15" w:rsidRDefault="00567B15">
            <w:pPr>
              <w:spacing w:before="0" w:after="0" w:line="340" w:lineRule="exact"/>
              <w:ind w:firstLine="404"/>
              <w:jc w:val="both"/>
              <w:rPr>
                <w:rFonts w:hint="cs"/>
                <w:sz w:val="26"/>
                <w:szCs w:val="26"/>
              </w:rPr>
            </w:pPr>
            <w:r>
              <w:rPr>
                <w:rFonts w:hint="cs"/>
                <w:sz w:val="26"/>
                <w:szCs w:val="26"/>
                <w:rtl/>
              </w:rPr>
              <w:t>224</w:t>
            </w:r>
          </w:p>
        </w:tc>
        <w:tc>
          <w:tcPr>
            <w:tcW w:w="1595" w:type="dxa"/>
            <w:tcBorders>
              <w:bottom w:val="nil"/>
            </w:tcBorders>
          </w:tcPr>
          <w:p w:rsidR="00567B15" w:rsidRDefault="00567B15">
            <w:pPr>
              <w:spacing w:before="0" w:after="0" w:line="340" w:lineRule="exact"/>
              <w:ind w:firstLine="429"/>
              <w:jc w:val="both"/>
              <w:rPr>
                <w:rFonts w:hint="cs"/>
                <w:sz w:val="26"/>
                <w:szCs w:val="26"/>
              </w:rPr>
            </w:pPr>
            <w:r>
              <w:rPr>
                <w:rFonts w:hint="cs"/>
                <w:sz w:val="26"/>
                <w:szCs w:val="26"/>
                <w:rtl/>
              </w:rPr>
              <w:t>192</w:t>
            </w:r>
          </w:p>
        </w:tc>
        <w:tc>
          <w:tcPr>
            <w:tcW w:w="1595" w:type="dxa"/>
            <w:tcBorders>
              <w:bottom w:val="nil"/>
            </w:tcBorders>
          </w:tcPr>
          <w:p w:rsidR="00567B15" w:rsidRDefault="00567B15">
            <w:pPr>
              <w:spacing w:before="0" w:after="0" w:line="340" w:lineRule="exact"/>
              <w:ind w:firstLine="274"/>
              <w:jc w:val="both"/>
              <w:rPr>
                <w:rFonts w:hint="cs"/>
                <w:sz w:val="26"/>
                <w:szCs w:val="26"/>
              </w:rPr>
            </w:pPr>
            <w:r>
              <w:rPr>
                <w:rFonts w:hint="cs"/>
                <w:sz w:val="26"/>
                <w:szCs w:val="26"/>
                <w:rtl/>
              </w:rPr>
              <w:t>601 4</w:t>
            </w:r>
          </w:p>
        </w:tc>
        <w:tc>
          <w:tcPr>
            <w:tcW w:w="1519" w:type="dxa"/>
            <w:tcBorders>
              <w:bottom w:val="nil"/>
            </w:tcBorders>
          </w:tcPr>
          <w:p w:rsidR="00567B15" w:rsidRDefault="00567B15">
            <w:pPr>
              <w:spacing w:before="0" w:after="0" w:line="340" w:lineRule="exact"/>
              <w:jc w:val="both"/>
              <w:rPr>
                <w:rFonts w:hint="cs"/>
                <w:sz w:val="26"/>
                <w:szCs w:val="26"/>
              </w:rPr>
            </w:pPr>
            <w:r>
              <w:rPr>
                <w:rFonts w:hint="cs"/>
                <w:sz w:val="26"/>
                <w:szCs w:val="26"/>
                <w:rtl/>
              </w:rPr>
              <w:t>140 802</w:t>
            </w:r>
          </w:p>
        </w:tc>
      </w:tr>
      <w:tr w:rsidR="00567B15" w:rsidTr="00567B15">
        <w:tblPrEx>
          <w:tblCellMar>
            <w:top w:w="0" w:type="dxa"/>
            <w:bottom w:w="0" w:type="dxa"/>
          </w:tblCellMar>
        </w:tblPrEx>
        <w:trPr>
          <w:jc w:val="center"/>
        </w:trPr>
        <w:tc>
          <w:tcPr>
            <w:tcW w:w="1526"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1991</w:t>
            </w:r>
          </w:p>
        </w:tc>
        <w:tc>
          <w:tcPr>
            <w:tcW w:w="1595" w:type="dxa"/>
            <w:tcBorders>
              <w:top w:val="nil"/>
              <w:bottom w:val="nil"/>
            </w:tcBorders>
          </w:tcPr>
          <w:p w:rsidR="00567B15" w:rsidRDefault="00567B15">
            <w:pPr>
              <w:spacing w:before="0" w:after="0" w:line="340" w:lineRule="exact"/>
              <w:ind w:firstLine="199"/>
              <w:jc w:val="both"/>
              <w:rPr>
                <w:rFonts w:hint="cs"/>
                <w:sz w:val="26"/>
                <w:szCs w:val="26"/>
              </w:rPr>
            </w:pPr>
            <w:r>
              <w:rPr>
                <w:rFonts w:hint="cs"/>
                <w:sz w:val="26"/>
                <w:szCs w:val="26"/>
                <w:rtl/>
              </w:rPr>
              <w:t>216 4</w:t>
            </w:r>
          </w:p>
        </w:tc>
        <w:tc>
          <w:tcPr>
            <w:tcW w:w="1595" w:type="dxa"/>
            <w:tcBorders>
              <w:top w:val="nil"/>
              <w:bottom w:val="nil"/>
            </w:tcBorders>
          </w:tcPr>
          <w:p w:rsidR="00567B15" w:rsidRDefault="00567B15">
            <w:pPr>
              <w:spacing w:before="0" w:after="0" w:line="340" w:lineRule="exact"/>
              <w:ind w:firstLine="404"/>
              <w:jc w:val="both"/>
              <w:rPr>
                <w:rFonts w:hint="cs"/>
                <w:sz w:val="26"/>
                <w:szCs w:val="26"/>
              </w:rPr>
            </w:pPr>
            <w:r>
              <w:rPr>
                <w:rFonts w:hint="cs"/>
                <w:sz w:val="26"/>
                <w:szCs w:val="26"/>
                <w:rtl/>
              </w:rPr>
              <w:t>330</w:t>
            </w:r>
          </w:p>
        </w:tc>
        <w:tc>
          <w:tcPr>
            <w:tcW w:w="1595" w:type="dxa"/>
            <w:tcBorders>
              <w:top w:val="nil"/>
              <w:bottom w:val="nil"/>
            </w:tcBorders>
          </w:tcPr>
          <w:p w:rsidR="00567B15" w:rsidRDefault="00567B15">
            <w:pPr>
              <w:spacing w:before="0" w:after="0" w:line="340" w:lineRule="exact"/>
              <w:ind w:firstLine="429"/>
              <w:jc w:val="both"/>
              <w:rPr>
                <w:rFonts w:hint="cs"/>
                <w:sz w:val="26"/>
                <w:szCs w:val="26"/>
              </w:rPr>
            </w:pPr>
            <w:r>
              <w:rPr>
                <w:rFonts w:hint="cs"/>
                <w:sz w:val="26"/>
                <w:szCs w:val="26"/>
                <w:rtl/>
              </w:rPr>
              <w:t>162</w:t>
            </w:r>
          </w:p>
        </w:tc>
        <w:tc>
          <w:tcPr>
            <w:tcW w:w="1595" w:type="dxa"/>
            <w:tcBorders>
              <w:top w:val="nil"/>
              <w:bottom w:val="nil"/>
            </w:tcBorders>
          </w:tcPr>
          <w:p w:rsidR="00567B15" w:rsidRDefault="00567B15">
            <w:pPr>
              <w:spacing w:before="0" w:after="0" w:line="340" w:lineRule="exact"/>
              <w:ind w:firstLine="274"/>
              <w:jc w:val="both"/>
              <w:rPr>
                <w:rFonts w:hint="cs"/>
                <w:sz w:val="26"/>
                <w:szCs w:val="26"/>
              </w:rPr>
            </w:pPr>
            <w:r>
              <w:rPr>
                <w:rFonts w:hint="cs"/>
                <w:sz w:val="26"/>
                <w:szCs w:val="26"/>
                <w:rtl/>
              </w:rPr>
              <w:t>708 4</w:t>
            </w:r>
          </w:p>
        </w:tc>
        <w:tc>
          <w:tcPr>
            <w:tcW w:w="1519"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018 866</w:t>
            </w:r>
          </w:p>
        </w:tc>
      </w:tr>
      <w:tr w:rsidR="00567B15" w:rsidTr="00567B15">
        <w:tblPrEx>
          <w:tblCellMar>
            <w:top w:w="0" w:type="dxa"/>
            <w:bottom w:w="0" w:type="dxa"/>
          </w:tblCellMar>
        </w:tblPrEx>
        <w:trPr>
          <w:jc w:val="center"/>
        </w:trPr>
        <w:tc>
          <w:tcPr>
            <w:tcW w:w="1526"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1992</w:t>
            </w:r>
          </w:p>
        </w:tc>
        <w:tc>
          <w:tcPr>
            <w:tcW w:w="1595" w:type="dxa"/>
            <w:tcBorders>
              <w:top w:val="nil"/>
              <w:bottom w:val="nil"/>
            </w:tcBorders>
          </w:tcPr>
          <w:p w:rsidR="00567B15" w:rsidRDefault="00567B15">
            <w:pPr>
              <w:spacing w:before="0" w:after="0" w:line="340" w:lineRule="exact"/>
              <w:ind w:firstLine="199"/>
              <w:jc w:val="both"/>
              <w:rPr>
                <w:rFonts w:hint="cs"/>
                <w:sz w:val="26"/>
                <w:szCs w:val="26"/>
              </w:rPr>
            </w:pPr>
            <w:r>
              <w:rPr>
                <w:rFonts w:hint="cs"/>
                <w:sz w:val="26"/>
                <w:szCs w:val="26"/>
                <w:rtl/>
              </w:rPr>
              <w:t>333 3</w:t>
            </w:r>
          </w:p>
        </w:tc>
        <w:tc>
          <w:tcPr>
            <w:tcW w:w="1595" w:type="dxa"/>
            <w:tcBorders>
              <w:top w:val="nil"/>
              <w:bottom w:val="nil"/>
            </w:tcBorders>
          </w:tcPr>
          <w:p w:rsidR="00567B15" w:rsidRDefault="00567B15">
            <w:pPr>
              <w:spacing w:before="0" w:after="0" w:line="340" w:lineRule="exact"/>
              <w:ind w:firstLine="404"/>
              <w:jc w:val="both"/>
              <w:rPr>
                <w:rFonts w:hint="cs"/>
                <w:sz w:val="26"/>
                <w:szCs w:val="26"/>
              </w:rPr>
            </w:pPr>
            <w:r>
              <w:rPr>
                <w:rFonts w:hint="cs"/>
                <w:sz w:val="26"/>
                <w:szCs w:val="26"/>
                <w:rtl/>
              </w:rPr>
              <w:t>290</w:t>
            </w:r>
          </w:p>
        </w:tc>
        <w:tc>
          <w:tcPr>
            <w:tcW w:w="1595" w:type="dxa"/>
            <w:tcBorders>
              <w:top w:val="nil"/>
              <w:bottom w:val="nil"/>
            </w:tcBorders>
          </w:tcPr>
          <w:p w:rsidR="00567B15" w:rsidRDefault="00567B15">
            <w:pPr>
              <w:spacing w:before="0" w:after="0" w:line="340" w:lineRule="exact"/>
              <w:ind w:firstLine="429"/>
              <w:jc w:val="both"/>
              <w:rPr>
                <w:rFonts w:hint="cs"/>
                <w:sz w:val="26"/>
                <w:szCs w:val="26"/>
              </w:rPr>
            </w:pPr>
            <w:r>
              <w:rPr>
                <w:rFonts w:hint="cs"/>
                <w:sz w:val="26"/>
                <w:szCs w:val="26"/>
                <w:rtl/>
              </w:rPr>
              <w:t>157</w:t>
            </w:r>
          </w:p>
        </w:tc>
        <w:tc>
          <w:tcPr>
            <w:tcW w:w="1595" w:type="dxa"/>
            <w:tcBorders>
              <w:top w:val="nil"/>
              <w:bottom w:val="nil"/>
            </w:tcBorders>
          </w:tcPr>
          <w:p w:rsidR="00567B15" w:rsidRDefault="00567B15">
            <w:pPr>
              <w:spacing w:before="0" w:after="0" w:line="340" w:lineRule="exact"/>
              <w:ind w:firstLine="274"/>
              <w:jc w:val="both"/>
              <w:rPr>
                <w:rFonts w:hint="cs"/>
                <w:sz w:val="26"/>
                <w:szCs w:val="26"/>
              </w:rPr>
            </w:pPr>
            <w:r>
              <w:rPr>
                <w:rFonts w:hint="cs"/>
                <w:sz w:val="26"/>
                <w:szCs w:val="26"/>
                <w:rtl/>
              </w:rPr>
              <w:t>780 3</w:t>
            </w:r>
          </w:p>
        </w:tc>
        <w:tc>
          <w:tcPr>
            <w:tcW w:w="1519"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596 984</w:t>
            </w:r>
          </w:p>
        </w:tc>
      </w:tr>
      <w:tr w:rsidR="00567B15" w:rsidTr="00567B15">
        <w:tblPrEx>
          <w:tblCellMar>
            <w:top w:w="0" w:type="dxa"/>
            <w:bottom w:w="0" w:type="dxa"/>
          </w:tblCellMar>
        </w:tblPrEx>
        <w:trPr>
          <w:jc w:val="center"/>
        </w:trPr>
        <w:tc>
          <w:tcPr>
            <w:tcW w:w="1526"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1993</w:t>
            </w:r>
          </w:p>
        </w:tc>
        <w:tc>
          <w:tcPr>
            <w:tcW w:w="1595" w:type="dxa"/>
            <w:tcBorders>
              <w:top w:val="nil"/>
              <w:bottom w:val="nil"/>
            </w:tcBorders>
          </w:tcPr>
          <w:p w:rsidR="00567B15" w:rsidRDefault="00567B15">
            <w:pPr>
              <w:spacing w:before="0" w:after="0" w:line="340" w:lineRule="exact"/>
              <w:ind w:firstLine="199"/>
              <w:jc w:val="both"/>
              <w:rPr>
                <w:rFonts w:hint="cs"/>
                <w:sz w:val="26"/>
                <w:szCs w:val="26"/>
              </w:rPr>
            </w:pPr>
            <w:r>
              <w:rPr>
                <w:rFonts w:hint="cs"/>
                <w:sz w:val="26"/>
                <w:szCs w:val="26"/>
                <w:rtl/>
              </w:rPr>
              <w:t>337 4</w:t>
            </w:r>
          </w:p>
        </w:tc>
        <w:tc>
          <w:tcPr>
            <w:tcW w:w="1595" w:type="dxa"/>
            <w:tcBorders>
              <w:top w:val="nil"/>
              <w:bottom w:val="nil"/>
            </w:tcBorders>
          </w:tcPr>
          <w:p w:rsidR="00567B15" w:rsidRDefault="00567B15">
            <w:pPr>
              <w:spacing w:before="0" w:after="0" w:line="340" w:lineRule="exact"/>
              <w:ind w:firstLine="404"/>
              <w:jc w:val="both"/>
              <w:rPr>
                <w:rFonts w:hint="cs"/>
                <w:sz w:val="26"/>
                <w:szCs w:val="26"/>
              </w:rPr>
            </w:pPr>
            <w:r>
              <w:rPr>
                <w:rFonts w:hint="cs"/>
                <w:sz w:val="26"/>
                <w:szCs w:val="26"/>
                <w:rtl/>
              </w:rPr>
              <w:t>343</w:t>
            </w:r>
          </w:p>
        </w:tc>
        <w:tc>
          <w:tcPr>
            <w:tcW w:w="1595" w:type="dxa"/>
            <w:tcBorders>
              <w:top w:val="nil"/>
              <w:bottom w:val="nil"/>
            </w:tcBorders>
          </w:tcPr>
          <w:p w:rsidR="00567B15" w:rsidRDefault="00567B15">
            <w:pPr>
              <w:spacing w:before="0" w:after="0" w:line="340" w:lineRule="exact"/>
              <w:ind w:firstLine="429"/>
              <w:jc w:val="both"/>
              <w:rPr>
                <w:rFonts w:hint="cs"/>
                <w:sz w:val="26"/>
                <w:szCs w:val="26"/>
              </w:rPr>
            </w:pPr>
            <w:r>
              <w:rPr>
                <w:rFonts w:hint="cs"/>
                <w:sz w:val="26"/>
                <w:szCs w:val="26"/>
                <w:rtl/>
              </w:rPr>
              <w:t>167</w:t>
            </w:r>
          </w:p>
        </w:tc>
        <w:tc>
          <w:tcPr>
            <w:tcW w:w="1595" w:type="dxa"/>
            <w:tcBorders>
              <w:top w:val="nil"/>
              <w:bottom w:val="nil"/>
            </w:tcBorders>
          </w:tcPr>
          <w:p w:rsidR="00567B15" w:rsidRDefault="00567B15">
            <w:pPr>
              <w:spacing w:before="0" w:after="0" w:line="340" w:lineRule="exact"/>
              <w:ind w:firstLine="274"/>
              <w:jc w:val="both"/>
              <w:rPr>
                <w:rFonts w:hint="cs"/>
                <w:sz w:val="26"/>
                <w:szCs w:val="26"/>
              </w:rPr>
            </w:pPr>
            <w:r>
              <w:rPr>
                <w:rFonts w:hint="cs"/>
                <w:sz w:val="26"/>
                <w:szCs w:val="26"/>
                <w:rtl/>
              </w:rPr>
              <w:t>847 4</w:t>
            </w:r>
          </w:p>
        </w:tc>
        <w:tc>
          <w:tcPr>
            <w:tcW w:w="1519"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198 056 1</w:t>
            </w:r>
          </w:p>
        </w:tc>
      </w:tr>
      <w:tr w:rsidR="00567B15" w:rsidTr="00567B15">
        <w:tblPrEx>
          <w:tblCellMar>
            <w:top w:w="0" w:type="dxa"/>
            <w:bottom w:w="0" w:type="dxa"/>
          </w:tblCellMar>
        </w:tblPrEx>
        <w:trPr>
          <w:jc w:val="center"/>
        </w:trPr>
        <w:tc>
          <w:tcPr>
            <w:tcW w:w="1526" w:type="dxa"/>
            <w:tcBorders>
              <w:top w:val="nil"/>
            </w:tcBorders>
          </w:tcPr>
          <w:p w:rsidR="00567B15" w:rsidRDefault="00567B15">
            <w:pPr>
              <w:spacing w:before="0" w:after="0" w:line="340" w:lineRule="exact"/>
              <w:jc w:val="both"/>
              <w:rPr>
                <w:rFonts w:hint="cs"/>
                <w:sz w:val="26"/>
                <w:szCs w:val="26"/>
                <w:rtl/>
              </w:rPr>
            </w:pPr>
            <w:r>
              <w:rPr>
                <w:rFonts w:hint="cs"/>
                <w:sz w:val="26"/>
                <w:szCs w:val="26"/>
                <w:rtl/>
              </w:rPr>
              <w:t>1994</w:t>
            </w:r>
          </w:p>
        </w:tc>
        <w:tc>
          <w:tcPr>
            <w:tcW w:w="1595" w:type="dxa"/>
            <w:tcBorders>
              <w:top w:val="nil"/>
            </w:tcBorders>
          </w:tcPr>
          <w:p w:rsidR="00567B15" w:rsidRDefault="00567B15">
            <w:pPr>
              <w:spacing w:before="0" w:after="0" w:line="340" w:lineRule="exact"/>
              <w:ind w:firstLine="199"/>
              <w:jc w:val="both"/>
              <w:rPr>
                <w:rFonts w:hint="cs"/>
                <w:sz w:val="26"/>
                <w:szCs w:val="26"/>
              </w:rPr>
            </w:pPr>
            <w:r>
              <w:rPr>
                <w:rFonts w:hint="cs"/>
                <w:sz w:val="26"/>
                <w:szCs w:val="26"/>
                <w:rtl/>
              </w:rPr>
              <w:t>014 4</w:t>
            </w:r>
          </w:p>
        </w:tc>
        <w:tc>
          <w:tcPr>
            <w:tcW w:w="1595" w:type="dxa"/>
            <w:tcBorders>
              <w:top w:val="nil"/>
            </w:tcBorders>
          </w:tcPr>
          <w:p w:rsidR="00567B15" w:rsidRDefault="00567B15">
            <w:pPr>
              <w:spacing w:before="0" w:after="0" w:line="340" w:lineRule="exact"/>
              <w:ind w:firstLine="404"/>
              <w:jc w:val="both"/>
              <w:rPr>
                <w:rFonts w:hint="cs"/>
                <w:sz w:val="26"/>
                <w:szCs w:val="26"/>
              </w:rPr>
            </w:pPr>
            <w:r>
              <w:rPr>
                <w:rFonts w:hint="cs"/>
                <w:sz w:val="26"/>
                <w:szCs w:val="26"/>
                <w:rtl/>
              </w:rPr>
              <w:t>368</w:t>
            </w:r>
          </w:p>
        </w:tc>
        <w:tc>
          <w:tcPr>
            <w:tcW w:w="1595" w:type="dxa"/>
            <w:tcBorders>
              <w:top w:val="nil"/>
            </w:tcBorders>
          </w:tcPr>
          <w:p w:rsidR="00567B15" w:rsidRDefault="00567B15">
            <w:pPr>
              <w:spacing w:before="0" w:after="0" w:line="340" w:lineRule="exact"/>
              <w:ind w:firstLine="429"/>
              <w:jc w:val="both"/>
              <w:rPr>
                <w:rFonts w:hint="cs"/>
                <w:sz w:val="26"/>
                <w:szCs w:val="26"/>
              </w:rPr>
            </w:pPr>
            <w:r>
              <w:rPr>
                <w:rFonts w:hint="cs"/>
                <w:sz w:val="26"/>
                <w:szCs w:val="26"/>
                <w:rtl/>
              </w:rPr>
              <w:t>170</w:t>
            </w:r>
          </w:p>
        </w:tc>
        <w:tc>
          <w:tcPr>
            <w:tcW w:w="1595" w:type="dxa"/>
            <w:tcBorders>
              <w:top w:val="nil"/>
            </w:tcBorders>
          </w:tcPr>
          <w:p w:rsidR="00567B15" w:rsidRDefault="00567B15">
            <w:pPr>
              <w:spacing w:before="0" w:after="0" w:line="340" w:lineRule="exact"/>
              <w:ind w:firstLine="274"/>
              <w:jc w:val="both"/>
              <w:rPr>
                <w:rFonts w:hint="cs"/>
                <w:sz w:val="26"/>
                <w:szCs w:val="26"/>
              </w:rPr>
            </w:pPr>
            <w:r>
              <w:rPr>
                <w:rFonts w:hint="cs"/>
                <w:sz w:val="26"/>
                <w:szCs w:val="26"/>
                <w:rtl/>
              </w:rPr>
              <w:t>552 4</w:t>
            </w:r>
          </w:p>
        </w:tc>
        <w:tc>
          <w:tcPr>
            <w:tcW w:w="1519" w:type="dxa"/>
            <w:tcBorders>
              <w:top w:val="nil"/>
            </w:tcBorders>
          </w:tcPr>
          <w:p w:rsidR="00567B15" w:rsidRDefault="00567B15">
            <w:pPr>
              <w:spacing w:before="0" w:after="0" w:line="340" w:lineRule="exact"/>
              <w:jc w:val="both"/>
              <w:rPr>
                <w:rFonts w:hint="cs"/>
                <w:sz w:val="26"/>
                <w:szCs w:val="26"/>
              </w:rPr>
            </w:pPr>
            <w:r>
              <w:rPr>
                <w:rFonts w:hint="cs"/>
                <w:sz w:val="26"/>
                <w:szCs w:val="26"/>
                <w:rtl/>
              </w:rPr>
              <w:t>750 060 1</w:t>
            </w:r>
          </w:p>
        </w:tc>
      </w:tr>
      <w:tr w:rsidR="00567B15" w:rsidTr="00567B15">
        <w:tblPrEx>
          <w:tblCellMar>
            <w:top w:w="0" w:type="dxa"/>
            <w:bottom w:w="0" w:type="dxa"/>
          </w:tblCellMar>
        </w:tblPrEx>
        <w:trPr>
          <w:jc w:val="center"/>
        </w:trPr>
        <w:tc>
          <w:tcPr>
            <w:tcW w:w="1526" w:type="dxa"/>
          </w:tcPr>
          <w:p w:rsidR="00567B15" w:rsidRDefault="00567B15">
            <w:pPr>
              <w:spacing w:before="0" w:after="0" w:line="340" w:lineRule="exact"/>
              <w:jc w:val="both"/>
              <w:rPr>
                <w:rFonts w:hint="cs"/>
                <w:sz w:val="26"/>
                <w:szCs w:val="26"/>
                <w:rtl/>
              </w:rPr>
            </w:pPr>
            <w:r>
              <w:rPr>
                <w:rFonts w:hint="cs"/>
                <w:sz w:val="26"/>
                <w:szCs w:val="26"/>
                <w:rtl/>
              </w:rPr>
              <w:t xml:space="preserve">  المجموع</w:t>
            </w:r>
          </w:p>
        </w:tc>
        <w:tc>
          <w:tcPr>
            <w:tcW w:w="1595" w:type="dxa"/>
          </w:tcPr>
          <w:p w:rsidR="00567B15" w:rsidRDefault="00567B15">
            <w:pPr>
              <w:spacing w:before="0" w:after="0" w:line="340" w:lineRule="exact"/>
              <w:ind w:firstLine="199"/>
              <w:jc w:val="both"/>
              <w:rPr>
                <w:rFonts w:hint="cs"/>
                <w:sz w:val="26"/>
                <w:szCs w:val="26"/>
              </w:rPr>
            </w:pPr>
            <w:r>
              <w:rPr>
                <w:rFonts w:hint="cs"/>
                <w:sz w:val="26"/>
                <w:szCs w:val="26"/>
                <w:rtl/>
              </w:rPr>
              <w:t>085 20</w:t>
            </w:r>
          </w:p>
        </w:tc>
        <w:tc>
          <w:tcPr>
            <w:tcW w:w="1595" w:type="dxa"/>
          </w:tcPr>
          <w:p w:rsidR="00567B15" w:rsidRDefault="00567B15">
            <w:pPr>
              <w:spacing w:before="0" w:after="0" w:line="340" w:lineRule="exact"/>
              <w:ind w:firstLine="404"/>
              <w:jc w:val="both"/>
              <w:rPr>
                <w:rFonts w:hint="cs"/>
                <w:sz w:val="26"/>
                <w:szCs w:val="26"/>
              </w:rPr>
            </w:pPr>
            <w:r>
              <w:rPr>
                <w:rFonts w:hint="cs"/>
                <w:sz w:val="26"/>
                <w:szCs w:val="26"/>
                <w:rtl/>
              </w:rPr>
              <w:t>555 1</w:t>
            </w:r>
          </w:p>
        </w:tc>
        <w:tc>
          <w:tcPr>
            <w:tcW w:w="1595" w:type="dxa"/>
          </w:tcPr>
          <w:p w:rsidR="00567B15" w:rsidRDefault="00567B15">
            <w:pPr>
              <w:spacing w:before="0" w:after="0" w:line="340" w:lineRule="exact"/>
              <w:ind w:firstLine="429"/>
              <w:jc w:val="both"/>
              <w:rPr>
                <w:rFonts w:hint="cs"/>
                <w:sz w:val="26"/>
                <w:szCs w:val="26"/>
              </w:rPr>
            </w:pPr>
            <w:r>
              <w:rPr>
                <w:rFonts w:hint="cs"/>
                <w:sz w:val="26"/>
                <w:szCs w:val="26"/>
                <w:rtl/>
              </w:rPr>
              <w:t>848</w:t>
            </w:r>
          </w:p>
        </w:tc>
        <w:tc>
          <w:tcPr>
            <w:tcW w:w="1595" w:type="dxa"/>
          </w:tcPr>
          <w:p w:rsidR="00567B15" w:rsidRDefault="00567B15">
            <w:pPr>
              <w:spacing w:before="0" w:after="0" w:line="340" w:lineRule="exact"/>
              <w:ind w:firstLine="274"/>
              <w:jc w:val="both"/>
              <w:rPr>
                <w:rFonts w:hint="cs"/>
                <w:sz w:val="26"/>
                <w:szCs w:val="26"/>
              </w:rPr>
            </w:pPr>
            <w:r>
              <w:rPr>
                <w:rFonts w:hint="cs"/>
                <w:sz w:val="26"/>
                <w:szCs w:val="26"/>
                <w:rtl/>
              </w:rPr>
              <w:t>488 22</w:t>
            </w:r>
          </w:p>
        </w:tc>
        <w:tc>
          <w:tcPr>
            <w:tcW w:w="1519" w:type="dxa"/>
          </w:tcPr>
          <w:p w:rsidR="00567B15" w:rsidRDefault="00567B15">
            <w:pPr>
              <w:spacing w:before="0" w:after="0" w:line="340" w:lineRule="exact"/>
              <w:jc w:val="both"/>
              <w:rPr>
                <w:sz w:val="26"/>
                <w:szCs w:val="26"/>
              </w:rPr>
            </w:pPr>
          </w:p>
        </w:tc>
      </w:tr>
    </w:tbl>
    <w:p w:rsidR="00000000" w:rsidRDefault="00567B15">
      <w:pPr>
        <w:spacing w:before="120"/>
        <w:jc w:val="left"/>
        <w:rPr>
          <w:rFonts w:hint="cs"/>
          <w:rtl/>
        </w:rPr>
      </w:pPr>
      <w:r>
        <w:rPr>
          <w:rFonts w:hint="cs"/>
          <w:rtl/>
        </w:rPr>
        <w:tab/>
      </w:r>
      <w:r>
        <w:rPr>
          <w:rFonts w:hint="cs"/>
          <w:u w:val="single"/>
          <w:rtl/>
        </w:rPr>
        <w:t>المصدر</w:t>
      </w:r>
      <w:r>
        <w:rPr>
          <w:rFonts w:hint="cs"/>
          <w:rtl/>
        </w:rPr>
        <w:t>: المعهد الإكوادوري للضمان الاجتماعي.</w:t>
      </w:r>
    </w:p>
    <w:p w:rsidR="00000000" w:rsidRDefault="00567B15">
      <w:pPr>
        <w:spacing w:before="0" w:after="0"/>
        <w:jc w:val="center"/>
        <w:rPr>
          <w:rFonts w:hint="cs"/>
          <w:b/>
          <w:bCs/>
          <w:rtl/>
        </w:rPr>
      </w:pPr>
      <w:r>
        <w:rPr>
          <w:rFonts w:hint="cs"/>
          <w:b/>
          <w:bCs/>
          <w:rtl/>
        </w:rPr>
        <w:t>أنواع الحوادث في أماكن العمل والأمراض المتصلة بالعمل</w:t>
      </w:r>
    </w:p>
    <w:p w:rsidR="00000000" w:rsidRDefault="00567B15">
      <w:pPr>
        <w:spacing w:before="0" w:after="120"/>
        <w:jc w:val="center"/>
        <w:rPr>
          <w:rFonts w:hint="cs"/>
          <w:b/>
          <w:bCs/>
          <w:rtl/>
        </w:rPr>
      </w:pPr>
      <w:r>
        <w:rPr>
          <w:rFonts w:hint="cs"/>
          <w:b/>
          <w:bCs/>
          <w:rtl/>
        </w:rPr>
        <w:t>(1989-1992)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900"/>
        <w:gridCol w:w="1080"/>
        <w:gridCol w:w="1080"/>
        <w:gridCol w:w="1080"/>
        <w:gridCol w:w="954"/>
        <w:gridCol w:w="981"/>
        <w:gridCol w:w="1238"/>
      </w:tblGrid>
      <w:tr w:rsidR="00567B15" w:rsidTr="00567B15">
        <w:tblPrEx>
          <w:tblCellMar>
            <w:top w:w="0" w:type="dxa"/>
            <w:bottom w:w="0" w:type="dxa"/>
          </w:tblCellMar>
        </w:tblPrEx>
        <w:trPr>
          <w:trHeight w:val="358"/>
          <w:tblHeader/>
          <w:jc w:val="center"/>
        </w:trPr>
        <w:tc>
          <w:tcPr>
            <w:tcW w:w="2082" w:type="dxa"/>
            <w:vAlign w:val="center"/>
          </w:tcPr>
          <w:p w:rsidR="00567B15" w:rsidRDefault="00567B15">
            <w:pPr>
              <w:spacing w:before="0" w:after="0" w:line="320" w:lineRule="exact"/>
              <w:jc w:val="center"/>
              <w:rPr>
                <w:sz w:val="26"/>
                <w:szCs w:val="26"/>
              </w:rPr>
            </w:pPr>
            <w:r>
              <w:rPr>
                <w:rFonts w:hint="cs"/>
                <w:sz w:val="26"/>
                <w:szCs w:val="26"/>
                <w:rtl/>
              </w:rPr>
              <w:t>نوع الإصابة</w:t>
            </w:r>
          </w:p>
        </w:tc>
        <w:tc>
          <w:tcPr>
            <w:tcW w:w="5094" w:type="dxa"/>
            <w:gridSpan w:val="5"/>
            <w:vAlign w:val="center"/>
          </w:tcPr>
          <w:p w:rsidR="00567B15" w:rsidRDefault="00567B15">
            <w:pPr>
              <w:spacing w:before="0" w:after="0" w:line="320" w:lineRule="exact"/>
              <w:jc w:val="center"/>
              <w:rPr>
                <w:rFonts w:hint="cs"/>
                <w:sz w:val="26"/>
                <w:szCs w:val="26"/>
              </w:rPr>
            </w:pPr>
            <w:r>
              <w:rPr>
                <w:rFonts w:hint="cs"/>
                <w:sz w:val="26"/>
                <w:szCs w:val="26"/>
                <w:rtl/>
              </w:rPr>
              <w:t>نوع العجز</w:t>
            </w:r>
          </w:p>
        </w:tc>
        <w:tc>
          <w:tcPr>
            <w:tcW w:w="2219" w:type="dxa"/>
            <w:gridSpan w:val="2"/>
            <w:vAlign w:val="center"/>
          </w:tcPr>
          <w:p w:rsidR="00567B15" w:rsidRDefault="00567B15">
            <w:pPr>
              <w:spacing w:before="0" w:after="0" w:line="320" w:lineRule="exact"/>
              <w:jc w:val="center"/>
              <w:rPr>
                <w:sz w:val="26"/>
                <w:szCs w:val="26"/>
              </w:rPr>
            </w:pPr>
            <w:r>
              <w:rPr>
                <w:rFonts w:hint="cs"/>
                <w:sz w:val="26"/>
                <w:szCs w:val="26"/>
                <w:rtl/>
              </w:rPr>
              <w:t>المجموع</w:t>
            </w:r>
          </w:p>
        </w:tc>
      </w:tr>
      <w:tr w:rsidR="00567B15" w:rsidTr="00567B15">
        <w:tblPrEx>
          <w:tblCellMar>
            <w:top w:w="0" w:type="dxa"/>
            <w:bottom w:w="0" w:type="dxa"/>
          </w:tblCellMar>
        </w:tblPrEx>
        <w:trPr>
          <w:trHeight w:val="371"/>
          <w:tblHeader/>
          <w:jc w:val="center"/>
        </w:trPr>
        <w:tc>
          <w:tcPr>
            <w:tcW w:w="2082" w:type="dxa"/>
            <w:tcBorders>
              <w:bottom w:val="single" w:sz="4" w:space="0" w:color="auto"/>
            </w:tcBorders>
            <w:vAlign w:val="center"/>
          </w:tcPr>
          <w:p w:rsidR="00567B15" w:rsidRDefault="00567B15">
            <w:pPr>
              <w:spacing w:before="0" w:after="0" w:line="320" w:lineRule="exact"/>
              <w:jc w:val="center"/>
              <w:rPr>
                <w:rFonts w:hint="cs"/>
                <w:sz w:val="26"/>
                <w:szCs w:val="26"/>
              </w:rPr>
            </w:pPr>
          </w:p>
        </w:tc>
        <w:tc>
          <w:tcPr>
            <w:tcW w:w="900" w:type="dxa"/>
            <w:tcBorders>
              <w:bottom w:val="single" w:sz="4" w:space="0" w:color="auto"/>
            </w:tcBorders>
            <w:vAlign w:val="center"/>
          </w:tcPr>
          <w:p w:rsidR="00567B15" w:rsidRDefault="00567B15">
            <w:pPr>
              <w:spacing w:before="0" w:after="0" w:line="320" w:lineRule="exact"/>
              <w:jc w:val="center"/>
              <w:rPr>
                <w:rFonts w:hint="cs"/>
                <w:sz w:val="26"/>
                <w:szCs w:val="26"/>
              </w:rPr>
            </w:pPr>
            <w:r>
              <w:rPr>
                <w:rFonts w:hint="cs"/>
                <w:sz w:val="26"/>
                <w:szCs w:val="26"/>
                <w:rtl/>
              </w:rPr>
              <w:t>وفاة</w:t>
            </w:r>
          </w:p>
        </w:tc>
        <w:tc>
          <w:tcPr>
            <w:tcW w:w="1080" w:type="dxa"/>
            <w:tcBorders>
              <w:bottom w:val="single" w:sz="4" w:space="0" w:color="auto"/>
            </w:tcBorders>
            <w:vAlign w:val="center"/>
          </w:tcPr>
          <w:p w:rsidR="00567B15" w:rsidRDefault="00567B15">
            <w:pPr>
              <w:spacing w:before="0" w:after="0" w:line="320" w:lineRule="exact"/>
              <w:jc w:val="center"/>
              <w:rPr>
                <w:rFonts w:hint="cs"/>
                <w:sz w:val="26"/>
                <w:szCs w:val="26"/>
              </w:rPr>
            </w:pPr>
            <w:r>
              <w:rPr>
                <w:rFonts w:hint="cs"/>
                <w:sz w:val="26"/>
                <w:szCs w:val="26"/>
                <w:rtl/>
              </w:rPr>
              <w:t>دائم مطلق</w:t>
            </w:r>
          </w:p>
        </w:tc>
        <w:tc>
          <w:tcPr>
            <w:tcW w:w="1080" w:type="dxa"/>
            <w:tcBorders>
              <w:bottom w:val="single" w:sz="4" w:space="0" w:color="auto"/>
            </w:tcBorders>
            <w:vAlign w:val="center"/>
          </w:tcPr>
          <w:p w:rsidR="00567B15" w:rsidRDefault="00567B15">
            <w:pPr>
              <w:spacing w:before="0" w:after="0" w:line="320" w:lineRule="exact"/>
              <w:jc w:val="center"/>
              <w:rPr>
                <w:rFonts w:hint="cs"/>
                <w:sz w:val="26"/>
                <w:szCs w:val="26"/>
              </w:rPr>
            </w:pPr>
            <w:r>
              <w:rPr>
                <w:rFonts w:hint="cs"/>
                <w:sz w:val="26"/>
                <w:szCs w:val="26"/>
                <w:rtl/>
              </w:rPr>
              <w:t>دائم كامل</w:t>
            </w:r>
          </w:p>
        </w:tc>
        <w:tc>
          <w:tcPr>
            <w:tcW w:w="1080" w:type="dxa"/>
            <w:tcBorders>
              <w:bottom w:val="single" w:sz="4" w:space="0" w:color="auto"/>
            </w:tcBorders>
            <w:vAlign w:val="center"/>
          </w:tcPr>
          <w:p w:rsidR="00567B15" w:rsidRDefault="00567B15">
            <w:pPr>
              <w:spacing w:before="0" w:after="0" w:line="320" w:lineRule="exact"/>
              <w:jc w:val="center"/>
              <w:rPr>
                <w:rFonts w:hint="cs"/>
                <w:sz w:val="26"/>
                <w:szCs w:val="26"/>
              </w:rPr>
            </w:pPr>
            <w:r>
              <w:rPr>
                <w:rFonts w:hint="cs"/>
                <w:sz w:val="26"/>
                <w:szCs w:val="26"/>
                <w:rtl/>
              </w:rPr>
              <w:t>دائم جزئي</w:t>
            </w:r>
          </w:p>
        </w:tc>
        <w:tc>
          <w:tcPr>
            <w:tcW w:w="954" w:type="dxa"/>
            <w:tcBorders>
              <w:bottom w:val="single" w:sz="4" w:space="0" w:color="auto"/>
            </w:tcBorders>
            <w:vAlign w:val="center"/>
          </w:tcPr>
          <w:p w:rsidR="00567B15" w:rsidRDefault="00567B15">
            <w:pPr>
              <w:spacing w:before="0" w:after="0" w:line="320" w:lineRule="exact"/>
              <w:jc w:val="center"/>
              <w:rPr>
                <w:rFonts w:hint="cs"/>
                <w:sz w:val="26"/>
                <w:szCs w:val="26"/>
              </w:rPr>
            </w:pPr>
            <w:r>
              <w:rPr>
                <w:rFonts w:hint="cs"/>
                <w:sz w:val="26"/>
                <w:szCs w:val="26"/>
                <w:rtl/>
              </w:rPr>
              <w:t>مؤقت</w:t>
            </w:r>
          </w:p>
        </w:tc>
        <w:tc>
          <w:tcPr>
            <w:tcW w:w="981" w:type="dxa"/>
            <w:tcBorders>
              <w:bottom w:val="single" w:sz="4" w:space="0" w:color="auto"/>
            </w:tcBorders>
            <w:vAlign w:val="center"/>
          </w:tcPr>
          <w:p w:rsidR="00567B15" w:rsidRDefault="00567B15">
            <w:pPr>
              <w:spacing w:before="0" w:after="0" w:line="320" w:lineRule="exact"/>
              <w:jc w:val="center"/>
              <w:rPr>
                <w:rFonts w:hint="cs"/>
                <w:sz w:val="26"/>
                <w:szCs w:val="26"/>
              </w:rPr>
            </w:pPr>
            <w:r>
              <w:rPr>
                <w:rFonts w:hint="cs"/>
                <w:sz w:val="26"/>
                <w:szCs w:val="26"/>
                <w:rtl/>
              </w:rPr>
              <w:t>العدد</w:t>
            </w:r>
          </w:p>
        </w:tc>
        <w:tc>
          <w:tcPr>
            <w:tcW w:w="1238" w:type="dxa"/>
            <w:tcBorders>
              <w:bottom w:val="single" w:sz="4" w:space="0" w:color="auto"/>
            </w:tcBorders>
            <w:vAlign w:val="center"/>
          </w:tcPr>
          <w:p w:rsidR="00567B15" w:rsidRDefault="00567B15">
            <w:pPr>
              <w:spacing w:before="0" w:after="0" w:line="320" w:lineRule="exact"/>
              <w:jc w:val="center"/>
              <w:rPr>
                <w:rFonts w:hint="cs"/>
                <w:sz w:val="26"/>
                <w:szCs w:val="26"/>
              </w:rPr>
            </w:pPr>
            <w:r>
              <w:rPr>
                <w:rFonts w:hint="cs"/>
                <w:sz w:val="26"/>
                <w:szCs w:val="26"/>
                <w:rtl/>
              </w:rPr>
              <w:t>النسبة المئوية</w:t>
            </w:r>
          </w:p>
        </w:tc>
      </w:tr>
      <w:tr w:rsidR="00567B15" w:rsidTr="00567B15">
        <w:tblPrEx>
          <w:tblCellMar>
            <w:top w:w="0" w:type="dxa"/>
            <w:bottom w:w="0" w:type="dxa"/>
          </w:tblCellMar>
        </w:tblPrEx>
        <w:trPr>
          <w:jc w:val="center"/>
        </w:trPr>
        <w:tc>
          <w:tcPr>
            <w:tcW w:w="2082" w:type="dxa"/>
            <w:tcBorders>
              <w:bottom w:val="nil"/>
            </w:tcBorders>
          </w:tcPr>
          <w:p w:rsidR="00567B15" w:rsidRDefault="00567B15">
            <w:pPr>
              <w:spacing w:before="0" w:after="0" w:line="320" w:lineRule="exact"/>
              <w:jc w:val="both"/>
              <w:rPr>
                <w:rFonts w:hint="cs"/>
                <w:sz w:val="26"/>
                <w:szCs w:val="26"/>
              </w:rPr>
            </w:pPr>
            <w:r>
              <w:rPr>
                <w:rFonts w:hint="cs"/>
                <w:sz w:val="26"/>
                <w:szCs w:val="26"/>
                <w:rtl/>
              </w:rPr>
              <w:t>كسر</w:t>
            </w:r>
          </w:p>
        </w:tc>
        <w:tc>
          <w:tcPr>
            <w:tcW w:w="900" w:type="dxa"/>
            <w:tcBorders>
              <w:bottom w:val="nil"/>
            </w:tcBorders>
          </w:tcPr>
          <w:p w:rsidR="00567B15" w:rsidRDefault="00567B15">
            <w:pPr>
              <w:spacing w:before="0" w:after="0" w:line="320" w:lineRule="exact"/>
              <w:jc w:val="both"/>
              <w:rPr>
                <w:rFonts w:hint="cs"/>
                <w:sz w:val="26"/>
                <w:szCs w:val="26"/>
              </w:rPr>
            </w:pPr>
            <w:r>
              <w:rPr>
                <w:rFonts w:hint="cs"/>
                <w:sz w:val="26"/>
                <w:szCs w:val="26"/>
                <w:rtl/>
              </w:rPr>
              <w:t>157</w:t>
            </w:r>
          </w:p>
        </w:tc>
        <w:tc>
          <w:tcPr>
            <w:tcW w:w="1080" w:type="dxa"/>
            <w:tcBorders>
              <w:bottom w:val="nil"/>
            </w:tcBorders>
          </w:tcPr>
          <w:p w:rsidR="00567B15" w:rsidRDefault="00567B15">
            <w:pPr>
              <w:spacing w:before="0" w:after="0" w:line="320" w:lineRule="exact"/>
              <w:jc w:val="both"/>
              <w:rPr>
                <w:rFonts w:hint="cs"/>
                <w:sz w:val="26"/>
                <w:szCs w:val="26"/>
              </w:rPr>
            </w:pPr>
            <w:r>
              <w:rPr>
                <w:rFonts w:hint="cs"/>
                <w:sz w:val="26"/>
                <w:szCs w:val="26"/>
                <w:rtl/>
              </w:rPr>
              <w:t>17</w:t>
            </w:r>
          </w:p>
        </w:tc>
        <w:tc>
          <w:tcPr>
            <w:tcW w:w="1080" w:type="dxa"/>
            <w:tcBorders>
              <w:bottom w:val="nil"/>
            </w:tcBorders>
          </w:tcPr>
          <w:p w:rsidR="00567B15" w:rsidRDefault="00567B15">
            <w:pPr>
              <w:spacing w:before="0" w:after="0" w:line="320" w:lineRule="exact"/>
              <w:jc w:val="both"/>
              <w:rPr>
                <w:rFonts w:hint="cs"/>
                <w:sz w:val="26"/>
                <w:szCs w:val="26"/>
              </w:rPr>
            </w:pPr>
            <w:r>
              <w:rPr>
                <w:rFonts w:hint="cs"/>
                <w:sz w:val="26"/>
                <w:szCs w:val="26"/>
                <w:rtl/>
              </w:rPr>
              <w:t>4</w:t>
            </w:r>
          </w:p>
        </w:tc>
        <w:tc>
          <w:tcPr>
            <w:tcW w:w="1080" w:type="dxa"/>
            <w:tcBorders>
              <w:bottom w:val="nil"/>
            </w:tcBorders>
          </w:tcPr>
          <w:p w:rsidR="00567B15" w:rsidRDefault="00567B15">
            <w:pPr>
              <w:spacing w:before="0" w:after="0" w:line="320" w:lineRule="exact"/>
              <w:jc w:val="both"/>
              <w:rPr>
                <w:rFonts w:hint="cs"/>
                <w:sz w:val="26"/>
                <w:szCs w:val="26"/>
              </w:rPr>
            </w:pPr>
            <w:r>
              <w:rPr>
                <w:rFonts w:hint="cs"/>
                <w:sz w:val="26"/>
                <w:szCs w:val="26"/>
                <w:rtl/>
              </w:rPr>
              <w:t>103</w:t>
            </w:r>
          </w:p>
        </w:tc>
        <w:tc>
          <w:tcPr>
            <w:tcW w:w="954" w:type="dxa"/>
            <w:tcBorders>
              <w:bottom w:val="nil"/>
            </w:tcBorders>
          </w:tcPr>
          <w:p w:rsidR="00567B15" w:rsidRDefault="00567B15">
            <w:pPr>
              <w:spacing w:before="0" w:after="0" w:line="320" w:lineRule="exact"/>
              <w:jc w:val="both"/>
              <w:rPr>
                <w:rFonts w:hint="cs"/>
                <w:sz w:val="26"/>
                <w:szCs w:val="26"/>
              </w:rPr>
            </w:pPr>
            <w:r>
              <w:rPr>
                <w:rFonts w:hint="cs"/>
                <w:sz w:val="26"/>
                <w:szCs w:val="26"/>
                <w:rtl/>
              </w:rPr>
              <w:t>811 2</w:t>
            </w:r>
          </w:p>
        </w:tc>
        <w:tc>
          <w:tcPr>
            <w:tcW w:w="981" w:type="dxa"/>
            <w:tcBorders>
              <w:bottom w:val="nil"/>
            </w:tcBorders>
          </w:tcPr>
          <w:p w:rsidR="00567B15" w:rsidRDefault="00567B15">
            <w:pPr>
              <w:spacing w:before="0" w:after="0" w:line="320" w:lineRule="exact"/>
              <w:jc w:val="both"/>
              <w:rPr>
                <w:rFonts w:hint="cs"/>
                <w:sz w:val="26"/>
                <w:szCs w:val="26"/>
              </w:rPr>
            </w:pPr>
            <w:r>
              <w:rPr>
                <w:rFonts w:hint="cs"/>
                <w:sz w:val="26"/>
                <w:szCs w:val="26"/>
                <w:rtl/>
              </w:rPr>
              <w:t>092 3</w:t>
            </w:r>
          </w:p>
        </w:tc>
        <w:tc>
          <w:tcPr>
            <w:tcW w:w="1238" w:type="dxa"/>
            <w:tcBorders>
              <w:bottom w:val="nil"/>
            </w:tcBorders>
          </w:tcPr>
          <w:p w:rsidR="00567B15" w:rsidRDefault="00567B15">
            <w:pPr>
              <w:spacing w:before="0" w:after="0" w:line="320" w:lineRule="exact"/>
              <w:jc w:val="both"/>
              <w:rPr>
                <w:rFonts w:hint="cs"/>
                <w:sz w:val="26"/>
                <w:szCs w:val="26"/>
              </w:rPr>
            </w:pPr>
            <w:r>
              <w:rPr>
                <w:rFonts w:hint="cs"/>
                <w:sz w:val="26"/>
                <w:szCs w:val="26"/>
                <w:rtl/>
              </w:rPr>
              <w:t>0.00</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خلع</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6</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248</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254</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1.38</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التواء، وثي</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5</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127 1</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133 1</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6.14</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ارتجاج، إصابة داخلية</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349</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20</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22</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111</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225</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727</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3.94</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بتر، فصع</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4</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38</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508</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106</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658</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3.57</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إصابات أخرى</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4</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12</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23</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572 4</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612 4</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24.99</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إصابات سطحية</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26</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490 2</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519 2</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13.65</w:t>
            </w:r>
          </w:p>
        </w:tc>
      </w:tr>
      <w:tr w:rsidR="00567B15" w:rsidTr="00567B15">
        <w:tblPrEx>
          <w:tblCellMar>
            <w:top w:w="0" w:type="dxa"/>
            <w:bottom w:w="0" w:type="dxa"/>
          </w:tblCellMar>
        </w:tblPrEx>
        <w:trPr>
          <w:jc w:val="center"/>
        </w:trPr>
        <w:tc>
          <w:tcPr>
            <w:tcW w:w="2082"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كدمات، هرس</w:t>
            </w:r>
          </w:p>
        </w:tc>
        <w:tc>
          <w:tcPr>
            <w:tcW w:w="900"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56</w:t>
            </w:r>
          </w:p>
        </w:tc>
        <w:tc>
          <w:tcPr>
            <w:tcW w:w="1080"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7</w:t>
            </w:r>
          </w:p>
        </w:tc>
        <w:tc>
          <w:tcPr>
            <w:tcW w:w="1080"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6</w:t>
            </w:r>
          </w:p>
        </w:tc>
        <w:tc>
          <w:tcPr>
            <w:tcW w:w="1080"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86</w:t>
            </w:r>
          </w:p>
        </w:tc>
        <w:tc>
          <w:tcPr>
            <w:tcW w:w="954"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993 3</w:t>
            </w:r>
          </w:p>
        </w:tc>
        <w:tc>
          <w:tcPr>
            <w:tcW w:w="981"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148 4</w:t>
            </w:r>
          </w:p>
        </w:tc>
        <w:tc>
          <w:tcPr>
            <w:tcW w:w="1238" w:type="dxa"/>
            <w:tcBorders>
              <w:top w:val="nil"/>
              <w:bottom w:val="single" w:sz="4" w:space="0" w:color="auto"/>
            </w:tcBorders>
          </w:tcPr>
          <w:p w:rsidR="00567B15" w:rsidRDefault="00567B15">
            <w:pPr>
              <w:spacing w:before="0" w:after="0" w:line="320" w:lineRule="exact"/>
              <w:jc w:val="both"/>
              <w:rPr>
                <w:rFonts w:hint="cs"/>
                <w:sz w:val="26"/>
                <w:szCs w:val="26"/>
              </w:rPr>
            </w:pPr>
            <w:r>
              <w:rPr>
                <w:rFonts w:hint="cs"/>
                <w:sz w:val="26"/>
                <w:szCs w:val="26"/>
                <w:rtl/>
              </w:rPr>
              <w:t>22.48</w:t>
            </w:r>
          </w:p>
        </w:tc>
      </w:tr>
      <w:tr w:rsidR="00567B15" w:rsidTr="00567B15">
        <w:tblPrEx>
          <w:tblCellMar>
            <w:top w:w="0" w:type="dxa"/>
            <w:bottom w:w="0" w:type="dxa"/>
          </w:tblCellMar>
        </w:tblPrEx>
        <w:trPr>
          <w:jc w:val="center"/>
        </w:trPr>
        <w:tc>
          <w:tcPr>
            <w:tcW w:w="2082"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حروق</w:t>
            </w:r>
          </w:p>
        </w:tc>
        <w:tc>
          <w:tcPr>
            <w:tcW w:w="900"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13</w:t>
            </w:r>
          </w:p>
        </w:tc>
        <w:tc>
          <w:tcPr>
            <w:tcW w:w="1080"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2</w:t>
            </w:r>
          </w:p>
        </w:tc>
        <w:tc>
          <w:tcPr>
            <w:tcW w:w="1080"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25</w:t>
            </w:r>
          </w:p>
        </w:tc>
        <w:tc>
          <w:tcPr>
            <w:tcW w:w="954"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865</w:t>
            </w:r>
          </w:p>
        </w:tc>
        <w:tc>
          <w:tcPr>
            <w:tcW w:w="981"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905</w:t>
            </w:r>
          </w:p>
        </w:tc>
        <w:tc>
          <w:tcPr>
            <w:tcW w:w="1238" w:type="dxa"/>
            <w:tcBorders>
              <w:top w:val="single" w:sz="4" w:space="0" w:color="auto"/>
              <w:bottom w:val="nil"/>
            </w:tcBorders>
          </w:tcPr>
          <w:p w:rsidR="00567B15" w:rsidRDefault="00567B15">
            <w:pPr>
              <w:spacing w:before="0" w:after="0" w:line="320" w:lineRule="exact"/>
              <w:jc w:val="both"/>
              <w:rPr>
                <w:rFonts w:hint="cs"/>
                <w:sz w:val="26"/>
                <w:szCs w:val="26"/>
              </w:rPr>
            </w:pPr>
            <w:r>
              <w:rPr>
                <w:rFonts w:hint="cs"/>
                <w:sz w:val="26"/>
                <w:szCs w:val="26"/>
                <w:rtl/>
              </w:rPr>
              <w:t>4.90</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تسمم، تسمم حاد</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1</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7</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8</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0.04</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آثار البرد، إلخ.</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2</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0.01</w:t>
            </w:r>
          </w:p>
        </w:tc>
      </w:tr>
      <w:tr w:rsidR="00567B15" w:rsidTr="00567B15">
        <w:tblPrEx>
          <w:tblCellMar>
            <w:top w:w="0" w:type="dxa"/>
            <w:bottom w:w="0" w:type="dxa"/>
          </w:tblCellMar>
        </w:tblPrEx>
        <w:trPr>
          <w:jc w:val="center"/>
        </w:trPr>
        <w:tc>
          <w:tcPr>
            <w:tcW w:w="2082"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اختناق</w:t>
            </w:r>
          </w:p>
        </w:tc>
        <w:tc>
          <w:tcPr>
            <w:tcW w:w="90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39</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4</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5</w:t>
            </w:r>
          </w:p>
        </w:tc>
        <w:tc>
          <w:tcPr>
            <w:tcW w:w="1080"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صفر</w:t>
            </w:r>
          </w:p>
        </w:tc>
        <w:tc>
          <w:tcPr>
            <w:tcW w:w="954"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36</w:t>
            </w:r>
          </w:p>
        </w:tc>
        <w:tc>
          <w:tcPr>
            <w:tcW w:w="981"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84</w:t>
            </w:r>
          </w:p>
        </w:tc>
        <w:tc>
          <w:tcPr>
            <w:tcW w:w="1238"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0.46</w:t>
            </w:r>
          </w:p>
        </w:tc>
      </w:tr>
      <w:tr w:rsidR="00567B15" w:rsidTr="00567B15">
        <w:tblPrEx>
          <w:tblCellMar>
            <w:top w:w="0" w:type="dxa"/>
            <w:bottom w:w="0" w:type="dxa"/>
          </w:tblCellMar>
        </w:tblPrEx>
        <w:trPr>
          <w:jc w:val="center"/>
        </w:trPr>
        <w:tc>
          <w:tcPr>
            <w:tcW w:w="2082" w:type="dxa"/>
            <w:tcBorders>
              <w:top w:val="nil"/>
            </w:tcBorders>
          </w:tcPr>
          <w:p w:rsidR="00567B15" w:rsidRDefault="00567B15">
            <w:pPr>
              <w:spacing w:before="0" w:after="0" w:line="320" w:lineRule="exact"/>
              <w:jc w:val="both"/>
              <w:rPr>
                <w:rFonts w:hint="cs"/>
                <w:sz w:val="26"/>
                <w:szCs w:val="26"/>
              </w:rPr>
            </w:pPr>
            <w:r>
              <w:rPr>
                <w:rFonts w:hint="cs"/>
                <w:sz w:val="26"/>
                <w:szCs w:val="26"/>
                <w:rtl/>
              </w:rPr>
              <w:t>صعق كهربائي</w:t>
            </w:r>
          </w:p>
        </w:tc>
        <w:tc>
          <w:tcPr>
            <w:tcW w:w="900" w:type="dxa"/>
            <w:tcBorders>
              <w:top w:val="nil"/>
            </w:tcBorders>
          </w:tcPr>
          <w:p w:rsidR="00567B15" w:rsidRDefault="00567B15">
            <w:pPr>
              <w:spacing w:before="0" w:after="0" w:line="320" w:lineRule="exact"/>
              <w:jc w:val="both"/>
              <w:rPr>
                <w:rFonts w:hint="cs"/>
                <w:sz w:val="26"/>
                <w:szCs w:val="26"/>
              </w:rPr>
            </w:pPr>
            <w:r>
              <w:rPr>
                <w:rFonts w:hint="cs"/>
                <w:sz w:val="26"/>
                <w:szCs w:val="26"/>
                <w:rtl/>
              </w:rPr>
              <w:t>18</w:t>
            </w:r>
          </w:p>
        </w:tc>
        <w:tc>
          <w:tcPr>
            <w:tcW w:w="1080" w:type="dxa"/>
            <w:tcBorders>
              <w:top w:val="nil"/>
            </w:tcBorders>
          </w:tcPr>
          <w:p w:rsidR="00567B15" w:rsidRDefault="00567B15">
            <w:pPr>
              <w:spacing w:before="0" w:after="0" w:line="320" w:lineRule="exact"/>
              <w:jc w:val="both"/>
              <w:rPr>
                <w:rFonts w:hint="cs"/>
                <w:sz w:val="26"/>
                <w:szCs w:val="26"/>
              </w:rPr>
            </w:pPr>
            <w:r>
              <w:rPr>
                <w:rFonts w:hint="cs"/>
                <w:sz w:val="26"/>
                <w:szCs w:val="26"/>
                <w:rtl/>
              </w:rPr>
              <w:t>1</w:t>
            </w:r>
          </w:p>
        </w:tc>
        <w:tc>
          <w:tcPr>
            <w:tcW w:w="1080" w:type="dxa"/>
            <w:tcBorders>
              <w:top w:val="nil"/>
            </w:tcBorders>
          </w:tcPr>
          <w:p w:rsidR="00567B15" w:rsidRDefault="00567B15">
            <w:pPr>
              <w:spacing w:before="0" w:after="0" w:line="320" w:lineRule="exact"/>
              <w:jc w:val="both"/>
              <w:rPr>
                <w:rFonts w:hint="cs"/>
                <w:sz w:val="26"/>
                <w:szCs w:val="26"/>
              </w:rPr>
            </w:pPr>
            <w:r>
              <w:rPr>
                <w:rFonts w:hint="cs"/>
                <w:sz w:val="26"/>
                <w:szCs w:val="26"/>
                <w:rtl/>
              </w:rPr>
              <w:t>2</w:t>
            </w:r>
          </w:p>
        </w:tc>
        <w:tc>
          <w:tcPr>
            <w:tcW w:w="1080" w:type="dxa"/>
            <w:tcBorders>
              <w:top w:val="nil"/>
            </w:tcBorders>
          </w:tcPr>
          <w:p w:rsidR="00567B15" w:rsidRDefault="00567B15">
            <w:pPr>
              <w:spacing w:before="0" w:after="0" w:line="320" w:lineRule="exact"/>
              <w:jc w:val="both"/>
              <w:rPr>
                <w:rFonts w:hint="cs"/>
                <w:sz w:val="26"/>
                <w:szCs w:val="26"/>
              </w:rPr>
            </w:pPr>
            <w:r>
              <w:rPr>
                <w:rFonts w:hint="cs"/>
                <w:sz w:val="26"/>
                <w:szCs w:val="26"/>
                <w:rtl/>
              </w:rPr>
              <w:t>16</w:t>
            </w:r>
          </w:p>
        </w:tc>
        <w:tc>
          <w:tcPr>
            <w:tcW w:w="954" w:type="dxa"/>
            <w:tcBorders>
              <w:top w:val="nil"/>
            </w:tcBorders>
          </w:tcPr>
          <w:p w:rsidR="00567B15" w:rsidRDefault="00567B15">
            <w:pPr>
              <w:spacing w:before="0" w:after="0" w:line="320" w:lineRule="exact"/>
              <w:jc w:val="both"/>
              <w:rPr>
                <w:rFonts w:hint="cs"/>
                <w:sz w:val="26"/>
                <w:szCs w:val="26"/>
              </w:rPr>
            </w:pPr>
            <w:r>
              <w:rPr>
                <w:rFonts w:hint="cs"/>
                <w:sz w:val="26"/>
                <w:szCs w:val="26"/>
                <w:rtl/>
              </w:rPr>
              <w:t>276</w:t>
            </w:r>
          </w:p>
        </w:tc>
        <w:tc>
          <w:tcPr>
            <w:tcW w:w="981" w:type="dxa"/>
            <w:tcBorders>
              <w:top w:val="nil"/>
            </w:tcBorders>
          </w:tcPr>
          <w:p w:rsidR="00567B15" w:rsidRDefault="00567B15">
            <w:pPr>
              <w:spacing w:before="0" w:after="0" w:line="320" w:lineRule="exact"/>
              <w:jc w:val="both"/>
              <w:rPr>
                <w:rFonts w:hint="cs"/>
                <w:sz w:val="26"/>
                <w:szCs w:val="26"/>
              </w:rPr>
            </w:pPr>
            <w:r>
              <w:rPr>
                <w:rFonts w:hint="cs"/>
                <w:sz w:val="26"/>
                <w:szCs w:val="26"/>
                <w:rtl/>
              </w:rPr>
              <w:t>313</w:t>
            </w:r>
          </w:p>
        </w:tc>
        <w:tc>
          <w:tcPr>
            <w:tcW w:w="1238" w:type="dxa"/>
            <w:tcBorders>
              <w:top w:val="nil"/>
            </w:tcBorders>
          </w:tcPr>
          <w:p w:rsidR="00567B15" w:rsidRDefault="00567B15">
            <w:pPr>
              <w:spacing w:before="0" w:after="0" w:line="320" w:lineRule="exact"/>
              <w:jc w:val="both"/>
              <w:rPr>
                <w:rFonts w:hint="cs"/>
                <w:sz w:val="26"/>
                <w:szCs w:val="26"/>
              </w:rPr>
            </w:pPr>
            <w:r>
              <w:rPr>
                <w:rFonts w:hint="cs"/>
                <w:sz w:val="26"/>
                <w:szCs w:val="26"/>
                <w:rtl/>
              </w:rPr>
              <w:t>1.70</w:t>
            </w:r>
          </w:p>
        </w:tc>
      </w:tr>
      <w:tr w:rsidR="00567B15" w:rsidTr="00567B15">
        <w:tblPrEx>
          <w:tblCellMar>
            <w:top w:w="0" w:type="dxa"/>
            <w:bottom w:w="0" w:type="dxa"/>
          </w:tblCellMar>
        </w:tblPrEx>
        <w:trPr>
          <w:trHeight w:val="357"/>
          <w:jc w:val="center"/>
        </w:trPr>
        <w:tc>
          <w:tcPr>
            <w:tcW w:w="2082" w:type="dxa"/>
          </w:tcPr>
          <w:p w:rsidR="00567B15" w:rsidRDefault="00567B15">
            <w:pPr>
              <w:spacing w:before="0" w:after="0" w:line="320" w:lineRule="exact"/>
              <w:jc w:val="both"/>
              <w:rPr>
                <w:rFonts w:hint="cs"/>
                <w:sz w:val="26"/>
                <w:szCs w:val="26"/>
              </w:rPr>
            </w:pPr>
            <w:r>
              <w:rPr>
                <w:rFonts w:hint="cs"/>
                <w:sz w:val="26"/>
                <w:szCs w:val="26"/>
                <w:rtl/>
              </w:rPr>
              <w:t xml:space="preserve">  المجموع</w:t>
            </w:r>
          </w:p>
        </w:tc>
        <w:tc>
          <w:tcPr>
            <w:tcW w:w="900" w:type="dxa"/>
          </w:tcPr>
          <w:p w:rsidR="00567B15" w:rsidRDefault="00567B15">
            <w:pPr>
              <w:spacing w:before="0" w:after="0" w:line="320" w:lineRule="exact"/>
              <w:jc w:val="both"/>
              <w:rPr>
                <w:rFonts w:hint="cs"/>
                <w:sz w:val="26"/>
                <w:szCs w:val="26"/>
              </w:rPr>
            </w:pPr>
            <w:r>
              <w:rPr>
                <w:rFonts w:hint="cs"/>
                <w:sz w:val="26"/>
                <w:szCs w:val="26"/>
                <w:rtl/>
              </w:rPr>
              <w:t>638</w:t>
            </w:r>
          </w:p>
        </w:tc>
        <w:tc>
          <w:tcPr>
            <w:tcW w:w="1080" w:type="dxa"/>
          </w:tcPr>
          <w:p w:rsidR="00567B15" w:rsidRDefault="00567B15">
            <w:pPr>
              <w:spacing w:before="0" w:after="0" w:line="320" w:lineRule="exact"/>
              <w:jc w:val="both"/>
              <w:rPr>
                <w:rFonts w:hint="cs"/>
                <w:sz w:val="26"/>
                <w:szCs w:val="26"/>
              </w:rPr>
            </w:pPr>
            <w:r>
              <w:rPr>
                <w:rFonts w:hint="cs"/>
                <w:sz w:val="26"/>
                <w:szCs w:val="26"/>
                <w:rtl/>
              </w:rPr>
              <w:t>69</w:t>
            </w:r>
          </w:p>
        </w:tc>
        <w:tc>
          <w:tcPr>
            <w:tcW w:w="1080" w:type="dxa"/>
          </w:tcPr>
          <w:p w:rsidR="00567B15" w:rsidRDefault="00567B15">
            <w:pPr>
              <w:spacing w:before="0" w:after="0" w:line="320" w:lineRule="exact"/>
              <w:jc w:val="both"/>
              <w:rPr>
                <w:rFonts w:hint="cs"/>
                <w:sz w:val="26"/>
                <w:szCs w:val="26"/>
              </w:rPr>
            </w:pPr>
            <w:r>
              <w:rPr>
                <w:rFonts w:hint="cs"/>
                <w:sz w:val="26"/>
                <w:szCs w:val="26"/>
                <w:rtl/>
              </w:rPr>
              <w:t>80</w:t>
            </w:r>
          </w:p>
        </w:tc>
        <w:tc>
          <w:tcPr>
            <w:tcW w:w="1080" w:type="dxa"/>
          </w:tcPr>
          <w:p w:rsidR="00567B15" w:rsidRDefault="00567B15">
            <w:pPr>
              <w:spacing w:before="0" w:after="0" w:line="320" w:lineRule="exact"/>
              <w:jc w:val="both"/>
              <w:rPr>
                <w:rFonts w:hint="cs"/>
                <w:sz w:val="26"/>
                <w:szCs w:val="26"/>
              </w:rPr>
            </w:pPr>
            <w:r>
              <w:rPr>
                <w:rFonts w:hint="cs"/>
                <w:sz w:val="26"/>
                <w:szCs w:val="26"/>
                <w:rtl/>
              </w:rPr>
              <w:t>910</w:t>
            </w:r>
          </w:p>
        </w:tc>
        <w:tc>
          <w:tcPr>
            <w:tcW w:w="954" w:type="dxa"/>
          </w:tcPr>
          <w:p w:rsidR="00567B15" w:rsidRDefault="00567B15">
            <w:pPr>
              <w:spacing w:before="0" w:after="0" w:line="320" w:lineRule="exact"/>
              <w:jc w:val="both"/>
              <w:rPr>
                <w:rFonts w:hint="cs"/>
                <w:sz w:val="26"/>
                <w:szCs w:val="26"/>
              </w:rPr>
            </w:pPr>
            <w:r>
              <w:rPr>
                <w:rFonts w:hint="cs"/>
                <w:sz w:val="26"/>
                <w:szCs w:val="26"/>
                <w:rtl/>
              </w:rPr>
              <w:t>758 16</w:t>
            </w:r>
          </w:p>
        </w:tc>
        <w:tc>
          <w:tcPr>
            <w:tcW w:w="981" w:type="dxa"/>
          </w:tcPr>
          <w:p w:rsidR="00567B15" w:rsidRDefault="00567B15">
            <w:pPr>
              <w:spacing w:before="0" w:after="0" w:line="320" w:lineRule="exact"/>
              <w:jc w:val="both"/>
              <w:rPr>
                <w:rFonts w:hint="cs"/>
                <w:sz w:val="26"/>
                <w:szCs w:val="26"/>
              </w:rPr>
            </w:pPr>
            <w:r>
              <w:rPr>
                <w:rFonts w:hint="cs"/>
                <w:sz w:val="26"/>
                <w:szCs w:val="26"/>
                <w:rtl/>
              </w:rPr>
              <w:t>455 18</w:t>
            </w:r>
          </w:p>
        </w:tc>
        <w:tc>
          <w:tcPr>
            <w:tcW w:w="1238" w:type="dxa"/>
          </w:tcPr>
          <w:p w:rsidR="00567B15" w:rsidRDefault="00567B15">
            <w:pPr>
              <w:spacing w:before="0" w:after="0" w:line="320" w:lineRule="exact"/>
              <w:jc w:val="both"/>
              <w:rPr>
                <w:rFonts w:hint="cs"/>
                <w:sz w:val="26"/>
                <w:szCs w:val="26"/>
              </w:rPr>
            </w:pPr>
            <w:r>
              <w:rPr>
                <w:rFonts w:hint="cs"/>
                <w:sz w:val="26"/>
                <w:szCs w:val="26"/>
                <w:rtl/>
              </w:rPr>
              <w:t>100.00</w:t>
            </w:r>
          </w:p>
        </w:tc>
      </w:tr>
    </w:tbl>
    <w:p w:rsidR="00000000" w:rsidRDefault="00567B15">
      <w:pPr>
        <w:spacing w:after="120"/>
        <w:jc w:val="center"/>
        <w:rPr>
          <w:rFonts w:hint="cs"/>
          <w:b/>
          <w:bCs/>
          <w:rtl/>
        </w:rPr>
      </w:pPr>
      <w:r>
        <w:rPr>
          <w:rFonts w:hint="cs"/>
          <w:b/>
          <w:bCs/>
          <w:rtl/>
        </w:rPr>
        <w:t>الاتجاهات في الحوادث المتصلة بالعمل</w:t>
      </w:r>
    </w:p>
    <w:p w:rsidR="00000000" w:rsidRDefault="00567B15">
      <w:pPr>
        <w:spacing w:before="120" w:after="120"/>
        <w:jc w:val="center"/>
        <w:rPr>
          <w:rFonts w:hint="cs"/>
          <w:b/>
          <w:bCs/>
          <w:rtl/>
        </w:rPr>
      </w:pPr>
      <w:r>
        <w:rPr>
          <w:rFonts w:hint="cs"/>
          <w:b/>
          <w:bCs/>
          <w:rtl/>
        </w:rPr>
        <w:t>مؤشرات السلامة، إكوادور (أعضاء المعهد الإكوادوري للضمان الاجتماعي)</w:t>
      </w:r>
    </w:p>
    <w:tbl>
      <w:tblPr>
        <w:bidiVisual/>
        <w:tblW w:w="0" w:type="auto"/>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1"/>
        <w:gridCol w:w="2392"/>
        <w:gridCol w:w="2393"/>
        <w:gridCol w:w="2393"/>
      </w:tblGrid>
      <w:tr w:rsidR="00567B15" w:rsidTr="00567B15">
        <w:tblPrEx>
          <w:tblCellMar>
            <w:top w:w="0" w:type="dxa"/>
            <w:bottom w:w="0" w:type="dxa"/>
          </w:tblCellMar>
        </w:tblPrEx>
        <w:trPr>
          <w:jc w:val="center"/>
        </w:trPr>
        <w:tc>
          <w:tcPr>
            <w:tcW w:w="2231" w:type="dxa"/>
            <w:tcBorders>
              <w:bottom w:val="single" w:sz="4" w:space="0" w:color="auto"/>
            </w:tcBorders>
          </w:tcPr>
          <w:p w:rsidR="00567B15" w:rsidRDefault="00567B15">
            <w:pPr>
              <w:spacing w:before="0" w:after="0" w:line="320" w:lineRule="exact"/>
              <w:jc w:val="center"/>
              <w:rPr>
                <w:rFonts w:hint="cs"/>
                <w:sz w:val="26"/>
                <w:szCs w:val="26"/>
              </w:rPr>
            </w:pPr>
            <w:r>
              <w:rPr>
                <w:rFonts w:hint="cs"/>
                <w:sz w:val="26"/>
                <w:szCs w:val="26"/>
                <w:rtl/>
              </w:rPr>
              <w:t>السنة</w:t>
            </w:r>
          </w:p>
        </w:tc>
        <w:tc>
          <w:tcPr>
            <w:tcW w:w="2392" w:type="dxa"/>
            <w:tcBorders>
              <w:bottom w:val="single" w:sz="4" w:space="0" w:color="auto"/>
            </w:tcBorders>
          </w:tcPr>
          <w:p w:rsidR="00567B15" w:rsidRDefault="00567B15">
            <w:pPr>
              <w:spacing w:before="0" w:after="0" w:line="320" w:lineRule="exact"/>
              <w:jc w:val="center"/>
              <w:rPr>
                <w:rFonts w:hint="cs"/>
                <w:sz w:val="26"/>
                <w:szCs w:val="26"/>
              </w:rPr>
            </w:pPr>
            <w:r>
              <w:rPr>
                <w:rFonts w:hint="cs"/>
                <w:sz w:val="26"/>
                <w:szCs w:val="26"/>
                <w:rtl/>
              </w:rPr>
              <w:t>مؤشر التواتر</w:t>
            </w:r>
          </w:p>
        </w:tc>
        <w:tc>
          <w:tcPr>
            <w:tcW w:w="2393" w:type="dxa"/>
            <w:tcBorders>
              <w:bottom w:val="single" w:sz="4" w:space="0" w:color="auto"/>
            </w:tcBorders>
          </w:tcPr>
          <w:p w:rsidR="00567B15" w:rsidRDefault="00567B15">
            <w:pPr>
              <w:spacing w:before="0" w:after="0" w:line="320" w:lineRule="exact"/>
              <w:jc w:val="center"/>
              <w:rPr>
                <w:rFonts w:hint="cs"/>
                <w:sz w:val="26"/>
                <w:szCs w:val="26"/>
              </w:rPr>
            </w:pPr>
            <w:r>
              <w:rPr>
                <w:rFonts w:hint="cs"/>
                <w:sz w:val="26"/>
                <w:szCs w:val="26"/>
                <w:rtl/>
              </w:rPr>
              <w:t>درجة الخطورة</w:t>
            </w:r>
          </w:p>
        </w:tc>
        <w:tc>
          <w:tcPr>
            <w:tcW w:w="2393" w:type="dxa"/>
            <w:tcBorders>
              <w:bottom w:val="single" w:sz="4" w:space="0" w:color="auto"/>
            </w:tcBorders>
          </w:tcPr>
          <w:p w:rsidR="00567B15" w:rsidRDefault="00567B15">
            <w:pPr>
              <w:spacing w:before="0" w:after="0" w:line="320" w:lineRule="exact"/>
              <w:jc w:val="center"/>
              <w:rPr>
                <w:rFonts w:hint="cs"/>
                <w:sz w:val="26"/>
                <w:szCs w:val="26"/>
              </w:rPr>
            </w:pPr>
            <w:r>
              <w:rPr>
                <w:rFonts w:hint="cs"/>
                <w:sz w:val="26"/>
                <w:szCs w:val="26"/>
                <w:rtl/>
              </w:rPr>
              <w:t>معدل احتمالات الإصابة</w:t>
            </w:r>
          </w:p>
        </w:tc>
      </w:tr>
      <w:tr w:rsidR="00567B15" w:rsidTr="00567B15">
        <w:tblPrEx>
          <w:tblCellMar>
            <w:top w:w="0" w:type="dxa"/>
            <w:bottom w:w="0" w:type="dxa"/>
          </w:tblCellMar>
        </w:tblPrEx>
        <w:trPr>
          <w:jc w:val="center"/>
        </w:trPr>
        <w:tc>
          <w:tcPr>
            <w:tcW w:w="2231" w:type="dxa"/>
            <w:tcBorders>
              <w:left w:val="single" w:sz="4" w:space="0" w:color="auto"/>
              <w:bottom w:val="nil"/>
            </w:tcBorders>
          </w:tcPr>
          <w:p w:rsidR="00567B15" w:rsidRDefault="00567B15">
            <w:pPr>
              <w:spacing w:before="0" w:after="0" w:line="320" w:lineRule="exact"/>
              <w:jc w:val="center"/>
              <w:rPr>
                <w:rFonts w:hint="cs"/>
                <w:sz w:val="26"/>
                <w:szCs w:val="26"/>
              </w:rPr>
            </w:pPr>
            <w:r>
              <w:rPr>
                <w:rFonts w:hint="cs"/>
                <w:sz w:val="26"/>
                <w:szCs w:val="26"/>
                <w:rtl/>
              </w:rPr>
              <w:t>1988</w:t>
            </w:r>
          </w:p>
        </w:tc>
        <w:tc>
          <w:tcPr>
            <w:tcW w:w="2392" w:type="dxa"/>
            <w:tcBorders>
              <w:bottom w:val="nil"/>
            </w:tcBorders>
          </w:tcPr>
          <w:p w:rsidR="00567B15" w:rsidRDefault="00567B15">
            <w:pPr>
              <w:spacing w:before="0" w:after="0" w:line="320" w:lineRule="exact"/>
              <w:jc w:val="center"/>
              <w:rPr>
                <w:rFonts w:hint="cs"/>
                <w:sz w:val="26"/>
                <w:szCs w:val="26"/>
              </w:rPr>
            </w:pPr>
            <w:r>
              <w:rPr>
                <w:rFonts w:hint="cs"/>
                <w:sz w:val="26"/>
                <w:szCs w:val="26"/>
                <w:rtl/>
              </w:rPr>
              <w:t>2.90</w:t>
            </w:r>
          </w:p>
        </w:tc>
        <w:tc>
          <w:tcPr>
            <w:tcW w:w="2393" w:type="dxa"/>
            <w:tcBorders>
              <w:bottom w:val="nil"/>
            </w:tcBorders>
          </w:tcPr>
          <w:p w:rsidR="00567B15" w:rsidRDefault="00567B15">
            <w:pPr>
              <w:spacing w:before="0" w:after="0" w:line="320" w:lineRule="exact"/>
              <w:jc w:val="center"/>
              <w:rPr>
                <w:rFonts w:hint="cs"/>
                <w:sz w:val="26"/>
                <w:szCs w:val="26"/>
              </w:rPr>
            </w:pPr>
            <w:r>
              <w:rPr>
                <w:rFonts w:hint="cs"/>
                <w:sz w:val="26"/>
                <w:szCs w:val="26"/>
                <w:rtl/>
              </w:rPr>
              <w:t>670.00</w:t>
            </w:r>
          </w:p>
        </w:tc>
        <w:tc>
          <w:tcPr>
            <w:tcW w:w="2393" w:type="dxa"/>
            <w:tcBorders>
              <w:bottom w:val="nil"/>
            </w:tcBorders>
          </w:tcPr>
          <w:p w:rsidR="00567B15" w:rsidRDefault="00567B15">
            <w:pPr>
              <w:spacing w:before="0" w:after="0" w:line="320" w:lineRule="exact"/>
              <w:jc w:val="center"/>
              <w:rPr>
                <w:rFonts w:hint="cs"/>
                <w:sz w:val="26"/>
                <w:szCs w:val="26"/>
              </w:rPr>
            </w:pPr>
            <w:r>
              <w:rPr>
                <w:rFonts w:hint="cs"/>
                <w:sz w:val="26"/>
                <w:szCs w:val="26"/>
                <w:rtl/>
              </w:rPr>
              <w:t>231.30</w:t>
            </w:r>
          </w:p>
        </w:tc>
      </w:tr>
      <w:tr w:rsidR="00567B15" w:rsidTr="00567B15">
        <w:tblPrEx>
          <w:tblCellMar>
            <w:top w:w="0" w:type="dxa"/>
            <w:bottom w:w="0" w:type="dxa"/>
          </w:tblCellMar>
        </w:tblPrEx>
        <w:trPr>
          <w:jc w:val="center"/>
        </w:trPr>
        <w:tc>
          <w:tcPr>
            <w:tcW w:w="2231" w:type="dxa"/>
            <w:tcBorders>
              <w:top w:val="nil"/>
              <w:left w:val="single" w:sz="4" w:space="0" w:color="auto"/>
              <w:bottom w:val="nil"/>
            </w:tcBorders>
          </w:tcPr>
          <w:p w:rsidR="00567B15" w:rsidRDefault="00567B15">
            <w:pPr>
              <w:spacing w:before="0" w:after="0" w:line="320" w:lineRule="exact"/>
              <w:jc w:val="center"/>
              <w:rPr>
                <w:rFonts w:hint="cs"/>
                <w:sz w:val="26"/>
                <w:szCs w:val="26"/>
              </w:rPr>
            </w:pPr>
            <w:r>
              <w:rPr>
                <w:rFonts w:hint="cs"/>
                <w:sz w:val="26"/>
                <w:szCs w:val="26"/>
                <w:rtl/>
              </w:rPr>
              <w:t>1989</w:t>
            </w:r>
          </w:p>
        </w:tc>
        <w:tc>
          <w:tcPr>
            <w:tcW w:w="2392"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3.45</w:t>
            </w:r>
          </w:p>
        </w:tc>
        <w:tc>
          <w:tcPr>
            <w:tcW w:w="2393"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735.96</w:t>
            </w:r>
          </w:p>
        </w:tc>
        <w:tc>
          <w:tcPr>
            <w:tcW w:w="2393"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210.27</w:t>
            </w:r>
          </w:p>
        </w:tc>
      </w:tr>
      <w:tr w:rsidR="00567B15" w:rsidTr="00567B15">
        <w:tblPrEx>
          <w:tblCellMar>
            <w:top w:w="0" w:type="dxa"/>
            <w:bottom w:w="0" w:type="dxa"/>
          </w:tblCellMar>
        </w:tblPrEx>
        <w:trPr>
          <w:jc w:val="center"/>
        </w:trPr>
        <w:tc>
          <w:tcPr>
            <w:tcW w:w="2231" w:type="dxa"/>
            <w:tcBorders>
              <w:top w:val="nil"/>
              <w:left w:val="single" w:sz="4" w:space="0" w:color="auto"/>
              <w:bottom w:val="nil"/>
            </w:tcBorders>
          </w:tcPr>
          <w:p w:rsidR="00567B15" w:rsidRDefault="00567B15">
            <w:pPr>
              <w:spacing w:before="0" w:after="0" w:line="320" w:lineRule="exact"/>
              <w:jc w:val="center"/>
              <w:rPr>
                <w:rFonts w:hint="cs"/>
                <w:sz w:val="26"/>
                <w:szCs w:val="26"/>
              </w:rPr>
            </w:pPr>
            <w:r>
              <w:rPr>
                <w:rFonts w:hint="cs"/>
                <w:sz w:val="26"/>
                <w:szCs w:val="26"/>
                <w:rtl/>
              </w:rPr>
              <w:t>1990</w:t>
            </w:r>
          </w:p>
        </w:tc>
        <w:tc>
          <w:tcPr>
            <w:tcW w:w="2392"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2.86</w:t>
            </w:r>
          </w:p>
        </w:tc>
        <w:tc>
          <w:tcPr>
            <w:tcW w:w="2393"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913.34</w:t>
            </w:r>
          </w:p>
        </w:tc>
        <w:tc>
          <w:tcPr>
            <w:tcW w:w="2393"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319.34</w:t>
            </w:r>
          </w:p>
        </w:tc>
      </w:tr>
      <w:tr w:rsidR="00567B15" w:rsidTr="00567B15">
        <w:tblPrEx>
          <w:tblCellMar>
            <w:top w:w="0" w:type="dxa"/>
            <w:bottom w:w="0" w:type="dxa"/>
          </w:tblCellMar>
        </w:tblPrEx>
        <w:trPr>
          <w:jc w:val="center"/>
        </w:trPr>
        <w:tc>
          <w:tcPr>
            <w:tcW w:w="2231" w:type="dxa"/>
            <w:tcBorders>
              <w:top w:val="nil"/>
              <w:left w:val="single" w:sz="4" w:space="0" w:color="auto"/>
              <w:bottom w:val="nil"/>
            </w:tcBorders>
          </w:tcPr>
          <w:p w:rsidR="00567B15" w:rsidRDefault="00567B15">
            <w:pPr>
              <w:spacing w:before="0" w:after="0" w:line="320" w:lineRule="exact"/>
              <w:jc w:val="center"/>
              <w:rPr>
                <w:rFonts w:hint="cs"/>
                <w:sz w:val="26"/>
                <w:szCs w:val="26"/>
                <w:rtl/>
              </w:rPr>
            </w:pPr>
            <w:r>
              <w:rPr>
                <w:rFonts w:hint="cs"/>
                <w:sz w:val="26"/>
                <w:szCs w:val="26"/>
                <w:rtl/>
              </w:rPr>
              <w:t>1991</w:t>
            </w:r>
          </w:p>
        </w:tc>
        <w:tc>
          <w:tcPr>
            <w:tcW w:w="2392"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2.71</w:t>
            </w:r>
          </w:p>
        </w:tc>
        <w:tc>
          <w:tcPr>
            <w:tcW w:w="2393"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766.91</w:t>
            </w:r>
          </w:p>
        </w:tc>
        <w:tc>
          <w:tcPr>
            <w:tcW w:w="2393"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282.99</w:t>
            </w:r>
          </w:p>
        </w:tc>
      </w:tr>
      <w:tr w:rsidR="00567B15" w:rsidTr="00567B15">
        <w:tblPrEx>
          <w:tblCellMar>
            <w:top w:w="0" w:type="dxa"/>
            <w:bottom w:w="0" w:type="dxa"/>
          </w:tblCellMar>
        </w:tblPrEx>
        <w:trPr>
          <w:jc w:val="center"/>
        </w:trPr>
        <w:tc>
          <w:tcPr>
            <w:tcW w:w="2231" w:type="dxa"/>
            <w:tcBorders>
              <w:top w:val="nil"/>
              <w:left w:val="single" w:sz="4" w:space="0" w:color="auto"/>
            </w:tcBorders>
          </w:tcPr>
          <w:p w:rsidR="00567B15" w:rsidRDefault="00567B15">
            <w:pPr>
              <w:spacing w:before="0" w:after="0" w:line="320" w:lineRule="exact"/>
              <w:jc w:val="center"/>
              <w:rPr>
                <w:rFonts w:hint="cs"/>
                <w:sz w:val="26"/>
                <w:szCs w:val="26"/>
                <w:rtl/>
              </w:rPr>
            </w:pPr>
            <w:r>
              <w:rPr>
                <w:rFonts w:hint="cs"/>
                <w:sz w:val="26"/>
                <w:szCs w:val="26"/>
                <w:rtl/>
              </w:rPr>
              <w:t>1992</w:t>
            </w:r>
          </w:p>
        </w:tc>
        <w:tc>
          <w:tcPr>
            <w:tcW w:w="2392" w:type="dxa"/>
            <w:tcBorders>
              <w:top w:val="nil"/>
            </w:tcBorders>
          </w:tcPr>
          <w:p w:rsidR="00567B15" w:rsidRDefault="00567B15">
            <w:pPr>
              <w:spacing w:before="0" w:after="0" w:line="320" w:lineRule="exact"/>
              <w:jc w:val="center"/>
              <w:rPr>
                <w:rFonts w:hint="cs"/>
                <w:sz w:val="26"/>
                <w:szCs w:val="26"/>
              </w:rPr>
            </w:pPr>
            <w:r>
              <w:rPr>
                <w:rFonts w:hint="cs"/>
                <w:sz w:val="26"/>
                <w:szCs w:val="26"/>
                <w:rtl/>
              </w:rPr>
              <w:t>1.92</w:t>
            </w:r>
          </w:p>
        </w:tc>
        <w:tc>
          <w:tcPr>
            <w:tcW w:w="2393" w:type="dxa"/>
            <w:tcBorders>
              <w:top w:val="nil"/>
            </w:tcBorders>
          </w:tcPr>
          <w:p w:rsidR="00567B15" w:rsidRDefault="00567B15">
            <w:pPr>
              <w:spacing w:before="0" w:after="0" w:line="320" w:lineRule="exact"/>
              <w:jc w:val="center"/>
              <w:rPr>
                <w:rFonts w:hint="cs"/>
                <w:sz w:val="26"/>
                <w:szCs w:val="26"/>
              </w:rPr>
            </w:pPr>
            <w:r>
              <w:rPr>
                <w:rFonts w:hint="cs"/>
                <w:sz w:val="26"/>
                <w:szCs w:val="26"/>
                <w:rtl/>
              </w:rPr>
              <w:t>594.87</w:t>
            </w:r>
          </w:p>
        </w:tc>
        <w:tc>
          <w:tcPr>
            <w:tcW w:w="2393" w:type="dxa"/>
            <w:tcBorders>
              <w:top w:val="nil"/>
            </w:tcBorders>
          </w:tcPr>
          <w:p w:rsidR="00567B15" w:rsidRDefault="00567B15">
            <w:pPr>
              <w:spacing w:before="0" w:after="0" w:line="320" w:lineRule="exact"/>
              <w:jc w:val="center"/>
              <w:rPr>
                <w:rFonts w:hint="cs"/>
                <w:sz w:val="26"/>
                <w:szCs w:val="26"/>
              </w:rPr>
            </w:pPr>
            <w:r>
              <w:rPr>
                <w:rFonts w:hint="cs"/>
                <w:sz w:val="26"/>
                <w:szCs w:val="26"/>
                <w:rtl/>
              </w:rPr>
              <w:t>309.82</w:t>
            </w:r>
          </w:p>
        </w:tc>
      </w:tr>
    </w:tbl>
    <w:p w:rsidR="00000000" w:rsidRDefault="00567B15">
      <w:pPr>
        <w:spacing w:before="120" w:after="0" w:line="320" w:lineRule="exact"/>
        <w:jc w:val="both"/>
        <w:rPr>
          <w:rFonts w:hint="cs"/>
          <w:rtl/>
        </w:rPr>
      </w:pPr>
      <w:r>
        <w:rPr>
          <w:rFonts w:hint="cs"/>
          <w:rtl/>
        </w:rPr>
        <w:tab/>
        <w:t>مؤشر التواتر =</w:t>
      </w:r>
      <w:r>
        <w:rPr>
          <w:rFonts w:hint="cs"/>
          <w:rtl/>
        </w:rPr>
        <w:tab/>
        <w:t xml:space="preserve">عدد الحوادث المؤدية إلى إجازات مرضية* </w:t>
      </w:r>
      <w:r>
        <w:rPr>
          <w:rFonts w:hint="cs"/>
          <w:vertAlign w:val="subscript"/>
          <w:rtl/>
        </w:rPr>
        <w:t>6</w:t>
      </w:r>
      <w:r>
        <w:rPr>
          <w:rFonts w:hint="cs"/>
          <w:rtl/>
        </w:rPr>
        <w:t>10</w:t>
      </w:r>
    </w:p>
    <w:p w:rsidR="00000000" w:rsidRDefault="00567B15">
      <w:pPr>
        <w:spacing w:before="0" w:after="0" w:line="320" w:lineRule="exact"/>
        <w:jc w:val="both"/>
        <w:rPr>
          <w:rFonts w:hint="cs"/>
          <w:rtl/>
        </w:rPr>
      </w:pPr>
      <w:r>
        <w:rPr>
          <w:rFonts w:hint="cs"/>
          <w:rtl/>
        </w:rPr>
        <w:tab/>
      </w:r>
      <w:r>
        <w:rPr>
          <w:rFonts w:hint="cs"/>
          <w:rtl/>
        </w:rPr>
        <w:tab/>
      </w:r>
      <w:r>
        <w:rPr>
          <w:rFonts w:hint="cs"/>
          <w:rtl/>
        </w:rPr>
        <w:tab/>
        <w:t>ــــــــــــــــــــ</w:t>
      </w:r>
    </w:p>
    <w:p w:rsidR="00000000" w:rsidRDefault="00567B15">
      <w:pPr>
        <w:spacing w:before="0" w:after="0" w:line="320" w:lineRule="exact"/>
        <w:jc w:val="both"/>
        <w:rPr>
          <w:rFonts w:hint="cs"/>
          <w:rtl/>
        </w:rPr>
      </w:pPr>
      <w:r>
        <w:rPr>
          <w:rFonts w:hint="cs"/>
          <w:rtl/>
        </w:rPr>
        <w:tab/>
      </w:r>
      <w:r>
        <w:rPr>
          <w:rFonts w:hint="cs"/>
          <w:rtl/>
        </w:rPr>
        <w:tab/>
      </w:r>
      <w:r>
        <w:rPr>
          <w:rFonts w:hint="cs"/>
          <w:rtl/>
        </w:rPr>
        <w:tab/>
        <w:t>عدد ساعات العمل</w:t>
      </w:r>
    </w:p>
    <w:p w:rsidR="00000000" w:rsidRDefault="00567B15">
      <w:pPr>
        <w:jc w:val="center"/>
        <w:rPr>
          <w:rFonts w:hint="cs"/>
          <w:b/>
          <w:bCs/>
          <w:rtl/>
        </w:rPr>
      </w:pPr>
      <w:r>
        <w:rPr>
          <w:rFonts w:hint="cs"/>
          <w:b/>
          <w:bCs/>
          <w:rtl/>
        </w:rPr>
        <w:t>مؤشر الحوادث (إكوادور، عدد أعضاء المعهد</w:t>
      </w:r>
      <w:r>
        <w:rPr>
          <w:rFonts w:hint="cs"/>
          <w:b/>
          <w:bCs/>
          <w:rtl/>
        </w:rPr>
        <w:t xml:space="preserve"> الإكوادوري للضمان الاجتماعي)</w:t>
      </w:r>
    </w:p>
    <w:tbl>
      <w:tblPr>
        <w:bidiVisual/>
        <w:tblW w:w="0" w:type="auto"/>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8"/>
        <w:gridCol w:w="1260"/>
        <w:gridCol w:w="1260"/>
        <w:gridCol w:w="1440"/>
        <w:gridCol w:w="1260"/>
        <w:gridCol w:w="1110"/>
      </w:tblGrid>
      <w:tr w:rsidR="00567B15" w:rsidTr="00567B15">
        <w:tblPrEx>
          <w:tblCellMar>
            <w:top w:w="0" w:type="dxa"/>
            <w:bottom w:w="0" w:type="dxa"/>
          </w:tblCellMar>
        </w:tblPrEx>
        <w:trPr>
          <w:jc w:val="center"/>
        </w:trPr>
        <w:tc>
          <w:tcPr>
            <w:tcW w:w="3068" w:type="dxa"/>
          </w:tcPr>
          <w:p w:rsidR="00567B15" w:rsidRDefault="00567B15">
            <w:pPr>
              <w:spacing w:before="0" w:after="0" w:line="320" w:lineRule="exact"/>
              <w:jc w:val="center"/>
              <w:rPr>
                <w:rFonts w:hint="cs"/>
                <w:sz w:val="26"/>
                <w:szCs w:val="26"/>
              </w:rPr>
            </w:pPr>
            <w:r>
              <w:rPr>
                <w:rFonts w:hint="cs"/>
                <w:sz w:val="26"/>
                <w:szCs w:val="26"/>
                <w:rtl/>
              </w:rPr>
              <w:t>السنة</w:t>
            </w:r>
          </w:p>
        </w:tc>
        <w:tc>
          <w:tcPr>
            <w:tcW w:w="1260" w:type="dxa"/>
          </w:tcPr>
          <w:p w:rsidR="00567B15" w:rsidRDefault="00567B15">
            <w:pPr>
              <w:spacing w:before="0" w:after="0" w:line="320" w:lineRule="exact"/>
              <w:jc w:val="center"/>
              <w:rPr>
                <w:rFonts w:hint="cs"/>
                <w:sz w:val="26"/>
                <w:szCs w:val="26"/>
              </w:rPr>
            </w:pPr>
            <w:r>
              <w:rPr>
                <w:rFonts w:hint="cs"/>
                <w:sz w:val="26"/>
                <w:szCs w:val="26"/>
                <w:rtl/>
              </w:rPr>
              <w:t>1988</w:t>
            </w:r>
          </w:p>
        </w:tc>
        <w:tc>
          <w:tcPr>
            <w:tcW w:w="1260" w:type="dxa"/>
          </w:tcPr>
          <w:p w:rsidR="00567B15" w:rsidRDefault="00567B15">
            <w:pPr>
              <w:spacing w:before="0" w:after="0" w:line="320" w:lineRule="exact"/>
              <w:jc w:val="center"/>
              <w:rPr>
                <w:rFonts w:hint="cs"/>
                <w:sz w:val="26"/>
                <w:szCs w:val="26"/>
              </w:rPr>
            </w:pPr>
            <w:r>
              <w:rPr>
                <w:rFonts w:hint="cs"/>
                <w:sz w:val="26"/>
                <w:szCs w:val="26"/>
                <w:rtl/>
              </w:rPr>
              <w:t>1989</w:t>
            </w:r>
          </w:p>
        </w:tc>
        <w:tc>
          <w:tcPr>
            <w:tcW w:w="1440" w:type="dxa"/>
          </w:tcPr>
          <w:p w:rsidR="00567B15" w:rsidRDefault="00567B15">
            <w:pPr>
              <w:spacing w:before="0" w:after="0" w:line="320" w:lineRule="exact"/>
              <w:jc w:val="center"/>
              <w:rPr>
                <w:rFonts w:hint="cs"/>
                <w:sz w:val="26"/>
                <w:szCs w:val="26"/>
              </w:rPr>
            </w:pPr>
            <w:r>
              <w:rPr>
                <w:rFonts w:hint="cs"/>
                <w:sz w:val="26"/>
                <w:szCs w:val="26"/>
                <w:rtl/>
              </w:rPr>
              <w:t>1990</w:t>
            </w:r>
          </w:p>
        </w:tc>
        <w:tc>
          <w:tcPr>
            <w:tcW w:w="1260" w:type="dxa"/>
          </w:tcPr>
          <w:p w:rsidR="00567B15" w:rsidRDefault="00567B15">
            <w:pPr>
              <w:spacing w:before="0" w:after="0" w:line="320" w:lineRule="exact"/>
              <w:jc w:val="center"/>
              <w:rPr>
                <w:rFonts w:hint="cs"/>
                <w:sz w:val="26"/>
                <w:szCs w:val="26"/>
              </w:rPr>
            </w:pPr>
            <w:r>
              <w:rPr>
                <w:rFonts w:hint="cs"/>
                <w:sz w:val="26"/>
                <w:szCs w:val="26"/>
                <w:rtl/>
              </w:rPr>
              <w:t>1991</w:t>
            </w:r>
          </w:p>
        </w:tc>
        <w:tc>
          <w:tcPr>
            <w:tcW w:w="1110" w:type="dxa"/>
          </w:tcPr>
          <w:p w:rsidR="00567B15" w:rsidRDefault="00567B15">
            <w:pPr>
              <w:spacing w:before="0" w:after="0" w:line="320" w:lineRule="exact"/>
              <w:jc w:val="center"/>
              <w:rPr>
                <w:rFonts w:hint="cs"/>
                <w:sz w:val="26"/>
                <w:szCs w:val="26"/>
              </w:rPr>
            </w:pPr>
            <w:r>
              <w:rPr>
                <w:rFonts w:hint="cs"/>
                <w:sz w:val="26"/>
                <w:szCs w:val="26"/>
                <w:rtl/>
              </w:rPr>
              <w:t>1992</w:t>
            </w:r>
          </w:p>
        </w:tc>
      </w:tr>
      <w:tr w:rsidR="00567B15" w:rsidTr="00567B15">
        <w:tblPrEx>
          <w:tblCellMar>
            <w:top w:w="0" w:type="dxa"/>
            <w:bottom w:w="0" w:type="dxa"/>
          </w:tblCellMar>
        </w:tblPrEx>
        <w:trPr>
          <w:jc w:val="center"/>
        </w:trPr>
        <w:tc>
          <w:tcPr>
            <w:tcW w:w="3068" w:type="dxa"/>
          </w:tcPr>
          <w:p w:rsidR="00567B15" w:rsidRDefault="00567B15">
            <w:pPr>
              <w:spacing w:before="0" w:after="0" w:line="320" w:lineRule="exact"/>
              <w:jc w:val="both"/>
              <w:rPr>
                <w:rFonts w:hint="cs"/>
                <w:sz w:val="26"/>
                <w:szCs w:val="26"/>
              </w:rPr>
            </w:pPr>
            <w:r>
              <w:rPr>
                <w:rFonts w:hint="cs"/>
                <w:sz w:val="26"/>
                <w:szCs w:val="26"/>
                <w:rtl/>
              </w:rPr>
              <w:t>مؤشر الحوادث</w:t>
            </w:r>
          </w:p>
        </w:tc>
        <w:tc>
          <w:tcPr>
            <w:tcW w:w="1260" w:type="dxa"/>
          </w:tcPr>
          <w:p w:rsidR="00567B15" w:rsidRDefault="00567B15">
            <w:pPr>
              <w:spacing w:before="0" w:after="0" w:line="320" w:lineRule="exact"/>
              <w:jc w:val="center"/>
              <w:rPr>
                <w:rFonts w:hint="cs"/>
                <w:sz w:val="26"/>
                <w:szCs w:val="26"/>
              </w:rPr>
            </w:pPr>
            <w:r>
              <w:rPr>
                <w:rFonts w:hint="cs"/>
                <w:sz w:val="26"/>
                <w:szCs w:val="26"/>
                <w:rtl/>
              </w:rPr>
              <w:t>0.58</w:t>
            </w:r>
          </w:p>
        </w:tc>
        <w:tc>
          <w:tcPr>
            <w:tcW w:w="1260" w:type="dxa"/>
          </w:tcPr>
          <w:p w:rsidR="00567B15" w:rsidRDefault="00567B15">
            <w:pPr>
              <w:spacing w:before="0" w:after="0" w:line="320" w:lineRule="exact"/>
              <w:jc w:val="center"/>
              <w:rPr>
                <w:rFonts w:hint="cs"/>
                <w:sz w:val="26"/>
                <w:szCs w:val="26"/>
              </w:rPr>
            </w:pPr>
            <w:r>
              <w:rPr>
                <w:rFonts w:hint="cs"/>
                <w:sz w:val="26"/>
                <w:szCs w:val="26"/>
                <w:rtl/>
              </w:rPr>
              <w:t>0.69</w:t>
            </w:r>
          </w:p>
        </w:tc>
        <w:tc>
          <w:tcPr>
            <w:tcW w:w="1440" w:type="dxa"/>
          </w:tcPr>
          <w:p w:rsidR="00567B15" w:rsidRDefault="00567B15">
            <w:pPr>
              <w:spacing w:before="0" w:after="0" w:line="320" w:lineRule="exact"/>
              <w:jc w:val="center"/>
              <w:rPr>
                <w:rFonts w:hint="cs"/>
                <w:sz w:val="26"/>
                <w:szCs w:val="26"/>
              </w:rPr>
            </w:pPr>
            <w:r>
              <w:rPr>
                <w:rFonts w:hint="cs"/>
                <w:sz w:val="26"/>
                <w:szCs w:val="26"/>
                <w:rtl/>
              </w:rPr>
              <w:t>0.57</w:t>
            </w:r>
          </w:p>
        </w:tc>
        <w:tc>
          <w:tcPr>
            <w:tcW w:w="1260" w:type="dxa"/>
          </w:tcPr>
          <w:p w:rsidR="00567B15" w:rsidRDefault="00567B15">
            <w:pPr>
              <w:spacing w:before="0" w:after="0" w:line="320" w:lineRule="exact"/>
              <w:jc w:val="center"/>
              <w:rPr>
                <w:rFonts w:hint="cs"/>
                <w:sz w:val="26"/>
                <w:szCs w:val="26"/>
              </w:rPr>
            </w:pPr>
            <w:r>
              <w:rPr>
                <w:rFonts w:hint="cs"/>
                <w:sz w:val="26"/>
                <w:szCs w:val="26"/>
                <w:rtl/>
              </w:rPr>
              <w:t>0.54</w:t>
            </w:r>
          </w:p>
        </w:tc>
        <w:tc>
          <w:tcPr>
            <w:tcW w:w="1110" w:type="dxa"/>
          </w:tcPr>
          <w:p w:rsidR="00567B15" w:rsidRDefault="00567B15">
            <w:pPr>
              <w:spacing w:before="0" w:after="0" w:line="320" w:lineRule="exact"/>
              <w:jc w:val="center"/>
              <w:rPr>
                <w:rFonts w:hint="cs"/>
                <w:sz w:val="26"/>
                <w:szCs w:val="26"/>
              </w:rPr>
            </w:pPr>
            <w:r>
              <w:rPr>
                <w:rFonts w:hint="cs"/>
                <w:sz w:val="26"/>
                <w:szCs w:val="26"/>
                <w:rtl/>
              </w:rPr>
              <w:t>0.38</w:t>
            </w:r>
          </w:p>
        </w:tc>
      </w:tr>
    </w:tbl>
    <w:p w:rsidR="00000000" w:rsidRDefault="00567B15">
      <w:pPr>
        <w:spacing w:after="0" w:line="320" w:lineRule="exact"/>
        <w:jc w:val="both"/>
        <w:rPr>
          <w:rFonts w:hint="cs"/>
          <w:rtl/>
        </w:rPr>
      </w:pPr>
      <w:r>
        <w:rPr>
          <w:rFonts w:hint="cs"/>
          <w:rtl/>
        </w:rPr>
        <w:tab/>
        <w:t>درجة الخطورة =</w:t>
      </w:r>
      <w:r>
        <w:rPr>
          <w:rFonts w:hint="cs"/>
          <w:rtl/>
        </w:rPr>
        <w:tab/>
        <w:t>الوقت الذي أضاعه ضحايا الحوادث* 610</w:t>
      </w:r>
    </w:p>
    <w:p w:rsidR="00000000" w:rsidRDefault="00567B15">
      <w:pPr>
        <w:spacing w:before="0" w:after="0" w:line="320" w:lineRule="exact"/>
        <w:jc w:val="both"/>
        <w:rPr>
          <w:rFonts w:hint="cs"/>
          <w:rtl/>
        </w:rPr>
      </w:pPr>
      <w:r>
        <w:rPr>
          <w:rFonts w:hint="cs"/>
          <w:rtl/>
        </w:rPr>
        <w:tab/>
      </w:r>
      <w:r>
        <w:rPr>
          <w:rFonts w:hint="cs"/>
          <w:rtl/>
        </w:rPr>
        <w:tab/>
      </w:r>
      <w:r>
        <w:rPr>
          <w:rFonts w:hint="cs"/>
          <w:rtl/>
        </w:rPr>
        <w:tab/>
        <w:t>ــــــــــــــــــ</w:t>
      </w:r>
    </w:p>
    <w:p w:rsidR="00000000" w:rsidRDefault="00567B15">
      <w:pPr>
        <w:spacing w:before="0" w:after="0" w:line="320" w:lineRule="exact"/>
        <w:jc w:val="both"/>
        <w:rPr>
          <w:rFonts w:hint="cs"/>
          <w:rtl/>
        </w:rPr>
      </w:pPr>
      <w:r>
        <w:rPr>
          <w:rFonts w:hint="cs"/>
          <w:rtl/>
        </w:rPr>
        <w:tab/>
      </w:r>
      <w:r>
        <w:rPr>
          <w:rFonts w:hint="cs"/>
          <w:rtl/>
        </w:rPr>
        <w:tab/>
      </w:r>
      <w:r>
        <w:rPr>
          <w:rFonts w:hint="cs"/>
          <w:rtl/>
        </w:rPr>
        <w:tab/>
        <w:t>عدد ساعات العمل</w:t>
      </w:r>
    </w:p>
    <w:p w:rsidR="00000000" w:rsidRDefault="00567B15">
      <w:pPr>
        <w:spacing w:before="120" w:after="120"/>
        <w:jc w:val="center"/>
        <w:rPr>
          <w:rFonts w:hint="cs"/>
          <w:b/>
          <w:bCs/>
          <w:rtl/>
        </w:rPr>
      </w:pPr>
      <w:r>
        <w:rPr>
          <w:rFonts w:hint="cs"/>
          <w:b/>
          <w:bCs/>
          <w:rtl/>
        </w:rPr>
        <w:t>معدل الإصابات المميتة (إكوادور، المعهد الإكوادوري للضمان الاجت</w:t>
      </w:r>
      <w:r>
        <w:rPr>
          <w:rFonts w:hint="cs"/>
          <w:b/>
          <w:bCs/>
          <w:rtl/>
        </w:rPr>
        <w:t>ماعي)</w:t>
      </w:r>
    </w:p>
    <w:tbl>
      <w:tblPr>
        <w:bidiVisual/>
        <w:tblW w:w="0" w:type="auto"/>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1"/>
        <w:gridCol w:w="1260"/>
        <w:gridCol w:w="1260"/>
        <w:gridCol w:w="1260"/>
        <w:gridCol w:w="1260"/>
        <w:gridCol w:w="1225"/>
      </w:tblGrid>
      <w:tr w:rsidR="00567B15" w:rsidTr="00567B15">
        <w:tblPrEx>
          <w:tblCellMar>
            <w:top w:w="0" w:type="dxa"/>
            <w:bottom w:w="0" w:type="dxa"/>
          </w:tblCellMar>
        </w:tblPrEx>
        <w:trPr>
          <w:jc w:val="center"/>
        </w:trPr>
        <w:tc>
          <w:tcPr>
            <w:tcW w:w="3111" w:type="dxa"/>
          </w:tcPr>
          <w:p w:rsidR="00567B15" w:rsidRDefault="00567B15">
            <w:pPr>
              <w:spacing w:before="40" w:after="40" w:line="320" w:lineRule="exact"/>
              <w:jc w:val="center"/>
              <w:rPr>
                <w:rFonts w:hint="cs"/>
                <w:sz w:val="26"/>
                <w:szCs w:val="26"/>
              </w:rPr>
            </w:pPr>
            <w:r>
              <w:rPr>
                <w:rFonts w:hint="cs"/>
                <w:sz w:val="26"/>
                <w:szCs w:val="26"/>
                <w:rtl/>
              </w:rPr>
              <w:t>السنة</w:t>
            </w:r>
          </w:p>
        </w:tc>
        <w:tc>
          <w:tcPr>
            <w:tcW w:w="1260" w:type="dxa"/>
          </w:tcPr>
          <w:p w:rsidR="00567B15" w:rsidRDefault="00567B15">
            <w:pPr>
              <w:spacing w:before="40" w:after="40" w:line="320" w:lineRule="exact"/>
              <w:jc w:val="center"/>
              <w:rPr>
                <w:rFonts w:hint="cs"/>
                <w:sz w:val="26"/>
                <w:szCs w:val="26"/>
              </w:rPr>
            </w:pPr>
            <w:r>
              <w:rPr>
                <w:rFonts w:hint="cs"/>
                <w:sz w:val="26"/>
                <w:szCs w:val="26"/>
                <w:rtl/>
              </w:rPr>
              <w:t>1988</w:t>
            </w:r>
          </w:p>
        </w:tc>
        <w:tc>
          <w:tcPr>
            <w:tcW w:w="1260" w:type="dxa"/>
          </w:tcPr>
          <w:p w:rsidR="00567B15" w:rsidRDefault="00567B15">
            <w:pPr>
              <w:spacing w:before="40" w:after="40" w:line="320" w:lineRule="exact"/>
              <w:jc w:val="center"/>
              <w:rPr>
                <w:rFonts w:hint="cs"/>
                <w:sz w:val="26"/>
                <w:szCs w:val="26"/>
              </w:rPr>
            </w:pPr>
            <w:r>
              <w:rPr>
                <w:rFonts w:hint="cs"/>
                <w:sz w:val="26"/>
                <w:szCs w:val="26"/>
                <w:rtl/>
              </w:rPr>
              <w:t>1989</w:t>
            </w:r>
          </w:p>
        </w:tc>
        <w:tc>
          <w:tcPr>
            <w:tcW w:w="1260" w:type="dxa"/>
          </w:tcPr>
          <w:p w:rsidR="00567B15" w:rsidRDefault="00567B15">
            <w:pPr>
              <w:spacing w:before="40" w:after="40" w:line="320" w:lineRule="exact"/>
              <w:jc w:val="center"/>
              <w:rPr>
                <w:rFonts w:hint="cs"/>
                <w:sz w:val="26"/>
                <w:szCs w:val="26"/>
              </w:rPr>
            </w:pPr>
            <w:r>
              <w:rPr>
                <w:rFonts w:hint="cs"/>
                <w:sz w:val="26"/>
                <w:szCs w:val="26"/>
                <w:rtl/>
              </w:rPr>
              <w:t>1990</w:t>
            </w:r>
          </w:p>
        </w:tc>
        <w:tc>
          <w:tcPr>
            <w:tcW w:w="1260" w:type="dxa"/>
          </w:tcPr>
          <w:p w:rsidR="00567B15" w:rsidRDefault="00567B15">
            <w:pPr>
              <w:spacing w:before="40" w:after="40" w:line="320" w:lineRule="exact"/>
              <w:jc w:val="center"/>
              <w:rPr>
                <w:rFonts w:hint="cs"/>
                <w:sz w:val="26"/>
                <w:szCs w:val="26"/>
              </w:rPr>
            </w:pPr>
            <w:r>
              <w:rPr>
                <w:rFonts w:hint="cs"/>
                <w:sz w:val="26"/>
                <w:szCs w:val="26"/>
                <w:rtl/>
              </w:rPr>
              <w:t>1991</w:t>
            </w:r>
          </w:p>
        </w:tc>
        <w:tc>
          <w:tcPr>
            <w:tcW w:w="1225" w:type="dxa"/>
          </w:tcPr>
          <w:p w:rsidR="00567B15" w:rsidRDefault="00567B15">
            <w:pPr>
              <w:spacing w:before="40" w:after="40" w:line="320" w:lineRule="exact"/>
              <w:jc w:val="center"/>
              <w:rPr>
                <w:rFonts w:hint="cs"/>
                <w:sz w:val="26"/>
                <w:szCs w:val="26"/>
              </w:rPr>
            </w:pPr>
            <w:r>
              <w:rPr>
                <w:rFonts w:hint="cs"/>
                <w:sz w:val="26"/>
                <w:szCs w:val="26"/>
                <w:rtl/>
              </w:rPr>
              <w:t>1992</w:t>
            </w:r>
          </w:p>
        </w:tc>
      </w:tr>
      <w:tr w:rsidR="00567B15" w:rsidTr="00567B15">
        <w:tblPrEx>
          <w:tblCellMar>
            <w:top w:w="0" w:type="dxa"/>
            <w:bottom w:w="0" w:type="dxa"/>
          </w:tblCellMar>
        </w:tblPrEx>
        <w:trPr>
          <w:jc w:val="center"/>
        </w:trPr>
        <w:tc>
          <w:tcPr>
            <w:tcW w:w="3111" w:type="dxa"/>
          </w:tcPr>
          <w:p w:rsidR="00567B15" w:rsidRDefault="00567B15">
            <w:pPr>
              <w:spacing w:before="40" w:after="40" w:line="320" w:lineRule="exact"/>
              <w:jc w:val="both"/>
              <w:rPr>
                <w:rFonts w:hint="cs"/>
                <w:sz w:val="26"/>
                <w:szCs w:val="26"/>
              </w:rPr>
            </w:pPr>
            <w:r>
              <w:rPr>
                <w:rFonts w:hint="cs"/>
                <w:sz w:val="26"/>
                <w:szCs w:val="26"/>
                <w:rtl/>
              </w:rPr>
              <w:t>معدل الإصابات المميتة</w:t>
            </w:r>
          </w:p>
        </w:tc>
        <w:tc>
          <w:tcPr>
            <w:tcW w:w="1260" w:type="dxa"/>
          </w:tcPr>
          <w:p w:rsidR="00567B15" w:rsidRDefault="00567B15">
            <w:pPr>
              <w:spacing w:before="40" w:after="40" w:line="320" w:lineRule="exact"/>
              <w:jc w:val="center"/>
              <w:rPr>
                <w:rFonts w:hint="cs"/>
                <w:sz w:val="26"/>
                <w:szCs w:val="26"/>
              </w:rPr>
            </w:pPr>
            <w:r>
              <w:rPr>
                <w:rFonts w:hint="cs"/>
                <w:sz w:val="26"/>
                <w:szCs w:val="26"/>
                <w:rtl/>
              </w:rPr>
              <w:t>0.081</w:t>
            </w:r>
          </w:p>
        </w:tc>
        <w:tc>
          <w:tcPr>
            <w:tcW w:w="1260" w:type="dxa"/>
          </w:tcPr>
          <w:p w:rsidR="00567B15" w:rsidRDefault="00567B15">
            <w:pPr>
              <w:spacing w:before="40" w:after="40" w:line="320" w:lineRule="exact"/>
              <w:jc w:val="center"/>
              <w:rPr>
                <w:rFonts w:hint="cs"/>
                <w:sz w:val="26"/>
                <w:szCs w:val="26"/>
              </w:rPr>
            </w:pPr>
            <w:r>
              <w:rPr>
                <w:rFonts w:hint="cs"/>
                <w:sz w:val="26"/>
                <w:szCs w:val="26"/>
                <w:rtl/>
              </w:rPr>
              <w:t>0.098</w:t>
            </w:r>
          </w:p>
        </w:tc>
        <w:tc>
          <w:tcPr>
            <w:tcW w:w="1260" w:type="dxa"/>
          </w:tcPr>
          <w:p w:rsidR="00567B15" w:rsidRDefault="00567B15">
            <w:pPr>
              <w:spacing w:before="40" w:after="40" w:line="320" w:lineRule="exact"/>
              <w:jc w:val="center"/>
              <w:rPr>
                <w:rFonts w:hint="cs"/>
                <w:sz w:val="26"/>
                <w:szCs w:val="26"/>
              </w:rPr>
            </w:pPr>
            <w:r>
              <w:rPr>
                <w:rFonts w:hint="cs"/>
                <w:sz w:val="26"/>
                <w:szCs w:val="26"/>
                <w:rtl/>
              </w:rPr>
              <w:t>0.119</w:t>
            </w:r>
          </w:p>
        </w:tc>
        <w:tc>
          <w:tcPr>
            <w:tcW w:w="1260" w:type="dxa"/>
          </w:tcPr>
          <w:p w:rsidR="00567B15" w:rsidRDefault="00567B15">
            <w:pPr>
              <w:spacing w:before="40" w:after="40" w:line="320" w:lineRule="exact"/>
              <w:jc w:val="center"/>
              <w:rPr>
                <w:rFonts w:hint="cs"/>
                <w:sz w:val="26"/>
                <w:szCs w:val="26"/>
              </w:rPr>
            </w:pPr>
            <w:r>
              <w:rPr>
                <w:rFonts w:hint="cs"/>
                <w:sz w:val="26"/>
                <w:szCs w:val="26"/>
                <w:rtl/>
              </w:rPr>
              <w:t>0.093</w:t>
            </w:r>
          </w:p>
        </w:tc>
        <w:tc>
          <w:tcPr>
            <w:tcW w:w="1225" w:type="dxa"/>
          </w:tcPr>
          <w:p w:rsidR="00567B15" w:rsidRDefault="00567B15">
            <w:pPr>
              <w:spacing w:before="40" w:after="40" w:line="320" w:lineRule="exact"/>
              <w:jc w:val="center"/>
              <w:rPr>
                <w:rFonts w:hint="cs"/>
                <w:sz w:val="26"/>
                <w:szCs w:val="26"/>
              </w:rPr>
            </w:pPr>
            <w:r>
              <w:rPr>
                <w:rFonts w:hint="cs"/>
                <w:sz w:val="26"/>
                <w:szCs w:val="26"/>
                <w:rtl/>
              </w:rPr>
              <w:t>0.079</w:t>
            </w:r>
          </w:p>
        </w:tc>
      </w:tr>
    </w:tbl>
    <w:p w:rsidR="00000000" w:rsidRDefault="00567B15">
      <w:pPr>
        <w:spacing w:after="0" w:line="240" w:lineRule="exact"/>
        <w:jc w:val="both"/>
        <w:rPr>
          <w:rFonts w:hint="cs"/>
          <w:rtl/>
        </w:rPr>
      </w:pPr>
      <w:r>
        <w:rPr>
          <w:rFonts w:hint="cs"/>
          <w:rtl/>
        </w:rPr>
        <w:tab/>
        <w:t>معدل احتمالات الإصابة=</w:t>
      </w:r>
      <w:r>
        <w:rPr>
          <w:rFonts w:hint="cs"/>
          <w:rtl/>
        </w:rPr>
        <w:tab/>
        <w:t xml:space="preserve"> عدد الأيام الضائعة* </w:t>
      </w:r>
      <w:r>
        <w:rPr>
          <w:rFonts w:hint="cs"/>
          <w:vertAlign w:val="subscript"/>
          <w:rtl/>
        </w:rPr>
        <w:t>6</w:t>
      </w:r>
      <w:r>
        <w:rPr>
          <w:rFonts w:hint="cs"/>
          <w:rtl/>
        </w:rPr>
        <w:t>10</w:t>
      </w:r>
    </w:p>
    <w:p w:rsidR="00000000" w:rsidRDefault="00567B15">
      <w:pPr>
        <w:spacing w:before="0" w:after="0" w:line="240" w:lineRule="exact"/>
        <w:jc w:val="both"/>
        <w:rPr>
          <w:rFonts w:hint="cs"/>
          <w:rtl/>
        </w:rPr>
      </w:pPr>
      <w:r>
        <w:rPr>
          <w:rFonts w:hint="cs"/>
          <w:rtl/>
        </w:rPr>
        <w:tab/>
      </w:r>
      <w:r>
        <w:rPr>
          <w:rFonts w:hint="cs"/>
          <w:rtl/>
        </w:rPr>
        <w:tab/>
      </w:r>
      <w:r>
        <w:rPr>
          <w:rFonts w:hint="cs"/>
          <w:rtl/>
        </w:rPr>
        <w:tab/>
      </w:r>
      <w:r>
        <w:rPr>
          <w:rFonts w:hint="cs"/>
          <w:rtl/>
        </w:rPr>
        <w:tab/>
        <w:t>ـــــــــــ</w:t>
      </w:r>
    </w:p>
    <w:p w:rsidR="00000000" w:rsidRDefault="00567B15">
      <w:pPr>
        <w:spacing w:before="0" w:after="0" w:line="240" w:lineRule="exact"/>
        <w:jc w:val="both"/>
        <w:rPr>
          <w:rFonts w:hint="cs"/>
          <w:rtl/>
        </w:rPr>
      </w:pPr>
      <w:r>
        <w:rPr>
          <w:rFonts w:hint="cs"/>
          <w:rtl/>
        </w:rPr>
        <w:tab/>
      </w:r>
      <w:r>
        <w:rPr>
          <w:rFonts w:hint="cs"/>
          <w:rtl/>
        </w:rPr>
        <w:tab/>
      </w:r>
      <w:r>
        <w:rPr>
          <w:rFonts w:hint="cs"/>
          <w:rtl/>
        </w:rPr>
        <w:tab/>
      </w:r>
      <w:r>
        <w:rPr>
          <w:rFonts w:hint="cs"/>
          <w:rtl/>
        </w:rPr>
        <w:tab/>
        <w:t>عدد الحوادث</w:t>
      </w:r>
    </w:p>
    <w:p w:rsidR="00000000" w:rsidRDefault="00567B15">
      <w:pPr>
        <w:spacing w:before="120" w:after="120"/>
        <w:jc w:val="both"/>
        <w:rPr>
          <w:rFonts w:hint="cs"/>
          <w:i/>
          <w:iCs/>
          <w:rtl/>
        </w:rPr>
      </w:pPr>
      <w:r>
        <w:rPr>
          <w:rFonts w:hint="cs"/>
          <w:rtl/>
        </w:rPr>
        <w:tab/>
      </w:r>
      <w:r>
        <w:rPr>
          <w:rFonts w:hint="cs"/>
          <w:u w:val="single"/>
          <w:rtl/>
        </w:rPr>
        <w:t>المصدر</w:t>
      </w:r>
      <w:r>
        <w:rPr>
          <w:rFonts w:hint="cs"/>
          <w:rtl/>
        </w:rPr>
        <w:t xml:space="preserve">: </w:t>
      </w:r>
      <w:r>
        <w:rPr>
          <w:rFonts w:hint="cs"/>
          <w:i/>
          <w:iCs/>
          <w:rtl/>
        </w:rPr>
        <w:t>النشرة الإحصائية لحوادث العمل.</w:t>
      </w:r>
    </w:p>
    <w:p w:rsidR="00000000" w:rsidRDefault="00567B15">
      <w:pPr>
        <w:spacing w:line="380" w:lineRule="exact"/>
        <w:jc w:val="both"/>
        <w:rPr>
          <w:rFonts w:hint="cs"/>
          <w:i/>
          <w:iCs/>
          <w:rtl/>
        </w:rPr>
      </w:pPr>
      <w:r>
        <w:rPr>
          <w:rFonts w:hint="cs"/>
          <w:i/>
          <w:iCs/>
          <w:rtl/>
        </w:rPr>
        <w:t>تكافؤ الفرص</w:t>
      </w:r>
    </w:p>
    <w:p w:rsidR="00000000" w:rsidRDefault="00567B15">
      <w:pPr>
        <w:spacing w:line="380" w:lineRule="exact"/>
        <w:jc w:val="both"/>
        <w:rPr>
          <w:rFonts w:hint="cs"/>
          <w:rtl/>
        </w:rPr>
      </w:pPr>
      <w:r>
        <w:rPr>
          <w:rFonts w:hint="cs"/>
          <w:rtl/>
        </w:rPr>
        <w:t>133-</w:t>
      </w:r>
      <w:r>
        <w:rPr>
          <w:rFonts w:hint="cs"/>
          <w:rtl/>
        </w:rPr>
        <w:tab/>
        <w:t>تنص المادة 124 من الدستور ع</w:t>
      </w:r>
      <w:r>
        <w:rPr>
          <w:rFonts w:hint="cs"/>
          <w:rtl/>
        </w:rPr>
        <w:t>لى أن العمل والترقية في الخدمة المدنية والإدارة العامة تحددان على أساس الجدارة والمنافسة. ويطبق نظام حرية التعيين والترقية بصفة استثنائية على الموظفين العموميين حصراً. وتسري هذه القاعدة على جميع موظفي الخدمة المدنية، ذكوراً وإناثاً. وقد أصدر مكتب الخدمة ال</w:t>
      </w:r>
      <w:r>
        <w:rPr>
          <w:rFonts w:hint="cs"/>
          <w:rtl/>
        </w:rPr>
        <w:t xml:space="preserve">مدنية وتطوير المؤسسات معايير وسياسات لتطبيق هذه القاعدة. وبموجب المادة 57 من قانون (إصلاح) مالية الدولة، تجري وزارة العمل والموارد البشرية تصنيفاً للموظفين والعاملين في القطاع العام بغية تحديد كل من هو مشمول بقانون الخدمة المدنية والإدارة العامة وكل من هو </w:t>
      </w:r>
      <w:r>
        <w:rPr>
          <w:rFonts w:hint="cs"/>
          <w:rtl/>
        </w:rPr>
        <w:t xml:space="preserve">مشمول بقانون العمل. واتخذ المجلس الوطني للمرأة تدابير إيجابية من أجل مراعاة تعميم المنظور الجنساني في سياسات إكوادور. ويتطلب تحديث الدولة تحديثاً كاملاً تهيئة الشروط اللازمة لتطوير الذات على أساس تكافؤ الفرص في التعليم والتدريب ومن خلال القضاء على التمييز </w:t>
      </w:r>
      <w:r>
        <w:rPr>
          <w:rFonts w:hint="cs"/>
          <w:rtl/>
        </w:rPr>
        <w:t>في المعاملة. ويعد تحقيق تكافؤ الفرص بين المرأة والرجل شأناً من شؤون حقوق الإنسان وشرطاً أساسياً من شروط تحقيق العدالة الاجتماعية والتنمية.</w:t>
      </w:r>
    </w:p>
    <w:p w:rsidR="00000000" w:rsidRDefault="00567B15">
      <w:pPr>
        <w:spacing w:line="380" w:lineRule="exact"/>
        <w:jc w:val="both"/>
        <w:rPr>
          <w:rFonts w:hint="cs"/>
          <w:rtl/>
        </w:rPr>
      </w:pPr>
      <w:r>
        <w:rPr>
          <w:rFonts w:hint="cs"/>
          <w:rtl/>
        </w:rPr>
        <w:t>134-</w:t>
      </w:r>
      <w:r>
        <w:rPr>
          <w:rFonts w:hint="cs"/>
          <w:rtl/>
        </w:rPr>
        <w:tab/>
        <w:t xml:space="preserve">ولا بد من التعليم والتدريب من أجل تحقيق أي تحسن في نوعية العمل. وتعد الهيئة الإكوادورية للتدريب المهني واحدة من </w:t>
      </w:r>
      <w:r>
        <w:rPr>
          <w:rFonts w:hint="cs"/>
          <w:rtl/>
        </w:rPr>
        <w:t>أهم هيئات التدريب المهني في البلد، وإن لم تكن قد اعتمدت بعد المنظور الجنساني في برامجها. ويعمل النظام التعليمي فعلياً كوسيلة للتقدم الاجتماعي، فهو يساعد على تحقيق الطموحات فيما يتعلق بالدخل و/أو المركز الاجتماعي، ويحدث تغييرات في الهيكل الاقتصادي والاجتماع</w:t>
      </w:r>
      <w:r>
        <w:rPr>
          <w:rFonts w:hint="cs"/>
          <w:rtl/>
        </w:rPr>
        <w:t>ي لإكوادور.</w:t>
      </w:r>
    </w:p>
    <w:p w:rsidR="00000000" w:rsidRDefault="00567B15">
      <w:pPr>
        <w:spacing w:line="380" w:lineRule="exact"/>
        <w:jc w:val="both"/>
        <w:rPr>
          <w:rFonts w:hint="cs"/>
          <w:rtl/>
        </w:rPr>
      </w:pPr>
      <w:r>
        <w:rPr>
          <w:rFonts w:hint="cs"/>
          <w:rtl/>
        </w:rPr>
        <w:t>135-</w:t>
      </w:r>
      <w:r>
        <w:rPr>
          <w:rFonts w:hint="cs"/>
          <w:rtl/>
        </w:rPr>
        <w:tab/>
        <w:t xml:space="preserve">والهيئة الإكوادورية للتدريب المهني هي هيئة حكومية فنية متخصصة تعمل في إطار وزارة العمل والموارد البشرية وتتمتع باستقلال إداري ومالي ولها أصولها وأموالها الخاصة، وتتمثل مهمتها الرئيسية في توفير تدريب مكثف وسريع للمديرين من المراتب المتوسطة </w:t>
      </w:r>
      <w:r>
        <w:rPr>
          <w:rFonts w:hint="cs"/>
          <w:rtl/>
        </w:rPr>
        <w:t>في قطاعات الصناعة والتجارة والخدمات. ويعمل في الهيئة موظفون فنيون وإداريون ذوو خبرة رفيعة لتقديم هذا التدريب الفني والمهني. ويتمتع مدربو الهيئة، الإكوادوريون منهم والأجانب، بمؤهلات عالية، وقد درس الإكوادوريون منهم في الخارج من خلال برامج مِنَح وزمالات دراس</w:t>
      </w:r>
      <w:r>
        <w:rPr>
          <w:rFonts w:hint="cs"/>
          <w:rtl/>
        </w:rPr>
        <w:t>ية قدمتها بلدان شتى. أما الموظفون الأجانب العاملون في مختلف مراكز العمليات فقد جيء بهم وفقاً لاتفاقات التعاون التقني الدولية المعقودة مع الهيئة. وتقدم الهيئة دورات طويلة أو قصيرة تسهل على الناس اكتساب المؤهلات المهنية. ويتوقف طول الدورة على طريقة التدريب و</w:t>
      </w:r>
      <w:r>
        <w:rPr>
          <w:rFonts w:hint="cs"/>
          <w:rtl/>
        </w:rPr>
        <w:t>الموضوع. فالتدريب على المهارات موجه مثلاً للعاملين المستخدمين ويشمل جميع الاختصاصات الصناعية والتجارية والخدماتية. وتتراوح مدة الدورات من 20 إلى 240 ساعة وترمي إلى الارتقاء بمعارف العاملين وقدراتهم ومهاراتهم.</w:t>
      </w:r>
    </w:p>
    <w:p w:rsidR="00000000" w:rsidRDefault="00567B15">
      <w:pPr>
        <w:spacing w:line="380" w:lineRule="exact"/>
        <w:jc w:val="both"/>
        <w:rPr>
          <w:rFonts w:hint="cs"/>
          <w:i/>
          <w:iCs/>
          <w:rtl/>
        </w:rPr>
      </w:pPr>
      <w:r>
        <w:rPr>
          <w:rFonts w:hint="cs"/>
          <w:i/>
          <w:iCs/>
          <w:rtl/>
        </w:rPr>
        <w:t>الإجازة الإلزامية</w:t>
      </w:r>
    </w:p>
    <w:p w:rsidR="00000000" w:rsidRDefault="00567B15">
      <w:pPr>
        <w:spacing w:line="380" w:lineRule="exact"/>
        <w:jc w:val="both"/>
        <w:rPr>
          <w:rFonts w:hint="cs"/>
          <w:rtl/>
        </w:rPr>
      </w:pPr>
      <w:r>
        <w:rPr>
          <w:rFonts w:hint="cs"/>
          <w:rtl/>
        </w:rPr>
        <w:t>136-</w:t>
      </w:r>
      <w:r>
        <w:rPr>
          <w:rFonts w:hint="cs"/>
          <w:rtl/>
        </w:rPr>
        <w:tab/>
        <w:t xml:space="preserve">"تحق للعاملين المشمولين </w:t>
      </w:r>
      <w:r>
        <w:rPr>
          <w:rFonts w:hint="cs"/>
          <w:rtl/>
        </w:rPr>
        <w:t>بحماية قانون العمل إجازة إلزامية مدتها 15 يوماً في السنة، يضاف إليها يوم واحد اعتباراً من السنة الخامسة من الخدمة. ويبلغ بدل الإجازة جزءاً من 24 جزءاً من الدخل الإجمالي الوارد خلال السنة التقويمية، مع احتساب الأجور الأساسية وساعات العمل الإضافية والاستثنائ</w:t>
      </w:r>
      <w:r>
        <w:rPr>
          <w:rFonts w:hint="cs"/>
          <w:rtl/>
        </w:rPr>
        <w:t>ية والعمولات وما إلى ذلك (المواد 69 و78 و95 من قانون العمل). وتحق للعاملين المشمولين بقانون الخدمة المدنية والإدارة العامة إجازة مدتها 30 يوماً، متى عملوا في المؤسسة مدة 11 شهراً دون انقطاع. وتصل المدة القصوى ليوم العمل إلى ثماني ساعات، بحيث تبلغ مدة العمل</w:t>
      </w:r>
      <w:r>
        <w:rPr>
          <w:rFonts w:hint="cs"/>
          <w:rtl/>
        </w:rPr>
        <w:t xml:space="preserve"> القصوى 40 ساعة في الأسبوع. وأيام السبت والأحد هي أيام راحة إلزامية، وإذا تعذر لسبب من الأسباب وقف العمل في هذين اليومين تخصص فترة مساوية خلال الأسبوع بوصفها فترة راحة بالاتفاق بين رب العمل والعاملين"</w:t>
      </w:r>
      <w:r>
        <w:rPr>
          <w:rFonts w:hint="cs"/>
          <w:vertAlign w:val="superscript"/>
          <w:rtl/>
        </w:rPr>
        <w:t>(21)</w:t>
      </w:r>
      <w:r>
        <w:rPr>
          <w:rFonts w:hint="cs"/>
          <w:rtl/>
        </w:rPr>
        <w:t>. [...] "ويتقاضى العاملون أجراً كاملاً عن أيام الراح</w:t>
      </w:r>
      <w:r>
        <w:rPr>
          <w:rFonts w:hint="cs"/>
          <w:rtl/>
        </w:rPr>
        <w:t>ة الأسبوعية الإلزامية، أي ما يعادل أجر يومين تبعاً لنوع العمل"</w:t>
      </w:r>
      <w:r>
        <w:rPr>
          <w:rFonts w:hint="cs"/>
          <w:vertAlign w:val="superscript"/>
          <w:rtl/>
        </w:rPr>
        <w:t>(22)</w:t>
      </w:r>
      <w:r>
        <w:rPr>
          <w:rFonts w:hint="cs"/>
          <w:rtl/>
        </w:rPr>
        <w:t>.</w:t>
      </w:r>
    </w:p>
    <w:p w:rsidR="00000000" w:rsidRDefault="00567B15">
      <w:pPr>
        <w:spacing w:line="380" w:lineRule="exact"/>
        <w:jc w:val="both"/>
        <w:rPr>
          <w:rFonts w:hint="cs"/>
          <w:rtl/>
        </w:rPr>
      </w:pPr>
      <w:r>
        <w:rPr>
          <w:rFonts w:hint="cs"/>
          <w:rtl/>
        </w:rPr>
        <w:t>137-</w:t>
      </w:r>
      <w:r>
        <w:rPr>
          <w:rFonts w:hint="cs"/>
          <w:rtl/>
        </w:rPr>
        <w:tab/>
        <w:t>وبالإضافة إلى أيام السبت والأحد، تحدد بموجب القانون أيام عطل إلزامية أخرى. وتقاضي أجر منصف عن العمل حق لا يقبل أي نوع من أنواع التمييز. وتسري على كلا الجنسين أنظمة الأجور المقررة للعا</w:t>
      </w:r>
      <w:r>
        <w:rPr>
          <w:rFonts w:hint="cs"/>
          <w:rtl/>
        </w:rPr>
        <w:t>ملين المشمولين بحماية قانون العمل على الصعيد الوطني. وتسعى اللجان القطاعية إلى ضمان مكافأة العاملين عن عملهم وفقاً لما يؤدونه من وظائف، وتختلف الهياكل المهنية باختلاف مجالات النشاط.</w:t>
      </w:r>
    </w:p>
    <w:p w:rsidR="00000000" w:rsidRDefault="00567B15">
      <w:pPr>
        <w:spacing w:line="380" w:lineRule="exact"/>
        <w:jc w:val="both"/>
        <w:rPr>
          <w:rFonts w:hint="cs"/>
          <w:rtl/>
        </w:rPr>
      </w:pPr>
      <w:r>
        <w:rPr>
          <w:rFonts w:hint="cs"/>
          <w:rtl/>
        </w:rPr>
        <w:t>138-</w:t>
      </w:r>
      <w:r>
        <w:rPr>
          <w:rFonts w:hint="cs"/>
          <w:rtl/>
        </w:rPr>
        <w:tab/>
        <w:t>وأحد الأهداف التي تعمل الحكومة على تحقيقها رفع مستوى المعيشة للسكان ك</w:t>
      </w:r>
      <w:r>
        <w:rPr>
          <w:rFonts w:hint="cs"/>
          <w:rtl/>
        </w:rPr>
        <w:t>افة، لا عن طريق التشجيع على زيادة الأجور للعاملين فحسب وإنما أيضاً عن طريق السعي إلى ضبط التضخم بغية إحداث انتعاش حقيقي في القوة الشرائية.</w:t>
      </w:r>
    </w:p>
    <w:p w:rsidR="00000000" w:rsidRDefault="00567B15">
      <w:pPr>
        <w:spacing w:line="380" w:lineRule="exact"/>
        <w:jc w:val="center"/>
        <w:rPr>
          <w:rFonts w:hint="cs"/>
          <w:b/>
          <w:bCs/>
          <w:rtl/>
        </w:rPr>
      </w:pPr>
      <w:r>
        <w:rPr>
          <w:rFonts w:hint="cs"/>
          <w:b/>
          <w:bCs/>
          <w:rtl/>
        </w:rPr>
        <w:t>المادة 8</w:t>
      </w:r>
    </w:p>
    <w:p w:rsidR="00000000" w:rsidRDefault="00567B15">
      <w:pPr>
        <w:spacing w:line="380" w:lineRule="exact"/>
        <w:jc w:val="both"/>
        <w:rPr>
          <w:rFonts w:hint="cs"/>
          <w:b/>
          <w:bCs/>
          <w:rtl/>
        </w:rPr>
      </w:pPr>
      <w:r>
        <w:rPr>
          <w:rFonts w:hint="cs"/>
          <w:b/>
          <w:bCs/>
          <w:rtl/>
        </w:rPr>
        <w:t>الحق في الحرية النقابية</w:t>
      </w:r>
    </w:p>
    <w:p w:rsidR="00000000" w:rsidRDefault="00567B15">
      <w:pPr>
        <w:spacing w:line="380" w:lineRule="exact"/>
        <w:jc w:val="both"/>
        <w:rPr>
          <w:rFonts w:hint="cs"/>
          <w:rtl/>
        </w:rPr>
      </w:pPr>
      <w:r>
        <w:rPr>
          <w:rFonts w:hint="cs"/>
          <w:rtl/>
        </w:rPr>
        <w:t>139-</w:t>
      </w:r>
      <w:r>
        <w:rPr>
          <w:rFonts w:hint="cs"/>
          <w:rtl/>
        </w:rPr>
        <w:tab/>
        <w:t>تسلم المادة 23 من الفصل، من الباب الثالث من دستور الحقوق المدنية، ب‍ "الحرية ال</w:t>
      </w:r>
      <w:r>
        <w:rPr>
          <w:rFonts w:hint="cs"/>
          <w:rtl/>
        </w:rPr>
        <w:t>نقابية وحرية التجمع للأغراض السلمية" وتضمن هذين الحقين.</w:t>
      </w:r>
    </w:p>
    <w:p w:rsidR="00000000" w:rsidRDefault="00567B15">
      <w:pPr>
        <w:spacing w:line="380" w:lineRule="exact"/>
        <w:jc w:val="both"/>
        <w:rPr>
          <w:rFonts w:hint="cs"/>
          <w:rtl/>
        </w:rPr>
      </w:pPr>
      <w:r>
        <w:rPr>
          <w:rFonts w:hint="cs"/>
          <w:rtl/>
        </w:rPr>
        <w:t>140-</w:t>
      </w:r>
      <w:r>
        <w:rPr>
          <w:rFonts w:hint="cs"/>
          <w:rtl/>
        </w:rPr>
        <w:tab/>
        <w:t>وعموماً، وعلى وجه التحديد، فإن المادة 35 المتعلقة بالعمال وأصحاب العمل تتضمن الحق في التنظيم دون إذن مسبق، ولكن مع الامتثال للمتطلبات القانونية في كل الظروف. وبالإضافة إلى هذا الحق وهذه الحرية ال</w:t>
      </w:r>
      <w:r>
        <w:rPr>
          <w:rFonts w:hint="cs"/>
          <w:rtl/>
        </w:rPr>
        <w:t>مقررين في الدستور، ينظم قانون العمل الحرية النقابية أو ما يعرف بالحق في التنظيم، وخاصة بالنسبة للعمل وأصحاب عملهم (فكل قواعد قانون العمل، حسب نصه، تنطبق حصراً على الأطراف في أي علاقة بين صاحب العمل والعمال). أما العمال الآخرون (بالمعنى العام للمصطلح وليس ح</w:t>
      </w:r>
      <w:r>
        <w:rPr>
          <w:rFonts w:hint="cs"/>
          <w:rtl/>
        </w:rPr>
        <w:t>صراً حسب التعريف القانوني) فشأنهم شأن غيرهم، بمن فيهم أفراد الخدمة العامة، يمكن أن ينخرطوا في جمعيات مدنية و/أو تجارية، وفقاً لتشريعات إكوادور (ومنها مثلاً القانون المدني وقانون الشركات وقانون حماية أصحاب الحرف).</w:t>
      </w:r>
    </w:p>
    <w:p w:rsidR="00000000" w:rsidRDefault="00567B15">
      <w:pPr>
        <w:spacing w:line="380" w:lineRule="exact"/>
        <w:jc w:val="both"/>
        <w:rPr>
          <w:rFonts w:hint="cs"/>
          <w:rtl/>
        </w:rPr>
      </w:pPr>
      <w:r>
        <w:rPr>
          <w:rFonts w:hint="cs"/>
          <w:rtl/>
        </w:rPr>
        <w:t>141-</w:t>
      </w:r>
      <w:r>
        <w:rPr>
          <w:rFonts w:hint="cs"/>
          <w:rtl/>
        </w:rPr>
        <w:tab/>
        <w:t>وتنص المادة 447 من قانون العمل، فيما ي</w:t>
      </w:r>
      <w:r>
        <w:rPr>
          <w:rFonts w:hint="cs"/>
          <w:rtl/>
        </w:rPr>
        <w:t>تصل بالحرية النقابية على ما يلي:</w:t>
      </w:r>
    </w:p>
    <w:p w:rsidR="00000000" w:rsidRDefault="00567B15">
      <w:pPr>
        <w:spacing w:line="380" w:lineRule="exact"/>
        <w:jc w:val="both"/>
        <w:rPr>
          <w:rFonts w:hint="cs"/>
          <w:rtl/>
        </w:rPr>
      </w:pPr>
      <w:r>
        <w:rPr>
          <w:rFonts w:hint="cs"/>
          <w:rtl/>
        </w:rPr>
        <w:tab/>
        <w:t>"للعمال وأصحاب العمل، دون تمييز ودون الحاجة للحصول على إذن مسبق، أن يشكلوا جمعيات مهنية أو نقابات، يرونها مناسبة، وأن ينضموا إليها أو ينسحبوا منها، وفقاً للقانون والنظم النقابية المعنية [...]. وللجمعيات المهنية أو النقابات</w:t>
      </w:r>
      <w:r>
        <w:rPr>
          <w:rFonts w:hint="cs"/>
          <w:rtl/>
        </w:rPr>
        <w:t xml:space="preserve"> الحق في تكوين اتحادات أو رابطات أو أي تجمعات نقابية أخرى، وفي الانضمام إليها أو الانسحاب منها أو من المنظمات الدولية للعمال أو أصحاب العمل. ويجوز أن ينتمي جميع العمال ممن تزيد أعمارهم عن 14 عاماً إلى جمعية مهنية أو نقابة [...]. ولا يجوز تعليق أو حل منظمات</w:t>
      </w:r>
      <w:r>
        <w:rPr>
          <w:rFonts w:hint="cs"/>
          <w:rtl/>
        </w:rPr>
        <w:t xml:space="preserve"> العمال إلا بناء على إجراء قضائي في محكمة صناعية. وحين تكون لصاحب العمل أو الشركة وكالات أو فروع في مناطق أخرى يجوز للعمال في كل من هذه الوكالات أو الفروع أن ينشئوا نقابة أو رابطة مهنية أو مجلس عمال. وتحدد شروط العدد أو غيرها من الشروط القانونية لكل وكالة </w:t>
      </w:r>
      <w:r>
        <w:rPr>
          <w:rFonts w:hint="cs"/>
          <w:rtl/>
        </w:rPr>
        <w:t>أو فرع".</w:t>
      </w:r>
    </w:p>
    <w:p w:rsidR="00000000" w:rsidRDefault="00567B15">
      <w:pPr>
        <w:spacing w:line="380" w:lineRule="exact"/>
        <w:jc w:val="both"/>
        <w:rPr>
          <w:rFonts w:hint="cs"/>
          <w:rtl/>
        </w:rPr>
      </w:pPr>
      <w:r>
        <w:rPr>
          <w:rFonts w:hint="cs"/>
          <w:rtl/>
        </w:rPr>
        <w:t>142-</w:t>
      </w:r>
      <w:r>
        <w:rPr>
          <w:rFonts w:hint="cs"/>
          <w:rtl/>
        </w:rPr>
        <w:tab/>
        <w:t>ووفقاً للمادة 448 من قانون العمل فإن:</w:t>
      </w:r>
    </w:p>
    <w:p w:rsidR="00000000" w:rsidRDefault="00567B15">
      <w:pPr>
        <w:spacing w:before="180" w:after="180" w:line="380" w:lineRule="exact"/>
        <w:ind w:left="720" w:hanging="720"/>
        <w:jc w:val="center"/>
        <w:rPr>
          <w:rFonts w:hint="cs"/>
          <w:rtl/>
        </w:rPr>
      </w:pPr>
      <w:r>
        <w:rPr>
          <w:rFonts w:hint="cs"/>
          <w:rtl/>
        </w:rPr>
        <w:t>"رابطات العمال بجميع أنواعها تحظى بحماية الدولة، شريطة سعيها نحو واحد من الأهداف التالية:</w:t>
      </w:r>
    </w:p>
    <w:p w:rsidR="00000000" w:rsidRDefault="00567B15">
      <w:pPr>
        <w:spacing w:before="180" w:after="180" w:line="380" w:lineRule="exact"/>
        <w:ind w:left="720"/>
        <w:jc w:val="both"/>
        <w:rPr>
          <w:rFonts w:hint="cs"/>
          <w:rtl/>
        </w:rPr>
      </w:pPr>
      <w:r>
        <w:rPr>
          <w:rFonts w:hint="cs"/>
          <w:rtl/>
        </w:rPr>
        <w:t>(أ)</w:t>
      </w:r>
      <w:r>
        <w:rPr>
          <w:rFonts w:hint="cs"/>
          <w:rtl/>
        </w:rPr>
        <w:tab/>
        <w:t>التدريب المهني؛</w:t>
      </w:r>
    </w:p>
    <w:p w:rsidR="00000000" w:rsidRDefault="00567B15">
      <w:pPr>
        <w:spacing w:before="180" w:after="180" w:line="380" w:lineRule="exact"/>
        <w:ind w:left="720"/>
        <w:jc w:val="both"/>
        <w:rPr>
          <w:rFonts w:hint="cs"/>
          <w:rtl/>
        </w:rPr>
      </w:pPr>
      <w:r>
        <w:rPr>
          <w:rFonts w:hint="cs"/>
          <w:rtl/>
        </w:rPr>
        <w:t>(ب)</w:t>
      </w:r>
      <w:r>
        <w:rPr>
          <w:rFonts w:hint="cs"/>
          <w:rtl/>
        </w:rPr>
        <w:tab/>
        <w:t>الثقافة والتعليم بطابعهما العام أو المطبقين على فرع عمل متصل بهما؛</w:t>
      </w:r>
    </w:p>
    <w:p w:rsidR="00000000" w:rsidRDefault="00567B15">
      <w:pPr>
        <w:spacing w:before="180" w:after="180" w:line="380" w:lineRule="exact"/>
        <w:ind w:left="720"/>
        <w:jc w:val="both"/>
        <w:rPr>
          <w:rFonts w:hint="cs"/>
          <w:rtl/>
        </w:rPr>
      </w:pPr>
      <w:r>
        <w:rPr>
          <w:rFonts w:hint="cs"/>
          <w:rtl/>
        </w:rPr>
        <w:t>(ج)</w:t>
      </w:r>
      <w:r>
        <w:rPr>
          <w:rFonts w:hint="cs"/>
          <w:rtl/>
        </w:rPr>
        <w:tab/>
        <w:t>الدعم المتبادل عن ط</w:t>
      </w:r>
      <w:r>
        <w:rPr>
          <w:rFonts w:hint="cs"/>
          <w:rtl/>
        </w:rPr>
        <w:t>ريق تكوين التعاونيات أو مصارف التوفير؛</w:t>
      </w:r>
    </w:p>
    <w:p w:rsidR="00000000" w:rsidRDefault="00567B15">
      <w:pPr>
        <w:spacing w:before="180" w:after="180" w:line="380" w:lineRule="exact"/>
        <w:ind w:left="720"/>
        <w:jc w:val="both"/>
        <w:rPr>
          <w:rFonts w:hint="cs"/>
          <w:rtl/>
        </w:rPr>
      </w:pPr>
      <w:r>
        <w:rPr>
          <w:rFonts w:hint="cs"/>
          <w:rtl/>
        </w:rPr>
        <w:t>(د)</w:t>
      </w:r>
      <w:r>
        <w:rPr>
          <w:rFonts w:hint="cs"/>
          <w:rtl/>
        </w:rPr>
        <w:tab/>
        <w:t>الأهداف الأخرى التي تشمل التقدم الاقتصادي والاجتماعي للعمال وحماية مصالح طبقتهم".</w:t>
      </w:r>
    </w:p>
    <w:p w:rsidR="00000000" w:rsidRDefault="00567B15">
      <w:pPr>
        <w:spacing w:line="380" w:lineRule="exact"/>
        <w:jc w:val="both"/>
        <w:rPr>
          <w:rFonts w:hint="cs"/>
          <w:rtl/>
        </w:rPr>
      </w:pPr>
      <w:r>
        <w:rPr>
          <w:rFonts w:hint="cs"/>
          <w:rtl/>
        </w:rPr>
        <w:t>143-</w:t>
      </w:r>
      <w:r>
        <w:rPr>
          <w:rFonts w:hint="cs"/>
          <w:rtl/>
        </w:rPr>
        <w:tab/>
        <w:t xml:space="preserve">ويسلم قانون العمل بالوضع القانوني للمنظمات المشكلة طبقاً للقانون والمسجلة رسمياً في إدارة العمل التابعة لوزارة العمل والموارد </w:t>
      </w:r>
      <w:r>
        <w:rPr>
          <w:rFonts w:hint="cs"/>
          <w:rtl/>
        </w:rPr>
        <w:t>البشرية. ولا يتضمن الفصل الأول من الباب الخامس من قانون العمل سوى فقرتين. تضم أولاهما القواعد العامة المنطبقة على ما تسميه "الجمعيات المهنية" والنقابات والاتحادات العامة والرابطات وغيرها؛ ولا يرد فيها تعريف قانوني للجمعيات المهنية ولكنها نظرياً تعتبر رابطا</w:t>
      </w:r>
      <w:r>
        <w:rPr>
          <w:rFonts w:hint="cs"/>
          <w:rtl/>
        </w:rPr>
        <w:t>ت للعمال في المهنة أو التجارة الواحدة أو النشاط الواحد.</w:t>
      </w:r>
    </w:p>
    <w:p w:rsidR="00000000" w:rsidRDefault="00567B15">
      <w:pPr>
        <w:spacing w:line="380" w:lineRule="exact"/>
        <w:jc w:val="both"/>
        <w:rPr>
          <w:rFonts w:hint="cs"/>
          <w:rtl/>
        </w:rPr>
      </w:pPr>
      <w:r>
        <w:rPr>
          <w:rFonts w:hint="cs"/>
          <w:rtl/>
        </w:rPr>
        <w:t>144-</w:t>
      </w:r>
      <w:r>
        <w:rPr>
          <w:rFonts w:hint="cs"/>
          <w:rtl/>
        </w:rPr>
        <w:tab/>
        <w:t>و"النقابة" مصطلح نوعي للمنظمات المهنية للعمال أو أصحاب العمل بغض النظر عن مهنتهم أو عما إذا كان للعمال الأعضاء صاحب عمل واحد أو أكثر. غير أن القانون لدينا لا يستخدم عملياً كلمة "نقابة" (ومع ذلك ف</w:t>
      </w:r>
      <w:r>
        <w:rPr>
          <w:rFonts w:hint="cs"/>
          <w:rtl/>
        </w:rPr>
        <w:t>هي الكلمة المستعملة في الواقع).</w:t>
      </w:r>
    </w:p>
    <w:p w:rsidR="00000000" w:rsidRDefault="00567B15">
      <w:pPr>
        <w:spacing w:line="380" w:lineRule="exact"/>
        <w:jc w:val="both"/>
        <w:rPr>
          <w:rFonts w:hint="cs"/>
          <w:rtl/>
        </w:rPr>
      </w:pPr>
      <w:r>
        <w:rPr>
          <w:rFonts w:hint="cs"/>
          <w:rtl/>
        </w:rPr>
        <w:t>145-</w:t>
      </w:r>
      <w:r>
        <w:rPr>
          <w:rFonts w:hint="cs"/>
          <w:rtl/>
        </w:rPr>
        <w:tab/>
        <w:t>والاتحادات منظمات من الدرجة الثانية تضم منظمات الدرجة الأولى؛ والاتحادات العامة هي اجتماعات للاتحادات، أي الدرجة الثالثة؛ ولمنظمات العمال وأصحاب العمل الرسمية كل الحق في تكوين منظمات من الدرجة الثانية والدرجة الثالثة، أ</w:t>
      </w:r>
      <w:r>
        <w:rPr>
          <w:rFonts w:hint="cs"/>
          <w:rtl/>
        </w:rPr>
        <w:t>ي الاتحادات والاتحادات العامة، وفي الانضمام إليها. وتتضمن الفقرة الثانية القواعد المنظمة لاتحادات الشركة مثلاً، والتي تعرف باسم لجان العمال، والتي يفترض فيها أن تكون نيابية بطبيعتها. وهي تتألف عادة من العمال على سبيل الحصر، ومن بينهم الذين يقدمون خدمات لصا</w:t>
      </w:r>
      <w:r>
        <w:rPr>
          <w:rFonts w:hint="cs"/>
          <w:rtl/>
        </w:rPr>
        <w:t xml:space="preserve">حب العمل نفسه بغض النظر عن مهنتهم أو حرفتهم أو فرع نشاطهم. </w:t>
      </w:r>
    </w:p>
    <w:p w:rsidR="00000000" w:rsidRDefault="00567B15">
      <w:pPr>
        <w:spacing w:line="380" w:lineRule="exact"/>
        <w:jc w:val="both"/>
        <w:rPr>
          <w:rFonts w:hint="cs"/>
          <w:rtl/>
        </w:rPr>
      </w:pPr>
      <w:r>
        <w:rPr>
          <w:rFonts w:hint="cs"/>
          <w:rtl/>
        </w:rPr>
        <w:t>146-</w:t>
      </w:r>
      <w:r>
        <w:rPr>
          <w:rFonts w:hint="cs"/>
          <w:rtl/>
        </w:rPr>
        <w:tab/>
        <w:t>ولا يتضمن قانون التعليم قواعد تتعلق بإنشاء نقابات حسب فئة العمال. ومع هذا فإذا رغب العمال في التنظيم على أساس الفئة تكون لهم الحرية في ذلك شريطة امتثالهم للقواعد السارية. وثمة عدة فئات عملياً</w:t>
      </w:r>
      <w:r>
        <w:rPr>
          <w:rFonts w:hint="cs"/>
          <w:rtl/>
        </w:rPr>
        <w:t xml:space="preserve"> كمنظمات العمل، والجمعيات المهنية، ورابطات العمال، ومنظمات العمال وحدهم ومنظمات أصحاب العمل، والمنظمات حسب نوع النشاط، وما إلى ذلك.</w:t>
      </w:r>
    </w:p>
    <w:p w:rsidR="00000000" w:rsidRDefault="00567B15">
      <w:pPr>
        <w:spacing w:line="380" w:lineRule="exact"/>
        <w:jc w:val="both"/>
        <w:rPr>
          <w:rFonts w:hint="cs"/>
          <w:rtl/>
        </w:rPr>
      </w:pPr>
    </w:p>
    <w:p w:rsidR="00000000" w:rsidRDefault="00567B15">
      <w:pPr>
        <w:spacing w:line="380" w:lineRule="exact"/>
        <w:jc w:val="both"/>
        <w:rPr>
          <w:rFonts w:hint="cs"/>
          <w:i/>
          <w:iCs/>
          <w:rtl/>
        </w:rPr>
      </w:pPr>
      <w:r>
        <w:rPr>
          <w:rFonts w:hint="cs"/>
          <w:i/>
          <w:iCs/>
          <w:rtl/>
        </w:rPr>
        <w:t>المنظمات العمالية</w:t>
      </w:r>
    </w:p>
    <w:p w:rsidR="00000000" w:rsidRDefault="00567B15">
      <w:pPr>
        <w:spacing w:line="380" w:lineRule="exact"/>
        <w:jc w:val="both"/>
        <w:rPr>
          <w:rFonts w:hint="cs"/>
          <w:spacing w:val="2"/>
          <w:rtl/>
        </w:rPr>
      </w:pPr>
      <w:r>
        <w:rPr>
          <w:rFonts w:hint="cs"/>
          <w:spacing w:val="2"/>
          <w:rtl/>
        </w:rPr>
        <w:t>147-</w:t>
      </w:r>
      <w:r>
        <w:rPr>
          <w:rFonts w:hint="cs"/>
          <w:spacing w:val="2"/>
          <w:rtl/>
        </w:rPr>
        <w:tab/>
        <w:t>لا تتدخل الدولة في شؤون المنظمات العمالية؛ وتمتنع السلطات عن التدخل في حقوق العمال أو الحرمان منها (</w:t>
      </w:r>
      <w:r>
        <w:rPr>
          <w:rFonts w:hint="cs"/>
          <w:spacing w:val="2"/>
          <w:rtl/>
        </w:rPr>
        <w:t>باستثناء التسجيل واعتماد النظم الأساسية، وفقاً للقانون). ولأصحاب العمل والعمال الحق في صياغة نظم وقواعد المنظمات التي يشكلونها، وفي انتخاب ممثليهم بحرية كاملة وتنظيم إدارتها وأنشطتها ووضع برامج عملها. وتقول إدارة المنظمات العمالية التابعة لوزارة العمل والم</w:t>
      </w:r>
      <w:r>
        <w:rPr>
          <w:rFonts w:hint="cs"/>
          <w:spacing w:val="2"/>
          <w:rtl/>
        </w:rPr>
        <w:t>وارد البشرية إنه لا توجد آلية عملية للتأكد من عدد العمال الأعضاء في الاتحادات حالياً، وإن كانت أي منظمة حين تنشأ تتعرض لمراجعات للتأكد من أن بها 30 عضواً مؤسساً على الأقل. وقد يتباين هذا العدد بين يوم وآخر، مما يعني أننا حتى لو ذكرنا عدد العمال الذي يلزم ل</w:t>
      </w:r>
      <w:r>
        <w:rPr>
          <w:rFonts w:hint="cs"/>
          <w:spacing w:val="2"/>
          <w:rtl/>
        </w:rPr>
        <w:t>إنشاء كل منظمة فلن تكون ثمة علاقة بينه وبين الوضع القائم. وفضلاً عن هذا فإنه يجوز للعامل أن ينضم إلى عدة منظمات.</w:t>
      </w:r>
    </w:p>
    <w:p w:rsidR="00000000" w:rsidRDefault="00567B15">
      <w:pPr>
        <w:spacing w:line="380" w:lineRule="exact"/>
        <w:jc w:val="both"/>
        <w:rPr>
          <w:rFonts w:hint="cs"/>
          <w:rtl/>
        </w:rPr>
      </w:pPr>
      <w:r>
        <w:rPr>
          <w:rFonts w:hint="cs"/>
          <w:rtl/>
        </w:rPr>
        <w:t>148-</w:t>
      </w:r>
      <w:r>
        <w:rPr>
          <w:rFonts w:hint="cs"/>
          <w:rtl/>
        </w:rPr>
        <w:tab/>
        <w:t xml:space="preserve">وينظم قانون العمل وقانون الخدمة المدنية والإدارة العامة علاقات العمل بين العمال. ويغطي هذا القانون بعض العمال في القطاع العام، وتخضع بقية </w:t>
      </w:r>
      <w:r>
        <w:rPr>
          <w:rFonts w:hint="cs"/>
          <w:rtl/>
        </w:rPr>
        <w:t>القطاع العام مع القطاع الخاص لقانون العمل. وبصدور قانون (إصلاح) المال العام تتدخل وزارة العمل والموارد البشرية في عملية تصنيف موظفي وعمال القطاع العام بغية تحديد من يخضع لقانون الخدمة المدنية والإدارة العامة، ومن يخضع لقانون العمل.</w:t>
      </w:r>
    </w:p>
    <w:p w:rsidR="00000000" w:rsidRDefault="00567B15">
      <w:pPr>
        <w:spacing w:line="380" w:lineRule="exact"/>
        <w:jc w:val="both"/>
        <w:rPr>
          <w:rFonts w:hint="cs"/>
          <w:rtl/>
        </w:rPr>
      </w:pPr>
      <w:r>
        <w:rPr>
          <w:rFonts w:hint="cs"/>
          <w:rtl/>
        </w:rPr>
        <w:t>149-</w:t>
      </w:r>
      <w:r>
        <w:rPr>
          <w:rFonts w:hint="cs"/>
          <w:rtl/>
        </w:rPr>
        <w:tab/>
        <w:t xml:space="preserve">ويجوز لأصحاب العمل </w:t>
      </w:r>
      <w:r>
        <w:rPr>
          <w:rFonts w:hint="cs"/>
          <w:rtl/>
        </w:rPr>
        <w:t>والعمال الخاضعين لقانون العمل أن يشكلوا منظمات عمالية؛ أي العمال في القطاع العام أو الخاص؛ ويمنع العاملون في الخدمة المدنية الخاضعون لقانون الخدمة المدنية والإدارة العامة منعاً صريحاً من إنشاء نقابات، بموجب المادة 60 (ز) من القانون، ولكن هذا لا يحول بين ال</w:t>
      </w:r>
      <w:r>
        <w:rPr>
          <w:rFonts w:hint="cs"/>
          <w:rtl/>
        </w:rPr>
        <w:t>عاملين في الخدمة المدنية وإنشاء رابطات مدنية. ويجوز للعمال أن يشكلوا رابطات لا يقل أعضاؤها عن 30 شخصاً.</w:t>
      </w:r>
    </w:p>
    <w:p w:rsidR="00000000" w:rsidRDefault="00567B15">
      <w:pPr>
        <w:spacing w:line="380" w:lineRule="exact"/>
        <w:jc w:val="both"/>
        <w:rPr>
          <w:rFonts w:hint="cs"/>
          <w:i/>
          <w:iCs/>
          <w:rtl/>
        </w:rPr>
      </w:pPr>
      <w:r>
        <w:rPr>
          <w:rFonts w:hint="cs"/>
          <w:i/>
          <w:iCs/>
          <w:rtl/>
        </w:rPr>
        <w:t>الحق في الإضراب</w:t>
      </w:r>
    </w:p>
    <w:p w:rsidR="00000000" w:rsidRDefault="00567B15">
      <w:pPr>
        <w:spacing w:line="380" w:lineRule="exact"/>
        <w:jc w:val="both"/>
        <w:rPr>
          <w:rFonts w:hint="cs"/>
          <w:rtl/>
        </w:rPr>
      </w:pPr>
      <w:r>
        <w:rPr>
          <w:rFonts w:hint="cs"/>
          <w:rtl/>
        </w:rPr>
        <w:t>150-</w:t>
      </w:r>
      <w:r>
        <w:rPr>
          <w:rFonts w:hint="cs"/>
          <w:rtl/>
        </w:rPr>
        <w:tab/>
        <w:t>إن المادة 35 من دستور إكوادور "تقر وتضمن حق العمال في الإضراب وحق أصحاب العمل في فرض إغلاق مقار العمل وفقاً للقانون. أما شل الخدمات</w:t>
      </w:r>
      <w:r>
        <w:rPr>
          <w:rFonts w:hint="cs"/>
          <w:rtl/>
        </w:rPr>
        <w:t xml:space="preserve"> العامة بأي ذريعة فهو ممنوع، وخاصة خدمات الصحة والتعليم والعدل والضمان الاجتماعي ومحاط القوى الكهربائية ومياه الشرب والمجاري الصحية ومعالجة الوقود ونقله وتوزيعه، والنقل العام والاتصالات. ويحدد القانون العقوبات على مخالفة ذلك".</w:t>
      </w:r>
    </w:p>
    <w:p w:rsidR="00000000" w:rsidRDefault="00567B15">
      <w:pPr>
        <w:spacing w:line="380" w:lineRule="exact"/>
        <w:jc w:val="both"/>
        <w:rPr>
          <w:rFonts w:hint="cs"/>
          <w:rtl/>
        </w:rPr>
      </w:pPr>
      <w:r>
        <w:rPr>
          <w:rFonts w:hint="cs"/>
          <w:rtl/>
        </w:rPr>
        <w:t>151-</w:t>
      </w:r>
      <w:r>
        <w:rPr>
          <w:rFonts w:hint="cs"/>
          <w:rtl/>
        </w:rPr>
        <w:tab/>
        <w:t>والمادة 474 من قانون الع</w:t>
      </w:r>
      <w:r>
        <w:rPr>
          <w:rFonts w:hint="cs"/>
          <w:rtl/>
        </w:rPr>
        <w:t>مل تنص على أن "القانون يسلّم بحق العمال في الإضراب رهناً بالشروط الواردة فيه. والإضراب هو الإيقاف الجماعي للعمل بإرادة العمال".</w:t>
      </w:r>
    </w:p>
    <w:p w:rsidR="00000000" w:rsidRDefault="00567B15">
      <w:pPr>
        <w:spacing w:line="380" w:lineRule="exact"/>
        <w:jc w:val="both"/>
        <w:rPr>
          <w:rFonts w:hint="cs"/>
          <w:rtl/>
        </w:rPr>
      </w:pPr>
      <w:r>
        <w:rPr>
          <w:rFonts w:hint="cs"/>
          <w:rtl/>
        </w:rPr>
        <w:t>152-</w:t>
      </w:r>
      <w:r>
        <w:rPr>
          <w:rFonts w:hint="cs"/>
          <w:rtl/>
        </w:rPr>
        <w:tab/>
        <w:t>وتنظم المادة 502 من قانون العمل الإضرابات غير المشروعة فتنص على أنه: "إذا أعلن أن إضراباً ما غير مشروع، يكون من حق صاحب الع</w:t>
      </w:r>
      <w:r>
        <w:rPr>
          <w:rFonts w:hint="cs"/>
          <w:rtl/>
        </w:rPr>
        <w:t>مل أن يفصل المضربين. ولا يعتبر الإضراب غير مشروع إلا إذا ارتكب المضربون أعمال عنف ضد أشخاص أو تسببوا في أضرار جسيمة بالممتلكات".</w:t>
      </w:r>
    </w:p>
    <w:p w:rsidR="00000000" w:rsidRDefault="00567B15">
      <w:pPr>
        <w:spacing w:line="380" w:lineRule="exact"/>
        <w:jc w:val="both"/>
        <w:rPr>
          <w:rFonts w:hint="cs"/>
          <w:rtl/>
        </w:rPr>
      </w:pPr>
    </w:p>
    <w:p w:rsidR="00000000" w:rsidRDefault="00567B15">
      <w:pPr>
        <w:spacing w:line="380" w:lineRule="exact"/>
        <w:jc w:val="both"/>
        <w:rPr>
          <w:rFonts w:hint="cs"/>
          <w:rtl/>
        </w:rPr>
      </w:pPr>
    </w:p>
    <w:p w:rsidR="00000000" w:rsidRDefault="00567B15">
      <w:pPr>
        <w:spacing w:before="0" w:after="0"/>
        <w:jc w:val="center"/>
        <w:rPr>
          <w:rFonts w:hint="cs"/>
          <w:b/>
          <w:bCs/>
          <w:rtl/>
        </w:rPr>
      </w:pPr>
      <w:r>
        <w:rPr>
          <w:rFonts w:hint="cs"/>
          <w:b/>
          <w:bCs/>
          <w:rtl/>
        </w:rPr>
        <w:t>المنازعات الجماعية</w:t>
      </w:r>
    </w:p>
    <w:p w:rsidR="00000000" w:rsidRDefault="00567B15">
      <w:pPr>
        <w:spacing w:before="0" w:after="0"/>
        <w:jc w:val="center"/>
        <w:rPr>
          <w:rFonts w:hint="cs"/>
          <w:b/>
          <w:bCs/>
          <w:rtl/>
        </w:rPr>
      </w:pPr>
      <w:r>
        <w:rPr>
          <w:rFonts w:hint="cs"/>
          <w:b/>
          <w:bCs/>
          <w:rtl/>
        </w:rPr>
        <w:t>1988-2001</w:t>
      </w:r>
    </w:p>
    <w:tbl>
      <w:tblPr>
        <w:bidiVisual/>
        <w:tblW w:w="0" w:type="auto"/>
        <w:tblInd w:w="50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10"/>
        <w:gridCol w:w="1614"/>
        <w:gridCol w:w="1637"/>
        <w:gridCol w:w="2137"/>
        <w:gridCol w:w="1620"/>
      </w:tblGrid>
      <w:tr w:rsidR="00567B15" w:rsidTr="00567B15">
        <w:tblPrEx>
          <w:tblCellMar>
            <w:top w:w="0" w:type="dxa"/>
            <w:bottom w:w="0" w:type="dxa"/>
          </w:tblCellMar>
        </w:tblPrEx>
        <w:trPr>
          <w:trHeight w:val="386"/>
        </w:trPr>
        <w:tc>
          <w:tcPr>
            <w:tcW w:w="1410" w:type="dxa"/>
            <w:tcBorders>
              <w:top w:val="single" w:sz="4" w:space="0" w:color="auto"/>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السنوات</w:t>
            </w:r>
          </w:p>
        </w:tc>
        <w:tc>
          <w:tcPr>
            <w:tcW w:w="1614" w:type="dxa"/>
            <w:tcBorders>
              <w:top w:val="single" w:sz="4" w:space="0" w:color="auto"/>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عدد المنازعات</w:t>
            </w:r>
          </w:p>
        </w:tc>
        <w:tc>
          <w:tcPr>
            <w:tcW w:w="1637" w:type="dxa"/>
            <w:tcBorders>
              <w:top w:val="single" w:sz="4" w:space="0" w:color="auto"/>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النسبة المئوية</w:t>
            </w:r>
          </w:p>
        </w:tc>
        <w:tc>
          <w:tcPr>
            <w:tcW w:w="2137" w:type="dxa"/>
            <w:tcBorders>
              <w:top w:val="single" w:sz="4" w:space="0" w:color="auto"/>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التغير من سنة إلى أخرى</w:t>
            </w:r>
          </w:p>
        </w:tc>
        <w:tc>
          <w:tcPr>
            <w:tcW w:w="1620" w:type="dxa"/>
            <w:tcBorders>
              <w:top w:val="single" w:sz="4" w:space="0" w:color="auto"/>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النسبة المئوية</w:t>
            </w:r>
          </w:p>
        </w:tc>
      </w:tr>
      <w:tr w:rsidR="00567B15" w:rsidTr="00567B15">
        <w:tblPrEx>
          <w:tblCellMar>
            <w:top w:w="0" w:type="dxa"/>
            <w:bottom w:w="0" w:type="dxa"/>
          </w:tblCellMar>
        </w:tblPrEx>
        <w:trPr>
          <w:trHeight w:val="261"/>
        </w:trPr>
        <w:tc>
          <w:tcPr>
            <w:tcW w:w="1410" w:type="dxa"/>
            <w:tcBorders>
              <w:top w:val="single" w:sz="4" w:space="0" w:color="auto"/>
            </w:tcBorders>
          </w:tcPr>
          <w:p w:rsidR="00567B15" w:rsidRDefault="00567B15">
            <w:pPr>
              <w:spacing w:before="0" w:after="0" w:line="300" w:lineRule="exact"/>
              <w:jc w:val="center"/>
              <w:rPr>
                <w:rStyle w:val="FootnoteReference"/>
                <w:rFonts w:hint="cs"/>
                <w:bCs w:val="0"/>
                <w:sz w:val="26"/>
                <w:szCs w:val="26"/>
                <w:vertAlign w:val="baseline"/>
              </w:rPr>
            </w:pPr>
            <w:r>
              <w:rPr>
                <w:rFonts w:hint="cs"/>
                <w:sz w:val="26"/>
                <w:szCs w:val="26"/>
                <w:rtl/>
              </w:rPr>
              <w:t>1988</w:t>
            </w:r>
          </w:p>
        </w:tc>
        <w:tc>
          <w:tcPr>
            <w:tcW w:w="1614" w:type="dxa"/>
            <w:tcBorders>
              <w:top w:val="single" w:sz="4" w:space="0" w:color="auto"/>
            </w:tcBorders>
          </w:tcPr>
          <w:p w:rsidR="00567B15" w:rsidRDefault="00567B15">
            <w:pPr>
              <w:spacing w:before="0" w:after="0" w:line="300" w:lineRule="exact"/>
              <w:ind w:left="600"/>
              <w:jc w:val="both"/>
              <w:rPr>
                <w:rStyle w:val="FootnoteReference"/>
                <w:rFonts w:hint="cs"/>
                <w:bCs w:val="0"/>
                <w:sz w:val="26"/>
                <w:szCs w:val="26"/>
                <w:vertAlign w:val="baseline"/>
              </w:rPr>
            </w:pPr>
            <w:r>
              <w:rPr>
                <w:rFonts w:hint="cs"/>
                <w:sz w:val="26"/>
                <w:szCs w:val="26"/>
                <w:rtl/>
              </w:rPr>
              <w:t>397</w:t>
            </w:r>
          </w:p>
        </w:tc>
        <w:tc>
          <w:tcPr>
            <w:tcW w:w="1637" w:type="dxa"/>
            <w:tcBorders>
              <w:top w:val="single" w:sz="4" w:space="0" w:color="auto"/>
            </w:tcBorders>
          </w:tcPr>
          <w:p w:rsidR="00567B15" w:rsidRDefault="00567B15">
            <w:pPr>
              <w:spacing w:before="0" w:after="0" w:line="300" w:lineRule="exact"/>
              <w:ind w:left="306"/>
              <w:jc w:val="both"/>
              <w:rPr>
                <w:rStyle w:val="FootnoteReference"/>
                <w:rFonts w:hint="cs"/>
                <w:bCs w:val="0"/>
                <w:sz w:val="26"/>
                <w:szCs w:val="26"/>
                <w:vertAlign w:val="baseline"/>
              </w:rPr>
            </w:pPr>
            <w:r>
              <w:rPr>
                <w:rFonts w:hint="cs"/>
                <w:sz w:val="26"/>
                <w:szCs w:val="26"/>
                <w:rtl/>
              </w:rPr>
              <w:t>16.70</w:t>
            </w:r>
          </w:p>
        </w:tc>
        <w:tc>
          <w:tcPr>
            <w:tcW w:w="2137" w:type="dxa"/>
            <w:tcBorders>
              <w:top w:val="single" w:sz="4" w:space="0" w:color="auto"/>
            </w:tcBorders>
          </w:tcPr>
          <w:p w:rsidR="00567B15" w:rsidRDefault="00567B15">
            <w:pPr>
              <w:spacing w:before="0" w:after="0" w:line="300" w:lineRule="exact"/>
              <w:ind w:firstLine="72"/>
              <w:jc w:val="center"/>
              <w:rPr>
                <w:rStyle w:val="FootnoteReference"/>
                <w:rFonts w:hint="cs"/>
                <w:bCs w:val="0"/>
                <w:sz w:val="26"/>
                <w:szCs w:val="26"/>
                <w:vertAlign w:val="baseline"/>
              </w:rPr>
            </w:pPr>
            <w:r>
              <w:rPr>
                <w:rFonts w:hint="cs"/>
                <w:sz w:val="26"/>
                <w:szCs w:val="26"/>
                <w:rtl/>
              </w:rPr>
              <w:t>-</w:t>
            </w:r>
          </w:p>
        </w:tc>
        <w:tc>
          <w:tcPr>
            <w:tcW w:w="1620" w:type="dxa"/>
            <w:tcBorders>
              <w:top w:val="single" w:sz="4" w:space="0" w:color="auto"/>
            </w:tcBorders>
          </w:tcPr>
          <w:p w:rsidR="00567B15" w:rsidRDefault="00567B15">
            <w:pPr>
              <w:spacing w:before="0" w:after="0" w:line="300" w:lineRule="exact"/>
              <w:ind w:firstLine="72"/>
              <w:jc w:val="center"/>
              <w:rPr>
                <w:rStyle w:val="FootnoteReference"/>
                <w:rFonts w:hint="cs"/>
                <w:bCs w:val="0"/>
                <w:sz w:val="26"/>
                <w:szCs w:val="26"/>
                <w:vertAlign w:val="baseline"/>
              </w:rPr>
            </w:pPr>
            <w:r>
              <w:rPr>
                <w:sz w:val="26"/>
                <w:szCs w:val="26"/>
              </w:rPr>
              <w:t>+</w:t>
            </w:r>
            <w:r>
              <w:rPr>
                <w:rFonts w:hint="cs"/>
                <w:sz w:val="26"/>
                <w:szCs w:val="26"/>
                <w:rtl/>
              </w:rPr>
              <w:t>-</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Style w:val="FootnoteReference"/>
                <w:rFonts w:hint="cs"/>
                <w:bCs w:val="0"/>
                <w:sz w:val="26"/>
                <w:szCs w:val="26"/>
                <w:vertAlign w:val="baseline"/>
              </w:rPr>
            </w:pPr>
            <w:r>
              <w:rPr>
                <w:rFonts w:hint="cs"/>
                <w:sz w:val="26"/>
                <w:szCs w:val="26"/>
                <w:rtl/>
              </w:rPr>
              <w:t>1989</w:t>
            </w:r>
          </w:p>
        </w:tc>
        <w:tc>
          <w:tcPr>
            <w:tcW w:w="1614" w:type="dxa"/>
          </w:tcPr>
          <w:p w:rsidR="00567B15" w:rsidRDefault="00567B15">
            <w:pPr>
              <w:spacing w:before="0" w:after="0" w:line="300" w:lineRule="exact"/>
              <w:ind w:left="600"/>
              <w:jc w:val="both"/>
              <w:rPr>
                <w:rStyle w:val="FootnoteReference"/>
                <w:rFonts w:hint="cs"/>
                <w:bCs w:val="0"/>
                <w:sz w:val="26"/>
                <w:szCs w:val="26"/>
                <w:vertAlign w:val="baseline"/>
              </w:rPr>
            </w:pPr>
            <w:r>
              <w:rPr>
                <w:rFonts w:hint="cs"/>
                <w:sz w:val="26"/>
                <w:szCs w:val="26"/>
                <w:rtl/>
              </w:rPr>
              <w:t>362</w:t>
            </w:r>
          </w:p>
        </w:tc>
        <w:tc>
          <w:tcPr>
            <w:tcW w:w="1637" w:type="dxa"/>
          </w:tcPr>
          <w:p w:rsidR="00567B15" w:rsidRDefault="00567B15">
            <w:pPr>
              <w:spacing w:before="0" w:after="0" w:line="300" w:lineRule="exact"/>
              <w:ind w:left="306"/>
              <w:jc w:val="both"/>
              <w:rPr>
                <w:rStyle w:val="FootnoteReference"/>
                <w:rFonts w:hint="cs"/>
                <w:bCs w:val="0"/>
                <w:sz w:val="26"/>
                <w:szCs w:val="26"/>
                <w:vertAlign w:val="baseline"/>
              </w:rPr>
            </w:pPr>
            <w:r>
              <w:rPr>
                <w:rFonts w:hint="cs"/>
                <w:sz w:val="26"/>
                <w:szCs w:val="26"/>
                <w:rtl/>
              </w:rPr>
              <w:t>15.23</w:t>
            </w:r>
          </w:p>
        </w:tc>
        <w:tc>
          <w:tcPr>
            <w:tcW w:w="2137" w:type="dxa"/>
          </w:tcPr>
          <w:p w:rsidR="00567B15" w:rsidRDefault="00567B15">
            <w:pPr>
              <w:spacing w:before="0" w:after="0" w:line="300" w:lineRule="exact"/>
              <w:ind w:firstLine="432"/>
              <w:jc w:val="both"/>
              <w:rPr>
                <w:rStyle w:val="FootnoteReference"/>
                <w:rFonts w:hint="cs"/>
                <w:bCs w:val="0"/>
                <w:sz w:val="26"/>
                <w:szCs w:val="26"/>
                <w:vertAlign w:val="baseline"/>
              </w:rPr>
            </w:pPr>
            <w:r>
              <w:rPr>
                <w:rFonts w:hint="cs"/>
                <w:sz w:val="26"/>
                <w:szCs w:val="26"/>
                <w:rtl/>
              </w:rPr>
              <w:t>-35</w:t>
            </w:r>
          </w:p>
        </w:tc>
        <w:tc>
          <w:tcPr>
            <w:tcW w:w="1620" w:type="dxa"/>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-8.82</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Style w:val="FootnoteReference"/>
                <w:rFonts w:hint="cs"/>
                <w:bCs w:val="0"/>
                <w:sz w:val="26"/>
                <w:szCs w:val="26"/>
                <w:vertAlign w:val="baseline"/>
              </w:rPr>
            </w:pPr>
            <w:r>
              <w:rPr>
                <w:rFonts w:hint="cs"/>
                <w:sz w:val="26"/>
                <w:szCs w:val="26"/>
                <w:rtl/>
              </w:rPr>
              <w:t>1990</w:t>
            </w:r>
          </w:p>
        </w:tc>
        <w:tc>
          <w:tcPr>
            <w:tcW w:w="1614" w:type="dxa"/>
          </w:tcPr>
          <w:p w:rsidR="00567B15" w:rsidRDefault="00567B15">
            <w:pPr>
              <w:spacing w:before="0" w:after="0" w:line="300" w:lineRule="exact"/>
              <w:ind w:left="600"/>
              <w:jc w:val="both"/>
              <w:rPr>
                <w:rStyle w:val="FootnoteReference"/>
                <w:rFonts w:hint="cs"/>
                <w:bCs w:val="0"/>
                <w:sz w:val="26"/>
                <w:szCs w:val="26"/>
                <w:vertAlign w:val="baseline"/>
              </w:rPr>
            </w:pPr>
            <w:r>
              <w:rPr>
                <w:rFonts w:hint="cs"/>
                <w:sz w:val="26"/>
                <w:szCs w:val="26"/>
                <w:rtl/>
              </w:rPr>
              <w:t>339</w:t>
            </w:r>
          </w:p>
        </w:tc>
        <w:tc>
          <w:tcPr>
            <w:tcW w:w="1637" w:type="dxa"/>
          </w:tcPr>
          <w:p w:rsidR="00567B15" w:rsidRDefault="00567B15">
            <w:pPr>
              <w:spacing w:before="0" w:after="0" w:line="300" w:lineRule="exact"/>
              <w:ind w:left="306"/>
              <w:jc w:val="both"/>
              <w:rPr>
                <w:rStyle w:val="FootnoteReference"/>
                <w:rFonts w:hint="cs"/>
                <w:bCs w:val="0"/>
                <w:sz w:val="26"/>
                <w:szCs w:val="26"/>
                <w:vertAlign w:val="baseline"/>
              </w:rPr>
            </w:pPr>
            <w:r>
              <w:rPr>
                <w:rFonts w:hint="cs"/>
                <w:sz w:val="26"/>
                <w:szCs w:val="26"/>
                <w:rtl/>
              </w:rPr>
              <w:t>14.26</w:t>
            </w:r>
          </w:p>
        </w:tc>
        <w:tc>
          <w:tcPr>
            <w:tcW w:w="2137" w:type="dxa"/>
          </w:tcPr>
          <w:p w:rsidR="00567B15" w:rsidRDefault="00567B15">
            <w:pPr>
              <w:spacing w:before="0" w:after="0" w:line="300" w:lineRule="exact"/>
              <w:ind w:firstLine="432"/>
              <w:jc w:val="both"/>
              <w:rPr>
                <w:rStyle w:val="FootnoteReference"/>
                <w:rFonts w:hint="cs"/>
                <w:bCs w:val="0"/>
                <w:sz w:val="26"/>
                <w:szCs w:val="26"/>
                <w:vertAlign w:val="baseline"/>
              </w:rPr>
            </w:pPr>
            <w:r>
              <w:rPr>
                <w:rFonts w:hint="cs"/>
                <w:sz w:val="26"/>
                <w:szCs w:val="26"/>
                <w:rtl/>
              </w:rPr>
              <w:t>-23</w:t>
            </w:r>
          </w:p>
        </w:tc>
        <w:tc>
          <w:tcPr>
            <w:tcW w:w="1620" w:type="dxa"/>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-6.35</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1991</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290</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12.20</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-49</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-14.45</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1992</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186</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7.82</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-104</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-35.86</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1993</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134</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5.64</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-52</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-27.96</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1994</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104</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4.38</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-30</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-22.39</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1995</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93</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3.91</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-11</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-10.58</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1996</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108</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4.54</w:t>
            </w:r>
          </w:p>
        </w:tc>
        <w:tc>
          <w:tcPr>
            <w:tcW w:w="2137" w:type="dxa"/>
          </w:tcPr>
          <w:p w:rsidR="00567B15" w:rsidRDefault="00567B15">
            <w:pPr>
              <w:spacing w:before="0" w:after="0" w:line="300" w:lineRule="exact"/>
              <w:ind w:firstLine="612"/>
              <w:jc w:val="both"/>
              <w:rPr>
                <w:rFonts w:hint="cs"/>
                <w:sz w:val="26"/>
                <w:szCs w:val="26"/>
                <w:rtl/>
              </w:rPr>
            </w:pPr>
            <w:r>
              <w:rPr>
                <w:rFonts w:hint="cs"/>
                <w:sz w:val="26"/>
                <w:szCs w:val="26"/>
                <w:rtl/>
              </w:rPr>
              <w:t>15</w:t>
            </w:r>
          </w:p>
        </w:tc>
        <w:tc>
          <w:tcPr>
            <w:tcW w:w="1620" w:type="dxa"/>
          </w:tcPr>
          <w:p w:rsidR="00567B15" w:rsidRDefault="00567B15">
            <w:pPr>
              <w:spacing w:before="0" w:after="0" w:line="300" w:lineRule="exact"/>
              <w:ind w:firstLine="432"/>
              <w:jc w:val="both"/>
              <w:rPr>
                <w:rFonts w:hint="cs"/>
                <w:sz w:val="26"/>
                <w:szCs w:val="26"/>
                <w:rtl/>
              </w:rPr>
            </w:pPr>
            <w:r>
              <w:rPr>
                <w:rFonts w:hint="cs"/>
                <w:sz w:val="26"/>
                <w:szCs w:val="26"/>
                <w:rtl/>
              </w:rPr>
              <w:t>16.13</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1997</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85</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3.58</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-23</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-21.30</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1998</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103</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4.33</w:t>
            </w:r>
          </w:p>
        </w:tc>
        <w:tc>
          <w:tcPr>
            <w:tcW w:w="2137" w:type="dxa"/>
          </w:tcPr>
          <w:p w:rsidR="00567B15" w:rsidRDefault="00567B15">
            <w:pPr>
              <w:spacing w:before="0" w:after="0" w:line="300" w:lineRule="exact"/>
              <w:ind w:firstLine="612"/>
              <w:jc w:val="both"/>
              <w:rPr>
                <w:rFonts w:hint="cs"/>
                <w:sz w:val="26"/>
                <w:szCs w:val="26"/>
                <w:rtl/>
              </w:rPr>
            </w:pPr>
            <w:r>
              <w:rPr>
                <w:rFonts w:hint="cs"/>
                <w:sz w:val="26"/>
                <w:szCs w:val="26"/>
                <w:rtl/>
              </w:rPr>
              <w:t>18</w:t>
            </w:r>
          </w:p>
        </w:tc>
        <w:tc>
          <w:tcPr>
            <w:tcW w:w="1620" w:type="dxa"/>
          </w:tcPr>
          <w:p w:rsidR="00567B15" w:rsidRDefault="00567B15">
            <w:pPr>
              <w:spacing w:before="0" w:after="0" w:line="300" w:lineRule="exact"/>
              <w:ind w:firstLine="432"/>
              <w:jc w:val="both"/>
              <w:rPr>
                <w:rFonts w:hint="cs"/>
                <w:sz w:val="26"/>
                <w:szCs w:val="26"/>
                <w:rtl/>
              </w:rPr>
            </w:pPr>
            <w:r>
              <w:rPr>
                <w:rFonts w:hint="cs"/>
                <w:sz w:val="26"/>
                <w:szCs w:val="26"/>
                <w:rtl/>
              </w:rPr>
              <w:t>21.18</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1999</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72</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3.03</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-31</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-30.10</w:t>
            </w:r>
          </w:p>
        </w:tc>
      </w:tr>
      <w:tr w:rsidR="00567B15" w:rsidTr="00567B15">
        <w:tblPrEx>
          <w:tblCellMar>
            <w:top w:w="0" w:type="dxa"/>
            <w:bottom w:w="0" w:type="dxa"/>
          </w:tblCellMar>
        </w:tblPrEx>
        <w:tc>
          <w:tcPr>
            <w:tcW w:w="1410" w:type="dxa"/>
          </w:tcPr>
          <w:p w:rsidR="00567B15" w:rsidRDefault="00567B15">
            <w:pPr>
              <w:spacing w:before="0" w:after="0" w:line="300" w:lineRule="exact"/>
              <w:jc w:val="center"/>
              <w:rPr>
                <w:rFonts w:hint="cs"/>
                <w:sz w:val="26"/>
                <w:szCs w:val="26"/>
                <w:rtl/>
              </w:rPr>
            </w:pPr>
            <w:r>
              <w:rPr>
                <w:rFonts w:hint="cs"/>
                <w:sz w:val="26"/>
                <w:szCs w:val="26"/>
                <w:rtl/>
              </w:rPr>
              <w:t>2000</w:t>
            </w:r>
          </w:p>
        </w:tc>
        <w:tc>
          <w:tcPr>
            <w:tcW w:w="1614" w:type="dxa"/>
          </w:tcPr>
          <w:p w:rsidR="00567B15" w:rsidRDefault="00567B15">
            <w:pPr>
              <w:spacing w:before="0" w:after="0" w:line="300" w:lineRule="exact"/>
              <w:ind w:left="600"/>
              <w:jc w:val="both"/>
              <w:rPr>
                <w:rFonts w:hint="cs"/>
                <w:sz w:val="26"/>
                <w:szCs w:val="26"/>
                <w:rtl/>
              </w:rPr>
            </w:pPr>
            <w:r>
              <w:rPr>
                <w:rFonts w:hint="cs"/>
                <w:sz w:val="26"/>
                <w:szCs w:val="26"/>
                <w:rtl/>
              </w:rPr>
              <w:t>51</w:t>
            </w:r>
          </w:p>
        </w:tc>
        <w:tc>
          <w:tcPr>
            <w:tcW w:w="1637" w:type="dxa"/>
          </w:tcPr>
          <w:p w:rsidR="00567B15" w:rsidRDefault="00567B15">
            <w:pPr>
              <w:spacing w:before="0" w:after="0" w:line="300" w:lineRule="exact"/>
              <w:ind w:left="306"/>
              <w:jc w:val="both"/>
              <w:rPr>
                <w:rFonts w:hint="cs"/>
                <w:sz w:val="26"/>
                <w:szCs w:val="26"/>
                <w:rtl/>
              </w:rPr>
            </w:pPr>
            <w:r>
              <w:rPr>
                <w:rFonts w:hint="cs"/>
                <w:sz w:val="26"/>
                <w:szCs w:val="26"/>
                <w:rtl/>
              </w:rPr>
              <w:t>2.15</w:t>
            </w:r>
          </w:p>
        </w:tc>
        <w:tc>
          <w:tcPr>
            <w:tcW w:w="2137" w:type="dxa"/>
          </w:tcPr>
          <w:p w:rsidR="00567B15" w:rsidRDefault="00567B15">
            <w:pPr>
              <w:spacing w:before="0" w:after="0" w:line="300" w:lineRule="exact"/>
              <w:ind w:firstLine="432"/>
              <w:jc w:val="both"/>
              <w:rPr>
                <w:rFonts w:hint="cs"/>
                <w:sz w:val="26"/>
                <w:szCs w:val="26"/>
                <w:rtl/>
              </w:rPr>
            </w:pPr>
            <w:r>
              <w:rPr>
                <w:rFonts w:hint="cs"/>
                <w:sz w:val="26"/>
                <w:szCs w:val="26"/>
                <w:rtl/>
              </w:rPr>
              <w:t>-21</w:t>
            </w:r>
          </w:p>
        </w:tc>
        <w:tc>
          <w:tcPr>
            <w:tcW w:w="1620" w:type="dxa"/>
          </w:tcPr>
          <w:p w:rsidR="00567B15" w:rsidRDefault="00567B15">
            <w:pPr>
              <w:spacing w:before="0" w:after="0" w:line="300" w:lineRule="exact"/>
              <w:ind w:firstLine="252"/>
              <w:jc w:val="both"/>
              <w:rPr>
                <w:rFonts w:hint="cs"/>
                <w:sz w:val="26"/>
                <w:szCs w:val="26"/>
                <w:rtl/>
              </w:rPr>
            </w:pPr>
            <w:r>
              <w:rPr>
                <w:rFonts w:hint="cs"/>
                <w:sz w:val="26"/>
                <w:szCs w:val="26"/>
                <w:rtl/>
              </w:rPr>
              <w:t>-29.17</w:t>
            </w:r>
          </w:p>
        </w:tc>
      </w:tr>
      <w:tr w:rsidR="00567B15" w:rsidTr="00567B15">
        <w:tblPrEx>
          <w:tblCellMar>
            <w:top w:w="0" w:type="dxa"/>
            <w:bottom w:w="0" w:type="dxa"/>
          </w:tblCellMar>
        </w:tblPrEx>
        <w:tc>
          <w:tcPr>
            <w:tcW w:w="1410" w:type="dxa"/>
            <w:tcBorders>
              <w:bottom w:val="single" w:sz="4" w:space="0" w:color="auto"/>
            </w:tcBorders>
          </w:tcPr>
          <w:p w:rsidR="00567B15" w:rsidRDefault="00567B15">
            <w:pPr>
              <w:spacing w:before="0" w:after="0" w:line="300" w:lineRule="exact"/>
              <w:jc w:val="center"/>
              <w:rPr>
                <w:rFonts w:hint="cs"/>
                <w:sz w:val="26"/>
                <w:szCs w:val="26"/>
                <w:rtl/>
              </w:rPr>
            </w:pPr>
            <w:r>
              <w:rPr>
                <w:rFonts w:hint="cs"/>
                <w:sz w:val="26"/>
                <w:szCs w:val="26"/>
                <w:rtl/>
              </w:rPr>
              <w:t>2001</w:t>
            </w:r>
          </w:p>
        </w:tc>
        <w:tc>
          <w:tcPr>
            <w:tcW w:w="1614" w:type="dxa"/>
            <w:tcBorders>
              <w:bottom w:val="single" w:sz="4" w:space="0" w:color="auto"/>
            </w:tcBorders>
          </w:tcPr>
          <w:p w:rsidR="00567B15" w:rsidRDefault="00567B15">
            <w:pPr>
              <w:spacing w:before="0" w:after="0" w:line="300" w:lineRule="exact"/>
              <w:ind w:left="600"/>
              <w:jc w:val="both"/>
              <w:rPr>
                <w:rFonts w:hint="cs"/>
                <w:sz w:val="26"/>
                <w:szCs w:val="26"/>
                <w:rtl/>
              </w:rPr>
            </w:pPr>
            <w:r>
              <w:rPr>
                <w:rFonts w:hint="cs"/>
                <w:sz w:val="26"/>
                <w:szCs w:val="26"/>
                <w:rtl/>
              </w:rPr>
              <w:t>53</w:t>
            </w:r>
          </w:p>
        </w:tc>
        <w:tc>
          <w:tcPr>
            <w:tcW w:w="1637" w:type="dxa"/>
            <w:tcBorders>
              <w:bottom w:val="single" w:sz="4" w:space="0" w:color="auto"/>
            </w:tcBorders>
          </w:tcPr>
          <w:p w:rsidR="00567B15" w:rsidRDefault="00567B15">
            <w:pPr>
              <w:spacing w:before="0" w:after="0" w:line="300" w:lineRule="exact"/>
              <w:ind w:left="306"/>
              <w:jc w:val="both"/>
              <w:rPr>
                <w:rFonts w:hint="cs"/>
                <w:sz w:val="26"/>
                <w:szCs w:val="26"/>
                <w:rtl/>
              </w:rPr>
            </w:pPr>
            <w:r>
              <w:rPr>
                <w:rFonts w:hint="cs"/>
                <w:sz w:val="26"/>
                <w:szCs w:val="26"/>
                <w:rtl/>
              </w:rPr>
              <w:t>2.23</w:t>
            </w:r>
          </w:p>
        </w:tc>
        <w:tc>
          <w:tcPr>
            <w:tcW w:w="2137" w:type="dxa"/>
            <w:tcBorders>
              <w:bottom w:val="single" w:sz="4" w:space="0" w:color="auto"/>
            </w:tcBorders>
          </w:tcPr>
          <w:p w:rsidR="00567B15" w:rsidRDefault="00567B15">
            <w:pPr>
              <w:spacing w:before="0" w:after="0" w:line="300" w:lineRule="exact"/>
              <w:ind w:firstLine="612"/>
              <w:jc w:val="both"/>
              <w:rPr>
                <w:rFonts w:hint="cs"/>
                <w:sz w:val="26"/>
                <w:szCs w:val="26"/>
                <w:rtl/>
              </w:rPr>
            </w:pPr>
            <w:r>
              <w:rPr>
                <w:rFonts w:hint="cs"/>
                <w:sz w:val="26"/>
                <w:szCs w:val="26"/>
                <w:rtl/>
              </w:rPr>
              <w:t>2</w:t>
            </w:r>
          </w:p>
        </w:tc>
        <w:tc>
          <w:tcPr>
            <w:tcW w:w="1620" w:type="dxa"/>
            <w:tcBorders>
              <w:bottom w:val="single" w:sz="4" w:space="0" w:color="auto"/>
            </w:tcBorders>
          </w:tcPr>
          <w:p w:rsidR="00567B15" w:rsidRDefault="00567B15">
            <w:pPr>
              <w:spacing w:before="0" w:after="0" w:line="300" w:lineRule="exact"/>
              <w:ind w:firstLine="432"/>
              <w:jc w:val="both"/>
              <w:rPr>
                <w:rFonts w:hint="cs"/>
                <w:sz w:val="26"/>
                <w:szCs w:val="26"/>
                <w:rtl/>
              </w:rPr>
            </w:pPr>
            <w:r>
              <w:rPr>
                <w:rFonts w:hint="cs"/>
                <w:sz w:val="26"/>
                <w:szCs w:val="26"/>
                <w:rtl/>
              </w:rPr>
              <w:t>3.92</w:t>
            </w:r>
          </w:p>
        </w:tc>
      </w:tr>
      <w:tr w:rsidR="00567B15" w:rsidTr="00567B15">
        <w:tblPrEx>
          <w:tblCellMar>
            <w:top w:w="0" w:type="dxa"/>
            <w:bottom w:w="0" w:type="dxa"/>
          </w:tblCellMar>
        </w:tblPrEx>
        <w:trPr>
          <w:trHeight w:val="399"/>
        </w:trPr>
        <w:tc>
          <w:tcPr>
            <w:tcW w:w="1410" w:type="dxa"/>
            <w:tcBorders>
              <w:top w:val="single" w:sz="4" w:space="0" w:color="auto"/>
              <w:bottom w:val="single" w:sz="4" w:space="0" w:color="auto"/>
            </w:tcBorders>
          </w:tcPr>
          <w:p w:rsidR="00567B15" w:rsidRDefault="00567B15">
            <w:pPr>
              <w:spacing w:before="0" w:after="0" w:line="300" w:lineRule="exact"/>
              <w:jc w:val="center"/>
              <w:rPr>
                <w:rFonts w:hint="cs"/>
                <w:sz w:val="26"/>
                <w:szCs w:val="26"/>
                <w:rtl/>
              </w:rPr>
            </w:pPr>
            <w:r>
              <w:rPr>
                <w:rFonts w:hint="cs"/>
                <w:sz w:val="26"/>
                <w:szCs w:val="26"/>
                <w:rtl/>
              </w:rPr>
              <w:t>المجموع</w:t>
            </w:r>
          </w:p>
        </w:tc>
        <w:tc>
          <w:tcPr>
            <w:tcW w:w="1614" w:type="dxa"/>
            <w:tcBorders>
              <w:top w:val="single" w:sz="4" w:space="0" w:color="auto"/>
              <w:bottom w:val="single" w:sz="4" w:space="0" w:color="auto"/>
            </w:tcBorders>
          </w:tcPr>
          <w:p w:rsidR="00567B15" w:rsidRDefault="00567B15">
            <w:pPr>
              <w:spacing w:before="0" w:after="0" w:line="300" w:lineRule="exact"/>
              <w:ind w:left="600"/>
              <w:jc w:val="both"/>
              <w:rPr>
                <w:rFonts w:hint="cs"/>
                <w:sz w:val="26"/>
                <w:szCs w:val="26"/>
                <w:rtl/>
              </w:rPr>
            </w:pPr>
            <w:r>
              <w:rPr>
                <w:rFonts w:hint="cs"/>
                <w:sz w:val="26"/>
                <w:szCs w:val="26"/>
                <w:rtl/>
              </w:rPr>
              <w:t>377 2</w:t>
            </w:r>
          </w:p>
        </w:tc>
        <w:tc>
          <w:tcPr>
            <w:tcW w:w="1637" w:type="dxa"/>
            <w:tcBorders>
              <w:top w:val="single" w:sz="4" w:space="0" w:color="auto"/>
              <w:bottom w:val="single" w:sz="4" w:space="0" w:color="auto"/>
            </w:tcBorders>
          </w:tcPr>
          <w:p w:rsidR="00567B15" w:rsidRDefault="00567B15">
            <w:pPr>
              <w:spacing w:before="0" w:after="0" w:line="300" w:lineRule="exact"/>
              <w:ind w:left="306"/>
              <w:jc w:val="both"/>
              <w:rPr>
                <w:rFonts w:hint="cs"/>
                <w:sz w:val="26"/>
                <w:szCs w:val="26"/>
                <w:rtl/>
              </w:rPr>
            </w:pPr>
            <w:r>
              <w:rPr>
                <w:rFonts w:hint="cs"/>
                <w:sz w:val="26"/>
                <w:szCs w:val="26"/>
                <w:rtl/>
              </w:rPr>
              <w:t>100.00</w:t>
            </w:r>
          </w:p>
        </w:tc>
        <w:tc>
          <w:tcPr>
            <w:tcW w:w="2137" w:type="dxa"/>
            <w:tcBorders>
              <w:top w:val="single" w:sz="4" w:space="0" w:color="auto"/>
              <w:bottom w:val="single" w:sz="4" w:space="0" w:color="auto"/>
            </w:tcBorders>
          </w:tcPr>
          <w:p w:rsidR="00567B15" w:rsidRDefault="00567B15">
            <w:pPr>
              <w:spacing w:before="0" w:after="0" w:line="300" w:lineRule="exact"/>
              <w:ind w:firstLine="432"/>
              <w:jc w:val="both"/>
              <w:rPr>
                <w:rFonts w:hint="cs"/>
                <w:sz w:val="26"/>
                <w:szCs w:val="26"/>
                <w:rtl/>
              </w:rPr>
            </w:pPr>
            <w:r>
              <w:rPr>
                <w:rFonts w:hint="cs"/>
                <w:sz w:val="26"/>
                <w:szCs w:val="26"/>
                <w:rtl/>
              </w:rPr>
              <w:t>324 2</w:t>
            </w:r>
          </w:p>
        </w:tc>
        <w:tc>
          <w:tcPr>
            <w:tcW w:w="1620" w:type="dxa"/>
            <w:tcBorders>
              <w:top w:val="single" w:sz="4" w:space="0" w:color="auto"/>
              <w:bottom w:val="single" w:sz="4" w:space="0" w:color="auto"/>
            </w:tcBorders>
          </w:tcPr>
          <w:p w:rsidR="00567B15" w:rsidRDefault="00567B15">
            <w:pPr>
              <w:spacing w:before="0" w:after="0" w:line="300" w:lineRule="exact"/>
              <w:ind w:firstLine="432"/>
              <w:jc w:val="both"/>
              <w:rPr>
                <w:rFonts w:hint="cs"/>
                <w:sz w:val="26"/>
                <w:szCs w:val="26"/>
                <w:rtl/>
              </w:rPr>
            </w:pPr>
            <w:r>
              <w:rPr>
                <w:rFonts w:hint="cs"/>
                <w:sz w:val="26"/>
                <w:szCs w:val="26"/>
                <w:rtl/>
              </w:rPr>
              <w:t>384.91 4</w:t>
            </w:r>
          </w:p>
        </w:tc>
      </w:tr>
    </w:tbl>
    <w:p w:rsidR="00000000" w:rsidRDefault="00567B15">
      <w:pPr>
        <w:spacing w:before="120" w:after="0" w:line="320" w:lineRule="atLeast"/>
        <w:jc w:val="both"/>
        <w:rPr>
          <w:rFonts w:hint="cs"/>
          <w:rtl/>
        </w:rPr>
      </w:pPr>
      <w:r>
        <w:rPr>
          <w:rFonts w:hint="cs"/>
          <w:rtl/>
        </w:rPr>
        <w:tab/>
      </w:r>
      <w:r>
        <w:rPr>
          <w:rFonts w:hint="cs"/>
          <w:u w:val="single"/>
          <w:rtl/>
        </w:rPr>
        <w:t>المصدر</w:t>
      </w:r>
      <w:r>
        <w:rPr>
          <w:rFonts w:hint="cs"/>
          <w:rtl/>
        </w:rPr>
        <w:t>:</w:t>
      </w:r>
      <w:r>
        <w:rPr>
          <w:rFonts w:hint="cs"/>
          <w:rtl/>
        </w:rPr>
        <w:tab/>
      </w:r>
      <w:r>
        <w:rPr>
          <w:rFonts w:hint="cs"/>
          <w:i/>
          <w:iCs/>
          <w:rtl/>
        </w:rPr>
        <w:t>النشرة الإحصائية</w:t>
      </w:r>
      <w:r>
        <w:rPr>
          <w:rFonts w:hint="cs"/>
          <w:rtl/>
        </w:rPr>
        <w:t>، وزارة العمل والموارد البشرية.</w:t>
      </w:r>
    </w:p>
    <w:p w:rsidR="00000000" w:rsidRDefault="00567B15">
      <w:pPr>
        <w:spacing w:before="0" w:after="0" w:line="320" w:lineRule="atLeast"/>
        <w:jc w:val="center"/>
        <w:rPr>
          <w:rFonts w:hint="cs"/>
          <w:b/>
          <w:bCs/>
          <w:rtl/>
        </w:rPr>
      </w:pPr>
      <w:r>
        <w:rPr>
          <w:rFonts w:hint="cs"/>
          <w:b/>
          <w:bCs/>
          <w:rtl/>
        </w:rPr>
        <w:t>الإضرابات</w:t>
      </w:r>
    </w:p>
    <w:p w:rsidR="00000000" w:rsidRDefault="00567B15">
      <w:pPr>
        <w:spacing w:before="0" w:after="0" w:line="320" w:lineRule="atLeast"/>
        <w:jc w:val="center"/>
        <w:rPr>
          <w:rFonts w:hint="cs"/>
          <w:b/>
          <w:bCs/>
          <w:rtl/>
        </w:rPr>
      </w:pPr>
      <w:r>
        <w:rPr>
          <w:rFonts w:hint="cs"/>
          <w:b/>
          <w:bCs/>
          <w:rtl/>
        </w:rPr>
        <w:t>1988-2001</w:t>
      </w:r>
    </w:p>
    <w:tbl>
      <w:tblPr>
        <w:bidiVisual/>
        <w:tblW w:w="0" w:type="auto"/>
        <w:tblInd w:w="49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24"/>
        <w:gridCol w:w="1614"/>
        <w:gridCol w:w="1623"/>
        <w:gridCol w:w="2044"/>
        <w:gridCol w:w="1736"/>
      </w:tblGrid>
      <w:tr w:rsidR="00567B15" w:rsidTr="00567B15">
        <w:tblPrEx>
          <w:tblCellMar>
            <w:top w:w="0" w:type="dxa"/>
            <w:bottom w:w="0" w:type="dxa"/>
          </w:tblCellMar>
        </w:tblPrEx>
        <w:trPr>
          <w:trHeight w:val="427"/>
        </w:trPr>
        <w:tc>
          <w:tcPr>
            <w:tcW w:w="1424" w:type="dxa"/>
            <w:tcBorders>
              <w:top w:val="single" w:sz="4" w:space="0" w:color="auto"/>
              <w:bottom w:val="single" w:sz="4" w:space="0" w:color="auto"/>
            </w:tcBorders>
          </w:tcPr>
          <w:p w:rsidR="00567B15" w:rsidRDefault="00567B15">
            <w:pPr>
              <w:spacing w:before="0" w:after="0" w:line="320" w:lineRule="exact"/>
              <w:jc w:val="center"/>
              <w:rPr>
                <w:rFonts w:hint="cs"/>
              </w:rPr>
            </w:pPr>
            <w:r>
              <w:rPr>
                <w:rFonts w:hint="cs"/>
                <w:sz w:val="26"/>
                <w:szCs w:val="26"/>
                <w:rtl/>
              </w:rPr>
              <w:t>السنوات</w:t>
            </w:r>
          </w:p>
        </w:tc>
        <w:tc>
          <w:tcPr>
            <w:tcW w:w="1614" w:type="dxa"/>
            <w:tcBorders>
              <w:top w:val="single" w:sz="4" w:space="0" w:color="auto"/>
              <w:bottom w:val="single" w:sz="4" w:space="0" w:color="auto"/>
            </w:tcBorders>
          </w:tcPr>
          <w:p w:rsidR="00567B15" w:rsidRDefault="00567B15">
            <w:pPr>
              <w:spacing w:before="0" w:after="0" w:line="320" w:lineRule="exact"/>
              <w:jc w:val="center"/>
              <w:rPr>
                <w:rFonts w:hint="cs"/>
              </w:rPr>
            </w:pPr>
            <w:r>
              <w:rPr>
                <w:rFonts w:hint="cs"/>
                <w:sz w:val="26"/>
                <w:szCs w:val="26"/>
                <w:rtl/>
              </w:rPr>
              <w:t>عدد الإضرابات</w:t>
            </w:r>
          </w:p>
        </w:tc>
        <w:tc>
          <w:tcPr>
            <w:tcW w:w="1623" w:type="dxa"/>
            <w:tcBorders>
              <w:top w:val="single" w:sz="4" w:space="0" w:color="auto"/>
              <w:bottom w:val="single" w:sz="4" w:space="0" w:color="auto"/>
            </w:tcBorders>
          </w:tcPr>
          <w:p w:rsidR="00567B15" w:rsidRDefault="00567B15">
            <w:pPr>
              <w:spacing w:before="0" w:after="0" w:line="320" w:lineRule="exact"/>
              <w:jc w:val="center"/>
              <w:rPr>
                <w:rFonts w:hint="cs"/>
              </w:rPr>
            </w:pPr>
            <w:r>
              <w:rPr>
                <w:rFonts w:hint="cs"/>
                <w:sz w:val="26"/>
                <w:szCs w:val="26"/>
                <w:rtl/>
              </w:rPr>
              <w:t>النسبة المئوية</w:t>
            </w:r>
          </w:p>
        </w:tc>
        <w:tc>
          <w:tcPr>
            <w:tcW w:w="2044" w:type="dxa"/>
            <w:tcBorders>
              <w:top w:val="single" w:sz="4" w:space="0" w:color="auto"/>
              <w:bottom w:val="single" w:sz="4" w:space="0" w:color="auto"/>
            </w:tcBorders>
          </w:tcPr>
          <w:p w:rsidR="00567B15" w:rsidRDefault="00567B15">
            <w:pPr>
              <w:spacing w:before="0" w:after="0" w:line="320" w:lineRule="exact"/>
              <w:jc w:val="center"/>
              <w:rPr>
                <w:rFonts w:hint="cs"/>
              </w:rPr>
            </w:pPr>
            <w:r>
              <w:rPr>
                <w:rFonts w:hint="cs"/>
                <w:sz w:val="26"/>
                <w:szCs w:val="26"/>
                <w:rtl/>
              </w:rPr>
              <w:t>التغير من سنة إلى أخرى</w:t>
            </w:r>
          </w:p>
        </w:tc>
        <w:tc>
          <w:tcPr>
            <w:tcW w:w="1736" w:type="dxa"/>
            <w:tcBorders>
              <w:top w:val="single" w:sz="4" w:space="0" w:color="auto"/>
              <w:bottom w:val="single" w:sz="4" w:space="0" w:color="auto"/>
            </w:tcBorders>
          </w:tcPr>
          <w:p w:rsidR="00567B15" w:rsidRDefault="00567B15">
            <w:pPr>
              <w:spacing w:before="0" w:after="0" w:line="320" w:lineRule="exact"/>
              <w:jc w:val="center"/>
              <w:rPr>
                <w:rFonts w:hint="cs"/>
              </w:rPr>
            </w:pPr>
            <w:r>
              <w:rPr>
                <w:rFonts w:hint="cs"/>
                <w:sz w:val="26"/>
                <w:szCs w:val="26"/>
                <w:rtl/>
              </w:rPr>
              <w:t>النسبة المئوية</w:t>
            </w:r>
          </w:p>
        </w:tc>
      </w:tr>
      <w:tr w:rsidR="00567B15" w:rsidTr="00567B15">
        <w:tblPrEx>
          <w:tblCellMar>
            <w:top w:w="0" w:type="dxa"/>
            <w:bottom w:w="0" w:type="dxa"/>
          </w:tblCellMar>
        </w:tblPrEx>
        <w:tc>
          <w:tcPr>
            <w:tcW w:w="1424" w:type="dxa"/>
            <w:tcBorders>
              <w:top w:val="single" w:sz="4" w:space="0" w:color="auto"/>
            </w:tcBorders>
          </w:tcPr>
          <w:p w:rsidR="00567B15" w:rsidRDefault="00567B15">
            <w:pPr>
              <w:spacing w:before="0" w:after="0" w:line="320" w:lineRule="exact"/>
              <w:jc w:val="center"/>
              <w:rPr>
                <w:rFonts w:hint="cs"/>
              </w:rPr>
            </w:pPr>
            <w:r>
              <w:rPr>
                <w:rFonts w:hint="cs"/>
                <w:sz w:val="26"/>
                <w:szCs w:val="26"/>
                <w:rtl/>
              </w:rPr>
              <w:t>1988</w:t>
            </w:r>
          </w:p>
        </w:tc>
        <w:tc>
          <w:tcPr>
            <w:tcW w:w="1614" w:type="dxa"/>
            <w:tcBorders>
              <w:top w:val="single" w:sz="4" w:space="0" w:color="auto"/>
            </w:tcBorders>
          </w:tcPr>
          <w:p w:rsidR="00567B15" w:rsidRDefault="00567B15">
            <w:pPr>
              <w:spacing w:before="0" w:after="0" w:line="320" w:lineRule="exact"/>
              <w:jc w:val="center"/>
              <w:rPr>
                <w:rFonts w:hint="cs"/>
              </w:rPr>
            </w:pPr>
            <w:r>
              <w:rPr>
                <w:rFonts w:hint="cs"/>
                <w:sz w:val="26"/>
                <w:szCs w:val="26"/>
                <w:rtl/>
              </w:rPr>
              <w:t>126</w:t>
            </w:r>
          </w:p>
        </w:tc>
        <w:tc>
          <w:tcPr>
            <w:tcW w:w="1623" w:type="dxa"/>
            <w:tcBorders>
              <w:top w:val="single" w:sz="4" w:space="0" w:color="auto"/>
            </w:tcBorders>
          </w:tcPr>
          <w:p w:rsidR="00567B15" w:rsidRDefault="00567B15">
            <w:pPr>
              <w:spacing w:before="0" w:after="0" w:line="320" w:lineRule="exact"/>
              <w:jc w:val="center"/>
              <w:rPr>
                <w:rFonts w:hint="cs"/>
              </w:rPr>
            </w:pPr>
            <w:r>
              <w:rPr>
                <w:rFonts w:hint="cs"/>
                <w:sz w:val="26"/>
                <w:szCs w:val="26"/>
                <w:rtl/>
              </w:rPr>
              <w:t>18.45</w:t>
            </w:r>
          </w:p>
        </w:tc>
        <w:tc>
          <w:tcPr>
            <w:tcW w:w="2044" w:type="dxa"/>
            <w:tcBorders>
              <w:top w:val="single" w:sz="4" w:space="0" w:color="auto"/>
            </w:tcBorders>
          </w:tcPr>
          <w:p w:rsidR="00567B15" w:rsidRDefault="00567B15">
            <w:pPr>
              <w:spacing w:before="0" w:after="0" w:line="320" w:lineRule="exact"/>
              <w:jc w:val="center"/>
              <w:rPr>
                <w:rFonts w:hint="cs"/>
              </w:rPr>
            </w:pPr>
            <w:r>
              <w:rPr>
                <w:rFonts w:hint="cs"/>
                <w:sz w:val="26"/>
                <w:szCs w:val="26"/>
                <w:rtl/>
              </w:rPr>
              <w:t>-</w:t>
            </w:r>
          </w:p>
        </w:tc>
        <w:tc>
          <w:tcPr>
            <w:tcW w:w="1736" w:type="dxa"/>
            <w:tcBorders>
              <w:top w:val="single" w:sz="4" w:space="0" w:color="auto"/>
            </w:tcBorders>
          </w:tcPr>
          <w:p w:rsidR="00567B15" w:rsidRDefault="00567B15">
            <w:pPr>
              <w:spacing w:before="0" w:after="0" w:line="320" w:lineRule="exact"/>
              <w:jc w:val="center"/>
              <w:rPr>
                <w:rFonts w:hint="cs"/>
              </w:rPr>
            </w:pPr>
            <w:r>
              <w:rPr>
                <w:rFonts w:hint="cs"/>
                <w:sz w:val="26"/>
                <w:szCs w:val="26"/>
                <w:rtl/>
              </w:rPr>
              <w:t>-</w:t>
            </w:r>
          </w:p>
        </w:tc>
      </w:tr>
      <w:tr w:rsidR="00567B15" w:rsidTr="00567B15">
        <w:tblPrEx>
          <w:tblCellMar>
            <w:top w:w="0" w:type="dxa"/>
            <w:bottom w:w="0" w:type="dxa"/>
          </w:tblCellMar>
        </w:tblPrEx>
        <w:tc>
          <w:tcPr>
            <w:tcW w:w="1424" w:type="dxa"/>
          </w:tcPr>
          <w:p w:rsidR="00567B15" w:rsidRDefault="00567B15">
            <w:pPr>
              <w:spacing w:before="0" w:after="0" w:line="320" w:lineRule="exact"/>
              <w:jc w:val="center"/>
              <w:rPr>
                <w:rFonts w:hint="cs"/>
              </w:rPr>
            </w:pPr>
            <w:r>
              <w:rPr>
                <w:rFonts w:hint="cs"/>
                <w:sz w:val="26"/>
                <w:szCs w:val="26"/>
                <w:rtl/>
              </w:rPr>
              <w:t>1989</w:t>
            </w:r>
          </w:p>
        </w:tc>
        <w:tc>
          <w:tcPr>
            <w:tcW w:w="1614" w:type="dxa"/>
          </w:tcPr>
          <w:p w:rsidR="00567B15" w:rsidRDefault="00567B15">
            <w:pPr>
              <w:spacing w:before="0" w:after="0" w:line="320" w:lineRule="exact"/>
              <w:jc w:val="center"/>
              <w:rPr>
                <w:rFonts w:hint="cs"/>
              </w:rPr>
            </w:pPr>
            <w:r>
              <w:rPr>
                <w:rFonts w:hint="cs"/>
                <w:sz w:val="26"/>
                <w:szCs w:val="26"/>
                <w:rtl/>
              </w:rPr>
              <w:t>167</w:t>
            </w:r>
          </w:p>
        </w:tc>
        <w:tc>
          <w:tcPr>
            <w:tcW w:w="1623" w:type="dxa"/>
          </w:tcPr>
          <w:p w:rsidR="00567B15" w:rsidRDefault="00567B15">
            <w:pPr>
              <w:spacing w:before="0" w:after="0" w:line="320" w:lineRule="exact"/>
              <w:jc w:val="center"/>
              <w:rPr>
                <w:rFonts w:hint="cs"/>
              </w:rPr>
            </w:pPr>
            <w:r>
              <w:rPr>
                <w:rFonts w:hint="cs"/>
                <w:sz w:val="26"/>
                <w:szCs w:val="26"/>
                <w:rtl/>
              </w:rPr>
              <w:t>24.45</w:t>
            </w:r>
          </w:p>
        </w:tc>
        <w:tc>
          <w:tcPr>
            <w:tcW w:w="2044" w:type="dxa"/>
          </w:tcPr>
          <w:p w:rsidR="00567B15" w:rsidRDefault="00567B15">
            <w:pPr>
              <w:spacing w:before="0" w:after="0" w:line="320" w:lineRule="exact"/>
              <w:jc w:val="center"/>
              <w:rPr>
                <w:rFonts w:hint="cs"/>
              </w:rPr>
            </w:pPr>
            <w:r>
              <w:rPr>
                <w:rFonts w:hint="cs"/>
                <w:sz w:val="26"/>
                <w:szCs w:val="26"/>
                <w:rtl/>
              </w:rPr>
              <w:t xml:space="preserve">  41</w:t>
            </w:r>
          </w:p>
        </w:tc>
        <w:tc>
          <w:tcPr>
            <w:tcW w:w="1736" w:type="dxa"/>
          </w:tcPr>
          <w:p w:rsidR="00567B15" w:rsidRDefault="00567B15">
            <w:pPr>
              <w:spacing w:before="0" w:after="0" w:line="320" w:lineRule="exact"/>
              <w:jc w:val="center"/>
              <w:rPr>
                <w:rFonts w:hint="cs"/>
              </w:rPr>
            </w:pPr>
            <w:r>
              <w:rPr>
                <w:rFonts w:hint="cs"/>
                <w:sz w:val="26"/>
                <w:szCs w:val="26"/>
                <w:rtl/>
              </w:rPr>
              <w:t xml:space="preserve"> 32.54</w:t>
            </w:r>
          </w:p>
        </w:tc>
      </w:tr>
      <w:tr w:rsidR="00567B15" w:rsidTr="00567B15">
        <w:tblPrEx>
          <w:tblCellMar>
            <w:top w:w="0" w:type="dxa"/>
            <w:bottom w:w="0" w:type="dxa"/>
          </w:tblCellMar>
        </w:tblPrEx>
        <w:tc>
          <w:tcPr>
            <w:tcW w:w="1424" w:type="dxa"/>
          </w:tcPr>
          <w:p w:rsidR="00567B15" w:rsidRDefault="00567B15">
            <w:pPr>
              <w:spacing w:before="0" w:after="0" w:line="320" w:lineRule="exact"/>
              <w:jc w:val="center"/>
              <w:rPr>
                <w:rFonts w:hint="cs"/>
              </w:rPr>
            </w:pPr>
            <w:r>
              <w:rPr>
                <w:rFonts w:hint="cs"/>
                <w:sz w:val="26"/>
                <w:szCs w:val="26"/>
                <w:rtl/>
              </w:rPr>
              <w:t>1990</w:t>
            </w:r>
          </w:p>
        </w:tc>
        <w:tc>
          <w:tcPr>
            <w:tcW w:w="1614" w:type="dxa"/>
          </w:tcPr>
          <w:p w:rsidR="00567B15" w:rsidRDefault="00567B15">
            <w:pPr>
              <w:spacing w:before="0" w:after="0" w:line="320" w:lineRule="exact"/>
              <w:jc w:val="center"/>
              <w:rPr>
                <w:rFonts w:hint="cs"/>
              </w:rPr>
            </w:pPr>
            <w:r>
              <w:rPr>
                <w:rFonts w:hint="cs"/>
                <w:sz w:val="26"/>
                <w:szCs w:val="26"/>
                <w:rtl/>
              </w:rPr>
              <w:t>140</w:t>
            </w:r>
          </w:p>
        </w:tc>
        <w:tc>
          <w:tcPr>
            <w:tcW w:w="1623" w:type="dxa"/>
          </w:tcPr>
          <w:p w:rsidR="00567B15" w:rsidRDefault="00567B15">
            <w:pPr>
              <w:spacing w:before="0" w:after="0" w:line="320" w:lineRule="exact"/>
              <w:jc w:val="center"/>
              <w:rPr>
                <w:rFonts w:hint="cs"/>
              </w:rPr>
            </w:pPr>
            <w:r>
              <w:rPr>
                <w:rFonts w:hint="cs"/>
                <w:sz w:val="26"/>
                <w:szCs w:val="26"/>
                <w:rtl/>
              </w:rPr>
              <w:t>20.50</w:t>
            </w:r>
          </w:p>
        </w:tc>
        <w:tc>
          <w:tcPr>
            <w:tcW w:w="2044" w:type="dxa"/>
          </w:tcPr>
          <w:p w:rsidR="00567B15" w:rsidRDefault="00567B15">
            <w:pPr>
              <w:spacing w:before="0" w:after="0" w:line="320" w:lineRule="exact"/>
              <w:jc w:val="center"/>
              <w:rPr>
                <w:rFonts w:hint="cs"/>
              </w:rPr>
            </w:pPr>
            <w:r>
              <w:rPr>
                <w:rFonts w:hint="cs"/>
                <w:sz w:val="26"/>
                <w:szCs w:val="26"/>
                <w:rtl/>
              </w:rPr>
              <w:t>-27</w:t>
            </w:r>
          </w:p>
        </w:tc>
        <w:tc>
          <w:tcPr>
            <w:tcW w:w="1736" w:type="dxa"/>
          </w:tcPr>
          <w:p w:rsidR="00567B15" w:rsidRDefault="00567B15">
            <w:pPr>
              <w:spacing w:before="0" w:after="0" w:line="320" w:lineRule="exact"/>
              <w:jc w:val="center"/>
              <w:rPr>
                <w:rFonts w:hint="cs"/>
              </w:rPr>
            </w:pPr>
            <w:r>
              <w:rPr>
                <w:rFonts w:hint="cs"/>
                <w:sz w:val="26"/>
                <w:szCs w:val="26"/>
                <w:rtl/>
              </w:rPr>
              <w:t>-16.17</w:t>
            </w:r>
          </w:p>
        </w:tc>
      </w:tr>
      <w:tr w:rsidR="00567B15" w:rsidTr="00567B15">
        <w:tblPrEx>
          <w:tblCellMar>
            <w:top w:w="0" w:type="dxa"/>
            <w:bottom w:w="0" w:type="dxa"/>
          </w:tblCellMar>
        </w:tblPrEx>
        <w:tc>
          <w:tcPr>
            <w:tcW w:w="1424" w:type="dxa"/>
          </w:tcPr>
          <w:p w:rsidR="00567B15" w:rsidRDefault="00567B15">
            <w:pPr>
              <w:spacing w:before="0" w:after="0" w:line="320" w:lineRule="exact"/>
              <w:jc w:val="center"/>
              <w:rPr>
                <w:rFonts w:hint="cs"/>
                <w:sz w:val="26"/>
                <w:szCs w:val="26"/>
                <w:rtl/>
              </w:rPr>
            </w:pPr>
            <w:r>
              <w:rPr>
                <w:rFonts w:hint="cs"/>
                <w:sz w:val="26"/>
                <w:szCs w:val="26"/>
                <w:rtl/>
              </w:rPr>
              <w:t>1991</w:t>
            </w:r>
          </w:p>
        </w:tc>
        <w:tc>
          <w:tcPr>
            <w:tcW w:w="1614" w:type="dxa"/>
          </w:tcPr>
          <w:p w:rsidR="00567B15" w:rsidRDefault="00567B15">
            <w:pPr>
              <w:spacing w:before="0" w:after="0" w:line="320" w:lineRule="exact"/>
              <w:jc w:val="center"/>
              <w:rPr>
                <w:rFonts w:hint="cs"/>
              </w:rPr>
            </w:pPr>
            <w:r>
              <w:rPr>
                <w:rFonts w:hint="cs"/>
                <w:sz w:val="26"/>
                <w:szCs w:val="26"/>
                <w:rtl/>
              </w:rPr>
              <w:t>87</w:t>
            </w:r>
          </w:p>
        </w:tc>
        <w:tc>
          <w:tcPr>
            <w:tcW w:w="1623" w:type="dxa"/>
          </w:tcPr>
          <w:p w:rsidR="00567B15" w:rsidRDefault="00567B15">
            <w:pPr>
              <w:spacing w:before="0" w:after="0" w:line="320" w:lineRule="exact"/>
              <w:jc w:val="center"/>
              <w:rPr>
                <w:rFonts w:hint="cs"/>
              </w:rPr>
            </w:pPr>
            <w:r>
              <w:rPr>
                <w:rFonts w:hint="cs"/>
                <w:sz w:val="26"/>
                <w:szCs w:val="26"/>
                <w:rtl/>
              </w:rPr>
              <w:t>12.74</w:t>
            </w:r>
          </w:p>
        </w:tc>
        <w:tc>
          <w:tcPr>
            <w:tcW w:w="2044" w:type="dxa"/>
          </w:tcPr>
          <w:p w:rsidR="00567B15" w:rsidRDefault="00567B15">
            <w:pPr>
              <w:spacing w:before="0" w:after="0" w:line="320" w:lineRule="exact"/>
              <w:jc w:val="center"/>
              <w:rPr>
                <w:rFonts w:hint="cs"/>
              </w:rPr>
            </w:pPr>
            <w:r>
              <w:rPr>
                <w:rFonts w:hint="cs"/>
                <w:sz w:val="26"/>
                <w:szCs w:val="26"/>
                <w:rtl/>
              </w:rPr>
              <w:t>-53</w:t>
            </w:r>
          </w:p>
        </w:tc>
        <w:tc>
          <w:tcPr>
            <w:tcW w:w="1736" w:type="dxa"/>
          </w:tcPr>
          <w:p w:rsidR="00567B15" w:rsidRDefault="00567B15">
            <w:pPr>
              <w:spacing w:before="0" w:after="0" w:line="320" w:lineRule="exact"/>
              <w:jc w:val="center"/>
              <w:rPr>
                <w:rFonts w:hint="cs"/>
              </w:rPr>
            </w:pPr>
            <w:r>
              <w:rPr>
                <w:rFonts w:hint="cs"/>
                <w:sz w:val="26"/>
                <w:szCs w:val="26"/>
                <w:rtl/>
              </w:rPr>
              <w:t>-37.86</w:t>
            </w:r>
          </w:p>
        </w:tc>
      </w:tr>
      <w:tr w:rsidR="00567B15" w:rsidTr="00567B15">
        <w:tblPrEx>
          <w:tblCellMar>
            <w:top w:w="0" w:type="dxa"/>
            <w:bottom w:w="0" w:type="dxa"/>
          </w:tblCellMar>
        </w:tblPrEx>
        <w:tc>
          <w:tcPr>
            <w:tcW w:w="1424" w:type="dxa"/>
          </w:tcPr>
          <w:p w:rsidR="00567B15" w:rsidRDefault="00567B15">
            <w:pPr>
              <w:spacing w:before="0" w:after="0" w:line="320" w:lineRule="exact"/>
              <w:jc w:val="center"/>
              <w:rPr>
                <w:sz w:val="26"/>
                <w:szCs w:val="26"/>
                <w:rtl/>
              </w:rPr>
            </w:pPr>
            <w:r>
              <w:rPr>
                <w:rFonts w:hint="cs"/>
                <w:sz w:val="26"/>
                <w:szCs w:val="26"/>
                <w:rtl/>
              </w:rPr>
              <w:t>1992</w:t>
            </w:r>
          </w:p>
        </w:tc>
        <w:tc>
          <w:tcPr>
            <w:tcW w:w="1614" w:type="dxa"/>
          </w:tcPr>
          <w:p w:rsidR="00567B15" w:rsidRDefault="00567B15">
            <w:pPr>
              <w:spacing w:before="0" w:after="0" w:line="320" w:lineRule="exact"/>
              <w:jc w:val="center"/>
              <w:rPr>
                <w:rFonts w:hint="cs"/>
              </w:rPr>
            </w:pPr>
            <w:r>
              <w:rPr>
                <w:rFonts w:hint="cs"/>
                <w:sz w:val="26"/>
                <w:szCs w:val="26"/>
                <w:rtl/>
              </w:rPr>
              <w:t>47</w:t>
            </w:r>
          </w:p>
        </w:tc>
        <w:tc>
          <w:tcPr>
            <w:tcW w:w="1623" w:type="dxa"/>
          </w:tcPr>
          <w:p w:rsidR="00567B15" w:rsidRDefault="00567B15">
            <w:pPr>
              <w:spacing w:before="0" w:after="0" w:line="320" w:lineRule="exact"/>
              <w:jc w:val="center"/>
              <w:rPr>
                <w:rFonts w:hint="cs"/>
              </w:rPr>
            </w:pPr>
            <w:r>
              <w:rPr>
                <w:rFonts w:hint="cs"/>
                <w:sz w:val="26"/>
                <w:szCs w:val="26"/>
                <w:rtl/>
              </w:rPr>
              <w:t>6.88</w:t>
            </w:r>
          </w:p>
        </w:tc>
        <w:tc>
          <w:tcPr>
            <w:tcW w:w="2044" w:type="dxa"/>
          </w:tcPr>
          <w:p w:rsidR="00567B15" w:rsidRDefault="00567B15">
            <w:pPr>
              <w:spacing w:before="0" w:after="0" w:line="320" w:lineRule="exact"/>
              <w:jc w:val="center"/>
              <w:rPr>
                <w:rFonts w:hint="cs"/>
              </w:rPr>
            </w:pPr>
            <w:r>
              <w:rPr>
                <w:rFonts w:hint="cs"/>
                <w:sz w:val="26"/>
                <w:szCs w:val="26"/>
                <w:rtl/>
              </w:rPr>
              <w:t>-40</w:t>
            </w:r>
          </w:p>
        </w:tc>
        <w:tc>
          <w:tcPr>
            <w:tcW w:w="1736" w:type="dxa"/>
          </w:tcPr>
          <w:p w:rsidR="00567B15" w:rsidRDefault="00567B15">
            <w:pPr>
              <w:spacing w:before="0" w:after="0" w:line="320" w:lineRule="exact"/>
              <w:jc w:val="center"/>
              <w:rPr>
                <w:rFonts w:hint="cs"/>
              </w:rPr>
            </w:pPr>
            <w:r>
              <w:rPr>
                <w:rFonts w:hint="cs"/>
                <w:sz w:val="26"/>
                <w:szCs w:val="26"/>
                <w:rtl/>
              </w:rPr>
              <w:t>-45.98</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rFonts w:hint="cs"/>
                <w:sz w:val="26"/>
                <w:szCs w:val="26"/>
                <w:rtl/>
              </w:rPr>
            </w:pPr>
            <w:r>
              <w:rPr>
                <w:rFonts w:hint="cs"/>
                <w:sz w:val="26"/>
                <w:szCs w:val="26"/>
                <w:rtl/>
              </w:rPr>
              <w:t>1993</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28</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4.10</w:t>
            </w:r>
          </w:p>
        </w:tc>
        <w:tc>
          <w:tcPr>
            <w:tcW w:w="2044" w:type="dxa"/>
          </w:tcPr>
          <w:p w:rsidR="00567B15" w:rsidRDefault="00567B15">
            <w:pPr>
              <w:spacing w:before="0" w:after="0" w:line="300" w:lineRule="exact"/>
              <w:ind w:firstLine="612"/>
              <w:jc w:val="both"/>
              <w:rPr>
                <w:rStyle w:val="FootnoteReference"/>
                <w:rFonts w:hint="cs"/>
                <w:bCs w:val="0"/>
                <w:sz w:val="26"/>
                <w:szCs w:val="26"/>
                <w:vertAlign w:val="baseline"/>
              </w:rPr>
            </w:pPr>
            <w:r>
              <w:rPr>
                <w:rFonts w:hint="cs"/>
                <w:sz w:val="26"/>
                <w:szCs w:val="26"/>
                <w:rtl/>
              </w:rPr>
              <w:t xml:space="preserve">  -19</w:t>
            </w:r>
          </w:p>
        </w:tc>
        <w:tc>
          <w:tcPr>
            <w:tcW w:w="1736" w:type="dxa"/>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 xml:space="preserve">  -40.43</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rFonts w:hint="cs"/>
                <w:sz w:val="26"/>
                <w:szCs w:val="26"/>
                <w:rtl/>
              </w:rPr>
            </w:pPr>
            <w:r>
              <w:rPr>
                <w:rFonts w:hint="cs"/>
                <w:sz w:val="26"/>
                <w:szCs w:val="26"/>
                <w:rtl/>
              </w:rPr>
              <w:t>1994</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12</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1.76</w:t>
            </w:r>
          </w:p>
        </w:tc>
        <w:tc>
          <w:tcPr>
            <w:tcW w:w="2044" w:type="dxa"/>
          </w:tcPr>
          <w:p w:rsidR="00567B15" w:rsidRDefault="00567B15">
            <w:pPr>
              <w:spacing w:before="0" w:after="0" w:line="300" w:lineRule="exact"/>
              <w:ind w:firstLine="612"/>
              <w:jc w:val="both"/>
              <w:rPr>
                <w:rStyle w:val="FootnoteReference"/>
                <w:rFonts w:hint="cs"/>
                <w:bCs w:val="0"/>
                <w:sz w:val="26"/>
                <w:szCs w:val="26"/>
                <w:vertAlign w:val="baseline"/>
              </w:rPr>
            </w:pPr>
            <w:r>
              <w:rPr>
                <w:rFonts w:hint="cs"/>
                <w:sz w:val="26"/>
                <w:szCs w:val="26"/>
                <w:rtl/>
              </w:rPr>
              <w:t xml:space="preserve">  -16</w:t>
            </w:r>
          </w:p>
        </w:tc>
        <w:tc>
          <w:tcPr>
            <w:tcW w:w="1736" w:type="dxa"/>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 xml:space="preserve">  -57.14</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rFonts w:hint="cs"/>
                <w:sz w:val="26"/>
                <w:szCs w:val="26"/>
                <w:rtl/>
              </w:rPr>
            </w:pPr>
            <w:r>
              <w:rPr>
                <w:rFonts w:hint="cs"/>
                <w:sz w:val="26"/>
                <w:szCs w:val="26"/>
                <w:rtl/>
              </w:rPr>
              <w:t>1995</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7</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1.02</w:t>
            </w:r>
          </w:p>
        </w:tc>
        <w:tc>
          <w:tcPr>
            <w:tcW w:w="2044" w:type="dxa"/>
          </w:tcPr>
          <w:p w:rsidR="00567B15" w:rsidRDefault="00567B15">
            <w:pPr>
              <w:spacing w:before="0" w:after="0" w:line="300" w:lineRule="exact"/>
              <w:ind w:firstLine="612"/>
              <w:jc w:val="both"/>
              <w:rPr>
                <w:rStyle w:val="FootnoteReference"/>
                <w:rFonts w:hint="cs"/>
                <w:bCs w:val="0"/>
                <w:sz w:val="26"/>
                <w:szCs w:val="26"/>
                <w:vertAlign w:val="baseline"/>
              </w:rPr>
            </w:pPr>
            <w:r>
              <w:rPr>
                <w:rFonts w:hint="cs"/>
                <w:sz w:val="26"/>
                <w:szCs w:val="26"/>
                <w:rtl/>
              </w:rPr>
              <w:t xml:space="preserve">  -5</w:t>
            </w:r>
          </w:p>
        </w:tc>
        <w:tc>
          <w:tcPr>
            <w:tcW w:w="1736" w:type="dxa"/>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 xml:space="preserve">  -41.67</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rFonts w:hint="cs"/>
                <w:sz w:val="26"/>
                <w:szCs w:val="26"/>
                <w:rtl/>
              </w:rPr>
            </w:pPr>
            <w:r>
              <w:rPr>
                <w:rFonts w:hint="cs"/>
                <w:sz w:val="26"/>
                <w:szCs w:val="26"/>
                <w:rtl/>
              </w:rPr>
              <w:t>1996</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11</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1.61</w:t>
            </w:r>
          </w:p>
        </w:tc>
        <w:tc>
          <w:tcPr>
            <w:tcW w:w="2044" w:type="dxa"/>
          </w:tcPr>
          <w:p w:rsidR="00567B15" w:rsidRDefault="00567B15">
            <w:pPr>
              <w:spacing w:before="0" w:after="0" w:line="300" w:lineRule="exact"/>
              <w:ind w:firstLine="764"/>
              <w:jc w:val="both"/>
              <w:rPr>
                <w:rStyle w:val="FootnoteReference"/>
                <w:rFonts w:hint="cs"/>
                <w:bCs w:val="0"/>
                <w:sz w:val="26"/>
                <w:szCs w:val="26"/>
                <w:vertAlign w:val="baseline"/>
              </w:rPr>
            </w:pPr>
            <w:r>
              <w:rPr>
                <w:rFonts w:hint="cs"/>
                <w:sz w:val="26"/>
                <w:szCs w:val="26"/>
                <w:rtl/>
              </w:rPr>
              <w:t xml:space="preserve"> 4</w:t>
            </w:r>
          </w:p>
        </w:tc>
        <w:tc>
          <w:tcPr>
            <w:tcW w:w="1736" w:type="dxa"/>
          </w:tcPr>
          <w:p w:rsidR="00567B15" w:rsidRDefault="00567B15">
            <w:pPr>
              <w:spacing w:before="0" w:after="0" w:line="300" w:lineRule="exact"/>
              <w:ind w:firstLine="432"/>
              <w:jc w:val="both"/>
              <w:rPr>
                <w:rStyle w:val="FootnoteReference"/>
                <w:rFonts w:hint="cs"/>
                <w:bCs w:val="0"/>
                <w:sz w:val="26"/>
                <w:szCs w:val="26"/>
                <w:vertAlign w:val="baseline"/>
              </w:rPr>
            </w:pPr>
            <w:r>
              <w:rPr>
                <w:rFonts w:hint="cs"/>
                <w:sz w:val="26"/>
                <w:szCs w:val="26"/>
                <w:rtl/>
              </w:rPr>
              <w:t xml:space="preserve"> 57.14</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rFonts w:hint="cs"/>
                <w:sz w:val="26"/>
                <w:szCs w:val="26"/>
                <w:rtl/>
              </w:rPr>
            </w:pPr>
            <w:r>
              <w:rPr>
                <w:rFonts w:hint="cs"/>
                <w:sz w:val="26"/>
                <w:szCs w:val="26"/>
                <w:rtl/>
              </w:rPr>
              <w:t>1997</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18</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2.64</w:t>
            </w:r>
          </w:p>
        </w:tc>
        <w:tc>
          <w:tcPr>
            <w:tcW w:w="2044" w:type="dxa"/>
          </w:tcPr>
          <w:p w:rsidR="00567B15" w:rsidRDefault="00567B15">
            <w:pPr>
              <w:spacing w:before="0" w:after="0" w:line="300" w:lineRule="exact"/>
              <w:ind w:firstLine="764"/>
              <w:jc w:val="both"/>
              <w:rPr>
                <w:rStyle w:val="FootnoteReference"/>
                <w:rFonts w:hint="cs"/>
                <w:bCs w:val="0"/>
                <w:sz w:val="26"/>
                <w:szCs w:val="26"/>
                <w:vertAlign w:val="baseline"/>
              </w:rPr>
            </w:pPr>
            <w:r>
              <w:rPr>
                <w:rFonts w:hint="cs"/>
                <w:sz w:val="26"/>
                <w:szCs w:val="26"/>
                <w:rtl/>
              </w:rPr>
              <w:t xml:space="preserve"> 7</w:t>
            </w:r>
          </w:p>
        </w:tc>
        <w:tc>
          <w:tcPr>
            <w:tcW w:w="1736" w:type="dxa"/>
          </w:tcPr>
          <w:p w:rsidR="00567B15" w:rsidRDefault="00567B15">
            <w:pPr>
              <w:spacing w:before="0" w:after="0" w:line="300" w:lineRule="exact"/>
              <w:ind w:firstLine="432"/>
              <w:jc w:val="both"/>
              <w:rPr>
                <w:rStyle w:val="FootnoteReference"/>
                <w:rFonts w:hint="cs"/>
                <w:bCs w:val="0"/>
                <w:sz w:val="26"/>
                <w:szCs w:val="26"/>
                <w:vertAlign w:val="baseline"/>
              </w:rPr>
            </w:pPr>
            <w:r>
              <w:rPr>
                <w:rFonts w:hint="cs"/>
                <w:sz w:val="26"/>
                <w:szCs w:val="26"/>
                <w:rtl/>
              </w:rPr>
              <w:t xml:space="preserve"> 63.64</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rFonts w:hint="cs"/>
                <w:sz w:val="26"/>
                <w:szCs w:val="26"/>
                <w:rtl/>
              </w:rPr>
            </w:pPr>
            <w:r>
              <w:rPr>
                <w:rFonts w:hint="cs"/>
                <w:sz w:val="26"/>
                <w:szCs w:val="26"/>
                <w:rtl/>
              </w:rPr>
              <w:t>1998</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17</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2.49</w:t>
            </w:r>
          </w:p>
        </w:tc>
        <w:tc>
          <w:tcPr>
            <w:tcW w:w="2044" w:type="dxa"/>
          </w:tcPr>
          <w:p w:rsidR="00567B15" w:rsidRDefault="00567B15">
            <w:pPr>
              <w:spacing w:before="0" w:after="0" w:line="300" w:lineRule="exact"/>
              <w:ind w:firstLine="612"/>
              <w:jc w:val="both"/>
              <w:rPr>
                <w:rStyle w:val="FootnoteReference"/>
                <w:rFonts w:hint="cs"/>
                <w:bCs w:val="0"/>
                <w:sz w:val="26"/>
                <w:szCs w:val="26"/>
                <w:vertAlign w:val="baseline"/>
              </w:rPr>
            </w:pPr>
            <w:r>
              <w:rPr>
                <w:rFonts w:hint="cs"/>
                <w:sz w:val="26"/>
                <w:szCs w:val="26"/>
                <w:rtl/>
              </w:rPr>
              <w:t xml:space="preserve"> -1</w:t>
            </w:r>
          </w:p>
        </w:tc>
        <w:tc>
          <w:tcPr>
            <w:tcW w:w="1736" w:type="dxa"/>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 xml:space="preserve"> -5.56</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rFonts w:hint="cs"/>
                <w:sz w:val="26"/>
                <w:szCs w:val="26"/>
                <w:rtl/>
              </w:rPr>
            </w:pPr>
            <w:r>
              <w:rPr>
                <w:rFonts w:hint="cs"/>
                <w:sz w:val="26"/>
                <w:szCs w:val="26"/>
                <w:rtl/>
              </w:rPr>
              <w:t>1999</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8</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1.17</w:t>
            </w:r>
          </w:p>
        </w:tc>
        <w:tc>
          <w:tcPr>
            <w:tcW w:w="2044" w:type="dxa"/>
          </w:tcPr>
          <w:p w:rsidR="00567B15" w:rsidRDefault="00567B15">
            <w:pPr>
              <w:spacing w:before="0" w:after="0" w:line="300" w:lineRule="exact"/>
              <w:ind w:firstLine="612"/>
              <w:jc w:val="both"/>
              <w:rPr>
                <w:rStyle w:val="FootnoteReference"/>
                <w:rFonts w:hint="cs"/>
                <w:bCs w:val="0"/>
                <w:sz w:val="26"/>
                <w:szCs w:val="26"/>
                <w:vertAlign w:val="baseline"/>
              </w:rPr>
            </w:pPr>
            <w:r>
              <w:rPr>
                <w:rFonts w:hint="cs"/>
                <w:sz w:val="26"/>
                <w:szCs w:val="26"/>
                <w:rtl/>
              </w:rPr>
              <w:t xml:space="preserve"> -9</w:t>
            </w:r>
          </w:p>
        </w:tc>
        <w:tc>
          <w:tcPr>
            <w:tcW w:w="1736" w:type="dxa"/>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 xml:space="preserve"> -52.94</w:t>
            </w:r>
          </w:p>
        </w:tc>
      </w:tr>
      <w:tr w:rsidR="00567B15" w:rsidTr="00567B15">
        <w:tblPrEx>
          <w:tblCellMar>
            <w:top w:w="0" w:type="dxa"/>
            <w:bottom w:w="0" w:type="dxa"/>
          </w:tblCellMar>
        </w:tblPrEx>
        <w:tc>
          <w:tcPr>
            <w:tcW w:w="1424" w:type="dxa"/>
          </w:tcPr>
          <w:p w:rsidR="00567B15" w:rsidRDefault="00567B15">
            <w:pPr>
              <w:spacing w:before="0" w:after="0" w:line="300" w:lineRule="exact"/>
              <w:ind w:firstLine="72"/>
              <w:jc w:val="center"/>
              <w:rPr>
                <w:sz w:val="26"/>
                <w:szCs w:val="26"/>
                <w:rtl/>
              </w:rPr>
            </w:pPr>
            <w:r>
              <w:rPr>
                <w:rFonts w:hint="cs"/>
                <w:sz w:val="26"/>
                <w:szCs w:val="26"/>
                <w:rtl/>
              </w:rPr>
              <w:t>2000</w:t>
            </w:r>
          </w:p>
        </w:tc>
        <w:tc>
          <w:tcPr>
            <w:tcW w:w="1614" w:type="dxa"/>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11</w:t>
            </w:r>
          </w:p>
        </w:tc>
        <w:tc>
          <w:tcPr>
            <w:tcW w:w="1623" w:type="dxa"/>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1.61</w:t>
            </w:r>
          </w:p>
        </w:tc>
        <w:tc>
          <w:tcPr>
            <w:tcW w:w="2044" w:type="dxa"/>
          </w:tcPr>
          <w:p w:rsidR="00567B15" w:rsidRDefault="00567B15">
            <w:pPr>
              <w:tabs>
                <w:tab w:val="left" w:pos="972"/>
              </w:tabs>
              <w:spacing w:before="0" w:after="0" w:line="300" w:lineRule="exact"/>
              <w:ind w:left="612"/>
              <w:jc w:val="both"/>
              <w:rPr>
                <w:rStyle w:val="FootnoteReference"/>
                <w:rFonts w:hint="cs"/>
                <w:bCs w:val="0"/>
                <w:sz w:val="26"/>
                <w:szCs w:val="26"/>
                <w:vertAlign w:val="baseline"/>
              </w:rPr>
            </w:pPr>
            <w:r>
              <w:rPr>
                <w:rFonts w:hint="cs"/>
                <w:sz w:val="26"/>
                <w:szCs w:val="26"/>
                <w:rtl/>
              </w:rPr>
              <w:t xml:space="preserve">   3</w:t>
            </w:r>
          </w:p>
        </w:tc>
        <w:tc>
          <w:tcPr>
            <w:tcW w:w="1736" w:type="dxa"/>
          </w:tcPr>
          <w:p w:rsidR="00567B15" w:rsidRDefault="00567B15">
            <w:pPr>
              <w:spacing w:before="0" w:after="0" w:line="300" w:lineRule="exact"/>
              <w:ind w:firstLine="432"/>
              <w:jc w:val="both"/>
              <w:rPr>
                <w:rStyle w:val="FootnoteReference"/>
                <w:rFonts w:hint="cs"/>
                <w:bCs w:val="0"/>
                <w:sz w:val="26"/>
                <w:szCs w:val="26"/>
                <w:vertAlign w:val="baseline"/>
              </w:rPr>
            </w:pPr>
            <w:r>
              <w:rPr>
                <w:rFonts w:hint="cs"/>
                <w:sz w:val="26"/>
                <w:szCs w:val="26"/>
                <w:rtl/>
              </w:rPr>
              <w:t>37.50</w:t>
            </w:r>
          </w:p>
        </w:tc>
      </w:tr>
      <w:tr w:rsidR="00567B15" w:rsidTr="00567B15">
        <w:tblPrEx>
          <w:tblCellMar>
            <w:top w:w="0" w:type="dxa"/>
            <w:bottom w:w="0" w:type="dxa"/>
          </w:tblCellMar>
        </w:tblPrEx>
        <w:tc>
          <w:tcPr>
            <w:tcW w:w="1424" w:type="dxa"/>
            <w:tcBorders>
              <w:bottom w:val="single" w:sz="4" w:space="0" w:color="auto"/>
            </w:tcBorders>
          </w:tcPr>
          <w:p w:rsidR="00567B15" w:rsidRDefault="00567B15">
            <w:pPr>
              <w:spacing w:before="0" w:after="0" w:line="300" w:lineRule="exact"/>
              <w:ind w:firstLine="72"/>
              <w:jc w:val="center"/>
              <w:rPr>
                <w:rFonts w:hint="cs"/>
                <w:sz w:val="26"/>
                <w:szCs w:val="26"/>
                <w:rtl/>
              </w:rPr>
            </w:pPr>
            <w:r>
              <w:rPr>
                <w:rFonts w:hint="cs"/>
                <w:sz w:val="26"/>
                <w:szCs w:val="26"/>
                <w:rtl/>
              </w:rPr>
              <w:t>2001</w:t>
            </w:r>
          </w:p>
        </w:tc>
        <w:tc>
          <w:tcPr>
            <w:tcW w:w="1614" w:type="dxa"/>
            <w:tcBorders>
              <w:bottom w:val="single" w:sz="4" w:space="0" w:color="auto"/>
            </w:tcBorders>
          </w:tcPr>
          <w:p w:rsidR="00567B15" w:rsidRDefault="00567B15">
            <w:pPr>
              <w:spacing w:before="0" w:after="0" w:line="300" w:lineRule="exact"/>
              <w:ind w:firstLine="600"/>
              <w:jc w:val="both"/>
              <w:rPr>
                <w:rStyle w:val="FootnoteReference"/>
                <w:rFonts w:hint="cs"/>
                <w:bCs w:val="0"/>
                <w:sz w:val="26"/>
                <w:szCs w:val="26"/>
                <w:vertAlign w:val="baseline"/>
              </w:rPr>
            </w:pPr>
            <w:r>
              <w:rPr>
                <w:rFonts w:hint="cs"/>
                <w:sz w:val="26"/>
                <w:szCs w:val="26"/>
                <w:rtl/>
              </w:rPr>
              <w:t>4</w:t>
            </w:r>
          </w:p>
        </w:tc>
        <w:tc>
          <w:tcPr>
            <w:tcW w:w="1623" w:type="dxa"/>
            <w:tcBorders>
              <w:bottom w:val="single" w:sz="4" w:space="0" w:color="auto"/>
            </w:tcBorders>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0.59</w:t>
            </w:r>
          </w:p>
        </w:tc>
        <w:tc>
          <w:tcPr>
            <w:tcW w:w="2044" w:type="dxa"/>
            <w:tcBorders>
              <w:bottom w:val="single" w:sz="4" w:space="0" w:color="auto"/>
            </w:tcBorders>
          </w:tcPr>
          <w:p w:rsidR="00567B15" w:rsidRDefault="00567B15">
            <w:pPr>
              <w:spacing w:before="0" w:after="0" w:line="300" w:lineRule="exact"/>
              <w:ind w:firstLine="612"/>
              <w:jc w:val="both"/>
              <w:rPr>
                <w:rStyle w:val="FootnoteReference"/>
                <w:rFonts w:hint="cs"/>
                <w:bCs w:val="0"/>
                <w:sz w:val="26"/>
                <w:szCs w:val="26"/>
                <w:vertAlign w:val="baseline"/>
              </w:rPr>
            </w:pPr>
            <w:r>
              <w:rPr>
                <w:rFonts w:hint="cs"/>
                <w:sz w:val="26"/>
                <w:szCs w:val="26"/>
                <w:rtl/>
              </w:rPr>
              <w:t xml:space="preserve"> -7</w:t>
            </w:r>
          </w:p>
        </w:tc>
        <w:tc>
          <w:tcPr>
            <w:tcW w:w="1736" w:type="dxa"/>
            <w:tcBorders>
              <w:bottom w:val="single" w:sz="4" w:space="0" w:color="auto"/>
            </w:tcBorders>
          </w:tcPr>
          <w:p w:rsidR="00567B15" w:rsidRDefault="00567B15">
            <w:pPr>
              <w:spacing w:before="0" w:after="0" w:line="300" w:lineRule="exact"/>
              <w:ind w:firstLine="252"/>
              <w:jc w:val="both"/>
              <w:rPr>
                <w:rStyle w:val="FootnoteReference"/>
                <w:rFonts w:hint="cs"/>
                <w:bCs w:val="0"/>
                <w:sz w:val="26"/>
                <w:szCs w:val="26"/>
                <w:vertAlign w:val="baseline"/>
              </w:rPr>
            </w:pPr>
            <w:r>
              <w:rPr>
                <w:rFonts w:hint="cs"/>
                <w:sz w:val="26"/>
                <w:szCs w:val="26"/>
                <w:rtl/>
              </w:rPr>
              <w:t xml:space="preserve"> -63.64</w:t>
            </w:r>
          </w:p>
        </w:tc>
      </w:tr>
      <w:tr w:rsidR="00567B15" w:rsidTr="00567B15">
        <w:tblPrEx>
          <w:tblCellMar>
            <w:top w:w="0" w:type="dxa"/>
            <w:bottom w:w="0" w:type="dxa"/>
          </w:tblCellMar>
        </w:tblPrEx>
        <w:tc>
          <w:tcPr>
            <w:tcW w:w="1424" w:type="dxa"/>
            <w:tcBorders>
              <w:top w:val="single" w:sz="4" w:space="0" w:color="auto"/>
              <w:bottom w:val="single" w:sz="4" w:space="0" w:color="auto"/>
            </w:tcBorders>
          </w:tcPr>
          <w:p w:rsidR="00567B15" w:rsidRDefault="00567B15">
            <w:pPr>
              <w:spacing w:before="0" w:after="0" w:line="300" w:lineRule="exact"/>
              <w:ind w:firstLine="72"/>
              <w:jc w:val="center"/>
              <w:rPr>
                <w:rFonts w:hint="cs"/>
                <w:sz w:val="26"/>
                <w:szCs w:val="26"/>
                <w:rtl/>
              </w:rPr>
            </w:pPr>
            <w:r>
              <w:rPr>
                <w:rFonts w:hint="cs"/>
                <w:sz w:val="26"/>
                <w:szCs w:val="26"/>
                <w:rtl/>
              </w:rPr>
              <w:t>المجموع</w:t>
            </w:r>
          </w:p>
        </w:tc>
        <w:tc>
          <w:tcPr>
            <w:tcW w:w="1614" w:type="dxa"/>
            <w:tcBorders>
              <w:top w:val="single" w:sz="4" w:space="0" w:color="auto"/>
              <w:bottom w:val="single" w:sz="4" w:space="0" w:color="auto"/>
            </w:tcBorders>
          </w:tcPr>
          <w:p w:rsidR="00567B15" w:rsidRDefault="00567B15">
            <w:pPr>
              <w:spacing w:before="0" w:after="0" w:line="300" w:lineRule="exact"/>
              <w:ind w:firstLine="600"/>
              <w:jc w:val="both"/>
              <w:rPr>
                <w:rFonts w:hint="cs"/>
                <w:sz w:val="26"/>
                <w:szCs w:val="26"/>
                <w:rtl/>
              </w:rPr>
            </w:pPr>
            <w:r>
              <w:rPr>
                <w:rFonts w:hint="cs"/>
                <w:sz w:val="26"/>
                <w:szCs w:val="26"/>
                <w:rtl/>
              </w:rPr>
              <w:t>683</w:t>
            </w:r>
          </w:p>
        </w:tc>
        <w:tc>
          <w:tcPr>
            <w:tcW w:w="1623" w:type="dxa"/>
            <w:tcBorders>
              <w:top w:val="single" w:sz="4" w:space="0" w:color="auto"/>
              <w:bottom w:val="single" w:sz="4" w:space="0" w:color="auto"/>
            </w:tcBorders>
          </w:tcPr>
          <w:p w:rsidR="00567B15" w:rsidRDefault="00567B15">
            <w:pPr>
              <w:spacing w:before="0" w:after="0" w:line="300" w:lineRule="exact"/>
              <w:ind w:firstLine="486"/>
              <w:jc w:val="both"/>
              <w:rPr>
                <w:rStyle w:val="FootnoteReference"/>
                <w:rFonts w:hint="cs"/>
                <w:bCs w:val="0"/>
                <w:sz w:val="26"/>
                <w:szCs w:val="26"/>
                <w:vertAlign w:val="baseline"/>
              </w:rPr>
            </w:pPr>
            <w:r>
              <w:rPr>
                <w:rFonts w:hint="cs"/>
                <w:sz w:val="26"/>
                <w:szCs w:val="26"/>
                <w:rtl/>
              </w:rPr>
              <w:t>100.00</w:t>
            </w:r>
          </w:p>
        </w:tc>
        <w:tc>
          <w:tcPr>
            <w:tcW w:w="2044" w:type="dxa"/>
            <w:tcBorders>
              <w:top w:val="single" w:sz="4" w:space="0" w:color="auto"/>
              <w:bottom w:val="single" w:sz="4" w:space="0" w:color="auto"/>
            </w:tcBorders>
          </w:tcPr>
          <w:p w:rsidR="00567B15" w:rsidRDefault="00567B15">
            <w:pPr>
              <w:spacing w:before="0" w:after="0" w:line="300" w:lineRule="exact"/>
              <w:ind w:firstLine="612"/>
              <w:jc w:val="both"/>
              <w:rPr>
                <w:rStyle w:val="FootnoteReference"/>
                <w:rFonts w:hint="cs"/>
                <w:bCs w:val="0"/>
                <w:sz w:val="26"/>
                <w:szCs w:val="26"/>
                <w:vertAlign w:val="baseline"/>
              </w:rPr>
            </w:pPr>
            <w:r>
              <w:rPr>
                <w:rFonts w:hint="cs"/>
                <w:sz w:val="26"/>
                <w:szCs w:val="26"/>
                <w:rtl/>
              </w:rPr>
              <w:t xml:space="preserve">  679</w:t>
            </w:r>
          </w:p>
        </w:tc>
        <w:tc>
          <w:tcPr>
            <w:tcW w:w="1736" w:type="dxa"/>
            <w:tcBorders>
              <w:top w:val="single" w:sz="4" w:space="0" w:color="auto"/>
              <w:bottom w:val="single" w:sz="4" w:space="0" w:color="auto"/>
            </w:tcBorders>
          </w:tcPr>
          <w:p w:rsidR="00567B15" w:rsidRDefault="00567B15">
            <w:pPr>
              <w:spacing w:before="0" w:after="0" w:line="300" w:lineRule="exact"/>
              <w:ind w:firstLine="432"/>
              <w:jc w:val="both"/>
              <w:rPr>
                <w:rStyle w:val="FootnoteReference"/>
                <w:rFonts w:hint="cs"/>
                <w:bCs w:val="0"/>
                <w:sz w:val="26"/>
                <w:szCs w:val="26"/>
                <w:vertAlign w:val="baseline"/>
              </w:rPr>
            </w:pPr>
            <w:r>
              <w:rPr>
                <w:rFonts w:hint="cs"/>
                <w:sz w:val="26"/>
                <w:szCs w:val="26"/>
                <w:rtl/>
              </w:rPr>
              <w:t>975.00 16</w:t>
            </w:r>
          </w:p>
        </w:tc>
      </w:tr>
    </w:tbl>
    <w:p w:rsidR="00000000" w:rsidRDefault="00567B15">
      <w:pPr>
        <w:spacing w:before="120" w:after="0" w:line="300" w:lineRule="exact"/>
        <w:jc w:val="both"/>
        <w:rPr>
          <w:rFonts w:hint="cs"/>
          <w:rtl/>
        </w:rPr>
      </w:pPr>
      <w:r>
        <w:rPr>
          <w:rFonts w:hint="cs"/>
          <w:rtl/>
        </w:rPr>
        <w:tab/>
      </w:r>
      <w:r>
        <w:rPr>
          <w:rFonts w:hint="cs"/>
          <w:u w:val="single"/>
          <w:rtl/>
        </w:rPr>
        <w:t>المصدر</w:t>
      </w:r>
      <w:r>
        <w:rPr>
          <w:rFonts w:hint="cs"/>
          <w:rtl/>
        </w:rPr>
        <w:t>:</w:t>
      </w:r>
      <w:r>
        <w:rPr>
          <w:rFonts w:hint="cs"/>
          <w:rtl/>
        </w:rPr>
        <w:tab/>
      </w:r>
      <w:r>
        <w:rPr>
          <w:rFonts w:hint="cs"/>
          <w:i/>
          <w:iCs/>
          <w:rtl/>
        </w:rPr>
        <w:t>النشرة الإحصائية</w:t>
      </w:r>
      <w:r>
        <w:rPr>
          <w:rFonts w:hint="cs"/>
          <w:rtl/>
        </w:rPr>
        <w:t>، وزارة العمل والموارد البشرية.</w:t>
      </w:r>
    </w:p>
    <w:p w:rsidR="00000000" w:rsidRDefault="00567B15">
      <w:pPr>
        <w:spacing w:line="380" w:lineRule="exact"/>
        <w:jc w:val="both"/>
        <w:rPr>
          <w:rFonts w:hint="cs"/>
          <w:i/>
          <w:iCs/>
          <w:rtl/>
        </w:rPr>
      </w:pPr>
      <w:r>
        <w:rPr>
          <w:rFonts w:hint="cs"/>
          <w:i/>
          <w:iCs/>
          <w:rtl/>
        </w:rPr>
        <w:t>الحقوق النقابية</w:t>
      </w:r>
    </w:p>
    <w:p w:rsidR="00000000" w:rsidRDefault="00567B15">
      <w:pPr>
        <w:spacing w:line="380" w:lineRule="exact"/>
        <w:jc w:val="both"/>
        <w:rPr>
          <w:rFonts w:hint="cs"/>
          <w:rtl/>
        </w:rPr>
      </w:pPr>
      <w:r>
        <w:rPr>
          <w:rFonts w:hint="cs"/>
          <w:rtl/>
        </w:rPr>
        <w:t>153-</w:t>
      </w:r>
      <w:r>
        <w:rPr>
          <w:rFonts w:hint="cs"/>
          <w:rtl/>
        </w:rPr>
        <w:tab/>
        <w:t>يقول الاتحاد الإكوادوري العام للنقابات الحرة إن السلطات العمالية بعد أن سنت قانون (إصلاح) المال العام، الذي بدأ نفاذه في 30 نيسان/أبريل 1999 تكون قد استهلت عملية تصنيف ل</w:t>
      </w:r>
      <w:r>
        <w:rPr>
          <w:rFonts w:hint="cs"/>
          <w:rtl/>
        </w:rPr>
        <w:t>لعمال الخاضعين لقانون الخدمة المدنية والإدارة العامة والخاضعين لقانون العمل، يقال إنها تسّهل حرمان أعداد كبيرة من العمال من حماية قانون العمل، مما يشكل انتهاكاً صارخاً للفقرة 4 من الفرع 9 من المادة 35 من الدستور ونصها: "يحمى حق العمال وأصحاب العمل في أن ين</w:t>
      </w:r>
      <w:r>
        <w:rPr>
          <w:rFonts w:hint="cs"/>
          <w:rtl/>
        </w:rPr>
        <w:t xml:space="preserve">ظموا ويسعوا بحرية، ودون إذن مسبق ووفقاً للقانون. ويتعين في كل ما يتصل بعلاقات العمل في المؤسسات الحكومية تمثيل القطاع العمالي بمنظمة واحدة". وبموجب قانون الخدمة المدنية والإدارة العامة يحرم العمال الخاضعون لهذا القانون من الحق في الانتماء إلى نقابات. </w:t>
      </w:r>
    </w:p>
    <w:p w:rsidR="00000000" w:rsidRDefault="00567B15">
      <w:pPr>
        <w:spacing w:line="380" w:lineRule="exact"/>
        <w:jc w:val="both"/>
        <w:rPr>
          <w:rFonts w:hint="cs"/>
          <w:rtl/>
        </w:rPr>
      </w:pPr>
      <w:r>
        <w:rPr>
          <w:rFonts w:hint="cs"/>
          <w:rtl/>
        </w:rPr>
        <w:t>154-</w:t>
      </w:r>
      <w:r>
        <w:rPr>
          <w:rFonts w:hint="cs"/>
          <w:rtl/>
        </w:rPr>
        <w:tab/>
        <w:t>ويشير الاتحاد الإكوادوري العام إلى أنه استناداً إلى الحكم الدستوري بضرورة أن يمثل القطاع العمالي الخاضع لقانون العمل في المؤسسات العامة بمنظمة واحدة، تبذل الجهود لإلغاء ضمانات الحقوق النقابية التي تتمتع بها منظمات أخرى لها هذا الطابع في القطاع العام.</w:t>
      </w:r>
    </w:p>
    <w:p w:rsidR="00000000" w:rsidRDefault="00567B15">
      <w:pPr>
        <w:spacing w:line="380" w:lineRule="exact"/>
        <w:jc w:val="both"/>
        <w:rPr>
          <w:rFonts w:hint="cs"/>
          <w:rtl/>
        </w:rPr>
      </w:pPr>
      <w:r>
        <w:rPr>
          <w:rFonts w:hint="cs"/>
          <w:rtl/>
        </w:rPr>
        <w:t>155-</w:t>
      </w:r>
      <w:r>
        <w:rPr>
          <w:rFonts w:hint="cs"/>
          <w:rtl/>
        </w:rPr>
        <w:tab/>
        <w:t>ويلاحظ الاتحاد تزايد اللجوء إلى ترتيب يحد تدريجياً من إنشاء تنظيمات نقابية في القطاع الخاص ويمنع ذلك، حين يعيّن عمال للعمل المعتاد للشركة عن طريق شركات وسيطة لا تتيح أي مجال لممارسة الحق النقابي أمام العمال الذين تعينهم.</w:t>
      </w:r>
    </w:p>
    <w:p w:rsidR="00000000" w:rsidRDefault="00567B15">
      <w:pPr>
        <w:spacing w:line="380" w:lineRule="exact"/>
        <w:jc w:val="both"/>
        <w:rPr>
          <w:rFonts w:hint="cs"/>
          <w:spacing w:val="0"/>
          <w:rtl/>
        </w:rPr>
      </w:pPr>
      <w:r>
        <w:rPr>
          <w:rFonts w:hint="cs"/>
          <w:spacing w:val="0"/>
          <w:rtl/>
        </w:rPr>
        <w:t>156-</w:t>
      </w:r>
      <w:r>
        <w:rPr>
          <w:rFonts w:hint="cs"/>
          <w:spacing w:val="0"/>
          <w:rtl/>
        </w:rPr>
        <w:tab/>
        <w:t>وهناك 800 منظمة تابعة للاتحاد</w:t>
      </w:r>
      <w:r>
        <w:rPr>
          <w:rFonts w:hint="cs"/>
          <w:spacing w:val="0"/>
          <w:rtl/>
        </w:rPr>
        <w:t xml:space="preserve"> الإكوادوري العام ويصل عدد أعضاء تلك المنظمات إلى نحو 000 150 عامل.</w:t>
      </w:r>
    </w:p>
    <w:p w:rsidR="00000000" w:rsidRDefault="00567B15">
      <w:pPr>
        <w:spacing w:line="380" w:lineRule="exact"/>
        <w:jc w:val="both"/>
        <w:rPr>
          <w:rFonts w:hint="cs"/>
          <w:rtl/>
        </w:rPr>
      </w:pPr>
      <w:r>
        <w:rPr>
          <w:rFonts w:hint="cs"/>
          <w:rtl/>
        </w:rPr>
        <w:t>157-</w:t>
      </w:r>
      <w:r>
        <w:rPr>
          <w:rFonts w:hint="cs"/>
          <w:rtl/>
        </w:rPr>
        <w:tab/>
        <w:t>ويرى الاتحاد أن القيود المستمدة من الأحكام الدستورية والتي تؤثر على الحق في حرية تنظيم نقابات، هي مصدر التشريع الذي يحد بصورة مباشرة أو غير مباشرة من ذلك الحق، وأن موقف السلطات التي ت</w:t>
      </w:r>
      <w:r>
        <w:rPr>
          <w:rFonts w:hint="cs"/>
          <w:rtl/>
        </w:rPr>
        <w:t>لجأ بموجب إجراءات إدارية أو بالتقاعس عن الوفاء بواجبها في حماية الحق في التنظيم، عن قيود على ممارسة هذا الحق.</w:t>
      </w:r>
    </w:p>
    <w:p w:rsidR="00000000" w:rsidRDefault="00567B15">
      <w:pPr>
        <w:spacing w:line="380" w:lineRule="exact"/>
        <w:jc w:val="both"/>
        <w:rPr>
          <w:rFonts w:hint="cs"/>
          <w:rtl/>
        </w:rPr>
      </w:pPr>
      <w:r>
        <w:rPr>
          <w:rFonts w:hint="cs"/>
          <w:rtl/>
        </w:rPr>
        <w:t>158-</w:t>
      </w:r>
      <w:r>
        <w:rPr>
          <w:rFonts w:hint="cs"/>
          <w:rtl/>
        </w:rPr>
        <w:tab/>
        <w:t>ولا تتوافر معلومات تتيح لنا التأكد من أن القوات المسلحة أو الشرطة تتدخل عمداً لمنع ممارسة الحقوق المبينة في الفقرتين 2 و3.</w:t>
      </w:r>
    </w:p>
    <w:p w:rsidR="00000000" w:rsidRDefault="00567B15">
      <w:pPr>
        <w:spacing w:line="380" w:lineRule="exact"/>
        <w:jc w:val="center"/>
        <w:rPr>
          <w:rFonts w:hint="cs"/>
          <w:rtl/>
        </w:rPr>
      </w:pPr>
      <w:r>
        <w:rPr>
          <w:rFonts w:hint="cs"/>
          <w:b/>
          <w:bCs/>
          <w:rtl/>
        </w:rPr>
        <w:t>المادة 9</w:t>
      </w:r>
    </w:p>
    <w:p w:rsidR="00000000" w:rsidRDefault="00567B15">
      <w:pPr>
        <w:spacing w:line="380" w:lineRule="exact"/>
        <w:jc w:val="both"/>
        <w:rPr>
          <w:rFonts w:hint="cs"/>
          <w:b/>
          <w:bCs/>
          <w:rtl/>
        </w:rPr>
      </w:pPr>
      <w:r>
        <w:rPr>
          <w:rFonts w:hint="cs"/>
          <w:b/>
          <w:bCs/>
          <w:rtl/>
        </w:rPr>
        <w:t>الحق في ا</w:t>
      </w:r>
      <w:r>
        <w:rPr>
          <w:rFonts w:hint="cs"/>
          <w:b/>
          <w:bCs/>
          <w:rtl/>
        </w:rPr>
        <w:t>لضمان الاجتماعي</w:t>
      </w:r>
    </w:p>
    <w:p w:rsidR="00000000" w:rsidRDefault="00567B15">
      <w:pPr>
        <w:spacing w:line="380" w:lineRule="exact"/>
        <w:jc w:val="both"/>
        <w:rPr>
          <w:rFonts w:hint="cs"/>
          <w:rtl/>
        </w:rPr>
      </w:pPr>
      <w:r>
        <w:rPr>
          <w:rFonts w:hint="cs"/>
          <w:rtl/>
        </w:rPr>
        <w:t>159-</w:t>
      </w:r>
      <w:r>
        <w:rPr>
          <w:rFonts w:hint="cs"/>
          <w:rtl/>
        </w:rPr>
        <w:tab/>
        <w:t>تحدد المادة 55، الفرع 6 من الفصل الرابع من الدستور أن "الضمان الاجتماعي أحد واجبات الدولة وهو حق ثابت لجميع سكانها؛ يمارسونه بالمشاركة من القطاعين العام والخاص، وفقاً للقانون".</w:t>
      </w:r>
    </w:p>
    <w:p w:rsidR="00000000" w:rsidRDefault="00567B15">
      <w:pPr>
        <w:spacing w:line="380" w:lineRule="exact"/>
        <w:jc w:val="both"/>
        <w:rPr>
          <w:rFonts w:hint="cs"/>
          <w:rtl/>
        </w:rPr>
      </w:pPr>
      <w:r>
        <w:rPr>
          <w:rFonts w:hint="cs"/>
          <w:rtl/>
        </w:rPr>
        <w:t>160-</w:t>
      </w:r>
      <w:r>
        <w:rPr>
          <w:rFonts w:hint="cs"/>
          <w:rtl/>
        </w:rPr>
        <w:tab/>
        <w:t>وتقع مهمة توفير الضمان الاجتماعي على عاتق المؤسسة الإ</w:t>
      </w:r>
      <w:r>
        <w:rPr>
          <w:rFonts w:hint="cs"/>
          <w:rtl/>
        </w:rPr>
        <w:t>كوادورية للضمان الاجتماعي التي أنشئت في عام 1928 عند إصدار قانون الضمان الاجتماعي الإلزامي. وقد عدل هذا القانون في عام 1935 ثم استكمل في عام 1942. وأصبحت المؤسسة الآن خاضعة لقانون صادر في عام 1988.</w:t>
      </w:r>
    </w:p>
    <w:p w:rsidR="00000000" w:rsidRDefault="00567B15">
      <w:pPr>
        <w:spacing w:line="380" w:lineRule="exact"/>
        <w:jc w:val="both"/>
        <w:rPr>
          <w:rFonts w:hint="cs"/>
          <w:rtl/>
        </w:rPr>
      </w:pPr>
      <w:r>
        <w:rPr>
          <w:rFonts w:hint="cs"/>
          <w:rtl/>
        </w:rPr>
        <w:t>161-</w:t>
      </w:r>
      <w:r>
        <w:rPr>
          <w:rFonts w:hint="cs"/>
          <w:rtl/>
        </w:rPr>
        <w:tab/>
        <w:t>ويخضع لحماية المؤسسة أعضاؤها وأصحاب المعاشات التقاعدي</w:t>
      </w:r>
      <w:r>
        <w:rPr>
          <w:rFonts w:hint="cs"/>
          <w:rtl/>
        </w:rPr>
        <w:t>ة. والأعضاء هم المؤمّن عليهم ويتألفون من المشتركين وغير المشتركين (أعضاء مجموعة العمال الريفيين). أما أصحاب المعاشات التقاعدية فهم الذين يتلقون معاشات تقاعدية لكبر السن أو للعجز أو لأخطار أماكن العمل، والأرامل واليتامى الذين يتلقون هذه المعاشات.</w:t>
      </w:r>
    </w:p>
    <w:p w:rsidR="00000000" w:rsidRDefault="00567B15">
      <w:pPr>
        <w:spacing w:line="380" w:lineRule="exact"/>
        <w:jc w:val="both"/>
        <w:rPr>
          <w:rFonts w:hint="cs"/>
          <w:rtl/>
        </w:rPr>
      </w:pPr>
      <w:r>
        <w:rPr>
          <w:rFonts w:hint="cs"/>
          <w:rtl/>
        </w:rPr>
        <w:t>162-</w:t>
      </w:r>
      <w:r>
        <w:rPr>
          <w:rFonts w:hint="cs"/>
          <w:rtl/>
        </w:rPr>
        <w:tab/>
        <w:t>وفي ع</w:t>
      </w:r>
      <w:r>
        <w:rPr>
          <w:rFonts w:hint="cs"/>
          <w:rtl/>
        </w:rPr>
        <w:t xml:space="preserve">ام 1998 بلغ عدد المحميين بهذا النظام 910 075 2 أشخاص من المؤمن عليهم ومن بينهـم 716 097 1 شخصاً من فئة نظام التأمين العام واستفاد 194 978 شخصاً من نظام الضمان الاجتماعي الريفي. وهؤلاء يمثلون 17 في المائة من شعب إكوادور؛ ولو أضفنا أصحاب المعاشات التقاعدية، </w:t>
      </w:r>
      <w:r>
        <w:rPr>
          <w:rFonts w:hint="cs"/>
          <w:rtl/>
        </w:rPr>
        <w:t>تصل التغطية إلى 19 في المائة. ونتيجة لهذا تصبح نسبة 19 في المائة من شعب إكوادور هي القادرة على طلب خدمات المؤسسة، والأخطر من هذا أن مزايا المؤسسة لا تزال تغطي المؤمن عليهم فحسب ولا تمتد إلى أبنائهم أو زوجاتهم. ومن ثم أصبح اثنان فقط من كل 10 إكوادوريين محمي</w:t>
      </w:r>
      <w:r>
        <w:rPr>
          <w:rFonts w:hint="cs"/>
          <w:rtl/>
        </w:rPr>
        <w:t>ين بالتأمين في حالات المرض والأمومة.</w:t>
      </w:r>
    </w:p>
    <w:p w:rsidR="00000000" w:rsidRDefault="00567B15">
      <w:pPr>
        <w:spacing w:line="380" w:lineRule="exact"/>
        <w:jc w:val="both"/>
        <w:rPr>
          <w:rFonts w:hint="cs"/>
          <w:rtl/>
        </w:rPr>
      </w:pPr>
      <w:r>
        <w:rPr>
          <w:rFonts w:hint="cs"/>
          <w:rtl/>
        </w:rPr>
        <w:t>163-</w:t>
      </w:r>
      <w:r>
        <w:rPr>
          <w:rFonts w:hint="cs"/>
          <w:rtl/>
        </w:rPr>
        <w:tab/>
        <w:t>ويتبين من إحصاء المؤسسة أن معظم المؤمن عليهم لديها في عام 1998- أي 88.4 في المائة منهم - من الفئة العمرية 44 إلى 54 عاماً في حين يمثل من هم أصغر عمراً وحتى 34 عاماً 48.4 في المائة. ويتزايد عدد أصحاب المعاشات التقاع</w:t>
      </w:r>
      <w:r>
        <w:rPr>
          <w:rFonts w:hint="cs"/>
          <w:rtl/>
        </w:rPr>
        <w:t>دية أسرع من عدد العمال الجدد الذين ينضمون إلى المؤسسة بحيث لن تكفي الموارد الآتية من الاشتراكات في الأجل القصير لتمويل دفع المستحقات التي تقدمها المؤسسة.</w:t>
      </w:r>
    </w:p>
    <w:p w:rsidR="00000000" w:rsidRDefault="00567B15">
      <w:pPr>
        <w:spacing w:line="380" w:lineRule="exact"/>
        <w:jc w:val="both"/>
        <w:rPr>
          <w:rFonts w:hint="cs"/>
          <w:rtl/>
        </w:rPr>
      </w:pPr>
      <w:r>
        <w:rPr>
          <w:rFonts w:hint="cs"/>
          <w:rtl/>
        </w:rPr>
        <w:t>164-</w:t>
      </w:r>
      <w:r>
        <w:rPr>
          <w:rFonts w:hint="cs"/>
          <w:rtl/>
        </w:rPr>
        <w:tab/>
        <w:t>ويتألف الضمان الاجتماعي من نظام الضمان الاجتماعي الإلزامي ونظام الضمان الاجتماعي الاختياري. فالأش</w:t>
      </w:r>
      <w:r>
        <w:rPr>
          <w:rFonts w:hint="cs"/>
          <w:rtl/>
        </w:rPr>
        <w:t xml:space="preserve">خاص المبينون فيما يلي مؤمن عليهم في نظام الضمان الاجتماعي الإلزامي: الذين يقدمون الخدمات أو يقومون بأعمال بموجب عقد عمل أو بالتعيين؛ أي العاملون لحسابهم، والعمال في الخدمة المدنية، والمهنيون ذوو الدرجات الجامعية أو درجات المعاهد العليا، ممن يمارسون مهنتهم </w:t>
      </w:r>
      <w:r>
        <w:rPr>
          <w:rFonts w:hint="cs"/>
          <w:rtl/>
        </w:rPr>
        <w:t>مستقلين ولا يعملون موظفين؛ وموثقو العقود؛ ووكلاء وتجار العقارات؛ وموظفو الكنائس؛ والحرفيون وكبار الحرفيين، والمستقلون من الحرفيين والعمال والمتدربين؛ والمتدربون بعقود والعمال تحت الاختبار، والعمال في أوقات مختلفة والمؤقتون، والعمال من بيوتهم، وعمال البناء،</w:t>
      </w:r>
      <w:r>
        <w:rPr>
          <w:rFonts w:hint="cs"/>
          <w:rtl/>
        </w:rPr>
        <w:t xml:space="preserve"> وغيرهم من المذكورين في قوانين أو مراسيم خاصة؛ والفنانون المحترفون؛ والسائقون المحترفون الذين هم أعضاء مستقلون في أي منظمة؛ والعمال المستقلون لحساب أنفسهم والأعضاء العاملون في الجمعيات والاتحادات ولرابطات المهنية، المرتبطون عموماً بنشاط اقتصادي يؤديه أشخاص</w:t>
      </w:r>
      <w:r>
        <w:rPr>
          <w:rFonts w:hint="cs"/>
          <w:rtl/>
        </w:rPr>
        <w:t xml:space="preserve"> مصدر رزقهم الوحيد هو عملهم، ولكن لا تربطهم علاقة الموظف بصاحب العمل؛ والعمال الزراعيون وغيرهم من المذكورين في قوانين أو مراسيم خاصة؛ ولاعبو كرة القدم المحترفون.</w:t>
      </w:r>
    </w:p>
    <w:p w:rsidR="00000000" w:rsidRDefault="00567B15">
      <w:pPr>
        <w:spacing w:line="380" w:lineRule="exact"/>
        <w:jc w:val="both"/>
        <w:rPr>
          <w:rFonts w:hint="cs"/>
          <w:rtl/>
        </w:rPr>
      </w:pPr>
      <w:r>
        <w:rPr>
          <w:rFonts w:hint="cs"/>
          <w:rtl/>
        </w:rPr>
        <w:t>165-</w:t>
      </w:r>
      <w:r>
        <w:rPr>
          <w:rFonts w:hint="cs"/>
          <w:rtl/>
        </w:rPr>
        <w:tab/>
        <w:t>وتحدد المادة 42 من الفرع 31 من قانون العمل واجبات أصحاب العمل على النحو التالي "قيد العما</w:t>
      </w:r>
      <w:r>
        <w:rPr>
          <w:rFonts w:hint="cs"/>
          <w:rtl/>
        </w:rPr>
        <w:t>ل في المؤسسة الإكوادورية للضمان الاجتماعي من أول يوم يعملون فيه مع الإخطار عن بدء العمل خلال 15 يوماً الأولى وعن انتهاء العمل والتغييرات في الأجور والمرتبات، وعن الحوادث في العمل والأمراض في العمل، والامتثال لسائر الالتزامات التي تنص عليها قوانين الضمان ال</w:t>
      </w:r>
      <w:r>
        <w:rPr>
          <w:rFonts w:hint="cs"/>
          <w:rtl/>
        </w:rPr>
        <w:t>اجتماعي".</w:t>
      </w:r>
    </w:p>
    <w:p w:rsidR="00000000" w:rsidRDefault="00567B15">
      <w:pPr>
        <w:spacing w:line="380" w:lineRule="exact"/>
        <w:jc w:val="both"/>
        <w:rPr>
          <w:rFonts w:hint="cs"/>
          <w:rtl/>
        </w:rPr>
      </w:pPr>
      <w:r>
        <w:rPr>
          <w:rFonts w:hint="cs"/>
          <w:rtl/>
        </w:rPr>
        <w:t>166-</w:t>
      </w:r>
      <w:r>
        <w:rPr>
          <w:rFonts w:hint="cs"/>
          <w:rtl/>
        </w:rPr>
        <w:tab/>
        <w:t>ولا يكون الاشتراك في الضمان الاجتماعي إجبارياً إلا للعمال المستخدمين، وهو لا يكاد يعْزى العمال المستقلين. وهذا يعني أن نسبة ضئيلة من العاملين لحساب أنفسهم هو الأعضاء في نظام الضمان الاجتماعي.</w:t>
      </w:r>
    </w:p>
    <w:p w:rsidR="00000000" w:rsidRDefault="00567B15">
      <w:pPr>
        <w:spacing w:line="380" w:lineRule="exact"/>
        <w:jc w:val="both"/>
        <w:rPr>
          <w:rFonts w:hint="cs"/>
          <w:rtl/>
        </w:rPr>
      </w:pPr>
      <w:r>
        <w:rPr>
          <w:rFonts w:hint="cs"/>
          <w:rtl/>
        </w:rPr>
        <w:t>167-</w:t>
      </w:r>
      <w:r>
        <w:rPr>
          <w:rFonts w:hint="cs"/>
          <w:rtl/>
        </w:rPr>
        <w:tab/>
        <w:t>والمؤسسة مضطرة لقبول الانضمام الطوعي من أي ش</w:t>
      </w:r>
      <w:r>
        <w:rPr>
          <w:rFonts w:hint="cs"/>
          <w:rtl/>
        </w:rPr>
        <w:t>خص بالغ ليس مشتركاً في أي نظام آخر للتأمين الاجتماعي، إذا أعرب عن رغبته في الانضمام إلى النظام الاختياري. واشتراك العضو الاختياري هو 18.8 في المائة من إيراداته المعلنة لأغراض العضوية، ويعطيه الحق في المزايا في حالة المرض والأمومة والعجز وأخطار مقر العمل وم</w:t>
      </w:r>
      <w:r>
        <w:rPr>
          <w:rFonts w:hint="cs"/>
          <w:rtl/>
        </w:rPr>
        <w:t>زايا التأمين على الحياة، والمزايا من صندوق مصاريف الجنازة، والمعاشات التقاعدية في حالة العجز والشيخوخة والاشتراك في نظام خاص مخفض إذا استوفى شروط المؤسسة.</w:t>
      </w:r>
    </w:p>
    <w:p w:rsidR="00000000" w:rsidRDefault="00567B15">
      <w:pPr>
        <w:spacing w:line="380" w:lineRule="exact"/>
        <w:jc w:val="both"/>
        <w:rPr>
          <w:rFonts w:hint="cs"/>
          <w:rtl/>
        </w:rPr>
      </w:pPr>
      <w:r>
        <w:rPr>
          <w:rFonts w:hint="cs"/>
          <w:rtl/>
        </w:rPr>
        <w:t>168-</w:t>
      </w:r>
      <w:r>
        <w:rPr>
          <w:rFonts w:hint="cs"/>
          <w:rtl/>
        </w:rPr>
        <w:tab/>
        <w:t>وتنص المادة 56 من الدستور الجديد على إنشاء النظام الوطني للضمان الاجتماعي الذي "تنظمه مبادئ التض</w:t>
      </w:r>
      <w:r>
        <w:rPr>
          <w:rFonts w:hint="cs"/>
          <w:rtl/>
        </w:rPr>
        <w:t>امن والاشتراك الإلزامي والشمول والعدل والكفاءة والدعم والكفاية، في تعامله مع الاحتياجات الفردية والجماعية، من أجل الصالح العام".</w:t>
      </w:r>
    </w:p>
    <w:p w:rsidR="00000000" w:rsidRDefault="00567B15">
      <w:pPr>
        <w:spacing w:line="380" w:lineRule="exact"/>
        <w:jc w:val="both"/>
        <w:rPr>
          <w:rFonts w:hint="cs"/>
          <w:rtl/>
        </w:rPr>
      </w:pPr>
      <w:r>
        <w:rPr>
          <w:rFonts w:hint="cs"/>
          <w:rtl/>
        </w:rPr>
        <w:t>169-</w:t>
      </w:r>
      <w:r>
        <w:rPr>
          <w:rFonts w:hint="cs"/>
          <w:rtl/>
        </w:rPr>
        <w:tab/>
        <w:t>ويغطي نظام الضمان الاجتماعي الحالي، من خلال التأمين العام الإلزامي، مخاطر المرض والأمومة وأخطار مقر العمل والبطالة والشيخو</w:t>
      </w:r>
      <w:r>
        <w:rPr>
          <w:rFonts w:hint="cs"/>
          <w:rtl/>
        </w:rPr>
        <w:t>خة والعجز والوفاة.</w:t>
      </w:r>
    </w:p>
    <w:p w:rsidR="00000000" w:rsidRDefault="00567B15">
      <w:pPr>
        <w:spacing w:line="380" w:lineRule="exact"/>
        <w:jc w:val="both"/>
        <w:rPr>
          <w:rFonts w:hint="cs"/>
          <w:i/>
          <w:iCs/>
          <w:rtl/>
        </w:rPr>
      </w:pPr>
      <w:r>
        <w:rPr>
          <w:rFonts w:hint="cs"/>
          <w:i/>
          <w:iCs/>
          <w:rtl/>
        </w:rPr>
        <w:t>المزايا في حالة المرض</w:t>
      </w:r>
    </w:p>
    <w:p w:rsidR="00000000" w:rsidRDefault="00567B15">
      <w:pPr>
        <w:spacing w:line="380" w:lineRule="exact"/>
        <w:jc w:val="both"/>
        <w:rPr>
          <w:rFonts w:hint="cs"/>
          <w:rtl/>
        </w:rPr>
      </w:pPr>
      <w:r>
        <w:rPr>
          <w:rFonts w:hint="cs"/>
          <w:rtl/>
        </w:rPr>
        <w:t>170-</w:t>
      </w:r>
      <w:r>
        <w:rPr>
          <w:rFonts w:hint="cs"/>
          <w:rtl/>
        </w:rPr>
        <w:tab/>
        <w:t xml:space="preserve">المشتركون في نظام المؤسسة يحصلون على تأمين طبي عام يشمل الحالتين التاليتين: </w:t>
      </w:r>
    </w:p>
    <w:p w:rsidR="00000000" w:rsidRDefault="00567B15">
      <w:pPr>
        <w:spacing w:before="180" w:after="180" w:line="380" w:lineRule="exact"/>
        <w:jc w:val="both"/>
        <w:rPr>
          <w:rFonts w:hint="cs"/>
          <w:rtl/>
        </w:rPr>
      </w:pPr>
      <w:r>
        <w:rPr>
          <w:rFonts w:hint="cs"/>
          <w:rtl/>
        </w:rPr>
        <w:tab/>
        <w:t>(أ)</w:t>
      </w:r>
      <w:r>
        <w:rPr>
          <w:rFonts w:hint="cs"/>
          <w:rtl/>
        </w:rPr>
        <w:tab/>
        <w:t>الرعاية الطبية والجراحية ورعاية الأسنان، وصرف الأدوية؛</w:t>
      </w:r>
    </w:p>
    <w:p w:rsidR="00000000" w:rsidRDefault="00567B15">
      <w:pPr>
        <w:spacing w:before="180" w:after="180" w:line="380" w:lineRule="exact"/>
        <w:jc w:val="both"/>
        <w:rPr>
          <w:rFonts w:hint="cs"/>
          <w:rtl/>
        </w:rPr>
      </w:pPr>
      <w:r>
        <w:rPr>
          <w:rFonts w:hint="cs"/>
          <w:rtl/>
        </w:rPr>
        <w:tab/>
        <w:t>(ب)</w:t>
      </w:r>
      <w:r>
        <w:rPr>
          <w:rFonts w:hint="cs"/>
          <w:rtl/>
        </w:rPr>
        <w:tab/>
        <w:t>مزايا نقدية حين يتسبب المرض في العجز عن العمل.</w:t>
      </w:r>
    </w:p>
    <w:p w:rsidR="00000000" w:rsidRDefault="00567B15">
      <w:pPr>
        <w:spacing w:line="380" w:lineRule="exact"/>
        <w:jc w:val="both"/>
        <w:rPr>
          <w:rFonts w:hint="cs"/>
          <w:rtl/>
        </w:rPr>
      </w:pPr>
      <w:r>
        <w:rPr>
          <w:rFonts w:hint="cs"/>
          <w:rtl/>
        </w:rPr>
        <w:t>171-</w:t>
      </w:r>
      <w:r>
        <w:rPr>
          <w:rFonts w:hint="cs"/>
          <w:rtl/>
        </w:rPr>
        <w:tab/>
        <w:t xml:space="preserve">وللحصول على هذا </w:t>
      </w:r>
      <w:r>
        <w:rPr>
          <w:rFonts w:hint="cs"/>
          <w:rtl/>
        </w:rPr>
        <w:t>الحق يتعين أن يكون المشترك قد سدد اشتراكات ستة أشهر، وأن يكون شهران على الأقل من هذه الشهور الستة قد سددا قبل بدء المرض. ويحق لكبار السن أو المعوقين ممن لهم معاشات تقاعدية الحصول على هذا التأمين من وقت تلقيهم المعاشات التقاعدية. أما الذين يتلقون معاشات أرا</w:t>
      </w:r>
      <w:r>
        <w:rPr>
          <w:rFonts w:hint="cs"/>
          <w:rtl/>
        </w:rPr>
        <w:t>مل مستمدة من التأمين على الحياة أو على أخطار مقر العمل فيتلقون مزايا التأمين الصحي، دون مزايا الأمومة.</w:t>
      </w:r>
    </w:p>
    <w:p w:rsidR="00000000" w:rsidRDefault="00567B15">
      <w:pPr>
        <w:spacing w:line="380" w:lineRule="exact"/>
        <w:jc w:val="both"/>
        <w:rPr>
          <w:rFonts w:hint="cs"/>
          <w:spacing w:val="2"/>
          <w:rtl/>
        </w:rPr>
      </w:pPr>
      <w:r>
        <w:rPr>
          <w:rFonts w:hint="cs"/>
          <w:rtl/>
        </w:rPr>
        <w:t>172-</w:t>
      </w:r>
      <w:r>
        <w:rPr>
          <w:rFonts w:hint="cs"/>
          <w:rtl/>
        </w:rPr>
        <w:tab/>
        <w:t>وعندما يتسبب المرض في عجز عن العمل يتعين أن يتلقى المشترك مزايا نقدية لمواجهة المرض، تحسب على النحو التالي: يدفع صاحب العمل عن الأيام الثلاثة الأولى</w:t>
      </w:r>
      <w:r>
        <w:rPr>
          <w:rFonts w:hint="cs"/>
          <w:rtl/>
        </w:rPr>
        <w:t xml:space="preserve"> 50 في المائة من الأجر اليومي أو المرتب و100 في المائة </w:t>
      </w:r>
      <w:r>
        <w:rPr>
          <w:rFonts w:hint="cs"/>
          <w:spacing w:val="2"/>
          <w:rtl/>
        </w:rPr>
        <w:t>من الاشتراكات؛ واعتباراً من اليوم الرابع ولمدة 26 أسبوعاً (أي ستة أشهر) يحصل العضو من نظام المؤسسة على المبالغ التالية: عن 70 يوماً الأولى من العجز، 75 في المائة من متوسط الأجر اليومي أو المرتب خلال آخ</w:t>
      </w:r>
      <w:r>
        <w:rPr>
          <w:rFonts w:hint="cs"/>
          <w:spacing w:val="2"/>
          <w:rtl/>
        </w:rPr>
        <w:t>ر 90 يوماً سابقة للشهر الذي حدث فيه العجز؛ و66 في المائة من هذا المتوسط عن المدة المتبقية وحتى نهاية الشهور الستة.</w:t>
      </w:r>
    </w:p>
    <w:p w:rsidR="00000000" w:rsidRDefault="00567B15">
      <w:pPr>
        <w:spacing w:line="380" w:lineRule="exact"/>
        <w:jc w:val="both"/>
        <w:rPr>
          <w:rFonts w:hint="cs"/>
          <w:rtl/>
        </w:rPr>
      </w:pPr>
      <w:r>
        <w:rPr>
          <w:rFonts w:hint="cs"/>
          <w:rtl/>
        </w:rPr>
        <w:t>173-</w:t>
      </w:r>
      <w:r>
        <w:rPr>
          <w:rFonts w:hint="cs"/>
          <w:rtl/>
        </w:rPr>
        <w:tab/>
        <w:t>ويمنح موظفو الخدمة المدنية هذه المزايا بعد إكمال الإجازة المدفوعة الأجر المقررة في قانون الخدمة المدنية والإدارة العامة، لفترة تصل إلى س</w:t>
      </w:r>
      <w:r>
        <w:rPr>
          <w:rFonts w:hint="cs"/>
          <w:rtl/>
        </w:rPr>
        <w:t>تة أشهر تشمل أيام الإجازة المرضية المدفوعة الأجر. ويتحمل نظام المؤسسة 100 في المائة من الاشتراكات خلال فترة استحقاق المزايا.</w:t>
      </w:r>
    </w:p>
    <w:p w:rsidR="00000000" w:rsidRDefault="00567B15">
      <w:pPr>
        <w:spacing w:line="380" w:lineRule="exact"/>
        <w:jc w:val="both"/>
        <w:rPr>
          <w:rFonts w:hint="cs"/>
          <w:spacing w:val="0"/>
          <w:rtl/>
        </w:rPr>
      </w:pPr>
      <w:r>
        <w:rPr>
          <w:rFonts w:hint="cs"/>
          <w:spacing w:val="0"/>
          <w:rtl/>
        </w:rPr>
        <w:t>174-</w:t>
      </w:r>
      <w:r>
        <w:rPr>
          <w:rFonts w:hint="cs"/>
          <w:spacing w:val="0"/>
          <w:rtl/>
        </w:rPr>
        <w:tab/>
        <w:t xml:space="preserve">ولتمويل المزايا النقدية لحالات الأمراض العامة اعتباراً من اليوم الرابع للإصابة بالعجز، تدفع المؤسسات الحكومية والشركات الخاصة </w:t>
      </w:r>
      <w:r>
        <w:rPr>
          <w:rFonts w:hint="cs"/>
          <w:spacing w:val="0"/>
          <w:rtl/>
        </w:rPr>
        <w:t>اشتراكاً شهرياً إضافيا لنظام هذا المؤسسة بنسبة 1 في المائة من أجور عمالها أو رواتبهم.</w:t>
      </w:r>
    </w:p>
    <w:p w:rsidR="00000000" w:rsidRDefault="00567B15">
      <w:pPr>
        <w:spacing w:line="380" w:lineRule="exact"/>
        <w:jc w:val="both"/>
        <w:rPr>
          <w:rFonts w:hint="cs"/>
          <w:rtl/>
        </w:rPr>
      </w:pPr>
      <w:r>
        <w:rPr>
          <w:rFonts w:hint="cs"/>
          <w:rtl/>
        </w:rPr>
        <w:t>175-</w:t>
      </w:r>
      <w:r>
        <w:rPr>
          <w:rFonts w:hint="cs"/>
          <w:rtl/>
        </w:rPr>
        <w:tab/>
        <w:t>والمستفيدون من هذا الاعتماد هم أعضاء نظام التأمين العام بمن فيهم عمال البناء والعمال الزراعيون ورجال الدين والعاملون في صناعة السكر وموظفو الكنائس والمؤمن عليهم في ن</w:t>
      </w:r>
      <w:r>
        <w:rPr>
          <w:rFonts w:hint="cs"/>
          <w:rtl/>
        </w:rPr>
        <w:t>ظام الاشتراك الاختياري ونظام الاستمرار الاختياري ونظام المهنيين الحاملين لشهادات جامعية أو عالية، والفنانون المحترفون والعاملون لحساب أنفسهم والمستقلون الذين يدفعون اشتراكاً إضافياً بنسبة 1 في المائة، وعمال الخدمة المنزلية والعاملون الزراعيون بأجر ويدفع له</w:t>
      </w:r>
      <w:r>
        <w:rPr>
          <w:rFonts w:hint="cs"/>
          <w:rtl/>
        </w:rPr>
        <w:t>م اشتراك صاحب العمل بنسبة 1 في المائة.</w:t>
      </w:r>
    </w:p>
    <w:p w:rsidR="00000000" w:rsidRDefault="00567B15">
      <w:pPr>
        <w:spacing w:line="380" w:lineRule="exact"/>
        <w:jc w:val="both"/>
        <w:rPr>
          <w:rFonts w:hint="cs"/>
          <w:rtl/>
        </w:rPr>
      </w:pPr>
      <w:r>
        <w:rPr>
          <w:rFonts w:hint="cs"/>
          <w:rtl/>
        </w:rPr>
        <w:t>176-</w:t>
      </w:r>
      <w:r>
        <w:rPr>
          <w:rFonts w:hint="cs"/>
          <w:rtl/>
        </w:rPr>
        <w:tab/>
        <w:t>ويتيح تأمين الأمومة للمؤمن عليهن خلال فترات الحمل وفترات الولادة وما بعدها مزايا التوليد التالية:</w:t>
      </w:r>
    </w:p>
    <w:p w:rsidR="00000000" w:rsidRDefault="00567B15">
      <w:pPr>
        <w:spacing w:before="180" w:after="180" w:line="380" w:lineRule="exact"/>
        <w:jc w:val="both"/>
        <w:rPr>
          <w:rFonts w:hint="cs"/>
          <w:rtl/>
        </w:rPr>
      </w:pPr>
      <w:r>
        <w:rPr>
          <w:rFonts w:hint="cs"/>
          <w:rtl/>
        </w:rPr>
        <w:tab/>
        <w:t>(أ)</w:t>
      </w:r>
      <w:r>
        <w:rPr>
          <w:rFonts w:hint="cs"/>
          <w:rtl/>
        </w:rPr>
        <w:tab/>
        <w:t>رعاية التوليد السابقة للولادة وأثناءها وبعدها؛</w:t>
      </w:r>
    </w:p>
    <w:p w:rsidR="00000000" w:rsidRDefault="00567B15">
      <w:pPr>
        <w:spacing w:before="180" w:after="180" w:line="380" w:lineRule="exact"/>
        <w:jc w:val="both"/>
        <w:rPr>
          <w:rFonts w:hint="cs"/>
          <w:rtl/>
        </w:rPr>
      </w:pPr>
      <w:r>
        <w:rPr>
          <w:rFonts w:hint="cs"/>
          <w:rtl/>
        </w:rPr>
        <w:tab/>
        <w:t>(ب)</w:t>
      </w:r>
      <w:r>
        <w:rPr>
          <w:rFonts w:hint="cs"/>
          <w:rtl/>
        </w:rPr>
        <w:tab/>
        <w:t>مزايا نقدية لمدة 12 أسبوعا - أسبوعين سابقين للولادة و10 أ</w:t>
      </w:r>
      <w:r>
        <w:rPr>
          <w:rFonts w:hint="cs"/>
          <w:rtl/>
        </w:rPr>
        <w:t>سابيع بعدها؛</w:t>
      </w:r>
    </w:p>
    <w:p w:rsidR="00000000" w:rsidRDefault="00567B15">
      <w:pPr>
        <w:spacing w:before="180" w:after="180" w:line="380" w:lineRule="exact"/>
        <w:jc w:val="both"/>
        <w:rPr>
          <w:rFonts w:hint="cs"/>
          <w:rtl/>
        </w:rPr>
      </w:pPr>
      <w:r>
        <w:rPr>
          <w:rFonts w:hint="cs"/>
          <w:rtl/>
        </w:rPr>
        <w:tab/>
        <w:t>(ج)</w:t>
      </w:r>
      <w:r>
        <w:rPr>
          <w:rFonts w:hint="cs"/>
          <w:rtl/>
        </w:rPr>
        <w:tab/>
        <w:t>رعاية شاملة لطفل المؤمن عليها في السنة الأولى من عمره، ويشمل ذلك الخدمات الدوائية والإقامة في المستشفى.</w:t>
      </w:r>
    </w:p>
    <w:p w:rsidR="00000000" w:rsidRDefault="00567B15">
      <w:pPr>
        <w:spacing w:line="380" w:lineRule="exact"/>
        <w:jc w:val="both"/>
        <w:rPr>
          <w:rFonts w:hint="cs"/>
          <w:rtl/>
        </w:rPr>
      </w:pPr>
      <w:r>
        <w:rPr>
          <w:rFonts w:hint="cs"/>
          <w:rtl/>
        </w:rPr>
        <w:t>177-</w:t>
      </w:r>
      <w:r>
        <w:rPr>
          <w:rFonts w:hint="cs"/>
          <w:rtl/>
        </w:rPr>
        <w:tab/>
        <w:t>وتقدم رعاية التوليد إلزامياً للمؤمن عليها التي تكون قد سددت اشتراكات ستة أشهر في السنة السابقة للولادة، باستثناء المؤمن عليهن اخت</w:t>
      </w:r>
      <w:r>
        <w:rPr>
          <w:rFonts w:hint="cs"/>
          <w:rtl/>
        </w:rPr>
        <w:t>يارياً اللائي يشترط اشتراكهن لمدة عام حتى يكون لهن الحق في مزايا التأمين الصحي والتأمين على الأمومة.</w:t>
      </w:r>
    </w:p>
    <w:p w:rsidR="00000000" w:rsidRDefault="00567B15">
      <w:pPr>
        <w:spacing w:line="380" w:lineRule="exact"/>
        <w:jc w:val="both"/>
        <w:rPr>
          <w:rFonts w:hint="cs"/>
          <w:rtl/>
        </w:rPr>
      </w:pPr>
      <w:r>
        <w:rPr>
          <w:rFonts w:hint="cs"/>
          <w:rtl/>
        </w:rPr>
        <w:t>178-</w:t>
      </w:r>
      <w:r>
        <w:rPr>
          <w:rFonts w:hint="cs"/>
          <w:rtl/>
        </w:rPr>
        <w:tab/>
        <w:t xml:space="preserve">ويوفر نظام المؤسسة مزايا نقدية للولادة تغطي فترة أسبوعين سابقين للولادة و10 أسابيع بعدها؛ ويشترط حصول المؤمن عليها على شهادة من طبيب خاص أو مسؤول طبي </w:t>
      </w:r>
      <w:r>
        <w:rPr>
          <w:rFonts w:hint="cs"/>
          <w:rtl/>
        </w:rPr>
        <w:t>تابع للمؤسسة عن الفترة السابقة للولادة وفترة الراحة اللازمة بعدها كي تستحق هذه المزايا. وتحدد المزايا بنسبة 75 في المائة من آخر أجر حصلت عليه المؤمن عليها.</w:t>
      </w:r>
    </w:p>
    <w:p w:rsidR="00000000" w:rsidRDefault="00567B15">
      <w:pPr>
        <w:spacing w:line="380" w:lineRule="exact"/>
        <w:jc w:val="both"/>
        <w:rPr>
          <w:rFonts w:hint="cs"/>
          <w:rtl/>
        </w:rPr>
      </w:pPr>
      <w:r>
        <w:rPr>
          <w:rFonts w:hint="cs"/>
          <w:rtl/>
        </w:rPr>
        <w:t>179-</w:t>
      </w:r>
      <w:r>
        <w:rPr>
          <w:rFonts w:hint="cs"/>
          <w:rtl/>
        </w:rPr>
        <w:tab/>
        <w:t>أما عن التأمين ضد أخطار مقر العمل فنظام المؤسسة يعتبر أن المقصود بأي حادث أثناء العمل، الحادث ا</w:t>
      </w:r>
      <w:r>
        <w:rPr>
          <w:rFonts w:hint="cs"/>
          <w:rtl/>
        </w:rPr>
        <w:t>لمفاجئ الذي لا يمكن توقعه والذي يسبب للعامل إصابة بدنية أو مشاكل وظيفية أو وفاة فورية أو لاحقة وقت عمل يؤديه أو نتيجة له أو يتسبب فيه طرف ثالث. وتصل أقساط هذا التأمين إلى 1.5 في المائة من أجر العامل أو راتبه من صاحب عمل عام أو خاص أو من اشتراك اختياري.</w:t>
      </w:r>
    </w:p>
    <w:p w:rsidR="00000000" w:rsidRDefault="00567B15">
      <w:pPr>
        <w:spacing w:line="380" w:lineRule="exact"/>
        <w:jc w:val="both"/>
        <w:rPr>
          <w:rFonts w:hint="cs"/>
          <w:rtl/>
        </w:rPr>
      </w:pPr>
      <w:r>
        <w:rPr>
          <w:rFonts w:hint="cs"/>
          <w:rtl/>
        </w:rPr>
        <w:t>180</w:t>
      </w:r>
      <w:r>
        <w:rPr>
          <w:rFonts w:hint="cs"/>
          <w:rtl/>
        </w:rPr>
        <w:t>-</w:t>
      </w:r>
      <w:r>
        <w:rPr>
          <w:rFonts w:hint="cs"/>
          <w:rtl/>
        </w:rPr>
        <w:tab/>
        <w:t>وأما الحوادث التي تصيب المؤمن عليه أثناء تنقله مباشرة بين البيت والعمل فهي تعتبر كذلك إصابات عمل. وفي حالة العامل لحساب نفسه تعتبر الحادثة التي تقع في الظروف المشار إليها في الفقرة السابقة حوادث عمل، غير أنه لا توجد في هذه الحالة علاقة عامل بصاحب عمل. وح</w:t>
      </w:r>
      <w:r>
        <w:rPr>
          <w:rFonts w:hint="cs"/>
          <w:rtl/>
        </w:rPr>
        <w:t>يئنذ تحدد المؤسسة الأنشطة المشمولة بالتأمين ضد أخطار مقر العمل قبل قبول العضوية. ويغطي هذا التأمين ما يلي:</w:t>
      </w:r>
    </w:p>
    <w:p w:rsidR="00000000" w:rsidRDefault="00567B15">
      <w:pPr>
        <w:spacing w:before="180" w:after="180" w:line="380" w:lineRule="exact"/>
        <w:jc w:val="both"/>
        <w:rPr>
          <w:rFonts w:hint="cs"/>
          <w:rtl/>
        </w:rPr>
      </w:pPr>
      <w:r>
        <w:rPr>
          <w:rFonts w:hint="cs"/>
          <w:rtl/>
        </w:rPr>
        <w:tab/>
        <w:t>(أ)</w:t>
      </w:r>
      <w:r>
        <w:rPr>
          <w:rFonts w:hint="cs"/>
          <w:rtl/>
        </w:rPr>
        <w:tab/>
        <w:t>الحوادث أثناء العمل؛</w:t>
      </w:r>
    </w:p>
    <w:p w:rsidR="00000000" w:rsidRDefault="00567B15">
      <w:pPr>
        <w:spacing w:before="180" w:after="180" w:line="380" w:lineRule="exact"/>
        <w:jc w:val="both"/>
        <w:rPr>
          <w:rFonts w:hint="cs"/>
          <w:rtl/>
        </w:rPr>
      </w:pPr>
      <w:r>
        <w:rPr>
          <w:rFonts w:hint="cs"/>
          <w:rtl/>
        </w:rPr>
        <w:tab/>
        <w:t>(ب)</w:t>
      </w:r>
      <w:r>
        <w:rPr>
          <w:rFonts w:hint="cs"/>
          <w:rtl/>
        </w:rPr>
        <w:tab/>
        <w:t>الأمراض المهنية.</w:t>
      </w:r>
    </w:p>
    <w:p w:rsidR="00000000" w:rsidRDefault="00567B15">
      <w:pPr>
        <w:spacing w:line="380" w:lineRule="exact"/>
        <w:jc w:val="both"/>
        <w:rPr>
          <w:rFonts w:hint="cs"/>
          <w:rtl/>
        </w:rPr>
      </w:pPr>
      <w:r>
        <w:rPr>
          <w:rFonts w:hint="cs"/>
          <w:rtl/>
        </w:rPr>
        <w:t>181-</w:t>
      </w:r>
      <w:r>
        <w:rPr>
          <w:rFonts w:hint="cs"/>
          <w:rtl/>
        </w:rPr>
        <w:tab/>
        <w:t>وتتمثل تداعيات الحادث الذي يقع أثناء العمل فيما يلي: العجز المؤقت؛ العجز الجزئي الدائم؛ العجز ال</w:t>
      </w:r>
      <w:r>
        <w:rPr>
          <w:rFonts w:hint="cs"/>
          <w:rtl/>
        </w:rPr>
        <w:t>كلي الدائم عن أداء العمل المعتاد؛ العجز المطلق الدائم؛ الوفاة.</w:t>
      </w:r>
    </w:p>
    <w:p w:rsidR="00000000" w:rsidRDefault="00567B15">
      <w:pPr>
        <w:spacing w:line="380" w:lineRule="exact"/>
        <w:jc w:val="both"/>
        <w:rPr>
          <w:rFonts w:hint="cs"/>
          <w:rtl/>
        </w:rPr>
      </w:pPr>
      <w:r>
        <w:rPr>
          <w:rFonts w:hint="cs"/>
          <w:rtl/>
        </w:rPr>
        <w:t>182-</w:t>
      </w:r>
      <w:r>
        <w:rPr>
          <w:rFonts w:hint="cs"/>
          <w:rtl/>
        </w:rPr>
        <w:tab/>
        <w:t>والأمراض الوظيفية هي العلل الحادة أو المزمنة التي تنتج مباشرة عن قيام شخص مؤمن عليه بممارسة مهنة أو أداء عمل، ويفضي ذلك إلى الإصابة بعجز.</w:t>
      </w:r>
    </w:p>
    <w:p w:rsidR="00000000" w:rsidRDefault="00567B15">
      <w:pPr>
        <w:spacing w:line="380" w:lineRule="exact"/>
        <w:jc w:val="both"/>
        <w:rPr>
          <w:rFonts w:hint="cs"/>
          <w:rtl/>
        </w:rPr>
      </w:pPr>
      <w:r>
        <w:rPr>
          <w:rFonts w:hint="cs"/>
          <w:rtl/>
        </w:rPr>
        <w:t>183-</w:t>
      </w:r>
      <w:r>
        <w:rPr>
          <w:rFonts w:hint="cs"/>
          <w:rtl/>
        </w:rPr>
        <w:tab/>
        <w:t>ونظام المؤسسة ملتزم بحماية صحة المؤن عليه بأن</w:t>
      </w:r>
      <w:r>
        <w:rPr>
          <w:rFonts w:hint="cs"/>
          <w:rtl/>
        </w:rPr>
        <w:t xml:space="preserve"> تقدم له الخدمات الطبية الضرورية وفي الوقت المناسب. وفي الحالات التي لا تستطيع وحدات الضمان الاجتماعي فيها توفير الرعاية لمرضاها، تسوى النفقات الطبية التي يتكبدها المؤمن عليه أو المستفيدون ومتلقو معاشات التقاعد للأرامل ممن يضطرون في حالات الطوارئ إلى اللجو</w:t>
      </w:r>
      <w:r>
        <w:rPr>
          <w:rFonts w:hint="cs"/>
          <w:rtl/>
        </w:rPr>
        <w:t>ء إلى الرعاية الطبية في وحدات غير تابعة للمؤسسة. وحالات الطوارئ هي الحالات التي تقع فيها حوادث مرضية مفاجئة و/أو خطيرة وحوادث تتطلب اهتماماً طبياً عاجلاً يمكن أن يتسبب عدم توافره في تعريض الأرواح للخطر أو في آثار ضارة بالسلامة الوظيفية أو العضوية للمؤمن عل</w:t>
      </w:r>
      <w:r>
        <w:rPr>
          <w:rFonts w:hint="cs"/>
          <w:rtl/>
        </w:rPr>
        <w:t>يه.</w:t>
      </w:r>
    </w:p>
    <w:p w:rsidR="00000000" w:rsidRDefault="00567B15">
      <w:pPr>
        <w:spacing w:line="380" w:lineRule="exact"/>
        <w:jc w:val="both"/>
        <w:rPr>
          <w:rFonts w:hint="cs"/>
          <w:rtl/>
        </w:rPr>
      </w:pPr>
      <w:r>
        <w:rPr>
          <w:rFonts w:hint="cs"/>
          <w:rtl/>
        </w:rPr>
        <w:t>184-</w:t>
      </w:r>
      <w:r>
        <w:rPr>
          <w:rFonts w:hint="cs"/>
          <w:rtl/>
        </w:rPr>
        <w:tab/>
        <w:t>والتقاعد يعني التقاعد الطوعي عن العمل، بعد أن يكون الشخص قد سدد اشتراكات الضمان الاجتماعي في الفترة المطلوبة، وبلغ العمر الذي يستحق فيه تلقي دخل نقدي شهري. ويوجد حالياً نظام للتقاعد لبلوغ السن وللعجز وللمعاشات الخاصة المخفضة وتنظم كل حالة مجموعة ق</w:t>
      </w:r>
      <w:r>
        <w:rPr>
          <w:rFonts w:hint="cs"/>
          <w:rtl/>
        </w:rPr>
        <w:t>واعد مختلفة تتعلق بمعدلات الدفع ومدد الاشتراكات وشروط العمر أو الاستحقاق.</w:t>
      </w:r>
    </w:p>
    <w:p w:rsidR="00000000" w:rsidRDefault="00567B15">
      <w:pPr>
        <w:spacing w:line="380" w:lineRule="exact"/>
        <w:jc w:val="both"/>
        <w:rPr>
          <w:rFonts w:hint="cs"/>
          <w:rtl/>
        </w:rPr>
      </w:pPr>
      <w:r>
        <w:rPr>
          <w:rFonts w:hint="cs"/>
          <w:rtl/>
        </w:rPr>
        <w:t>185-</w:t>
      </w:r>
      <w:r>
        <w:rPr>
          <w:rFonts w:hint="cs"/>
          <w:rtl/>
        </w:rPr>
        <w:tab/>
        <w:t>والتأمين ضد البطالة أحد أشكال التأمين الإلزامي المتبادل الذي يُدفع عند التوقف عن العمل. ويكون على هيئة تخصيص مبلغ معيّن من المال يتناسب مباشرة مع مدة الخدمة والاشتراكات التي دفع</w:t>
      </w:r>
      <w:r>
        <w:rPr>
          <w:rFonts w:hint="cs"/>
          <w:rtl/>
        </w:rPr>
        <w:t>ها المؤمن عليه.</w:t>
      </w:r>
    </w:p>
    <w:p w:rsidR="00000000" w:rsidRDefault="00567B15">
      <w:pPr>
        <w:spacing w:line="380" w:lineRule="exact"/>
        <w:jc w:val="both"/>
        <w:rPr>
          <w:rFonts w:hint="cs"/>
          <w:rtl/>
        </w:rPr>
      </w:pPr>
      <w:r>
        <w:rPr>
          <w:rFonts w:hint="cs"/>
          <w:rtl/>
        </w:rPr>
        <w:t>186-</w:t>
      </w:r>
      <w:r>
        <w:rPr>
          <w:rFonts w:hint="cs"/>
          <w:rtl/>
        </w:rPr>
        <w:tab/>
        <w:t>ويتألف التأمين للأحياء أو الأرامل أو اليتامى من دفعات معاشات شهرية لأقرب الأقربين للمؤمن عليه أو المتقاعد. وتدفع المعاشات اعتباراً من تاريخ وفاة المؤمن عليه.</w:t>
      </w:r>
    </w:p>
    <w:p w:rsidR="00000000" w:rsidRDefault="00567B15">
      <w:pPr>
        <w:spacing w:line="380" w:lineRule="exact"/>
        <w:jc w:val="both"/>
        <w:rPr>
          <w:rFonts w:hint="cs"/>
          <w:rtl/>
        </w:rPr>
      </w:pPr>
      <w:r>
        <w:rPr>
          <w:rFonts w:hint="cs"/>
          <w:rtl/>
        </w:rPr>
        <w:t>187-</w:t>
      </w:r>
      <w:r>
        <w:rPr>
          <w:rFonts w:hint="cs"/>
          <w:rtl/>
        </w:rPr>
        <w:tab/>
        <w:t>أما عن مصاريف الجنازة فنظام المؤسسة يدفع مبلغاً من المال إلى أقرب المقرب</w:t>
      </w:r>
      <w:r>
        <w:rPr>
          <w:rFonts w:hint="cs"/>
          <w:rtl/>
        </w:rPr>
        <w:t>ين للمتقاعد أو المتوفى، ومن ثم يكمل تأمين الأرامل واليتامى بمبلغ مماثل لمبلغ التأمين على الحياة.</w:t>
      </w:r>
    </w:p>
    <w:p w:rsidR="00000000" w:rsidRDefault="00567B15">
      <w:pPr>
        <w:spacing w:line="380" w:lineRule="exact"/>
        <w:jc w:val="both"/>
        <w:rPr>
          <w:rFonts w:hint="cs"/>
          <w:i/>
          <w:iCs/>
          <w:rtl/>
        </w:rPr>
      </w:pPr>
      <w:r>
        <w:rPr>
          <w:rFonts w:hint="cs"/>
          <w:i/>
          <w:iCs/>
          <w:rtl/>
        </w:rPr>
        <w:t>إدارة الضمان الاجتماعي</w:t>
      </w:r>
    </w:p>
    <w:p w:rsidR="00000000" w:rsidRDefault="00567B15">
      <w:pPr>
        <w:spacing w:line="380" w:lineRule="exact"/>
        <w:jc w:val="both"/>
        <w:rPr>
          <w:rFonts w:hint="cs"/>
          <w:rtl/>
        </w:rPr>
      </w:pPr>
      <w:r>
        <w:rPr>
          <w:rFonts w:hint="cs"/>
          <w:rtl/>
        </w:rPr>
        <w:t>188-</w:t>
      </w:r>
      <w:r>
        <w:rPr>
          <w:rFonts w:hint="cs"/>
          <w:rtl/>
        </w:rPr>
        <w:tab/>
        <w:t>تنص المادة 58 من الدستور على ما يلي "تقع مسؤولية توفير التأمين الإلزامي العام على عاتق المؤسسة الإكوادورية للضمان الاجتماعي، وهي هي</w:t>
      </w:r>
      <w:r>
        <w:rPr>
          <w:rFonts w:hint="cs"/>
          <w:rtl/>
        </w:rPr>
        <w:t>ئة مستقلة ترأسها إدارة تنظيمية متخصصة تتألف من عدد متساوٍ من ممثلي ثلاث جهات - هي المؤمن عليهم، وأصحاب العمل، والدولة - يعينون وفقاً للقانون. ويخضع تنظيم وإدارة المؤسسة لمعايير الكفاءة واللامركزية والتنوع، ويتعين أن تقدم خدماتها في الوقت المناسب وبقدر كافٍ</w:t>
      </w:r>
      <w:r>
        <w:rPr>
          <w:rFonts w:hint="cs"/>
          <w:rtl/>
        </w:rPr>
        <w:t xml:space="preserve"> وجودة عالية. ويجوز للمؤسسة أن تنشئ وتشجع على تكوين مؤسسات لإدارة الموارد بغية تعزيز نظام الضمان الاجتماعي، وتحسين الرعاية الصحية لأعضائها وأسرهم. ويجوز أن تنشأ في القوات المسلحة والشرطة وحدات للضمان الاجتماعي".</w:t>
      </w:r>
    </w:p>
    <w:p w:rsidR="00000000" w:rsidRDefault="00567B15">
      <w:pPr>
        <w:spacing w:line="380" w:lineRule="exact"/>
        <w:jc w:val="both"/>
        <w:rPr>
          <w:rFonts w:hint="cs"/>
          <w:rtl/>
        </w:rPr>
      </w:pPr>
      <w:r>
        <w:rPr>
          <w:rFonts w:hint="cs"/>
          <w:rtl/>
        </w:rPr>
        <w:t>189-</w:t>
      </w:r>
      <w:r>
        <w:rPr>
          <w:rFonts w:hint="cs"/>
          <w:rtl/>
        </w:rPr>
        <w:tab/>
        <w:t>وثمة أشكال من التأمين الخاص للتقاعد وال</w:t>
      </w:r>
      <w:r>
        <w:rPr>
          <w:rFonts w:hint="cs"/>
          <w:rtl/>
        </w:rPr>
        <w:t>بطالة يمكن أن يختارها العمال إلى جانب نظام التقاعد الإلزامي. وتحدد هذه الترتيبات، وهي شديدة الخصوصية، شكل وشروط هذا النوع من التأمين.</w:t>
      </w:r>
    </w:p>
    <w:p w:rsidR="00000000" w:rsidRDefault="00567B15">
      <w:pPr>
        <w:spacing w:line="380" w:lineRule="exact"/>
        <w:jc w:val="both"/>
        <w:rPr>
          <w:rFonts w:hint="cs"/>
          <w:rtl/>
        </w:rPr>
      </w:pPr>
      <w:r>
        <w:rPr>
          <w:rFonts w:hint="cs"/>
          <w:rtl/>
        </w:rPr>
        <w:t>190-</w:t>
      </w:r>
      <w:r>
        <w:rPr>
          <w:rFonts w:hint="cs"/>
          <w:rtl/>
        </w:rPr>
        <w:tab/>
        <w:t>وقد تمكنت بعض المؤسسات، وهي عموماً مؤسسات عامة، من وضع نظم إضافية للتقاعد بناء على اتفاقات توصلت إليها مع عمالها. ويم</w:t>
      </w:r>
      <w:r>
        <w:rPr>
          <w:rFonts w:hint="cs"/>
          <w:rtl/>
        </w:rPr>
        <w:t>ول هذا النوع من النظم من اشتراكات الأطراف المعنية.</w:t>
      </w:r>
    </w:p>
    <w:p w:rsidR="00000000" w:rsidRDefault="00567B15">
      <w:pPr>
        <w:spacing w:line="380" w:lineRule="exact"/>
        <w:jc w:val="both"/>
        <w:rPr>
          <w:rFonts w:hint="cs"/>
          <w:b/>
          <w:bCs/>
          <w:rtl/>
        </w:rPr>
      </w:pPr>
      <w:r>
        <w:rPr>
          <w:rFonts w:hint="cs"/>
          <w:b/>
          <w:bCs/>
          <w:rtl/>
        </w:rPr>
        <w:t>إصلاح الضمان الاجتماعي</w:t>
      </w:r>
    </w:p>
    <w:p w:rsidR="00000000" w:rsidRDefault="00567B15">
      <w:pPr>
        <w:spacing w:line="380" w:lineRule="exact"/>
        <w:jc w:val="both"/>
        <w:rPr>
          <w:rFonts w:hint="cs"/>
          <w:rtl/>
        </w:rPr>
      </w:pPr>
      <w:r>
        <w:rPr>
          <w:rFonts w:hint="cs"/>
          <w:rtl/>
        </w:rPr>
        <w:t>191-</w:t>
      </w:r>
      <w:r>
        <w:rPr>
          <w:rFonts w:hint="cs"/>
          <w:rtl/>
        </w:rPr>
        <w:tab/>
        <w:t>أرسلت اللجنة الحكومية المسؤولة عن استهلال عملية إصلاح لنظام المؤسسة الإكوادورية مشروع قرار إلى الكونغرس في كانون الأول/ديسمبر 1998 يتضمن تعديلات على قانون الضمان الاجتماعي الإلز</w:t>
      </w:r>
      <w:r>
        <w:rPr>
          <w:rFonts w:hint="cs"/>
          <w:rtl/>
        </w:rPr>
        <w:t>امي. ويستند التعديل المقترح إلى المبادئ الواردة في الدستور النافذ منذ 10 آب/أغسطس 1998.</w:t>
      </w:r>
    </w:p>
    <w:p w:rsidR="00000000" w:rsidRDefault="00567B15">
      <w:pPr>
        <w:spacing w:line="380" w:lineRule="exact"/>
        <w:jc w:val="both"/>
        <w:rPr>
          <w:rFonts w:hint="cs"/>
          <w:rtl/>
        </w:rPr>
      </w:pPr>
      <w:r>
        <w:rPr>
          <w:rFonts w:hint="cs"/>
          <w:rtl/>
        </w:rPr>
        <w:t>192-</w:t>
      </w:r>
      <w:r>
        <w:rPr>
          <w:rFonts w:hint="cs"/>
          <w:rtl/>
        </w:rPr>
        <w:tab/>
        <w:t>ويشمل الإصلاح المقترح مبدأين أساسيين هما:</w:t>
      </w:r>
    </w:p>
    <w:p w:rsidR="00000000" w:rsidRDefault="00567B15">
      <w:pPr>
        <w:spacing w:before="180" w:after="180" w:line="380" w:lineRule="exact"/>
        <w:jc w:val="both"/>
        <w:rPr>
          <w:rFonts w:hint="cs"/>
          <w:rtl/>
        </w:rPr>
      </w:pPr>
      <w:r>
        <w:rPr>
          <w:rFonts w:hint="cs"/>
          <w:rtl/>
        </w:rPr>
        <w:tab/>
        <w:t>(أ)</w:t>
      </w:r>
      <w:r>
        <w:rPr>
          <w:rFonts w:hint="cs"/>
          <w:rtl/>
        </w:rPr>
        <w:tab/>
        <w:t>المساعدة المتبادلة: وهي تتم وفقاً لمبادئ نظام مدفوعات يقدم معاشاً أساسياً لجميع أعضائه وتديره المؤسسة الإكوادورية بع</w:t>
      </w:r>
      <w:r>
        <w:rPr>
          <w:rFonts w:hint="cs"/>
          <w:rtl/>
        </w:rPr>
        <w:t>د إصلاحها؛</w:t>
      </w:r>
    </w:p>
    <w:p w:rsidR="00000000" w:rsidRDefault="00567B15">
      <w:pPr>
        <w:spacing w:before="180" w:after="180" w:line="380" w:lineRule="exact"/>
        <w:jc w:val="both"/>
        <w:rPr>
          <w:rFonts w:hint="cs"/>
          <w:rtl/>
        </w:rPr>
      </w:pPr>
      <w:r>
        <w:rPr>
          <w:rFonts w:hint="cs"/>
          <w:rtl/>
        </w:rPr>
        <w:tab/>
        <w:t>(ب)</w:t>
      </w:r>
      <w:r>
        <w:rPr>
          <w:rFonts w:hint="cs"/>
          <w:rtl/>
        </w:rPr>
        <w:tab/>
        <w:t>رسملة الحسابات الفردية التي تقع مسؤولية إدارتها على عاتق المؤسسات المتخصصة، ووكالات صناديق توفير المتقاعدين التي تكون خاصة وتفتح الباب لإمكانية أن تقيم المؤسسة وكالة خاصة بها.</w:t>
      </w:r>
    </w:p>
    <w:p w:rsidR="00000000" w:rsidRDefault="00567B15">
      <w:pPr>
        <w:spacing w:line="380" w:lineRule="exact"/>
        <w:jc w:val="both"/>
        <w:rPr>
          <w:rFonts w:hint="cs"/>
          <w:rtl/>
        </w:rPr>
      </w:pPr>
      <w:r>
        <w:rPr>
          <w:rFonts w:hint="cs"/>
          <w:rtl/>
        </w:rPr>
        <w:t>193-</w:t>
      </w:r>
      <w:r>
        <w:rPr>
          <w:rFonts w:hint="cs"/>
          <w:rtl/>
        </w:rPr>
        <w:tab/>
        <w:t>ويشمل تعريف الاشتراكات أجر العضو، الذي يمكن أن يشمل بصورة م</w:t>
      </w:r>
      <w:r>
        <w:rPr>
          <w:rFonts w:hint="cs"/>
          <w:rtl/>
        </w:rPr>
        <w:t>باشرة أجري الشهرين الخامس عشر والسادس عشر والتعويض المتدرج لتكاليف المعيشة.</w:t>
      </w:r>
    </w:p>
    <w:p w:rsidR="00000000" w:rsidRDefault="00567B15">
      <w:pPr>
        <w:spacing w:line="380" w:lineRule="exact"/>
        <w:jc w:val="both"/>
        <w:rPr>
          <w:rFonts w:hint="cs"/>
          <w:rtl/>
        </w:rPr>
      </w:pPr>
      <w:r>
        <w:rPr>
          <w:rFonts w:hint="cs"/>
          <w:rtl/>
        </w:rPr>
        <w:t>194-</w:t>
      </w:r>
      <w:r>
        <w:rPr>
          <w:rFonts w:hint="cs"/>
          <w:rtl/>
        </w:rPr>
        <w:tab/>
        <w:t>ويشير مشروع القانون إلى إعادة النظر في نظام المعاشات ويدعو إلى وضع نظام مختلط من حيث الإدارة والتمويل والمزايا التي تعود على المشتركين فيه.</w:t>
      </w:r>
    </w:p>
    <w:p w:rsidR="00000000" w:rsidRDefault="00567B15">
      <w:pPr>
        <w:spacing w:line="380" w:lineRule="exact"/>
        <w:jc w:val="both"/>
        <w:rPr>
          <w:rFonts w:hint="cs"/>
          <w:rtl/>
        </w:rPr>
      </w:pPr>
      <w:r>
        <w:rPr>
          <w:rFonts w:hint="cs"/>
          <w:rtl/>
        </w:rPr>
        <w:t>195-</w:t>
      </w:r>
      <w:r>
        <w:rPr>
          <w:rFonts w:hint="cs"/>
          <w:rtl/>
        </w:rPr>
        <w:tab/>
        <w:t>وهو يجمع بين نوعين من المعاشات</w:t>
      </w:r>
      <w:r>
        <w:rPr>
          <w:rFonts w:hint="cs"/>
          <w:rtl/>
        </w:rPr>
        <w:t>: "نظام التضامن بين الأجيال" و"التوفير الإلزامي للأفراد":</w:t>
      </w:r>
    </w:p>
    <w:p w:rsidR="00000000" w:rsidRDefault="00567B15">
      <w:pPr>
        <w:spacing w:before="180" w:after="180" w:line="380" w:lineRule="exact"/>
        <w:jc w:val="both"/>
        <w:rPr>
          <w:rFonts w:hint="cs"/>
          <w:rtl/>
        </w:rPr>
      </w:pPr>
      <w:r>
        <w:rPr>
          <w:rFonts w:hint="cs"/>
          <w:rtl/>
        </w:rPr>
        <w:tab/>
        <w:t>(أ)</w:t>
      </w:r>
      <w:r>
        <w:rPr>
          <w:rFonts w:hint="cs"/>
          <w:rtl/>
        </w:rPr>
        <w:tab/>
        <w:t>نظام المعاشات القائم على التضامن في المزايا بين الأجيال، ويُمول من: اشتراكات الأعضاء العاملين؛ واشتراكات أصحاب العمل؛ والمساعدة المالية الحكومية؛</w:t>
      </w:r>
    </w:p>
    <w:p w:rsidR="00000000" w:rsidRDefault="00567B15">
      <w:pPr>
        <w:spacing w:before="180" w:after="180" w:line="380" w:lineRule="exact"/>
        <w:jc w:val="both"/>
        <w:rPr>
          <w:rFonts w:hint="cs"/>
          <w:rtl/>
        </w:rPr>
      </w:pPr>
      <w:r>
        <w:rPr>
          <w:rFonts w:hint="cs"/>
          <w:rtl/>
        </w:rPr>
        <w:tab/>
        <w:t>(ب)</w:t>
      </w:r>
      <w:r>
        <w:rPr>
          <w:rFonts w:hint="cs"/>
          <w:rtl/>
        </w:rPr>
        <w:tab/>
        <w:t xml:space="preserve">نظام المعاشات القائم على التوفير الإلزامي </w:t>
      </w:r>
      <w:r>
        <w:rPr>
          <w:rFonts w:hint="cs"/>
          <w:rtl/>
        </w:rPr>
        <w:t>للأفراد؛ وتمول المزايا من: اشتراكات العمال العاملين في "حساب شخصي" في حياتهم العملية أو الإيداعات الطوعية من الأعضاء.</w:t>
      </w:r>
    </w:p>
    <w:p w:rsidR="00000000" w:rsidRDefault="00567B15">
      <w:pPr>
        <w:spacing w:line="380" w:lineRule="exact"/>
        <w:jc w:val="both"/>
        <w:rPr>
          <w:rFonts w:hint="cs"/>
          <w:rtl/>
        </w:rPr>
      </w:pPr>
      <w:r>
        <w:rPr>
          <w:rFonts w:hint="cs"/>
          <w:rtl/>
        </w:rPr>
        <w:t>196-</w:t>
      </w:r>
      <w:r>
        <w:rPr>
          <w:rFonts w:hint="cs"/>
          <w:rtl/>
        </w:rPr>
        <w:tab/>
        <w:t>أما أنواع نظم المعاشات فهي كما يلي:</w:t>
      </w:r>
    </w:p>
    <w:p w:rsidR="00000000" w:rsidRDefault="00567B15">
      <w:pPr>
        <w:spacing w:before="180" w:after="180" w:line="380" w:lineRule="exact"/>
        <w:jc w:val="both"/>
        <w:rPr>
          <w:rFonts w:hint="cs"/>
          <w:rtl/>
        </w:rPr>
      </w:pPr>
      <w:r>
        <w:rPr>
          <w:rFonts w:hint="cs"/>
          <w:rtl/>
        </w:rPr>
        <w:tab/>
        <w:t>(أ)</w:t>
      </w:r>
      <w:r>
        <w:rPr>
          <w:rFonts w:hint="cs"/>
          <w:rtl/>
        </w:rPr>
        <w:tab/>
        <w:t>نظام معاشات التقاعد العادي، الذي يطبق اعتباراً من عام 2000 لدى اعتماده قانون، ببلوغ العضو 60</w:t>
      </w:r>
      <w:r>
        <w:rPr>
          <w:rFonts w:hint="cs"/>
          <w:rtl/>
        </w:rPr>
        <w:t xml:space="preserve"> عاماً من العمر على أن يكون قد سدد اشتراكاته لمدة 30 عاماً، أو دون حد للسن على أن يكون قد سدد اشتراكاته لمدة 40 عاماً على الأقل؛</w:t>
      </w:r>
    </w:p>
    <w:p w:rsidR="00000000" w:rsidRDefault="00567B15">
      <w:pPr>
        <w:spacing w:before="180" w:after="180" w:line="380" w:lineRule="exact"/>
        <w:jc w:val="both"/>
        <w:rPr>
          <w:rFonts w:hint="cs"/>
          <w:rtl/>
        </w:rPr>
      </w:pPr>
      <w:r>
        <w:rPr>
          <w:rFonts w:hint="cs"/>
          <w:rtl/>
        </w:rPr>
        <w:tab/>
        <w:t>(ب)</w:t>
      </w:r>
      <w:r>
        <w:rPr>
          <w:rFonts w:hint="cs"/>
          <w:rtl/>
        </w:rPr>
        <w:tab/>
        <w:t>نظام معاشات التقاعد للعجز، الذي تمنح بمقتضاه معاشات في حالة العجز الكلي أو الدائم؛</w:t>
      </w:r>
    </w:p>
    <w:p w:rsidR="00000000" w:rsidRDefault="00567B15">
      <w:pPr>
        <w:spacing w:before="180" w:after="180" w:line="380" w:lineRule="exact"/>
        <w:jc w:val="both"/>
        <w:rPr>
          <w:rFonts w:hint="cs"/>
          <w:rtl/>
        </w:rPr>
      </w:pPr>
      <w:r>
        <w:rPr>
          <w:rFonts w:hint="cs"/>
          <w:rtl/>
        </w:rPr>
        <w:tab/>
        <w:t>(ج)</w:t>
      </w:r>
      <w:r>
        <w:rPr>
          <w:rFonts w:hint="cs"/>
          <w:rtl/>
        </w:rPr>
        <w:tab/>
        <w:t>نظام معاشات التقاعد لكبر السن، وبم</w:t>
      </w:r>
      <w:r>
        <w:rPr>
          <w:rFonts w:hint="cs"/>
          <w:rtl/>
        </w:rPr>
        <w:t>وجبه يستطيع العضو أن يتقاعد في سن 75 عاماً إذا كان قد اشترك فيه لمدة 15 عاماً على الأقل. كذلك يمكن للعضو أن يتقاعد في سن 65 عاماً إذا كان قد سدد اشتراكاته عن 20 عاماً شريطة تقديم ما يثبت أنه ظل عاطلاً عن العمل لمدة 180 يوماً متعاقبة.</w:t>
      </w:r>
    </w:p>
    <w:p w:rsidR="00000000" w:rsidRDefault="00567B15">
      <w:pPr>
        <w:spacing w:line="380" w:lineRule="exact"/>
        <w:jc w:val="both"/>
        <w:rPr>
          <w:rFonts w:hint="cs"/>
          <w:rtl/>
        </w:rPr>
      </w:pPr>
      <w:r>
        <w:rPr>
          <w:rFonts w:hint="cs"/>
          <w:rtl/>
        </w:rPr>
        <w:t>197-</w:t>
      </w:r>
      <w:r>
        <w:rPr>
          <w:rFonts w:hint="cs"/>
          <w:rtl/>
        </w:rPr>
        <w:tab/>
        <w:t>أما عن الصحة ف‍ "</w:t>
      </w:r>
      <w:r>
        <w:rPr>
          <w:rFonts w:hint="cs"/>
          <w:rtl/>
        </w:rPr>
        <w:t>امتثالاً لمبادئ نظام الضمان الاجتماعي المنشأ بموجب الدستور، تقدم الخدمات الصحية تغطية كاملة وتكون أيضاً متساوية للأعضاء وأقربائهم أو المستفيدين الآخرين عقب الانضمام إلى النظام. ولذا فالغرض من التأمين الصحي العام الفردي والأسري يكون تقديم مزايا اجتماعية على</w:t>
      </w:r>
      <w:r>
        <w:rPr>
          <w:rFonts w:hint="cs"/>
          <w:rtl/>
        </w:rPr>
        <w:t xml:space="preserve"> أساس المساعدة المتبادلة والعدل، بما يكفل التوزان في تدفق الأموال، وكذلك كفالة ألا تنشأ خسائر، كما كان الأمر فيما مضى".</w:t>
      </w:r>
    </w:p>
    <w:p w:rsidR="00000000" w:rsidRDefault="00567B15">
      <w:pPr>
        <w:spacing w:line="380" w:lineRule="exact"/>
        <w:jc w:val="both"/>
        <w:rPr>
          <w:rFonts w:hint="cs"/>
          <w:rtl/>
        </w:rPr>
      </w:pPr>
      <w:r>
        <w:rPr>
          <w:rFonts w:hint="cs"/>
          <w:rtl/>
        </w:rPr>
        <w:t>198-</w:t>
      </w:r>
      <w:r>
        <w:rPr>
          <w:rFonts w:hint="cs"/>
          <w:rtl/>
        </w:rPr>
        <w:tab/>
        <w:t>ووفقاً للمقترح فإن برنامج المزايا الصحية سيكون هو الذي يقدمه نظام المؤسسة: الوقاية والمساعدة الطبية العلاجية ومساعدات الأمومة، ومعا</w:t>
      </w:r>
      <w:r>
        <w:rPr>
          <w:rFonts w:hint="cs"/>
          <w:rtl/>
        </w:rPr>
        <w:t>لجة أمراض الشيخوخة المزمنة والعلاج الوقائي للأسنان؛ ويتحدد الشكل في بروتوكولات يعتمدها مدير التأمين.</w:t>
      </w:r>
    </w:p>
    <w:p w:rsidR="00000000" w:rsidRDefault="00567B15">
      <w:pPr>
        <w:spacing w:line="380" w:lineRule="exact"/>
        <w:jc w:val="both"/>
        <w:rPr>
          <w:rFonts w:hint="cs"/>
          <w:rtl/>
        </w:rPr>
      </w:pPr>
      <w:r>
        <w:rPr>
          <w:rFonts w:hint="cs"/>
          <w:rtl/>
        </w:rPr>
        <w:t>199-</w:t>
      </w:r>
      <w:r>
        <w:rPr>
          <w:rFonts w:hint="cs"/>
          <w:rtl/>
        </w:rPr>
        <w:tab/>
        <w:t xml:space="preserve">ويأتي التعبير عن مبدأ التضامن من أن جميع المعرضين من الأعضاء لخطر المرض يشتركون من أجل تغطية المنافع لمن يصابون بالمرض فعلاً. والشروط الأساسية لتشغيل </w:t>
      </w:r>
      <w:r>
        <w:rPr>
          <w:rFonts w:hint="cs"/>
          <w:rtl/>
        </w:rPr>
        <w:t xml:space="preserve">هذا النموذج الإداري الجديد للتأمين الصحي العام هي فصل وظائف التأمين عن شراء الخدمات أو توزيعها. وثمة تعريف واضح لفصل الوظائف يتيح التخصص في مختلف نواحي النظام الصحي ونظام المؤسسة نفسه، ويجعل من بلوغ الأهداف أو النتائج المتوقعة من النظام الصحي الحديث أمراً </w:t>
      </w:r>
      <w:r>
        <w:rPr>
          <w:rFonts w:hint="cs"/>
          <w:rtl/>
        </w:rPr>
        <w:t>ممكناً.</w:t>
      </w:r>
    </w:p>
    <w:p w:rsidR="00000000" w:rsidRDefault="00567B15">
      <w:pPr>
        <w:spacing w:line="380" w:lineRule="exact"/>
        <w:jc w:val="both"/>
        <w:rPr>
          <w:rFonts w:hint="cs"/>
          <w:rtl/>
        </w:rPr>
      </w:pPr>
      <w:r>
        <w:rPr>
          <w:rFonts w:hint="cs"/>
          <w:rtl/>
        </w:rPr>
        <w:t>200-</w:t>
      </w:r>
      <w:r>
        <w:rPr>
          <w:rFonts w:hint="cs"/>
          <w:rtl/>
        </w:rPr>
        <w:tab/>
        <w:t>وسيظل الضمان الاجتماعي الريفي، وهو نظام تابع قائم على التضامن، يعمل على أسس جماعية ومعه نظام اعتمادات تمويل بدعم ضريبي، يقدم مزايا مماثلة لما يحصل عليه المشتركون الآخرون في التأمين العام الإلزامي والاشتراكات الفردية من أعضائه. والمستفيدون من ه</w:t>
      </w:r>
      <w:r>
        <w:rPr>
          <w:rFonts w:hint="cs"/>
          <w:rtl/>
        </w:rPr>
        <w:t>ذا التأمين الآن يصل عددهم إلى 896 996 مشتركاً.</w:t>
      </w:r>
    </w:p>
    <w:p w:rsidR="00000000" w:rsidRDefault="00567B15">
      <w:pPr>
        <w:spacing w:line="380" w:lineRule="exact"/>
        <w:jc w:val="both"/>
        <w:rPr>
          <w:rFonts w:hint="cs"/>
          <w:spacing w:val="0"/>
          <w:rtl/>
        </w:rPr>
      </w:pPr>
      <w:r>
        <w:rPr>
          <w:rFonts w:hint="cs"/>
          <w:spacing w:val="0"/>
          <w:rtl/>
        </w:rPr>
        <w:t>201-</w:t>
      </w:r>
      <w:r>
        <w:rPr>
          <w:rFonts w:hint="cs"/>
          <w:spacing w:val="0"/>
          <w:rtl/>
        </w:rPr>
        <w:tab/>
        <w:t xml:space="preserve">ووفقاً للمادة 6 من القانون رقم 81، يمول الضمان الاجتماعي الريفي من نسبة 1 في المائة من الحد الأدنى النافـذ للأجور، وتفاصيله كما يلي: 0.30 في المائة تغطيها الدولة، و0.35 في المائة من أصحاب العمل، و0.35 في </w:t>
      </w:r>
      <w:r>
        <w:rPr>
          <w:rFonts w:hint="cs"/>
          <w:spacing w:val="0"/>
          <w:rtl/>
        </w:rPr>
        <w:t>المائة من العامل المشترك في نظام المؤسسة، بالإضافة إلى 1 في المائة من الحد الأدنى للأجر من أرباب الأسر.</w:t>
      </w:r>
    </w:p>
    <w:p w:rsidR="00000000" w:rsidRDefault="00567B15">
      <w:pPr>
        <w:spacing w:line="380" w:lineRule="exact"/>
        <w:jc w:val="both"/>
        <w:rPr>
          <w:rFonts w:hint="cs"/>
          <w:rtl/>
        </w:rPr>
      </w:pPr>
      <w:r>
        <w:rPr>
          <w:rFonts w:hint="cs"/>
          <w:rtl/>
        </w:rPr>
        <w:t>202-</w:t>
      </w:r>
      <w:r>
        <w:rPr>
          <w:rFonts w:hint="cs"/>
          <w:rtl/>
        </w:rPr>
        <w:tab/>
        <w:t>وهذا النظام الخاص يحمي جميع أفراد الأسر المنتمين إلى جماعات أو تعاونيات أو رابطات أو لجان أو أي شكل مماثل آخر من أشكال التنظيمات الريفية الشعبية، و</w:t>
      </w:r>
      <w:r>
        <w:rPr>
          <w:rFonts w:hint="cs"/>
          <w:rtl/>
        </w:rPr>
        <w:t>أي أسر لا تنتمي إلى أي شكل من التنظيمات الشعبية ولكنها ترغب في الانضمام إلى نظام الضمان الاجتماعي الريفي. كذلك تقبل العضوية الطوعية.</w:t>
      </w:r>
    </w:p>
    <w:p w:rsidR="00000000" w:rsidRDefault="00567B15">
      <w:pPr>
        <w:spacing w:line="380" w:lineRule="exact"/>
        <w:jc w:val="both"/>
        <w:rPr>
          <w:rFonts w:hint="cs"/>
          <w:rtl/>
        </w:rPr>
      </w:pPr>
      <w:r>
        <w:rPr>
          <w:rFonts w:hint="cs"/>
          <w:rtl/>
        </w:rPr>
        <w:t>203-</w:t>
      </w:r>
      <w:r>
        <w:rPr>
          <w:rFonts w:hint="cs"/>
          <w:rtl/>
        </w:rPr>
        <w:tab/>
        <w:t>ويقدم نظام الضمان الاجتماعي الريفي المزايا التالية لكل الأسر المشتركة فيه:</w:t>
      </w:r>
    </w:p>
    <w:p w:rsidR="00000000" w:rsidRDefault="00567B15">
      <w:pPr>
        <w:spacing w:before="180" w:after="180" w:line="380" w:lineRule="exact"/>
        <w:jc w:val="both"/>
        <w:rPr>
          <w:rFonts w:hint="cs"/>
          <w:rtl/>
        </w:rPr>
      </w:pPr>
      <w:r>
        <w:rPr>
          <w:rFonts w:hint="cs"/>
          <w:rtl/>
        </w:rPr>
        <w:tab/>
        <w:t>(أ)</w:t>
      </w:r>
      <w:r>
        <w:rPr>
          <w:rFonts w:hint="cs"/>
          <w:rtl/>
        </w:rPr>
        <w:tab/>
        <w:t>في حالات المرض:</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الرعاية الطبية وال</w:t>
      </w:r>
      <w:r>
        <w:rPr>
          <w:rFonts w:hint="cs"/>
          <w:rtl/>
        </w:rPr>
        <w:t>أدوية؛</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الجراحة؛</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الإقامة في المستشفى؛</w:t>
      </w:r>
    </w:p>
    <w:p w:rsidR="00000000" w:rsidRDefault="00567B15">
      <w:pPr>
        <w:spacing w:before="180" w:after="180" w:line="380" w:lineRule="exact"/>
        <w:jc w:val="both"/>
        <w:rPr>
          <w:rFonts w:hint="cs"/>
          <w:rtl/>
        </w:rPr>
      </w:pPr>
      <w:r>
        <w:rPr>
          <w:rFonts w:hint="cs"/>
          <w:rtl/>
        </w:rPr>
        <w:tab/>
        <w:t>(ب)</w:t>
      </w:r>
      <w:r>
        <w:rPr>
          <w:rFonts w:hint="cs"/>
          <w:rtl/>
        </w:rPr>
        <w:tab/>
        <w:t>في حالات الأمومة:</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المساعدة في التوليد، ويشمل ذلك الرعاية السابقة للولادة وأثناءها وبعدها؛</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الرعاية الطبية لأبناء المشترك خلال السنة الأولى من عمرهم؛</w:t>
      </w:r>
    </w:p>
    <w:p w:rsidR="00000000" w:rsidRDefault="00567B15">
      <w:pPr>
        <w:spacing w:before="180" w:after="180" w:line="380" w:lineRule="exact"/>
        <w:jc w:val="both"/>
        <w:rPr>
          <w:rFonts w:hint="cs"/>
          <w:rtl/>
        </w:rPr>
      </w:pPr>
      <w:r>
        <w:rPr>
          <w:rFonts w:hint="cs"/>
          <w:rtl/>
        </w:rPr>
        <w:tab/>
        <w:t>(ج)</w:t>
      </w:r>
      <w:r>
        <w:rPr>
          <w:rFonts w:hint="cs"/>
          <w:rtl/>
        </w:rPr>
        <w:tab/>
        <w:t>في رعاية الأسنان:</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فحص الفم؛</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الرعاية ا</w:t>
      </w:r>
      <w:r>
        <w:rPr>
          <w:rFonts w:hint="cs"/>
          <w:rtl/>
        </w:rPr>
        <w:t>لوقائية؛</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خلع الأسنان؛</w:t>
      </w:r>
    </w:p>
    <w:p w:rsidR="00000000" w:rsidRDefault="00567B15">
      <w:pPr>
        <w:spacing w:before="180" w:after="180" w:line="380" w:lineRule="exact"/>
        <w:jc w:val="both"/>
        <w:rPr>
          <w:rFonts w:hint="cs"/>
          <w:rtl/>
        </w:rPr>
      </w:pPr>
      <w:r>
        <w:rPr>
          <w:rFonts w:hint="cs"/>
          <w:rtl/>
        </w:rPr>
        <w:tab/>
      </w:r>
      <w:r>
        <w:rPr>
          <w:rFonts w:hint="cs"/>
          <w:rtl/>
        </w:rPr>
        <w:tab/>
        <w:t>-</w:t>
      </w:r>
      <w:r>
        <w:rPr>
          <w:rFonts w:hint="cs"/>
          <w:rtl/>
        </w:rPr>
        <w:tab/>
        <w:t>عمليات الأسنان.</w:t>
      </w:r>
    </w:p>
    <w:p w:rsidR="00000000" w:rsidRDefault="00567B15">
      <w:pPr>
        <w:spacing w:line="380" w:lineRule="exact"/>
        <w:jc w:val="both"/>
        <w:rPr>
          <w:rFonts w:hint="cs"/>
          <w:rtl/>
        </w:rPr>
      </w:pPr>
      <w:r>
        <w:rPr>
          <w:rFonts w:hint="cs"/>
          <w:rtl/>
        </w:rPr>
        <w:t>204-</w:t>
      </w:r>
      <w:r>
        <w:rPr>
          <w:rFonts w:hint="cs"/>
          <w:rtl/>
        </w:rPr>
        <w:tab/>
        <w:t xml:space="preserve">العضوية: يمكن أن يشترك في نظام الضمان الاجتماعي الريفي أي شخص يعيش ويعمل في منطقة ريفية، يعرب عن رغبته في الانضمام ويكون غير قادر قانوناً على الانضمام لأي نظام تأمين آخر، أو يكون قد أصبح صاحب عمل على أساس </w:t>
      </w:r>
      <w:r>
        <w:rPr>
          <w:rFonts w:hint="cs"/>
          <w:rtl/>
        </w:rPr>
        <w:t>دائم.</w:t>
      </w:r>
    </w:p>
    <w:p w:rsidR="00000000" w:rsidRDefault="00567B15">
      <w:pPr>
        <w:spacing w:line="380" w:lineRule="exact"/>
        <w:jc w:val="both"/>
        <w:rPr>
          <w:rFonts w:hint="cs"/>
          <w:rtl/>
        </w:rPr>
      </w:pPr>
      <w:r>
        <w:rPr>
          <w:rFonts w:hint="cs"/>
          <w:rtl/>
        </w:rPr>
        <w:t>205-</w:t>
      </w:r>
      <w:r>
        <w:rPr>
          <w:rFonts w:hint="cs"/>
          <w:rtl/>
        </w:rPr>
        <w:tab/>
        <w:t>وبموجب قانون الشعبة الإدارية والسياسية، فالمناطق الريفية هي المناطق الواقعة خارج نطاق البلدة الرئيسية والمراكز الدينية. وهذه المناطق تصبح مشمولة عندما يشكل قطاع الإنتاج الأولي، النشاط الأساسي لأغلبية السكان.</w:t>
      </w:r>
    </w:p>
    <w:p w:rsidR="00000000" w:rsidRDefault="00567B15">
      <w:pPr>
        <w:spacing w:line="380" w:lineRule="exact"/>
        <w:jc w:val="both"/>
        <w:rPr>
          <w:rFonts w:hint="cs"/>
          <w:rtl/>
        </w:rPr>
      </w:pPr>
      <w:r>
        <w:rPr>
          <w:rFonts w:hint="cs"/>
          <w:rtl/>
        </w:rPr>
        <w:t>206-</w:t>
      </w:r>
      <w:r>
        <w:rPr>
          <w:rFonts w:hint="cs"/>
          <w:rtl/>
        </w:rPr>
        <w:tab/>
        <w:t>والأسرة الريفية هي مجموعة الأشخا</w:t>
      </w:r>
      <w:r>
        <w:rPr>
          <w:rFonts w:hint="cs"/>
          <w:rtl/>
        </w:rPr>
        <w:t>ص المرتبطين بصلة الدم أو القرابة، والأشخاص الآخرين الذين، وإن لم يكونوا أقارب، يعتبرون كذلك ويتشاطرون السلطة الأسرية ودخلها.</w:t>
      </w:r>
    </w:p>
    <w:p w:rsidR="00000000" w:rsidRDefault="00567B15">
      <w:pPr>
        <w:spacing w:line="380" w:lineRule="exact"/>
        <w:jc w:val="both"/>
        <w:rPr>
          <w:rFonts w:hint="cs"/>
          <w:rtl/>
        </w:rPr>
      </w:pPr>
      <w:r>
        <w:rPr>
          <w:rFonts w:hint="cs"/>
          <w:rtl/>
        </w:rPr>
        <w:t>207-</w:t>
      </w:r>
      <w:r>
        <w:rPr>
          <w:rFonts w:hint="cs"/>
          <w:rtl/>
        </w:rPr>
        <w:tab/>
        <w:t>ورئيس الأسرة المشتركة هو الشخص المسؤول عن إعالة الأسرة والمعترف به رئيساً من بقية الجماعة، والذي ينحصر نشاطه الأساسي في قطاع ا</w:t>
      </w:r>
      <w:r>
        <w:rPr>
          <w:rFonts w:hint="cs"/>
          <w:rtl/>
        </w:rPr>
        <w:t>لإنتاج الأولي أو الثانوي أو قطاعات ثالثة في المجتمع الريفي.</w:t>
      </w:r>
    </w:p>
    <w:p w:rsidR="00000000" w:rsidRDefault="00567B15">
      <w:pPr>
        <w:spacing w:line="380" w:lineRule="exact"/>
        <w:jc w:val="both"/>
        <w:rPr>
          <w:rFonts w:hint="cs"/>
          <w:rtl/>
        </w:rPr>
      </w:pPr>
      <w:r>
        <w:rPr>
          <w:rFonts w:hint="cs"/>
          <w:rtl/>
        </w:rPr>
        <w:t>208-</w:t>
      </w:r>
      <w:r>
        <w:rPr>
          <w:rFonts w:hint="cs"/>
          <w:rtl/>
        </w:rPr>
        <w:tab/>
        <w:t>إصلاح التأمين ضد أخطار مقر العمل: التأمين الإلزامي العام الذي يغطي المخاطر، من قبيل الحوادث أثناء العمل، أو مرض المهنة، ويقدم مزايا كالوقاية والرعاية الطبية ومخصصات لعدم القدرة على العمل، وتع</w:t>
      </w:r>
      <w:r>
        <w:rPr>
          <w:rFonts w:hint="cs"/>
          <w:rtl/>
        </w:rPr>
        <w:t>ويضات ومعاشات للعجز ومعاشات للمعالين. وهناك ثلاثة أنواع من المنتجات يقدمها التأمين ضد أخطار مقر العمل، مشتقة من هذا التعريف، وهي الوقاية والمزايا الصحية التي تشمل المنح والمزايا النقدية.</w:t>
      </w:r>
    </w:p>
    <w:p w:rsidR="00000000" w:rsidRDefault="00567B15">
      <w:pPr>
        <w:spacing w:line="380" w:lineRule="exact"/>
        <w:jc w:val="both"/>
        <w:rPr>
          <w:rFonts w:hint="cs"/>
          <w:rtl/>
        </w:rPr>
      </w:pPr>
      <w:r>
        <w:rPr>
          <w:rFonts w:hint="cs"/>
          <w:rtl/>
        </w:rPr>
        <w:t>209-</w:t>
      </w:r>
      <w:r>
        <w:rPr>
          <w:rFonts w:hint="cs"/>
          <w:rtl/>
        </w:rPr>
        <w:tab/>
        <w:t>ولكل من هذه المنتجات جهة تقديم متخصصة مختلفة. فالمزايا الصحية تق</w:t>
      </w:r>
      <w:r>
        <w:rPr>
          <w:rFonts w:hint="cs"/>
          <w:rtl/>
        </w:rPr>
        <w:t>دم في الوحدات الطبية التابعة للمؤسسة، بينما المزايا النقدية في مجالات المعاشات والوقاية، من اختصاص وحدة أخطار مقر العمل. وباعتبار أن إدارة هذا التأمين مكرسة في معظمها للوقاية، فالدراسات توصي بإيجاد وحدة للأعمال التجارية، تستخدم المبدأ ذاته المستخدم في أنوا</w:t>
      </w:r>
      <w:r>
        <w:rPr>
          <w:rFonts w:hint="cs"/>
          <w:rtl/>
        </w:rPr>
        <w:t>ع التأمين الأخرى، وتكون مسؤولة عن تأمين شراء الخدمات الطبية وتقديم المزايا النقدية عن طريق شراء وثائق التأمين من السوق، وحماية الإمدادات من الحوادث وأمراض المهنة، وتقدم مزايا للمعالين، من قبيل توفير الدخل في حالات العجز الجزئي والكلي والمعاشات.</w:t>
      </w:r>
    </w:p>
    <w:p w:rsidR="00000000" w:rsidRDefault="00567B15">
      <w:pPr>
        <w:spacing w:line="380" w:lineRule="exact"/>
        <w:jc w:val="center"/>
        <w:rPr>
          <w:rFonts w:hint="cs"/>
          <w:b/>
          <w:bCs/>
          <w:rtl/>
        </w:rPr>
      </w:pPr>
      <w:r>
        <w:rPr>
          <w:rFonts w:hint="cs"/>
          <w:b/>
          <w:bCs/>
          <w:rtl/>
        </w:rPr>
        <w:t>المادة 10</w:t>
      </w:r>
    </w:p>
    <w:p w:rsidR="00000000" w:rsidRDefault="00567B15">
      <w:pPr>
        <w:spacing w:line="380" w:lineRule="exact"/>
        <w:jc w:val="both"/>
        <w:rPr>
          <w:rFonts w:hint="cs"/>
          <w:b/>
          <w:bCs/>
          <w:rtl/>
        </w:rPr>
      </w:pPr>
      <w:r>
        <w:rPr>
          <w:rFonts w:hint="cs"/>
          <w:b/>
          <w:bCs/>
          <w:rtl/>
        </w:rPr>
        <w:t>ح</w:t>
      </w:r>
      <w:r>
        <w:rPr>
          <w:rFonts w:hint="cs"/>
          <w:b/>
          <w:bCs/>
          <w:rtl/>
        </w:rPr>
        <w:t>ماية الأسرة</w:t>
      </w:r>
    </w:p>
    <w:p w:rsidR="00000000" w:rsidRDefault="00567B15">
      <w:pPr>
        <w:spacing w:line="380" w:lineRule="exact"/>
        <w:jc w:val="both"/>
        <w:rPr>
          <w:rFonts w:hint="cs"/>
          <w:rtl/>
        </w:rPr>
      </w:pPr>
      <w:r>
        <w:rPr>
          <w:rFonts w:hint="cs"/>
          <w:rtl/>
        </w:rPr>
        <w:t>210-</w:t>
      </w:r>
      <w:r>
        <w:rPr>
          <w:rFonts w:hint="cs"/>
          <w:rtl/>
        </w:rPr>
        <w:tab/>
        <w:t>من أهم ما حققته الجمعية التأسيسية في عام 1998 تأمين الاعتراف في المادة 6 من الدستور الجديد لحقوق المواطنة للأطفال والمراهقين بأن:</w:t>
      </w:r>
    </w:p>
    <w:p w:rsidR="00000000" w:rsidRDefault="00567B15">
      <w:pPr>
        <w:spacing w:line="380" w:lineRule="exact"/>
        <w:ind w:left="720"/>
        <w:jc w:val="both"/>
        <w:rPr>
          <w:rFonts w:hint="cs"/>
          <w:rtl/>
        </w:rPr>
      </w:pPr>
      <w:r>
        <w:rPr>
          <w:rFonts w:hint="cs"/>
          <w:rtl/>
        </w:rPr>
        <w:t>"جميع الإكوادوريين مواطنون وهم بهذه الصفة يتمتعون بالحقوق المقررة في هذا الدستور، والتي يمكن أن تمارس في الظر</w:t>
      </w:r>
      <w:r>
        <w:rPr>
          <w:rFonts w:hint="cs"/>
          <w:rtl/>
        </w:rPr>
        <w:t>وف ووفق الشروط التي ينص عليها القانون".</w:t>
      </w:r>
    </w:p>
    <w:p w:rsidR="00000000" w:rsidRDefault="00567B15">
      <w:pPr>
        <w:spacing w:line="380" w:lineRule="exact"/>
        <w:jc w:val="both"/>
        <w:rPr>
          <w:rFonts w:hint="cs"/>
          <w:rtl/>
        </w:rPr>
      </w:pPr>
      <w:r>
        <w:rPr>
          <w:rFonts w:hint="cs"/>
          <w:rtl/>
        </w:rPr>
        <w:t>211-</w:t>
      </w:r>
      <w:r>
        <w:rPr>
          <w:rFonts w:hint="cs"/>
          <w:rtl/>
        </w:rPr>
        <w:tab/>
        <w:t>وبذا يصبح مبدأ المساواة أمام القانون مبدأً مضموناً. ويعتبرون جميعاً متساوين ويتمتعون بالحقوق والحريات والفرص على قدم المساواة، دون تمييز بسبب المولد أو العمر أو الجنس أو الإثنية أو اللون؛ ويتقرر إطار قانوني ومؤس</w:t>
      </w:r>
      <w:r>
        <w:rPr>
          <w:rFonts w:hint="cs"/>
          <w:rtl/>
        </w:rPr>
        <w:t>سي يقوم على سياسة حماية شاملة يخضع فيها جميع الأطفال والشباب للقانون، بما يصلح أوجه النقص في قانون الطفل القائم، على أساس السياسة القديمة القائمة على المساعدة في الظروف غير العادية والتي تعتبر الطفل محتاجاً للحماية والتي تركز على شتى فئات الأطفال ذوي المشا</w:t>
      </w:r>
      <w:r>
        <w:rPr>
          <w:rFonts w:hint="cs"/>
          <w:rtl/>
        </w:rPr>
        <w:t>كل (المتروكين أو المعوزين أو الجانحين أو الذين يبدون سلوكاً غير اجتماعي).</w:t>
      </w:r>
    </w:p>
    <w:p w:rsidR="00000000" w:rsidRDefault="00567B15">
      <w:pPr>
        <w:spacing w:line="380" w:lineRule="exact"/>
        <w:jc w:val="both"/>
        <w:rPr>
          <w:rFonts w:hint="cs"/>
          <w:rtl/>
        </w:rPr>
      </w:pPr>
      <w:r>
        <w:rPr>
          <w:rFonts w:hint="cs"/>
          <w:rtl/>
        </w:rPr>
        <w:t>212-</w:t>
      </w:r>
      <w:r>
        <w:rPr>
          <w:rFonts w:hint="cs"/>
          <w:rtl/>
        </w:rPr>
        <w:tab/>
        <w:t>وقد رسخت الجمعية التأسيسية لدى إصلاحها الدستور، الحقوق والحماية القانونية للمرأة والطفل والأسرة. وبذا يرسخ السلك القانوني الجديد حقوق الأسرة وضماناتها. فالمادة 37 تنص على ما يلي</w:t>
      </w:r>
      <w:r>
        <w:rPr>
          <w:rFonts w:hint="cs"/>
          <w:rtl/>
        </w:rPr>
        <w:t>:</w:t>
      </w:r>
    </w:p>
    <w:p w:rsidR="00000000" w:rsidRDefault="00567B15">
      <w:pPr>
        <w:spacing w:line="380" w:lineRule="exact"/>
        <w:ind w:left="720"/>
        <w:jc w:val="both"/>
        <w:rPr>
          <w:rFonts w:hint="cs"/>
          <w:rtl/>
        </w:rPr>
      </w:pPr>
      <w:r>
        <w:rPr>
          <w:rFonts w:hint="cs"/>
          <w:rtl/>
        </w:rPr>
        <w:t>"تقر الدولة بنظام الأسرة وتحميها باعتبارها الوحدة الأساسية للمجتمع، وتضمن توافر الظروف التي تعزز بلوغ أهدافها كاملة".</w:t>
      </w:r>
    </w:p>
    <w:p w:rsidR="00000000" w:rsidRDefault="00567B15">
      <w:pPr>
        <w:spacing w:line="380" w:lineRule="exact"/>
        <w:jc w:val="both"/>
        <w:rPr>
          <w:rFonts w:hint="cs"/>
          <w:i/>
          <w:iCs/>
          <w:rtl/>
        </w:rPr>
      </w:pPr>
      <w:r>
        <w:rPr>
          <w:rFonts w:hint="cs"/>
          <w:i/>
          <w:iCs/>
          <w:rtl/>
        </w:rPr>
        <w:t>مفهوم الأسرة</w:t>
      </w:r>
    </w:p>
    <w:p w:rsidR="00000000" w:rsidRDefault="00567B15">
      <w:pPr>
        <w:spacing w:line="380" w:lineRule="exact"/>
        <w:jc w:val="both"/>
        <w:rPr>
          <w:rFonts w:hint="cs"/>
          <w:rtl/>
        </w:rPr>
      </w:pPr>
      <w:r>
        <w:rPr>
          <w:rFonts w:hint="cs"/>
          <w:rtl/>
        </w:rPr>
        <w:t>213-</w:t>
      </w:r>
      <w:r>
        <w:rPr>
          <w:rFonts w:hint="cs"/>
          <w:rtl/>
        </w:rPr>
        <w:tab/>
        <w:t>"تقر الدولة بنظام الأسرة وتحميها باعتبارها الوحدة الأساسية للمجتمع، وتضمن توافر الظروف التي تعزز بلوغ أهدافها كاملة، م</w:t>
      </w:r>
      <w:r>
        <w:rPr>
          <w:rFonts w:hint="cs"/>
          <w:rtl/>
        </w:rPr>
        <w:t>ن خلال أواصر قانونية وواقعية على أساس المساواة في الحقوق وتكافؤ الفرص بين أفرادها"</w:t>
      </w:r>
      <w:r>
        <w:rPr>
          <w:rFonts w:hint="cs"/>
          <w:vertAlign w:val="superscript"/>
          <w:rtl/>
        </w:rPr>
        <w:t>(24)</w:t>
      </w:r>
      <w:r>
        <w:rPr>
          <w:rFonts w:hint="cs"/>
          <w:rtl/>
        </w:rPr>
        <w:t>.</w:t>
      </w:r>
    </w:p>
    <w:p w:rsidR="00000000" w:rsidRDefault="00567B15">
      <w:pPr>
        <w:spacing w:line="380" w:lineRule="exact"/>
        <w:jc w:val="both"/>
        <w:rPr>
          <w:rFonts w:hint="cs"/>
          <w:rtl/>
        </w:rPr>
      </w:pPr>
      <w:r>
        <w:rPr>
          <w:rFonts w:hint="cs"/>
          <w:rtl/>
        </w:rPr>
        <w:t>214-</w:t>
      </w:r>
      <w:r>
        <w:rPr>
          <w:rFonts w:hint="cs"/>
          <w:rtl/>
        </w:rPr>
        <w:tab/>
        <w:t>والأسرة هي النواة الاجتماعية الأساسية للاستمرارية على قاعدة يومية وجيلية عن طريق أواصر الدم.</w:t>
      </w:r>
    </w:p>
    <w:p w:rsidR="00000000" w:rsidRDefault="00567B15">
      <w:pPr>
        <w:spacing w:line="380" w:lineRule="exact"/>
        <w:jc w:val="both"/>
        <w:rPr>
          <w:rFonts w:hint="cs"/>
          <w:rtl/>
        </w:rPr>
      </w:pPr>
      <w:r>
        <w:rPr>
          <w:rFonts w:hint="cs"/>
          <w:rtl/>
        </w:rPr>
        <w:t>215-</w:t>
      </w:r>
      <w:r>
        <w:rPr>
          <w:rFonts w:hint="cs"/>
          <w:rtl/>
        </w:rPr>
        <w:tab/>
        <w:t>وترتبط صلة الدم ارتباطاً وثيقاً بالقرابة القانونية، وهي تشمل ممار</w:t>
      </w:r>
      <w:r>
        <w:rPr>
          <w:rFonts w:hint="cs"/>
          <w:rtl/>
        </w:rPr>
        <w:t>سة الحقوق والواجبات.</w:t>
      </w:r>
    </w:p>
    <w:p w:rsidR="00000000" w:rsidRDefault="00567B15">
      <w:pPr>
        <w:spacing w:line="380" w:lineRule="exact"/>
        <w:jc w:val="both"/>
        <w:rPr>
          <w:rFonts w:hint="cs"/>
          <w:rtl/>
        </w:rPr>
      </w:pPr>
      <w:r>
        <w:rPr>
          <w:rFonts w:hint="cs"/>
          <w:rtl/>
        </w:rPr>
        <w:t>216-</w:t>
      </w:r>
      <w:r>
        <w:rPr>
          <w:rFonts w:hint="cs"/>
          <w:rtl/>
        </w:rPr>
        <w:tab/>
        <w:t>ويقصد بالاستمرارية اليومية مهام الرعاية اليومية للطفل وإعداد وجباته واستهلاك السلع والخدمات من قبيل الأغذية والتعليم والإسكان.</w:t>
      </w:r>
    </w:p>
    <w:p w:rsidR="00000000" w:rsidRDefault="00567B15">
      <w:pPr>
        <w:spacing w:line="380" w:lineRule="exact"/>
        <w:jc w:val="both"/>
        <w:rPr>
          <w:rFonts w:hint="cs"/>
          <w:rtl/>
        </w:rPr>
      </w:pPr>
      <w:r>
        <w:rPr>
          <w:rFonts w:hint="cs"/>
          <w:rtl/>
        </w:rPr>
        <w:t>217-</w:t>
      </w:r>
      <w:r>
        <w:rPr>
          <w:rFonts w:hint="cs"/>
          <w:rtl/>
        </w:rPr>
        <w:tab/>
        <w:t>وتعني استمرارية الأجيال الإنجاب البيولوجي، أي الحمل والولادة والحياة والموت.</w:t>
      </w:r>
    </w:p>
    <w:p w:rsidR="00000000" w:rsidRDefault="00567B15">
      <w:pPr>
        <w:spacing w:line="380" w:lineRule="exact"/>
        <w:jc w:val="both"/>
        <w:rPr>
          <w:rFonts w:hint="cs"/>
          <w:rtl/>
        </w:rPr>
      </w:pPr>
      <w:r>
        <w:rPr>
          <w:rFonts w:hint="cs"/>
          <w:rtl/>
        </w:rPr>
        <w:t>218-</w:t>
      </w:r>
      <w:r>
        <w:rPr>
          <w:rFonts w:hint="cs"/>
          <w:rtl/>
        </w:rPr>
        <w:tab/>
        <w:t>كذلك تعرّف الأسر</w:t>
      </w:r>
      <w:r>
        <w:rPr>
          <w:rFonts w:hint="cs"/>
          <w:rtl/>
        </w:rPr>
        <w:t>ة بأنها أي وحدة من مجموعة طبيعية للتنشئة والرعاية الاجتماعية، تقدم الدعم للنماء الشامل للطفل، وخاصة من حيث الهوية والكرامة مما لا يتولد تلقائياً وإنما ينجم عن البيئة الأسرية التي يشهدها الطفل في حياته.</w:t>
      </w:r>
    </w:p>
    <w:p w:rsidR="00000000" w:rsidRDefault="00567B15">
      <w:pPr>
        <w:spacing w:line="380" w:lineRule="exact"/>
        <w:jc w:val="both"/>
        <w:rPr>
          <w:rFonts w:hint="cs"/>
          <w:i/>
          <w:iCs/>
          <w:rtl/>
        </w:rPr>
      </w:pPr>
      <w:r>
        <w:rPr>
          <w:rFonts w:hint="cs"/>
          <w:i/>
          <w:iCs/>
          <w:rtl/>
        </w:rPr>
        <w:t>سن الرشد</w:t>
      </w:r>
    </w:p>
    <w:p w:rsidR="00000000" w:rsidRDefault="00567B15">
      <w:pPr>
        <w:spacing w:line="380" w:lineRule="exact"/>
        <w:jc w:val="both"/>
        <w:rPr>
          <w:rFonts w:hint="cs"/>
          <w:rtl/>
        </w:rPr>
      </w:pPr>
      <w:r>
        <w:rPr>
          <w:rFonts w:hint="cs"/>
          <w:rtl/>
        </w:rPr>
        <w:t>219-</w:t>
      </w:r>
      <w:r>
        <w:rPr>
          <w:rFonts w:hint="cs"/>
          <w:rtl/>
        </w:rPr>
        <w:tab/>
        <w:t xml:space="preserve">للأطفال والشباب حتى سن 18 عاماً الحق في </w:t>
      </w:r>
      <w:r>
        <w:rPr>
          <w:rFonts w:hint="cs"/>
          <w:rtl/>
        </w:rPr>
        <w:t>أن تحترم ضماناتهم الدستورية عن طريق تشريعات الأطفال وقانون الطفل وما يتصل بها من لوائح. ويعتبر الأطفال بين 14 عاماً و17 عاماً من العمر بالغين، لشتى الأغراض القانونية والاجتماعية. وتنص الماد ة 21 من القانون المدني على أن "الطفل هو الذي لا يبلغ من العمر 7 سن</w:t>
      </w:r>
      <w:r>
        <w:rPr>
          <w:rFonts w:hint="cs"/>
          <w:rtl/>
        </w:rPr>
        <w:t>وات؛ والطفل الذي لم يبلغ الحلم هو الولد الذي يقل عمره عن 14 عاماً أو الفتاة التي يقل عمرها عن 12 عاماً؛ والشاب البالغ هو الشخص الذي لم يعد دون الحلم؛ والبالغ هو الشخص الذي أتم 18 عاماً من عمره؛ والطفل أو القاصر هو الشخص الذي لم يبلغ 18 عاماً من عمره".</w:t>
      </w:r>
    </w:p>
    <w:p w:rsidR="00000000" w:rsidRDefault="00567B15">
      <w:pPr>
        <w:spacing w:line="380" w:lineRule="exact"/>
        <w:jc w:val="both"/>
        <w:rPr>
          <w:rFonts w:hint="cs"/>
          <w:rtl/>
        </w:rPr>
      </w:pPr>
      <w:r>
        <w:rPr>
          <w:rFonts w:hint="cs"/>
          <w:rtl/>
        </w:rPr>
        <w:t>220-</w:t>
      </w:r>
      <w:r>
        <w:rPr>
          <w:rFonts w:hint="cs"/>
          <w:rtl/>
        </w:rPr>
        <w:tab/>
        <w:t>وللرجال والنساء في إكوادور الحرية في التزاوج والحد الأدنى هو 18 عاماً. ويحتاج القصّر إلى إذن من الوالدين. وترد في القانون المدني وقانون الإجراءات المدنية اللوائح المنظمة للزواج والواجبات والحقوق فيه.</w:t>
      </w:r>
    </w:p>
    <w:p w:rsidR="00000000" w:rsidRDefault="00567B15">
      <w:pPr>
        <w:spacing w:line="380" w:lineRule="exact"/>
        <w:jc w:val="both"/>
        <w:rPr>
          <w:rFonts w:hint="cs"/>
          <w:rtl/>
        </w:rPr>
      </w:pPr>
      <w:r>
        <w:rPr>
          <w:rFonts w:hint="cs"/>
          <w:rtl/>
        </w:rPr>
        <w:t>221-</w:t>
      </w:r>
      <w:r>
        <w:rPr>
          <w:rFonts w:hint="cs"/>
          <w:rtl/>
        </w:rPr>
        <w:tab/>
        <w:t>ويقر الدستور ويحمي الأسرة المكونة وفق القانون أو ا</w:t>
      </w:r>
      <w:r>
        <w:rPr>
          <w:rFonts w:hint="cs"/>
          <w:rtl/>
        </w:rPr>
        <w:t>لاقتران الواقعي بين شريكين على أساس الموافقة الحرة منهما استناداً إلى المساواة في الحقوق والالتزامات والأهلية القانونية. وفيما يتعلق بالمعاشرة الواقعية فإن المادة 38 من الدستور تنص على أن "المعاشرة المستقرة وغير المتعددة بين رجل وامرأة، دون رابطة زواج مع ش</w:t>
      </w:r>
      <w:r>
        <w:rPr>
          <w:rFonts w:hint="cs"/>
          <w:rtl/>
        </w:rPr>
        <w:t>خص آخر، لتكوين أسرة معيشية واقعية للفترة المحددة وللظروف والملابسات المنصوص عليها في القانون، تنجم عنها حقوق والتزامات كحقوق والتزامات الأسر المكونة عن طريق الزواج، بما في ذلك مراعاة الافتراض القانوني للوالدية والملكية المجتمعية".</w:t>
      </w:r>
    </w:p>
    <w:p w:rsidR="00000000" w:rsidRDefault="00567B15">
      <w:pPr>
        <w:spacing w:line="380" w:lineRule="exact"/>
        <w:jc w:val="both"/>
        <w:rPr>
          <w:rFonts w:hint="cs"/>
          <w:i/>
          <w:iCs/>
          <w:rtl/>
        </w:rPr>
      </w:pPr>
      <w:r>
        <w:rPr>
          <w:rFonts w:hint="cs"/>
          <w:i/>
          <w:iCs/>
          <w:rtl/>
        </w:rPr>
        <w:t>حماية الأسرة</w:t>
      </w:r>
    </w:p>
    <w:p w:rsidR="00000000" w:rsidRDefault="00567B15">
      <w:pPr>
        <w:spacing w:line="380" w:lineRule="exact"/>
        <w:jc w:val="both"/>
        <w:rPr>
          <w:rFonts w:hint="cs"/>
          <w:rtl/>
        </w:rPr>
      </w:pPr>
      <w:r>
        <w:rPr>
          <w:rFonts w:hint="cs"/>
          <w:rtl/>
        </w:rPr>
        <w:t>222-</w:t>
      </w:r>
      <w:r>
        <w:rPr>
          <w:rFonts w:hint="cs"/>
          <w:rtl/>
        </w:rPr>
        <w:tab/>
        <w:t>ينص الد</w:t>
      </w:r>
      <w:r>
        <w:rPr>
          <w:rFonts w:hint="cs"/>
          <w:rtl/>
        </w:rPr>
        <w:t>ستور على أن الدولة تحمي الأسرة: فهي "تشجع على الأمومة والأبوة المسؤولتين. وتضمن الدولة حق الأفراد في تقرير عدد الأبناء الذين ينجبونهم أو يتبنونهم أو يرعونهم ويربونهم"</w:t>
      </w:r>
      <w:r>
        <w:rPr>
          <w:rFonts w:hint="cs"/>
          <w:vertAlign w:val="superscript"/>
          <w:rtl/>
        </w:rPr>
        <w:t>(25)</w:t>
      </w:r>
      <w:r>
        <w:rPr>
          <w:rFonts w:hint="cs"/>
          <w:rtl/>
        </w:rPr>
        <w:t>.</w:t>
      </w:r>
    </w:p>
    <w:p w:rsidR="00000000" w:rsidRDefault="00567B15">
      <w:pPr>
        <w:spacing w:line="380" w:lineRule="exact"/>
        <w:jc w:val="both"/>
        <w:rPr>
          <w:rFonts w:hint="cs"/>
          <w:rtl/>
        </w:rPr>
      </w:pPr>
      <w:r>
        <w:rPr>
          <w:rFonts w:hint="cs"/>
          <w:rtl/>
        </w:rPr>
        <w:t>223-</w:t>
      </w:r>
      <w:r>
        <w:rPr>
          <w:rFonts w:hint="cs"/>
          <w:rtl/>
        </w:rPr>
        <w:tab/>
        <w:t>وبموجب المادة 40 من الدستور: "تحمي الدولة الأمهات والآباء وجميع أرباب الأسر، في</w:t>
      </w:r>
      <w:r>
        <w:rPr>
          <w:rFonts w:hint="cs"/>
          <w:rtl/>
        </w:rPr>
        <w:t xml:space="preserve"> اضطلاعهم بمسؤولياتهم. وتشجع الدولة على المساواة في مسؤوليات الأب والأم وتحرص على الوفاء بالواجبات والحقوق المتبادلة للوالدين والأبناء. وللأبناء حقوق متساوية بغض النظر عن البنوة أو التبني. ولا يعلن عند تسجيل الولادة عن البنوة ولا تدرج أي إشارة إلى البنوة ف</w:t>
      </w:r>
      <w:r>
        <w:rPr>
          <w:rFonts w:hint="cs"/>
          <w:rtl/>
        </w:rPr>
        <w:t>ي بطاقات الهوية".</w:t>
      </w:r>
    </w:p>
    <w:p w:rsidR="00000000" w:rsidRDefault="00567B15">
      <w:pPr>
        <w:spacing w:line="380" w:lineRule="exact"/>
        <w:jc w:val="both"/>
        <w:rPr>
          <w:rFonts w:hint="cs"/>
          <w:rtl/>
        </w:rPr>
      </w:pPr>
      <w:r>
        <w:rPr>
          <w:rFonts w:hint="cs"/>
          <w:rtl/>
        </w:rPr>
        <w:t>224-</w:t>
      </w:r>
      <w:r>
        <w:rPr>
          <w:rFonts w:hint="cs"/>
          <w:rtl/>
        </w:rPr>
        <w:tab/>
        <w:t xml:space="preserve">وتجري وزارة الرعاية الاجتماعية، من خلال إدارة حماية الطفل، سلسلة من البرامج لحماية الأسرة وتعزيزها على أساس مبادئ توجيهية تتفق وقانون الطفل ولوائح الحماية الشاملة للأطفال والشباب، بدعم ومشاركة من الأسرة الطبيعية أو المتبنية والمجتمع </w:t>
      </w:r>
      <w:r>
        <w:rPr>
          <w:rFonts w:hint="cs"/>
          <w:rtl/>
        </w:rPr>
        <w:t>المدني.</w:t>
      </w:r>
    </w:p>
    <w:p w:rsidR="00000000" w:rsidRDefault="00567B15">
      <w:pPr>
        <w:spacing w:line="380" w:lineRule="exact"/>
        <w:jc w:val="both"/>
        <w:rPr>
          <w:rFonts w:hint="cs"/>
          <w:rtl/>
        </w:rPr>
      </w:pPr>
      <w:r>
        <w:rPr>
          <w:rFonts w:hint="cs"/>
          <w:rtl/>
        </w:rPr>
        <w:t>225-</w:t>
      </w:r>
      <w:r>
        <w:rPr>
          <w:rFonts w:hint="cs"/>
          <w:rtl/>
        </w:rPr>
        <w:tab/>
        <w:t>وقد صمم برنامج لتثقيف الأسرة في مراكز الطفل؛ وهو يرمي إلى دعم دور الأسر التي بها أطفال دون سن الخامسة وتحسين أدائها، ويقدم الدعم للمقيدين في مراكز الطفل، أملاً في التغلب على الصعوبات التي تعترض النمو والنماء. كما أن البرنامج يسعى إلى تعزيز الأ</w:t>
      </w:r>
      <w:r>
        <w:rPr>
          <w:rFonts w:hint="cs"/>
          <w:rtl/>
        </w:rPr>
        <w:t>داء التربوي للأسرة بمشاركة جميع أفرادها وحفز نماء الطفل وتشكيل مجتمع تربوي يحتضن مراكز الطفل ومراكز الأسرة والطفل.</w:t>
      </w:r>
    </w:p>
    <w:p w:rsidR="00000000" w:rsidRDefault="00567B15">
      <w:pPr>
        <w:spacing w:line="380" w:lineRule="exact"/>
        <w:jc w:val="both"/>
        <w:rPr>
          <w:rFonts w:hint="cs"/>
          <w:rtl/>
        </w:rPr>
      </w:pPr>
      <w:r>
        <w:rPr>
          <w:rFonts w:hint="cs"/>
          <w:rtl/>
        </w:rPr>
        <w:t>226-</w:t>
      </w:r>
      <w:r>
        <w:rPr>
          <w:rFonts w:hint="cs"/>
          <w:rtl/>
        </w:rPr>
        <w:tab/>
        <w:t>ولبرنامج تثقيف الأسرة عامل مضاعف حيث يتلقى موظفو مراكز الطفل تدريبهم وينقلونه بالتالي إلى الآباء في مختلف مراكز الطفل.</w:t>
      </w:r>
    </w:p>
    <w:p w:rsidR="00000000" w:rsidRDefault="00567B15">
      <w:pPr>
        <w:spacing w:line="380" w:lineRule="exact"/>
        <w:jc w:val="both"/>
        <w:rPr>
          <w:rFonts w:hint="cs"/>
          <w:rtl/>
        </w:rPr>
      </w:pPr>
      <w:r>
        <w:rPr>
          <w:rFonts w:hint="cs"/>
          <w:rtl/>
        </w:rPr>
        <w:t>227-</w:t>
      </w:r>
      <w:r>
        <w:rPr>
          <w:rFonts w:hint="cs"/>
          <w:rtl/>
        </w:rPr>
        <w:tab/>
        <w:t>ولدى الميسري</w:t>
      </w:r>
      <w:r>
        <w:rPr>
          <w:rFonts w:hint="cs"/>
          <w:rtl/>
        </w:rPr>
        <w:t>ن والموظفين المدربين كتيبات داعمة يرتبط محتواها وموضوعها ارتباطاً وثيقاً بالإطار المؤسسي وبالعمل الذي تقوم به مراكز الأطفال دون الخامسة من العمر.</w:t>
      </w:r>
    </w:p>
    <w:p w:rsidR="00000000" w:rsidRDefault="00567B15">
      <w:pPr>
        <w:spacing w:line="380" w:lineRule="exact"/>
        <w:jc w:val="both"/>
        <w:rPr>
          <w:rFonts w:hint="cs"/>
          <w:rtl/>
        </w:rPr>
      </w:pPr>
      <w:r>
        <w:rPr>
          <w:rFonts w:hint="cs"/>
          <w:rtl/>
        </w:rPr>
        <w:t>228-</w:t>
      </w:r>
      <w:r>
        <w:rPr>
          <w:rFonts w:hint="cs"/>
          <w:rtl/>
        </w:rPr>
        <w:tab/>
        <w:t>وتتَّبع الدور التي يُديرها مكتب حماية الطفل، التابع لإدارة حماية الطفل، سياسات ترمي إلى تعزيز وتشجيع التك</w:t>
      </w:r>
      <w:r>
        <w:rPr>
          <w:rFonts w:hint="cs"/>
          <w:rtl/>
        </w:rPr>
        <w:t>امل الأسري.</w:t>
      </w:r>
    </w:p>
    <w:p w:rsidR="00000000" w:rsidRDefault="00567B15">
      <w:pPr>
        <w:spacing w:line="380" w:lineRule="exact"/>
        <w:jc w:val="both"/>
        <w:rPr>
          <w:rFonts w:hint="cs"/>
          <w:rtl/>
        </w:rPr>
      </w:pPr>
      <w:r>
        <w:rPr>
          <w:rFonts w:hint="cs"/>
          <w:rtl/>
        </w:rPr>
        <w:t>229-</w:t>
      </w:r>
      <w:r>
        <w:rPr>
          <w:rFonts w:hint="cs"/>
          <w:rtl/>
        </w:rPr>
        <w:tab/>
        <w:t>ومجالات النشاط الرئيسية هي:</w:t>
      </w:r>
    </w:p>
    <w:p w:rsidR="00000000" w:rsidRDefault="00567B15">
      <w:pPr>
        <w:spacing w:before="180" w:after="180" w:line="380" w:lineRule="exact"/>
        <w:jc w:val="both"/>
        <w:rPr>
          <w:rFonts w:hint="cs"/>
          <w:rtl/>
        </w:rPr>
      </w:pPr>
      <w:r>
        <w:rPr>
          <w:rFonts w:hint="cs"/>
          <w:rtl/>
        </w:rPr>
        <w:tab/>
        <w:t>(أ)</w:t>
      </w:r>
      <w:r>
        <w:rPr>
          <w:rFonts w:hint="cs"/>
          <w:rtl/>
        </w:rPr>
        <w:tab/>
        <w:t>برامج الهوية، التي ترمي إلى إبراز الوضع القانوني والاجتماعي للأطفال والشباب؛</w:t>
      </w:r>
    </w:p>
    <w:p w:rsidR="00000000" w:rsidRDefault="00567B15">
      <w:pPr>
        <w:spacing w:before="180" w:after="180" w:line="380" w:lineRule="exact"/>
        <w:jc w:val="both"/>
        <w:rPr>
          <w:rFonts w:hint="cs"/>
          <w:rtl/>
        </w:rPr>
      </w:pPr>
      <w:r>
        <w:rPr>
          <w:rFonts w:hint="cs"/>
          <w:rtl/>
        </w:rPr>
        <w:tab/>
        <w:t>(ب)</w:t>
      </w:r>
      <w:r>
        <w:rPr>
          <w:rFonts w:hint="cs"/>
          <w:rtl/>
        </w:rPr>
        <w:tab/>
        <w:t>برامج المنح التثقيفية، الهادفة إلى تقديم الدعم المالي لأطفال المؤسسات وللمجتمع ومن ثم حماية الحق في التعليم؛</w:t>
      </w:r>
    </w:p>
    <w:p w:rsidR="00000000" w:rsidRDefault="00567B15">
      <w:pPr>
        <w:spacing w:before="180" w:after="180" w:line="380" w:lineRule="exact"/>
        <w:jc w:val="both"/>
        <w:rPr>
          <w:rFonts w:hint="cs"/>
          <w:rtl/>
        </w:rPr>
      </w:pPr>
      <w:r>
        <w:rPr>
          <w:rFonts w:hint="cs"/>
          <w:rtl/>
        </w:rPr>
        <w:tab/>
        <w:t>(ج)</w:t>
      </w:r>
      <w:r>
        <w:rPr>
          <w:rFonts w:hint="cs"/>
          <w:rtl/>
        </w:rPr>
        <w:tab/>
        <w:t>الدعم الحا</w:t>
      </w:r>
      <w:r>
        <w:rPr>
          <w:rFonts w:hint="cs"/>
          <w:rtl/>
        </w:rPr>
        <w:t>لي الاجتماعي والقانوني والنفسي من أفرقة تقنية في الوحدات التنفيذية التابعة لإدارة حماية الطفل (مراكز الرعاية النهارية للأطفال ودور الرضع والأطفال ووحدات التأهيل) من أجل الأطفال والأسر، وهي تهدف إلى:</w:t>
      </w:r>
    </w:p>
    <w:p w:rsidR="00000000" w:rsidRDefault="00567B15">
      <w:pPr>
        <w:spacing w:before="180" w:after="180" w:line="380" w:lineRule="exact"/>
        <w:jc w:val="both"/>
        <w:rPr>
          <w:rFonts w:hint="cs"/>
          <w:rtl/>
        </w:rPr>
      </w:pPr>
      <w:r>
        <w:rPr>
          <w:rFonts w:hint="cs"/>
          <w:rtl/>
        </w:rPr>
        <w:tab/>
      </w:r>
      <w:r>
        <w:rPr>
          <w:rtl/>
        </w:rPr>
        <w:t>`</w:t>
      </w:r>
      <w:r>
        <w:rPr>
          <w:rFonts w:hint="cs"/>
          <w:rtl/>
        </w:rPr>
        <w:t>1</w:t>
      </w:r>
      <w:r>
        <w:rPr>
          <w:rtl/>
        </w:rPr>
        <w:t>`</w:t>
      </w:r>
      <w:r>
        <w:rPr>
          <w:rFonts w:hint="cs"/>
          <w:rtl/>
        </w:rPr>
        <w:tab/>
        <w:t>تقديم المساعدة للأسر المقيمة بها؛</w:t>
      </w:r>
    </w:p>
    <w:p w:rsidR="00000000" w:rsidRDefault="00567B15">
      <w:pPr>
        <w:spacing w:before="180" w:after="180" w:line="380" w:lineRule="exact"/>
        <w:jc w:val="both"/>
        <w:rPr>
          <w:rFonts w:hint="cs"/>
          <w:rtl/>
        </w:rPr>
      </w:pPr>
      <w:r>
        <w:rPr>
          <w:rFonts w:hint="cs"/>
          <w:rtl/>
        </w:rPr>
        <w:tab/>
      </w:r>
      <w:r>
        <w:rPr>
          <w:rtl/>
        </w:rPr>
        <w:t>`</w:t>
      </w:r>
      <w:r>
        <w:rPr>
          <w:rFonts w:hint="cs"/>
          <w:rtl/>
        </w:rPr>
        <w:t>2</w:t>
      </w:r>
      <w:r>
        <w:rPr>
          <w:rtl/>
        </w:rPr>
        <w:t>`</w:t>
      </w:r>
      <w:r>
        <w:rPr>
          <w:rFonts w:hint="cs"/>
          <w:rtl/>
        </w:rPr>
        <w:tab/>
        <w:t xml:space="preserve">وضع برامج مع </w:t>
      </w:r>
      <w:r>
        <w:rPr>
          <w:rFonts w:hint="cs"/>
          <w:rtl/>
        </w:rPr>
        <w:t>الأسر تستعاد بها الكرامة والثقة؛</w:t>
      </w:r>
    </w:p>
    <w:p w:rsidR="00000000" w:rsidRDefault="00567B15">
      <w:pPr>
        <w:spacing w:before="180" w:after="180" w:line="380" w:lineRule="exact"/>
        <w:jc w:val="both"/>
        <w:rPr>
          <w:rFonts w:hint="cs"/>
          <w:rtl/>
        </w:rPr>
      </w:pPr>
      <w:r>
        <w:rPr>
          <w:rFonts w:hint="cs"/>
          <w:rtl/>
        </w:rPr>
        <w:tab/>
      </w:r>
      <w:r>
        <w:rPr>
          <w:rtl/>
        </w:rPr>
        <w:t>`</w:t>
      </w:r>
      <w:r>
        <w:rPr>
          <w:rFonts w:hint="cs"/>
          <w:rtl/>
        </w:rPr>
        <w:t>3</w:t>
      </w:r>
      <w:r>
        <w:rPr>
          <w:rtl/>
        </w:rPr>
        <w:t>`</w:t>
      </w:r>
      <w:r>
        <w:rPr>
          <w:rFonts w:hint="cs"/>
          <w:rtl/>
        </w:rPr>
        <w:tab/>
        <w:t>إيجاد فرص لتبادل الخبرات وللدعم المشترك بين الأسر التي تتشابه مشاكلها (مدرسة الآباء)؛</w:t>
      </w:r>
    </w:p>
    <w:p w:rsidR="00000000" w:rsidRDefault="00567B15">
      <w:pPr>
        <w:spacing w:before="180" w:after="180" w:line="380" w:lineRule="exact"/>
        <w:jc w:val="both"/>
        <w:rPr>
          <w:rFonts w:hint="cs"/>
          <w:rtl/>
        </w:rPr>
      </w:pPr>
      <w:r>
        <w:rPr>
          <w:rFonts w:hint="cs"/>
          <w:rtl/>
        </w:rPr>
        <w:tab/>
      </w:r>
      <w:r>
        <w:rPr>
          <w:rtl/>
        </w:rPr>
        <w:t>`</w:t>
      </w:r>
      <w:r>
        <w:rPr>
          <w:rFonts w:hint="cs"/>
          <w:rtl/>
        </w:rPr>
        <w:t>4</w:t>
      </w:r>
      <w:r>
        <w:rPr>
          <w:rtl/>
        </w:rPr>
        <w:t>`</w:t>
      </w:r>
      <w:r>
        <w:rPr>
          <w:rFonts w:hint="cs"/>
          <w:rtl/>
        </w:rPr>
        <w:tab/>
        <w:t>نشر المعلومات الضرورية عن الحقوق والواجبات، والدعم المجتمعي الحكومي والخاص؛</w:t>
      </w:r>
    </w:p>
    <w:p w:rsidR="00000000" w:rsidRDefault="00567B15">
      <w:pPr>
        <w:spacing w:before="180" w:after="180" w:line="380" w:lineRule="exact"/>
        <w:jc w:val="both"/>
        <w:rPr>
          <w:rFonts w:hint="cs"/>
          <w:rtl/>
        </w:rPr>
      </w:pPr>
      <w:r>
        <w:rPr>
          <w:rFonts w:hint="cs"/>
          <w:rtl/>
        </w:rPr>
        <w:tab/>
      </w:r>
      <w:r>
        <w:rPr>
          <w:rtl/>
        </w:rPr>
        <w:t>`</w:t>
      </w:r>
      <w:r>
        <w:rPr>
          <w:rFonts w:hint="cs"/>
          <w:rtl/>
        </w:rPr>
        <w:t>5</w:t>
      </w:r>
      <w:r>
        <w:rPr>
          <w:rtl/>
        </w:rPr>
        <w:t>`</w:t>
      </w:r>
      <w:r>
        <w:rPr>
          <w:rFonts w:hint="cs"/>
          <w:rtl/>
        </w:rPr>
        <w:tab/>
        <w:t>إيجاد الفرص للترفيه والنشاط الاجتماعي؛</w:t>
      </w:r>
    </w:p>
    <w:p w:rsidR="00000000" w:rsidRDefault="00567B15">
      <w:pPr>
        <w:spacing w:before="180" w:after="180" w:line="380" w:lineRule="exact"/>
        <w:ind w:left="1440" w:hanging="720"/>
        <w:jc w:val="both"/>
        <w:rPr>
          <w:rFonts w:hint="cs"/>
          <w:rtl/>
        </w:rPr>
      </w:pPr>
      <w:r>
        <w:rPr>
          <w:rtl/>
        </w:rPr>
        <w:t>`</w:t>
      </w:r>
      <w:r>
        <w:rPr>
          <w:rFonts w:hint="cs"/>
          <w:rtl/>
        </w:rPr>
        <w:t>6</w:t>
      </w:r>
      <w:r>
        <w:rPr>
          <w:rtl/>
        </w:rPr>
        <w:t>`</w:t>
      </w:r>
      <w:r>
        <w:rPr>
          <w:rFonts w:hint="cs"/>
          <w:rtl/>
        </w:rPr>
        <w:tab/>
        <w:t>إتا</w:t>
      </w:r>
      <w:r>
        <w:rPr>
          <w:rFonts w:hint="cs"/>
          <w:rtl/>
        </w:rPr>
        <w:t>حة بدائل إنمائية شاملة لإعادة التنشئة أمام الشباب الجانحين وأسرهم، والتشجيع على تغيير السلوك والعادات التربوية على الصعد الشخصي والأسري والاجتماعي؛</w:t>
      </w:r>
    </w:p>
    <w:p w:rsidR="00000000" w:rsidRDefault="00567B15">
      <w:pPr>
        <w:spacing w:before="180" w:after="180" w:line="380" w:lineRule="exact"/>
        <w:ind w:left="1440" w:hanging="720"/>
        <w:jc w:val="both"/>
        <w:rPr>
          <w:rFonts w:hint="cs"/>
          <w:rtl/>
        </w:rPr>
      </w:pPr>
      <w:r>
        <w:rPr>
          <w:rtl/>
        </w:rPr>
        <w:t>`</w:t>
      </w:r>
      <w:r>
        <w:rPr>
          <w:rFonts w:hint="cs"/>
          <w:rtl/>
        </w:rPr>
        <w:t>7</w:t>
      </w:r>
      <w:r>
        <w:rPr>
          <w:rtl/>
        </w:rPr>
        <w:t>`</w:t>
      </w:r>
      <w:r>
        <w:rPr>
          <w:rFonts w:hint="cs"/>
          <w:rtl/>
        </w:rPr>
        <w:tab/>
        <w:t>تزويد الأسرة بالتوجيهات والمشورة والعلاج للتغلب على المصاعب الشخصية والاجتماعية والقانونية.</w:t>
      </w:r>
    </w:p>
    <w:p w:rsidR="00000000" w:rsidRDefault="00567B15">
      <w:pPr>
        <w:spacing w:line="380" w:lineRule="exact"/>
        <w:jc w:val="both"/>
        <w:rPr>
          <w:rFonts w:hint="cs"/>
          <w:rtl/>
        </w:rPr>
      </w:pPr>
      <w:r>
        <w:rPr>
          <w:rFonts w:hint="cs"/>
          <w:rtl/>
        </w:rPr>
        <w:t>230-</w:t>
      </w:r>
      <w:r>
        <w:rPr>
          <w:rFonts w:hint="cs"/>
          <w:rtl/>
        </w:rPr>
        <w:tab/>
        <w:t>وتنص ال</w:t>
      </w:r>
      <w:r>
        <w:rPr>
          <w:rFonts w:hint="cs"/>
          <w:rtl/>
        </w:rPr>
        <w:t>مادة 43 من الدستور على أن "تقدم برامج وأنشطة الصحة العامة للجميع بالمجان. وتقدم خدمات رعاية الصحة العامة بالمجان للمحتاجين. ولا يجوز الحرمان من الرعاية في حالات الطوارئ في المؤسسات التي تديرها الدولة أو المؤسسات الخاصة، أياً كانت الأسباب".</w:t>
      </w:r>
    </w:p>
    <w:p w:rsidR="00000000" w:rsidRDefault="00567B15">
      <w:pPr>
        <w:spacing w:line="380" w:lineRule="exact"/>
        <w:jc w:val="both"/>
        <w:rPr>
          <w:rFonts w:hint="cs"/>
          <w:i/>
          <w:iCs/>
          <w:rtl/>
        </w:rPr>
      </w:pPr>
      <w:r>
        <w:rPr>
          <w:rFonts w:hint="cs"/>
          <w:i/>
          <w:iCs/>
          <w:rtl/>
        </w:rPr>
        <w:t>نظام حماية الأمو</w:t>
      </w:r>
      <w:r>
        <w:rPr>
          <w:rFonts w:hint="cs"/>
          <w:i/>
          <w:iCs/>
          <w:rtl/>
        </w:rPr>
        <w:t>مة</w:t>
      </w:r>
    </w:p>
    <w:p w:rsidR="00000000" w:rsidRDefault="00567B15">
      <w:pPr>
        <w:spacing w:line="380" w:lineRule="exact"/>
        <w:jc w:val="both"/>
        <w:rPr>
          <w:rFonts w:hint="cs"/>
          <w:rtl/>
        </w:rPr>
      </w:pPr>
      <w:r>
        <w:rPr>
          <w:rFonts w:hint="cs"/>
          <w:rtl/>
        </w:rPr>
        <w:t>231-</w:t>
      </w:r>
      <w:r>
        <w:rPr>
          <w:rFonts w:hint="cs"/>
          <w:rtl/>
        </w:rPr>
        <w:tab/>
        <w:t>تنص المادة الأولى من قانون مجانية رعاية الأم والطفل، التي تكفل حماية المرأة في إكوادور وتوفر لها خدمات الرعاية الصحية المجانية أثناء الحمل على ما يلي: "لكل النساء الإكوادوريات الحق في رعاية صحية عالية الجودة بالمجان خلال فترات الحمل والولادة والنفا</w:t>
      </w:r>
      <w:r>
        <w:rPr>
          <w:rFonts w:hint="cs"/>
          <w:rtl/>
        </w:rPr>
        <w:t>س، وفي الوصول إلى برامج الصحة الجنسية والإنجابية. وتقدم الرعاية الصحية بالمثل مجاناً للولدان والأطفال دون سن 5 أعوام باعتبارها خدمة صحية عامة تقدمها الدولة".</w:t>
      </w:r>
    </w:p>
    <w:p w:rsidR="00000000" w:rsidRDefault="00567B15">
      <w:pPr>
        <w:spacing w:line="380" w:lineRule="exact"/>
        <w:jc w:val="both"/>
        <w:rPr>
          <w:rFonts w:hint="cs"/>
          <w:rtl/>
        </w:rPr>
      </w:pPr>
      <w:r>
        <w:rPr>
          <w:rFonts w:hint="cs"/>
          <w:rtl/>
        </w:rPr>
        <w:t>232-</w:t>
      </w:r>
      <w:r>
        <w:rPr>
          <w:rFonts w:hint="cs"/>
          <w:rtl/>
        </w:rPr>
        <w:tab/>
        <w:t>وبموجب المادة 153 من قانون العمل فإن للمرأة الإكوادورية الحق في إجازة أمومة قانونية لمدة أسبو</w:t>
      </w:r>
      <w:r>
        <w:rPr>
          <w:rFonts w:hint="cs"/>
          <w:rtl/>
        </w:rPr>
        <w:t>عين قبل الولادة و10 أسابيع بعدها.</w:t>
      </w:r>
    </w:p>
    <w:p w:rsidR="00000000" w:rsidRDefault="00567B15">
      <w:pPr>
        <w:spacing w:line="380" w:lineRule="exact"/>
        <w:jc w:val="both"/>
        <w:rPr>
          <w:rFonts w:hint="cs"/>
          <w:rtl/>
        </w:rPr>
      </w:pPr>
      <w:r>
        <w:rPr>
          <w:rFonts w:hint="cs"/>
          <w:rtl/>
        </w:rPr>
        <w:t>233-</w:t>
      </w:r>
      <w:r>
        <w:rPr>
          <w:rFonts w:hint="cs"/>
          <w:rtl/>
        </w:rPr>
        <w:tab/>
        <w:t>ويتولى نظام المؤسسة الإكوادورية للضمان الاجتماعي إدارة مزايا الضمان الاجتماعي حيث يقدم للمؤمن عليهن مزايا الأمومة أثناء الحمل والولادة والنفاس، ويشمل ذلك المزايا التوليدية التالية:</w:t>
      </w:r>
    </w:p>
    <w:p w:rsidR="00000000" w:rsidRDefault="00567B15">
      <w:pPr>
        <w:spacing w:before="180" w:after="180" w:line="380" w:lineRule="exact"/>
        <w:ind w:left="720"/>
        <w:jc w:val="both"/>
        <w:rPr>
          <w:rFonts w:hint="cs"/>
          <w:rtl/>
        </w:rPr>
      </w:pPr>
      <w:r>
        <w:rPr>
          <w:rFonts w:hint="cs"/>
          <w:rtl/>
        </w:rPr>
        <w:t>(د)</w:t>
      </w:r>
      <w:r>
        <w:rPr>
          <w:rFonts w:hint="cs"/>
          <w:rtl/>
        </w:rPr>
        <w:tab/>
        <w:t>الرعاية التوليدية قبل الولادة وأ</w:t>
      </w:r>
      <w:r>
        <w:rPr>
          <w:rFonts w:hint="cs"/>
          <w:rtl/>
        </w:rPr>
        <w:t>ثناءها وبعدها؛</w:t>
      </w:r>
    </w:p>
    <w:p w:rsidR="00000000" w:rsidRDefault="00567B15">
      <w:pPr>
        <w:spacing w:before="180" w:after="180" w:line="380" w:lineRule="exact"/>
        <w:ind w:left="720"/>
        <w:jc w:val="both"/>
        <w:rPr>
          <w:rFonts w:hint="cs"/>
          <w:rtl/>
        </w:rPr>
      </w:pPr>
      <w:r>
        <w:rPr>
          <w:rFonts w:hint="cs"/>
          <w:rtl/>
        </w:rPr>
        <w:t>(ه‍)</w:t>
      </w:r>
      <w:r>
        <w:rPr>
          <w:rFonts w:hint="cs"/>
          <w:rtl/>
        </w:rPr>
        <w:tab/>
        <w:t>المزايا النقدية لمدة 12 أسبوعاً: اثنان قبل الولادة و10 أسابيع بعدها؛</w:t>
      </w:r>
    </w:p>
    <w:p w:rsidR="00000000" w:rsidRDefault="00567B15">
      <w:pPr>
        <w:spacing w:before="180" w:after="180" w:line="380" w:lineRule="exact"/>
        <w:jc w:val="both"/>
        <w:rPr>
          <w:rFonts w:hint="cs"/>
          <w:rtl/>
        </w:rPr>
      </w:pPr>
      <w:r>
        <w:rPr>
          <w:rFonts w:hint="cs"/>
          <w:rtl/>
        </w:rPr>
        <w:tab/>
        <w:t>(و)</w:t>
      </w:r>
      <w:r>
        <w:rPr>
          <w:rFonts w:hint="cs"/>
          <w:rtl/>
        </w:rPr>
        <w:tab/>
        <w:t>الرعاية الشاملة للطفل من أبناء المؤمن عليهم، طوال السنة الأولى من عمره ويشمل ذلك الخدمات الدوائية والإقامة بالمستشفيات.</w:t>
      </w:r>
    </w:p>
    <w:p w:rsidR="00000000" w:rsidRDefault="00567B15">
      <w:pPr>
        <w:spacing w:line="380" w:lineRule="exact"/>
        <w:jc w:val="both"/>
        <w:rPr>
          <w:rFonts w:hint="cs"/>
          <w:rtl/>
        </w:rPr>
      </w:pPr>
      <w:r>
        <w:rPr>
          <w:rFonts w:hint="cs"/>
          <w:rtl/>
        </w:rPr>
        <w:t>234-</w:t>
      </w:r>
      <w:r>
        <w:rPr>
          <w:rFonts w:hint="cs"/>
          <w:rtl/>
        </w:rPr>
        <w:tab/>
        <w:t xml:space="preserve">وتقدم الرعاية التوليدية للمؤمن عليهن </w:t>
      </w:r>
      <w:r>
        <w:rPr>
          <w:rFonts w:hint="cs"/>
          <w:rtl/>
        </w:rPr>
        <w:t>اللائي يكن قد سددن الاشتراكات الإلزامية الشهرية في العام السابق للولادة، باستثناء المؤمن عليهن اختيارياً. إذ عليهن أن يكن قد سددن الاشتراكات لمدة عام حتى يتمتعن بالمزايا التأمينية للمرض والأمومة.</w:t>
      </w:r>
    </w:p>
    <w:p w:rsidR="00000000" w:rsidRDefault="00567B15">
      <w:pPr>
        <w:spacing w:line="380" w:lineRule="exact"/>
        <w:jc w:val="both"/>
        <w:rPr>
          <w:rFonts w:hint="cs"/>
          <w:rtl/>
        </w:rPr>
      </w:pPr>
      <w:r>
        <w:rPr>
          <w:rFonts w:hint="cs"/>
          <w:rtl/>
        </w:rPr>
        <w:t>235-</w:t>
      </w:r>
      <w:r>
        <w:rPr>
          <w:rFonts w:hint="cs"/>
          <w:rtl/>
        </w:rPr>
        <w:tab/>
        <w:t>ويدفع نظام المؤسسة مزايا نقدية تغطي فترة أسبوعين قبل ال</w:t>
      </w:r>
      <w:r>
        <w:rPr>
          <w:rFonts w:hint="cs"/>
          <w:rtl/>
        </w:rPr>
        <w:t>ولادة و10 أسابيع بعدها؛ ويشترط تقديم شهادة من طبيب خاص أو طبيب تابع للمؤسسة. عن الفترة السابقة للولادة وفترة الراحة اللاحقة لها. وتحدد المزايا بنسبة 75 في المائة من آخر أجر للمؤمن عليها.</w:t>
      </w:r>
    </w:p>
    <w:p w:rsidR="00000000" w:rsidRDefault="00567B15">
      <w:pPr>
        <w:spacing w:line="380" w:lineRule="exact"/>
        <w:jc w:val="both"/>
        <w:rPr>
          <w:rFonts w:hint="cs"/>
          <w:rtl/>
        </w:rPr>
      </w:pPr>
      <w:r>
        <w:rPr>
          <w:rFonts w:hint="cs"/>
          <w:rtl/>
        </w:rPr>
        <w:t>236-</w:t>
      </w:r>
      <w:r>
        <w:rPr>
          <w:rFonts w:hint="cs"/>
          <w:rtl/>
        </w:rPr>
        <w:tab/>
        <w:t>وقد تحسن حصول الحوامل على الخدمات الطبية في الآونة الأخيرة. وعلى</w:t>
      </w:r>
      <w:r>
        <w:rPr>
          <w:rFonts w:hint="cs"/>
          <w:rtl/>
        </w:rPr>
        <w:t xml:space="preserve"> سبيل المثال ففي عام 1990 كانت 4 ولادات من بين كل 10 ولادات (38 في المائة) تتلقى المساعدة في المرافق الطبية، وبحلول عام 1998 تضاعفت نسبة الولادات التي تتلقى المساعدة (77 في المائة). ومع ذلك فالفروق بين نوع المساعدة المتلقاة في الولادة، للنساء في المناطق ال</w:t>
      </w:r>
      <w:r>
        <w:rPr>
          <w:rFonts w:hint="cs"/>
          <w:rtl/>
        </w:rPr>
        <w:t>ريفية والحضرية بقيت على ما هي عليه. وفي عام 1998 كانت جل الولادات في المناطق الحضرية (98 في المائة) تتلقى المساعدة من موظفين مهنيين مدربين، وفي المناطق الريفية كان هذا ينطبق على 8 ولادات من بين كل 10 ولادات (82 في المائة)</w:t>
      </w:r>
      <w:r>
        <w:rPr>
          <w:rFonts w:hint="cs"/>
          <w:vertAlign w:val="superscript"/>
          <w:rtl/>
        </w:rPr>
        <w:t>(26)</w:t>
      </w:r>
      <w:r>
        <w:rPr>
          <w:rFonts w:hint="cs"/>
          <w:rtl/>
        </w:rPr>
        <w:t>.</w:t>
      </w:r>
    </w:p>
    <w:p w:rsidR="00000000" w:rsidRDefault="00567B15">
      <w:pPr>
        <w:spacing w:line="380" w:lineRule="exact"/>
        <w:jc w:val="both"/>
        <w:rPr>
          <w:rFonts w:hint="cs"/>
          <w:rtl/>
        </w:rPr>
      </w:pPr>
      <w:r>
        <w:rPr>
          <w:rFonts w:hint="cs"/>
          <w:rtl/>
        </w:rPr>
        <w:t>237-</w:t>
      </w:r>
      <w:r>
        <w:rPr>
          <w:rFonts w:hint="cs"/>
          <w:rtl/>
        </w:rPr>
        <w:tab/>
        <w:t>ومن دواعي القلق أن رعاية</w:t>
      </w:r>
      <w:r>
        <w:rPr>
          <w:rFonts w:hint="cs"/>
          <w:rtl/>
        </w:rPr>
        <w:t xml:space="preserve"> الحوامل لم تتحسن طوال العقد. وظل الإشراف الطبي على الحوامل بين الإكوادوريات، وهو غير كاف أساساً، دون تغيير فيما بين عامي 1995 و1998 حيث كانت المرأة تفحص خمس مرات في المتوسط إبان الحمل. أما في المدن فكانت المرأة تفحص طبياً ست مرات في المتوسط؛ وفي المناطق ا</w:t>
      </w:r>
      <w:r>
        <w:rPr>
          <w:rFonts w:hint="cs"/>
          <w:rtl/>
        </w:rPr>
        <w:t>لريفية لا يكاد المتوسط يصل إلى أربعة فحوص.</w:t>
      </w:r>
    </w:p>
    <w:p w:rsidR="00000000" w:rsidRDefault="00567B15">
      <w:pPr>
        <w:spacing w:line="380" w:lineRule="exact"/>
        <w:jc w:val="both"/>
        <w:rPr>
          <w:rFonts w:hint="cs"/>
          <w:rtl/>
        </w:rPr>
      </w:pPr>
      <w:r>
        <w:rPr>
          <w:rFonts w:hint="cs"/>
          <w:rtl/>
        </w:rPr>
        <w:t>238-</w:t>
      </w:r>
      <w:r>
        <w:rPr>
          <w:rFonts w:hint="cs"/>
          <w:rtl/>
        </w:rPr>
        <w:tab/>
        <w:t>ونقص الرعاية أكثر ظهوراً بين نساء السكان الأصليين اللائي لا يفحصن سوى مرتين في المتوسط قبل الولادة. وفي عام 1995 لم تفحص 42 في المائة من نساء السكان الأصليين قبل الولادة على الإطلاق</w:t>
      </w:r>
      <w:r>
        <w:rPr>
          <w:rFonts w:hint="cs"/>
          <w:vertAlign w:val="superscript"/>
          <w:rtl/>
        </w:rPr>
        <w:t>(27)</w:t>
      </w:r>
      <w:r>
        <w:rPr>
          <w:rFonts w:hint="cs"/>
          <w:rtl/>
        </w:rPr>
        <w:t>.</w:t>
      </w:r>
    </w:p>
    <w:p w:rsidR="00000000" w:rsidRDefault="00567B15">
      <w:pPr>
        <w:spacing w:line="380" w:lineRule="exact"/>
        <w:jc w:val="both"/>
        <w:rPr>
          <w:rFonts w:hint="cs"/>
          <w:spacing w:val="2"/>
          <w:rtl/>
        </w:rPr>
      </w:pPr>
      <w:r>
        <w:rPr>
          <w:rFonts w:hint="cs"/>
          <w:spacing w:val="2"/>
          <w:rtl/>
        </w:rPr>
        <w:t>239-</w:t>
      </w:r>
      <w:r>
        <w:rPr>
          <w:rFonts w:hint="cs"/>
          <w:spacing w:val="2"/>
          <w:rtl/>
        </w:rPr>
        <w:tab/>
        <w:t>وأخيراً، فقد كان</w:t>
      </w:r>
      <w:r>
        <w:rPr>
          <w:rFonts w:hint="cs"/>
          <w:spacing w:val="2"/>
          <w:rtl/>
        </w:rPr>
        <w:t xml:space="preserve"> هناك هدف آخر هو تحسين الحصول على المعلومات وخدمات التثقيف وتنظيم الأسرة. ففي عام 1994 كانت الأغلبية الساحقة من الإكوادوريات (92 في المائة) لديها علم بطريقة أو أخرى من طرق منع الحمل، ولكن كان مستوى الوعي أدنى من ذلك بين النساء في المناطق الريفية (85 في الم</w:t>
      </w:r>
      <w:r>
        <w:rPr>
          <w:rFonts w:hint="cs"/>
          <w:spacing w:val="2"/>
          <w:rtl/>
        </w:rPr>
        <w:t>ائة). وطرأت على استعمال موانع الحمل زيادة مطردة في المناطق الريفية والحضرية على السواء. ففي عام 1994 كان أكثر من نصف النساء المقترنات برجال يستخدمن موانع الحمل (66 في المائة) في المدن و44 في المائة في المناطق الريفية)؛ وفي عام 1998 كانت 4 نساء من بين كل 10</w:t>
      </w:r>
      <w:r>
        <w:rPr>
          <w:rFonts w:hint="cs"/>
          <w:spacing w:val="2"/>
          <w:rtl/>
        </w:rPr>
        <w:t xml:space="preserve"> نساء في سن الحمل يستعملن موانع الحمل، سواء أكن مقترنات برجال أم لا</w:t>
      </w:r>
      <w:r>
        <w:rPr>
          <w:rFonts w:hint="cs"/>
          <w:spacing w:val="2"/>
          <w:vertAlign w:val="superscript"/>
          <w:rtl/>
        </w:rPr>
        <w:t>(28)</w:t>
      </w:r>
      <w:r>
        <w:rPr>
          <w:rFonts w:hint="cs"/>
          <w:spacing w:val="2"/>
          <w:rtl/>
        </w:rPr>
        <w:t>.</w:t>
      </w:r>
    </w:p>
    <w:p w:rsidR="00000000" w:rsidRDefault="00567B15">
      <w:pPr>
        <w:spacing w:line="380" w:lineRule="exact"/>
        <w:jc w:val="both"/>
        <w:rPr>
          <w:rFonts w:hint="cs"/>
          <w:b/>
          <w:bCs/>
          <w:rtl/>
        </w:rPr>
      </w:pPr>
      <w:r>
        <w:rPr>
          <w:rFonts w:hint="cs"/>
          <w:b/>
          <w:bCs/>
          <w:rtl/>
        </w:rPr>
        <w:t>حماية الطفل</w:t>
      </w:r>
    </w:p>
    <w:p w:rsidR="00000000" w:rsidRDefault="00567B15">
      <w:pPr>
        <w:spacing w:line="380" w:lineRule="exact"/>
        <w:jc w:val="both"/>
        <w:rPr>
          <w:rFonts w:hint="cs"/>
          <w:rtl/>
        </w:rPr>
      </w:pPr>
      <w:r>
        <w:rPr>
          <w:rFonts w:hint="cs"/>
          <w:rtl/>
        </w:rPr>
        <w:t>240-</w:t>
      </w:r>
      <w:r>
        <w:rPr>
          <w:rFonts w:hint="cs"/>
          <w:rtl/>
        </w:rPr>
        <w:tab/>
        <w:t>تحمي الدولة الإكوادورية الأطفال من سوء المعاملة الاقتصادية بتطبيقها قانون العمل وقانون الطفل. فهي ترسي سياسات لحماية الأطفال المعالين في أماكن العمل. وتنظم الدولة أنو</w:t>
      </w:r>
      <w:r>
        <w:rPr>
          <w:rFonts w:hint="cs"/>
          <w:rtl/>
        </w:rPr>
        <w:t>اع العمل التي يجوز أن يقوم بها الأطفال وتفرض حظر على الأعمال التي تشكل تهديداً لحياتهم أو لنموهم الجسماني والعقلي والروحي والنفسي أو التي تعوق تعليمهم.</w:t>
      </w:r>
    </w:p>
    <w:p w:rsidR="00000000" w:rsidRDefault="00567B15">
      <w:pPr>
        <w:spacing w:line="380" w:lineRule="exact"/>
        <w:jc w:val="both"/>
        <w:rPr>
          <w:rFonts w:hint="cs"/>
          <w:rtl/>
        </w:rPr>
      </w:pPr>
      <w:r>
        <w:rPr>
          <w:rFonts w:hint="cs"/>
          <w:rtl/>
        </w:rPr>
        <w:t>241-</w:t>
      </w:r>
      <w:r>
        <w:rPr>
          <w:rFonts w:hint="cs"/>
          <w:rtl/>
        </w:rPr>
        <w:tab/>
        <w:t>ويحظر عمل الأطفال في المناجم أو في أماكن إلقاء القمامة أو الأعمال التي تنطوي على التعامل مع الأجسام</w:t>
      </w:r>
      <w:r>
        <w:rPr>
          <w:rFonts w:hint="cs"/>
          <w:rtl/>
        </w:rPr>
        <w:t xml:space="preserve"> أو المواد السمية أو ذات التأثير النفسي، أو العمل ليلاً.</w:t>
      </w:r>
    </w:p>
    <w:p w:rsidR="00000000" w:rsidRDefault="00567B15">
      <w:pPr>
        <w:spacing w:line="380" w:lineRule="exact"/>
        <w:jc w:val="both"/>
        <w:rPr>
          <w:rFonts w:hint="cs"/>
          <w:rtl/>
        </w:rPr>
      </w:pPr>
      <w:r>
        <w:rPr>
          <w:rFonts w:hint="cs"/>
          <w:rtl/>
        </w:rPr>
        <w:t>242-</w:t>
      </w:r>
      <w:r>
        <w:rPr>
          <w:rFonts w:hint="cs"/>
          <w:rtl/>
        </w:rPr>
        <w:tab/>
        <w:t>وتحظر المادة 34 من قانون العمل استخدام الأطفال دون سن 14 عاماً: "فاستخدام أشخاص تتراوح أعمارهم بين 14 عاماً و18 عاماً يقتضي إذناً صريحاً من الولي القانوني، وإن لم يوجد فمن أقرب أقربائه أو المسؤو</w:t>
      </w:r>
      <w:r>
        <w:rPr>
          <w:rFonts w:hint="cs"/>
          <w:rtl/>
        </w:rPr>
        <w:t>ل عن إعالته أو رعايته. فإذا لم يوجد أحد من هؤلاء جاز لمحكمة الشباب أن تمنح الإذن".</w:t>
      </w:r>
    </w:p>
    <w:p w:rsidR="00000000" w:rsidRDefault="00567B15">
      <w:pPr>
        <w:spacing w:line="380" w:lineRule="exact"/>
        <w:jc w:val="both"/>
        <w:rPr>
          <w:rFonts w:hint="cs"/>
          <w:rtl/>
        </w:rPr>
      </w:pPr>
      <w:r>
        <w:rPr>
          <w:rFonts w:hint="cs"/>
          <w:rtl/>
        </w:rPr>
        <w:t>243-</w:t>
      </w:r>
      <w:r>
        <w:rPr>
          <w:rFonts w:hint="cs"/>
          <w:rtl/>
        </w:rPr>
        <w:tab/>
        <w:t>وتنص المادة 157 من قانون الشباب على أن "تأذن محكمة الشباب بأن يعمل الإبن المعال شريطة أن يكون النشاط متفقاً مع وضعه ولا يمنعه من مواصلة تعليمه ولا يضر بصحته. وتمنح المح</w:t>
      </w:r>
      <w:r>
        <w:rPr>
          <w:rFonts w:hint="cs"/>
          <w:rtl/>
        </w:rPr>
        <w:t>كمة الإذن رهناً بتقرير من فريق اجتماعي أو من سلطة العمل المختصة".</w:t>
      </w:r>
    </w:p>
    <w:p w:rsidR="00000000" w:rsidRDefault="00567B15">
      <w:pPr>
        <w:spacing w:line="380" w:lineRule="exact"/>
        <w:jc w:val="both"/>
        <w:rPr>
          <w:rFonts w:hint="cs"/>
          <w:spacing w:val="2"/>
          <w:rtl/>
        </w:rPr>
      </w:pPr>
      <w:r>
        <w:rPr>
          <w:rFonts w:hint="cs"/>
          <w:spacing w:val="2"/>
          <w:rtl/>
        </w:rPr>
        <w:t>244-</w:t>
      </w:r>
      <w:r>
        <w:rPr>
          <w:rFonts w:hint="cs"/>
          <w:spacing w:val="2"/>
          <w:rtl/>
        </w:rPr>
        <w:tab/>
        <w:t>وتنص المادة 158 من قانون الطفل على أن تحتفظ محكمة الشباب بسجل لهذه الأذون وأن تقدم إلى إدارة العمل والمواد البشرية وإدارة حماية الطفل، نسخة من القيد، إذا وقعت عقوبة عدم امتثال. ويتضمن ا</w:t>
      </w:r>
      <w:r>
        <w:rPr>
          <w:rFonts w:hint="cs"/>
          <w:spacing w:val="2"/>
          <w:rtl/>
        </w:rPr>
        <w:t>لسجل معلومات عن العمل ونوع العمر ومكانه والمؤسسة التعليمية، وعند الاقتضاء، معلومات عن طول يوم العمل والأجر.</w:t>
      </w:r>
    </w:p>
    <w:p w:rsidR="00000000" w:rsidRDefault="00567B15">
      <w:pPr>
        <w:spacing w:line="380" w:lineRule="exact"/>
        <w:jc w:val="both"/>
        <w:rPr>
          <w:rFonts w:hint="cs"/>
          <w:rtl/>
        </w:rPr>
      </w:pPr>
      <w:r>
        <w:rPr>
          <w:rFonts w:hint="cs"/>
          <w:rtl/>
        </w:rPr>
        <w:t>245-</w:t>
      </w:r>
      <w:r>
        <w:rPr>
          <w:rFonts w:hint="cs"/>
          <w:rtl/>
        </w:rPr>
        <w:tab/>
        <w:t>وتقوم الحكومة، من خلال وزارة الرعاية الاجتماعية، وبالاشتراك مع وكالات حكومية وخاصة ومع منظمات غير حكومية، بتنفيذ برامج تضمن عدم تعرض القصّر لاس</w:t>
      </w:r>
      <w:r>
        <w:rPr>
          <w:rFonts w:hint="cs"/>
          <w:rtl/>
        </w:rPr>
        <w:t xml:space="preserve">تغلال اقتصادي، وتقدم إعانات مالية تكفل حصول معظم القطاع المستضعف من السكان، على الخدمات؛ وتشمل فئات المساعدة الأغذية وصرف الأدوية والإمدادات والمواد وإقامة حلقات العمل، وتوفير السلع الأساسية ومجموعات لعب الأطفال، والمعدات، وصحة الأطفال ودخولهم المستشفيات، </w:t>
      </w:r>
      <w:r>
        <w:rPr>
          <w:rFonts w:hint="cs"/>
          <w:rtl/>
        </w:rPr>
        <w:t>كما تشمل الاحتفال بيوم الطفل وأعياد الميلاد وتوفير الخدمات وغير ذلك.</w:t>
      </w:r>
    </w:p>
    <w:p w:rsidR="00000000" w:rsidRDefault="00567B15">
      <w:pPr>
        <w:spacing w:line="380" w:lineRule="exact"/>
        <w:jc w:val="both"/>
        <w:rPr>
          <w:rFonts w:hint="cs"/>
          <w:rtl/>
        </w:rPr>
      </w:pPr>
      <w:r>
        <w:rPr>
          <w:rFonts w:hint="cs"/>
          <w:rtl/>
        </w:rPr>
        <w:t>246-</w:t>
      </w:r>
      <w:r>
        <w:rPr>
          <w:rFonts w:hint="cs"/>
          <w:rtl/>
        </w:rPr>
        <w:tab/>
        <w:t>وتأتي تدابير الحماية بالأشكال التالية:</w:t>
      </w:r>
    </w:p>
    <w:p w:rsidR="00000000" w:rsidRDefault="00567B15">
      <w:pPr>
        <w:spacing w:before="180" w:after="180" w:line="380" w:lineRule="exact"/>
        <w:ind w:firstLine="720"/>
        <w:jc w:val="both"/>
        <w:rPr>
          <w:rFonts w:hint="cs"/>
          <w:rtl/>
        </w:rPr>
      </w:pPr>
      <w:r>
        <w:rPr>
          <w:rFonts w:hint="cs"/>
          <w:rtl/>
        </w:rPr>
        <w:t>(أ)</w:t>
      </w:r>
      <w:r>
        <w:rPr>
          <w:rFonts w:hint="cs"/>
          <w:rtl/>
        </w:rPr>
        <w:tab/>
        <w:t>توفير الإقامة: وهذا حل انتقالي أو مؤقت أثناء البحث عن مجال عمل على أساس من مفهوم حق كل طفل في أن يربى في أحضان أسرة وفي حماية والديه، أو في</w:t>
      </w:r>
      <w:r>
        <w:rPr>
          <w:rFonts w:hint="cs"/>
          <w:rtl/>
        </w:rPr>
        <w:t xml:space="preserve"> حالة عدم وجودهما، حماية من يستطيعون إحاطته بالحنان والحماية. ولأسرة الطفل أولوية، وتبذل المؤسسة قصارى جهدها لدعم الأسرة وتجنب الأزمات التي قد ينجم عنها ترك الطفل، ولاستعادة الروابط مع الطفل وتمتينها؛</w:t>
      </w:r>
    </w:p>
    <w:p w:rsidR="00000000" w:rsidRDefault="00567B15">
      <w:pPr>
        <w:spacing w:before="180" w:after="180" w:line="380" w:lineRule="exact"/>
        <w:ind w:firstLine="720"/>
        <w:jc w:val="both"/>
        <w:rPr>
          <w:rFonts w:hint="cs"/>
          <w:rtl/>
        </w:rPr>
      </w:pPr>
      <w:r>
        <w:rPr>
          <w:rFonts w:hint="cs"/>
          <w:rtl/>
        </w:rPr>
        <w:t>(ب)</w:t>
      </w:r>
      <w:r>
        <w:rPr>
          <w:rFonts w:hint="cs"/>
          <w:rtl/>
        </w:rPr>
        <w:tab/>
        <w:t>توفير نصف الإقامة: وفي هذا الشكل من أشكال الرعاية ي</w:t>
      </w:r>
      <w:r>
        <w:rPr>
          <w:rFonts w:hint="cs"/>
          <w:rtl/>
        </w:rPr>
        <w:t>ظل الأطفال والشباب في المؤسسة من يوم الاثنين إلى يوم الجمعة وتقدم لهم الخدمات التقنية (العمل الاجتماعي والنفسي والطبي) والرعاية (الأغذية وخدمات الصحة والسكن والتعليم). ويقضون الفترة من الجمعة إلى الأحد مع أسرهم؛</w:t>
      </w:r>
    </w:p>
    <w:p w:rsidR="00000000" w:rsidRDefault="00567B15">
      <w:pPr>
        <w:spacing w:before="180" w:after="180" w:line="380" w:lineRule="exact"/>
        <w:ind w:firstLine="720"/>
        <w:jc w:val="both"/>
        <w:rPr>
          <w:rFonts w:hint="cs"/>
          <w:rtl/>
        </w:rPr>
      </w:pPr>
      <w:r>
        <w:rPr>
          <w:rFonts w:hint="cs"/>
          <w:rtl/>
        </w:rPr>
        <w:t>(ج)</w:t>
      </w:r>
      <w:r>
        <w:rPr>
          <w:rFonts w:hint="cs"/>
          <w:rtl/>
        </w:rPr>
        <w:tab/>
        <w:t>توفير مركز للوجبات مع الدعم التعليمي: تر</w:t>
      </w:r>
      <w:r>
        <w:rPr>
          <w:rFonts w:hint="cs"/>
          <w:rtl/>
        </w:rPr>
        <w:t>عى الأطفال الشباب الذين يحضرون في أوقات معينة من يوم الاثنين إلى يوم الجمعة وتقدم لهم الأغذية والدعم التعليمي والرعاية الطبية والنفسية. وفي مراكز وجبات الأطفال ينصب التركيز على تقديم الدعم التغذوي للأطفال وللشباب المعرضين للخطر بقصد كفالة النمو الجسماني ال</w:t>
      </w:r>
      <w:r>
        <w:rPr>
          <w:rFonts w:hint="cs"/>
          <w:rtl/>
        </w:rPr>
        <w:t>ملائم للأطفال؛</w:t>
      </w:r>
    </w:p>
    <w:p w:rsidR="00000000" w:rsidRDefault="00567B15">
      <w:pPr>
        <w:spacing w:before="180" w:after="180" w:line="380" w:lineRule="exact"/>
        <w:ind w:firstLine="720"/>
        <w:jc w:val="both"/>
        <w:rPr>
          <w:rFonts w:hint="cs"/>
          <w:rtl/>
        </w:rPr>
      </w:pPr>
      <w:r>
        <w:rPr>
          <w:rFonts w:hint="cs"/>
          <w:rtl/>
        </w:rPr>
        <w:t>(د)</w:t>
      </w:r>
      <w:r>
        <w:rPr>
          <w:rFonts w:hint="cs"/>
          <w:rtl/>
        </w:rPr>
        <w:tab/>
        <w:t>الرعاية النهارية: وتقدم هذه الخدمة إلى الأطفال بين 4 أشهر و5 سنوات ممن يحضرون إلى مراكز الطفل في النهار بغرض تعزيز النمو الشامل للطفل (التحفيز المبكر والصحة والتغذية).</w:t>
      </w:r>
    </w:p>
    <w:p w:rsidR="00000000" w:rsidRDefault="00567B15">
      <w:pPr>
        <w:spacing w:line="380" w:lineRule="exact"/>
        <w:jc w:val="both"/>
        <w:rPr>
          <w:rFonts w:hint="cs"/>
          <w:i/>
          <w:iCs/>
          <w:rtl/>
        </w:rPr>
      </w:pPr>
      <w:r>
        <w:rPr>
          <w:rFonts w:hint="cs"/>
          <w:i/>
          <w:iCs/>
          <w:rtl/>
        </w:rPr>
        <w:t>العاملون في ميدان الطفل</w:t>
      </w:r>
    </w:p>
    <w:p w:rsidR="00000000" w:rsidRDefault="00567B15">
      <w:pPr>
        <w:spacing w:line="380" w:lineRule="exact"/>
        <w:jc w:val="both"/>
        <w:rPr>
          <w:rFonts w:hint="cs"/>
          <w:rtl/>
        </w:rPr>
      </w:pPr>
      <w:r>
        <w:rPr>
          <w:rFonts w:hint="cs"/>
          <w:rtl/>
        </w:rPr>
        <w:t>247-</w:t>
      </w:r>
      <w:r>
        <w:rPr>
          <w:rFonts w:hint="cs"/>
          <w:rtl/>
        </w:rPr>
        <w:tab/>
        <w:t xml:space="preserve">يهدف هذا المؤشر إلى تحديد الأطفال الذين </w:t>
      </w:r>
      <w:r>
        <w:rPr>
          <w:rFonts w:hint="cs"/>
          <w:rtl/>
        </w:rPr>
        <w:t>لا يحصلون على التعليم أو الذين يجدون صعوبة في الحصول عليه لاضطرارهم للعمل. وهو يبرز، على سبيل المثال، عدد الأطفال الذين يعملون وهم دون السن القانونية للعمل، وما إذا كانت لديهم القدرة على الدراسة، وبيان عدد الأطفال غير المقيدين في المدارس</w:t>
      </w:r>
      <w:r>
        <w:rPr>
          <w:rFonts w:hint="cs"/>
          <w:vertAlign w:val="superscript"/>
          <w:rtl/>
        </w:rPr>
        <w:t>(29)</w:t>
      </w:r>
      <w:r>
        <w:rPr>
          <w:rFonts w:hint="cs"/>
          <w:rtl/>
        </w:rPr>
        <w:t>.</w:t>
      </w:r>
    </w:p>
    <w:p w:rsidR="00000000" w:rsidRDefault="00567B15">
      <w:pPr>
        <w:spacing w:line="380" w:lineRule="exact"/>
        <w:jc w:val="both"/>
        <w:rPr>
          <w:rFonts w:hint="cs"/>
          <w:rtl/>
        </w:rPr>
      </w:pPr>
    </w:p>
    <w:p w:rsidR="00000000" w:rsidRDefault="00567B15">
      <w:pPr>
        <w:spacing w:line="380" w:lineRule="exact"/>
        <w:jc w:val="both"/>
        <w:rPr>
          <w:rFonts w:hint="cs"/>
          <w:rtl/>
        </w:rPr>
      </w:pP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1"/>
        <w:gridCol w:w="3190"/>
        <w:gridCol w:w="3080"/>
      </w:tblGrid>
      <w:tr w:rsidR="00567B15" w:rsidTr="00567B15">
        <w:tblPrEx>
          <w:tblCellMar>
            <w:top w:w="0" w:type="dxa"/>
            <w:bottom w:w="0" w:type="dxa"/>
          </w:tblCellMar>
        </w:tblPrEx>
        <w:tc>
          <w:tcPr>
            <w:tcW w:w="3081"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التفاصيل على المستوى القومي</w:t>
            </w:r>
          </w:p>
        </w:tc>
        <w:tc>
          <w:tcPr>
            <w:tcW w:w="3190"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الأطفال من سن 8 إلى 17 عاماً</w:t>
            </w:r>
          </w:p>
        </w:tc>
        <w:tc>
          <w:tcPr>
            <w:tcW w:w="3080"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النسبة المئوية</w:t>
            </w:r>
          </w:p>
        </w:tc>
      </w:tr>
      <w:tr w:rsidR="00567B15" w:rsidTr="00567B15">
        <w:tblPrEx>
          <w:tblCellMar>
            <w:top w:w="0" w:type="dxa"/>
            <w:bottom w:w="0" w:type="dxa"/>
          </w:tblCellMar>
        </w:tblPrEx>
        <w:tc>
          <w:tcPr>
            <w:tcW w:w="3081"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أطفال يدرسون ولا يدرسون</w:t>
            </w:r>
          </w:p>
        </w:tc>
        <w:tc>
          <w:tcPr>
            <w:tcW w:w="3190" w:type="dxa"/>
            <w:tcBorders>
              <w:bottom w:val="nil"/>
            </w:tcBorders>
          </w:tcPr>
          <w:p w:rsidR="00567B15" w:rsidRDefault="00567B15">
            <w:pPr>
              <w:spacing w:before="0" w:after="0" w:line="340" w:lineRule="exact"/>
              <w:ind w:left="1124"/>
              <w:jc w:val="both"/>
              <w:rPr>
                <w:rStyle w:val="FootnoteReference"/>
                <w:rFonts w:hint="cs"/>
                <w:bCs w:val="0"/>
                <w:sz w:val="26"/>
                <w:szCs w:val="26"/>
                <w:vertAlign w:val="baseline"/>
              </w:rPr>
            </w:pPr>
            <w:r>
              <w:rPr>
                <w:rFonts w:hint="cs"/>
                <w:sz w:val="26"/>
                <w:szCs w:val="26"/>
                <w:rtl/>
              </w:rPr>
              <w:t>296 281</w:t>
            </w:r>
          </w:p>
        </w:tc>
        <w:tc>
          <w:tcPr>
            <w:tcW w:w="3080" w:type="dxa"/>
            <w:tcBorders>
              <w:bottom w:val="nil"/>
            </w:tcBorders>
          </w:tcPr>
          <w:p w:rsidR="00567B15" w:rsidRDefault="00567B15">
            <w:pPr>
              <w:spacing w:before="0" w:after="0" w:line="340" w:lineRule="exact"/>
              <w:ind w:left="1174"/>
              <w:jc w:val="both"/>
              <w:rPr>
                <w:rStyle w:val="FootnoteReference"/>
                <w:rFonts w:hint="cs"/>
                <w:bCs w:val="0"/>
                <w:sz w:val="26"/>
                <w:szCs w:val="26"/>
                <w:vertAlign w:val="baseline"/>
              </w:rPr>
            </w:pPr>
            <w:r>
              <w:rPr>
                <w:rFonts w:hint="cs"/>
                <w:sz w:val="26"/>
                <w:szCs w:val="26"/>
                <w:rtl/>
              </w:rPr>
              <w:t>11.8</w:t>
            </w:r>
          </w:p>
        </w:tc>
      </w:tr>
      <w:tr w:rsidR="00567B15" w:rsidTr="00567B15">
        <w:tblPrEx>
          <w:tblCellMar>
            <w:top w:w="0" w:type="dxa"/>
            <w:bottom w:w="0" w:type="dxa"/>
          </w:tblCellMar>
        </w:tblPrEx>
        <w:tc>
          <w:tcPr>
            <w:tcW w:w="3081"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أطفال لا يعملون ولا يدرسون</w:t>
            </w:r>
          </w:p>
        </w:tc>
        <w:tc>
          <w:tcPr>
            <w:tcW w:w="3190" w:type="dxa"/>
            <w:tcBorders>
              <w:top w:val="nil"/>
              <w:bottom w:val="nil"/>
            </w:tcBorders>
          </w:tcPr>
          <w:p w:rsidR="00567B15" w:rsidRDefault="00567B15">
            <w:pPr>
              <w:spacing w:before="0" w:after="0" w:line="340" w:lineRule="exact"/>
              <w:ind w:left="1124"/>
              <w:jc w:val="both"/>
              <w:rPr>
                <w:rFonts w:hint="cs"/>
                <w:sz w:val="26"/>
                <w:szCs w:val="26"/>
                <w:rtl/>
              </w:rPr>
            </w:pPr>
            <w:r>
              <w:rPr>
                <w:rFonts w:hint="cs"/>
                <w:sz w:val="26"/>
                <w:szCs w:val="26"/>
                <w:rtl/>
              </w:rPr>
              <w:t>991 224</w:t>
            </w:r>
          </w:p>
        </w:tc>
        <w:tc>
          <w:tcPr>
            <w:tcW w:w="3080" w:type="dxa"/>
            <w:tcBorders>
              <w:top w:val="nil"/>
              <w:bottom w:val="nil"/>
            </w:tcBorders>
          </w:tcPr>
          <w:p w:rsidR="00567B15" w:rsidRDefault="00567B15">
            <w:pPr>
              <w:spacing w:before="0" w:after="0" w:line="340" w:lineRule="exact"/>
              <w:ind w:left="1174"/>
              <w:jc w:val="both"/>
              <w:rPr>
                <w:rFonts w:hint="cs"/>
                <w:sz w:val="26"/>
                <w:szCs w:val="26"/>
                <w:rtl/>
              </w:rPr>
            </w:pPr>
            <w:r>
              <w:rPr>
                <w:rFonts w:hint="cs"/>
                <w:sz w:val="26"/>
                <w:szCs w:val="26"/>
                <w:rtl/>
              </w:rPr>
              <w:t>9.5</w:t>
            </w:r>
          </w:p>
        </w:tc>
      </w:tr>
      <w:tr w:rsidR="00567B15" w:rsidTr="00567B15">
        <w:tblPrEx>
          <w:tblCellMar>
            <w:top w:w="0" w:type="dxa"/>
            <w:bottom w:w="0" w:type="dxa"/>
          </w:tblCellMar>
        </w:tblPrEx>
        <w:tc>
          <w:tcPr>
            <w:tcW w:w="3081"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أطفال يدرسون ولا يعملون</w:t>
            </w:r>
          </w:p>
        </w:tc>
        <w:tc>
          <w:tcPr>
            <w:tcW w:w="3190" w:type="dxa"/>
            <w:tcBorders>
              <w:top w:val="nil"/>
              <w:bottom w:val="nil"/>
            </w:tcBorders>
          </w:tcPr>
          <w:p w:rsidR="00567B15" w:rsidRDefault="00567B15">
            <w:pPr>
              <w:spacing w:before="0" w:after="0" w:line="340" w:lineRule="exact"/>
              <w:ind w:left="1124"/>
              <w:jc w:val="both"/>
              <w:rPr>
                <w:rFonts w:hint="cs"/>
                <w:sz w:val="26"/>
                <w:szCs w:val="26"/>
                <w:rtl/>
              </w:rPr>
            </w:pPr>
            <w:r>
              <w:rPr>
                <w:rFonts w:hint="cs"/>
                <w:sz w:val="26"/>
                <w:szCs w:val="26"/>
                <w:rtl/>
              </w:rPr>
              <w:t>496 742 1</w:t>
            </w:r>
          </w:p>
        </w:tc>
        <w:tc>
          <w:tcPr>
            <w:tcW w:w="3080" w:type="dxa"/>
            <w:tcBorders>
              <w:top w:val="nil"/>
              <w:bottom w:val="nil"/>
            </w:tcBorders>
          </w:tcPr>
          <w:p w:rsidR="00567B15" w:rsidRDefault="00567B15">
            <w:pPr>
              <w:spacing w:before="0" w:after="0" w:line="340" w:lineRule="exact"/>
              <w:ind w:left="1174"/>
              <w:jc w:val="both"/>
              <w:rPr>
                <w:rFonts w:hint="cs"/>
                <w:sz w:val="26"/>
                <w:szCs w:val="26"/>
                <w:rtl/>
              </w:rPr>
            </w:pPr>
            <w:r>
              <w:rPr>
                <w:rFonts w:hint="cs"/>
                <w:sz w:val="26"/>
                <w:szCs w:val="26"/>
                <w:rtl/>
              </w:rPr>
              <w:t>73.4</w:t>
            </w:r>
          </w:p>
        </w:tc>
      </w:tr>
      <w:tr w:rsidR="00567B15" w:rsidTr="00567B15">
        <w:tblPrEx>
          <w:tblCellMar>
            <w:top w:w="0" w:type="dxa"/>
            <w:bottom w:w="0" w:type="dxa"/>
          </w:tblCellMar>
        </w:tblPrEx>
        <w:tc>
          <w:tcPr>
            <w:tcW w:w="3081" w:type="dxa"/>
            <w:tcBorders>
              <w:top w:val="nil"/>
              <w:bottom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أطفال يعملون ويدرسون</w:t>
            </w:r>
          </w:p>
        </w:tc>
        <w:tc>
          <w:tcPr>
            <w:tcW w:w="3190" w:type="dxa"/>
            <w:tcBorders>
              <w:top w:val="nil"/>
              <w:bottom w:val="single" w:sz="4" w:space="0" w:color="auto"/>
            </w:tcBorders>
          </w:tcPr>
          <w:p w:rsidR="00567B15" w:rsidRDefault="00567B15">
            <w:pPr>
              <w:spacing w:before="0" w:after="0" w:line="340" w:lineRule="exact"/>
              <w:ind w:left="1124"/>
              <w:jc w:val="both"/>
              <w:rPr>
                <w:rFonts w:hint="cs"/>
                <w:sz w:val="26"/>
                <w:szCs w:val="26"/>
                <w:rtl/>
              </w:rPr>
            </w:pPr>
            <w:r>
              <w:rPr>
                <w:rFonts w:hint="cs"/>
                <w:sz w:val="26"/>
                <w:szCs w:val="26"/>
                <w:rtl/>
              </w:rPr>
              <w:t>394 125</w:t>
            </w:r>
          </w:p>
        </w:tc>
        <w:tc>
          <w:tcPr>
            <w:tcW w:w="3080" w:type="dxa"/>
            <w:tcBorders>
              <w:top w:val="nil"/>
              <w:bottom w:val="single" w:sz="4" w:space="0" w:color="auto"/>
            </w:tcBorders>
          </w:tcPr>
          <w:p w:rsidR="00567B15" w:rsidRDefault="00567B15">
            <w:pPr>
              <w:spacing w:before="0" w:after="0" w:line="340" w:lineRule="exact"/>
              <w:ind w:left="1174"/>
              <w:jc w:val="both"/>
              <w:rPr>
                <w:rFonts w:hint="cs"/>
                <w:sz w:val="26"/>
                <w:szCs w:val="26"/>
                <w:rtl/>
              </w:rPr>
            </w:pPr>
            <w:r>
              <w:rPr>
                <w:rFonts w:hint="cs"/>
                <w:sz w:val="26"/>
                <w:szCs w:val="26"/>
                <w:rtl/>
              </w:rPr>
              <w:t>5.3</w:t>
            </w:r>
          </w:p>
        </w:tc>
      </w:tr>
      <w:tr w:rsidR="00567B15" w:rsidTr="00567B15">
        <w:tblPrEx>
          <w:tblCellMar>
            <w:top w:w="0" w:type="dxa"/>
            <w:bottom w:w="0" w:type="dxa"/>
          </w:tblCellMar>
        </w:tblPrEx>
        <w:trPr>
          <w:trHeight w:val="386"/>
        </w:trPr>
        <w:tc>
          <w:tcPr>
            <w:tcW w:w="3081" w:type="dxa"/>
            <w:tcBorders>
              <w:top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المجموع</w:t>
            </w:r>
          </w:p>
        </w:tc>
        <w:tc>
          <w:tcPr>
            <w:tcW w:w="3190" w:type="dxa"/>
            <w:tcBorders>
              <w:top w:val="single" w:sz="4" w:space="0" w:color="auto"/>
            </w:tcBorders>
          </w:tcPr>
          <w:p w:rsidR="00567B15" w:rsidRDefault="00567B15">
            <w:pPr>
              <w:spacing w:before="0" w:after="0" w:line="340" w:lineRule="exact"/>
              <w:ind w:left="1124"/>
              <w:jc w:val="both"/>
              <w:rPr>
                <w:rFonts w:hint="cs"/>
                <w:sz w:val="26"/>
                <w:szCs w:val="26"/>
                <w:rtl/>
              </w:rPr>
            </w:pPr>
            <w:r>
              <w:rPr>
                <w:rFonts w:hint="cs"/>
                <w:sz w:val="26"/>
                <w:szCs w:val="26"/>
                <w:rtl/>
              </w:rPr>
              <w:t>177 374 2</w:t>
            </w:r>
          </w:p>
        </w:tc>
        <w:tc>
          <w:tcPr>
            <w:tcW w:w="3080" w:type="dxa"/>
            <w:tcBorders>
              <w:top w:val="single" w:sz="4" w:space="0" w:color="auto"/>
            </w:tcBorders>
          </w:tcPr>
          <w:p w:rsidR="00567B15" w:rsidRDefault="00567B15">
            <w:pPr>
              <w:spacing w:before="0" w:after="0" w:line="340" w:lineRule="exact"/>
              <w:ind w:left="1174"/>
              <w:jc w:val="both"/>
              <w:rPr>
                <w:rFonts w:hint="cs"/>
                <w:sz w:val="26"/>
                <w:szCs w:val="26"/>
                <w:rtl/>
              </w:rPr>
            </w:pPr>
            <w:r>
              <w:rPr>
                <w:rFonts w:hint="cs"/>
                <w:sz w:val="26"/>
                <w:szCs w:val="26"/>
                <w:rtl/>
              </w:rPr>
              <w:t>100</w:t>
            </w:r>
          </w:p>
        </w:tc>
      </w:tr>
    </w:tbl>
    <w:p w:rsidR="00000000" w:rsidRDefault="00567B15">
      <w:pPr>
        <w:spacing w:before="120"/>
        <w:jc w:val="both"/>
        <w:rPr>
          <w:rFonts w:hint="cs"/>
          <w:rtl/>
        </w:rPr>
      </w:pPr>
      <w:r>
        <w:rPr>
          <w:rFonts w:hint="cs"/>
          <w:rtl/>
        </w:rPr>
        <w:tab/>
      </w:r>
      <w:r>
        <w:rPr>
          <w:rFonts w:hint="cs"/>
          <w:u w:val="single"/>
          <w:rtl/>
        </w:rPr>
        <w:t>المصدر</w:t>
      </w:r>
      <w:r>
        <w:rPr>
          <w:rFonts w:hint="cs"/>
          <w:rtl/>
        </w:rPr>
        <w:t>: التعداد ال</w:t>
      </w:r>
      <w:r>
        <w:rPr>
          <w:rFonts w:hint="cs"/>
          <w:rtl/>
        </w:rPr>
        <w:t xml:space="preserve">عام للسكان في إكوادور، 1999 </w:t>
      </w:r>
      <w:r>
        <w:t>(DPA 98)</w:t>
      </w:r>
      <w:r>
        <w:rPr>
          <w:rFonts w:hint="cs"/>
          <w:rtl/>
        </w:rPr>
        <w:t>.</w:t>
      </w:r>
    </w:p>
    <w:p w:rsidR="00000000" w:rsidRDefault="00567B15">
      <w:pPr>
        <w:spacing w:line="380" w:lineRule="exact"/>
        <w:jc w:val="both"/>
        <w:rPr>
          <w:rFonts w:hint="cs"/>
          <w:rtl/>
        </w:rPr>
      </w:pPr>
      <w:r>
        <w:rPr>
          <w:rFonts w:hint="cs"/>
          <w:rtl/>
        </w:rPr>
        <w:t>248-</w:t>
      </w:r>
      <w:r>
        <w:rPr>
          <w:rFonts w:hint="cs"/>
          <w:rtl/>
        </w:rPr>
        <w:tab/>
        <w:t>وتعني الأزمة الاقتصادية تزايد عدد الأطفال الذين يدخلون ضمن القوة العاملة. ولقد كانت لمحدودية دخل الأسر المعيشية أمام تلبية الاحتياجات الأساسية آثار سلبية على نوعية المعيشة؛ فقد اضطر الأطفال في حالات كثيرة إلى التو</w:t>
      </w:r>
      <w:r>
        <w:rPr>
          <w:rFonts w:hint="cs"/>
          <w:rtl/>
        </w:rPr>
        <w:t>قف عن الدراسة والإسهام في دخل الأسرة. والمشكلة بالنسبة للأطفال العاملين هي حرمانهم من فرص التعليم وعدم قدرتهم على الأداء الملائم في المدارس. فهذا يحد من قدرتهم على الانضمام إلى سوق العمل كبالغين، ومن ثم يؤبد حالة الفقر التي يعيشونها.</w:t>
      </w:r>
    </w:p>
    <w:p w:rsidR="00000000" w:rsidRDefault="00567B15">
      <w:pPr>
        <w:spacing w:line="380" w:lineRule="exact"/>
        <w:jc w:val="both"/>
        <w:rPr>
          <w:rFonts w:hint="cs"/>
          <w:rtl/>
        </w:rPr>
      </w:pPr>
      <w:r>
        <w:rPr>
          <w:rFonts w:hint="cs"/>
          <w:rtl/>
        </w:rPr>
        <w:t>249-</w:t>
      </w:r>
      <w:r>
        <w:rPr>
          <w:rFonts w:hint="cs"/>
          <w:rtl/>
        </w:rPr>
        <w:tab/>
        <w:t xml:space="preserve">ولا مراء في وجود </w:t>
      </w:r>
      <w:r>
        <w:rPr>
          <w:rFonts w:hint="cs"/>
          <w:rtl/>
        </w:rPr>
        <w:t>هذه الحالات من العمل. فالأطفال في الأسر المنخفضة الدخل والأطفال العاملون يسهمون في دخل الأسرة باعتبارهم يقومون بعمل منتج.</w:t>
      </w:r>
    </w:p>
    <w:p w:rsidR="00000000" w:rsidRDefault="00567B15">
      <w:pPr>
        <w:spacing w:line="380" w:lineRule="exact"/>
        <w:jc w:val="both"/>
        <w:rPr>
          <w:rFonts w:hint="cs"/>
          <w:rtl/>
        </w:rPr>
      </w:pPr>
      <w:r>
        <w:rPr>
          <w:rFonts w:hint="cs"/>
          <w:rtl/>
        </w:rPr>
        <w:t>250-</w:t>
      </w:r>
      <w:r>
        <w:rPr>
          <w:rFonts w:hint="cs"/>
          <w:rtl/>
        </w:rPr>
        <w:tab/>
        <w:t>والأطفال يعملون في المناطق الريفية أيضاً؛ ومع ذلك لا توجد دراسات محددة عن هذا الموضوع يمكن بها تحديد عدد الأطفال الذين يعملون.</w:t>
      </w:r>
    </w:p>
    <w:p w:rsidR="00000000" w:rsidRDefault="00567B15">
      <w:pPr>
        <w:spacing w:line="380" w:lineRule="exact"/>
        <w:jc w:val="both"/>
        <w:rPr>
          <w:rFonts w:hint="cs"/>
          <w:rtl/>
        </w:rPr>
      </w:pPr>
      <w:r>
        <w:rPr>
          <w:rFonts w:hint="cs"/>
          <w:rtl/>
        </w:rPr>
        <w:t>25</w:t>
      </w:r>
      <w:r>
        <w:rPr>
          <w:rFonts w:hint="cs"/>
          <w:rtl/>
        </w:rPr>
        <w:t>1-</w:t>
      </w:r>
      <w:r>
        <w:rPr>
          <w:rFonts w:hint="cs"/>
          <w:rtl/>
        </w:rPr>
        <w:tab/>
        <w:t>وبالإضافة إلى النهج التقليدية المشار إليها أعلاه، ثمة بدائل أخرى لإيداع الأطفال والشباب في المؤسسات، لتعرضهم للخطر أو لتركهم كلياً أو جزئياً.</w:t>
      </w:r>
    </w:p>
    <w:p w:rsidR="00000000" w:rsidRDefault="00567B15">
      <w:pPr>
        <w:spacing w:line="380" w:lineRule="exact"/>
        <w:jc w:val="both"/>
        <w:rPr>
          <w:rFonts w:hint="cs"/>
          <w:rtl/>
        </w:rPr>
      </w:pPr>
      <w:r>
        <w:rPr>
          <w:rFonts w:hint="cs"/>
          <w:rtl/>
        </w:rPr>
        <w:t>252-</w:t>
      </w:r>
      <w:r>
        <w:rPr>
          <w:rFonts w:hint="cs"/>
          <w:rtl/>
        </w:rPr>
        <w:tab/>
        <w:t>ودار الأسرة نموذج بديل لإيداع الأطفال والشباب في المؤسسات، فهؤلاء حين توجد أزمة عائلية خطيرة ودائمة يتعرضو</w:t>
      </w:r>
      <w:r>
        <w:rPr>
          <w:rFonts w:hint="cs"/>
          <w:rtl/>
        </w:rPr>
        <w:t>ن للخطر أو يحف بهم خطر تركهم كلياً أو جزئياً. والدار تتيح نهجاً مؤقتاً ومهنياً وعلاجياً شريطة إجراء دراسة للأسرة وللوضع القانوني في كل حالة، بقصد إعادة الإدماج في الأسرة الطبيعية، أو إن لم توجد، تمتين الروابط في أسرة تعد بيتاً حقيقياً. ودار الأسرة هي دار أ</w:t>
      </w:r>
      <w:r>
        <w:rPr>
          <w:rFonts w:hint="cs"/>
          <w:rtl/>
        </w:rPr>
        <w:t>سرة عادية نمطية تشكل جزءاً من جوار لـه صلات بالمجتمع ولا يزيد عدد نواة أفراده عن خمسة أشخاص يعيشون ويترابطون في سياق الأسرة.</w:t>
      </w:r>
    </w:p>
    <w:p w:rsidR="00000000" w:rsidRDefault="00567B15">
      <w:pPr>
        <w:spacing w:line="380" w:lineRule="exact"/>
        <w:jc w:val="both"/>
        <w:rPr>
          <w:rFonts w:hint="cs"/>
          <w:rtl/>
        </w:rPr>
      </w:pPr>
      <w:r>
        <w:rPr>
          <w:rFonts w:hint="cs"/>
          <w:rtl/>
        </w:rPr>
        <w:t>253-</w:t>
      </w:r>
      <w:r>
        <w:rPr>
          <w:rFonts w:hint="cs"/>
          <w:rtl/>
        </w:rPr>
        <w:tab/>
        <w:t>والأسر الحاضنة هي الأسر التي تحتضن أطفالاً أو شباباً وتقدم لهم الدعم في عملية إعادة الاندماج في الأسرة. وهي أسر تقليدية أي أسر</w:t>
      </w:r>
      <w:r>
        <w:rPr>
          <w:rFonts w:hint="cs"/>
          <w:rtl/>
        </w:rPr>
        <w:t xml:space="preserve"> فاعلة.</w:t>
      </w:r>
    </w:p>
    <w:p w:rsidR="00000000" w:rsidRDefault="00567B15">
      <w:pPr>
        <w:spacing w:line="380" w:lineRule="exact"/>
        <w:jc w:val="both"/>
        <w:rPr>
          <w:rFonts w:hint="cs"/>
          <w:rtl/>
        </w:rPr>
      </w:pPr>
      <w:r>
        <w:rPr>
          <w:rFonts w:hint="cs"/>
          <w:rtl/>
        </w:rPr>
        <w:t>254-</w:t>
      </w:r>
      <w:r>
        <w:rPr>
          <w:rFonts w:hint="cs"/>
          <w:rtl/>
        </w:rPr>
        <w:tab/>
        <w:t>أما عن الأطفال اليتامى والمتروكين فثمة برامج بديلة توفر الاندماج في الأسرة والأسر البديلة وبيوت الأسرة والتبني.</w:t>
      </w:r>
    </w:p>
    <w:p w:rsidR="00000000" w:rsidRDefault="00567B15">
      <w:pPr>
        <w:spacing w:line="380" w:lineRule="exact"/>
        <w:jc w:val="both"/>
        <w:rPr>
          <w:rFonts w:hint="cs"/>
          <w:rtl/>
        </w:rPr>
      </w:pPr>
      <w:r>
        <w:rPr>
          <w:rFonts w:hint="cs"/>
          <w:rtl/>
        </w:rPr>
        <w:t>255-</w:t>
      </w:r>
      <w:r>
        <w:rPr>
          <w:rFonts w:hint="cs"/>
          <w:rtl/>
        </w:rPr>
        <w:tab/>
        <w:t>وإعادة الاندماج في الأسرة عملية تنطوي على استعادة العلاقات الأسرية التي تكون قد قوضت، ومن ثم إيجاد بيئة مناسبة لعودة الطفل إلى</w:t>
      </w:r>
      <w:r>
        <w:rPr>
          <w:rFonts w:hint="cs"/>
          <w:rtl/>
        </w:rPr>
        <w:t xml:space="preserve"> بيته. ويشرف المهنيون الذين ييسرون المصالحة بين الطفل وأبويه ومن يرعونه، على أداء هذه العملية. ولا بد من السعي إلى إعادة الاندماج في الأسرة كلما كان ذلك ممكناً وحيثما تقدم الأسرة ضمانات برعاية الطفل. ومن المهم في عملية التكامل الأسري أن يجري تحليل للأسرة ا</w:t>
      </w:r>
      <w:r>
        <w:rPr>
          <w:rFonts w:hint="cs"/>
          <w:rtl/>
        </w:rPr>
        <w:t>لنواة وأن يكون العمل من خلال المشاكل وإلا عاد الطفل إلى الهجر مرة ثانية.</w:t>
      </w:r>
    </w:p>
    <w:p w:rsidR="00000000" w:rsidRDefault="00567B15">
      <w:pPr>
        <w:spacing w:line="380" w:lineRule="exact"/>
        <w:jc w:val="both"/>
        <w:rPr>
          <w:rFonts w:hint="cs"/>
          <w:rtl/>
        </w:rPr>
      </w:pPr>
      <w:r>
        <w:rPr>
          <w:rFonts w:hint="cs"/>
          <w:rtl/>
        </w:rPr>
        <w:t>256-</w:t>
      </w:r>
      <w:r>
        <w:rPr>
          <w:rFonts w:hint="cs"/>
          <w:rtl/>
        </w:rPr>
        <w:tab/>
        <w:t>وتوفر الحرية المدعومة بديلاً لإعادة تأهيل الشباب حيث تندمج الأسرة في العملية؛ ويحضر الشباب إلى المؤسسة بين فينة وأخرى لتلقي المساعدة التعليمية والاجتماعية والنفسية والقانونية الش</w:t>
      </w:r>
      <w:r>
        <w:rPr>
          <w:rFonts w:hint="cs"/>
          <w:rtl/>
        </w:rPr>
        <w:t>املة.</w:t>
      </w:r>
    </w:p>
    <w:p w:rsidR="00000000" w:rsidRDefault="00567B15">
      <w:pPr>
        <w:spacing w:line="380" w:lineRule="exact"/>
        <w:jc w:val="both"/>
        <w:rPr>
          <w:rFonts w:hint="cs"/>
          <w:rtl/>
        </w:rPr>
      </w:pPr>
      <w:r>
        <w:rPr>
          <w:rFonts w:hint="cs"/>
          <w:rtl/>
        </w:rPr>
        <w:t>257-</w:t>
      </w:r>
      <w:r>
        <w:rPr>
          <w:rFonts w:hint="cs"/>
          <w:rtl/>
        </w:rPr>
        <w:tab/>
        <w:t>والتبني مؤسسة قانونية تتاح بها للطفل المتروك فرصة تشكيل جزء من أسرة مستقرة ودائمة، بها يتأكد من حقه في الحياة في كنف أسرة ويتمتع بتنمية كاملة ومنسجمة في جو من الحنان والشرعية والتفاهم.</w:t>
      </w:r>
    </w:p>
    <w:p w:rsidR="00000000" w:rsidRDefault="00567B15">
      <w:pPr>
        <w:spacing w:line="380" w:lineRule="exact"/>
        <w:jc w:val="both"/>
        <w:rPr>
          <w:rFonts w:hint="cs"/>
          <w:rtl/>
        </w:rPr>
      </w:pPr>
      <w:r>
        <w:rPr>
          <w:rFonts w:hint="cs"/>
          <w:rtl/>
        </w:rPr>
        <w:t>258-</w:t>
      </w:r>
      <w:r>
        <w:rPr>
          <w:rFonts w:hint="cs"/>
          <w:rtl/>
        </w:rPr>
        <w:tab/>
        <w:t>وتتولى إدارة حماية الطفل تنظيم التسجيل في البرنامج: "فا</w:t>
      </w:r>
      <w:r>
        <w:rPr>
          <w:rFonts w:hint="cs"/>
          <w:rtl/>
        </w:rPr>
        <w:t>لبرامج والمشاريع التي تقوم بها الحكومة والوكالات الخاصة لتقديم التدابير الوقائية وتدابير حماية الطفل وإعادة تأهيله ومشاركته والدفاع عنه، لا بد أن تأذن بها إدارة حماية الطفل وأن تسجلها."</w:t>
      </w:r>
      <w:r>
        <w:rPr>
          <w:rFonts w:hint="cs"/>
          <w:vertAlign w:val="superscript"/>
          <w:rtl/>
        </w:rPr>
        <w:t>(30)</w:t>
      </w:r>
      <w:r>
        <w:rPr>
          <w:rFonts w:hint="cs"/>
          <w:rtl/>
        </w:rPr>
        <w:t>.</w:t>
      </w:r>
    </w:p>
    <w:p w:rsidR="00000000" w:rsidRDefault="00567B15">
      <w:pPr>
        <w:spacing w:line="380" w:lineRule="exact"/>
        <w:jc w:val="both"/>
        <w:rPr>
          <w:rFonts w:hint="cs"/>
          <w:spacing w:val="0"/>
          <w:rtl/>
        </w:rPr>
      </w:pPr>
      <w:r>
        <w:rPr>
          <w:rFonts w:hint="cs"/>
          <w:spacing w:val="0"/>
          <w:rtl/>
        </w:rPr>
        <w:t>259-</w:t>
      </w:r>
      <w:r>
        <w:rPr>
          <w:rFonts w:hint="cs"/>
          <w:spacing w:val="0"/>
          <w:rtl/>
        </w:rPr>
        <w:tab/>
        <w:t xml:space="preserve">وفي الوقت الراهن ينفذ المعهد الوطني للطفل والأسرة ستة برامج </w:t>
      </w:r>
      <w:r>
        <w:rPr>
          <w:rFonts w:hint="cs"/>
          <w:spacing w:val="0"/>
          <w:rtl/>
        </w:rPr>
        <w:t>للمعوزين، أحدها هو برنامج التضامن الطبي، وهو برنامج وطني للمعاقين حسياً أو جسمانياً أو نفسياً، وتعطى الأولوية فيه لأفراد السكان الأصليين دون سن 18 عاماً.</w:t>
      </w:r>
    </w:p>
    <w:p w:rsidR="00000000" w:rsidRDefault="00567B15">
      <w:pPr>
        <w:spacing w:line="380" w:lineRule="exact"/>
        <w:jc w:val="both"/>
        <w:rPr>
          <w:rFonts w:hint="cs"/>
          <w:rtl/>
        </w:rPr>
      </w:pPr>
      <w:r>
        <w:rPr>
          <w:rFonts w:hint="cs"/>
          <w:rtl/>
        </w:rPr>
        <w:t>260-</w:t>
      </w:r>
      <w:r>
        <w:rPr>
          <w:rFonts w:hint="cs"/>
          <w:rtl/>
        </w:rPr>
        <w:tab/>
        <w:t>والبرنامج يهدف إلى توفير رعاية تخصصية ذات جودة عالية و/أو منافع طبية تقدم إلى الأفراد الذين لديهم</w:t>
      </w:r>
      <w:r>
        <w:rPr>
          <w:rFonts w:hint="cs"/>
          <w:rtl/>
        </w:rPr>
        <w:t xml:space="preserve"> نقص أو عجز أو إعاقة، ويهدف إلى تعزيز اندماجهم الاجتماعي؛ وتعطى الأولوية للمعوزين.</w:t>
      </w:r>
    </w:p>
    <w:p w:rsidR="00000000" w:rsidRDefault="00567B15">
      <w:pPr>
        <w:spacing w:line="380" w:lineRule="exact"/>
        <w:jc w:val="both"/>
        <w:rPr>
          <w:rFonts w:hint="cs"/>
          <w:rtl/>
        </w:rPr>
      </w:pPr>
      <w:r>
        <w:rPr>
          <w:rFonts w:hint="cs"/>
          <w:rtl/>
        </w:rPr>
        <w:t>261-</w:t>
      </w:r>
      <w:r>
        <w:rPr>
          <w:rFonts w:hint="cs"/>
          <w:rtl/>
        </w:rPr>
        <w:tab/>
        <w:t>ووفقاً للسياسة المؤسسية فإن خدمات برنامج التضامن الطبي تعتمد على الطلب لا على العرض؛ وتسفر جودة الخدمات، والأجور الاسمية مقابل الرعاية، عن زيادة سنوية في تغطية وحدات ال</w:t>
      </w:r>
      <w:r>
        <w:rPr>
          <w:rFonts w:hint="cs"/>
          <w:rtl/>
        </w:rPr>
        <w:t>برنامج قدرها 10 في المائة. وحتى تشرين الثاني/نوفمبر 1999 وصل تدخل البرنامج إلى 000 275 حالة وبحلول نهاية العام لا بد أن هذا الرقم سيزداد ليتجاوز 000 300 حالة؛ وبعبارة أخرى، فهناك 000 60 مريض سيتلقى كل منهم خمسة تدخلات في المتوسط لإعادة إدماجهم</w:t>
      </w:r>
      <w:r>
        <w:rPr>
          <w:rFonts w:hint="cs"/>
          <w:vertAlign w:val="superscript"/>
          <w:rtl/>
        </w:rPr>
        <w:t>(31)</w:t>
      </w:r>
      <w:r>
        <w:rPr>
          <w:rFonts w:hint="cs"/>
          <w:rtl/>
        </w:rPr>
        <w:t>.</w:t>
      </w:r>
    </w:p>
    <w:p w:rsidR="00000000" w:rsidRDefault="00567B15">
      <w:pPr>
        <w:spacing w:line="380" w:lineRule="exact"/>
        <w:jc w:val="both"/>
        <w:rPr>
          <w:rFonts w:hint="cs"/>
          <w:i/>
          <w:iCs/>
          <w:rtl/>
        </w:rPr>
      </w:pPr>
      <w:r>
        <w:rPr>
          <w:rFonts w:hint="cs"/>
          <w:i/>
          <w:iCs/>
          <w:rtl/>
        </w:rPr>
        <w:t>البرامج</w:t>
      </w:r>
      <w:r>
        <w:rPr>
          <w:rFonts w:hint="cs"/>
          <w:i/>
          <w:iCs/>
          <w:rtl/>
        </w:rPr>
        <w:t xml:space="preserve"> الوطنية</w:t>
      </w:r>
    </w:p>
    <w:p w:rsidR="00000000" w:rsidRDefault="00567B15">
      <w:pPr>
        <w:spacing w:line="380" w:lineRule="exact"/>
        <w:jc w:val="both"/>
        <w:rPr>
          <w:rFonts w:hint="cs"/>
          <w:rtl/>
        </w:rPr>
      </w:pPr>
      <w:r>
        <w:rPr>
          <w:rFonts w:hint="cs"/>
          <w:rtl/>
        </w:rPr>
        <w:t>262-</w:t>
      </w:r>
      <w:r>
        <w:rPr>
          <w:rFonts w:hint="cs"/>
          <w:rtl/>
        </w:rPr>
        <w:tab/>
        <w:t xml:space="preserve">تشمل البرامج التي تنفذها إدارة حماية الطفل، التدريب في مراكز الطفل وعمليات التقييم المؤسسي في المراكز التي تديرها الحكومة وفي المراكز الخاصة. وأما عن تحفيز الطفل فقد أنتجت مواد للدعم التقني للموظفين في المراكز، وعلى سبيل المثال في إعداد ونشر </w:t>
      </w:r>
      <w:r>
        <w:rPr>
          <w:rFonts w:hint="cs"/>
          <w:rtl/>
        </w:rPr>
        <w:t>الإرشادات عن التنمية الشاملة للأطفال دون سن الخامسة، وهي تتضمن الحفز والصحة والتغذية والسلامة. وفي الوقت الحاجز يُقدم مركز الرعاية النهارية الخدمات التالية:</w:t>
      </w:r>
    </w:p>
    <w:p w:rsidR="00000000" w:rsidRDefault="00567B15">
      <w:pPr>
        <w:spacing w:before="180" w:after="180" w:line="380" w:lineRule="exact"/>
        <w:jc w:val="both"/>
        <w:rPr>
          <w:rFonts w:hint="cs"/>
          <w:rtl/>
        </w:rPr>
      </w:pPr>
      <w:r>
        <w:rPr>
          <w:rFonts w:hint="cs"/>
          <w:rtl/>
        </w:rPr>
        <w:tab/>
        <w:t>(أ)</w:t>
      </w:r>
      <w:r>
        <w:rPr>
          <w:rFonts w:hint="cs"/>
          <w:rtl/>
        </w:rPr>
        <w:tab/>
        <w:t>أدلة عن تنظيم مراكز الطفل وتغذيته وصحته، فضلاً عن دليل للتدريب الذاتي يتناول التنمية النفسية ل</w:t>
      </w:r>
      <w:r>
        <w:rPr>
          <w:rFonts w:hint="cs"/>
          <w:rtl/>
        </w:rPr>
        <w:t>لطفل والعطف عليه اجتماعياً، وتم التوصل إلى هذا وفقاً لمبادئ توجيه السياسات المنصوص عليها في إصلاح المناهج التوافقية بحيث يجري الحفاظ على التلاحم والتناغم مع السياسات التعليمية في البلد؛</w:t>
      </w:r>
    </w:p>
    <w:p w:rsidR="00000000" w:rsidRDefault="00567B15">
      <w:pPr>
        <w:spacing w:before="180" w:after="180" w:line="380" w:lineRule="exact"/>
        <w:jc w:val="both"/>
        <w:rPr>
          <w:rFonts w:hint="cs"/>
          <w:rtl/>
        </w:rPr>
      </w:pPr>
      <w:r>
        <w:rPr>
          <w:rFonts w:hint="cs"/>
          <w:rtl/>
        </w:rPr>
        <w:tab/>
        <w:t>(ب)</w:t>
      </w:r>
      <w:r>
        <w:rPr>
          <w:rFonts w:hint="cs"/>
          <w:rtl/>
        </w:rPr>
        <w:tab/>
        <w:t>تدريب الموظفين في مراكز الطفل على المبادئ التوجيهية المتعلقة بأدا</w:t>
      </w:r>
      <w:r>
        <w:rPr>
          <w:rFonts w:hint="cs"/>
          <w:rtl/>
        </w:rPr>
        <w:t>ء المراكز وتحسين التعليم الأولي ومن ثم ضمان حقوق الطفل؛</w:t>
      </w:r>
    </w:p>
    <w:p w:rsidR="00000000" w:rsidRDefault="00567B15">
      <w:pPr>
        <w:spacing w:before="180" w:after="180" w:line="380" w:lineRule="exact"/>
        <w:jc w:val="both"/>
        <w:rPr>
          <w:rFonts w:hint="cs"/>
          <w:rtl/>
        </w:rPr>
      </w:pPr>
      <w:r>
        <w:rPr>
          <w:rFonts w:hint="cs"/>
          <w:rtl/>
        </w:rPr>
        <w:tab/>
        <w:t>(ج)</w:t>
      </w:r>
      <w:r>
        <w:rPr>
          <w:rFonts w:hint="cs"/>
          <w:rtl/>
        </w:rPr>
        <w:tab/>
        <w:t xml:space="preserve">تقديم المنح في مراكز الطفل الخاصة للأطفال المحتاجين بهدف ضمان الحماية والرعاية المناسبتين. وفي هذا السياق تطبق المادة الواردة في نظم إنشاء وإدارة مركز الطفل الخاصة، فيما يتعلق بتقديم المنح؛ ويصل </w:t>
      </w:r>
      <w:r>
        <w:rPr>
          <w:rFonts w:hint="cs"/>
          <w:rtl/>
        </w:rPr>
        <w:t>مجموع هذه المنح إلى 10 في المائة من مجموع الحصص.</w:t>
      </w:r>
    </w:p>
    <w:p w:rsidR="00000000" w:rsidRDefault="00567B15">
      <w:pPr>
        <w:spacing w:line="380" w:lineRule="exact"/>
        <w:jc w:val="both"/>
        <w:rPr>
          <w:rFonts w:hint="cs"/>
          <w:rtl/>
        </w:rPr>
      </w:pPr>
      <w:r>
        <w:rPr>
          <w:rFonts w:hint="cs"/>
          <w:rtl/>
        </w:rPr>
        <w:t>263-</w:t>
      </w:r>
      <w:r>
        <w:rPr>
          <w:rFonts w:hint="cs"/>
          <w:rtl/>
        </w:rPr>
        <w:tab/>
        <w:t>إن قدرة مراكز الطفل التي تديرها الدولة على الاستيعاب متدنية للغاية إذا قورنت بالطلب، الأمر الذي يزداد نتيجة للأزمة الاقتصادية والاجتماعية التي يمر بها البلد.</w:t>
      </w:r>
    </w:p>
    <w:p w:rsidR="00000000" w:rsidRDefault="00567B15">
      <w:pPr>
        <w:spacing w:line="380" w:lineRule="exact"/>
        <w:jc w:val="both"/>
        <w:rPr>
          <w:rFonts w:hint="cs"/>
          <w:i/>
          <w:iCs/>
          <w:rtl/>
        </w:rPr>
      </w:pPr>
      <w:r>
        <w:rPr>
          <w:rFonts w:hint="cs"/>
          <w:i/>
          <w:iCs/>
          <w:rtl/>
        </w:rPr>
        <w:t>المشاكل الرئيسية</w:t>
      </w:r>
    </w:p>
    <w:p w:rsidR="00000000" w:rsidRDefault="00567B15">
      <w:pPr>
        <w:spacing w:line="380" w:lineRule="exact"/>
        <w:jc w:val="both"/>
        <w:rPr>
          <w:rFonts w:hint="cs"/>
          <w:rtl/>
        </w:rPr>
      </w:pPr>
      <w:r>
        <w:rPr>
          <w:rFonts w:hint="cs"/>
          <w:rtl/>
        </w:rPr>
        <w:t>264-</w:t>
      </w:r>
      <w:r>
        <w:rPr>
          <w:rFonts w:hint="cs"/>
          <w:rtl/>
        </w:rPr>
        <w:tab/>
        <w:t>تذكر الوثيقة التي أعده</w:t>
      </w:r>
      <w:r>
        <w:rPr>
          <w:rFonts w:hint="cs"/>
          <w:rtl/>
        </w:rPr>
        <w:t>ا المعهد الوطني للطفل والأسرة في آب/أغسطس 1999 بشأن تدابير الحماية والمساعدة للأطفال والشباب العاملين، في إطار برنامج الحماية والتعليم أنه "في إكوادور يعمل كثير من الأطفال والشباب، وأغلبهم في نوبات مكثفة".</w:t>
      </w:r>
    </w:p>
    <w:p w:rsidR="00000000" w:rsidRDefault="00567B15">
      <w:pPr>
        <w:spacing w:line="380" w:lineRule="exact"/>
        <w:jc w:val="both"/>
        <w:rPr>
          <w:rFonts w:hint="cs"/>
          <w:spacing w:val="0"/>
          <w:rtl/>
        </w:rPr>
      </w:pPr>
      <w:r>
        <w:rPr>
          <w:rFonts w:hint="cs"/>
          <w:spacing w:val="0"/>
          <w:rtl/>
        </w:rPr>
        <w:t>265-</w:t>
      </w:r>
      <w:r>
        <w:rPr>
          <w:rFonts w:hint="cs"/>
          <w:spacing w:val="0"/>
          <w:rtl/>
        </w:rPr>
        <w:tab/>
        <w:t>والأطفال يعملون في البغاء وأماكن إلقاء القمام</w:t>
      </w:r>
      <w:r>
        <w:rPr>
          <w:rFonts w:hint="cs"/>
          <w:spacing w:val="0"/>
          <w:rtl/>
        </w:rPr>
        <w:t>ة ومصانع الطوب وغزل الأقمشة، وفي الخدمة المنزلية وفي الشوارع وأعمال البناء وفي الزراعة ومصانع السجاد وفي الموانئ ومصائد الأسماك والمناجم، وفي نوبات ليلية. وظروف عمل هؤلاء الأطفال سيئة، ولا يزودون بالمعدات الواقية الكافية وبذا يعرضهم العمل للأخطار على صحتهم</w:t>
      </w:r>
      <w:r>
        <w:rPr>
          <w:rFonts w:hint="cs"/>
          <w:spacing w:val="0"/>
          <w:rtl/>
        </w:rPr>
        <w:t xml:space="preserve"> وتنميتهم.</w:t>
      </w:r>
    </w:p>
    <w:p w:rsidR="00000000" w:rsidRDefault="00567B15">
      <w:pPr>
        <w:spacing w:line="380" w:lineRule="exact"/>
        <w:jc w:val="both"/>
        <w:rPr>
          <w:rFonts w:hint="cs"/>
          <w:rtl/>
        </w:rPr>
      </w:pPr>
      <w:r>
        <w:rPr>
          <w:rFonts w:hint="cs"/>
          <w:rtl/>
        </w:rPr>
        <w:t>266-</w:t>
      </w:r>
      <w:r>
        <w:rPr>
          <w:rFonts w:hint="cs"/>
          <w:rtl/>
        </w:rPr>
        <w:tab/>
        <w:t>وللتصدي لهذه المشكلة تتخذ السلطات إجراءات من خلال المعهد الوطني للطفل والأسرة وغيره من الهيئات العامة والخاصة بما فيها المنظمات غير الحكومية للحد من مستويات الفقر.</w:t>
      </w:r>
    </w:p>
    <w:p w:rsidR="00000000" w:rsidRDefault="00567B15">
      <w:pPr>
        <w:spacing w:line="380" w:lineRule="exact"/>
        <w:jc w:val="both"/>
        <w:rPr>
          <w:rFonts w:hint="cs"/>
          <w:rtl/>
        </w:rPr>
      </w:pPr>
      <w:r>
        <w:rPr>
          <w:rFonts w:hint="cs"/>
          <w:rtl/>
        </w:rPr>
        <w:t>267-</w:t>
      </w:r>
      <w:r>
        <w:rPr>
          <w:rFonts w:hint="cs"/>
          <w:rtl/>
        </w:rPr>
        <w:tab/>
        <w:t>والمعهد يقوم الآن بتنفيذ البرامج التالية:</w:t>
      </w:r>
    </w:p>
    <w:p w:rsidR="00000000" w:rsidRDefault="00567B15">
      <w:pPr>
        <w:spacing w:before="180" w:after="180" w:line="380" w:lineRule="exact"/>
        <w:jc w:val="both"/>
        <w:rPr>
          <w:rFonts w:hint="cs"/>
          <w:rtl/>
        </w:rPr>
      </w:pPr>
      <w:r>
        <w:rPr>
          <w:rFonts w:hint="cs"/>
          <w:rtl/>
        </w:rPr>
        <w:tab/>
        <w:t>(أ)</w:t>
      </w:r>
      <w:r>
        <w:rPr>
          <w:rFonts w:hint="cs"/>
          <w:rtl/>
        </w:rPr>
        <w:tab/>
        <w:t xml:space="preserve">برنامج تنمية الطفل: وهو </w:t>
      </w:r>
      <w:r>
        <w:rPr>
          <w:rFonts w:hint="cs"/>
          <w:rtl/>
        </w:rPr>
        <w:t>يوفر الرعاية الصحية والتغذوية والنفسية لتنمية الأطفال حتى سن 6 سنوات في مراكز تنمية الطفل، ويشارك الآباء والمجتمع والحكومة المحلية في المسؤولية عن رعاية الطفل. وكانت تغطية البرنامج في عام 1999 شملت 000 45 طفل دون سن السادسة وكان يشرف على 200 1 مركز للرعاية</w:t>
      </w:r>
      <w:r>
        <w:rPr>
          <w:rFonts w:hint="cs"/>
          <w:rtl/>
        </w:rPr>
        <w:t xml:space="preserve"> النهارية للطفل؛</w:t>
      </w:r>
    </w:p>
    <w:p w:rsidR="00000000" w:rsidRDefault="00567B15">
      <w:pPr>
        <w:spacing w:before="180" w:after="180" w:line="380" w:lineRule="exact"/>
        <w:jc w:val="both"/>
        <w:rPr>
          <w:rFonts w:hint="cs"/>
          <w:rtl/>
        </w:rPr>
      </w:pPr>
      <w:r>
        <w:rPr>
          <w:rFonts w:hint="cs"/>
          <w:rtl/>
        </w:rPr>
        <w:tab/>
        <w:t>(ب)</w:t>
      </w:r>
      <w:r>
        <w:rPr>
          <w:rFonts w:hint="cs"/>
          <w:rtl/>
        </w:rPr>
        <w:tab/>
        <w:t>برنامج الأطفال العاملين: ويهدف البرنامج إلى تيسير الدراسة للأطفال العاملين من 7 سنوات إلى عمر 15 سنة، وإلى القضاء التدريجي على عمل الأطفال في المجالات الخطرة والتي تتعرض سلامتهم فيها للخطر. وهو يقدم منحاً دراسية إلى 500 12 طفل بين عمر</w:t>
      </w:r>
      <w:r>
        <w:rPr>
          <w:rFonts w:hint="cs"/>
          <w:rtl/>
        </w:rPr>
        <w:t xml:space="preserve"> 7 سنوات وعمر 15 سنة ممن يعملون  ولا يدرسون، في 23 مدينة في أنحاء البلد، ويقدم منحاً دراسية ودعماً مالياً لأسر 050 1 طفلاً من هذا العمر يؤدون أعمالاً خطرة، في 18 مدينة في أنحاء البلد؛</w:t>
      </w:r>
    </w:p>
    <w:p w:rsidR="00000000" w:rsidRDefault="00567B15">
      <w:pPr>
        <w:spacing w:before="180" w:after="180" w:line="380" w:lineRule="exact"/>
        <w:jc w:val="both"/>
        <w:rPr>
          <w:rFonts w:hint="cs"/>
          <w:rtl/>
        </w:rPr>
      </w:pPr>
      <w:r>
        <w:rPr>
          <w:rFonts w:hint="cs"/>
          <w:rtl/>
        </w:rPr>
        <w:tab/>
        <w:t>(ج)</w:t>
      </w:r>
      <w:r>
        <w:rPr>
          <w:rFonts w:hint="cs"/>
          <w:rtl/>
        </w:rPr>
        <w:tab/>
        <w:t>برنامج رعاية المواطنين بالحب والعطف: ويهدف إلى التشجيع على المعاملة</w:t>
      </w:r>
      <w:r>
        <w:rPr>
          <w:rFonts w:hint="cs"/>
          <w:rtl/>
        </w:rPr>
        <w:t xml:space="preserve"> الطيبة والمقصود بها هو تحسين نوعية ودفء التفاعلات بين الأطفال والشباب والكبار وفيما بينهم، على أساس يومي. والاتصال المباشر مع 500 10 طفل وشاب في مشاريع عن حسن المعاملة والمشاركة المحلية، في 18 مدينة؛</w:t>
      </w:r>
    </w:p>
    <w:p w:rsidR="00000000" w:rsidRDefault="00567B15">
      <w:pPr>
        <w:spacing w:before="180" w:after="180" w:line="380" w:lineRule="exact"/>
        <w:jc w:val="both"/>
        <w:rPr>
          <w:rFonts w:hint="cs"/>
          <w:rtl/>
        </w:rPr>
      </w:pPr>
      <w:r>
        <w:rPr>
          <w:rFonts w:hint="cs"/>
          <w:rtl/>
        </w:rPr>
        <w:tab/>
        <w:t>(د)</w:t>
      </w:r>
      <w:r>
        <w:rPr>
          <w:rFonts w:hint="cs"/>
          <w:rtl/>
        </w:rPr>
        <w:tab/>
        <w:t>البرنامج الوطني للمتطوعين: وهو يرمي إلى إشراك مجمو</w:t>
      </w:r>
      <w:r>
        <w:rPr>
          <w:rFonts w:hint="cs"/>
          <w:rtl/>
        </w:rPr>
        <w:t>عات من المتطوعين في دعم أنشطة المعهد، وتدريب مجموعات المتطوعين على قضايا الطفل وقد استفاد 000 325 شخص من الحملة لمكافحة قمل الرأس في الفترة 1999-2002؛</w:t>
      </w:r>
    </w:p>
    <w:p w:rsidR="00000000" w:rsidRDefault="00567B15">
      <w:pPr>
        <w:spacing w:before="180" w:after="180" w:line="380" w:lineRule="exact"/>
        <w:jc w:val="both"/>
        <w:rPr>
          <w:rFonts w:hint="cs"/>
          <w:rtl/>
        </w:rPr>
      </w:pPr>
      <w:r>
        <w:rPr>
          <w:rFonts w:hint="cs"/>
          <w:rtl/>
        </w:rPr>
        <w:tab/>
        <w:t>(ه‍)</w:t>
      </w:r>
      <w:r>
        <w:rPr>
          <w:rFonts w:hint="cs"/>
          <w:rtl/>
        </w:rPr>
        <w:tab/>
        <w:t>برنامج "النمو مع أبنائنا": وهو أنشطة تهدف إلى التشجيع على إحداث أكبر تقدم ممكن من أجل الطفل، وإعداد</w:t>
      </w:r>
      <w:r>
        <w:rPr>
          <w:rFonts w:hint="cs"/>
          <w:rtl/>
        </w:rPr>
        <w:t xml:space="preserve"> الأسرة لتصبح الوسيلة الأنسب لتعليم الطـفل وتحفيزه وتنميته اجتماعياً؛ واشترك في البرنامج 000 15 طفل، حتى السادسة من العمر، في أنشطة تعليمية للطفل والأسرة، في 12 محافظة؛</w:t>
      </w:r>
    </w:p>
    <w:p w:rsidR="00000000" w:rsidRDefault="00567B15">
      <w:pPr>
        <w:spacing w:before="180" w:after="180" w:line="380" w:lineRule="exact"/>
        <w:jc w:val="both"/>
        <w:rPr>
          <w:rFonts w:hint="cs"/>
          <w:rtl/>
        </w:rPr>
      </w:pPr>
      <w:r>
        <w:rPr>
          <w:rFonts w:hint="cs"/>
          <w:rtl/>
        </w:rPr>
        <w:tab/>
        <w:t>(و)</w:t>
      </w:r>
      <w:r>
        <w:rPr>
          <w:rFonts w:hint="cs"/>
          <w:rtl/>
        </w:rPr>
        <w:tab/>
        <w:t>برنامج التضامن الطبي: وهو يهدف إلى دعم المرضى ذوي الموارد المالية المحدودة ممن يعا</w:t>
      </w:r>
      <w:r>
        <w:rPr>
          <w:rFonts w:hint="cs"/>
          <w:rtl/>
        </w:rPr>
        <w:t>نون من أمراض مركبة. وسوف تشمل التغطية 000 65 فرد ممن يعانون من إعاقات بدنية أو نفسية أو حسية، وسوف يعالجون في مراكز التأهيل الطبي. وهناك نحو 700 6 شخص يعانون من أمراض مركبة؛ وهؤلاء تقدم لهم الرعاية الطبية في الدوائر الطبية الاجتماعية.</w:t>
      </w:r>
    </w:p>
    <w:p w:rsidR="00000000" w:rsidRDefault="00567B15">
      <w:pPr>
        <w:spacing w:line="380" w:lineRule="exact"/>
        <w:jc w:val="both"/>
        <w:rPr>
          <w:rFonts w:hint="cs"/>
          <w:rtl/>
        </w:rPr>
      </w:pPr>
      <w:r>
        <w:rPr>
          <w:rFonts w:hint="cs"/>
          <w:rtl/>
        </w:rPr>
        <w:t>268-</w:t>
      </w:r>
      <w:r>
        <w:rPr>
          <w:rFonts w:hint="cs"/>
          <w:rtl/>
        </w:rPr>
        <w:tab/>
        <w:t>وفي عام 1990 أصب</w:t>
      </w:r>
      <w:r>
        <w:rPr>
          <w:rFonts w:hint="cs"/>
          <w:rtl/>
        </w:rPr>
        <w:t>حت إكوادور أول بلد في أمريكا اللاتينية وثالث بلد في العالم يوقع على اتفاقية حقوق الطفل.</w:t>
      </w:r>
    </w:p>
    <w:p w:rsidR="00000000" w:rsidRDefault="00567B15">
      <w:pPr>
        <w:spacing w:line="380" w:lineRule="exact"/>
        <w:jc w:val="both"/>
        <w:rPr>
          <w:rFonts w:hint="cs"/>
          <w:rtl/>
        </w:rPr>
      </w:pPr>
      <w:r>
        <w:rPr>
          <w:rFonts w:hint="cs"/>
          <w:rtl/>
        </w:rPr>
        <w:t>269-</w:t>
      </w:r>
      <w:r>
        <w:rPr>
          <w:rFonts w:hint="cs"/>
          <w:rtl/>
        </w:rPr>
        <w:tab/>
        <w:t>وفي عام 1992 أقر الكونغرس إصلاحاً لقانون الطفل أعد بقصد تعديل التشريع القديم البالي الذي لم يكن يخدم حقوق الأطفال والشباب. وصدرت لائحته بعد ذلك بثلاثة أعوام.</w:t>
      </w:r>
    </w:p>
    <w:p w:rsidR="00000000" w:rsidRDefault="00567B15">
      <w:pPr>
        <w:spacing w:line="380" w:lineRule="exact"/>
        <w:jc w:val="both"/>
        <w:rPr>
          <w:rFonts w:hint="cs"/>
          <w:rtl/>
        </w:rPr>
      </w:pPr>
      <w:r>
        <w:rPr>
          <w:rFonts w:hint="cs"/>
          <w:rtl/>
        </w:rPr>
        <w:t>270-</w:t>
      </w:r>
      <w:r>
        <w:rPr>
          <w:rFonts w:hint="cs"/>
          <w:rtl/>
        </w:rPr>
        <w:tab/>
      </w:r>
      <w:r>
        <w:rPr>
          <w:rFonts w:hint="cs"/>
          <w:rtl/>
        </w:rPr>
        <w:t>وفي عام 1998 أدرجت الجمعية التأسيسية في الدستور تعريف الأطفال والشباب بوصفهم مواطنين لهم الحق في التمتع بجميع حقوق الفرد؛ كذلك أرست المسؤولية المشتركة للدولة في تعزيز التنمية الكاملة للمجتمع والأسرة، وطلبت إلى الدولة اتخاذ تدابير حماية خاصة في الحالات التي</w:t>
      </w:r>
      <w:r>
        <w:rPr>
          <w:rFonts w:hint="cs"/>
          <w:rtl/>
        </w:rPr>
        <w:t xml:space="preserve"> تنتهك فيها حقوق الطفل: ومنها حالات الاستغلال الاقتصادي أو الجنسي، والعنف والإهمال والعجز وما شاكل ذلك.</w:t>
      </w:r>
    </w:p>
    <w:p w:rsidR="00000000" w:rsidRDefault="00567B15">
      <w:pPr>
        <w:spacing w:line="380" w:lineRule="exact"/>
        <w:jc w:val="both"/>
        <w:rPr>
          <w:rFonts w:hint="cs"/>
          <w:rtl/>
        </w:rPr>
      </w:pPr>
      <w:r>
        <w:rPr>
          <w:rFonts w:hint="cs"/>
          <w:rtl/>
        </w:rPr>
        <w:t>271-</w:t>
      </w:r>
      <w:r>
        <w:rPr>
          <w:rFonts w:hint="cs"/>
          <w:rtl/>
        </w:rPr>
        <w:tab/>
        <w:t>ويضمن الدستور حق المشاركة والحق النقابي ومبدأ المساواة أمام القانون، وتنفيذ جميع الضمانات الدستورية، والحق في الإجراءات القضائية الواجبة وفي نظام ل</w:t>
      </w:r>
      <w:r>
        <w:rPr>
          <w:rFonts w:hint="cs"/>
          <w:rtl/>
        </w:rPr>
        <w:t>إقامة العدل يكون مستقلاً ونزيهاً. ويضع النظام القضائي للأطفال ضمن مسؤولية الهيئة القضائية؛ ويضع نظاماً وطنياً لا مركزياً لتوفير الحماية الكاملة للأطفال والشباب، وينص على وجود هيئة تنظيمية وطنية مشتركة لرسم السياسة الوطنية؛ ويؤكد واجب حكومات المحافظات في صي</w:t>
      </w:r>
      <w:r>
        <w:rPr>
          <w:rFonts w:hint="cs"/>
          <w:rtl/>
        </w:rPr>
        <w:t>اغة سياسة للأطفال والشباب على ذلك المستوى وتخصيص الموارد للقطاع على سبيل الأولوية (المواد 47 إلى 52 من الدستور).</w:t>
      </w:r>
    </w:p>
    <w:p w:rsidR="00000000" w:rsidRDefault="00567B15">
      <w:pPr>
        <w:spacing w:line="380" w:lineRule="exact"/>
        <w:jc w:val="both"/>
        <w:rPr>
          <w:rFonts w:hint="cs"/>
          <w:rtl/>
        </w:rPr>
      </w:pPr>
      <w:r>
        <w:rPr>
          <w:rFonts w:hint="cs"/>
          <w:rtl/>
        </w:rPr>
        <w:t>272-</w:t>
      </w:r>
      <w:r>
        <w:rPr>
          <w:rFonts w:hint="cs"/>
          <w:rtl/>
        </w:rPr>
        <w:tab/>
        <w:t>ويؤكد الدستور الجديد ضرورة إصلاح قانون الطفل، القائم حالياً، ومن أجل ذلك تنشأ لجنة استشارية لصياغة مشروع القانون تضم وزارة الرعاية الاجتما</w:t>
      </w:r>
      <w:r>
        <w:rPr>
          <w:rFonts w:hint="cs"/>
          <w:rtl/>
        </w:rPr>
        <w:t>عية ولجنة الكونغرس المعنية بالمرأة والطفل والأسرة، والمعهد الوطني للطفل والأسرة، ومؤسسة الدفاع عن العدالة، ومنتدى الطفل والشباب، واليونيسيف. ويمر مشروع قانون الطفل الجديد الآن بالمرحلة الثانية من التشاور مع شتى القطاعات الاجتماعية والسياسية على الصعيد الوط</w:t>
      </w:r>
      <w:r>
        <w:rPr>
          <w:rFonts w:hint="cs"/>
          <w:rtl/>
        </w:rPr>
        <w:t>ني عن طريق إجراء دراسات استقصائية لسبر وتسجيل آراء أصحاب المصلحة الرئيسيين.</w:t>
      </w:r>
    </w:p>
    <w:p w:rsidR="00000000" w:rsidRDefault="00567B15">
      <w:pPr>
        <w:spacing w:line="380" w:lineRule="exact"/>
        <w:jc w:val="both"/>
        <w:rPr>
          <w:rFonts w:hint="cs"/>
          <w:spacing w:val="2"/>
          <w:rtl/>
        </w:rPr>
      </w:pPr>
      <w:r>
        <w:rPr>
          <w:rFonts w:hint="cs"/>
          <w:spacing w:val="2"/>
          <w:rtl/>
        </w:rPr>
        <w:t>273-</w:t>
      </w:r>
      <w:r>
        <w:rPr>
          <w:rFonts w:hint="cs"/>
          <w:spacing w:val="2"/>
          <w:rtl/>
        </w:rPr>
        <w:tab/>
        <w:t xml:space="preserve">وتقوم اللجنة البرلمانية المعنية بالمرأة والطفل والأسرة، بالاشتراك مع مصرف التنمية للبلدان الأمريكية، ومؤسسة الدفاع عن العدالة، واتحاد النقابات الحرة، بصياغة قانون جديد للأسرة </w:t>
      </w:r>
      <w:r>
        <w:rPr>
          <w:rFonts w:hint="cs"/>
          <w:spacing w:val="2"/>
          <w:rtl/>
        </w:rPr>
        <w:t>يرمي إلى ضمان المساواة في الحقوق وفرص الحصول على الموارد وفي صياغة القرارات المالية المتعلقة بملكية المجتمع؛ ومن المقترح التوسع في العلاقات القانونية المنظمة للأسرة لتشمل الفئات الاجتماعية التي تؤدي دورها كأسر على أساس الدعم المتبادل بين أفرادها.</w:t>
      </w:r>
    </w:p>
    <w:p w:rsidR="00000000" w:rsidRDefault="00567B15">
      <w:pPr>
        <w:spacing w:line="380" w:lineRule="exact"/>
        <w:jc w:val="both"/>
        <w:rPr>
          <w:rFonts w:hint="cs"/>
          <w:rtl/>
        </w:rPr>
      </w:pPr>
      <w:r>
        <w:rPr>
          <w:rFonts w:hint="cs"/>
          <w:rtl/>
        </w:rPr>
        <w:t>274-</w:t>
      </w:r>
      <w:r>
        <w:rPr>
          <w:rFonts w:hint="cs"/>
          <w:rtl/>
        </w:rPr>
        <w:tab/>
        <w:t>وتنف</w:t>
      </w:r>
      <w:r>
        <w:rPr>
          <w:rFonts w:hint="cs"/>
          <w:rtl/>
        </w:rPr>
        <w:t>ذ وزارة الرعاية الاجتماعية، من خلال إدارة حماية الطفل، مشروعاً بعنوان "أبناؤنا" يرمي إلى تعزيز نماء الطفل مع التركيز على الأطفال دون السادسة من العمر. ويركز المشروع على سياسات الأجل المتوسط والطويل، أي أنه يسترشد برؤية البلد للمستقبل، من حيث السياسات الخاص</w:t>
      </w:r>
      <w:r>
        <w:rPr>
          <w:rFonts w:hint="cs"/>
          <w:rtl/>
        </w:rPr>
        <w:t>ة برعاية الطفل وحمايته. والمشروع ممول من مصرف التنمية للبلدان الأمريكية.</w:t>
      </w:r>
    </w:p>
    <w:p w:rsidR="00000000" w:rsidRDefault="00567B15">
      <w:pPr>
        <w:spacing w:line="380" w:lineRule="exact"/>
        <w:jc w:val="center"/>
        <w:rPr>
          <w:rFonts w:hint="cs"/>
          <w:b/>
          <w:bCs/>
          <w:rtl/>
        </w:rPr>
      </w:pPr>
      <w:r>
        <w:rPr>
          <w:rFonts w:hint="cs"/>
          <w:b/>
          <w:bCs/>
          <w:rtl/>
        </w:rPr>
        <w:t>المادة 11</w:t>
      </w:r>
    </w:p>
    <w:p w:rsidR="00000000" w:rsidRDefault="00567B15">
      <w:pPr>
        <w:spacing w:line="380" w:lineRule="exact"/>
        <w:jc w:val="both"/>
        <w:rPr>
          <w:rFonts w:hint="cs"/>
          <w:b/>
          <w:bCs/>
          <w:rtl/>
        </w:rPr>
      </w:pPr>
      <w:r>
        <w:rPr>
          <w:rFonts w:hint="cs"/>
          <w:b/>
          <w:bCs/>
          <w:rtl/>
        </w:rPr>
        <w:t>التنمية البشرية - مستوى المعيشة</w:t>
      </w:r>
    </w:p>
    <w:p w:rsidR="00000000" w:rsidRDefault="00567B15">
      <w:pPr>
        <w:spacing w:line="380" w:lineRule="exact"/>
        <w:jc w:val="both"/>
        <w:rPr>
          <w:rFonts w:hint="cs"/>
          <w:rtl/>
        </w:rPr>
      </w:pPr>
      <w:r>
        <w:rPr>
          <w:rFonts w:hint="cs"/>
          <w:rtl/>
        </w:rPr>
        <w:t>275-</w:t>
      </w:r>
      <w:r>
        <w:rPr>
          <w:rFonts w:hint="cs"/>
          <w:rtl/>
        </w:rPr>
        <w:tab/>
        <w:t>ساءت الأزمة الاقتصادية في إكوادور في عام 1999، ويُعزى ذلك بشكل رئيسي إلى مشاكل في الجزء النقدي من الاقتصاد تتعلق بارتفاع قيمة الدولار ار</w:t>
      </w:r>
      <w:r>
        <w:rPr>
          <w:rFonts w:hint="cs"/>
          <w:rtl/>
        </w:rPr>
        <w:t>تفاعاً ثابتاً مقابل السوكر. وفي شباط/فبراير، أُجبرت السلطات النقدية على الاستغناء عن آلية سعر الصرف الأوروبية والسماح بتداول العملة تداولاً حراً.</w:t>
      </w:r>
    </w:p>
    <w:p w:rsidR="00000000" w:rsidRDefault="00567B15">
      <w:pPr>
        <w:spacing w:line="380" w:lineRule="exact"/>
        <w:jc w:val="both"/>
        <w:rPr>
          <w:rFonts w:hint="cs"/>
          <w:rtl/>
        </w:rPr>
      </w:pPr>
      <w:r>
        <w:rPr>
          <w:rFonts w:hint="cs"/>
          <w:rtl/>
        </w:rPr>
        <w:t>276-</w:t>
      </w:r>
      <w:r>
        <w:rPr>
          <w:rFonts w:hint="cs"/>
          <w:rtl/>
        </w:rPr>
        <w:tab/>
        <w:t>وفي آذار/مارس، أُجبرت الحكومة، نظراً لعدم استقرار النظام المالي الوطني، على الإعلان عن عطلة المصارف وتجمي</w:t>
      </w:r>
      <w:r>
        <w:rPr>
          <w:rFonts w:hint="cs"/>
          <w:rtl/>
        </w:rPr>
        <w:t>د الأصول في النظام المالي. وخلال العام، وصل مقدار مسترجعات تأمين الودائع الصادرة عن وكالة ضمان الودائع إلى ما تفوق نسبته 130 في المائة من إصدارات العملة التي طرحها البنك المركزي.</w:t>
      </w:r>
    </w:p>
    <w:p w:rsidR="00000000" w:rsidRDefault="00567B15">
      <w:pPr>
        <w:spacing w:line="380" w:lineRule="exact"/>
        <w:jc w:val="both"/>
        <w:rPr>
          <w:rFonts w:hint="cs"/>
          <w:rtl/>
        </w:rPr>
      </w:pPr>
      <w:r>
        <w:rPr>
          <w:rFonts w:hint="cs"/>
          <w:rtl/>
        </w:rPr>
        <w:t>277-</w:t>
      </w:r>
      <w:r>
        <w:rPr>
          <w:rFonts w:hint="cs"/>
          <w:rtl/>
        </w:rPr>
        <w:tab/>
        <w:t>وأصدرت الحكومة زهاء 500 1 مليون دولار من دولارات الولايات المتحدة في شكل</w:t>
      </w:r>
      <w:r>
        <w:rPr>
          <w:rFonts w:hint="cs"/>
          <w:rtl/>
        </w:rPr>
        <w:t xml:space="preserve"> سندات لتوفير السيولة للنظام المصرفي، حيث بلغت العملية أوجها بإغلاق بعض الوحدات وبيع أصولها المادية بالمزاد العلني. ويقضي عدد من المصرفيين البنوك الآن أحكاماً بالسجن نتيجة لذلك.</w:t>
      </w:r>
    </w:p>
    <w:p w:rsidR="00000000" w:rsidRDefault="00567B15">
      <w:pPr>
        <w:spacing w:line="380" w:lineRule="exact"/>
        <w:jc w:val="both"/>
        <w:rPr>
          <w:rFonts w:hint="cs"/>
          <w:rtl/>
        </w:rPr>
      </w:pPr>
      <w:r>
        <w:rPr>
          <w:rFonts w:hint="cs"/>
          <w:rtl/>
        </w:rPr>
        <w:t>278-</w:t>
      </w:r>
      <w:r>
        <w:rPr>
          <w:rFonts w:hint="cs"/>
          <w:rtl/>
        </w:rPr>
        <w:tab/>
        <w:t>ويزيد إصدار السندات (قصيرة الأجل) من تداول الأموال في الاقتصاد زيادة مباش</w:t>
      </w:r>
      <w:r>
        <w:rPr>
          <w:rFonts w:hint="cs"/>
          <w:rtl/>
        </w:rPr>
        <w:t>رة، كما يزيد من الديون الداخلية للبلد. وأدى تداول الأموال بشكل مفرط في الاقتصاد إلى انفلات زمام التحكم في السوكر. وانخفض بما تزيد نسبته على 263 في المائة خلال العام.</w:t>
      </w:r>
    </w:p>
    <w:p w:rsidR="00000000" w:rsidRDefault="00567B15">
      <w:pPr>
        <w:spacing w:line="380" w:lineRule="exact"/>
        <w:jc w:val="both"/>
        <w:rPr>
          <w:rFonts w:hint="cs"/>
          <w:rtl/>
        </w:rPr>
      </w:pPr>
      <w:r>
        <w:rPr>
          <w:rFonts w:hint="cs"/>
          <w:rtl/>
        </w:rPr>
        <w:t>279-</w:t>
      </w:r>
      <w:r>
        <w:rPr>
          <w:rFonts w:hint="cs"/>
          <w:rtl/>
        </w:rPr>
        <w:tab/>
        <w:t>وازداد الطلب زيادة غير اعتيادية بسبب السيولة الفائضة، ممّا أدى إلى ارتفاع الأسعار وزي</w:t>
      </w:r>
      <w:r>
        <w:rPr>
          <w:rFonts w:hint="cs"/>
          <w:rtl/>
        </w:rPr>
        <w:t>ادة معدل التضخم. ووصل معدل التضخم في آذار/مارس إلى 13.5 في المائة، وفي النهاية بلغ المعدل السنوي 60.7 في المائة. وانخفضت القدرة الشرائية بنحو 50 في المائة. وهكذا، بلغ إجمالي ما يتسلمه أي عامل من أجور، محتسبة بالدولار، 167 957 سوكراً أي 134.18 دولاراً في كا</w:t>
      </w:r>
      <w:r>
        <w:rPr>
          <w:rFonts w:hint="cs"/>
          <w:rtl/>
        </w:rPr>
        <w:t>نون الثاني/يناير و167 109 1 سوكراً أي 60.92 دولار في كانون الأول/ديسمبر. وخصصت الأسر نفقاتها المباشرة بصفة أساسية للمأكل والملبس؛ حيث ارتفعت حصتيهما في مؤشر الأسعار على التوالي إلى 17.8 في المائة و8.6 في المائة على التوالي.</w:t>
      </w:r>
    </w:p>
    <w:p w:rsidR="00000000" w:rsidRDefault="00567B15">
      <w:pPr>
        <w:spacing w:line="380" w:lineRule="exact"/>
        <w:jc w:val="both"/>
        <w:rPr>
          <w:rFonts w:hint="cs"/>
          <w:spacing w:val="2"/>
          <w:rtl/>
        </w:rPr>
      </w:pPr>
      <w:r>
        <w:rPr>
          <w:rFonts w:hint="cs"/>
          <w:rtl/>
        </w:rPr>
        <w:t>280</w:t>
      </w:r>
      <w:r>
        <w:rPr>
          <w:rFonts w:hint="cs"/>
          <w:spacing w:val="2"/>
          <w:rtl/>
        </w:rPr>
        <w:t>-</w:t>
      </w:r>
      <w:r>
        <w:rPr>
          <w:rFonts w:hint="cs"/>
          <w:spacing w:val="2"/>
          <w:rtl/>
        </w:rPr>
        <w:tab/>
        <w:t>وعجز البنك المركزي، على الر</w:t>
      </w:r>
      <w:r>
        <w:rPr>
          <w:rFonts w:hint="cs"/>
          <w:spacing w:val="2"/>
          <w:rtl/>
        </w:rPr>
        <w:t>غم مما بذله من جهود في التدخل، عن إخماد تقلب سعر الدولار، الذي وصل بحلول نهاية عام 1999 إلى ما يقارب 000 20 سوكر. ولذلك، أعادت الحكومة جدولة سداد الأصول المجمدة من أجل الحيلولة دون استفحال الوضع الاقتصادي. وفي أوائل عام 2000، أصدرت الحكومة مرسوماً يقضي بال</w:t>
      </w:r>
      <w:r>
        <w:rPr>
          <w:rFonts w:hint="cs"/>
          <w:spacing w:val="2"/>
          <w:rtl/>
        </w:rPr>
        <w:t>استعاضة عن العملة الوطنية بالتداول بالدولار، مما أدى إلى تحديد سعر صرف الدولار ب‍000 25 سوكر.</w:t>
      </w:r>
    </w:p>
    <w:tbl>
      <w:tblPr>
        <w:bidiVisual/>
        <w:tblW w:w="0" w:type="auto"/>
        <w:jc w:val="center"/>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3"/>
        <w:gridCol w:w="1914"/>
        <w:gridCol w:w="1914"/>
        <w:gridCol w:w="1914"/>
        <w:gridCol w:w="1914"/>
      </w:tblGrid>
      <w:tr w:rsidR="00567B15" w:rsidTr="00567B15">
        <w:tblPrEx>
          <w:tblCellMar>
            <w:top w:w="0" w:type="dxa"/>
            <w:bottom w:w="0" w:type="dxa"/>
          </w:tblCellMar>
        </w:tblPrEx>
        <w:trPr>
          <w:jc w:val="center"/>
        </w:trPr>
        <w:tc>
          <w:tcPr>
            <w:tcW w:w="1803" w:type="dxa"/>
            <w:tcBorders>
              <w:bottom w:val="single" w:sz="4" w:space="0" w:color="auto"/>
            </w:tcBorders>
          </w:tcPr>
          <w:p w:rsidR="00567B15" w:rsidRDefault="00567B15">
            <w:pPr>
              <w:spacing w:before="0" w:after="0"/>
              <w:jc w:val="center"/>
              <w:rPr>
                <w:rFonts w:hint="cs"/>
                <w:szCs w:val="26"/>
                <w:rtl/>
              </w:rPr>
            </w:pPr>
          </w:p>
          <w:p w:rsidR="00567B15" w:rsidRDefault="00567B15">
            <w:pPr>
              <w:spacing w:before="0" w:after="0"/>
              <w:jc w:val="center"/>
              <w:rPr>
                <w:rStyle w:val="FootnoteReference"/>
                <w:rFonts w:hint="cs"/>
                <w:bCs w:val="0"/>
                <w:szCs w:val="26"/>
                <w:vertAlign w:val="baseline"/>
              </w:rPr>
            </w:pPr>
            <w:r>
              <w:rPr>
                <w:rFonts w:hint="cs"/>
                <w:szCs w:val="26"/>
                <w:rtl/>
              </w:rPr>
              <w:t>السنوات</w:t>
            </w:r>
          </w:p>
        </w:tc>
        <w:tc>
          <w:tcPr>
            <w:tcW w:w="1914" w:type="dxa"/>
            <w:tcBorders>
              <w:bottom w:val="single" w:sz="4" w:space="0" w:color="auto"/>
            </w:tcBorders>
          </w:tcPr>
          <w:p w:rsidR="00567B15" w:rsidRDefault="00567B15">
            <w:pPr>
              <w:spacing w:before="0" w:after="0"/>
              <w:jc w:val="center"/>
              <w:rPr>
                <w:rFonts w:hint="cs"/>
                <w:szCs w:val="26"/>
                <w:rtl/>
              </w:rPr>
            </w:pPr>
          </w:p>
          <w:p w:rsidR="00567B15" w:rsidRDefault="00567B15">
            <w:pPr>
              <w:spacing w:before="0" w:after="0"/>
              <w:jc w:val="center"/>
              <w:rPr>
                <w:rStyle w:val="FootnoteReference"/>
                <w:rFonts w:hint="cs"/>
                <w:bCs w:val="0"/>
                <w:szCs w:val="26"/>
                <w:vertAlign w:val="baseline"/>
              </w:rPr>
            </w:pPr>
            <w:r>
              <w:rPr>
                <w:rFonts w:hint="cs"/>
                <w:szCs w:val="26"/>
                <w:rtl/>
              </w:rPr>
              <w:t>مؤشر الأسعار</w:t>
            </w:r>
          </w:p>
        </w:tc>
        <w:tc>
          <w:tcPr>
            <w:tcW w:w="1914" w:type="dxa"/>
            <w:tcBorders>
              <w:bottom w:val="single" w:sz="4"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التغيير الحاصل في الناتج المحلي الإجمالي سنوياً</w:t>
            </w:r>
          </w:p>
        </w:tc>
        <w:tc>
          <w:tcPr>
            <w:tcW w:w="1914" w:type="dxa"/>
            <w:tcBorders>
              <w:bottom w:val="single" w:sz="4"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سعر صرف السوكر أمام الدولار*</w:t>
            </w:r>
          </w:p>
        </w:tc>
        <w:tc>
          <w:tcPr>
            <w:tcW w:w="1914" w:type="dxa"/>
            <w:tcBorders>
              <w:bottom w:val="single" w:sz="4" w:space="0" w:color="auto"/>
            </w:tcBorders>
          </w:tcPr>
          <w:p w:rsidR="00567B15" w:rsidRDefault="00567B15">
            <w:pPr>
              <w:spacing w:before="0" w:after="0"/>
              <w:jc w:val="center"/>
              <w:rPr>
                <w:rFonts w:hint="cs"/>
                <w:szCs w:val="26"/>
                <w:rtl/>
              </w:rPr>
            </w:pPr>
          </w:p>
          <w:p w:rsidR="00567B15" w:rsidRDefault="00567B15">
            <w:pPr>
              <w:spacing w:before="0" w:after="0"/>
              <w:jc w:val="center"/>
              <w:rPr>
                <w:rStyle w:val="FootnoteReference"/>
                <w:rFonts w:hint="cs"/>
                <w:bCs w:val="0"/>
                <w:szCs w:val="26"/>
                <w:vertAlign w:val="baseline"/>
              </w:rPr>
            </w:pPr>
            <w:r>
              <w:rPr>
                <w:rFonts w:hint="cs"/>
                <w:szCs w:val="26"/>
                <w:rtl/>
              </w:rPr>
              <w:t>معدل البطالة**</w:t>
            </w:r>
          </w:p>
        </w:tc>
      </w:tr>
      <w:tr w:rsidR="00567B15" w:rsidTr="00567B15">
        <w:tblPrEx>
          <w:tblCellMar>
            <w:top w:w="0" w:type="dxa"/>
            <w:bottom w:w="0" w:type="dxa"/>
          </w:tblCellMar>
        </w:tblPrEx>
        <w:trPr>
          <w:jc w:val="center"/>
        </w:trPr>
        <w:tc>
          <w:tcPr>
            <w:tcW w:w="1803" w:type="dxa"/>
            <w:tcBorders>
              <w:bottom w:val="nil"/>
            </w:tcBorders>
          </w:tcPr>
          <w:p w:rsidR="00567B15" w:rsidRDefault="00567B15">
            <w:pPr>
              <w:spacing w:before="0" w:after="0"/>
              <w:ind w:left="534"/>
              <w:jc w:val="both"/>
              <w:rPr>
                <w:rStyle w:val="FootnoteReference"/>
                <w:rFonts w:hint="cs"/>
                <w:bCs w:val="0"/>
                <w:szCs w:val="26"/>
                <w:vertAlign w:val="baseline"/>
              </w:rPr>
            </w:pPr>
            <w:r>
              <w:rPr>
                <w:rFonts w:hint="cs"/>
                <w:szCs w:val="26"/>
                <w:rtl/>
              </w:rPr>
              <w:t>1990</w:t>
            </w:r>
          </w:p>
        </w:tc>
        <w:tc>
          <w:tcPr>
            <w:tcW w:w="1914" w:type="dxa"/>
            <w:tcBorders>
              <w:bottom w:val="nil"/>
            </w:tcBorders>
          </w:tcPr>
          <w:p w:rsidR="00567B15" w:rsidRDefault="00567B15">
            <w:pPr>
              <w:spacing w:before="0" w:after="0"/>
              <w:ind w:left="420"/>
              <w:jc w:val="both"/>
              <w:rPr>
                <w:rStyle w:val="FootnoteReference"/>
                <w:rFonts w:hint="cs"/>
                <w:bCs w:val="0"/>
                <w:szCs w:val="26"/>
                <w:vertAlign w:val="baseline"/>
              </w:rPr>
            </w:pPr>
            <w:r>
              <w:rPr>
                <w:rFonts w:hint="cs"/>
                <w:szCs w:val="26"/>
                <w:rtl/>
              </w:rPr>
              <w:t>20.89</w:t>
            </w:r>
          </w:p>
        </w:tc>
        <w:tc>
          <w:tcPr>
            <w:tcW w:w="1914" w:type="dxa"/>
            <w:tcBorders>
              <w:bottom w:val="nil"/>
            </w:tcBorders>
          </w:tcPr>
          <w:p w:rsidR="00567B15" w:rsidRDefault="00567B15">
            <w:pPr>
              <w:spacing w:before="0" w:after="0"/>
              <w:ind w:left="486"/>
              <w:jc w:val="both"/>
              <w:rPr>
                <w:rStyle w:val="FootnoteReference"/>
                <w:rFonts w:hint="cs"/>
                <w:bCs w:val="0"/>
                <w:szCs w:val="26"/>
                <w:vertAlign w:val="baseline"/>
              </w:rPr>
            </w:pPr>
            <w:r>
              <w:rPr>
                <w:rFonts w:hint="cs"/>
                <w:szCs w:val="26"/>
                <w:rtl/>
              </w:rPr>
              <w:t>3</w:t>
            </w:r>
          </w:p>
        </w:tc>
        <w:tc>
          <w:tcPr>
            <w:tcW w:w="1914" w:type="dxa"/>
            <w:tcBorders>
              <w:bottom w:val="nil"/>
            </w:tcBorders>
          </w:tcPr>
          <w:p w:rsidR="00567B15" w:rsidRDefault="00567B15">
            <w:pPr>
              <w:spacing w:before="0" w:after="0"/>
              <w:ind w:left="552"/>
              <w:jc w:val="both"/>
              <w:rPr>
                <w:rStyle w:val="FootnoteReference"/>
                <w:rFonts w:hint="cs"/>
                <w:bCs w:val="0"/>
                <w:szCs w:val="26"/>
                <w:vertAlign w:val="baseline"/>
              </w:rPr>
            </w:pPr>
            <w:r>
              <w:rPr>
                <w:rFonts w:hint="cs"/>
                <w:szCs w:val="26"/>
                <w:rtl/>
              </w:rPr>
              <w:t>898</w:t>
            </w:r>
          </w:p>
        </w:tc>
        <w:tc>
          <w:tcPr>
            <w:tcW w:w="1914" w:type="dxa"/>
            <w:tcBorders>
              <w:bottom w:val="nil"/>
            </w:tcBorders>
          </w:tcPr>
          <w:p w:rsidR="00567B15" w:rsidRDefault="00567B15">
            <w:pPr>
              <w:spacing w:before="0" w:after="0"/>
              <w:ind w:left="438"/>
              <w:jc w:val="both"/>
              <w:rPr>
                <w:rStyle w:val="FootnoteReference"/>
                <w:rFonts w:hint="cs"/>
                <w:bCs w:val="0"/>
                <w:szCs w:val="26"/>
                <w:vertAlign w:val="baseline"/>
              </w:rPr>
            </w:pPr>
            <w:r>
              <w:rPr>
                <w:rFonts w:hint="cs"/>
                <w:szCs w:val="26"/>
                <w:rtl/>
              </w:rPr>
              <w:t>6.1</w:t>
            </w:r>
          </w:p>
        </w:tc>
      </w:tr>
      <w:tr w:rsidR="00567B15" w:rsidTr="00567B15">
        <w:tblPrEx>
          <w:tblCellMar>
            <w:top w:w="0" w:type="dxa"/>
            <w:bottom w:w="0" w:type="dxa"/>
          </w:tblCellMar>
        </w:tblPrEx>
        <w:trPr>
          <w:jc w:val="center"/>
        </w:trPr>
        <w:tc>
          <w:tcPr>
            <w:tcW w:w="1803" w:type="dxa"/>
            <w:tcBorders>
              <w:top w:val="nil"/>
              <w:bottom w:val="nil"/>
            </w:tcBorders>
          </w:tcPr>
          <w:p w:rsidR="00567B15" w:rsidRDefault="00567B15">
            <w:pPr>
              <w:spacing w:before="0" w:after="0"/>
              <w:ind w:left="534"/>
              <w:jc w:val="both"/>
              <w:rPr>
                <w:rFonts w:hint="cs"/>
                <w:szCs w:val="26"/>
                <w:rtl/>
              </w:rPr>
            </w:pPr>
            <w:r>
              <w:rPr>
                <w:rFonts w:hint="cs"/>
                <w:szCs w:val="26"/>
                <w:rtl/>
              </w:rPr>
              <w:t>1995</w:t>
            </w:r>
          </w:p>
        </w:tc>
        <w:tc>
          <w:tcPr>
            <w:tcW w:w="1914" w:type="dxa"/>
            <w:tcBorders>
              <w:top w:val="nil"/>
              <w:bottom w:val="nil"/>
            </w:tcBorders>
          </w:tcPr>
          <w:p w:rsidR="00567B15" w:rsidRDefault="00567B15">
            <w:pPr>
              <w:spacing w:before="0" w:after="0"/>
              <w:ind w:left="420"/>
              <w:jc w:val="both"/>
              <w:rPr>
                <w:rFonts w:hint="cs"/>
                <w:szCs w:val="26"/>
                <w:rtl/>
              </w:rPr>
            </w:pPr>
            <w:r>
              <w:rPr>
                <w:rFonts w:hint="cs"/>
                <w:szCs w:val="26"/>
                <w:rtl/>
              </w:rPr>
              <w:t>108.99</w:t>
            </w:r>
          </w:p>
        </w:tc>
        <w:tc>
          <w:tcPr>
            <w:tcW w:w="1914" w:type="dxa"/>
            <w:tcBorders>
              <w:top w:val="nil"/>
              <w:bottom w:val="nil"/>
            </w:tcBorders>
          </w:tcPr>
          <w:p w:rsidR="00567B15" w:rsidRDefault="00567B15">
            <w:pPr>
              <w:spacing w:before="0" w:after="0"/>
              <w:ind w:left="486"/>
              <w:jc w:val="both"/>
              <w:rPr>
                <w:rFonts w:hint="cs"/>
                <w:szCs w:val="26"/>
                <w:rtl/>
              </w:rPr>
            </w:pPr>
            <w:r>
              <w:rPr>
                <w:rFonts w:hint="cs"/>
                <w:szCs w:val="26"/>
                <w:rtl/>
              </w:rPr>
              <w:t>2.3</w:t>
            </w:r>
          </w:p>
        </w:tc>
        <w:tc>
          <w:tcPr>
            <w:tcW w:w="1914" w:type="dxa"/>
            <w:tcBorders>
              <w:top w:val="nil"/>
              <w:bottom w:val="nil"/>
            </w:tcBorders>
          </w:tcPr>
          <w:p w:rsidR="00567B15" w:rsidRDefault="00567B15">
            <w:pPr>
              <w:spacing w:before="0" w:after="0"/>
              <w:ind w:left="552"/>
              <w:jc w:val="both"/>
              <w:rPr>
                <w:rFonts w:hint="cs"/>
                <w:szCs w:val="26"/>
                <w:rtl/>
              </w:rPr>
            </w:pPr>
            <w:r>
              <w:rPr>
                <w:rFonts w:hint="cs"/>
                <w:szCs w:val="26"/>
                <w:rtl/>
              </w:rPr>
              <w:t>925 2</w:t>
            </w:r>
          </w:p>
        </w:tc>
        <w:tc>
          <w:tcPr>
            <w:tcW w:w="1914" w:type="dxa"/>
            <w:tcBorders>
              <w:top w:val="nil"/>
              <w:bottom w:val="nil"/>
            </w:tcBorders>
          </w:tcPr>
          <w:p w:rsidR="00567B15" w:rsidRDefault="00567B15">
            <w:pPr>
              <w:spacing w:before="0" w:after="0"/>
              <w:ind w:left="438"/>
              <w:jc w:val="both"/>
              <w:rPr>
                <w:rFonts w:hint="cs"/>
                <w:szCs w:val="26"/>
                <w:rtl/>
              </w:rPr>
            </w:pPr>
            <w:r>
              <w:rPr>
                <w:rFonts w:hint="cs"/>
                <w:szCs w:val="26"/>
                <w:rtl/>
              </w:rPr>
              <w:t>6.9</w:t>
            </w:r>
          </w:p>
        </w:tc>
      </w:tr>
      <w:tr w:rsidR="00567B15" w:rsidTr="00567B15">
        <w:tblPrEx>
          <w:tblCellMar>
            <w:top w:w="0" w:type="dxa"/>
            <w:bottom w:w="0" w:type="dxa"/>
          </w:tblCellMar>
        </w:tblPrEx>
        <w:trPr>
          <w:jc w:val="center"/>
        </w:trPr>
        <w:tc>
          <w:tcPr>
            <w:tcW w:w="1803" w:type="dxa"/>
            <w:tcBorders>
              <w:top w:val="nil"/>
              <w:bottom w:val="nil"/>
            </w:tcBorders>
          </w:tcPr>
          <w:p w:rsidR="00567B15" w:rsidRDefault="00567B15">
            <w:pPr>
              <w:spacing w:before="0" w:after="0"/>
              <w:ind w:left="534"/>
              <w:jc w:val="both"/>
              <w:rPr>
                <w:rFonts w:hint="cs"/>
                <w:szCs w:val="26"/>
                <w:rtl/>
              </w:rPr>
            </w:pPr>
            <w:r>
              <w:rPr>
                <w:rFonts w:hint="cs"/>
                <w:szCs w:val="26"/>
                <w:rtl/>
              </w:rPr>
              <w:t>1998</w:t>
            </w:r>
          </w:p>
        </w:tc>
        <w:tc>
          <w:tcPr>
            <w:tcW w:w="1914" w:type="dxa"/>
            <w:tcBorders>
              <w:top w:val="nil"/>
              <w:bottom w:val="nil"/>
            </w:tcBorders>
          </w:tcPr>
          <w:p w:rsidR="00567B15" w:rsidRDefault="00567B15">
            <w:pPr>
              <w:spacing w:before="0" w:after="0"/>
              <w:ind w:left="420"/>
              <w:jc w:val="both"/>
              <w:rPr>
                <w:rFonts w:hint="cs"/>
                <w:szCs w:val="26"/>
                <w:rtl/>
              </w:rPr>
            </w:pPr>
            <w:r>
              <w:rPr>
                <w:rFonts w:hint="cs"/>
                <w:szCs w:val="26"/>
                <w:rtl/>
              </w:rPr>
              <w:t>241.04</w:t>
            </w:r>
          </w:p>
        </w:tc>
        <w:tc>
          <w:tcPr>
            <w:tcW w:w="1914" w:type="dxa"/>
            <w:tcBorders>
              <w:top w:val="nil"/>
              <w:bottom w:val="nil"/>
            </w:tcBorders>
          </w:tcPr>
          <w:p w:rsidR="00567B15" w:rsidRDefault="00567B15">
            <w:pPr>
              <w:spacing w:before="0" w:after="0"/>
              <w:ind w:left="486"/>
              <w:jc w:val="both"/>
              <w:rPr>
                <w:rFonts w:hint="cs"/>
                <w:szCs w:val="26"/>
                <w:rtl/>
              </w:rPr>
            </w:pPr>
            <w:r>
              <w:rPr>
                <w:rFonts w:hint="cs"/>
                <w:szCs w:val="26"/>
                <w:rtl/>
              </w:rPr>
              <w:t>0.4</w:t>
            </w:r>
          </w:p>
        </w:tc>
        <w:tc>
          <w:tcPr>
            <w:tcW w:w="1914" w:type="dxa"/>
            <w:tcBorders>
              <w:top w:val="nil"/>
              <w:bottom w:val="nil"/>
            </w:tcBorders>
          </w:tcPr>
          <w:p w:rsidR="00567B15" w:rsidRDefault="00567B15">
            <w:pPr>
              <w:spacing w:before="0" w:after="0"/>
              <w:ind w:left="552"/>
              <w:jc w:val="both"/>
              <w:rPr>
                <w:rFonts w:hint="cs"/>
                <w:szCs w:val="26"/>
                <w:rtl/>
              </w:rPr>
            </w:pPr>
            <w:r>
              <w:rPr>
                <w:rFonts w:hint="cs"/>
                <w:szCs w:val="26"/>
                <w:rtl/>
              </w:rPr>
              <w:t>825 6</w:t>
            </w:r>
          </w:p>
        </w:tc>
        <w:tc>
          <w:tcPr>
            <w:tcW w:w="1914" w:type="dxa"/>
            <w:tcBorders>
              <w:top w:val="nil"/>
              <w:bottom w:val="nil"/>
            </w:tcBorders>
          </w:tcPr>
          <w:p w:rsidR="00567B15" w:rsidRDefault="00567B15">
            <w:pPr>
              <w:spacing w:before="0" w:after="0"/>
              <w:ind w:left="438"/>
              <w:jc w:val="both"/>
              <w:rPr>
                <w:rFonts w:hint="cs"/>
                <w:szCs w:val="26"/>
                <w:rtl/>
              </w:rPr>
            </w:pPr>
            <w:r>
              <w:rPr>
                <w:rFonts w:hint="cs"/>
                <w:szCs w:val="26"/>
                <w:rtl/>
              </w:rPr>
              <w:t>11.5</w:t>
            </w:r>
          </w:p>
        </w:tc>
      </w:tr>
      <w:tr w:rsidR="00567B15" w:rsidTr="00567B15">
        <w:tblPrEx>
          <w:tblCellMar>
            <w:top w:w="0" w:type="dxa"/>
            <w:bottom w:w="0" w:type="dxa"/>
          </w:tblCellMar>
        </w:tblPrEx>
        <w:trPr>
          <w:jc w:val="center"/>
        </w:trPr>
        <w:tc>
          <w:tcPr>
            <w:tcW w:w="1803" w:type="dxa"/>
            <w:tcBorders>
              <w:top w:val="nil"/>
              <w:bottom w:val="nil"/>
            </w:tcBorders>
          </w:tcPr>
          <w:p w:rsidR="00567B15" w:rsidRDefault="00567B15">
            <w:pPr>
              <w:spacing w:before="0" w:after="0"/>
              <w:ind w:left="534"/>
              <w:jc w:val="both"/>
              <w:rPr>
                <w:rFonts w:hint="cs"/>
                <w:szCs w:val="26"/>
                <w:rtl/>
              </w:rPr>
            </w:pPr>
            <w:r>
              <w:rPr>
                <w:rFonts w:hint="cs"/>
                <w:szCs w:val="26"/>
                <w:rtl/>
              </w:rPr>
              <w:t>1999</w:t>
            </w:r>
          </w:p>
        </w:tc>
        <w:tc>
          <w:tcPr>
            <w:tcW w:w="1914" w:type="dxa"/>
            <w:tcBorders>
              <w:top w:val="nil"/>
              <w:bottom w:val="nil"/>
            </w:tcBorders>
          </w:tcPr>
          <w:p w:rsidR="00567B15" w:rsidRDefault="00567B15">
            <w:pPr>
              <w:spacing w:before="0" w:after="0"/>
              <w:ind w:left="420"/>
              <w:jc w:val="both"/>
              <w:rPr>
                <w:rFonts w:hint="cs"/>
                <w:szCs w:val="26"/>
                <w:rtl/>
              </w:rPr>
            </w:pPr>
            <w:r>
              <w:rPr>
                <w:rFonts w:hint="cs"/>
                <w:szCs w:val="26"/>
                <w:rtl/>
              </w:rPr>
              <w:t>367</w:t>
            </w:r>
          </w:p>
        </w:tc>
        <w:tc>
          <w:tcPr>
            <w:tcW w:w="1914" w:type="dxa"/>
            <w:tcBorders>
              <w:top w:val="nil"/>
              <w:bottom w:val="nil"/>
            </w:tcBorders>
          </w:tcPr>
          <w:p w:rsidR="00567B15" w:rsidRDefault="00567B15">
            <w:pPr>
              <w:spacing w:before="0" w:after="0"/>
              <w:ind w:left="306"/>
              <w:jc w:val="both"/>
              <w:rPr>
                <w:rFonts w:hint="cs"/>
                <w:szCs w:val="26"/>
                <w:rtl/>
              </w:rPr>
            </w:pPr>
            <w:r>
              <w:rPr>
                <w:rFonts w:hint="cs"/>
                <w:szCs w:val="26"/>
                <w:rtl/>
              </w:rPr>
              <w:t>-7.3</w:t>
            </w:r>
          </w:p>
        </w:tc>
        <w:tc>
          <w:tcPr>
            <w:tcW w:w="1914" w:type="dxa"/>
            <w:tcBorders>
              <w:top w:val="nil"/>
              <w:bottom w:val="nil"/>
            </w:tcBorders>
          </w:tcPr>
          <w:p w:rsidR="00567B15" w:rsidRDefault="00567B15">
            <w:pPr>
              <w:spacing w:before="0" w:after="0"/>
              <w:ind w:left="552"/>
              <w:jc w:val="both"/>
              <w:rPr>
                <w:rFonts w:hint="cs"/>
                <w:szCs w:val="26"/>
                <w:rtl/>
              </w:rPr>
            </w:pPr>
            <w:r>
              <w:rPr>
                <w:rFonts w:hint="cs"/>
                <w:szCs w:val="26"/>
                <w:rtl/>
              </w:rPr>
              <w:t>243 20</w:t>
            </w:r>
          </w:p>
        </w:tc>
        <w:tc>
          <w:tcPr>
            <w:tcW w:w="1914" w:type="dxa"/>
            <w:tcBorders>
              <w:top w:val="nil"/>
              <w:bottom w:val="nil"/>
            </w:tcBorders>
          </w:tcPr>
          <w:p w:rsidR="00567B15" w:rsidRDefault="00567B15">
            <w:pPr>
              <w:spacing w:before="0" w:after="0"/>
              <w:ind w:left="438"/>
              <w:jc w:val="both"/>
              <w:rPr>
                <w:rFonts w:hint="cs"/>
                <w:szCs w:val="26"/>
                <w:rtl/>
              </w:rPr>
            </w:pPr>
            <w:r>
              <w:rPr>
                <w:rFonts w:hint="cs"/>
                <w:szCs w:val="26"/>
                <w:rtl/>
              </w:rPr>
              <w:t>14.4</w:t>
            </w:r>
          </w:p>
        </w:tc>
      </w:tr>
      <w:tr w:rsidR="00567B15" w:rsidTr="00567B15">
        <w:tblPrEx>
          <w:tblCellMar>
            <w:top w:w="0" w:type="dxa"/>
            <w:bottom w:w="0" w:type="dxa"/>
          </w:tblCellMar>
        </w:tblPrEx>
        <w:trPr>
          <w:jc w:val="center"/>
        </w:trPr>
        <w:tc>
          <w:tcPr>
            <w:tcW w:w="1803" w:type="dxa"/>
            <w:tcBorders>
              <w:top w:val="nil"/>
              <w:bottom w:val="nil"/>
            </w:tcBorders>
          </w:tcPr>
          <w:p w:rsidR="00567B15" w:rsidRDefault="00567B15">
            <w:pPr>
              <w:spacing w:before="0" w:after="0"/>
              <w:ind w:left="534"/>
              <w:jc w:val="both"/>
              <w:rPr>
                <w:rFonts w:hint="cs"/>
                <w:szCs w:val="26"/>
                <w:rtl/>
              </w:rPr>
            </w:pPr>
            <w:r>
              <w:rPr>
                <w:rFonts w:hint="cs"/>
                <w:szCs w:val="26"/>
                <w:rtl/>
              </w:rPr>
              <w:t>2000</w:t>
            </w:r>
          </w:p>
        </w:tc>
        <w:tc>
          <w:tcPr>
            <w:tcW w:w="1914" w:type="dxa"/>
            <w:tcBorders>
              <w:top w:val="nil"/>
              <w:bottom w:val="nil"/>
            </w:tcBorders>
          </w:tcPr>
          <w:p w:rsidR="00567B15" w:rsidRDefault="00567B15">
            <w:pPr>
              <w:spacing w:before="0" w:after="0"/>
              <w:ind w:left="420"/>
              <w:jc w:val="both"/>
              <w:rPr>
                <w:rFonts w:hint="cs"/>
                <w:szCs w:val="26"/>
                <w:rtl/>
              </w:rPr>
            </w:pPr>
          </w:p>
        </w:tc>
        <w:tc>
          <w:tcPr>
            <w:tcW w:w="1914" w:type="dxa"/>
            <w:tcBorders>
              <w:top w:val="nil"/>
              <w:bottom w:val="nil"/>
            </w:tcBorders>
          </w:tcPr>
          <w:p w:rsidR="00567B15" w:rsidRDefault="00567B15">
            <w:pPr>
              <w:spacing w:before="0" w:after="0"/>
              <w:ind w:left="486"/>
              <w:jc w:val="both"/>
              <w:rPr>
                <w:rFonts w:hint="cs"/>
                <w:szCs w:val="26"/>
                <w:rtl/>
              </w:rPr>
            </w:pPr>
            <w:r>
              <w:rPr>
                <w:rFonts w:hint="cs"/>
                <w:szCs w:val="26"/>
                <w:rtl/>
              </w:rPr>
              <w:t>4.8</w:t>
            </w:r>
          </w:p>
        </w:tc>
        <w:tc>
          <w:tcPr>
            <w:tcW w:w="1914" w:type="dxa"/>
            <w:tcBorders>
              <w:top w:val="nil"/>
              <w:bottom w:val="nil"/>
            </w:tcBorders>
          </w:tcPr>
          <w:p w:rsidR="00567B15" w:rsidRDefault="00567B15">
            <w:pPr>
              <w:spacing w:before="0" w:after="0"/>
              <w:ind w:left="552"/>
              <w:jc w:val="both"/>
              <w:rPr>
                <w:rFonts w:hint="cs"/>
                <w:szCs w:val="26"/>
                <w:rtl/>
              </w:rPr>
            </w:pPr>
            <w:r>
              <w:rPr>
                <w:rFonts w:hint="cs"/>
                <w:szCs w:val="26"/>
                <w:rtl/>
              </w:rPr>
              <w:t>000 25</w:t>
            </w:r>
          </w:p>
        </w:tc>
        <w:tc>
          <w:tcPr>
            <w:tcW w:w="1914" w:type="dxa"/>
            <w:tcBorders>
              <w:top w:val="nil"/>
              <w:bottom w:val="nil"/>
            </w:tcBorders>
          </w:tcPr>
          <w:p w:rsidR="00567B15" w:rsidRDefault="00567B15">
            <w:pPr>
              <w:spacing w:before="0" w:after="0"/>
              <w:ind w:left="438"/>
              <w:jc w:val="both"/>
              <w:rPr>
                <w:rFonts w:hint="cs"/>
                <w:szCs w:val="26"/>
                <w:rtl/>
              </w:rPr>
            </w:pPr>
            <w:r>
              <w:rPr>
                <w:rFonts w:hint="cs"/>
                <w:szCs w:val="26"/>
                <w:rtl/>
              </w:rPr>
              <w:t>17.0</w:t>
            </w:r>
          </w:p>
        </w:tc>
      </w:tr>
      <w:tr w:rsidR="00567B15" w:rsidTr="00567B15">
        <w:tblPrEx>
          <w:tblCellMar>
            <w:top w:w="0" w:type="dxa"/>
            <w:bottom w:w="0" w:type="dxa"/>
          </w:tblCellMar>
        </w:tblPrEx>
        <w:trPr>
          <w:jc w:val="center"/>
        </w:trPr>
        <w:tc>
          <w:tcPr>
            <w:tcW w:w="1803" w:type="dxa"/>
            <w:tcBorders>
              <w:top w:val="nil"/>
            </w:tcBorders>
          </w:tcPr>
          <w:p w:rsidR="00567B15" w:rsidRDefault="00567B15">
            <w:pPr>
              <w:spacing w:before="0" w:after="0"/>
              <w:ind w:left="534"/>
              <w:jc w:val="both"/>
              <w:rPr>
                <w:rFonts w:hint="cs"/>
                <w:szCs w:val="26"/>
                <w:rtl/>
              </w:rPr>
            </w:pPr>
            <w:r>
              <w:rPr>
                <w:rFonts w:hint="cs"/>
                <w:szCs w:val="26"/>
                <w:rtl/>
              </w:rPr>
              <w:t>2002</w:t>
            </w:r>
          </w:p>
        </w:tc>
        <w:tc>
          <w:tcPr>
            <w:tcW w:w="1914" w:type="dxa"/>
            <w:tcBorders>
              <w:top w:val="nil"/>
            </w:tcBorders>
          </w:tcPr>
          <w:p w:rsidR="00567B15" w:rsidRDefault="00567B15">
            <w:pPr>
              <w:spacing w:before="0" w:after="0"/>
              <w:ind w:left="420"/>
              <w:jc w:val="both"/>
              <w:rPr>
                <w:rFonts w:hint="cs"/>
                <w:szCs w:val="26"/>
                <w:rtl/>
              </w:rPr>
            </w:pPr>
          </w:p>
        </w:tc>
        <w:tc>
          <w:tcPr>
            <w:tcW w:w="1914" w:type="dxa"/>
            <w:tcBorders>
              <w:top w:val="nil"/>
            </w:tcBorders>
          </w:tcPr>
          <w:p w:rsidR="00567B15" w:rsidRDefault="00567B15">
            <w:pPr>
              <w:spacing w:before="0" w:after="0"/>
              <w:ind w:left="486"/>
              <w:jc w:val="both"/>
              <w:rPr>
                <w:rFonts w:hint="cs"/>
                <w:szCs w:val="26"/>
                <w:rtl/>
              </w:rPr>
            </w:pPr>
            <w:r>
              <w:rPr>
                <w:rFonts w:hint="cs"/>
                <w:szCs w:val="26"/>
                <w:rtl/>
              </w:rPr>
              <w:t>3.5</w:t>
            </w:r>
          </w:p>
        </w:tc>
        <w:tc>
          <w:tcPr>
            <w:tcW w:w="1914" w:type="dxa"/>
            <w:tcBorders>
              <w:top w:val="nil"/>
            </w:tcBorders>
          </w:tcPr>
          <w:p w:rsidR="00567B15" w:rsidRDefault="00567B15">
            <w:pPr>
              <w:spacing w:before="0" w:after="0"/>
              <w:ind w:left="552"/>
              <w:jc w:val="both"/>
              <w:rPr>
                <w:rFonts w:hint="cs"/>
                <w:szCs w:val="26"/>
                <w:rtl/>
              </w:rPr>
            </w:pPr>
            <w:r>
              <w:rPr>
                <w:rFonts w:hint="cs"/>
                <w:szCs w:val="26"/>
                <w:rtl/>
              </w:rPr>
              <w:t>000 25</w:t>
            </w:r>
          </w:p>
        </w:tc>
        <w:tc>
          <w:tcPr>
            <w:tcW w:w="1914" w:type="dxa"/>
            <w:tcBorders>
              <w:top w:val="nil"/>
            </w:tcBorders>
          </w:tcPr>
          <w:p w:rsidR="00567B15" w:rsidRDefault="00567B15">
            <w:pPr>
              <w:spacing w:before="0" w:after="0"/>
              <w:ind w:left="438"/>
              <w:jc w:val="both"/>
              <w:rPr>
                <w:rFonts w:hint="cs"/>
                <w:szCs w:val="26"/>
                <w:rtl/>
              </w:rPr>
            </w:pPr>
            <w:r>
              <w:rPr>
                <w:rFonts w:hint="cs"/>
                <w:szCs w:val="26"/>
                <w:rtl/>
              </w:rPr>
              <w:t>8.4</w:t>
            </w:r>
          </w:p>
        </w:tc>
      </w:tr>
    </w:tbl>
    <w:p w:rsidR="00000000" w:rsidRDefault="00567B15">
      <w:pPr>
        <w:spacing w:before="120" w:after="120"/>
        <w:jc w:val="both"/>
        <w:rPr>
          <w:rFonts w:hint="cs"/>
          <w:rtl/>
        </w:rPr>
      </w:pPr>
      <w:r>
        <w:rPr>
          <w:rFonts w:hint="cs"/>
          <w:rtl/>
        </w:rPr>
        <w:tab/>
      </w:r>
      <w:r>
        <w:rPr>
          <w:rFonts w:hint="cs"/>
          <w:u w:val="single"/>
          <w:rtl/>
        </w:rPr>
        <w:t>المصدر</w:t>
      </w:r>
      <w:r>
        <w:rPr>
          <w:rFonts w:hint="cs"/>
          <w:rtl/>
        </w:rPr>
        <w:t xml:space="preserve">: </w:t>
      </w:r>
      <w:r>
        <w:rPr>
          <w:rFonts w:hint="cs"/>
          <w:i/>
          <w:iCs/>
          <w:rtl/>
        </w:rPr>
        <w:t>نشرة البنك المركزي الإحصائية</w:t>
      </w:r>
      <w:r>
        <w:rPr>
          <w:rFonts w:hint="cs"/>
          <w:rtl/>
        </w:rPr>
        <w:t>.</w:t>
      </w:r>
    </w:p>
    <w:p w:rsidR="00000000" w:rsidRDefault="00567B15">
      <w:pPr>
        <w:spacing w:before="120" w:after="120"/>
        <w:jc w:val="both"/>
        <w:rPr>
          <w:rFonts w:hint="cs"/>
          <w:rtl/>
        </w:rPr>
      </w:pPr>
      <w:r>
        <w:rPr>
          <w:rFonts w:hint="cs"/>
          <w:rtl/>
        </w:rPr>
        <w:tab/>
        <w:t>*</w:t>
      </w:r>
      <w:r>
        <w:rPr>
          <w:rFonts w:hint="cs"/>
          <w:rtl/>
        </w:rPr>
        <w:tab/>
        <w:t>سعر الصرف المحدد في نهاية الفترة</w:t>
      </w:r>
    </w:p>
    <w:p w:rsidR="00000000" w:rsidRDefault="00567B15">
      <w:pPr>
        <w:spacing w:before="120" w:after="120"/>
        <w:jc w:val="both"/>
        <w:rPr>
          <w:rFonts w:hint="cs"/>
          <w:rtl/>
        </w:rPr>
      </w:pPr>
      <w:r>
        <w:rPr>
          <w:rFonts w:hint="cs"/>
          <w:rtl/>
        </w:rPr>
        <w:tab/>
        <w:t>**</w:t>
      </w:r>
      <w:r>
        <w:rPr>
          <w:rFonts w:hint="cs"/>
          <w:rtl/>
        </w:rPr>
        <w:tab/>
        <w:t>المعهد الوطني للإحصاءات وتعداد السكان.</w:t>
      </w:r>
    </w:p>
    <w:p w:rsidR="00000000" w:rsidRDefault="00567B15">
      <w:pPr>
        <w:spacing w:line="380" w:lineRule="exact"/>
        <w:jc w:val="both"/>
        <w:rPr>
          <w:rFonts w:hint="cs"/>
          <w:spacing w:val="0"/>
          <w:rtl/>
        </w:rPr>
      </w:pPr>
      <w:r>
        <w:rPr>
          <w:rFonts w:hint="cs"/>
          <w:rtl/>
        </w:rPr>
        <w:t>281-</w:t>
      </w:r>
      <w:r>
        <w:rPr>
          <w:rFonts w:hint="cs"/>
          <w:rtl/>
        </w:rPr>
        <w:tab/>
        <w:t>وفي عام 1999، بلغت مستويات ال</w:t>
      </w:r>
      <w:r>
        <w:rPr>
          <w:rFonts w:hint="cs"/>
          <w:rtl/>
        </w:rPr>
        <w:t>فقر مرحلة حرجة بسبب الركود. وارتفع عدد السكان الفقراء الجدد، حيث يعزى ذلك أساساً إلى عجز من كان لديه الدخل الكافي لتلبية احتياجاته الأساسية عن الاستمرار في تلبيتها في الأمد القصير نظراً لانخفاض دخله. وتشير الإحصاءات الرسمية للمعهد الوطني للإحصاءات وتعداد ا</w:t>
      </w:r>
      <w:r>
        <w:rPr>
          <w:rFonts w:hint="cs"/>
          <w:rtl/>
        </w:rPr>
        <w:t xml:space="preserve">لسكان إلى ارتفاع معدل البطالة في البلاد من 11.5 في المائة في عام 1998 إلى 14.4 في المائة في عام 1999. وبعبارة دقيقة، كان هناك 452 543 عاطلاً عن العمل في المناطق الحضرية لإكوادور. وارتفع معدل البطالة في </w:t>
      </w:r>
      <w:r>
        <w:rPr>
          <w:rFonts w:hint="cs"/>
          <w:spacing w:val="0"/>
          <w:rtl/>
        </w:rPr>
        <w:t>عام 2000 إلى 17 في المائة، قبل أن ينخفض بمقدار النصف ف</w:t>
      </w:r>
      <w:r>
        <w:rPr>
          <w:rFonts w:hint="cs"/>
          <w:spacing w:val="0"/>
          <w:rtl/>
        </w:rPr>
        <w:t>ي العام التالي، وذلك نتيجة لهجرة السكان إلى حد كبير.</w:t>
      </w:r>
    </w:p>
    <w:p w:rsidR="00000000" w:rsidRDefault="00567B15">
      <w:pPr>
        <w:spacing w:line="380" w:lineRule="exact"/>
        <w:jc w:val="both"/>
        <w:rPr>
          <w:rtl/>
        </w:rPr>
      </w:pPr>
      <w:r>
        <w:rPr>
          <w:rFonts w:hint="cs"/>
          <w:rtl/>
        </w:rPr>
        <w:t>282-</w:t>
      </w:r>
      <w:r>
        <w:rPr>
          <w:rFonts w:hint="cs"/>
          <w:rtl/>
        </w:rPr>
        <w:tab/>
        <w:t xml:space="preserve">وتغير طابع الفقر في إكوادور تغيراً كبيراً في السنوات الأخيرة. ففي عام 1997، كانت الأسر المعيشية الأكثر فقراً البالغة نسبتها 51.7 في المائة تستأثر بما يزيد قليلاً عن ‍20 في المائة من الدخل الإجمالي؛ </w:t>
      </w:r>
      <w:r>
        <w:rPr>
          <w:rFonts w:hint="cs"/>
          <w:rtl/>
        </w:rPr>
        <w:t>إذ ارتفعت هذه النسبة في عام 1998 لتصل إلى 55.5 في المائة، وبقيت على ما هي عليه في عام 1999. وهكذا يصبح الفقراء أكثر فقراً بشكل مطرد</w:t>
      </w:r>
      <w:r>
        <w:rPr>
          <w:rFonts w:hint="cs"/>
          <w:vertAlign w:val="superscript"/>
          <w:rtl/>
        </w:rPr>
        <w:t>(32)</w:t>
      </w:r>
      <w:r>
        <w:rPr>
          <w:rFonts w:hint="cs"/>
          <w:rtl/>
        </w:rPr>
        <w:t>.</w:t>
      </w:r>
    </w:p>
    <w:p w:rsidR="00000000" w:rsidRDefault="00567B15">
      <w:pPr>
        <w:spacing w:line="380" w:lineRule="exact"/>
        <w:jc w:val="both"/>
        <w:rPr>
          <w:rFonts w:hint="cs"/>
          <w:rtl/>
        </w:rPr>
      </w:pPr>
      <w:r>
        <w:rPr>
          <w:rFonts w:hint="cs"/>
          <w:rtl/>
        </w:rPr>
        <w:t>283-</w:t>
      </w:r>
      <w:r>
        <w:rPr>
          <w:rFonts w:hint="cs"/>
          <w:rtl/>
        </w:rPr>
        <w:tab/>
        <w:t xml:space="preserve">ووفقاً لدراسة أجرتها منظمة </w:t>
      </w:r>
      <w:r>
        <w:t>CORPES-CEDATOS</w:t>
      </w:r>
      <w:r>
        <w:rPr>
          <w:rFonts w:hint="cs"/>
          <w:rtl/>
        </w:rPr>
        <w:t xml:space="preserve"> المعنية بالدراسات الاستقصائية، فإن "المشكلة الأكبر التي تؤثر على السكان </w:t>
      </w:r>
      <w:r>
        <w:rPr>
          <w:rFonts w:hint="cs"/>
          <w:rtl/>
        </w:rPr>
        <w:t>هي الفقر. وتعد البطالة العامل الرئيسي المسبب للفقر. وفي تشرين الأول/أكتوبر 1999، وصلت نسبة البطالة الكلية إلى 18.3 في المائة، مع نسبة العاطلين جزئياً عن العمل التي بلغت 54.2 في المائة. وعلى ما يقال، فقد بلغت نسبة السكان الناشطين اقتصادياً والمستخدمين حسبما</w:t>
      </w:r>
      <w:r>
        <w:rPr>
          <w:rFonts w:hint="cs"/>
          <w:rtl/>
        </w:rPr>
        <w:t xml:space="preserve"> يجب 27.5 في المائة، أي 264 997 شخصاً. والبطالة بين النساء (21.1 في المائة) أكثر خطورة منها بين الرجال (16.5 في المائة)"</w:t>
      </w:r>
      <w:r>
        <w:rPr>
          <w:rFonts w:hint="cs"/>
          <w:vertAlign w:val="superscript"/>
          <w:rtl/>
        </w:rPr>
        <w:t>(33)</w:t>
      </w:r>
      <w:r>
        <w:rPr>
          <w:rFonts w:hint="cs"/>
          <w:rtl/>
        </w:rPr>
        <w:t>.</w:t>
      </w:r>
    </w:p>
    <w:p w:rsidR="00000000" w:rsidRDefault="00567B15">
      <w:pPr>
        <w:spacing w:line="380" w:lineRule="exact"/>
        <w:jc w:val="both"/>
        <w:rPr>
          <w:rFonts w:hint="cs"/>
          <w:rtl/>
        </w:rPr>
      </w:pPr>
      <w:r>
        <w:rPr>
          <w:rFonts w:hint="cs"/>
          <w:rtl/>
        </w:rPr>
        <w:t>284-</w:t>
      </w:r>
      <w:r>
        <w:rPr>
          <w:rFonts w:hint="cs"/>
          <w:rtl/>
        </w:rPr>
        <w:tab/>
        <w:t>ويستند فهم مسألة الفقر إلى "الطريقة غير المباشرة"، التي تعين بموجبها عتبة الفقر على أنها دالة للحد الأدنى من الدخل اللازم لشر</w:t>
      </w:r>
      <w:r>
        <w:rPr>
          <w:rFonts w:hint="cs"/>
          <w:rtl/>
        </w:rPr>
        <w:t>اء سلة من السلع والخدمات يتم تحديدها مسبقاً بحيث تلبي الاحتياجات الأساسية للأسرة. وتعين تكلفة السلة على أنها الحد الذي يكون دونه الفقر متفشياً</w:t>
      </w:r>
      <w:r>
        <w:rPr>
          <w:rFonts w:hint="cs"/>
          <w:vertAlign w:val="superscript"/>
          <w:rtl/>
        </w:rPr>
        <w:t>(34)</w:t>
      </w:r>
      <w:r>
        <w:rPr>
          <w:rFonts w:hint="cs"/>
          <w:rtl/>
        </w:rPr>
        <w:t>. وفيما يلي تكلفة السلة الأساسية مثلما حددها المعهد الوطني للإحصاءات وتعداد السكان:</w:t>
      </w:r>
    </w:p>
    <w:tbl>
      <w:tblPr>
        <w:bidiVisual/>
        <w:tblW w:w="0" w:type="auto"/>
        <w:jc w:val="center"/>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3"/>
        <w:gridCol w:w="1946"/>
        <w:gridCol w:w="2014"/>
        <w:gridCol w:w="2924"/>
      </w:tblGrid>
      <w:tr w:rsidR="00567B15" w:rsidTr="00567B15">
        <w:tblPrEx>
          <w:tblCellMar>
            <w:top w:w="0" w:type="dxa"/>
            <w:bottom w:w="0" w:type="dxa"/>
          </w:tblCellMar>
        </w:tblPrEx>
        <w:trPr>
          <w:cantSplit/>
          <w:jc w:val="center"/>
        </w:trPr>
        <w:tc>
          <w:tcPr>
            <w:tcW w:w="3679" w:type="dxa"/>
            <w:gridSpan w:val="2"/>
            <w:tcBorders>
              <w:bottom w:val="single" w:sz="8" w:space="0" w:color="auto"/>
            </w:tcBorders>
          </w:tcPr>
          <w:p w:rsidR="00567B15" w:rsidRDefault="00567B15">
            <w:pPr>
              <w:spacing w:before="0" w:after="0"/>
              <w:jc w:val="center"/>
              <w:rPr>
                <w:rStyle w:val="FootnoteReference"/>
                <w:szCs w:val="26"/>
              </w:rPr>
            </w:pPr>
            <w:r>
              <w:rPr>
                <w:rFonts w:hint="cs"/>
                <w:szCs w:val="26"/>
                <w:rtl/>
              </w:rPr>
              <w:t>تكلفة السلة الأساسية</w:t>
            </w:r>
          </w:p>
        </w:tc>
        <w:tc>
          <w:tcPr>
            <w:tcW w:w="4938" w:type="dxa"/>
            <w:gridSpan w:val="2"/>
            <w:tcBorders>
              <w:bottom w:val="single" w:sz="8" w:space="0" w:color="auto"/>
            </w:tcBorders>
          </w:tcPr>
          <w:p w:rsidR="00567B15" w:rsidRDefault="00567B15">
            <w:pPr>
              <w:spacing w:before="0" w:after="0"/>
              <w:jc w:val="center"/>
              <w:rPr>
                <w:rStyle w:val="FootnoteReference"/>
                <w:szCs w:val="26"/>
              </w:rPr>
            </w:pPr>
            <w:r>
              <w:rPr>
                <w:rFonts w:hint="cs"/>
                <w:szCs w:val="26"/>
                <w:rtl/>
              </w:rPr>
              <w:t>تكلفة السلة عند عتبة الفقر</w:t>
            </w:r>
          </w:p>
        </w:tc>
      </w:tr>
      <w:tr w:rsidR="00567B15" w:rsidTr="00567B15">
        <w:tblPrEx>
          <w:tblCellMar>
            <w:top w:w="0" w:type="dxa"/>
            <w:bottom w:w="0" w:type="dxa"/>
          </w:tblCellMar>
        </w:tblPrEx>
        <w:trPr>
          <w:jc w:val="center"/>
        </w:trPr>
        <w:tc>
          <w:tcPr>
            <w:tcW w:w="1733" w:type="dxa"/>
            <w:tcBorders>
              <w:top w:val="single" w:sz="8" w:space="0" w:color="auto"/>
              <w:left w:val="single" w:sz="8" w:space="0" w:color="auto"/>
              <w:bottom w:val="single" w:sz="4" w:space="0" w:color="auto"/>
              <w:right w:val="single" w:sz="8" w:space="0" w:color="auto"/>
            </w:tcBorders>
          </w:tcPr>
          <w:p w:rsidR="00567B15" w:rsidRDefault="00567B15">
            <w:pPr>
              <w:spacing w:before="120" w:after="0"/>
              <w:jc w:val="center"/>
              <w:rPr>
                <w:rStyle w:val="FootnoteReference"/>
                <w:rFonts w:hint="cs"/>
                <w:bCs w:val="0"/>
                <w:szCs w:val="26"/>
                <w:vertAlign w:val="baseline"/>
              </w:rPr>
            </w:pPr>
            <w:r>
              <w:rPr>
                <w:rFonts w:hint="cs"/>
                <w:szCs w:val="26"/>
                <w:rtl/>
              </w:rPr>
              <w:t>1999</w:t>
            </w:r>
          </w:p>
        </w:tc>
        <w:tc>
          <w:tcPr>
            <w:tcW w:w="1946" w:type="dxa"/>
            <w:tcBorders>
              <w:top w:val="single" w:sz="8" w:space="0" w:color="auto"/>
              <w:left w:val="single" w:sz="8" w:space="0" w:color="auto"/>
              <w:bottom w:val="single" w:sz="4" w:space="0" w:color="auto"/>
              <w:right w:val="single" w:sz="8" w:space="0" w:color="auto"/>
            </w:tcBorders>
          </w:tcPr>
          <w:p w:rsidR="00567B15" w:rsidRDefault="00567B15">
            <w:pPr>
              <w:spacing w:before="120" w:after="0"/>
              <w:jc w:val="center"/>
              <w:rPr>
                <w:rStyle w:val="FootnoteReference"/>
                <w:rFonts w:hint="cs"/>
                <w:bCs w:val="0"/>
                <w:szCs w:val="26"/>
                <w:vertAlign w:val="baseline"/>
              </w:rPr>
            </w:pPr>
            <w:r>
              <w:rPr>
                <w:rFonts w:hint="cs"/>
                <w:szCs w:val="26"/>
                <w:rtl/>
              </w:rPr>
              <w:t>سوكرات</w:t>
            </w:r>
          </w:p>
        </w:tc>
        <w:tc>
          <w:tcPr>
            <w:tcW w:w="2014" w:type="dxa"/>
            <w:tcBorders>
              <w:top w:val="single" w:sz="8" w:space="0" w:color="auto"/>
              <w:left w:val="single" w:sz="8" w:space="0" w:color="auto"/>
              <w:bottom w:val="single" w:sz="4" w:space="0" w:color="auto"/>
              <w:right w:val="single" w:sz="8" w:space="0" w:color="auto"/>
            </w:tcBorders>
          </w:tcPr>
          <w:p w:rsidR="00567B15" w:rsidRDefault="00567B15">
            <w:pPr>
              <w:spacing w:before="120" w:after="0"/>
              <w:jc w:val="center"/>
              <w:rPr>
                <w:rStyle w:val="FootnoteReference"/>
                <w:rFonts w:hint="cs"/>
                <w:bCs w:val="0"/>
                <w:szCs w:val="26"/>
                <w:vertAlign w:val="baseline"/>
              </w:rPr>
            </w:pPr>
            <w:r>
              <w:rPr>
                <w:rFonts w:hint="cs"/>
                <w:szCs w:val="26"/>
                <w:rtl/>
              </w:rPr>
              <w:t>سوكرات</w:t>
            </w:r>
          </w:p>
        </w:tc>
        <w:tc>
          <w:tcPr>
            <w:tcW w:w="2924" w:type="dxa"/>
            <w:tcBorders>
              <w:top w:val="single" w:sz="8" w:space="0" w:color="auto"/>
              <w:left w:val="single" w:sz="8" w:space="0" w:color="auto"/>
              <w:bottom w:val="single" w:sz="4" w:space="0" w:color="auto"/>
              <w:right w:val="single" w:sz="8" w:space="0" w:color="auto"/>
            </w:tcBorders>
          </w:tcPr>
          <w:p w:rsidR="00567B15" w:rsidRDefault="00567B15">
            <w:pPr>
              <w:spacing w:before="0" w:after="0"/>
              <w:jc w:val="center"/>
              <w:rPr>
                <w:rStyle w:val="FootnoteReference"/>
                <w:rFonts w:hint="cs"/>
                <w:bCs w:val="0"/>
                <w:szCs w:val="26"/>
                <w:vertAlign w:val="baseline"/>
              </w:rPr>
            </w:pPr>
            <w:r>
              <w:rPr>
                <w:rFonts w:hint="cs"/>
                <w:szCs w:val="26"/>
                <w:rtl/>
              </w:rPr>
              <w:t>دولارات الولايات المتحدة، 2002</w:t>
            </w:r>
          </w:p>
        </w:tc>
      </w:tr>
      <w:tr w:rsidR="00567B15" w:rsidTr="00567B15">
        <w:tblPrEx>
          <w:tblCellMar>
            <w:top w:w="0" w:type="dxa"/>
            <w:bottom w:w="0" w:type="dxa"/>
          </w:tblCellMar>
        </w:tblPrEx>
        <w:trPr>
          <w:jc w:val="center"/>
        </w:trPr>
        <w:tc>
          <w:tcPr>
            <w:tcW w:w="1733" w:type="dxa"/>
            <w:tcBorders>
              <w:top w:val="single" w:sz="4" w:space="0" w:color="auto"/>
              <w:bottom w:val="nil"/>
            </w:tcBorders>
          </w:tcPr>
          <w:p w:rsidR="00567B15" w:rsidRDefault="00567B15">
            <w:pPr>
              <w:spacing w:before="0" w:after="0"/>
              <w:jc w:val="both"/>
              <w:rPr>
                <w:rStyle w:val="FootnoteReference"/>
                <w:rFonts w:hint="cs"/>
                <w:bCs w:val="0"/>
                <w:szCs w:val="26"/>
                <w:vertAlign w:val="baseline"/>
                <w:rtl/>
              </w:rPr>
            </w:pPr>
            <w:r>
              <w:rPr>
                <w:rFonts w:hint="cs"/>
                <w:szCs w:val="26"/>
                <w:rtl/>
              </w:rPr>
              <w:t xml:space="preserve">كانون الثاني/يناير </w:t>
            </w:r>
          </w:p>
        </w:tc>
        <w:tc>
          <w:tcPr>
            <w:tcW w:w="1946" w:type="dxa"/>
            <w:tcBorders>
              <w:top w:val="single" w:sz="4" w:space="0" w:color="auto"/>
              <w:bottom w:val="nil"/>
            </w:tcBorders>
          </w:tcPr>
          <w:p w:rsidR="00567B15" w:rsidRDefault="00567B15">
            <w:pPr>
              <w:spacing w:before="0" w:after="0"/>
              <w:ind w:left="482"/>
              <w:jc w:val="both"/>
              <w:rPr>
                <w:rStyle w:val="FootnoteReference"/>
                <w:rFonts w:hint="cs"/>
                <w:bCs w:val="0"/>
                <w:szCs w:val="26"/>
                <w:vertAlign w:val="baseline"/>
              </w:rPr>
            </w:pPr>
            <w:r>
              <w:rPr>
                <w:rFonts w:hint="cs"/>
                <w:szCs w:val="26"/>
                <w:rtl/>
              </w:rPr>
              <w:t>250 512 2</w:t>
            </w:r>
          </w:p>
        </w:tc>
        <w:tc>
          <w:tcPr>
            <w:tcW w:w="2014" w:type="dxa"/>
            <w:tcBorders>
              <w:top w:val="single" w:sz="4" w:space="0" w:color="auto"/>
              <w:bottom w:val="nil"/>
            </w:tcBorders>
          </w:tcPr>
          <w:p w:rsidR="00567B15" w:rsidRDefault="00567B15">
            <w:pPr>
              <w:spacing w:before="0" w:after="0"/>
              <w:ind w:left="580"/>
              <w:jc w:val="both"/>
              <w:rPr>
                <w:rStyle w:val="FootnoteReference"/>
                <w:rFonts w:hint="cs"/>
                <w:bCs w:val="0"/>
                <w:szCs w:val="26"/>
                <w:vertAlign w:val="baseline"/>
              </w:rPr>
            </w:pPr>
            <w:r>
              <w:rPr>
                <w:rFonts w:hint="cs"/>
                <w:szCs w:val="26"/>
                <w:rtl/>
              </w:rPr>
              <w:t>969 140 1</w:t>
            </w:r>
          </w:p>
        </w:tc>
        <w:tc>
          <w:tcPr>
            <w:tcW w:w="2924" w:type="dxa"/>
            <w:tcBorders>
              <w:top w:val="single" w:sz="4" w:space="0" w:color="auto"/>
              <w:bottom w:val="nil"/>
            </w:tcBorders>
          </w:tcPr>
          <w:p w:rsidR="00567B15" w:rsidRDefault="00567B15">
            <w:pPr>
              <w:spacing w:before="0" w:after="0"/>
              <w:ind w:left="557"/>
              <w:jc w:val="center"/>
              <w:rPr>
                <w:rStyle w:val="FootnoteReference"/>
                <w:rFonts w:hint="cs"/>
                <w:bCs w:val="0"/>
                <w:szCs w:val="26"/>
                <w:vertAlign w:val="baseline"/>
              </w:rPr>
            </w:pPr>
            <w:r>
              <w:rPr>
                <w:rFonts w:hint="cs"/>
                <w:szCs w:val="26"/>
                <w:rtl/>
              </w:rPr>
              <w:t>242.91</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شباط/فبراير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742 603 2</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697 176 1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245.43</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آذار/مارس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117 875 2</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050 293 1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248.38</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نيسان/أبريل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004 122 3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524 386 1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250.99</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أيار/مايو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974 168 3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659 413 1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252.71</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حزيران/يونيه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801 204 3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280 423 1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252.79</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تموز/يوليه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856 279 3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622 457 1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254.63</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آب/أغسطس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825 307 3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104 456 1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256.54</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zCs w:val="26"/>
                <w:rtl/>
              </w:rPr>
            </w:pPr>
            <w:r>
              <w:rPr>
                <w:rFonts w:hint="cs"/>
                <w:szCs w:val="26"/>
                <w:rtl/>
              </w:rPr>
              <w:t xml:space="preserve">أيلول/سبتمبر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077 360 3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150 472 1</w:t>
            </w:r>
          </w:p>
        </w:tc>
        <w:tc>
          <w:tcPr>
            <w:tcW w:w="2924" w:type="dxa"/>
            <w:tcBorders>
              <w:top w:val="nil"/>
              <w:bottom w:val="nil"/>
            </w:tcBorders>
          </w:tcPr>
          <w:p w:rsidR="00567B15" w:rsidRDefault="00567B15">
            <w:pPr>
              <w:spacing w:before="0" w:after="0"/>
              <w:ind w:left="557"/>
              <w:jc w:val="center"/>
              <w:rPr>
                <w:rFonts w:hint="cs"/>
                <w:szCs w:val="26"/>
                <w:rtl/>
              </w:rPr>
            </w:pPr>
            <w:r>
              <w:rPr>
                <w:rFonts w:hint="cs"/>
                <w:szCs w:val="26"/>
                <w:rtl/>
              </w:rPr>
              <w:t>256.89</w:t>
            </w: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pacing w:val="0"/>
                <w:szCs w:val="26"/>
                <w:rtl/>
              </w:rPr>
            </w:pPr>
            <w:r>
              <w:rPr>
                <w:rFonts w:hint="cs"/>
                <w:spacing w:val="0"/>
                <w:szCs w:val="26"/>
                <w:rtl/>
              </w:rPr>
              <w:t xml:space="preserve">تشرين الأول/أكتوبر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926 479 3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420 506 1</w:t>
            </w:r>
          </w:p>
        </w:tc>
        <w:tc>
          <w:tcPr>
            <w:tcW w:w="2924" w:type="dxa"/>
            <w:tcBorders>
              <w:top w:val="nil"/>
              <w:bottom w:val="nil"/>
            </w:tcBorders>
          </w:tcPr>
          <w:p w:rsidR="00567B15" w:rsidRDefault="00567B15">
            <w:pPr>
              <w:spacing w:before="0" w:after="0"/>
              <w:ind w:left="557"/>
              <w:jc w:val="center"/>
              <w:rPr>
                <w:rFonts w:hint="cs"/>
                <w:szCs w:val="26"/>
                <w:rtl/>
              </w:rPr>
            </w:pPr>
          </w:p>
        </w:tc>
      </w:tr>
      <w:tr w:rsidR="00567B15" w:rsidTr="00567B15">
        <w:tblPrEx>
          <w:tblCellMar>
            <w:top w:w="0" w:type="dxa"/>
            <w:bottom w:w="0" w:type="dxa"/>
          </w:tblCellMar>
        </w:tblPrEx>
        <w:trPr>
          <w:jc w:val="center"/>
        </w:trPr>
        <w:tc>
          <w:tcPr>
            <w:tcW w:w="1733" w:type="dxa"/>
            <w:tcBorders>
              <w:top w:val="nil"/>
              <w:bottom w:val="nil"/>
            </w:tcBorders>
          </w:tcPr>
          <w:p w:rsidR="00567B15" w:rsidRDefault="00567B15">
            <w:pPr>
              <w:spacing w:before="0" w:after="0"/>
              <w:jc w:val="both"/>
              <w:rPr>
                <w:rFonts w:hint="cs"/>
                <w:spacing w:val="0"/>
                <w:szCs w:val="26"/>
                <w:rtl/>
              </w:rPr>
            </w:pPr>
            <w:r>
              <w:rPr>
                <w:rFonts w:hint="cs"/>
                <w:spacing w:val="0"/>
                <w:szCs w:val="26"/>
                <w:rtl/>
              </w:rPr>
              <w:t xml:space="preserve">تشرين الثاني/نوفمبر </w:t>
            </w:r>
          </w:p>
        </w:tc>
        <w:tc>
          <w:tcPr>
            <w:tcW w:w="1946" w:type="dxa"/>
            <w:tcBorders>
              <w:top w:val="nil"/>
              <w:bottom w:val="nil"/>
            </w:tcBorders>
          </w:tcPr>
          <w:p w:rsidR="00567B15" w:rsidRDefault="00567B15">
            <w:pPr>
              <w:spacing w:before="0" w:after="0"/>
              <w:ind w:left="482"/>
              <w:jc w:val="both"/>
              <w:rPr>
                <w:rFonts w:hint="cs"/>
                <w:szCs w:val="26"/>
                <w:rtl/>
              </w:rPr>
            </w:pPr>
            <w:r>
              <w:rPr>
                <w:rFonts w:hint="cs"/>
                <w:szCs w:val="26"/>
                <w:rtl/>
              </w:rPr>
              <w:t>291 722 3</w:t>
            </w:r>
          </w:p>
        </w:tc>
        <w:tc>
          <w:tcPr>
            <w:tcW w:w="2014" w:type="dxa"/>
            <w:tcBorders>
              <w:top w:val="nil"/>
              <w:bottom w:val="nil"/>
            </w:tcBorders>
          </w:tcPr>
          <w:p w:rsidR="00567B15" w:rsidRDefault="00567B15">
            <w:pPr>
              <w:spacing w:before="0" w:after="0"/>
              <w:ind w:left="580"/>
              <w:jc w:val="both"/>
              <w:rPr>
                <w:rFonts w:hint="cs"/>
                <w:szCs w:val="26"/>
                <w:rtl/>
              </w:rPr>
            </w:pPr>
            <w:r>
              <w:rPr>
                <w:rFonts w:hint="cs"/>
                <w:szCs w:val="26"/>
                <w:rtl/>
              </w:rPr>
              <w:t>009 592 1</w:t>
            </w:r>
          </w:p>
        </w:tc>
        <w:tc>
          <w:tcPr>
            <w:tcW w:w="2924" w:type="dxa"/>
            <w:tcBorders>
              <w:top w:val="nil"/>
              <w:bottom w:val="nil"/>
            </w:tcBorders>
          </w:tcPr>
          <w:p w:rsidR="00567B15" w:rsidRDefault="00567B15">
            <w:pPr>
              <w:spacing w:before="0" w:after="0"/>
              <w:ind w:left="557"/>
              <w:jc w:val="center"/>
              <w:rPr>
                <w:rFonts w:hint="cs"/>
                <w:szCs w:val="26"/>
                <w:rtl/>
              </w:rPr>
            </w:pPr>
          </w:p>
        </w:tc>
      </w:tr>
      <w:tr w:rsidR="00567B15" w:rsidTr="00567B15">
        <w:tblPrEx>
          <w:tblCellMar>
            <w:top w:w="0" w:type="dxa"/>
            <w:bottom w:w="0" w:type="dxa"/>
          </w:tblCellMar>
        </w:tblPrEx>
        <w:trPr>
          <w:jc w:val="center"/>
        </w:trPr>
        <w:tc>
          <w:tcPr>
            <w:tcW w:w="1733" w:type="dxa"/>
            <w:tcBorders>
              <w:top w:val="nil"/>
            </w:tcBorders>
          </w:tcPr>
          <w:p w:rsidR="00567B15" w:rsidRDefault="00567B15">
            <w:pPr>
              <w:spacing w:before="0" w:after="0"/>
              <w:jc w:val="both"/>
              <w:rPr>
                <w:rFonts w:hint="cs"/>
                <w:spacing w:val="0"/>
                <w:szCs w:val="26"/>
                <w:rtl/>
              </w:rPr>
            </w:pPr>
            <w:r>
              <w:rPr>
                <w:rFonts w:hint="cs"/>
                <w:spacing w:val="0"/>
                <w:szCs w:val="26"/>
                <w:rtl/>
              </w:rPr>
              <w:t xml:space="preserve">كانون الأول/ديسمبر </w:t>
            </w:r>
          </w:p>
        </w:tc>
        <w:tc>
          <w:tcPr>
            <w:tcW w:w="1946" w:type="dxa"/>
            <w:tcBorders>
              <w:top w:val="nil"/>
            </w:tcBorders>
          </w:tcPr>
          <w:p w:rsidR="00567B15" w:rsidRDefault="00567B15">
            <w:pPr>
              <w:spacing w:before="0" w:after="0"/>
              <w:ind w:left="482"/>
              <w:jc w:val="both"/>
              <w:rPr>
                <w:rFonts w:hint="cs"/>
                <w:szCs w:val="26"/>
                <w:rtl/>
              </w:rPr>
            </w:pPr>
            <w:r>
              <w:rPr>
                <w:rFonts w:hint="cs"/>
                <w:szCs w:val="26"/>
                <w:rtl/>
              </w:rPr>
              <w:t>099 990 3</w:t>
            </w:r>
          </w:p>
        </w:tc>
        <w:tc>
          <w:tcPr>
            <w:tcW w:w="2014" w:type="dxa"/>
            <w:tcBorders>
              <w:top w:val="nil"/>
            </w:tcBorders>
          </w:tcPr>
          <w:p w:rsidR="00567B15" w:rsidRDefault="00567B15">
            <w:pPr>
              <w:spacing w:before="0" w:after="0"/>
              <w:ind w:left="580"/>
              <w:jc w:val="both"/>
              <w:rPr>
                <w:rFonts w:hint="cs"/>
                <w:szCs w:val="26"/>
                <w:rtl/>
              </w:rPr>
            </w:pPr>
            <w:r>
              <w:rPr>
                <w:rFonts w:hint="cs"/>
                <w:szCs w:val="26"/>
                <w:rtl/>
              </w:rPr>
              <w:t>738 694 1</w:t>
            </w:r>
          </w:p>
        </w:tc>
        <w:tc>
          <w:tcPr>
            <w:tcW w:w="2924" w:type="dxa"/>
            <w:tcBorders>
              <w:top w:val="nil"/>
            </w:tcBorders>
          </w:tcPr>
          <w:p w:rsidR="00567B15" w:rsidRDefault="00567B15">
            <w:pPr>
              <w:spacing w:before="0" w:after="0"/>
              <w:ind w:left="557"/>
              <w:jc w:val="both"/>
              <w:rPr>
                <w:rFonts w:hint="cs"/>
                <w:szCs w:val="26"/>
                <w:rtl/>
              </w:rPr>
            </w:pPr>
          </w:p>
        </w:tc>
      </w:tr>
    </w:tbl>
    <w:p w:rsidR="00000000" w:rsidRDefault="00567B15">
      <w:pPr>
        <w:jc w:val="both"/>
        <w:rPr>
          <w:rFonts w:hint="cs"/>
          <w:rtl/>
        </w:rPr>
      </w:pPr>
      <w:r>
        <w:rPr>
          <w:rFonts w:hint="cs"/>
          <w:rtl/>
        </w:rPr>
        <w:tab/>
      </w:r>
      <w:r>
        <w:rPr>
          <w:rFonts w:hint="cs"/>
          <w:u w:val="single"/>
          <w:rtl/>
        </w:rPr>
        <w:t>المصدر</w:t>
      </w:r>
      <w:r>
        <w:rPr>
          <w:rFonts w:hint="cs"/>
          <w:rtl/>
        </w:rPr>
        <w:t>: المعهد الوطني للإحصاءات وتعداد السكان.</w:t>
      </w:r>
    </w:p>
    <w:p w:rsidR="00000000" w:rsidRDefault="00567B15">
      <w:pPr>
        <w:spacing w:line="380" w:lineRule="exact"/>
        <w:jc w:val="both"/>
        <w:rPr>
          <w:rFonts w:hint="cs"/>
          <w:rtl/>
        </w:rPr>
      </w:pPr>
      <w:r>
        <w:rPr>
          <w:rFonts w:hint="cs"/>
          <w:rtl/>
        </w:rPr>
        <w:t>285-</w:t>
      </w:r>
      <w:r>
        <w:rPr>
          <w:rFonts w:hint="cs"/>
          <w:rtl/>
        </w:rPr>
        <w:tab/>
        <w:t>وفي عام 1999، بلغت نسبة الفقراء من السكان العاملين 78.5 في المائة، منها نسبة 46.2 في المائة ممن يعتبرون معدمين. ولم يتخط عتبة الفقر سوى نسبة 21.</w:t>
      </w:r>
      <w:r>
        <w:rPr>
          <w:rFonts w:hint="cs"/>
          <w:rtl/>
        </w:rPr>
        <w:t>5 في المائة</w:t>
      </w:r>
      <w:r>
        <w:rPr>
          <w:rFonts w:hint="cs"/>
          <w:vertAlign w:val="superscript"/>
          <w:rtl/>
        </w:rPr>
        <w:t>(35)</w:t>
      </w:r>
      <w:r>
        <w:rPr>
          <w:rFonts w:hint="cs"/>
          <w:rtl/>
        </w:rPr>
        <w:t>.</w:t>
      </w:r>
    </w:p>
    <w:p w:rsidR="00000000" w:rsidRDefault="00567B15">
      <w:pPr>
        <w:spacing w:line="380" w:lineRule="exact"/>
        <w:jc w:val="both"/>
        <w:rPr>
          <w:rFonts w:hint="cs"/>
          <w:rtl/>
        </w:rPr>
      </w:pPr>
      <w:r>
        <w:rPr>
          <w:rFonts w:hint="cs"/>
          <w:rtl/>
        </w:rPr>
        <w:t>286-</w:t>
      </w:r>
      <w:r>
        <w:rPr>
          <w:rFonts w:hint="cs"/>
          <w:rtl/>
        </w:rPr>
        <w:tab/>
        <w:t>ويدل الانخفاض في الناتج المحلي الإجمالي الذي بلغ 7.3 في المائة على أن البلد ضيع، بسبب الركود، نحو 046 6 مليون دولار في الإنتاج مقارنة بالعام السابق. ولم يحصل أي نمو اقتصادي، نظراً لمشاكل من قبيل ظاهرة النينيو وفيروس متلازمة البقع البي</w:t>
      </w:r>
      <w:r>
        <w:rPr>
          <w:rFonts w:hint="cs"/>
          <w:rtl/>
        </w:rPr>
        <w:t>ضاء في الربيان وتجميد الأصول المصرفية.</w:t>
      </w:r>
    </w:p>
    <w:p w:rsidR="00000000" w:rsidRDefault="00567B15">
      <w:pPr>
        <w:spacing w:line="380" w:lineRule="exact"/>
        <w:jc w:val="both"/>
        <w:rPr>
          <w:rFonts w:hint="cs"/>
          <w:rtl/>
        </w:rPr>
      </w:pPr>
      <w:r>
        <w:rPr>
          <w:rFonts w:hint="cs"/>
          <w:rtl/>
        </w:rPr>
        <w:t>287-</w:t>
      </w:r>
      <w:r>
        <w:rPr>
          <w:rFonts w:hint="cs"/>
          <w:rtl/>
        </w:rPr>
        <w:tab/>
        <w:t>وأدى الركود إلى إغلاق شركات، مع ما نجم عنه من زيادة في معدل البطالة، التي وصلت، حسبما يذكر المعهد الوطني للإحصاءات وتعداد السكان، إلى 14.4 في المائة في أيلول/سبتمبر 1999، وهي نسبة أعلى مما كانت عليه في عام 1998 و</w:t>
      </w:r>
      <w:r>
        <w:rPr>
          <w:rFonts w:hint="cs"/>
          <w:rtl/>
        </w:rPr>
        <w:t>هي 11.5 في المائة.</w:t>
      </w:r>
    </w:p>
    <w:p w:rsidR="00000000" w:rsidRDefault="00567B15">
      <w:pPr>
        <w:spacing w:line="380" w:lineRule="exact"/>
        <w:jc w:val="both"/>
        <w:rPr>
          <w:rFonts w:hint="cs"/>
          <w:rtl/>
        </w:rPr>
      </w:pPr>
      <w:r>
        <w:rPr>
          <w:rFonts w:hint="cs"/>
          <w:i/>
          <w:iCs/>
          <w:rtl/>
        </w:rPr>
        <w:t>مستوى الفقر - الناتج القومي الإجمالي</w:t>
      </w:r>
    </w:p>
    <w:p w:rsidR="00000000" w:rsidRDefault="00567B15">
      <w:pPr>
        <w:spacing w:line="380" w:lineRule="exact"/>
        <w:jc w:val="both"/>
        <w:rPr>
          <w:rFonts w:hint="cs"/>
          <w:rtl/>
        </w:rPr>
      </w:pPr>
      <w:r>
        <w:rPr>
          <w:rFonts w:hint="cs"/>
          <w:rtl/>
        </w:rPr>
        <w:t>288-</w:t>
      </w:r>
      <w:r>
        <w:rPr>
          <w:rFonts w:hint="cs"/>
          <w:rtl/>
        </w:rPr>
        <w:tab/>
        <w:t>في عام 1997، كان الخميس الأكثر ثراء من السكان (20 في المائة) في إكوادور يستأثر بنسبة 54.3 في المائة من ثروة البلاد، بينما لم يكن بحوزة الخميس الأكثر فقراً سوى 5.4 في المائة. وهذا المؤشر مهم في در</w:t>
      </w:r>
      <w:r>
        <w:rPr>
          <w:rFonts w:hint="cs"/>
          <w:rtl/>
        </w:rPr>
        <w:t>اسة التغيرات في مستويات توزيع الدخل الكلي لمختلف شرائح المجتمع عبر الزمن</w:t>
      </w:r>
      <w:r>
        <w:rPr>
          <w:rFonts w:hint="cs"/>
          <w:vertAlign w:val="superscript"/>
          <w:rtl/>
        </w:rPr>
        <w:t>(36)</w:t>
      </w:r>
      <w:r>
        <w:rPr>
          <w:rFonts w:hint="cs"/>
          <w:rtl/>
        </w:rPr>
        <w:t>.</w:t>
      </w:r>
    </w:p>
    <w:tbl>
      <w:tblPr>
        <w:bidiVisual/>
        <w:tblW w:w="0" w:type="auto"/>
        <w:jc w:val="center"/>
        <w:tblInd w:w="154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3"/>
        <w:gridCol w:w="2928"/>
      </w:tblGrid>
      <w:tr w:rsidR="00567B15" w:rsidTr="00567B15">
        <w:tblPrEx>
          <w:tblCellMar>
            <w:top w:w="0" w:type="dxa"/>
            <w:bottom w:w="0" w:type="dxa"/>
          </w:tblCellMar>
        </w:tblPrEx>
        <w:trPr>
          <w:cantSplit/>
          <w:trHeight w:val="706"/>
          <w:jc w:val="center"/>
        </w:trPr>
        <w:tc>
          <w:tcPr>
            <w:tcW w:w="6171" w:type="dxa"/>
            <w:gridSpan w:val="2"/>
            <w:tcBorders>
              <w:bottom w:val="single" w:sz="4" w:space="0" w:color="auto"/>
            </w:tcBorders>
          </w:tcPr>
          <w:p w:rsidR="00000000" w:rsidRDefault="00567B15">
            <w:pPr>
              <w:spacing w:before="0" w:after="0" w:line="320" w:lineRule="exact"/>
              <w:jc w:val="center"/>
              <w:rPr>
                <w:rStyle w:val="FootnoteReference"/>
                <w:rFonts w:hint="cs"/>
                <w:szCs w:val="26"/>
                <w:rtl/>
              </w:rPr>
            </w:pPr>
            <w:r>
              <w:rPr>
                <w:rFonts w:hint="cs"/>
                <w:szCs w:val="26"/>
                <w:rtl/>
              </w:rPr>
              <w:t>المؤشرات السكانية، 1998</w:t>
            </w:r>
          </w:p>
          <w:p w:rsidR="00000000" w:rsidRDefault="00567B15">
            <w:pPr>
              <w:spacing w:before="0" w:after="0" w:line="320" w:lineRule="exact"/>
              <w:jc w:val="center"/>
              <w:rPr>
                <w:rStyle w:val="FootnoteReference"/>
                <w:szCs w:val="26"/>
              </w:rPr>
            </w:pPr>
            <w:r>
              <w:rPr>
                <w:rFonts w:hint="cs"/>
                <w:szCs w:val="26"/>
                <w:rtl/>
              </w:rPr>
              <w:t>(وزارة الصحة العامة)</w:t>
            </w:r>
          </w:p>
        </w:tc>
      </w:tr>
      <w:tr w:rsidR="00567B15" w:rsidTr="00567B15">
        <w:tblPrEx>
          <w:tblCellMar>
            <w:top w:w="0" w:type="dxa"/>
            <w:bottom w:w="0" w:type="dxa"/>
          </w:tblCellMar>
        </w:tblPrEx>
        <w:trPr>
          <w:jc w:val="center"/>
        </w:trPr>
        <w:tc>
          <w:tcPr>
            <w:tcW w:w="3243" w:type="dxa"/>
            <w:tcBorders>
              <w:top w:val="single" w:sz="4" w:space="0" w:color="auto"/>
              <w:bottom w:val="nil"/>
            </w:tcBorders>
          </w:tcPr>
          <w:p w:rsidR="00567B15" w:rsidRDefault="00567B15">
            <w:pPr>
              <w:spacing w:before="0" w:after="0" w:line="320" w:lineRule="exact"/>
              <w:jc w:val="both"/>
              <w:rPr>
                <w:rStyle w:val="FootnoteReference"/>
                <w:rFonts w:hint="cs"/>
                <w:bCs w:val="0"/>
                <w:szCs w:val="26"/>
                <w:vertAlign w:val="baseline"/>
              </w:rPr>
            </w:pPr>
            <w:r>
              <w:rPr>
                <w:rFonts w:hint="cs"/>
                <w:szCs w:val="26"/>
                <w:rtl/>
              </w:rPr>
              <w:t>معدل الخصوبة*</w:t>
            </w:r>
          </w:p>
        </w:tc>
        <w:tc>
          <w:tcPr>
            <w:tcW w:w="2928" w:type="dxa"/>
            <w:tcBorders>
              <w:top w:val="single" w:sz="4" w:space="0" w:color="auto"/>
              <w:bottom w:val="nil"/>
            </w:tcBorders>
          </w:tcPr>
          <w:p w:rsidR="00567B15" w:rsidRDefault="00567B15">
            <w:pPr>
              <w:spacing w:before="0" w:after="0" w:line="320" w:lineRule="exact"/>
              <w:ind w:firstLine="991"/>
              <w:jc w:val="both"/>
              <w:rPr>
                <w:rStyle w:val="FootnoteReference"/>
                <w:rFonts w:hint="cs"/>
                <w:bCs w:val="0"/>
                <w:szCs w:val="26"/>
                <w:vertAlign w:val="baseline"/>
              </w:rPr>
            </w:pPr>
            <w:r>
              <w:rPr>
                <w:rFonts w:hint="cs"/>
                <w:szCs w:val="26"/>
                <w:rtl/>
              </w:rPr>
              <w:t>87.7</w:t>
            </w:r>
          </w:p>
        </w:tc>
      </w:tr>
      <w:tr w:rsidR="00567B15" w:rsidTr="00567B15">
        <w:tblPrEx>
          <w:tblCellMar>
            <w:top w:w="0" w:type="dxa"/>
            <w:bottom w:w="0" w:type="dxa"/>
          </w:tblCellMar>
        </w:tblPrEx>
        <w:trPr>
          <w:jc w:val="center"/>
        </w:trPr>
        <w:tc>
          <w:tcPr>
            <w:tcW w:w="3243" w:type="dxa"/>
            <w:tcBorders>
              <w:top w:val="nil"/>
            </w:tcBorders>
          </w:tcPr>
          <w:p w:rsidR="00567B15" w:rsidRDefault="00567B15">
            <w:pPr>
              <w:spacing w:before="0" w:after="0"/>
              <w:jc w:val="both"/>
              <w:rPr>
                <w:rFonts w:hint="cs"/>
                <w:szCs w:val="26"/>
                <w:rtl/>
              </w:rPr>
            </w:pPr>
            <w:r>
              <w:rPr>
                <w:rFonts w:hint="cs"/>
                <w:szCs w:val="26"/>
                <w:rtl/>
              </w:rPr>
              <w:t>معدل الوفيات الكلي*</w:t>
            </w:r>
          </w:p>
        </w:tc>
        <w:tc>
          <w:tcPr>
            <w:tcW w:w="2928" w:type="dxa"/>
            <w:tcBorders>
              <w:top w:val="nil"/>
            </w:tcBorders>
          </w:tcPr>
          <w:p w:rsidR="00567B15" w:rsidRDefault="00567B15">
            <w:pPr>
              <w:spacing w:before="0" w:after="0"/>
              <w:ind w:firstLine="991"/>
              <w:jc w:val="both"/>
              <w:rPr>
                <w:rStyle w:val="FootnoteReference"/>
                <w:rFonts w:hint="cs"/>
                <w:bCs w:val="0"/>
                <w:szCs w:val="26"/>
                <w:vertAlign w:val="baseline"/>
              </w:rPr>
            </w:pPr>
            <w:r>
              <w:rPr>
                <w:rFonts w:hint="cs"/>
                <w:szCs w:val="26"/>
                <w:rtl/>
              </w:rPr>
              <w:t>4.4</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معدل وفيات الرضَّع</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32.2</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معدل وفيات حديثي الولادة*</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14.5</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معدل وفيات المواليد بعد الولادة*</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17.7</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معدل وفيات المواليد حول الولادة*</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19.7</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معدل وفيات الأمهات**</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93.4</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النسبة المئوية للولادات على يد قابلة</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70.9</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معدل التغطية الصحية للأمهات:</w:t>
            </w:r>
          </w:p>
        </w:tc>
        <w:tc>
          <w:tcPr>
            <w:tcW w:w="2928" w:type="dxa"/>
          </w:tcPr>
          <w:p w:rsidR="00567B15" w:rsidRDefault="00567B15">
            <w:pPr>
              <w:spacing w:before="0" w:after="0"/>
              <w:ind w:firstLine="991"/>
              <w:jc w:val="both"/>
              <w:rPr>
                <w:rStyle w:val="FootnoteReference"/>
                <w:rFonts w:hint="cs"/>
                <w:bCs w:val="0"/>
                <w:szCs w:val="26"/>
                <w:vertAlign w:val="baseline"/>
              </w:rPr>
            </w:pP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szCs w:val="26"/>
                <w:rtl/>
              </w:rPr>
              <w:tab/>
              <w:t xml:space="preserve">قبل </w:t>
            </w:r>
            <w:r>
              <w:rPr>
                <w:rFonts w:hint="cs"/>
                <w:szCs w:val="26"/>
                <w:rtl/>
              </w:rPr>
              <w:t>الولادة</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69.3</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ab/>
              <w:t>عند الولادة</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26.9</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szCs w:val="26"/>
                <w:rtl/>
              </w:rPr>
              <w:tab/>
            </w:r>
            <w:r>
              <w:rPr>
                <w:rFonts w:hint="cs"/>
                <w:szCs w:val="26"/>
                <w:rtl/>
              </w:rPr>
              <w:t>بعد الولادة</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15.1</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rFonts w:hint="cs"/>
                <w:szCs w:val="26"/>
                <w:rtl/>
              </w:rPr>
              <w:tab/>
              <w:t>تحديد النسل</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3.6</w:t>
            </w:r>
          </w:p>
        </w:tc>
      </w:tr>
      <w:tr w:rsidR="00567B15" w:rsidTr="00567B15">
        <w:tblPrEx>
          <w:tblCellMar>
            <w:top w:w="0" w:type="dxa"/>
            <w:bottom w:w="0" w:type="dxa"/>
          </w:tblCellMar>
        </w:tblPrEx>
        <w:trPr>
          <w:jc w:val="center"/>
        </w:trPr>
        <w:tc>
          <w:tcPr>
            <w:tcW w:w="3243" w:type="dxa"/>
          </w:tcPr>
          <w:p w:rsidR="00567B15" w:rsidRDefault="00567B15">
            <w:pPr>
              <w:spacing w:before="0" w:after="0"/>
              <w:jc w:val="both"/>
              <w:rPr>
                <w:rFonts w:hint="cs"/>
                <w:szCs w:val="26"/>
                <w:rtl/>
              </w:rPr>
            </w:pPr>
            <w:r>
              <w:rPr>
                <w:szCs w:val="26"/>
                <w:rtl/>
              </w:rPr>
              <w:tab/>
            </w:r>
            <w:r>
              <w:rPr>
                <w:rFonts w:hint="cs"/>
                <w:szCs w:val="26"/>
                <w:rtl/>
              </w:rPr>
              <w:t>وفيات لأسباب أخرى</w:t>
            </w:r>
          </w:p>
        </w:tc>
        <w:tc>
          <w:tcPr>
            <w:tcW w:w="2928" w:type="dxa"/>
          </w:tcPr>
          <w:p w:rsidR="00567B15" w:rsidRDefault="00567B15">
            <w:pPr>
              <w:spacing w:before="0" w:after="0"/>
              <w:ind w:firstLine="991"/>
              <w:jc w:val="both"/>
              <w:rPr>
                <w:rStyle w:val="FootnoteReference"/>
                <w:rFonts w:hint="cs"/>
                <w:bCs w:val="0"/>
                <w:szCs w:val="26"/>
                <w:vertAlign w:val="baseline"/>
              </w:rPr>
            </w:pPr>
            <w:r>
              <w:rPr>
                <w:rFonts w:hint="cs"/>
                <w:szCs w:val="26"/>
                <w:rtl/>
              </w:rPr>
              <w:t>4.9</w:t>
            </w:r>
          </w:p>
        </w:tc>
      </w:tr>
    </w:tbl>
    <w:p w:rsidR="00000000" w:rsidRDefault="00567B15">
      <w:pPr>
        <w:spacing w:before="120" w:after="120" w:line="380" w:lineRule="exact"/>
        <w:ind w:firstLine="2154"/>
        <w:jc w:val="both"/>
        <w:rPr>
          <w:rFonts w:hint="cs"/>
          <w:rtl/>
        </w:rPr>
      </w:pPr>
      <w:r>
        <w:rPr>
          <w:rFonts w:hint="cs"/>
          <w:rtl/>
        </w:rPr>
        <w:t>*</w:t>
      </w:r>
      <w:r>
        <w:rPr>
          <w:rFonts w:hint="cs"/>
          <w:rtl/>
        </w:rPr>
        <w:tab/>
        <w:t>المعدل</w:t>
      </w:r>
      <w:r>
        <w:rPr>
          <w:rFonts w:hint="cs"/>
          <w:rtl/>
        </w:rPr>
        <w:t xml:space="preserve"> لكل 000 1 مولود حي.</w:t>
      </w:r>
    </w:p>
    <w:p w:rsidR="00000000" w:rsidRDefault="00567B15">
      <w:pPr>
        <w:spacing w:before="120" w:after="120" w:line="380" w:lineRule="exact"/>
        <w:ind w:left="1974" w:hanging="1974"/>
        <w:jc w:val="both"/>
        <w:rPr>
          <w:rFonts w:hint="cs"/>
          <w:rtl/>
        </w:rPr>
      </w:pPr>
      <w:r>
        <w:rPr>
          <w:rFonts w:hint="cs"/>
          <w:rtl/>
        </w:rPr>
        <w:tab/>
        <w:t>**</w:t>
      </w:r>
      <w:r>
        <w:rPr>
          <w:rFonts w:hint="cs"/>
          <w:rtl/>
        </w:rPr>
        <w:tab/>
        <w:t>المعدل لكل 000 100 مولود حي.</w:t>
      </w:r>
    </w:p>
    <w:p w:rsidR="00000000" w:rsidRDefault="00567B15">
      <w:pPr>
        <w:spacing w:line="380" w:lineRule="exact"/>
        <w:jc w:val="both"/>
        <w:rPr>
          <w:rFonts w:hint="cs"/>
          <w:rtl/>
        </w:rPr>
      </w:pPr>
      <w:r>
        <w:rPr>
          <w:rFonts w:hint="cs"/>
          <w:b/>
          <w:bCs/>
          <w:rtl/>
        </w:rPr>
        <w:t>الحق في الغذاء الكافي</w:t>
      </w:r>
    </w:p>
    <w:p w:rsidR="00000000" w:rsidRDefault="00567B15">
      <w:pPr>
        <w:spacing w:line="380" w:lineRule="exact"/>
        <w:jc w:val="both"/>
        <w:rPr>
          <w:rFonts w:hint="cs"/>
          <w:rtl/>
        </w:rPr>
      </w:pPr>
      <w:r>
        <w:rPr>
          <w:rFonts w:hint="cs"/>
          <w:rtl/>
        </w:rPr>
        <w:t>289-</w:t>
      </w:r>
      <w:r>
        <w:rPr>
          <w:rFonts w:hint="cs"/>
          <w:rtl/>
        </w:rPr>
        <w:tab/>
        <w:t>تنص الفقرة 20 من المادة 23 من الفصل الثاني (الحقوق المدنية) من الباب الثالث من الدستور على أن الدولة تقر وتضمن "الحق في نوعية حياة تكفل الصحة والغذاء والتغذية ومياه الشرب والم</w:t>
      </w:r>
      <w:r>
        <w:rPr>
          <w:rFonts w:hint="cs"/>
          <w:rtl/>
        </w:rPr>
        <w:t>رافق الصحية والتعليم والعمل والاستخدام والاستجمام والمسكن والملبس والخدمات الاجتماعية الضرورية الأخرى". وتنص الفقرة 2 من المادة 43 من الدستور على أن "تروّج الدولة لثقافة صحية وحياتية، مؤكدة على تثقيف الأمهات والأطفال عن الغذاء والتغذية وبالصحة الجنسية والإ</w:t>
      </w:r>
      <w:r>
        <w:rPr>
          <w:rFonts w:hint="cs"/>
          <w:rtl/>
        </w:rPr>
        <w:t>نجابية، عن طريق مشاركة المجتمع والتعاون مع وسائط الإعلام".</w:t>
      </w:r>
    </w:p>
    <w:p w:rsidR="00000000" w:rsidRDefault="00567B15">
      <w:pPr>
        <w:spacing w:line="380" w:lineRule="exact"/>
        <w:jc w:val="both"/>
        <w:rPr>
          <w:rFonts w:hint="cs"/>
          <w:rtl/>
        </w:rPr>
      </w:pPr>
      <w:r>
        <w:rPr>
          <w:rFonts w:hint="cs"/>
          <w:rtl/>
        </w:rPr>
        <w:t>290-</w:t>
      </w:r>
      <w:r>
        <w:rPr>
          <w:rFonts w:hint="cs"/>
          <w:rtl/>
        </w:rPr>
        <w:tab/>
        <w:t>وما فتئت الأزمة التي تواجهها البلاد تلحق الضرر بالسكان، الذين انخفضت قدرتهم الشرائية. واتسعت الفجوة بين الأغنياء والفقراء نتيجة لتوزيع الثروات توزيعاً غير عادل. وتفاقم الفقر بشكل كبير في السنو</w:t>
      </w:r>
      <w:r>
        <w:rPr>
          <w:rFonts w:hint="cs"/>
          <w:rtl/>
        </w:rPr>
        <w:t>ات الأخيرة، ورافقه ارتفاع في مؤشرات سوء التغذية وظروف المعيشة غير الصحية.</w:t>
      </w:r>
    </w:p>
    <w:p w:rsidR="00000000" w:rsidRDefault="00567B15">
      <w:pPr>
        <w:spacing w:line="380" w:lineRule="exact"/>
        <w:jc w:val="both"/>
        <w:rPr>
          <w:rStyle w:val="FootnoteReference"/>
          <w:rFonts w:hint="cs"/>
          <w:bCs w:val="0"/>
          <w:vertAlign w:val="baseline"/>
          <w:rtl/>
        </w:rPr>
      </w:pPr>
      <w:r>
        <w:rPr>
          <w:rFonts w:hint="cs"/>
          <w:rtl/>
        </w:rPr>
        <w:t>291-</w:t>
      </w:r>
      <w:r>
        <w:rPr>
          <w:rFonts w:hint="cs"/>
          <w:rtl/>
        </w:rPr>
        <w:tab/>
        <w:t xml:space="preserve">ووفقاً لتقديرات وزارة الصحة العامة، فإن 50 في المائة من الأطفال دون الثانية من العمر يعانون من توقف النمو ولا يتلقون الجرعات الكافية من الطاقة والبروتين والحديد والزنك وفيتامين </w:t>
      </w:r>
      <w:r>
        <w:rPr>
          <w:rFonts w:hint="cs"/>
          <w:rtl/>
        </w:rPr>
        <w:t>ألف. وحسبما حددت الدراسات الاستقصائية الكيميائية الأحيائية، فإن أكثر من نصف الحوامل والأطفال دون الثالثة من العمر يعانون من فقر الدم، وتؤثر حالات نقص فيتامين ألف على 000 200 طفل دون الخامسة من العمر</w:t>
      </w:r>
      <w:r>
        <w:rPr>
          <w:rFonts w:hint="cs"/>
          <w:vertAlign w:val="superscript"/>
          <w:rtl/>
        </w:rPr>
        <w:t>(37)</w:t>
      </w:r>
      <w:r>
        <w:rPr>
          <w:rFonts w:hint="cs"/>
          <w:rtl/>
        </w:rPr>
        <w:t>.</w:t>
      </w:r>
    </w:p>
    <w:p w:rsidR="00000000" w:rsidRDefault="00567B15">
      <w:pPr>
        <w:spacing w:line="380" w:lineRule="exact"/>
        <w:jc w:val="both"/>
        <w:rPr>
          <w:rFonts w:hint="cs"/>
          <w:rtl/>
        </w:rPr>
      </w:pPr>
      <w:r>
        <w:rPr>
          <w:rFonts w:hint="cs"/>
          <w:rtl/>
        </w:rPr>
        <w:t>292-</w:t>
      </w:r>
      <w:r>
        <w:rPr>
          <w:rFonts w:hint="cs"/>
          <w:rtl/>
        </w:rPr>
        <w:tab/>
        <w:t>وأجرت وزارة الزراعة والثروة الحيوانية دراسات عن</w:t>
      </w:r>
      <w:r>
        <w:rPr>
          <w:rFonts w:hint="cs"/>
          <w:rtl/>
        </w:rPr>
        <w:t xml:space="preserve"> التغذية باستخدام موازين الأغذية التي تقدم معلومات عما تحتويه المنتجات المشمولة بالنشرة من سعرات حرارية وبروتينات ودهنيات. ويعرَّف توافر الغذاء بأنه توافر المغذيات بشكل واضح، كدالة على ما يتناوله كل فرد من سكان إكوادور يوميـاً. ولا تعكس النتائج - كميات الغ</w:t>
      </w:r>
      <w:r>
        <w:rPr>
          <w:rFonts w:hint="cs"/>
          <w:rtl/>
        </w:rPr>
        <w:t>ذاء والمغذيات لكل شخص - الجرعات الفعالة، بل تمثل فقط الكمية المتوافرة، في المتوسط، لتلبية احتياجات السكان من الغذاء للسنوات 1990-1998.</w:t>
      </w:r>
    </w:p>
    <w:p w:rsidR="00000000" w:rsidRDefault="00567B15">
      <w:pPr>
        <w:spacing w:line="380" w:lineRule="exact"/>
        <w:jc w:val="both"/>
        <w:rPr>
          <w:rFonts w:hint="cs"/>
          <w:rtl/>
        </w:rPr>
      </w:pPr>
      <w:r>
        <w:rPr>
          <w:rFonts w:hint="cs"/>
          <w:rtl/>
        </w:rPr>
        <w:t>293-</w:t>
      </w:r>
      <w:r>
        <w:rPr>
          <w:rFonts w:hint="cs"/>
          <w:rtl/>
        </w:rPr>
        <w:tab/>
        <w:t>ولا تعكس هذه المعلومات الحالة الحقيقية الغذائية والتغذوية للمواطن الإكوادوري، نظراً لأن البيانات الإحصائية لا تصف إل</w:t>
      </w:r>
      <w:r>
        <w:rPr>
          <w:rFonts w:hint="cs"/>
          <w:rtl/>
        </w:rPr>
        <w:t>ا توافر الغذاء (إمداداته) من الناحية النظرية، إلى جانب أن التغذية تعتمد على متغيرات من قبيل التوزيع المكاني، والجوانب الاقتصادية الاجتماعية وأوجه التباين في توزيع الدخول، وغير ذلك</w:t>
      </w:r>
      <w:r>
        <w:rPr>
          <w:rFonts w:hint="cs"/>
          <w:vertAlign w:val="superscript"/>
          <w:rtl/>
        </w:rPr>
        <w:t>(38)</w:t>
      </w:r>
      <w:r>
        <w:rPr>
          <w:rFonts w:hint="cs"/>
          <w:rtl/>
        </w:rPr>
        <w:t>.</w:t>
      </w:r>
    </w:p>
    <w:p w:rsidR="00000000" w:rsidRDefault="00567B15">
      <w:pPr>
        <w:spacing w:before="0" w:after="0"/>
        <w:jc w:val="center"/>
        <w:rPr>
          <w:rFonts w:hint="cs"/>
          <w:b/>
          <w:bCs/>
          <w:rtl/>
        </w:rPr>
      </w:pPr>
      <w:r>
        <w:rPr>
          <w:rFonts w:hint="cs"/>
          <w:b/>
          <w:bCs/>
          <w:rtl/>
        </w:rPr>
        <w:t>توافر السعرات الحرارية والبروتينات</w:t>
      </w:r>
    </w:p>
    <w:p w:rsidR="00000000" w:rsidRDefault="00567B15">
      <w:pPr>
        <w:spacing w:before="0" w:after="120"/>
        <w:jc w:val="center"/>
        <w:rPr>
          <w:rFonts w:hint="cs"/>
          <w:b/>
          <w:bCs/>
          <w:rtl/>
        </w:rPr>
      </w:pPr>
      <w:r>
        <w:rPr>
          <w:rFonts w:hint="cs"/>
          <w:b/>
          <w:bCs/>
          <w:rtl/>
        </w:rPr>
        <w:t>(يومياً، لكل فرد)</w:t>
      </w:r>
    </w:p>
    <w:tbl>
      <w:tblPr>
        <w:bidiVisual/>
        <w:tblW w:w="0" w:type="auto"/>
        <w:jc w:val="center"/>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3"/>
        <w:gridCol w:w="1931"/>
        <w:gridCol w:w="1800"/>
        <w:gridCol w:w="1620"/>
      </w:tblGrid>
      <w:tr w:rsidR="00567B15" w:rsidTr="00567B15">
        <w:tblPrEx>
          <w:tblCellMar>
            <w:top w:w="0" w:type="dxa"/>
            <w:bottom w:w="0" w:type="dxa"/>
          </w:tblCellMar>
        </w:tblPrEx>
        <w:trPr>
          <w:trHeight w:val="743"/>
          <w:jc w:val="center"/>
        </w:trPr>
        <w:tc>
          <w:tcPr>
            <w:tcW w:w="1443" w:type="dxa"/>
            <w:tcBorders>
              <w:bottom w:val="single" w:sz="4" w:space="0" w:color="auto"/>
            </w:tcBorders>
          </w:tcPr>
          <w:p w:rsidR="00567B15" w:rsidRDefault="00567B15">
            <w:pPr>
              <w:spacing w:after="0"/>
              <w:jc w:val="center"/>
              <w:rPr>
                <w:rStyle w:val="FootnoteReference"/>
                <w:rFonts w:hint="cs"/>
                <w:bCs w:val="0"/>
                <w:szCs w:val="26"/>
                <w:vertAlign w:val="baseline"/>
              </w:rPr>
            </w:pPr>
            <w:r>
              <w:rPr>
                <w:rFonts w:hint="cs"/>
                <w:szCs w:val="26"/>
                <w:rtl/>
              </w:rPr>
              <w:t>السنوات</w:t>
            </w:r>
          </w:p>
        </w:tc>
        <w:tc>
          <w:tcPr>
            <w:tcW w:w="1931" w:type="dxa"/>
            <w:tcBorders>
              <w:bottom w:val="single" w:sz="4" w:space="0" w:color="auto"/>
            </w:tcBorders>
          </w:tcPr>
          <w:p w:rsidR="00567B15" w:rsidRDefault="00567B15">
            <w:pPr>
              <w:spacing w:after="0"/>
              <w:jc w:val="center"/>
              <w:rPr>
                <w:rStyle w:val="FootnoteReference"/>
                <w:rFonts w:hint="cs"/>
                <w:bCs w:val="0"/>
                <w:szCs w:val="26"/>
                <w:vertAlign w:val="baseline"/>
              </w:rPr>
            </w:pPr>
            <w:r>
              <w:rPr>
                <w:rFonts w:hint="cs"/>
                <w:szCs w:val="26"/>
                <w:rtl/>
              </w:rPr>
              <w:t>السعرات الحرارية</w:t>
            </w:r>
          </w:p>
        </w:tc>
        <w:tc>
          <w:tcPr>
            <w:tcW w:w="1800" w:type="dxa"/>
            <w:tcBorders>
              <w:bottom w:val="single" w:sz="4" w:space="0" w:color="auto"/>
            </w:tcBorders>
          </w:tcPr>
          <w:p w:rsidR="00567B15" w:rsidRDefault="00567B15">
            <w:pPr>
              <w:spacing w:after="0"/>
              <w:jc w:val="center"/>
              <w:rPr>
                <w:rStyle w:val="FootnoteReference"/>
                <w:rFonts w:hint="cs"/>
                <w:bCs w:val="0"/>
                <w:szCs w:val="26"/>
                <w:vertAlign w:val="baseline"/>
              </w:rPr>
            </w:pPr>
            <w:r>
              <w:rPr>
                <w:rFonts w:hint="cs"/>
                <w:szCs w:val="26"/>
                <w:rtl/>
              </w:rPr>
              <w:t>البروتينات</w:t>
            </w:r>
          </w:p>
        </w:tc>
        <w:tc>
          <w:tcPr>
            <w:tcW w:w="1620" w:type="dxa"/>
            <w:tcBorders>
              <w:bottom w:val="single" w:sz="4" w:space="0" w:color="auto"/>
            </w:tcBorders>
          </w:tcPr>
          <w:p w:rsidR="00567B15" w:rsidRDefault="00567B15">
            <w:pPr>
              <w:spacing w:after="0"/>
              <w:jc w:val="center"/>
              <w:rPr>
                <w:rStyle w:val="FootnoteReference"/>
                <w:rFonts w:hint="cs"/>
                <w:bCs w:val="0"/>
                <w:szCs w:val="26"/>
                <w:vertAlign w:val="baseline"/>
              </w:rPr>
            </w:pPr>
            <w:r>
              <w:rPr>
                <w:rFonts w:hint="cs"/>
                <w:szCs w:val="26"/>
                <w:rtl/>
              </w:rPr>
              <w:t>الدهنيات</w:t>
            </w:r>
          </w:p>
        </w:tc>
      </w:tr>
      <w:tr w:rsidR="00567B15" w:rsidTr="00567B15">
        <w:tblPrEx>
          <w:tblCellMar>
            <w:top w:w="0" w:type="dxa"/>
            <w:bottom w:w="0" w:type="dxa"/>
          </w:tblCellMar>
        </w:tblPrEx>
        <w:trPr>
          <w:jc w:val="center"/>
        </w:trPr>
        <w:tc>
          <w:tcPr>
            <w:tcW w:w="1443" w:type="dxa"/>
            <w:tcBorders>
              <w:bottom w:val="nil"/>
            </w:tcBorders>
          </w:tcPr>
          <w:p w:rsidR="00567B15" w:rsidRDefault="00567B15">
            <w:pPr>
              <w:spacing w:before="0" w:after="0"/>
              <w:jc w:val="center"/>
              <w:rPr>
                <w:rStyle w:val="FootnoteReference"/>
                <w:rFonts w:hint="cs"/>
                <w:bCs w:val="0"/>
                <w:szCs w:val="26"/>
                <w:vertAlign w:val="baseline"/>
              </w:rPr>
            </w:pPr>
            <w:r>
              <w:rPr>
                <w:rFonts w:hint="cs"/>
                <w:szCs w:val="26"/>
                <w:rtl/>
              </w:rPr>
              <w:t>1990</w:t>
            </w:r>
          </w:p>
        </w:tc>
        <w:tc>
          <w:tcPr>
            <w:tcW w:w="1931" w:type="dxa"/>
            <w:tcBorders>
              <w:bottom w:val="nil"/>
            </w:tcBorders>
          </w:tcPr>
          <w:p w:rsidR="00567B15" w:rsidRDefault="00567B15">
            <w:pPr>
              <w:spacing w:before="0" w:after="0"/>
              <w:jc w:val="center"/>
              <w:rPr>
                <w:rStyle w:val="FootnoteReference"/>
                <w:rFonts w:hint="cs"/>
                <w:bCs w:val="0"/>
                <w:szCs w:val="26"/>
                <w:vertAlign w:val="baseline"/>
              </w:rPr>
            </w:pPr>
            <w:r>
              <w:rPr>
                <w:rFonts w:hint="cs"/>
                <w:szCs w:val="26"/>
                <w:rtl/>
              </w:rPr>
              <w:t>441.32 2</w:t>
            </w:r>
          </w:p>
        </w:tc>
        <w:tc>
          <w:tcPr>
            <w:tcW w:w="1800" w:type="dxa"/>
            <w:tcBorders>
              <w:bottom w:val="nil"/>
            </w:tcBorders>
          </w:tcPr>
          <w:p w:rsidR="00567B15" w:rsidRDefault="00567B15">
            <w:pPr>
              <w:spacing w:before="0" w:after="0"/>
              <w:jc w:val="center"/>
              <w:rPr>
                <w:rStyle w:val="FootnoteReference"/>
                <w:rFonts w:hint="cs"/>
                <w:bCs w:val="0"/>
                <w:szCs w:val="26"/>
                <w:vertAlign w:val="baseline"/>
              </w:rPr>
            </w:pPr>
            <w:r>
              <w:rPr>
                <w:rFonts w:hint="cs"/>
                <w:szCs w:val="26"/>
                <w:rtl/>
              </w:rPr>
              <w:t>59.59</w:t>
            </w:r>
          </w:p>
        </w:tc>
        <w:tc>
          <w:tcPr>
            <w:tcW w:w="1620" w:type="dxa"/>
            <w:tcBorders>
              <w:bottom w:val="nil"/>
            </w:tcBorders>
          </w:tcPr>
          <w:p w:rsidR="00567B15" w:rsidRDefault="00567B15">
            <w:pPr>
              <w:spacing w:before="0" w:after="0"/>
              <w:jc w:val="center"/>
              <w:rPr>
                <w:rStyle w:val="FootnoteReference"/>
                <w:rFonts w:hint="cs"/>
                <w:bCs w:val="0"/>
                <w:szCs w:val="26"/>
                <w:vertAlign w:val="baseline"/>
              </w:rPr>
            </w:pPr>
            <w:r>
              <w:rPr>
                <w:rFonts w:hint="cs"/>
                <w:szCs w:val="26"/>
                <w:rtl/>
              </w:rPr>
              <w:t>49.53</w:t>
            </w:r>
          </w:p>
        </w:tc>
      </w:tr>
      <w:tr w:rsidR="00567B15" w:rsidTr="00567B15">
        <w:tblPrEx>
          <w:tblCellMar>
            <w:top w:w="0" w:type="dxa"/>
            <w:bottom w:w="0" w:type="dxa"/>
          </w:tblCellMar>
        </w:tblPrEx>
        <w:trPr>
          <w:jc w:val="center"/>
        </w:trPr>
        <w:tc>
          <w:tcPr>
            <w:tcW w:w="1443" w:type="dxa"/>
            <w:tcBorders>
              <w:top w:val="nil"/>
              <w:bottom w:val="nil"/>
            </w:tcBorders>
          </w:tcPr>
          <w:p w:rsidR="00567B15" w:rsidRDefault="00567B15">
            <w:pPr>
              <w:spacing w:before="0" w:after="0"/>
              <w:jc w:val="center"/>
              <w:rPr>
                <w:rFonts w:hint="cs"/>
                <w:szCs w:val="26"/>
                <w:rtl/>
              </w:rPr>
            </w:pPr>
            <w:r>
              <w:rPr>
                <w:rFonts w:hint="cs"/>
                <w:szCs w:val="26"/>
                <w:rtl/>
              </w:rPr>
              <w:t>1995</w:t>
            </w:r>
          </w:p>
        </w:tc>
        <w:tc>
          <w:tcPr>
            <w:tcW w:w="1931" w:type="dxa"/>
            <w:tcBorders>
              <w:top w:val="nil"/>
              <w:bottom w:val="nil"/>
            </w:tcBorders>
          </w:tcPr>
          <w:p w:rsidR="00567B15" w:rsidRDefault="00567B15">
            <w:pPr>
              <w:spacing w:before="0" w:after="0"/>
              <w:jc w:val="center"/>
              <w:rPr>
                <w:rStyle w:val="FootnoteReference"/>
                <w:rFonts w:hint="cs"/>
                <w:bCs w:val="0"/>
                <w:szCs w:val="26"/>
                <w:vertAlign w:val="baseline"/>
              </w:rPr>
            </w:pPr>
            <w:r>
              <w:rPr>
                <w:rFonts w:hint="cs"/>
                <w:szCs w:val="26"/>
                <w:rtl/>
              </w:rPr>
              <w:t>89 588 2</w:t>
            </w:r>
          </w:p>
        </w:tc>
        <w:tc>
          <w:tcPr>
            <w:tcW w:w="1800" w:type="dxa"/>
            <w:tcBorders>
              <w:top w:val="nil"/>
              <w:bottom w:val="nil"/>
            </w:tcBorders>
          </w:tcPr>
          <w:p w:rsidR="00567B15" w:rsidRDefault="00567B15">
            <w:pPr>
              <w:spacing w:before="0" w:after="0"/>
              <w:jc w:val="center"/>
              <w:rPr>
                <w:rStyle w:val="FootnoteReference"/>
                <w:rFonts w:hint="cs"/>
                <w:bCs w:val="0"/>
                <w:szCs w:val="26"/>
                <w:vertAlign w:val="baseline"/>
              </w:rPr>
            </w:pPr>
            <w:r>
              <w:rPr>
                <w:rFonts w:hint="cs"/>
                <w:szCs w:val="26"/>
                <w:rtl/>
              </w:rPr>
              <w:t>61.91</w:t>
            </w:r>
          </w:p>
        </w:tc>
        <w:tc>
          <w:tcPr>
            <w:tcW w:w="1620" w:type="dxa"/>
            <w:tcBorders>
              <w:top w:val="nil"/>
              <w:bottom w:val="nil"/>
            </w:tcBorders>
          </w:tcPr>
          <w:p w:rsidR="00567B15" w:rsidRDefault="00567B15">
            <w:pPr>
              <w:spacing w:before="0" w:after="0"/>
              <w:jc w:val="center"/>
              <w:rPr>
                <w:rStyle w:val="FootnoteReference"/>
                <w:rFonts w:hint="cs"/>
                <w:bCs w:val="0"/>
                <w:szCs w:val="26"/>
                <w:vertAlign w:val="baseline"/>
              </w:rPr>
            </w:pPr>
            <w:r>
              <w:rPr>
                <w:rFonts w:hint="cs"/>
                <w:szCs w:val="26"/>
                <w:rtl/>
              </w:rPr>
              <w:t>56.56</w:t>
            </w:r>
          </w:p>
        </w:tc>
      </w:tr>
      <w:tr w:rsidR="00567B15" w:rsidTr="00567B15">
        <w:tblPrEx>
          <w:tblCellMar>
            <w:top w:w="0" w:type="dxa"/>
            <w:bottom w:w="0" w:type="dxa"/>
          </w:tblCellMar>
        </w:tblPrEx>
        <w:trPr>
          <w:jc w:val="center"/>
        </w:trPr>
        <w:tc>
          <w:tcPr>
            <w:tcW w:w="1443" w:type="dxa"/>
            <w:tcBorders>
              <w:top w:val="nil"/>
              <w:bottom w:val="nil"/>
            </w:tcBorders>
          </w:tcPr>
          <w:p w:rsidR="00567B15" w:rsidRDefault="00567B15">
            <w:pPr>
              <w:spacing w:before="0" w:after="0"/>
              <w:jc w:val="center"/>
              <w:rPr>
                <w:rFonts w:hint="cs"/>
                <w:szCs w:val="26"/>
                <w:rtl/>
              </w:rPr>
            </w:pPr>
            <w:r>
              <w:rPr>
                <w:rFonts w:hint="cs"/>
                <w:szCs w:val="26"/>
                <w:rtl/>
              </w:rPr>
              <w:t>1996</w:t>
            </w:r>
          </w:p>
        </w:tc>
        <w:tc>
          <w:tcPr>
            <w:tcW w:w="1931" w:type="dxa"/>
            <w:tcBorders>
              <w:top w:val="nil"/>
              <w:bottom w:val="nil"/>
            </w:tcBorders>
          </w:tcPr>
          <w:p w:rsidR="00567B15" w:rsidRDefault="00567B15">
            <w:pPr>
              <w:spacing w:before="0" w:after="0"/>
              <w:jc w:val="center"/>
              <w:rPr>
                <w:rStyle w:val="FootnoteReference"/>
                <w:rFonts w:hint="cs"/>
                <w:bCs w:val="0"/>
                <w:szCs w:val="26"/>
                <w:vertAlign w:val="baseline"/>
              </w:rPr>
            </w:pPr>
            <w:r>
              <w:rPr>
                <w:rFonts w:hint="cs"/>
                <w:szCs w:val="26"/>
                <w:rtl/>
              </w:rPr>
              <w:t>565.75 2</w:t>
            </w:r>
          </w:p>
        </w:tc>
        <w:tc>
          <w:tcPr>
            <w:tcW w:w="1800" w:type="dxa"/>
            <w:tcBorders>
              <w:top w:val="nil"/>
              <w:bottom w:val="nil"/>
            </w:tcBorders>
          </w:tcPr>
          <w:p w:rsidR="00567B15" w:rsidRDefault="00567B15">
            <w:pPr>
              <w:spacing w:before="0" w:after="0"/>
              <w:jc w:val="center"/>
              <w:rPr>
                <w:rStyle w:val="FootnoteReference"/>
                <w:rFonts w:hint="cs"/>
                <w:bCs w:val="0"/>
                <w:szCs w:val="26"/>
                <w:vertAlign w:val="baseline"/>
              </w:rPr>
            </w:pPr>
            <w:r>
              <w:rPr>
                <w:rFonts w:hint="cs"/>
                <w:szCs w:val="26"/>
                <w:rtl/>
              </w:rPr>
              <w:t>66.67</w:t>
            </w:r>
          </w:p>
        </w:tc>
        <w:tc>
          <w:tcPr>
            <w:tcW w:w="1620" w:type="dxa"/>
            <w:tcBorders>
              <w:top w:val="nil"/>
              <w:bottom w:val="nil"/>
            </w:tcBorders>
          </w:tcPr>
          <w:p w:rsidR="00567B15" w:rsidRDefault="00567B15">
            <w:pPr>
              <w:spacing w:before="0" w:after="0"/>
              <w:jc w:val="center"/>
              <w:rPr>
                <w:rStyle w:val="FootnoteReference"/>
                <w:rFonts w:hint="cs"/>
                <w:bCs w:val="0"/>
                <w:szCs w:val="26"/>
                <w:vertAlign w:val="baseline"/>
              </w:rPr>
            </w:pPr>
            <w:r>
              <w:rPr>
                <w:rFonts w:hint="cs"/>
                <w:szCs w:val="26"/>
                <w:rtl/>
              </w:rPr>
              <w:t>60.94</w:t>
            </w:r>
          </w:p>
        </w:tc>
      </w:tr>
      <w:tr w:rsidR="00567B15" w:rsidTr="00567B15">
        <w:tblPrEx>
          <w:tblCellMar>
            <w:top w:w="0" w:type="dxa"/>
            <w:bottom w:w="0" w:type="dxa"/>
          </w:tblCellMar>
        </w:tblPrEx>
        <w:trPr>
          <w:jc w:val="center"/>
        </w:trPr>
        <w:tc>
          <w:tcPr>
            <w:tcW w:w="1443" w:type="dxa"/>
            <w:tcBorders>
              <w:top w:val="nil"/>
            </w:tcBorders>
          </w:tcPr>
          <w:p w:rsidR="00567B15" w:rsidRDefault="00567B15">
            <w:pPr>
              <w:spacing w:before="0" w:after="0"/>
              <w:jc w:val="center"/>
              <w:rPr>
                <w:rFonts w:hint="cs"/>
                <w:szCs w:val="26"/>
                <w:rtl/>
              </w:rPr>
            </w:pPr>
            <w:r>
              <w:rPr>
                <w:rFonts w:hint="cs"/>
                <w:szCs w:val="26"/>
                <w:rtl/>
              </w:rPr>
              <w:t>1997</w:t>
            </w:r>
          </w:p>
        </w:tc>
        <w:tc>
          <w:tcPr>
            <w:tcW w:w="1931" w:type="dxa"/>
            <w:tcBorders>
              <w:top w:val="nil"/>
            </w:tcBorders>
          </w:tcPr>
          <w:p w:rsidR="00567B15" w:rsidRDefault="00567B15">
            <w:pPr>
              <w:spacing w:before="0" w:after="0"/>
              <w:jc w:val="center"/>
              <w:rPr>
                <w:rStyle w:val="FootnoteReference"/>
                <w:rFonts w:hint="cs"/>
                <w:bCs w:val="0"/>
                <w:szCs w:val="26"/>
                <w:vertAlign w:val="baseline"/>
              </w:rPr>
            </w:pPr>
            <w:r>
              <w:rPr>
                <w:rFonts w:hint="cs"/>
                <w:szCs w:val="26"/>
                <w:rtl/>
              </w:rPr>
              <w:t>628.14 2</w:t>
            </w:r>
          </w:p>
        </w:tc>
        <w:tc>
          <w:tcPr>
            <w:tcW w:w="1800" w:type="dxa"/>
            <w:tcBorders>
              <w:top w:val="nil"/>
            </w:tcBorders>
          </w:tcPr>
          <w:p w:rsidR="00567B15" w:rsidRDefault="00567B15">
            <w:pPr>
              <w:spacing w:before="0" w:after="0"/>
              <w:jc w:val="center"/>
              <w:rPr>
                <w:rStyle w:val="FootnoteReference"/>
                <w:rFonts w:hint="cs"/>
                <w:bCs w:val="0"/>
                <w:szCs w:val="26"/>
                <w:vertAlign w:val="baseline"/>
              </w:rPr>
            </w:pPr>
            <w:r>
              <w:rPr>
                <w:rFonts w:hint="cs"/>
                <w:szCs w:val="26"/>
                <w:rtl/>
              </w:rPr>
              <w:t>67.71</w:t>
            </w:r>
          </w:p>
        </w:tc>
        <w:tc>
          <w:tcPr>
            <w:tcW w:w="1620" w:type="dxa"/>
            <w:tcBorders>
              <w:top w:val="nil"/>
            </w:tcBorders>
          </w:tcPr>
          <w:p w:rsidR="00567B15" w:rsidRDefault="00567B15">
            <w:pPr>
              <w:spacing w:before="0" w:after="0"/>
              <w:jc w:val="center"/>
              <w:rPr>
                <w:rStyle w:val="FootnoteReference"/>
                <w:rFonts w:hint="cs"/>
                <w:bCs w:val="0"/>
                <w:szCs w:val="26"/>
                <w:vertAlign w:val="baseline"/>
              </w:rPr>
            </w:pPr>
            <w:r>
              <w:rPr>
                <w:rFonts w:hint="cs"/>
                <w:szCs w:val="26"/>
                <w:rtl/>
              </w:rPr>
              <w:t>66.12</w:t>
            </w:r>
          </w:p>
        </w:tc>
      </w:tr>
      <w:tr w:rsidR="00567B15" w:rsidTr="00567B15">
        <w:tblPrEx>
          <w:tblCellMar>
            <w:top w:w="0" w:type="dxa"/>
            <w:bottom w:w="0" w:type="dxa"/>
          </w:tblCellMar>
        </w:tblPrEx>
        <w:trPr>
          <w:jc w:val="center"/>
        </w:trPr>
        <w:tc>
          <w:tcPr>
            <w:tcW w:w="1443" w:type="dxa"/>
          </w:tcPr>
          <w:p w:rsidR="00567B15" w:rsidRDefault="00567B15">
            <w:pPr>
              <w:spacing w:before="0" w:after="0"/>
              <w:jc w:val="center"/>
              <w:rPr>
                <w:rFonts w:hint="cs"/>
                <w:szCs w:val="26"/>
                <w:rtl/>
              </w:rPr>
            </w:pPr>
            <w:r>
              <w:rPr>
                <w:rFonts w:hint="cs"/>
                <w:szCs w:val="26"/>
                <w:rtl/>
              </w:rPr>
              <w:t>1998</w:t>
            </w:r>
          </w:p>
        </w:tc>
        <w:tc>
          <w:tcPr>
            <w:tcW w:w="1931" w:type="dxa"/>
          </w:tcPr>
          <w:p w:rsidR="00567B15" w:rsidRDefault="00567B15">
            <w:pPr>
              <w:spacing w:before="0" w:after="0"/>
              <w:jc w:val="center"/>
              <w:rPr>
                <w:rStyle w:val="FootnoteReference"/>
                <w:rFonts w:hint="cs"/>
                <w:bCs w:val="0"/>
                <w:szCs w:val="26"/>
                <w:vertAlign w:val="baseline"/>
              </w:rPr>
            </w:pPr>
            <w:r>
              <w:rPr>
                <w:rFonts w:hint="cs"/>
                <w:szCs w:val="26"/>
                <w:rtl/>
              </w:rPr>
              <w:t>509.04 2</w:t>
            </w:r>
          </w:p>
        </w:tc>
        <w:tc>
          <w:tcPr>
            <w:tcW w:w="1800" w:type="dxa"/>
          </w:tcPr>
          <w:p w:rsidR="00567B15" w:rsidRDefault="00567B15">
            <w:pPr>
              <w:spacing w:before="0" w:after="0"/>
              <w:jc w:val="center"/>
              <w:rPr>
                <w:rStyle w:val="FootnoteReference"/>
                <w:rFonts w:hint="cs"/>
                <w:bCs w:val="0"/>
                <w:szCs w:val="26"/>
                <w:vertAlign w:val="baseline"/>
              </w:rPr>
            </w:pPr>
            <w:r>
              <w:rPr>
                <w:rFonts w:hint="cs"/>
                <w:szCs w:val="26"/>
                <w:rtl/>
              </w:rPr>
              <w:t>61.50</w:t>
            </w:r>
          </w:p>
        </w:tc>
        <w:tc>
          <w:tcPr>
            <w:tcW w:w="1620" w:type="dxa"/>
          </w:tcPr>
          <w:p w:rsidR="00567B15" w:rsidRDefault="00567B15">
            <w:pPr>
              <w:spacing w:before="0" w:after="0"/>
              <w:jc w:val="center"/>
              <w:rPr>
                <w:rStyle w:val="FootnoteReference"/>
                <w:rFonts w:hint="cs"/>
                <w:bCs w:val="0"/>
                <w:szCs w:val="26"/>
                <w:vertAlign w:val="baseline"/>
              </w:rPr>
            </w:pPr>
            <w:r>
              <w:rPr>
                <w:rFonts w:hint="cs"/>
                <w:szCs w:val="26"/>
                <w:rtl/>
              </w:rPr>
              <w:t>63.55</w:t>
            </w:r>
          </w:p>
        </w:tc>
      </w:tr>
    </w:tbl>
    <w:p w:rsidR="00000000" w:rsidRDefault="00567B15">
      <w:pPr>
        <w:spacing w:before="120" w:after="120"/>
        <w:ind w:left="1792"/>
        <w:jc w:val="both"/>
        <w:rPr>
          <w:rFonts w:hint="cs"/>
          <w:rtl/>
        </w:rPr>
      </w:pPr>
      <w:r>
        <w:rPr>
          <w:rFonts w:hint="cs"/>
          <w:u w:val="single"/>
          <w:rtl/>
        </w:rPr>
        <w:t>المصدر</w:t>
      </w:r>
      <w:r>
        <w:rPr>
          <w:rFonts w:hint="cs"/>
          <w:rtl/>
        </w:rPr>
        <w:t>: وزارة الزراعة والثروة الحيوانية، موازين الأغذية.</w:t>
      </w:r>
    </w:p>
    <w:p w:rsidR="00000000" w:rsidRDefault="00567B15">
      <w:pPr>
        <w:spacing w:line="380" w:lineRule="exact"/>
        <w:jc w:val="both"/>
        <w:rPr>
          <w:rFonts w:hint="cs"/>
          <w:rtl/>
        </w:rPr>
      </w:pPr>
      <w:r>
        <w:rPr>
          <w:rFonts w:hint="cs"/>
          <w:rtl/>
        </w:rPr>
        <w:t>294-</w:t>
      </w:r>
      <w:r>
        <w:rPr>
          <w:rFonts w:hint="cs"/>
          <w:rtl/>
        </w:rPr>
        <w:tab/>
        <w:t>وفيما يتعلق بالحالة الغذائية وا</w:t>
      </w:r>
      <w:r>
        <w:rPr>
          <w:rFonts w:hint="cs"/>
          <w:rtl/>
        </w:rPr>
        <w:t>لتغذوية لسكان إكوادور، فعلى الرغم من أن إنتاج الأغذية محلياً لا يزال كافياً لتلبية الطلب الكلي، فإن المشكلة الأساسية التي ما برح السكان يعانون منها في السنوات الأخيرة هي سبل حصولهم على الغذاء، نظراً لتأثير ازدياد الفقر على المهمشين من السكان تأثيراً كبيراً</w:t>
      </w:r>
      <w:r>
        <w:rPr>
          <w:rFonts w:hint="cs"/>
          <w:rtl/>
        </w:rPr>
        <w:t xml:space="preserve"> في كل من المناطق الريفية والحضرية. وهذا ناجم عن توزيع الثروات توزيعاً غير عادل واتباع سياسة أجور غير كفوءة أدت إلى تقويض القوة الشرائية لدخول العاملين بالأجر وأجبرتهم على تعديل هيكل إنفاق الأسرة.</w:t>
      </w:r>
    </w:p>
    <w:p w:rsidR="00000000" w:rsidRDefault="00567B15">
      <w:pPr>
        <w:spacing w:line="380" w:lineRule="exact"/>
        <w:jc w:val="both"/>
        <w:rPr>
          <w:rFonts w:hint="cs"/>
          <w:spacing w:val="-2"/>
          <w:w w:val="99"/>
          <w:rtl/>
        </w:rPr>
      </w:pPr>
      <w:r>
        <w:rPr>
          <w:rFonts w:hint="cs"/>
          <w:spacing w:val="-2"/>
          <w:w w:val="99"/>
          <w:rtl/>
        </w:rPr>
        <w:t>295-</w:t>
      </w:r>
      <w:r>
        <w:rPr>
          <w:rFonts w:hint="cs"/>
          <w:spacing w:val="-2"/>
          <w:w w:val="99"/>
          <w:rtl/>
        </w:rPr>
        <w:tab/>
        <w:t>وهناك متغيرات أخرى ترتبط أيضاً ارتباطاً مباشراً بالفقر</w:t>
      </w:r>
      <w:r>
        <w:rPr>
          <w:rFonts w:hint="cs"/>
          <w:spacing w:val="-2"/>
          <w:w w:val="99"/>
          <w:rtl/>
        </w:rPr>
        <w:t>، كعدد الأطفال الزائد بالنسبة لكل أسرة وتدني مستويات التعليم والثقافة، لا سيما فيما بين الأمهات، والافتقار إلى خدمات الصرف الصحي ومياه الشرب وجمع النفايات.</w:t>
      </w:r>
    </w:p>
    <w:p w:rsidR="00000000" w:rsidRDefault="00567B15">
      <w:pPr>
        <w:spacing w:line="380" w:lineRule="exact"/>
        <w:jc w:val="both"/>
        <w:rPr>
          <w:rFonts w:hint="cs"/>
          <w:spacing w:val="0"/>
          <w:rtl/>
        </w:rPr>
      </w:pPr>
      <w:r>
        <w:rPr>
          <w:rFonts w:hint="cs"/>
          <w:spacing w:val="2"/>
          <w:rtl/>
        </w:rPr>
        <w:t>296-</w:t>
      </w:r>
      <w:r>
        <w:rPr>
          <w:rFonts w:hint="cs"/>
          <w:spacing w:val="2"/>
          <w:rtl/>
        </w:rPr>
        <w:tab/>
        <w:t>وكان الإسقاط السكاني بالنسبة لعام 1999 يبلغ 232 441 12 نسمة، منهم 317 225 5 نسمة (42</w:t>
      </w:r>
      <w:r>
        <w:rPr>
          <w:rFonts w:hint="cs"/>
          <w:rtl/>
        </w:rPr>
        <w:t xml:space="preserve"> في المائة)</w:t>
      </w:r>
      <w:r>
        <w:rPr>
          <w:rFonts w:hint="cs"/>
          <w:rtl/>
        </w:rPr>
        <w:t xml:space="preserve"> قرويون. ويعيش حوالي 78.5 في المائة من السكان دون حد الفقر. وتصل هذه النسبة في المناطق الريفية إلى نحو 90 في المائة. ويعيش في هذه المناطـق معظم السكان الأصليين والسود. وأكد التعداد السكاني السادس وتعداد </w:t>
      </w:r>
      <w:r>
        <w:rPr>
          <w:rFonts w:hint="cs"/>
          <w:spacing w:val="0"/>
          <w:rtl/>
        </w:rPr>
        <w:t>الإسكان الخامس اللذان أجريا في 21 تشرين الثاني/نوفمبر</w:t>
      </w:r>
      <w:r>
        <w:rPr>
          <w:rFonts w:hint="cs"/>
          <w:spacing w:val="0"/>
          <w:rtl/>
        </w:rPr>
        <w:t xml:space="preserve"> 2001 أن عدد سكان إكوادور كان 804 090 12 نسمة</w:t>
      </w:r>
      <w:r>
        <w:rPr>
          <w:rFonts w:hint="cs"/>
          <w:spacing w:val="0"/>
          <w:vertAlign w:val="superscript"/>
          <w:rtl/>
        </w:rPr>
        <w:t>(39)</w:t>
      </w:r>
      <w:r>
        <w:rPr>
          <w:rFonts w:hint="cs"/>
          <w:spacing w:val="0"/>
          <w:rtl/>
        </w:rPr>
        <w:t>.</w:t>
      </w:r>
    </w:p>
    <w:p w:rsidR="00000000" w:rsidRDefault="00567B15">
      <w:pPr>
        <w:spacing w:line="380" w:lineRule="exact"/>
        <w:jc w:val="both"/>
        <w:rPr>
          <w:rFonts w:hint="cs"/>
          <w:rtl/>
        </w:rPr>
      </w:pPr>
      <w:r>
        <w:rPr>
          <w:rFonts w:hint="cs"/>
          <w:rtl/>
        </w:rPr>
        <w:t>297-</w:t>
      </w:r>
      <w:r>
        <w:rPr>
          <w:rFonts w:hint="cs"/>
          <w:rtl/>
        </w:rPr>
        <w:tab/>
        <w:t>وما انفكت وزارة الصحة العامة، منذ عام 1995، تنفذ البرنامج الشامل للمغذيات الدقيقة، من خلال المعهد الوطني للعلوم والتكنولوجيا، وتأمل أن تحسن الحالة التغذوية لسكان إكوادور فيما يتعلق بالمغذيات الدقيقة (</w:t>
      </w:r>
      <w:r>
        <w:rPr>
          <w:rFonts w:hint="cs"/>
          <w:rtl/>
        </w:rPr>
        <w:t>حالات نقص اليود والحديد وفيتامين ألف). وتشير دراسات أجراها المعهد إلى أن 55 امرأة من بين كل 100 امرأة تعاني من فقر الدم بدرجة ما، وتتجلى خطورة هذا النقص بشكل خاص فيما بين سكان الأرياف المشتتين؛ إذ هناك 57 من بين كل 100 من السكان في هذه المناطق مصاب بفقر ال</w:t>
      </w:r>
      <w:r>
        <w:rPr>
          <w:rFonts w:hint="cs"/>
          <w:rtl/>
        </w:rPr>
        <w:t>دم.</w:t>
      </w:r>
    </w:p>
    <w:p w:rsidR="00000000" w:rsidRDefault="00567B15">
      <w:pPr>
        <w:spacing w:line="380" w:lineRule="exact"/>
        <w:jc w:val="both"/>
        <w:rPr>
          <w:rFonts w:hint="cs"/>
          <w:rtl/>
        </w:rPr>
      </w:pPr>
      <w:r>
        <w:rPr>
          <w:rFonts w:hint="cs"/>
          <w:rtl/>
        </w:rPr>
        <w:t>298-</w:t>
      </w:r>
      <w:r>
        <w:rPr>
          <w:rFonts w:hint="cs"/>
          <w:rtl/>
        </w:rPr>
        <w:tab/>
        <w:t>وعلى الصعيد الوطني، فإن حساب معدل الهيموغلوبين في الدم هو 12.5+/- 1.9 غ/دل، مقسماً إلى 12.9+/-2.1 غ/دل بالنسبة للرجل و12.2+/-1.7 غ/دل بالنسبة للمرأة؛ ويعاني 46.8 في المائة من الرجال و54.8 في المائة من النساء من فقر الدم. وفيما بين السود، فإن متوسط</w:t>
      </w:r>
      <w:r>
        <w:rPr>
          <w:rFonts w:hint="cs"/>
          <w:rtl/>
        </w:rPr>
        <w:t xml:space="preserve"> معدل الهيموغلوبين في الدم هو 11.7+/-2.0 غ/دل، وهو دون مستواه البالغ 12.5+/-1.5 غ/دل فيما بين الخلاسيين من السكان. وهناك 65 في المائة من السود مصابون بفقر الدم، على أن نسبة المصابين به من الخلاسيين هي 50.8 في المائة.</w:t>
      </w:r>
    </w:p>
    <w:p w:rsidR="00000000" w:rsidRDefault="00567B15">
      <w:pPr>
        <w:jc w:val="center"/>
        <w:rPr>
          <w:rFonts w:hint="cs"/>
          <w:rtl/>
        </w:rPr>
      </w:pPr>
      <w:r>
        <w:rPr>
          <w:rFonts w:hint="cs"/>
          <w:b/>
          <w:bCs/>
          <w:rtl/>
        </w:rPr>
        <w:t>قيم الهيموغلوبين وتفشي فقر الدم بحسب ال</w:t>
      </w:r>
      <w:r>
        <w:rPr>
          <w:rFonts w:hint="cs"/>
          <w:b/>
          <w:bCs/>
          <w:rtl/>
        </w:rPr>
        <w:t>جنس والفئة العرقية، إكوادور، 1997</w:t>
      </w:r>
    </w:p>
    <w:tbl>
      <w:tblPr>
        <w:bidiVisual/>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1595"/>
        <w:gridCol w:w="1595"/>
        <w:gridCol w:w="1595"/>
        <w:gridCol w:w="1595"/>
        <w:gridCol w:w="1474"/>
      </w:tblGrid>
      <w:tr w:rsidR="00567B15" w:rsidTr="00567B15">
        <w:tblPrEx>
          <w:tblCellMar>
            <w:top w:w="0" w:type="dxa"/>
            <w:bottom w:w="0" w:type="dxa"/>
          </w:tblCellMar>
        </w:tblPrEx>
        <w:trPr>
          <w:cantSplit/>
        </w:trPr>
        <w:tc>
          <w:tcPr>
            <w:tcW w:w="1497" w:type="dxa"/>
            <w:tcBorders>
              <w:bottom w:val="single" w:sz="8" w:space="0" w:color="auto"/>
            </w:tcBorders>
          </w:tcPr>
          <w:p w:rsidR="00567B15" w:rsidRDefault="00567B15">
            <w:pPr>
              <w:spacing w:before="0" w:after="0" w:line="340" w:lineRule="exact"/>
              <w:jc w:val="center"/>
              <w:rPr>
                <w:rStyle w:val="FootnoteReference"/>
                <w:sz w:val="26"/>
                <w:szCs w:val="26"/>
              </w:rPr>
            </w:pPr>
            <w:r>
              <w:rPr>
                <w:rFonts w:hint="cs"/>
                <w:sz w:val="26"/>
                <w:szCs w:val="26"/>
                <w:rtl/>
              </w:rPr>
              <w:t>المتغيرات</w:t>
            </w:r>
          </w:p>
        </w:tc>
        <w:tc>
          <w:tcPr>
            <w:tcW w:w="1595" w:type="dxa"/>
            <w:tcBorders>
              <w:bottom w:val="single" w:sz="8" w:space="0" w:color="auto"/>
            </w:tcBorders>
          </w:tcPr>
          <w:p w:rsidR="00567B15" w:rsidRDefault="00567B15">
            <w:pPr>
              <w:spacing w:before="0" w:after="0" w:line="340" w:lineRule="exact"/>
              <w:jc w:val="center"/>
              <w:rPr>
                <w:rStyle w:val="FootnoteReference"/>
                <w:sz w:val="26"/>
                <w:szCs w:val="26"/>
              </w:rPr>
            </w:pPr>
            <w:r>
              <w:rPr>
                <w:rFonts w:hint="cs"/>
                <w:sz w:val="26"/>
                <w:szCs w:val="26"/>
                <w:rtl/>
              </w:rPr>
              <w:t>مجموع العينات</w:t>
            </w:r>
          </w:p>
        </w:tc>
        <w:tc>
          <w:tcPr>
            <w:tcW w:w="3190" w:type="dxa"/>
            <w:gridSpan w:val="2"/>
            <w:tcBorders>
              <w:bottom w:val="single" w:sz="8" w:space="0" w:color="auto"/>
            </w:tcBorders>
          </w:tcPr>
          <w:p w:rsidR="00567B15" w:rsidRDefault="00567B15">
            <w:pPr>
              <w:spacing w:before="0" w:after="0" w:line="340" w:lineRule="exact"/>
              <w:jc w:val="center"/>
              <w:rPr>
                <w:rStyle w:val="FootnoteReference"/>
                <w:sz w:val="26"/>
                <w:szCs w:val="26"/>
              </w:rPr>
            </w:pPr>
            <w:r>
              <w:rPr>
                <w:rFonts w:hint="cs"/>
                <w:sz w:val="26"/>
                <w:szCs w:val="26"/>
                <w:rtl/>
              </w:rPr>
              <w:t>الهيموغلوبين</w:t>
            </w:r>
          </w:p>
        </w:tc>
        <w:tc>
          <w:tcPr>
            <w:tcW w:w="3069" w:type="dxa"/>
            <w:gridSpan w:val="2"/>
            <w:tcBorders>
              <w:bottom w:val="single" w:sz="8" w:space="0" w:color="auto"/>
            </w:tcBorders>
          </w:tcPr>
          <w:p w:rsidR="00567B15" w:rsidRDefault="00567B15">
            <w:pPr>
              <w:spacing w:before="0" w:after="0" w:line="340" w:lineRule="exact"/>
              <w:jc w:val="center"/>
              <w:rPr>
                <w:rStyle w:val="FootnoteReference"/>
                <w:rFonts w:hint="cs"/>
                <w:sz w:val="26"/>
                <w:szCs w:val="26"/>
              </w:rPr>
            </w:pPr>
            <w:r>
              <w:rPr>
                <w:rFonts w:hint="cs"/>
                <w:sz w:val="26"/>
                <w:szCs w:val="26"/>
                <w:rtl/>
              </w:rPr>
              <w:t>فقر الدم</w:t>
            </w:r>
          </w:p>
        </w:tc>
      </w:tr>
      <w:tr w:rsidR="00567B15" w:rsidTr="00567B15">
        <w:tblPrEx>
          <w:tblCellMar>
            <w:top w:w="0" w:type="dxa"/>
            <w:bottom w:w="0" w:type="dxa"/>
          </w:tblCellMar>
        </w:tblPrEx>
        <w:tc>
          <w:tcPr>
            <w:tcW w:w="1497"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340" w:lineRule="exact"/>
              <w:jc w:val="center"/>
              <w:rPr>
                <w:rStyle w:val="FootnoteReference"/>
                <w:rFonts w:hint="cs"/>
                <w:bCs w:val="0"/>
                <w:sz w:val="26"/>
                <w:szCs w:val="26"/>
                <w:vertAlign w:val="baseline"/>
              </w:rPr>
            </w:pP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340" w:lineRule="exact"/>
              <w:jc w:val="center"/>
              <w:rPr>
                <w:rStyle w:val="FootnoteReference"/>
                <w:rFonts w:hint="cs"/>
                <w:bCs w:val="0"/>
                <w:sz w:val="26"/>
                <w:szCs w:val="26"/>
                <w:vertAlign w:val="baseline"/>
              </w:rPr>
            </w:pP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المتوسط</w:t>
            </w: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الانحراف المعياري</w:t>
            </w: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العدد</w:t>
            </w:r>
          </w:p>
        </w:tc>
        <w:tc>
          <w:tcPr>
            <w:tcW w:w="1474"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النسبة المئوية</w:t>
            </w:r>
          </w:p>
        </w:tc>
      </w:tr>
      <w:tr w:rsidR="00567B15" w:rsidTr="00567B15">
        <w:tblPrEx>
          <w:tblCellMar>
            <w:top w:w="0" w:type="dxa"/>
            <w:bottom w:w="0" w:type="dxa"/>
          </w:tblCellMar>
        </w:tblPrEx>
        <w:tc>
          <w:tcPr>
            <w:tcW w:w="1497" w:type="dxa"/>
            <w:tcBorders>
              <w:top w:val="single" w:sz="4" w:space="0" w:color="auto"/>
              <w:bottom w:val="nil"/>
              <w:right w:val="single" w:sz="4" w:space="0" w:color="auto"/>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الجنس</w:t>
            </w: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340" w:lineRule="exact"/>
              <w:ind w:firstLine="379"/>
              <w:jc w:val="both"/>
              <w:rPr>
                <w:rStyle w:val="FootnoteReference"/>
                <w:rFonts w:hint="cs"/>
                <w:bCs w:val="0"/>
                <w:sz w:val="26"/>
                <w:szCs w:val="26"/>
                <w:vertAlign w:val="baseline"/>
              </w:rPr>
            </w:pP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340" w:lineRule="exact"/>
              <w:ind w:firstLine="454"/>
              <w:jc w:val="both"/>
              <w:rPr>
                <w:rStyle w:val="FootnoteReference"/>
                <w:rFonts w:hint="cs"/>
                <w:bCs w:val="0"/>
                <w:sz w:val="26"/>
                <w:szCs w:val="26"/>
                <w:vertAlign w:val="baseline"/>
              </w:rPr>
            </w:pPr>
          </w:p>
        </w:tc>
        <w:tc>
          <w:tcPr>
            <w:tcW w:w="1474" w:type="dxa"/>
            <w:tcBorders>
              <w:top w:val="single" w:sz="4" w:space="0" w:color="auto"/>
              <w:left w:val="single" w:sz="4" w:space="0" w:color="auto"/>
              <w:bottom w:val="nil"/>
            </w:tcBorders>
          </w:tcPr>
          <w:p w:rsidR="00567B15" w:rsidRDefault="00567B15">
            <w:pPr>
              <w:spacing w:before="0" w:after="0" w:line="340" w:lineRule="exact"/>
              <w:ind w:firstLine="299"/>
              <w:jc w:val="both"/>
              <w:rPr>
                <w:rStyle w:val="FootnoteReference"/>
                <w:rFonts w:hint="cs"/>
                <w:bCs w:val="0"/>
                <w:sz w:val="26"/>
                <w:szCs w:val="26"/>
                <w:vertAlign w:val="baseline"/>
              </w:rPr>
            </w:pPr>
          </w:p>
        </w:tc>
      </w:tr>
      <w:tr w:rsidR="00567B15" w:rsidTr="00567B15">
        <w:tblPrEx>
          <w:tblCellMar>
            <w:top w:w="0" w:type="dxa"/>
            <w:bottom w:w="0" w:type="dxa"/>
          </w:tblCellMar>
        </w:tblPrEx>
        <w:tc>
          <w:tcPr>
            <w:tcW w:w="1497"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الذكور</w:t>
            </w:r>
          </w:p>
        </w:tc>
        <w:tc>
          <w:tcPr>
            <w:tcW w:w="1595" w:type="dxa"/>
            <w:tcBorders>
              <w:top w:val="nil"/>
              <w:bottom w:val="nil"/>
            </w:tcBorders>
          </w:tcPr>
          <w:p w:rsidR="00567B15" w:rsidRDefault="00567B15">
            <w:pPr>
              <w:spacing w:before="0" w:after="0" w:line="340" w:lineRule="exact"/>
              <w:ind w:firstLine="379"/>
              <w:jc w:val="both"/>
              <w:rPr>
                <w:rStyle w:val="FootnoteReference"/>
                <w:rFonts w:hint="cs"/>
                <w:bCs w:val="0"/>
                <w:sz w:val="26"/>
                <w:szCs w:val="26"/>
                <w:vertAlign w:val="baseline"/>
              </w:rPr>
            </w:pPr>
            <w:r>
              <w:rPr>
                <w:rFonts w:hint="cs"/>
                <w:sz w:val="26"/>
                <w:szCs w:val="26"/>
                <w:rtl/>
              </w:rPr>
              <w:t>271 3</w:t>
            </w:r>
          </w:p>
        </w:tc>
        <w:tc>
          <w:tcPr>
            <w:tcW w:w="159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12.9</w:t>
            </w:r>
          </w:p>
        </w:tc>
        <w:tc>
          <w:tcPr>
            <w:tcW w:w="159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2.1</w:t>
            </w:r>
          </w:p>
        </w:tc>
        <w:tc>
          <w:tcPr>
            <w:tcW w:w="1595" w:type="dxa"/>
            <w:tcBorders>
              <w:top w:val="nil"/>
              <w:bottom w:val="nil"/>
            </w:tcBorders>
          </w:tcPr>
          <w:p w:rsidR="00567B15" w:rsidRDefault="00567B15">
            <w:pPr>
              <w:spacing w:before="0" w:after="0" w:line="340" w:lineRule="exact"/>
              <w:ind w:firstLine="454"/>
              <w:jc w:val="both"/>
              <w:rPr>
                <w:rStyle w:val="FootnoteReference"/>
                <w:rFonts w:hint="cs"/>
                <w:bCs w:val="0"/>
                <w:sz w:val="26"/>
                <w:szCs w:val="26"/>
                <w:vertAlign w:val="baseline"/>
              </w:rPr>
            </w:pPr>
            <w:r>
              <w:rPr>
                <w:rFonts w:hint="cs"/>
                <w:sz w:val="26"/>
                <w:szCs w:val="26"/>
                <w:rtl/>
              </w:rPr>
              <w:t>530 1</w:t>
            </w:r>
          </w:p>
        </w:tc>
        <w:tc>
          <w:tcPr>
            <w:tcW w:w="1474" w:type="dxa"/>
            <w:tcBorders>
              <w:top w:val="nil"/>
              <w:bottom w:val="nil"/>
            </w:tcBorders>
          </w:tcPr>
          <w:p w:rsidR="00567B15" w:rsidRDefault="00567B15">
            <w:pPr>
              <w:spacing w:before="0" w:after="0" w:line="340" w:lineRule="exact"/>
              <w:ind w:firstLine="299"/>
              <w:jc w:val="both"/>
              <w:rPr>
                <w:rStyle w:val="FootnoteReference"/>
                <w:rFonts w:hint="cs"/>
                <w:bCs w:val="0"/>
                <w:sz w:val="26"/>
                <w:szCs w:val="26"/>
                <w:vertAlign w:val="baseline"/>
              </w:rPr>
            </w:pPr>
            <w:r>
              <w:rPr>
                <w:rFonts w:hint="cs"/>
                <w:sz w:val="26"/>
                <w:szCs w:val="26"/>
                <w:rtl/>
              </w:rPr>
              <w:t>46.8</w:t>
            </w:r>
          </w:p>
        </w:tc>
      </w:tr>
      <w:tr w:rsidR="00567B15" w:rsidTr="00567B15">
        <w:tblPrEx>
          <w:tblCellMar>
            <w:top w:w="0" w:type="dxa"/>
            <w:bottom w:w="0" w:type="dxa"/>
          </w:tblCellMar>
        </w:tblPrEx>
        <w:tc>
          <w:tcPr>
            <w:tcW w:w="1497"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الإناث</w:t>
            </w:r>
          </w:p>
        </w:tc>
        <w:tc>
          <w:tcPr>
            <w:tcW w:w="1595" w:type="dxa"/>
            <w:tcBorders>
              <w:top w:val="nil"/>
              <w:bottom w:val="nil"/>
            </w:tcBorders>
          </w:tcPr>
          <w:p w:rsidR="00567B15" w:rsidRDefault="00567B15">
            <w:pPr>
              <w:spacing w:before="0" w:after="0" w:line="340" w:lineRule="exact"/>
              <w:ind w:firstLine="379"/>
              <w:jc w:val="both"/>
              <w:rPr>
                <w:rStyle w:val="FootnoteReference"/>
                <w:rFonts w:hint="cs"/>
                <w:bCs w:val="0"/>
                <w:sz w:val="26"/>
                <w:szCs w:val="26"/>
                <w:vertAlign w:val="baseline"/>
              </w:rPr>
            </w:pPr>
            <w:r>
              <w:rPr>
                <w:rFonts w:hint="cs"/>
                <w:sz w:val="26"/>
                <w:szCs w:val="26"/>
                <w:rtl/>
              </w:rPr>
              <w:t>326 4</w:t>
            </w:r>
          </w:p>
        </w:tc>
        <w:tc>
          <w:tcPr>
            <w:tcW w:w="159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12.2</w:t>
            </w:r>
          </w:p>
        </w:tc>
        <w:tc>
          <w:tcPr>
            <w:tcW w:w="159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1.7</w:t>
            </w:r>
          </w:p>
        </w:tc>
        <w:tc>
          <w:tcPr>
            <w:tcW w:w="1595" w:type="dxa"/>
            <w:tcBorders>
              <w:top w:val="nil"/>
              <w:bottom w:val="nil"/>
            </w:tcBorders>
          </w:tcPr>
          <w:p w:rsidR="00567B15" w:rsidRDefault="00567B15">
            <w:pPr>
              <w:spacing w:before="0" w:after="0" w:line="340" w:lineRule="exact"/>
              <w:ind w:firstLine="454"/>
              <w:jc w:val="both"/>
              <w:rPr>
                <w:rStyle w:val="FootnoteReference"/>
                <w:rFonts w:hint="cs"/>
                <w:bCs w:val="0"/>
                <w:sz w:val="26"/>
                <w:szCs w:val="26"/>
                <w:vertAlign w:val="baseline"/>
              </w:rPr>
            </w:pPr>
            <w:r>
              <w:rPr>
                <w:rFonts w:hint="cs"/>
                <w:sz w:val="26"/>
                <w:szCs w:val="26"/>
                <w:rtl/>
              </w:rPr>
              <w:t>370 2</w:t>
            </w:r>
          </w:p>
        </w:tc>
        <w:tc>
          <w:tcPr>
            <w:tcW w:w="1474" w:type="dxa"/>
            <w:tcBorders>
              <w:top w:val="nil"/>
              <w:bottom w:val="nil"/>
            </w:tcBorders>
          </w:tcPr>
          <w:p w:rsidR="00567B15" w:rsidRDefault="00567B15">
            <w:pPr>
              <w:spacing w:before="0" w:after="0" w:line="340" w:lineRule="exact"/>
              <w:ind w:firstLine="299"/>
              <w:jc w:val="both"/>
              <w:rPr>
                <w:rStyle w:val="FootnoteReference"/>
                <w:rFonts w:hint="cs"/>
                <w:bCs w:val="0"/>
                <w:sz w:val="26"/>
                <w:szCs w:val="26"/>
                <w:vertAlign w:val="baseline"/>
              </w:rPr>
            </w:pPr>
            <w:r>
              <w:rPr>
                <w:rFonts w:hint="cs"/>
                <w:sz w:val="26"/>
                <w:szCs w:val="26"/>
                <w:rtl/>
              </w:rPr>
              <w:t>54.8</w:t>
            </w:r>
          </w:p>
        </w:tc>
      </w:tr>
      <w:tr w:rsidR="00567B15" w:rsidTr="00567B15">
        <w:tblPrEx>
          <w:tblCellMar>
            <w:top w:w="0" w:type="dxa"/>
            <w:bottom w:w="0" w:type="dxa"/>
          </w:tblCellMar>
        </w:tblPrEx>
        <w:tc>
          <w:tcPr>
            <w:tcW w:w="1497" w:type="dxa"/>
            <w:tcBorders>
              <w:top w:val="nil"/>
              <w:bottom w:val="nil"/>
              <w:right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الفئة العرقية</w:t>
            </w:r>
          </w:p>
        </w:tc>
        <w:tc>
          <w:tcPr>
            <w:tcW w:w="1595" w:type="dxa"/>
            <w:tcBorders>
              <w:top w:val="nil"/>
              <w:left w:val="single" w:sz="4" w:space="0" w:color="auto"/>
              <w:bottom w:val="nil"/>
              <w:right w:val="single" w:sz="4" w:space="0" w:color="auto"/>
            </w:tcBorders>
          </w:tcPr>
          <w:p w:rsidR="00567B15" w:rsidRDefault="00567B15">
            <w:pPr>
              <w:spacing w:before="0" w:after="0" w:line="340" w:lineRule="exact"/>
              <w:ind w:firstLine="379"/>
              <w:jc w:val="both"/>
              <w:rPr>
                <w:rFonts w:hint="cs"/>
                <w:sz w:val="26"/>
                <w:szCs w:val="26"/>
                <w:rtl/>
              </w:rPr>
            </w:pPr>
          </w:p>
        </w:tc>
        <w:tc>
          <w:tcPr>
            <w:tcW w:w="1595" w:type="dxa"/>
            <w:tcBorders>
              <w:top w:val="nil"/>
              <w:left w:val="single" w:sz="4" w:space="0" w:color="auto"/>
              <w:bottom w:val="nil"/>
              <w:right w:val="single" w:sz="4" w:space="0" w:color="auto"/>
            </w:tcBorders>
          </w:tcPr>
          <w:p w:rsidR="00567B15" w:rsidRDefault="00567B15">
            <w:pPr>
              <w:spacing w:before="0" w:after="0" w:line="340" w:lineRule="exact"/>
              <w:jc w:val="center"/>
              <w:rPr>
                <w:rFonts w:hint="cs"/>
                <w:sz w:val="26"/>
                <w:szCs w:val="26"/>
                <w:rtl/>
              </w:rPr>
            </w:pPr>
          </w:p>
        </w:tc>
        <w:tc>
          <w:tcPr>
            <w:tcW w:w="1595" w:type="dxa"/>
            <w:tcBorders>
              <w:top w:val="nil"/>
              <w:left w:val="single" w:sz="4" w:space="0" w:color="auto"/>
              <w:bottom w:val="nil"/>
              <w:right w:val="single" w:sz="4" w:space="0" w:color="auto"/>
            </w:tcBorders>
          </w:tcPr>
          <w:p w:rsidR="00567B15" w:rsidRDefault="00567B15">
            <w:pPr>
              <w:spacing w:before="0" w:after="0" w:line="340" w:lineRule="exact"/>
              <w:jc w:val="center"/>
              <w:rPr>
                <w:rFonts w:hint="cs"/>
                <w:sz w:val="26"/>
                <w:szCs w:val="26"/>
                <w:rtl/>
              </w:rPr>
            </w:pPr>
          </w:p>
        </w:tc>
        <w:tc>
          <w:tcPr>
            <w:tcW w:w="1595" w:type="dxa"/>
            <w:tcBorders>
              <w:top w:val="nil"/>
              <w:left w:val="single" w:sz="4" w:space="0" w:color="auto"/>
              <w:bottom w:val="nil"/>
              <w:right w:val="single" w:sz="4" w:space="0" w:color="auto"/>
            </w:tcBorders>
          </w:tcPr>
          <w:p w:rsidR="00567B15" w:rsidRDefault="00567B15">
            <w:pPr>
              <w:spacing w:before="0" w:after="0" w:line="340" w:lineRule="exact"/>
              <w:ind w:firstLine="454"/>
              <w:jc w:val="both"/>
              <w:rPr>
                <w:rFonts w:hint="cs"/>
                <w:sz w:val="26"/>
                <w:szCs w:val="26"/>
                <w:rtl/>
              </w:rPr>
            </w:pPr>
          </w:p>
        </w:tc>
        <w:tc>
          <w:tcPr>
            <w:tcW w:w="1474" w:type="dxa"/>
            <w:tcBorders>
              <w:top w:val="nil"/>
              <w:left w:val="single" w:sz="4" w:space="0" w:color="auto"/>
              <w:bottom w:val="nil"/>
            </w:tcBorders>
          </w:tcPr>
          <w:p w:rsidR="00567B15" w:rsidRDefault="00567B15">
            <w:pPr>
              <w:spacing w:before="0" w:after="0" w:line="340" w:lineRule="exact"/>
              <w:ind w:firstLine="299"/>
              <w:jc w:val="both"/>
              <w:rPr>
                <w:rFonts w:hint="cs"/>
                <w:sz w:val="26"/>
                <w:szCs w:val="26"/>
                <w:rtl/>
              </w:rPr>
            </w:pPr>
          </w:p>
        </w:tc>
      </w:tr>
      <w:tr w:rsidR="00567B15" w:rsidTr="00567B15">
        <w:tblPrEx>
          <w:tblCellMar>
            <w:top w:w="0" w:type="dxa"/>
            <w:bottom w:w="0" w:type="dxa"/>
          </w:tblCellMar>
        </w:tblPrEx>
        <w:tc>
          <w:tcPr>
            <w:tcW w:w="1497"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السود</w:t>
            </w:r>
          </w:p>
        </w:tc>
        <w:tc>
          <w:tcPr>
            <w:tcW w:w="1595" w:type="dxa"/>
            <w:tcBorders>
              <w:top w:val="nil"/>
              <w:bottom w:val="nil"/>
            </w:tcBorders>
          </w:tcPr>
          <w:p w:rsidR="00567B15" w:rsidRDefault="00567B15">
            <w:pPr>
              <w:spacing w:before="0" w:after="0" w:line="340" w:lineRule="exact"/>
              <w:ind w:firstLine="379"/>
              <w:jc w:val="both"/>
              <w:rPr>
                <w:rStyle w:val="FootnoteReference"/>
                <w:rFonts w:hint="cs"/>
                <w:bCs w:val="0"/>
                <w:sz w:val="26"/>
                <w:szCs w:val="26"/>
                <w:vertAlign w:val="baseline"/>
              </w:rPr>
            </w:pPr>
            <w:r>
              <w:rPr>
                <w:rFonts w:hint="cs"/>
                <w:sz w:val="26"/>
                <w:szCs w:val="26"/>
                <w:rtl/>
              </w:rPr>
              <w:t>275</w:t>
            </w:r>
          </w:p>
        </w:tc>
        <w:tc>
          <w:tcPr>
            <w:tcW w:w="159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11.7</w:t>
            </w:r>
          </w:p>
        </w:tc>
        <w:tc>
          <w:tcPr>
            <w:tcW w:w="1595" w:type="dxa"/>
            <w:tcBorders>
              <w:top w:val="nil"/>
              <w:bottom w:val="nil"/>
            </w:tcBorders>
          </w:tcPr>
          <w:p w:rsidR="00567B15" w:rsidRDefault="00567B15">
            <w:pPr>
              <w:spacing w:before="0" w:after="0" w:line="340" w:lineRule="exact"/>
              <w:ind w:left="69" w:firstLine="490"/>
              <w:jc w:val="both"/>
              <w:rPr>
                <w:rStyle w:val="FootnoteReference"/>
                <w:rFonts w:hint="cs"/>
                <w:bCs w:val="0"/>
                <w:sz w:val="26"/>
                <w:szCs w:val="26"/>
                <w:vertAlign w:val="baseline"/>
              </w:rPr>
            </w:pPr>
            <w:r>
              <w:rPr>
                <w:rFonts w:hint="cs"/>
                <w:sz w:val="26"/>
                <w:szCs w:val="26"/>
                <w:rtl/>
              </w:rPr>
              <w:t>2</w:t>
            </w:r>
          </w:p>
        </w:tc>
        <w:tc>
          <w:tcPr>
            <w:tcW w:w="1595" w:type="dxa"/>
            <w:tcBorders>
              <w:top w:val="nil"/>
              <w:bottom w:val="nil"/>
            </w:tcBorders>
          </w:tcPr>
          <w:p w:rsidR="00567B15" w:rsidRDefault="00567B15">
            <w:pPr>
              <w:spacing w:before="0" w:after="0" w:line="340" w:lineRule="exact"/>
              <w:ind w:firstLine="454"/>
              <w:jc w:val="both"/>
              <w:rPr>
                <w:rStyle w:val="FootnoteReference"/>
                <w:rFonts w:hint="cs"/>
                <w:bCs w:val="0"/>
                <w:sz w:val="26"/>
                <w:szCs w:val="26"/>
                <w:vertAlign w:val="baseline"/>
              </w:rPr>
            </w:pPr>
            <w:r>
              <w:rPr>
                <w:rFonts w:hint="cs"/>
                <w:sz w:val="26"/>
                <w:szCs w:val="26"/>
                <w:rtl/>
              </w:rPr>
              <w:t>180</w:t>
            </w:r>
          </w:p>
        </w:tc>
        <w:tc>
          <w:tcPr>
            <w:tcW w:w="1474" w:type="dxa"/>
            <w:tcBorders>
              <w:top w:val="nil"/>
              <w:bottom w:val="nil"/>
            </w:tcBorders>
          </w:tcPr>
          <w:p w:rsidR="00567B15" w:rsidRDefault="00567B15">
            <w:pPr>
              <w:spacing w:before="0" w:after="0" w:line="340" w:lineRule="exact"/>
              <w:ind w:firstLine="299"/>
              <w:jc w:val="both"/>
              <w:rPr>
                <w:rStyle w:val="FootnoteReference"/>
                <w:rFonts w:hint="cs"/>
                <w:bCs w:val="0"/>
                <w:sz w:val="26"/>
                <w:szCs w:val="26"/>
                <w:vertAlign w:val="baseline"/>
              </w:rPr>
            </w:pPr>
            <w:r>
              <w:rPr>
                <w:rFonts w:hint="cs"/>
                <w:sz w:val="26"/>
                <w:szCs w:val="26"/>
                <w:rtl/>
              </w:rPr>
              <w:t>65.5</w:t>
            </w:r>
          </w:p>
        </w:tc>
      </w:tr>
      <w:tr w:rsidR="00567B15" w:rsidTr="00567B15">
        <w:tblPrEx>
          <w:tblCellMar>
            <w:top w:w="0" w:type="dxa"/>
            <w:bottom w:w="0" w:type="dxa"/>
          </w:tblCellMar>
        </w:tblPrEx>
        <w:tc>
          <w:tcPr>
            <w:tcW w:w="1497" w:type="dxa"/>
            <w:tcBorders>
              <w:top w:val="nil"/>
            </w:tcBorders>
          </w:tcPr>
          <w:p w:rsidR="00567B15" w:rsidRDefault="00567B15">
            <w:pPr>
              <w:spacing w:before="0" w:after="0" w:line="340" w:lineRule="exact"/>
              <w:jc w:val="both"/>
              <w:rPr>
                <w:rFonts w:hint="cs"/>
                <w:sz w:val="26"/>
                <w:szCs w:val="26"/>
                <w:rtl/>
              </w:rPr>
            </w:pPr>
            <w:r>
              <w:rPr>
                <w:rFonts w:hint="cs"/>
                <w:sz w:val="26"/>
                <w:szCs w:val="26"/>
                <w:rtl/>
              </w:rPr>
              <w:t>غير السود</w:t>
            </w:r>
          </w:p>
        </w:tc>
        <w:tc>
          <w:tcPr>
            <w:tcW w:w="1595" w:type="dxa"/>
            <w:tcBorders>
              <w:top w:val="nil"/>
            </w:tcBorders>
          </w:tcPr>
          <w:p w:rsidR="00567B15" w:rsidRDefault="00567B15">
            <w:pPr>
              <w:spacing w:before="0" w:after="0" w:line="340" w:lineRule="exact"/>
              <w:ind w:firstLine="379"/>
              <w:jc w:val="both"/>
              <w:rPr>
                <w:rStyle w:val="FootnoteReference"/>
                <w:rFonts w:hint="cs"/>
                <w:bCs w:val="0"/>
                <w:sz w:val="26"/>
                <w:szCs w:val="26"/>
                <w:vertAlign w:val="baseline"/>
              </w:rPr>
            </w:pPr>
            <w:r>
              <w:rPr>
                <w:rFonts w:hint="cs"/>
                <w:sz w:val="26"/>
                <w:szCs w:val="26"/>
                <w:rtl/>
              </w:rPr>
              <w:t>322 7</w:t>
            </w:r>
          </w:p>
        </w:tc>
        <w:tc>
          <w:tcPr>
            <w:tcW w:w="1595" w:type="dxa"/>
            <w:tcBorders>
              <w:top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12.5</w:t>
            </w:r>
          </w:p>
        </w:tc>
        <w:tc>
          <w:tcPr>
            <w:tcW w:w="1595" w:type="dxa"/>
            <w:tcBorders>
              <w:top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1.9</w:t>
            </w:r>
          </w:p>
        </w:tc>
        <w:tc>
          <w:tcPr>
            <w:tcW w:w="1595" w:type="dxa"/>
            <w:tcBorders>
              <w:top w:val="nil"/>
            </w:tcBorders>
          </w:tcPr>
          <w:p w:rsidR="00567B15" w:rsidRDefault="00567B15">
            <w:pPr>
              <w:spacing w:before="0" w:after="0" w:line="340" w:lineRule="exact"/>
              <w:ind w:firstLine="454"/>
              <w:jc w:val="both"/>
              <w:rPr>
                <w:rStyle w:val="FootnoteReference"/>
                <w:rFonts w:hint="cs"/>
                <w:bCs w:val="0"/>
                <w:sz w:val="26"/>
                <w:szCs w:val="26"/>
                <w:vertAlign w:val="baseline"/>
              </w:rPr>
            </w:pPr>
            <w:r>
              <w:rPr>
                <w:rFonts w:hint="cs"/>
                <w:sz w:val="26"/>
                <w:szCs w:val="26"/>
                <w:rtl/>
              </w:rPr>
              <w:t>720 3</w:t>
            </w:r>
          </w:p>
        </w:tc>
        <w:tc>
          <w:tcPr>
            <w:tcW w:w="1474" w:type="dxa"/>
            <w:tcBorders>
              <w:top w:val="nil"/>
            </w:tcBorders>
          </w:tcPr>
          <w:p w:rsidR="00567B15" w:rsidRDefault="00567B15">
            <w:pPr>
              <w:spacing w:before="0" w:after="0" w:line="340" w:lineRule="exact"/>
              <w:ind w:firstLine="299"/>
              <w:jc w:val="both"/>
              <w:rPr>
                <w:rStyle w:val="FootnoteReference"/>
                <w:rFonts w:hint="cs"/>
                <w:bCs w:val="0"/>
                <w:sz w:val="26"/>
                <w:szCs w:val="26"/>
                <w:vertAlign w:val="baseline"/>
              </w:rPr>
            </w:pPr>
            <w:r>
              <w:rPr>
                <w:rFonts w:hint="cs"/>
                <w:sz w:val="26"/>
                <w:szCs w:val="26"/>
                <w:rtl/>
              </w:rPr>
              <w:t>50.8</w:t>
            </w:r>
          </w:p>
        </w:tc>
      </w:tr>
    </w:tbl>
    <w:p w:rsidR="00000000" w:rsidRDefault="00567B15">
      <w:pPr>
        <w:spacing w:before="120"/>
        <w:jc w:val="both"/>
        <w:rPr>
          <w:rFonts w:hint="cs"/>
          <w:rtl/>
        </w:rPr>
      </w:pPr>
      <w:r>
        <w:rPr>
          <w:rFonts w:hint="cs"/>
          <w:rtl/>
        </w:rPr>
        <w:tab/>
      </w:r>
      <w:r>
        <w:rPr>
          <w:rFonts w:hint="cs"/>
          <w:u w:val="single"/>
          <w:rtl/>
        </w:rPr>
        <w:t>المصدر</w:t>
      </w:r>
      <w:r>
        <w:rPr>
          <w:rFonts w:hint="cs"/>
          <w:rtl/>
        </w:rPr>
        <w:t>: وزارة الصحة العامة، النشرة الإعلامية رقم 3 للمعهد الوطني للعلوم والتكنولوجيا.</w:t>
      </w:r>
    </w:p>
    <w:p w:rsidR="00000000" w:rsidRDefault="00567B15">
      <w:pPr>
        <w:spacing w:line="360" w:lineRule="exact"/>
        <w:jc w:val="both"/>
        <w:rPr>
          <w:rFonts w:hint="cs"/>
          <w:b/>
          <w:bCs/>
          <w:spacing w:val="0"/>
          <w:rtl/>
        </w:rPr>
      </w:pPr>
      <w:r>
        <w:rPr>
          <w:rFonts w:hint="cs"/>
          <w:spacing w:val="0"/>
          <w:rtl/>
        </w:rPr>
        <w:t>299-</w:t>
      </w:r>
      <w:r>
        <w:rPr>
          <w:rFonts w:hint="cs"/>
          <w:spacing w:val="0"/>
          <w:rtl/>
        </w:rPr>
        <w:tab/>
        <w:t>وتتماثل مستويات معدل الهيموغلوبين في الدم عند تصنيفها بحسب مستوى التعليم. على أنه وجد أن الحاصلين على تعليم ابتدائي وثانوي وع</w:t>
      </w:r>
      <w:r>
        <w:rPr>
          <w:rFonts w:hint="cs"/>
          <w:spacing w:val="0"/>
          <w:rtl/>
        </w:rPr>
        <w:t>الٍ يتمتعون بمستويات أعلى، في معدل الهيموغلوبين في الدم. وكلما كان مستوى التعليم أعلى انخفض معدل الإصابة بفقر الدم. ووجد أن تفشي فقر الدم هو أعلى ما يكون فيما بين السكان غير المتعلمين.</w:t>
      </w:r>
    </w:p>
    <w:p w:rsidR="00000000" w:rsidRDefault="00567B15">
      <w:pPr>
        <w:spacing w:before="120" w:after="120"/>
        <w:jc w:val="center"/>
        <w:rPr>
          <w:rFonts w:hint="cs"/>
          <w:rtl/>
        </w:rPr>
      </w:pPr>
      <w:r>
        <w:rPr>
          <w:rFonts w:hint="cs"/>
          <w:b/>
          <w:bCs/>
          <w:rtl/>
        </w:rPr>
        <w:t>قيم الهيموغلوبين وتفشي فقر الدم بحسب مستوى التعليم، إكوادور 1997</w:t>
      </w:r>
    </w:p>
    <w:tbl>
      <w:tblPr>
        <w:bidiVisual/>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0"/>
        <w:gridCol w:w="1595"/>
        <w:gridCol w:w="1595"/>
        <w:gridCol w:w="1595"/>
        <w:gridCol w:w="1595"/>
        <w:gridCol w:w="1471"/>
      </w:tblGrid>
      <w:tr w:rsidR="00567B15" w:rsidTr="00567B15">
        <w:tblPrEx>
          <w:tblCellMar>
            <w:top w:w="0" w:type="dxa"/>
            <w:bottom w:w="0" w:type="dxa"/>
          </w:tblCellMar>
        </w:tblPrEx>
        <w:trPr>
          <w:cantSplit/>
        </w:trPr>
        <w:tc>
          <w:tcPr>
            <w:tcW w:w="1500" w:type="dxa"/>
            <w:tcBorders>
              <w:bottom w:val="single" w:sz="8" w:space="0" w:color="auto"/>
            </w:tcBorders>
          </w:tcPr>
          <w:p w:rsidR="00567B15" w:rsidRDefault="00567B15">
            <w:pPr>
              <w:spacing w:before="0" w:after="0" w:line="260" w:lineRule="exact"/>
              <w:jc w:val="center"/>
              <w:rPr>
                <w:rStyle w:val="FootnoteReference"/>
                <w:sz w:val="26"/>
                <w:szCs w:val="26"/>
              </w:rPr>
            </w:pPr>
            <w:r>
              <w:rPr>
                <w:rFonts w:hint="cs"/>
                <w:sz w:val="26"/>
                <w:szCs w:val="26"/>
                <w:rtl/>
              </w:rPr>
              <w:t>المتغيرات</w:t>
            </w:r>
          </w:p>
        </w:tc>
        <w:tc>
          <w:tcPr>
            <w:tcW w:w="1595" w:type="dxa"/>
            <w:tcBorders>
              <w:bottom w:val="single" w:sz="8" w:space="0" w:color="auto"/>
            </w:tcBorders>
          </w:tcPr>
          <w:p w:rsidR="00567B15" w:rsidRDefault="00567B15">
            <w:pPr>
              <w:spacing w:before="0" w:after="0" w:line="260" w:lineRule="exact"/>
              <w:jc w:val="center"/>
              <w:rPr>
                <w:rStyle w:val="FootnoteReference"/>
                <w:sz w:val="26"/>
                <w:szCs w:val="26"/>
              </w:rPr>
            </w:pPr>
            <w:r>
              <w:rPr>
                <w:rFonts w:hint="cs"/>
                <w:sz w:val="26"/>
                <w:szCs w:val="26"/>
                <w:rtl/>
              </w:rPr>
              <w:t>مجموع العينات</w:t>
            </w:r>
          </w:p>
        </w:tc>
        <w:tc>
          <w:tcPr>
            <w:tcW w:w="3190" w:type="dxa"/>
            <w:gridSpan w:val="2"/>
            <w:tcBorders>
              <w:bottom w:val="single" w:sz="8" w:space="0" w:color="auto"/>
            </w:tcBorders>
          </w:tcPr>
          <w:p w:rsidR="00567B15" w:rsidRDefault="00567B15">
            <w:pPr>
              <w:spacing w:before="0" w:after="0" w:line="260" w:lineRule="exact"/>
              <w:jc w:val="center"/>
              <w:rPr>
                <w:rStyle w:val="FootnoteReference"/>
                <w:sz w:val="26"/>
                <w:szCs w:val="26"/>
              </w:rPr>
            </w:pPr>
            <w:r>
              <w:rPr>
                <w:rFonts w:hint="cs"/>
                <w:sz w:val="26"/>
                <w:szCs w:val="26"/>
                <w:rtl/>
              </w:rPr>
              <w:t>الهيموغلوبين</w:t>
            </w:r>
          </w:p>
        </w:tc>
        <w:tc>
          <w:tcPr>
            <w:tcW w:w="3066" w:type="dxa"/>
            <w:gridSpan w:val="2"/>
            <w:tcBorders>
              <w:bottom w:val="single" w:sz="8" w:space="0" w:color="auto"/>
            </w:tcBorders>
          </w:tcPr>
          <w:p w:rsidR="00567B15" w:rsidRDefault="00567B15">
            <w:pPr>
              <w:spacing w:before="0" w:after="0" w:line="260" w:lineRule="exact"/>
              <w:jc w:val="center"/>
              <w:rPr>
                <w:rStyle w:val="FootnoteReference"/>
                <w:rFonts w:hint="cs"/>
                <w:sz w:val="26"/>
                <w:szCs w:val="26"/>
              </w:rPr>
            </w:pPr>
            <w:r>
              <w:rPr>
                <w:rFonts w:hint="cs"/>
                <w:sz w:val="26"/>
                <w:szCs w:val="26"/>
                <w:rtl/>
              </w:rPr>
              <w:t>فقر الدم</w:t>
            </w:r>
          </w:p>
        </w:tc>
      </w:tr>
      <w:tr w:rsidR="00567B15" w:rsidTr="00567B15">
        <w:tblPrEx>
          <w:tblCellMar>
            <w:top w:w="0" w:type="dxa"/>
            <w:bottom w:w="0" w:type="dxa"/>
          </w:tblCellMar>
        </w:tblPrEx>
        <w:tc>
          <w:tcPr>
            <w:tcW w:w="1500"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260" w:lineRule="exact"/>
              <w:jc w:val="both"/>
              <w:rPr>
                <w:rStyle w:val="FootnoteReference"/>
                <w:rFonts w:hint="cs"/>
                <w:bCs w:val="0"/>
                <w:sz w:val="26"/>
                <w:szCs w:val="26"/>
                <w:vertAlign w:val="baseline"/>
              </w:rPr>
            </w:pP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260" w:lineRule="exact"/>
              <w:jc w:val="both"/>
              <w:rPr>
                <w:rStyle w:val="FootnoteReference"/>
                <w:rFonts w:hint="cs"/>
                <w:bCs w:val="0"/>
                <w:sz w:val="26"/>
                <w:szCs w:val="26"/>
                <w:vertAlign w:val="baseline"/>
              </w:rPr>
            </w:pP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المعدل</w:t>
            </w: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الانحراف المعياري</w:t>
            </w:r>
          </w:p>
        </w:tc>
        <w:tc>
          <w:tcPr>
            <w:tcW w:w="1595"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العدد</w:t>
            </w:r>
          </w:p>
        </w:tc>
        <w:tc>
          <w:tcPr>
            <w:tcW w:w="1471" w:type="dxa"/>
            <w:tcBorders>
              <w:top w:val="single" w:sz="8"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النسبة المئوية</w:t>
            </w:r>
          </w:p>
        </w:tc>
      </w:tr>
      <w:tr w:rsidR="00567B15" w:rsidTr="00567B15">
        <w:tblPrEx>
          <w:tblCellMar>
            <w:top w:w="0" w:type="dxa"/>
            <w:bottom w:w="0" w:type="dxa"/>
          </w:tblCellMar>
        </w:tblPrEx>
        <w:trPr>
          <w:trHeight w:val="608"/>
        </w:trPr>
        <w:tc>
          <w:tcPr>
            <w:tcW w:w="1500" w:type="dxa"/>
            <w:tcBorders>
              <w:top w:val="single" w:sz="4" w:space="0" w:color="auto"/>
              <w:bottom w:val="nil"/>
              <w:right w:val="single" w:sz="4" w:space="0" w:color="auto"/>
            </w:tcBorders>
          </w:tcPr>
          <w:p w:rsidR="00567B15" w:rsidRDefault="00567B15">
            <w:pPr>
              <w:spacing w:before="0" w:after="0" w:line="260" w:lineRule="exact"/>
              <w:jc w:val="both"/>
              <w:rPr>
                <w:rStyle w:val="FootnoteReference"/>
                <w:rFonts w:hint="cs"/>
                <w:bCs w:val="0"/>
                <w:sz w:val="26"/>
                <w:szCs w:val="26"/>
                <w:vertAlign w:val="baseline"/>
              </w:rPr>
            </w:pPr>
            <w:r>
              <w:rPr>
                <w:rFonts w:hint="cs"/>
                <w:sz w:val="26"/>
                <w:szCs w:val="26"/>
                <w:rtl/>
              </w:rPr>
              <w:t>التعليم (سن 6 سنوات فما فوق)</w:t>
            </w: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260" w:lineRule="exact"/>
              <w:ind w:firstLine="379"/>
              <w:jc w:val="both"/>
              <w:rPr>
                <w:rStyle w:val="FootnoteReference"/>
                <w:rFonts w:hint="cs"/>
                <w:bCs w:val="0"/>
                <w:sz w:val="26"/>
                <w:szCs w:val="26"/>
                <w:vertAlign w:val="baseline"/>
              </w:rPr>
            </w:pP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260" w:lineRule="exact"/>
              <w:ind w:firstLine="404"/>
              <w:jc w:val="both"/>
              <w:rPr>
                <w:rStyle w:val="FootnoteReference"/>
                <w:rFonts w:hint="cs"/>
                <w:bCs w:val="0"/>
                <w:sz w:val="26"/>
                <w:szCs w:val="26"/>
                <w:vertAlign w:val="baseline"/>
              </w:rPr>
            </w:pP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260" w:lineRule="exact"/>
              <w:ind w:firstLine="429"/>
              <w:jc w:val="both"/>
              <w:rPr>
                <w:rStyle w:val="FootnoteReference"/>
                <w:rFonts w:hint="cs"/>
                <w:bCs w:val="0"/>
                <w:sz w:val="26"/>
                <w:szCs w:val="26"/>
                <w:vertAlign w:val="baseline"/>
              </w:rPr>
            </w:pPr>
          </w:p>
        </w:tc>
        <w:tc>
          <w:tcPr>
            <w:tcW w:w="1595" w:type="dxa"/>
            <w:tcBorders>
              <w:top w:val="single" w:sz="4" w:space="0" w:color="auto"/>
              <w:left w:val="single" w:sz="4" w:space="0" w:color="auto"/>
              <w:bottom w:val="nil"/>
              <w:right w:val="single" w:sz="4" w:space="0" w:color="auto"/>
            </w:tcBorders>
          </w:tcPr>
          <w:p w:rsidR="00567B15" w:rsidRDefault="00567B15">
            <w:pPr>
              <w:spacing w:before="0" w:after="0" w:line="260" w:lineRule="exact"/>
              <w:ind w:firstLine="454"/>
              <w:jc w:val="both"/>
              <w:rPr>
                <w:rStyle w:val="FootnoteReference"/>
                <w:rFonts w:hint="cs"/>
                <w:bCs w:val="0"/>
                <w:sz w:val="26"/>
                <w:szCs w:val="26"/>
                <w:vertAlign w:val="baseline"/>
              </w:rPr>
            </w:pPr>
          </w:p>
        </w:tc>
        <w:tc>
          <w:tcPr>
            <w:tcW w:w="1471" w:type="dxa"/>
            <w:tcBorders>
              <w:top w:val="single" w:sz="4" w:space="0" w:color="auto"/>
              <w:left w:val="single" w:sz="4" w:space="0" w:color="auto"/>
              <w:bottom w:val="nil"/>
            </w:tcBorders>
          </w:tcPr>
          <w:p w:rsidR="00567B15" w:rsidRDefault="00567B15">
            <w:pPr>
              <w:spacing w:before="0" w:after="0" w:line="260" w:lineRule="exact"/>
              <w:jc w:val="both"/>
              <w:rPr>
                <w:rStyle w:val="FootnoteReference"/>
                <w:rFonts w:hint="cs"/>
                <w:bCs w:val="0"/>
                <w:sz w:val="26"/>
                <w:szCs w:val="26"/>
                <w:vertAlign w:val="baseline"/>
              </w:rPr>
            </w:pPr>
          </w:p>
        </w:tc>
      </w:tr>
      <w:tr w:rsidR="00567B15" w:rsidTr="00567B15">
        <w:tblPrEx>
          <w:tblCellMar>
            <w:top w:w="0" w:type="dxa"/>
            <w:bottom w:w="0" w:type="dxa"/>
          </w:tblCellMar>
        </w:tblPrEx>
        <w:tc>
          <w:tcPr>
            <w:tcW w:w="1500"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لا تعليم</w:t>
            </w:r>
          </w:p>
        </w:tc>
        <w:tc>
          <w:tcPr>
            <w:tcW w:w="1595" w:type="dxa"/>
            <w:tcBorders>
              <w:top w:val="nil"/>
              <w:bottom w:val="nil"/>
            </w:tcBorders>
          </w:tcPr>
          <w:p w:rsidR="00567B15" w:rsidRDefault="00567B15">
            <w:pPr>
              <w:spacing w:before="0" w:after="0" w:line="260" w:lineRule="exact"/>
              <w:ind w:firstLine="379"/>
              <w:jc w:val="both"/>
              <w:rPr>
                <w:rStyle w:val="FootnoteReference"/>
                <w:rFonts w:hint="cs"/>
                <w:bCs w:val="0"/>
                <w:sz w:val="26"/>
                <w:szCs w:val="26"/>
                <w:vertAlign w:val="baseline"/>
              </w:rPr>
            </w:pPr>
            <w:r>
              <w:rPr>
                <w:rFonts w:hint="cs"/>
                <w:sz w:val="26"/>
                <w:szCs w:val="26"/>
                <w:rtl/>
              </w:rPr>
              <w:t>446</w:t>
            </w:r>
          </w:p>
        </w:tc>
        <w:tc>
          <w:tcPr>
            <w:tcW w:w="1595"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12.6</w:t>
            </w:r>
          </w:p>
        </w:tc>
        <w:tc>
          <w:tcPr>
            <w:tcW w:w="1595"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1.8</w:t>
            </w:r>
          </w:p>
        </w:tc>
        <w:tc>
          <w:tcPr>
            <w:tcW w:w="1595"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279</w:t>
            </w:r>
          </w:p>
        </w:tc>
        <w:tc>
          <w:tcPr>
            <w:tcW w:w="1471" w:type="dxa"/>
            <w:tcBorders>
              <w:top w:val="nil"/>
              <w:bottom w:val="nil"/>
            </w:tcBorders>
          </w:tcPr>
          <w:p w:rsidR="00567B15" w:rsidRDefault="00567B15">
            <w:pPr>
              <w:spacing w:before="0" w:after="0" w:line="260" w:lineRule="exact"/>
              <w:ind w:left="299"/>
              <w:jc w:val="both"/>
              <w:rPr>
                <w:rStyle w:val="FootnoteReference"/>
                <w:rFonts w:hint="cs"/>
                <w:bCs w:val="0"/>
                <w:sz w:val="26"/>
                <w:szCs w:val="26"/>
                <w:vertAlign w:val="baseline"/>
              </w:rPr>
            </w:pPr>
            <w:r>
              <w:rPr>
                <w:rFonts w:hint="cs"/>
                <w:sz w:val="26"/>
                <w:szCs w:val="26"/>
                <w:rtl/>
              </w:rPr>
              <w:t>62.6</w:t>
            </w:r>
          </w:p>
        </w:tc>
      </w:tr>
      <w:tr w:rsidR="00567B15" w:rsidTr="00567B15">
        <w:tblPrEx>
          <w:tblCellMar>
            <w:top w:w="0" w:type="dxa"/>
            <w:bottom w:w="0" w:type="dxa"/>
          </w:tblCellMar>
        </w:tblPrEx>
        <w:tc>
          <w:tcPr>
            <w:tcW w:w="1500"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الابتدائي</w:t>
            </w:r>
          </w:p>
        </w:tc>
        <w:tc>
          <w:tcPr>
            <w:tcW w:w="1595" w:type="dxa"/>
            <w:tcBorders>
              <w:top w:val="nil"/>
              <w:bottom w:val="nil"/>
            </w:tcBorders>
          </w:tcPr>
          <w:p w:rsidR="00567B15" w:rsidRDefault="00567B15">
            <w:pPr>
              <w:spacing w:before="0" w:after="0" w:line="260" w:lineRule="exact"/>
              <w:ind w:firstLine="379"/>
              <w:jc w:val="both"/>
              <w:rPr>
                <w:rStyle w:val="FootnoteReference"/>
                <w:rFonts w:hint="cs"/>
                <w:bCs w:val="0"/>
                <w:sz w:val="26"/>
                <w:szCs w:val="26"/>
                <w:vertAlign w:val="baseline"/>
              </w:rPr>
            </w:pPr>
            <w:r>
              <w:rPr>
                <w:rFonts w:hint="cs"/>
                <w:sz w:val="26"/>
                <w:szCs w:val="26"/>
                <w:rtl/>
              </w:rPr>
              <w:t>301 3</w:t>
            </w:r>
          </w:p>
        </w:tc>
        <w:tc>
          <w:tcPr>
            <w:tcW w:w="1595"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12.7</w:t>
            </w:r>
          </w:p>
        </w:tc>
        <w:tc>
          <w:tcPr>
            <w:tcW w:w="1595"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1.7</w:t>
            </w:r>
          </w:p>
        </w:tc>
        <w:tc>
          <w:tcPr>
            <w:tcW w:w="1595"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748</w:t>
            </w:r>
          </w:p>
        </w:tc>
        <w:tc>
          <w:tcPr>
            <w:tcW w:w="1471" w:type="dxa"/>
            <w:tcBorders>
              <w:top w:val="nil"/>
              <w:bottom w:val="nil"/>
            </w:tcBorders>
          </w:tcPr>
          <w:p w:rsidR="00567B15" w:rsidRDefault="00567B15">
            <w:pPr>
              <w:spacing w:before="0" w:after="0" w:line="260" w:lineRule="exact"/>
              <w:ind w:left="299"/>
              <w:jc w:val="both"/>
              <w:rPr>
                <w:rStyle w:val="FootnoteReference"/>
                <w:rFonts w:hint="cs"/>
                <w:bCs w:val="0"/>
                <w:sz w:val="26"/>
                <w:szCs w:val="26"/>
                <w:vertAlign w:val="baseline"/>
              </w:rPr>
            </w:pPr>
            <w:r>
              <w:rPr>
                <w:rFonts w:hint="cs"/>
                <w:sz w:val="26"/>
                <w:szCs w:val="26"/>
                <w:rtl/>
              </w:rPr>
              <w:t>53.0</w:t>
            </w:r>
          </w:p>
        </w:tc>
      </w:tr>
      <w:tr w:rsidR="00567B15" w:rsidTr="00567B15">
        <w:tblPrEx>
          <w:tblCellMar>
            <w:top w:w="0" w:type="dxa"/>
            <w:bottom w:w="0" w:type="dxa"/>
          </w:tblCellMar>
        </w:tblPrEx>
        <w:tc>
          <w:tcPr>
            <w:tcW w:w="1500"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الثانوي</w:t>
            </w:r>
          </w:p>
        </w:tc>
        <w:tc>
          <w:tcPr>
            <w:tcW w:w="1595" w:type="dxa"/>
            <w:tcBorders>
              <w:top w:val="nil"/>
              <w:bottom w:val="nil"/>
            </w:tcBorders>
          </w:tcPr>
          <w:p w:rsidR="00567B15" w:rsidRDefault="00567B15">
            <w:pPr>
              <w:spacing w:before="0" w:after="0" w:line="260" w:lineRule="exact"/>
              <w:ind w:firstLine="379"/>
              <w:jc w:val="both"/>
              <w:rPr>
                <w:rStyle w:val="FootnoteReference"/>
                <w:rFonts w:hint="cs"/>
                <w:bCs w:val="0"/>
                <w:sz w:val="26"/>
                <w:szCs w:val="26"/>
                <w:vertAlign w:val="baseline"/>
              </w:rPr>
            </w:pPr>
            <w:r>
              <w:rPr>
                <w:rFonts w:hint="cs"/>
                <w:sz w:val="26"/>
                <w:szCs w:val="26"/>
                <w:rtl/>
              </w:rPr>
              <w:t>678 1</w:t>
            </w:r>
          </w:p>
        </w:tc>
        <w:tc>
          <w:tcPr>
            <w:tcW w:w="1595"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13.1</w:t>
            </w:r>
          </w:p>
        </w:tc>
        <w:tc>
          <w:tcPr>
            <w:tcW w:w="1595"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1.8</w:t>
            </w:r>
          </w:p>
        </w:tc>
        <w:tc>
          <w:tcPr>
            <w:tcW w:w="1595"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689</w:t>
            </w:r>
          </w:p>
        </w:tc>
        <w:tc>
          <w:tcPr>
            <w:tcW w:w="1471" w:type="dxa"/>
            <w:tcBorders>
              <w:top w:val="nil"/>
              <w:bottom w:val="nil"/>
            </w:tcBorders>
          </w:tcPr>
          <w:p w:rsidR="00567B15" w:rsidRDefault="00567B15">
            <w:pPr>
              <w:spacing w:before="0" w:after="0" w:line="260" w:lineRule="exact"/>
              <w:ind w:left="299"/>
              <w:jc w:val="both"/>
              <w:rPr>
                <w:rStyle w:val="FootnoteReference"/>
                <w:rFonts w:hint="cs"/>
                <w:bCs w:val="0"/>
                <w:sz w:val="26"/>
                <w:szCs w:val="26"/>
                <w:vertAlign w:val="baseline"/>
              </w:rPr>
            </w:pPr>
            <w:r>
              <w:rPr>
                <w:rFonts w:hint="cs"/>
                <w:sz w:val="26"/>
                <w:szCs w:val="26"/>
                <w:rtl/>
              </w:rPr>
              <w:t>41.1</w:t>
            </w:r>
          </w:p>
        </w:tc>
      </w:tr>
      <w:tr w:rsidR="00567B15" w:rsidTr="00567B15">
        <w:tblPrEx>
          <w:tblCellMar>
            <w:top w:w="0" w:type="dxa"/>
            <w:bottom w:w="0" w:type="dxa"/>
          </w:tblCellMar>
        </w:tblPrEx>
        <w:tc>
          <w:tcPr>
            <w:tcW w:w="1500"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العالي</w:t>
            </w:r>
          </w:p>
        </w:tc>
        <w:tc>
          <w:tcPr>
            <w:tcW w:w="1595" w:type="dxa"/>
            <w:tcBorders>
              <w:top w:val="nil"/>
              <w:bottom w:val="nil"/>
            </w:tcBorders>
          </w:tcPr>
          <w:p w:rsidR="00567B15" w:rsidRDefault="00567B15">
            <w:pPr>
              <w:spacing w:before="0" w:after="0" w:line="260" w:lineRule="exact"/>
              <w:ind w:firstLine="379"/>
              <w:jc w:val="both"/>
              <w:rPr>
                <w:rStyle w:val="FootnoteReference"/>
                <w:rFonts w:hint="cs"/>
                <w:bCs w:val="0"/>
                <w:sz w:val="26"/>
                <w:szCs w:val="26"/>
                <w:vertAlign w:val="baseline"/>
              </w:rPr>
            </w:pPr>
            <w:r>
              <w:rPr>
                <w:rFonts w:hint="cs"/>
                <w:sz w:val="26"/>
                <w:szCs w:val="26"/>
                <w:rtl/>
              </w:rPr>
              <w:t>436</w:t>
            </w:r>
          </w:p>
        </w:tc>
        <w:tc>
          <w:tcPr>
            <w:tcW w:w="1595"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13.5</w:t>
            </w:r>
          </w:p>
        </w:tc>
        <w:tc>
          <w:tcPr>
            <w:tcW w:w="1595"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1.8</w:t>
            </w:r>
          </w:p>
        </w:tc>
        <w:tc>
          <w:tcPr>
            <w:tcW w:w="1595"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167</w:t>
            </w:r>
          </w:p>
        </w:tc>
        <w:tc>
          <w:tcPr>
            <w:tcW w:w="1471" w:type="dxa"/>
            <w:tcBorders>
              <w:top w:val="nil"/>
              <w:bottom w:val="nil"/>
            </w:tcBorders>
          </w:tcPr>
          <w:p w:rsidR="00567B15" w:rsidRDefault="00567B15">
            <w:pPr>
              <w:spacing w:before="0" w:after="0" w:line="260" w:lineRule="exact"/>
              <w:ind w:left="299"/>
              <w:jc w:val="both"/>
              <w:rPr>
                <w:rStyle w:val="FootnoteReference"/>
                <w:rFonts w:hint="cs"/>
                <w:bCs w:val="0"/>
                <w:sz w:val="26"/>
                <w:szCs w:val="26"/>
                <w:vertAlign w:val="baseline"/>
              </w:rPr>
            </w:pPr>
            <w:r>
              <w:rPr>
                <w:rFonts w:hint="cs"/>
                <w:sz w:val="26"/>
                <w:szCs w:val="26"/>
                <w:rtl/>
              </w:rPr>
              <w:t>38.3</w:t>
            </w:r>
          </w:p>
        </w:tc>
      </w:tr>
      <w:tr w:rsidR="00567B15" w:rsidTr="00567B15">
        <w:tblPrEx>
          <w:tblCellMar>
            <w:top w:w="0" w:type="dxa"/>
            <w:bottom w:w="0" w:type="dxa"/>
          </w:tblCellMar>
        </w:tblPrEx>
        <w:tc>
          <w:tcPr>
            <w:tcW w:w="1500"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غير معروف</w:t>
            </w:r>
          </w:p>
        </w:tc>
        <w:tc>
          <w:tcPr>
            <w:tcW w:w="1595" w:type="dxa"/>
            <w:tcBorders>
              <w:top w:val="nil"/>
              <w:bottom w:val="nil"/>
            </w:tcBorders>
          </w:tcPr>
          <w:p w:rsidR="00567B15" w:rsidRDefault="00567B15">
            <w:pPr>
              <w:spacing w:before="0" w:after="0" w:line="260" w:lineRule="exact"/>
              <w:ind w:firstLine="379"/>
              <w:jc w:val="both"/>
              <w:rPr>
                <w:rStyle w:val="FootnoteReference"/>
                <w:rFonts w:hint="cs"/>
                <w:bCs w:val="0"/>
                <w:sz w:val="26"/>
                <w:szCs w:val="26"/>
                <w:vertAlign w:val="baseline"/>
              </w:rPr>
            </w:pPr>
            <w:r>
              <w:rPr>
                <w:rFonts w:hint="cs"/>
                <w:sz w:val="26"/>
                <w:szCs w:val="26"/>
                <w:rtl/>
              </w:rPr>
              <w:t>008 1</w:t>
            </w:r>
          </w:p>
        </w:tc>
        <w:tc>
          <w:tcPr>
            <w:tcW w:w="1595"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11.4</w:t>
            </w:r>
          </w:p>
        </w:tc>
        <w:tc>
          <w:tcPr>
            <w:tcW w:w="1595"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1.7</w:t>
            </w:r>
          </w:p>
        </w:tc>
        <w:tc>
          <w:tcPr>
            <w:tcW w:w="1595"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616</w:t>
            </w:r>
          </w:p>
        </w:tc>
        <w:tc>
          <w:tcPr>
            <w:tcW w:w="1471" w:type="dxa"/>
            <w:tcBorders>
              <w:top w:val="nil"/>
              <w:bottom w:val="nil"/>
            </w:tcBorders>
          </w:tcPr>
          <w:p w:rsidR="00567B15" w:rsidRDefault="00567B15">
            <w:pPr>
              <w:spacing w:before="0" w:after="0" w:line="260" w:lineRule="exact"/>
              <w:ind w:left="299"/>
              <w:jc w:val="both"/>
              <w:rPr>
                <w:rStyle w:val="FootnoteReference"/>
                <w:rFonts w:hint="cs"/>
                <w:bCs w:val="0"/>
                <w:sz w:val="26"/>
                <w:szCs w:val="26"/>
                <w:vertAlign w:val="baseline"/>
              </w:rPr>
            </w:pPr>
            <w:r>
              <w:rPr>
                <w:rFonts w:hint="cs"/>
                <w:sz w:val="26"/>
                <w:szCs w:val="26"/>
                <w:rtl/>
              </w:rPr>
              <w:t>61.1</w:t>
            </w:r>
          </w:p>
        </w:tc>
      </w:tr>
      <w:tr w:rsidR="00567B15" w:rsidTr="00567B15">
        <w:tblPrEx>
          <w:tblCellMar>
            <w:top w:w="0" w:type="dxa"/>
            <w:bottom w:w="0" w:type="dxa"/>
          </w:tblCellMar>
        </w:tblPrEx>
        <w:trPr>
          <w:trHeight w:val="665"/>
        </w:trPr>
        <w:tc>
          <w:tcPr>
            <w:tcW w:w="1500" w:type="dxa"/>
            <w:tcBorders>
              <w:top w:val="nil"/>
            </w:tcBorders>
          </w:tcPr>
          <w:p w:rsidR="00567B15" w:rsidRDefault="00567B15">
            <w:pPr>
              <w:spacing w:before="0" w:after="0" w:line="260" w:lineRule="exact"/>
              <w:jc w:val="both"/>
              <w:rPr>
                <w:rFonts w:hint="cs"/>
                <w:spacing w:val="0"/>
                <w:sz w:val="26"/>
                <w:szCs w:val="26"/>
                <w:rtl/>
              </w:rPr>
            </w:pPr>
            <w:r>
              <w:rPr>
                <w:rFonts w:hint="cs"/>
                <w:spacing w:val="0"/>
                <w:sz w:val="26"/>
                <w:szCs w:val="26"/>
                <w:rtl/>
              </w:rPr>
              <w:t>لا ينطبق (على &lt;6 سنوات)</w:t>
            </w:r>
          </w:p>
        </w:tc>
        <w:tc>
          <w:tcPr>
            <w:tcW w:w="1595" w:type="dxa"/>
            <w:tcBorders>
              <w:top w:val="nil"/>
            </w:tcBorders>
          </w:tcPr>
          <w:p w:rsidR="00567B15" w:rsidRDefault="00567B15">
            <w:pPr>
              <w:spacing w:before="0" w:after="0" w:line="260" w:lineRule="exact"/>
              <w:ind w:firstLine="379"/>
              <w:jc w:val="both"/>
              <w:rPr>
                <w:rStyle w:val="FootnoteReference"/>
                <w:rFonts w:hint="cs"/>
                <w:bCs w:val="0"/>
                <w:sz w:val="26"/>
                <w:szCs w:val="26"/>
                <w:vertAlign w:val="baseline"/>
              </w:rPr>
            </w:pPr>
            <w:r>
              <w:rPr>
                <w:rFonts w:hint="cs"/>
                <w:sz w:val="26"/>
                <w:szCs w:val="26"/>
                <w:rtl/>
              </w:rPr>
              <w:t>728</w:t>
            </w:r>
          </w:p>
        </w:tc>
        <w:tc>
          <w:tcPr>
            <w:tcW w:w="1595" w:type="dxa"/>
            <w:tcBorders>
              <w:top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11.4</w:t>
            </w:r>
          </w:p>
        </w:tc>
        <w:tc>
          <w:tcPr>
            <w:tcW w:w="1595" w:type="dxa"/>
            <w:tcBorders>
              <w:top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1.6</w:t>
            </w:r>
          </w:p>
        </w:tc>
        <w:tc>
          <w:tcPr>
            <w:tcW w:w="1595" w:type="dxa"/>
            <w:tcBorders>
              <w:top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401</w:t>
            </w:r>
          </w:p>
        </w:tc>
        <w:tc>
          <w:tcPr>
            <w:tcW w:w="1471" w:type="dxa"/>
            <w:tcBorders>
              <w:top w:val="nil"/>
            </w:tcBorders>
          </w:tcPr>
          <w:p w:rsidR="00567B15" w:rsidRDefault="00567B15">
            <w:pPr>
              <w:spacing w:before="0" w:after="0" w:line="260" w:lineRule="exact"/>
              <w:ind w:left="299"/>
              <w:jc w:val="both"/>
              <w:rPr>
                <w:rStyle w:val="FootnoteReference"/>
                <w:rFonts w:hint="cs"/>
                <w:bCs w:val="0"/>
                <w:sz w:val="26"/>
                <w:szCs w:val="26"/>
                <w:vertAlign w:val="baseline"/>
              </w:rPr>
            </w:pPr>
            <w:r>
              <w:rPr>
                <w:rFonts w:hint="cs"/>
                <w:sz w:val="26"/>
                <w:szCs w:val="26"/>
                <w:rtl/>
              </w:rPr>
              <w:t>55.1</w:t>
            </w:r>
          </w:p>
        </w:tc>
      </w:tr>
    </w:tbl>
    <w:p w:rsidR="00000000" w:rsidRDefault="00567B15">
      <w:pPr>
        <w:spacing w:before="120" w:after="0" w:line="320" w:lineRule="exact"/>
        <w:jc w:val="both"/>
        <w:rPr>
          <w:rFonts w:hint="cs"/>
          <w:rtl/>
        </w:rPr>
      </w:pPr>
      <w:r>
        <w:rPr>
          <w:rFonts w:hint="cs"/>
          <w:rtl/>
        </w:rPr>
        <w:tab/>
      </w:r>
      <w:r>
        <w:rPr>
          <w:rFonts w:hint="cs"/>
          <w:u w:val="single"/>
          <w:rtl/>
        </w:rPr>
        <w:t>المصدر</w:t>
      </w:r>
      <w:r>
        <w:rPr>
          <w:rFonts w:hint="cs"/>
          <w:rtl/>
        </w:rPr>
        <w:t>:</w:t>
      </w:r>
      <w:r>
        <w:rPr>
          <w:rFonts w:hint="cs"/>
          <w:rtl/>
        </w:rPr>
        <w:tab/>
        <w:t>وزارة الصحة العامة، النشرة الإعلامية رقم 3 للمعهد الوطني للعلوم والتكنولوجيا.</w:t>
      </w:r>
    </w:p>
    <w:p w:rsidR="00000000" w:rsidRDefault="00567B15">
      <w:pPr>
        <w:spacing w:before="180" w:after="120" w:line="360" w:lineRule="exact"/>
        <w:jc w:val="both"/>
        <w:rPr>
          <w:rFonts w:hint="cs"/>
          <w:rtl/>
        </w:rPr>
      </w:pPr>
      <w:r>
        <w:rPr>
          <w:rFonts w:hint="cs"/>
          <w:rtl/>
        </w:rPr>
        <w:t>300-</w:t>
      </w:r>
      <w:r>
        <w:rPr>
          <w:rFonts w:hint="cs"/>
          <w:rtl/>
        </w:rPr>
        <w:tab/>
        <w:t>وتبين مستويات معدل الهيموغلوبين المناظرة لمختلف الفئات المهنية أن للعاملين من السكا</w:t>
      </w:r>
      <w:r>
        <w:rPr>
          <w:rFonts w:hint="cs"/>
          <w:rtl/>
        </w:rPr>
        <w:t>ن مستويات هيموغلوبين متشابهة، مع ما يرد فيما يلي من معدلات لوحظت فيما بين مختلف المهن، وهي: المستخدمون العاملون في مؤسسات خاصة، 13.8+/-1.9 غ/دل؛ المهنيون العاملون لحسابهم، 13.9+/-1.8 غ/دل؛ صغار المنتجين الريفيين، 13.7+/-1 غ/دل؛ العمال المحليون، 12.4 غ/دل.</w:t>
      </w:r>
    </w:p>
    <w:p w:rsidR="00000000" w:rsidRDefault="00567B15">
      <w:pPr>
        <w:spacing w:before="0" w:after="120"/>
        <w:jc w:val="center"/>
        <w:rPr>
          <w:rFonts w:hint="cs"/>
          <w:rtl/>
        </w:rPr>
      </w:pPr>
      <w:r>
        <w:rPr>
          <w:rFonts w:hint="cs"/>
          <w:b/>
          <w:bCs/>
          <w:rtl/>
        </w:rPr>
        <w:t>مستويات الهيموغلوبين وتفشي فقر الدم بحسب المهنة، إكوادور، 1997</w:t>
      </w: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9"/>
        <w:gridCol w:w="1315"/>
        <w:gridCol w:w="1134"/>
        <w:gridCol w:w="1484"/>
        <w:gridCol w:w="1246"/>
        <w:gridCol w:w="1173"/>
      </w:tblGrid>
      <w:tr w:rsidR="00567B15" w:rsidTr="00567B15">
        <w:tblPrEx>
          <w:tblCellMar>
            <w:top w:w="0" w:type="dxa"/>
            <w:bottom w:w="0" w:type="dxa"/>
          </w:tblCellMar>
        </w:tblPrEx>
        <w:trPr>
          <w:cantSplit/>
        </w:trPr>
        <w:tc>
          <w:tcPr>
            <w:tcW w:w="2999" w:type="dxa"/>
            <w:tcBorders>
              <w:bottom w:val="single" w:sz="4" w:space="0" w:color="auto"/>
            </w:tcBorders>
          </w:tcPr>
          <w:p w:rsidR="00567B15" w:rsidRDefault="00567B15">
            <w:pPr>
              <w:spacing w:before="0" w:after="0" w:line="260" w:lineRule="exact"/>
              <w:jc w:val="center"/>
              <w:rPr>
                <w:rStyle w:val="FootnoteReference"/>
                <w:sz w:val="26"/>
                <w:szCs w:val="26"/>
              </w:rPr>
            </w:pPr>
            <w:r>
              <w:rPr>
                <w:rFonts w:hint="cs"/>
                <w:sz w:val="26"/>
                <w:szCs w:val="26"/>
                <w:rtl/>
              </w:rPr>
              <w:t>المتغيرات</w:t>
            </w:r>
          </w:p>
        </w:tc>
        <w:tc>
          <w:tcPr>
            <w:tcW w:w="1315" w:type="dxa"/>
            <w:tcBorders>
              <w:bottom w:val="single" w:sz="4" w:space="0" w:color="auto"/>
            </w:tcBorders>
          </w:tcPr>
          <w:p w:rsidR="00567B15" w:rsidRDefault="00567B15">
            <w:pPr>
              <w:spacing w:before="0" w:after="0" w:line="260" w:lineRule="exact"/>
              <w:jc w:val="center"/>
              <w:rPr>
                <w:rStyle w:val="FootnoteReference"/>
                <w:spacing w:val="0"/>
                <w:sz w:val="26"/>
                <w:szCs w:val="26"/>
              </w:rPr>
            </w:pPr>
            <w:r>
              <w:rPr>
                <w:rFonts w:hint="cs"/>
                <w:spacing w:val="0"/>
                <w:sz w:val="26"/>
                <w:szCs w:val="26"/>
                <w:rtl/>
              </w:rPr>
              <w:t>مجموع العينات</w:t>
            </w:r>
          </w:p>
        </w:tc>
        <w:tc>
          <w:tcPr>
            <w:tcW w:w="2618" w:type="dxa"/>
            <w:gridSpan w:val="2"/>
            <w:tcBorders>
              <w:bottom w:val="single" w:sz="4" w:space="0" w:color="auto"/>
            </w:tcBorders>
          </w:tcPr>
          <w:p w:rsidR="00567B15" w:rsidRDefault="00567B15">
            <w:pPr>
              <w:spacing w:before="0" w:after="0" w:line="260" w:lineRule="exact"/>
              <w:jc w:val="center"/>
              <w:rPr>
                <w:rStyle w:val="FootnoteReference"/>
                <w:sz w:val="26"/>
                <w:szCs w:val="26"/>
              </w:rPr>
            </w:pPr>
            <w:r>
              <w:rPr>
                <w:rFonts w:hint="cs"/>
                <w:sz w:val="26"/>
                <w:szCs w:val="26"/>
                <w:rtl/>
              </w:rPr>
              <w:t>الهيموغلوبين</w:t>
            </w:r>
          </w:p>
        </w:tc>
        <w:tc>
          <w:tcPr>
            <w:tcW w:w="2419" w:type="dxa"/>
            <w:gridSpan w:val="2"/>
            <w:tcBorders>
              <w:bottom w:val="single" w:sz="4" w:space="0" w:color="auto"/>
            </w:tcBorders>
          </w:tcPr>
          <w:p w:rsidR="00567B15" w:rsidRDefault="00567B15">
            <w:pPr>
              <w:spacing w:before="0" w:after="0" w:line="260" w:lineRule="exact"/>
              <w:jc w:val="center"/>
              <w:rPr>
                <w:rStyle w:val="FootnoteReference"/>
                <w:rFonts w:hint="cs"/>
                <w:sz w:val="26"/>
                <w:szCs w:val="26"/>
              </w:rPr>
            </w:pPr>
            <w:r>
              <w:rPr>
                <w:rFonts w:hint="cs"/>
                <w:sz w:val="26"/>
                <w:szCs w:val="26"/>
                <w:rtl/>
              </w:rPr>
              <w:t>فقر الدم</w:t>
            </w:r>
          </w:p>
        </w:tc>
      </w:tr>
      <w:tr w:rsidR="00567B15" w:rsidTr="00567B15">
        <w:tblPrEx>
          <w:tblCellMar>
            <w:top w:w="0" w:type="dxa"/>
            <w:bottom w:w="0" w:type="dxa"/>
          </w:tblCellMar>
        </w:tblPrEx>
        <w:tc>
          <w:tcPr>
            <w:tcW w:w="2999" w:type="dxa"/>
            <w:tcBorders>
              <w:top w:val="single" w:sz="4"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p>
        </w:tc>
        <w:tc>
          <w:tcPr>
            <w:tcW w:w="1315" w:type="dxa"/>
            <w:tcBorders>
              <w:top w:val="single" w:sz="4" w:space="0" w:color="auto"/>
              <w:left w:val="single" w:sz="8" w:space="0" w:color="auto"/>
              <w:bottom w:val="single" w:sz="4" w:space="0" w:color="auto"/>
              <w:right w:val="single" w:sz="8" w:space="0" w:color="auto"/>
            </w:tcBorders>
          </w:tcPr>
          <w:p w:rsidR="00567B15" w:rsidRDefault="00567B15">
            <w:pPr>
              <w:spacing w:before="0" w:after="0" w:line="260" w:lineRule="exact"/>
              <w:ind w:firstLine="19"/>
              <w:jc w:val="center"/>
              <w:rPr>
                <w:rStyle w:val="FootnoteReference"/>
                <w:rFonts w:hint="cs"/>
                <w:bCs w:val="0"/>
                <w:sz w:val="26"/>
                <w:szCs w:val="26"/>
                <w:vertAlign w:val="baseline"/>
              </w:rPr>
            </w:pPr>
          </w:p>
        </w:tc>
        <w:tc>
          <w:tcPr>
            <w:tcW w:w="1134" w:type="dxa"/>
            <w:tcBorders>
              <w:top w:val="single" w:sz="4"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المعدل</w:t>
            </w:r>
          </w:p>
        </w:tc>
        <w:tc>
          <w:tcPr>
            <w:tcW w:w="1484" w:type="dxa"/>
            <w:tcBorders>
              <w:top w:val="single" w:sz="4"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الانحراف المعياري</w:t>
            </w:r>
          </w:p>
        </w:tc>
        <w:tc>
          <w:tcPr>
            <w:tcW w:w="1246" w:type="dxa"/>
            <w:tcBorders>
              <w:top w:val="single" w:sz="4"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العدد</w:t>
            </w:r>
          </w:p>
        </w:tc>
        <w:tc>
          <w:tcPr>
            <w:tcW w:w="1173" w:type="dxa"/>
            <w:tcBorders>
              <w:top w:val="single" w:sz="4" w:space="0" w:color="auto"/>
              <w:left w:val="single" w:sz="8" w:space="0" w:color="auto"/>
              <w:bottom w:val="single" w:sz="4" w:space="0" w:color="auto"/>
              <w:right w:val="single" w:sz="8" w:space="0" w:color="auto"/>
            </w:tcBorders>
          </w:tcPr>
          <w:p w:rsidR="00567B15" w:rsidRDefault="00567B15">
            <w:pPr>
              <w:spacing w:before="0" w:after="0" w:line="260" w:lineRule="exact"/>
              <w:jc w:val="center"/>
              <w:rPr>
                <w:rStyle w:val="FootnoteReference"/>
                <w:rFonts w:hint="cs"/>
                <w:bCs w:val="0"/>
                <w:sz w:val="26"/>
                <w:szCs w:val="26"/>
                <w:vertAlign w:val="baseline"/>
              </w:rPr>
            </w:pPr>
            <w:r>
              <w:rPr>
                <w:rFonts w:hint="cs"/>
                <w:sz w:val="26"/>
                <w:szCs w:val="26"/>
                <w:rtl/>
              </w:rPr>
              <w:t>النسبة المئوية</w:t>
            </w:r>
          </w:p>
        </w:tc>
      </w:tr>
      <w:tr w:rsidR="00567B15" w:rsidTr="00567B15">
        <w:tblPrEx>
          <w:tblCellMar>
            <w:top w:w="0" w:type="dxa"/>
            <w:bottom w:w="0" w:type="dxa"/>
          </w:tblCellMar>
        </w:tblPrEx>
        <w:tc>
          <w:tcPr>
            <w:tcW w:w="2999" w:type="dxa"/>
            <w:tcBorders>
              <w:top w:val="single" w:sz="4" w:space="0" w:color="auto"/>
              <w:bottom w:val="nil"/>
              <w:right w:val="single" w:sz="4" w:space="0" w:color="auto"/>
            </w:tcBorders>
          </w:tcPr>
          <w:p w:rsidR="00567B15" w:rsidRDefault="00567B15">
            <w:pPr>
              <w:spacing w:before="0" w:after="0" w:line="260" w:lineRule="exact"/>
              <w:jc w:val="both"/>
              <w:rPr>
                <w:rStyle w:val="FootnoteReference"/>
                <w:rFonts w:hint="cs"/>
                <w:bCs w:val="0"/>
                <w:sz w:val="26"/>
                <w:szCs w:val="26"/>
                <w:vertAlign w:val="baseline"/>
              </w:rPr>
            </w:pPr>
            <w:r>
              <w:rPr>
                <w:rFonts w:hint="cs"/>
                <w:sz w:val="26"/>
                <w:szCs w:val="26"/>
                <w:rtl/>
              </w:rPr>
              <w:t>المهنة</w:t>
            </w:r>
          </w:p>
        </w:tc>
        <w:tc>
          <w:tcPr>
            <w:tcW w:w="1315" w:type="dxa"/>
            <w:tcBorders>
              <w:top w:val="single" w:sz="4" w:space="0" w:color="auto"/>
              <w:left w:val="single" w:sz="4" w:space="0" w:color="auto"/>
              <w:bottom w:val="nil"/>
              <w:right w:val="single" w:sz="4" w:space="0" w:color="auto"/>
            </w:tcBorders>
          </w:tcPr>
          <w:p w:rsidR="00567B15" w:rsidRDefault="00567B15">
            <w:pPr>
              <w:spacing w:before="0" w:after="0" w:line="260" w:lineRule="exact"/>
              <w:ind w:left="379"/>
              <w:jc w:val="both"/>
              <w:rPr>
                <w:rStyle w:val="FootnoteReference"/>
                <w:rFonts w:hint="cs"/>
                <w:bCs w:val="0"/>
                <w:sz w:val="26"/>
                <w:szCs w:val="26"/>
                <w:vertAlign w:val="baseline"/>
              </w:rPr>
            </w:pPr>
          </w:p>
        </w:tc>
        <w:tc>
          <w:tcPr>
            <w:tcW w:w="1134" w:type="dxa"/>
            <w:tcBorders>
              <w:top w:val="single" w:sz="4" w:space="0" w:color="auto"/>
              <w:left w:val="single" w:sz="4" w:space="0" w:color="auto"/>
              <w:bottom w:val="nil"/>
              <w:right w:val="single" w:sz="4" w:space="0" w:color="auto"/>
            </w:tcBorders>
          </w:tcPr>
          <w:p w:rsidR="00567B15" w:rsidRDefault="00567B15">
            <w:pPr>
              <w:spacing w:before="0" w:after="0" w:line="260" w:lineRule="exact"/>
              <w:ind w:firstLine="404"/>
              <w:jc w:val="both"/>
              <w:rPr>
                <w:rStyle w:val="FootnoteReference"/>
                <w:rFonts w:hint="cs"/>
                <w:bCs w:val="0"/>
                <w:sz w:val="26"/>
                <w:szCs w:val="26"/>
                <w:vertAlign w:val="baseline"/>
              </w:rPr>
            </w:pPr>
          </w:p>
        </w:tc>
        <w:tc>
          <w:tcPr>
            <w:tcW w:w="1484" w:type="dxa"/>
            <w:tcBorders>
              <w:top w:val="single" w:sz="4" w:space="0" w:color="auto"/>
              <w:left w:val="single" w:sz="4" w:space="0" w:color="auto"/>
              <w:bottom w:val="nil"/>
              <w:right w:val="single" w:sz="4" w:space="0" w:color="auto"/>
            </w:tcBorders>
          </w:tcPr>
          <w:p w:rsidR="00567B15" w:rsidRDefault="00567B15">
            <w:pPr>
              <w:spacing w:before="0" w:after="0" w:line="260" w:lineRule="exact"/>
              <w:ind w:left="429"/>
              <w:jc w:val="both"/>
              <w:rPr>
                <w:rStyle w:val="FootnoteReference"/>
                <w:rFonts w:hint="cs"/>
                <w:bCs w:val="0"/>
                <w:sz w:val="26"/>
                <w:szCs w:val="26"/>
                <w:vertAlign w:val="baseline"/>
              </w:rPr>
            </w:pPr>
          </w:p>
        </w:tc>
        <w:tc>
          <w:tcPr>
            <w:tcW w:w="1246" w:type="dxa"/>
            <w:tcBorders>
              <w:top w:val="single" w:sz="4" w:space="0" w:color="auto"/>
              <w:left w:val="single" w:sz="4" w:space="0" w:color="auto"/>
              <w:bottom w:val="nil"/>
              <w:right w:val="single" w:sz="4" w:space="0" w:color="auto"/>
            </w:tcBorders>
          </w:tcPr>
          <w:p w:rsidR="00567B15" w:rsidRDefault="00567B15">
            <w:pPr>
              <w:spacing w:before="0" w:after="0" w:line="260" w:lineRule="exact"/>
              <w:ind w:firstLine="454"/>
              <w:jc w:val="both"/>
              <w:rPr>
                <w:rStyle w:val="FootnoteReference"/>
                <w:rFonts w:hint="cs"/>
                <w:bCs w:val="0"/>
                <w:sz w:val="26"/>
                <w:szCs w:val="26"/>
                <w:vertAlign w:val="baseline"/>
              </w:rPr>
            </w:pPr>
          </w:p>
        </w:tc>
        <w:tc>
          <w:tcPr>
            <w:tcW w:w="1173" w:type="dxa"/>
            <w:tcBorders>
              <w:top w:val="single" w:sz="4" w:space="0" w:color="auto"/>
              <w:left w:val="single" w:sz="4" w:space="0" w:color="auto"/>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العمال</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127</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13.6</w:t>
            </w:r>
          </w:p>
        </w:tc>
        <w:tc>
          <w:tcPr>
            <w:tcW w:w="1484" w:type="dxa"/>
            <w:tcBorders>
              <w:top w:val="nil"/>
              <w:bottom w:val="nil"/>
            </w:tcBorders>
          </w:tcPr>
          <w:p w:rsidR="00567B15" w:rsidRDefault="00567B15">
            <w:pPr>
              <w:spacing w:before="0" w:after="0" w:line="260" w:lineRule="exact"/>
              <w:ind w:left="429"/>
              <w:jc w:val="both"/>
              <w:rPr>
                <w:rStyle w:val="FootnoteReference"/>
                <w:rFonts w:hint="cs"/>
                <w:bCs w:val="0"/>
                <w:sz w:val="26"/>
                <w:szCs w:val="26"/>
                <w:vertAlign w:val="baseline"/>
              </w:rPr>
            </w:pPr>
            <w:r>
              <w:rPr>
                <w:rFonts w:hint="cs"/>
                <w:sz w:val="26"/>
                <w:szCs w:val="26"/>
                <w:rtl/>
              </w:rPr>
              <w:t>1.6</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49</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38.6</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الحرفيون</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235</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13.6</w:t>
            </w:r>
          </w:p>
        </w:tc>
        <w:tc>
          <w:tcPr>
            <w:tcW w:w="1484" w:type="dxa"/>
            <w:tcBorders>
              <w:top w:val="nil"/>
              <w:bottom w:val="nil"/>
            </w:tcBorders>
          </w:tcPr>
          <w:p w:rsidR="00567B15" w:rsidRDefault="00567B15">
            <w:pPr>
              <w:spacing w:before="0" w:after="0" w:line="260" w:lineRule="exact"/>
              <w:ind w:left="429"/>
              <w:jc w:val="both"/>
              <w:rPr>
                <w:rStyle w:val="FootnoteReference"/>
                <w:rFonts w:hint="cs"/>
                <w:bCs w:val="0"/>
                <w:sz w:val="26"/>
                <w:szCs w:val="26"/>
                <w:vertAlign w:val="baseline"/>
              </w:rPr>
            </w:pPr>
            <w:r>
              <w:rPr>
                <w:rFonts w:hint="cs"/>
                <w:sz w:val="26"/>
                <w:szCs w:val="26"/>
                <w:rtl/>
              </w:rPr>
              <w:t>2.0</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91</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38.7</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الموظفون العامون</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209</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13.5</w:t>
            </w:r>
          </w:p>
        </w:tc>
        <w:tc>
          <w:tcPr>
            <w:tcW w:w="1484" w:type="dxa"/>
            <w:tcBorders>
              <w:top w:val="nil"/>
              <w:bottom w:val="nil"/>
            </w:tcBorders>
          </w:tcPr>
          <w:p w:rsidR="00567B15" w:rsidRDefault="00567B15">
            <w:pPr>
              <w:spacing w:before="0" w:after="0" w:line="260" w:lineRule="exact"/>
              <w:ind w:left="429"/>
              <w:jc w:val="both"/>
              <w:rPr>
                <w:rStyle w:val="FootnoteReference"/>
                <w:rFonts w:hint="cs"/>
                <w:bCs w:val="0"/>
                <w:sz w:val="26"/>
                <w:szCs w:val="26"/>
                <w:vertAlign w:val="baseline"/>
              </w:rPr>
            </w:pPr>
            <w:r>
              <w:rPr>
                <w:rFonts w:hint="cs"/>
                <w:sz w:val="26"/>
                <w:szCs w:val="26"/>
                <w:rtl/>
              </w:rPr>
              <w:t>1.8</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89</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41.1</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الموظفون جزئياً</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100</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13.7</w:t>
            </w:r>
          </w:p>
        </w:tc>
        <w:tc>
          <w:tcPr>
            <w:tcW w:w="1484" w:type="dxa"/>
            <w:tcBorders>
              <w:top w:val="nil"/>
              <w:bottom w:val="nil"/>
            </w:tcBorders>
          </w:tcPr>
          <w:p w:rsidR="00567B15" w:rsidRDefault="00567B15">
            <w:pPr>
              <w:spacing w:before="0" w:after="0" w:line="260" w:lineRule="exact"/>
              <w:ind w:left="429"/>
              <w:jc w:val="both"/>
              <w:rPr>
                <w:rStyle w:val="FootnoteReference"/>
                <w:rFonts w:hint="cs"/>
                <w:bCs w:val="0"/>
                <w:sz w:val="26"/>
                <w:szCs w:val="26"/>
                <w:vertAlign w:val="baseline"/>
              </w:rPr>
            </w:pPr>
            <w:r>
              <w:rPr>
                <w:rFonts w:hint="cs"/>
                <w:sz w:val="26"/>
                <w:szCs w:val="26"/>
                <w:rtl/>
              </w:rPr>
              <w:t>1.7</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45</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45.0</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الموظفون في مؤسسات خاصة</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200</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13.8</w:t>
            </w:r>
          </w:p>
        </w:tc>
        <w:tc>
          <w:tcPr>
            <w:tcW w:w="1484" w:type="dxa"/>
            <w:tcBorders>
              <w:top w:val="nil"/>
              <w:bottom w:val="nil"/>
            </w:tcBorders>
          </w:tcPr>
          <w:p w:rsidR="00567B15" w:rsidRDefault="00567B15">
            <w:pPr>
              <w:spacing w:before="0" w:after="0" w:line="260" w:lineRule="exact"/>
              <w:ind w:left="429"/>
              <w:jc w:val="both"/>
              <w:rPr>
                <w:rStyle w:val="FootnoteReference"/>
                <w:rFonts w:hint="cs"/>
                <w:bCs w:val="0"/>
                <w:sz w:val="26"/>
                <w:szCs w:val="26"/>
                <w:vertAlign w:val="baseline"/>
              </w:rPr>
            </w:pPr>
            <w:r>
              <w:rPr>
                <w:rFonts w:hint="cs"/>
                <w:sz w:val="26"/>
                <w:szCs w:val="26"/>
                <w:rtl/>
              </w:rPr>
              <w:t>1.9</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67</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33.5</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إدارة المؤسسات الخاصة</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40</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13.6</w:t>
            </w:r>
          </w:p>
        </w:tc>
        <w:tc>
          <w:tcPr>
            <w:tcW w:w="1484" w:type="dxa"/>
            <w:tcBorders>
              <w:top w:val="nil"/>
              <w:bottom w:val="nil"/>
            </w:tcBorders>
          </w:tcPr>
          <w:p w:rsidR="00567B15" w:rsidRDefault="00567B15">
            <w:pPr>
              <w:spacing w:before="0" w:after="0" w:line="260" w:lineRule="exact"/>
              <w:ind w:left="429"/>
              <w:jc w:val="both"/>
              <w:rPr>
                <w:rStyle w:val="FootnoteReference"/>
                <w:rFonts w:hint="cs"/>
                <w:bCs w:val="0"/>
                <w:sz w:val="26"/>
                <w:szCs w:val="26"/>
                <w:vertAlign w:val="baseline"/>
              </w:rPr>
            </w:pPr>
            <w:r>
              <w:rPr>
                <w:rFonts w:hint="cs"/>
                <w:sz w:val="26"/>
                <w:szCs w:val="26"/>
                <w:rtl/>
              </w:rPr>
              <w:t>2.0</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22</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55.0</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صغار التجار</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303</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13.1</w:t>
            </w:r>
          </w:p>
        </w:tc>
        <w:tc>
          <w:tcPr>
            <w:tcW w:w="1484"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2.0</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143</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47.2</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المهنيون المستقلون</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181</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13.9</w:t>
            </w:r>
          </w:p>
        </w:tc>
        <w:tc>
          <w:tcPr>
            <w:tcW w:w="1484"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1.8</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59</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32.6</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صغار المنتجين الريفيين</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183</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13.7</w:t>
            </w:r>
          </w:p>
        </w:tc>
        <w:tc>
          <w:tcPr>
            <w:tcW w:w="1484"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1.9</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66</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36.1</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الفقراء من العمال الزراعيين</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293</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13.2</w:t>
            </w:r>
          </w:p>
        </w:tc>
        <w:tc>
          <w:tcPr>
            <w:tcW w:w="1484"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1.7</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160</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54.6</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غيرهم</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838</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13.0</w:t>
            </w:r>
          </w:p>
        </w:tc>
        <w:tc>
          <w:tcPr>
            <w:tcW w:w="1484"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1.8</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351</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41.9</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العمال المحليون</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658 1</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12.4</w:t>
            </w:r>
          </w:p>
        </w:tc>
        <w:tc>
          <w:tcPr>
            <w:tcW w:w="1484"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1.7</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901</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54.3</w:t>
            </w:r>
          </w:p>
        </w:tc>
      </w:tr>
      <w:tr w:rsidR="00567B15" w:rsidTr="00567B15">
        <w:tblPrEx>
          <w:tblCellMar>
            <w:top w:w="0" w:type="dxa"/>
            <w:bottom w:w="0" w:type="dxa"/>
          </w:tblCellMar>
        </w:tblPrEx>
        <w:tc>
          <w:tcPr>
            <w:tcW w:w="2999" w:type="dxa"/>
            <w:tcBorders>
              <w:top w:val="nil"/>
              <w:bottom w:val="nil"/>
            </w:tcBorders>
          </w:tcPr>
          <w:p w:rsidR="00567B15" w:rsidRDefault="00567B15">
            <w:pPr>
              <w:spacing w:before="0" w:after="0" w:line="260" w:lineRule="exact"/>
              <w:jc w:val="both"/>
              <w:rPr>
                <w:rFonts w:hint="cs"/>
                <w:sz w:val="26"/>
                <w:szCs w:val="26"/>
                <w:rtl/>
              </w:rPr>
            </w:pPr>
            <w:r>
              <w:rPr>
                <w:rFonts w:hint="cs"/>
                <w:sz w:val="26"/>
                <w:szCs w:val="26"/>
                <w:rtl/>
              </w:rPr>
              <w:t>لا جواب</w:t>
            </w:r>
          </w:p>
        </w:tc>
        <w:tc>
          <w:tcPr>
            <w:tcW w:w="1315" w:type="dxa"/>
            <w:tcBorders>
              <w:top w:val="nil"/>
              <w:bottom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216</w:t>
            </w:r>
          </w:p>
        </w:tc>
        <w:tc>
          <w:tcPr>
            <w:tcW w:w="1134" w:type="dxa"/>
            <w:tcBorders>
              <w:top w:val="nil"/>
              <w:bottom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13.6</w:t>
            </w:r>
          </w:p>
        </w:tc>
        <w:tc>
          <w:tcPr>
            <w:tcW w:w="1484" w:type="dxa"/>
            <w:tcBorders>
              <w:top w:val="nil"/>
              <w:bottom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1.8</w:t>
            </w:r>
          </w:p>
        </w:tc>
        <w:tc>
          <w:tcPr>
            <w:tcW w:w="1246" w:type="dxa"/>
            <w:tcBorders>
              <w:top w:val="nil"/>
              <w:bottom w:val="nil"/>
            </w:tcBorders>
          </w:tcPr>
          <w:p w:rsidR="00567B15" w:rsidRDefault="00567B15">
            <w:pPr>
              <w:spacing w:before="0" w:after="0" w:line="260" w:lineRule="exact"/>
              <w:ind w:firstLine="454"/>
              <w:jc w:val="both"/>
              <w:rPr>
                <w:rStyle w:val="FootnoteReference"/>
                <w:rFonts w:hint="cs"/>
                <w:bCs w:val="0"/>
                <w:sz w:val="26"/>
                <w:szCs w:val="26"/>
                <w:vertAlign w:val="baseline"/>
              </w:rPr>
            </w:pPr>
            <w:r>
              <w:rPr>
                <w:rFonts w:hint="cs"/>
                <w:sz w:val="26"/>
                <w:szCs w:val="26"/>
                <w:rtl/>
              </w:rPr>
              <w:t>97</w:t>
            </w:r>
          </w:p>
        </w:tc>
        <w:tc>
          <w:tcPr>
            <w:tcW w:w="1173" w:type="dxa"/>
            <w:tcBorders>
              <w:top w:val="nil"/>
              <w:bottom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44.9</w:t>
            </w:r>
          </w:p>
        </w:tc>
      </w:tr>
      <w:tr w:rsidR="00567B15" w:rsidTr="00567B15">
        <w:tblPrEx>
          <w:tblCellMar>
            <w:top w:w="0" w:type="dxa"/>
            <w:bottom w:w="0" w:type="dxa"/>
          </w:tblCellMar>
        </w:tblPrEx>
        <w:trPr>
          <w:trHeight w:val="372"/>
        </w:trPr>
        <w:tc>
          <w:tcPr>
            <w:tcW w:w="2999" w:type="dxa"/>
            <w:tcBorders>
              <w:top w:val="nil"/>
            </w:tcBorders>
          </w:tcPr>
          <w:p w:rsidR="00567B15" w:rsidRDefault="00567B15">
            <w:pPr>
              <w:spacing w:before="0" w:after="0" w:line="260" w:lineRule="exact"/>
              <w:jc w:val="both"/>
              <w:rPr>
                <w:rFonts w:hint="cs"/>
                <w:spacing w:val="0"/>
                <w:sz w:val="24"/>
                <w:szCs w:val="24"/>
                <w:rtl/>
              </w:rPr>
            </w:pPr>
            <w:r>
              <w:rPr>
                <w:rFonts w:hint="cs"/>
                <w:spacing w:val="0"/>
                <w:sz w:val="24"/>
                <w:szCs w:val="24"/>
                <w:rtl/>
              </w:rPr>
              <w:t>غير قابل للانطباق على (أقل من 14 سنة)</w:t>
            </w:r>
          </w:p>
        </w:tc>
        <w:tc>
          <w:tcPr>
            <w:tcW w:w="1315" w:type="dxa"/>
            <w:tcBorders>
              <w:top w:val="nil"/>
            </w:tcBorders>
          </w:tcPr>
          <w:p w:rsidR="00567B15" w:rsidRDefault="00567B15">
            <w:pPr>
              <w:spacing w:before="0" w:after="0" w:line="260" w:lineRule="exact"/>
              <w:ind w:left="379"/>
              <w:jc w:val="both"/>
              <w:rPr>
                <w:rStyle w:val="FootnoteReference"/>
                <w:rFonts w:hint="cs"/>
                <w:bCs w:val="0"/>
                <w:sz w:val="26"/>
                <w:szCs w:val="26"/>
                <w:vertAlign w:val="baseline"/>
              </w:rPr>
            </w:pPr>
            <w:r>
              <w:rPr>
                <w:rFonts w:hint="cs"/>
                <w:sz w:val="26"/>
                <w:szCs w:val="26"/>
                <w:rtl/>
              </w:rPr>
              <w:t>014 3</w:t>
            </w:r>
          </w:p>
        </w:tc>
        <w:tc>
          <w:tcPr>
            <w:tcW w:w="1134" w:type="dxa"/>
            <w:tcBorders>
              <w:top w:val="nil"/>
            </w:tcBorders>
          </w:tcPr>
          <w:p w:rsidR="00567B15" w:rsidRDefault="00567B15">
            <w:pPr>
              <w:spacing w:before="0" w:after="0" w:line="260" w:lineRule="exact"/>
              <w:ind w:firstLine="404"/>
              <w:jc w:val="both"/>
              <w:rPr>
                <w:rStyle w:val="FootnoteReference"/>
                <w:rFonts w:hint="cs"/>
                <w:bCs w:val="0"/>
                <w:sz w:val="26"/>
                <w:szCs w:val="26"/>
                <w:vertAlign w:val="baseline"/>
              </w:rPr>
            </w:pPr>
            <w:r>
              <w:rPr>
                <w:rFonts w:hint="cs"/>
                <w:sz w:val="26"/>
                <w:szCs w:val="26"/>
                <w:rtl/>
              </w:rPr>
              <w:t>11.7</w:t>
            </w:r>
          </w:p>
        </w:tc>
        <w:tc>
          <w:tcPr>
            <w:tcW w:w="1484" w:type="dxa"/>
            <w:tcBorders>
              <w:top w:val="nil"/>
            </w:tcBorders>
          </w:tcPr>
          <w:p w:rsidR="00567B15" w:rsidRDefault="00567B15">
            <w:pPr>
              <w:spacing w:before="0" w:after="0" w:line="260" w:lineRule="exact"/>
              <w:ind w:firstLine="429"/>
              <w:jc w:val="both"/>
              <w:rPr>
                <w:rStyle w:val="FootnoteReference"/>
                <w:rFonts w:hint="cs"/>
                <w:bCs w:val="0"/>
                <w:sz w:val="26"/>
                <w:szCs w:val="26"/>
                <w:vertAlign w:val="baseline"/>
              </w:rPr>
            </w:pPr>
            <w:r>
              <w:rPr>
                <w:rFonts w:hint="cs"/>
                <w:sz w:val="26"/>
                <w:szCs w:val="26"/>
                <w:rtl/>
              </w:rPr>
              <w:t>1.6</w:t>
            </w:r>
          </w:p>
        </w:tc>
        <w:tc>
          <w:tcPr>
            <w:tcW w:w="1246" w:type="dxa"/>
            <w:tcBorders>
              <w:top w:val="nil"/>
            </w:tcBorders>
          </w:tcPr>
          <w:p w:rsidR="00567B15" w:rsidRDefault="00567B15">
            <w:pPr>
              <w:spacing w:before="0" w:after="0" w:line="260" w:lineRule="exact"/>
              <w:ind w:firstLine="454"/>
              <w:jc w:val="both"/>
              <w:rPr>
                <w:rStyle w:val="FootnoteReference"/>
                <w:rFonts w:hint="cs"/>
                <w:bCs w:val="0"/>
                <w:spacing w:val="0"/>
                <w:sz w:val="26"/>
                <w:szCs w:val="26"/>
                <w:vertAlign w:val="baseline"/>
              </w:rPr>
            </w:pPr>
            <w:r>
              <w:rPr>
                <w:rFonts w:hint="cs"/>
                <w:spacing w:val="0"/>
                <w:sz w:val="26"/>
                <w:szCs w:val="26"/>
                <w:rtl/>
              </w:rPr>
              <w:t>763 1</w:t>
            </w:r>
          </w:p>
        </w:tc>
        <w:tc>
          <w:tcPr>
            <w:tcW w:w="1173" w:type="dxa"/>
            <w:tcBorders>
              <w:top w:val="nil"/>
            </w:tcBorders>
          </w:tcPr>
          <w:p w:rsidR="00567B15" w:rsidRDefault="00567B15">
            <w:pPr>
              <w:spacing w:before="0" w:after="0" w:line="260" w:lineRule="exact"/>
              <w:ind w:firstLine="299"/>
              <w:jc w:val="both"/>
              <w:rPr>
                <w:rStyle w:val="FootnoteReference"/>
                <w:rFonts w:hint="cs"/>
                <w:bCs w:val="0"/>
                <w:sz w:val="26"/>
                <w:szCs w:val="26"/>
                <w:vertAlign w:val="baseline"/>
              </w:rPr>
            </w:pPr>
            <w:r>
              <w:rPr>
                <w:rFonts w:hint="cs"/>
                <w:sz w:val="26"/>
                <w:szCs w:val="26"/>
                <w:rtl/>
              </w:rPr>
              <w:t>58.5</w:t>
            </w:r>
          </w:p>
        </w:tc>
      </w:tr>
    </w:tbl>
    <w:p w:rsidR="00000000" w:rsidRDefault="00567B15">
      <w:pPr>
        <w:spacing w:before="120" w:after="0" w:line="300" w:lineRule="exact"/>
        <w:jc w:val="both"/>
        <w:rPr>
          <w:rFonts w:hint="cs"/>
          <w:rtl/>
        </w:rPr>
      </w:pPr>
      <w:r>
        <w:rPr>
          <w:rFonts w:hint="cs"/>
          <w:rtl/>
        </w:rPr>
        <w:tab/>
      </w:r>
      <w:r>
        <w:rPr>
          <w:rFonts w:hint="cs"/>
          <w:u w:val="single"/>
          <w:rtl/>
        </w:rPr>
        <w:t>المصدر</w:t>
      </w:r>
      <w:r>
        <w:rPr>
          <w:rFonts w:hint="cs"/>
          <w:rtl/>
        </w:rPr>
        <w:t>: وزارة الصحة العامة، النش</w:t>
      </w:r>
      <w:r>
        <w:rPr>
          <w:rFonts w:hint="cs"/>
          <w:rtl/>
        </w:rPr>
        <w:t>رة الإعلامية رقم 3 للمعهد الوطني للعلوم والتكنولوجيا.</w:t>
      </w:r>
    </w:p>
    <w:p w:rsidR="00000000" w:rsidRDefault="00567B15">
      <w:pPr>
        <w:spacing w:line="380" w:lineRule="exact"/>
        <w:jc w:val="both"/>
        <w:rPr>
          <w:rFonts w:hint="cs"/>
          <w:spacing w:val="2"/>
          <w:rtl/>
        </w:rPr>
      </w:pPr>
      <w:r>
        <w:rPr>
          <w:rFonts w:hint="cs"/>
          <w:spacing w:val="2"/>
          <w:rtl/>
        </w:rPr>
        <w:t>301-</w:t>
      </w:r>
      <w:r>
        <w:rPr>
          <w:rFonts w:hint="cs"/>
          <w:spacing w:val="2"/>
          <w:rtl/>
        </w:rPr>
        <w:tab/>
        <w:t>ويتولى برنامج المغذيات الدقيقة الشامل تنفيذ أنشطة من قبيل توفير مكملات الحديد وحامض الفوليك وفيتامين ألف فيما بين الجماعات الضعيفة؛ والحديد لكافة الحوامل والأطفال دون السنة الواحدة من العمر الذين ت</w:t>
      </w:r>
      <w:r>
        <w:rPr>
          <w:rFonts w:hint="cs"/>
          <w:spacing w:val="2"/>
          <w:rtl/>
        </w:rPr>
        <w:t>ستقبلهم مرافق وزارة الصحة العامة؛ وفيتامين ألف لجميع الأطفال الذين تتراوح أعمارهم بين عام وثلاثة أعوام ممن يعيشون في أبرشيات تكابد فقراً مدقعاً؛ ومواد غذائية تكميلية لكافة السكان، مثل يودنة الملح وفلورته وإغناء دقيق القمح بمكملات الحديد وحامض الفوليك؛ والت</w:t>
      </w:r>
      <w:r>
        <w:rPr>
          <w:rFonts w:hint="cs"/>
          <w:spacing w:val="2"/>
          <w:rtl/>
        </w:rPr>
        <w:t>رويج لتنويع الأغذية بالاستناد إلى حملات نشر التعليم وتبادله.</w:t>
      </w:r>
    </w:p>
    <w:p w:rsidR="00000000" w:rsidRDefault="00567B15">
      <w:pPr>
        <w:spacing w:line="380" w:lineRule="exact"/>
        <w:jc w:val="both"/>
        <w:rPr>
          <w:rStyle w:val="FootnoteReference"/>
          <w:rFonts w:hint="cs"/>
          <w:bCs w:val="0"/>
          <w:vertAlign w:val="baseline"/>
          <w:rtl/>
        </w:rPr>
      </w:pPr>
      <w:r>
        <w:rPr>
          <w:rFonts w:hint="cs"/>
          <w:rtl/>
        </w:rPr>
        <w:t>302-</w:t>
      </w:r>
      <w:r>
        <w:rPr>
          <w:rFonts w:hint="cs"/>
          <w:rtl/>
        </w:rPr>
        <w:tab/>
        <w:t>ووفقاً للمعايير الدولية، يؤثر سوء التغذية المزمن (انحراف بدرجتين معاريتين دون المستوى المرجعي لطول الطفل بالنسبة لعمره)</w:t>
      </w:r>
      <w:r>
        <w:rPr>
          <w:rFonts w:hint="cs"/>
          <w:vertAlign w:val="superscript"/>
          <w:rtl/>
        </w:rPr>
        <w:t>(41)</w:t>
      </w:r>
      <w:r>
        <w:rPr>
          <w:rFonts w:hint="cs"/>
          <w:rtl/>
        </w:rPr>
        <w:t xml:space="preserve"> على طفل من بين كل أربعة أطفال دون سن الخامسـة (الجدول 1)؛ وترتفع ح</w:t>
      </w:r>
      <w:r>
        <w:rPr>
          <w:rFonts w:hint="cs"/>
          <w:rtl/>
        </w:rPr>
        <w:t xml:space="preserve">الات نقص الطول بشكل كبير فيما بين سكان الأرياف، لا سيما في المرتفعات، حيث تتفشى حالات النقص بما تزيد نسبته على 40 في المائة. ويؤثر سوء التغذية العام (انحراف بدرجتين معياريتين دون المستوى المرحلي لوزن الطفل بالنسبة لعمره) على 14.6 في المائة من السكان ويتخذ </w:t>
      </w:r>
      <w:r>
        <w:rPr>
          <w:rFonts w:hint="cs"/>
          <w:rtl/>
        </w:rPr>
        <w:t>نفس المسار. وقلما تكون هناك إشكالات (مشيرة إلى سوء تغذية حاد) فيما يتعلق بنسب متوسط الوزن إلى متوسط الطول؛ ولوحظ أن هناك حالة مماثلة في معظم البلدان النامية</w:t>
      </w:r>
      <w:r>
        <w:rPr>
          <w:rFonts w:hint="cs"/>
          <w:vertAlign w:val="superscript"/>
          <w:rtl/>
        </w:rPr>
        <w:t>(42)</w:t>
      </w:r>
      <w:r>
        <w:rPr>
          <w:rFonts w:hint="cs"/>
          <w:rtl/>
        </w:rPr>
        <w:t>.</w:t>
      </w:r>
    </w:p>
    <w:p w:rsidR="00000000" w:rsidRDefault="00567B15">
      <w:pPr>
        <w:spacing w:before="120" w:after="120" w:line="320" w:lineRule="exact"/>
        <w:jc w:val="center"/>
        <w:rPr>
          <w:rFonts w:hint="cs"/>
          <w:b/>
          <w:bCs/>
          <w:rtl/>
        </w:rPr>
      </w:pPr>
      <w:r>
        <w:rPr>
          <w:rFonts w:hint="cs"/>
          <w:b/>
          <w:bCs/>
          <w:rtl/>
        </w:rPr>
        <w:t>الجدول 1</w:t>
      </w:r>
    </w:p>
    <w:p w:rsidR="00000000" w:rsidRDefault="00567B15">
      <w:pPr>
        <w:spacing w:before="120" w:after="120" w:line="320" w:lineRule="exact"/>
        <w:jc w:val="center"/>
        <w:rPr>
          <w:rFonts w:hint="cs"/>
          <w:b/>
          <w:bCs/>
          <w:rtl/>
        </w:rPr>
      </w:pPr>
      <w:r>
        <w:rPr>
          <w:rFonts w:hint="cs"/>
          <w:b/>
          <w:bCs/>
          <w:rtl/>
        </w:rPr>
        <w:t>تفشي سوء التغذية فيما بين الأطفال دون سن الخامسة، بحسب الموقع</w:t>
      </w:r>
    </w:p>
    <w:p w:rsidR="00000000" w:rsidRDefault="00567B15">
      <w:pPr>
        <w:spacing w:before="120" w:after="120" w:line="320" w:lineRule="exact"/>
        <w:jc w:val="center"/>
        <w:rPr>
          <w:rFonts w:hint="cs"/>
          <w:b/>
          <w:bCs/>
          <w:rtl/>
        </w:rPr>
      </w:pPr>
      <w:r>
        <w:rPr>
          <w:rFonts w:hint="cs"/>
          <w:b/>
          <w:bCs/>
          <w:rtl/>
        </w:rPr>
        <w:t xml:space="preserve">(دراسة استقصائية لظروف </w:t>
      </w:r>
      <w:r>
        <w:rPr>
          <w:rFonts w:hint="cs"/>
          <w:b/>
          <w:bCs/>
          <w:rtl/>
        </w:rPr>
        <w:t>المعيشة، 1998)</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8"/>
        <w:gridCol w:w="952"/>
        <w:gridCol w:w="2221"/>
        <w:gridCol w:w="2503"/>
        <w:gridCol w:w="2331"/>
      </w:tblGrid>
      <w:tr w:rsidR="00567B15" w:rsidTr="00567B15">
        <w:tblPrEx>
          <w:tblCellMar>
            <w:top w:w="0" w:type="dxa"/>
            <w:bottom w:w="0" w:type="dxa"/>
          </w:tblCellMar>
        </w:tblPrEx>
        <w:trPr>
          <w:cantSplit/>
          <w:trHeight w:val="973"/>
        </w:trPr>
        <w:tc>
          <w:tcPr>
            <w:tcW w:w="2310" w:type="dxa"/>
            <w:gridSpan w:val="2"/>
          </w:tcPr>
          <w:p w:rsidR="00567B15" w:rsidRDefault="00567B15">
            <w:pPr>
              <w:spacing w:after="0" w:line="300" w:lineRule="exact"/>
              <w:jc w:val="center"/>
              <w:rPr>
                <w:rFonts w:hint="cs"/>
                <w:sz w:val="26"/>
                <w:szCs w:val="26"/>
              </w:rPr>
            </w:pPr>
            <w:r>
              <w:rPr>
                <w:rFonts w:hint="cs"/>
                <w:sz w:val="26"/>
                <w:szCs w:val="26"/>
                <w:rtl/>
              </w:rPr>
              <w:t>الموقع</w:t>
            </w:r>
          </w:p>
        </w:tc>
        <w:tc>
          <w:tcPr>
            <w:tcW w:w="2221" w:type="dxa"/>
          </w:tcPr>
          <w:p w:rsidR="00567B15" w:rsidRDefault="00567B15">
            <w:pPr>
              <w:spacing w:before="0" w:after="0" w:line="300" w:lineRule="exact"/>
              <w:jc w:val="center"/>
              <w:rPr>
                <w:rFonts w:hint="cs"/>
                <w:spacing w:val="0"/>
                <w:sz w:val="26"/>
                <w:szCs w:val="26"/>
                <w:rtl/>
              </w:rPr>
            </w:pPr>
            <w:r>
              <w:rPr>
                <w:rFonts w:hint="cs"/>
                <w:spacing w:val="0"/>
                <w:sz w:val="26"/>
                <w:szCs w:val="26"/>
                <w:rtl/>
              </w:rPr>
              <w:t>سوء تغذية مزمن - متوسط الطول بالنسبة للعمر</w:t>
            </w:r>
          </w:p>
          <w:p w:rsidR="00567B15" w:rsidRDefault="00567B15">
            <w:pPr>
              <w:spacing w:before="0" w:after="0" w:line="300" w:lineRule="exact"/>
              <w:jc w:val="center"/>
              <w:rPr>
                <w:spacing w:val="0"/>
                <w:sz w:val="26"/>
                <w:szCs w:val="26"/>
              </w:rPr>
            </w:pPr>
            <w:r>
              <w:rPr>
                <w:rFonts w:hint="cs"/>
                <w:spacing w:val="0"/>
                <w:sz w:val="26"/>
                <w:szCs w:val="26"/>
                <w:rtl/>
              </w:rPr>
              <w:t xml:space="preserve">الانحراف المعياري&lt;-2 </w:t>
            </w:r>
            <w:r>
              <w:rPr>
                <w:rFonts w:cs="Mudir MT" w:hint="cs"/>
                <w:spacing w:val="0"/>
                <w:sz w:val="26"/>
                <w:szCs w:val="26"/>
                <w:rtl/>
                <w:lang w:eastAsia="en-US"/>
              </w:rPr>
              <w:t>%</w:t>
            </w:r>
          </w:p>
        </w:tc>
        <w:tc>
          <w:tcPr>
            <w:tcW w:w="2503" w:type="dxa"/>
          </w:tcPr>
          <w:p w:rsidR="00567B15" w:rsidRDefault="00567B15">
            <w:pPr>
              <w:spacing w:before="0" w:after="0" w:line="300" w:lineRule="exact"/>
              <w:jc w:val="center"/>
              <w:rPr>
                <w:rFonts w:hint="cs"/>
                <w:sz w:val="26"/>
                <w:szCs w:val="26"/>
                <w:rtl/>
              </w:rPr>
            </w:pPr>
            <w:r>
              <w:rPr>
                <w:rFonts w:hint="cs"/>
                <w:sz w:val="26"/>
                <w:szCs w:val="26"/>
                <w:rtl/>
              </w:rPr>
              <w:t>سوء تغذية عام - متوسط الوزن بالنسبة للعمر</w:t>
            </w:r>
          </w:p>
          <w:p w:rsidR="00567B15" w:rsidRDefault="00567B15">
            <w:pPr>
              <w:spacing w:before="0" w:after="0" w:line="300" w:lineRule="exact"/>
              <w:jc w:val="center"/>
              <w:rPr>
                <w:rFonts w:hint="cs"/>
                <w:spacing w:val="0"/>
                <w:sz w:val="26"/>
                <w:szCs w:val="26"/>
              </w:rPr>
            </w:pPr>
            <w:r>
              <w:rPr>
                <w:rFonts w:hint="cs"/>
                <w:spacing w:val="0"/>
                <w:sz w:val="26"/>
                <w:szCs w:val="26"/>
                <w:rtl/>
              </w:rPr>
              <w:t xml:space="preserve">الانحراف المعياري &lt;-2 </w:t>
            </w:r>
            <w:r>
              <w:rPr>
                <w:rFonts w:cs="Mudir MT" w:hint="cs"/>
                <w:spacing w:val="0"/>
                <w:sz w:val="26"/>
                <w:szCs w:val="26"/>
                <w:rtl/>
                <w:lang w:eastAsia="en-US"/>
              </w:rPr>
              <w:t>%</w:t>
            </w:r>
          </w:p>
        </w:tc>
        <w:tc>
          <w:tcPr>
            <w:tcW w:w="2331" w:type="dxa"/>
          </w:tcPr>
          <w:p w:rsidR="00567B15" w:rsidRDefault="00567B15">
            <w:pPr>
              <w:spacing w:before="0" w:after="0" w:line="300" w:lineRule="exact"/>
              <w:jc w:val="center"/>
              <w:rPr>
                <w:rFonts w:hint="cs"/>
                <w:sz w:val="26"/>
                <w:szCs w:val="26"/>
                <w:rtl/>
              </w:rPr>
            </w:pPr>
            <w:r>
              <w:rPr>
                <w:rFonts w:hint="cs"/>
                <w:sz w:val="26"/>
                <w:szCs w:val="26"/>
                <w:rtl/>
              </w:rPr>
              <w:t>سوء تغذي حاد - متوسط الوزن بالنسبة للطول</w:t>
            </w:r>
          </w:p>
          <w:p w:rsidR="00567B15" w:rsidRDefault="00567B15">
            <w:pPr>
              <w:spacing w:before="0" w:after="0" w:line="300" w:lineRule="exact"/>
              <w:jc w:val="center"/>
              <w:rPr>
                <w:rFonts w:hint="cs"/>
                <w:spacing w:val="0"/>
                <w:sz w:val="26"/>
                <w:szCs w:val="26"/>
              </w:rPr>
            </w:pPr>
            <w:r>
              <w:rPr>
                <w:rFonts w:hint="cs"/>
                <w:spacing w:val="0"/>
                <w:sz w:val="26"/>
                <w:szCs w:val="26"/>
                <w:rtl/>
              </w:rPr>
              <w:t xml:space="preserve">الانحراف المعياري &lt;-2 </w:t>
            </w:r>
            <w:r>
              <w:rPr>
                <w:rFonts w:cs="Mudir MT" w:hint="cs"/>
                <w:spacing w:val="0"/>
                <w:sz w:val="26"/>
                <w:szCs w:val="26"/>
                <w:rtl/>
                <w:lang w:eastAsia="en-US"/>
              </w:rPr>
              <w:t>%</w:t>
            </w:r>
          </w:p>
        </w:tc>
      </w:tr>
      <w:tr w:rsidR="00567B15" w:rsidTr="00567B15">
        <w:tblPrEx>
          <w:tblCellMar>
            <w:top w:w="0" w:type="dxa"/>
            <w:bottom w:w="0" w:type="dxa"/>
          </w:tblCellMar>
        </w:tblPrEx>
        <w:trPr>
          <w:trHeight w:val="1000"/>
        </w:trPr>
        <w:tc>
          <w:tcPr>
            <w:tcW w:w="1358" w:type="dxa"/>
          </w:tcPr>
          <w:p w:rsidR="00567B15" w:rsidRDefault="00567B15">
            <w:pPr>
              <w:spacing w:before="0" w:after="0" w:line="320" w:lineRule="exact"/>
              <w:jc w:val="both"/>
              <w:rPr>
                <w:rFonts w:hint="cs"/>
                <w:spacing w:val="0"/>
                <w:sz w:val="26"/>
                <w:szCs w:val="26"/>
              </w:rPr>
            </w:pPr>
            <w:r>
              <w:rPr>
                <w:rFonts w:hint="cs"/>
                <w:spacing w:val="0"/>
                <w:sz w:val="26"/>
                <w:szCs w:val="26"/>
                <w:rtl/>
              </w:rPr>
              <w:t>المنطقة الساحلية</w:t>
            </w:r>
          </w:p>
        </w:tc>
        <w:tc>
          <w:tcPr>
            <w:tcW w:w="952" w:type="dxa"/>
          </w:tcPr>
          <w:p w:rsidR="00567B15" w:rsidRDefault="00567B15">
            <w:pPr>
              <w:spacing w:before="0" w:after="0" w:line="320" w:lineRule="exact"/>
              <w:jc w:val="both"/>
              <w:rPr>
                <w:rFonts w:hint="cs"/>
                <w:sz w:val="26"/>
                <w:szCs w:val="26"/>
                <w:rtl/>
              </w:rPr>
            </w:pPr>
            <w:r>
              <w:rPr>
                <w:rFonts w:hint="cs"/>
                <w:sz w:val="26"/>
                <w:szCs w:val="26"/>
                <w:rtl/>
              </w:rPr>
              <w:t>الحضرية</w:t>
            </w:r>
          </w:p>
          <w:p w:rsidR="00567B15" w:rsidRDefault="00567B15">
            <w:pPr>
              <w:spacing w:before="0" w:after="0" w:line="320" w:lineRule="exact"/>
              <w:jc w:val="both"/>
              <w:rPr>
                <w:rFonts w:hint="cs"/>
                <w:sz w:val="26"/>
                <w:szCs w:val="26"/>
                <w:rtl/>
              </w:rPr>
            </w:pPr>
            <w:r>
              <w:rPr>
                <w:rFonts w:hint="cs"/>
                <w:sz w:val="26"/>
                <w:szCs w:val="26"/>
                <w:rtl/>
              </w:rPr>
              <w:t>الريفية</w:t>
            </w:r>
          </w:p>
          <w:p w:rsidR="00567B15" w:rsidRDefault="00567B15">
            <w:pPr>
              <w:spacing w:before="0" w:after="0" w:line="320" w:lineRule="exact"/>
              <w:jc w:val="both"/>
              <w:rPr>
                <w:rFonts w:hint="cs"/>
                <w:sz w:val="26"/>
                <w:szCs w:val="26"/>
              </w:rPr>
            </w:pPr>
            <w:r>
              <w:rPr>
                <w:rFonts w:hint="cs"/>
                <w:sz w:val="26"/>
                <w:szCs w:val="26"/>
                <w:rtl/>
              </w:rPr>
              <w:t>المجموع</w:t>
            </w:r>
          </w:p>
        </w:tc>
        <w:tc>
          <w:tcPr>
            <w:tcW w:w="2221" w:type="dxa"/>
          </w:tcPr>
          <w:p w:rsidR="00567B15" w:rsidRDefault="00567B15">
            <w:pPr>
              <w:spacing w:before="0" w:after="0" w:line="320" w:lineRule="exact"/>
              <w:jc w:val="center"/>
              <w:rPr>
                <w:rFonts w:hint="cs"/>
                <w:sz w:val="26"/>
                <w:szCs w:val="26"/>
                <w:rtl/>
              </w:rPr>
            </w:pPr>
            <w:r>
              <w:rPr>
                <w:rFonts w:hint="cs"/>
                <w:sz w:val="26"/>
                <w:szCs w:val="26"/>
                <w:rtl/>
              </w:rPr>
              <w:t>22.3</w:t>
            </w:r>
          </w:p>
          <w:p w:rsidR="00567B15" w:rsidRDefault="00567B15">
            <w:pPr>
              <w:spacing w:before="0" w:after="0" w:line="320" w:lineRule="exact"/>
              <w:jc w:val="center"/>
              <w:rPr>
                <w:rFonts w:hint="cs"/>
                <w:sz w:val="26"/>
                <w:szCs w:val="26"/>
                <w:rtl/>
              </w:rPr>
            </w:pPr>
            <w:r>
              <w:rPr>
                <w:rFonts w:hint="cs"/>
                <w:sz w:val="26"/>
                <w:szCs w:val="26"/>
                <w:rtl/>
              </w:rPr>
              <w:t>23.2</w:t>
            </w:r>
          </w:p>
          <w:p w:rsidR="00567B15" w:rsidRDefault="00567B15">
            <w:pPr>
              <w:spacing w:before="0" w:after="0" w:line="320" w:lineRule="exact"/>
              <w:jc w:val="center"/>
              <w:rPr>
                <w:rFonts w:hint="cs"/>
                <w:sz w:val="26"/>
                <w:szCs w:val="26"/>
              </w:rPr>
            </w:pPr>
            <w:r>
              <w:rPr>
                <w:rFonts w:hint="cs"/>
                <w:sz w:val="26"/>
                <w:szCs w:val="26"/>
                <w:rtl/>
              </w:rPr>
              <w:t>22.5</w:t>
            </w:r>
          </w:p>
        </w:tc>
        <w:tc>
          <w:tcPr>
            <w:tcW w:w="2503" w:type="dxa"/>
          </w:tcPr>
          <w:p w:rsidR="00567B15" w:rsidRDefault="00567B15">
            <w:pPr>
              <w:spacing w:before="0" w:after="0" w:line="320" w:lineRule="exact"/>
              <w:jc w:val="center"/>
              <w:rPr>
                <w:rFonts w:hint="cs"/>
                <w:sz w:val="26"/>
                <w:szCs w:val="26"/>
                <w:rtl/>
              </w:rPr>
            </w:pPr>
            <w:r>
              <w:rPr>
                <w:rFonts w:hint="cs"/>
                <w:sz w:val="26"/>
                <w:szCs w:val="26"/>
                <w:rtl/>
              </w:rPr>
              <w:t>12.8</w:t>
            </w:r>
          </w:p>
          <w:p w:rsidR="00567B15" w:rsidRDefault="00567B15">
            <w:pPr>
              <w:spacing w:before="0" w:after="0" w:line="320" w:lineRule="exact"/>
              <w:jc w:val="center"/>
              <w:rPr>
                <w:rFonts w:hint="cs"/>
                <w:sz w:val="26"/>
                <w:szCs w:val="26"/>
                <w:rtl/>
              </w:rPr>
            </w:pPr>
            <w:r>
              <w:rPr>
                <w:rFonts w:hint="cs"/>
                <w:sz w:val="26"/>
                <w:szCs w:val="26"/>
                <w:rtl/>
              </w:rPr>
              <w:t>20.0</w:t>
            </w:r>
          </w:p>
          <w:p w:rsidR="00567B15" w:rsidRDefault="00567B15">
            <w:pPr>
              <w:spacing w:before="0" w:after="0" w:line="320" w:lineRule="exact"/>
              <w:jc w:val="center"/>
              <w:rPr>
                <w:rFonts w:hint="cs"/>
                <w:sz w:val="26"/>
                <w:szCs w:val="26"/>
              </w:rPr>
            </w:pPr>
            <w:r>
              <w:rPr>
                <w:rFonts w:hint="cs"/>
                <w:sz w:val="26"/>
                <w:szCs w:val="26"/>
                <w:rtl/>
              </w:rPr>
              <w:t>14.9</w:t>
            </w:r>
          </w:p>
        </w:tc>
        <w:tc>
          <w:tcPr>
            <w:tcW w:w="2331" w:type="dxa"/>
          </w:tcPr>
          <w:p w:rsidR="00567B15" w:rsidRDefault="00567B15">
            <w:pPr>
              <w:spacing w:before="0" w:after="0" w:line="320" w:lineRule="exact"/>
              <w:jc w:val="center"/>
              <w:rPr>
                <w:rFonts w:hint="cs"/>
                <w:sz w:val="26"/>
                <w:szCs w:val="26"/>
                <w:rtl/>
              </w:rPr>
            </w:pPr>
            <w:r>
              <w:rPr>
                <w:rFonts w:hint="cs"/>
                <w:sz w:val="26"/>
                <w:szCs w:val="26"/>
                <w:rtl/>
              </w:rPr>
              <w:t>2.3</w:t>
            </w:r>
          </w:p>
          <w:p w:rsidR="00567B15" w:rsidRDefault="00567B15">
            <w:pPr>
              <w:spacing w:before="0" w:after="0" w:line="320" w:lineRule="exact"/>
              <w:jc w:val="center"/>
              <w:rPr>
                <w:rFonts w:hint="cs"/>
                <w:sz w:val="26"/>
                <w:szCs w:val="26"/>
                <w:rtl/>
              </w:rPr>
            </w:pPr>
            <w:r>
              <w:rPr>
                <w:rFonts w:hint="cs"/>
                <w:sz w:val="26"/>
                <w:szCs w:val="26"/>
                <w:rtl/>
              </w:rPr>
              <w:t>3.8</w:t>
            </w:r>
          </w:p>
          <w:p w:rsidR="00567B15" w:rsidRDefault="00567B15">
            <w:pPr>
              <w:spacing w:before="0" w:after="0" w:line="320" w:lineRule="exact"/>
              <w:jc w:val="center"/>
              <w:rPr>
                <w:rFonts w:hint="cs"/>
                <w:sz w:val="26"/>
                <w:szCs w:val="26"/>
              </w:rPr>
            </w:pPr>
            <w:r>
              <w:rPr>
                <w:rFonts w:hint="cs"/>
                <w:sz w:val="26"/>
                <w:szCs w:val="26"/>
                <w:rtl/>
              </w:rPr>
              <w:t>2.7</w:t>
            </w:r>
          </w:p>
        </w:tc>
      </w:tr>
      <w:tr w:rsidR="00567B15" w:rsidTr="00567B15">
        <w:tblPrEx>
          <w:tblCellMar>
            <w:top w:w="0" w:type="dxa"/>
            <w:bottom w:w="0" w:type="dxa"/>
          </w:tblCellMar>
        </w:tblPrEx>
        <w:trPr>
          <w:trHeight w:val="1014"/>
        </w:trPr>
        <w:tc>
          <w:tcPr>
            <w:tcW w:w="1358" w:type="dxa"/>
          </w:tcPr>
          <w:p w:rsidR="00567B15" w:rsidRDefault="00567B15">
            <w:pPr>
              <w:spacing w:before="0" w:after="0" w:line="320" w:lineRule="exact"/>
              <w:jc w:val="both"/>
              <w:rPr>
                <w:rFonts w:hint="cs"/>
                <w:spacing w:val="0"/>
                <w:sz w:val="26"/>
                <w:szCs w:val="26"/>
              </w:rPr>
            </w:pPr>
            <w:r>
              <w:rPr>
                <w:rFonts w:hint="cs"/>
                <w:spacing w:val="0"/>
                <w:sz w:val="26"/>
                <w:szCs w:val="26"/>
                <w:rtl/>
              </w:rPr>
              <w:t>منطقة المرتفعات</w:t>
            </w:r>
          </w:p>
        </w:tc>
        <w:tc>
          <w:tcPr>
            <w:tcW w:w="952" w:type="dxa"/>
          </w:tcPr>
          <w:p w:rsidR="00567B15" w:rsidRDefault="00567B15">
            <w:pPr>
              <w:spacing w:before="0" w:after="0" w:line="320" w:lineRule="exact"/>
              <w:jc w:val="both"/>
              <w:rPr>
                <w:rFonts w:hint="cs"/>
                <w:sz w:val="26"/>
                <w:szCs w:val="26"/>
                <w:rtl/>
              </w:rPr>
            </w:pPr>
            <w:r>
              <w:rPr>
                <w:rFonts w:hint="cs"/>
                <w:sz w:val="26"/>
                <w:szCs w:val="26"/>
                <w:rtl/>
              </w:rPr>
              <w:t>الحضرية</w:t>
            </w:r>
          </w:p>
          <w:p w:rsidR="00567B15" w:rsidRDefault="00567B15">
            <w:pPr>
              <w:spacing w:before="0" w:after="0" w:line="320" w:lineRule="exact"/>
              <w:jc w:val="both"/>
              <w:rPr>
                <w:rFonts w:hint="cs"/>
                <w:sz w:val="26"/>
                <w:szCs w:val="26"/>
                <w:rtl/>
              </w:rPr>
            </w:pPr>
            <w:r>
              <w:rPr>
                <w:rFonts w:hint="cs"/>
                <w:sz w:val="26"/>
                <w:szCs w:val="26"/>
                <w:rtl/>
              </w:rPr>
              <w:t>الريفية</w:t>
            </w:r>
          </w:p>
          <w:p w:rsidR="00567B15" w:rsidRDefault="00567B15">
            <w:pPr>
              <w:spacing w:before="0" w:after="0" w:line="320" w:lineRule="exact"/>
              <w:jc w:val="both"/>
              <w:rPr>
                <w:rFonts w:hint="cs"/>
                <w:sz w:val="26"/>
                <w:szCs w:val="26"/>
              </w:rPr>
            </w:pPr>
            <w:r>
              <w:rPr>
                <w:rFonts w:hint="cs"/>
                <w:sz w:val="26"/>
                <w:szCs w:val="26"/>
                <w:rtl/>
              </w:rPr>
              <w:t>المجموع</w:t>
            </w:r>
          </w:p>
        </w:tc>
        <w:tc>
          <w:tcPr>
            <w:tcW w:w="2221" w:type="dxa"/>
          </w:tcPr>
          <w:p w:rsidR="00567B15" w:rsidRDefault="00567B15">
            <w:pPr>
              <w:spacing w:before="0" w:after="0" w:line="320" w:lineRule="exact"/>
              <w:jc w:val="center"/>
              <w:rPr>
                <w:rFonts w:hint="cs"/>
                <w:sz w:val="26"/>
                <w:szCs w:val="26"/>
                <w:rtl/>
              </w:rPr>
            </w:pPr>
            <w:r>
              <w:rPr>
                <w:rFonts w:hint="cs"/>
                <w:sz w:val="26"/>
                <w:szCs w:val="26"/>
                <w:rtl/>
              </w:rPr>
              <w:t>22.1</w:t>
            </w:r>
          </w:p>
          <w:p w:rsidR="00567B15" w:rsidRDefault="00567B15">
            <w:pPr>
              <w:spacing w:before="0" w:after="0" w:line="320" w:lineRule="exact"/>
              <w:jc w:val="center"/>
              <w:rPr>
                <w:rFonts w:hint="cs"/>
                <w:sz w:val="26"/>
                <w:szCs w:val="26"/>
                <w:rtl/>
              </w:rPr>
            </w:pPr>
            <w:r>
              <w:rPr>
                <w:rFonts w:hint="cs"/>
                <w:sz w:val="26"/>
                <w:szCs w:val="26"/>
                <w:rtl/>
              </w:rPr>
              <w:t>41.0</w:t>
            </w:r>
          </w:p>
          <w:p w:rsidR="00567B15" w:rsidRDefault="00567B15">
            <w:pPr>
              <w:spacing w:before="0" w:after="0" w:line="320" w:lineRule="exact"/>
              <w:jc w:val="center"/>
              <w:rPr>
                <w:rFonts w:hint="cs"/>
                <w:sz w:val="26"/>
                <w:szCs w:val="26"/>
              </w:rPr>
            </w:pPr>
            <w:r>
              <w:rPr>
                <w:rFonts w:hint="cs"/>
                <w:sz w:val="26"/>
                <w:szCs w:val="26"/>
                <w:rtl/>
              </w:rPr>
              <w:t>32.9</w:t>
            </w:r>
          </w:p>
        </w:tc>
        <w:tc>
          <w:tcPr>
            <w:tcW w:w="2503" w:type="dxa"/>
          </w:tcPr>
          <w:p w:rsidR="00567B15" w:rsidRDefault="00567B15">
            <w:pPr>
              <w:spacing w:before="0" w:after="0" w:line="320" w:lineRule="exact"/>
              <w:jc w:val="center"/>
              <w:rPr>
                <w:rFonts w:hint="cs"/>
                <w:sz w:val="26"/>
                <w:szCs w:val="26"/>
                <w:rtl/>
              </w:rPr>
            </w:pPr>
            <w:r>
              <w:rPr>
                <w:rFonts w:hint="cs"/>
                <w:sz w:val="26"/>
                <w:szCs w:val="26"/>
                <w:rtl/>
              </w:rPr>
              <w:t>9.2</w:t>
            </w:r>
          </w:p>
          <w:p w:rsidR="00567B15" w:rsidRDefault="00567B15">
            <w:pPr>
              <w:spacing w:before="0" w:after="0" w:line="320" w:lineRule="exact"/>
              <w:jc w:val="center"/>
              <w:rPr>
                <w:rFonts w:hint="cs"/>
                <w:sz w:val="26"/>
                <w:szCs w:val="26"/>
                <w:rtl/>
              </w:rPr>
            </w:pPr>
            <w:r>
              <w:rPr>
                <w:rFonts w:hint="cs"/>
                <w:sz w:val="26"/>
                <w:szCs w:val="26"/>
                <w:rtl/>
              </w:rPr>
              <w:t>18.8</w:t>
            </w:r>
          </w:p>
          <w:p w:rsidR="00567B15" w:rsidRDefault="00567B15">
            <w:pPr>
              <w:spacing w:before="0" w:after="0" w:line="320" w:lineRule="exact"/>
              <w:jc w:val="center"/>
              <w:rPr>
                <w:rFonts w:hint="cs"/>
                <w:sz w:val="26"/>
                <w:szCs w:val="26"/>
              </w:rPr>
            </w:pPr>
            <w:r>
              <w:rPr>
                <w:rFonts w:hint="cs"/>
                <w:sz w:val="26"/>
                <w:szCs w:val="26"/>
                <w:rtl/>
              </w:rPr>
              <w:t>14.7</w:t>
            </w:r>
          </w:p>
        </w:tc>
        <w:tc>
          <w:tcPr>
            <w:tcW w:w="2331" w:type="dxa"/>
          </w:tcPr>
          <w:p w:rsidR="00567B15" w:rsidRDefault="00567B15">
            <w:pPr>
              <w:spacing w:before="0" w:after="0" w:line="320" w:lineRule="exact"/>
              <w:jc w:val="center"/>
              <w:rPr>
                <w:rFonts w:hint="cs"/>
                <w:sz w:val="26"/>
                <w:szCs w:val="26"/>
                <w:rtl/>
              </w:rPr>
            </w:pPr>
            <w:r>
              <w:rPr>
                <w:rFonts w:hint="cs"/>
                <w:sz w:val="26"/>
                <w:szCs w:val="26"/>
                <w:rtl/>
              </w:rPr>
              <w:t>0.9</w:t>
            </w:r>
          </w:p>
          <w:p w:rsidR="00567B15" w:rsidRDefault="00567B15">
            <w:pPr>
              <w:spacing w:before="0" w:after="0" w:line="320" w:lineRule="exact"/>
              <w:jc w:val="center"/>
              <w:rPr>
                <w:rFonts w:hint="cs"/>
                <w:sz w:val="26"/>
                <w:szCs w:val="26"/>
                <w:rtl/>
              </w:rPr>
            </w:pPr>
            <w:r>
              <w:rPr>
                <w:rFonts w:hint="cs"/>
                <w:sz w:val="26"/>
                <w:szCs w:val="26"/>
                <w:rtl/>
              </w:rPr>
              <w:t>2.8</w:t>
            </w:r>
          </w:p>
          <w:p w:rsidR="00567B15" w:rsidRDefault="00567B15">
            <w:pPr>
              <w:spacing w:before="0" w:after="0" w:line="320" w:lineRule="exact"/>
              <w:jc w:val="center"/>
              <w:rPr>
                <w:rFonts w:hint="cs"/>
                <w:sz w:val="26"/>
                <w:szCs w:val="26"/>
              </w:rPr>
            </w:pPr>
            <w:r>
              <w:rPr>
                <w:rFonts w:hint="cs"/>
                <w:sz w:val="26"/>
                <w:szCs w:val="26"/>
                <w:rtl/>
              </w:rPr>
              <w:t>2.0</w:t>
            </w:r>
          </w:p>
        </w:tc>
      </w:tr>
      <w:tr w:rsidR="00567B15" w:rsidTr="00567B15">
        <w:tblPrEx>
          <w:tblCellMar>
            <w:top w:w="0" w:type="dxa"/>
            <w:bottom w:w="0" w:type="dxa"/>
          </w:tblCellMar>
        </w:tblPrEx>
        <w:trPr>
          <w:trHeight w:val="1014"/>
        </w:trPr>
        <w:tc>
          <w:tcPr>
            <w:tcW w:w="1358" w:type="dxa"/>
          </w:tcPr>
          <w:p w:rsidR="00567B15" w:rsidRDefault="00567B15">
            <w:pPr>
              <w:spacing w:before="0" w:after="0" w:line="320" w:lineRule="exact"/>
              <w:jc w:val="both"/>
              <w:rPr>
                <w:rFonts w:hint="cs"/>
                <w:spacing w:val="0"/>
                <w:sz w:val="26"/>
                <w:szCs w:val="26"/>
              </w:rPr>
            </w:pPr>
            <w:r>
              <w:rPr>
                <w:rFonts w:hint="cs"/>
                <w:spacing w:val="0"/>
                <w:sz w:val="26"/>
                <w:szCs w:val="26"/>
                <w:rtl/>
              </w:rPr>
              <w:t>المنطقة الشرقية</w:t>
            </w:r>
          </w:p>
        </w:tc>
        <w:tc>
          <w:tcPr>
            <w:tcW w:w="952" w:type="dxa"/>
          </w:tcPr>
          <w:p w:rsidR="00567B15" w:rsidRDefault="00567B15">
            <w:pPr>
              <w:spacing w:before="0" w:after="0" w:line="320" w:lineRule="exact"/>
              <w:jc w:val="both"/>
              <w:rPr>
                <w:rFonts w:hint="cs"/>
                <w:sz w:val="26"/>
                <w:szCs w:val="26"/>
                <w:rtl/>
              </w:rPr>
            </w:pPr>
            <w:r>
              <w:rPr>
                <w:rFonts w:hint="cs"/>
                <w:sz w:val="26"/>
                <w:szCs w:val="26"/>
                <w:rtl/>
              </w:rPr>
              <w:t>الحضرية</w:t>
            </w:r>
          </w:p>
          <w:p w:rsidR="00567B15" w:rsidRDefault="00567B15">
            <w:pPr>
              <w:spacing w:before="0" w:after="0" w:line="320" w:lineRule="exact"/>
              <w:jc w:val="both"/>
              <w:rPr>
                <w:rFonts w:hint="cs"/>
                <w:sz w:val="26"/>
                <w:szCs w:val="26"/>
                <w:rtl/>
              </w:rPr>
            </w:pPr>
            <w:r>
              <w:rPr>
                <w:rFonts w:hint="cs"/>
                <w:sz w:val="26"/>
                <w:szCs w:val="26"/>
                <w:rtl/>
              </w:rPr>
              <w:t>الريفية</w:t>
            </w:r>
          </w:p>
          <w:p w:rsidR="00567B15" w:rsidRDefault="00567B15">
            <w:pPr>
              <w:spacing w:before="0" w:after="0" w:line="320" w:lineRule="exact"/>
              <w:jc w:val="both"/>
              <w:rPr>
                <w:rFonts w:hint="cs"/>
                <w:sz w:val="26"/>
                <w:szCs w:val="26"/>
              </w:rPr>
            </w:pPr>
            <w:r>
              <w:rPr>
                <w:rFonts w:hint="cs"/>
                <w:sz w:val="26"/>
                <w:szCs w:val="26"/>
                <w:rtl/>
              </w:rPr>
              <w:t>المجموع</w:t>
            </w:r>
          </w:p>
        </w:tc>
        <w:tc>
          <w:tcPr>
            <w:tcW w:w="2221" w:type="dxa"/>
          </w:tcPr>
          <w:p w:rsidR="00567B15" w:rsidRDefault="00567B15">
            <w:pPr>
              <w:spacing w:before="0" w:after="0" w:line="320" w:lineRule="exact"/>
              <w:jc w:val="center"/>
              <w:rPr>
                <w:rFonts w:hint="cs"/>
                <w:sz w:val="26"/>
                <w:szCs w:val="26"/>
                <w:rtl/>
              </w:rPr>
            </w:pPr>
            <w:r>
              <w:rPr>
                <w:rFonts w:hint="cs"/>
                <w:sz w:val="26"/>
                <w:szCs w:val="26"/>
                <w:rtl/>
              </w:rPr>
              <w:t>19.1</w:t>
            </w:r>
          </w:p>
          <w:p w:rsidR="00567B15" w:rsidRDefault="00567B15">
            <w:pPr>
              <w:spacing w:before="0" w:after="0" w:line="320" w:lineRule="exact"/>
              <w:jc w:val="center"/>
              <w:rPr>
                <w:rFonts w:hint="cs"/>
                <w:sz w:val="26"/>
                <w:szCs w:val="26"/>
                <w:rtl/>
              </w:rPr>
            </w:pPr>
            <w:r>
              <w:rPr>
                <w:rFonts w:hint="cs"/>
                <w:sz w:val="26"/>
                <w:szCs w:val="26"/>
                <w:rtl/>
              </w:rPr>
              <w:t>27.2</w:t>
            </w:r>
          </w:p>
          <w:p w:rsidR="00567B15" w:rsidRDefault="00567B15">
            <w:pPr>
              <w:spacing w:before="0" w:after="0" w:line="320" w:lineRule="exact"/>
              <w:jc w:val="center"/>
              <w:rPr>
                <w:rFonts w:hint="cs"/>
                <w:sz w:val="26"/>
                <w:szCs w:val="26"/>
              </w:rPr>
            </w:pPr>
            <w:r>
              <w:rPr>
                <w:rFonts w:hint="cs"/>
                <w:sz w:val="26"/>
                <w:szCs w:val="26"/>
                <w:rtl/>
              </w:rPr>
              <w:t>25.7</w:t>
            </w:r>
          </w:p>
        </w:tc>
        <w:tc>
          <w:tcPr>
            <w:tcW w:w="2503" w:type="dxa"/>
          </w:tcPr>
          <w:p w:rsidR="00567B15" w:rsidRDefault="00567B15">
            <w:pPr>
              <w:spacing w:before="0" w:after="0" w:line="320" w:lineRule="exact"/>
              <w:jc w:val="center"/>
              <w:rPr>
                <w:rFonts w:hint="cs"/>
                <w:sz w:val="26"/>
                <w:szCs w:val="26"/>
                <w:rtl/>
              </w:rPr>
            </w:pPr>
            <w:r>
              <w:rPr>
                <w:rFonts w:hint="cs"/>
                <w:sz w:val="26"/>
                <w:szCs w:val="26"/>
                <w:rtl/>
              </w:rPr>
              <w:t>8.3</w:t>
            </w:r>
          </w:p>
          <w:p w:rsidR="00567B15" w:rsidRDefault="00567B15">
            <w:pPr>
              <w:spacing w:before="0" w:after="0" w:line="320" w:lineRule="exact"/>
              <w:jc w:val="center"/>
              <w:rPr>
                <w:rFonts w:hint="cs"/>
                <w:sz w:val="26"/>
                <w:szCs w:val="26"/>
                <w:rtl/>
              </w:rPr>
            </w:pPr>
            <w:r>
              <w:rPr>
                <w:rFonts w:hint="cs"/>
                <w:sz w:val="26"/>
                <w:szCs w:val="26"/>
                <w:rtl/>
              </w:rPr>
              <w:t>10.0</w:t>
            </w:r>
          </w:p>
          <w:p w:rsidR="00567B15" w:rsidRDefault="00567B15">
            <w:pPr>
              <w:spacing w:before="0" w:after="0" w:line="320" w:lineRule="exact"/>
              <w:jc w:val="center"/>
              <w:rPr>
                <w:rFonts w:hint="cs"/>
                <w:sz w:val="26"/>
                <w:szCs w:val="26"/>
              </w:rPr>
            </w:pPr>
            <w:r>
              <w:rPr>
                <w:rFonts w:hint="cs"/>
                <w:sz w:val="26"/>
                <w:szCs w:val="26"/>
                <w:rtl/>
              </w:rPr>
              <w:t>9.7</w:t>
            </w:r>
          </w:p>
        </w:tc>
        <w:tc>
          <w:tcPr>
            <w:tcW w:w="2331" w:type="dxa"/>
          </w:tcPr>
          <w:p w:rsidR="00567B15" w:rsidRDefault="00567B15">
            <w:pPr>
              <w:spacing w:before="0" w:after="0" w:line="320" w:lineRule="exact"/>
              <w:jc w:val="center"/>
              <w:rPr>
                <w:rFonts w:hint="cs"/>
                <w:sz w:val="26"/>
                <w:szCs w:val="26"/>
                <w:rtl/>
              </w:rPr>
            </w:pPr>
            <w:r>
              <w:rPr>
                <w:rFonts w:hint="cs"/>
                <w:sz w:val="26"/>
                <w:szCs w:val="26"/>
                <w:rtl/>
              </w:rPr>
              <w:t>0.0</w:t>
            </w:r>
          </w:p>
          <w:p w:rsidR="00567B15" w:rsidRDefault="00567B15">
            <w:pPr>
              <w:spacing w:before="0" w:after="0" w:line="320" w:lineRule="exact"/>
              <w:jc w:val="center"/>
              <w:rPr>
                <w:rFonts w:hint="cs"/>
                <w:sz w:val="26"/>
                <w:szCs w:val="26"/>
                <w:rtl/>
              </w:rPr>
            </w:pPr>
            <w:r>
              <w:rPr>
                <w:rFonts w:hint="cs"/>
                <w:sz w:val="26"/>
                <w:szCs w:val="26"/>
                <w:rtl/>
              </w:rPr>
              <w:t>0.0</w:t>
            </w:r>
          </w:p>
          <w:p w:rsidR="00567B15" w:rsidRDefault="00567B15">
            <w:pPr>
              <w:spacing w:before="0" w:after="0" w:line="320" w:lineRule="exact"/>
              <w:jc w:val="center"/>
              <w:rPr>
                <w:rFonts w:hint="cs"/>
                <w:sz w:val="26"/>
                <w:szCs w:val="26"/>
              </w:rPr>
            </w:pPr>
            <w:r>
              <w:rPr>
                <w:rFonts w:hint="cs"/>
                <w:sz w:val="26"/>
                <w:szCs w:val="26"/>
                <w:rtl/>
              </w:rPr>
              <w:t>0.0</w:t>
            </w:r>
          </w:p>
        </w:tc>
      </w:tr>
      <w:tr w:rsidR="00567B15" w:rsidTr="00567B15">
        <w:tblPrEx>
          <w:tblCellMar>
            <w:top w:w="0" w:type="dxa"/>
            <w:bottom w:w="0" w:type="dxa"/>
          </w:tblCellMar>
        </w:tblPrEx>
        <w:trPr>
          <w:trHeight w:val="1042"/>
        </w:trPr>
        <w:tc>
          <w:tcPr>
            <w:tcW w:w="1358" w:type="dxa"/>
          </w:tcPr>
          <w:p w:rsidR="00567B15" w:rsidRDefault="00567B15">
            <w:pPr>
              <w:spacing w:before="0" w:after="0" w:line="320" w:lineRule="exact"/>
              <w:jc w:val="both"/>
              <w:rPr>
                <w:rFonts w:hint="cs"/>
                <w:spacing w:val="0"/>
                <w:sz w:val="26"/>
                <w:szCs w:val="26"/>
                <w:rtl/>
              </w:rPr>
            </w:pPr>
            <w:r>
              <w:rPr>
                <w:rFonts w:hint="cs"/>
                <w:spacing w:val="0"/>
                <w:sz w:val="26"/>
                <w:szCs w:val="26"/>
                <w:rtl/>
              </w:rPr>
              <w:t>المجموع</w:t>
            </w:r>
          </w:p>
        </w:tc>
        <w:tc>
          <w:tcPr>
            <w:tcW w:w="952" w:type="dxa"/>
          </w:tcPr>
          <w:p w:rsidR="00567B15" w:rsidRDefault="00567B15">
            <w:pPr>
              <w:spacing w:before="0" w:after="0" w:line="320" w:lineRule="exact"/>
              <w:jc w:val="both"/>
              <w:rPr>
                <w:rFonts w:hint="cs"/>
                <w:sz w:val="26"/>
                <w:szCs w:val="26"/>
                <w:rtl/>
              </w:rPr>
            </w:pPr>
            <w:r>
              <w:rPr>
                <w:rFonts w:hint="cs"/>
                <w:sz w:val="26"/>
                <w:szCs w:val="26"/>
                <w:rtl/>
              </w:rPr>
              <w:t>الحضرية</w:t>
            </w:r>
          </w:p>
          <w:p w:rsidR="00567B15" w:rsidRDefault="00567B15">
            <w:pPr>
              <w:spacing w:before="0" w:after="0" w:line="320" w:lineRule="exact"/>
              <w:jc w:val="both"/>
              <w:rPr>
                <w:rFonts w:hint="cs"/>
                <w:sz w:val="26"/>
                <w:szCs w:val="26"/>
                <w:rtl/>
              </w:rPr>
            </w:pPr>
            <w:r>
              <w:rPr>
                <w:rFonts w:hint="cs"/>
                <w:sz w:val="26"/>
                <w:szCs w:val="26"/>
                <w:rtl/>
              </w:rPr>
              <w:t>الريفية</w:t>
            </w:r>
          </w:p>
          <w:p w:rsidR="00567B15" w:rsidRDefault="00567B15">
            <w:pPr>
              <w:spacing w:before="0" w:after="0" w:line="320" w:lineRule="exact"/>
              <w:jc w:val="both"/>
              <w:rPr>
                <w:rFonts w:hint="cs"/>
                <w:sz w:val="26"/>
                <w:szCs w:val="26"/>
              </w:rPr>
            </w:pPr>
            <w:r>
              <w:rPr>
                <w:rFonts w:hint="cs"/>
                <w:sz w:val="26"/>
                <w:szCs w:val="26"/>
                <w:rtl/>
              </w:rPr>
              <w:t>المجموع</w:t>
            </w:r>
          </w:p>
        </w:tc>
        <w:tc>
          <w:tcPr>
            <w:tcW w:w="2221" w:type="dxa"/>
          </w:tcPr>
          <w:p w:rsidR="00567B15" w:rsidRDefault="00567B15">
            <w:pPr>
              <w:spacing w:before="0" w:after="0" w:line="320" w:lineRule="exact"/>
              <w:jc w:val="center"/>
              <w:rPr>
                <w:rFonts w:hint="cs"/>
                <w:sz w:val="26"/>
                <w:szCs w:val="26"/>
                <w:rtl/>
              </w:rPr>
            </w:pPr>
            <w:r>
              <w:rPr>
                <w:rFonts w:hint="cs"/>
                <w:sz w:val="26"/>
                <w:szCs w:val="26"/>
                <w:rtl/>
              </w:rPr>
              <w:t>22.2</w:t>
            </w:r>
          </w:p>
          <w:p w:rsidR="00567B15" w:rsidRDefault="00567B15">
            <w:pPr>
              <w:spacing w:before="0" w:after="0" w:line="320" w:lineRule="exact"/>
              <w:jc w:val="center"/>
              <w:rPr>
                <w:rFonts w:hint="cs"/>
                <w:sz w:val="26"/>
                <w:szCs w:val="26"/>
                <w:rtl/>
              </w:rPr>
            </w:pPr>
            <w:r>
              <w:rPr>
                <w:rFonts w:hint="cs"/>
                <w:sz w:val="26"/>
                <w:szCs w:val="26"/>
                <w:rtl/>
              </w:rPr>
              <w:t>33.0</w:t>
            </w:r>
          </w:p>
          <w:p w:rsidR="00567B15" w:rsidRDefault="00567B15">
            <w:pPr>
              <w:spacing w:before="0" w:after="0" w:line="320" w:lineRule="exact"/>
              <w:jc w:val="center"/>
              <w:rPr>
                <w:rFonts w:hint="cs"/>
                <w:sz w:val="26"/>
                <w:szCs w:val="26"/>
              </w:rPr>
            </w:pPr>
            <w:r>
              <w:rPr>
                <w:rFonts w:hint="cs"/>
                <w:sz w:val="26"/>
                <w:szCs w:val="26"/>
                <w:rtl/>
              </w:rPr>
              <w:t>26.7</w:t>
            </w:r>
          </w:p>
        </w:tc>
        <w:tc>
          <w:tcPr>
            <w:tcW w:w="2503" w:type="dxa"/>
          </w:tcPr>
          <w:p w:rsidR="00567B15" w:rsidRDefault="00567B15">
            <w:pPr>
              <w:spacing w:before="0" w:after="0" w:line="320" w:lineRule="exact"/>
              <w:jc w:val="center"/>
              <w:rPr>
                <w:rFonts w:hint="cs"/>
                <w:sz w:val="26"/>
                <w:szCs w:val="26"/>
                <w:rtl/>
              </w:rPr>
            </w:pPr>
            <w:r>
              <w:rPr>
                <w:rFonts w:hint="cs"/>
                <w:sz w:val="26"/>
                <w:szCs w:val="26"/>
                <w:rtl/>
              </w:rPr>
              <w:t>11.7</w:t>
            </w:r>
          </w:p>
          <w:p w:rsidR="00567B15" w:rsidRDefault="00567B15">
            <w:pPr>
              <w:spacing w:before="0" w:after="0" w:line="320" w:lineRule="exact"/>
              <w:jc w:val="center"/>
              <w:rPr>
                <w:rFonts w:hint="cs"/>
                <w:sz w:val="26"/>
                <w:szCs w:val="26"/>
                <w:rtl/>
              </w:rPr>
            </w:pPr>
            <w:r>
              <w:rPr>
                <w:rFonts w:hint="cs"/>
                <w:sz w:val="26"/>
                <w:szCs w:val="26"/>
                <w:rtl/>
              </w:rPr>
              <w:t>18.6</w:t>
            </w:r>
          </w:p>
          <w:p w:rsidR="00567B15" w:rsidRDefault="00567B15">
            <w:pPr>
              <w:spacing w:before="0" w:after="0" w:line="320" w:lineRule="exact"/>
              <w:jc w:val="center"/>
              <w:rPr>
                <w:rFonts w:hint="cs"/>
                <w:sz w:val="26"/>
                <w:szCs w:val="26"/>
              </w:rPr>
            </w:pPr>
            <w:r>
              <w:rPr>
                <w:rFonts w:hint="cs"/>
                <w:sz w:val="26"/>
                <w:szCs w:val="26"/>
                <w:rtl/>
              </w:rPr>
              <w:t>14.6</w:t>
            </w:r>
          </w:p>
        </w:tc>
        <w:tc>
          <w:tcPr>
            <w:tcW w:w="2331" w:type="dxa"/>
          </w:tcPr>
          <w:p w:rsidR="00567B15" w:rsidRDefault="00567B15">
            <w:pPr>
              <w:spacing w:before="0" w:after="0" w:line="320" w:lineRule="exact"/>
              <w:jc w:val="center"/>
              <w:rPr>
                <w:rFonts w:hint="cs"/>
                <w:sz w:val="26"/>
                <w:szCs w:val="26"/>
                <w:rtl/>
              </w:rPr>
            </w:pPr>
            <w:r>
              <w:rPr>
                <w:rFonts w:hint="cs"/>
                <w:sz w:val="26"/>
                <w:szCs w:val="26"/>
                <w:rtl/>
              </w:rPr>
              <w:t>1.9</w:t>
            </w:r>
          </w:p>
          <w:p w:rsidR="00567B15" w:rsidRDefault="00567B15">
            <w:pPr>
              <w:spacing w:before="0" w:after="0" w:line="320" w:lineRule="exact"/>
              <w:jc w:val="center"/>
              <w:rPr>
                <w:rFonts w:hint="cs"/>
                <w:sz w:val="26"/>
                <w:szCs w:val="26"/>
                <w:rtl/>
              </w:rPr>
            </w:pPr>
            <w:r>
              <w:rPr>
                <w:rFonts w:hint="cs"/>
                <w:sz w:val="26"/>
                <w:szCs w:val="26"/>
                <w:rtl/>
              </w:rPr>
              <w:t>3.0</w:t>
            </w:r>
          </w:p>
          <w:p w:rsidR="00567B15" w:rsidRDefault="00567B15">
            <w:pPr>
              <w:spacing w:before="0" w:after="0" w:line="320" w:lineRule="exact"/>
              <w:jc w:val="center"/>
              <w:rPr>
                <w:rFonts w:hint="cs"/>
                <w:sz w:val="26"/>
                <w:szCs w:val="26"/>
              </w:rPr>
            </w:pPr>
            <w:r>
              <w:rPr>
                <w:rFonts w:hint="cs"/>
                <w:sz w:val="26"/>
                <w:szCs w:val="26"/>
                <w:rtl/>
              </w:rPr>
              <w:t>2.3</w:t>
            </w:r>
          </w:p>
        </w:tc>
      </w:tr>
    </w:tbl>
    <w:p w:rsidR="00000000" w:rsidRDefault="00567B15">
      <w:pPr>
        <w:jc w:val="both"/>
        <w:rPr>
          <w:rFonts w:hint="cs"/>
          <w:rtl/>
        </w:rPr>
      </w:pPr>
      <w:r>
        <w:rPr>
          <w:rFonts w:hint="cs"/>
          <w:rtl/>
        </w:rPr>
        <w:tab/>
      </w:r>
      <w:r>
        <w:rPr>
          <w:rFonts w:hint="cs"/>
          <w:u w:val="single"/>
          <w:rtl/>
        </w:rPr>
        <w:t>المصدر</w:t>
      </w:r>
      <w:r>
        <w:rPr>
          <w:rFonts w:hint="cs"/>
          <w:rtl/>
        </w:rPr>
        <w:t>:</w:t>
      </w:r>
      <w:r>
        <w:rPr>
          <w:rFonts w:hint="cs"/>
          <w:rtl/>
        </w:rPr>
        <w:tab/>
        <w:t>وزارة الدولة للتنمية البشرية، 1999</w:t>
      </w:r>
      <w:r>
        <w:rPr>
          <w:rFonts w:hint="cs"/>
          <w:vertAlign w:val="superscript"/>
          <w:rtl/>
        </w:rPr>
        <w:t>(43)</w:t>
      </w:r>
      <w:r>
        <w:rPr>
          <w:rFonts w:hint="cs"/>
          <w:rtl/>
        </w:rPr>
        <w:t>.</w:t>
      </w:r>
    </w:p>
    <w:p w:rsidR="00000000" w:rsidRDefault="00567B15">
      <w:pPr>
        <w:spacing w:line="380" w:lineRule="exact"/>
        <w:jc w:val="both"/>
        <w:rPr>
          <w:rFonts w:hint="cs"/>
          <w:spacing w:val="0"/>
          <w:rtl/>
        </w:rPr>
      </w:pPr>
      <w:r>
        <w:rPr>
          <w:rFonts w:hint="cs"/>
          <w:spacing w:val="0"/>
          <w:rtl/>
        </w:rPr>
        <w:t>303-</w:t>
      </w:r>
      <w:r>
        <w:rPr>
          <w:rFonts w:hint="cs"/>
          <w:spacing w:val="0"/>
          <w:rtl/>
        </w:rPr>
        <w:tab/>
        <w:t>يبين الجدول أعلاه أن تأثير سوء التغذية على الطول هو الأكثر وضوحاً. ومعظم حالات سوء التغذية تنجم عن نقص مزمن في الغذاء بالاقتران مع عوامل وراثية أخرى وعدم كفاية المرافق الصح</w:t>
      </w:r>
      <w:r>
        <w:rPr>
          <w:rFonts w:hint="cs"/>
          <w:spacing w:val="0"/>
          <w:rtl/>
        </w:rPr>
        <w:t xml:space="preserve">ية، الذي يعتبر الأكثر خطورة فيما بين الجماعات الاقتصادية - الاجتماعية والمناطق الجغرافية المهمشة التي تضم السكان الأصليين والسود. </w:t>
      </w:r>
    </w:p>
    <w:p w:rsidR="00000000" w:rsidRDefault="00567B15">
      <w:pPr>
        <w:spacing w:line="380" w:lineRule="exact"/>
        <w:jc w:val="both"/>
        <w:rPr>
          <w:rFonts w:hint="cs"/>
          <w:rtl/>
        </w:rPr>
      </w:pPr>
      <w:r>
        <w:rPr>
          <w:rFonts w:hint="cs"/>
          <w:rtl/>
        </w:rPr>
        <w:t>304-</w:t>
      </w:r>
      <w:r>
        <w:rPr>
          <w:rFonts w:hint="cs"/>
          <w:rtl/>
        </w:rPr>
        <w:tab/>
        <w:t>ويعزى انخفاض معدلات سوء التغذية في السنوات الأخيرة أساساً إلى قيام وزارة الصحة العامة بتنفيذ استراتيجيات تدعو إلى الرضاع</w:t>
      </w:r>
      <w:r>
        <w:rPr>
          <w:rFonts w:hint="cs"/>
          <w:rtl/>
        </w:rPr>
        <w:t>ة الطبيعية، والبرنامج الموسع للتحصين. وبالطبع، لم تتحسن ظروف المعيشة، بل أدت، عوضاً عن ذلك، إلى إفقار السكان، مثلما يتبين من المؤشرات التي جرى تحليلها أعلاه. وقدم اعتماد قانون إصلاح الرعاية المجانية للولادة، الذي أرسى إطاراً قانونياً ومالياً لضمان حصول الس</w:t>
      </w:r>
      <w:r>
        <w:rPr>
          <w:rFonts w:hint="cs"/>
          <w:rtl/>
        </w:rPr>
        <w:t>كان الأكثر فقراً على الخدمات الصحية، رعاية وقائية للرضع والأطفال دون سن الخامسة. كما عمل على ضمان إدارة الأموال المخصصة إدارة لا مركزية، من خلال لجان الإدارة المحلية واللجان المعنية بإرضاء المنتفعين التي تفسح المجال أمام مشاركة الجماعات النسائية في عملية ا</w:t>
      </w:r>
      <w:r>
        <w:rPr>
          <w:rFonts w:hint="cs"/>
          <w:rtl/>
        </w:rPr>
        <w:t xml:space="preserve">لتخطيط. </w:t>
      </w:r>
    </w:p>
    <w:p w:rsidR="00000000" w:rsidRDefault="00567B15">
      <w:pPr>
        <w:spacing w:line="380" w:lineRule="exact"/>
        <w:jc w:val="both"/>
        <w:rPr>
          <w:rFonts w:hint="cs"/>
          <w:i/>
          <w:iCs/>
          <w:rtl/>
        </w:rPr>
      </w:pPr>
      <w:r>
        <w:rPr>
          <w:rFonts w:hint="cs"/>
          <w:i/>
          <w:iCs/>
          <w:rtl/>
        </w:rPr>
        <w:t>حالة الجماعات الضعيفة</w:t>
      </w:r>
    </w:p>
    <w:p w:rsidR="00000000" w:rsidRDefault="00567B15">
      <w:pPr>
        <w:spacing w:line="380" w:lineRule="exact"/>
        <w:jc w:val="both"/>
        <w:rPr>
          <w:rFonts w:hint="cs"/>
          <w:rtl/>
        </w:rPr>
      </w:pPr>
      <w:r>
        <w:rPr>
          <w:rFonts w:hint="cs"/>
          <w:rtl/>
        </w:rPr>
        <w:t>305-</w:t>
      </w:r>
      <w:r>
        <w:rPr>
          <w:rFonts w:hint="cs"/>
          <w:rtl/>
        </w:rPr>
        <w:tab/>
        <w:t>لا تزال وزارة الزراعة والثروة الحيوانية تعمل، منذ الثمانينات، في وضع برامج لتحسين حالة المرأة. وهي الآن عاكفة على تكثيف سياساتها وبرامجها وإجراءاتها، وفقاً لدور المرأة الحالي الذي لا يقتصر على كونها من تدعم الأسرة بالمنت</w:t>
      </w:r>
      <w:r>
        <w:rPr>
          <w:rFonts w:hint="cs"/>
          <w:rtl/>
        </w:rPr>
        <w:t xml:space="preserve">جات الزراعية فحسب، بل باعتبارها الفرد المسؤول مباشرة عن هذا النشاط، نظراً لغياب الرجل في معظم الأحيان ولوجوب زيادة دخل الأسرة. </w:t>
      </w:r>
    </w:p>
    <w:p w:rsidR="00000000" w:rsidRDefault="00567B15">
      <w:pPr>
        <w:spacing w:line="380" w:lineRule="exact"/>
        <w:jc w:val="both"/>
        <w:rPr>
          <w:rFonts w:hint="cs"/>
          <w:rtl/>
        </w:rPr>
      </w:pPr>
      <w:r>
        <w:rPr>
          <w:rFonts w:hint="cs"/>
          <w:rtl/>
        </w:rPr>
        <w:t>306-</w:t>
      </w:r>
      <w:r>
        <w:rPr>
          <w:rFonts w:hint="cs"/>
          <w:rtl/>
        </w:rPr>
        <w:tab/>
        <w:t>ويعد قطاع الشباب قطاعاً آخر ذا أهمية رئيسية بالنسبة للتنمية الريفية. وهذان القطاعان هما المستفيدان المباشران من مشاريع التن</w:t>
      </w:r>
      <w:r>
        <w:rPr>
          <w:rFonts w:hint="cs"/>
          <w:rtl/>
        </w:rPr>
        <w:t>مية التي تدعمها الوزارة، مما يعود بالنفع على الأسرة والمجتمع والقطاع الريفي عموماً. وتتولى إدارة هذا البرنامج الشعبة الوطنية للمزارعات والمزارعين الشباب والأسر المزارعة، المنشأة بموجب الاتفاق الوزاري رقم 180، الذي نشر في العدد 958 من الجريدة الرسمية بتاريخ</w:t>
      </w:r>
      <w:r>
        <w:rPr>
          <w:rFonts w:hint="cs"/>
          <w:rtl/>
        </w:rPr>
        <w:t xml:space="preserve"> 3 حزيران/يونيه 1996. </w:t>
      </w:r>
    </w:p>
    <w:p w:rsidR="00000000" w:rsidRDefault="00567B15">
      <w:pPr>
        <w:spacing w:line="380" w:lineRule="exact"/>
        <w:jc w:val="both"/>
        <w:rPr>
          <w:rFonts w:hint="cs"/>
          <w:rtl/>
        </w:rPr>
      </w:pPr>
      <w:r>
        <w:rPr>
          <w:rFonts w:hint="cs"/>
          <w:rtl/>
        </w:rPr>
        <w:t>307-</w:t>
      </w:r>
      <w:r>
        <w:rPr>
          <w:rFonts w:hint="cs"/>
          <w:rtl/>
        </w:rPr>
        <w:tab/>
        <w:t>ويهدف العمل الذي تنهض به الشعبة الوطنية للمزارعات والمزارعين الشباب والأسر المزارعة إلى تعزيز العمل الفعال والاستفادة المثلى من الموارد البشرية والتقنية والمالية والمادية لضمان تغيير الوضع الاجتماعي والاقتصادي لهذا القطاع، عن طر</w:t>
      </w:r>
      <w:r>
        <w:rPr>
          <w:rFonts w:hint="cs"/>
          <w:rtl/>
        </w:rPr>
        <w:t xml:space="preserve">يق تصميم السياسات والخطط والبرامج والمشاريع مع التركيز على الجانب الجنساني، والعمل في نفس الوقت على احترام العادات والجوانب العرقية والثقافية وإيلائها ما تستحقه من اهتمام. </w:t>
      </w:r>
    </w:p>
    <w:p w:rsidR="00000000" w:rsidRDefault="00567B15">
      <w:pPr>
        <w:spacing w:line="380" w:lineRule="exact"/>
        <w:jc w:val="both"/>
        <w:rPr>
          <w:rFonts w:hint="cs"/>
          <w:rtl/>
        </w:rPr>
      </w:pPr>
      <w:r>
        <w:rPr>
          <w:rFonts w:hint="cs"/>
          <w:rtl/>
        </w:rPr>
        <w:t>308-</w:t>
      </w:r>
      <w:r>
        <w:rPr>
          <w:rFonts w:hint="cs"/>
          <w:rtl/>
        </w:rPr>
        <w:tab/>
        <w:t>ويتمثل هدف الشعبة في تضمين التركيز على الجانب الجنساني في كافة خطط الوزارة وبر</w:t>
      </w:r>
      <w:r>
        <w:rPr>
          <w:rFonts w:hint="cs"/>
          <w:rtl/>
        </w:rPr>
        <w:t xml:space="preserve">امجها ومشاريعها وتصميم منهجية للتدريب ونقل التكنولوجيا تتسم بمنظور جنساني، وتطوير العمليات التدريبية لاستهلال مشاريع إنتاجية. وتتولى الشعبة متابعة تنفيذ المشروع ورصده وتقدم العون والخدمات الاستشارية للمنظمات من أجل تنظيم المشاريع وإدارتها المالية وتمويلها </w:t>
      </w:r>
      <w:r>
        <w:rPr>
          <w:rFonts w:hint="cs"/>
          <w:rtl/>
        </w:rPr>
        <w:t xml:space="preserve">وتنسيق وضع الإجراءات التي تعود بالنفع على المزارعات والمزارعين الشباب والأسر المزارعة، داخل هذه المؤسسات وفيما بينها. </w:t>
      </w:r>
    </w:p>
    <w:p w:rsidR="00000000" w:rsidRDefault="00567B15">
      <w:pPr>
        <w:spacing w:line="380" w:lineRule="exact"/>
        <w:jc w:val="both"/>
        <w:rPr>
          <w:rFonts w:hint="cs"/>
          <w:rtl/>
        </w:rPr>
      </w:pPr>
    </w:p>
    <w:p w:rsidR="00000000" w:rsidRDefault="00567B15">
      <w:pPr>
        <w:spacing w:line="380" w:lineRule="exact"/>
        <w:jc w:val="both"/>
        <w:rPr>
          <w:rFonts w:hint="cs"/>
          <w:i/>
          <w:iCs/>
          <w:rtl/>
        </w:rPr>
      </w:pPr>
      <w:r>
        <w:rPr>
          <w:rFonts w:hint="cs"/>
          <w:i/>
          <w:iCs/>
          <w:rtl/>
        </w:rPr>
        <w:t>السياسات الجديدة</w:t>
      </w:r>
    </w:p>
    <w:p w:rsidR="00000000" w:rsidRDefault="00567B15">
      <w:pPr>
        <w:spacing w:line="380" w:lineRule="exact"/>
        <w:jc w:val="both"/>
        <w:rPr>
          <w:rFonts w:hint="cs"/>
          <w:spacing w:val="2"/>
          <w:rtl/>
        </w:rPr>
      </w:pPr>
      <w:r>
        <w:rPr>
          <w:rFonts w:hint="cs"/>
          <w:spacing w:val="2"/>
          <w:rtl/>
        </w:rPr>
        <w:t>309-</w:t>
      </w:r>
      <w:r>
        <w:rPr>
          <w:rFonts w:hint="cs"/>
          <w:spacing w:val="2"/>
          <w:rtl/>
        </w:rPr>
        <w:tab/>
        <w:t>خلفت القيود التي تفرضها سياسات التعديل والتي تنفذها الحكومات من أجل تحقيق ميزانية متوازنة آثاراً على الجماعات الأق</w:t>
      </w:r>
      <w:r>
        <w:rPr>
          <w:rFonts w:hint="cs"/>
          <w:spacing w:val="2"/>
          <w:rtl/>
        </w:rPr>
        <w:t>ل دخلاً. وقد عجلت، في السنوات الأخيرة، التغييرات السكانية في إكوادور متخذة شكل هجرة السكان من الريف إلى المدينة، مما أدى إلى ازدياد المناطق الحضرية المهمّشة زيادة سريعة جداً مكونة بذلك حزاماً من الفقر، لا سيما حول كيتو وغواياكيل. وتحمل الهجرة في جعبتها تغي</w:t>
      </w:r>
      <w:r>
        <w:rPr>
          <w:rFonts w:hint="cs"/>
          <w:spacing w:val="2"/>
          <w:rtl/>
        </w:rPr>
        <w:t>يرات جوهرية في أساليب الحياة، بل وتغييرات في عادات الأكل، نظراً لاستهلاك المزيد من أنواع الأغذية التي لا تلبي المتطلبات التغذوية الأساسية، غير أنها ليست مكلفة وبالتالي يمكن الحصول عليها بشكل أكثر. وهناك عوامل أخرى تؤثر على توافر الغذاء واستهلاكه، هي المستو</w:t>
      </w:r>
      <w:r>
        <w:rPr>
          <w:rFonts w:hint="cs"/>
          <w:spacing w:val="2"/>
          <w:rtl/>
        </w:rPr>
        <w:t xml:space="preserve">ى التعليمي للأمهات والعادات والممارسات المتبعة في الأكل ونوعية الامدادات الغذائية وانتظام توافرها. </w:t>
      </w:r>
    </w:p>
    <w:p w:rsidR="00000000" w:rsidRDefault="00567B15">
      <w:pPr>
        <w:spacing w:line="380" w:lineRule="exact"/>
        <w:jc w:val="both"/>
        <w:rPr>
          <w:rFonts w:hint="cs"/>
          <w:b/>
          <w:bCs/>
          <w:rtl/>
        </w:rPr>
      </w:pPr>
      <w:r>
        <w:rPr>
          <w:rFonts w:hint="cs"/>
          <w:b/>
          <w:bCs/>
          <w:rtl/>
        </w:rPr>
        <w:t>الأمن الغذائي</w:t>
      </w:r>
    </w:p>
    <w:p w:rsidR="00000000" w:rsidRDefault="00567B15">
      <w:pPr>
        <w:spacing w:line="380" w:lineRule="exact"/>
        <w:jc w:val="both"/>
        <w:rPr>
          <w:rFonts w:hint="cs"/>
          <w:rtl/>
        </w:rPr>
      </w:pPr>
      <w:r>
        <w:rPr>
          <w:rFonts w:hint="cs"/>
          <w:rtl/>
        </w:rPr>
        <w:t>310-</w:t>
      </w:r>
      <w:r>
        <w:rPr>
          <w:rFonts w:hint="cs"/>
          <w:rtl/>
        </w:rPr>
        <w:tab/>
        <w:t>إن الأمن الغذائي لسكان إكوادور الفقراء مزعزع. والحق في الغذاء الكافي هو حق من الحقوق الجوهرية. ويعطى أولوية على مختلف الصعد الحكومية، وهن</w:t>
      </w:r>
      <w:r>
        <w:rPr>
          <w:rFonts w:hint="cs"/>
          <w:rtl/>
        </w:rPr>
        <w:t xml:space="preserve">اك إجراءات مختلفة تتخذ لضمان إعمال هذا الحق. </w:t>
      </w:r>
    </w:p>
    <w:p w:rsidR="00000000" w:rsidRDefault="00567B15">
      <w:pPr>
        <w:spacing w:line="380" w:lineRule="exact"/>
        <w:jc w:val="both"/>
        <w:rPr>
          <w:rFonts w:hint="cs"/>
          <w:spacing w:val="2"/>
          <w:rtl/>
        </w:rPr>
      </w:pPr>
      <w:r>
        <w:rPr>
          <w:rFonts w:hint="cs"/>
          <w:spacing w:val="2"/>
          <w:rtl/>
        </w:rPr>
        <w:t>311-</w:t>
      </w:r>
      <w:r>
        <w:rPr>
          <w:rFonts w:hint="cs"/>
          <w:spacing w:val="2"/>
          <w:rtl/>
        </w:rPr>
        <w:tab/>
        <w:t>فالمرسوم التشريعي رقم 1039 المنشور في العدد 234 من الجريدة الرسمية بتاريخ 13 كانون الثاني/يناير 1998، يعلن أن "الأمن الغذائي للشعب الإكوادوري وبالتالي البرامج الخاصة الرامية إلى ضمان الأمن الغذائي في البلا</w:t>
      </w:r>
      <w:r>
        <w:rPr>
          <w:rFonts w:hint="cs"/>
          <w:spacing w:val="2"/>
          <w:rtl/>
        </w:rPr>
        <w:t>د هي سياسة من سياسات الدولة" أنشئت من أجلها اللجنة التنفيذية الوطنية المعنية بالأمن الغذائي. وهي تتولى وضع مبادئ توجيهية وسياسات ترمي إلى ضمان مشاركة السكان مشاركة فعالة ومنصفة في تحقيق الأمن الغذائي.</w:t>
      </w:r>
    </w:p>
    <w:p w:rsidR="00000000" w:rsidRDefault="00567B15">
      <w:pPr>
        <w:spacing w:line="380" w:lineRule="exact"/>
        <w:jc w:val="both"/>
        <w:rPr>
          <w:rFonts w:hint="cs"/>
          <w:rtl/>
        </w:rPr>
      </w:pPr>
      <w:r>
        <w:rPr>
          <w:rFonts w:hint="cs"/>
          <w:rtl/>
        </w:rPr>
        <w:t>312-</w:t>
      </w:r>
      <w:r>
        <w:rPr>
          <w:rFonts w:hint="cs"/>
          <w:rtl/>
        </w:rPr>
        <w:tab/>
        <w:t>وترأس وزارة الزراعة والثروة الحيوانية اللجنة التنف</w:t>
      </w:r>
      <w:r>
        <w:rPr>
          <w:rFonts w:hint="cs"/>
          <w:rtl/>
        </w:rPr>
        <w:t>يذية الوطنية المعنية بالأمن الغذائي، التي تضم وزارة الصحة العامة ووزارة الضمان الاجتماعي ووزارة التعليم ووزارة الخارجية ووزارة البيئة، إلى جانب هيئات أخرى من قبيل مكتب التخطيط التابع لمكتب رئيس الجمهورية ومجلس الأمن الوطني والمجلس الوطني المعني بالموارد ال</w:t>
      </w:r>
      <w:r>
        <w:rPr>
          <w:rFonts w:hint="cs"/>
          <w:rtl/>
        </w:rPr>
        <w:t xml:space="preserve">مائية ومجلس النهوض بأعراق وشعوب إكوادور والمنظمات غير الحكومية مثل سكويبوس </w:t>
      </w:r>
      <w:r>
        <w:t>CEQUIPUS</w:t>
      </w:r>
      <w:r>
        <w:rPr>
          <w:rFonts w:hint="cs"/>
          <w:rtl/>
        </w:rPr>
        <w:t>، ومؤسسة الاتصالات والتنمية وشبكة الزراعة والديمقراطية للأمريكيتين والمنظمات الدولية كمنظمة الأمم المتحدة للأغذية والزراعة وبرنامج الأمم المتحدة الإنمائي وبرنامج الأغذية الع</w:t>
      </w:r>
      <w:r>
        <w:rPr>
          <w:rFonts w:hint="cs"/>
          <w:rtl/>
        </w:rPr>
        <w:t xml:space="preserve">المي التي تؤدي دوراً استشارياً. </w:t>
      </w:r>
    </w:p>
    <w:p w:rsidR="00000000" w:rsidRDefault="00567B15">
      <w:pPr>
        <w:spacing w:line="380" w:lineRule="exact"/>
        <w:jc w:val="both"/>
        <w:rPr>
          <w:rFonts w:hint="cs"/>
          <w:rtl/>
        </w:rPr>
      </w:pPr>
      <w:r>
        <w:rPr>
          <w:rFonts w:hint="cs"/>
          <w:rtl/>
        </w:rPr>
        <w:t>313-</w:t>
      </w:r>
      <w:r>
        <w:rPr>
          <w:rFonts w:hint="cs"/>
          <w:rtl/>
        </w:rPr>
        <w:tab/>
        <w:t xml:space="preserve">وبدأت هذه اللجنة، التي تعمل برعاية منظمة الأمم المتحدة للأغذية والزراعة، بتنفيذ البرنامج الخاص للأمن الغذائي في إكوادور. </w:t>
      </w:r>
    </w:p>
    <w:p w:rsidR="00000000" w:rsidRDefault="00567B15">
      <w:pPr>
        <w:spacing w:line="380" w:lineRule="exact"/>
        <w:jc w:val="both"/>
        <w:rPr>
          <w:rFonts w:hint="cs"/>
          <w:rtl/>
        </w:rPr>
      </w:pPr>
      <w:r>
        <w:rPr>
          <w:rFonts w:hint="cs"/>
          <w:rtl/>
        </w:rPr>
        <w:t>314-</w:t>
      </w:r>
      <w:r>
        <w:rPr>
          <w:rFonts w:hint="cs"/>
          <w:rtl/>
        </w:rPr>
        <w:tab/>
        <w:t>ويهدف هذا البرنامج إلى تعزيز وتوجيه جهود المؤسسات الحكومية والخاصة فضلاً عن منظمات شؤون الم</w:t>
      </w:r>
      <w:r>
        <w:rPr>
          <w:rFonts w:hint="cs"/>
          <w:rtl/>
        </w:rPr>
        <w:t xml:space="preserve">زارعين والهيئات الدولية التي تعنى بجوانب الأمن الغذائي الاجتماعية والتقنية، ضمن إطار سياسي وبرنامجي وتشغيلي ملائم لظروف البلد. </w:t>
      </w:r>
    </w:p>
    <w:p w:rsidR="00000000" w:rsidRDefault="00567B15">
      <w:pPr>
        <w:spacing w:line="380" w:lineRule="exact"/>
        <w:jc w:val="both"/>
        <w:rPr>
          <w:rFonts w:hint="cs"/>
          <w:rtl/>
        </w:rPr>
      </w:pPr>
      <w:r>
        <w:rPr>
          <w:rFonts w:hint="cs"/>
          <w:rtl/>
        </w:rPr>
        <w:t>315-</w:t>
      </w:r>
      <w:r>
        <w:rPr>
          <w:rFonts w:hint="cs"/>
          <w:rtl/>
        </w:rPr>
        <w:tab/>
        <w:t xml:space="preserve">ويجري حالياً تنفيذ برنامجين استطلاعيين عامين، أو "برنامجين شاملين"، أحدهما في قطاع آمبوكي التابع لإقليم إمبابورا والآخر في </w:t>
      </w:r>
      <w:r>
        <w:rPr>
          <w:rFonts w:hint="cs"/>
          <w:rtl/>
        </w:rPr>
        <w:t xml:space="preserve">قطاع ريو بورتوفييخو فالي التابع لإقليم مانابي. ويتضمن هذا المشروع إشراك مؤسسات القطاع العام، التي تقدم الخبرة والموارد للإنتاج الزراعي والثروة الحيوانية. </w:t>
      </w:r>
    </w:p>
    <w:p w:rsidR="00000000" w:rsidRDefault="00567B15">
      <w:pPr>
        <w:spacing w:line="380" w:lineRule="exact"/>
        <w:jc w:val="both"/>
        <w:rPr>
          <w:rFonts w:hint="cs"/>
          <w:rtl/>
        </w:rPr>
      </w:pPr>
      <w:r>
        <w:rPr>
          <w:rFonts w:hint="cs"/>
          <w:rtl/>
        </w:rPr>
        <w:t>316-</w:t>
      </w:r>
      <w:r>
        <w:rPr>
          <w:rFonts w:hint="cs"/>
          <w:rtl/>
        </w:rPr>
        <w:tab/>
        <w:t>ويمثل هذان البرنامجان اللذان يجري تنفيذهما أساساً أو مختبراً يمكن فيه تطبيق تكنولوجيات لزيادة ال</w:t>
      </w:r>
      <w:r>
        <w:rPr>
          <w:rFonts w:hint="cs"/>
          <w:rtl/>
        </w:rPr>
        <w:t>محاصيل التقليدية وتنوعيها وتحسين العمل المجتمعي باستخدام منهجيات ملائمة وضمان الأمن الغذائي. ويفسح البرنامجان المجال أمام استغلال الموارد المائية استغلالاً أفضل وتحسين إدارة البيئة للمجتمعات التي تزرع الحدائق وتزاول الحراجة الزراعية وتربي الأسماك، بهدف زيا</w:t>
      </w:r>
      <w:r>
        <w:rPr>
          <w:rFonts w:hint="cs"/>
          <w:rtl/>
        </w:rPr>
        <w:t xml:space="preserve">دة الدخل وتحسين ظروف المعيشة. </w:t>
      </w:r>
    </w:p>
    <w:p w:rsidR="00000000" w:rsidRDefault="00567B15">
      <w:pPr>
        <w:spacing w:line="380" w:lineRule="exact"/>
        <w:jc w:val="both"/>
        <w:rPr>
          <w:rFonts w:hint="cs"/>
          <w:rtl/>
        </w:rPr>
      </w:pPr>
      <w:r>
        <w:rPr>
          <w:rFonts w:hint="cs"/>
          <w:rtl/>
        </w:rPr>
        <w:t>317-</w:t>
      </w:r>
      <w:r>
        <w:rPr>
          <w:rFonts w:hint="cs"/>
          <w:rtl/>
        </w:rPr>
        <w:tab/>
        <w:t>وأنشأت الحكومة معهداً وطنياً للبحوث الزراعية لمكافحة أمراض النباتات التي تؤثر على محاصيل البلاد. وتحول هذا المعهد بموجب قانون صدر عن الكونغرس في عام 1992 إلى كيان لا مركزي خاضع للقانون العام له شخصية قانونية واستقلالية إ</w:t>
      </w:r>
      <w:r>
        <w:rPr>
          <w:rFonts w:hint="cs"/>
          <w:rtl/>
        </w:rPr>
        <w:t xml:space="preserve">دارية واقتصادية ومالية وتقنية، ولـه أصوله وميزانيته الخاصة به. </w:t>
      </w:r>
    </w:p>
    <w:p w:rsidR="00000000" w:rsidRDefault="00567B15">
      <w:pPr>
        <w:spacing w:line="380" w:lineRule="exact"/>
        <w:jc w:val="both"/>
        <w:rPr>
          <w:rFonts w:hint="cs"/>
          <w:rtl/>
        </w:rPr>
      </w:pPr>
      <w:r>
        <w:rPr>
          <w:rFonts w:hint="cs"/>
          <w:rtl/>
        </w:rPr>
        <w:t>318-</w:t>
      </w:r>
      <w:r>
        <w:rPr>
          <w:rFonts w:hint="cs"/>
          <w:rtl/>
        </w:rPr>
        <w:tab/>
        <w:t xml:space="preserve">والمعهد الوطني للبحوث الزراعية هو المؤسسة الرئيسية في البلاد المخصصة للبحوث الزراعية، ويعمل على نحو وثيق مع الجامعات في هذا الصدد. ويركز المعهد معظم جهوده على تطوير المعارف والتكنولوجيات </w:t>
      </w:r>
      <w:r>
        <w:rPr>
          <w:rFonts w:hint="cs"/>
          <w:rtl/>
        </w:rPr>
        <w:t>والخدمات الرامية إلى تلبية احتياجات صغار المنتجين ومتوسطي الحجم منهم، لإفساح المجال أمامهم لتحقيق مستويات إنتاج أعلى وإنتاجية أكبر ومنتوج ذو نوعية أفضل كيما يتسنى تلبية الطلب المتزايد على الغذاء وتحسين ظروف معيشة السكان وتعزيز المساواة فيما بينهم، مما يؤدي</w:t>
      </w:r>
      <w:r>
        <w:rPr>
          <w:rFonts w:hint="cs"/>
          <w:rtl/>
        </w:rPr>
        <w:t xml:space="preserve"> بالتالي إلى تخفيض مستويات الفقر. </w:t>
      </w:r>
    </w:p>
    <w:p w:rsidR="00000000" w:rsidRDefault="00567B15">
      <w:pPr>
        <w:spacing w:line="380" w:lineRule="exact"/>
        <w:jc w:val="both"/>
        <w:rPr>
          <w:rFonts w:hint="cs"/>
          <w:rtl/>
        </w:rPr>
      </w:pPr>
      <w:r>
        <w:rPr>
          <w:rFonts w:hint="cs"/>
          <w:rtl/>
        </w:rPr>
        <w:t>319-</w:t>
      </w:r>
      <w:r>
        <w:rPr>
          <w:rFonts w:hint="cs"/>
          <w:rtl/>
        </w:rPr>
        <w:tab/>
        <w:t>ومن الضروري، لدى القيام بذلك، وضع استراتيجيات وآليات ترمي إلى إتاحة الفرصة أمام مشاركة المنتفعين والمستخدمين والزبائن مشاركة فعالة في تحديد الأولويات، مما يحقق بالتالي الشرعية والدعم ويصونهما.</w:t>
      </w:r>
    </w:p>
    <w:p w:rsidR="00000000" w:rsidRDefault="00567B15">
      <w:pPr>
        <w:spacing w:line="380" w:lineRule="exact"/>
        <w:jc w:val="both"/>
        <w:rPr>
          <w:rFonts w:hint="cs"/>
          <w:rtl/>
        </w:rPr>
      </w:pPr>
      <w:r>
        <w:rPr>
          <w:rFonts w:hint="cs"/>
          <w:rtl/>
        </w:rPr>
        <w:t>320-</w:t>
      </w:r>
      <w:r>
        <w:rPr>
          <w:rFonts w:hint="cs"/>
          <w:rtl/>
        </w:rPr>
        <w:tab/>
        <w:t>وتتمثل مهمة المعهد</w:t>
      </w:r>
      <w:r>
        <w:rPr>
          <w:rFonts w:hint="cs"/>
          <w:rtl/>
        </w:rPr>
        <w:t xml:space="preserve"> في "تقديم تكنولوجيات وخدمات زراعية" تحقق الأهداف التالية: </w:t>
      </w:r>
    </w:p>
    <w:p w:rsidR="00000000" w:rsidRDefault="00567B15">
      <w:pPr>
        <w:spacing w:before="180" w:after="180" w:line="380" w:lineRule="exact"/>
        <w:jc w:val="both"/>
        <w:rPr>
          <w:rFonts w:hint="cs"/>
          <w:rtl/>
        </w:rPr>
      </w:pPr>
      <w:r>
        <w:rPr>
          <w:rFonts w:hint="cs"/>
          <w:rtl/>
        </w:rPr>
        <w:tab/>
        <w:t>(أ)</w:t>
      </w:r>
      <w:r>
        <w:rPr>
          <w:rFonts w:hint="cs"/>
          <w:rtl/>
        </w:rPr>
        <w:tab/>
        <w:t>إجراء البحوث في ميدان المعارف العلمية والتقنية وتطويرها وتطبيقها لضمان استغلال الموارد الطبيعية واستخدامها وصيانتها بشكل رشيد في القطاع الزراعي؛</w:t>
      </w:r>
    </w:p>
    <w:p w:rsidR="00000000" w:rsidRDefault="00567B15">
      <w:pPr>
        <w:spacing w:before="180" w:after="180" w:line="380" w:lineRule="exact"/>
        <w:jc w:val="both"/>
        <w:rPr>
          <w:rFonts w:hint="cs"/>
          <w:rtl/>
        </w:rPr>
      </w:pPr>
      <w:r>
        <w:rPr>
          <w:rFonts w:hint="cs"/>
          <w:rtl/>
        </w:rPr>
        <w:tab/>
        <w:t>(ب)</w:t>
      </w:r>
      <w:r>
        <w:rPr>
          <w:rFonts w:hint="cs"/>
          <w:rtl/>
        </w:rPr>
        <w:tab/>
        <w:t>الإسهام في زيادة الإنتاج الزراعي وإنتاجيت</w:t>
      </w:r>
      <w:r>
        <w:rPr>
          <w:rFonts w:hint="cs"/>
          <w:rtl/>
        </w:rPr>
        <w:t xml:space="preserve">ه زيادة مستدامة، وفي تحسين المنتجات الزراعية من حيث النوعية، عن طريق تطوير التكنولوجيا وتكييفها والتحقق من صحتها ونقلها. </w:t>
      </w:r>
    </w:p>
    <w:p w:rsidR="00000000" w:rsidRDefault="00567B15">
      <w:pPr>
        <w:spacing w:line="380" w:lineRule="exact"/>
        <w:jc w:val="both"/>
        <w:rPr>
          <w:rFonts w:hint="cs"/>
          <w:rtl/>
        </w:rPr>
      </w:pPr>
      <w:r>
        <w:rPr>
          <w:rFonts w:hint="cs"/>
          <w:rtl/>
        </w:rPr>
        <w:t>321-</w:t>
      </w:r>
      <w:r>
        <w:rPr>
          <w:rFonts w:hint="cs"/>
          <w:rtl/>
        </w:rPr>
        <w:tab/>
        <w:t>وللمعهد الوطني للبحوث الزراعية سبع محطات تجريبية وثمان مزارع تقع في مختلف مناطق البلاد.</w:t>
      </w:r>
    </w:p>
    <w:p w:rsidR="00000000" w:rsidRDefault="00567B15">
      <w:pPr>
        <w:spacing w:line="380" w:lineRule="exact"/>
        <w:jc w:val="both"/>
        <w:rPr>
          <w:rFonts w:hint="cs"/>
          <w:rtl/>
        </w:rPr>
      </w:pPr>
      <w:r>
        <w:rPr>
          <w:rFonts w:hint="cs"/>
          <w:rtl/>
        </w:rPr>
        <w:t>322-</w:t>
      </w:r>
      <w:r>
        <w:rPr>
          <w:rFonts w:hint="cs"/>
          <w:rtl/>
        </w:rPr>
        <w:tab/>
        <w:t>ويضطلع المعهد بالأنشطة في مجالات أرب</w:t>
      </w:r>
      <w:r>
        <w:rPr>
          <w:rFonts w:hint="cs"/>
          <w:rtl/>
        </w:rPr>
        <w:t xml:space="preserve">عة، هي: البحث؛ والتدريب ونقل التكنولوجيا؛ وإنتاج البذور وتسويقها، وتقديم خدمات الدعم التقني. </w:t>
      </w:r>
    </w:p>
    <w:p w:rsidR="00000000" w:rsidRDefault="00567B15">
      <w:pPr>
        <w:spacing w:line="380" w:lineRule="exact"/>
        <w:jc w:val="both"/>
        <w:rPr>
          <w:rFonts w:hint="cs"/>
          <w:rtl/>
        </w:rPr>
      </w:pPr>
      <w:r>
        <w:rPr>
          <w:rFonts w:hint="cs"/>
          <w:rtl/>
        </w:rPr>
        <w:t>323-</w:t>
      </w:r>
      <w:r>
        <w:rPr>
          <w:rFonts w:hint="cs"/>
          <w:rtl/>
        </w:rPr>
        <w:tab/>
        <w:t>وقد أتاح العمل الذي نهض به المعهد في ميدان البحوث العلمية المجال أمامه لتطوير المعارف والتكنولوجيات والتحقق من صحتها ونقلها، مما ساعد في زيادة الإنتاج والإنت</w:t>
      </w:r>
      <w:r>
        <w:rPr>
          <w:rFonts w:hint="cs"/>
          <w:rtl/>
        </w:rPr>
        <w:t>اجية. ونجم عن ذلك تقديم ما يزيد على 160 صنفاً محسناً مع غلات وافرة تقاوم الأمراض والآفات وتتحملها وتكون قابلة للتكيف مع مختلف المناطق الزراعية الإيكولوجية للبلاد، من أجل إنتاج الرز والسمسم والقطن والشوفان والكاكاو والبن واللوبيا والشعير والفاصوليا والباقلا</w:t>
      </w:r>
      <w:r>
        <w:rPr>
          <w:rFonts w:hint="cs"/>
          <w:rtl/>
        </w:rPr>
        <w:t xml:space="preserve">ء ونبتة زيت الخروع والعدس والذرة والفول السوداني والمانجو وجوز الهند والبطاطا والأعشاب والفلفل والكينوا والذرة الرفيعة والصويا والقمح والقمح الصلب ومختلف أصناف الفواكه. </w:t>
      </w:r>
    </w:p>
    <w:p w:rsidR="00000000" w:rsidRDefault="00567B15">
      <w:pPr>
        <w:spacing w:line="380" w:lineRule="exact"/>
        <w:jc w:val="both"/>
        <w:rPr>
          <w:rFonts w:hint="cs"/>
          <w:rtl/>
        </w:rPr>
      </w:pPr>
      <w:r>
        <w:rPr>
          <w:rFonts w:hint="cs"/>
          <w:rtl/>
        </w:rPr>
        <w:t>324-</w:t>
      </w:r>
      <w:r>
        <w:rPr>
          <w:rFonts w:hint="cs"/>
          <w:rtl/>
        </w:rPr>
        <w:tab/>
        <w:t>وفي نفس الوقت، وفر تطوير الأصناف الجديدة توافر التكنولوجيا اللازمة لإنتاج المحاصي</w:t>
      </w:r>
      <w:r>
        <w:rPr>
          <w:rFonts w:hint="cs"/>
          <w:rtl/>
        </w:rPr>
        <w:t xml:space="preserve">ل؛ والسيطرة على الآفات والأمراض والعلل؛ وطرائق الإخصاب الاقتصادية؛ وإدارة مناطق البذار ووقته وكثافته؛ وإدارة الأراضي في فترة ما بعد الحصاد. </w:t>
      </w:r>
    </w:p>
    <w:p w:rsidR="00000000" w:rsidRDefault="00567B15">
      <w:pPr>
        <w:spacing w:line="380" w:lineRule="exact"/>
        <w:jc w:val="both"/>
        <w:rPr>
          <w:rFonts w:hint="cs"/>
          <w:rtl/>
        </w:rPr>
      </w:pPr>
      <w:r>
        <w:rPr>
          <w:rFonts w:hint="cs"/>
          <w:rtl/>
        </w:rPr>
        <w:t>325-</w:t>
      </w:r>
      <w:r>
        <w:rPr>
          <w:rFonts w:hint="cs"/>
          <w:rtl/>
        </w:rPr>
        <w:tab/>
        <w:t>وطور المعهد الوطني للبحوث الزراعية تقنيات إدارة تغذية الأبقار والأصناف الأصغر فيها في المناطق الثلاث في البلاد</w:t>
      </w:r>
      <w:r>
        <w:rPr>
          <w:rFonts w:hint="cs"/>
          <w:rtl/>
        </w:rPr>
        <w:t>. وأنجز المعهد عملاً أكثر فيما يتعلق باستحداث النباتات العشبية والبقولية وتكييفها، بهدف زيادة القدرة الإنتاجية لمختلف المناطق التي تربي المواشي في إكوادور</w:t>
      </w:r>
      <w:r>
        <w:rPr>
          <w:rFonts w:hint="cs"/>
          <w:vertAlign w:val="superscript"/>
          <w:rtl/>
        </w:rPr>
        <w:t>(44)</w:t>
      </w:r>
      <w:r>
        <w:rPr>
          <w:rFonts w:hint="cs"/>
          <w:rtl/>
        </w:rPr>
        <w:t>.</w:t>
      </w:r>
    </w:p>
    <w:p w:rsidR="00000000" w:rsidRDefault="00567B15">
      <w:pPr>
        <w:spacing w:line="380" w:lineRule="exact"/>
        <w:jc w:val="both"/>
        <w:rPr>
          <w:rFonts w:hint="cs"/>
          <w:i/>
          <w:iCs/>
          <w:rtl/>
        </w:rPr>
      </w:pPr>
      <w:r>
        <w:rPr>
          <w:rFonts w:hint="cs"/>
          <w:i/>
          <w:iCs/>
          <w:rtl/>
        </w:rPr>
        <w:t>نشر برنامج التغذية</w:t>
      </w:r>
    </w:p>
    <w:p w:rsidR="00000000" w:rsidRDefault="00567B15">
      <w:pPr>
        <w:spacing w:line="380" w:lineRule="exact"/>
        <w:jc w:val="both"/>
        <w:rPr>
          <w:rFonts w:hint="cs"/>
          <w:spacing w:val="2"/>
          <w:rtl/>
        </w:rPr>
      </w:pPr>
      <w:r>
        <w:rPr>
          <w:rFonts w:hint="cs"/>
          <w:spacing w:val="2"/>
          <w:rtl/>
        </w:rPr>
        <w:t>326-</w:t>
      </w:r>
      <w:r>
        <w:rPr>
          <w:rFonts w:hint="cs"/>
          <w:spacing w:val="2"/>
          <w:rtl/>
        </w:rPr>
        <w:tab/>
        <w:t>تتولى وزارة الصحة العامة حالياً، في إطار خطتها الوطنية للصحة وبرنامجها ا</w:t>
      </w:r>
      <w:r>
        <w:rPr>
          <w:rFonts w:hint="cs"/>
          <w:spacing w:val="2"/>
          <w:rtl/>
        </w:rPr>
        <w:t>لوطني للغذاء والتغذية، تنفيذ خطة عمل وطنية للتغذية (</w:t>
      </w:r>
      <w:r>
        <w:rPr>
          <w:spacing w:val="2"/>
        </w:rPr>
        <w:t>PANN 2000</w:t>
      </w:r>
      <w:r>
        <w:rPr>
          <w:rFonts w:hint="cs"/>
          <w:spacing w:val="2"/>
          <w:rtl/>
        </w:rPr>
        <w:t>)، وهي استراتيجية عمل مشتركة تتضمن المكونات التالية: "حصة من الطعام لكل طفل" - عنصر غذائي مكمل للأطفال دون سن الثانية والحوامل والمرضعات رضاعة طبيعية، بهدف منع توقف النمو وما يسببه سوء التغذية من</w:t>
      </w:r>
      <w:r>
        <w:rPr>
          <w:rFonts w:hint="cs"/>
          <w:spacing w:val="2"/>
          <w:rtl/>
        </w:rPr>
        <w:t xml:space="preserve"> أضرار تعزى إلى حالات نقص الطاقة والبروتين والمغذيات الدقيقة (فيتامين ألف والحديد والزنك) بين الأطفال دون الثانية من العمر، وتحسين الحالة التغذوية للحوامل والمرضعات رضاعة طبيعية من خلال إدخال تغييرات على الممارسات والأنماط الثقافية المتبعة في الرضاعة الطبي</w:t>
      </w:r>
      <w:r>
        <w:rPr>
          <w:rFonts w:hint="cs"/>
          <w:spacing w:val="2"/>
          <w:rtl/>
        </w:rPr>
        <w:t>عية وتغذية الأطفال الصغار.</w:t>
      </w:r>
    </w:p>
    <w:p w:rsidR="00000000" w:rsidRDefault="00567B15">
      <w:pPr>
        <w:spacing w:line="380" w:lineRule="exact"/>
        <w:jc w:val="both"/>
        <w:rPr>
          <w:rFonts w:hint="cs"/>
          <w:rtl/>
        </w:rPr>
      </w:pPr>
      <w:r>
        <w:rPr>
          <w:rFonts w:hint="cs"/>
          <w:rtl/>
        </w:rPr>
        <w:t>327-</w:t>
      </w:r>
      <w:r>
        <w:rPr>
          <w:rFonts w:hint="cs"/>
          <w:rtl/>
        </w:rPr>
        <w:tab/>
        <w:t>ويستهدف البرنامج 189 652 مستفيداً من السكان. وينبغي أن يغطي في عام 2000 نسبة 40 في المائة من السكان المستهدفين (000 246 نسمة)؛ وأن يصل في عام 2001، إلى نسبة 70 في المائـة (000 456 نسمة)، وأن يصل اعتباراً من عام 2002 فصاعداً،</w:t>
      </w:r>
      <w:r>
        <w:rPr>
          <w:rFonts w:hint="cs"/>
          <w:rtl/>
        </w:rPr>
        <w:t xml:space="preserve"> إلى نسبة 100 في المائة (000 652 نسمة). وتدعو الخطط الحالية إلى البدء بالبرنامج في الأبرشيات ال‍ 230 الأكثر فقراً في البلاد، بما يمثل الخميس الأول للفقراء، أو نحو مليون نسمة. وفي هذه المرحلة، سيتم استثمار الموارد المتأتية من وزارة الصحة العامة ووزارة الزرا</w:t>
      </w:r>
      <w:r>
        <w:rPr>
          <w:rFonts w:hint="cs"/>
          <w:rtl/>
        </w:rPr>
        <w:t xml:space="preserve">عة وبرنامج الأغذية العالمي، إلى جانب الموارد المتأتية من منظمة الصحة للبلدان الأمريكية - مبادرة المغذيات الدقيقة لمنظمة منظمة الصحة العالمية. </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1800"/>
        <w:gridCol w:w="1800"/>
        <w:gridCol w:w="1800"/>
      </w:tblGrid>
      <w:tr w:rsidR="00567B15" w:rsidTr="00567B15">
        <w:tblPrEx>
          <w:tblCellMar>
            <w:top w:w="0" w:type="dxa"/>
            <w:bottom w:w="0" w:type="dxa"/>
          </w:tblCellMar>
        </w:tblPrEx>
        <w:tc>
          <w:tcPr>
            <w:tcW w:w="3960" w:type="dxa"/>
            <w:tcBorders>
              <w:bottom w:val="single" w:sz="4" w:space="0" w:color="auto"/>
            </w:tcBorders>
          </w:tcPr>
          <w:p w:rsidR="00567B15" w:rsidRDefault="00567B15">
            <w:pPr>
              <w:spacing w:before="0" w:after="0" w:line="340" w:lineRule="exact"/>
              <w:jc w:val="both"/>
              <w:rPr>
                <w:rStyle w:val="FootnoteReference"/>
                <w:rFonts w:hint="cs"/>
                <w:bCs w:val="0"/>
                <w:sz w:val="26"/>
                <w:szCs w:val="26"/>
                <w:vertAlign w:val="baseline"/>
              </w:rPr>
            </w:pPr>
          </w:p>
        </w:tc>
        <w:tc>
          <w:tcPr>
            <w:tcW w:w="1800"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المجموع</w:t>
            </w:r>
          </w:p>
        </w:tc>
        <w:tc>
          <w:tcPr>
            <w:tcW w:w="1800"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المناطق الحضرية</w:t>
            </w:r>
          </w:p>
        </w:tc>
        <w:tc>
          <w:tcPr>
            <w:tcW w:w="1800"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المناطق الريفية</w:t>
            </w:r>
          </w:p>
        </w:tc>
      </w:tr>
      <w:tr w:rsidR="00567B15" w:rsidTr="00567B15">
        <w:tblPrEx>
          <w:tblCellMar>
            <w:top w:w="0" w:type="dxa"/>
            <w:bottom w:w="0" w:type="dxa"/>
          </w:tblCellMar>
        </w:tblPrEx>
        <w:tc>
          <w:tcPr>
            <w:tcW w:w="3960"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البنات والأولاد من الولادة وحتى 24 شهراً</w:t>
            </w:r>
          </w:p>
        </w:tc>
        <w:tc>
          <w:tcPr>
            <w:tcW w:w="1800"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000 242</w:t>
            </w:r>
          </w:p>
        </w:tc>
        <w:tc>
          <w:tcPr>
            <w:tcW w:w="1800"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000 112</w:t>
            </w:r>
          </w:p>
        </w:tc>
        <w:tc>
          <w:tcPr>
            <w:tcW w:w="1800"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000 130</w:t>
            </w:r>
          </w:p>
        </w:tc>
      </w:tr>
      <w:tr w:rsidR="00567B15" w:rsidTr="00567B15">
        <w:tblPrEx>
          <w:tblCellMar>
            <w:top w:w="0" w:type="dxa"/>
            <w:bottom w:w="0" w:type="dxa"/>
          </w:tblCellMar>
        </w:tblPrEx>
        <w:tc>
          <w:tcPr>
            <w:tcW w:w="396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الحوامل</w:t>
            </w:r>
          </w:p>
        </w:tc>
        <w:tc>
          <w:tcPr>
            <w:tcW w:w="180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000 205</w:t>
            </w:r>
          </w:p>
        </w:tc>
        <w:tc>
          <w:tcPr>
            <w:tcW w:w="180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000 95</w:t>
            </w:r>
          </w:p>
        </w:tc>
        <w:tc>
          <w:tcPr>
            <w:tcW w:w="180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000 110</w:t>
            </w:r>
          </w:p>
        </w:tc>
      </w:tr>
      <w:tr w:rsidR="00567B15" w:rsidTr="00567B15">
        <w:tblPrEx>
          <w:tblCellMar>
            <w:top w:w="0" w:type="dxa"/>
            <w:bottom w:w="0" w:type="dxa"/>
          </w:tblCellMar>
        </w:tblPrEx>
        <w:tc>
          <w:tcPr>
            <w:tcW w:w="3960"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المرضعات رضاعة طبيعية</w:t>
            </w:r>
          </w:p>
        </w:tc>
        <w:tc>
          <w:tcPr>
            <w:tcW w:w="1800"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000 205</w:t>
            </w:r>
          </w:p>
        </w:tc>
        <w:tc>
          <w:tcPr>
            <w:tcW w:w="1800"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000 95</w:t>
            </w:r>
          </w:p>
        </w:tc>
        <w:tc>
          <w:tcPr>
            <w:tcW w:w="1800"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000 110</w:t>
            </w:r>
          </w:p>
        </w:tc>
      </w:tr>
      <w:tr w:rsidR="00567B15" w:rsidTr="00567B15">
        <w:tblPrEx>
          <w:tblCellMar>
            <w:top w:w="0" w:type="dxa"/>
            <w:bottom w:w="0" w:type="dxa"/>
          </w:tblCellMar>
        </w:tblPrEx>
        <w:trPr>
          <w:trHeight w:val="413"/>
        </w:trPr>
        <w:tc>
          <w:tcPr>
            <w:tcW w:w="3960" w:type="dxa"/>
          </w:tcPr>
          <w:p w:rsidR="00567B15" w:rsidRDefault="00567B15">
            <w:pPr>
              <w:spacing w:before="0" w:after="0" w:line="340" w:lineRule="exact"/>
              <w:jc w:val="both"/>
              <w:rPr>
                <w:rFonts w:hint="cs"/>
                <w:sz w:val="26"/>
                <w:szCs w:val="26"/>
                <w:rtl/>
              </w:rPr>
            </w:pPr>
            <w:r>
              <w:rPr>
                <w:rFonts w:hint="cs"/>
                <w:sz w:val="26"/>
                <w:szCs w:val="26"/>
                <w:rtl/>
              </w:rPr>
              <w:t>المجموع</w:t>
            </w:r>
          </w:p>
        </w:tc>
        <w:tc>
          <w:tcPr>
            <w:tcW w:w="1800"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000 652</w:t>
            </w:r>
          </w:p>
        </w:tc>
        <w:tc>
          <w:tcPr>
            <w:tcW w:w="1800"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000 302</w:t>
            </w:r>
          </w:p>
        </w:tc>
        <w:tc>
          <w:tcPr>
            <w:tcW w:w="1800"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000 350</w:t>
            </w:r>
          </w:p>
        </w:tc>
      </w:tr>
    </w:tbl>
    <w:p w:rsidR="00000000" w:rsidRDefault="00567B15">
      <w:pPr>
        <w:spacing w:line="380" w:lineRule="exact"/>
        <w:jc w:val="both"/>
        <w:rPr>
          <w:rFonts w:hint="cs"/>
          <w:rtl/>
        </w:rPr>
      </w:pPr>
      <w:r>
        <w:rPr>
          <w:rFonts w:hint="cs"/>
          <w:rtl/>
        </w:rPr>
        <w:t>328-</w:t>
      </w:r>
      <w:r>
        <w:rPr>
          <w:rFonts w:hint="cs"/>
          <w:rtl/>
        </w:rPr>
        <w:tab/>
        <w:t>وتعالج، مع استراتيجيات إثراء الأغذية وإكمالها، بعض حالات نقص الفيتامينات والمعادن (الحديد، فيتامين ألف، اليود، الفلور) عن طريق مكون المغذيات الدق</w:t>
      </w:r>
      <w:r>
        <w:rPr>
          <w:rFonts w:hint="cs"/>
          <w:rtl/>
        </w:rPr>
        <w:t>يقة. وتعكف إكوادور حالياً على تنفيذ برنامج وطني للمغذيات الدقيقة بغية معالجة تفشي حالات نقص المغذيات الدقيقة تفشياً كبيراً بين سكان إكوادور، وذلك عن طريق ما يلي:</w:t>
      </w:r>
    </w:p>
    <w:p w:rsidR="00000000" w:rsidRDefault="00567B15">
      <w:pPr>
        <w:spacing w:before="180" w:after="180" w:line="380" w:lineRule="exact"/>
        <w:jc w:val="both"/>
        <w:rPr>
          <w:rFonts w:hint="cs"/>
          <w:rtl/>
        </w:rPr>
      </w:pPr>
      <w:r>
        <w:rPr>
          <w:rFonts w:hint="cs"/>
          <w:rtl/>
        </w:rPr>
        <w:tab/>
        <w:t>(أ)</w:t>
      </w:r>
      <w:r>
        <w:rPr>
          <w:rFonts w:hint="cs"/>
          <w:rtl/>
        </w:rPr>
        <w:tab/>
        <w:t>إغناء الأغذية التي يستهلكها الجمهور بالمغذيات الدقيقة لمعالجة مشاكل الصحة العامة: اليود و</w:t>
      </w:r>
      <w:r>
        <w:rPr>
          <w:rFonts w:hint="cs"/>
          <w:rtl/>
        </w:rPr>
        <w:t>الفلور والحديد وفيتامين ألف؛</w:t>
      </w:r>
    </w:p>
    <w:p w:rsidR="00000000" w:rsidRDefault="00567B15">
      <w:pPr>
        <w:spacing w:before="180" w:after="180" w:line="380" w:lineRule="exact"/>
        <w:jc w:val="both"/>
        <w:rPr>
          <w:rFonts w:hint="cs"/>
          <w:rtl/>
        </w:rPr>
      </w:pPr>
      <w:r>
        <w:rPr>
          <w:rFonts w:hint="cs"/>
          <w:rtl/>
        </w:rPr>
        <w:tab/>
        <w:t>(ب)</w:t>
      </w:r>
      <w:r>
        <w:rPr>
          <w:rFonts w:hint="cs"/>
          <w:rtl/>
        </w:rPr>
        <w:tab/>
        <w:t>تقديم مكملات الأغذية للسكان المعرضين للخطر من خلال الخدمات الصحية واستخدام استراتيجيات من قبيل حملات التطعيم؛</w:t>
      </w:r>
    </w:p>
    <w:p w:rsidR="00000000" w:rsidRDefault="00567B15">
      <w:pPr>
        <w:spacing w:before="180" w:after="180" w:line="380" w:lineRule="exact"/>
        <w:jc w:val="both"/>
        <w:rPr>
          <w:rFonts w:hint="cs"/>
          <w:rtl/>
        </w:rPr>
      </w:pPr>
      <w:r>
        <w:rPr>
          <w:rFonts w:hint="cs"/>
          <w:rtl/>
        </w:rPr>
        <w:tab/>
        <w:t>(ج)</w:t>
      </w:r>
      <w:r>
        <w:rPr>
          <w:rFonts w:hint="cs"/>
          <w:rtl/>
        </w:rPr>
        <w:tab/>
        <w:t>تحديد استراتيجيات في مجال البحث والتعليم والاتصال للتمكين من الترويج لاستهلاك المغذيات الدقيقة استهلاكاً مس</w:t>
      </w:r>
      <w:r>
        <w:rPr>
          <w:rFonts w:hint="cs"/>
          <w:rtl/>
        </w:rPr>
        <w:t>تداماً من خلال الحمية الأسرية.</w:t>
      </w:r>
    </w:p>
    <w:p w:rsidR="00000000" w:rsidRDefault="00567B15">
      <w:pPr>
        <w:spacing w:line="380" w:lineRule="exact"/>
        <w:jc w:val="both"/>
        <w:rPr>
          <w:rFonts w:hint="cs"/>
          <w:spacing w:val="2"/>
          <w:rtl/>
        </w:rPr>
      </w:pPr>
      <w:r>
        <w:rPr>
          <w:rFonts w:hint="cs"/>
          <w:spacing w:val="2"/>
          <w:rtl/>
        </w:rPr>
        <w:t>329-</w:t>
      </w:r>
      <w:r>
        <w:rPr>
          <w:rFonts w:hint="cs"/>
          <w:spacing w:val="2"/>
          <w:rtl/>
        </w:rPr>
        <w:tab/>
        <w:t>وتمثل قسيمة تضامن الأم والطفل تحويلاً مباشراً يعود بالنفع على الحوامل والأطفال دون سن الثانية. والغرض من هذا البرنامج هو تقديم حوافز لإجراء فحوص خلال فترة الحمل وبعده كيما يتسنى إشراك الفقراء من السكان ومعالجة مسألتي الو</w:t>
      </w:r>
      <w:r>
        <w:rPr>
          <w:rFonts w:hint="cs"/>
          <w:spacing w:val="2"/>
          <w:rtl/>
        </w:rPr>
        <w:t xml:space="preserve">فيات وسوء التغذية، من خلال تحويل قسيمة بقيمة 5 دولارات تحويلاً مباشراً لمدة شهرين للحوامل، تسلمها إليهن دائرة الصحة مرفقة بكل فحص متابعة يجرى أثناء الحمل، وتحويل قسيمة بقيمة 5 دولارات لكل فحص يجرى للأطفال دون سن الثانية. وسيجري توسيع التغطية لتشمل الأمهات </w:t>
      </w:r>
      <w:r>
        <w:rPr>
          <w:rFonts w:hint="cs"/>
          <w:spacing w:val="2"/>
          <w:rtl/>
        </w:rPr>
        <w:t>الحوامل وأطفالهن دون سن الثانية في جميع أنحاء البلاد، باستثناء الأبرشيات الحضرية التابعة للمدن ال‍ 15 التي يتجاوز عدد سكانها 000 100 نسمة.</w:t>
      </w:r>
    </w:p>
    <w:p w:rsidR="00000000" w:rsidRDefault="00567B15">
      <w:pPr>
        <w:spacing w:line="380" w:lineRule="exact"/>
        <w:jc w:val="both"/>
        <w:rPr>
          <w:rFonts w:hint="cs"/>
          <w:spacing w:val="2"/>
          <w:rtl/>
        </w:rPr>
      </w:pPr>
      <w:r>
        <w:rPr>
          <w:rFonts w:hint="cs"/>
          <w:spacing w:val="2"/>
          <w:rtl/>
        </w:rPr>
        <w:t>330-</w:t>
      </w:r>
      <w:r>
        <w:rPr>
          <w:rFonts w:hint="cs"/>
          <w:spacing w:val="2"/>
          <w:rtl/>
        </w:rPr>
        <w:tab/>
        <w:t>ويستفيد مكون التنمية المحلية من الموارد التي تمول المبادات المحلية المتعلقة بالإنتاج على نطاق ضيق وبرامج رعاية ا</w:t>
      </w:r>
      <w:r>
        <w:rPr>
          <w:rFonts w:hint="cs"/>
          <w:spacing w:val="2"/>
          <w:rtl/>
        </w:rPr>
        <w:t>لأطفال المنسقة التي تديرها وزارة الصحة العامة ووزارة الزراعة ووزارة العمل والضمان الاجتماعي (عملية إنقاذ الطفولة) ووزارة التعليم والثقافة (برنامج تثقيف المرأة وتدريبها على الأنشطة الإنتاجية في قطاع الريف) والمعهد الوطني للطفل والأسرة. وتعزز وزارة الصحة الع</w:t>
      </w:r>
      <w:r>
        <w:rPr>
          <w:rFonts w:hint="cs"/>
          <w:spacing w:val="2"/>
          <w:rtl/>
        </w:rPr>
        <w:t>امة التنمية المحلية بوصفها جزءاً من خطتها الوطنية للصحة وباعتبارها استراتيجية تستند إلى قدراتها التشغيلية واللامركزية والمتسمة بالطابع المحلي وإلى قدرات المؤسسات الأخرى التي بمقدورها، عن طريق التنسيق تنسيقاً كافياً، أن تقدم رداً عاجلاً على حالة الفقر وانعد</w:t>
      </w:r>
      <w:r>
        <w:rPr>
          <w:rFonts w:hint="cs"/>
          <w:spacing w:val="2"/>
          <w:rtl/>
        </w:rPr>
        <w:t>ام الأمن الصحي والغذائي.</w:t>
      </w:r>
    </w:p>
    <w:p w:rsidR="00000000" w:rsidRDefault="00567B15">
      <w:pPr>
        <w:spacing w:line="380" w:lineRule="exact"/>
        <w:jc w:val="both"/>
        <w:rPr>
          <w:rFonts w:hint="cs"/>
          <w:spacing w:val="2"/>
          <w:rtl/>
        </w:rPr>
      </w:pPr>
      <w:r>
        <w:rPr>
          <w:rFonts w:hint="cs"/>
          <w:spacing w:val="2"/>
          <w:rtl/>
        </w:rPr>
        <w:t>331-</w:t>
      </w:r>
      <w:r>
        <w:rPr>
          <w:rFonts w:hint="cs"/>
          <w:spacing w:val="2"/>
          <w:rtl/>
        </w:rPr>
        <w:tab/>
        <w:t>ويتمثل هدف هذا المكون بالنسبة لعام 2000 في تنفيذ مشاريع تشاركية للتنمية وتثقيف البالغين والتدريب المثمر وإيجاد طرائق بديلة لرعاية الأطفال في الأبرشيات ال‍ 230 التي أعطيت أولوية. وفي هذه الأبرشيات سيتم في عام 2000 تنفيذ أنشطة ب</w:t>
      </w:r>
      <w:r>
        <w:rPr>
          <w:rFonts w:hint="cs"/>
          <w:spacing w:val="2"/>
          <w:rtl/>
        </w:rPr>
        <w:t>رنامج "حصة طعام لكل طفل" فيما يتعلق بالتعليم والمكملات الغذائية بالنسبة للأمهات الحوامل والمرضعات رضاعة طبيعية والأطفال الذين تتراوح أعمارهم بين 6 أشهر و24 شهراً.</w:t>
      </w:r>
    </w:p>
    <w:p w:rsidR="00000000" w:rsidRDefault="00567B15">
      <w:pPr>
        <w:spacing w:line="380" w:lineRule="exact"/>
        <w:jc w:val="both"/>
        <w:rPr>
          <w:rFonts w:hint="cs"/>
          <w:rtl/>
        </w:rPr>
      </w:pPr>
      <w:r>
        <w:rPr>
          <w:rFonts w:hint="cs"/>
          <w:rtl/>
        </w:rPr>
        <w:t>332-</w:t>
      </w:r>
      <w:r>
        <w:rPr>
          <w:rFonts w:hint="cs"/>
          <w:rtl/>
        </w:rPr>
        <w:tab/>
        <w:t>ويستند مكون التثقيف الغذائي والتغذوي إلى أنشطة الترويج والتثقيف بمختلف المكونات وإلى است</w:t>
      </w:r>
      <w:r>
        <w:rPr>
          <w:rFonts w:hint="cs"/>
          <w:rtl/>
        </w:rPr>
        <w:t xml:space="preserve">راتيجيات الاتصال الجماهيري. ويركز هذا المكون على طائفة واسعة من المشاكل الغذائية والتغذوية، من بينها ما يرد أدناه من مشاكل تجدر الإشارة إليها إشارة خاصة: </w:t>
      </w:r>
    </w:p>
    <w:p w:rsidR="00000000" w:rsidRDefault="00567B15">
      <w:pPr>
        <w:spacing w:before="180" w:after="180" w:line="380" w:lineRule="exact"/>
        <w:jc w:val="both"/>
        <w:rPr>
          <w:rFonts w:hint="cs"/>
          <w:spacing w:val="0"/>
          <w:rtl/>
        </w:rPr>
      </w:pPr>
      <w:r>
        <w:rPr>
          <w:rFonts w:hint="cs"/>
          <w:spacing w:val="0"/>
          <w:rtl/>
        </w:rPr>
        <w:tab/>
        <w:t>(أ)</w:t>
      </w:r>
      <w:r>
        <w:rPr>
          <w:rFonts w:hint="cs"/>
          <w:spacing w:val="0"/>
          <w:rtl/>
        </w:rPr>
        <w:tab/>
        <w:t>معدلات تفشي سوء التغذية، العالية والآخذة في الارتفاع بسبب الأزمة الاجتماعية - الاقتصادية؛</w:t>
      </w:r>
    </w:p>
    <w:p w:rsidR="00000000" w:rsidRDefault="00567B15">
      <w:pPr>
        <w:spacing w:before="180" w:after="180" w:line="380" w:lineRule="exact"/>
        <w:jc w:val="both"/>
        <w:rPr>
          <w:rFonts w:hint="cs"/>
          <w:spacing w:val="0"/>
          <w:rtl/>
        </w:rPr>
      </w:pPr>
      <w:r>
        <w:rPr>
          <w:rFonts w:hint="cs"/>
          <w:spacing w:val="0"/>
          <w:rtl/>
        </w:rPr>
        <w:tab/>
        <w:t>(ب)</w:t>
      </w:r>
      <w:r>
        <w:rPr>
          <w:rFonts w:hint="cs"/>
          <w:spacing w:val="0"/>
          <w:rtl/>
        </w:rPr>
        <w:tab/>
        <w:t>ا</w:t>
      </w:r>
      <w:r>
        <w:rPr>
          <w:rFonts w:hint="cs"/>
          <w:spacing w:val="0"/>
          <w:rtl/>
        </w:rPr>
        <w:t>لتغييرات في الاتجاهات الوبائية التي تشمل الأمراض المزمنة غير السارية، ومنها 6 أمراض تعد من بين الأسباب الرئيسية ال‍ 10 المسببة للوفاة (السكتة الدماغية، النوبة القلبية، السكري، سرطان المعدة، ارتفاع ضغط الدم)؛</w:t>
      </w:r>
    </w:p>
    <w:p w:rsidR="00000000" w:rsidRDefault="00567B15">
      <w:pPr>
        <w:spacing w:before="180" w:after="180" w:line="380" w:lineRule="exact"/>
        <w:jc w:val="both"/>
        <w:rPr>
          <w:rFonts w:hint="cs"/>
          <w:spacing w:val="0"/>
          <w:rtl/>
        </w:rPr>
      </w:pPr>
      <w:r>
        <w:rPr>
          <w:rFonts w:hint="cs"/>
          <w:spacing w:val="0"/>
          <w:rtl/>
        </w:rPr>
        <w:tab/>
        <w:t>(ج)</w:t>
      </w:r>
      <w:r>
        <w:rPr>
          <w:rFonts w:hint="cs"/>
          <w:spacing w:val="0"/>
          <w:rtl/>
        </w:rPr>
        <w:tab/>
        <w:t>الافتقار إلى نهج سليم للتغذية في إكوادور.</w:t>
      </w:r>
    </w:p>
    <w:p w:rsidR="00000000" w:rsidRDefault="00567B15">
      <w:pPr>
        <w:spacing w:line="380" w:lineRule="exact"/>
        <w:jc w:val="both"/>
        <w:rPr>
          <w:rFonts w:hint="cs"/>
          <w:rtl/>
        </w:rPr>
      </w:pPr>
      <w:r>
        <w:rPr>
          <w:rFonts w:hint="cs"/>
          <w:spacing w:val="2"/>
          <w:rtl/>
        </w:rPr>
        <w:t>3</w:t>
      </w:r>
      <w:r>
        <w:rPr>
          <w:rFonts w:hint="cs"/>
          <w:spacing w:val="2"/>
          <w:rtl/>
        </w:rPr>
        <w:t>33-</w:t>
      </w:r>
      <w:r>
        <w:rPr>
          <w:rFonts w:hint="cs"/>
          <w:spacing w:val="2"/>
          <w:rtl/>
        </w:rPr>
        <w:tab/>
        <w:t>ويهدف هذا المكون إلى ترويج عادات الطعام والعادات التغذوية من خلال برامج ومكونات (</w:t>
      </w:r>
      <w:r>
        <w:rPr>
          <w:spacing w:val="2"/>
        </w:rPr>
        <w:t>PANN 2000</w:t>
      </w:r>
      <w:r>
        <w:rPr>
          <w:rFonts w:hint="cs"/>
          <w:spacing w:val="2"/>
          <w:rtl/>
        </w:rPr>
        <w:t xml:space="preserve">) </w:t>
      </w:r>
      <w:r>
        <w:rPr>
          <w:rFonts w:hint="cs"/>
          <w:rtl/>
        </w:rPr>
        <w:t xml:space="preserve">وعن طريق استراتيجيات خاصة. </w:t>
      </w:r>
    </w:p>
    <w:p w:rsidR="00000000" w:rsidRDefault="00567B15">
      <w:pPr>
        <w:spacing w:line="380" w:lineRule="exact"/>
        <w:jc w:val="both"/>
        <w:rPr>
          <w:rFonts w:hint="cs"/>
          <w:b/>
          <w:bCs/>
          <w:rtl/>
        </w:rPr>
      </w:pPr>
      <w:r>
        <w:rPr>
          <w:rFonts w:hint="cs"/>
          <w:b/>
          <w:bCs/>
          <w:rtl/>
        </w:rPr>
        <w:t>إصلاحات لتحسين الأمن الغذائي</w:t>
      </w:r>
    </w:p>
    <w:p w:rsidR="00000000" w:rsidRDefault="00567B15">
      <w:pPr>
        <w:spacing w:line="380" w:lineRule="exact"/>
        <w:jc w:val="both"/>
        <w:rPr>
          <w:rFonts w:hint="cs"/>
          <w:rtl/>
        </w:rPr>
      </w:pPr>
      <w:r>
        <w:rPr>
          <w:rFonts w:hint="cs"/>
          <w:rtl/>
        </w:rPr>
        <w:t>334-</w:t>
      </w:r>
      <w:r>
        <w:rPr>
          <w:rFonts w:hint="cs"/>
          <w:rtl/>
        </w:rPr>
        <w:tab/>
        <w:t>تلكأت الآثار التي تتركها قوانين الإصلاح الزراعي في القطاع الزراعي لإكوادور، ولا سيما في القطاع الر</w:t>
      </w:r>
      <w:r>
        <w:rPr>
          <w:rFonts w:hint="cs"/>
          <w:rtl/>
        </w:rPr>
        <w:t>يفي، عما طرأ من تطورات على القطاعات الأخرى للاقتصاد الوطني. ومن بين الأسباب العديدة التي تقف وراء ذلك عدم كفاية نظام توزيع الأراضي وملكيتها واستخدامها.</w:t>
      </w:r>
    </w:p>
    <w:p w:rsidR="00000000" w:rsidRDefault="00567B15">
      <w:pPr>
        <w:spacing w:line="380" w:lineRule="exact"/>
        <w:jc w:val="both"/>
        <w:rPr>
          <w:rFonts w:hint="cs"/>
          <w:rtl/>
        </w:rPr>
      </w:pPr>
      <w:r>
        <w:rPr>
          <w:rFonts w:hint="cs"/>
          <w:rtl/>
        </w:rPr>
        <w:t>335-</w:t>
      </w:r>
      <w:r>
        <w:rPr>
          <w:rFonts w:hint="cs"/>
          <w:rtl/>
        </w:rPr>
        <w:tab/>
        <w:t>وقد اعتمد أول قانون للإصلاح الزراعي في عام 1964 بغرض تحويل الهيكل الاجتماعي والاقتصادي للقطاع الريف</w:t>
      </w:r>
      <w:r>
        <w:rPr>
          <w:rFonts w:hint="cs"/>
          <w:rtl/>
        </w:rPr>
        <w:t>ي وضمان تحقيق التنمية الزراعية في إكوادور من الناحية الاجتماعية - الاقتصادية من خلال تحديث علاقات الإنتاج والتخلص من العمل الموسمي واستحداث أنماط إنتاج جديدة.</w:t>
      </w:r>
    </w:p>
    <w:p w:rsidR="00000000" w:rsidRDefault="00567B15">
      <w:pPr>
        <w:spacing w:line="380" w:lineRule="exact"/>
        <w:jc w:val="both"/>
        <w:rPr>
          <w:rFonts w:hint="cs"/>
          <w:rtl/>
        </w:rPr>
      </w:pPr>
      <w:r>
        <w:rPr>
          <w:rFonts w:hint="cs"/>
          <w:rtl/>
        </w:rPr>
        <w:t>336-</w:t>
      </w:r>
      <w:r>
        <w:rPr>
          <w:rFonts w:hint="cs"/>
          <w:rtl/>
        </w:rPr>
        <w:tab/>
        <w:t>وجرت رياح هذه السياسة، مثلما كان متوقعاً، بما لا تشتهيه سفن مصالح كبار ملاك الأراضي، ممن مار</w:t>
      </w:r>
      <w:r>
        <w:rPr>
          <w:rFonts w:hint="cs"/>
          <w:rtl/>
        </w:rPr>
        <w:t>سوا ضغوطاً شديدة واتخذوا تدابير مراوغة، بالرغم من أنها قانونية، شارفت على إحباط الجهود التي بذلت لتحقيق إصلاح مناسب في شأن استخدام الأراضي وملكيتها.</w:t>
      </w:r>
    </w:p>
    <w:p w:rsidR="00000000" w:rsidRDefault="00567B15">
      <w:pPr>
        <w:spacing w:line="380" w:lineRule="exact"/>
        <w:jc w:val="both"/>
        <w:rPr>
          <w:rFonts w:hint="cs"/>
          <w:spacing w:val="2"/>
          <w:rtl/>
        </w:rPr>
      </w:pPr>
      <w:r>
        <w:rPr>
          <w:rFonts w:hint="cs"/>
          <w:spacing w:val="2"/>
          <w:rtl/>
        </w:rPr>
        <w:t>337-</w:t>
      </w:r>
      <w:r>
        <w:rPr>
          <w:rFonts w:hint="cs"/>
          <w:spacing w:val="2"/>
          <w:rtl/>
        </w:rPr>
        <w:tab/>
        <w:t>وفي عام 1973، اعتمد القانون الثاني للإصلاح الزراعي الذي اتسم بنهج أكثر تطوراً، بحيث لم يعالج المشكلة ب</w:t>
      </w:r>
      <w:r>
        <w:rPr>
          <w:rFonts w:hint="cs"/>
          <w:spacing w:val="2"/>
          <w:rtl/>
        </w:rPr>
        <w:t>اعتبارها مشكلة تتعلق بتوزيع الأراضي فحسب، بل باعتبارها، بالأحرى، مشكلة تتضمن بشكل شامل "عملية تغيير تدريجي ومنظم للجوانب الاقتصادية - الاجتماعية والثقافية والسياسية المتعلقة بهيكل ملكية الأراضي". ولهذا السبب، اشتمل القانون على تغييرات في مختلف جوانب الإطار</w:t>
      </w:r>
      <w:r>
        <w:rPr>
          <w:rFonts w:hint="cs"/>
          <w:spacing w:val="2"/>
          <w:rtl/>
        </w:rPr>
        <w:t xml:space="preserve"> القانوني، لا سيما فيما يتعلق بالحق في الملكية وإعادة نقل الملكية وإجراءات نزع الملكية وتقييم حالات نزع الملكية وغير ذلك من الإجراءات الإدارية.</w:t>
      </w:r>
    </w:p>
    <w:p w:rsidR="00000000" w:rsidRDefault="00567B15">
      <w:pPr>
        <w:spacing w:before="120" w:after="120" w:line="380" w:lineRule="exact"/>
        <w:jc w:val="both"/>
        <w:rPr>
          <w:rFonts w:hint="cs"/>
          <w:rtl/>
        </w:rPr>
      </w:pPr>
      <w:r>
        <w:rPr>
          <w:rFonts w:hint="cs"/>
          <w:rtl/>
        </w:rPr>
        <w:t>338-</w:t>
      </w:r>
      <w:r>
        <w:rPr>
          <w:rFonts w:hint="cs"/>
          <w:rtl/>
        </w:rPr>
        <w:tab/>
        <w:t>ولا يزال معهد الإصلاح الزراعي والاستيطان في إكوادور، خلال فترة وجوده لمدة 30 عاماً تقريباً، هو الوكالة المن</w:t>
      </w:r>
      <w:r>
        <w:rPr>
          <w:rFonts w:hint="cs"/>
          <w:rtl/>
        </w:rPr>
        <w:t xml:space="preserve">فذة لهذا القانون. وقام المعهد بتنفيذ سياسة الإصلاح الزراعي من خلال برامج الإصلاح الزراعي </w:t>
      </w:r>
      <w:r>
        <w:rPr>
          <w:rFonts w:hint="cs"/>
          <w:spacing w:val="2"/>
          <w:rtl/>
        </w:rPr>
        <w:t xml:space="preserve">والاستيطان التي سلمت، بحلول عام 1992، ما يزيد على 366.18 193 7 هكتاراً من الأراضي إلى‍ 058 211 </w:t>
      </w:r>
      <w:r>
        <w:rPr>
          <w:rFonts w:hint="cs"/>
          <w:rtl/>
        </w:rPr>
        <w:t xml:space="preserve">أسرة، بمعدل 34.06 هكتاراً لكل أسرة. </w:t>
      </w:r>
    </w:p>
    <w:p w:rsidR="00000000" w:rsidRDefault="00567B15">
      <w:pPr>
        <w:spacing w:before="0" w:after="0" w:line="340" w:lineRule="exact"/>
        <w:jc w:val="center"/>
        <w:rPr>
          <w:rFonts w:hint="cs"/>
          <w:b/>
          <w:bCs/>
          <w:rtl/>
        </w:rPr>
      </w:pPr>
      <w:r>
        <w:rPr>
          <w:rFonts w:hint="cs"/>
          <w:b/>
          <w:bCs/>
          <w:rtl/>
        </w:rPr>
        <w:t xml:space="preserve">الأراضي المخصصة للاستيطان والإصلاح </w:t>
      </w:r>
      <w:r>
        <w:rPr>
          <w:rFonts w:hint="cs"/>
          <w:b/>
          <w:bCs/>
          <w:rtl/>
        </w:rPr>
        <w:t>الزراعي، بحسب المنطقة في إكوادور</w:t>
      </w:r>
    </w:p>
    <w:p w:rsidR="00000000" w:rsidRDefault="00567B15">
      <w:pPr>
        <w:spacing w:before="0" w:after="0" w:line="340" w:lineRule="exact"/>
        <w:jc w:val="center"/>
        <w:rPr>
          <w:rFonts w:hint="cs"/>
          <w:b/>
          <w:bCs/>
          <w:rtl/>
        </w:rPr>
      </w:pPr>
      <w:r>
        <w:rPr>
          <w:rFonts w:hint="cs"/>
          <w:b/>
          <w:bCs/>
          <w:rtl/>
        </w:rPr>
        <w:t>1926-1992</w:t>
      </w:r>
    </w:p>
    <w:p w:rsidR="00000000" w:rsidRDefault="00567B15">
      <w:pPr>
        <w:spacing w:before="0" w:after="120" w:line="340" w:lineRule="exact"/>
        <w:jc w:val="center"/>
        <w:rPr>
          <w:rFonts w:hint="cs"/>
          <w:b/>
          <w:bCs/>
          <w:rtl/>
        </w:rPr>
      </w:pPr>
      <w:r>
        <w:rPr>
          <w:rFonts w:hint="cs"/>
          <w:b/>
          <w:bCs/>
          <w:rtl/>
        </w:rPr>
        <w:t>(هكتارات)</w:t>
      </w:r>
    </w:p>
    <w:tbl>
      <w:tblPr>
        <w:bidiVisual/>
        <w:tblW w:w="0" w:type="auto"/>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2"/>
        <w:gridCol w:w="2393"/>
        <w:gridCol w:w="2257"/>
      </w:tblGrid>
      <w:tr w:rsidR="00567B15" w:rsidTr="00567B15">
        <w:tblPrEx>
          <w:tblCellMar>
            <w:top w:w="0" w:type="dxa"/>
            <w:bottom w:w="0" w:type="dxa"/>
          </w:tblCellMar>
        </w:tblPrEx>
        <w:tc>
          <w:tcPr>
            <w:tcW w:w="2281"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المنطقة</w:t>
            </w:r>
          </w:p>
        </w:tc>
        <w:tc>
          <w:tcPr>
            <w:tcW w:w="2392"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الاستيطان</w:t>
            </w:r>
          </w:p>
        </w:tc>
        <w:tc>
          <w:tcPr>
            <w:tcW w:w="2393"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الإصلاح الزراعي</w:t>
            </w:r>
          </w:p>
        </w:tc>
        <w:tc>
          <w:tcPr>
            <w:tcW w:w="2257" w:type="dxa"/>
            <w:tcBorders>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المجموع الكلي</w:t>
            </w:r>
          </w:p>
        </w:tc>
      </w:tr>
      <w:tr w:rsidR="00567B15" w:rsidTr="00567B15">
        <w:tblPrEx>
          <w:tblCellMar>
            <w:top w:w="0" w:type="dxa"/>
            <w:bottom w:w="0" w:type="dxa"/>
          </w:tblCellMar>
        </w:tblPrEx>
        <w:tc>
          <w:tcPr>
            <w:tcW w:w="2281"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منطقة المرتفعات</w:t>
            </w:r>
          </w:p>
        </w:tc>
        <w:tc>
          <w:tcPr>
            <w:tcW w:w="2392"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766.39 657</w:t>
            </w:r>
          </w:p>
        </w:tc>
        <w:tc>
          <w:tcPr>
            <w:tcW w:w="2393"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618.21 625</w:t>
            </w:r>
          </w:p>
        </w:tc>
        <w:tc>
          <w:tcPr>
            <w:tcW w:w="2257"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384.60 283 1</w:t>
            </w:r>
          </w:p>
        </w:tc>
      </w:tr>
      <w:tr w:rsidR="00567B15" w:rsidTr="00567B15">
        <w:tblPrEx>
          <w:tblCellMar>
            <w:top w:w="0" w:type="dxa"/>
            <w:bottom w:w="0" w:type="dxa"/>
          </w:tblCellMar>
        </w:tblPrEx>
        <w:tc>
          <w:tcPr>
            <w:tcW w:w="2281"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المنطقة الساحلية</w:t>
            </w:r>
          </w:p>
        </w:tc>
        <w:tc>
          <w:tcPr>
            <w:tcW w:w="2392"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289.79 869</w:t>
            </w:r>
          </w:p>
        </w:tc>
        <w:tc>
          <w:tcPr>
            <w:tcW w:w="2393"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566.55 505</w:t>
            </w:r>
          </w:p>
        </w:tc>
        <w:tc>
          <w:tcPr>
            <w:tcW w:w="2257"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846.34 374 1</w:t>
            </w:r>
          </w:p>
        </w:tc>
      </w:tr>
      <w:tr w:rsidR="00567B15" w:rsidTr="00567B15">
        <w:tblPrEx>
          <w:tblCellMar>
            <w:top w:w="0" w:type="dxa"/>
            <w:bottom w:w="0" w:type="dxa"/>
          </w:tblCellMar>
        </w:tblPrEx>
        <w:tc>
          <w:tcPr>
            <w:tcW w:w="2281"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المنطقة الشرقية</w:t>
            </w:r>
          </w:p>
        </w:tc>
        <w:tc>
          <w:tcPr>
            <w:tcW w:w="2392"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481.50 812 1</w:t>
            </w:r>
          </w:p>
        </w:tc>
        <w:tc>
          <w:tcPr>
            <w:tcW w:w="2393"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653.74 722 2</w:t>
            </w:r>
          </w:p>
        </w:tc>
        <w:tc>
          <w:tcPr>
            <w:tcW w:w="2257"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135.24 535 4</w:t>
            </w:r>
          </w:p>
        </w:tc>
      </w:tr>
      <w:tr w:rsidR="00567B15" w:rsidTr="00567B15">
        <w:tblPrEx>
          <w:tblCellMar>
            <w:top w:w="0" w:type="dxa"/>
            <w:bottom w:w="0" w:type="dxa"/>
          </w:tblCellMar>
        </w:tblPrEx>
        <w:trPr>
          <w:trHeight w:val="413"/>
        </w:trPr>
        <w:tc>
          <w:tcPr>
            <w:tcW w:w="2281" w:type="dxa"/>
          </w:tcPr>
          <w:p w:rsidR="00567B15" w:rsidRDefault="00567B15">
            <w:pPr>
              <w:spacing w:before="0" w:after="0" w:line="340" w:lineRule="exact"/>
              <w:jc w:val="both"/>
              <w:rPr>
                <w:rFonts w:hint="cs"/>
                <w:sz w:val="26"/>
                <w:szCs w:val="26"/>
                <w:rtl/>
              </w:rPr>
            </w:pPr>
            <w:r>
              <w:rPr>
                <w:rFonts w:hint="cs"/>
                <w:sz w:val="26"/>
                <w:szCs w:val="26"/>
                <w:rtl/>
              </w:rPr>
              <w:t>المجموع</w:t>
            </w:r>
          </w:p>
        </w:tc>
        <w:tc>
          <w:tcPr>
            <w:tcW w:w="239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537.68 339 3</w:t>
            </w:r>
          </w:p>
        </w:tc>
        <w:tc>
          <w:tcPr>
            <w:tcW w:w="2393"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828.50 853 3</w:t>
            </w:r>
          </w:p>
        </w:tc>
        <w:tc>
          <w:tcPr>
            <w:tcW w:w="2257"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366.18 193 7</w:t>
            </w:r>
          </w:p>
        </w:tc>
      </w:tr>
    </w:tbl>
    <w:p w:rsidR="00000000" w:rsidRDefault="00567B15">
      <w:pPr>
        <w:spacing w:before="120"/>
        <w:jc w:val="both"/>
        <w:rPr>
          <w:rFonts w:hint="cs"/>
          <w:rtl/>
        </w:rPr>
      </w:pPr>
      <w:r>
        <w:rPr>
          <w:rFonts w:hint="cs"/>
          <w:rtl/>
        </w:rPr>
        <w:tab/>
      </w:r>
      <w:r>
        <w:rPr>
          <w:rFonts w:hint="cs"/>
          <w:u w:val="single"/>
          <w:rtl/>
        </w:rPr>
        <w:t>المصدر</w:t>
      </w:r>
      <w:r>
        <w:rPr>
          <w:rFonts w:hint="cs"/>
          <w:rtl/>
        </w:rPr>
        <w:t xml:space="preserve">: المعهد الوطني للتنمية الزراعية، </w:t>
      </w:r>
      <w:r>
        <w:rPr>
          <w:rFonts w:hint="cs"/>
          <w:i/>
          <w:iCs/>
          <w:rtl/>
        </w:rPr>
        <w:t>التقرير العام</w:t>
      </w:r>
      <w:r>
        <w:rPr>
          <w:rFonts w:hint="cs"/>
          <w:rtl/>
        </w:rPr>
        <w:t>، 1998.</w:t>
      </w:r>
    </w:p>
    <w:p w:rsidR="00000000" w:rsidRDefault="00567B15">
      <w:pPr>
        <w:spacing w:line="380" w:lineRule="exact"/>
        <w:jc w:val="both"/>
        <w:rPr>
          <w:rFonts w:hint="cs"/>
          <w:rtl/>
        </w:rPr>
      </w:pPr>
      <w:r>
        <w:rPr>
          <w:rFonts w:hint="cs"/>
          <w:rtl/>
        </w:rPr>
        <w:t>339-</w:t>
      </w:r>
      <w:r>
        <w:rPr>
          <w:rFonts w:hint="cs"/>
          <w:rtl/>
        </w:rPr>
        <w:tab/>
        <w:t>على أن نتائج الإصلاح الزراعي كانت مثيرة للجدل. ووفقاً لدراسات تقييمية أجراها المجلس الوطني للتنمية</w:t>
      </w:r>
      <w:r>
        <w:rPr>
          <w:rFonts w:hint="cs"/>
          <w:vertAlign w:val="superscript"/>
          <w:rtl/>
        </w:rPr>
        <w:t>(45)</w:t>
      </w:r>
      <w:r>
        <w:rPr>
          <w:rFonts w:hint="cs"/>
          <w:rtl/>
        </w:rPr>
        <w:t xml:space="preserve"> في عام 1977 بعد فترة دامت 30 عا</w:t>
      </w:r>
      <w:r>
        <w:rPr>
          <w:rFonts w:hint="cs"/>
          <w:rtl/>
        </w:rPr>
        <w:t>ماً، فإن هناك ما نسبته 22.2 في المائة من المنطقة مشغولة بالأراضي المملوكة التي تتراوح مساحتها بين 0.1 من الهكتار و9 هكتارات مع وجود نسبة كبيرة من قطع أراضٍ صغيرة تقل مساحتها عن هكتار واحد؛ وتمثل الوحدات الإنتاجية التي تتراوح مساحتها بين 10 هكتارات و49 هكتا</w:t>
      </w:r>
      <w:r>
        <w:rPr>
          <w:rFonts w:hint="cs"/>
          <w:rtl/>
        </w:rPr>
        <w:t>راً نسبة 26.4 في المائة، بينما تشغل الأراضي المملوكة التي تشكل نسبة 2.6 في المائة وتتراوح مساحتها بين 50 هكتاراً و500 هكتار نسبة 51.3 في المائة من المساحة الكلية للمنطقة، مما يشير بالتالي إلى انخفاض معدل نقل ملكية الأراضي وارتفاع التكاليف بشكل كبير.</w:t>
      </w:r>
    </w:p>
    <w:p w:rsidR="00000000" w:rsidRDefault="00567B15">
      <w:pPr>
        <w:spacing w:line="380" w:lineRule="exact"/>
        <w:jc w:val="both"/>
        <w:rPr>
          <w:rFonts w:hint="cs"/>
          <w:spacing w:val="2"/>
          <w:rtl/>
        </w:rPr>
      </w:pPr>
      <w:r>
        <w:rPr>
          <w:rFonts w:hint="cs"/>
          <w:spacing w:val="2"/>
          <w:rtl/>
        </w:rPr>
        <w:t>340-</w:t>
      </w:r>
      <w:r>
        <w:rPr>
          <w:rFonts w:hint="cs"/>
          <w:spacing w:val="2"/>
          <w:rtl/>
        </w:rPr>
        <w:tab/>
        <w:t>و</w:t>
      </w:r>
      <w:r>
        <w:rPr>
          <w:rFonts w:hint="cs"/>
          <w:spacing w:val="2"/>
          <w:rtl/>
        </w:rPr>
        <w:t>الواقع أن تطبيق القانون لم يقض على الظلم في البلاد، بل ولم يحقق سوى القليل بشأن التخلص من النـزاعات الاجتماعية في مجال الزراعة. ولم يتسن سوى إزالة أنماط الإنتاج الهامشية. على أن المشتغلين في الزراعة، الذين هم في الأغلب من السكان الأصليين، ممن تسلموا قطع أر</w:t>
      </w:r>
      <w:r>
        <w:rPr>
          <w:rFonts w:hint="cs"/>
          <w:spacing w:val="2"/>
          <w:rtl/>
        </w:rPr>
        <w:t>اضٍ صغيرة في المناطق المهمشة التي اتسمت بأسوأ الخصائص الزراعية والإيكولوجية (الأراضي المنخفضة وسفوح الجبال والتضاريس الوعرة) لم يكن لديهم التكنولوجيا أو التدريب أو الائتمانات أو الطرق كيما تتاح أمامهم الفرصة لرفع إنتاج وإنتاجية أصولهم الزراعية الأساسية. وك</w:t>
      </w:r>
      <w:r>
        <w:rPr>
          <w:rFonts w:hint="cs"/>
          <w:spacing w:val="2"/>
          <w:rtl/>
        </w:rPr>
        <w:t>انوا عاجزين عن تحسين ظروفهم أو ظروف أسرهم المعيشية، وهذا ما زاد من سوء مشكلة التهميش والفقر التي يعاني منها سكان الأرياف. ومن الجدير بالذكر أن نحو 60 في المائة من المنتجين يعانون من هذه الحالة.</w:t>
      </w:r>
    </w:p>
    <w:p w:rsidR="00000000" w:rsidRDefault="00567B15">
      <w:pPr>
        <w:spacing w:line="380" w:lineRule="exact"/>
        <w:jc w:val="both"/>
        <w:rPr>
          <w:rFonts w:hint="cs"/>
          <w:rtl/>
        </w:rPr>
      </w:pPr>
      <w:r>
        <w:rPr>
          <w:rFonts w:hint="cs"/>
          <w:rtl/>
        </w:rPr>
        <w:t>341-</w:t>
      </w:r>
      <w:r>
        <w:rPr>
          <w:rFonts w:hint="cs"/>
          <w:rtl/>
        </w:rPr>
        <w:tab/>
        <w:t>ولا يزال السود في إكوادور مستبعدين، ولم يستفيدوا من الإصل</w:t>
      </w:r>
      <w:r>
        <w:rPr>
          <w:rFonts w:hint="cs"/>
          <w:rtl/>
        </w:rPr>
        <w:t>اح الزراعي في البلاد. وتعد مشكلة امتلاك وسائل الإنتاج واحدة من المشاكل الرئيسية التي يعانون منها. وأدى الحصول على ملكية الأراضي في العقد الأخير إلى حركة هجرة رئيسية إلى المدينتين الكبيرتين، كيتو وغواياكيل؛ حيث استقر السود هناك في عدد من المقاطعات الحضرية ا</w:t>
      </w:r>
      <w:r>
        <w:rPr>
          <w:rFonts w:hint="cs"/>
          <w:rtl/>
        </w:rPr>
        <w:t xml:space="preserve">لمهمشة التي لا يتمتعون فيها بوضع أفضل من وضعهم في أماكن منشئهم، بل وأسوأ في بعض الحالات. ومعدلات الفقر وسوء التغذية مرتفعة، ولم تفعل الحكومات شيئاً لعكس هذا الاتجاه. </w:t>
      </w:r>
    </w:p>
    <w:p w:rsidR="00000000" w:rsidRDefault="00567B15">
      <w:pPr>
        <w:spacing w:line="380" w:lineRule="exact"/>
        <w:jc w:val="both"/>
        <w:rPr>
          <w:rFonts w:hint="cs"/>
          <w:rtl/>
        </w:rPr>
      </w:pPr>
      <w:r>
        <w:rPr>
          <w:rFonts w:hint="cs"/>
          <w:rtl/>
        </w:rPr>
        <w:t>342-</w:t>
      </w:r>
      <w:r>
        <w:rPr>
          <w:rFonts w:hint="cs"/>
          <w:rtl/>
        </w:rPr>
        <w:tab/>
        <w:t xml:space="preserve">وللإصلاح الزراعي آثار أخرى أيضاً؛ ولعل الأثر الرئيسي كان تحويل الأراضي الزراعية إلى </w:t>
      </w:r>
      <w:r>
        <w:rPr>
          <w:rFonts w:hint="cs"/>
          <w:rtl/>
        </w:rPr>
        <w:t xml:space="preserve">مراعي وغابات كجزء من سياسة الدفاع التي يتبعها كبار ملاك الأراضي؛ ولم تخضع المناطق المستخدمة لأغراض من هذا القبيل، بحكم القانون، إلى إعادة نقل ملكيتها. </w:t>
      </w:r>
    </w:p>
    <w:p w:rsidR="00000000" w:rsidRDefault="00567B15">
      <w:pPr>
        <w:spacing w:line="380" w:lineRule="exact"/>
        <w:jc w:val="both"/>
        <w:rPr>
          <w:rFonts w:hint="cs"/>
          <w:rtl/>
        </w:rPr>
      </w:pPr>
      <w:r>
        <w:rPr>
          <w:rFonts w:hint="cs"/>
          <w:rtl/>
        </w:rPr>
        <w:t>343-</w:t>
      </w:r>
      <w:r>
        <w:rPr>
          <w:rFonts w:hint="cs"/>
          <w:rtl/>
        </w:rPr>
        <w:tab/>
        <w:t>وكانت هناك حاجة إلى إحداث تغيير لاستحثاث التنمية الزراعية. ونتيجة لضرورة تعزيز تنمية القطاع الزراعي</w:t>
      </w:r>
      <w:r>
        <w:rPr>
          <w:rFonts w:hint="cs"/>
          <w:rtl/>
        </w:rPr>
        <w:t xml:space="preserve"> تنمية شاملة، شُرّع في 14 آذار/مارس 1994 قانون التنمية الزراعية المعروف بالقانون رقم 54، (العدد 461 من الجريدة الرسمية) بهدف تحديث القطاع الزراعي.</w:t>
      </w:r>
    </w:p>
    <w:p w:rsidR="00000000" w:rsidRDefault="00567B15">
      <w:pPr>
        <w:spacing w:line="380" w:lineRule="exact"/>
        <w:jc w:val="both"/>
        <w:rPr>
          <w:rStyle w:val="FootnoteReference"/>
          <w:rFonts w:hint="cs"/>
          <w:bCs w:val="0"/>
          <w:vertAlign w:val="baseline"/>
          <w:rtl/>
        </w:rPr>
      </w:pPr>
      <w:r>
        <w:rPr>
          <w:rFonts w:hint="cs"/>
          <w:rtl/>
        </w:rPr>
        <w:t>344-</w:t>
      </w:r>
      <w:r>
        <w:rPr>
          <w:rFonts w:hint="cs"/>
          <w:rtl/>
        </w:rPr>
        <w:tab/>
        <w:t xml:space="preserve">ولدى تشريع قانون التنمية الزراعية، حُلّ معهد الإصلاح الزراعي والاستيطان في إكوادور وأُنشئ المعهد الوطني </w:t>
      </w:r>
      <w:r>
        <w:rPr>
          <w:rFonts w:hint="cs"/>
          <w:rtl/>
        </w:rPr>
        <w:t>للتنمية الزراعية ككيان عمومي مسؤول عن إدارة سياسة الأراضي في مختلف الميادين، وهي: ضمان الحق في ملكية الأراضي وعرض الأراضي التابعة للدولة في السوق الحرة عن طريق المزاد العلني وتصنيف سجل للأراضي وضمان التعاون فيما بين المؤسسات.</w:t>
      </w:r>
    </w:p>
    <w:p w:rsidR="00000000" w:rsidRDefault="00567B15">
      <w:pPr>
        <w:spacing w:line="380" w:lineRule="exact"/>
        <w:jc w:val="both"/>
        <w:rPr>
          <w:rFonts w:hint="cs"/>
          <w:rtl/>
        </w:rPr>
      </w:pPr>
      <w:r>
        <w:rPr>
          <w:rFonts w:hint="cs"/>
          <w:rtl/>
        </w:rPr>
        <w:t>345-</w:t>
      </w:r>
      <w:r>
        <w:rPr>
          <w:rFonts w:hint="cs"/>
          <w:rtl/>
        </w:rPr>
        <w:tab/>
        <w:t xml:space="preserve">وفي أثناء عملية الانتقال </w:t>
      </w:r>
      <w:r>
        <w:rPr>
          <w:rFonts w:hint="cs"/>
          <w:rtl/>
        </w:rPr>
        <w:t>وفي السنوات الأولى لتشغيل المعهد الوطني للتنمية الزراعية، لم يكن بإمكان صغار المزارعين في قطاع الريف في إكوادور أن يحتفظوا بسندات ملكية أراضيهم. ومن شأن هذه السندات أن تكون ضماناً للملكية وتفسح المجال أمامهم للحصول على الائتمانات الزراعية التي يحسنون بها م</w:t>
      </w:r>
      <w:r>
        <w:rPr>
          <w:rFonts w:hint="cs"/>
          <w:rtl/>
        </w:rPr>
        <w:t>متلكاتهم ويستغلونها استغلالاً فعالاً. وبالتالي، تولى المعهد الوطني للتنمية الزراعية تنفيذ مرحلة جديدة، تُطبق فيها سياسات شاملة لترويج الزراعة وتنميتها وحمايتها، ويُحقق فيها الحد الأمثل للاستفادة من موارد القطاع الزراعي ويقدم فيها للمستخدمين خدمات ذات نوعية</w:t>
      </w:r>
      <w:r>
        <w:rPr>
          <w:rFonts w:hint="cs"/>
          <w:rtl/>
        </w:rPr>
        <w:t xml:space="preserve"> جيدة، مما يُسهم بالتالي في التنمية الاجتماعية والاقتصادية في البلد، مثلما يُلاحظ في الجدول التالي:</w:t>
      </w:r>
    </w:p>
    <w:p w:rsidR="00000000" w:rsidRDefault="00567B15">
      <w:pPr>
        <w:spacing w:line="280" w:lineRule="exact"/>
        <w:jc w:val="center"/>
        <w:rPr>
          <w:rFonts w:hint="cs"/>
          <w:b/>
          <w:bCs/>
          <w:rtl/>
        </w:rPr>
      </w:pPr>
      <w:r>
        <w:rPr>
          <w:rFonts w:hint="cs"/>
          <w:b/>
          <w:bCs/>
          <w:rtl/>
        </w:rPr>
        <w:t>سندات ملكية الأراضي الممنوحة والمساحة والمستفيدين</w:t>
      </w:r>
    </w:p>
    <w:p w:rsidR="00000000" w:rsidRDefault="00567B15">
      <w:pPr>
        <w:spacing w:line="280" w:lineRule="exact"/>
        <w:jc w:val="center"/>
        <w:rPr>
          <w:rFonts w:hint="cs"/>
          <w:b/>
          <w:bCs/>
          <w:rtl/>
        </w:rPr>
      </w:pPr>
      <w:r>
        <w:rPr>
          <w:rFonts w:hint="cs"/>
          <w:b/>
          <w:bCs/>
          <w:rtl/>
        </w:rPr>
        <w:t>(هكتارات)</w:t>
      </w:r>
    </w:p>
    <w:tbl>
      <w:tblPr>
        <w:bidiVisual/>
        <w:tblW w:w="0" w:type="auto"/>
        <w:tblInd w:w="1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4"/>
        <w:gridCol w:w="1441"/>
        <w:gridCol w:w="1526"/>
        <w:gridCol w:w="1629"/>
      </w:tblGrid>
      <w:tr w:rsidR="00567B15" w:rsidTr="00567B15">
        <w:tblPrEx>
          <w:tblCellMar>
            <w:top w:w="0" w:type="dxa"/>
            <w:bottom w:w="0" w:type="dxa"/>
          </w:tblCellMar>
        </w:tblPrEx>
        <w:tc>
          <w:tcPr>
            <w:tcW w:w="1694" w:type="dxa"/>
          </w:tcPr>
          <w:p w:rsidR="00567B15" w:rsidRDefault="00567B15">
            <w:pPr>
              <w:spacing w:before="0" w:after="0" w:line="320" w:lineRule="exact"/>
              <w:jc w:val="both"/>
              <w:rPr>
                <w:rStyle w:val="FootnoteReference"/>
                <w:rFonts w:hint="cs"/>
                <w:bCs w:val="0"/>
                <w:sz w:val="26"/>
                <w:szCs w:val="26"/>
                <w:vertAlign w:val="baseline"/>
              </w:rPr>
            </w:pPr>
          </w:p>
        </w:tc>
        <w:tc>
          <w:tcPr>
            <w:tcW w:w="1441" w:type="dxa"/>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السندات</w:t>
            </w:r>
          </w:p>
        </w:tc>
        <w:tc>
          <w:tcPr>
            <w:tcW w:w="1526" w:type="dxa"/>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المساحة</w:t>
            </w:r>
          </w:p>
        </w:tc>
        <w:tc>
          <w:tcPr>
            <w:tcW w:w="1629" w:type="dxa"/>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المستفيدون</w:t>
            </w:r>
          </w:p>
        </w:tc>
      </w:tr>
      <w:tr w:rsidR="00567B15" w:rsidTr="00567B15">
        <w:tblPrEx>
          <w:tblCellMar>
            <w:top w:w="0" w:type="dxa"/>
            <w:bottom w:w="0" w:type="dxa"/>
          </w:tblCellMar>
        </w:tblPrEx>
        <w:tc>
          <w:tcPr>
            <w:tcW w:w="1694" w:type="dxa"/>
          </w:tcPr>
          <w:p w:rsidR="00567B15" w:rsidRDefault="00567B15">
            <w:pPr>
              <w:spacing w:before="0" w:after="0" w:line="320" w:lineRule="exact"/>
              <w:jc w:val="both"/>
              <w:rPr>
                <w:rFonts w:hint="cs"/>
                <w:sz w:val="26"/>
                <w:szCs w:val="26"/>
                <w:rtl/>
              </w:rPr>
            </w:pPr>
            <w:r>
              <w:rPr>
                <w:rFonts w:hint="cs"/>
                <w:sz w:val="26"/>
                <w:szCs w:val="26"/>
                <w:rtl/>
              </w:rPr>
              <w:t>منطقة المرتفعات</w:t>
            </w:r>
          </w:p>
          <w:p w:rsidR="00567B15" w:rsidRDefault="00567B15">
            <w:pPr>
              <w:spacing w:before="0" w:after="0" w:line="320" w:lineRule="exact"/>
              <w:jc w:val="both"/>
              <w:rPr>
                <w:rFonts w:hint="cs"/>
                <w:sz w:val="26"/>
                <w:szCs w:val="26"/>
                <w:rtl/>
              </w:rPr>
            </w:pPr>
            <w:r>
              <w:rPr>
                <w:rFonts w:hint="cs"/>
                <w:sz w:val="26"/>
                <w:szCs w:val="26"/>
                <w:rtl/>
              </w:rPr>
              <w:t>المنطقة الساحلية</w:t>
            </w:r>
          </w:p>
          <w:p w:rsidR="00567B15" w:rsidRDefault="00567B15">
            <w:pPr>
              <w:spacing w:before="0" w:after="0" w:line="320" w:lineRule="exact"/>
              <w:jc w:val="both"/>
              <w:rPr>
                <w:rStyle w:val="FootnoteReference"/>
                <w:rFonts w:hint="cs"/>
                <w:bCs w:val="0"/>
                <w:sz w:val="26"/>
                <w:szCs w:val="26"/>
                <w:vertAlign w:val="baseline"/>
              </w:rPr>
            </w:pPr>
            <w:r>
              <w:rPr>
                <w:rFonts w:hint="cs"/>
                <w:sz w:val="26"/>
                <w:szCs w:val="26"/>
                <w:rtl/>
              </w:rPr>
              <w:t>المنطقة الشرقية</w:t>
            </w:r>
          </w:p>
        </w:tc>
        <w:tc>
          <w:tcPr>
            <w:tcW w:w="1441" w:type="dxa"/>
          </w:tcPr>
          <w:p w:rsidR="00567B15" w:rsidRDefault="00567B15">
            <w:pPr>
              <w:spacing w:before="0" w:after="0" w:line="320" w:lineRule="exact"/>
              <w:jc w:val="center"/>
              <w:rPr>
                <w:rFonts w:hint="cs"/>
                <w:sz w:val="26"/>
                <w:szCs w:val="26"/>
                <w:rtl/>
              </w:rPr>
            </w:pPr>
            <w:r>
              <w:rPr>
                <w:rFonts w:hint="cs"/>
                <w:sz w:val="26"/>
                <w:szCs w:val="26"/>
                <w:rtl/>
              </w:rPr>
              <w:t xml:space="preserve">   631 1</w:t>
            </w:r>
          </w:p>
          <w:p w:rsidR="00567B15" w:rsidRDefault="00567B15">
            <w:pPr>
              <w:spacing w:before="0" w:after="0" w:line="320" w:lineRule="exact"/>
              <w:jc w:val="center"/>
              <w:rPr>
                <w:rFonts w:hint="cs"/>
                <w:sz w:val="26"/>
                <w:szCs w:val="26"/>
                <w:rtl/>
              </w:rPr>
            </w:pPr>
            <w:r>
              <w:rPr>
                <w:rFonts w:hint="cs"/>
                <w:sz w:val="26"/>
                <w:szCs w:val="26"/>
                <w:rtl/>
              </w:rPr>
              <w:t>724</w:t>
            </w:r>
          </w:p>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447</w:t>
            </w:r>
          </w:p>
        </w:tc>
        <w:tc>
          <w:tcPr>
            <w:tcW w:w="1526" w:type="dxa"/>
          </w:tcPr>
          <w:p w:rsidR="00567B15" w:rsidRDefault="00567B15">
            <w:pPr>
              <w:spacing w:before="0" w:after="0" w:line="320" w:lineRule="exact"/>
              <w:jc w:val="left"/>
              <w:rPr>
                <w:rFonts w:hint="cs"/>
                <w:sz w:val="26"/>
                <w:szCs w:val="26"/>
                <w:rtl/>
              </w:rPr>
            </w:pPr>
            <w:r>
              <w:rPr>
                <w:rFonts w:hint="cs"/>
                <w:sz w:val="26"/>
                <w:szCs w:val="26"/>
                <w:rtl/>
              </w:rPr>
              <w:t>775.80 6</w:t>
            </w:r>
          </w:p>
          <w:p w:rsidR="00567B15" w:rsidRDefault="00567B15">
            <w:pPr>
              <w:spacing w:before="0" w:after="0" w:line="320" w:lineRule="exact"/>
              <w:jc w:val="left"/>
              <w:rPr>
                <w:rFonts w:hint="cs"/>
                <w:sz w:val="26"/>
                <w:szCs w:val="26"/>
                <w:rtl/>
              </w:rPr>
            </w:pPr>
            <w:r>
              <w:rPr>
                <w:rFonts w:hint="cs"/>
                <w:sz w:val="26"/>
                <w:szCs w:val="26"/>
                <w:rtl/>
              </w:rPr>
              <w:t>984.80 16</w:t>
            </w:r>
          </w:p>
          <w:p w:rsidR="00567B15" w:rsidRDefault="00567B15">
            <w:pPr>
              <w:spacing w:before="0" w:after="0" w:line="320" w:lineRule="exact"/>
              <w:jc w:val="left"/>
              <w:rPr>
                <w:rStyle w:val="FootnoteReference"/>
                <w:rFonts w:hint="cs"/>
                <w:bCs w:val="0"/>
                <w:sz w:val="26"/>
                <w:szCs w:val="26"/>
                <w:vertAlign w:val="baseline"/>
              </w:rPr>
            </w:pPr>
            <w:r>
              <w:rPr>
                <w:rFonts w:hint="cs"/>
                <w:sz w:val="26"/>
                <w:szCs w:val="26"/>
                <w:rtl/>
              </w:rPr>
              <w:t>804.40 5</w:t>
            </w:r>
          </w:p>
        </w:tc>
        <w:tc>
          <w:tcPr>
            <w:tcW w:w="1629" w:type="dxa"/>
          </w:tcPr>
          <w:p w:rsidR="00567B15" w:rsidRDefault="00567B15">
            <w:pPr>
              <w:spacing w:before="0" w:after="0" w:line="320" w:lineRule="exact"/>
              <w:jc w:val="center"/>
              <w:rPr>
                <w:rFonts w:hint="cs"/>
                <w:sz w:val="26"/>
                <w:szCs w:val="26"/>
                <w:rtl/>
              </w:rPr>
            </w:pPr>
            <w:r>
              <w:rPr>
                <w:rFonts w:hint="cs"/>
                <w:sz w:val="26"/>
                <w:szCs w:val="26"/>
                <w:rtl/>
              </w:rPr>
              <w:t>047 6</w:t>
            </w:r>
          </w:p>
          <w:p w:rsidR="00567B15" w:rsidRDefault="00567B15">
            <w:pPr>
              <w:spacing w:before="0" w:after="0" w:line="320" w:lineRule="exact"/>
              <w:jc w:val="center"/>
              <w:rPr>
                <w:rFonts w:hint="cs"/>
                <w:sz w:val="26"/>
                <w:szCs w:val="26"/>
                <w:rtl/>
              </w:rPr>
            </w:pPr>
            <w:r>
              <w:rPr>
                <w:rFonts w:hint="cs"/>
                <w:sz w:val="26"/>
                <w:szCs w:val="26"/>
                <w:rtl/>
              </w:rPr>
              <w:t>798 2</w:t>
            </w:r>
          </w:p>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706 1</w:t>
            </w:r>
          </w:p>
        </w:tc>
      </w:tr>
      <w:tr w:rsidR="00567B15" w:rsidTr="00567B15">
        <w:tblPrEx>
          <w:tblCellMar>
            <w:top w:w="0" w:type="dxa"/>
            <w:bottom w:w="0" w:type="dxa"/>
          </w:tblCellMar>
        </w:tblPrEx>
        <w:tc>
          <w:tcPr>
            <w:tcW w:w="1694" w:type="dxa"/>
          </w:tcPr>
          <w:p w:rsidR="00567B15" w:rsidRDefault="00567B15">
            <w:pPr>
              <w:spacing w:before="0" w:after="0" w:line="320" w:lineRule="exact"/>
              <w:jc w:val="both"/>
              <w:rPr>
                <w:sz w:val="26"/>
                <w:szCs w:val="26"/>
                <w:rtl/>
              </w:rPr>
            </w:pPr>
            <w:r>
              <w:rPr>
                <w:sz w:val="26"/>
                <w:szCs w:val="26"/>
                <w:rtl/>
              </w:rPr>
              <w:tab/>
              <w:t>المجموع</w:t>
            </w:r>
          </w:p>
        </w:tc>
        <w:tc>
          <w:tcPr>
            <w:tcW w:w="1441" w:type="dxa"/>
          </w:tcPr>
          <w:p w:rsidR="00567B15" w:rsidRDefault="00567B15">
            <w:pPr>
              <w:spacing w:before="0" w:after="0" w:line="320" w:lineRule="exact"/>
              <w:jc w:val="center"/>
              <w:rPr>
                <w:rFonts w:hint="cs"/>
                <w:sz w:val="26"/>
                <w:szCs w:val="26"/>
                <w:rtl/>
              </w:rPr>
            </w:pPr>
            <w:r>
              <w:rPr>
                <w:rFonts w:hint="cs"/>
                <w:sz w:val="26"/>
                <w:szCs w:val="26"/>
                <w:rtl/>
              </w:rPr>
              <w:t xml:space="preserve">   802 2</w:t>
            </w:r>
          </w:p>
        </w:tc>
        <w:tc>
          <w:tcPr>
            <w:tcW w:w="1526" w:type="dxa"/>
          </w:tcPr>
          <w:p w:rsidR="00567B15" w:rsidRDefault="00567B15">
            <w:pPr>
              <w:spacing w:before="0" w:after="0" w:line="320" w:lineRule="exact"/>
              <w:jc w:val="left"/>
              <w:rPr>
                <w:rFonts w:hint="cs"/>
                <w:sz w:val="26"/>
                <w:szCs w:val="26"/>
                <w:rtl/>
              </w:rPr>
            </w:pPr>
            <w:r>
              <w:rPr>
                <w:rFonts w:hint="cs"/>
                <w:sz w:val="26"/>
                <w:szCs w:val="26"/>
                <w:rtl/>
              </w:rPr>
              <w:t>566.00 29</w:t>
            </w:r>
          </w:p>
        </w:tc>
        <w:tc>
          <w:tcPr>
            <w:tcW w:w="1629" w:type="dxa"/>
          </w:tcPr>
          <w:p w:rsidR="00567B15" w:rsidRDefault="00567B15">
            <w:pPr>
              <w:spacing w:before="0" w:after="0" w:line="320" w:lineRule="exact"/>
              <w:jc w:val="center"/>
              <w:rPr>
                <w:rFonts w:hint="cs"/>
                <w:sz w:val="26"/>
                <w:szCs w:val="26"/>
                <w:rtl/>
              </w:rPr>
            </w:pPr>
            <w:r>
              <w:rPr>
                <w:rFonts w:hint="cs"/>
                <w:sz w:val="26"/>
                <w:szCs w:val="26"/>
                <w:rtl/>
              </w:rPr>
              <w:t xml:space="preserve"> 511 10</w:t>
            </w:r>
          </w:p>
        </w:tc>
      </w:tr>
      <w:tr w:rsidR="00567B15" w:rsidTr="00567B15">
        <w:tblPrEx>
          <w:tblCellMar>
            <w:top w:w="0" w:type="dxa"/>
            <w:bottom w:w="0" w:type="dxa"/>
          </w:tblCellMar>
        </w:tblPrEx>
        <w:tc>
          <w:tcPr>
            <w:tcW w:w="1694" w:type="dxa"/>
          </w:tcPr>
          <w:p w:rsidR="00567B15" w:rsidRDefault="00567B15">
            <w:pPr>
              <w:spacing w:before="0" w:after="0" w:line="320" w:lineRule="exact"/>
              <w:jc w:val="both"/>
              <w:rPr>
                <w:rFonts w:hint="cs"/>
                <w:sz w:val="26"/>
                <w:szCs w:val="26"/>
                <w:rtl/>
              </w:rPr>
            </w:pPr>
            <w:r>
              <w:rPr>
                <w:rFonts w:hint="cs"/>
                <w:sz w:val="26"/>
                <w:szCs w:val="26"/>
                <w:rtl/>
              </w:rPr>
              <w:t>المشاريع</w:t>
            </w:r>
          </w:p>
        </w:tc>
        <w:tc>
          <w:tcPr>
            <w:tcW w:w="1441" w:type="dxa"/>
          </w:tcPr>
          <w:p w:rsidR="00567B15" w:rsidRDefault="00567B15">
            <w:pPr>
              <w:spacing w:before="0" w:after="0" w:line="320" w:lineRule="exact"/>
              <w:jc w:val="center"/>
              <w:rPr>
                <w:rFonts w:hint="cs"/>
                <w:sz w:val="26"/>
                <w:szCs w:val="26"/>
                <w:rtl/>
              </w:rPr>
            </w:pPr>
            <w:r>
              <w:rPr>
                <w:rFonts w:hint="cs"/>
                <w:sz w:val="26"/>
                <w:szCs w:val="26"/>
                <w:rtl/>
              </w:rPr>
              <w:t>908</w:t>
            </w:r>
          </w:p>
        </w:tc>
        <w:tc>
          <w:tcPr>
            <w:tcW w:w="1526" w:type="dxa"/>
          </w:tcPr>
          <w:p w:rsidR="00567B15" w:rsidRDefault="00567B15">
            <w:pPr>
              <w:spacing w:before="0" w:after="0" w:line="320" w:lineRule="exact"/>
              <w:jc w:val="left"/>
              <w:rPr>
                <w:rFonts w:hint="cs"/>
                <w:sz w:val="26"/>
                <w:szCs w:val="26"/>
                <w:rtl/>
              </w:rPr>
            </w:pPr>
            <w:r>
              <w:rPr>
                <w:rFonts w:hint="cs"/>
                <w:sz w:val="26"/>
                <w:szCs w:val="26"/>
                <w:rtl/>
              </w:rPr>
              <w:t>144.00 19</w:t>
            </w:r>
          </w:p>
        </w:tc>
        <w:tc>
          <w:tcPr>
            <w:tcW w:w="1629" w:type="dxa"/>
          </w:tcPr>
          <w:p w:rsidR="00567B15" w:rsidRDefault="00567B15">
            <w:pPr>
              <w:spacing w:before="0" w:after="0" w:line="320" w:lineRule="exact"/>
              <w:jc w:val="center"/>
              <w:rPr>
                <w:rFonts w:hint="cs"/>
                <w:sz w:val="26"/>
                <w:szCs w:val="26"/>
                <w:rtl/>
              </w:rPr>
            </w:pPr>
            <w:r>
              <w:rPr>
                <w:rFonts w:hint="cs"/>
                <w:sz w:val="26"/>
                <w:szCs w:val="26"/>
                <w:rtl/>
              </w:rPr>
              <w:t>627 2</w:t>
            </w:r>
          </w:p>
        </w:tc>
      </w:tr>
      <w:tr w:rsidR="00567B15" w:rsidTr="00567B15">
        <w:tblPrEx>
          <w:tblCellMar>
            <w:top w:w="0" w:type="dxa"/>
            <w:bottom w:w="0" w:type="dxa"/>
          </w:tblCellMar>
        </w:tblPrEx>
        <w:trPr>
          <w:trHeight w:val="385"/>
        </w:trPr>
        <w:tc>
          <w:tcPr>
            <w:tcW w:w="1694" w:type="dxa"/>
          </w:tcPr>
          <w:p w:rsidR="00567B15" w:rsidRDefault="00567B15">
            <w:pPr>
              <w:spacing w:before="0" w:after="0" w:line="320" w:lineRule="exact"/>
              <w:jc w:val="both"/>
              <w:rPr>
                <w:rFonts w:hint="cs"/>
                <w:sz w:val="26"/>
                <w:szCs w:val="26"/>
                <w:rtl/>
              </w:rPr>
            </w:pPr>
            <w:r>
              <w:rPr>
                <w:sz w:val="26"/>
                <w:szCs w:val="26"/>
                <w:rtl/>
              </w:rPr>
              <w:t xml:space="preserve">المجموع </w:t>
            </w:r>
            <w:r>
              <w:rPr>
                <w:rFonts w:hint="cs"/>
                <w:sz w:val="26"/>
                <w:szCs w:val="26"/>
                <w:rtl/>
              </w:rPr>
              <w:t>الوطني</w:t>
            </w:r>
          </w:p>
        </w:tc>
        <w:tc>
          <w:tcPr>
            <w:tcW w:w="1441" w:type="dxa"/>
          </w:tcPr>
          <w:p w:rsidR="00567B15" w:rsidRDefault="00567B15">
            <w:pPr>
              <w:spacing w:before="0" w:after="0" w:line="320" w:lineRule="exact"/>
              <w:jc w:val="center"/>
              <w:rPr>
                <w:rFonts w:hint="cs"/>
                <w:sz w:val="26"/>
                <w:szCs w:val="26"/>
                <w:rtl/>
              </w:rPr>
            </w:pPr>
            <w:r>
              <w:rPr>
                <w:rFonts w:hint="cs"/>
                <w:sz w:val="26"/>
                <w:szCs w:val="26"/>
                <w:rtl/>
              </w:rPr>
              <w:t xml:space="preserve">   710 3</w:t>
            </w:r>
          </w:p>
        </w:tc>
        <w:tc>
          <w:tcPr>
            <w:tcW w:w="1526" w:type="dxa"/>
          </w:tcPr>
          <w:p w:rsidR="00567B15" w:rsidRDefault="00567B15">
            <w:pPr>
              <w:spacing w:before="0" w:after="0" w:line="320" w:lineRule="exact"/>
              <w:jc w:val="left"/>
              <w:rPr>
                <w:rFonts w:hint="cs"/>
                <w:sz w:val="26"/>
                <w:szCs w:val="26"/>
                <w:rtl/>
              </w:rPr>
            </w:pPr>
            <w:r>
              <w:rPr>
                <w:rFonts w:hint="cs"/>
                <w:sz w:val="26"/>
                <w:szCs w:val="26"/>
                <w:rtl/>
              </w:rPr>
              <w:t>709.00 48</w:t>
            </w:r>
          </w:p>
        </w:tc>
        <w:tc>
          <w:tcPr>
            <w:tcW w:w="1629" w:type="dxa"/>
          </w:tcPr>
          <w:p w:rsidR="00567B15" w:rsidRDefault="00567B15">
            <w:pPr>
              <w:spacing w:before="0" w:after="0" w:line="320" w:lineRule="exact"/>
              <w:jc w:val="center"/>
              <w:rPr>
                <w:rFonts w:hint="cs"/>
                <w:sz w:val="26"/>
                <w:szCs w:val="26"/>
                <w:rtl/>
              </w:rPr>
            </w:pPr>
            <w:r>
              <w:rPr>
                <w:rFonts w:hint="cs"/>
                <w:sz w:val="26"/>
                <w:szCs w:val="26"/>
                <w:rtl/>
              </w:rPr>
              <w:t xml:space="preserve">  178 13</w:t>
            </w:r>
          </w:p>
        </w:tc>
      </w:tr>
    </w:tbl>
    <w:p w:rsidR="00000000" w:rsidRDefault="00567B15">
      <w:pPr>
        <w:jc w:val="both"/>
        <w:rPr>
          <w:rFonts w:hint="cs"/>
          <w:rtl/>
        </w:rPr>
      </w:pPr>
      <w:r>
        <w:rPr>
          <w:rStyle w:val="FootnoteReference"/>
          <w:rFonts w:hint="cs"/>
          <w:bCs w:val="0"/>
          <w:vertAlign w:val="baseline"/>
          <w:rtl/>
        </w:rPr>
        <w:tab/>
      </w:r>
      <w:r>
        <w:rPr>
          <w:rFonts w:hint="cs"/>
          <w:u w:val="single"/>
          <w:rtl/>
        </w:rPr>
        <w:t>المصدر</w:t>
      </w:r>
      <w:r>
        <w:rPr>
          <w:rFonts w:hint="cs"/>
          <w:rtl/>
        </w:rPr>
        <w:t xml:space="preserve">: </w:t>
      </w:r>
      <w:r>
        <w:rPr>
          <w:rFonts w:hint="cs"/>
          <w:i/>
          <w:iCs/>
          <w:rtl/>
        </w:rPr>
        <w:t>التقرير العام</w:t>
      </w:r>
      <w:r>
        <w:rPr>
          <w:rFonts w:hint="cs"/>
          <w:rtl/>
        </w:rPr>
        <w:t xml:space="preserve"> للمعهد الوطني للتنمية الزراعية، 1998.</w:t>
      </w:r>
    </w:p>
    <w:p w:rsidR="00000000" w:rsidRDefault="00567B15">
      <w:pPr>
        <w:spacing w:line="380" w:lineRule="exact"/>
        <w:jc w:val="both"/>
        <w:rPr>
          <w:rFonts w:hint="cs"/>
          <w:rtl/>
        </w:rPr>
      </w:pPr>
      <w:r>
        <w:rPr>
          <w:rFonts w:hint="cs"/>
          <w:rtl/>
        </w:rPr>
        <w:t>346-</w:t>
      </w:r>
      <w:r>
        <w:rPr>
          <w:rFonts w:hint="cs"/>
          <w:rtl/>
        </w:rPr>
        <w:tab/>
        <w:t>وينص قانون التنمية الزراعية المعد</w:t>
      </w:r>
      <w:r>
        <w:rPr>
          <w:rFonts w:hint="cs"/>
          <w:rtl/>
        </w:rPr>
        <w:t>ل، الذي نشر في العدد 55 من الجريدة الرسمية بتاريخ 30 نيسان/أبريل 1997، على استهلال وزارة الزراعة والثروة الحيوانية، إلى جانب المزارعين من السكان الأصليين والمونتوبيو والإكوادوريين الأفارقة ومنظمات عمال الزراعة والمزارعين، لبرنامج وطني للتدريب ونقل التكنولو</w:t>
      </w:r>
      <w:r>
        <w:rPr>
          <w:rFonts w:hint="cs"/>
          <w:rtl/>
        </w:rPr>
        <w:t xml:space="preserve">جيا، بما في ذلك إدخال تحسينات وابتكارات على تقنيات المعارف التقليدية والقديمة. ويؤكد القانون على التدريب بشكل خاص بوصفه سياسة من أهم السياسات في هذا القطاع. </w:t>
      </w:r>
    </w:p>
    <w:p w:rsidR="00000000" w:rsidRDefault="00567B15">
      <w:pPr>
        <w:spacing w:line="380" w:lineRule="exact"/>
        <w:jc w:val="both"/>
        <w:rPr>
          <w:rFonts w:hint="cs"/>
          <w:rtl/>
        </w:rPr>
      </w:pPr>
      <w:r>
        <w:rPr>
          <w:rFonts w:hint="cs"/>
          <w:rtl/>
        </w:rPr>
        <w:t>347-</w:t>
      </w:r>
      <w:r>
        <w:rPr>
          <w:rFonts w:hint="cs"/>
          <w:rtl/>
        </w:rPr>
        <w:tab/>
        <w:t>ووضعت الوزارة بالمرسوم التشريعي 417 المؤرخ 10 تموز/يوليه 1997، إطارا لتدريب المزارعين مثلما ح</w:t>
      </w:r>
      <w:r>
        <w:rPr>
          <w:rFonts w:hint="cs"/>
          <w:rtl/>
        </w:rPr>
        <w:t>دده قانون التنمية الزراعية، حيث أوكلت إلى المعهد الوطني لتدريب المزارعين، الذي أُعيدت هيكلته، مهمة إدارة تدريب المزارعين وتنسيقه في البلاد.</w:t>
      </w:r>
    </w:p>
    <w:p w:rsidR="00000000" w:rsidRDefault="00567B15">
      <w:pPr>
        <w:spacing w:line="380" w:lineRule="exact"/>
        <w:jc w:val="both"/>
        <w:rPr>
          <w:rFonts w:hint="cs"/>
          <w:rtl/>
        </w:rPr>
      </w:pPr>
      <w:r>
        <w:rPr>
          <w:rFonts w:hint="cs"/>
          <w:rtl/>
        </w:rPr>
        <w:t>348-</w:t>
      </w:r>
      <w:r>
        <w:rPr>
          <w:rFonts w:hint="cs"/>
          <w:rtl/>
        </w:rPr>
        <w:tab/>
        <w:t>ولهذه الأغراض، أنشأت الوزارة صندوق تبرعات يمول من ريع ما يُباع من أصولها غير المنتجة. ونشرت قواعد تشغيل هذا الص</w:t>
      </w:r>
      <w:r>
        <w:rPr>
          <w:rFonts w:hint="cs"/>
          <w:rtl/>
        </w:rPr>
        <w:t>ندوق في العددين 94 و185 من الجريدة الرسمية المؤرخين 23 كانون الأول/ديسمبر 1996 و31 تشرين الأول/أكتوبر 1997 على التوالي.</w:t>
      </w:r>
    </w:p>
    <w:p w:rsidR="00000000" w:rsidRDefault="00567B15">
      <w:pPr>
        <w:spacing w:line="380" w:lineRule="exact"/>
        <w:jc w:val="both"/>
        <w:rPr>
          <w:rFonts w:hint="cs"/>
          <w:rtl/>
        </w:rPr>
      </w:pPr>
      <w:r>
        <w:rPr>
          <w:rFonts w:hint="cs"/>
          <w:rtl/>
        </w:rPr>
        <w:t>349-</w:t>
      </w:r>
      <w:r>
        <w:rPr>
          <w:rFonts w:hint="cs"/>
          <w:rtl/>
        </w:rPr>
        <w:tab/>
        <w:t>وجرى تطوير البرنامج الوطني لتدريب المزارعين من خلال عملية تشاركية بدأت في عام 1992، ورافقه إجراء دراسة استقصائية لفرص ومتطلبات التد</w:t>
      </w:r>
      <w:r>
        <w:rPr>
          <w:rFonts w:hint="cs"/>
          <w:rtl/>
        </w:rPr>
        <w:t>ريب التي ترعاها الوزارة.</w:t>
      </w:r>
    </w:p>
    <w:p w:rsidR="00000000" w:rsidRDefault="00567B15">
      <w:pPr>
        <w:spacing w:line="380" w:lineRule="exact"/>
        <w:jc w:val="both"/>
        <w:rPr>
          <w:rFonts w:hint="cs"/>
          <w:rtl/>
        </w:rPr>
      </w:pPr>
      <w:r>
        <w:rPr>
          <w:rFonts w:hint="cs"/>
          <w:rtl/>
        </w:rPr>
        <w:t>350-</w:t>
      </w:r>
      <w:r>
        <w:rPr>
          <w:rFonts w:hint="cs"/>
          <w:rtl/>
        </w:rPr>
        <w:tab/>
        <w:t>وتحملت الوزارة، من خلال المعهد الوطني لتدريب المزارعين، مسؤولية استهلال البرنامج الوطني لتدريب المزارعين كخطوة أولى لإنشاء النظام الوطني لتدريب المزارعين. وطلب إلى المستخدمين والمدربين التوصل إلى اتفاق بشأن الجوانب الاستراتيجي</w:t>
      </w:r>
      <w:r>
        <w:rPr>
          <w:rFonts w:hint="cs"/>
          <w:rtl/>
        </w:rPr>
        <w:t>ة لتصميم النظام وأدائه لوظيفته، خلال حلقة عمل دراسية اشتملت مهامها على تحديد الاحتياجات والمجالات المواضيعية لتدريب المنتجين ومنظماتهم.</w:t>
      </w:r>
    </w:p>
    <w:p w:rsidR="00000000" w:rsidRDefault="00567B15">
      <w:pPr>
        <w:spacing w:line="380" w:lineRule="exact"/>
        <w:jc w:val="both"/>
        <w:rPr>
          <w:rFonts w:hint="cs"/>
          <w:rtl/>
        </w:rPr>
      </w:pPr>
      <w:r>
        <w:rPr>
          <w:rFonts w:hint="cs"/>
          <w:rtl/>
        </w:rPr>
        <w:t>351-</w:t>
      </w:r>
      <w:r>
        <w:rPr>
          <w:rFonts w:hint="cs"/>
          <w:rtl/>
        </w:rPr>
        <w:tab/>
        <w:t xml:space="preserve">ونتيجة لهذه العمليات، طرحت الوزارة برنامجاً وطنياً لتدريب المزارعين لعام 1999، وهو وسيلة العمل المشتركة للمستخدمين </w:t>
      </w:r>
      <w:r>
        <w:rPr>
          <w:rFonts w:hint="cs"/>
          <w:rtl/>
        </w:rPr>
        <w:t>والمدربين ودولة إكوادور</w:t>
      </w:r>
      <w:r>
        <w:rPr>
          <w:rFonts w:hint="cs"/>
          <w:vertAlign w:val="superscript"/>
          <w:rtl/>
        </w:rPr>
        <w:t>(46)</w:t>
      </w:r>
      <w:r>
        <w:rPr>
          <w:rFonts w:hint="cs"/>
          <w:rtl/>
        </w:rPr>
        <w:t>.</w:t>
      </w:r>
    </w:p>
    <w:p w:rsidR="00000000" w:rsidRDefault="00567B15">
      <w:pPr>
        <w:spacing w:line="380" w:lineRule="exact"/>
        <w:jc w:val="both"/>
        <w:rPr>
          <w:rFonts w:hint="cs"/>
          <w:b/>
          <w:bCs/>
          <w:rtl/>
        </w:rPr>
      </w:pPr>
      <w:r>
        <w:rPr>
          <w:rFonts w:hint="cs"/>
          <w:b/>
          <w:bCs/>
          <w:rtl/>
        </w:rPr>
        <w:t>الحق في السكن اللائق</w:t>
      </w:r>
    </w:p>
    <w:p w:rsidR="00000000" w:rsidRDefault="00567B15">
      <w:pPr>
        <w:spacing w:line="380" w:lineRule="exact"/>
        <w:jc w:val="both"/>
        <w:rPr>
          <w:rFonts w:hint="cs"/>
          <w:rtl/>
        </w:rPr>
      </w:pPr>
      <w:r>
        <w:rPr>
          <w:rFonts w:hint="cs"/>
          <w:rtl/>
        </w:rPr>
        <w:t>352-</w:t>
      </w:r>
      <w:r>
        <w:rPr>
          <w:rFonts w:hint="cs"/>
          <w:rtl/>
        </w:rPr>
        <w:tab/>
        <w:t xml:space="preserve">إن المعلومات المستخدمة في تحليل حالة الإسكان مستقاة من آخر ما تمخض من نتائج عن تعداد السكان. ومن المقرر إجراء تعداد جديد للسكان في عام 2001. وبالتالي، يتناول هذا التقرير تحليل المعلومات الواردة عن آخر </w:t>
      </w:r>
      <w:r>
        <w:rPr>
          <w:rFonts w:hint="cs"/>
          <w:rtl/>
        </w:rPr>
        <w:t>التعدادات السكانية.</w:t>
      </w:r>
    </w:p>
    <w:p w:rsidR="00000000" w:rsidRDefault="00567B15">
      <w:pPr>
        <w:spacing w:line="380" w:lineRule="exact"/>
        <w:jc w:val="both"/>
        <w:rPr>
          <w:rFonts w:hint="cs"/>
          <w:rtl/>
        </w:rPr>
      </w:pPr>
      <w:r>
        <w:rPr>
          <w:rFonts w:hint="cs"/>
          <w:rtl/>
        </w:rPr>
        <w:t>353-</w:t>
      </w:r>
      <w:r>
        <w:rPr>
          <w:rFonts w:hint="cs"/>
          <w:rtl/>
        </w:rPr>
        <w:tab/>
        <w:t>وتبنى كافة المساكن تقريباً في منطقة المرتفعات وعلى الساحل. واستأثرت هاتان المنطقتان بنحو 96 في المائة من مشاريع الإسكان في إكوادور في عامي 1982 و1990. وستُحلل الزيادة الطارئة على عدد المساكن في الفترة من 1982 إلى 1990 من أجل التأكد</w:t>
      </w:r>
      <w:r>
        <w:rPr>
          <w:rFonts w:hint="cs"/>
          <w:rtl/>
        </w:rPr>
        <w:t xml:space="preserve"> من أزمة السكن في إكوادور.</w:t>
      </w:r>
    </w:p>
    <w:p w:rsidR="00000000" w:rsidRDefault="00567B15">
      <w:pPr>
        <w:spacing w:line="380" w:lineRule="exact"/>
        <w:jc w:val="both"/>
        <w:rPr>
          <w:rFonts w:hint="cs"/>
          <w:rtl/>
        </w:rPr>
      </w:pPr>
      <w:r>
        <w:rPr>
          <w:rFonts w:hint="cs"/>
          <w:rtl/>
        </w:rPr>
        <w:t>354-</w:t>
      </w:r>
      <w:r>
        <w:rPr>
          <w:rFonts w:hint="cs"/>
          <w:rtl/>
        </w:rPr>
        <w:tab/>
        <w:t>فعلى الصعيد الوطني، ازداد عدد الوحدات السكنية بنسبة 27.4 في المائة. وعلى الصعيد الإقليمي، شهدت منطقة الجزر والمناطق غير المعلمة بحدود أكثر الزيادات، بنسبة 72 في المائة و74 في المائة على التوالي. وشهدت المنطقة الشرقية زيادة ق</w:t>
      </w:r>
      <w:r>
        <w:rPr>
          <w:rFonts w:hint="cs"/>
          <w:rtl/>
        </w:rPr>
        <w:t>درها 47 في المائة، تلتها المنطقة الساحلية ومنطقة المرتفعات، بنسبة 31 في المائة و22 في المائة على التوالي.</w:t>
      </w:r>
    </w:p>
    <w:p w:rsidR="00000000" w:rsidRDefault="00567B15">
      <w:pPr>
        <w:jc w:val="center"/>
        <w:rPr>
          <w:rFonts w:hint="cs"/>
          <w:b/>
          <w:bCs/>
          <w:rtl/>
        </w:rPr>
      </w:pPr>
      <w:r>
        <w:rPr>
          <w:rFonts w:hint="cs"/>
          <w:b/>
          <w:bCs/>
          <w:rtl/>
        </w:rPr>
        <w:t>وحدات إسكان الأفراد</w:t>
      </w:r>
      <w:r>
        <w:rPr>
          <w:b/>
          <w:bCs/>
          <w:rtl/>
        </w:rPr>
        <w:br/>
      </w:r>
      <w:r>
        <w:rPr>
          <w:rFonts w:hint="cs"/>
          <w:b/>
          <w:bCs/>
          <w:rtl/>
        </w:rPr>
        <w:t>(التعدادات السكانية للأعوام 1982-1990)</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4"/>
        <w:gridCol w:w="1917"/>
        <w:gridCol w:w="1876"/>
        <w:gridCol w:w="1734"/>
      </w:tblGrid>
      <w:tr w:rsidR="00567B15" w:rsidTr="00567B15">
        <w:tblPrEx>
          <w:tblCellMar>
            <w:top w:w="0" w:type="dxa"/>
            <w:bottom w:w="0" w:type="dxa"/>
          </w:tblCellMar>
        </w:tblPrEx>
        <w:tc>
          <w:tcPr>
            <w:tcW w:w="2114" w:type="dxa"/>
          </w:tcPr>
          <w:p w:rsidR="00567B15" w:rsidRDefault="00567B15">
            <w:pPr>
              <w:spacing w:before="120" w:after="0" w:line="240" w:lineRule="exact"/>
              <w:jc w:val="center"/>
              <w:rPr>
                <w:rFonts w:hint="cs"/>
                <w:sz w:val="26"/>
                <w:szCs w:val="26"/>
              </w:rPr>
            </w:pPr>
            <w:r>
              <w:rPr>
                <w:rFonts w:hint="cs"/>
                <w:sz w:val="26"/>
                <w:szCs w:val="26"/>
                <w:rtl/>
              </w:rPr>
              <w:t>المناطق</w:t>
            </w:r>
          </w:p>
        </w:tc>
        <w:tc>
          <w:tcPr>
            <w:tcW w:w="1917" w:type="dxa"/>
          </w:tcPr>
          <w:p w:rsidR="00567B15" w:rsidRDefault="00567B15">
            <w:pPr>
              <w:spacing w:before="120" w:after="0" w:line="240" w:lineRule="exact"/>
              <w:jc w:val="center"/>
              <w:rPr>
                <w:rFonts w:hint="cs"/>
                <w:sz w:val="26"/>
                <w:szCs w:val="26"/>
              </w:rPr>
            </w:pPr>
            <w:r>
              <w:rPr>
                <w:rFonts w:hint="cs"/>
                <w:sz w:val="26"/>
                <w:szCs w:val="26"/>
                <w:rtl/>
              </w:rPr>
              <w:t>1982</w:t>
            </w:r>
          </w:p>
        </w:tc>
        <w:tc>
          <w:tcPr>
            <w:tcW w:w="1876" w:type="dxa"/>
          </w:tcPr>
          <w:p w:rsidR="00567B15" w:rsidRDefault="00567B15">
            <w:pPr>
              <w:spacing w:before="120" w:after="0" w:line="240" w:lineRule="exact"/>
              <w:jc w:val="center"/>
              <w:rPr>
                <w:rFonts w:hint="cs"/>
                <w:sz w:val="26"/>
                <w:szCs w:val="26"/>
              </w:rPr>
            </w:pPr>
            <w:r>
              <w:rPr>
                <w:rFonts w:hint="cs"/>
                <w:sz w:val="26"/>
                <w:szCs w:val="26"/>
                <w:rtl/>
              </w:rPr>
              <w:t>1990</w:t>
            </w:r>
          </w:p>
        </w:tc>
        <w:tc>
          <w:tcPr>
            <w:tcW w:w="1734" w:type="dxa"/>
          </w:tcPr>
          <w:p w:rsidR="00567B15" w:rsidRDefault="00567B15">
            <w:pPr>
              <w:spacing w:before="120" w:after="0" w:line="240" w:lineRule="exact"/>
              <w:jc w:val="center"/>
              <w:rPr>
                <w:rFonts w:hint="cs"/>
                <w:sz w:val="26"/>
                <w:szCs w:val="26"/>
              </w:rPr>
            </w:pPr>
            <w:r>
              <w:rPr>
                <w:rFonts w:hint="cs"/>
                <w:sz w:val="26"/>
                <w:szCs w:val="26"/>
                <w:rtl/>
              </w:rPr>
              <w:t>التغير</w:t>
            </w:r>
            <w:r>
              <w:rPr>
                <w:sz w:val="26"/>
                <w:szCs w:val="26"/>
                <w:rtl/>
              </w:rPr>
              <w:br/>
            </w:r>
            <w:r>
              <w:rPr>
                <w:rFonts w:hint="cs"/>
                <w:sz w:val="26"/>
                <w:szCs w:val="26"/>
                <w:rtl/>
              </w:rPr>
              <w:t>(النسبة المئوية)</w:t>
            </w:r>
          </w:p>
        </w:tc>
      </w:tr>
      <w:tr w:rsidR="00567B15" w:rsidTr="00567B15">
        <w:tblPrEx>
          <w:tblCellMar>
            <w:top w:w="0" w:type="dxa"/>
            <w:bottom w:w="0" w:type="dxa"/>
          </w:tblCellMar>
        </w:tblPrEx>
        <w:tc>
          <w:tcPr>
            <w:tcW w:w="2114" w:type="dxa"/>
            <w:tcBorders>
              <w:bottom w:val="nil"/>
            </w:tcBorders>
          </w:tcPr>
          <w:p w:rsidR="00567B15" w:rsidRDefault="00567B15">
            <w:pPr>
              <w:spacing w:before="0" w:after="0"/>
              <w:jc w:val="both"/>
              <w:rPr>
                <w:rFonts w:hint="cs"/>
                <w:sz w:val="26"/>
                <w:szCs w:val="26"/>
              </w:rPr>
            </w:pPr>
            <w:r>
              <w:rPr>
                <w:rFonts w:hint="cs"/>
                <w:sz w:val="26"/>
                <w:szCs w:val="26"/>
                <w:rtl/>
              </w:rPr>
              <w:t>منطقة المرتفعات</w:t>
            </w:r>
          </w:p>
        </w:tc>
        <w:tc>
          <w:tcPr>
            <w:tcW w:w="1917" w:type="dxa"/>
            <w:tcBorders>
              <w:bottom w:val="nil"/>
            </w:tcBorders>
          </w:tcPr>
          <w:p w:rsidR="00567B15" w:rsidRDefault="00567B15">
            <w:pPr>
              <w:spacing w:before="0" w:after="0"/>
              <w:ind w:firstLine="455"/>
              <w:jc w:val="both"/>
              <w:rPr>
                <w:rFonts w:hint="cs"/>
                <w:sz w:val="26"/>
                <w:szCs w:val="26"/>
              </w:rPr>
            </w:pPr>
            <w:r>
              <w:rPr>
                <w:rFonts w:hint="cs"/>
                <w:sz w:val="26"/>
                <w:szCs w:val="26"/>
                <w:rtl/>
              </w:rPr>
              <w:t>287 799</w:t>
            </w:r>
          </w:p>
        </w:tc>
        <w:tc>
          <w:tcPr>
            <w:tcW w:w="1876" w:type="dxa"/>
            <w:tcBorders>
              <w:bottom w:val="nil"/>
            </w:tcBorders>
          </w:tcPr>
          <w:p w:rsidR="00567B15" w:rsidRDefault="00567B15">
            <w:pPr>
              <w:spacing w:before="0" w:after="0"/>
              <w:ind w:firstLine="455"/>
              <w:jc w:val="both"/>
              <w:rPr>
                <w:rFonts w:hint="cs"/>
                <w:sz w:val="26"/>
                <w:szCs w:val="26"/>
              </w:rPr>
            </w:pPr>
            <w:r>
              <w:rPr>
                <w:rFonts w:hint="cs"/>
                <w:sz w:val="26"/>
                <w:szCs w:val="26"/>
                <w:rtl/>
              </w:rPr>
              <w:t>112 976</w:t>
            </w:r>
          </w:p>
        </w:tc>
        <w:tc>
          <w:tcPr>
            <w:tcW w:w="1734" w:type="dxa"/>
            <w:tcBorders>
              <w:bottom w:val="nil"/>
            </w:tcBorders>
          </w:tcPr>
          <w:p w:rsidR="00567B15" w:rsidRDefault="00567B15">
            <w:pPr>
              <w:spacing w:before="0" w:after="0"/>
              <w:ind w:firstLine="455"/>
              <w:jc w:val="both"/>
              <w:rPr>
                <w:rFonts w:hint="cs"/>
                <w:sz w:val="26"/>
                <w:szCs w:val="26"/>
              </w:rPr>
            </w:pPr>
            <w:r>
              <w:rPr>
                <w:rFonts w:hint="cs"/>
                <w:sz w:val="26"/>
                <w:szCs w:val="26"/>
                <w:rtl/>
              </w:rPr>
              <w:t>22.0</w:t>
            </w:r>
          </w:p>
        </w:tc>
      </w:tr>
      <w:tr w:rsidR="00567B15" w:rsidTr="00567B15">
        <w:tblPrEx>
          <w:tblCellMar>
            <w:top w:w="0" w:type="dxa"/>
            <w:bottom w:w="0" w:type="dxa"/>
          </w:tblCellMar>
        </w:tblPrEx>
        <w:tc>
          <w:tcPr>
            <w:tcW w:w="2114" w:type="dxa"/>
            <w:tcBorders>
              <w:top w:val="nil"/>
              <w:bottom w:val="nil"/>
            </w:tcBorders>
          </w:tcPr>
          <w:p w:rsidR="00567B15" w:rsidRDefault="00567B15">
            <w:pPr>
              <w:spacing w:before="0" w:after="0"/>
              <w:jc w:val="both"/>
              <w:rPr>
                <w:rFonts w:hint="cs"/>
                <w:sz w:val="26"/>
                <w:szCs w:val="26"/>
              </w:rPr>
            </w:pPr>
            <w:r>
              <w:rPr>
                <w:rFonts w:hint="cs"/>
                <w:sz w:val="26"/>
                <w:szCs w:val="26"/>
                <w:rtl/>
              </w:rPr>
              <w:t>المنطقة الساحلية</w:t>
            </w:r>
          </w:p>
        </w:tc>
        <w:tc>
          <w:tcPr>
            <w:tcW w:w="1917" w:type="dxa"/>
            <w:tcBorders>
              <w:top w:val="nil"/>
              <w:bottom w:val="nil"/>
            </w:tcBorders>
          </w:tcPr>
          <w:p w:rsidR="00567B15" w:rsidRDefault="00567B15">
            <w:pPr>
              <w:spacing w:before="0" w:after="0"/>
              <w:ind w:firstLine="455"/>
              <w:jc w:val="both"/>
              <w:rPr>
                <w:rFonts w:hint="cs"/>
                <w:sz w:val="26"/>
                <w:szCs w:val="26"/>
              </w:rPr>
            </w:pPr>
            <w:r>
              <w:rPr>
                <w:rFonts w:hint="cs"/>
                <w:sz w:val="26"/>
                <w:szCs w:val="26"/>
                <w:rtl/>
              </w:rPr>
              <w:t>693 719</w:t>
            </w:r>
          </w:p>
        </w:tc>
        <w:tc>
          <w:tcPr>
            <w:tcW w:w="1876" w:type="dxa"/>
            <w:tcBorders>
              <w:top w:val="nil"/>
              <w:bottom w:val="nil"/>
            </w:tcBorders>
          </w:tcPr>
          <w:p w:rsidR="00567B15" w:rsidRDefault="00567B15">
            <w:pPr>
              <w:spacing w:before="0" w:after="0"/>
              <w:ind w:firstLine="455"/>
              <w:jc w:val="both"/>
              <w:rPr>
                <w:rFonts w:hint="cs"/>
                <w:sz w:val="26"/>
                <w:szCs w:val="26"/>
              </w:rPr>
            </w:pPr>
            <w:r>
              <w:rPr>
                <w:rFonts w:hint="cs"/>
                <w:sz w:val="26"/>
                <w:szCs w:val="26"/>
                <w:rtl/>
              </w:rPr>
              <w:t>573 945</w:t>
            </w:r>
          </w:p>
        </w:tc>
        <w:tc>
          <w:tcPr>
            <w:tcW w:w="1734" w:type="dxa"/>
            <w:tcBorders>
              <w:top w:val="nil"/>
              <w:bottom w:val="nil"/>
            </w:tcBorders>
          </w:tcPr>
          <w:p w:rsidR="00567B15" w:rsidRDefault="00567B15">
            <w:pPr>
              <w:spacing w:before="0" w:after="0"/>
              <w:ind w:firstLine="455"/>
              <w:jc w:val="both"/>
              <w:rPr>
                <w:rFonts w:hint="cs"/>
                <w:sz w:val="26"/>
                <w:szCs w:val="26"/>
              </w:rPr>
            </w:pPr>
            <w:r>
              <w:rPr>
                <w:rFonts w:hint="cs"/>
                <w:sz w:val="26"/>
                <w:szCs w:val="26"/>
                <w:rtl/>
              </w:rPr>
              <w:t>31.0</w:t>
            </w:r>
          </w:p>
        </w:tc>
      </w:tr>
      <w:tr w:rsidR="00567B15" w:rsidTr="00567B15">
        <w:tblPrEx>
          <w:tblCellMar>
            <w:top w:w="0" w:type="dxa"/>
            <w:bottom w:w="0" w:type="dxa"/>
          </w:tblCellMar>
        </w:tblPrEx>
        <w:tc>
          <w:tcPr>
            <w:tcW w:w="2114" w:type="dxa"/>
            <w:tcBorders>
              <w:top w:val="nil"/>
              <w:bottom w:val="nil"/>
            </w:tcBorders>
          </w:tcPr>
          <w:p w:rsidR="00567B15" w:rsidRDefault="00567B15">
            <w:pPr>
              <w:spacing w:before="0" w:after="0"/>
              <w:jc w:val="both"/>
              <w:rPr>
                <w:rFonts w:hint="cs"/>
                <w:sz w:val="26"/>
                <w:szCs w:val="26"/>
              </w:rPr>
            </w:pPr>
            <w:r>
              <w:rPr>
                <w:rFonts w:hint="cs"/>
                <w:sz w:val="26"/>
                <w:szCs w:val="26"/>
                <w:rtl/>
              </w:rPr>
              <w:t>المنطقة الشرقية</w:t>
            </w:r>
          </w:p>
        </w:tc>
        <w:tc>
          <w:tcPr>
            <w:tcW w:w="1917" w:type="dxa"/>
            <w:tcBorders>
              <w:top w:val="nil"/>
              <w:bottom w:val="nil"/>
            </w:tcBorders>
          </w:tcPr>
          <w:p w:rsidR="00567B15" w:rsidRDefault="00567B15">
            <w:pPr>
              <w:spacing w:before="0" w:after="0"/>
              <w:ind w:firstLine="455"/>
              <w:jc w:val="both"/>
              <w:rPr>
                <w:rFonts w:hint="cs"/>
                <w:sz w:val="26"/>
                <w:szCs w:val="26"/>
              </w:rPr>
            </w:pPr>
            <w:r>
              <w:rPr>
                <w:rFonts w:hint="cs"/>
                <w:sz w:val="26"/>
                <w:szCs w:val="26"/>
                <w:rtl/>
              </w:rPr>
              <w:t>651 48</w:t>
            </w:r>
          </w:p>
        </w:tc>
        <w:tc>
          <w:tcPr>
            <w:tcW w:w="1876" w:type="dxa"/>
            <w:tcBorders>
              <w:top w:val="nil"/>
              <w:bottom w:val="nil"/>
            </w:tcBorders>
          </w:tcPr>
          <w:p w:rsidR="00567B15" w:rsidRDefault="00567B15">
            <w:pPr>
              <w:spacing w:before="0" w:after="0"/>
              <w:ind w:firstLine="455"/>
              <w:jc w:val="both"/>
              <w:rPr>
                <w:rFonts w:hint="cs"/>
                <w:sz w:val="26"/>
                <w:szCs w:val="26"/>
              </w:rPr>
            </w:pPr>
            <w:r>
              <w:rPr>
                <w:rFonts w:hint="cs"/>
                <w:sz w:val="26"/>
                <w:szCs w:val="26"/>
                <w:rtl/>
              </w:rPr>
              <w:t>640 71</w:t>
            </w:r>
          </w:p>
        </w:tc>
        <w:tc>
          <w:tcPr>
            <w:tcW w:w="1734" w:type="dxa"/>
            <w:tcBorders>
              <w:top w:val="nil"/>
              <w:bottom w:val="nil"/>
            </w:tcBorders>
          </w:tcPr>
          <w:p w:rsidR="00567B15" w:rsidRDefault="00567B15">
            <w:pPr>
              <w:spacing w:before="0" w:after="0"/>
              <w:ind w:firstLine="455"/>
              <w:jc w:val="both"/>
              <w:rPr>
                <w:rFonts w:hint="cs"/>
                <w:sz w:val="26"/>
                <w:szCs w:val="26"/>
              </w:rPr>
            </w:pPr>
            <w:r>
              <w:rPr>
                <w:rFonts w:hint="cs"/>
                <w:sz w:val="26"/>
                <w:szCs w:val="26"/>
                <w:rtl/>
              </w:rPr>
              <w:t>47.0</w:t>
            </w:r>
          </w:p>
        </w:tc>
      </w:tr>
      <w:tr w:rsidR="00567B15" w:rsidTr="00567B15">
        <w:tblPrEx>
          <w:tblCellMar>
            <w:top w:w="0" w:type="dxa"/>
            <w:bottom w:w="0" w:type="dxa"/>
          </w:tblCellMar>
        </w:tblPrEx>
        <w:tc>
          <w:tcPr>
            <w:tcW w:w="2114" w:type="dxa"/>
            <w:tcBorders>
              <w:top w:val="nil"/>
              <w:bottom w:val="nil"/>
            </w:tcBorders>
          </w:tcPr>
          <w:p w:rsidR="00567B15" w:rsidRDefault="00567B15">
            <w:pPr>
              <w:spacing w:before="0" w:after="0"/>
              <w:jc w:val="both"/>
              <w:rPr>
                <w:rFonts w:hint="cs"/>
                <w:sz w:val="26"/>
                <w:szCs w:val="26"/>
              </w:rPr>
            </w:pPr>
            <w:r>
              <w:rPr>
                <w:rFonts w:hint="cs"/>
                <w:sz w:val="26"/>
                <w:szCs w:val="26"/>
                <w:rtl/>
              </w:rPr>
              <w:t>غالاباغوس</w:t>
            </w:r>
          </w:p>
        </w:tc>
        <w:tc>
          <w:tcPr>
            <w:tcW w:w="1917" w:type="dxa"/>
            <w:tcBorders>
              <w:top w:val="nil"/>
              <w:bottom w:val="nil"/>
            </w:tcBorders>
          </w:tcPr>
          <w:p w:rsidR="00567B15" w:rsidRDefault="00567B15">
            <w:pPr>
              <w:spacing w:before="0" w:after="0"/>
              <w:ind w:firstLine="455"/>
              <w:jc w:val="both"/>
              <w:rPr>
                <w:rFonts w:hint="cs"/>
                <w:sz w:val="26"/>
                <w:szCs w:val="26"/>
                <w:rtl/>
              </w:rPr>
            </w:pPr>
            <w:r>
              <w:rPr>
                <w:rFonts w:hint="cs"/>
                <w:sz w:val="26"/>
                <w:szCs w:val="26"/>
                <w:rtl/>
              </w:rPr>
              <w:t>265 1</w:t>
            </w:r>
          </w:p>
        </w:tc>
        <w:tc>
          <w:tcPr>
            <w:tcW w:w="1876" w:type="dxa"/>
            <w:tcBorders>
              <w:top w:val="nil"/>
              <w:bottom w:val="nil"/>
            </w:tcBorders>
          </w:tcPr>
          <w:p w:rsidR="00567B15" w:rsidRDefault="00567B15">
            <w:pPr>
              <w:spacing w:before="0" w:after="0"/>
              <w:ind w:firstLine="455"/>
              <w:jc w:val="both"/>
              <w:rPr>
                <w:rFonts w:hint="cs"/>
                <w:sz w:val="26"/>
                <w:szCs w:val="26"/>
                <w:rtl/>
              </w:rPr>
            </w:pPr>
            <w:r>
              <w:rPr>
                <w:rFonts w:hint="cs"/>
                <w:sz w:val="26"/>
                <w:szCs w:val="26"/>
                <w:rtl/>
              </w:rPr>
              <w:t>170 2</w:t>
            </w:r>
          </w:p>
        </w:tc>
        <w:tc>
          <w:tcPr>
            <w:tcW w:w="1734" w:type="dxa"/>
            <w:tcBorders>
              <w:top w:val="nil"/>
              <w:bottom w:val="nil"/>
            </w:tcBorders>
          </w:tcPr>
          <w:p w:rsidR="00567B15" w:rsidRDefault="00567B15">
            <w:pPr>
              <w:spacing w:before="0" w:after="0"/>
              <w:ind w:firstLine="455"/>
              <w:jc w:val="both"/>
              <w:rPr>
                <w:rFonts w:hint="cs"/>
                <w:sz w:val="26"/>
                <w:szCs w:val="26"/>
                <w:rtl/>
              </w:rPr>
            </w:pPr>
            <w:r>
              <w:rPr>
                <w:rFonts w:hint="cs"/>
                <w:sz w:val="26"/>
                <w:szCs w:val="26"/>
                <w:rtl/>
              </w:rPr>
              <w:t>72.0</w:t>
            </w:r>
          </w:p>
        </w:tc>
      </w:tr>
      <w:tr w:rsidR="00567B15" w:rsidTr="00567B15">
        <w:tblPrEx>
          <w:tblCellMar>
            <w:top w:w="0" w:type="dxa"/>
            <w:bottom w:w="0" w:type="dxa"/>
          </w:tblCellMar>
        </w:tblPrEx>
        <w:tc>
          <w:tcPr>
            <w:tcW w:w="2114" w:type="dxa"/>
            <w:tcBorders>
              <w:top w:val="nil"/>
              <w:bottom w:val="single" w:sz="4" w:space="0" w:color="auto"/>
            </w:tcBorders>
          </w:tcPr>
          <w:p w:rsidR="00567B15" w:rsidRDefault="00567B15">
            <w:pPr>
              <w:spacing w:before="0" w:after="0"/>
              <w:jc w:val="both"/>
              <w:rPr>
                <w:rFonts w:hint="cs"/>
                <w:spacing w:val="0"/>
                <w:sz w:val="26"/>
                <w:szCs w:val="26"/>
              </w:rPr>
            </w:pPr>
            <w:r>
              <w:rPr>
                <w:rFonts w:hint="cs"/>
                <w:spacing w:val="0"/>
                <w:sz w:val="26"/>
                <w:szCs w:val="26"/>
                <w:rtl/>
              </w:rPr>
              <w:t>منطقة غير معلمة بحدود</w:t>
            </w:r>
          </w:p>
        </w:tc>
        <w:tc>
          <w:tcPr>
            <w:tcW w:w="1917" w:type="dxa"/>
            <w:tcBorders>
              <w:top w:val="nil"/>
              <w:bottom w:val="single" w:sz="4" w:space="0" w:color="auto"/>
            </w:tcBorders>
          </w:tcPr>
          <w:p w:rsidR="00567B15" w:rsidRDefault="00567B15">
            <w:pPr>
              <w:spacing w:before="0" w:after="0"/>
              <w:ind w:firstLine="455"/>
              <w:jc w:val="both"/>
              <w:rPr>
                <w:rFonts w:hint="cs"/>
                <w:sz w:val="26"/>
                <w:szCs w:val="26"/>
                <w:rtl/>
              </w:rPr>
            </w:pPr>
            <w:r>
              <w:rPr>
                <w:rFonts w:hint="cs"/>
                <w:sz w:val="26"/>
                <w:szCs w:val="26"/>
                <w:rtl/>
              </w:rPr>
              <w:t>545 7</w:t>
            </w:r>
          </w:p>
        </w:tc>
        <w:tc>
          <w:tcPr>
            <w:tcW w:w="1876" w:type="dxa"/>
            <w:tcBorders>
              <w:top w:val="nil"/>
              <w:bottom w:val="single" w:sz="4" w:space="0" w:color="auto"/>
            </w:tcBorders>
          </w:tcPr>
          <w:p w:rsidR="00567B15" w:rsidRDefault="00567B15">
            <w:pPr>
              <w:spacing w:before="0" w:after="0"/>
              <w:ind w:firstLine="455"/>
              <w:jc w:val="both"/>
              <w:rPr>
                <w:rFonts w:hint="cs"/>
                <w:sz w:val="26"/>
                <w:szCs w:val="26"/>
                <w:rtl/>
              </w:rPr>
            </w:pPr>
            <w:r>
              <w:rPr>
                <w:rFonts w:hint="cs"/>
                <w:sz w:val="26"/>
                <w:szCs w:val="26"/>
                <w:rtl/>
              </w:rPr>
              <w:t>160 13</w:t>
            </w:r>
          </w:p>
        </w:tc>
        <w:tc>
          <w:tcPr>
            <w:tcW w:w="1734" w:type="dxa"/>
            <w:tcBorders>
              <w:top w:val="nil"/>
              <w:bottom w:val="single" w:sz="4" w:space="0" w:color="auto"/>
            </w:tcBorders>
          </w:tcPr>
          <w:p w:rsidR="00567B15" w:rsidRDefault="00567B15">
            <w:pPr>
              <w:spacing w:before="0" w:after="0"/>
              <w:ind w:firstLine="455"/>
              <w:jc w:val="both"/>
              <w:rPr>
                <w:rFonts w:hint="cs"/>
                <w:sz w:val="26"/>
                <w:szCs w:val="26"/>
                <w:rtl/>
              </w:rPr>
            </w:pPr>
            <w:r>
              <w:rPr>
                <w:rFonts w:hint="cs"/>
                <w:sz w:val="26"/>
                <w:szCs w:val="26"/>
                <w:rtl/>
              </w:rPr>
              <w:t>74.4</w:t>
            </w:r>
          </w:p>
        </w:tc>
      </w:tr>
      <w:tr w:rsidR="00567B15" w:rsidTr="00567B15">
        <w:tblPrEx>
          <w:tblCellMar>
            <w:top w:w="0" w:type="dxa"/>
            <w:bottom w:w="0" w:type="dxa"/>
          </w:tblCellMar>
        </w:tblPrEx>
        <w:tc>
          <w:tcPr>
            <w:tcW w:w="2114" w:type="dxa"/>
            <w:tcBorders>
              <w:top w:val="single" w:sz="4" w:space="0" w:color="auto"/>
            </w:tcBorders>
          </w:tcPr>
          <w:p w:rsidR="00567B15" w:rsidRDefault="00567B15">
            <w:pPr>
              <w:spacing w:before="0" w:after="0"/>
              <w:jc w:val="left"/>
              <w:rPr>
                <w:rFonts w:hint="cs"/>
                <w:sz w:val="26"/>
                <w:szCs w:val="26"/>
              </w:rPr>
            </w:pPr>
            <w:r>
              <w:rPr>
                <w:rFonts w:hint="cs"/>
                <w:sz w:val="26"/>
                <w:szCs w:val="26"/>
                <w:rtl/>
              </w:rPr>
              <w:t xml:space="preserve">    </w:t>
            </w:r>
            <w:r>
              <w:rPr>
                <w:sz w:val="26"/>
                <w:szCs w:val="26"/>
                <w:rtl/>
              </w:rPr>
              <w:t xml:space="preserve">المجموع </w:t>
            </w:r>
            <w:r>
              <w:rPr>
                <w:rFonts w:hint="cs"/>
                <w:sz w:val="26"/>
                <w:szCs w:val="26"/>
                <w:rtl/>
              </w:rPr>
              <w:t>الوطني</w:t>
            </w:r>
          </w:p>
        </w:tc>
        <w:tc>
          <w:tcPr>
            <w:tcW w:w="1917" w:type="dxa"/>
            <w:tcBorders>
              <w:top w:val="single" w:sz="4" w:space="0" w:color="auto"/>
            </w:tcBorders>
          </w:tcPr>
          <w:p w:rsidR="00567B15" w:rsidRDefault="00567B15">
            <w:pPr>
              <w:spacing w:before="0" w:after="0"/>
              <w:ind w:firstLine="455"/>
              <w:jc w:val="both"/>
              <w:rPr>
                <w:rFonts w:hint="cs"/>
                <w:sz w:val="26"/>
                <w:szCs w:val="26"/>
                <w:rtl/>
              </w:rPr>
            </w:pPr>
            <w:r>
              <w:rPr>
                <w:rFonts w:hint="cs"/>
                <w:sz w:val="26"/>
                <w:szCs w:val="26"/>
                <w:rtl/>
              </w:rPr>
              <w:t>441 576 1</w:t>
            </w:r>
          </w:p>
        </w:tc>
        <w:tc>
          <w:tcPr>
            <w:tcW w:w="1876" w:type="dxa"/>
            <w:tcBorders>
              <w:top w:val="single" w:sz="4" w:space="0" w:color="auto"/>
            </w:tcBorders>
          </w:tcPr>
          <w:p w:rsidR="00567B15" w:rsidRDefault="00567B15">
            <w:pPr>
              <w:spacing w:before="0" w:after="0"/>
              <w:ind w:firstLine="455"/>
              <w:jc w:val="both"/>
              <w:rPr>
                <w:rFonts w:hint="cs"/>
                <w:sz w:val="26"/>
                <w:szCs w:val="26"/>
                <w:rtl/>
              </w:rPr>
            </w:pPr>
            <w:r>
              <w:rPr>
                <w:rFonts w:hint="cs"/>
                <w:sz w:val="26"/>
                <w:szCs w:val="26"/>
                <w:rtl/>
              </w:rPr>
              <w:t>655 008 2</w:t>
            </w:r>
          </w:p>
        </w:tc>
        <w:tc>
          <w:tcPr>
            <w:tcW w:w="1734" w:type="dxa"/>
            <w:tcBorders>
              <w:top w:val="single" w:sz="4" w:space="0" w:color="auto"/>
            </w:tcBorders>
          </w:tcPr>
          <w:p w:rsidR="00567B15" w:rsidRDefault="00567B15">
            <w:pPr>
              <w:spacing w:before="0" w:after="0"/>
              <w:ind w:firstLine="455"/>
              <w:jc w:val="both"/>
              <w:rPr>
                <w:rFonts w:hint="cs"/>
                <w:sz w:val="26"/>
                <w:szCs w:val="26"/>
                <w:rtl/>
              </w:rPr>
            </w:pPr>
            <w:r>
              <w:rPr>
                <w:rFonts w:hint="cs"/>
                <w:sz w:val="26"/>
                <w:szCs w:val="26"/>
                <w:rtl/>
              </w:rPr>
              <w:t>27.4</w:t>
            </w:r>
          </w:p>
        </w:tc>
      </w:tr>
    </w:tbl>
    <w:p w:rsidR="00000000" w:rsidRDefault="00567B15">
      <w:pPr>
        <w:jc w:val="both"/>
        <w:rPr>
          <w:rFonts w:hint="cs"/>
          <w:rtl/>
        </w:rPr>
      </w:pPr>
      <w:r>
        <w:rPr>
          <w:rFonts w:hint="cs"/>
          <w:rtl/>
        </w:rPr>
        <w:tab/>
      </w:r>
      <w:r>
        <w:rPr>
          <w:rFonts w:hint="cs"/>
          <w:u w:val="single"/>
          <w:rtl/>
        </w:rPr>
        <w:t>المصدر</w:t>
      </w:r>
      <w:r>
        <w:rPr>
          <w:rFonts w:hint="cs"/>
          <w:rtl/>
        </w:rPr>
        <w:t>: وزارة الإسكان والتنمية الحضرية.</w:t>
      </w:r>
    </w:p>
    <w:p w:rsidR="00000000" w:rsidRDefault="00567B15">
      <w:pPr>
        <w:spacing w:before="120" w:line="340" w:lineRule="exact"/>
        <w:jc w:val="center"/>
        <w:rPr>
          <w:b/>
          <w:bCs/>
          <w:rtl/>
        </w:rPr>
      </w:pPr>
      <w:r>
        <w:rPr>
          <w:rFonts w:hint="cs"/>
          <w:b/>
          <w:bCs/>
          <w:rtl/>
        </w:rPr>
        <w:t>النسبة المئوية لتوزيع وحدات إسكان ال</w:t>
      </w:r>
      <w:r>
        <w:rPr>
          <w:rFonts w:hint="cs"/>
          <w:b/>
          <w:bCs/>
          <w:rtl/>
        </w:rPr>
        <w:t>أفراد المشغولة، بحسب الخدمات المتوافرة</w:t>
      </w:r>
      <w:r>
        <w:rPr>
          <w:b/>
          <w:bCs/>
          <w:rtl/>
        </w:rPr>
        <w:br/>
      </w:r>
      <w:r>
        <w:rPr>
          <w:rFonts w:hint="cs"/>
          <w:b/>
          <w:bCs/>
          <w:rtl/>
        </w:rPr>
        <w:t>(التعدادات السكانية للأعوام 1982-1990)</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
        <w:gridCol w:w="1148"/>
        <w:gridCol w:w="630"/>
        <w:gridCol w:w="1133"/>
        <w:gridCol w:w="1092"/>
        <w:gridCol w:w="630"/>
        <w:gridCol w:w="1106"/>
        <w:gridCol w:w="721"/>
        <w:gridCol w:w="805"/>
        <w:gridCol w:w="1036"/>
      </w:tblGrid>
      <w:tr w:rsidR="00567B15" w:rsidTr="00567B15">
        <w:tblPrEx>
          <w:tblCellMar>
            <w:top w:w="0" w:type="dxa"/>
            <w:bottom w:w="0" w:type="dxa"/>
          </w:tblCellMar>
        </w:tblPrEx>
        <w:trPr>
          <w:cantSplit/>
        </w:trPr>
        <w:tc>
          <w:tcPr>
            <w:tcW w:w="1046" w:type="dxa"/>
            <w:vMerge w:val="restart"/>
          </w:tcPr>
          <w:p w:rsidR="00567B15" w:rsidRDefault="00567B15">
            <w:pPr>
              <w:spacing w:before="0" w:after="0" w:line="340" w:lineRule="exact"/>
              <w:jc w:val="both"/>
              <w:rPr>
                <w:rFonts w:hint="cs"/>
                <w:szCs w:val="22"/>
                <w:rtl/>
              </w:rPr>
            </w:pPr>
          </w:p>
          <w:p w:rsidR="00567B15" w:rsidRDefault="00567B15">
            <w:pPr>
              <w:spacing w:before="0" w:after="0" w:line="300" w:lineRule="exact"/>
              <w:jc w:val="both"/>
              <w:rPr>
                <w:rFonts w:hint="cs"/>
                <w:szCs w:val="22"/>
                <w:rtl/>
              </w:rPr>
            </w:pPr>
          </w:p>
          <w:p w:rsidR="00567B15" w:rsidRDefault="00567B15">
            <w:pPr>
              <w:spacing w:before="0" w:after="0" w:line="300" w:lineRule="exact"/>
              <w:jc w:val="both"/>
              <w:rPr>
                <w:rFonts w:hint="cs"/>
                <w:szCs w:val="22"/>
              </w:rPr>
            </w:pPr>
            <w:r>
              <w:rPr>
                <w:rFonts w:hint="cs"/>
                <w:szCs w:val="22"/>
                <w:rtl/>
              </w:rPr>
              <w:t>السكان</w:t>
            </w:r>
          </w:p>
        </w:tc>
        <w:tc>
          <w:tcPr>
            <w:tcW w:w="1148" w:type="dxa"/>
            <w:vMerge w:val="restart"/>
          </w:tcPr>
          <w:p w:rsidR="00567B15" w:rsidRDefault="00567B15">
            <w:pPr>
              <w:spacing w:before="0" w:after="0" w:line="300" w:lineRule="exact"/>
              <w:jc w:val="center"/>
              <w:rPr>
                <w:rFonts w:hint="cs"/>
                <w:szCs w:val="22"/>
              </w:rPr>
            </w:pPr>
            <w:r>
              <w:rPr>
                <w:rFonts w:hint="cs"/>
                <w:szCs w:val="22"/>
                <w:rtl/>
              </w:rPr>
              <w:t>مجموع الوحدات السكنية</w:t>
            </w:r>
          </w:p>
        </w:tc>
        <w:tc>
          <w:tcPr>
            <w:tcW w:w="2855" w:type="dxa"/>
            <w:gridSpan w:val="3"/>
          </w:tcPr>
          <w:p w:rsidR="00567B15" w:rsidRDefault="00567B15">
            <w:pPr>
              <w:spacing w:before="0" w:after="0" w:line="340" w:lineRule="exact"/>
              <w:jc w:val="center"/>
              <w:rPr>
                <w:rFonts w:hint="cs"/>
                <w:szCs w:val="22"/>
              </w:rPr>
            </w:pPr>
            <w:r>
              <w:rPr>
                <w:rFonts w:hint="cs"/>
                <w:szCs w:val="22"/>
                <w:rtl/>
              </w:rPr>
              <w:t>امدادات المياه</w:t>
            </w:r>
          </w:p>
        </w:tc>
        <w:tc>
          <w:tcPr>
            <w:tcW w:w="2457" w:type="dxa"/>
            <w:gridSpan w:val="3"/>
          </w:tcPr>
          <w:p w:rsidR="00567B15" w:rsidRDefault="00567B15">
            <w:pPr>
              <w:spacing w:before="0" w:after="0" w:line="340" w:lineRule="exact"/>
              <w:jc w:val="center"/>
              <w:rPr>
                <w:rFonts w:hint="cs"/>
                <w:szCs w:val="22"/>
              </w:rPr>
            </w:pPr>
            <w:r>
              <w:rPr>
                <w:rFonts w:hint="cs"/>
                <w:szCs w:val="22"/>
                <w:rtl/>
              </w:rPr>
              <w:t>تصريف النفايات</w:t>
            </w:r>
          </w:p>
        </w:tc>
        <w:tc>
          <w:tcPr>
            <w:tcW w:w="1841" w:type="dxa"/>
            <w:gridSpan w:val="2"/>
          </w:tcPr>
          <w:p w:rsidR="00567B15" w:rsidRDefault="00567B15">
            <w:pPr>
              <w:spacing w:before="0" w:after="0" w:line="340" w:lineRule="exact"/>
              <w:jc w:val="center"/>
              <w:rPr>
                <w:rFonts w:hint="cs"/>
                <w:szCs w:val="22"/>
              </w:rPr>
            </w:pPr>
            <w:r>
              <w:rPr>
                <w:rFonts w:hint="cs"/>
                <w:szCs w:val="22"/>
                <w:rtl/>
              </w:rPr>
              <w:t>امدادات الكهرباء</w:t>
            </w:r>
          </w:p>
        </w:tc>
      </w:tr>
      <w:tr w:rsidR="00567B15" w:rsidTr="00567B15">
        <w:tblPrEx>
          <w:tblCellMar>
            <w:top w:w="0" w:type="dxa"/>
            <w:bottom w:w="0" w:type="dxa"/>
          </w:tblCellMar>
        </w:tblPrEx>
        <w:trPr>
          <w:cantSplit/>
        </w:trPr>
        <w:tc>
          <w:tcPr>
            <w:tcW w:w="1046" w:type="dxa"/>
            <w:vMerge/>
            <w:tcBorders>
              <w:bottom w:val="single" w:sz="4" w:space="0" w:color="auto"/>
            </w:tcBorders>
          </w:tcPr>
          <w:p w:rsidR="00567B15" w:rsidRDefault="00567B15">
            <w:pPr>
              <w:spacing w:before="0" w:after="0" w:line="340" w:lineRule="exact"/>
              <w:jc w:val="both"/>
              <w:rPr>
                <w:rFonts w:hint="cs"/>
                <w:szCs w:val="22"/>
              </w:rPr>
            </w:pPr>
          </w:p>
        </w:tc>
        <w:tc>
          <w:tcPr>
            <w:tcW w:w="1148" w:type="dxa"/>
            <w:vMerge/>
            <w:tcBorders>
              <w:bottom w:val="single" w:sz="4" w:space="0" w:color="auto"/>
            </w:tcBorders>
          </w:tcPr>
          <w:p w:rsidR="00567B15" w:rsidRDefault="00567B15">
            <w:pPr>
              <w:spacing w:before="0" w:after="0" w:line="340" w:lineRule="exact"/>
              <w:jc w:val="both"/>
              <w:rPr>
                <w:rFonts w:hint="cs"/>
                <w:szCs w:val="22"/>
              </w:rPr>
            </w:pPr>
          </w:p>
        </w:tc>
        <w:tc>
          <w:tcPr>
            <w:tcW w:w="630" w:type="dxa"/>
            <w:tcBorders>
              <w:bottom w:val="single" w:sz="4" w:space="0" w:color="auto"/>
            </w:tcBorders>
          </w:tcPr>
          <w:p w:rsidR="00567B15" w:rsidRDefault="00567B15">
            <w:pPr>
              <w:spacing w:after="0" w:line="340" w:lineRule="exact"/>
              <w:jc w:val="center"/>
              <w:rPr>
                <w:rFonts w:hint="cs"/>
                <w:szCs w:val="22"/>
              </w:rPr>
            </w:pPr>
            <w:r>
              <w:rPr>
                <w:rFonts w:cs="Mudir MT" w:hint="cs"/>
                <w:sz w:val="24"/>
                <w:szCs w:val="24"/>
                <w:rtl/>
                <w:lang w:eastAsia="en-US"/>
              </w:rPr>
              <w:t>%</w:t>
            </w:r>
          </w:p>
        </w:tc>
        <w:tc>
          <w:tcPr>
            <w:tcW w:w="1133" w:type="dxa"/>
            <w:tcBorders>
              <w:bottom w:val="single" w:sz="4" w:space="0" w:color="auto"/>
            </w:tcBorders>
          </w:tcPr>
          <w:p w:rsidR="00567B15" w:rsidRDefault="00567B15">
            <w:pPr>
              <w:spacing w:after="0" w:line="340" w:lineRule="exact"/>
              <w:jc w:val="center"/>
              <w:rPr>
                <w:rFonts w:hint="cs"/>
                <w:szCs w:val="22"/>
              </w:rPr>
            </w:pPr>
            <w:r>
              <w:rPr>
                <w:rFonts w:hint="cs"/>
                <w:szCs w:val="22"/>
                <w:rtl/>
              </w:rPr>
              <w:t>الشبكة العامة</w:t>
            </w:r>
          </w:p>
        </w:tc>
        <w:tc>
          <w:tcPr>
            <w:tcW w:w="1092" w:type="dxa"/>
            <w:tcBorders>
              <w:bottom w:val="single" w:sz="4" w:space="0" w:color="auto"/>
            </w:tcBorders>
          </w:tcPr>
          <w:p w:rsidR="00567B15" w:rsidRDefault="00567B15">
            <w:pPr>
              <w:spacing w:after="0" w:line="340" w:lineRule="exact"/>
              <w:jc w:val="center"/>
              <w:rPr>
                <w:rFonts w:hint="cs"/>
                <w:szCs w:val="22"/>
              </w:rPr>
            </w:pPr>
            <w:r>
              <w:rPr>
                <w:rFonts w:hint="cs"/>
                <w:szCs w:val="22"/>
                <w:rtl/>
              </w:rPr>
              <w:t>مصادر أخرى</w:t>
            </w:r>
          </w:p>
        </w:tc>
        <w:tc>
          <w:tcPr>
            <w:tcW w:w="630" w:type="dxa"/>
            <w:tcBorders>
              <w:bottom w:val="single" w:sz="4" w:space="0" w:color="auto"/>
            </w:tcBorders>
          </w:tcPr>
          <w:p w:rsidR="00567B15" w:rsidRDefault="00567B15">
            <w:pPr>
              <w:spacing w:after="0" w:line="340" w:lineRule="exact"/>
              <w:jc w:val="center"/>
              <w:rPr>
                <w:rFonts w:hint="cs"/>
                <w:szCs w:val="22"/>
              </w:rPr>
            </w:pPr>
            <w:r>
              <w:rPr>
                <w:rFonts w:hint="cs"/>
                <w:szCs w:val="22"/>
                <w:rtl/>
              </w:rPr>
              <w:t>المجارير</w:t>
            </w:r>
          </w:p>
        </w:tc>
        <w:tc>
          <w:tcPr>
            <w:tcW w:w="1106" w:type="dxa"/>
            <w:tcBorders>
              <w:bottom w:val="single" w:sz="4" w:space="0" w:color="auto"/>
            </w:tcBorders>
          </w:tcPr>
          <w:p w:rsidR="00567B15" w:rsidRDefault="00567B15">
            <w:pPr>
              <w:spacing w:after="0" w:line="340" w:lineRule="exact"/>
              <w:jc w:val="center"/>
              <w:rPr>
                <w:rFonts w:hint="cs"/>
                <w:szCs w:val="22"/>
              </w:rPr>
            </w:pPr>
            <w:r>
              <w:rPr>
                <w:rFonts w:hint="cs"/>
                <w:szCs w:val="22"/>
                <w:rtl/>
              </w:rPr>
              <w:t>خزانات تعفين</w:t>
            </w:r>
          </w:p>
        </w:tc>
        <w:tc>
          <w:tcPr>
            <w:tcW w:w="721" w:type="dxa"/>
            <w:tcBorders>
              <w:bottom w:val="single" w:sz="4" w:space="0" w:color="auto"/>
            </w:tcBorders>
          </w:tcPr>
          <w:p w:rsidR="00567B15" w:rsidRDefault="00567B15">
            <w:pPr>
              <w:spacing w:after="0" w:line="340" w:lineRule="exact"/>
              <w:jc w:val="center"/>
              <w:rPr>
                <w:rFonts w:hint="cs"/>
                <w:szCs w:val="22"/>
              </w:rPr>
            </w:pPr>
            <w:r>
              <w:rPr>
                <w:rFonts w:hint="cs"/>
                <w:szCs w:val="22"/>
                <w:rtl/>
              </w:rPr>
              <w:t>لا يوجد</w:t>
            </w:r>
          </w:p>
        </w:tc>
        <w:tc>
          <w:tcPr>
            <w:tcW w:w="805" w:type="dxa"/>
            <w:tcBorders>
              <w:bottom w:val="single" w:sz="4" w:space="0" w:color="auto"/>
            </w:tcBorders>
          </w:tcPr>
          <w:p w:rsidR="00567B15" w:rsidRDefault="00567B15">
            <w:pPr>
              <w:spacing w:after="0" w:line="340" w:lineRule="exact"/>
              <w:jc w:val="center"/>
              <w:rPr>
                <w:rFonts w:hint="cs"/>
                <w:szCs w:val="22"/>
              </w:rPr>
            </w:pPr>
            <w:r>
              <w:rPr>
                <w:rFonts w:hint="cs"/>
                <w:szCs w:val="22"/>
                <w:rtl/>
              </w:rPr>
              <w:t>موجودة</w:t>
            </w:r>
          </w:p>
        </w:tc>
        <w:tc>
          <w:tcPr>
            <w:tcW w:w="1036" w:type="dxa"/>
            <w:tcBorders>
              <w:bottom w:val="single" w:sz="4" w:space="0" w:color="auto"/>
            </w:tcBorders>
          </w:tcPr>
          <w:p w:rsidR="00567B15" w:rsidRDefault="00567B15">
            <w:pPr>
              <w:spacing w:after="0" w:line="340" w:lineRule="exact"/>
              <w:jc w:val="center"/>
              <w:rPr>
                <w:rFonts w:hint="cs"/>
                <w:szCs w:val="22"/>
              </w:rPr>
            </w:pPr>
            <w:r>
              <w:rPr>
                <w:rFonts w:hint="cs"/>
                <w:szCs w:val="22"/>
                <w:rtl/>
              </w:rPr>
              <w:t>غير موجودة</w:t>
            </w:r>
          </w:p>
        </w:tc>
      </w:tr>
      <w:tr w:rsidR="00567B15" w:rsidTr="00567B15">
        <w:tblPrEx>
          <w:tblCellMar>
            <w:top w:w="0" w:type="dxa"/>
            <w:bottom w:w="0" w:type="dxa"/>
          </w:tblCellMar>
        </w:tblPrEx>
        <w:tc>
          <w:tcPr>
            <w:tcW w:w="1046" w:type="dxa"/>
            <w:tcBorders>
              <w:bottom w:val="nil"/>
            </w:tcBorders>
          </w:tcPr>
          <w:p w:rsidR="00567B15" w:rsidRDefault="00567B15">
            <w:pPr>
              <w:spacing w:before="0" w:after="0" w:line="340" w:lineRule="exact"/>
              <w:jc w:val="both"/>
              <w:rPr>
                <w:rFonts w:hint="cs"/>
                <w:szCs w:val="22"/>
              </w:rPr>
            </w:pPr>
            <w:r>
              <w:rPr>
                <w:rFonts w:hint="cs"/>
                <w:szCs w:val="22"/>
                <w:rtl/>
              </w:rPr>
              <w:t>تعداد 1982</w:t>
            </w:r>
          </w:p>
        </w:tc>
        <w:tc>
          <w:tcPr>
            <w:tcW w:w="1148" w:type="dxa"/>
            <w:tcBorders>
              <w:bottom w:val="nil"/>
            </w:tcBorders>
          </w:tcPr>
          <w:p w:rsidR="00567B15" w:rsidRDefault="00567B15">
            <w:pPr>
              <w:spacing w:before="0" w:after="0" w:line="340" w:lineRule="exact"/>
              <w:jc w:val="both"/>
              <w:rPr>
                <w:rFonts w:hint="cs"/>
                <w:szCs w:val="22"/>
              </w:rPr>
            </w:pPr>
            <w:r>
              <w:rPr>
                <w:rFonts w:hint="cs"/>
                <w:szCs w:val="22"/>
                <w:rtl/>
              </w:rPr>
              <w:t>441 567 1</w:t>
            </w:r>
          </w:p>
        </w:tc>
        <w:tc>
          <w:tcPr>
            <w:tcW w:w="630" w:type="dxa"/>
            <w:tcBorders>
              <w:bottom w:val="nil"/>
            </w:tcBorders>
          </w:tcPr>
          <w:p w:rsidR="00567B15" w:rsidRDefault="00567B15">
            <w:pPr>
              <w:spacing w:before="0" w:after="0" w:line="340" w:lineRule="exact"/>
              <w:jc w:val="both"/>
              <w:rPr>
                <w:rFonts w:hint="cs"/>
                <w:szCs w:val="22"/>
              </w:rPr>
            </w:pPr>
            <w:r>
              <w:rPr>
                <w:rFonts w:hint="cs"/>
                <w:szCs w:val="22"/>
                <w:rtl/>
              </w:rPr>
              <w:t>100</w:t>
            </w:r>
          </w:p>
        </w:tc>
        <w:tc>
          <w:tcPr>
            <w:tcW w:w="1133" w:type="dxa"/>
            <w:tcBorders>
              <w:bottom w:val="nil"/>
            </w:tcBorders>
          </w:tcPr>
          <w:p w:rsidR="00567B15" w:rsidRDefault="00567B15">
            <w:pPr>
              <w:spacing w:before="0" w:after="0" w:line="340" w:lineRule="exact"/>
              <w:jc w:val="both"/>
              <w:rPr>
                <w:rFonts w:hint="cs"/>
                <w:szCs w:val="22"/>
              </w:rPr>
            </w:pPr>
            <w:r>
              <w:rPr>
                <w:rFonts w:hint="cs"/>
                <w:szCs w:val="22"/>
                <w:rtl/>
              </w:rPr>
              <w:t>51.8</w:t>
            </w:r>
          </w:p>
        </w:tc>
        <w:tc>
          <w:tcPr>
            <w:tcW w:w="1092" w:type="dxa"/>
            <w:tcBorders>
              <w:bottom w:val="nil"/>
            </w:tcBorders>
          </w:tcPr>
          <w:p w:rsidR="00567B15" w:rsidRDefault="00567B15">
            <w:pPr>
              <w:spacing w:before="0" w:after="0" w:line="340" w:lineRule="exact"/>
              <w:jc w:val="both"/>
              <w:rPr>
                <w:rFonts w:hint="cs"/>
                <w:szCs w:val="22"/>
              </w:rPr>
            </w:pPr>
            <w:r>
              <w:rPr>
                <w:rFonts w:hint="cs"/>
                <w:szCs w:val="22"/>
                <w:rtl/>
              </w:rPr>
              <w:t>48.2</w:t>
            </w:r>
          </w:p>
        </w:tc>
        <w:tc>
          <w:tcPr>
            <w:tcW w:w="630" w:type="dxa"/>
            <w:tcBorders>
              <w:bottom w:val="nil"/>
            </w:tcBorders>
          </w:tcPr>
          <w:p w:rsidR="00567B15" w:rsidRDefault="00567B15">
            <w:pPr>
              <w:spacing w:before="0" w:after="0" w:line="340" w:lineRule="exact"/>
              <w:jc w:val="both"/>
              <w:rPr>
                <w:rFonts w:hint="cs"/>
                <w:szCs w:val="22"/>
              </w:rPr>
            </w:pPr>
            <w:r>
              <w:rPr>
                <w:rFonts w:hint="cs"/>
                <w:szCs w:val="22"/>
                <w:rtl/>
              </w:rPr>
              <w:t>34</w:t>
            </w:r>
          </w:p>
        </w:tc>
        <w:tc>
          <w:tcPr>
            <w:tcW w:w="1106" w:type="dxa"/>
            <w:tcBorders>
              <w:bottom w:val="nil"/>
            </w:tcBorders>
          </w:tcPr>
          <w:p w:rsidR="00567B15" w:rsidRDefault="00567B15">
            <w:pPr>
              <w:spacing w:before="0" w:after="0" w:line="340" w:lineRule="exact"/>
              <w:jc w:val="both"/>
              <w:rPr>
                <w:rFonts w:hint="cs"/>
                <w:szCs w:val="22"/>
              </w:rPr>
            </w:pPr>
            <w:r>
              <w:rPr>
                <w:rFonts w:hint="cs"/>
                <w:szCs w:val="22"/>
                <w:rtl/>
              </w:rPr>
              <w:t>14.6</w:t>
            </w:r>
          </w:p>
        </w:tc>
        <w:tc>
          <w:tcPr>
            <w:tcW w:w="721" w:type="dxa"/>
            <w:tcBorders>
              <w:bottom w:val="nil"/>
            </w:tcBorders>
          </w:tcPr>
          <w:p w:rsidR="00567B15" w:rsidRDefault="00567B15">
            <w:pPr>
              <w:spacing w:before="0" w:after="0" w:line="340" w:lineRule="exact"/>
              <w:jc w:val="both"/>
              <w:rPr>
                <w:rFonts w:hint="cs"/>
                <w:szCs w:val="22"/>
              </w:rPr>
            </w:pPr>
            <w:r>
              <w:rPr>
                <w:rFonts w:hint="cs"/>
                <w:szCs w:val="22"/>
                <w:rtl/>
              </w:rPr>
              <w:t>51.8</w:t>
            </w:r>
          </w:p>
        </w:tc>
        <w:tc>
          <w:tcPr>
            <w:tcW w:w="805" w:type="dxa"/>
            <w:tcBorders>
              <w:bottom w:val="nil"/>
            </w:tcBorders>
          </w:tcPr>
          <w:p w:rsidR="00567B15" w:rsidRDefault="00567B15">
            <w:pPr>
              <w:spacing w:before="0" w:after="0" w:line="340" w:lineRule="exact"/>
              <w:jc w:val="both"/>
              <w:rPr>
                <w:rFonts w:hint="cs"/>
                <w:szCs w:val="22"/>
              </w:rPr>
            </w:pPr>
            <w:r>
              <w:rPr>
                <w:rFonts w:hint="cs"/>
                <w:szCs w:val="22"/>
                <w:rtl/>
              </w:rPr>
              <w:t>62.1</w:t>
            </w:r>
          </w:p>
        </w:tc>
        <w:tc>
          <w:tcPr>
            <w:tcW w:w="1036" w:type="dxa"/>
            <w:tcBorders>
              <w:bottom w:val="nil"/>
            </w:tcBorders>
          </w:tcPr>
          <w:p w:rsidR="00567B15" w:rsidRDefault="00567B15">
            <w:pPr>
              <w:spacing w:before="0" w:after="0" w:line="340" w:lineRule="exact"/>
              <w:jc w:val="both"/>
              <w:rPr>
                <w:rFonts w:hint="cs"/>
                <w:szCs w:val="22"/>
              </w:rPr>
            </w:pPr>
            <w:r>
              <w:rPr>
                <w:rFonts w:hint="cs"/>
                <w:szCs w:val="22"/>
                <w:rtl/>
              </w:rPr>
              <w:t>37.9</w:t>
            </w:r>
          </w:p>
        </w:tc>
      </w:tr>
      <w:tr w:rsidR="00567B15" w:rsidTr="00567B15">
        <w:tblPrEx>
          <w:tblCellMar>
            <w:top w:w="0" w:type="dxa"/>
            <w:bottom w:w="0" w:type="dxa"/>
          </w:tblCellMar>
        </w:tblPrEx>
        <w:tc>
          <w:tcPr>
            <w:tcW w:w="1046" w:type="dxa"/>
            <w:tcBorders>
              <w:top w:val="nil"/>
            </w:tcBorders>
          </w:tcPr>
          <w:p w:rsidR="00567B15" w:rsidRDefault="00567B15">
            <w:pPr>
              <w:spacing w:before="0" w:after="0" w:line="340" w:lineRule="exact"/>
              <w:jc w:val="both"/>
              <w:rPr>
                <w:rFonts w:hint="cs"/>
                <w:szCs w:val="22"/>
              </w:rPr>
            </w:pPr>
            <w:r>
              <w:rPr>
                <w:rFonts w:hint="cs"/>
                <w:szCs w:val="22"/>
                <w:rtl/>
              </w:rPr>
              <w:t>تعداد 1990</w:t>
            </w:r>
          </w:p>
        </w:tc>
        <w:tc>
          <w:tcPr>
            <w:tcW w:w="1148" w:type="dxa"/>
            <w:tcBorders>
              <w:top w:val="nil"/>
            </w:tcBorders>
          </w:tcPr>
          <w:p w:rsidR="00567B15" w:rsidRDefault="00567B15">
            <w:pPr>
              <w:spacing w:before="0" w:after="0" w:line="340" w:lineRule="exact"/>
              <w:jc w:val="both"/>
              <w:rPr>
                <w:rFonts w:hint="cs"/>
                <w:szCs w:val="22"/>
              </w:rPr>
            </w:pPr>
            <w:r>
              <w:rPr>
                <w:rFonts w:hint="cs"/>
                <w:szCs w:val="22"/>
                <w:rtl/>
              </w:rPr>
              <w:t>655 008 2</w:t>
            </w:r>
          </w:p>
        </w:tc>
        <w:tc>
          <w:tcPr>
            <w:tcW w:w="630" w:type="dxa"/>
            <w:tcBorders>
              <w:top w:val="nil"/>
            </w:tcBorders>
          </w:tcPr>
          <w:p w:rsidR="00567B15" w:rsidRDefault="00567B15">
            <w:pPr>
              <w:spacing w:before="0" w:after="0" w:line="340" w:lineRule="exact"/>
              <w:jc w:val="both"/>
              <w:rPr>
                <w:rFonts w:hint="cs"/>
                <w:szCs w:val="22"/>
              </w:rPr>
            </w:pPr>
            <w:r>
              <w:rPr>
                <w:rFonts w:hint="cs"/>
                <w:szCs w:val="22"/>
                <w:rtl/>
              </w:rPr>
              <w:t>100</w:t>
            </w:r>
          </w:p>
        </w:tc>
        <w:tc>
          <w:tcPr>
            <w:tcW w:w="1133" w:type="dxa"/>
            <w:tcBorders>
              <w:top w:val="nil"/>
            </w:tcBorders>
          </w:tcPr>
          <w:p w:rsidR="00567B15" w:rsidRDefault="00567B15">
            <w:pPr>
              <w:spacing w:before="0" w:after="0" w:line="340" w:lineRule="exact"/>
              <w:jc w:val="both"/>
              <w:rPr>
                <w:rFonts w:hint="cs"/>
                <w:szCs w:val="22"/>
              </w:rPr>
            </w:pPr>
            <w:r>
              <w:rPr>
                <w:rFonts w:hint="cs"/>
                <w:szCs w:val="22"/>
                <w:rtl/>
              </w:rPr>
              <w:t>62.7</w:t>
            </w:r>
          </w:p>
        </w:tc>
        <w:tc>
          <w:tcPr>
            <w:tcW w:w="1092" w:type="dxa"/>
            <w:tcBorders>
              <w:top w:val="nil"/>
            </w:tcBorders>
          </w:tcPr>
          <w:p w:rsidR="00567B15" w:rsidRDefault="00567B15">
            <w:pPr>
              <w:spacing w:before="0" w:after="0" w:line="340" w:lineRule="exact"/>
              <w:jc w:val="both"/>
              <w:rPr>
                <w:rFonts w:hint="cs"/>
                <w:szCs w:val="22"/>
              </w:rPr>
            </w:pPr>
            <w:r>
              <w:rPr>
                <w:rFonts w:hint="cs"/>
                <w:szCs w:val="22"/>
                <w:rtl/>
              </w:rPr>
              <w:t>37.3</w:t>
            </w:r>
          </w:p>
        </w:tc>
        <w:tc>
          <w:tcPr>
            <w:tcW w:w="630" w:type="dxa"/>
            <w:tcBorders>
              <w:top w:val="nil"/>
            </w:tcBorders>
          </w:tcPr>
          <w:p w:rsidR="00567B15" w:rsidRDefault="00567B15">
            <w:pPr>
              <w:spacing w:before="0" w:after="0" w:line="340" w:lineRule="exact"/>
              <w:jc w:val="both"/>
              <w:rPr>
                <w:rFonts w:hint="cs"/>
                <w:szCs w:val="22"/>
              </w:rPr>
            </w:pPr>
            <w:r>
              <w:rPr>
                <w:rFonts w:hint="cs"/>
                <w:szCs w:val="22"/>
                <w:rtl/>
              </w:rPr>
              <w:t>40</w:t>
            </w:r>
          </w:p>
        </w:tc>
        <w:tc>
          <w:tcPr>
            <w:tcW w:w="1106" w:type="dxa"/>
            <w:tcBorders>
              <w:top w:val="nil"/>
            </w:tcBorders>
          </w:tcPr>
          <w:p w:rsidR="00567B15" w:rsidRDefault="00567B15">
            <w:pPr>
              <w:spacing w:before="0" w:after="0" w:line="340" w:lineRule="exact"/>
              <w:jc w:val="both"/>
              <w:rPr>
                <w:rFonts w:hint="cs"/>
                <w:szCs w:val="22"/>
              </w:rPr>
            </w:pPr>
            <w:r>
              <w:rPr>
                <w:rFonts w:hint="cs"/>
                <w:szCs w:val="22"/>
                <w:rtl/>
              </w:rPr>
              <w:t>32.8</w:t>
            </w:r>
          </w:p>
        </w:tc>
        <w:tc>
          <w:tcPr>
            <w:tcW w:w="721" w:type="dxa"/>
            <w:tcBorders>
              <w:top w:val="nil"/>
            </w:tcBorders>
          </w:tcPr>
          <w:p w:rsidR="00567B15" w:rsidRDefault="00567B15">
            <w:pPr>
              <w:spacing w:before="0" w:after="0" w:line="340" w:lineRule="exact"/>
              <w:jc w:val="both"/>
              <w:rPr>
                <w:rFonts w:hint="cs"/>
                <w:szCs w:val="22"/>
              </w:rPr>
            </w:pPr>
            <w:r>
              <w:rPr>
                <w:rFonts w:hint="cs"/>
                <w:szCs w:val="22"/>
                <w:rtl/>
              </w:rPr>
              <w:t>27.7</w:t>
            </w:r>
          </w:p>
        </w:tc>
        <w:tc>
          <w:tcPr>
            <w:tcW w:w="805" w:type="dxa"/>
            <w:tcBorders>
              <w:top w:val="nil"/>
            </w:tcBorders>
          </w:tcPr>
          <w:p w:rsidR="00567B15" w:rsidRDefault="00567B15">
            <w:pPr>
              <w:spacing w:before="0" w:after="0" w:line="340" w:lineRule="exact"/>
              <w:jc w:val="both"/>
              <w:rPr>
                <w:rFonts w:hint="cs"/>
                <w:szCs w:val="22"/>
              </w:rPr>
            </w:pPr>
            <w:r>
              <w:rPr>
                <w:rFonts w:hint="cs"/>
                <w:szCs w:val="22"/>
                <w:rtl/>
              </w:rPr>
              <w:t>77.7</w:t>
            </w:r>
          </w:p>
        </w:tc>
        <w:tc>
          <w:tcPr>
            <w:tcW w:w="1036" w:type="dxa"/>
            <w:tcBorders>
              <w:top w:val="nil"/>
            </w:tcBorders>
          </w:tcPr>
          <w:p w:rsidR="00567B15" w:rsidRDefault="00567B15">
            <w:pPr>
              <w:spacing w:before="0" w:after="0" w:line="340" w:lineRule="exact"/>
              <w:jc w:val="both"/>
              <w:rPr>
                <w:rFonts w:hint="cs"/>
                <w:szCs w:val="22"/>
              </w:rPr>
            </w:pPr>
            <w:r>
              <w:rPr>
                <w:rFonts w:hint="cs"/>
                <w:szCs w:val="22"/>
                <w:rtl/>
              </w:rPr>
              <w:t>77.7</w:t>
            </w:r>
          </w:p>
        </w:tc>
      </w:tr>
    </w:tbl>
    <w:p w:rsidR="00000000" w:rsidRDefault="00567B15">
      <w:pPr>
        <w:jc w:val="both"/>
        <w:rPr>
          <w:rFonts w:hint="cs"/>
          <w:rtl/>
        </w:rPr>
      </w:pPr>
      <w:r>
        <w:rPr>
          <w:rFonts w:hint="cs"/>
          <w:rtl/>
        </w:rPr>
        <w:tab/>
      </w:r>
      <w:r>
        <w:rPr>
          <w:rFonts w:hint="cs"/>
          <w:u w:val="single"/>
          <w:rtl/>
        </w:rPr>
        <w:t>المصدر</w:t>
      </w:r>
      <w:r>
        <w:rPr>
          <w:rFonts w:hint="cs"/>
          <w:rtl/>
        </w:rPr>
        <w:t>: المعهد الوطني للإحصاءات وتعداد السكان التابع لوزارة الإسكان والتنمية الحضرية.</w:t>
      </w:r>
    </w:p>
    <w:p w:rsidR="00000000" w:rsidRDefault="00567B15">
      <w:pPr>
        <w:spacing w:line="380" w:lineRule="exact"/>
        <w:jc w:val="both"/>
        <w:rPr>
          <w:rFonts w:hint="cs"/>
          <w:spacing w:val="0"/>
          <w:rtl/>
        </w:rPr>
      </w:pPr>
      <w:r>
        <w:rPr>
          <w:rFonts w:hint="cs"/>
          <w:spacing w:val="0"/>
          <w:rtl/>
        </w:rPr>
        <w:t>355-</w:t>
      </w:r>
      <w:r>
        <w:rPr>
          <w:rFonts w:hint="cs"/>
          <w:spacing w:val="0"/>
          <w:rtl/>
        </w:rPr>
        <w:tab/>
        <w:t>ويقدر أن عدد السكان يصل إلى 232 411 12 نسمة في عام 1999، حيث يقيم م</w:t>
      </w:r>
      <w:r>
        <w:rPr>
          <w:rFonts w:hint="cs"/>
          <w:spacing w:val="0"/>
          <w:rtl/>
        </w:rPr>
        <w:t>ا نسبته 49.8 في المائة منهم على الساحل و45.65 في المائة في مناطق المرتفعات ونسبة 4.6 في المائة المتبقية في منطقتي الأمازون والجزيرة.</w:t>
      </w:r>
    </w:p>
    <w:p w:rsidR="00000000" w:rsidRDefault="00567B15">
      <w:pPr>
        <w:spacing w:line="380" w:lineRule="exact"/>
        <w:jc w:val="both"/>
        <w:rPr>
          <w:rFonts w:hint="cs"/>
          <w:rtl/>
        </w:rPr>
      </w:pPr>
      <w:r>
        <w:rPr>
          <w:rFonts w:hint="cs"/>
          <w:rtl/>
        </w:rPr>
        <w:t>356-</w:t>
      </w:r>
      <w:r>
        <w:rPr>
          <w:rFonts w:hint="cs"/>
          <w:rtl/>
        </w:rPr>
        <w:tab/>
        <w:t>ويكشف تحليل أرقام السكان في الحضر والريف في كل منطقة عن أن نسبة 69 في المائة من سكان المنطقة الساحلية تعيش في المدن، ب</w:t>
      </w:r>
      <w:r>
        <w:rPr>
          <w:rFonts w:hint="cs"/>
          <w:rtl/>
        </w:rPr>
        <w:t>ينما تقتصر نسبة من يعيشون في المناطق الريفية على 31 في المائة.</w:t>
      </w:r>
    </w:p>
    <w:p w:rsidR="00000000" w:rsidRDefault="00567B15">
      <w:pPr>
        <w:spacing w:line="380" w:lineRule="exact"/>
        <w:jc w:val="both"/>
        <w:rPr>
          <w:rFonts w:hint="cs"/>
          <w:rtl/>
        </w:rPr>
      </w:pPr>
      <w:r>
        <w:rPr>
          <w:rFonts w:hint="cs"/>
          <w:rtl/>
        </w:rPr>
        <w:t>357-</w:t>
      </w:r>
      <w:r>
        <w:rPr>
          <w:rFonts w:hint="cs"/>
          <w:rtl/>
        </w:rPr>
        <w:tab/>
        <w:t xml:space="preserve">وفي منطقة المرتفعات، تعيش نسبة 54 في المائة من السكان في المدن ونسبة 46 في المائة في المناطق الريفية. أما في المنطقة الشرقية، فإن هناك نسبة 72 في المائة من الريفيين، بينما تعيش نسبة 82 في </w:t>
      </w:r>
      <w:r>
        <w:rPr>
          <w:rFonts w:hint="cs"/>
          <w:rtl/>
        </w:rPr>
        <w:t>المائة من سكان جزر غالاباوس في مناطق حضرية.</w:t>
      </w:r>
    </w:p>
    <w:p w:rsidR="00000000" w:rsidRDefault="00567B15">
      <w:pPr>
        <w:spacing w:line="380" w:lineRule="exact"/>
        <w:jc w:val="both"/>
        <w:rPr>
          <w:rFonts w:hint="cs"/>
          <w:rtl/>
        </w:rPr>
      </w:pPr>
      <w:r>
        <w:rPr>
          <w:rFonts w:hint="cs"/>
          <w:rtl/>
        </w:rPr>
        <w:t>358-</w:t>
      </w:r>
      <w:r>
        <w:rPr>
          <w:rFonts w:hint="cs"/>
          <w:rtl/>
        </w:rPr>
        <w:tab/>
        <w:t>وعلى الصعيد الوطني، هناك 53 في المائة من الأسر المعيشية الحضرية ترتبط مساكنها بشبكة المجاري؛ بينما تقتصر النسبة على 11 في المائة في المناطق الريفية. ولا تعالج المياه المستعملة، مما يتسبب بالتالي في مشاكل تلو</w:t>
      </w:r>
      <w:r>
        <w:rPr>
          <w:rFonts w:hint="cs"/>
          <w:rtl/>
        </w:rPr>
        <w:t>ث خطيرة عند تدفقها مباشرة إلى المسطحات المائية.</w:t>
      </w:r>
    </w:p>
    <w:p w:rsidR="00000000" w:rsidRDefault="00567B15">
      <w:pPr>
        <w:spacing w:line="340" w:lineRule="exact"/>
        <w:jc w:val="center"/>
        <w:rPr>
          <w:rFonts w:hint="cs"/>
          <w:b/>
          <w:bCs/>
          <w:rtl/>
        </w:rPr>
      </w:pPr>
      <w:r>
        <w:rPr>
          <w:rFonts w:hint="cs"/>
          <w:b/>
          <w:bCs/>
          <w:rtl/>
        </w:rPr>
        <w:t>متوسط عدد المقيمين في كل وحدة سكنية، بحسب نوع الوحدة</w:t>
      </w:r>
      <w:r>
        <w:rPr>
          <w:b/>
          <w:bCs/>
          <w:rtl/>
        </w:rPr>
        <w:br/>
      </w:r>
      <w:r>
        <w:rPr>
          <w:rFonts w:hint="cs"/>
          <w:b/>
          <w:bCs/>
          <w:rtl/>
        </w:rPr>
        <w:t>(التعدادات السكانية للأعوام 1982-1990)</w:t>
      </w:r>
    </w:p>
    <w:tbl>
      <w:tblPr>
        <w:bidiVisual/>
        <w:tblW w:w="0" w:type="auto"/>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5"/>
        <w:gridCol w:w="2756"/>
        <w:gridCol w:w="2912"/>
      </w:tblGrid>
      <w:tr w:rsidR="00567B15" w:rsidTr="00567B15">
        <w:tblPrEx>
          <w:tblCellMar>
            <w:top w:w="0" w:type="dxa"/>
            <w:bottom w:w="0" w:type="dxa"/>
          </w:tblCellMar>
        </w:tblPrEx>
        <w:tc>
          <w:tcPr>
            <w:tcW w:w="2325" w:type="dxa"/>
          </w:tcPr>
          <w:p w:rsidR="00567B15" w:rsidRDefault="00567B15">
            <w:pPr>
              <w:spacing w:before="0" w:after="0" w:line="320" w:lineRule="exact"/>
              <w:jc w:val="center"/>
              <w:rPr>
                <w:rFonts w:hint="cs"/>
                <w:sz w:val="26"/>
                <w:szCs w:val="26"/>
              </w:rPr>
            </w:pPr>
            <w:r>
              <w:rPr>
                <w:rFonts w:hint="cs"/>
                <w:sz w:val="26"/>
                <w:szCs w:val="26"/>
                <w:rtl/>
              </w:rPr>
              <w:t>نوع السكن</w:t>
            </w:r>
          </w:p>
        </w:tc>
        <w:tc>
          <w:tcPr>
            <w:tcW w:w="2756" w:type="dxa"/>
          </w:tcPr>
          <w:p w:rsidR="00567B15" w:rsidRDefault="00567B15">
            <w:pPr>
              <w:spacing w:before="0" w:after="0" w:line="320" w:lineRule="exact"/>
              <w:jc w:val="center"/>
              <w:rPr>
                <w:rFonts w:hint="cs"/>
                <w:sz w:val="26"/>
                <w:szCs w:val="26"/>
              </w:rPr>
            </w:pPr>
            <w:r>
              <w:rPr>
                <w:rFonts w:hint="cs"/>
                <w:sz w:val="26"/>
                <w:szCs w:val="26"/>
                <w:rtl/>
              </w:rPr>
              <w:t>التعداد السكاني لعام 1982</w:t>
            </w:r>
          </w:p>
        </w:tc>
        <w:tc>
          <w:tcPr>
            <w:tcW w:w="2912" w:type="dxa"/>
          </w:tcPr>
          <w:p w:rsidR="00567B15" w:rsidRDefault="00567B15">
            <w:pPr>
              <w:spacing w:before="0" w:after="0" w:line="320" w:lineRule="exact"/>
              <w:jc w:val="center"/>
              <w:rPr>
                <w:rFonts w:hint="cs"/>
                <w:sz w:val="26"/>
                <w:szCs w:val="26"/>
              </w:rPr>
            </w:pPr>
            <w:r>
              <w:rPr>
                <w:rFonts w:hint="cs"/>
                <w:sz w:val="26"/>
                <w:szCs w:val="26"/>
                <w:rtl/>
              </w:rPr>
              <w:t>التعداد السكاني لعام 1990</w:t>
            </w:r>
          </w:p>
        </w:tc>
      </w:tr>
      <w:tr w:rsidR="00567B15" w:rsidTr="00567B15">
        <w:tblPrEx>
          <w:tblCellMar>
            <w:top w:w="0" w:type="dxa"/>
            <w:bottom w:w="0" w:type="dxa"/>
          </w:tblCellMar>
        </w:tblPrEx>
        <w:tc>
          <w:tcPr>
            <w:tcW w:w="2325" w:type="dxa"/>
            <w:tcBorders>
              <w:bottom w:val="nil"/>
            </w:tcBorders>
          </w:tcPr>
          <w:p w:rsidR="00567B15" w:rsidRDefault="00567B15">
            <w:pPr>
              <w:spacing w:before="0" w:after="0" w:line="320" w:lineRule="exact"/>
              <w:jc w:val="both"/>
              <w:rPr>
                <w:rFonts w:hint="cs"/>
                <w:sz w:val="26"/>
                <w:szCs w:val="26"/>
              </w:rPr>
            </w:pPr>
            <w:r>
              <w:rPr>
                <w:rFonts w:hint="cs"/>
                <w:sz w:val="26"/>
                <w:szCs w:val="26"/>
                <w:rtl/>
              </w:rPr>
              <w:t>منزل أو فيلا</w:t>
            </w:r>
          </w:p>
        </w:tc>
        <w:tc>
          <w:tcPr>
            <w:tcW w:w="2756" w:type="dxa"/>
            <w:tcBorders>
              <w:bottom w:val="nil"/>
            </w:tcBorders>
          </w:tcPr>
          <w:p w:rsidR="00567B15" w:rsidRDefault="00567B15">
            <w:pPr>
              <w:spacing w:before="0" w:after="0" w:line="320" w:lineRule="exact"/>
              <w:ind w:firstLine="1000"/>
              <w:jc w:val="both"/>
              <w:rPr>
                <w:rFonts w:hint="cs"/>
                <w:sz w:val="26"/>
                <w:szCs w:val="26"/>
              </w:rPr>
            </w:pPr>
            <w:r>
              <w:rPr>
                <w:rFonts w:hint="cs"/>
                <w:sz w:val="26"/>
                <w:szCs w:val="26"/>
                <w:rtl/>
              </w:rPr>
              <w:t>5.5</w:t>
            </w:r>
          </w:p>
        </w:tc>
        <w:tc>
          <w:tcPr>
            <w:tcW w:w="2912" w:type="dxa"/>
            <w:tcBorders>
              <w:bottom w:val="nil"/>
            </w:tcBorders>
          </w:tcPr>
          <w:p w:rsidR="00567B15" w:rsidRDefault="00567B15">
            <w:pPr>
              <w:spacing w:before="0" w:after="0" w:line="320" w:lineRule="exact"/>
              <w:ind w:firstLine="1000"/>
              <w:jc w:val="both"/>
              <w:rPr>
                <w:rFonts w:hint="cs"/>
                <w:sz w:val="26"/>
                <w:szCs w:val="26"/>
              </w:rPr>
            </w:pPr>
            <w:r>
              <w:rPr>
                <w:rFonts w:hint="cs"/>
                <w:sz w:val="26"/>
                <w:szCs w:val="26"/>
                <w:rtl/>
              </w:rPr>
              <w:t>5.0</w:t>
            </w:r>
          </w:p>
        </w:tc>
      </w:tr>
      <w:tr w:rsidR="00567B15" w:rsidTr="00567B15">
        <w:tblPrEx>
          <w:tblCellMar>
            <w:top w:w="0" w:type="dxa"/>
            <w:bottom w:w="0" w:type="dxa"/>
          </w:tblCellMar>
        </w:tblPrEx>
        <w:tc>
          <w:tcPr>
            <w:tcW w:w="2325" w:type="dxa"/>
            <w:tcBorders>
              <w:top w:val="nil"/>
              <w:bottom w:val="nil"/>
            </w:tcBorders>
          </w:tcPr>
          <w:p w:rsidR="00567B15" w:rsidRDefault="00567B15">
            <w:pPr>
              <w:spacing w:before="0" w:after="0" w:line="320" w:lineRule="exact"/>
              <w:jc w:val="both"/>
              <w:rPr>
                <w:rFonts w:hint="cs"/>
                <w:sz w:val="26"/>
                <w:szCs w:val="26"/>
              </w:rPr>
            </w:pPr>
            <w:r>
              <w:rPr>
                <w:rFonts w:hint="cs"/>
                <w:sz w:val="26"/>
                <w:szCs w:val="26"/>
                <w:rtl/>
              </w:rPr>
              <w:t>شقة</w:t>
            </w:r>
          </w:p>
        </w:tc>
        <w:tc>
          <w:tcPr>
            <w:tcW w:w="2756" w:type="dxa"/>
            <w:tcBorders>
              <w:top w:val="nil"/>
              <w:bottom w:val="nil"/>
            </w:tcBorders>
          </w:tcPr>
          <w:p w:rsidR="00567B15" w:rsidRDefault="00567B15">
            <w:pPr>
              <w:spacing w:before="0" w:after="0" w:line="320" w:lineRule="exact"/>
              <w:ind w:firstLine="1000"/>
              <w:jc w:val="both"/>
              <w:rPr>
                <w:rFonts w:hint="cs"/>
                <w:sz w:val="26"/>
                <w:szCs w:val="26"/>
              </w:rPr>
            </w:pPr>
            <w:r>
              <w:rPr>
                <w:rFonts w:hint="cs"/>
                <w:sz w:val="26"/>
                <w:szCs w:val="26"/>
                <w:rtl/>
              </w:rPr>
              <w:t>4.4</w:t>
            </w:r>
          </w:p>
        </w:tc>
        <w:tc>
          <w:tcPr>
            <w:tcW w:w="2912" w:type="dxa"/>
            <w:tcBorders>
              <w:top w:val="nil"/>
              <w:bottom w:val="nil"/>
            </w:tcBorders>
          </w:tcPr>
          <w:p w:rsidR="00567B15" w:rsidRDefault="00567B15">
            <w:pPr>
              <w:spacing w:before="0" w:after="0" w:line="320" w:lineRule="exact"/>
              <w:ind w:firstLine="1000"/>
              <w:jc w:val="both"/>
              <w:rPr>
                <w:rFonts w:hint="cs"/>
                <w:sz w:val="26"/>
                <w:szCs w:val="26"/>
              </w:rPr>
            </w:pPr>
            <w:r>
              <w:rPr>
                <w:rFonts w:hint="cs"/>
                <w:sz w:val="26"/>
                <w:szCs w:val="26"/>
                <w:rtl/>
              </w:rPr>
              <w:t>3.9</w:t>
            </w:r>
          </w:p>
        </w:tc>
      </w:tr>
      <w:tr w:rsidR="00567B15" w:rsidTr="00567B15">
        <w:tblPrEx>
          <w:tblCellMar>
            <w:top w:w="0" w:type="dxa"/>
            <w:bottom w:w="0" w:type="dxa"/>
          </w:tblCellMar>
        </w:tblPrEx>
        <w:tc>
          <w:tcPr>
            <w:tcW w:w="2325"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غرفة مؤجرة داخل منزل</w:t>
            </w:r>
          </w:p>
        </w:tc>
        <w:tc>
          <w:tcPr>
            <w:tcW w:w="2756"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3.7</w:t>
            </w:r>
          </w:p>
        </w:tc>
        <w:tc>
          <w:tcPr>
            <w:tcW w:w="2912"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3.6</w:t>
            </w:r>
          </w:p>
        </w:tc>
      </w:tr>
      <w:tr w:rsidR="00567B15" w:rsidTr="00567B15">
        <w:tblPrEx>
          <w:tblCellMar>
            <w:top w:w="0" w:type="dxa"/>
            <w:bottom w:w="0" w:type="dxa"/>
          </w:tblCellMar>
        </w:tblPrEx>
        <w:tc>
          <w:tcPr>
            <w:tcW w:w="2325"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سقيفة</w:t>
            </w:r>
          </w:p>
        </w:tc>
        <w:tc>
          <w:tcPr>
            <w:tcW w:w="2756"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4.6</w:t>
            </w:r>
          </w:p>
        </w:tc>
        <w:tc>
          <w:tcPr>
            <w:tcW w:w="2912"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4.5</w:t>
            </w:r>
          </w:p>
        </w:tc>
      </w:tr>
      <w:tr w:rsidR="00567B15" w:rsidTr="00567B15">
        <w:tblPrEx>
          <w:tblCellMar>
            <w:top w:w="0" w:type="dxa"/>
            <w:bottom w:w="0" w:type="dxa"/>
          </w:tblCellMar>
        </w:tblPrEx>
        <w:tc>
          <w:tcPr>
            <w:tcW w:w="2325"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كوخ</w:t>
            </w:r>
          </w:p>
        </w:tc>
        <w:tc>
          <w:tcPr>
            <w:tcW w:w="2756"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4.1</w:t>
            </w:r>
          </w:p>
        </w:tc>
        <w:tc>
          <w:tcPr>
            <w:tcW w:w="2912"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4.0</w:t>
            </w:r>
          </w:p>
        </w:tc>
      </w:tr>
      <w:tr w:rsidR="00567B15" w:rsidTr="00567B15">
        <w:tblPrEx>
          <w:tblCellMar>
            <w:top w:w="0" w:type="dxa"/>
            <w:bottom w:w="0" w:type="dxa"/>
          </w:tblCellMar>
        </w:tblPrEx>
        <w:tc>
          <w:tcPr>
            <w:tcW w:w="2325"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خص</w:t>
            </w:r>
          </w:p>
        </w:tc>
        <w:tc>
          <w:tcPr>
            <w:tcW w:w="2756"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5.2</w:t>
            </w:r>
          </w:p>
        </w:tc>
        <w:tc>
          <w:tcPr>
            <w:tcW w:w="2912" w:type="dxa"/>
            <w:tcBorders>
              <w:top w:val="nil"/>
              <w:bottom w:val="nil"/>
            </w:tcBorders>
          </w:tcPr>
          <w:p w:rsidR="00567B15" w:rsidRDefault="00567B15">
            <w:pPr>
              <w:spacing w:before="0" w:after="0" w:line="320" w:lineRule="exact"/>
              <w:ind w:firstLine="1000"/>
              <w:jc w:val="both"/>
              <w:rPr>
                <w:rFonts w:hint="cs"/>
                <w:sz w:val="26"/>
                <w:szCs w:val="26"/>
                <w:rtl/>
              </w:rPr>
            </w:pPr>
            <w:r>
              <w:rPr>
                <w:rFonts w:hint="cs"/>
                <w:sz w:val="26"/>
                <w:szCs w:val="26"/>
                <w:rtl/>
              </w:rPr>
              <w:t>4.9</w:t>
            </w:r>
          </w:p>
        </w:tc>
      </w:tr>
      <w:tr w:rsidR="00567B15" w:rsidTr="00567B15">
        <w:tblPrEx>
          <w:tblCellMar>
            <w:top w:w="0" w:type="dxa"/>
            <w:bottom w:w="0" w:type="dxa"/>
          </w:tblCellMar>
        </w:tblPrEx>
        <w:tc>
          <w:tcPr>
            <w:tcW w:w="2325" w:type="dxa"/>
            <w:tcBorders>
              <w:top w:val="nil"/>
            </w:tcBorders>
          </w:tcPr>
          <w:p w:rsidR="00567B15" w:rsidRDefault="00567B15">
            <w:pPr>
              <w:spacing w:before="0" w:after="0" w:line="320" w:lineRule="exact"/>
              <w:jc w:val="both"/>
              <w:rPr>
                <w:rFonts w:hint="cs"/>
                <w:sz w:val="26"/>
                <w:szCs w:val="26"/>
                <w:rtl/>
              </w:rPr>
            </w:pPr>
            <w:r>
              <w:rPr>
                <w:rFonts w:hint="cs"/>
                <w:sz w:val="26"/>
                <w:szCs w:val="26"/>
                <w:rtl/>
              </w:rPr>
              <w:t>غير ذلك</w:t>
            </w:r>
          </w:p>
        </w:tc>
        <w:tc>
          <w:tcPr>
            <w:tcW w:w="2756" w:type="dxa"/>
            <w:tcBorders>
              <w:top w:val="nil"/>
            </w:tcBorders>
          </w:tcPr>
          <w:p w:rsidR="00567B15" w:rsidRDefault="00567B15">
            <w:pPr>
              <w:spacing w:before="0" w:after="0" w:line="320" w:lineRule="exact"/>
              <w:ind w:firstLine="1000"/>
              <w:jc w:val="both"/>
              <w:rPr>
                <w:rFonts w:hint="cs"/>
                <w:sz w:val="26"/>
                <w:szCs w:val="26"/>
                <w:rtl/>
              </w:rPr>
            </w:pPr>
            <w:r>
              <w:rPr>
                <w:rFonts w:hint="cs"/>
                <w:sz w:val="26"/>
                <w:szCs w:val="26"/>
                <w:rtl/>
              </w:rPr>
              <w:t>8.5</w:t>
            </w:r>
          </w:p>
        </w:tc>
        <w:tc>
          <w:tcPr>
            <w:tcW w:w="2912" w:type="dxa"/>
            <w:tcBorders>
              <w:top w:val="nil"/>
            </w:tcBorders>
          </w:tcPr>
          <w:p w:rsidR="00567B15" w:rsidRDefault="00567B15">
            <w:pPr>
              <w:spacing w:before="0" w:after="0" w:line="320" w:lineRule="exact"/>
              <w:ind w:firstLine="1000"/>
              <w:jc w:val="both"/>
              <w:rPr>
                <w:rFonts w:hint="cs"/>
                <w:sz w:val="26"/>
                <w:szCs w:val="26"/>
                <w:rtl/>
              </w:rPr>
            </w:pPr>
            <w:r>
              <w:rPr>
                <w:rFonts w:hint="cs"/>
                <w:sz w:val="26"/>
                <w:szCs w:val="26"/>
                <w:rtl/>
              </w:rPr>
              <w:t>3.8</w:t>
            </w:r>
          </w:p>
        </w:tc>
      </w:tr>
    </w:tbl>
    <w:p w:rsidR="00000000" w:rsidRDefault="00567B15">
      <w:pPr>
        <w:spacing w:line="380" w:lineRule="exact"/>
        <w:jc w:val="both"/>
        <w:rPr>
          <w:rFonts w:hint="cs"/>
          <w:rtl/>
        </w:rPr>
      </w:pPr>
      <w:r>
        <w:rPr>
          <w:rFonts w:hint="cs"/>
          <w:rtl/>
        </w:rPr>
        <w:tab/>
      </w:r>
      <w:r>
        <w:rPr>
          <w:rFonts w:hint="cs"/>
          <w:u w:val="single"/>
          <w:rtl/>
        </w:rPr>
        <w:t>المصدر</w:t>
      </w:r>
      <w:r>
        <w:rPr>
          <w:rFonts w:hint="cs"/>
          <w:rtl/>
        </w:rPr>
        <w:t>: التعدادان السكانيان لعامي 1982 و1990 للمعهد الوطني للإحصاءات وتعداد السكان التابع لوزارة الإسكان والتنمية الحضرية.</w:t>
      </w:r>
    </w:p>
    <w:p w:rsidR="00000000" w:rsidRDefault="00567B15">
      <w:pPr>
        <w:spacing w:line="380" w:lineRule="exact"/>
        <w:jc w:val="both"/>
        <w:rPr>
          <w:rFonts w:hint="cs"/>
          <w:rtl/>
        </w:rPr>
      </w:pPr>
      <w:r>
        <w:rPr>
          <w:rFonts w:hint="cs"/>
          <w:rtl/>
        </w:rPr>
        <w:t>359-</w:t>
      </w:r>
      <w:r>
        <w:rPr>
          <w:rFonts w:hint="cs"/>
          <w:rtl/>
        </w:rPr>
        <w:tab/>
        <w:t>وتعاني الشبكات المشيدة لمعالجة مياه المجاري على حدة من مشا</w:t>
      </w:r>
      <w:r>
        <w:rPr>
          <w:rFonts w:hint="cs"/>
          <w:rtl/>
        </w:rPr>
        <w:t xml:space="preserve">كل خطيرة تتعلق بنقلها لكلا النوعين من المياه (مياه الأمطار والمياه المستعملة)، ولا تحظى مسألة الصيانة الوقائية سوى بالقليل من الاهتمام. </w:t>
      </w:r>
    </w:p>
    <w:p w:rsidR="00000000" w:rsidRDefault="00567B15">
      <w:pPr>
        <w:spacing w:line="380" w:lineRule="exact"/>
        <w:jc w:val="both"/>
        <w:rPr>
          <w:rFonts w:hint="cs"/>
          <w:rtl/>
        </w:rPr>
      </w:pPr>
      <w:r>
        <w:rPr>
          <w:rFonts w:hint="cs"/>
          <w:rtl/>
        </w:rPr>
        <w:t>360-</w:t>
      </w:r>
      <w:r>
        <w:rPr>
          <w:rFonts w:hint="cs"/>
          <w:rtl/>
        </w:rPr>
        <w:tab/>
        <w:t>وعلى الصعيد الوطني، تستخدم نسبة 31 في المائة من الأسر المعيشية الحضرية و20 في المائة من الأسر الريفية خزانات التعف</w:t>
      </w:r>
      <w:r>
        <w:rPr>
          <w:rFonts w:hint="cs"/>
          <w:rtl/>
        </w:rPr>
        <w:t>ن للتخلص من الفضلات البشرية.</w:t>
      </w:r>
    </w:p>
    <w:p w:rsidR="00000000" w:rsidRDefault="00567B15">
      <w:pPr>
        <w:spacing w:line="380" w:lineRule="exact"/>
        <w:jc w:val="both"/>
        <w:rPr>
          <w:rFonts w:hint="cs"/>
          <w:i/>
          <w:iCs/>
          <w:rtl/>
        </w:rPr>
      </w:pPr>
      <w:r>
        <w:rPr>
          <w:rFonts w:hint="cs"/>
          <w:i/>
          <w:iCs/>
          <w:rtl/>
        </w:rPr>
        <w:t>أنواع السكن في إكوادور</w:t>
      </w:r>
    </w:p>
    <w:p w:rsidR="00000000" w:rsidRDefault="00567B15">
      <w:pPr>
        <w:jc w:val="center"/>
        <w:rPr>
          <w:b/>
          <w:bCs/>
          <w:rtl/>
        </w:rPr>
      </w:pPr>
      <w:r>
        <w:rPr>
          <w:rFonts w:hint="cs"/>
          <w:b/>
          <w:bCs/>
          <w:rtl/>
        </w:rPr>
        <w:t>وحدات سكن الأفراد المشغولة، بحسب النوع</w:t>
      </w:r>
      <w:r>
        <w:rPr>
          <w:b/>
          <w:bCs/>
          <w:rtl/>
        </w:rPr>
        <w:br/>
      </w:r>
      <w:r>
        <w:rPr>
          <w:rFonts w:hint="cs"/>
          <w:b/>
          <w:bCs/>
          <w:rtl/>
        </w:rPr>
        <w:t>(التعدادات السكانية للأعوام 1982-1990)</w:t>
      </w: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5"/>
        <w:gridCol w:w="1914"/>
        <w:gridCol w:w="1914"/>
        <w:gridCol w:w="1914"/>
        <w:gridCol w:w="1804"/>
      </w:tblGrid>
      <w:tr w:rsidR="00567B15" w:rsidTr="00567B15">
        <w:tblPrEx>
          <w:tblCellMar>
            <w:top w:w="0" w:type="dxa"/>
            <w:bottom w:w="0" w:type="dxa"/>
          </w:tblCellMar>
        </w:tblPrEx>
        <w:trPr>
          <w:cantSplit/>
          <w:trHeight w:val="371"/>
        </w:trPr>
        <w:tc>
          <w:tcPr>
            <w:tcW w:w="1805"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نوع إشغال السكن</w:t>
            </w:r>
          </w:p>
        </w:tc>
        <w:tc>
          <w:tcPr>
            <w:tcW w:w="3828" w:type="dxa"/>
            <w:gridSpan w:val="2"/>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التعداد السكاني لعام 1982</w:t>
            </w:r>
          </w:p>
        </w:tc>
        <w:tc>
          <w:tcPr>
            <w:tcW w:w="3718" w:type="dxa"/>
            <w:gridSpan w:val="2"/>
            <w:tcBorders>
              <w:bottom w:val="single" w:sz="4" w:space="0" w:color="auto"/>
            </w:tcBorders>
          </w:tcPr>
          <w:p w:rsidR="00567B15" w:rsidRDefault="00567B15">
            <w:pPr>
              <w:spacing w:before="0" w:after="0" w:line="340" w:lineRule="exact"/>
              <w:jc w:val="center"/>
              <w:rPr>
                <w:sz w:val="26"/>
                <w:szCs w:val="26"/>
              </w:rPr>
            </w:pPr>
            <w:r>
              <w:rPr>
                <w:rFonts w:hint="cs"/>
                <w:sz w:val="26"/>
                <w:szCs w:val="26"/>
                <w:rtl/>
              </w:rPr>
              <w:t>التعداد السكاني لعام 1990</w:t>
            </w:r>
          </w:p>
        </w:tc>
      </w:tr>
      <w:tr w:rsidR="00567B15" w:rsidTr="00567B15">
        <w:tblPrEx>
          <w:tblCellMar>
            <w:top w:w="0" w:type="dxa"/>
            <w:bottom w:w="0" w:type="dxa"/>
          </w:tblCellMar>
        </w:tblPrEx>
        <w:tc>
          <w:tcPr>
            <w:tcW w:w="1805" w:type="dxa"/>
            <w:tcBorders>
              <w:bottom w:val="single" w:sz="4" w:space="0" w:color="auto"/>
            </w:tcBorders>
          </w:tcPr>
          <w:p w:rsidR="00567B15" w:rsidRDefault="00567B15">
            <w:pPr>
              <w:spacing w:before="0" w:after="0" w:line="340" w:lineRule="exact"/>
              <w:jc w:val="both"/>
              <w:rPr>
                <w:rFonts w:hint="cs"/>
                <w:sz w:val="26"/>
                <w:szCs w:val="26"/>
              </w:rPr>
            </w:pPr>
          </w:p>
        </w:tc>
        <w:tc>
          <w:tcPr>
            <w:tcW w:w="1914"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الوحدات</w:t>
            </w:r>
          </w:p>
        </w:tc>
        <w:tc>
          <w:tcPr>
            <w:tcW w:w="1914"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النسبة المئوية</w:t>
            </w:r>
          </w:p>
        </w:tc>
        <w:tc>
          <w:tcPr>
            <w:tcW w:w="1914"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الوحدات</w:t>
            </w:r>
          </w:p>
        </w:tc>
        <w:tc>
          <w:tcPr>
            <w:tcW w:w="1804" w:type="dxa"/>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النسبة المئوية</w:t>
            </w:r>
          </w:p>
        </w:tc>
      </w:tr>
      <w:tr w:rsidR="00567B15" w:rsidTr="00567B15">
        <w:tblPrEx>
          <w:tblCellMar>
            <w:top w:w="0" w:type="dxa"/>
            <w:bottom w:w="0" w:type="dxa"/>
          </w:tblCellMar>
        </w:tblPrEx>
        <w:tc>
          <w:tcPr>
            <w:tcW w:w="1805" w:type="dxa"/>
            <w:tcBorders>
              <w:top w:val="single" w:sz="4" w:space="0" w:color="auto"/>
              <w:bottom w:val="nil"/>
            </w:tcBorders>
          </w:tcPr>
          <w:p w:rsidR="00567B15" w:rsidRDefault="00567B15">
            <w:pPr>
              <w:spacing w:before="0" w:after="0" w:line="340" w:lineRule="exact"/>
              <w:jc w:val="both"/>
              <w:rPr>
                <w:rFonts w:hint="cs"/>
                <w:sz w:val="26"/>
                <w:szCs w:val="26"/>
              </w:rPr>
            </w:pPr>
            <w:r>
              <w:rPr>
                <w:rFonts w:hint="cs"/>
                <w:sz w:val="26"/>
                <w:szCs w:val="26"/>
                <w:rtl/>
              </w:rPr>
              <w:t>تمليك</w:t>
            </w:r>
          </w:p>
        </w:tc>
        <w:tc>
          <w:tcPr>
            <w:tcW w:w="1914" w:type="dxa"/>
            <w:tcBorders>
              <w:top w:val="single" w:sz="4" w:space="0" w:color="auto"/>
              <w:bottom w:val="nil"/>
            </w:tcBorders>
          </w:tcPr>
          <w:p w:rsidR="00567B15" w:rsidRDefault="00567B15">
            <w:pPr>
              <w:spacing w:before="0" w:after="0" w:line="340" w:lineRule="exact"/>
              <w:jc w:val="both"/>
              <w:rPr>
                <w:rFonts w:hint="cs"/>
                <w:sz w:val="26"/>
                <w:szCs w:val="26"/>
              </w:rPr>
            </w:pPr>
            <w:r>
              <w:rPr>
                <w:rFonts w:hint="cs"/>
                <w:sz w:val="26"/>
                <w:szCs w:val="26"/>
                <w:rtl/>
              </w:rPr>
              <w:t>707 051 1</w:t>
            </w:r>
          </w:p>
        </w:tc>
        <w:tc>
          <w:tcPr>
            <w:tcW w:w="1914" w:type="dxa"/>
            <w:tcBorders>
              <w:top w:val="single" w:sz="4" w:space="0" w:color="auto"/>
              <w:bottom w:val="nil"/>
            </w:tcBorders>
          </w:tcPr>
          <w:p w:rsidR="00567B15" w:rsidRDefault="00567B15">
            <w:pPr>
              <w:spacing w:before="0" w:after="0" w:line="340" w:lineRule="exact"/>
              <w:jc w:val="both"/>
              <w:rPr>
                <w:rFonts w:hint="cs"/>
                <w:sz w:val="26"/>
                <w:szCs w:val="26"/>
              </w:rPr>
            </w:pPr>
            <w:r>
              <w:rPr>
                <w:rFonts w:hint="cs"/>
                <w:sz w:val="26"/>
                <w:szCs w:val="26"/>
                <w:rtl/>
              </w:rPr>
              <w:t>66.7</w:t>
            </w:r>
          </w:p>
        </w:tc>
        <w:tc>
          <w:tcPr>
            <w:tcW w:w="1914" w:type="dxa"/>
            <w:tcBorders>
              <w:top w:val="single" w:sz="4" w:space="0" w:color="auto"/>
              <w:bottom w:val="nil"/>
            </w:tcBorders>
          </w:tcPr>
          <w:p w:rsidR="00567B15" w:rsidRDefault="00567B15">
            <w:pPr>
              <w:spacing w:before="0" w:after="0" w:line="340" w:lineRule="exact"/>
              <w:jc w:val="both"/>
              <w:rPr>
                <w:rFonts w:hint="cs"/>
                <w:sz w:val="26"/>
                <w:szCs w:val="26"/>
              </w:rPr>
            </w:pPr>
            <w:r>
              <w:rPr>
                <w:rFonts w:hint="cs"/>
                <w:sz w:val="26"/>
                <w:szCs w:val="26"/>
                <w:rtl/>
              </w:rPr>
              <w:t>045 367 1</w:t>
            </w:r>
          </w:p>
        </w:tc>
        <w:tc>
          <w:tcPr>
            <w:tcW w:w="1804" w:type="dxa"/>
            <w:tcBorders>
              <w:top w:val="single" w:sz="4" w:space="0" w:color="auto"/>
              <w:bottom w:val="nil"/>
            </w:tcBorders>
          </w:tcPr>
          <w:p w:rsidR="00567B15" w:rsidRDefault="00567B15">
            <w:pPr>
              <w:spacing w:before="0" w:after="0" w:line="340" w:lineRule="exact"/>
              <w:jc w:val="both"/>
              <w:rPr>
                <w:rFonts w:hint="cs"/>
                <w:sz w:val="26"/>
                <w:szCs w:val="26"/>
              </w:rPr>
            </w:pPr>
            <w:r>
              <w:rPr>
                <w:rFonts w:hint="cs"/>
                <w:sz w:val="26"/>
                <w:szCs w:val="26"/>
                <w:rtl/>
              </w:rPr>
              <w:t>68.1</w:t>
            </w:r>
          </w:p>
        </w:tc>
      </w:tr>
      <w:tr w:rsidR="00567B15" w:rsidTr="00567B15">
        <w:tblPrEx>
          <w:tblCellMar>
            <w:top w:w="0" w:type="dxa"/>
            <w:bottom w:w="0" w:type="dxa"/>
          </w:tblCellMar>
        </w:tblPrEx>
        <w:tc>
          <w:tcPr>
            <w:tcW w:w="1805"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ايجار</w:t>
            </w:r>
          </w:p>
        </w:tc>
        <w:tc>
          <w:tcPr>
            <w:tcW w:w="1914"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444 360</w:t>
            </w:r>
          </w:p>
        </w:tc>
        <w:tc>
          <w:tcPr>
            <w:tcW w:w="1914"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22.9</w:t>
            </w:r>
          </w:p>
        </w:tc>
        <w:tc>
          <w:tcPr>
            <w:tcW w:w="1914"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782 454</w:t>
            </w:r>
          </w:p>
        </w:tc>
        <w:tc>
          <w:tcPr>
            <w:tcW w:w="1804"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22.6</w:t>
            </w:r>
          </w:p>
        </w:tc>
      </w:tr>
      <w:tr w:rsidR="00567B15" w:rsidTr="00567B15">
        <w:tblPrEx>
          <w:tblCellMar>
            <w:top w:w="0" w:type="dxa"/>
            <w:bottom w:w="0" w:type="dxa"/>
          </w:tblCellMar>
        </w:tblPrEx>
        <w:tc>
          <w:tcPr>
            <w:tcW w:w="1805"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حر</w:t>
            </w:r>
          </w:p>
        </w:tc>
        <w:tc>
          <w:tcPr>
            <w:tcW w:w="191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547 94</w:t>
            </w:r>
          </w:p>
        </w:tc>
        <w:tc>
          <w:tcPr>
            <w:tcW w:w="191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6.0</w:t>
            </w:r>
          </w:p>
        </w:tc>
        <w:tc>
          <w:tcPr>
            <w:tcW w:w="191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116 110</w:t>
            </w:r>
          </w:p>
        </w:tc>
        <w:tc>
          <w:tcPr>
            <w:tcW w:w="180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5.5</w:t>
            </w:r>
          </w:p>
        </w:tc>
      </w:tr>
      <w:tr w:rsidR="00567B15" w:rsidTr="00567B15">
        <w:tblPrEx>
          <w:tblCellMar>
            <w:top w:w="0" w:type="dxa"/>
            <w:bottom w:w="0" w:type="dxa"/>
          </w:tblCellMar>
        </w:tblPrEx>
        <w:tc>
          <w:tcPr>
            <w:tcW w:w="1805" w:type="dxa"/>
            <w:tcBorders>
              <w:top w:val="nil"/>
              <w:bottom w:val="nil"/>
            </w:tcBorders>
          </w:tcPr>
          <w:p w:rsidR="00567B15" w:rsidRDefault="00567B15">
            <w:pPr>
              <w:spacing w:before="0" w:after="0" w:line="340" w:lineRule="exact"/>
              <w:jc w:val="both"/>
              <w:rPr>
                <w:rFonts w:hint="cs"/>
                <w:sz w:val="26"/>
                <w:szCs w:val="26"/>
              </w:rPr>
            </w:pPr>
            <w:r>
              <w:rPr>
                <w:rFonts w:hint="cs"/>
                <w:sz w:val="26"/>
                <w:szCs w:val="26"/>
                <w:rtl/>
              </w:rPr>
              <w:t>للخدمات</w:t>
            </w:r>
          </w:p>
        </w:tc>
        <w:tc>
          <w:tcPr>
            <w:tcW w:w="191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988 58</w:t>
            </w:r>
          </w:p>
        </w:tc>
        <w:tc>
          <w:tcPr>
            <w:tcW w:w="191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3.7</w:t>
            </w:r>
          </w:p>
        </w:tc>
        <w:tc>
          <w:tcPr>
            <w:tcW w:w="191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306 66</w:t>
            </w:r>
          </w:p>
        </w:tc>
        <w:tc>
          <w:tcPr>
            <w:tcW w:w="1804"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3.3</w:t>
            </w:r>
          </w:p>
        </w:tc>
      </w:tr>
      <w:tr w:rsidR="00567B15" w:rsidTr="00567B15">
        <w:tblPrEx>
          <w:tblCellMar>
            <w:top w:w="0" w:type="dxa"/>
            <w:bottom w:w="0" w:type="dxa"/>
          </w:tblCellMar>
        </w:tblPrEx>
        <w:tc>
          <w:tcPr>
            <w:tcW w:w="1805" w:type="dxa"/>
            <w:tcBorders>
              <w:top w:val="nil"/>
              <w:bottom w:val="single" w:sz="4" w:space="0" w:color="auto"/>
            </w:tcBorders>
          </w:tcPr>
          <w:p w:rsidR="00567B15" w:rsidRDefault="00567B15">
            <w:pPr>
              <w:spacing w:before="0" w:after="0" w:line="340" w:lineRule="exact"/>
              <w:jc w:val="both"/>
              <w:rPr>
                <w:rFonts w:hint="cs"/>
                <w:sz w:val="26"/>
                <w:szCs w:val="26"/>
              </w:rPr>
            </w:pPr>
            <w:r>
              <w:rPr>
                <w:rFonts w:hint="cs"/>
                <w:sz w:val="26"/>
                <w:szCs w:val="26"/>
                <w:rtl/>
              </w:rPr>
              <w:t>غير ذلك</w:t>
            </w:r>
          </w:p>
        </w:tc>
        <w:tc>
          <w:tcPr>
            <w:tcW w:w="1914" w:type="dxa"/>
            <w:tcBorders>
              <w:top w:val="nil"/>
              <w:bottom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755 10</w:t>
            </w:r>
          </w:p>
        </w:tc>
        <w:tc>
          <w:tcPr>
            <w:tcW w:w="1914" w:type="dxa"/>
            <w:tcBorders>
              <w:top w:val="nil"/>
              <w:bottom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0.7</w:t>
            </w:r>
          </w:p>
        </w:tc>
        <w:tc>
          <w:tcPr>
            <w:tcW w:w="1914" w:type="dxa"/>
            <w:tcBorders>
              <w:top w:val="nil"/>
              <w:bottom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406 10</w:t>
            </w:r>
          </w:p>
        </w:tc>
        <w:tc>
          <w:tcPr>
            <w:tcW w:w="1804" w:type="dxa"/>
            <w:tcBorders>
              <w:top w:val="nil"/>
              <w:bottom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0.5</w:t>
            </w:r>
          </w:p>
        </w:tc>
      </w:tr>
      <w:tr w:rsidR="00567B15" w:rsidTr="00567B15">
        <w:tblPrEx>
          <w:tblCellMar>
            <w:top w:w="0" w:type="dxa"/>
            <w:bottom w:w="0" w:type="dxa"/>
          </w:tblCellMar>
        </w:tblPrEx>
        <w:trPr>
          <w:trHeight w:val="371"/>
        </w:trPr>
        <w:tc>
          <w:tcPr>
            <w:tcW w:w="1805" w:type="dxa"/>
            <w:tcBorders>
              <w:top w:val="single" w:sz="4" w:space="0" w:color="auto"/>
            </w:tcBorders>
          </w:tcPr>
          <w:p w:rsidR="00567B15" w:rsidRDefault="00567B15">
            <w:pPr>
              <w:spacing w:before="0" w:after="0" w:line="340" w:lineRule="exact"/>
              <w:jc w:val="both"/>
              <w:rPr>
                <w:sz w:val="26"/>
                <w:szCs w:val="26"/>
              </w:rPr>
            </w:pPr>
            <w:r>
              <w:rPr>
                <w:sz w:val="26"/>
                <w:szCs w:val="26"/>
                <w:rtl/>
              </w:rPr>
              <w:tab/>
              <w:t>المجموع</w:t>
            </w:r>
          </w:p>
        </w:tc>
        <w:tc>
          <w:tcPr>
            <w:tcW w:w="1914" w:type="dxa"/>
            <w:tcBorders>
              <w:top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441 576 1</w:t>
            </w:r>
          </w:p>
        </w:tc>
        <w:tc>
          <w:tcPr>
            <w:tcW w:w="1914" w:type="dxa"/>
            <w:tcBorders>
              <w:top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100.0</w:t>
            </w:r>
          </w:p>
        </w:tc>
        <w:tc>
          <w:tcPr>
            <w:tcW w:w="1914" w:type="dxa"/>
            <w:tcBorders>
              <w:top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655 008 2</w:t>
            </w:r>
          </w:p>
        </w:tc>
        <w:tc>
          <w:tcPr>
            <w:tcW w:w="1804" w:type="dxa"/>
            <w:tcBorders>
              <w:top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100.0</w:t>
            </w:r>
          </w:p>
        </w:tc>
      </w:tr>
    </w:tbl>
    <w:p w:rsidR="00000000" w:rsidRDefault="00567B15">
      <w:pPr>
        <w:jc w:val="both"/>
        <w:rPr>
          <w:rFonts w:hint="cs"/>
          <w:rtl/>
        </w:rPr>
      </w:pPr>
      <w:r>
        <w:rPr>
          <w:rFonts w:hint="cs"/>
          <w:sz w:val="26"/>
          <w:szCs w:val="26"/>
          <w:rtl/>
        </w:rPr>
        <w:tab/>
      </w:r>
      <w:r>
        <w:rPr>
          <w:rFonts w:hint="cs"/>
          <w:sz w:val="26"/>
          <w:szCs w:val="26"/>
          <w:u w:val="single"/>
          <w:rtl/>
        </w:rPr>
        <w:t>المصدر</w:t>
      </w:r>
      <w:r>
        <w:rPr>
          <w:rFonts w:hint="cs"/>
          <w:sz w:val="26"/>
          <w:szCs w:val="26"/>
          <w:rtl/>
        </w:rPr>
        <w:t>: المعهد الوطني للإحصائيات وتعداد السكان التابع لوزارة ال</w:t>
      </w:r>
      <w:r>
        <w:rPr>
          <w:rFonts w:hint="cs"/>
          <w:sz w:val="26"/>
          <w:szCs w:val="26"/>
          <w:rtl/>
        </w:rPr>
        <w:t>إسكان والتنمية الحض</w:t>
      </w:r>
      <w:r>
        <w:rPr>
          <w:rFonts w:hint="cs"/>
          <w:rtl/>
        </w:rPr>
        <w:t>رية.</w:t>
      </w:r>
    </w:p>
    <w:p w:rsidR="00000000" w:rsidRDefault="00567B15">
      <w:pPr>
        <w:spacing w:line="380" w:lineRule="exact"/>
        <w:jc w:val="both"/>
        <w:rPr>
          <w:rFonts w:hint="cs"/>
          <w:i/>
          <w:iCs/>
          <w:rtl/>
        </w:rPr>
      </w:pPr>
      <w:r>
        <w:rPr>
          <w:rFonts w:hint="cs"/>
          <w:i/>
          <w:iCs/>
          <w:rtl/>
        </w:rPr>
        <w:t>ضمانات الحق في المسكن</w:t>
      </w:r>
    </w:p>
    <w:p w:rsidR="00000000" w:rsidRDefault="00567B15">
      <w:pPr>
        <w:spacing w:line="380" w:lineRule="exact"/>
        <w:jc w:val="both"/>
        <w:rPr>
          <w:rFonts w:hint="cs"/>
          <w:spacing w:val="2"/>
          <w:rtl/>
        </w:rPr>
      </w:pPr>
      <w:r>
        <w:rPr>
          <w:rFonts w:hint="cs"/>
          <w:spacing w:val="2"/>
          <w:rtl/>
        </w:rPr>
        <w:t>361-</w:t>
      </w:r>
      <w:r>
        <w:rPr>
          <w:rFonts w:hint="cs"/>
          <w:spacing w:val="2"/>
          <w:rtl/>
        </w:rPr>
        <w:tab/>
        <w:t>تنص الفقرة 20 من المادة 23 من الفصل الثاني (الحقوق المدنية) من الباب الثالث من الدستور على أن "الحق في نوعية حياة يكفل الصحة والغذاء والتغذية ومياه الشرب والمرافق الصحية والتعليم والعمل والاستخدام والاستجم</w:t>
      </w:r>
      <w:r>
        <w:rPr>
          <w:rFonts w:hint="cs"/>
          <w:spacing w:val="2"/>
          <w:rtl/>
        </w:rPr>
        <w:t>ام والمسكن والملبس وغير ذلك من الخدمات الاجتماعية الضرورية" أمر يتعين على الدولة أن تعترف به وتضمنه. ويضم الفصل الرابع من الدستور (الحقوق الاقتصادية والاجتماعية والثقافية) المادة 32 التي تنص على ما يلي: "يجوز للبلديات، في سبيل إنفاذ الحق في المسكن وحماية ا</w:t>
      </w:r>
      <w:r>
        <w:rPr>
          <w:rFonts w:hint="cs"/>
          <w:spacing w:val="2"/>
          <w:rtl/>
        </w:rPr>
        <w:t>لبيئة، نزع ملكية مناطق معينة والاحتفاظ بها وإبقائها تحت الإشراف من أجل تطويرها في المستقبل، وذلك وفقاً للقانون. ويتعين على الدولة أن تعزز برامج الإسكان الاجتماعي".</w:t>
      </w:r>
    </w:p>
    <w:p w:rsidR="00000000" w:rsidRDefault="00567B15">
      <w:pPr>
        <w:spacing w:line="380" w:lineRule="exact"/>
        <w:jc w:val="both"/>
        <w:rPr>
          <w:rFonts w:hint="cs"/>
          <w:spacing w:val="-2"/>
          <w:rtl/>
        </w:rPr>
      </w:pPr>
      <w:r>
        <w:rPr>
          <w:rFonts w:hint="cs"/>
          <w:rtl/>
        </w:rPr>
        <w:t>362</w:t>
      </w:r>
      <w:r>
        <w:rPr>
          <w:rFonts w:hint="cs"/>
          <w:spacing w:val="-2"/>
          <w:rtl/>
        </w:rPr>
        <w:t>-</w:t>
      </w:r>
      <w:r>
        <w:rPr>
          <w:rFonts w:hint="cs"/>
          <w:spacing w:val="-2"/>
          <w:rtl/>
        </w:rPr>
        <w:tab/>
        <w:t xml:space="preserve">وفي الفترة بين عام 1990 ووقت تدوين هذه الوثيقة، اعتمدت الإجراءات واللوائح التالية فيما </w:t>
      </w:r>
      <w:r>
        <w:rPr>
          <w:rFonts w:hint="cs"/>
          <w:spacing w:val="-2"/>
          <w:rtl/>
        </w:rPr>
        <w:t xml:space="preserve">يتعلق بنظام الإسكان: قانون التعاقد على المشاريع الاجتماعية، القانون رقم 2، العدد 289 من الجريدة الرسمية المؤرخ 4 تشرين الأول/أكتوبر 1993؛ ولائحة التعاقد على المشاريع الاجتماعية، الجريدة الرسمية، الملحق رقم 12 المؤرخ 31 كانون الثاني/يناير 1997، للعدد 72 من </w:t>
      </w:r>
      <w:r>
        <w:rPr>
          <w:rFonts w:hint="cs"/>
          <w:spacing w:val="-2"/>
          <w:rtl/>
        </w:rPr>
        <w:t>الجريدة الرسمية المؤرخ 23 تشرين الثاني/نوفمبر 1998؛ والأنظمة الداخلية للتعاقد على المشاريع الاجتماعية، العدد 108 من الجريدة الرسمية المؤرخ 15 تموز/يوليه 1997؛ والمرسوم التشريعي رقم 1269 الذي يقر نظام حوافز الإسكان، الجريدة الرسمية، الملحق رقم 287 المؤرخ 31</w:t>
      </w:r>
      <w:r>
        <w:rPr>
          <w:rFonts w:hint="cs"/>
          <w:spacing w:val="-2"/>
          <w:rtl/>
        </w:rPr>
        <w:t xml:space="preserve"> آذار/مارس 1998: مرسوم الإصلاح، الجريدة الرسمية، الملحق رقم 352 المؤرخ 2 تموز/يوليه 1998؛ واللائحة التي حلت محل لائحة نظام حوافز الإسكان الحضري الجديد، العدد 229 من الجريدة الرسمية المؤرخ 8 تموز/يوليه 1999؛ واللائحة التي تحل محل لائحة نظام حوافز ترميم المس</w:t>
      </w:r>
      <w:r>
        <w:rPr>
          <w:rFonts w:hint="cs"/>
          <w:spacing w:val="-2"/>
          <w:rtl/>
        </w:rPr>
        <w:t>اكن الحضرية، العدد 229 من الجريدة الرسمية المؤرخ 8 تموز/يوليه 1999؛ ولائحة نظام حوافز الإسكان في المراكز التاريخية، العدد 229 من الجريدة الرسمية المؤرخ 8 تموز/يوليه 1999؛ والاتفاق الوزاري رقم 30 - القسيمة التعويضية، العدد 235 من الجريدة الرسمية المؤرخ 16 ت</w:t>
      </w:r>
      <w:r>
        <w:rPr>
          <w:rFonts w:hint="cs"/>
          <w:spacing w:val="-2"/>
          <w:rtl/>
        </w:rPr>
        <w:t>موز/يوليه 1999.</w:t>
      </w:r>
    </w:p>
    <w:p w:rsidR="00000000" w:rsidRDefault="00567B15">
      <w:pPr>
        <w:spacing w:line="380" w:lineRule="exact"/>
        <w:jc w:val="both"/>
        <w:rPr>
          <w:rFonts w:hint="cs"/>
          <w:rtl/>
        </w:rPr>
      </w:pPr>
      <w:r>
        <w:rPr>
          <w:rFonts w:hint="cs"/>
          <w:rtl/>
        </w:rPr>
        <w:t>363-</w:t>
      </w:r>
      <w:r>
        <w:rPr>
          <w:rFonts w:hint="cs"/>
          <w:rtl/>
        </w:rPr>
        <w:tab/>
        <w:t>وبالإضافة إلى ذلك، وزيادة على معايير اتفاقات الائتمانات الدولية ووزارة الإسكان التي تشجع مشاركة النظام المالي الخاص وشركات البناء الخاصة، تقوم كل بلدية، في نطاق اختصاصها، بإصدار قوانين بشأن المعايير المتعلقة بالإنشاءات وبرامج الإسكان ا</w:t>
      </w:r>
      <w:r>
        <w:rPr>
          <w:rFonts w:hint="cs"/>
          <w:rtl/>
        </w:rPr>
        <w:t>لاجتماعي والتطورات السكنية التدريجية وتقسيم الأراضي إلى قطع أصغر وإعادة توزيع المناطق والجوانب المعمارية. وبالطبع، يجب أن تكون كافة هذه المعايير متفقة مع الأحكام والسياسات والمبادئ التوجيهية التي تطبقها حكومة إكوادور حالياً.</w:t>
      </w:r>
    </w:p>
    <w:p w:rsidR="00000000" w:rsidRDefault="00567B15">
      <w:pPr>
        <w:spacing w:line="380" w:lineRule="exact"/>
        <w:jc w:val="both"/>
        <w:rPr>
          <w:rFonts w:hint="cs"/>
          <w:rtl/>
        </w:rPr>
      </w:pPr>
      <w:r>
        <w:rPr>
          <w:rFonts w:hint="cs"/>
          <w:rtl/>
        </w:rPr>
        <w:t>364-</w:t>
      </w:r>
      <w:r>
        <w:rPr>
          <w:rFonts w:hint="cs"/>
          <w:rtl/>
        </w:rPr>
        <w:tab/>
        <w:t>وتشمل المادة 5 (بشأن الوحد</w:t>
      </w:r>
      <w:r>
        <w:rPr>
          <w:rFonts w:hint="cs"/>
          <w:rtl/>
        </w:rPr>
        <w:t>ة الأسرية) من اللائحة التي تحل محل نظام الحوافز المقدمة للإسكان الحضري الجديد وترميم الإسكان الحضري، والتي نشرت في العدد 229 من الجريدة الرسمية المؤرخ 8 تموز/يوليه 1999، العلاج المخصص لكبار السن والمعوقين. ويعتبر هؤلاء أعضاء في الوحدة الأسرية ويحسب لهم حسا</w:t>
      </w:r>
      <w:r>
        <w:rPr>
          <w:rFonts w:hint="cs"/>
          <w:rtl/>
        </w:rPr>
        <w:t>ب عند تقديمهم لطلبات للحصول على حوافز، وفقاً للفقرة 8 من نظام التقييم والمادتين 29 و30 بشأن الإسكان الحضري والجديد، والفقرة 7 من نظام التقييم والمادتين 23 و24 بشأن ترميم الإسكان الحضري.</w:t>
      </w:r>
    </w:p>
    <w:p w:rsidR="00000000" w:rsidRDefault="00567B15">
      <w:pPr>
        <w:spacing w:line="380" w:lineRule="exact"/>
        <w:jc w:val="both"/>
        <w:rPr>
          <w:rFonts w:hint="cs"/>
          <w:rtl/>
        </w:rPr>
      </w:pPr>
      <w:r>
        <w:rPr>
          <w:rFonts w:hint="cs"/>
          <w:rtl/>
        </w:rPr>
        <w:t>365-</w:t>
      </w:r>
      <w:r>
        <w:rPr>
          <w:rFonts w:hint="cs"/>
          <w:rtl/>
        </w:rPr>
        <w:tab/>
        <w:t>ولا تتوافر إحصاءات عن افتقار المعوقين من السكان إلى السكن في المن</w:t>
      </w:r>
      <w:r>
        <w:rPr>
          <w:rFonts w:hint="cs"/>
          <w:rtl/>
        </w:rPr>
        <w:t>اطق الحضرية والريفية. على أنه تجدر الإشارة إلى أن مصرف الإسكان الإكوادوري منح، في عام 1998، قروضاً تفضيلية ل‍97 شخصاً من المعوقين، حيث بلغت قيمتها الإجمالية 000 900 341 3 سوكر، وهي كما يلي</w:t>
      </w:r>
      <w:r>
        <w:rPr>
          <w:rFonts w:hint="cs"/>
          <w:vertAlign w:val="superscript"/>
          <w:rtl/>
        </w:rPr>
        <w:t>(47)</w:t>
      </w:r>
      <w:r>
        <w:rPr>
          <w:rFonts w:hint="cs"/>
          <w:rtl/>
        </w:rPr>
        <w:t>:</w:t>
      </w:r>
    </w:p>
    <w:tbl>
      <w:tblPr>
        <w:bidiVisual/>
        <w:tblW w:w="0" w:type="auto"/>
        <w:jc w:val="center"/>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3"/>
        <w:gridCol w:w="2719"/>
      </w:tblGrid>
      <w:tr w:rsidR="00567B15" w:rsidTr="00567B15">
        <w:tblPrEx>
          <w:tblCellMar>
            <w:top w:w="0" w:type="dxa"/>
            <w:bottom w:w="0" w:type="dxa"/>
          </w:tblCellMar>
        </w:tblPrEx>
        <w:trPr>
          <w:trHeight w:val="385"/>
          <w:jc w:val="center"/>
        </w:trPr>
        <w:tc>
          <w:tcPr>
            <w:tcW w:w="3243" w:type="dxa"/>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فرع مصرف الإسكان الإكوادوري</w:t>
            </w:r>
          </w:p>
        </w:tc>
        <w:tc>
          <w:tcPr>
            <w:tcW w:w="2719" w:type="dxa"/>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عدد القروض</w:t>
            </w:r>
          </w:p>
        </w:tc>
      </w:tr>
      <w:tr w:rsidR="00567B15" w:rsidTr="00567B15">
        <w:tblPrEx>
          <w:tblCellMar>
            <w:top w:w="0" w:type="dxa"/>
            <w:bottom w:w="0" w:type="dxa"/>
          </w:tblCellMar>
        </w:tblPrEx>
        <w:trPr>
          <w:jc w:val="center"/>
        </w:trPr>
        <w:tc>
          <w:tcPr>
            <w:tcW w:w="3243"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كالسيتا</w:t>
            </w:r>
          </w:p>
        </w:tc>
        <w:tc>
          <w:tcPr>
            <w:tcW w:w="2719" w:type="dxa"/>
            <w:tcBorders>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15</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تشونه</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25</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كوينكا</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3</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غواراندا</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7</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ماخالا</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4</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مانتا</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2</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بورتوفييخو</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3</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كينيندا</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25</w:t>
            </w:r>
          </w:p>
        </w:tc>
      </w:tr>
      <w:tr w:rsidR="00567B15" w:rsidTr="00567B15">
        <w:tblPrEx>
          <w:tblCellMar>
            <w:top w:w="0" w:type="dxa"/>
            <w:bottom w:w="0" w:type="dxa"/>
          </w:tblCellMar>
        </w:tblPrEx>
        <w:trPr>
          <w:jc w:val="center"/>
        </w:trPr>
        <w:tc>
          <w:tcPr>
            <w:tcW w:w="3243"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كيتو</w:t>
            </w:r>
          </w:p>
        </w:tc>
        <w:tc>
          <w:tcPr>
            <w:tcW w:w="2719"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8</w:t>
            </w:r>
          </w:p>
        </w:tc>
      </w:tr>
      <w:tr w:rsidR="00567B15" w:rsidTr="00567B15">
        <w:tblPrEx>
          <w:tblCellMar>
            <w:top w:w="0" w:type="dxa"/>
            <w:bottom w:w="0" w:type="dxa"/>
          </w:tblCellMar>
        </w:tblPrEx>
        <w:trPr>
          <w:jc w:val="center"/>
        </w:trPr>
        <w:tc>
          <w:tcPr>
            <w:tcW w:w="3243" w:type="dxa"/>
            <w:tcBorders>
              <w:top w:val="nil"/>
            </w:tcBorders>
          </w:tcPr>
          <w:p w:rsidR="00567B15" w:rsidRDefault="00567B15">
            <w:pPr>
              <w:spacing w:before="0" w:after="0" w:line="340" w:lineRule="exact"/>
              <w:jc w:val="both"/>
              <w:rPr>
                <w:rFonts w:hint="cs"/>
                <w:sz w:val="26"/>
                <w:szCs w:val="26"/>
                <w:rtl/>
              </w:rPr>
            </w:pPr>
            <w:r>
              <w:rPr>
                <w:rFonts w:hint="cs"/>
                <w:sz w:val="26"/>
                <w:szCs w:val="26"/>
                <w:rtl/>
              </w:rPr>
              <w:t>سانتو دومينغو</w:t>
            </w:r>
          </w:p>
        </w:tc>
        <w:tc>
          <w:tcPr>
            <w:tcW w:w="2719" w:type="dxa"/>
            <w:tcBorders>
              <w:top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5</w:t>
            </w:r>
          </w:p>
        </w:tc>
      </w:tr>
      <w:tr w:rsidR="00567B15" w:rsidTr="00567B15">
        <w:tblPrEx>
          <w:tblCellMar>
            <w:top w:w="0" w:type="dxa"/>
            <w:bottom w:w="0" w:type="dxa"/>
          </w:tblCellMar>
        </w:tblPrEx>
        <w:trPr>
          <w:jc w:val="center"/>
        </w:trPr>
        <w:tc>
          <w:tcPr>
            <w:tcW w:w="3243" w:type="dxa"/>
          </w:tcPr>
          <w:p w:rsidR="00567B15" w:rsidRDefault="00567B15">
            <w:pPr>
              <w:spacing w:before="0" w:after="0" w:line="340" w:lineRule="exact"/>
              <w:jc w:val="both"/>
              <w:rPr>
                <w:sz w:val="26"/>
                <w:szCs w:val="26"/>
                <w:rtl/>
              </w:rPr>
            </w:pPr>
            <w:r>
              <w:rPr>
                <w:sz w:val="26"/>
                <w:szCs w:val="26"/>
                <w:rtl/>
              </w:rPr>
              <w:tab/>
              <w:t>المجموع</w:t>
            </w:r>
          </w:p>
        </w:tc>
        <w:tc>
          <w:tcPr>
            <w:tcW w:w="2719" w:type="dxa"/>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97</w:t>
            </w:r>
          </w:p>
        </w:tc>
      </w:tr>
    </w:tbl>
    <w:p w:rsidR="00000000" w:rsidRDefault="00567B15">
      <w:pPr>
        <w:jc w:val="both"/>
        <w:rPr>
          <w:rFonts w:hint="cs"/>
          <w:rtl/>
        </w:rPr>
      </w:pPr>
      <w:r>
        <w:rPr>
          <w:rFonts w:hint="cs"/>
          <w:rtl/>
        </w:rPr>
        <w:tab/>
      </w:r>
      <w:r>
        <w:rPr>
          <w:rFonts w:hint="cs"/>
          <w:rtl/>
        </w:rPr>
        <w:tab/>
      </w:r>
      <w:r>
        <w:rPr>
          <w:rFonts w:hint="cs"/>
          <w:rtl/>
        </w:rPr>
        <w:tab/>
      </w:r>
      <w:r>
        <w:rPr>
          <w:rFonts w:hint="cs"/>
          <w:u w:val="single"/>
          <w:rtl/>
        </w:rPr>
        <w:t>المصدر</w:t>
      </w:r>
      <w:r>
        <w:rPr>
          <w:rFonts w:hint="cs"/>
          <w:rtl/>
        </w:rPr>
        <w:t>: المجلس الوطني للدمج الاجتماعي للمعوقين.</w:t>
      </w:r>
    </w:p>
    <w:p w:rsidR="00000000" w:rsidRDefault="00567B15">
      <w:pPr>
        <w:spacing w:line="380" w:lineRule="exact"/>
        <w:jc w:val="both"/>
        <w:rPr>
          <w:rFonts w:hint="cs"/>
          <w:rtl/>
        </w:rPr>
      </w:pPr>
      <w:r>
        <w:rPr>
          <w:rFonts w:hint="cs"/>
          <w:rtl/>
        </w:rPr>
        <w:t>366-</w:t>
      </w:r>
      <w:r>
        <w:rPr>
          <w:rFonts w:hint="cs"/>
          <w:rtl/>
        </w:rPr>
        <w:tab/>
        <w:t>وينوي المعهد الوطني للإحصائيات وتعداد السكان إجراء تعداد زراعي في الفترة بين تشرين الأول/أكتوبر</w:t>
      </w:r>
      <w:r>
        <w:rPr>
          <w:rFonts w:hint="cs"/>
          <w:rtl/>
        </w:rPr>
        <w:t xml:space="preserve"> وكانون الأول/ديسمبر 2000. ويهدف هذا التعداد إلى إيجاد معلومات عن مسائل من قبيل ملكية الأراضي واستخدام الأراضي والإنتاج الزراعي وعدد المواشي والموظفين المشتغلين في هذه المسائل، إلى جانب معلومات عن الطاقة والآليات المستخدمة في هذا المجال. ويُزمع إجراء التعد</w:t>
      </w:r>
      <w:r>
        <w:rPr>
          <w:rFonts w:hint="cs"/>
          <w:rtl/>
        </w:rPr>
        <w:t>اد السكاني السادس وتعداد الإسكان الخامس في عام 2001. وسيوفر هذان التعدادان معلومات مثل خصائص السكان التعليمية والاقتصادية وبيانات عن الخصوبة والوفيات والخدمات الأساسية المتوافرة وغير ذلك من المعلومات.</w:t>
      </w:r>
    </w:p>
    <w:p w:rsidR="00000000" w:rsidRDefault="00567B15">
      <w:pPr>
        <w:spacing w:line="380" w:lineRule="exact"/>
        <w:jc w:val="both"/>
        <w:rPr>
          <w:rFonts w:hint="cs"/>
          <w:rtl/>
        </w:rPr>
      </w:pPr>
      <w:r>
        <w:rPr>
          <w:rFonts w:hint="cs"/>
          <w:i/>
          <w:iCs/>
          <w:rtl/>
        </w:rPr>
        <w:t>سياسات تطوير الإسكان</w:t>
      </w:r>
    </w:p>
    <w:p w:rsidR="00000000" w:rsidRDefault="00567B15">
      <w:pPr>
        <w:spacing w:line="380" w:lineRule="exact"/>
        <w:jc w:val="both"/>
        <w:rPr>
          <w:rFonts w:hint="cs"/>
          <w:rtl/>
        </w:rPr>
      </w:pPr>
      <w:r>
        <w:rPr>
          <w:rFonts w:hint="cs"/>
          <w:rtl/>
        </w:rPr>
        <w:t>367-</w:t>
      </w:r>
      <w:r>
        <w:rPr>
          <w:rFonts w:hint="cs"/>
          <w:rtl/>
        </w:rPr>
        <w:tab/>
        <w:t>في نهاية مدة ولاية الرئيس سيك</w:t>
      </w:r>
      <w:r>
        <w:rPr>
          <w:rFonts w:hint="cs"/>
          <w:rtl/>
        </w:rPr>
        <w:t>ستو دوران بالين في عام 1996، اعتمدت سياسة إسكان في إكوادور وأنشئ نظام حوافز الإسكان. وصمد هذا النظام، على الرغم من عدم الاستقرار السياسي الذي عانت منه البلاد (حيث تولاها خمسة رؤساء في أقل من أربع سنوات). وقامت الدولة، بموجب نموذج الإسكان السابق، بتنفيذ وبن</w:t>
      </w:r>
      <w:r>
        <w:rPr>
          <w:rFonts w:hint="cs"/>
          <w:rtl/>
        </w:rPr>
        <w:t xml:space="preserve">اء مشاريع إسكان ضخمة، دون توفير سبيل مباشر لتقديم العطاءات، ووجود نظام توزيع كان عرضة للفساد في أحيان كثيرة. وأصبحت الدولة الآن، من خلال وزارة الإسكان، جهة تيسر منح القروض ومصرفاً من الدرجة الثانية، يوفر التمويل للجهات التي تتولى التشييد والمؤسسات المالية </w:t>
      </w:r>
      <w:r>
        <w:rPr>
          <w:rFonts w:hint="cs"/>
          <w:rtl/>
        </w:rPr>
        <w:t>ويضمن تمويل النظام ككل على نحو مستدام مالياً عن طريق إيجاد سوق للرهونات العقارية.</w:t>
      </w:r>
    </w:p>
    <w:p w:rsidR="00000000" w:rsidRDefault="00567B15">
      <w:pPr>
        <w:spacing w:line="380" w:lineRule="exact"/>
        <w:jc w:val="both"/>
        <w:rPr>
          <w:rFonts w:hint="cs"/>
          <w:rtl/>
        </w:rPr>
      </w:pPr>
      <w:r>
        <w:rPr>
          <w:rFonts w:hint="cs"/>
          <w:rtl/>
        </w:rPr>
        <w:t>368-</w:t>
      </w:r>
      <w:r>
        <w:rPr>
          <w:rFonts w:hint="cs"/>
          <w:rtl/>
        </w:rPr>
        <w:tab/>
        <w:t>وفي ظل نظام الإسكان الجديد، تقدم المعونات المالية إلى أكثر قطاعات السكان فقراً. ويستجيب النظام للطلبات ويشجع القطاع الخاص على توفير السكن وتمويل المشاريع، بحوافز اقتصادي</w:t>
      </w:r>
      <w:r>
        <w:rPr>
          <w:rFonts w:hint="cs"/>
          <w:rtl/>
        </w:rPr>
        <w:t>ة ممولة من الدولة تقدم عن طريق الوزارة إلى الأسر ذات الدخل المنخفض من أجل شراء مسكن أو بنائه. وتقدم هذه المنحة السكنية مرة واحدة فقط، وهي غير قابلة للاسترداد. وتتناسب قيمة الحوافز تناسباً عكسياً مع تكلفة السكن، أي كلما انخفضت تكلفة السكن، قدم المزيد من الح</w:t>
      </w:r>
      <w:r>
        <w:rPr>
          <w:rFonts w:hint="cs"/>
          <w:rtl/>
        </w:rPr>
        <w:t>وافز.</w:t>
      </w:r>
    </w:p>
    <w:p w:rsidR="00000000" w:rsidRDefault="00567B15">
      <w:pPr>
        <w:spacing w:line="380" w:lineRule="exact"/>
        <w:jc w:val="both"/>
        <w:rPr>
          <w:rFonts w:hint="cs"/>
          <w:rtl/>
        </w:rPr>
      </w:pPr>
      <w:r>
        <w:rPr>
          <w:rFonts w:hint="cs"/>
          <w:rtl/>
        </w:rPr>
        <w:t>369-</w:t>
      </w:r>
      <w:r>
        <w:rPr>
          <w:rFonts w:hint="cs"/>
          <w:rtl/>
        </w:rPr>
        <w:tab/>
        <w:t>والعملية بغاية السهولة، فهي كما يلي: ألف + باء + جيم، حيث تدل الحروف على ما يلي:</w:t>
      </w:r>
    </w:p>
    <w:p w:rsidR="00000000" w:rsidRDefault="00567B15">
      <w:pPr>
        <w:spacing w:before="180" w:after="180" w:line="380" w:lineRule="exact"/>
        <w:jc w:val="both"/>
        <w:rPr>
          <w:rFonts w:hint="cs"/>
          <w:rtl/>
        </w:rPr>
      </w:pPr>
      <w:r>
        <w:rPr>
          <w:rFonts w:hint="cs"/>
          <w:rtl/>
        </w:rPr>
        <w:tab/>
        <w:t>-</w:t>
      </w:r>
      <w:r>
        <w:rPr>
          <w:rFonts w:hint="cs"/>
          <w:rtl/>
        </w:rPr>
        <w:tab/>
        <w:t xml:space="preserve">ألف: هي اشتراك الأسرة </w:t>
      </w:r>
      <w:r>
        <w:t>(aporte)</w:t>
      </w:r>
      <w:r>
        <w:rPr>
          <w:rFonts w:hint="cs"/>
          <w:rtl/>
        </w:rPr>
        <w:t>، الذي يمكن أن يقدم من المدخرات أو الأرض أو العمل؛</w:t>
      </w:r>
    </w:p>
    <w:p w:rsidR="00000000" w:rsidRDefault="00567B15">
      <w:pPr>
        <w:spacing w:before="180" w:after="180" w:line="380" w:lineRule="exact"/>
        <w:ind w:left="1440" w:hanging="720"/>
        <w:jc w:val="both"/>
        <w:rPr>
          <w:rtl/>
        </w:rPr>
      </w:pPr>
      <w:r>
        <w:rPr>
          <w:rFonts w:hint="cs"/>
          <w:rtl/>
        </w:rPr>
        <w:t>-</w:t>
      </w:r>
      <w:r>
        <w:rPr>
          <w:rFonts w:hint="cs"/>
          <w:rtl/>
        </w:rPr>
        <w:tab/>
        <w:t>باء: هي المنحة التي تقدمها الحكومة الوطنية (</w:t>
      </w:r>
      <w:r>
        <w:t>(bono</w:t>
      </w:r>
      <w:r>
        <w:rPr>
          <w:rFonts w:hint="cs"/>
          <w:rtl/>
        </w:rPr>
        <w:t>. وقد تصل قيمة هذه المنحة إلى</w:t>
      </w:r>
      <w:r>
        <w:rPr>
          <w:rFonts w:hint="cs"/>
          <w:rtl/>
        </w:rPr>
        <w:t xml:space="preserve"> 60 في المائة من تكلفة المشروع؛</w:t>
      </w:r>
    </w:p>
    <w:p w:rsidR="00000000" w:rsidRDefault="00567B15">
      <w:pPr>
        <w:spacing w:before="180" w:after="180" w:line="380" w:lineRule="exact"/>
        <w:ind w:left="1440" w:hanging="720"/>
        <w:jc w:val="both"/>
        <w:rPr>
          <w:rFonts w:hint="cs"/>
          <w:rtl/>
        </w:rPr>
      </w:pPr>
      <w:r>
        <w:rPr>
          <w:rFonts w:hint="cs"/>
          <w:rtl/>
        </w:rPr>
        <w:t>-</w:t>
      </w:r>
      <w:r>
        <w:rPr>
          <w:rFonts w:hint="cs"/>
          <w:rtl/>
        </w:rPr>
        <w:tab/>
        <w:t xml:space="preserve">جيم: هي </w:t>
      </w:r>
      <w:r>
        <w:t>crédito)</w:t>
      </w:r>
      <w:r>
        <w:rPr>
          <w:rFonts w:hint="cs"/>
          <w:rtl/>
        </w:rPr>
        <w:t>) القرض الذي يقدمه النظام المالي أو تعاون المجتمعات فيما بينها أو البلدية أو المنظمة غير الحكومية التي تشارك في المشروع.</w:t>
      </w:r>
    </w:p>
    <w:p w:rsidR="00000000" w:rsidRDefault="00567B15">
      <w:pPr>
        <w:spacing w:line="380" w:lineRule="exact"/>
        <w:jc w:val="both"/>
        <w:rPr>
          <w:rFonts w:hint="cs"/>
          <w:rtl/>
        </w:rPr>
      </w:pPr>
      <w:r>
        <w:rPr>
          <w:rFonts w:hint="cs"/>
          <w:rtl/>
        </w:rPr>
        <w:t>370-</w:t>
      </w:r>
      <w:r>
        <w:rPr>
          <w:rFonts w:hint="cs"/>
          <w:rtl/>
        </w:rPr>
        <w:tab/>
        <w:t>ويرد فيما يلي شروط الحصول على منحة السكن. ولا بد لصاحب الطلب من أن يكون كالآتي:</w:t>
      </w:r>
    </w:p>
    <w:p w:rsidR="00000000" w:rsidRDefault="00567B15">
      <w:pPr>
        <w:spacing w:before="160" w:after="160" w:line="380" w:lineRule="exact"/>
        <w:jc w:val="both"/>
        <w:rPr>
          <w:rFonts w:hint="cs"/>
          <w:rtl/>
        </w:rPr>
      </w:pPr>
      <w:r>
        <w:rPr>
          <w:rFonts w:hint="cs"/>
          <w:rtl/>
        </w:rPr>
        <w:tab/>
        <w:t>(أ)</w:t>
      </w:r>
      <w:r>
        <w:rPr>
          <w:rFonts w:hint="cs"/>
          <w:rtl/>
        </w:rPr>
        <w:tab/>
        <w:t>أحد الرعايا البالغين الإكوادوريين؛</w:t>
      </w:r>
    </w:p>
    <w:p w:rsidR="00000000" w:rsidRDefault="00567B15">
      <w:pPr>
        <w:spacing w:before="160" w:after="160" w:line="380" w:lineRule="exact"/>
        <w:jc w:val="both"/>
        <w:rPr>
          <w:rFonts w:hint="cs"/>
          <w:rtl/>
        </w:rPr>
      </w:pPr>
      <w:r>
        <w:rPr>
          <w:rFonts w:hint="cs"/>
          <w:rtl/>
        </w:rPr>
        <w:tab/>
        <w:t>(ب)</w:t>
      </w:r>
      <w:r>
        <w:rPr>
          <w:rFonts w:hint="cs"/>
          <w:rtl/>
        </w:rPr>
        <w:tab/>
        <w:t>لا يمتلك أي سكن في إكوادور؛</w:t>
      </w:r>
    </w:p>
    <w:p w:rsidR="00000000" w:rsidRDefault="00567B15">
      <w:pPr>
        <w:spacing w:before="160" w:after="160" w:line="380" w:lineRule="exact"/>
        <w:jc w:val="both"/>
        <w:rPr>
          <w:rFonts w:hint="cs"/>
          <w:rtl/>
        </w:rPr>
      </w:pPr>
      <w:r>
        <w:rPr>
          <w:rFonts w:hint="cs"/>
          <w:rtl/>
        </w:rPr>
        <w:tab/>
        <w:t>(ج)</w:t>
      </w:r>
      <w:r>
        <w:rPr>
          <w:rFonts w:hint="cs"/>
          <w:rtl/>
        </w:rPr>
        <w:tab/>
        <w:t>ليس لديه دخل يتجاوز 6 ملايين سوكر</w:t>
      </w:r>
      <w:r>
        <w:rPr>
          <w:rFonts w:hint="cs"/>
          <w:vertAlign w:val="superscript"/>
          <w:rtl/>
        </w:rPr>
        <w:t>(48)</w:t>
      </w:r>
      <w:r>
        <w:rPr>
          <w:rFonts w:hint="cs"/>
          <w:rtl/>
        </w:rPr>
        <w:t>؛</w:t>
      </w:r>
    </w:p>
    <w:p w:rsidR="00000000" w:rsidRDefault="00567B15">
      <w:pPr>
        <w:spacing w:before="160" w:after="160" w:line="380" w:lineRule="exact"/>
        <w:jc w:val="both"/>
        <w:rPr>
          <w:rFonts w:hint="cs"/>
          <w:rtl/>
        </w:rPr>
      </w:pPr>
      <w:r>
        <w:rPr>
          <w:rFonts w:hint="cs"/>
          <w:rtl/>
        </w:rPr>
        <w:tab/>
        <w:t>(د)</w:t>
      </w:r>
      <w:r>
        <w:rPr>
          <w:rFonts w:hint="cs"/>
          <w:rtl/>
        </w:rPr>
        <w:tab/>
        <w:t>يفتح حساباً سكنياً في أي مؤسسة مالية تشارك في نظام حوافز الإسكان.</w:t>
      </w:r>
    </w:p>
    <w:p w:rsidR="00000000" w:rsidRDefault="00567B15">
      <w:pPr>
        <w:spacing w:before="120" w:line="360" w:lineRule="exact"/>
        <w:jc w:val="both"/>
        <w:rPr>
          <w:rFonts w:hint="cs"/>
          <w:spacing w:val="2"/>
          <w:rtl/>
        </w:rPr>
      </w:pPr>
      <w:r>
        <w:rPr>
          <w:rFonts w:hint="cs"/>
          <w:spacing w:val="2"/>
          <w:rtl/>
        </w:rPr>
        <w:tab/>
        <w:t>ونفذت خطة الإسكان ألف باء جيم التي وضعت موضع التنفيذ حتى كانون الأو</w:t>
      </w:r>
      <w:r>
        <w:rPr>
          <w:rFonts w:hint="cs"/>
          <w:spacing w:val="2"/>
          <w:rtl/>
        </w:rPr>
        <w:t>ل/ديسمبر 1999 كما يلي:</w:t>
      </w:r>
    </w:p>
    <w:p w:rsidR="00000000" w:rsidRDefault="00567B15">
      <w:pPr>
        <w:spacing w:line="300" w:lineRule="exact"/>
        <w:jc w:val="center"/>
        <w:rPr>
          <w:rFonts w:hint="cs"/>
          <w:b/>
          <w:bCs/>
          <w:rtl/>
        </w:rPr>
      </w:pPr>
      <w:r>
        <w:rPr>
          <w:rFonts w:hint="cs"/>
          <w:b/>
          <w:bCs/>
          <w:rtl/>
        </w:rPr>
        <w:t>برنامج الإسكان الحضري الجديد ألف باء جيم</w:t>
      </w:r>
    </w:p>
    <w:p w:rsidR="00000000" w:rsidRDefault="00567B15">
      <w:pPr>
        <w:spacing w:line="300" w:lineRule="exact"/>
        <w:jc w:val="center"/>
        <w:rPr>
          <w:rFonts w:hint="cs"/>
          <w:b/>
          <w:bCs/>
          <w:rtl/>
        </w:rPr>
      </w:pPr>
      <w:r>
        <w:rPr>
          <w:rFonts w:hint="cs"/>
          <w:b/>
          <w:bCs/>
          <w:rtl/>
        </w:rPr>
        <w:t>(سوكرات)</w:t>
      </w:r>
    </w:p>
    <w:tbl>
      <w:tblPr>
        <w:bidiVisual/>
        <w:tblW w:w="9324" w:type="dxa"/>
        <w:jc w:val="center"/>
        <w:tblInd w:w="-1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0"/>
        <w:gridCol w:w="1800"/>
        <w:gridCol w:w="2160"/>
        <w:gridCol w:w="2525"/>
        <w:gridCol w:w="1139"/>
      </w:tblGrid>
      <w:tr w:rsidR="00567B15" w:rsidTr="00567B15">
        <w:tblPrEx>
          <w:tblCellMar>
            <w:top w:w="0" w:type="dxa"/>
            <w:bottom w:w="0" w:type="dxa"/>
          </w:tblCellMar>
        </w:tblPrEx>
        <w:trPr>
          <w:trHeight w:val="651"/>
          <w:jc w:val="center"/>
        </w:trPr>
        <w:tc>
          <w:tcPr>
            <w:tcW w:w="1700" w:type="dxa"/>
            <w:tcBorders>
              <w:bottom w:val="single" w:sz="4" w:space="0" w:color="auto"/>
            </w:tcBorders>
          </w:tcPr>
          <w:p w:rsidR="00567B15" w:rsidRDefault="00567B15">
            <w:pPr>
              <w:spacing w:before="0" w:after="0" w:line="300" w:lineRule="exact"/>
              <w:jc w:val="center"/>
              <w:rPr>
                <w:rFonts w:hint="cs"/>
                <w:sz w:val="26"/>
                <w:szCs w:val="26"/>
                <w:rtl/>
              </w:rPr>
            </w:pPr>
          </w:p>
          <w:p w:rsidR="00567B15" w:rsidRDefault="00567B15">
            <w:pPr>
              <w:spacing w:before="0" w:after="0" w:line="300" w:lineRule="exact"/>
              <w:jc w:val="center"/>
              <w:rPr>
                <w:rStyle w:val="FootnoteReference"/>
                <w:rFonts w:hint="cs"/>
                <w:bCs w:val="0"/>
                <w:sz w:val="26"/>
                <w:szCs w:val="26"/>
                <w:vertAlign w:val="baseline"/>
              </w:rPr>
            </w:pPr>
            <w:r>
              <w:rPr>
                <w:rFonts w:hint="cs"/>
                <w:sz w:val="26"/>
                <w:szCs w:val="26"/>
                <w:rtl/>
              </w:rPr>
              <w:t>نوع السكن</w:t>
            </w:r>
          </w:p>
        </w:tc>
        <w:tc>
          <w:tcPr>
            <w:tcW w:w="1800" w:type="dxa"/>
            <w:tcBorders>
              <w:bottom w:val="single" w:sz="4" w:space="0" w:color="auto"/>
            </w:tcBorders>
          </w:tcPr>
          <w:p w:rsidR="00567B15" w:rsidRDefault="00567B15">
            <w:pPr>
              <w:spacing w:before="0" w:after="0" w:line="300" w:lineRule="exact"/>
              <w:jc w:val="center"/>
              <w:rPr>
                <w:rFonts w:hint="cs"/>
                <w:sz w:val="26"/>
                <w:szCs w:val="26"/>
                <w:rtl/>
              </w:rPr>
            </w:pPr>
          </w:p>
          <w:p w:rsidR="00567B15" w:rsidRDefault="00567B15">
            <w:pPr>
              <w:spacing w:before="0" w:after="0" w:line="300" w:lineRule="exact"/>
              <w:jc w:val="center"/>
              <w:rPr>
                <w:rStyle w:val="FootnoteReference"/>
                <w:rFonts w:hint="cs"/>
                <w:bCs w:val="0"/>
                <w:sz w:val="26"/>
                <w:szCs w:val="26"/>
                <w:vertAlign w:val="baseline"/>
              </w:rPr>
            </w:pPr>
            <w:r>
              <w:rPr>
                <w:rFonts w:hint="cs"/>
                <w:sz w:val="26"/>
                <w:szCs w:val="26"/>
                <w:rtl/>
              </w:rPr>
              <w:t>أعلى سعر</w:t>
            </w:r>
          </w:p>
        </w:tc>
        <w:tc>
          <w:tcPr>
            <w:tcW w:w="2160" w:type="dxa"/>
            <w:tcBorders>
              <w:bottom w:val="single" w:sz="4" w:space="0" w:color="auto"/>
            </w:tcBorders>
          </w:tcPr>
          <w:p w:rsidR="00567B15" w:rsidRDefault="00567B15">
            <w:pPr>
              <w:spacing w:before="0" w:after="0" w:line="300" w:lineRule="exact"/>
              <w:jc w:val="center"/>
              <w:rPr>
                <w:rFonts w:hint="cs"/>
                <w:sz w:val="26"/>
                <w:szCs w:val="26"/>
                <w:rtl/>
              </w:rPr>
            </w:pPr>
          </w:p>
          <w:p w:rsidR="00567B15" w:rsidRDefault="00567B15">
            <w:pPr>
              <w:spacing w:before="0" w:after="0" w:line="300" w:lineRule="exact"/>
              <w:jc w:val="center"/>
              <w:rPr>
                <w:rStyle w:val="FootnoteReference"/>
                <w:rFonts w:hint="cs"/>
                <w:bCs w:val="0"/>
                <w:sz w:val="26"/>
                <w:szCs w:val="26"/>
                <w:vertAlign w:val="baseline"/>
              </w:rPr>
            </w:pPr>
            <w:r>
              <w:rPr>
                <w:rFonts w:hint="cs"/>
                <w:sz w:val="26"/>
                <w:szCs w:val="26"/>
                <w:rtl/>
              </w:rPr>
              <w:t>العربون</w:t>
            </w:r>
          </w:p>
        </w:tc>
        <w:tc>
          <w:tcPr>
            <w:tcW w:w="2525" w:type="dxa"/>
            <w:tcBorders>
              <w:bottom w:val="single" w:sz="4" w:space="0" w:color="auto"/>
            </w:tcBorders>
          </w:tcPr>
          <w:p w:rsidR="00567B15" w:rsidRDefault="00567B15">
            <w:pPr>
              <w:spacing w:before="0" w:after="0" w:line="300" w:lineRule="exact"/>
              <w:jc w:val="center"/>
              <w:rPr>
                <w:rFonts w:hint="cs"/>
                <w:spacing w:val="2"/>
                <w:sz w:val="26"/>
                <w:szCs w:val="26"/>
                <w:rtl/>
              </w:rPr>
            </w:pPr>
            <w:r>
              <w:rPr>
                <w:rFonts w:hint="cs"/>
                <w:spacing w:val="2"/>
                <w:sz w:val="26"/>
                <w:szCs w:val="26"/>
                <w:rtl/>
              </w:rPr>
              <w:t>قيمة المنحة</w:t>
            </w:r>
          </w:p>
          <w:p w:rsidR="00567B15" w:rsidRDefault="00567B15">
            <w:pPr>
              <w:tabs>
                <w:tab w:val="left" w:pos="2426"/>
              </w:tabs>
              <w:spacing w:before="0" w:after="0" w:line="300" w:lineRule="exact"/>
              <w:ind w:right="244"/>
              <w:jc w:val="center"/>
              <w:rPr>
                <w:rStyle w:val="FootnoteReference"/>
                <w:rFonts w:hint="cs"/>
                <w:bCs w:val="0"/>
                <w:spacing w:val="-4"/>
                <w:sz w:val="26"/>
                <w:szCs w:val="26"/>
                <w:vertAlign w:val="baseline"/>
              </w:rPr>
            </w:pPr>
            <w:r>
              <w:rPr>
                <w:rFonts w:hint="cs"/>
                <w:spacing w:val="-4"/>
                <w:sz w:val="26"/>
                <w:szCs w:val="26"/>
                <w:rtl/>
              </w:rPr>
              <w:t>(النسبة المئوية من التكاليف)</w:t>
            </w:r>
          </w:p>
        </w:tc>
        <w:tc>
          <w:tcPr>
            <w:tcW w:w="1139" w:type="dxa"/>
            <w:tcBorders>
              <w:bottom w:val="single" w:sz="4" w:space="0" w:color="auto"/>
            </w:tcBorders>
          </w:tcPr>
          <w:p w:rsidR="00567B15" w:rsidRDefault="00567B15">
            <w:pPr>
              <w:spacing w:before="0" w:after="0" w:line="300" w:lineRule="exact"/>
              <w:jc w:val="center"/>
              <w:rPr>
                <w:rFonts w:hint="cs"/>
                <w:sz w:val="26"/>
                <w:szCs w:val="26"/>
                <w:rtl/>
              </w:rPr>
            </w:pPr>
          </w:p>
          <w:p w:rsidR="00567B15" w:rsidRDefault="00567B15">
            <w:pPr>
              <w:spacing w:before="0" w:after="0" w:line="300" w:lineRule="exact"/>
              <w:jc w:val="center"/>
              <w:rPr>
                <w:rStyle w:val="FootnoteReference"/>
                <w:rFonts w:hint="cs"/>
                <w:bCs w:val="0"/>
                <w:sz w:val="26"/>
                <w:szCs w:val="26"/>
                <w:vertAlign w:val="baseline"/>
              </w:rPr>
            </w:pPr>
            <w:r>
              <w:rPr>
                <w:rFonts w:hint="cs"/>
                <w:sz w:val="26"/>
                <w:szCs w:val="26"/>
                <w:rtl/>
              </w:rPr>
              <w:t>القروض*</w:t>
            </w:r>
          </w:p>
        </w:tc>
      </w:tr>
      <w:tr w:rsidR="00567B15" w:rsidTr="00567B15">
        <w:tblPrEx>
          <w:tblCellMar>
            <w:top w:w="0" w:type="dxa"/>
            <w:bottom w:w="0" w:type="dxa"/>
          </w:tblCellMar>
        </w:tblPrEx>
        <w:trPr>
          <w:jc w:val="center"/>
        </w:trPr>
        <w:tc>
          <w:tcPr>
            <w:tcW w:w="1700" w:type="dxa"/>
            <w:tcBorders>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w:t>
            </w:r>
          </w:p>
        </w:tc>
        <w:tc>
          <w:tcPr>
            <w:tcW w:w="1800"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000 400 38</w:t>
            </w:r>
          </w:p>
        </w:tc>
        <w:tc>
          <w:tcPr>
            <w:tcW w:w="2160"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000 840 3</w:t>
            </w:r>
          </w:p>
        </w:tc>
        <w:tc>
          <w:tcPr>
            <w:tcW w:w="2525" w:type="dxa"/>
            <w:tcBorders>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60</w:t>
            </w:r>
          </w:p>
        </w:tc>
        <w:tc>
          <w:tcPr>
            <w:tcW w:w="1139"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1700"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2</w:t>
            </w:r>
          </w:p>
        </w:tc>
        <w:tc>
          <w:tcPr>
            <w:tcW w:w="180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000 000 54</w:t>
            </w:r>
          </w:p>
        </w:tc>
        <w:tc>
          <w:tcPr>
            <w:tcW w:w="216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000 400 5</w:t>
            </w:r>
          </w:p>
        </w:tc>
        <w:tc>
          <w:tcPr>
            <w:tcW w:w="252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50</w:t>
            </w:r>
          </w:p>
        </w:tc>
        <w:tc>
          <w:tcPr>
            <w:tcW w:w="1139"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1700"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3</w:t>
            </w:r>
          </w:p>
        </w:tc>
        <w:tc>
          <w:tcPr>
            <w:tcW w:w="180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000 000 66</w:t>
            </w:r>
          </w:p>
        </w:tc>
        <w:tc>
          <w:tcPr>
            <w:tcW w:w="216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000 600 6</w:t>
            </w:r>
          </w:p>
        </w:tc>
        <w:tc>
          <w:tcPr>
            <w:tcW w:w="252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40</w:t>
            </w:r>
          </w:p>
        </w:tc>
        <w:tc>
          <w:tcPr>
            <w:tcW w:w="1139"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1700"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4</w:t>
            </w:r>
          </w:p>
        </w:tc>
        <w:tc>
          <w:tcPr>
            <w:tcW w:w="180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000 000 78</w:t>
            </w:r>
          </w:p>
        </w:tc>
        <w:tc>
          <w:tcPr>
            <w:tcW w:w="216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000 700 11</w:t>
            </w:r>
          </w:p>
        </w:tc>
        <w:tc>
          <w:tcPr>
            <w:tcW w:w="252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30</w:t>
            </w:r>
          </w:p>
        </w:tc>
        <w:tc>
          <w:tcPr>
            <w:tcW w:w="1139"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1700"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5</w:t>
            </w:r>
          </w:p>
        </w:tc>
        <w:tc>
          <w:tcPr>
            <w:tcW w:w="180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000 000 90</w:t>
            </w:r>
          </w:p>
        </w:tc>
        <w:tc>
          <w:tcPr>
            <w:tcW w:w="2160"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000 500 13</w:t>
            </w:r>
          </w:p>
        </w:tc>
        <w:tc>
          <w:tcPr>
            <w:tcW w:w="2525" w:type="dxa"/>
            <w:tcBorders>
              <w:top w:val="nil"/>
              <w:bottom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20</w:t>
            </w:r>
          </w:p>
        </w:tc>
        <w:tc>
          <w:tcPr>
            <w:tcW w:w="1139" w:type="dxa"/>
            <w:tcBorders>
              <w:top w:val="nil"/>
              <w:bottom w:val="nil"/>
            </w:tcBorders>
          </w:tcPr>
          <w:p w:rsidR="00567B15" w:rsidRDefault="00567B15">
            <w:pPr>
              <w:spacing w:before="0" w:after="0" w:line="340" w:lineRule="exact"/>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1700" w:type="dxa"/>
            <w:tcBorders>
              <w:top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6</w:t>
            </w:r>
          </w:p>
        </w:tc>
        <w:tc>
          <w:tcPr>
            <w:tcW w:w="1800"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000 000 102</w:t>
            </w:r>
          </w:p>
        </w:tc>
        <w:tc>
          <w:tcPr>
            <w:tcW w:w="2160"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000 300 15</w:t>
            </w:r>
          </w:p>
        </w:tc>
        <w:tc>
          <w:tcPr>
            <w:tcW w:w="2525" w:type="dxa"/>
            <w:tcBorders>
              <w:top w:val="nil"/>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10</w:t>
            </w:r>
          </w:p>
        </w:tc>
        <w:tc>
          <w:tcPr>
            <w:tcW w:w="1139" w:type="dxa"/>
            <w:tcBorders>
              <w:top w:val="nil"/>
            </w:tcBorders>
          </w:tcPr>
          <w:p w:rsidR="00567B15" w:rsidRDefault="00567B15">
            <w:pPr>
              <w:spacing w:before="0" w:after="0" w:line="340" w:lineRule="exact"/>
              <w:jc w:val="both"/>
              <w:rPr>
                <w:rStyle w:val="FootnoteReference"/>
                <w:rFonts w:hint="cs"/>
                <w:bCs w:val="0"/>
                <w:sz w:val="26"/>
                <w:szCs w:val="26"/>
                <w:vertAlign w:val="baseline"/>
              </w:rPr>
            </w:pPr>
          </w:p>
        </w:tc>
      </w:tr>
    </w:tbl>
    <w:p w:rsidR="00000000" w:rsidRDefault="00567B15">
      <w:pPr>
        <w:spacing w:line="360" w:lineRule="exact"/>
        <w:jc w:val="both"/>
        <w:rPr>
          <w:rFonts w:hint="cs"/>
          <w:rtl/>
        </w:rPr>
      </w:pPr>
      <w:r>
        <w:rPr>
          <w:rFonts w:hint="cs"/>
          <w:rtl/>
        </w:rPr>
        <w:tab/>
      </w:r>
      <w:r>
        <w:rPr>
          <w:rFonts w:hint="cs"/>
          <w:u w:val="single"/>
          <w:rtl/>
        </w:rPr>
        <w:t>ملاحظة</w:t>
      </w:r>
      <w:r>
        <w:rPr>
          <w:rFonts w:hint="cs"/>
          <w:rtl/>
        </w:rPr>
        <w:t>: تعدل القيم بصفة دورية.</w:t>
      </w:r>
    </w:p>
    <w:p w:rsidR="00000000" w:rsidRDefault="00567B15">
      <w:pPr>
        <w:spacing w:line="360" w:lineRule="exact"/>
        <w:jc w:val="both"/>
        <w:rPr>
          <w:rFonts w:hint="cs"/>
          <w:rtl/>
        </w:rPr>
      </w:pPr>
      <w:r>
        <w:rPr>
          <w:rFonts w:hint="cs"/>
          <w:rtl/>
        </w:rPr>
        <w:tab/>
        <w:t>*</w:t>
      </w:r>
      <w:r>
        <w:rPr>
          <w:rFonts w:hint="cs"/>
          <w:rtl/>
        </w:rPr>
        <w:tab/>
        <w:t>القرض مقرب إلى سعر المسكن الذي يرغب الشخص في شرائه.</w:t>
      </w:r>
    </w:p>
    <w:p w:rsidR="00000000" w:rsidRDefault="00567B15">
      <w:pPr>
        <w:spacing w:line="380" w:lineRule="exact"/>
        <w:jc w:val="both"/>
        <w:rPr>
          <w:rFonts w:hint="cs"/>
          <w:rtl/>
        </w:rPr>
      </w:pPr>
      <w:r>
        <w:rPr>
          <w:rFonts w:hint="cs"/>
          <w:rtl/>
        </w:rPr>
        <w:t>371-</w:t>
      </w:r>
      <w:r>
        <w:rPr>
          <w:rFonts w:hint="cs"/>
          <w:rtl/>
        </w:rPr>
        <w:tab/>
        <w:t xml:space="preserve">وتقدم "منحة ترميم السكن الحضري" مباشرة للأسرة كيما يتسنى لها ترميم منزلها أو تشطيبه أو توسيعه </w:t>
      </w:r>
      <w:r>
        <w:rPr>
          <w:rFonts w:hint="cs"/>
          <w:rtl/>
        </w:rPr>
        <w:t>أو الاستعاضة عنه بمنزل آخر. ويجب أن يتوافر في مقدم الطلب ما يلي:</w:t>
      </w:r>
    </w:p>
    <w:p w:rsidR="00000000" w:rsidRDefault="00567B15">
      <w:pPr>
        <w:spacing w:before="180" w:after="180" w:line="360" w:lineRule="exact"/>
        <w:jc w:val="both"/>
        <w:rPr>
          <w:rFonts w:hint="cs"/>
          <w:rtl/>
        </w:rPr>
      </w:pPr>
      <w:r>
        <w:rPr>
          <w:rFonts w:hint="cs"/>
          <w:rtl/>
        </w:rPr>
        <w:tab/>
        <w:t>(أ)</w:t>
      </w:r>
      <w:r>
        <w:rPr>
          <w:rFonts w:hint="cs"/>
          <w:rtl/>
        </w:rPr>
        <w:tab/>
        <w:t>أن يكون أحد الرعايا الإكوادوريين البالغين؛</w:t>
      </w:r>
    </w:p>
    <w:p w:rsidR="00000000" w:rsidRDefault="00567B15">
      <w:pPr>
        <w:spacing w:before="180" w:after="180" w:line="360" w:lineRule="exact"/>
        <w:jc w:val="both"/>
        <w:rPr>
          <w:rFonts w:hint="cs"/>
          <w:rtl/>
        </w:rPr>
      </w:pPr>
      <w:r>
        <w:rPr>
          <w:rFonts w:hint="cs"/>
          <w:rtl/>
        </w:rPr>
        <w:tab/>
        <w:t>(ب)</w:t>
      </w:r>
      <w:r>
        <w:rPr>
          <w:rFonts w:hint="cs"/>
          <w:rtl/>
        </w:rPr>
        <w:tab/>
        <w:t>أن يمتلك المبنى الذي يراد ترميمه؛</w:t>
      </w:r>
    </w:p>
    <w:p w:rsidR="00000000" w:rsidRDefault="00567B15">
      <w:pPr>
        <w:spacing w:before="180" w:after="180" w:line="360" w:lineRule="exact"/>
        <w:jc w:val="both"/>
        <w:rPr>
          <w:rFonts w:hint="cs"/>
          <w:rtl/>
        </w:rPr>
      </w:pPr>
      <w:r>
        <w:rPr>
          <w:rFonts w:hint="cs"/>
          <w:rtl/>
        </w:rPr>
        <w:tab/>
        <w:t>(ج)</w:t>
      </w:r>
      <w:r>
        <w:rPr>
          <w:rFonts w:hint="cs"/>
          <w:rtl/>
        </w:rPr>
        <w:tab/>
        <w:t>ألا يكون له دخل أسري شهري يتجاوز 3.3 ملايين سوكر؛</w:t>
      </w:r>
    </w:p>
    <w:p w:rsidR="00000000" w:rsidRDefault="00567B15">
      <w:pPr>
        <w:spacing w:before="180" w:after="180" w:line="360" w:lineRule="exact"/>
        <w:jc w:val="both"/>
        <w:rPr>
          <w:rFonts w:hint="cs"/>
          <w:rtl/>
        </w:rPr>
      </w:pPr>
      <w:r>
        <w:rPr>
          <w:rFonts w:hint="cs"/>
          <w:rtl/>
        </w:rPr>
        <w:tab/>
        <w:t>(د)</w:t>
      </w:r>
      <w:r>
        <w:rPr>
          <w:rFonts w:hint="cs"/>
          <w:rtl/>
        </w:rPr>
        <w:tab/>
        <w:t>أن يكون مقيماً في إحدى المناطق الحضرية؛</w:t>
      </w:r>
    </w:p>
    <w:p w:rsidR="00000000" w:rsidRDefault="00567B15">
      <w:pPr>
        <w:spacing w:before="180" w:after="180" w:line="360" w:lineRule="exact"/>
        <w:jc w:val="both"/>
        <w:rPr>
          <w:rFonts w:hint="cs"/>
          <w:rtl/>
        </w:rPr>
      </w:pPr>
      <w:r>
        <w:rPr>
          <w:rFonts w:hint="cs"/>
          <w:rtl/>
        </w:rPr>
        <w:tab/>
        <w:t>(ه‍</w:t>
      </w:r>
      <w:r>
        <w:rPr>
          <w:rFonts w:hint="cs"/>
          <w:rtl/>
        </w:rPr>
        <w:t>)</w:t>
      </w:r>
      <w:r>
        <w:rPr>
          <w:rFonts w:hint="cs"/>
          <w:rtl/>
        </w:rPr>
        <w:tab/>
        <w:t>أن يمتلك المسكن الذي يراد إدخال تحسينات عليه بقيمة لا تتجاوز 60 مليون سوكر، بما في ذلك قيمة الأرض.</w:t>
      </w:r>
    </w:p>
    <w:p w:rsidR="00000000" w:rsidRDefault="00567B15">
      <w:pPr>
        <w:spacing w:line="340" w:lineRule="exact"/>
        <w:jc w:val="both"/>
        <w:rPr>
          <w:rFonts w:hint="cs"/>
          <w:rtl/>
        </w:rPr>
      </w:pPr>
      <w:r>
        <w:rPr>
          <w:rFonts w:hint="cs"/>
          <w:rtl/>
        </w:rPr>
        <w:t>372-</w:t>
      </w:r>
      <w:r>
        <w:rPr>
          <w:rFonts w:hint="cs"/>
          <w:rtl/>
        </w:rPr>
        <w:tab/>
        <w:t>ونظمت خطة الإسكان ألف باء جيم في المناطق الريفية والمناطق الحضرية المهمشة كما يلي:</w:t>
      </w:r>
    </w:p>
    <w:p w:rsidR="00000000" w:rsidRDefault="00567B15">
      <w:pPr>
        <w:spacing w:before="180" w:after="180" w:line="380" w:lineRule="exact"/>
        <w:ind w:left="1434" w:hanging="714"/>
        <w:jc w:val="both"/>
        <w:rPr>
          <w:rFonts w:hint="cs"/>
          <w:rtl/>
        </w:rPr>
      </w:pPr>
      <w:r>
        <w:rPr>
          <w:rFonts w:hint="cs"/>
          <w:rtl/>
        </w:rPr>
        <w:t>-</w:t>
      </w:r>
      <w:r>
        <w:rPr>
          <w:rFonts w:hint="cs"/>
          <w:rtl/>
        </w:rPr>
        <w:tab/>
        <w:t>ألف: هي المدخرات والإدارة الذاتية والإنشاء الذاتي؛</w:t>
      </w:r>
    </w:p>
    <w:p w:rsidR="00000000" w:rsidRDefault="00567B15">
      <w:pPr>
        <w:spacing w:before="180" w:after="180" w:line="380" w:lineRule="exact"/>
        <w:ind w:left="1434" w:hanging="714"/>
        <w:jc w:val="both"/>
        <w:rPr>
          <w:rFonts w:hint="cs"/>
          <w:rtl/>
        </w:rPr>
      </w:pPr>
      <w:r>
        <w:rPr>
          <w:rFonts w:hint="cs"/>
          <w:rtl/>
        </w:rPr>
        <w:t>-</w:t>
      </w:r>
      <w:r>
        <w:rPr>
          <w:rFonts w:hint="cs"/>
          <w:rtl/>
        </w:rPr>
        <w:tab/>
        <w:t>باء: هي المن</w:t>
      </w:r>
      <w:r>
        <w:rPr>
          <w:rFonts w:hint="cs"/>
          <w:rtl/>
        </w:rPr>
        <w:t>حة الحكومية للبناء أو الترميم؛</w:t>
      </w:r>
    </w:p>
    <w:p w:rsidR="00000000" w:rsidRDefault="00567B15">
      <w:pPr>
        <w:spacing w:before="180" w:after="180" w:line="380" w:lineRule="exact"/>
        <w:ind w:left="1434" w:hanging="714"/>
        <w:jc w:val="both"/>
        <w:rPr>
          <w:rFonts w:hint="cs"/>
          <w:rtl/>
        </w:rPr>
      </w:pPr>
      <w:r>
        <w:rPr>
          <w:rFonts w:hint="cs"/>
          <w:rtl/>
        </w:rPr>
        <w:t>-</w:t>
      </w:r>
      <w:r>
        <w:rPr>
          <w:rFonts w:hint="cs"/>
          <w:rtl/>
        </w:rPr>
        <w:tab/>
        <w:t>جيم: هي المجتمع، الذي يعد دعمه ذا أهمية جوهرية، مثلما هو الحال بالنسبة للدعم الذي تقدمه المنظمات غير الحكومية والحكومات المحلية.</w:t>
      </w:r>
    </w:p>
    <w:p w:rsidR="00000000" w:rsidRDefault="00567B15">
      <w:pPr>
        <w:spacing w:line="380" w:lineRule="exact"/>
        <w:jc w:val="both"/>
        <w:rPr>
          <w:rFonts w:hint="cs"/>
          <w:rtl/>
        </w:rPr>
      </w:pPr>
      <w:r>
        <w:rPr>
          <w:rFonts w:hint="cs"/>
          <w:rtl/>
        </w:rPr>
        <w:t>373-</w:t>
      </w:r>
      <w:r>
        <w:rPr>
          <w:rFonts w:hint="cs"/>
          <w:rtl/>
        </w:rPr>
        <w:tab/>
        <w:t>والمشاركون في الخطة هم من الأسر المنتمية للقطاعات الريفية والقطاعات الحضرية المهمشة ممن ل</w:t>
      </w:r>
      <w:r>
        <w:rPr>
          <w:rFonts w:hint="cs"/>
          <w:rtl/>
        </w:rPr>
        <w:t>ا يمتلكون مسكناً والمنظمات غير الحكومية والهيئات المحلية التي تقدم الدعم لترميم المساكن في المجتمع، والكيانات المضطلعة بتصنيع مواد البناء، والمؤسسات الصغيرة.</w:t>
      </w:r>
    </w:p>
    <w:p w:rsidR="00000000" w:rsidRDefault="00567B15">
      <w:pPr>
        <w:spacing w:line="380" w:lineRule="exact"/>
        <w:jc w:val="both"/>
        <w:rPr>
          <w:rFonts w:hint="cs"/>
          <w:rtl/>
        </w:rPr>
      </w:pPr>
      <w:r>
        <w:rPr>
          <w:rFonts w:hint="cs"/>
          <w:rtl/>
        </w:rPr>
        <w:t>374-</w:t>
      </w:r>
      <w:r>
        <w:rPr>
          <w:rFonts w:hint="cs"/>
          <w:rtl/>
        </w:rPr>
        <w:tab/>
        <w:t>ويعمل مقدمو الطلبات بمعية خبير من وزارة الإسكان لتصميم المسكن باستخدام مواد البناء المحلية وا</w:t>
      </w:r>
      <w:r>
        <w:rPr>
          <w:rFonts w:hint="cs"/>
          <w:rtl/>
        </w:rPr>
        <w:t>لتقنيات التقليدية التي تناسب بيئتهم وثقافتهم. وتقدم الوزارة منحة تصل إلى 5 ملايين سوكر للمواد، ويتولى المستفيدون بناء مساكنهم بمساعدة تقنية تقدمها لهم الوزارة.</w:t>
      </w:r>
    </w:p>
    <w:p w:rsidR="00000000" w:rsidRDefault="00567B15">
      <w:pPr>
        <w:spacing w:line="380" w:lineRule="exact"/>
        <w:jc w:val="both"/>
        <w:rPr>
          <w:rFonts w:hint="cs"/>
          <w:rtl/>
        </w:rPr>
      </w:pPr>
      <w:r>
        <w:rPr>
          <w:rFonts w:hint="cs"/>
          <w:rtl/>
        </w:rPr>
        <w:t>375-</w:t>
      </w:r>
      <w:r>
        <w:rPr>
          <w:rFonts w:hint="cs"/>
          <w:rtl/>
        </w:rPr>
        <w:tab/>
        <w:t>وفي عام 2000، نفذت حكومة السيد جميل معوض 857 56 مشروعاً سكنياً، بما في ذلك إنشاء وحدات سكني</w:t>
      </w:r>
      <w:r>
        <w:rPr>
          <w:rFonts w:hint="cs"/>
          <w:rtl/>
        </w:rPr>
        <w:t>ة جديدة وترميم مساكن قائمة.</w:t>
      </w:r>
    </w:p>
    <w:p w:rsidR="00000000" w:rsidRDefault="00567B15">
      <w:pPr>
        <w:jc w:val="center"/>
        <w:rPr>
          <w:rFonts w:hint="cs"/>
          <w:b/>
          <w:bCs/>
          <w:rtl/>
        </w:rPr>
      </w:pPr>
      <w:r>
        <w:rPr>
          <w:rFonts w:hint="cs"/>
          <w:b/>
          <w:bCs/>
          <w:rtl/>
        </w:rPr>
        <w:t>الإسكان، من آب/أغسطس 1998 إلى كانون الأول/ديسمبر 1999</w:t>
      </w: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8"/>
        <w:gridCol w:w="952"/>
        <w:gridCol w:w="2030"/>
        <w:gridCol w:w="2099"/>
        <w:gridCol w:w="1596"/>
        <w:gridCol w:w="1260"/>
      </w:tblGrid>
      <w:tr w:rsidR="00567B15" w:rsidTr="00567B15">
        <w:tblPrEx>
          <w:tblCellMar>
            <w:top w:w="0" w:type="dxa"/>
            <w:bottom w:w="0" w:type="dxa"/>
          </w:tblCellMar>
        </w:tblPrEx>
        <w:trPr>
          <w:trHeight w:val="986"/>
        </w:trPr>
        <w:tc>
          <w:tcPr>
            <w:tcW w:w="1428" w:type="dxa"/>
            <w:tcBorders>
              <w:bottom w:val="single" w:sz="4" w:space="0" w:color="auto"/>
            </w:tcBorders>
          </w:tcPr>
          <w:p w:rsidR="00567B15" w:rsidRDefault="00567B15">
            <w:pPr>
              <w:spacing w:before="0" w:after="0" w:line="320" w:lineRule="exact"/>
              <w:jc w:val="center"/>
              <w:rPr>
                <w:rFonts w:hint="cs"/>
                <w:sz w:val="24"/>
                <w:szCs w:val="24"/>
                <w:rtl/>
              </w:rPr>
            </w:pPr>
          </w:p>
          <w:p w:rsidR="00567B15" w:rsidRDefault="00567B15">
            <w:pPr>
              <w:spacing w:before="0" w:after="0" w:line="320" w:lineRule="exact"/>
              <w:jc w:val="center"/>
              <w:rPr>
                <w:rStyle w:val="FootnoteReference"/>
                <w:rFonts w:hint="cs"/>
                <w:bCs w:val="0"/>
                <w:sz w:val="24"/>
                <w:szCs w:val="24"/>
                <w:vertAlign w:val="baseline"/>
              </w:rPr>
            </w:pPr>
            <w:r>
              <w:rPr>
                <w:sz w:val="24"/>
                <w:szCs w:val="24"/>
                <w:rtl/>
              </w:rPr>
              <w:br/>
            </w:r>
            <w:r>
              <w:rPr>
                <w:rFonts w:hint="cs"/>
                <w:sz w:val="24"/>
                <w:szCs w:val="24"/>
                <w:rtl/>
              </w:rPr>
              <w:t>المناطق</w:t>
            </w:r>
          </w:p>
        </w:tc>
        <w:tc>
          <w:tcPr>
            <w:tcW w:w="952" w:type="dxa"/>
            <w:tcBorders>
              <w:bottom w:val="single" w:sz="4" w:space="0" w:color="auto"/>
            </w:tcBorders>
          </w:tcPr>
          <w:p w:rsidR="00567B15" w:rsidRDefault="00567B15">
            <w:pPr>
              <w:spacing w:before="0" w:after="0" w:line="320" w:lineRule="exact"/>
              <w:jc w:val="center"/>
              <w:rPr>
                <w:rStyle w:val="FootnoteReference"/>
                <w:rFonts w:hint="cs"/>
                <w:bCs w:val="0"/>
                <w:sz w:val="24"/>
                <w:szCs w:val="24"/>
                <w:vertAlign w:val="baseline"/>
              </w:rPr>
            </w:pPr>
            <w:r>
              <w:rPr>
                <w:sz w:val="24"/>
                <w:szCs w:val="24"/>
                <w:rtl/>
              </w:rPr>
              <w:br/>
            </w:r>
            <w:r>
              <w:rPr>
                <w:rFonts w:hint="cs"/>
                <w:sz w:val="24"/>
                <w:szCs w:val="24"/>
                <w:rtl/>
              </w:rPr>
              <w:t>المناطق الريفية</w:t>
            </w:r>
          </w:p>
        </w:tc>
        <w:tc>
          <w:tcPr>
            <w:tcW w:w="2030" w:type="dxa"/>
            <w:tcBorders>
              <w:bottom w:val="single" w:sz="4" w:space="0" w:color="auto"/>
            </w:tcBorders>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t>المناطق الحضرية المهمشة (المساكن الجديدة، والمرممة، وظاهرة النينيو)</w:t>
            </w:r>
          </w:p>
        </w:tc>
        <w:tc>
          <w:tcPr>
            <w:tcW w:w="2099" w:type="dxa"/>
            <w:tcBorders>
              <w:bottom w:val="single" w:sz="4" w:space="0" w:color="auto"/>
            </w:tcBorders>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t>المنح المقدمة بموجب نظام حوافز إسكان (المساكن الجديدة في المراكز التاريخية)</w:t>
            </w:r>
          </w:p>
        </w:tc>
        <w:tc>
          <w:tcPr>
            <w:tcW w:w="1596" w:type="dxa"/>
            <w:tcBorders>
              <w:bottom w:val="single" w:sz="4" w:space="0" w:color="auto"/>
            </w:tcBorders>
          </w:tcPr>
          <w:p w:rsidR="00567B15" w:rsidRDefault="00567B15">
            <w:pPr>
              <w:spacing w:before="0" w:after="0" w:line="320" w:lineRule="exact"/>
              <w:jc w:val="center"/>
              <w:rPr>
                <w:rStyle w:val="FootnoteReference"/>
                <w:rFonts w:hint="cs"/>
                <w:bCs w:val="0"/>
                <w:sz w:val="24"/>
                <w:szCs w:val="24"/>
                <w:vertAlign w:val="baseline"/>
              </w:rPr>
            </w:pPr>
            <w:r>
              <w:rPr>
                <w:sz w:val="24"/>
                <w:szCs w:val="24"/>
                <w:rtl/>
              </w:rPr>
              <w:br/>
            </w:r>
            <w:r>
              <w:rPr>
                <w:rFonts w:hint="cs"/>
                <w:sz w:val="24"/>
                <w:szCs w:val="24"/>
                <w:rtl/>
              </w:rPr>
              <w:t>مصرف الإسكان الإكوادوري</w:t>
            </w:r>
          </w:p>
        </w:tc>
        <w:tc>
          <w:tcPr>
            <w:tcW w:w="1260" w:type="dxa"/>
            <w:tcBorders>
              <w:bottom w:val="single" w:sz="4" w:space="0" w:color="auto"/>
            </w:tcBorders>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br/>
            </w:r>
            <w:r>
              <w:rPr>
                <w:sz w:val="24"/>
                <w:szCs w:val="24"/>
                <w:rtl/>
              </w:rPr>
              <w:br/>
            </w:r>
            <w:r>
              <w:rPr>
                <w:rFonts w:hint="cs"/>
                <w:sz w:val="24"/>
                <w:szCs w:val="24"/>
                <w:rtl/>
              </w:rPr>
              <w:t>مجموع المساكن</w:t>
            </w:r>
          </w:p>
        </w:tc>
      </w:tr>
      <w:tr w:rsidR="00567B15" w:rsidTr="00567B15">
        <w:tblPrEx>
          <w:tblCellMar>
            <w:top w:w="0" w:type="dxa"/>
            <w:bottom w:w="0" w:type="dxa"/>
          </w:tblCellMar>
        </w:tblPrEx>
        <w:tc>
          <w:tcPr>
            <w:tcW w:w="1428" w:type="dxa"/>
            <w:tcBorders>
              <w:bottom w:val="nil"/>
            </w:tcBorders>
          </w:tcPr>
          <w:p w:rsidR="00567B15" w:rsidRDefault="00567B15">
            <w:pPr>
              <w:spacing w:before="0" w:after="0" w:line="320" w:lineRule="exact"/>
              <w:jc w:val="both"/>
              <w:rPr>
                <w:rStyle w:val="FootnoteReference"/>
                <w:rFonts w:hint="cs"/>
                <w:bCs w:val="0"/>
                <w:sz w:val="24"/>
                <w:szCs w:val="24"/>
                <w:vertAlign w:val="baseline"/>
              </w:rPr>
            </w:pPr>
            <w:r>
              <w:rPr>
                <w:rFonts w:hint="cs"/>
                <w:sz w:val="24"/>
                <w:szCs w:val="24"/>
                <w:rtl/>
              </w:rPr>
              <w:t>المنطقة الساحلية</w:t>
            </w:r>
          </w:p>
        </w:tc>
        <w:tc>
          <w:tcPr>
            <w:tcW w:w="952" w:type="dxa"/>
            <w:tcBorders>
              <w:bottom w:val="nil"/>
            </w:tcBorders>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t>670 1</w:t>
            </w:r>
          </w:p>
        </w:tc>
        <w:tc>
          <w:tcPr>
            <w:tcW w:w="2030" w:type="dxa"/>
            <w:tcBorders>
              <w:bottom w:val="nil"/>
            </w:tcBorders>
          </w:tcPr>
          <w:p w:rsidR="00567B15" w:rsidRDefault="00567B15">
            <w:pPr>
              <w:tabs>
                <w:tab w:val="left" w:pos="488"/>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318 6</w:t>
            </w:r>
          </w:p>
        </w:tc>
        <w:tc>
          <w:tcPr>
            <w:tcW w:w="2099" w:type="dxa"/>
            <w:tcBorders>
              <w:bottom w:val="nil"/>
            </w:tcBorders>
          </w:tcPr>
          <w:p w:rsidR="00567B15" w:rsidRDefault="00567B15">
            <w:pPr>
              <w:spacing w:before="0" w:after="0" w:line="320" w:lineRule="exact"/>
              <w:jc w:val="both"/>
              <w:rPr>
                <w:rStyle w:val="FootnoteReference"/>
                <w:bCs w:val="0"/>
                <w:sz w:val="24"/>
                <w:szCs w:val="24"/>
                <w:vertAlign w:val="baseline"/>
              </w:rPr>
            </w:pPr>
            <w:r>
              <w:rPr>
                <w:sz w:val="24"/>
                <w:szCs w:val="24"/>
                <w:rtl/>
              </w:rPr>
              <w:tab/>
            </w:r>
            <w:r>
              <w:rPr>
                <w:rFonts w:hint="cs"/>
                <w:sz w:val="24"/>
                <w:szCs w:val="24"/>
                <w:rtl/>
              </w:rPr>
              <w:t>330</w:t>
            </w:r>
          </w:p>
        </w:tc>
        <w:tc>
          <w:tcPr>
            <w:tcW w:w="1596" w:type="dxa"/>
            <w:tcBorders>
              <w:bottom w:val="nil"/>
            </w:tcBorders>
          </w:tcPr>
          <w:p w:rsidR="00567B15" w:rsidRDefault="00567B15">
            <w:pPr>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132</w:t>
            </w:r>
          </w:p>
        </w:tc>
        <w:tc>
          <w:tcPr>
            <w:tcW w:w="1260" w:type="dxa"/>
            <w:tcBorders>
              <w:bottom w:val="nil"/>
            </w:tcBorders>
          </w:tcPr>
          <w:p w:rsidR="00567B15" w:rsidRDefault="00567B15">
            <w:pPr>
              <w:tabs>
                <w:tab w:val="left" w:pos="252"/>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450 8</w:t>
            </w:r>
          </w:p>
        </w:tc>
      </w:tr>
      <w:tr w:rsidR="00567B15" w:rsidTr="00567B15">
        <w:tblPrEx>
          <w:tblCellMar>
            <w:top w:w="0" w:type="dxa"/>
            <w:bottom w:w="0" w:type="dxa"/>
          </w:tblCellMar>
        </w:tblPrEx>
        <w:tc>
          <w:tcPr>
            <w:tcW w:w="1428" w:type="dxa"/>
            <w:tcBorders>
              <w:top w:val="nil"/>
              <w:bottom w:val="nil"/>
            </w:tcBorders>
          </w:tcPr>
          <w:p w:rsidR="00567B15" w:rsidRDefault="00567B15">
            <w:pPr>
              <w:spacing w:before="0" w:after="0" w:line="320" w:lineRule="exact"/>
              <w:jc w:val="both"/>
              <w:rPr>
                <w:rFonts w:hint="cs"/>
                <w:sz w:val="24"/>
                <w:szCs w:val="24"/>
                <w:rtl/>
              </w:rPr>
            </w:pPr>
            <w:r>
              <w:rPr>
                <w:rFonts w:hint="cs"/>
                <w:sz w:val="24"/>
                <w:szCs w:val="24"/>
                <w:rtl/>
              </w:rPr>
              <w:t>المنطقة الشرقية</w:t>
            </w:r>
          </w:p>
        </w:tc>
        <w:tc>
          <w:tcPr>
            <w:tcW w:w="952" w:type="dxa"/>
            <w:tcBorders>
              <w:top w:val="nil"/>
              <w:bottom w:val="nil"/>
            </w:tcBorders>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t>681</w:t>
            </w:r>
          </w:p>
        </w:tc>
        <w:tc>
          <w:tcPr>
            <w:tcW w:w="2030" w:type="dxa"/>
            <w:tcBorders>
              <w:top w:val="nil"/>
              <w:bottom w:val="nil"/>
            </w:tcBorders>
          </w:tcPr>
          <w:p w:rsidR="00567B15" w:rsidRDefault="00567B15">
            <w:pPr>
              <w:tabs>
                <w:tab w:val="left" w:pos="488"/>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85</w:t>
            </w:r>
          </w:p>
        </w:tc>
        <w:tc>
          <w:tcPr>
            <w:tcW w:w="2099" w:type="dxa"/>
            <w:tcBorders>
              <w:top w:val="nil"/>
              <w:bottom w:val="nil"/>
            </w:tcBorders>
          </w:tcPr>
          <w:p w:rsidR="00567B15" w:rsidRDefault="00567B15">
            <w:pPr>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8</w:t>
            </w:r>
          </w:p>
        </w:tc>
        <w:tc>
          <w:tcPr>
            <w:tcW w:w="1596" w:type="dxa"/>
            <w:tcBorders>
              <w:top w:val="nil"/>
              <w:bottom w:val="nil"/>
            </w:tcBorders>
          </w:tcPr>
          <w:p w:rsidR="00567B15" w:rsidRDefault="00567B15">
            <w:pPr>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38</w:t>
            </w:r>
          </w:p>
        </w:tc>
        <w:tc>
          <w:tcPr>
            <w:tcW w:w="1260" w:type="dxa"/>
            <w:tcBorders>
              <w:top w:val="nil"/>
              <w:bottom w:val="nil"/>
            </w:tcBorders>
          </w:tcPr>
          <w:p w:rsidR="00567B15" w:rsidRDefault="00567B15">
            <w:pPr>
              <w:tabs>
                <w:tab w:val="left" w:pos="252"/>
              </w:tabs>
              <w:spacing w:before="0" w:after="0" w:line="320" w:lineRule="exact"/>
              <w:jc w:val="both"/>
              <w:rPr>
                <w:rStyle w:val="FootnoteReference"/>
                <w:rFonts w:hint="cs"/>
                <w:bCs w:val="0"/>
                <w:sz w:val="24"/>
                <w:szCs w:val="24"/>
                <w:vertAlign w:val="baseline"/>
              </w:rPr>
            </w:pPr>
            <w:r>
              <w:rPr>
                <w:rFonts w:hint="cs"/>
                <w:sz w:val="24"/>
                <w:szCs w:val="24"/>
                <w:rtl/>
              </w:rPr>
              <w:tab/>
              <w:t>812</w:t>
            </w:r>
          </w:p>
        </w:tc>
      </w:tr>
      <w:tr w:rsidR="00567B15" w:rsidTr="00567B15">
        <w:tblPrEx>
          <w:tblCellMar>
            <w:top w:w="0" w:type="dxa"/>
            <w:bottom w:w="0" w:type="dxa"/>
          </w:tblCellMar>
        </w:tblPrEx>
        <w:tc>
          <w:tcPr>
            <w:tcW w:w="1428" w:type="dxa"/>
            <w:tcBorders>
              <w:top w:val="nil"/>
            </w:tcBorders>
          </w:tcPr>
          <w:p w:rsidR="00567B15" w:rsidRDefault="00567B15">
            <w:pPr>
              <w:spacing w:before="0" w:after="0" w:line="320" w:lineRule="exact"/>
              <w:jc w:val="both"/>
              <w:rPr>
                <w:rFonts w:hint="cs"/>
                <w:sz w:val="24"/>
                <w:szCs w:val="24"/>
                <w:rtl/>
              </w:rPr>
            </w:pPr>
            <w:r>
              <w:rPr>
                <w:rFonts w:hint="cs"/>
                <w:sz w:val="24"/>
                <w:szCs w:val="24"/>
                <w:rtl/>
              </w:rPr>
              <w:t>منطقة المرتفعات</w:t>
            </w:r>
          </w:p>
        </w:tc>
        <w:tc>
          <w:tcPr>
            <w:tcW w:w="952" w:type="dxa"/>
            <w:tcBorders>
              <w:top w:val="nil"/>
            </w:tcBorders>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t>289 4</w:t>
            </w:r>
          </w:p>
        </w:tc>
        <w:tc>
          <w:tcPr>
            <w:tcW w:w="2030" w:type="dxa"/>
            <w:tcBorders>
              <w:top w:val="nil"/>
            </w:tcBorders>
          </w:tcPr>
          <w:p w:rsidR="00567B15" w:rsidRDefault="00567B15">
            <w:pPr>
              <w:tabs>
                <w:tab w:val="left" w:pos="488"/>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496 1</w:t>
            </w:r>
          </w:p>
        </w:tc>
        <w:tc>
          <w:tcPr>
            <w:tcW w:w="2099" w:type="dxa"/>
            <w:tcBorders>
              <w:top w:val="nil"/>
            </w:tcBorders>
          </w:tcPr>
          <w:p w:rsidR="00567B15" w:rsidRDefault="00567B15">
            <w:pPr>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261 3</w:t>
            </w:r>
          </w:p>
        </w:tc>
        <w:tc>
          <w:tcPr>
            <w:tcW w:w="1596" w:type="dxa"/>
            <w:tcBorders>
              <w:top w:val="nil"/>
            </w:tcBorders>
          </w:tcPr>
          <w:p w:rsidR="00567B15" w:rsidRDefault="00567B15">
            <w:pPr>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862</w:t>
            </w:r>
          </w:p>
        </w:tc>
        <w:tc>
          <w:tcPr>
            <w:tcW w:w="1260" w:type="dxa"/>
            <w:tcBorders>
              <w:top w:val="nil"/>
            </w:tcBorders>
          </w:tcPr>
          <w:p w:rsidR="00567B15" w:rsidRDefault="00567B15">
            <w:pPr>
              <w:tabs>
                <w:tab w:val="left" w:pos="252"/>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908 9</w:t>
            </w:r>
          </w:p>
        </w:tc>
      </w:tr>
      <w:tr w:rsidR="00567B15" w:rsidTr="00567B15">
        <w:tblPrEx>
          <w:tblCellMar>
            <w:top w:w="0" w:type="dxa"/>
            <w:bottom w:w="0" w:type="dxa"/>
          </w:tblCellMar>
        </w:tblPrEx>
        <w:trPr>
          <w:trHeight w:val="372"/>
        </w:trPr>
        <w:tc>
          <w:tcPr>
            <w:tcW w:w="1428" w:type="dxa"/>
          </w:tcPr>
          <w:p w:rsidR="00567B15" w:rsidRDefault="00567B15">
            <w:pPr>
              <w:spacing w:before="0" w:after="0" w:line="320" w:lineRule="exact"/>
              <w:jc w:val="both"/>
              <w:rPr>
                <w:rFonts w:hint="cs"/>
                <w:sz w:val="24"/>
                <w:szCs w:val="24"/>
                <w:rtl/>
              </w:rPr>
            </w:pPr>
            <w:r>
              <w:rPr>
                <w:rFonts w:hint="cs"/>
                <w:sz w:val="24"/>
                <w:szCs w:val="24"/>
                <w:rtl/>
              </w:rPr>
              <w:t>المجموع الوطني</w:t>
            </w:r>
          </w:p>
        </w:tc>
        <w:tc>
          <w:tcPr>
            <w:tcW w:w="952" w:type="dxa"/>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t>640 6</w:t>
            </w:r>
          </w:p>
        </w:tc>
        <w:tc>
          <w:tcPr>
            <w:tcW w:w="2030" w:type="dxa"/>
          </w:tcPr>
          <w:p w:rsidR="00567B15" w:rsidRDefault="00567B15">
            <w:pPr>
              <w:tabs>
                <w:tab w:val="left" w:pos="488"/>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899 7</w:t>
            </w:r>
          </w:p>
        </w:tc>
        <w:tc>
          <w:tcPr>
            <w:tcW w:w="2099" w:type="dxa"/>
          </w:tcPr>
          <w:p w:rsidR="00567B15" w:rsidRDefault="00567B15">
            <w:pPr>
              <w:spacing w:before="0" w:after="0" w:line="320" w:lineRule="exact"/>
              <w:jc w:val="center"/>
              <w:rPr>
                <w:rStyle w:val="FootnoteReference"/>
                <w:rFonts w:hint="cs"/>
                <w:bCs w:val="0"/>
                <w:sz w:val="24"/>
                <w:szCs w:val="24"/>
                <w:vertAlign w:val="baseline"/>
              </w:rPr>
            </w:pPr>
            <w:r>
              <w:rPr>
                <w:rFonts w:hint="cs"/>
                <w:sz w:val="24"/>
                <w:szCs w:val="24"/>
                <w:rtl/>
              </w:rPr>
              <w:t>599 3</w:t>
            </w:r>
          </w:p>
        </w:tc>
        <w:tc>
          <w:tcPr>
            <w:tcW w:w="1596" w:type="dxa"/>
          </w:tcPr>
          <w:p w:rsidR="00567B15" w:rsidRDefault="00567B15">
            <w:pPr>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032 1</w:t>
            </w:r>
          </w:p>
        </w:tc>
        <w:tc>
          <w:tcPr>
            <w:tcW w:w="1260" w:type="dxa"/>
          </w:tcPr>
          <w:p w:rsidR="00567B15" w:rsidRDefault="00567B15">
            <w:pPr>
              <w:tabs>
                <w:tab w:val="left" w:pos="252"/>
              </w:tabs>
              <w:spacing w:before="0" w:after="0" w:line="320" w:lineRule="exact"/>
              <w:jc w:val="both"/>
              <w:rPr>
                <w:rStyle w:val="FootnoteReference"/>
                <w:rFonts w:hint="cs"/>
                <w:bCs w:val="0"/>
                <w:sz w:val="24"/>
                <w:szCs w:val="24"/>
                <w:vertAlign w:val="baseline"/>
              </w:rPr>
            </w:pPr>
            <w:r>
              <w:rPr>
                <w:sz w:val="24"/>
                <w:szCs w:val="24"/>
                <w:rtl/>
              </w:rPr>
              <w:tab/>
            </w:r>
            <w:r>
              <w:rPr>
                <w:rFonts w:hint="cs"/>
                <w:sz w:val="24"/>
                <w:szCs w:val="24"/>
                <w:rtl/>
              </w:rPr>
              <w:t>170 19</w:t>
            </w:r>
          </w:p>
        </w:tc>
      </w:tr>
    </w:tbl>
    <w:p w:rsidR="00000000" w:rsidRDefault="00567B15">
      <w:pPr>
        <w:spacing w:before="120" w:after="120"/>
        <w:jc w:val="center"/>
        <w:rPr>
          <w:rFonts w:hint="cs"/>
          <w:rtl/>
        </w:rPr>
      </w:pPr>
      <w:r>
        <w:rPr>
          <w:rFonts w:hint="cs"/>
          <w:b/>
          <w:bCs/>
          <w:rtl/>
        </w:rPr>
        <w:t>الإسكان، من كانون الثاني/يناير 19</w:t>
      </w:r>
      <w:r>
        <w:rPr>
          <w:rFonts w:hint="cs"/>
          <w:b/>
          <w:bCs/>
          <w:rtl/>
        </w:rPr>
        <w:t>99 إلى كانون الأول/ديسمبر 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620"/>
        <w:gridCol w:w="1980"/>
        <w:gridCol w:w="1440"/>
        <w:gridCol w:w="1620"/>
        <w:gridCol w:w="1078"/>
      </w:tblGrid>
      <w:tr w:rsidR="00567B15" w:rsidTr="00567B15">
        <w:tblPrEx>
          <w:tblCellMar>
            <w:top w:w="0" w:type="dxa"/>
            <w:bottom w:w="0" w:type="dxa"/>
          </w:tblCellMar>
        </w:tblPrEx>
        <w:trPr>
          <w:trHeight w:val="1015"/>
        </w:trPr>
        <w:tc>
          <w:tcPr>
            <w:tcW w:w="1620" w:type="dxa"/>
            <w:tcBorders>
              <w:bottom w:val="single" w:sz="4" w:space="0" w:color="auto"/>
            </w:tcBorders>
          </w:tcPr>
          <w:p w:rsidR="00567B15" w:rsidRDefault="00567B15">
            <w:pPr>
              <w:spacing w:before="0" w:after="0" w:line="320" w:lineRule="exact"/>
              <w:jc w:val="center"/>
              <w:rPr>
                <w:rFonts w:hint="cs"/>
              </w:rPr>
            </w:pPr>
            <w:r>
              <w:rPr>
                <w:sz w:val="24"/>
                <w:szCs w:val="24"/>
                <w:rtl/>
              </w:rPr>
              <w:br/>
            </w:r>
            <w:r>
              <w:rPr>
                <w:sz w:val="24"/>
                <w:szCs w:val="24"/>
                <w:rtl/>
              </w:rPr>
              <w:br/>
            </w:r>
            <w:r>
              <w:rPr>
                <w:rFonts w:hint="cs"/>
                <w:sz w:val="24"/>
                <w:szCs w:val="24"/>
                <w:rtl/>
              </w:rPr>
              <w:t>المناطق</w:t>
            </w:r>
          </w:p>
        </w:tc>
        <w:tc>
          <w:tcPr>
            <w:tcW w:w="1620" w:type="dxa"/>
            <w:tcBorders>
              <w:bottom w:val="single" w:sz="4" w:space="0" w:color="auto"/>
            </w:tcBorders>
          </w:tcPr>
          <w:p w:rsidR="00567B15" w:rsidRDefault="00567B15">
            <w:pPr>
              <w:spacing w:before="0" w:after="0" w:line="320" w:lineRule="exact"/>
              <w:jc w:val="center"/>
              <w:rPr>
                <w:rFonts w:hint="cs"/>
              </w:rPr>
            </w:pPr>
            <w:r>
              <w:rPr>
                <w:rFonts w:hint="cs"/>
                <w:sz w:val="24"/>
                <w:szCs w:val="24"/>
                <w:rtl/>
              </w:rPr>
              <w:t>المناطق الريفية* (المساكن الجديدة والمرممة)</w:t>
            </w:r>
          </w:p>
        </w:tc>
        <w:tc>
          <w:tcPr>
            <w:tcW w:w="1980" w:type="dxa"/>
            <w:tcBorders>
              <w:bottom w:val="single" w:sz="4" w:space="0" w:color="auto"/>
            </w:tcBorders>
          </w:tcPr>
          <w:p w:rsidR="00567B15" w:rsidRDefault="00567B15">
            <w:pPr>
              <w:spacing w:before="0" w:after="0" w:line="320" w:lineRule="exact"/>
              <w:jc w:val="center"/>
              <w:rPr>
                <w:rFonts w:hint="cs"/>
              </w:rPr>
            </w:pPr>
            <w:r>
              <w:rPr>
                <w:rFonts w:hint="cs"/>
                <w:sz w:val="24"/>
                <w:szCs w:val="24"/>
                <w:rtl/>
              </w:rPr>
              <w:t>المناطق الحضرية المهمشة (المساكن الجديدة، والمرممة، وظاهرة النينيو)</w:t>
            </w:r>
          </w:p>
        </w:tc>
        <w:tc>
          <w:tcPr>
            <w:tcW w:w="1440" w:type="dxa"/>
            <w:tcBorders>
              <w:bottom w:val="single" w:sz="4" w:space="0" w:color="auto"/>
            </w:tcBorders>
          </w:tcPr>
          <w:p w:rsidR="00567B15" w:rsidRDefault="00567B15">
            <w:pPr>
              <w:spacing w:before="0" w:after="0" w:line="320" w:lineRule="exact"/>
              <w:jc w:val="center"/>
              <w:rPr>
                <w:rFonts w:hint="cs"/>
              </w:rPr>
            </w:pPr>
            <w:r>
              <w:rPr>
                <w:rFonts w:hint="cs"/>
                <w:sz w:val="24"/>
                <w:szCs w:val="24"/>
                <w:rtl/>
              </w:rPr>
              <w:t>نظام حوافز الإسكان - في الحضر</w:t>
            </w:r>
          </w:p>
        </w:tc>
        <w:tc>
          <w:tcPr>
            <w:tcW w:w="1620" w:type="dxa"/>
            <w:tcBorders>
              <w:bottom w:val="single" w:sz="4" w:space="0" w:color="auto"/>
            </w:tcBorders>
          </w:tcPr>
          <w:p w:rsidR="00567B15" w:rsidRDefault="00567B15">
            <w:pPr>
              <w:spacing w:before="0" w:after="0" w:line="320" w:lineRule="exact"/>
              <w:jc w:val="center"/>
              <w:rPr>
                <w:rFonts w:hint="cs"/>
              </w:rPr>
            </w:pPr>
            <w:r>
              <w:rPr>
                <w:sz w:val="24"/>
                <w:szCs w:val="24"/>
                <w:rtl/>
              </w:rPr>
              <w:br/>
            </w:r>
            <w:r>
              <w:rPr>
                <w:rFonts w:hint="cs"/>
                <w:sz w:val="24"/>
                <w:szCs w:val="24"/>
                <w:rtl/>
              </w:rPr>
              <w:t>مصرف الإسكان الإكوادوري</w:t>
            </w:r>
          </w:p>
        </w:tc>
        <w:tc>
          <w:tcPr>
            <w:tcW w:w="1078" w:type="dxa"/>
            <w:tcBorders>
              <w:bottom w:val="single" w:sz="4" w:space="0" w:color="auto"/>
            </w:tcBorders>
          </w:tcPr>
          <w:p w:rsidR="00567B15" w:rsidRDefault="00567B15">
            <w:pPr>
              <w:spacing w:before="0" w:after="0" w:line="320" w:lineRule="exact"/>
              <w:jc w:val="center"/>
              <w:rPr>
                <w:rFonts w:hint="cs"/>
              </w:rPr>
            </w:pPr>
            <w:r>
              <w:rPr>
                <w:rFonts w:hint="cs"/>
                <w:sz w:val="24"/>
                <w:szCs w:val="24"/>
                <w:rtl/>
              </w:rPr>
              <w:br/>
              <w:t>مجموع</w:t>
            </w:r>
            <w:r>
              <w:rPr>
                <w:sz w:val="24"/>
                <w:szCs w:val="24"/>
                <w:rtl/>
              </w:rPr>
              <w:br/>
            </w:r>
            <w:r>
              <w:rPr>
                <w:rFonts w:hint="cs"/>
                <w:sz w:val="24"/>
                <w:szCs w:val="24"/>
                <w:rtl/>
              </w:rPr>
              <w:t>المساكن</w:t>
            </w:r>
          </w:p>
        </w:tc>
      </w:tr>
      <w:tr w:rsidR="00567B15" w:rsidTr="00567B15">
        <w:tblPrEx>
          <w:tblCellMar>
            <w:top w:w="0" w:type="dxa"/>
            <w:bottom w:w="0" w:type="dxa"/>
          </w:tblCellMar>
        </w:tblPrEx>
        <w:tc>
          <w:tcPr>
            <w:tcW w:w="1620" w:type="dxa"/>
            <w:tcBorders>
              <w:bottom w:val="nil"/>
            </w:tcBorders>
          </w:tcPr>
          <w:p w:rsidR="00567B15" w:rsidRDefault="00567B15">
            <w:pPr>
              <w:spacing w:before="0" w:after="0" w:line="320" w:lineRule="exact"/>
              <w:jc w:val="center"/>
              <w:rPr>
                <w:rFonts w:hint="cs"/>
              </w:rPr>
            </w:pPr>
            <w:r>
              <w:rPr>
                <w:rFonts w:hint="cs"/>
                <w:sz w:val="24"/>
                <w:szCs w:val="24"/>
                <w:rtl/>
              </w:rPr>
              <w:t>المنطقة الساحلية</w:t>
            </w:r>
          </w:p>
        </w:tc>
        <w:tc>
          <w:tcPr>
            <w:tcW w:w="1620" w:type="dxa"/>
            <w:tcBorders>
              <w:bottom w:val="nil"/>
            </w:tcBorders>
          </w:tcPr>
          <w:p w:rsidR="00567B15" w:rsidRDefault="00567B15">
            <w:pPr>
              <w:spacing w:before="0" w:after="0" w:line="320" w:lineRule="exact"/>
              <w:jc w:val="center"/>
              <w:rPr>
                <w:rFonts w:hint="cs"/>
              </w:rPr>
            </w:pPr>
            <w:r>
              <w:rPr>
                <w:rFonts w:hint="cs"/>
                <w:sz w:val="24"/>
                <w:szCs w:val="24"/>
                <w:rtl/>
              </w:rPr>
              <w:t>220 7</w:t>
            </w:r>
          </w:p>
        </w:tc>
        <w:tc>
          <w:tcPr>
            <w:tcW w:w="1980" w:type="dxa"/>
            <w:tcBorders>
              <w:bottom w:val="nil"/>
            </w:tcBorders>
          </w:tcPr>
          <w:p w:rsidR="00567B15" w:rsidRDefault="00567B15">
            <w:pPr>
              <w:spacing w:before="0" w:after="0" w:line="320" w:lineRule="exact"/>
              <w:jc w:val="center"/>
              <w:rPr>
                <w:rFonts w:hint="cs"/>
              </w:rPr>
            </w:pPr>
            <w:r>
              <w:rPr>
                <w:rFonts w:hint="cs"/>
                <w:sz w:val="24"/>
                <w:szCs w:val="24"/>
                <w:rtl/>
              </w:rPr>
              <w:t>786 1</w:t>
            </w:r>
          </w:p>
        </w:tc>
        <w:tc>
          <w:tcPr>
            <w:tcW w:w="1440" w:type="dxa"/>
            <w:tcBorders>
              <w:bottom w:val="nil"/>
            </w:tcBorders>
          </w:tcPr>
          <w:p w:rsidR="00567B15" w:rsidRDefault="00567B15">
            <w:pPr>
              <w:tabs>
                <w:tab w:val="left" w:pos="252"/>
              </w:tabs>
              <w:spacing w:before="0" w:after="0" w:line="320" w:lineRule="exact"/>
              <w:jc w:val="center"/>
              <w:rPr>
                <w:rFonts w:hint="cs"/>
              </w:rPr>
            </w:pPr>
            <w:r>
              <w:rPr>
                <w:rFonts w:hint="cs"/>
                <w:sz w:val="24"/>
                <w:szCs w:val="24"/>
                <w:rtl/>
              </w:rPr>
              <w:t>890 7</w:t>
            </w:r>
          </w:p>
        </w:tc>
        <w:tc>
          <w:tcPr>
            <w:tcW w:w="1620" w:type="dxa"/>
            <w:tcBorders>
              <w:bottom w:val="nil"/>
            </w:tcBorders>
          </w:tcPr>
          <w:p w:rsidR="00567B15" w:rsidRDefault="00567B15">
            <w:pPr>
              <w:tabs>
                <w:tab w:val="left" w:pos="432"/>
              </w:tabs>
              <w:spacing w:before="0" w:after="0" w:line="320" w:lineRule="exact"/>
              <w:jc w:val="center"/>
              <w:rPr>
                <w:rFonts w:hint="cs"/>
              </w:rPr>
            </w:pPr>
            <w:r>
              <w:rPr>
                <w:rFonts w:hint="cs"/>
                <w:sz w:val="24"/>
                <w:szCs w:val="24"/>
                <w:rtl/>
              </w:rPr>
              <w:t>599</w:t>
            </w:r>
          </w:p>
        </w:tc>
        <w:tc>
          <w:tcPr>
            <w:tcW w:w="1078" w:type="dxa"/>
            <w:tcBorders>
              <w:bottom w:val="nil"/>
            </w:tcBorders>
          </w:tcPr>
          <w:p w:rsidR="00567B15" w:rsidRDefault="00567B15">
            <w:pPr>
              <w:spacing w:before="0" w:after="0" w:line="320" w:lineRule="exact"/>
              <w:jc w:val="center"/>
              <w:rPr>
                <w:rFonts w:hint="cs"/>
              </w:rPr>
            </w:pPr>
            <w:r>
              <w:rPr>
                <w:rFonts w:hint="cs"/>
                <w:sz w:val="24"/>
                <w:szCs w:val="24"/>
                <w:rtl/>
              </w:rPr>
              <w:t>495 17</w:t>
            </w:r>
          </w:p>
        </w:tc>
      </w:tr>
      <w:tr w:rsidR="00567B15" w:rsidTr="00567B15">
        <w:tblPrEx>
          <w:tblCellMar>
            <w:top w:w="0" w:type="dxa"/>
            <w:bottom w:w="0" w:type="dxa"/>
          </w:tblCellMar>
        </w:tblPrEx>
        <w:tc>
          <w:tcPr>
            <w:tcW w:w="1620" w:type="dxa"/>
            <w:tcBorders>
              <w:top w:val="nil"/>
              <w:bottom w:val="nil"/>
            </w:tcBorders>
          </w:tcPr>
          <w:p w:rsidR="00567B15" w:rsidRDefault="00567B15">
            <w:pPr>
              <w:spacing w:before="0" w:after="0" w:line="320" w:lineRule="exact"/>
              <w:jc w:val="center"/>
              <w:rPr>
                <w:rFonts w:hint="cs"/>
                <w:sz w:val="24"/>
                <w:szCs w:val="24"/>
                <w:rtl/>
              </w:rPr>
            </w:pPr>
            <w:r>
              <w:rPr>
                <w:rFonts w:hint="cs"/>
                <w:sz w:val="24"/>
                <w:szCs w:val="24"/>
                <w:rtl/>
              </w:rPr>
              <w:t>المنطقة الشرقية</w:t>
            </w:r>
          </w:p>
        </w:tc>
        <w:tc>
          <w:tcPr>
            <w:tcW w:w="1620" w:type="dxa"/>
            <w:tcBorders>
              <w:top w:val="nil"/>
              <w:bottom w:val="nil"/>
            </w:tcBorders>
          </w:tcPr>
          <w:p w:rsidR="00567B15" w:rsidRDefault="00567B15">
            <w:pPr>
              <w:spacing w:before="0" w:after="0" w:line="320" w:lineRule="exact"/>
              <w:jc w:val="center"/>
              <w:rPr>
                <w:rFonts w:hint="cs"/>
              </w:rPr>
            </w:pPr>
            <w:r>
              <w:rPr>
                <w:rFonts w:hint="cs"/>
                <w:sz w:val="24"/>
                <w:szCs w:val="24"/>
                <w:rtl/>
              </w:rPr>
              <w:t>977</w:t>
            </w:r>
          </w:p>
        </w:tc>
        <w:tc>
          <w:tcPr>
            <w:tcW w:w="1980" w:type="dxa"/>
            <w:tcBorders>
              <w:top w:val="nil"/>
              <w:bottom w:val="nil"/>
            </w:tcBorders>
          </w:tcPr>
          <w:p w:rsidR="00567B15" w:rsidRDefault="00567B15">
            <w:pPr>
              <w:tabs>
                <w:tab w:val="left" w:pos="432"/>
              </w:tabs>
              <w:spacing w:before="0" w:after="0" w:line="320" w:lineRule="exact"/>
              <w:jc w:val="center"/>
              <w:rPr>
                <w:rFonts w:hint="cs"/>
              </w:rPr>
            </w:pPr>
            <w:r>
              <w:rPr>
                <w:rFonts w:hint="cs"/>
                <w:sz w:val="24"/>
                <w:szCs w:val="24"/>
                <w:rtl/>
              </w:rPr>
              <w:t>صفر</w:t>
            </w:r>
          </w:p>
        </w:tc>
        <w:tc>
          <w:tcPr>
            <w:tcW w:w="1440" w:type="dxa"/>
            <w:tcBorders>
              <w:top w:val="nil"/>
              <w:bottom w:val="nil"/>
            </w:tcBorders>
          </w:tcPr>
          <w:p w:rsidR="00567B15" w:rsidRDefault="00567B15">
            <w:pPr>
              <w:tabs>
                <w:tab w:val="left" w:pos="252"/>
              </w:tabs>
              <w:spacing w:before="0" w:after="0" w:line="320" w:lineRule="exact"/>
              <w:jc w:val="center"/>
              <w:rPr>
                <w:rFonts w:hint="cs"/>
              </w:rPr>
            </w:pPr>
            <w:r>
              <w:rPr>
                <w:rFonts w:hint="cs"/>
                <w:sz w:val="24"/>
                <w:szCs w:val="24"/>
                <w:rtl/>
              </w:rPr>
              <w:t>805</w:t>
            </w:r>
          </w:p>
        </w:tc>
        <w:tc>
          <w:tcPr>
            <w:tcW w:w="1620" w:type="dxa"/>
            <w:tcBorders>
              <w:top w:val="nil"/>
              <w:bottom w:val="nil"/>
            </w:tcBorders>
          </w:tcPr>
          <w:p w:rsidR="00567B15" w:rsidRDefault="00567B15">
            <w:pPr>
              <w:tabs>
                <w:tab w:val="left" w:pos="432"/>
              </w:tabs>
              <w:spacing w:before="0" w:after="0" w:line="320" w:lineRule="exact"/>
              <w:jc w:val="center"/>
              <w:rPr>
                <w:rFonts w:hint="cs"/>
              </w:rPr>
            </w:pPr>
            <w:r>
              <w:rPr>
                <w:rFonts w:hint="cs"/>
                <w:sz w:val="24"/>
                <w:szCs w:val="24"/>
                <w:rtl/>
              </w:rPr>
              <w:t>29</w:t>
            </w:r>
          </w:p>
        </w:tc>
        <w:tc>
          <w:tcPr>
            <w:tcW w:w="1078" w:type="dxa"/>
            <w:tcBorders>
              <w:top w:val="nil"/>
              <w:bottom w:val="nil"/>
            </w:tcBorders>
          </w:tcPr>
          <w:p w:rsidR="00567B15" w:rsidRDefault="00567B15">
            <w:pPr>
              <w:spacing w:before="0" w:after="0" w:line="320" w:lineRule="exact"/>
              <w:jc w:val="center"/>
              <w:rPr>
                <w:rFonts w:hint="cs"/>
              </w:rPr>
            </w:pPr>
            <w:r>
              <w:rPr>
                <w:rFonts w:hint="cs"/>
                <w:sz w:val="24"/>
                <w:szCs w:val="24"/>
                <w:rtl/>
              </w:rPr>
              <w:t>811 1</w:t>
            </w:r>
          </w:p>
        </w:tc>
      </w:tr>
      <w:tr w:rsidR="00567B15" w:rsidTr="00567B15">
        <w:tblPrEx>
          <w:tblCellMar>
            <w:top w:w="0" w:type="dxa"/>
            <w:bottom w:w="0" w:type="dxa"/>
          </w:tblCellMar>
        </w:tblPrEx>
        <w:tc>
          <w:tcPr>
            <w:tcW w:w="1620" w:type="dxa"/>
            <w:tcBorders>
              <w:top w:val="nil"/>
            </w:tcBorders>
          </w:tcPr>
          <w:p w:rsidR="00567B15" w:rsidRDefault="00567B15">
            <w:pPr>
              <w:spacing w:before="0" w:after="0" w:line="320" w:lineRule="exact"/>
              <w:jc w:val="center"/>
              <w:rPr>
                <w:rFonts w:hint="cs"/>
                <w:sz w:val="24"/>
                <w:szCs w:val="24"/>
                <w:rtl/>
              </w:rPr>
            </w:pPr>
            <w:r>
              <w:rPr>
                <w:rFonts w:hint="cs"/>
                <w:sz w:val="24"/>
                <w:szCs w:val="24"/>
                <w:rtl/>
              </w:rPr>
              <w:t>منطقة المرتفعات</w:t>
            </w:r>
          </w:p>
        </w:tc>
        <w:tc>
          <w:tcPr>
            <w:tcW w:w="1620" w:type="dxa"/>
            <w:tcBorders>
              <w:top w:val="nil"/>
            </w:tcBorders>
          </w:tcPr>
          <w:p w:rsidR="00567B15" w:rsidRDefault="00567B15">
            <w:pPr>
              <w:spacing w:before="0" w:after="0" w:line="320" w:lineRule="exact"/>
              <w:jc w:val="center"/>
              <w:rPr>
                <w:rFonts w:hint="cs"/>
              </w:rPr>
            </w:pPr>
            <w:r>
              <w:rPr>
                <w:rFonts w:hint="cs"/>
                <w:sz w:val="24"/>
                <w:szCs w:val="24"/>
                <w:rtl/>
              </w:rPr>
              <w:t>611 4</w:t>
            </w:r>
          </w:p>
        </w:tc>
        <w:tc>
          <w:tcPr>
            <w:tcW w:w="1980" w:type="dxa"/>
            <w:tcBorders>
              <w:top w:val="nil"/>
            </w:tcBorders>
          </w:tcPr>
          <w:p w:rsidR="00567B15" w:rsidRDefault="00567B15">
            <w:pPr>
              <w:tabs>
                <w:tab w:val="left" w:pos="432"/>
              </w:tabs>
              <w:spacing w:before="0" w:after="0" w:line="320" w:lineRule="exact"/>
              <w:jc w:val="center"/>
              <w:rPr>
                <w:rFonts w:hint="cs"/>
              </w:rPr>
            </w:pPr>
            <w:r>
              <w:rPr>
                <w:rFonts w:hint="cs"/>
                <w:sz w:val="24"/>
                <w:szCs w:val="24"/>
                <w:rtl/>
              </w:rPr>
              <w:t>456</w:t>
            </w:r>
          </w:p>
        </w:tc>
        <w:tc>
          <w:tcPr>
            <w:tcW w:w="1440" w:type="dxa"/>
            <w:tcBorders>
              <w:top w:val="nil"/>
            </w:tcBorders>
          </w:tcPr>
          <w:p w:rsidR="00567B15" w:rsidRDefault="00567B15">
            <w:pPr>
              <w:tabs>
                <w:tab w:val="left" w:pos="252"/>
              </w:tabs>
              <w:spacing w:before="0" w:after="0" w:line="320" w:lineRule="exact"/>
              <w:jc w:val="center"/>
              <w:rPr>
                <w:rFonts w:hint="cs"/>
              </w:rPr>
            </w:pPr>
            <w:r>
              <w:rPr>
                <w:rFonts w:hint="cs"/>
                <w:sz w:val="24"/>
                <w:szCs w:val="24"/>
                <w:rtl/>
              </w:rPr>
              <w:t>639 12</w:t>
            </w:r>
          </w:p>
        </w:tc>
        <w:tc>
          <w:tcPr>
            <w:tcW w:w="1620" w:type="dxa"/>
            <w:tcBorders>
              <w:top w:val="nil"/>
            </w:tcBorders>
          </w:tcPr>
          <w:p w:rsidR="00567B15" w:rsidRDefault="00567B15">
            <w:pPr>
              <w:tabs>
                <w:tab w:val="left" w:pos="432"/>
              </w:tabs>
              <w:spacing w:before="0" w:after="0" w:line="320" w:lineRule="exact"/>
              <w:jc w:val="center"/>
              <w:rPr>
                <w:rFonts w:hint="cs"/>
              </w:rPr>
            </w:pPr>
            <w:r>
              <w:rPr>
                <w:rFonts w:hint="cs"/>
                <w:sz w:val="24"/>
                <w:szCs w:val="24"/>
                <w:rtl/>
              </w:rPr>
              <w:t>675</w:t>
            </w:r>
          </w:p>
        </w:tc>
        <w:tc>
          <w:tcPr>
            <w:tcW w:w="1078" w:type="dxa"/>
            <w:tcBorders>
              <w:top w:val="nil"/>
            </w:tcBorders>
          </w:tcPr>
          <w:p w:rsidR="00567B15" w:rsidRDefault="00567B15">
            <w:pPr>
              <w:spacing w:before="0" w:after="0" w:line="320" w:lineRule="exact"/>
              <w:jc w:val="center"/>
              <w:rPr>
                <w:rFonts w:hint="cs"/>
              </w:rPr>
            </w:pPr>
            <w:r>
              <w:rPr>
                <w:rFonts w:hint="cs"/>
                <w:sz w:val="24"/>
                <w:szCs w:val="24"/>
                <w:rtl/>
              </w:rPr>
              <w:t>381 18</w:t>
            </w:r>
          </w:p>
        </w:tc>
      </w:tr>
      <w:tr w:rsidR="00567B15" w:rsidTr="00567B15">
        <w:tblPrEx>
          <w:tblCellMar>
            <w:top w:w="0" w:type="dxa"/>
            <w:bottom w:w="0" w:type="dxa"/>
          </w:tblCellMar>
        </w:tblPrEx>
        <w:tc>
          <w:tcPr>
            <w:tcW w:w="1620" w:type="dxa"/>
          </w:tcPr>
          <w:p w:rsidR="00567B15" w:rsidRDefault="00567B15">
            <w:pPr>
              <w:spacing w:before="0" w:after="0" w:line="320" w:lineRule="exact"/>
              <w:jc w:val="center"/>
              <w:rPr>
                <w:rFonts w:hint="cs"/>
                <w:sz w:val="24"/>
                <w:szCs w:val="24"/>
                <w:rtl/>
              </w:rPr>
            </w:pPr>
            <w:r>
              <w:rPr>
                <w:rFonts w:hint="cs"/>
                <w:sz w:val="24"/>
                <w:szCs w:val="24"/>
                <w:rtl/>
              </w:rPr>
              <w:t>المجموع الوطني</w:t>
            </w:r>
          </w:p>
        </w:tc>
        <w:tc>
          <w:tcPr>
            <w:tcW w:w="1620" w:type="dxa"/>
          </w:tcPr>
          <w:p w:rsidR="00567B15" w:rsidRDefault="00567B15">
            <w:pPr>
              <w:spacing w:before="0" w:after="0" w:line="320" w:lineRule="exact"/>
              <w:jc w:val="center"/>
              <w:rPr>
                <w:rFonts w:hint="cs"/>
              </w:rPr>
            </w:pPr>
            <w:r>
              <w:rPr>
                <w:rFonts w:hint="cs"/>
                <w:sz w:val="24"/>
                <w:szCs w:val="24"/>
                <w:rtl/>
              </w:rPr>
              <w:t>808 12</w:t>
            </w:r>
          </w:p>
        </w:tc>
        <w:tc>
          <w:tcPr>
            <w:tcW w:w="1980" w:type="dxa"/>
          </w:tcPr>
          <w:p w:rsidR="00567B15" w:rsidRDefault="00567B15">
            <w:pPr>
              <w:tabs>
                <w:tab w:val="left" w:pos="432"/>
              </w:tabs>
              <w:spacing w:before="0" w:after="0" w:line="320" w:lineRule="exact"/>
              <w:jc w:val="center"/>
              <w:rPr>
                <w:rFonts w:hint="cs"/>
              </w:rPr>
            </w:pPr>
            <w:r>
              <w:rPr>
                <w:rFonts w:hint="cs"/>
                <w:sz w:val="24"/>
                <w:szCs w:val="24"/>
                <w:rtl/>
              </w:rPr>
              <w:t>242 2</w:t>
            </w:r>
          </w:p>
        </w:tc>
        <w:tc>
          <w:tcPr>
            <w:tcW w:w="1440" w:type="dxa"/>
          </w:tcPr>
          <w:p w:rsidR="00567B15" w:rsidRDefault="00567B15">
            <w:pPr>
              <w:tabs>
                <w:tab w:val="left" w:pos="252"/>
              </w:tabs>
              <w:spacing w:before="0" w:after="0" w:line="320" w:lineRule="exact"/>
              <w:jc w:val="center"/>
              <w:rPr>
                <w:rFonts w:hint="cs"/>
              </w:rPr>
            </w:pPr>
            <w:r>
              <w:rPr>
                <w:rFonts w:hint="cs"/>
                <w:sz w:val="24"/>
                <w:szCs w:val="24"/>
                <w:rtl/>
              </w:rPr>
              <w:t>334 21</w:t>
            </w:r>
          </w:p>
        </w:tc>
        <w:tc>
          <w:tcPr>
            <w:tcW w:w="1620" w:type="dxa"/>
          </w:tcPr>
          <w:p w:rsidR="00567B15" w:rsidRDefault="00567B15">
            <w:pPr>
              <w:tabs>
                <w:tab w:val="left" w:pos="432"/>
              </w:tabs>
              <w:spacing w:before="0" w:after="0" w:line="320" w:lineRule="exact"/>
              <w:jc w:val="center"/>
              <w:rPr>
                <w:rFonts w:hint="cs"/>
              </w:rPr>
            </w:pPr>
            <w:r>
              <w:rPr>
                <w:rFonts w:hint="cs"/>
                <w:sz w:val="24"/>
                <w:szCs w:val="24"/>
                <w:rtl/>
              </w:rPr>
              <w:t>303 1</w:t>
            </w:r>
          </w:p>
        </w:tc>
        <w:tc>
          <w:tcPr>
            <w:tcW w:w="1078" w:type="dxa"/>
          </w:tcPr>
          <w:p w:rsidR="00567B15" w:rsidRDefault="00567B15">
            <w:pPr>
              <w:spacing w:before="0" w:after="0" w:line="320" w:lineRule="exact"/>
              <w:jc w:val="center"/>
              <w:rPr>
                <w:rFonts w:hint="cs"/>
              </w:rPr>
            </w:pPr>
            <w:r>
              <w:rPr>
                <w:rFonts w:hint="cs"/>
                <w:sz w:val="24"/>
                <w:szCs w:val="24"/>
                <w:rtl/>
              </w:rPr>
              <w:t>687 37</w:t>
            </w:r>
          </w:p>
        </w:tc>
      </w:tr>
      <w:tr w:rsidR="00567B15" w:rsidTr="00567B15">
        <w:tblPrEx>
          <w:tblCellMar>
            <w:top w:w="0" w:type="dxa"/>
            <w:bottom w:w="0" w:type="dxa"/>
          </w:tblCellMar>
        </w:tblPrEx>
        <w:trPr>
          <w:trHeight w:val="707"/>
        </w:trPr>
        <w:tc>
          <w:tcPr>
            <w:tcW w:w="1620" w:type="dxa"/>
          </w:tcPr>
          <w:p w:rsidR="00567B15" w:rsidRDefault="00567B15">
            <w:pPr>
              <w:spacing w:before="0" w:after="0" w:line="320" w:lineRule="exact"/>
              <w:jc w:val="both"/>
              <w:rPr>
                <w:rFonts w:hint="cs"/>
                <w:spacing w:val="0"/>
                <w:sz w:val="24"/>
                <w:szCs w:val="24"/>
                <w:rtl/>
              </w:rPr>
            </w:pPr>
            <w:r>
              <w:rPr>
                <w:rFonts w:hint="cs"/>
                <w:spacing w:val="0"/>
                <w:sz w:val="24"/>
                <w:szCs w:val="24"/>
                <w:rtl/>
              </w:rPr>
              <w:t>المجمـوع بالنسبـة للفترة 1998-1999</w:t>
            </w:r>
          </w:p>
        </w:tc>
        <w:tc>
          <w:tcPr>
            <w:tcW w:w="1620" w:type="dxa"/>
          </w:tcPr>
          <w:p w:rsidR="00567B15" w:rsidRDefault="00567B15">
            <w:pPr>
              <w:spacing w:before="0" w:after="0" w:line="320" w:lineRule="exact"/>
              <w:jc w:val="center"/>
              <w:rPr>
                <w:rFonts w:hint="cs"/>
                <w:sz w:val="24"/>
                <w:szCs w:val="24"/>
                <w:rtl/>
              </w:rPr>
            </w:pPr>
            <w:r>
              <w:rPr>
                <w:rFonts w:hint="cs"/>
                <w:sz w:val="24"/>
                <w:szCs w:val="24"/>
                <w:rtl/>
              </w:rPr>
              <w:t>448 19</w:t>
            </w:r>
          </w:p>
        </w:tc>
        <w:tc>
          <w:tcPr>
            <w:tcW w:w="1980" w:type="dxa"/>
          </w:tcPr>
          <w:p w:rsidR="00567B15" w:rsidRDefault="00567B15">
            <w:pPr>
              <w:tabs>
                <w:tab w:val="left" w:pos="432"/>
              </w:tabs>
              <w:spacing w:before="0" w:after="0" w:line="320" w:lineRule="exact"/>
              <w:jc w:val="center"/>
              <w:rPr>
                <w:rFonts w:hint="cs"/>
                <w:sz w:val="24"/>
                <w:szCs w:val="24"/>
                <w:rtl/>
              </w:rPr>
            </w:pPr>
            <w:r>
              <w:rPr>
                <w:rFonts w:hint="cs"/>
                <w:sz w:val="24"/>
                <w:szCs w:val="24"/>
                <w:rtl/>
              </w:rPr>
              <w:t>141 10</w:t>
            </w:r>
          </w:p>
        </w:tc>
        <w:tc>
          <w:tcPr>
            <w:tcW w:w="1440" w:type="dxa"/>
          </w:tcPr>
          <w:p w:rsidR="00567B15" w:rsidRDefault="00567B15">
            <w:pPr>
              <w:tabs>
                <w:tab w:val="left" w:pos="252"/>
              </w:tabs>
              <w:spacing w:before="0" w:after="0" w:line="320" w:lineRule="exact"/>
              <w:jc w:val="center"/>
              <w:rPr>
                <w:rFonts w:hint="cs"/>
                <w:sz w:val="24"/>
                <w:szCs w:val="24"/>
                <w:rtl/>
              </w:rPr>
            </w:pPr>
            <w:r>
              <w:rPr>
                <w:rFonts w:hint="cs"/>
                <w:sz w:val="24"/>
                <w:szCs w:val="24"/>
                <w:rtl/>
              </w:rPr>
              <w:t>933 24</w:t>
            </w:r>
          </w:p>
        </w:tc>
        <w:tc>
          <w:tcPr>
            <w:tcW w:w="1620" w:type="dxa"/>
          </w:tcPr>
          <w:p w:rsidR="00567B15" w:rsidRDefault="00567B15">
            <w:pPr>
              <w:tabs>
                <w:tab w:val="left" w:pos="432"/>
              </w:tabs>
              <w:spacing w:before="0" w:after="0" w:line="320" w:lineRule="exact"/>
              <w:jc w:val="center"/>
              <w:rPr>
                <w:rFonts w:hint="cs"/>
                <w:sz w:val="24"/>
                <w:szCs w:val="24"/>
                <w:rtl/>
              </w:rPr>
            </w:pPr>
            <w:r>
              <w:rPr>
                <w:rFonts w:hint="cs"/>
                <w:sz w:val="24"/>
                <w:szCs w:val="24"/>
                <w:rtl/>
              </w:rPr>
              <w:t>335 2</w:t>
            </w:r>
          </w:p>
        </w:tc>
        <w:tc>
          <w:tcPr>
            <w:tcW w:w="1078" w:type="dxa"/>
          </w:tcPr>
          <w:p w:rsidR="00567B15" w:rsidRDefault="00567B15">
            <w:pPr>
              <w:spacing w:before="0" w:after="0" w:line="320" w:lineRule="exact"/>
              <w:jc w:val="center"/>
              <w:rPr>
                <w:rFonts w:hint="cs"/>
                <w:sz w:val="24"/>
                <w:szCs w:val="24"/>
                <w:rtl/>
              </w:rPr>
            </w:pPr>
            <w:r>
              <w:rPr>
                <w:rFonts w:hint="cs"/>
                <w:sz w:val="24"/>
                <w:szCs w:val="24"/>
                <w:rtl/>
              </w:rPr>
              <w:t>857 56</w:t>
            </w:r>
          </w:p>
        </w:tc>
      </w:tr>
    </w:tbl>
    <w:p w:rsidR="00000000" w:rsidRDefault="00567B15">
      <w:pPr>
        <w:spacing w:before="120" w:after="120"/>
        <w:jc w:val="both"/>
        <w:rPr>
          <w:rFonts w:hint="cs"/>
          <w:rtl/>
        </w:rPr>
      </w:pPr>
      <w:r>
        <w:rPr>
          <w:rFonts w:hint="cs"/>
          <w:rtl/>
        </w:rPr>
        <w:tab/>
      </w:r>
      <w:r>
        <w:rPr>
          <w:rFonts w:hint="cs"/>
          <w:u w:val="single"/>
          <w:rtl/>
        </w:rPr>
        <w:t>المصدر</w:t>
      </w:r>
      <w:r>
        <w:rPr>
          <w:rFonts w:hint="cs"/>
          <w:rtl/>
        </w:rPr>
        <w:t>: وزارة الإسكان والتنمية الحضرية</w:t>
      </w:r>
      <w:r>
        <w:rPr>
          <w:rFonts w:hint="cs"/>
          <w:rtl/>
        </w:rPr>
        <w:t>، مديرية التخطيط.</w:t>
      </w:r>
    </w:p>
    <w:p w:rsidR="00000000" w:rsidRDefault="00567B15">
      <w:pPr>
        <w:spacing w:before="120" w:after="120"/>
        <w:jc w:val="both"/>
        <w:rPr>
          <w:rFonts w:hint="cs"/>
          <w:rtl/>
        </w:rPr>
      </w:pPr>
      <w:r>
        <w:rPr>
          <w:rFonts w:hint="cs"/>
          <w:rtl/>
        </w:rPr>
        <w:tab/>
        <w:t>*</w:t>
      </w:r>
      <w:r>
        <w:rPr>
          <w:rFonts w:hint="cs"/>
          <w:rtl/>
        </w:rPr>
        <w:tab/>
        <w:t>المنح المحوَّلة.</w:t>
      </w:r>
    </w:p>
    <w:p w:rsidR="00000000" w:rsidRDefault="00567B15">
      <w:pPr>
        <w:spacing w:line="380" w:lineRule="exact"/>
        <w:jc w:val="both"/>
        <w:rPr>
          <w:rFonts w:hint="cs"/>
          <w:rtl/>
        </w:rPr>
      </w:pPr>
      <w:r>
        <w:rPr>
          <w:rFonts w:hint="cs"/>
          <w:i/>
          <w:iCs/>
          <w:rtl/>
        </w:rPr>
        <w:t>التعاون الدولي</w:t>
      </w:r>
    </w:p>
    <w:p w:rsidR="00000000" w:rsidRDefault="00567B15">
      <w:pPr>
        <w:spacing w:line="380" w:lineRule="exact"/>
        <w:jc w:val="both"/>
        <w:rPr>
          <w:rFonts w:hint="cs"/>
          <w:spacing w:val="2"/>
          <w:rtl/>
        </w:rPr>
      </w:pPr>
      <w:r>
        <w:rPr>
          <w:rFonts w:hint="cs"/>
          <w:spacing w:val="2"/>
          <w:rtl/>
        </w:rPr>
        <w:t>376-</w:t>
      </w:r>
      <w:r>
        <w:rPr>
          <w:rFonts w:hint="cs"/>
          <w:spacing w:val="2"/>
          <w:rtl/>
        </w:rPr>
        <w:tab/>
        <w:t>قررت حكومة إكوادور، عن طريق وزارة الإسكان، والعمل بمعية مصرف التنمية للبلدان الأمريكية، تنفيذ برنامج دعم قطاع الإسكان، وذلك لتحسين سبل حصول الإكوادوريين ذوي الدخل المنخفض على السكن وضمان زيادة فعالي</w:t>
      </w:r>
      <w:r>
        <w:rPr>
          <w:rFonts w:hint="cs"/>
          <w:spacing w:val="2"/>
          <w:rtl/>
        </w:rPr>
        <w:t>ة وإنصاف الاستثمارات الحكومية في هذا القطاع وتقديم الحوافز لزيادة مشاركة القطاع الخاص.</w:t>
      </w:r>
    </w:p>
    <w:p w:rsidR="00000000" w:rsidRDefault="00567B15">
      <w:pPr>
        <w:spacing w:line="380" w:lineRule="exact"/>
        <w:jc w:val="center"/>
        <w:rPr>
          <w:rFonts w:hint="cs"/>
          <w:b/>
          <w:bCs/>
          <w:rtl/>
        </w:rPr>
      </w:pPr>
      <w:r>
        <w:rPr>
          <w:rFonts w:hint="cs"/>
          <w:b/>
          <w:bCs/>
          <w:rtl/>
        </w:rPr>
        <w:t>المادة 12</w:t>
      </w:r>
    </w:p>
    <w:p w:rsidR="00000000" w:rsidRDefault="00567B15">
      <w:pPr>
        <w:spacing w:line="380" w:lineRule="exact"/>
        <w:jc w:val="center"/>
        <w:rPr>
          <w:rFonts w:hint="cs"/>
          <w:b/>
          <w:bCs/>
          <w:rtl/>
        </w:rPr>
      </w:pPr>
      <w:r>
        <w:rPr>
          <w:rFonts w:hint="cs"/>
          <w:b/>
          <w:bCs/>
          <w:rtl/>
        </w:rPr>
        <w:t>1- السياسات الصحية</w:t>
      </w:r>
    </w:p>
    <w:p w:rsidR="00000000" w:rsidRDefault="00567B15">
      <w:pPr>
        <w:spacing w:line="380" w:lineRule="exact"/>
        <w:jc w:val="both"/>
        <w:rPr>
          <w:rFonts w:hint="cs"/>
          <w:rtl/>
        </w:rPr>
      </w:pPr>
      <w:r>
        <w:rPr>
          <w:rFonts w:hint="cs"/>
          <w:rtl/>
        </w:rPr>
        <w:t>377-</w:t>
      </w:r>
      <w:r>
        <w:rPr>
          <w:rFonts w:hint="cs"/>
          <w:rtl/>
        </w:rPr>
        <w:tab/>
        <w:t xml:space="preserve">تأثرت الحالة الصحية الراهنة، خاصة خلال العقدين الماضيين، بسبب تضافر ظروف وصعوبات أعاقت التقدم الذي شهده القطاع الصحي الذي هو جزء أساسي </w:t>
      </w:r>
      <w:r>
        <w:rPr>
          <w:rFonts w:hint="cs"/>
          <w:rtl/>
        </w:rPr>
        <w:t>من التنمية الاقتصادية الاجتماعية في إكوادور. ويمكن الحديث عن حدوث إعاقة، لا لأن المؤشرات الكلية للوفيات والأمراض وما إليها تفاقمت أكثر مما كانت عليه قبل 10 سنوات بل ببساطة لأنها لا تزال مرتفعة. ذلك أن تغطية الرعاية الصحية ونوعيتها لم تتحسن، وزاد التفاوت، و</w:t>
      </w:r>
      <w:r>
        <w:rPr>
          <w:rFonts w:hint="cs"/>
          <w:rtl/>
        </w:rPr>
        <w:t>أصبح نقص دعم المعوزين أكثر بروزاً. وتفاقمت الحالة بأكملها بسبب الإدارة السيئة للقطاع الصحي على مختلف المستويات وبالطريقة السياسية (المتحزِّبة والشخصية) التي يدار بها.</w:t>
      </w:r>
    </w:p>
    <w:p w:rsidR="00000000" w:rsidRDefault="00567B15">
      <w:pPr>
        <w:spacing w:line="380" w:lineRule="exact"/>
        <w:jc w:val="both"/>
        <w:rPr>
          <w:rFonts w:hint="cs"/>
          <w:rtl/>
        </w:rPr>
      </w:pPr>
      <w:r>
        <w:rPr>
          <w:rFonts w:hint="cs"/>
          <w:rtl/>
        </w:rPr>
        <w:t>378-</w:t>
      </w:r>
      <w:r>
        <w:rPr>
          <w:rFonts w:hint="cs"/>
          <w:rtl/>
        </w:rPr>
        <w:tab/>
        <w:t>وينص الدستور الذي اعتمدته الجمعية التأسيسية عام 1998 على مبادئ لسياسات حقيقية تتبعها</w:t>
      </w:r>
      <w:r>
        <w:rPr>
          <w:rFonts w:hint="cs"/>
          <w:rtl/>
        </w:rPr>
        <w:t xml:space="preserve"> الدولة في المجال الصحي، ألا وهي: الطابع العام، والطابع الشمولي، والتضامن، والنوعية والكفاءة، والتي اعتُبرت عناصر هامة للعملية الجديدة بأكملها لنظام صحة وطني حقيقي</w:t>
      </w:r>
      <w:r>
        <w:rPr>
          <w:rFonts w:hint="cs"/>
          <w:vertAlign w:val="superscript"/>
          <w:rtl/>
        </w:rPr>
        <w:t>(49)</w:t>
      </w:r>
      <w:r>
        <w:rPr>
          <w:rFonts w:hint="cs"/>
          <w:rtl/>
        </w:rPr>
        <w:t>.</w:t>
      </w:r>
    </w:p>
    <w:p w:rsidR="00000000" w:rsidRDefault="00567B15">
      <w:pPr>
        <w:spacing w:line="380" w:lineRule="exact"/>
        <w:jc w:val="both"/>
        <w:rPr>
          <w:rFonts w:hint="cs"/>
          <w:spacing w:val="2"/>
          <w:rtl/>
        </w:rPr>
      </w:pPr>
      <w:r>
        <w:rPr>
          <w:rFonts w:hint="cs"/>
          <w:spacing w:val="2"/>
          <w:rtl/>
        </w:rPr>
        <w:t>379-</w:t>
      </w:r>
      <w:r>
        <w:rPr>
          <w:rFonts w:hint="cs"/>
          <w:spacing w:val="2"/>
          <w:rtl/>
        </w:rPr>
        <w:tab/>
        <w:t>ويبيِّن تقييم الحالة الصحية الذي تجريه وزارة الصحة العامة في خطتها الوطنية للصحة ا</w:t>
      </w:r>
      <w:r>
        <w:rPr>
          <w:rFonts w:hint="cs"/>
          <w:spacing w:val="2"/>
          <w:rtl/>
        </w:rPr>
        <w:t>لعقلية أن الظروف الاقتصادية الاجتماعية الراهنة للبلد جزء من صورة وبائية معقّدة تشمل الأمراض الخمجية/المعدية والطفيلية، والأمراض المزمنة والحرضية، والنقص الغذائي الحاد، وتكوُّن الورم، وحوادث الطرق والعنف بجميع أشكاله. ويسود القلق بسبب عودة ظهور السل، وهو مؤ</w:t>
      </w:r>
      <w:r>
        <w:rPr>
          <w:rFonts w:hint="cs"/>
          <w:spacing w:val="2"/>
          <w:rtl/>
        </w:rPr>
        <w:t xml:space="preserve">شر جلي على الفقر. وارتفاع معدلات الانتحار، خصوصاً لدى المراهقين، والكوليرا وحمى الضنك التي أصبحت الآن متوطِّنة، والانتشار الواسع للملاريا والزيادة في المشاكل النفسية الاجتماعية مثل إدمان الكحول، وإدمان المخدرات، وسوء معاملة الأطفال والنساء وغيرها من أشكال </w:t>
      </w:r>
      <w:r>
        <w:rPr>
          <w:rFonts w:hint="cs"/>
          <w:spacing w:val="2"/>
          <w:rtl/>
        </w:rPr>
        <w:t>العنف</w:t>
      </w:r>
      <w:r>
        <w:rPr>
          <w:rFonts w:hint="cs"/>
          <w:spacing w:val="2"/>
          <w:vertAlign w:val="superscript"/>
          <w:rtl/>
        </w:rPr>
        <w:t>(50)</w:t>
      </w:r>
      <w:r>
        <w:rPr>
          <w:rFonts w:hint="cs"/>
          <w:spacing w:val="2"/>
          <w:rtl/>
        </w:rPr>
        <w:t>.</w:t>
      </w:r>
    </w:p>
    <w:p w:rsidR="00000000" w:rsidRDefault="00567B15">
      <w:pPr>
        <w:spacing w:line="380" w:lineRule="exact"/>
        <w:jc w:val="both"/>
        <w:rPr>
          <w:rFonts w:hint="cs"/>
          <w:spacing w:val="2"/>
          <w:rtl/>
        </w:rPr>
      </w:pPr>
      <w:r>
        <w:rPr>
          <w:rFonts w:hint="cs"/>
          <w:spacing w:val="2"/>
          <w:rtl/>
        </w:rPr>
        <w:t>380-</w:t>
      </w:r>
      <w:r>
        <w:rPr>
          <w:rFonts w:hint="cs"/>
          <w:spacing w:val="2"/>
          <w:rtl/>
        </w:rPr>
        <w:tab/>
        <w:t>ولا ينتشر خطر التعرض للمرض أو الوفاة في إكوادور على نحو متوازن: فهو أكثر ارتفاعاً في المناطق الحضرية المهمّشة وفي المناطق الريفية، خصوصاً في المناطق التي توجد فيها كثافة عالية من السكان الأصليين. وعلى سبيل المثال، ففي مقابل كل طفل يموت في م</w:t>
      </w:r>
      <w:r>
        <w:rPr>
          <w:rFonts w:hint="cs"/>
          <w:spacing w:val="2"/>
          <w:rtl/>
        </w:rPr>
        <w:t>قاطعة غوايس أو بيشنشا، يموت ثلاثة أطفال في مقاطعة شمبورازو</w:t>
      </w:r>
      <w:r>
        <w:rPr>
          <w:rFonts w:hint="cs"/>
          <w:spacing w:val="2"/>
          <w:vertAlign w:val="superscript"/>
          <w:rtl/>
        </w:rPr>
        <w:t>(51)</w:t>
      </w:r>
      <w:r>
        <w:rPr>
          <w:rFonts w:hint="cs"/>
          <w:spacing w:val="2"/>
          <w:rtl/>
        </w:rPr>
        <w:t>، ويلاحظ الاتجاه نفسه في مؤشرات الاعتلال، والحصول على الخدمات الصحية، والالتحاق بالمدارس وغيرها من العوامل</w:t>
      </w:r>
      <w:r>
        <w:rPr>
          <w:rFonts w:hint="cs"/>
          <w:spacing w:val="2"/>
          <w:vertAlign w:val="superscript"/>
          <w:rtl/>
        </w:rPr>
        <w:t>(52)</w:t>
      </w:r>
      <w:r>
        <w:rPr>
          <w:rFonts w:hint="cs"/>
          <w:spacing w:val="2"/>
          <w:rtl/>
        </w:rPr>
        <w:t>.</w:t>
      </w:r>
    </w:p>
    <w:p w:rsidR="00000000" w:rsidRDefault="00567B15">
      <w:pPr>
        <w:spacing w:line="380" w:lineRule="exact"/>
        <w:jc w:val="both"/>
        <w:rPr>
          <w:rFonts w:hint="cs"/>
          <w:rtl/>
        </w:rPr>
      </w:pPr>
      <w:r>
        <w:rPr>
          <w:rFonts w:hint="cs"/>
          <w:rtl/>
        </w:rPr>
        <w:t>381-</w:t>
      </w:r>
      <w:r>
        <w:rPr>
          <w:rFonts w:hint="cs"/>
          <w:rtl/>
        </w:rPr>
        <w:tab/>
        <w:t>وتبيِّن الخطة الوطنية للصحة العقلية أن التردد على العيادات الخاصة بمشاكل الصح</w:t>
      </w:r>
      <w:r>
        <w:rPr>
          <w:rFonts w:hint="cs"/>
          <w:rtl/>
        </w:rPr>
        <w:t xml:space="preserve">ة العقلية، وبالخصوص الاكتئاب والصرع وما يرافقها من مشاكل نفسية اجتماعية، وإدمان الكحول ترتفع وتيرته باطِّراد. </w:t>
      </w:r>
    </w:p>
    <w:p w:rsidR="00000000" w:rsidRDefault="00567B15">
      <w:pPr>
        <w:spacing w:line="380" w:lineRule="exact"/>
        <w:jc w:val="both"/>
        <w:rPr>
          <w:rFonts w:hint="cs"/>
          <w:rtl/>
        </w:rPr>
      </w:pPr>
      <w:r>
        <w:rPr>
          <w:rFonts w:hint="cs"/>
          <w:rtl/>
        </w:rPr>
        <w:t>382-</w:t>
      </w:r>
      <w:r>
        <w:rPr>
          <w:rFonts w:hint="cs"/>
          <w:rtl/>
        </w:rPr>
        <w:tab/>
        <w:t>وتُبرز الدراسات الاستقصائية الوطنية أن ما يصل إلى 25 في المائة من العيادات لأي نوع من أنواع المشاكل الصحية يكشف عن عناصر نفسية اجتماعية أو ي</w:t>
      </w:r>
      <w:r>
        <w:rPr>
          <w:rFonts w:hint="cs"/>
          <w:rtl/>
        </w:rPr>
        <w:t>تطلب نوعاً من التدخُّل الصحي العقلي؛ وهذه النسبة أكثر ارتفاعاً لدى المرضى الداخليين، مما يولِّد حاجة متزايدة للرعاية.</w:t>
      </w:r>
    </w:p>
    <w:p w:rsidR="00000000" w:rsidRDefault="00567B15">
      <w:pPr>
        <w:jc w:val="center"/>
        <w:rPr>
          <w:rFonts w:hint="cs"/>
          <w:b/>
          <w:bCs/>
          <w:rtl/>
        </w:rPr>
      </w:pPr>
      <w:r>
        <w:rPr>
          <w:rFonts w:hint="cs"/>
          <w:b/>
          <w:bCs/>
          <w:rtl/>
        </w:rPr>
        <w:t>الانتشار السنوي لمشاكل صحة عقلية مختارة في إكوادور، 1994-2000</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62"/>
        <w:gridCol w:w="1080"/>
        <w:gridCol w:w="1080"/>
        <w:gridCol w:w="1080"/>
        <w:gridCol w:w="1080"/>
        <w:gridCol w:w="1080"/>
        <w:gridCol w:w="1008"/>
      </w:tblGrid>
      <w:tr w:rsidR="00567B15" w:rsidTr="00567B15">
        <w:tblPrEx>
          <w:tblCellMar>
            <w:top w:w="0" w:type="dxa"/>
            <w:bottom w:w="0" w:type="dxa"/>
          </w:tblCellMar>
        </w:tblPrEx>
        <w:tc>
          <w:tcPr>
            <w:tcW w:w="3162" w:type="dxa"/>
            <w:tcBorders>
              <w:top w:val="single" w:sz="4" w:space="0" w:color="auto"/>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مشاكل الصحة العقلية</w:t>
            </w:r>
          </w:p>
        </w:tc>
        <w:tc>
          <w:tcPr>
            <w:tcW w:w="1080" w:type="dxa"/>
            <w:tcBorders>
              <w:top w:val="single" w:sz="4" w:space="0" w:color="auto"/>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1994</w:t>
            </w:r>
          </w:p>
        </w:tc>
        <w:tc>
          <w:tcPr>
            <w:tcW w:w="1080" w:type="dxa"/>
            <w:tcBorders>
              <w:top w:val="single" w:sz="4" w:space="0" w:color="auto"/>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1995</w:t>
            </w:r>
          </w:p>
        </w:tc>
        <w:tc>
          <w:tcPr>
            <w:tcW w:w="1080" w:type="dxa"/>
            <w:tcBorders>
              <w:top w:val="single" w:sz="4" w:space="0" w:color="auto"/>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1996</w:t>
            </w:r>
          </w:p>
        </w:tc>
        <w:tc>
          <w:tcPr>
            <w:tcW w:w="1080" w:type="dxa"/>
            <w:tcBorders>
              <w:top w:val="single" w:sz="4" w:space="0" w:color="auto"/>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1997</w:t>
            </w:r>
          </w:p>
        </w:tc>
        <w:tc>
          <w:tcPr>
            <w:tcW w:w="1080" w:type="dxa"/>
            <w:tcBorders>
              <w:top w:val="single" w:sz="4" w:space="0" w:color="auto"/>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1998</w:t>
            </w:r>
          </w:p>
        </w:tc>
        <w:tc>
          <w:tcPr>
            <w:tcW w:w="1008" w:type="dxa"/>
            <w:tcBorders>
              <w:top w:val="single" w:sz="4" w:space="0" w:color="auto"/>
              <w:bottom w:val="single" w:sz="4" w:space="0" w:color="auto"/>
            </w:tcBorders>
          </w:tcPr>
          <w:p w:rsidR="00567B15" w:rsidRDefault="00567B15">
            <w:pPr>
              <w:spacing w:before="0" w:after="0" w:line="340" w:lineRule="exact"/>
              <w:jc w:val="center"/>
              <w:rPr>
                <w:rStyle w:val="FootnoteReference"/>
                <w:rFonts w:hint="cs"/>
                <w:bCs w:val="0"/>
                <w:sz w:val="26"/>
                <w:szCs w:val="26"/>
                <w:vertAlign w:val="baseline"/>
              </w:rPr>
            </w:pPr>
            <w:r>
              <w:rPr>
                <w:rFonts w:hint="cs"/>
                <w:sz w:val="26"/>
                <w:szCs w:val="26"/>
                <w:rtl/>
              </w:rPr>
              <w:t>2000</w:t>
            </w:r>
          </w:p>
        </w:tc>
      </w:tr>
      <w:tr w:rsidR="00567B15" w:rsidTr="00567B15">
        <w:tblPrEx>
          <w:tblCellMar>
            <w:top w:w="0" w:type="dxa"/>
            <w:bottom w:w="0" w:type="dxa"/>
          </w:tblCellMar>
        </w:tblPrEx>
        <w:tc>
          <w:tcPr>
            <w:tcW w:w="3162" w:type="dxa"/>
            <w:tcBorders>
              <w:top w:val="single" w:sz="4" w:space="0" w:color="auto"/>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الاتكال على المخدرات</w:t>
            </w:r>
          </w:p>
        </w:tc>
        <w:tc>
          <w:tcPr>
            <w:tcW w:w="1080" w:type="dxa"/>
            <w:tcBorders>
              <w:top w:val="single" w:sz="4" w:space="0" w:color="auto"/>
            </w:tcBorders>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1.69</w:t>
            </w:r>
          </w:p>
        </w:tc>
        <w:tc>
          <w:tcPr>
            <w:tcW w:w="1080" w:type="dxa"/>
            <w:tcBorders>
              <w:top w:val="single" w:sz="4" w:space="0" w:color="auto"/>
            </w:tcBorders>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2.67</w:t>
            </w:r>
          </w:p>
        </w:tc>
        <w:tc>
          <w:tcPr>
            <w:tcW w:w="1080" w:type="dxa"/>
            <w:tcBorders>
              <w:top w:val="single" w:sz="4" w:space="0" w:color="auto"/>
            </w:tcBorders>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2.42</w:t>
            </w:r>
          </w:p>
        </w:tc>
        <w:tc>
          <w:tcPr>
            <w:tcW w:w="1080" w:type="dxa"/>
            <w:tcBorders>
              <w:top w:val="single" w:sz="4" w:space="0" w:color="auto"/>
            </w:tcBorders>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2.11</w:t>
            </w:r>
          </w:p>
        </w:tc>
        <w:tc>
          <w:tcPr>
            <w:tcW w:w="1080" w:type="dxa"/>
            <w:tcBorders>
              <w:top w:val="single" w:sz="4" w:space="0" w:color="auto"/>
            </w:tcBorders>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1.87</w:t>
            </w:r>
          </w:p>
        </w:tc>
        <w:tc>
          <w:tcPr>
            <w:tcW w:w="1008" w:type="dxa"/>
            <w:tcBorders>
              <w:top w:val="single" w:sz="4" w:space="0" w:color="auto"/>
            </w:tcBorders>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2.01</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إدمان الكحول</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23.28</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25.29</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25.81</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21.50</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18.52</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19.82</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الاكتئاب</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29.76</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31.89</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38.65</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31.78</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31.12</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32.03</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محاولة انتحار</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6.73</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7.75</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8.80</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9.96</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9.09</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9.89</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ارتكاب الانتحار</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0.70</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1.00</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0.65</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0.77</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0.67</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0.71</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العنف وسوء المعاملة</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33.07</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35.12</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27.91</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33.63</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35.28</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34.02</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الذهان</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3.70</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3.72</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5.48</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5.58</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4.21</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4.77</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الخبل</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0.98</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1.12</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1.36</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1.04</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0.72</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0.89</w:t>
            </w:r>
          </w:p>
        </w:tc>
      </w:tr>
      <w:tr w:rsidR="00567B15" w:rsidTr="00567B15">
        <w:tblPrEx>
          <w:tblCellMar>
            <w:top w:w="0" w:type="dxa"/>
            <w:bottom w:w="0" w:type="dxa"/>
          </w:tblCellMar>
        </w:tblPrEx>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التخلُّف العقلي</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4.58</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4.66</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5.75</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4.49</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4.67</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4.87</w:t>
            </w:r>
          </w:p>
        </w:tc>
      </w:tr>
      <w:tr w:rsidR="00567B15" w:rsidTr="00567B15">
        <w:tblPrEx>
          <w:tblCellMar>
            <w:top w:w="0" w:type="dxa"/>
            <w:bottom w:w="0" w:type="dxa"/>
          </w:tblCellMar>
        </w:tblPrEx>
        <w:trPr>
          <w:trHeight w:val="381"/>
        </w:trPr>
        <w:tc>
          <w:tcPr>
            <w:tcW w:w="3162" w:type="dxa"/>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الصرع</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25.78</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29.90</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33.43</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23.07</w:t>
            </w:r>
          </w:p>
        </w:tc>
        <w:tc>
          <w:tcPr>
            <w:tcW w:w="1080"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23.24</w:t>
            </w:r>
          </w:p>
        </w:tc>
        <w:tc>
          <w:tcPr>
            <w:tcW w:w="1008" w:type="dxa"/>
          </w:tcPr>
          <w:p w:rsidR="00567B15" w:rsidRDefault="00567B15">
            <w:pPr>
              <w:spacing w:before="0" w:after="0" w:line="340" w:lineRule="exact"/>
              <w:ind w:left="113"/>
              <w:jc w:val="both"/>
              <w:rPr>
                <w:rStyle w:val="FootnoteReference"/>
                <w:rFonts w:hint="cs"/>
                <w:bCs w:val="0"/>
                <w:sz w:val="26"/>
                <w:szCs w:val="26"/>
                <w:vertAlign w:val="baseline"/>
              </w:rPr>
            </w:pPr>
            <w:r>
              <w:rPr>
                <w:rFonts w:hint="cs"/>
                <w:sz w:val="26"/>
                <w:szCs w:val="26"/>
                <w:rtl/>
              </w:rPr>
              <w:t>23.22</w:t>
            </w:r>
          </w:p>
        </w:tc>
      </w:tr>
    </w:tbl>
    <w:p w:rsidR="00000000" w:rsidRDefault="00567B15">
      <w:pPr>
        <w:spacing w:before="120" w:after="120"/>
        <w:jc w:val="both"/>
        <w:rPr>
          <w:rFonts w:hint="cs"/>
          <w:rtl/>
        </w:rPr>
      </w:pPr>
      <w:r>
        <w:rPr>
          <w:rFonts w:hint="cs"/>
          <w:rtl/>
        </w:rPr>
        <w:tab/>
      </w:r>
      <w:r>
        <w:rPr>
          <w:rFonts w:hint="cs"/>
          <w:u w:val="single"/>
          <w:rtl/>
        </w:rPr>
        <w:t>المصدر</w:t>
      </w:r>
      <w:r>
        <w:rPr>
          <w:rFonts w:hint="cs"/>
          <w:rtl/>
        </w:rPr>
        <w:t>: وزارة الصحة العامة، الإدارة الوطنية لعلم الأوبئة، 1998-2000.</w:t>
      </w:r>
    </w:p>
    <w:p w:rsidR="00000000" w:rsidRDefault="00567B15">
      <w:pPr>
        <w:spacing w:before="120" w:after="120"/>
        <w:jc w:val="both"/>
        <w:rPr>
          <w:rFonts w:hint="cs"/>
          <w:rtl/>
        </w:rPr>
      </w:pPr>
      <w:r>
        <w:rPr>
          <w:rFonts w:hint="cs"/>
          <w:rtl/>
        </w:rPr>
        <w:tab/>
      </w:r>
      <w:r>
        <w:rPr>
          <w:rFonts w:hint="cs"/>
          <w:u w:val="single"/>
          <w:rtl/>
        </w:rPr>
        <w:t>ملاح</w:t>
      </w:r>
      <w:r>
        <w:rPr>
          <w:rFonts w:hint="cs"/>
          <w:u w:val="single"/>
          <w:rtl/>
        </w:rPr>
        <w:t>ظة</w:t>
      </w:r>
      <w:r>
        <w:rPr>
          <w:rFonts w:hint="cs"/>
          <w:rtl/>
        </w:rPr>
        <w:t>: المعدلات لكل 000 100 نسمة.</w:t>
      </w:r>
    </w:p>
    <w:p w:rsidR="00000000" w:rsidRDefault="00567B15">
      <w:pPr>
        <w:spacing w:line="380" w:lineRule="exact"/>
        <w:jc w:val="both"/>
        <w:rPr>
          <w:rFonts w:hint="cs"/>
          <w:rtl/>
        </w:rPr>
      </w:pPr>
      <w:r>
        <w:rPr>
          <w:rFonts w:hint="cs"/>
          <w:rtl/>
        </w:rPr>
        <w:t>383-</w:t>
      </w:r>
      <w:r>
        <w:rPr>
          <w:rFonts w:hint="cs"/>
          <w:rtl/>
        </w:rPr>
        <w:tab/>
        <w:t>ويمكن للمرء، انطلاقاً من نظام الرصد الوبائي الوطني المعتمد لدى وزارة الصحة العامة، ومع مراعاة الصعوبات التي تواجهها الأفرقة الصحية في تحديد مشاكل الصحة العقلية، أن يصل إلى التقييم التالي لمشاكل الصحة العقلية الخاضعة للرص</w:t>
      </w:r>
      <w:r>
        <w:rPr>
          <w:rFonts w:hint="cs"/>
          <w:rtl/>
        </w:rPr>
        <w:t>د:</w:t>
      </w:r>
    </w:p>
    <w:p w:rsidR="00000000" w:rsidRDefault="00567B15">
      <w:pPr>
        <w:spacing w:before="180" w:after="180" w:line="380" w:lineRule="exact"/>
        <w:jc w:val="both"/>
        <w:rPr>
          <w:rFonts w:hint="cs"/>
          <w:rtl/>
        </w:rPr>
      </w:pPr>
      <w:r>
        <w:rPr>
          <w:rFonts w:hint="cs"/>
          <w:rtl/>
        </w:rPr>
        <w:tab/>
        <w:t>(أ)</w:t>
      </w:r>
      <w:r>
        <w:rPr>
          <w:rFonts w:hint="cs"/>
          <w:rtl/>
        </w:rPr>
        <w:tab/>
        <w:t>تطرح الصورة الوبائية للصحة العقلية في إكوادور زيادة متعاظمة في الأمراض التي تولِّدها صراعات نفسية اجتماعية مثل العنف بجميع مظاهره (الأطفال والنساء والقتل وعصابات المراهقين)، والاكتئاب والانتحار، والمشاكل ذات الصلة بالإجهاد، وإدمان الكحول والاتِّكال</w:t>
      </w:r>
      <w:r>
        <w:rPr>
          <w:rFonts w:hint="cs"/>
          <w:rtl/>
        </w:rPr>
        <w:t xml:space="preserve"> على المخدرات؛</w:t>
      </w:r>
    </w:p>
    <w:p w:rsidR="00000000" w:rsidRDefault="00567B15">
      <w:pPr>
        <w:spacing w:before="180" w:after="180" w:line="380" w:lineRule="exact"/>
        <w:jc w:val="both"/>
        <w:rPr>
          <w:rFonts w:hint="cs"/>
          <w:rtl/>
        </w:rPr>
      </w:pPr>
      <w:r>
        <w:rPr>
          <w:rFonts w:hint="cs"/>
          <w:rtl/>
        </w:rPr>
        <w:tab/>
        <w:t>(ب)</w:t>
      </w:r>
      <w:r>
        <w:rPr>
          <w:rFonts w:hint="cs"/>
          <w:rtl/>
        </w:rPr>
        <w:tab/>
        <w:t>ولا تزال الأمراض المرتبطة بالإصابات الجسدية مثل الصرع والتخلُّف العقلي منتشرة على نطاق واسع؛ وترتفع معدلات الإصابة بالخبَل ارتفاعاً طفيفاً. وتسود الأمراض النفسانية التقليدية ذات السمات الدولية المشابِهة (الانفصام العقلي، والذهان العاطفي</w:t>
      </w:r>
      <w:r>
        <w:rPr>
          <w:rFonts w:hint="cs"/>
          <w:rtl/>
        </w:rPr>
        <w:t xml:space="preserve"> وغيره من حالات الذهان الأخرى).</w:t>
      </w:r>
    </w:p>
    <w:p w:rsidR="00000000" w:rsidRDefault="00567B15">
      <w:pPr>
        <w:spacing w:line="380" w:lineRule="exact"/>
        <w:jc w:val="both"/>
        <w:rPr>
          <w:rFonts w:hint="cs"/>
          <w:spacing w:val="2"/>
          <w:rtl/>
        </w:rPr>
      </w:pPr>
      <w:r>
        <w:rPr>
          <w:rFonts w:hint="cs"/>
          <w:spacing w:val="2"/>
          <w:rtl/>
        </w:rPr>
        <w:t>384-</w:t>
      </w:r>
      <w:r>
        <w:rPr>
          <w:rFonts w:hint="cs"/>
          <w:spacing w:val="2"/>
          <w:rtl/>
        </w:rPr>
        <w:tab/>
        <w:t>وكما تبيِّن الدراسات الوبائية، توجد علاقة وثيقة بين الصورة العامة للأمراض الصحية وأشكال التنمية الاجتماعية، بحيث إذا وجدت أزمة اقتصادية واجتماعية سياسية يرافقها انهيار في الدخل، وعدم استقرار سياسي وبطالة، تتأثر صحة البل</w:t>
      </w:r>
      <w:r>
        <w:rPr>
          <w:rFonts w:hint="cs"/>
          <w:spacing w:val="2"/>
          <w:rtl/>
        </w:rPr>
        <w:t>د، بالتلازم، على نحو خطير. وتبعاً لذلك يجب افتراض أن التغيُّرات التي شهدتها إكوادور خلال ال‍ 10 سنوات الماضية وبالخصوص خلال العامين الماضيين قد أثّرت تأثيراً خطيراً في السكان، مؤثرة سلباً في الصحة العامة. وعليه، فحين يوجد في الوقت الراهن نقص حاد في الموارد</w:t>
      </w:r>
      <w:r>
        <w:rPr>
          <w:rFonts w:hint="cs"/>
          <w:spacing w:val="2"/>
          <w:rtl/>
        </w:rPr>
        <w:t xml:space="preserve"> التخصصية وتوجد ثغرات في تدريب أفرقة الرعاية الصحية الأولية، فإن الحالة ستتفاقم خلال السنوات القادمة. وتوصي المنظمات الدولية بالزيادة في عدد المهنيين العاملين في مجال رعاية الصحة العقلية والاستجمام بحلول عام 2000، نظراً إلى أن التغييرات الديمغرافية ستزيد م</w:t>
      </w:r>
      <w:r>
        <w:rPr>
          <w:rFonts w:hint="cs"/>
          <w:spacing w:val="2"/>
          <w:rtl/>
        </w:rPr>
        <w:t>ن إجمالي عدد حالات الانفصام لدى المجتمعـات المحليـة ذات الدخل المتدني بنسبة 45 في المائة، وستتضاعف المشاكل الفعلية وسيشهد العنف الاجتماعي قفزة إلى جانب ما يرافقه من الآثار لا يمكن التنبؤ بها</w:t>
      </w:r>
      <w:r>
        <w:rPr>
          <w:rFonts w:hint="cs"/>
          <w:spacing w:val="2"/>
          <w:vertAlign w:val="superscript"/>
          <w:rtl/>
        </w:rPr>
        <w:t>(53)</w:t>
      </w:r>
      <w:r>
        <w:rPr>
          <w:rFonts w:hint="cs"/>
          <w:spacing w:val="2"/>
          <w:rtl/>
        </w:rPr>
        <w:t>.</w:t>
      </w:r>
    </w:p>
    <w:p w:rsidR="00000000" w:rsidRDefault="00567B15">
      <w:pPr>
        <w:spacing w:line="380" w:lineRule="exact"/>
        <w:jc w:val="both"/>
        <w:rPr>
          <w:rFonts w:hint="cs"/>
          <w:b/>
          <w:bCs/>
          <w:rtl/>
        </w:rPr>
      </w:pPr>
      <w:r>
        <w:rPr>
          <w:rFonts w:hint="cs"/>
          <w:b/>
          <w:bCs/>
          <w:rtl/>
        </w:rPr>
        <w:t>الرعاية الصحية الأولية</w:t>
      </w:r>
    </w:p>
    <w:p w:rsidR="00000000" w:rsidRDefault="00567B15">
      <w:pPr>
        <w:spacing w:line="380" w:lineRule="exact"/>
        <w:jc w:val="both"/>
        <w:rPr>
          <w:rFonts w:hint="cs"/>
          <w:rtl/>
        </w:rPr>
      </w:pPr>
      <w:r>
        <w:rPr>
          <w:rFonts w:hint="cs"/>
          <w:rtl/>
        </w:rPr>
        <w:t>385-</w:t>
      </w:r>
      <w:r>
        <w:rPr>
          <w:rFonts w:hint="cs"/>
          <w:rtl/>
        </w:rPr>
        <w:tab/>
        <w:t>تعتبر وزارة الصحة العامة أن الصح</w:t>
      </w:r>
      <w:r>
        <w:rPr>
          <w:rFonts w:hint="cs"/>
          <w:rtl/>
        </w:rPr>
        <w:t>ة هي أساس التنمية البشرية المستدامة، ومن ثم، فإنها تشكل أولوية تقع على عاتق الحكومة الوطنية. والصحة مسؤولية عامة، شأنها شأن أي حق من الحقوق أو الواجبات المدنية، وتعتبر بأكملها، نتيجة نشاط مشترك بين القطاعات في مجال النهوض بالصحة ورعايتها وفقاً لمبادئ العدا</w:t>
      </w:r>
      <w:r>
        <w:rPr>
          <w:rFonts w:hint="cs"/>
          <w:rtl/>
        </w:rPr>
        <w:t>لة، والشمولية، والتضامن والجودة.</w:t>
      </w:r>
    </w:p>
    <w:p w:rsidR="00000000" w:rsidRDefault="00567B15">
      <w:pPr>
        <w:spacing w:line="380" w:lineRule="exact"/>
        <w:jc w:val="both"/>
        <w:rPr>
          <w:rFonts w:hint="cs"/>
          <w:rtl/>
        </w:rPr>
      </w:pPr>
      <w:r>
        <w:rPr>
          <w:rFonts w:hint="cs"/>
          <w:rtl/>
        </w:rPr>
        <w:t>386-</w:t>
      </w:r>
      <w:r>
        <w:rPr>
          <w:rFonts w:hint="cs"/>
          <w:rtl/>
        </w:rPr>
        <w:tab/>
        <w:t>ويشار إلى أن منظور مجتمع معافى هو المجتمع الذي يمكن فيه لكل فرد، دون أي نوع من أنواع التمييز، أن يحقِّق الرفاه البدني والعاطفي والاجتماعي؛ وأن يعيش في أسرة وإطار اجتماعي مؤاتٍ للنمو، وفي بيئة خالية من التلوث؛ وأن يُطعَ</w:t>
      </w:r>
      <w:r>
        <w:rPr>
          <w:rFonts w:hint="cs"/>
          <w:rtl/>
        </w:rPr>
        <w:t>م ويُغذّى على النحو الوافي؛ وأن يحصل على وسائل الاتصال والتثقيف بشأن الصحة وعلى خدمات طبية عالية الجودة.</w:t>
      </w:r>
    </w:p>
    <w:p w:rsidR="00000000" w:rsidRDefault="00567B15">
      <w:pPr>
        <w:spacing w:line="380" w:lineRule="exact"/>
        <w:jc w:val="both"/>
        <w:rPr>
          <w:rFonts w:hint="cs"/>
          <w:rtl/>
        </w:rPr>
      </w:pPr>
      <w:r>
        <w:rPr>
          <w:rFonts w:hint="cs"/>
          <w:rtl/>
        </w:rPr>
        <w:t>387-</w:t>
      </w:r>
      <w:r>
        <w:rPr>
          <w:rFonts w:hint="cs"/>
          <w:rtl/>
        </w:rPr>
        <w:tab/>
        <w:t>ويمكن وضع بعض الاستراتيجيات العامة لبلوغ هذه الأهداف:</w:t>
      </w:r>
    </w:p>
    <w:p w:rsidR="00000000" w:rsidRDefault="00567B15">
      <w:pPr>
        <w:spacing w:before="180" w:after="180" w:line="380" w:lineRule="exact"/>
        <w:jc w:val="both"/>
        <w:rPr>
          <w:rFonts w:hint="cs"/>
          <w:rtl/>
        </w:rPr>
      </w:pPr>
      <w:r>
        <w:rPr>
          <w:rFonts w:hint="cs"/>
          <w:rtl/>
        </w:rPr>
        <w:tab/>
        <w:t>(أ)</w:t>
      </w:r>
      <w:r>
        <w:rPr>
          <w:rFonts w:hint="cs"/>
          <w:rtl/>
        </w:rPr>
        <w:tab/>
        <w:t xml:space="preserve">جعل الشؤون الاجتماعية، والصحة وإدماج التنمية الوطنية على الصعيدين الاقتصادي والاجتماعي </w:t>
      </w:r>
      <w:r>
        <w:rPr>
          <w:rFonts w:hint="cs"/>
          <w:rtl/>
        </w:rPr>
        <w:t>في الاستراتيجية العامة، مسائل ذات أهمية سياسية؛</w:t>
      </w:r>
    </w:p>
    <w:p w:rsidR="00000000" w:rsidRDefault="00567B15">
      <w:pPr>
        <w:spacing w:before="180" w:after="180" w:line="380" w:lineRule="exact"/>
        <w:jc w:val="both"/>
        <w:rPr>
          <w:rFonts w:hint="cs"/>
          <w:rtl/>
        </w:rPr>
      </w:pPr>
      <w:r>
        <w:rPr>
          <w:rFonts w:hint="cs"/>
          <w:rtl/>
        </w:rPr>
        <w:tab/>
        <w:t>(ب)</w:t>
      </w:r>
      <w:r>
        <w:rPr>
          <w:rFonts w:hint="cs"/>
          <w:rtl/>
        </w:rPr>
        <w:tab/>
        <w:t>تشجيع إصلاح القطاع الصحي، في ضوء السياسات التي تحكم الاتفاق والاقتراحات العامة التي ثبتت استدامتها تقنياً ومالياً؛</w:t>
      </w:r>
    </w:p>
    <w:p w:rsidR="00000000" w:rsidRDefault="00567B15">
      <w:pPr>
        <w:spacing w:before="180" w:after="180" w:line="380" w:lineRule="exact"/>
        <w:jc w:val="both"/>
        <w:rPr>
          <w:rFonts w:hint="cs"/>
          <w:rtl/>
        </w:rPr>
      </w:pPr>
      <w:r>
        <w:rPr>
          <w:rFonts w:hint="cs"/>
          <w:rtl/>
        </w:rPr>
        <w:tab/>
        <w:t>(ج)</w:t>
      </w:r>
      <w:r>
        <w:rPr>
          <w:rFonts w:hint="cs"/>
          <w:rtl/>
        </w:rPr>
        <w:tab/>
        <w:t>تعزيز الدور الإرشادي الجديد الذي تضطلع به الدولة بهدف النهوض بالنماذج الصحية التي ت</w:t>
      </w:r>
      <w:r>
        <w:rPr>
          <w:rFonts w:hint="cs"/>
          <w:rtl/>
        </w:rPr>
        <w:t>جمع بين النهوض بالصحة والرعاية الصحية على الصعيدين الشخصي والأُسري وعلى صعيد المجتمع المحلي بطريقة مستدامة اجتماعياً وسياسياً واقتصادياً؛</w:t>
      </w:r>
    </w:p>
    <w:p w:rsidR="00000000" w:rsidRDefault="00567B15">
      <w:pPr>
        <w:spacing w:before="180" w:after="180" w:line="380" w:lineRule="exact"/>
        <w:jc w:val="both"/>
        <w:rPr>
          <w:rFonts w:hint="cs"/>
          <w:rtl/>
        </w:rPr>
      </w:pPr>
      <w:r>
        <w:rPr>
          <w:rFonts w:hint="cs"/>
          <w:rtl/>
        </w:rPr>
        <w:tab/>
        <w:t>(د)</w:t>
      </w:r>
      <w:r>
        <w:rPr>
          <w:rFonts w:hint="cs"/>
          <w:rtl/>
        </w:rPr>
        <w:tab/>
        <w:t>إدارة لا مركزية، تقوم على نقل السلطة والمشاركة؛</w:t>
      </w:r>
    </w:p>
    <w:p w:rsidR="00000000" w:rsidRDefault="00567B15">
      <w:pPr>
        <w:spacing w:before="180" w:after="180" w:line="380" w:lineRule="exact"/>
        <w:jc w:val="both"/>
        <w:rPr>
          <w:rFonts w:hint="cs"/>
          <w:rtl/>
        </w:rPr>
      </w:pPr>
      <w:r>
        <w:rPr>
          <w:rFonts w:hint="cs"/>
          <w:rtl/>
        </w:rPr>
        <w:tab/>
        <w:t>(ه‍)</w:t>
      </w:r>
      <w:r>
        <w:rPr>
          <w:rFonts w:hint="cs"/>
          <w:rtl/>
        </w:rPr>
        <w:tab/>
        <w:t>تنظيم قطاع الصحة الوطني بغية الاستفادة إلى أقصى الحدود من ا</w:t>
      </w:r>
      <w:r>
        <w:rPr>
          <w:rFonts w:hint="cs"/>
          <w:rtl/>
        </w:rPr>
        <w:t>لجهود والموارد الرامية إلى تحسين تغطية الخدمات ونوعيتها.</w:t>
      </w:r>
    </w:p>
    <w:p w:rsidR="00000000" w:rsidRDefault="00567B15">
      <w:pPr>
        <w:spacing w:line="380" w:lineRule="exact"/>
        <w:jc w:val="both"/>
        <w:rPr>
          <w:rFonts w:hint="cs"/>
          <w:i/>
          <w:iCs/>
          <w:rtl/>
        </w:rPr>
      </w:pPr>
      <w:r>
        <w:rPr>
          <w:rFonts w:hint="cs"/>
          <w:i/>
          <w:iCs/>
          <w:rtl/>
        </w:rPr>
        <w:t>ميزانيات الصحة</w:t>
      </w:r>
    </w:p>
    <w:p w:rsidR="00000000" w:rsidRDefault="00567B15">
      <w:pPr>
        <w:spacing w:line="380" w:lineRule="exact"/>
        <w:jc w:val="both"/>
        <w:rPr>
          <w:rFonts w:hint="cs"/>
          <w:rtl/>
        </w:rPr>
      </w:pPr>
      <w:r>
        <w:rPr>
          <w:rFonts w:hint="cs"/>
          <w:rtl/>
        </w:rPr>
        <w:t>388-</w:t>
      </w:r>
      <w:r>
        <w:rPr>
          <w:rFonts w:hint="cs"/>
          <w:rtl/>
        </w:rPr>
        <w:tab/>
        <w:t>تتّسم ميزانيات الرعاية الصحية تاريخياً بصغر حجمها الشديد مقارنة بالاحتياجات؛ وجنحت خلال العقد الماضي إلى الركود بل حتى إلى التقلُّص.</w:t>
      </w:r>
    </w:p>
    <w:p w:rsidR="00000000" w:rsidRDefault="00567B15">
      <w:pPr>
        <w:spacing w:line="380" w:lineRule="exact"/>
        <w:jc w:val="both"/>
        <w:rPr>
          <w:rFonts w:hint="cs"/>
          <w:rtl/>
        </w:rPr>
      </w:pPr>
      <w:r>
        <w:rPr>
          <w:rFonts w:hint="cs"/>
          <w:rtl/>
        </w:rPr>
        <w:t>389-</w:t>
      </w:r>
      <w:r>
        <w:rPr>
          <w:rFonts w:hint="cs"/>
          <w:rtl/>
        </w:rPr>
        <w:tab/>
        <w:t>وعند النظر في الموارد المخصصة لقطاع الصحة</w:t>
      </w:r>
      <w:r>
        <w:rPr>
          <w:rFonts w:hint="cs"/>
          <w:rtl/>
        </w:rPr>
        <w:t xml:space="preserve"> في ميزانية الدولة، يُلاحَظ أنها بلغت 400 972 مليون سوكر في عام 1998. ويمثِّل هذا الرقم 4.71 في المائة من إجمالي النفقات و0.91 في المائة من الناتج المحلي الإجمالي. ولم تبلغ مخصصات الصحة حتى 1 في المائة من الناتج المحلي الإجمالي؛ ويبيِّن ذلك بوضوح أن الحكوم</w:t>
      </w:r>
      <w:r>
        <w:rPr>
          <w:rFonts w:hint="cs"/>
          <w:rtl/>
        </w:rPr>
        <w:t>ات لا تزال تنظر إلى الاستثمار في الصحة بوصفه إنفاقاً، وليس استثماراً، وهي تنسى بذلك أن مجتمعاً محلياً معافى هو مجتمع محلي منتِج وأن التنمية المستدامة للاقتصاد الإكوادوري، وفي نهاية المطاف، التقدُّم لجميع الإكوادوريين، يتوقف على زيادة الناتج.</w:t>
      </w:r>
    </w:p>
    <w:p w:rsidR="00000000" w:rsidRDefault="00567B15">
      <w:pPr>
        <w:spacing w:line="380" w:lineRule="exact"/>
        <w:jc w:val="both"/>
        <w:rPr>
          <w:rFonts w:hint="cs"/>
          <w:rtl/>
        </w:rPr>
      </w:pPr>
      <w:r>
        <w:rPr>
          <w:rFonts w:hint="cs"/>
          <w:rtl/>
        </w:rPr>
        <w:t>390-</w:t>
      </w:r>
      <w:r>
        <w:rPr>
          <w:rFonts w:hint="cs"/>
          <w:rtl/>
        </w:rPr>
        <w:tab/>
        <w:t>وخلال الف</w:t>
      </w:r>
      <w:r>
        <w:rPr>
          <w:rFonts w:hint="cs"/>
          <w:rtl/>
        </w:rPr>
        <w:t>ترة بين عامي 1990 و1998 تقلّص الإنفاق في القطاع الصحي كنسبة من الناتج المحلي الإجمالي: من 1.2 في المائة عام 1990 إلى 0.91 في المائة عام 1998. وانخفض أيضاً كنسبة من إجمالي الميزانية خلال الفترة نفسها من 8.16 في المائة إلى 4.71 في المائة، باستثناء عام 1996.</w:t>
      </w:r>
    </w:p>
    <w:p w:rsidR="00000000" w:rsidRDefault="00567B15">
      <w:pPr>
        <w:spacing w:after="0"/>
        <w:jc w:val="center"/>
        <w:rPr>
          <w:rFonts w:hint="cs"/>
          <w:b/>
          <w:bCs/>
          <w:rtl/>
        </w:rPr>
      </w:pPr>
      <w:r>
        <w:rPr>
          <w:rFonts w:hint="cs"/>
          <w:b/>
          <w:bCs/>
          <w:rtl/>
        </w:rPr>
        <w:t>الإنفاق الفعلي في القطاع الصحي، 1990-1998</w:t>
      </w:r>
    </w:p>
    <w:p w:rsidR="00000000" w:rsidRDefault="00567B15">
      <w:pPr>
        <w:spacing w:before="0"/>
        <w:jc w:val="center"/>
        <w:rPr>
          <w:rFonts w:hint="cs"/>
          <w:b/>
          <w:bCs/>
          <w:rtl/>
        </w:rPr>
      </w:pPr>
      <w:r>
        <w:rPr>
          <w:rFonts w:hint="cs"/>
          <w:b/>
          <w:bCs/>
          <w:rtl/>
        </w:rPr>
        <w:t>(ببلايين السوكرات وكنسبة من الناتج المحلي الإجمالي)</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02"/>
        <w:gridCol w:w="780"/>
        <w:gridCol w:w="900"/>
        <w:gridCol w:w="840"/>
        <w:gridCol w:w="780"/>
        <w:gridCol w:w="840"/>
        <w:gridCol w:w="780"/>
        <w:gridCol w:w="821"/>
        <w:gridCol w:w="799"/>
        <w:gridCol w:w="828"/>
      </w:tblGrid>
      <w:tr w:rsidR="00567B15" w:rsidTr="00567B15">
        <w:tblPrEx>
          <w:tblCellMar>
            <w:top w:w="0" w:type="dxa"/>
            <w:bottom w:w="0" w:type="dxa"/>
          </w:tblCellMar>
        </w:tblPrEx>
        <w:tc>
          <w:tcPr>
            <w:tcW w:w="2202" w:type="dxa"/>
            <w:tcBorders>
              <w:bottom w:val="single" w:sz="4" w:space="0" w:color="auto"/>
            </w:tcBorders>
          </w:tcPr>
          <w:p w:rsidR="00567B15" w:rsidRDefault="00567B15">
            <w:pPr>
              <w:spacing w:before="0" w:after="0"/>
              <w:jc w:val="both"/>
              <w:rPr>
                <w:rStyle w:val="FootnoteReference"/>
                <w:rFonts w:hint="cs"/>
                <w:b/>
                <w:i/>
                <w:iCs/>
                <w:szCs w:val="26"/>
                <w:vertAlign w:val="baseline"/>
              </w:rPr>
            </w:pPr>
            <w:r>
              <w:rPr>
                <w:rFonts w:hint="cs"/>
                <w:b/>
                <w:bCs/>
                <w:i/>
                <w:iCs/>
                <w:szCs w:val="26"/>
                <w:rtl/>
              </w:rPr>
              <w:t>قطاع الصحة</w:t>
            </w:r>
          </w:p>
        </w:tc>
        <w:tc>
          <w:tcPr>
            <w:tcW w:w="780"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1990</w:t>
            </w:r>
          </w:p>
        </w:tc>
        <w:tc>
          <w:tcPr>
            <w:tcW w:w="900"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1991</w:t>
            </w:r>
          </w:p>
        </w:tc>
        <w:tc>
          <w:tcPr>
            <w:tcW w:w="840"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1992</w:t>
            </w:r>
          </w:p>
        </w:tc>
        <w:tc>
          <w:tcPr>
            <w:tcW w:w="780"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1993</w:t>
            </w:r>
          </w:p>
        </w:tc>
        <w:tc>
          <w:tcPr>
            <w:tcW w:w="840"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1994</w:t>
            </w:r>
          </w:p>
        </w:tc>
        <w:tc>
          <w:tcPr>
            <w:tcW w:w="780"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1995</w:t>
            </w:r>
          </w:p>
        </w:tc>
        <w:tc>
          <w:tcPr>
            <w:tcW w:w="821"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1996*</w:t>
            </w:r>
          </w:p>
        </w:tc>
        <w:tc>
          <w:tcPr>
            <w:tcW w:w="799"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1997*</w:t>
            </w:r>
          </w:p>
        </w:tc>
        <w:tc>
          <w:tcPr>
            <w:tcW w:w="828" w:type="dxa"/>
            <w:tcBorders>
              <w:bottom w:val="single" w:sz="4" w:space="0" w:color="auto"/>
            </w:tcBorders>
          </w:tcPr>
          <w:p w:rsidR="00567B15" w:rsidRDefault="00567B15">
            <w:pPr>
              <w:spacing w:before="0" w:after="0"/>
              <w:jc w:val="both"/>
              <w:rPr>
                <w:rStyle w:val="FootnoteReference"/>
                <w:rFonts w:hint="cs"/>
                <w:b/>
                <w:bCs w:val="0"/>
                <w:spacing w:val="0"/>
                <w:szCs w:val="24"/>
                <w:vertAlign w:val="baseline"/>
              </w:rPr>
            </w:pPr>
            <w:r>
              <w:rPr>
                <w:rFonts w:hint="cs"/>
                <w:b/>
                <w:bCs/>
                <w:spacing w:val="0"/>
                <w:szCs w:val="24"/>
                <w:rtl/>
              </w:rPr>
              <w:t>1998*</w:t>
            </w:r>
          </w:p>
        </w:tc>
      </w:tr>
      <w:tr w:rsidR="00567B15" w:rsidTr="00567B15">
        <w:tblPrEx>
          <w:tblCellMar>
            <w:top w:w="0" w:type="dxa"/>
            <w:bottom w:w="0" w:type="dxa"/>
          </w:tblCellMar>
        </w:tblPrEx>
        <w:tc>
          <w:tcPr>
            <w:tcW w:w="2202" w:type="dxa"/>
            <w:tcBorders>
              <w:top w:val="single" w:sz="4" w:space="0" w:color="auto"/>
              <w:bottom w:val="nil"/>
            </w:tcBorders>
          </w:tcPr>
          <w:p w:rsidR="00567B15" w:rsidRDefault="00567B15">
            <w:pPr>
              <w:spacing w:before="0" w:after="0"/>
              <w:jc w:val="both"/>
              <w:rPr>
                <w:rStyle w:val="FootnoteReference"/>
                <w:rFonts w:hint="cs"/>
                <w:bCs w:val="0"/>
                <w:szCs w:val="26"/>
                <w:vertAlign w:val="baseline"/>
              </w:rPr>
            </w:pPr>
            <w:r>
              <w:rPr>
                <w:rFonts w:hint="cs"/>
                <w:szCs w:val="26"/>
                <w:rtl/>
              </w:rPr>
              <w:t>سوكرات</w:t>
            </w:r>
          </w:p>
        </w:tc>
        <w:tc>
          <w:tcPr>
            <w:tcW w:w="780"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98.5</w:t>
            </w:r>
          </w:p>
        </w:tc>
        <w:tc>
          <w:tcPr>
            <w:tcW w:w="900"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110.0</w:t>
            </w:r>
          </w:p>
        </w:tc>
        <w:tc>
          <w:tcPr>
            <w:tcW w:w="840"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200.4</w:t>
            </w:r>
          </w:p>
        </w:tc>
        <w:tc>
          <w:tcPr>
            <w:tcW w:w="780"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207.3</w:t>
            </w:r>
          </w:p>
        </w:tc>
        <w:tc>
          <w:tcPr>
            <w:tcW w:w="840"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279.2</w:t>
            </w:r>
          </w:p>
        </w:tc>
        <w:tc>
          <w:tcPr>
            <w:tcW w:w="780"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497.2</w:t>
            </w:r>
          </w:p>
        </w:tc>
        <w:tc>
          <w:tcPr>
            <w:tcW w:w="821"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627.6</w:t>
            </w:r>
          </w:p>
        </w:tc>
        <w:tc>
          <w:tcPr>
            <w:tcW w:w="799"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735.4</w:t>
            </w:r>
          </w:p>
        </w:tc>
        <w:tc>
          <w:tcPr>
            <w:tcW w:w="828" w:type="dxa"/>
            <w:tcBorders>
              <w:top w:val="single" w:sz="4" w:space="0" w:color="auto"/>
              <w:bottom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972.4</w:t>
            </w:r>
          </w:p>
        </w:tc>
      </w:tr>
      <w:tr w:rsidR="00567B15" w:rsidTr="00567B15">
        <w:tblPrEx>
          <w:tblCellMar>
            <w:top w:w="0" w:type="dxa"/>
            <w:bottom w:w="0" w:type="dxa"/>
          </w:tblCellMar>
        </w:tblPrEx>
        <w:tc>
          <w:tcPr>
            <w:tcW w:w="2202" w:type="dxa"/>
            <w:tcBorders>
              <w:top w:val="nil"/>
            </w:tcBorders>
          </w:tcPr>
          <w:p w:rsidR="00567B15" w:rsidRDefault="00567B15">
            <w:pPr>
              <w:spacing w:before="0" w:after="0"/>
              <w:jc w:val="both"/>
              <w:rPr>
                <w:rStyle w:val="FootnoteReference"/>
                <w:rFonts w:hint="cs"/>
                <w:bCs w:val="0"/>
                <w:spacing w:val="2"/>
                <w:szCs w:val="24"/>
                <w:vertAlign w:val="baseline"/>
              </w:rPr>
            </w:pPr>
            <w:r>
              <w:rPr>
                <w:rFonts w:hint="cs"/>
                <w:spacing w:val="2"/>
                <w:szCs w:val="24"/>
                <w:rtl/>
              </w:rPr>
              <w:t>كنسبة من الناتج المحلي الإجمالي</w:t>
            </w:r>
          </w:p>
        </w:tc>
        <w:tc>
          <w:tcPr>
            <w:tcW w:w="780"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1.20</w:t>
            </w:r>
            <w:r>
              <w:rPr>
                <w:rFonts w:cs="Mudir MT" w:hint="cs"/>
                <w:sz w:val="24"/>
                <w:szCs w:val="24"/>
                <w:rtl/>
                <w:lang w:eastAsia="en-US"/>
              </w:rPr>
              <w:t>%</w:t>
            </w:r>
          </w:p>
        </w:tc>
        <w:tc>
          <w:tcPr>
            <w:tcW w:w="900"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0.89</w:t>
            </w:r>
            <w:r>
              <w:rPr>
                <w:rFonts w:cs="Mudir MT" w:hint="cs"/>
                <w:sz w:val="24"/>
                <w:szCs w:val="24"/>
                <w:rtl/>
                <w:lang w:eastAsia="en-US"/>
              </w:rPr>
              <w:t>%</w:t>
            </w:r>
          </w:p>
        </w:tc>
        <w:tc>
          <w:tcPr>
            <w:tcW w:w="840"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1.03</w:t>
            </w:r>
            <w:r>
              <w:rPr>
                <w:rFonts w:cs="Mudir MT" w:hint="cs"/>
                <w:sz w:val="24"/>
                <w:szCs w:val="24"/>
                <w:rtl/>
                <w:lang w:eastAsia="en-US"/>
              </w:rPr>
              <w:t>%</w:t>
            </w:r>
          </w:p>
        </w:tc>
        <w:tc>
          <w:tcPr>
            <w:tcW w:w="780"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0.76</w:t>
            </w:r>
            <w:r>
              <w:rPr>
                <w:rFonts w:cs="Mudir MT" w:hint="cs"/>
                <w:sz w:val="24"/>
                <w:szCs w:val="24"/>
                <w:rtl/>
                <w:lang w:eastAsia="en-US"/>
              </w:rPr>
              <w:t>%</w:t>
            </w:r>
          </w:p>
        </w:tc>
        <w:tc>
          <w:tcPr>
            <w:tcW w:w="840"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0.77</w:t>
            </w:r>
            <w:r>
              <w:rPr>
                <w:rFonts w:cs="Mudir MT" w:hint="cs"/>
                <w:sz w:val="24"/>
                <w:szCs w:val="24"/>
                <w:rtl/>
                <w:lang w:eastAsia="en-US"/>
              </w:rPr>
              <w:t>%</w:t>
            </w:r>
          </w:p>
        </w:tc>
        <w:tc>
          <w:tcPr>
            <w:tcW w:w="780"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1.08</w:t>
            </w:r>
            <w:r>
              <w:rPr>
                <w:rFonts w:cs="Mudir MT" w:hint="cs"/>
                <w:sz w:val="24"/>
                <w:szCs w:val="24"/>
                <w:rtl/>
                <w:lang w:eastAsia="en-US"/>
              </w:rPr>
              <w:t>%</w:t>
            </w:r>
          </w:p>
        </w:tc>
        <w:tc>
          <w:tcPr>
            <w:tcW w:w="821"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1.03</w:t>
            </w:r>
            <w:r>
              <w:rPr>
                <w:rFonts w:cs="Mudir MT" w:hint="cs"/>
                <w:sz w:val="24"/>
                <w:szCs w:val="24"/>
                <w:rtl/>
                <w:lang w:eastAsia="en-US"/>
              </w:rPr>
              <w:t>%</w:t>
            </w:r>
          </w:p>
        </w:tc>
        <w:tc>
          <w:tcPr>
            <w:tcW w:w="799"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0.93</w:t>
            </w:r>
            <w:r>
              <w:rPr>
                <w:rFonts w:cs="Mudir MT" w:hint="cs"/>
                <w:sz w:val="24"/>
                <w:szCs w:val="24"/>
                <w:rtl/>
                <w:lang w:eastAsia="en-US"/>
              </w:rPr>
              <w:t>%</w:t>
            </w:r>
          </w:p>
        </w:tc>
        <w:tc>
          <w:tcPr>
            <w:tcW w:w="828" w:type="dxa"/>
            <w:tcBorders>
              <w:top w:val="nil"/>
            </w:tcBorders>
          </w:tcPr>
          <w:p w:rsidR="00567B15" w:rsidRDefault="00567B15">
            <w:pPr>
              <w:spacing w:before="0" w:after="0"/>
              <w:jc w:val="both"/>
              <w:rPr>
                <w:rStyle w:val="FootnoteReference"/>
                <w:rFonts w:hint="cs"/>
                <w:bCs w:val="0"/>
                <w:sz w:val="24"/>
                <w:szCs w:val="24"/>
                <w:vertAlign w:val="baseline"/>
              </w:rPr>
            </w:pPr>
            <w:r>
              <w:rPr>
                <w:rFonts w:hint="cs"/>
                <w:sz w:val="24"/>
                <w:szCs w:val="24"/>
                <w:rtl/>
              </w:rPr>
              <w:t>0.91</w:t>
            </w:r>
            <w:r>
              <w:rPr>
                <w:rFonts w:cs="Mudir MT" w:hint="cs"/>
                <w:sz w:val="24"/>
                <w:szCs w:val="24"/>
                <w:rtl/>
                <w:lang w:eastAsia="en-US"/>
              </w:rPr>
              <w:t>%</w:t>
            </w:r>
          </w:p>
        </w:tc>
      </w:tr>
      <w:tr w:rsidR="00567B15" w:rsidTr="00567B15">
        <w:tblPrEx>
          <w:tblCellMar>
            <w:top w:w="0" w:type="dxa"/>
            <w:bottom w:w="0" w:type="dxa"/>
          </w:tblCellMar>
        </w:tblPrEx>
        <w:tc>
          <w:tcPr>
            <w:tcW w:w="2202" w:type="dxa"/>
          </w:tcPr>
          <w:p w:rsidR="00567B15" w:rsidRDefault="00567B15">
            <w:pPr>
              <w:spacing w:before="0" w:after="0"/>
              <w:jc w:val="both"/>
              <w:rPr>
                <w:rStyle w:val="FootnoteReference"/>
                <w:rFonts w:hint="cs"/>
                <w:bCs w:val="0"/>
                <w:szCs w:val="26"/>
                <w:vertAlign w:val="baseline"/>
              </w:rPr>
            </w:pPr>
            <w:r>
              <w:rPr>
                <w:rFonts w:hint="cs"/>
                <w:szCs w:val="26"/>
                <w:rtl/>
              </w:rPr>
              <w:t>كنسبة من مجموع الإنفاق</w:t>
            </w:r>
          </w:p>
        </w:tc>
        <w:tc>
          <w:tcPr>
            <w:tcW w:w="780"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8.16</w:t>
            </w:r>
            <w:r>
              <w:rPr>
                <w:rFonts w:cs="Mudir MT" w:hint="cs"/>
                <w:sz w:val="24"/>
                <w:szCs w:val="24"/>
                <w:rtl/>
                <w:lang w:eastAsia="en-US"/>
              </w:rPr>
              <w:t>%</w:t>
            </w:r>
          </w:p>
        </w:tc>
        <w:tc>
          <w:tcPr>
            <w:tcW w:w="900"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6.69</w:t>
            </w:r>
            <w:r>
              <w:rPr>
                <w:rFonts w:cs="Mudir MT" w:hint="cs"/>
                <w:sz w:val="24"/>
                <w:szCs w:val="24"/>
                <w:rtl/>
                <w:lang w:eastAsia="en-US"/>
              </w:rPr>
              <w:t>%</w:t>
            </w:r>
          </w:p>
        </w:tc>
        <w:tc>
          <w:tcPr>
            <w:tcW w:w="840"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7.87</w:t>
            </w:r>
            <w:r>
              <w:rPr>
                <w:rFonts w:cs="Mudir MT" w:hint="cs"/>
                <w:sz w:val="24"/>
                <w:szCs w:val="24"/>
                <w:rtl/>
                <w:lang w:eastAsia="en-US"/>
              </w:rPr>
              <w:t>%</w:t>
            </w:r>
          </w:p>
        </w:tc>
        <w:tc>
          <w:tcPr>
            <w:tcW w:w="780"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5.51</w:t>
            </w:r>
            <w:r>
              <w:rPr>
                <w:rFonts w:cs="Mudir MT" w:hint="cs"/>
                <w:sz w:val="24"/>
                <w:szCs w:val="24"/>
                <w:rtl/>
                <w:lang w:eastAsia="en-US"/>
              </w:rPr>
              <w:t>%</w:t>
            </w:r>
          </w:p>
        </w:tc>
        <w:tc>
          <w:tcPr>
            <w:tcW w:w="840"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5.05</w:t>
            </w:r>
            <w:r>
              <w:rPr>
                <w:rFonts w:cs="Mudir MT" w:hint="cs"/>
                <w:sz w:val="24"/>
                <w:szCs w:val="24"/>
                <w:rtl/>
                <w:lang w:eastAsia="en-US"/>
              </w:rPr>
              <w:t>%</w:t>
            </w:r>
          </w:p>
        </w:tc>
        <w:tc>
          <w:tcPr>
            <w:tcW w:w="780"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5.88</w:t>
            </w:r>
            <w:r>
              <w:rPr>
                <w:rFonts w:cs="Mudir MT" w:hint="cs"/>
                <w:sz w:val="24"/>
                <w:szCs w:val="24"/>
                <w:rtl/>
                <w:lang w:eastAsia="en-US"/>
              </w:rPr>
              <w:t>%</w:t>
            </w:r>
          </w:p>
        </w:tc>
        <w:tc>
          <w:tcPr>
            <w:tcW w:w="821"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7.62</w:t>
            </w:r>
            <w:r>
              <w:rPr>
                <w:rFonts w:cs="Mudir MT" w:hint="cs"/>
                <w:sz w:val="24"/>
                <w:szCs w:val="24"/>
                <w:rtl/>
                <w:lang w:eastAsia="en-US"/>
              </w:rPr>
              <w:t>%</w:t>
            </w:r>
          </w:p>
        </w:tc>
        <w:tc>
          <w:tcPr>
            <w:tcW w:w="799"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7.44</w:t>
            </w:r>
            <w:r>
              <w:rPr>
                <w:rFonts w:cs="Mudir MT" w:hint="cs"/>
                <w:sz w:val="24"/>
                <w:szCs w:val="24"/>
                <w:rtl/>
                <w:lang w:eastAsia="en-US"/>
              </w:rPr>
              <w:t>%</w:t>
            </w:r>
          </w:p>
        </w:tc>
        <w:tc>
          <w:tcPr>
            <w:tcW w:w="828" w:type="dxa"/>
          </w:tcPr>
          <w:p w:rsidR="00567B15" w:rsidRDefault="00567B15">
            <w:pPr>
              <w:spacing w:before="0" w:after="0"/>
              <w:jc w:val="both"/>
              <w:rPr>
                <w:rStyle w:val="FootnoteReference"/>
                <w:rFonts w:hint="cs"/>
                <w:bCs w:val="0"/>
                <w:sz w:val="24"/>
                <w:szCs w:val="24"/>
                <w:vertAlign w:val="baseline"/>
              </w:rPr>
            </w:pPr>
            <w:r>
              <w:rPr>
                <w:rFonts w:hint="cs"/>
                <w:sz w:val="24"/>
                <w:szCs w:val="24"/>
                <w:rtl/>
              </w:rPr>
              <w:t>4.71</w:t>
            </w:r>
            <w:r>
              <w:rPr>
                <w:rFonts w:cs="Mudir MT" w:hint="cs"/>
                <w:sz w:val="24"/>
                <w:szCs w:val="24"/>
                <w:rtl/>
                <w:lang w:eastAsia="en-US"/>
              </w:rPr>
              <w:t>%</w:t>
            </w:r>
          </w:p>
        </w:tc>
      </w:tr>
    </w:tbl>
    <w:p w:rsidR="00000000" w:rsidRDefault="00567B15">
      <w:pPr>
        <w:spacing w:before="120" w:after="120"/>
        <w:jc w:val="both"/>
        <w:rPr>
          <w:rFonts w:hint="cs"/>
          <w:i/>
          <w:iCs/>
          <w:rtl/>
        </w:rPr>
      </w:pPr>
      <w:r>
        <w:rPr>
          <w:rFonts w:hint="cs"/>
          <w:rtl/>
        </w:rPr>
        <w:tab/>
      </w:r>
      <w:r>
        <w:rPr>
          <w:rFonts w:hint="cs"/>
          <w:i/>
          <w:iCs/>
          <w:u w:val="single"/>
          <w:rtl/>
        </w:rPr>
        <w:t>المصدر</w:t>
      </w:r>
      <w:r>
        <w:rPr>
          <w:rFonts w:hint="cs"/>
          <w:i/>
          <w:iCs/>
          <w:rtl/>
        </w:rPr>
        <w:t>:</w:t>
      </w:r>
      <w:r>
        <w:rPr>
          <w:rFonts w:hint="cs"/>
          <w:i/>
          <w:iCs/>
          <w:rtl/>
        </w:rPr>
        <w:tab/>
        <w:t xml:space="preserve"> وزارة المالية والإقراض العام.</w:t>
      </w:r>
    </w:p>
    <w:p w:rsidR="00000000" w:rsidRDefault="00567B15">
      <w:pPr>
        <w:spacing w:before="120" w:after="120"/>
        <w:jc w:val="both"/>
        <w:rPr>
          <w:rFonts w:hint="cs"/>
          <w:rtl/>
        </w:rPr>
      </w:pPr>
      <w:r>
        <w:rPr>
          <w:rFonts w:hint="cs"/>
          <w:rtl/>
        </w:rPr>
        <w:tab/>
        <w:t>*</w:t>
      </w:r>
      <w:r>
        <w:rPr>
          <w:rFonts w:hint="cs"/>
          <w:rtl/>
        </w:rPr>
        <w:tab/>
      </w:r>
      <w:r>
        <w:rPr>
          <w:rFonts w:hint="cs"/>
          <w:i/>
          <w:iCs/>
          <w:rtl/>
        </w:rPr>
        <w:t>بيانات مؤقتة.</w:t>
      </w:r>
    </w:p>
    <w:p w:rsidR="00000000" w:rsidRDefault="00567B15">
      <w:pPr>
        <w:spacing w:line="380" w:lineRule="exact"/>
        <w:jc w:val="both"/>
        <w:rPr>
          <w:rFonts w:hint="cs"/>
          <w:spacing w:val="2"/>
          <w:rtl/>
        </w:rPr>
      </w:pPr>
      <w:r>
        <w:rPr>
          <w:rFonts w:hint="cs"/>
          <w:spacing w:val="0"/>
          <w:rtl/>
        </w:rPr>
        <w:t>391-</w:t>
      </w:r>
      <w:r>
        <w:rPr>
          <w:rFonts w:hint="cs"/>
          <w:spacing w:val="0"/>
          <w:rtl/>
        </w:rPr>
        <w:tab/>
        <w:t>وعند إنعام النظر في قطاعات الحكومة التي خفضت مستويات إنفاقها خلال نصفي</w:t>
      </w:r>
      <w:r>
        <w:rPr>
          <w:rFonts w:hint="cs"/>
          <w:spacing w:val="0"/>
          <w:rtl/>
        </w:rPr>
        <w:t xml:space="preserve"> العامين الماضيين (2002)، يرى المرء أن نفس الحالة تنسحب على قطاعات التعليم، والصحة والأشغال العامة. وقد مكن الاستثمار العام في</w:t>
      </w:r>
      <w:r>
        <w:rPr>
          <w:rFonts w:hint="cs"/>
          <w:spacing w:val="2"/>
          <w:rtl/>
        </w:rPr>
        <w:t xml:space="preserve"> الطرق، إلى جانب أن أكثرية امتيازات الطرق في البلد تُدار بطريقة مرضية، من إعادة استخدام جزء كبير من شبكة الطرق، التي كانت في حالة </w:t>
      </w:r>
      <w:r>
        <w:rPr>
          <w:rFonts w:hint="cs"/>
          <w:spacing w:val="2"/>
          <w:rtl/>
        </w:rPr>
        <w:t>تعيسة جداً. ومن شأن ذلك أن يسمح بتقليص الإنفاق في الأشغال العامة من دون ترك أثر سياسي هام. ويستهدف القسط الأكبر من الإنفاق في قطاعي التعليم والصحة الرواتب، غير أن تقليصاً في الإنفاق يعني بالتالي أن تدفع الرواتب في وقت متأخر. ولا يمكن لهذه الحالة أن تستمر ع</w:t>
      </w:r>
      <w:r>
        <w:rPr>
          <w:rFonts w:hint="cs"/>
          <w:spacing w:val="2"/>
          <w:rtl/>
        </w:rPr>
        <w:t xml:space="preserve">لى مر الزمن، لأنها ستؤدي إلى مزيد من النزاعات العمالية الحادة. </w:t>
      </w:r>
    </w:p>
    <w:p w:rsidR="00000000" w:rsidRDefault="00567B15">
      <w:pPr>
        <w:spacing w:line="380" w:lineRule="exact"/>
        <w:jc w:val="both"/>
        <w:rPr>
          <w:rFonts w:hint="cs"/>
          <w:i/>
          <w:iCs/>
          <w:rtl/>
        </w:rPr>
      </w:pPr>
      <w:r>
        <w:rPr>
          <w:rFonts w:hint="cs"/>
          <w:i/>
          <w:iCs/>
          <w:rtl/>
        </w:rPr>
        <w:t>وفيات الرضع</w:t>
      </w:r>
    </w:p>
    <w:p w:rsidR="00000000" w:rsidRDefault="00567B15">
      <w:pPr>
        <w:spacing w:line="380" w:lineRule="exact"/>
        <w:jc w:val="both"/>
        <w:rPr>
          <w:rFonts w:hint="cs"/>
          <w:rtl/>
        </w:rPr>
      </w:pPr>
      <w:r>
        <w:rPr>
          <w:rFonts w:hint="cs"/>
          <w:rtl/>
        </w:rPr>
        <w:t>392-</w:t>
      </w:r>
      <w:r>
        <w:rPr>
          <w:rFonts w:hint="cs"/>
          <w:rtl/>
        </w:rPr>
        <w:tab/>
        <w:t>أثبتت الدراسة الاستقصائية الديموغرافية المتعلقة بصحة الأم والطفل لعام 1994</w:t>
      </w:r>
      <w:r>
        <w:rPr>
          <w:rtl/>
        </w:rPr>
        <w:br/>
      </w:r>
      <w:r>
        <w:t>(</w:t>
      </w:r>
      <w:r>
        <w:rPr>
          <w:i/>
          <w:iCs/>
        </w:rPr>
        <w:t>Encuesta demográfica y de salud materna e infantil</w:t>
      </w:r>
      <w:r>
        <w:t>) (ENDEMAIN-94)</w:t>
      </w:r>
      <w:r>
        <w:rPr>
          <w:rFonts w:hint="cs"/>
          <w:rtl/>
        </w:rPr>
        <w:t>، أن وفيات الرضع في إكوادور تشهد ا</w:t>
      </w:r>
      <w:r>
        <w:rPr>
          <w:rFonts w:hint="cs"/>
          <w:rtl/>
        </w:rPr>
        <w:t>نخفاضاً: وبمقارنة الدراسة الاستقصائية لعام 1987، التي أثبتت نسبة وفيات قدرها 58 في الألف خلال الخمس سنوات 1982-1987، بالدراسة الاستقصائية لعام 1994، التي تحدد تلك النسبة ب‍ 40 في الألف، يتضح أن النسبة قد انخفضت رغم أنها لا تزال مرتفعة. وتبين الإحصاءات أن م</w:t>
      </w:r>
      <w:r>
        <w:rPr>
          <w:rFonts w:hint="cs"/>
          <w:rtl/>
        </w:rPr>
        <w:t>توسـط وفيات الأطفال لكل 000 1 مولود حي قد انخفض بنسبة 31 في المائة خلال سبع سنوات</w:t>
      </w:r>
      <w:r>
        <w:rPr>
          <w:rFonts w:hint="cs"/>
          <w:vertAlign w:val="superscript"/>
          <w:rtl/>
        </w:rPr>
        <w:t>(54)</w:t>
      </w:r>
      <w:r>
        <w:rPr>
          <w:rFonts w:hint="cs"/>
          <w:rtl/>
        </w:rPr>
        <w:t>.</w:t>
      </w:r>
    </w:p>
    <w:p w:rsidR="00000000" w:rsidRDefault="00567B15">
      <w:pPr>
        <w:spacing w:line="380" w:lineRule="exact"/>
        <w:jc w:val="both"/>
        <w:rPr>
          <w:rFonts w:hint="cs"/>
          <w:rtl/>
        </w:rPr>
      </w:pPr>
      <w:r>
        <w:rPr>
          <w:rFonts w:hint="cs"/>
          <w:rtl/>
        </w:rPr>
        <w:t>393-</w:t>
      </w:r>
      <w:r>
        <w:rPr>
          <w:rFonts w:hint="cs"/>
          <w:rtl/>
        </w:rPr>
        <w:tab/>
        <w:t>واستناداً إلى الدراسة الاستقصائية لعام 1999، فإن وفيات الرضع في إكوادور في عام 1999 كانت 30 في الألف من المواليد الأحياء وكانت النسبة في المناطق الحضرية 22 في الألف</w:t>
      </w:r>
      <w:r>
        <w:rPr>
          <w:rFonts w:hint="cs"/>
          <w:rtl/>
        </w:rPr>
        <w:t xml:space="preserve"> من المواليد الأحياء، وهي أكثر بقليل من نصف النسبة في المناطق الريفية (40 في الألف).</w:t>
      </w:r>
    </w:p>
    <w:p w:rsidR="00000000" w:rsidRDefault="00567B15">
      <w:pPr>
        <w:spacing w:line="380" w:lineRule="exact"/>
        <w:jc w:val="both"/>
        <w:rPr>
          <w:rFonts w:hint="cs"/>
          <w:rtl/>
        </w:rPr>
      </w:pPr>
      <w:r>
        <w:rPr>
          <w:rFonts w:hint="cs"/>
          <w:rtl/>
        </w:rPr>
        <w:t>394-</w:t>
      </w:r>
      <w:r>
        <w:rPr>
          <w:rFonts w:hint="cs"/>
          <w:rtl/>
        </w:rPr>
        <w:tab/>
        <w:t>وانخفض معدل الوفيات إلى 27 في الألف من المواليد الأحياء عام 2000، استناداً إلى شعبة الإحصاءات بوزارة الصحة العامة؛ ويجب الإشارة إلى أن هذا الرقم لا يراعي التسجيلات ال</w:t>
      </w:r>
      <w:r>
        <w:rPr>
          <w:rFonts w:hint="cs"/>
          <w:rtl/>
        </w:rPr>
        <w:t>متأخرة للمواليد الأحياء.</w:t>
      </w:r>
    </w:p>
    <w:p w:rsidR="00000000" w:rsidRDefault="00567B15">
      <w:pPr>
        <w:spacing w:line="380" w:lineRule="exact"/>
        <w:jc w:val="both"/>
        <w:rPr>
          <w:rFonts w:hint="cs"/>
          <w:rtl/>
        </w:rPr>
      </w:pPr>
      <w:r>
        <w:rPr>
          <w:rFonts w:hint="cs"/>
          <w:rtl/>
        </w:rPr>
        <w:t>395-</w:t>
      </w:r>
      <w:r>
        <w:rPr>
          <w:rFonts w:hint="cs"/>
          <w:rtl/>
        </w:rPr>
        <w:tab/>
        <w:t xml:space="preserve">ويتأثر المعدل المرتفع لوفيات الرضع لدى الولدان في المدن، حيث إن 68 </w:t>
      </w:r>
      <w:r>
        <w:rPr>
          <w:rFonts w:hint="eastAsia"/>
          <w:rtl/>
        </w:rPr>
        <w:t>في</w:t>
      </w:r>
      <w:r>
        <w:t xml:space="preserve"> </w:t>
      </w:r>
      <w:r>
        <w:rPr>
          <w:rtl/>
        </w:rPr>
        <w:t>المائة</w:t>
      </w:r>
      <w:r>
        <w:rPr>
          <w:rFonts w:hint="cs"/>
          <w:rtl/>
        </w:rPr>
        <w:t xml:space="preserve"> من الوفيات تسجَّل ضمن الولدان مقارنة بنسبة 60 في المائة في المناطق الريفية، بمستويات التنمية المتباينة في البيئتين.</w:t>
      </w:r>
    </w:p>
    <w:p w:rsidR="00000000" w:rsidRDefault="00567B15">
      <w:pPr>
        <w:spacing w:line="380" w:lineRule="exact"/>
        <w:jc w:val="both"/>
        <w:rPr>
          <w:rFonts w:hint="cs"/>
          <w:rtl/>
        </w:rPr>
      </w:pPr>
      <w:r>
        <w:rPr>
          <w:rFonts w:hint="cs"/>
          <w:rtl/>
        </w:rPr>
        <w:t>396-</w:t>
      </w:r>
      <w:r>
        <w:rPr>
          <w:rFonts w:hint="cs"/>
          <w:rtl/>
        </w:rPr>
        <w:tab/>
        <w:t>وينعكس ذلك في أرقام وفيات ال</w:t>
      </w:r>
      <w:r>
        <w:rPr>
          <w:rFonts w:hint="cs"/>
          <w:rtl/>
        </w:rPr>
        <w:t>طفولة، التي لا تكاد تزيد عن الربع في المناطق الحضرية، وفي سجل الوفيات (في الشريحة العمرية من الولادة إلى أربعة أعوام) تزيد عن الضعف في المناطق الريفية.</w:t>
      </w:r>
    </w:p>
    <w:p w:rsidR="00000000" w:rsidRDefault="00567B15">
      <w:pPr>
        <w:spacing w:line="380" w:lineRule="exact"/>
        <w:jc w:val="both"/>
        <w:rPr>
          <w:rFonts w:hint="cs"/>
          <w:rtl/>
        </w:rPr>
      </w:pPr>
      <w:r>
        <w:rPr>
          <w:rFonts w:hint="cs"/>
          <w:rtl/>
        </w:rPr>
        <w:t>397-</w:t>
      </w:r>
      <w:r>
        <w:rPr>
          <w:rFonts w:hint="cs"/>
          <w:rtl/>
        </w:rPr>
        <w:tab/>
        <w:t xml:space="preserve">ونسبة وفيات الرضع في المناطق الساحلية (25 </w:t>
      </w:r>
      <w:r>
        <w:rPr>
          <w:rFonts w:hint="eastAsia"/>
          <w:rtl/>
        </w:rPr>
        <w:t>في</w:t>
      </w:r>
      <w:r>
        <w:t xml:space="preserve"> </w:t>
      </w:r>
      <w:r>
        <w:rPr>
          <w:rtl/>
        </w:rPr>
        <w:t>الألف</w:t>
      </w:r>
      <w:r>
        <w:rPr>
          <w:rFonts w:hint="cs"/>
          <w:rtl/>
        </w:rPr>
        <w:t xml:space="preserve">) تقل عما هي عليه في السييرا والأمـازون (34 و38 </w:t>
      </w:r>
      <w:r>
        <w:rPr>
          <w:rFonts w:hint="eastAsia"/>
          <w:rtl/>
        </w:rPr>
        <w:t>ف</w:t>
      </w:r>
      <w:r>
        <w:rPr>
          <w:rFonts w:hint="eastAsia"/>
          <w:rtl/>
        </w:rPr>
        <w:t>ي</w:t>
      </w:r>
      <w:r>
        <w:t xml:space="preserve"> </w:t>
      </w:r>
      <w:r>
        <w:rPr>
          <w:rtl/>
        </w:rPr>
        <w:t>الألف</w:t>
      </w:r>
      <w:r>
        <w:rPr>
          <w:rFonts w:hint="cs"/>
          <w:rtl/>
        </w:rPr>
        <w:t>)؛ ولم تسجل الدراسة الاستقصائية أي وفيات بين الأطفال الذين تقل أعمارهم عن عام واحد في منطقة الجزر، وهي حالة تؤيدها السجلات العامة التي تبين ثلاث وفيات في عام 1997</w:t>
      </w:r>
      <w:r>
        <w:rPr>
          <w:rFonts w:hint="cs"/>
          <w:vertAlign w:val="superscript"/>
          <w:rtl/>
        </w:rPr>
        <w:t>(55)</w:t>
      </w:r>
      <w:r>
        <w:rPr>
          <w:rFonts w:hint="cs"/>
          <w:rtl/>
        </w:rPr>
        <w:t>.</w:t>
      </w:r>
    </w:p>
    <w:p w:rsidR="00000000" w:rsidRDefault="00567B15">
      <w:pPr>
        <w:jc w:val="center"/>
        <w:rPr>
          <w:rFonts w:hint="cs"/>
          <w:b/>
          <w:bCs/>
          <w:rtl/>
        </w:rPr>
      </w:pPr>
      <w:r>
        <w:rPr>
          <w:rFonts w:hint="cs"/>
          <w:b/>
          <w:bCs/>
          <w:rtl/>
        </w:rPr>
        <w:t>معدلات وفيات الرضع والأطفال استناداً إلى دراسات استقصائية مختلفة</w:t>
      </w:r>
    </w:p>
    <w:tbl>
      <w:tblPr>
        <w:bidiVisual/>
        <w:tblW w:w="0" w:type="auto"/>
        <w:tblInd w:w="8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96"/>
        <w:gridCol w:w="1188"/>
        <w:gridCol w:w="1302"/>
        <w:gridCol w:w="869"/>
        <w:gridCol w:w="1008"/>
        <w:gridCol w:w="2002"/>
      </w:tblGrid>
      <w:tr w:rsidR="00567B15" w:rsidTr="00567B15">
        <w:tblPrEx>
          <w:tblCellMar>
            <w:top w:w="0" w:type="dxa"/>
            <w:bottom w:w="0" w:type="dxa"/>
          </w:tblCellMar>
        </w:tblPrEx>
        <w:trPr>
          <w:trHeight w:val="735"/>
        </w:trPr>
        <w:tc>
          <w:tcPr>
            <w:tcW w:w="2996" w:type="dxa"/>
            <w:tcBorders>
              <w:top w:val="single" w:sz="4" w:space="0" w:color="auto"/>
              <w:bottom w:val="single" w:sz="4" w:space="0" w:color="auto"/>
            </w:tcBorders>
          </w:tcPr>
          <w:p w:rsidR="00567B15" w:rsidRDefault="00567B15">
            <w:pPr>
              <w:spacing w:before="0" w:after="0" w:line="340" w:lineRule="exact"/>
              <w:jc w:val="center"/>
              <w:rPr>
                <w:rFonts w:hint="cs"/>
                <w:sz w:val="26"/>
                <w:szCs w:val="26"/>
                <w:rtl/>
              </w:rPr>
            </w:pPr>
          </w:p>
          <w:p w:rsidR="00567B15" w:rsidRDefault="00567B15">
            <w:pPr>
              <w:spacing w:before="0" w:after="0" w:line="340" w:lineRule="exact"/>
              <w:jc w:val="center"/>
              <w:rPr>
                <w:rFonts w:hint="cs"/>
                <w:sz w:val="26"/>
                <w:szCs w:val="26"/>
              </w:rPr>
            </w:pPr>
            <w:r>
              <w:rPr>
                <w:rFonts w:hint="cs"/>
                <w:sz w:val="26"/>
                <w:szCs w:val="26"/>
                <w:rtl/>
              </w:rPr>
              <w:t>الدراسة الاستقصائية</w:t>
            </w:r>
          </w:p>
        </w:tc>
        <w:tc>
          <w:tcPr>
            <w:tcW w:w="1188"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وفيات المواليد الجدد</w:t>
            </w:r>
          </w:p>
        </w:tc>
        <w:tc>
          <w:tcPr>
            <w:tcW w:w="1302"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وفيات المواليد المتقدمي العمر</w:t>
            </w:r>
          </w:p>
        </w:tc>
        <w:tc>
          <w:tcPr>
            <w:tcW w:w="869"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وفيات الرضع</w:t>
            </w:r>
          </w:p>
        </w:tc>
        <w:tc>
          <w:tcPr>
            <w:tcW w:w="1008"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وفيات الطفولة</w:t>
            </w:r>
          </w:p>
        </w:tc>
        <w:tc>
          <w:tcPr>
            <w:tcW w:w="2002"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الوفيات في أوساط الأطفال دون الخامسة</w:t>
            </w:r>
          </w:p>
        </w:tc>
      </w:tr>
      <w:tr w:rsidR="00567B15" w:rsidTr="00567B15">
        <w:tblPrEx>
          <w:tblCellMar>
            <w:top w:w="0" w:type="dxa"/>
            <w:bottom w:w="0" w:type="dxa"/>
          </w:tblCellMar>
        </w:tblPrEx>
        <w:tc>
          <w:tcPr>
            <w:tcW w:w="2996" w:type="dxa"/>
            <w:tcBorders>
              <w:top w:val="single" w:sz="4" w:space="0" w:color="auto"/>
            </w:tcBorders>
          </w:tcPr>
          <w:p w:rsidR="00567B15" w:rsidRDefault="00567B15">
            <w:pPr>
              <w:spacing w:before="0" w:after="0"/>
              <w:jc w:val="both"/>
              <w:rPr>
                <w:rFonts w:hint="cs"/>
                <w:sz w:val="26"/>
                <w:szCs w:val="26"/>
              </w:rPr>
            </w:pPr>
            <w:r>
              <w:rPr>
                <w:rFonts w:hint="cs"/>
                <w:sz w:val="26"/>
                <w:szCs w:val="26"/>
                <w:rtl/>
              </w:rPr>
              <w:t>الدراسة الاستقصائية (82-87)</w:t>
            </w:r>
          </w:p>
        </w:tc>
        <w:tc>
          <w:tcPr>
            <w:tcW w:w="1188" w:type="dxa"/>
            <w:tcBorders>
              <w:top w:val="single" w:sz="4" w:space="0" w:color="auto"/>
            </w:tcBorders>
          </w:tcPr>
          <w:p w:rsidR="00567B15" w:rsidRDefault="00567B15">
            <w:pPr>
              <w:spacing w:before="0" w:after="0"/>
              <w:ind w:left="170"/>
              <w:jc w:val="both"/>
              <w:rPr>
                <w:rFonts w:hint="cs"/>
                <w:sz w:val="26"/>
                <w:szCs w:val="26"/>
              </w:rPr>
            </w:pPr>
            <w:r>
              <w:rPr>
                <w:rFonts w:hint="cs"/>
                <w:sz w:val="26"/>
                <w:szCs w:val="26"/>
                <w:rtl/>
              </w:rPr>
              <w:t>36</w:t>
            </w:r>
          </w:p>
        </w:tc>
        <w:tc>
          <w:tcPr>
            <w:tcW w:w="1302" w:type="dxa"/>
            <w:tcBorders>
              <w:top w:val="single" w:sz="4" w:space="0" w:color="auto"/>
            </w:tcBorders>
          </w:tcPr>
          <w:p w:rsidR="00567B15" w:rsidRDefault="00567B15">
            <w:pPr>
              <w:spacing w:before="0" w:after="0"/>
              <w:ind w:left="170"/>
              <w:jc w:val="both"/>
              <w:rPr>
                <w:rFonts w:hint="cs"/>
                <w:sz w:val="26"/>
                <w:szCs w:val="26"/>
              </w:rPr>
            </w:pPr>
            <w:r>
              <w:rPr>
                <w:rFonts w:hint="cs"/>
                <w:sz w:val="26"/>
                <w:szCs w:val="26"/>
                <w:rtl/>
              </w:rPr>
              <w:t>22</w:t>
            </w:r>
          </w:p>
        </w:tc>
        <w:tc>
          <w:tcPr>
            <w:tcW w:w="869" w:type="dxa"/>
            <w:tcBorders>
              <w:top w:val="single" w:sz="4" w:space="0" w:color="auto"/>
            </w:tcBorders>
          </w:tcPr>
          <w:p w:rsidR="00567B15" w:rsidRDefault="00567B15">
            <w:pPr>
              <w:spacing w:before="0" w:after="0"/>
              <w:ind w:left="170"/>
              <w:jc w:val="both"/>
              <w:rPr>
                <w:rFonts w:hint="cs"/>
                <w:sz w:val="26"/>
                <w:szCs w:val="26"/>
              </w:rPr>
            </w:pPr>
            <w:r>
              <w:rPr>
                <w:rFonts w:hint="cs"/>
                <w:sz w:val="26"/>
                <w:szCs w:val="26"/>
                <w:rtl/>
              </w:rPr>
              <w:t>58</w:t>
            </w:r>
          </w:p>
        </w:tc>
        <w:tc>
          <w:tcPr>
            <w:tcW w:w="1008" w:type="dxa"/>
            <w:tcBorders>
              <w:top w:val="single" w:sz="4" w:space="0" w:color="auto"/>
            </w:tcBorders>
          </w:tcPr>
          <w:p w:rsidR="00567B15" w:rsidRDefault="00567B15">
            <w:pPr>
              <w:spacing w:before="0" w:after="0"/>
              <w:ind w:left="170"/>
              <w:jc w:val="both"/>
              <w:rPr>
                <w:rFonts w:hint="cs"/>
                <w:sz w:val="26"/>
                <w:szCs w:val="26"/>
              </w:rPr>
            </w:pPr>
            <w:r>
              <w:rPr>
                <w:rFonts w:hint="cs"/>
                <w:sz w:val="26"/>
                <w:szCs w:val="26"/>
                <w:rtl/>
              </w:rPr>
              <w:t>25</w:t>
            </w:r>
          </w:p>
        </w:tc>
        <w:tc>
          <w:tcPr>
            <w:tcW w:w="2002" w:type="dxa"/>
            <w:tcBorders>
              <w:top w:val="single" w:sz="4" w:space="0" w:color="auto"/>
            </w:tcBorders>
          </w:tcPr>
          <w:p w:rsidR="00567B15" w:rsidRDefault="00567B15">
            <w:pPr>
              <w:spacing w:before="0" w:after="0"/>
              <w:ind w:left="170"/>
              <w:jc w:val="both"/>
              <w:rPr>
                <w:rFonts w:hint="cs"/>
                <w:sz w:val="26"/>
                <w:szCs w:val="26"/>
              </w:rPr>
            </w:pPr>
            <w:r>
              <w:rPr>
                <w:rFonts w:hint="cs"/>
                <w:sz w:val="26"/>
                <w:szCs w:val="26"/>
                <w:rtl/>
              </w:rPr>
              <w:t>82</w:t>
            </w:r>
          </w:p>
        </w:tc>
      </w:tr>
      <w:tr w:rsidR="00567B15" w:rsidTr="00567B15">
        <w:tblPrEx>
          <w:tblCellMar>
            <w:top w:w="0" w:type="dxa"/>
            <w:bottom w:w="0" w:type="dxa"/>
          </w:tblCellMar>
        </w:tblPrEx>
        <w:tc>
          <w:tcPr>
            <w:tcW w:w="2996" w:type="dxa"/>
          </w:tcPr>
          <w:p w:rsidR="00567B15" w:rsidRDefault="00567B15">
            <w:pPr>
              <w:spacing w:before="0" w:after="0"/>
              <w:jc w:val="both"/>
              <w:rPr>
                <w:rFonts w:hint="cs"/>
                <w:sz w:val="26"/>
                <w:szCs w:val="26"/>
              </w:rPr>
            </w:pPr>
            <w:r>
              <w:rPr>
                <w:rFonts w:hint="cs"/>
                <w:sz w:val="26"/>
                <w:szCs w:val="26"/>
                <w:rtl/>
              </w:rPr>
              <w:t>الدراسة الاستقصائية -89 (87)*</w:t>
            </w:r>
          </w:p>
        </w:tc>
        <w:tc>
          <w:tcPr>
            <w:tcW w:w="1188" w:type="dxa"/>
          </w:tcPr>
          <w:p w:rsidR="00567B15" w:rsidRDefault="00567B15">
            <w:pPr>
              <w:spacing w:before="0" w:after="0"/>
              <w:ind w:left="170"/>
              <w:jc w:val="both"/>
              <w:rPr>
                <w:rFonts w:hint="cs"/>
                <w:sz w:val="26"/>
                <w:szCs w:val="26"/>
              </w:rPr>
            </w:pPr>
          </w:p>
        </w:tc>
        <w:tc>
          <w:tcPr>
            <w:tcW w:w="1302" w:type="dxa"/>
          </w:tcPr>
          <w:p w:rsidR="00567B15" w:rsidRDefault="00567B15">
            <w:pPr>
              <w:spacing w:before="0" w:after="0"/>
              <w:ind w:left="170"/>
              <w:jc w:val="both"/>
              <w:rPr>
                <w:rFonts w:hint="cs"/>
                <w:sz w:val="26"/>
                <w:szCs w:val="26"/>
              </w:rPr>
            </w:pPr>
          </w:p>
        </w:tc>
        <w:tc>
          <w:tcPr>
            <w:tcW w:w="869" w:type="dxa"/>
          </w:tcPr>
          <w:p w:rsidR="00567B15" w:rsidRDefault="00567B15">
            <w:pPr>
              <w:spacing w:before="0" w:after="0"/>
              <w:ind w:left="170"/>
              <w:jc w:val="both"/>
              <w:rPr>
                <w:rFonts w:hint="cs"/>
                <w:sz w:val="26"/>
                <w:szCs w:val="26"/>
              </w:rPr>
            </w:pPr>
            <w:r>
              <w:rPr>
                <w:rFonts w:hint="cs"/>
                <w:sz w:val="26"/>
                <w:szCs w:val="26"/>
                <w:rtl/>
              </w:rPr>
              <w:t>53</w:t>
            </w:r>
          </w:p>
        </w:tc>
        <w:tc>
          <w:tcPr>
            <w:tcW w:w="1008" w:type="dxa"/>
          </w:tcPr>
          <w:p w:rsidR="00567B15" w:rsidRDefault="00567B15">
            <w:pPr>
              <w:spacing w:before="0" w:after="0"/>
              <w:ind w:left="170"/>
              <w:jc w:val="both"/>
              <w:rPr>
                <w:rFonts w:hint="cs"/>
                <w:sz w:val="26"/>
                <w:szCs w:val="26"/>
              </w:rPr>
            </w:pPr>
            <w:r>
              <w:rPr>
                <w:rFonts w:hint="cs"/>
                <w:sz w:val="26"/>
                <w:szCs w:val="26"/>
                <w:rtl/>
              </w:rPr>
              <w:t>17</w:t>
            </w:r>
          </w:p>
        </w:tc>
        <w:tc>
          <w:tcPr>
            <w:tcW w:w="2002" w:type="dxa"/>
          </w:tcPr>
          <w:p w:rsidR="00567B15" w:rsidRDefault="00567B15">
            <w:pPr>
              <w:spacing w:before="0" w:after="0"/>
              <w:ind w:left="170"/>
              <w:jc w:val="both"/>
              <w:rPr>
                <w:rFonts w:hint="cs"/>
                <w:sz w:val="26"/>
                <w:szCs w:val="26"/>
              </w:rPr>
            </w:pPr>
            <w:r>
              <w:rPr>
                <w:rFonts w:hint="cs"/>
                <w:sz w:val="26"/>
                <w:szCs w:val="26"/>
                <w:rtl/>
              </w:rPr>
              <w:t>70</w:t>
            </w:r>
          </w:p>
        </w:tc>
      </w:tr>
      <w:tr w:rsidR="00567B15" w:rsidTr="00567B15">
        <w:tblPrEx>
          <w:tblCellMar>
            <w:top w:w="0" w:type="dxa"/>
            <w:bottom w:w="0" w:type="dxa"/>
          </w:tblCellMar>
        </w:tblPrEx>
        <w:tc>
          <w:tcPr>
            <w:tcW w:w="2996" w:type="dxa"/>
          </w:tcPr>
          <w:p w:rsidR="00567B15" w:rsidRDefault="00567B15">
            <w:pPr>
              <w:spacing w:before="0" w:after="0"/>
              <w:jc w:val="both"/>
              <w:rPr>
                <w:rFonts w:hint="cs"/>
                <w:sz w:val="26"/>
                <w:szCs w:val="26"/>
              </w:rPr>
            </w:pPr>
            <w:r>
              <w:rPr>
                <w:rFonts w:hint="cs"/>
                <w:sz w:val="26"/>
                <w:szCs w:val="26"/>
                <w:rtl/>
              </w:rPr>
              <w:t>الدراسة الاستقصائية -94 (89-94)</w:t>
            </w:r>
          </w:p>
        </w:tc>
        <w:tc>
          <w:tcPr>
            <w:tcW w:w="1188" w:type="dxa"/>
          </w:tcPr>
          <w:p w:rsidR="00567B15" w:rsidRDefault="00567B15">
            <w:pPr>
              <w:spacing w:before="0" w:after="0"/>
              <w:ind w:left="170"/>
              <w:jc w:val="both"/>
              <w:rPr>
                <w:rFonts w:hint="cs"/>
                <w:sz w:val="26"/>
                <w:szCs w:val="26"/>
              </w:rPr>
            </w:pPr>
            <w:r>
              <w:rPr>
                <w:rFonts w:hint="cs"/>
                <w:sz w:val="26"/>
                <w:szCs w:val="26"/>
                <w:rtl/>
              </w:rPr>
              <w:t>22</w:t>
            </w:r>
          </w:p>
        </w:tc>
        <w:tc>
          <w:tcPr>
            <w:tcW w:w="1302" w:type="dxa"/>
          </w:tcPr>
          <w:p w:rsidR="00567B15" w:rsidRDefault="00567B15">
            <w:pPr>
              <w:spacing w:before="0" w:after="0"/>
              <w:ind w:left="170"/>
              <w:jc w:val="both"/>
              <w:rPr>
                <w:rFonts w:hint="cs"/>
                <w:sz w:val="26"/>
                <w:szCs w:val="26"/>
              </w:rPr>
            </w:pPr>
            <w:r>
              <w:rPr>
                <w:rFonts w:hint="cs"/>
                <w:sz w:val="26"/>
                <w:szCs w:val="26"/>
                <w:rtl/>
              </w:rPr>
              <w:t>18</w:t>
            </w:r>
          </w:p>
        </w:tc>
        <w:tc>
          <w:tcPr>
            <w:tcW w:w="869" w:type="dxa"/>
          </w:tcPr>
          <w:p w:rsidR="00567B15" w:rsidRDefault="00567B15">
            <w:pPr>
              <w:spacing w:before="0" w:after="0"/>
              <w:ind w:left="170"/>
              <w:jc w:val="both"/>
              <w:rPr>
                <w:rFonts w:hint="cs"/>
                <w:sz w:val="26"/>
                <w:szCs w:val="26"/>
              </w:rPr>
            </w:pPr>
            <w:r>
              <w:rPr>
                <w:rFonts w:hint="cs"/>
                <w:sz w:val="26"/>
                <w:szCs w:val="26"/>
                <w:rtl/>
              </w:rPr>
              <w:t>40</w:t>
            </w:r>
          </w:p>
        </w:tc>
        <w:tc>
          <w:tcPr>
            <w:tcW w:w="1008" w:type="dxa"/>
          </w:tcPr>
          <w:p w:rsidR="00567B15" w:rsidRDefault="00567B15">
            <w:pPr>
              <w:spacing w:before="0" w:after="0"/>
              <w:ind w:left="170"/>
              <w:jc w:val="both"/>
              <w:rPr>
                <w:rFonts w:hint="cs"/>
                <w:sz w:val="26"/>
                <w:szCs w:val="26"/>
              </w:rPr>
            </w:pPr>
            <w:r>
              <w:rPr>
                <w:rFonts w:hint="cs"/>
                <w:sz w:val="26"/>
                <w:szCs w:val="26"/>
                <w:rtl/>
              </w:rPr>
              <w:t>12</w:t>
            </w:r>
          </w:p>
        </w:tc>
        <w:tc>
          <w:tcPr>
            <w:tcW w:w="2002" w:type="dxa"/>
          </w:tcPr>
          <w:p w:rsidR="00567B15" w:rsidRDefault="00567B15">
            <w:pPr>
              <w:spacing w:before="0" w:after="0"/>
              <w:ind w:left="170"/>
              <w:jc w:val="both"/>
              <w:rPr>
                <w:rFonts w:hint="cs"/>
                <w:sz w:val="26"/>
                <w:szCs w:val="26"/>
              </w:rPr>
            </w:pPr>
            <w:r>
              <w:rPr>
                <w:rFonts w:hint="cs"/>
                <w:sz w:val="26"/>
                <w:szCs w:val="26"/>
                <w:rtl/>
              </w:rPr>
              <w:t>51</w:t>
            </w:r>
          </w:p>
        </w:tc>
      </w:tr>
      <w:tr w:rsidR="00567B15" w:rsidTr="00567B15">
        <w:tblPrEx>
          <w:tblCellMar>
            <w:top w:w="0" w:type="dxa"/>
            <w:bottom w:w="0" w:type="dxa"/>
          </w:tblCellMar>
        </w:tblPrEx>
        <w:tc>
          <w:tcPr>
            <w:tcW w:w="2996" w:type="dxa"/>
          </w:tcPr>
          <w:p w:rsidR="00567B15" w:rsidRDefault="00567B15">
            <w:pPr>
              <w:spacing w:before="0" w:after="0"/>
              <w:jc w:val="both"/>
              <w:rPr>
                <w:rFonts w:hint="cs"/>
                <w:sz w:val="26"/>
                <w:szCs w:val="26"/>
                <w:rtl/>
              </w:rPr>
            </w:pPr>
            <w:r>
              <w:rPr>
                <w:rFonts w:hint="cs"/>
                <w:sz w:val="26"/>
                <w:szCs w:val="26"/>
                <w:rtl/>
              </w:rPr>
              <w:t>الدراسة الاستقصائية -99</w:t>
            </w:r>
          </w:p>
        </w:tc>
        <w:tc>
          <w:tcPr>
            <w:tcW w:w="1188" w:type="dxa"/>
          </w:tcPr>
          <w:p w:rsidR="00567B15" w:rsidRDefault="00567B15">
            <w:pPr>
              <w:spacing w:before="0" w:after="0"/>
              <w:ind w:left="170"/>
              <w:jc w:val="both"/>
              <w:rPr>
                <w:rFonts w:hint="cs"/>
                <w:sz w:val="26"/>
                <w:szCs w:val="26"/>
                <w:rtl/>
              </w:rPr>
            </w:pPr>
            <w:r>
              <w:rPr>
                <w:rFonts w:hint="cs"/>
                <w:sz w:val="26"/>
                <w:szCs w:val="26"/>
                <w:rtl/>
              </w:rPr>
              <w:t>19</w:t>
            </w:r>
          </w:p>
        </w:tc>
        <w:tc>
          <w:tcPr>
            <w:tcW w:w="1302" w:type="dxa"/>
          </w:tcPr>
          <w:p w:rsidR="00567B15" w:rsidRDefault="00567B15">
            <w:pPr>
              <w:spacing w:before="0" w:after="0"/>
              <w:ind w:left="170"/>
              <w:jc w:val="both"/>
              <w:rPr>
                <w:rFonts w:hint="cs"/>
                <w:sz w:val="26"/>
                <w:szCs w:val="26"/>
                <w:rtl/>
              </w:rPr>
            </w:pPr>
            <w:r>
              <w:rPr>
                <w:rFonts w:hint="cs"/>
                <w:sz w:val="26"/>
                <w:szCs w:val="26"/>
                <w:rtl/>
              </w:rPr>
              <w:t>11</w:t>
            </w:r>
          </w:p>
        </w:tc>
        <w:tc>
          <w:tcPr>
            <w:tcW w:w="869" w:type="dxa"/>
          </w:tcPr>
          <w:p w:rsidR="00567B15" w:rsidRDefault="00567B15">
            <w:pPr>
              <w:spacing w:before="0" w:after="0"/>
              <w:ind w:left="170"/>
              <w:jc w:val="both"/>
              <w:rPr>
                <w:rFonts w:hint="cs"/>
                <w:sz w:val="26"/>
                <w:szCs w:val="26"/>
                <w:rtl/>
              </w:rPr>
            </w:pPr>
            <w:r>
              <w:rPr>
                <w:rFonts w:hint="cs"/>
                <w:sz w:val="26"/>
                <w:szCs w:val="26"/>
                <w:rtl/>
              </w:rPr>
              <w:t>30</w:t>
            </w:r>
          </w:p>
        </w:tc>
        <w:tc>
          <w:tcPr>
            <w:tcW w:w="1008" w:type="dxa"/>
          </w:tcPr>
          <w:p w:rsidR="00567B15" w:rsidRDefault="00567B15">
            <w:pPr>
              <w:spacing w:before="0" w:after="0"/>
              <w:ind w:left="170"/>
              <w:jc w:val="both"/>
              <w:rPr>
                <w:rFonts w:hint="cs"/>
                <w:sz w:val="26"/>
                <w:szCs w:val="26"/>
                <w:rtl/>
              </w:rPr>
            </w:pPr>
            <w:r>
              <w:rPr>
                <w:rFonts w:hint="cs"/>
                <w:sz w:val="26"/>
                <w:szCs w:val="26"/>
                <w:rtl/>
              </w:rPr>
              <w:t>9</w:t>
            </w:r>
          </w:p>
        </w:tc>
        <w:tc>
          <w:tcPr>
            <w:tcW w:w="2002" w:type="dxa"/>
          </w:tcPr>
          <w:p w:rsidR="00567B15" w:rsidRDefault="00567B15">
            <w:pPr>
              <w:spacing w:before="0" w:after="0"/>
              <w:ind w:left="170"/>
              <w:jc w:val="both"/>
              <w:rPr>
                <w:rFonts w:hint="cs"/>
                <w:sz w:val="26"/>
                <w:szCs w:val="26"/>
                <w:rtl/>
              </w:rPr>
            </w:pPr>
            <w:r>
              <w:rPr>
                <w:rFonts w:hint="cs"/>
                <w:sz w:val="26"/>
                <w:szCs w:val="26"/>
                <w:rtl/>
              </w:rPr>
              <w:t>39</w:t>
            </w:r>
          </w:p>
        </w:tc>
      </w:tr>
    </w:tbl>
    <w:p w:rsidR="00000000" w:rsidRDefault="00567B15">
      <w:pPr>
        <w:spacing w:before="120" w:after="120"/>
        <w:ind w:left="1434" w:hanging="714"/>
        <w:jc w:val="both"/>
        <w:rPr>
          <w:rFonts w:hint="cs"/>
          <w:rtl/>
        </w:rPr>
      </w:pPr>
      <w:r>
        <w:rPr>
          <w:rFonts w:hint="cs"/>
          <w:u w:val="single"/>
          <w:rtl/>
        </w:rPr>
        <w:t>المصدر</w:t>
      </w:r>
      <w:r>
        <w:rPr>
          <w:rFonts w:hint="cs"/>
          <w:rtl/>
        </w:rPr>
        <w:t>: الدراسة الاستقصائية الديمغرافية والمتعلقة بصحة الأم والطفل لعام 1994، الدراسة الاستقصائية الديمغرافية والمتعلقة بصحة الأم والطفل لعام 1999.</w:t>
      </w:r>
    </w:p>
    <w:p w:rsidR="00000000" w:rsidRDefault="00567B15">
      <w:pPr>
        <w:spacing w:before="120" w:after="120"/>
        <w:jc w:val="both"/>
        <w:rPr>
          <w:rFonts w:hint="cs"/>
          <w:rtl/>
        </w:rPr>
      </w:pPr>
      <w:r>
        <w:rPr>
          <w:rFonts w:hint="cs"/>
          <w:rtl/>
        </w:rPr>
        <w:tab/>
        <w:t>*</w:t>
      </w:r>
      <w:r>
        <w:rPr>
          <w:rFonts w:hint="cs"/>
          <w:rtl/>
        </w:rPr>
        <w:tab/>
        <w:t>الطريقة غير المباشرة لعام 1989.</w:t>
      </w:r>
    </w:p>
    <w:p w:rsidR="00000000" w:rsidRDefault="00567B15">
      <w:pPr>
        <w:spacing w:after="360" w:line="380" w:lineRule="exact"/>
        <w:jc w:val="both"/>
        <w:rPr>
          <w:rFonts w:hint="cs"/>
          <w:rtl/>
        </w:rPr>
      </w:pPr>
      <w:r>
        <w:rPr>
          <w:rFonts w:hint="cs"/>
          <w:rtl/>
        </w:rPr>
        <w:t>398-</w:t>
      </w:r>
      <w:r>
        <w:rPr>
          <w:rFonts w:hint="cs"/>
          <w:rtl/>
        </w:rPr>
        <w:tab/>
        <w:t>تحدد الدراسة الاستقصائية لعام 1</w:t>
      </w:r>
      <w:r>
        <w:rPr>
          <w:rFonts w:hint="cs"/>
          <w:rtl/>
        </w:rPr>
        <w:t>994 وفيـات الأطفال بنسبة 30</w:t>
      </w:r>
      <w:r>
        <w:rPr>
          <w:rFonts w:hint="eastAsia"/>
          <w:rtl/>
        </w:rPr>
        <w:t xml:space="preserve"> في</w:t>
      </w:r>
      <w:r>
        <w:t xml:space="preserve"> </w:t>
      </w:r>
      <w:r>
        <w:rPr>
          <w:rtl/>
        </w:rPr>
        <w:t>الألف</w:t>
      </w:r>
      <w:r>
        <w:rPr>
          <w:rFonts w:hint="cs"/>
          <w:rtl/>
        </w:rPr>
        <w:t xml:space="preserve"> من المواليد الأحياء، وهي نسبة تزيد بقليل عن نصف المستوى الريفي البالغ 52 </w:t>
      </w:r>
      <w:r>
        <w:rPr>
          <w:rFonts w:hint="eastAsia"/>
          <w:rtl/>
        </w:rPr>
        <w:t>في</w:t>
      </w:r>
      <w:r>
        <w:t xml:space="preserve"> </w:t>
      </w:r>
      <w:r>
        <w:rPr>
          <w:rtl/>
        </w:rPr>
        <w:t>الألف</w:t>
      </w:r>
      <w:r>
        <w:rPr>
          <w:rFonts w:hint="cs"/>
          <w:rtl/>
        </w:rPr>
        <w:t xml:space="preserve">. ومرة أخرى، فإن ارتفاع الكثافة لوفيات المواليد الجدد في المناطق الحضرية والبالغة 60 </w:t>
      </w:r>
      <w:r>
        <w:rPr>
          <w:rFonts w:hint="eastAsia"/>
          <w:rtl/>
        </w:rPr>
        <w:t>في</w:t>
      </w:r>
      <w:r>
        <w:t xml:space="preserve"> </w:t>
      </w:r>
      <w:r>
        <w:rPr>
          <w:rtl/>
        </w:rPr>
        <w:t>المائة</w:t>
      </w:r>
      <w:r>
        <w:rPr>
          <w:rFonts w:hint="cs"/>
          <w:rtl/>
        </w:rPr>
        <w:t xml:space="preserve"> من وفيات الرضع مقارنة بنسبة 54 </w:t>
      </w:r>
      <w:r>
        <w:rPr>
          <w:rFonts w:hint="eastAsia"/>
          <w:rtl/>
        </w:rPr>
        <w:t>في</w:t>
      </w:r>
      <w:r>
        <w:t xml:space="preserve"> </w:t>
      </w:r>
      <w:r>
        <w:rPr>
          <w:rtl/>
        </w:rPr>
        <w:t>المائة</w:t>
      </w:r>
      <w:r>
        <w:rPr>
          <w:rFonts w:hint="cs"/>
          <w:rtl/>
        </w:rPr>
        <w:t xml:space="preserve"> في</w:t>
      </w:r>
      <w:r>
        <w:rPr>
          <w:rFonts w:hint="cs"/>
          <w:rtl/>
        </w:rPr>
        <w:t xml:space="preserve"> المناطق الريفية تعكس بأمانة الظروف السائدة داخل البيئتين المختلفتين وحولهما</w:t>
      </w:r>
      <w:r>
        <w:rPr>
          <w:rFonts w:hint="cs"/>
          <w:vertAlign w:val="superscript"/>
          <w:rtl/>
        </w:rPr>
        <w:t>(56)</w:t>
      </w:r>
      <w:r>
        <w:rPr>
          <w:rFonts w:hint="cs"/>
          <w:rtl/>
        </w:rPr>
        <w:t xml:space="preserve">. </w:t>
      </w:r>
    </w:p>
    <w:p w:rsidR="00000000" w:rsidRDefault="00567B15">
      <w:pPr>
        <w:jc w:val="center"/>
        <w:rPr>
          <w:rFonts w:hint="cs"/>
          <w:b/>
          <w:bCs/>
          <w:rtl/>
        </w:rPr>
      </w:pPr>
      <w:r>
        <w:rPr>
          <w:rFonts w:hint="cs"/>
          <w:b/>
          <w:bCs/>
          <w:rtl/>
        </w:rPr>
        <w:t>معدلات وفيات الرضع والأطفال (الدراسة الاستقصائية للفترة 1989-1994)</w:t>
      </w:r>
    </w:p>
    <w:tbl>
      <w:tblPr>
        <w:bidiVisual/>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756"/>
        <w:gridCol w:w="1204"/>
        <w:gridCol w:w="1624"/>
        <w:gridCol w:w="2225"/>
        <w:gridCol w:w="2660"/>
      </w:tblGrid>
      <w:tr w:rsidR="00567B15" w:rsidTr="00567B15">
        <w:tblPrEx>
          <w:tblCellMar>
            <w:top w:w="0" w:type="dxa"/>
            <w:bottom w:w="0" w:type="dxa"/>
          </w:tblCellMar>
        </w:tblPrEx>
        <w:trPr>
          <w:cantSplit/>
        </w:trPr>
        <w:tc>
          <w:tcPr>
            <w:tcW w:w="868" w:type="dxa"/>
            <w:tcBorders>
              <w:bottom w:val="single" w:sz="4" w:space="0" w:color="auto"/>
            </w:tcBorders>
          </w:tcPr>
          <w:p w:rsidR="00567B15" w:rsidRDefault="00567B15">
            <w:pPr>
              <w:spacing w:before="0" w:after="0" w:line="340" w:lineRule="exact"/>
              <w:jc w:val="center"/>
              <w:rPr>
                <w:sz w:val="26"/>
                <w:szCs w:val="26"/>
              </w:rPr>
            </w:pPr>
          </w:p>
        </w:tc>
        <w:tc>
          <w:tcPr>
            <w:tcW w:w="3584" w:type="dxa"/>
            <w:gridSpan w:val="3"/>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الرضع</w:t>
            </w:r>
          </w:p>
        </w:tc>
        <w:tc>
          <w:tcPr>
            <w:tcW w:w="2225" w:type="dxa"/>
            <w:tcBorders>
              <w:bottom w:val="single" w:sz="4" w:space="0" w:color="auto"/>
            </w:tcBorders>
          </w:tcPr>
          <w:p w:rsidR="00567B15" w:rsidRDefault="00567B15">
            <w:pPr>
              <w:spacing w:before="0" w:after="0" w:line="340" w:lineRule="exact"/>
              <w:jc w:val="left"/>
              <w:rPr>
                <w:rFonts w:hint="cs"/>
                <w:spacing w:val="0"/>
                <w:sz w:val="26"/>
                <w:szCs w:val="26"/>
              </w:rPr>
            </w:pPr>
            <w:r>
              <w:rPr>
                <w:rFonts w:hint="cs"/>
                <w:spacing w:val="0"/>
                <w:sz w:val="26"/>
                <w:szCs w:val="26"/>
                <w:rtl/>
              </w:rPr>
              <w:t>الأطفال (من 1 إلى 4 أعوام)</w:t>
            </w:r>
          </w:p>
        </w:tc>
        <w:tc>
          <w:tcPr>
            <w:tcW w:w="2660" w:type="dxa"/>
            <w:tcBorders>
              <w:bottom w:val="single" w:sz="4" w:space="0" w:color="auto"/>
            </w:tcBorders>
          </w:tcPr>
          <w:p w:rsidR="00567B15" w:rsidRDefault="00567B15">
            <w:pPr>
              <w:spacing w:before="0" w:after="0" w:line="340" w:lineRule="exact"/>
              <w:jc w:val="left"/>
              <w:rPr>
                <w:rFonts w:hint="cs"/>
                <w:spacing w:val="0"/>
                <w:sz w:val="26"/>
                <w:szCs w:val="26"/>
              </w:rPr>
            </w:pPr>
            <w:r>
              <w:rPr>
                <w:rFonts w:hint="cs"/>
                <w:spacing w:val="0"/>
                <w:sz w:val="26"/>
                <w:szCs w:val="26"/>
                <w:rtl/>
              </w:rPr>
              <w:t>المجموع (من الولادة إلى 4 أعوام)</w:t>
            </w:r>
          </w:p>
        </w:tc>
      </w:tr>
      <w:tr w:rsidR="00567B15" w:rsidTr="00567B15">
        <w:tblPrEx>
          <w:tblCellMar>
            <w:top w:w="0" w:type="dxa"/>
            <w:bottom w:w="0" w:type="dxa"/>
          </w:tblCellMar>
        </w:tblPrEx>
        <w:trPr>
          <w:cantSplit/>
        </w:trPr>
        <w:tc>
          <w:tcPr>
            <w:tcW w:w="868" w:type="dxa"/>
            <w:tcBorders>
              <w:top w:val="single" w:sz="4" w:space="0" w:color="auto"/>
              <w:bottom w:val="single" w:sz="4" w:space="0" w:color="auto"/>
            </w:tcBorders>
          </w:tcPr>
          <w:p w:rsidR="00567B15" w:rsidRDefault="00567B15">
            <w:pPr>
              <w:spacing w:before="0" w:after="0" w:line="340" w:lineRule="exact"/>
              <w:jc w:val="both"/>
              <w:rPr>
                <w:rFonts w:hint="cs"/>
                <w:sz w:val="26"/>
                <w:szCs w:val="26"/>
              </w:rPr>
            </w:pPr>
          </w:p>
        </w:tc>
        <w:tc>
          <w:tcPr>
            <w:tcW w:w="756"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المجموع</w:t>
            </w:r>
          </w:p>
        </w:tc>
        <w:tc>
          <w:tcPr>
            <w:tcW w:w="1204"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المواليد الجدد</w:t>
            </w:r>
          </w:p>
        </w:tc>
        <w:tc>
          <w:tcPr>
            <w:tcW w:w="1624" w:type="dxa"/>
            <w:tcBorders>
              <w:top w:val="single" w:sz="4" w:space="0" w:color="auto"/>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الوليد المتقدم العمر</w:t>
            </w:r>
          </w:p>
        </w:tc>
        <w:tc>
          <w:tcPr>
            <w:tcW w:w="2225" w:type="dxa"/>
            <w:tcBorders>
              <w:top w:val="single" w:sz="4" w:space="0" w:color="auto"/>
              <w:bottom w:val="single" w:sz="4" w:space="0" w:color="auto"/>
            </w:tcBorders>
          </w:tcPr>
          <w:p w:rsidR="00567B15" w:rsidRDefault="00567B15">
            <w:pPr>
              <w:spacing w:before="0" w:after="0" w:line="340" w:lineRule="exact"/>
              <w:jc w:val="both"/>
              <w:rPr>
                <w:rFonts w:hint="cs"/>
                <w:sz w:val="26"/>
                <w:szCs w:val="26"/>
              </w:rPr>
            </w:pPr>
          </w:p>
        </w:tc>
        <w:tc>
          <w:tcPr>
            <w:tcW w:w="2660" w:type="dxa"/>
            <w:tcBorders>
              <w:top w:val="single" w:sz="4" w:space="0" w:color="auto"/>
              <w:bottom w:val="single" w:sz="4" w:space="0" w:color="auto"/>
            </w:tcBorders>
          </w:tcPr>
          <w:p w:rsidR="00567B15" w:rsidRDefault="00567B15">
            <w:pPr>
              <w:spacing w:before="0" w:after="0" w:line="340" w:lineRule="exact"/>
              <w:jc w:val="both"/>
              <w:rPr>
                <w:rFonts w:hint="cs"/>
                <w:sz w:val="26"/>
                <w:szCs w:val="26"/>
              </w:rPr>
            </w:pPr>
          </w:p>
        </w:tc>
      </w:tr>
      <w:tr w:rsidR="00567B15" w:rsidTr="00567B15">
        <w:tblPrEx>
          <w:tblCellMar>
            <w:top w:w="0" w:type="dxa"/>
            <w:bottom w:w="0" w:type="dxa"/>
          </w:tblCellMar>
        </w:tblPrEx>
        <w:tc>
          <w:tcPr>
            <w:tcW w:w="868" w:type="dxa"/>
            <w:tcBorders>
              <w:bottom w:val="nil"/>
            </w:tcBorders>
          </w:tcPr>
          <w:p w:rsidR="00567B15" w:rsidRDefault="00567B15">
            <w:pPr>
              <w:spacing w:before="0" w:after="0" w:line="340" w:lineRule="exact"/>
              <w:jc w:val="both"/>
              <w:rPr>
                <w:rFonts w:hint="cs"/>
                <w:sz w:val="26"/>
                <w:szCs w:val="26"/>
              </w:rPr>
            </w:pPr>
            <w:r>
              <w:rPr>
                <w:rFonts w:hint="cs"/>
                <w:sz w:val="26"/>
                <w:szCs w:val="26"/>
                <w:rtl/>
              </w:rPr>
              <w:t>المجموع</w:t>
            </w:r>
          </w:p>
        </w:tc>
        <w:tc>
          <w:tcPr>
            <w:tcW w:w="756" w:type="dxa"/>
            <w:tcBorders>
              <w:bottom w:val="nil"/>
            </w:tcBorders>
          </w:tcPr>
          <w:p w:rsidR="00567B15" w:rsidRDefault="00567B15">
            <w:pPr>
              <w:spacing w:before="0" w:after="0" w:line="340" w:lineRule="exact"/>
              <w:ind w:left="227"/>
              <w:jc w:val="both"/>
              <w:rPr>
                <w:rFonts w:hint="cs"/>
                <w:sz w:val="26"/>
                <w:szCs w:val="26"/>
              </w:rPr>
            </w:pPr>
            <w:r>
              <w:rPr>
                <w:rFonts w:hint="cs"/>
                <w:sz w:val="26"/>
                <w:szCs w:val="26"/>
                <w:rtl/>
              </w:rPr>
              <w:t>40</w:t>
            </w:r>
          </w:p>
        </w:tc>
        <w:tc>
          <w:tcPr>
            <w:tcW w:w="1204" w:type="dxa"/>
            <w:tcBorders>
              <w:bottom w:val="nil"/>
            </w:tcBorders>
          </w:tcPr>
          <w:p w:rsidR="00567B15" w:rsidRDefault="00567B15">
            <w:pPr>
              <w:spacing w:before="0" w:after="0" w:line="340" w:lineRule="exact"/>
              <w:ind w:left="227"/>
              <w:jc w:val="both"/>
              <w:rPr>
                <w:rFonts w:hint="cs"/>
                <w:sz w:val="26"/>
                <w:szCs w:val="26"/>
              </w:rPr>
            </w:pPr>
            <w:r>
              <w:rPr>
                <w:rFonts w:hint="cs"/>
                <w:sz w:val="26"/>
                <w:szCs w:val="26"/>
                <w:rtl/>
              </w:rPr>
              <w:t>22</w:t>
            </w:r>
          </w:p>
        </w:tc>
        <w:tc>
          <w:tcPr>
            <w:tcW w:w="1624" w:type="dxa"/>
            <w:tcBorders>
              <w:bottom w:val="nil"/>
            </w:tcBorders>
          </w:tcPr>
          <w:p w:rsidR="00567B15" w:rsidRDefault="00567B15">
            <w:pPr>
              <w:spacing w:before="0" w:after="0" w:line="340" w:lineRule="exact"/>
              <w:ind w:left="227"/>
              <w:jc w:val="both"/>
              <w:rPr>
                <w:rFonts w:hint="cs"/>
                <w:sz w:val="26"/>
                <w:szCs w:val="26"/>
              </w:rPr>
            </w:pPr>
            <w:r>
              <w:rPr>
                <w:rFonts w:hint="cs"/>
                <w:sz w:val="26"/>
                <w:szCs w:val="26"/>
                <w:rtl/>
              </w:rPr>
              <w:t>18</w:t>
            </w:r>
          </w:p>
        </w:tc>
        <w:tc>
          <w:tcPr>
            <w:tcW w:w="2225" w:type="dxa"/>
            <w:tcBorders>
              <w:bottom w:val="nil"/>
            </w:tcBorders>
          </w:tcPr>
          <w:p w:rsidR="00567B15" w:rsidRDefault="00567B15">
            <w:pPr>
              <w:spacing w:before="0" w:after="0" w:line="340" w:lineRule="exact"/>
              <w:ind w:left="227"/>
              <w:jc w:val="both"/>
              <w:rPr>
                <w:rFonts w:hint="cs"/>
                <w:sz w:val="26"/>
                <w:szCs w:val="26"/>
              </w:rPr>
            </w:pPr>
            <w:r>
              <w:rPr>
                <w:rFonts w:hint="cs"/>
                <w:sz w:val="26"/>
                <w:szCs w:val="26"/>
                <w:rtl/>
              </w:rPr>
              <w:t>12</w:t>
            </w:r>
          </w:p>
        </w:tc>
        <w:tc>
          <w:tcPr>
            <w:tcW w:w="2660" w:type="dxa"/>
            <w:tcBorders>
              <w:bottom w:val="nil"/>
            </w:tcBorders>
          </w:tcPr>
          <w:p w:rsidR="00567B15" w:rsidRDefault="00567B15">
            <w:pPr>
              <w:spacing w:before="0" w:after="0" w:line="340" w:lineRule="exact"/>
              <w:ind w:left="227"/>
              <w:jc w:val="both"/>
              <w:rPr>
                <w:rFonts w:hint="cs"/>
                <w:sz w:val="26"/>
                <w:szCs w:val="26"/>
              </w:rPr>
            </w:pPr>
            <w:r>
              <w:rPr>
                <w:rFonts w:hint="cs"/>
                <w:sz w:val="26"/>
                <w:szCs w:val="26"/>
                <w:rtl/>
              </w:rPr>
              <w:t>51</w:t>
            </w:r>
          </w:p>
        </w:tc>
      </w:tr>
      <w:tr w:rsidR="00567B15" w:rsidTr="00567B15">
        <w:tblPrEx>
          <w:tblCellMar>
            <w:top w:w="0" w:type="dxa"/>
            <w:bottom w:w="0" w:type="dxa"/>
          </w:tblCellMar>
        </w:tblPrEx>
        <w:tc>
          <w:tcPr>
            <w:tcW w:w="868"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الحضر</w:t>
            </w:r>
          </w:p>
        </w:tc>
        <w:tc>
          <w:tcPr>
            <w:tcW w:w="756" w:type="dxa"/>
            <w:tcBorders>
              <w:top w:val="nil"/>
              <w:bottom w:val="nil"/>
            </w:tcBorders>
          </w:tcPr>
          <w:p w:rsidR="00567B15" w:rsidRDefault="00567B15">
            <w:pPr>
              <w:spacing w:before="0" w:after="0" w:line="340" w:lineRule="exact"/>
              <w:ind w:left="227"/>
              <w:jc w:val="both"/>
              <w:rPr>
                <w:rFonts w:hint="cs"/>
                <w:sz w:val="26"/>
                <w:szCs w:val="26"/>
              </w:rPr>
            </w:pPr>
            <w:r>
              <w:rPr>
                <w:rFonts w:hint="cs"/>
                <w:sz w:val="26"/>
                <w:szCs w:val="26"/>
                <w:rtl/>
              </w:rPr>
              <w:t>30</w:t>
            </w:r>
          </w:p>
        </w:tc>
        <w:tc>
          <w:tcPr>
            <w:tcW w:w="1204" w:type="dxa"/>
            <w:tcBorders>
              <w:top w:val="nil"/>
              <w:bottom w:val="nil"/>
            </w:tcBorders>
          </w:tcPr>
          <w:p w:rsidR="00567B15" w:rsidRDefault="00567B15">
            <w:pPr>
              <w:spacing w:before="0" w:after="0" w:line="340" w:lineRule="exact"/>
              <w:ind w:left="227"/>
              <w:jc w:val="both"/>
              <w:rPr>
                <w:rFonts w:hint="cs"/>
                <w:sz w:val="26"/>
                <w:szCs w:val="26"/>
              </w:rPr>
            </w:pPr>
            <w:r>
              <w:rPr>
                <w:rFonts w:hint="cs"/>
                <w:sz w:val="26"/>
                <w:szCs w:val="26"/>
                <w:rtl/>
              </w:rPr>
              <w:t>18</w:t>
            </w:r>
          </w:p>
        </w:tc>
        <w:tc>
          <w:tcPr>
            <w:tcW w:w="1624" w:type="dxa"/>
            <w:tcBorders>
              <w:top w:val="nil"/>
              <w:bottom w:val="nil"/>
            </w:tcBorders>
          </w:tcPr>
          <w:p w:rsidR="00567B15" w:rsidRDefault="00567B15">
            <w:pPr>
              <w:spacing w:before="0" w:after="0" w:line="340" w:lineRule="exact"/>
              <w:ind w:left="227"/>
              <w:jc w:val="both"/>
              <w:rPr>
                <w:rFonts w:hint="cs"/>
                <w:sz w:val="26"/>
                <w:szCs w:val="26"/>
              </w:rPr>
            </w:pPr>
            <w:r>
              <w:rPr>
                <w:rFonts w:hint="cs"/>
                <w:sz w:val="26"/>
                <w:szCs w:val="26"/>
                <w:rtl/>
              </w:rPr>
              <w:t>12</w:t>
            </w:r>
          </w:p>
        </w:tc>
        <w:tc>
          <w:tcPr>
            <w:tcW w:w="2225" w:type="dxa"/>
            <w:tcBorders>
              <w:top w:val="nil"/>
              <w:bottom w:val="nil"/>
            </w:tcBorders>
          </w:tcPr>
          <w:p w:rsidR="00567B15" w:rsidRDefault="00567B15">
            <w:pPr>
              <w:spacing w:before="0" w:after="0" w:line="340" w:lineRule="exact"/>
              <w:ind w:left="227"/>
              <w:jc w:val="both"/>
              <w:rPr>
                <w:rFonts w:hint="cs"/>
                <w:sz w:val="26"/>
                <w:szCs w:val="26"/>
              </w:rPr>
            </w:pPr>
            <w:r>
              <w:rPr>
                <w:rFonts w:hint="cs"/>
                <w:sz w:val="26"/>
                <w:szCs w:val="26"/>
                <w:rtl/>
              </w:rPr>
              <w:t>7</w:t>
            </w:r>
          </w:p>
        </w:tc>
        <w:tc>
          <w:tcPr>
            <w:tcW w:w="2660" w:type="dxa"/>
            <w:tcBorders>
              <w:top w:val="nil"/>
              <w:bottom w:val="nil"/>
            </w:tcBorders>
          </w:tcPr>
          <w:p w:rsidR="00567B15" w:rsidRDefault="00567B15">
            <w:pPr>
              <w:spacing w:before="0" w:after="0" w:line="340" w:lineRule="exact"/>
              <w:ind w:left="227"/>
              <w:jc w:val="both"/>
              <w:rPr>
                <w:rFonts w:hint="cs"/>
                <w:sz w:val="26"/>
                <w:szCs w:val="26"/>
              </w:rPr>
            </w:pPr>
            <w:r>
              <w:rPr>
                <w:rFonts w:hint="cs"/>
                <w:sz w:val="26"/>
                <w:szCs w:val="26"/>
                <w:rtl/>
              </w:rPr>
              <w:t>35</w:t>
            </w:r>
          </w:p>
        </w:tc>
      </w:tr>
      <w:tr w:rsidR="00567B15" w:rsidTr="00567B15">
        <w:tblPrEx>
          <w:tblCellMar>
            <w:top w:w="0" w:type="dxa"/>
            <w:bottom w:w="0" w:type="dxa"/>
          </w:tblCellMar>
        </w:tblPrEx>
        <w:tc>
          <w:tcPr>
            <w:tcW w:w="868" w:type="dxa"/>
            <w:tcBorders>
              <w:top w:val="nil"/>
            </w:tcBorders>
          </w:tcPr>
          <w:p w:rsidR="00567B15" w:rsidRDefault="00567B15">
            <w:pPr>
              <w:spacing w:before="0" w:after="0" w:line="340" w:lineRule="exact"/>
              <w:jc w:val="both"/>
              <w:rPr>
                <w:rFonts w:hint="cs"/>
                <w:sz w:val="26"/>
                <w:szCs w:val="26"/>
                <w:rtl/>
              </w:rPr>
            </w:pPr>
            <w:r>
              <w:rPr>
                <w:rFonts w:hint="cs"/>
                <w:sz w:val="26"/>
                <w:szCs w:val="26"/>
                <w:rtl/>
              </w:rPr>
              <w:t>الريف</w:t>
            </w:r>
          </w:p>
        </w:tc>
        <w:tc>
          <w:tcPr>
            <w:tcW w:w="756" w:type="dxa"/>
            <w:tcBorders>
              <w:top w:val="nil"/>
            </w:tcBorders>
          </w:tcPr>
          <w:p w:rsidR="00567B15" w:rsidRDefault="00567B15">
            <w:pPr>
              <w:spacing w:before="0" w:after="0" w:line="340" w:lineRule="exact"/>
              <w:ind w:left="227"/>
              <w:jc w:val="both"/>
              <w:rPr>
                <w:rFonts w:hint="cs"/>
                <w:sz w:val="26"/>
                <w:szCs w:val="26"/>
              </w:rPr>
            </w:pPr>
            <w:r>
              <w:rPr>
                <w:rFonts w:hint="cs"/>
                <w:sz w:val="26"/>
                <w:szCs w:val="26"/>
                <w:rtl/>
              </w:rPr>
              <w:t>52</w:t>
            </w:r>
          </w:p>
        </w:tc>
        <w:tc>
          <w:tcPr>
            <w:tcW w:w="1204" w:type="dxa"/>
            <w:tcBorders>
              <w:top w:val="nil"/>
            </w:tcBorders>
          </w:tcPr>
          <w:p w:rsidR="00567B15" w:rsidRDefault="00567B15">
            <w:pPr>
              <w:spacing w:before="0" w:after="0" w:line="340" w:lineRule="exact"/>
              <w:ind w:left="227"/>
              <w:jc w:val="both"/>
              <w:rPr>
                <w:rFonts w:hint="cs"/>
                <w:sz w:val="26"/>
                <w:szCs w:val="26"/>
              </w:rPr>
            </w:pPr>
            <w:r>
              <w:rPr>
                <w:rFonts w:hint="cs"/>
                <w:sz w:val="26"/>
                <w:szCs w:val="26"/>
                <w:rtl/>
              </w:rPr>
              <w:t>28</w:t>
            </w:r>
          </w:p>
        </w:tc>
        <w:tc>
          <w:tcPr>
            <w:tcW w:w="1624" w:type="dxa"/>
            <w:tcBorders>
              <w:top w:val="nil"/>
            </w:tcBorders>
          </w:tcPr>
          <w:p w:rsidR="00567B15" w:rsidRDefault="00567B15">
            <w:pPr>
              <w:spacing w:before="0" w:after="0" w:line="340" w:lineRule="exact"/>
              <w:ind w:left="227"/>
              <w:jc w:val="both"/>
              <w:rPr>
                <w:rFonts w:hint="cs"/>
                <w:sz w:val="26"/>
                <w:szCs w:val="26"/>
              </w:rPr>
            </w:pPr>
            <w:r>
              <w:rPr>
                <w:rFonts w:hint="cs"/>
                <w:sz w:val="26"/>
                <w:szCs w:val="26"/>
                <w:rtl/>
              </w:rPr>
              <w:t>24</w:t>
            </w:r>
          </w:p>
        </w:tc>
        <w:tc>
          <w:tcPr>
            <w:tcW w:w="2225" w:type="dxa"/>
            <w:tcBorders>
              <w:top w:val="nil"/>
            </w:tcBorders>
          </w:tcPr>
          <w:p w:rsidR="00567B15" w:rsidRDefault="00567B15">
            <w:pPr>
              <w:spacing w:before="0" w:after="0" w:line="340" w:lineRule="exact"/>
              <w:ind w:left="227"/>
              <w:jc w:val="both"/>
              <w:rPr>
                <w:rFonts w:hint="cs"/>
                <w:sz w:val="26"/>
                <w:szCs w:val="26"/>
              </w:rPr>
            </w:pPr>
            <w:r>
              <w:rPr>
                <w:rFonts w:hint="cs"/>
                <w:sz w:val="26"/>
                <w:szCs w:val="26"/>
                <w:rtl/>
              </w:rPr>
              <w:t>16</w:t>
            </w:r>
          </w:p>
        </w:tc>
        <w:tc>
          <w:tcPr>
            <w:tcW w:w="2660" w:type="dxa"/>
            <w:tcBorders>
              <w:top w:val="nil"/>
            </w:tcBorders>
          </w:tcPr>
          <w:p w:rsidR="00567B15" w:rsidRDefault="00567B15">
            <w:pPr>
              <w:spacing w:before="0" w:after="0" w:line="340" w:lineRule="exact"/>
              <w:ind w:left="227"/>
              <w:jc w:val="both"/>
              <w:rPr>
                <w:rFonts w:hint="cs"/>
                <w:sz w:val="26"/>
                <w:szCs w:val="26"/>
              </w:rPr>
            </w:pPr>
            <w:r>
              <w:rPr>
                <w:rFonts w:hint="cs"/>
                <w:sz w:val="26"/>
                <w:szCs w:val="26"/>
                <w:rtl/>
              </w:rPr>
              <w:t>67</w:t>
            </w:r>
          </w:p>
        </w:tc>
      </w:tr>
    </w:tbl>
    <w:p w:rsidR="00000000" w:rsidRDefault="00567B15">
      <w:pPr>
        <w:ind w:firstLine="720"/>
        <w:jc w:val="both"/>
        <w:rPr>
          <w:rFonts w:hint="cs"/>
          <w:rtl/>
        </w:rPr>
      </w:pPr>
      <w:r>
        <w:rPr>
          <w:rFonts w:hint="cs"/>
          <w:u w:val="single"/>
          <w:rtl/>
        </w:rPr>
        <w:t>المصدر</w:t>
      </w:r>
      <w:r>
        <w:rPr>
          <w:rFonts w:hint="cs"/>
          <w:rtl/>
        </w:rPr>
        <w:t>: الدراسة الاستقصائية الديمغرافية والمتعلقة بصحة الأم والطفل لعام 1994.</w:t>
      </w:r>
    </w:p>
    <w:p w:rsidR="00000000" w:rsidRDefault="00567B15">
      <w:pPr>
        <w:jc w:val="center"/>
        <w:rPr>
          <w:rFonts w:hint="cs"/>
          <w:b/>
          <w:bCs/>
          <w:rtl/>
        </w:rPr>
      </w:pPr>
      <w:r>
        <w:rPr>
          <w:rFonts w:hint="cs"/>
          <w:b/>
          <w:bCs/>
          <w:rtl/>
        </w:rPr>
        <w:t>(الدراسة الاستقصائية للفترة 1994-1999)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3"/>
        <w:gridCol w:w="736"/>
        <w:gridCol w:w="721"/>
        <w:gridCol w:w="763"/>
        <w:gridCol w:w="857"/>
        <w:gridCol w:w="887"/>
        <w:gridCol w:w="721"/>
        <w:gridCol w:w="731"/>
        <w:gridCol w:w="721"/>
        <w:gridCol w:w="827"/>
        <w:gridCol w:w="721"/>
      </w:tblGrid>
      <w:tr w:rsidR="00567B15" w:rsidTr="00567B15">
        <w:tblPrEx>
          <w:tblCellMar>
            <w:top w:w="0" w:type="dxa"/>
            <w:bottom w:w="0" w:type="dxa"/>
          </w:tblCellMar>
        </w:tblPrEx>
        <w:trPr>
          <w:cantSplit/>
        </w:trPr>
        <w:tc>
          <w:tcPr>
            <w:tcW w:w="1783" w:type="dxa"/>
            <w:vMerge w:val="restart"/>
          </w:tcPr>
          <w:p w:rsidR="00567B15" w:rsidRDefault="00567B15">
            <w:pPr>
              <w:spacing w:before="0" w:after="0" w:line="340" w:lineRule="exact"/>
              <w:jc w:val="both"/>
              <w:rPr>
                <w:sz w:val="24"/>
                <w:szCs w:val="26"/>
              </w:rPr>
            </w:pPr>
          </w:p>
        </w:tc>
        <w:tc>
          <w:tcPr>
            <w:tcW w:w="1457" w:type="dxa"/>
            <w:gridSpan w:val="2"/>
            <w:vMerge w:val="restart"/>
          </w:tcPr>
          <w:p w:rsidR="00567B15" w:rsidRDefault="00567B15">
            <w:pPr>
              <w:spacing w:before="0" w:after="0" w:line="340" w:lineRule="exact"/>
              <w:jc w:val="center"/>
              <w:rPr>
                <w:rFonts w:hint="cs"/>
                <w:sz w:val="24"/>
                <w:szCs w:val="26"/>
                <w:rtl/>
              </w:rPr>
            </w:pPr>
          </w:p>
          <w:p w:rsidR="00567B15" w:rsidRDefault="00567B15">
            <w:pPr>
              <w:spacing w:before="0" w:after="0" w:line="340" w:lineRule="exact"/>
              <w:jc w:val="center"/>
              <w:rPr>
                <w:sz w:val="24"/>
                <w:szCs w:val="26"/>
              </w:rPr>
            </w:pPr>
            <w:r>
              <w:rPr>
                <w:rFonts w:hint="cs"/>
                <w:sz w:val="24"/>
                <w:szCs w:val="26"/>
                <w:rtl/>
              </w:rPr>
              <w:t>المجموع</w:t>
            </w:r>
          </w:p>
        </w:tc>
        <w:tc>
          <w:tcPr>
            <w:tcW w:w="3228" w:type="dxa"/>
            <w:gridSpan w:val="4"/>
          </w:tcPr>
          <w:p w:rsidR="00567B15" w:rsidRDefault="00567B15">
            <w:pPr>
              <w:spacing w:before="0" w:after="0" w:line="340" w:lineRule="exact"/>
              <w:jc w:val="center"/>
              <w:rPr>
                <w:sz w:val="24"/>
                <w:szCs w:val="26"/>
              </w:rPr>
            </w:pPr>
            <w:r>
              <w:rPr>
                <w:rFonts w:hint="cs"/>
                <w:sz w:val="24"/>
                <w:szCs w:val="26"/>
                <w:rtl/>
              </w:rPr>
              <w:t>الرضّع</w:t>
            </w:r>
          </w:p>
        </w:tc>
        <w:tc>
          <w:tcPr>
            <w:tcW w:w="1452" w:type="dxa"/>
            <w:gridSpan w:val="2"/>
            <w:vMerge w:val="restart"/>
          </w:tcPr>
          <w:p w:rsidR="00567B15" w:rsidRDefault="00567B15">
            <w:pPr>
              <w:spacing w:before="0" w:after="0" w:line="340" w:lineRule="exact"/>
              <w:jc w:val="center"/>
              <w:rPr>
                <w:rFonts w:hint="cs"/>
                <w:spacing w:val="0"/>
                <w:sz w:val="24"/>
                <w:szCs w:val="26"/>
                <w:rtl/>
              </w:rPr>
            </w:pPr>
            <w:r>
              <w:rPr>
                <w:rFonts w:hint="cs"/>
                <w:spacing w:val="0"/>
                <w:sz w:val="24"/>
                <w:szCs w:val="26"/>
                <w:rtl/>
              </w:rPr>
              <w:t>الأطفال</w:t>
            </w:r>
          </w:p>
          <w:p w:rsidR="00567B15" w:rsidRDefault="00567B15">
            <w:pPr>
              <w:spacing w:before="0" w:after="0" w:line="340" w:lineRule="exact"/>
              <w:jc w:val="center"/>
              <w:rPr>
                <w:sz w:val="24"/>
                <w:szCs w:val="26"/>
              </w:rPr>
            </w:pPr>
            <w:r>
              <w:rPr>
                <w:rFonts w:hint="cs"/>
                <w:spacing w:val="0"/>
                <w:sz w:val="24"/>
                <w:szCs w:val="26"/>
                <w:rtl/>
              </w:rPr>
              <w:t>(1-4 أعوام)</w:t>
            </w:r>
          </w:p>
        </w:tc>
        <w:tc>
          <w:tcPr>
            <w:tcW w:w="1548" w:type="dxa"/>
            <w:gridSpan w:val="2"/>
            <w:vMerge w:val="restart"/>
          </w:tcPr>
          <w:p w:rsidR="00567B15" w:rsidRDefault="00567B15">
            <w:pPr>
              <w:spacing w:before="0" w:after="0" w:line="340" w:lineRule="exact"/>
              <w:jc w:val="center"/>
              <w:rPr>
                <w:rFonts w:hint="cs"/>
                <w:sz w:val="24"/>
                <w:szCs w:val="26"/>
                <w:rtl/>
              </w:rPr>
            </w:pPr>
            <w:r>
              <w:rPr>
                <w:rFonts w:hint="cs"/>
                <w:sz w:val="24"/>
                <w:szCs w:val="26"/>
                <w:rtl/>
              </w:rPr>
              <w:t>المجموع</w:t>
            </w:r>
          </w:p>
          <w:p w:rsidR="00567B15" w:rsidRDefault="00567B15">
            <w:pPr>
              <w:spacing w:before="0" w:after="0" w:line="340" w:lineRule="exact"/>
              <w:jc w:val="center"/>
              <w:rPr>
                <w:rFonts w:hint="cs"/>
                <w:sz w:val="24"/>
                <w:szCs w:val="26"/>
              </w:rPr>
            </w:pPr>
            <w:r>
              <w:rPr>
                <w:rFonts w:hint="cs"/>
                <w:sz w:val="24"/>
                <w:szCs w:val="26"/>
                <w:rtl/>
              </w:rPr>
              <w:t>(صفر - 4 أعوام)</w:t>
            </w:r>
          </w:p>
        </w:tc>
      </w:tr>
      <w:tr w:rsidR="00567B15" w:rsidTr="00567B15">
        <w:tblPrEx>
          <w:tblCellMar>
            <w:top w:w="0" w:type="dxa"/>
            <w:bottom w:w="0" w:type="dxa"/>
          </w:tblCellMar>
        </w:tblPrEx>
        <w:trPr>
          <w:cantSplit/>
        </w:trPr>
        <w:tc>
          <w:tcPr>
            <w:tcW w:w="1783" w:type="dxa"/>
            <w:vMerge/>
          </w:tcPr>
          <w:p w:rsidR="00567B15" w:rsidRDefault="00567B15">
            <w:pPr>
              <w:spacing w:before="0" w:after="0" w:line="340" w:lineRule="exact"/>
              <w:jc w:val="both"/>
              <w:rPr>
                <w:sz w:val="24"/>
                <w:szCs w:val="26"/>
              </w:rPr>
            </w:pPr>
          </w:p>
        </w:tc>
        <w:tc>
          <w:tcPr>
            <w:tcW w:w="1457" w:type="dxa"/>
            <w:gridSpan w:val="2"/>
            <w:vMerge/>
          </w:tcPr>
          <w:p w:rsidR="00567B15" w:rsidRDefault="00567B15">
            <w:pPr>
              <w:spacing w:before="0" w:after="0" w:line="340" w:lineRule="exact"/>
              <w:jc w:val="both"/>
              <w:rPr>
                <w:sz w:val="24"/>
                <w:szCs w:val="26"/>
              </w:rPr>
            </w:pPr>
          </w:p>
        </w:tc>
        <w:tc>
          <w:tcPr>
            <w:tcW w:w="1620" w:type="dxa"/>
            <w:gridSpan w:val="2"/>
          </w:tcPr>
          <w:p w:rsidR="00567B15" w:rsidRDefault="00567B15">
            <w:pPr>
              <w:spacing w:before="0" w:after="0" w:line="340" w:lineRule="exact"/>
              <w:jc w:val="center"/>
              <w:rPr>
                <w:sz w:val="24"/>
                <w:szCs w:val="26"/>
              </w:rPr>
            </w:pPr>
            <w:r>
              <w:rPr>
                <w:rFonts w:hint="cs"/>
                <w:sz w:val="24"/>
                <w:szCs w:val="26"/>
                <w:rtl/>
              </w:rPr>
              <w:t>المواليد</w:t>
            </w:r>
          </w:p>
        </w:tc>
        <w:tc>
          <w:tcPr>
            <w:tcW w:w="1608" w:type="dxa"/>
            <w:gridSpan w:val="2"/>
          </w:tcPr>
          <w:p w:rsidR="00567B15" w:rsidRDefault="00567B15">
            <w:pPr>
              <w:spacing w:before="0" w:after="0" w:line="340" w:lineRule="exact"/>
              <w:jc w:val="center"/>
              <w:rPr>
                <w:sz w:val="24"/>
                <w:szCs w:val="24"/>
              </w:rPr>
            </w:pPr>
            <w:r>
              <w:rPr>
                <w:rFonts w:hint="cs"/>
                <w:spacing w:val="0"/>
                <w:sz w:val="24"/>
                <w:szCs w:val="24"/>
                <w:rtl/>
              </w:rPr>
              <w:t>المواليد المتقدمو العمر</w:t>
            </w:r>
          </w:p>
        </w:tc>
        <w:tc>
          <w:tcPr>
            <w:tcW w:w="1452" w:type="dxa"/>
            <w:gridSpan w:val="2"/>
            <w:vMerge/>
          </w:tcPr>
          <w:p w:rsidR="00567B15" w:rsidRDefault="00567B15">
            <w:pPr>
              <w:spacing w:line="340" w:lineRule="exact"/>
              <w:jc w:val="both"/>
              <w:rPr>
                <w:sz w:val="24"/>
                <w:szCs w:val="26"/>
              </w:rPr>
            </w:pPr>
          </w:p>
        </w:tc>
        <w:tc>
          <w:tcPr>
            <w:tcW w:w="1548" w:type="dxa"/>
            <w:gridSpan w:val="2"/>
            <w:vMerge/>
          </w:tcPr>
          <w:p w:rsidR="00567B15" w:rsidRDefault="00567B15">
            <w:pPr>
              <w:spacing w:line="340" w:lineRule="exact"/>
              <w:jc w:val="both"/>
              <w:rPr>
                <w:sz w:val="24"/>
                <w:szCs w:val="26"/>
              </w:rPr>
            </w:pPr>
          </w:p>
        </w:tc>
      </w:tr>
      <w:tr w:rsidR="00567B15" w:rsidTr="00567B15">
        <w:tblPrEx>
          <w:tblCellMar>
            <w:top w:w="0" w:type="dxa"/>
            <w:bottom w:w="0" w:type="dxa"/>
          </w:tblCellMar>
        </w:tblPrEx>
        <w:trPr>
          <w:cantSplit/>
        </w:trPr>
        <w:tc>
          <w:tcPr>
            <w:tcW w:w="1783" w:type="dxa"/>
            <w:vMerge/>
            <w:tcBorders>
              <w:bottom w:val="single" w:sz="4" w:space="0" w:color="auto"/>
            </w:tcBorders>
          </w:tcPr>
          <w:p w:rsidR="00567B15" w:rsidRDefault="00567B15">
            <w:pPr>
              <w:spacing w:before="0" w:after="0" w:line="340" w:lineRule="exact"/>
              <w:jc w:val="both"/>
              <w:rPr>
                <w:rFonts w:hint="cs"/>
                <w:sz w:val="24"/>
                <w:szCs w:val="26"/>
              </w:rPr>
            </w:pPr>
          </w:p>
        </w:tc>
        <w:tc>
          <w:tcPr>
            <w:tcW w:w="736"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1994</w:t>
            </w:r>
          </w:p>
        </w:tc>
        <w:tc>
          <w:tcPr>
            <w:tcW w:w="721"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1999</w:t>
            </w:r>
          </w:p>
        </w:tc>
        <w:tc>
          <w:tcPr>
            <w:tcW w:w="763"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1994</w:t>
            </w:r>
          </w:p>
        </w:tc>
        <w:tc>
          <w:tcPr>
            <w:tcW w:w="857"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1999</w:t>
            </w:r>
          </w:p>
        </w:tc>
        <w:tc>
          <w:tcPr>
            <w:tcW w:w="887"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1994</w:t>
            </w:r>
          </w:p>
        </w:tc>
        <w:tc>
          <w:tcPr>
            <w:tcW w:w="721"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1999</w:t>
            </w:r>
          </w:p>
        </w:tc>
        <w:tc>
          <w:tcPr>
            <w:tcW w:w="731"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1994</w:t>
            </w:r>
          </w:p>
        </w:tc>
        <w:tc>
          <w:tcPr>
            <w:tcW w:w="721"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1999</w:t>
            </w:r>
          </w:p>
        </w:tc>
        <w:tc>
          <w:tcPr>
            <w:tcW w:w="827"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1994</w:t>
            </w:r>
          </w:p>
        </w:tc>
        <w:tc>
          <w:tcPr>
            <w:tcW w:w="721" w:type="dxa"/>
            <w:tcBorders>
              <w:bottom w:val="single" w:sz="4" w:space="0" w:color="auto"/>
            </w:tcBorders>
          </w:tcPr>
          <w:p w:rsidR="00567B15" w:rsidRDefault="00567B15">
            <w:pPr>
              <w:spacing w:before="0" w:after="0" w:line="340" w:lineRule="exact"/>
              <w:jc w:val="both"/>
              <w:rPr>
                <w:rFonts w:hint="cs"/>
                <w:sz w:val="24"/>
                <w:szCs w:val="26"/>
              </w:rPr>
            </w:pPr>
            <w:r>
              <w:rPr>
                <w:rFonts w:hint="cs"/>
                <w:sz w:val="24"/>
                <w:szCs w:val="26"/>
                <w:rtl/>
              </w:rPr>
              <w:t>1999</w:t>
            </w:r>
          </w:p>
        </w:tc>
      </w:tr>
      <w:tr w:rsidR="00567B15" w:rsidTr="00567B15">
        <w:tblPrEx>
          <w:tblCellMar>
            <w:top w:w="0" w:type="dxa"/>
            <w:bottom w:w="0" w:type="dxa"/>
          </w:tblCellMar>
        </w:tblPrEx>
        <w:tc>
          <w:tcPr>
            <w:tcW w:w="1783" w:type="dxa"/>
            <w:tcBorders>
              <w:bottom w:val="nil"/>
            </w:tcBorders>
          </w:tcPr>
          <w:p w:rsidR="00567B15" w:rsidRDefault="00567B15">
            <w:pPr>
              <w:spacing w:before="0" w:after="0" w:line="340" w:lineRule="exact"/>
              <w:jc w:val="both"/>
              <w:rPr>
                <w:rFonts w:hint="cs"/>
                <w:spacing w:val="0"/>
                <w:sz w:val="24"/>
                <w:szCs w:val="26"/>
              </w:rPr>
            </w:pPr>
            <w:r>
              <w:rPr>
                <w:spacing w:val="0"/>
                <w:sz w:val="24"/>
                <w:szCs w:val="26"/>
                <w:rtl/>
              </w:rPr>
              <w:tab/>
            </w:r>
            <w:r>
              <w:rPr>
                <w:rFonts w:hint="cs"/>
                <w:spacing w:val="0"/>
                <w:sz w:val="24"/>
                <w:szCs w:val="26"/>
                <w:rtl/>
              </w:rPr>
              <w:t>المجموع</w:t>
            </w:r>
          </w:p>
        </w:tc>
        <w:tc>
          <w:tcPr>
            <w:tcW w:w="736" w:type="dxa"/>
            <w:tcBorders>
              <w:bottom w:val="nil"/>
            </w:tcBorders>
          </w:tcPr>
          <w:p w:rsidR="00567B15" w:rsidRDefault="00567B15">
            <w:pPr>
              <w:spacing w:before="0" w:after="0" w:line="340" w:lineRule="exact"/>
              <w:jc w:val="both"/>
              <w:rPr>
                <w:rFonts w:hint="cs"/>
                <w:sz w:val="24"/>
                <w:szCs w:val="26"/>
              </w:rPr>
            </w:pPr>
            <w:r>
              <w:rPr>
                <w:rFonts w:hint="cs"/>
                <w:sz w:val="24"/>
                <w:szCs w:val="26"/>
                <w:rtl/>
              </w:rPr>
              <w:t>40</w:t>
            </w:r>
          </w:p>
        </w:tc>
        <w:tc>
          <w:tcPr>
            <w:tcW w:w="721" w:type="dxa"/>
            <w:tcBorders>
              <w:bottom w:val="nil"/>
            </w:tcBorders>
          </w:tcPr>
          <w:p w:rsidR="00567B15" w:rsidRDefault="00567B15">
            <w:pPr>
              <w:spacing w:before="0" w:after="0" w:line="340" w:lineRule="exact"/>
              <w:jc w:val="both"/>
              <w:rPr>
                <w:rFonts w:hint="cs"/>
                <w:sz w:val="24"/>
                <w:szCs w:val="26"/>
              </w:rPr>
            </w:pPr>
            <w:r>
              <w:rPr>
                <w:rFonts w:hint="cs"/>
                <w:sz w:val="24"/>
                <w:szCs w:val="26"/>
                <w:rtl/>
              </w:rPr>
              <w:t>30</w:t>
            </w:r>
          </w:p>
        </w:tc>
        <w:tc>
          <w:tcPr>
            <w:tcW w:w="763" w:type="dxa"/>
            <w:tcBorders>
              <w:bottom w:val="nil"/>
            </w:tcBorders>
          </w:tcPr>
          <w:p w:rsidR="00567B15" w:rsidRDefault="00567B15">
            <w:pPr>
              <w:spacing w:before="0" w:after="0" w:line="340" w:lineRule="exact"/>
              <w:jc w:val="both"/>
              <w:rPr>
                <w:rFonts w:hint="cs"/>
                <w:sz w:val="24"/>
                <w:szCs w:val="26"/>
              </w:rPr>
            </w:pPr>
            <w:r>
              <w:rPr>
                <w:rFonts w:hint="cs"/>
                <w:sz w:val="24"/>
                <w:szCs w:val="26"/>
                <w:rtl/>
              </w:rPr>
              <w:t>22</w:t>
            </w:r>
          </w:p>
        </w:tc>
        <w:tc>
          <w:tcPr>
            <w:tcW w:w="857" w:type="dxa"/>
            <w:tcBorders>
              <w:bottom w:val="nil"/>
            </w:tcBorders>
          </w:tcPr>
          <w:p w:rsidR="00567B15" w:rsidRDefault="00567B15">
            <w:pPr>
              <w:spacing w:before="0" w:after="0" w:line="340" w:lineRule="exact"/>
              <w:jc w:val="both"/>
              <w:rPr>
                <w:rFonts w:hint="cs"/>
                <w:sz w:val="24"/>
                <w:szCs w:val="26"/>
              </w:rPr>
            </w:pPr>
            <w:r>
              <w:rPr>
                <w:rFonts w:hint="cs"/>
                <w:sz w:val="24"/>
                <w:szCs w:val="26"/>
                <w:rtl/>
              </w:rPr>
              <w:t>19</w:t>
            </w:r>
          </w:p>
        </w:tc>
        <w:tc>
          <w:tcPr>
            <w:tcW w:w="887" w:type="dxa"/>
            <w:tcBorders>
              <w:bottom w:val="nil"/>
            </w:tcBorders>
          </w:tcPr>
          <w:p w:rsidR="00567B15" w:rsidRDefault="00567B15">
            <w:pPr>
              <w:spacing w:before="0" w:after="0" w:line="340" w:lineRule="exact"/>
              <w:jc w:val="both"/>
              <w:rPr>
                <w:rFonts w:hint="cs"/>
                <w:sz w:val="24"/>
                <w:szCs w:val="26"/>
              </w:rPr>
            </w:pPr>
            <w:r>
              <w:rPr>
                <w:rFonts w:hint="cs"/>
                <w:sz w:val="24"/>
                <w:szCs w:val="26"/>
                <w:rtl/>
              </w:rPr>
              <w:t>18</w:t>
            </w:r>
          </w:p>
        </w:tc>
        <w:tc>
          <w:tcPr>
            <w:tcW w:w="721" w:type="dxa"/>
            <w:tcBorders>
              <w:bottom w:val="nil"/>
            </w:tcBorders>
          </w:tcPr>
          <w:p w:rsidR="00567B15" w:rsidRDefault="00567B15">
            <w:pPr>
              <w:spacing w:before="0" w:after="0" w:line="340" w:lineRule="exact"/>
              <w:jc w:val="both"/>
              <w:rPr>
                <w:rFonts w:hint="cs"/>
                <w:sz w:val="24"/>
                <w:szCs w:val="26"/>
              </w:rPr>
            </w:pPr>
            <w:r>
              <w:rPr>
                <w:rFonts w:hint="cs"/>
                <w:sz w:val="24"/>
                <w:szCs w:val="26"/>
                <w:rtl/>
              </w:rPr>
              <w:t>11</w:t>
            </w:r>
          </w:p>
        </w:tc>
        <w:tc>
          <w:tcPr>
            <w:tcW w:w="731" w:type="dxa"/>
            <w:tcBorders>
              <w:bottom w:val="nil"/>
            </w:tcBorders>
          </w:tcPr>
          <w:p w:rsidR="00567B15" w:rsidRDefault="00567B15">
            <w:pPr>
              <w:spacing w:before="0" w:after="0" w:line="340" w:lineRule="exact"/>
              <w:jc w:val="both"/>
              <w:rPr>
                <w:rFonts w:hint="cs"/>
                <w:sz w:val="24"/>
                <w:szCs w:val="26"/>
              </w:rPr>
            </w:pPr>
            <w:r>
              <w:rPr>
                <w:rFonts w:hint="cs"/>
                <w:sz w:val="24"/>
                <w:szCs w:val="26"/>
                <w:rtl/>
              </w:rPr>
              <w:t>12</w:t>
            </w:r>
          </w:p>
        </w:tc>
        <w:tc>
          <w:tcPr>
            <w:tcW w:w="721" w:type="dxa"/>
            <w:tcBorders>
              <w:bottom w:val="nil"/>
            </w:tcBorders>
          </w:tcPr>
          <w:p w:rsidR="00567B15" w:rsidRDefault="00567B15">
            <w:pPr>
              <w:spacing w:before="0" w:after="0" w:line="340" w:lineRule="exact"/>
              <w:jc w:val="both"/>
              <w:rPr>
                <w:rFonts w:hint="cs"/>
                <w:sz w:val="24"/>
                <w:szCs w:val="26"/>
              </w:rPr>
            </w:pPr>
            <w:r>
              <w:rPr>
                <w:rFonts w:hint="cs"/>
                <w:sz w:val="24"/>
                <w:szCs w:val="26"/>
                <w:rtl/>
              </w:rPr>
              <w:t>9</w:t>
            </w:r>
          </w:p>
        </w:tc>
        <w:tc>
          <w:tcPr>
            <w:tcW w:w="827" w:type="dxa"/>
            <w:tcBorders>
              <w:bottom w:val="nil"/>
            </w:tcBorders>
          </w:tcPr>
          <w:p w:rsidR="00567B15" w:rsidRDefault="00567B15">
            <w:pPr>
              <w:spacing w:before="0" w:after="0" w:line="340" w:lineRule="exact"/>
              <w:jc w:val="both"/>
              <w:rPr>
                <w:rFonts w:hint="cs"/>
                <w:sz w:val="24"/>
                <w:szCs w:val="26"/>
              </w:rPr>
            </w:pPr>
            <w:r>
              <w:rPr>
                <w:rFonts w:hint="cs"/>
                <w:sz w:val="24"/>
                <w:szCs w:val="26"/>
                <w:rtl/>
              </w:rPr>
              <w:t>51</w:t>
            </w:r>
          </w:p>
        </w:tc>
        <w:tc>
          <w:tcPr>
            <w:tcW w:w="721" w:type="dxa"/>
            <w:tcBorders>
              <w:bottom w:val="nil"/>
            </w:tcBorders>
          </w:tcPr>
          <w:p w:rsidR="00567B15" w:rsidRDefault="00567B15">
            <w:pPr>
              <w:spacing w:before="0" w:after="0" w:line="340" w:lineRule="exact"/>
              <w:jc w:val="both"/>
              <w:rPr>
                <w:rFonts w:hint="cs"/>
                <w:sz w:val="24"/>
                <w:szCs w:val="26"/>
              </w:rPr>
            </w:pPr>
            <w:r>
              <w:rPr>
                <w:rFonts w:hint="cs"/>
                <w:sz w:val="24"/>
                <w:szCs w:val="26"/>
                <w:rtl/>
              </w:rPr>
              <w:t>37</w:t>
            </w: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tl/>
              </w:rPr>
            </w:pPr>
            <w:r>
              <w:rPr>
                <w:rFonts w:hint="cs"/>
                <w:sz w:val="24"/>
                <w:szCs w:val="26"/>
                <w:rtl/>
              </w:rPr>
              <w:t>المنطقة</w:t>
            </w:r>
          </w:p>
        </w:tc>
        <w:tc>
          <w:tcPr>
            <w:tcW w:w="736"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763" w:type="dxa"/>
            <w:tcBorders>
              <w:top w:val="nil"/>
              <w:bottom w:val="nil"/>
            </w:tcBorders>
          </w:tcPr>
          <w:p w:rsidR="00567B15" w:rsidRDefault="00567B15">
            <w:pPr>
              <w:spacing w:before="0" w:after="0" w:line="340" w:lineRule="exact"/>
              <w:jc w:val="both"/>
              <w:rPr>
                <w:rFonts w:hint="cs"/>
                <w:sz w:val="24"/>
                <w:szCs w:val="26"/>
                <w:rtl/>
              </w:rPr>
            </w:pPr>
          </w:p>
        </w:tc>
        <w:tc>
          <w:tcPr>
            <w:tcW w:w="857" w:type="dxa"/>
            <w:tcBorders>
              <w:top w:val="nil"/>
              <w:bottom w:val="nil"/>
            </w:tcBorders>
          </w:tcPr>
          <w:p w:rsidR="00567B15" w:rsidRDefault="00567B15">
            <w:pPr>
              <w:spacing w:before="0" w:after="0" w:line="340" w:lineRule="exact"/>
              <w:jc w:val="both"/>
              <w:rPr>
                <w:rFonts w:hint="cs"/>
                <w:sz w:val="24"/>
                <w:szCs w:val="26"/>
                <w:rtl/>
              </w:rPr>
            </w:pPr>
          </w:p>
        </w:tc>
        <w:tc>
          <w:tcPr>
            <w:tcW w:w="887"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731"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827"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الحضرية</w:t>
            </w:r>
          </w:p>
        </w:tc>
        <w:tc>
          <w:tcPr>
            <w:tcW w:w="736"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30</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22</w:t>
            </w:r>
          </w:p>
        </w:tc>
        <w:tc>
          <w:tcPr>
            <w:tcW w:w="76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18</w:t>
            </w:r>
          </w:p>
        </w:tc>
        <w:tc>
          <w:tcPr>
            <w:tcW w:w="85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15</w:t>
            </w:r>
          </w:p>
        </w:tc>
        <w:tc>
          <w:tcPr>
            <w:tcW w:w="88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12</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7</w:t>
            </w:r>
          </w:p>
        </w:tc>
        <w:tc>
          <w:tcPr>
            <w:tcW w:w="73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7</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w:t>
            </w:r>
          </w:p>
        </w:tc>
        <w:tc>
          <w:tcPr>
            <w:tcW w:w="82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35</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25</w:t>
            </w: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الريفية</w:t>
            </w:r>
          </w:p>
        </w:tc>
        <w:tc>
          <w:tcPr>
            <w:tcW w:w="736"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52</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40</w:t>
            </w:r>
          </w:p>
        </w:tc>
        <w:tc>
          <w:tcPr>
            <w:tcW w:w="76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28</w:t>
            </w:r>
          </w:p>
        </w:tc>
        <w:tc>
          <w:tcPr>
            <w:tcW w:w="85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24</w:t>
            </w:r>
          </w:p>
        </w:tc>
        <w:tc>
          <w:tcPr>
            <w:tcW w:w="88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24</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16</w:t>
            </w:r>
          </w:p>
        </w:tc>
        <w:tc>
          <w:tcPr>
            <w:tcW w:w="73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16</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12</w:t>
            </w:r>
          </w:p>
        </w:tc>
        <w:tc>
          <w:tcPr>
            <w:tcW w:w="82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67</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52</w:t>
            </w: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tl/>
              </w:rPr>
            </w:pPr>
            <w:r>
              <w:rPr>
                <w:rFonts w:hint="cs"/>
                <w:sz w:val="24"/>
                <w:szCs w:val="26"/>
                <w:rtl/>
              </w:rPr>
              <w:t>الإقليم</w:t>
            </w:r>
          </w:p>
        </w:tc>
        <w:tc>
          <w:tcPr>
            <w:tcW w:w="736"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763" w:type="dxa"/>
            <w:tcBorders>
              <w:top w:val="nil"/>
              <w:bottom w:val="nil"/>
            </w:tcBorders>
          </w:tcPr>
          <w:p w:rsidR="00567B15" w:rsidRDefault="00567B15">
            <w:pPr>
              <w:spacing w:before="0" w:after="0" w:line="340" w:lineRule="exact"/>
              <w:jc w:val="both"/>
              <w:rPr>
                <w:rFonts w:hint="cs"/>
                <w:sz w:val="24"/>
                <w:szCs w:val="26"/>
                <w:rtl/>
              </w:rPr>
            </w:pPr>
          </w:p>
        </w:tc>
        <w:tc>
          <w:tcPr>
            <w:tcW w:w="857" w:type="dxa"/>
            <w:tcBorders>
              <w:top w:val="nil"/>
              <w:bottom w:val="nil"/>
            </w:tcBorders>
          </w:tcPr>
          <w:p w:rsidR="00567B15" w:rsidRDefault="00567B15">
            <w:pPr>
              <w:spacing w:before="0" w:after="0" w:line="340" w:lineRule="exact"/>
              <w:jc w:val="both"/>
              <w:rPr>
                <w:rFonts w:hint="cs"/>
                <w:sz w:val="24"/>
                <w:szCs w:val="26"/>
                <w:rtl/>
              </w:rPr>
            </w:pPr>
          </w:p>
        </w:tc>
        <w:tc>
          <w:tcPr>
            <w:tcW w:w="887"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731"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827"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كوستا</w:t>
            </w:r>
          </w:p>
        </w:tc>
        <w:tc>
          <w:tcPr>
            <w:tcW w:w="736"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32</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25</w:t>
            </w:r>
          </w:p>
        </w:tc>
        <w:tc>
          <w:tcPr>
            <w:tcW w:w="76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19</w:t>
            </w:r>
          </w:p>
        </w:tc>
        <w:tc>
          <w:tcPr>
            <w:tcW w:w="85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16</w:t>
            </w:r>
          </w:p>
        </w:tc>
        <w:tc>
          <w:tcPr>
            <w:tcW w:w="88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13</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9</w:t>
            </w:r>
          </w:p>
        </w:tc>
        <w:tc>
          <w:tcPr>
            <w:tcW w:w="73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7</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4</w:t>
            </w:r>
          </w:p>
        </w:tc>
        <w:tc>
          <w:tcPr>
            <w:tcW w:w="82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38</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29</w:t>
            </w: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سيارا</w:t>
            </w:r>
          </w:p>
        </w:tc>
        <w:tc>
          <w:tcPr>
            <w:tcW w:w="736"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47</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34</w:t>
            </w:r>
          </w:p>
        </w:tc>
        <w:tc>
          <w:tcPr>
            <w:tcW w:w="76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25</w:t>
            </w:r>
          </w:p>
        </w:tc>
        <w:tc>
          <w:tcPr>
            <w:tcW w:w="85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21</w:t>
            </w:r>
          </w:p>
        </w:tc>
        <w:tc>
          <w:tcPr>
            <w:tcW w:w="88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22</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13</w:t>
            </w:r>
          </w:p>
        </w:tc>
        <w:tc>
          <w:tcPr>
            <w:tcW w:w="73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16</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10</w:t>
            </w:r>
          </w:p>
        </w:tc>
        <w:tc>
          <w:tcPr>
            <w:tcW w:w="82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63</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44</w:t>
            </w: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tl/>
              </w:rPr>
            </w:pPr>
            <w:r>
              <w:rPr>
                <w:rFonts w:hint="cs"/>
                <w:sz w:val="24"/>
                <w:szCs w:val="26"/>
                <w:rtl/>
              </w:rPr>
              <w:t>التعليم</w:t>
            </w:r>
          </w:p>
        </w:tc>
        <w:tc>
          <w:tcPr>
            <w:tcW w:w="736"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763" w:type="dxa"/>
            <w:tcBorders>
              <w:top w:val="nil"/>
              <w:bottom w:val="nil"/>
            </w:tcBorders>
          </w:tcPr>
          <w:p w:rsidR="00567B15" w:rsidRDefault="00567B15">
            <w:pPr>
              <w:spacing w:before="0" w:after="0" w:line="340" w:lineRule="exact"/>
              <w:jc w:val="both"/>
              <w:rPr>
                <w:rFonts w:hint="cs"/>
                <w:sz w:val="24"/>
                <w:szCs w:val="26"/>
                <w:rtl/>
              </w:rPr>
            </w:pPr>
          </w:p>
        </w:tc>
        <w:tc>
          <w:tcPr>
            <w:tcW w:w="857" w:type="dxa"/>
            <w:tcBorders>
              <w:top w:val="nil"/>
              <w:bottom w:val="nil"/>
            </w:tcBorders>
          </w:tcPr>
          <w:p w:rsidR="00567B15" w:rsidRDefault="00567B15">
            <w:pPr>
              <w:spacing w:before="0" w:after="0" w:line="340" w:lineRule="exact"/>
              <w:jc w:val="both"/>
              <w:rPr>
                <w:rFonts w:hint="cs"/>
                <w:sz w:val="24"/>
                <w:szCs w:val="26"/>
                <w:rtl/>
              </w:rPr>
            </w:pPr>
          </w:p>
        </w:tc>
        <w:tc>
          <w:tcPr>
            <w:tcW w:w="887"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731"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c>
          <w:tcPr>
            <w:tcW w:w="827" w:type="dxa"/>
            <w:tcBorders>
              <w:top w:val="nil"/>
              <w:bottom w:val="nil"/>
            </w:tcBorders>
          </w:tcPr>
          <w:p w:rsidR="00567B15" w:rsidRDefault="00567B15">
            <w:pPr>
              <w:spacing w:before="0" w:after="0" w:line="340" w:lineRule="exact"/>
              <w:jc w:val="both"/>
              <w:rPr>
                <w:rFonts w:hint="cs"/>
                <w:sz w:val="24"/>
                <w:szCs w:val="26"/>
                <w:rtl/>
              </w:rPr>
            </w:pPr>
          </w:p>
        </w:tc>
        <w:tc>
          <w:tcPr>
            <w:tcW w:w="721" w:type="dxa"/>
            <w:tcBorders>
              <w:top w:val="nil"/>
              <w:bottom w:val="nil"/>
            </w:tcBorders>
          </w:tcPr>
          <w:p w:rsidR="00567B15" w:rsidRDefault="00567B15">
            <w:pPr>
              <w:spacing w:before="0" w:after="0" w:line="340" w:lineRule="exact"/>
              <w:jc w:val="both"/>
              <w:rPr>
                <w:rFonts w:hint="cs"/>
                <w:sz w:val="24"/>
                <w:szCs w:val="26"/>
                <w:rtl/>
              </w:rPr>
            </w:pP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بدون</w:t>
            </w:r>
          </w:p>
        </w:tc>
        <w:tc>
          <w:tcPr>
            <w:tcW w:w="736"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79</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50</w:t>
            </w:r>
          </w:p>
        </w:tc>
        <w:tc>
          <w:tcPr>
            <w:tcW w:w="76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41</w:t>
            </w:r>
          </w:p>
        </w:tc>
        <w:tc>
          <w:tcPr>
            <w:tcW w:w="85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23</w:t>
            </w:r>
          </w:p>
        </w:tc>
        <w:tc>
          <w:tcPr>
            <w:tcW w:w="88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38</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27</w:t>
            </w:r>
          </w:p>
        </w:tc>
        <w:tc>
          <w:tcPr>
            <w:tcW w:w="73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23</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14</w:t>
            </w:r>
          </w:p>
        </w:tc>
        <w:tc>
          <w:tcPr>
            <w:tcW w:w="82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101</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64</w:t>
            </w: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الابتدائي</w:t>
            </w:r>
          </w:p>
        </w:tc>
        <w:tc>
          <w:tcPr>
            <w:tcW w:w="736"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44</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35</w:t>
            </w:r>
          </w:p>
        </w:tc>
        <w:tc>
          <w:tcPr>
            <w:tcW w:w="76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24</w:t>
            </w:r>
          </w:p>
        </w:tc>
        <w:tc>
          <w:tcPr>
            <w:tcW w:w="85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20</w:t>
            </w:r>
          </w:p>
        </w:tc>
        <w:tc>
          <w:tcPr>
            <w:tcW w:w="88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20</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15</w:t>
            </w:r>
          </w:p>
        </w:tc>
        <w:tc>
          <w:tcPr>
            <w:tcW w:w="73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16</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10</w:t>
            </w:r>
          </w:p>
        </w:tc>
        <w:tc>
          <w:tcPr>
            <w:tcW w:w="82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59</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44</w:t>
            </w:r>
          </w:p>
        </w:tc>
      </w:tr>
      <w:tr w:rsidR="00567B15" w:rsidTr="00567B15">
        <w:tblPrEx>
          <w:tblCellMar>
            <w:top w:w="0" w:type="dxa"/>
            <w:bottom w:w="0" w:type="dxa"/>
          </w:tblCellMar>
        </w:tblPrEx>
        <w:tc>
          <w:tcPr>
            <w:tcW w:w="178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الثانوي</w:t>
            </w:r>
          </w:p>
        </w:tc>
        <w:tc>
          <w:tcPr>
            <w:tcW w:w="736"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31</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25</w:t>
            </w:r>
          </w:p>
        </w:tc>
        <w:tc>
          <w:tcPr>
            <w:tcW w:w="763"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20</w:t>
            </w:r>
          </w:p>
        </w:tc>
        <w:tc>
          <w:tcPr>
            <w:tcW w:w="85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19</w:t>
            </w:r>
          </w:p>
        </w:tc>
        <w:tc>
          <w:tcPr>
            <w:tcW w:w="88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11</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5</w:t>
            </w:r>
          </w:p>
        </w:tc>
        <w:tc>
          <w:tcPr>
            <w:tcW w:w="73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5</w:t>
            </w:r>
          </w:p>
        </w:tc>
        <w:tc>
          <w:tcPr>
            <w:tcW w:w="827"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34</w:t>
            </w:r>
          </w:p>
        </w:tc>
        <w:tc>
          <w:tcPr>
            <w:tcW w:w="721" w:type="dxa"/>
            <w:tcBorders>
              <w:top w:val="nil"/>
              <w:bottom w:val="nil"/>
            </w:tcBorders>
          </w:tcPr>
          <w:p w:rsidR="00567B15" w:rsidRDefault="00567B15">
            <w:pPr>
              <w:spacing w:before="0" w:after="0" w:line="340" w:lineRule="exact"/>
              <w:jc w:val="both"/>
              <w:rPr>
                <w:rFonts w:hint="cs"/>
                <w:sz w:val="24"/>
                <w:szCs w:val="26"/>
              </w:rPr>
            </w:pPr>
            <w:r>
              <w:rPr>
                <w:rFonts w:hint="cs"/>
                <w:sz w:val="24"/>
                <w:szCs w:val="26"/>
                <w:rtl/>
              </w:rPr>
              <w:t>30</w:t>
            </w:r>
          </w:p>
        </w:tc>
      </w:tr>
      <w:tr w:rsidR="00567B15" w:rsidTr="00567B15">
        <w:tblPrEx>
          <w:tblCellMar>
            <w:top w:w="0" w:type="dxa"/>
            <w:bottom w:w="0" w:type="dxa"/>
          </w:tblCellMar>
        </w:tblPrEx>
        <w:trPr>
          <w:trHeight w:val="409"/>
        </w:trPr>
        <w:tc>
          <w:tcPr>
            <w:tcW w:w="1783" w:type="dxa"/>
            <w:tcBorders>
              <w:top w:val="nil"/>
            </w:tcBorders>
          </w:tcPr>
          <w:p w:rsidR="00567B15" w:rsidRDefault="00567B15">
            <w:pPr>
              <w:spacing w:before="0" w:after="0" w:line="340" w:lineRule="exact"/>
              <w:jc w:val="both"/>
              <w:rPr>
                <w:rFonts w:hint="cs"/>
                <w:spacing w:val="0"/>
                <w:sz w:val="24"/>
                <w:szCs w:val="22"/>
              </w:rPr>
            </w:pPr>
            <w:r>
              <w:rPr>
                <w:rFonts w:hint="cs"/>
                <w:spacing w:val="0"/>
                <w:sz w:val="24"/>
                <w:szCs w:val="22"/>
                <w:rtl/>
              </w:rPr>
              <w:t>الجامعي والدراسات العليا</w:t>
            </w:r>
          </w:p>
        </w:tc>
        <w:tc>
          <w:tcPr>
            <w:tcW w:w="736" w:type="dxa"/>
            <w:tcBorders>
              <w:top w:val="nil"/>
            </w:tcBorders>
          </w:tcPr>
          <w:p w:rsidR="00567B15" w:rsidRDefault="00567B15">
            <w:pPr>
              <w:spacing w:before="0" w:after="0" w:line="340" w:lineRule="exact"/>
              <w:jc w:val="both"/>
              <w:rPr>
                <w:rFonts w:hint="cs"/>
                <w:sz w:val="24"/>
                <w:szCs w:val="26"/>
              </w:rPr>
            </w:pPr>
            <w:r>
              <w:rPr>
                <w:rFonts w:hint="cs"/>
                <w:sz w:val="24"/>
                <w:szCs w:val="26"/>
                <w:rtl/>
              </w:rPr>
              <w:t>11</w:t>
            </w:r>
          </w:p>
        </w:tc>
        <w:tc>
          <w:tcPr>
            <w:tcW w:w="721" w:type="dxa"/>
            <w:tcBorders>
              <w:top w:val="nil"/>
            </w:tcBorders>
          </w:tcPr>
          <w:p w:rsidR="00567B15" w:rsidRDefault="00567B15">
            <w:pPr>
              <w:spacing w:before="0" w:after="0" w:line="340" w:lineRule="exact"/>
              <w:jc w:val="both"/>
              <w:rPr>
                <w:rFonts w:hint="cs"/>
                <w:sz w:val="24"/>
                <w:szCs w:val="26"/>
              </w:rPr>
            </w:pPr>
            <w:r>
              <w:rPr>
                <w:rFonts w:hint="cs"/>
                <w:sz w:val="24"/>
                <w:szCs w:val="26"/>
                <w:rtl/>
              </w:rPr>
              <w:t>11</w:t>
            </w:r>
          </w:p>
        </w:tc>
        <w:tc>
          <w:tcPr>
            <w:tcW w:w="763" w:type="dxa"/>
            <w:tcBorders>
              <w:top w:val="nil"/>
            </w:tcBorders>
          </w:tcPr>
          <w:p w:rsidR="00567B15" w:rsidRDefault="00567B15">
            <w:pPr>
              <w:spacing w:before="0" w:after="0" w:line="340" w:lineRule="exact"/>
              <w:jc w:val="both"/>
              <w:rPr>
                <w:rFonts w:hint="cs"/>
                <w:sz w:val="24"/>
                <w:szCs w:val="26"/>
              </w:rPr>
            </w:pPr>
            <w:r>
              <w:rPr>
                <w:rFonts w:hint="cs"/>
                <w:sz w:val="24"/>
                <w:szCs w:val="26"/>
                <w:rtl/>
              </w:rPr>
              <w:t>7</w:t>
            </w:r>
          </w:p>
        </w:tc>
        <w:tc>
          <w:tcPr>
            <w:tcW w:w="857" w:type="dxa"/>
            <w:tcBorders>
              <w:top w:val="nil"/>
            </w:tcBorders>
          </w:tcPr>
          <w:p w:rsidR="00567B15" w:rsidRDefault="00567B15">
            <w:pPr>
              <w:spacing w:before="0" w:after="0" w:line="340" w:lineRule="exact"/>
              <w:jc w:val="both"/>
              <w:rPr>
                <w:rFonts w:hint="cs"/>
                <w:sz w:val="24"/>
                <w:szCs w:val="26"/>
              </w:rPr>
            </w:pPr>
            <w:r>
              <w:rPr>
                <w:rFonts w:hint="cs"/>
                <w:sz w:val="24"/>
                <w:szCs w:val="26"/>
                <w:rtl/>
              </w:rPr>
              <w:t>9</w:t>
            </w:r>
          </w:p>
        </w:tc>
        <w:tc>
          <w:tcPr>
            <w:tcW w:w="887" w:type="dxa"/>
            <w:tcBorders>
              <w:top w:val="nil"/>
            </w:tcBorders>
          </w:tcPr>
          <w:p w:rsidR="00567B15" w:rsidRDefault="00567B15">
            <w:pPr>
              <w:spacing w:before="0" w:after="0" w:line="340" w:lineRule="exact"/>
              <w:jc w:val="both"/>
              <w:rPr>
                <w:rFonts w:hint="cs"/>
                <w:sz w:val="24"/>
                <w:szCs w:val="26"/>
              </w:rPr>
            </w:pPr>
            <w:r>
              <w:rPr>
                <w:rFonts w:hint="cs"/>
                <w:sz w:val="24"/>
                <w:szCs w:val="26"/>
                <w:rtl/>
              </w:rPr>
              <w:t>4</w:t>
            </w:r>
          </w:p>
        </w:tc>
        <w:tc>
          <w:tcPr>
            <w:tcW w:w="721" w:type="dxa"/>
            <w:tcBorders>
              <w:top w:val="nil"/>
            </w:tcBorders>
          </w:tcPr>
          <w:p w:rsidR="00567B15" w:rsidRDefault="00567B15">
            <w:pPr>
              <w:spacing w:before="0" w:after="0" w:line="340" w:lineRule="exact"/>
              <w:jc w:val="both"/>
              <w:rPr>
                <w:rFonts w:hint="cs"/>
                <w:sz w:val="24"/>
                <w:szCs w:val="26"/>
              </w:rPr>
            </w:pPr>
            <w:r>
              <w:rPr>
                <w:rFonts w:hint="cs"/>
                <w:sz w:val="24"/>
                <w:szCs w:val="26"/>
                <w:rtl/>
              </w:rPr>
              <w:t>1</w:t>
            </w:r>
          </w:p>
        </w:tc>
        <w:tc>
          <w:tcPr>
            <w:tcW w:w="731" w:type="dxa"/>
            <w:tcBorders>
              <w:top w:val="nil"/>
            </w:tcBorders>
          </w:tcPr>
          <w:p w:rsidR="00567B15" w:rsidRDefault="00567B15">
            <w:pPr>
              <w:spacing w:before="0" w:after="0" w:line="340" w:lineRule="exact"/>
              <w:jc w:val="both"/>
              <w:rPr>
                <w:rFonts w:hint="cs"/>
                <w:sz w:val="24"/>
                <w:szCs w:val="26"/>
              </w:rPr>
            </w:pPr>
            <w:r>
              <w:rPr>
                <w:rFonts w:hint="cs"/>
                <w:sz w:val="24"/>
                <w:szCs w:val="26"/>
                <w:rtl/>
              </w:rPr>
              <w:t>1</w:t>
            </w:r>
          </w:p>
        </w:tc>
        <w:tc>
          <w:tcPr>
            <w:tcW w:w="721" w:type="dxa"/>
            <w:tcBorders>
              <w:top w:val="nil"/>
            </w:tcBorders>
          </w:tcPr>
          <w:p w:rsidR="00567B15" w:rsidRDefault="00567B15">
            <w:pPr>
              <w:spacing w:before="0" w:after="0" w:line="340" w:lineRule="exact"/>
              <w:jc w:val="both"/>
              <w:rPr>
                <w:rFonts w:hint="cs"/>
                <w:sz w:val="24"/>
                <w:szCs w:val="26"/>
              </w:rPr>
            </w:pPr>
            <w:r>
              <w:rPr>
                <w:rFonts w:hint="cs"/>
                <w:sz w:val="24"/>
                <w:szCs w:val="26"/>
                <w:rtl/>
              </w:rPr>
              <w:t>1</w:t>
            </w:r>
          </w:p>
        </w:tc>
        <w:tc>
          <w:tcPr>
            <w:tcW w:w="827" w:type="dxa"/>
            <w:tcBorders>
              <w:top w:val="nil"/>
            </w:tcBorders>
          </w:tcPr>
          <w:p w:rsidR="00567B15" w:rsidRDefault="00567B15">
            <w:pPr>
              <w:spacing w:before="0" w:after="0" w:line="340" w:lineRule="exact"/>
              <w:jc w:val="both"/>
              <w:rPr>
                <w:rFonts w:hint="cs"/>
                <w:sz w:val="24"/>
                <w:szCs w:val="26"/>
              </w:rPr>
            </w:pPr>
            <w:r>
              <w:rPr>
                <w:rFonts w:hint="cs"/>
                <w:sz w:val="24"/>
                <w:szCs w:val="26"/>
                <w:rtl/>
              </w:rPr>
              <w:t>13</w:t>
            </w:r>
          </w:p>
        </w:tc>
        <w:tc>
          <w:tcPr>
            <w:tcW w:w="721" w:type="dxa"/>
            <w:tcBorders>
              <w:top w:val="nil"/>
            </w:tcBorders>
          </w:tcPr>
          <w:p w:rsidR="00567B15" w:rsidRDefault="00567B15">
            <w:pPr>
              <w:spacing w:before="0" w:after="0" w:line="340" w:lineRule="exact"/>
              <w:jc w:val="both"/>
              <w:rPr>
                <w:rFonts w:hint="cs"/>
                <w:sz w:val="24"/>
                <w:szCs w:val="26"/>
              </w:rPr>
            </w:pPr>
            <w:r>
              <w:rPr>
                <w:rFonts w:hint="cs"/>
                <w:sz w:val="24"/>
                <w:szCs w:val="26"/>
                <w:rtl/>
              </w:rPr>
              <w:t>12</w:t>
            </w:r>
          </w:p>
        </w:tc>
      </w:tr>
    </w:tbl>
    <w:p w:rsidR="00000000" w:rsidRDefault="00567B15">
      <w:pPr>
        <w:spacing w:line="380" w:lineRule="exact"/>
        <w:jc w:val="both"/>
        <w:rPr>
          <w:rFonts w:hint="cs"/>
          <w:rtl/>
        </w:rPr>
      </w:pPr>
      <w:r>
        <w:rPr>
          <w:rFonts w:hint="cs"/>
          <w:spacing w:val="0"/>
          <w:rtl/>
        </w:rPr>
        <w:t>399-</w:t>
      </w:r>
      <w:r>
        <w:rPr>
          <w:rFonts w:hint="cs"/>
          <w:spacing w:val="0"/>
          <w:rtl/>
        </w:rPr>
        <w:tab/>
        <w:t>وقد انخفض ا</w:t>
      </w:r>
      <w:r>
        <w:rPr>
          <w:rFonts w:hint="cs"/>
          <w:spacing w:val="0"/>
          <w:rtl/>
        </w:rPr>
        <w:t xml:space="preserve">لمستوى الإجمالي لوفيات الرضع بنسبة‍ 25 </w:t>
      </w:r>
      <w:r>
        <w:rPr>
          <w:rFonts w:hint="eastAsia"/>
          <w:spacing w:val="0"/>
          <w:rtl/>
        </w:rPr>
        <w:t>في</w:t>
      </w:r>
      <w:r>
        <w:rPr>
          <w:spacing w:val="0"/>
        </w:rPr>
        <w:t xml:space="preserve"> </w:t>
      </w:r>
      <w:r>
        <w:rPr>
          <w:spacing w:val="0"/>
          <w:rtl/>
        </w:rPr>
        <w:t>المائة</w:t>
      </w:r>
      <w:r>
        <w:rPr>
          <w:rFonts w:hint="cs"/>
          <w:spacing w:val="0"/>
          <w:rtl/>
        </w:rPr>
        <w:t xml:space="preserve">، من 40 إلى 30 </w:t>
      </w:r>
      <w:r>
        <w:rPr>
          <w:rFonts w:hint="eastAsia"/>
          <w:spacing w:val="0"/>
          <w:rtl/>
        </w:rPr>
        <w:t>في</w:t>
      </w:r>
      <w:r>
        <w:rPr>
          <w:spacing w:val="0"/>
        </w:rPr>
        <w:t xml:space="preserve"> </w:t>
      </w:r>
      <w:r>
        <w:rPr>
          <w:spacing w:val="0"/>
          <w:rtl/>
        </w:rPr>
        <w:t>الألف</w:t>
      </w:r>
      <w:r>
        <w:rPr>
          <w:rFonts w:hint="cs"/>
          <w:spacing w:val="0"/>
          <w:rtl/>
        </w:rPr>
        <w:t xml:space="preserve">، أي بمتوسط 5 </w:t>
      </w:r>
      <w:r>
        <w:rPr>
          <w:rFonts w:hint="eastAsia"/>
          <w:spacing w:val="0"/>
          <w:rtl/>
        </w:rPr>
        <w:t>في</w:t>
      </w:r>
      <w:r>
        <w:rPr>
          <w:spacing w:val="0"/>
        </w:rPr>
        <w:t xml:space="preserve"> </w:t>
      </w:r>
      <w:r>
        <w:rPr>
          <w:spacing w:val="0"/>
          <w:rtl/>
        </w:rPr>
        <w:t>المائ</w:t>
      </w:r>
      <w:r>
        <w:rPr>
          <w:rFonts w:hint="cs"/>
          <w:spacing w:val="0"/>
          <w:rtl/>
        </w:rPr>
        <w:t>ـ</w:t>
      </w:r>
      <w:r>
        <w:rPr>
          <w:spacing w:val="0"/>
          <w:rtl/>
        </w:rPr>
        <w:t>ة</w:t>
      </w:r>
      <w:r>
        <w:rPr>
          <w:rFonts w:hint="cs"/>
          <w:spacing w:val="0"/>
          <w:rtl/>
        </w:rPr>
        <w:t xml:space="preserve"> خلال كل سنة من السنوات الخمس الماضية. وسجل أكبر انخفاض في وفيات المواليد في فترة ما بعد</w:t>
      </w:r>
      <w:r>
        <w:rPr>
          <w:rFonts w:hint="cs"/>
          <w:rtl/>
        </w:rPr>
        <w:t xml:space="preserve"> الولادة، بنسبة 39 </w:t>
      </w:r>
      <w:r>
        <w:rPr>
          <w:rFonts w:hint="eastAsia"/>
          <w:rtl/>
        </w:rPr>
        <w:t>في</w:t>
      </w:r>
      <w:r>
        <w:t xml:space="preserve"> </w:t>
      </w:r>
      <w:r>
        <w:rPr>
          <w:rtl/>
        </w:rPr>
        <w:t>المائة</w:t>
      </w:r>
      <w:r>
        <w:rPr>
          <w:rFonts w:hint="cs"/>
          <w:rtl/>
        </w:rPr>
        <w:t>.</w:t>
      </w:r>
    </w:p>
    <w:p w:rsidR="00000000" w:rsidRDefault="00567B15">
      <w:pPr>
        <w:spacing w:line="380" w:lineRule="exact"/>
        <w:jc w:val="both"/>
        <w:rPr>
          <w:rFonts w:hint="cs"/>
          <w:rtl/>
        </w:rPr>
      </w:pPr>
      <w:r>
        <w:rPr>
          <w:rFonts w:hint="cs"/>
          <w:rtl/>
        </w:rPr>
        <w:t>400-</w:t>
      </w:r>
      <w:r>
        <w:rPr>
          <w:rFonts w:hint="cs"/>
          <w:rtl/>
        </w:rPr>
        <w:tab/>
        <w:t>وتقدر وفيات المواليد في فترة ما بعد ال</w:t>
      </w:r>
      <w:r>
        <w:rPr>
          <w:rFonts w:hint="cs"/>
          <w:rtl/>
        </w:rPr>
        <w:t xml:space="preserve">ولادة بنسبة‍ 36 </w:t>
      </w:r>
      <w:r>
        <w:rPr>
          <w:rFonts w:hint="eastAsia"/>
          <w:rtl/>
        </w:rPr>
        <w:t>في</w:t>
      </w:r>
      <w:r>
        <w:t xml:space="preserve"> </w:t>
      </w:r>
      <w:r>
        <w:rPr>
          <w:rtl/>
        </w:rPr>
        <w:t>المائة</w:t>
      </w:r>
      <w:r>
        <w:rPr>
          <w:rFonts w:hint="cs"/>
          <w:rtl/>
        </w:rPr>
        <w:t xml:space="preserve"> من المجموع في المنطقة الساحلية. وترتفع تلك النسبة إلى 38 </w:t>
      </w:r>
      <w:r>
        <w:rPr>
          <w:rFonts w:hint="eastAsia"/>
          <w:rtl/>
        </w:rPr>
        <w:t>في</w:t>
      </w:r>
      <w:r>
        <w:t xml:space="preserve"> </w:t>
      </w:r>
      <w:r>
        <w:rPr>
          <w:rtl/>
        </w:rPr>
        <w:t>المائة</w:t>
      </w:r>
      <w:r>
        <w:rPr>
          <w:rFonts w:hint="cs"/>
          <w:rtl/>
        </w:rPr>
        <w:t xml:space="preserve"> في إقليم سييرا و47 </w:t>
      </w:r>
      <w:r>
        <w:rPr>
          <w:rFonts w:hint="eastAsia"/>
          <w:rtl/>
        </w:rPr>
        <w:t>في</w:t>
      </w:r>
      <w:r>
        <w:t xml:space="preserve"> </w:t>
      </w:r>
      <w:r>
        <w:rPr>
          <w:rtl/>
        </w:rPr>
        <w:t xml:space="preserve">المائة </w:t>
      </w:r>
      <w:r>
        <w:rPr>
          <w:rFonts w:hint="cs"/>
          <w:rtl/>
        </w:rPr>
        <w:t>في إقليم الأمازون، وفي ذلك إشارة إلى الحاجة إلى القيام بحملات صحية في تلك المناطق يمكن أن تؤدي إلى تخفيضات هامة في مستويات وفيات الرضع</w:t>
      </w:r>
      <w:r>
        <w:rPr>
          <w:rFonts w:hint="cs"/>
          <w:rtl/>
        </w:rPr>
        <w:t>.</w:t>
      </w:r>
    </w:p>
    <w:p w:rsidR="00000000" w:rsidRDefault="00567B15">
      <w:pPr>
        <w:spacing w:line="380" w:lineRule="exact"/>
        <w:jc w:val="both"/>
        <w:rPr>
          <w:rFonts w:hint="cs"/>
          <w:rtl/>
        </w:rPr>
      </w:pPr>
      <w:r>
        <w:rPr>
          <w:rFonts w:hint="cs"/>
          <w:rtl/>
        </w:rPr>
        <w:t>401-</w:t>
      </w:r>
      <w:r>
        <w:rPr>
          <w:rFonts w:hint="cs"/>
          <w:rtl/>
        </w:rPr>
        <w:tab/>
        <w:t xml:space="preserve">ويشكل التعليم عنصراً محدِّداً لمستويات وفيات الرضع . حيث إن التعليم يحسن من المواقف إزاء الممارسة الفعلية للصحة والسلامة. وتقدر نسبة الوفيات لدى أبناء الأمهات الأميات بالضعف (52 </w:t>
      </w:r>
      <w:r>
        <w:rPr>
          <w:rFonts w:hint="eastAsia"/>
          <w:rtl/>
        </w:rPr>
        <w:t>في</w:t>
      </w:r>
      <w:r>
        <w:t xml:space="preserve"> </w:t>
      </w:r>
      <w:r>
        <w:rPr>
          <w:rtl/>
        </w:rPr>
        <w:t>الألف</w:t>
      </w:r>
      <w:r>
        <w:rPr>
          <w:rFonts w:hint="cs"/>
          <w:rtl/>
        </w:rPr>
        <w:t xml:space="preserve">) مقارنة بالأمهات اللائي تلقين تعليماً ثانوياً (26 </w:t>
      </w:r>
      <w:r>
        <w:rPr>
          <w:rFonts w:hint="eastAsia"/>
          <w:rtl/>
        </w:rPr>
        <w:t>في</w:t>
      </w:r>
      <w:r>
        <w:t xml:space="preserve"> </w:t>
      </w:r>
      <w:r>
        <w:rPr>
          <w:rtl/>
        </w:rPr>
        <w:t>الألف</w:t>
      </w:r>
      <w:r>
        <w:rPr>
          <w:rFonts w:hint="cs"/>
          <w:rtl/>
        </w:rPr>
        <w:t>)، و</w:t>
      </w:r>
      <w:r>
        <w:rPr>
          <w:rFonts w:hint="cs"/>
          <w:rtl/>
        </w:rPr>
        <w:t xml:space="preserve">تنخفض مستويات الوفيات كلما ارتفع مستوى التعليم؛ وهو أمر بديهي في أرقام الوفيات للفئة العمرية من الولادة إلى أربعة أعوام، حيث تختلف المعدلات بمعامل 6 بين الأمهات الأميات والأمهات اللائي تلقين تعليماً عالياً و/أو دراسات عليا. </w:t>
      </w:r>
    </w:p>
    <w:p w:rsidR="00000000" w:rsidRDefault="00567B15">
      <w:pPr>
        <w:spacing w:line="380" w:lineRule="exact"/>
        <w:jc w:val="both"/>
        <w:rPr>
          <w:rFonts w:hint="cs"/>
          <w:rtl/>
        </w:rPr>
      </w:pPr>
      <w:r>
        <w:rPr>
          <w:rFonts w:hint="cs"/>
          <w:rtl/>
        </w:rPr>
        <w:t>402-</w:t>
      </w:r>
      <w:r>
        <w:rPr>
          <w:rFonts w:hint="cs"/>
          <w:rtl/>
        </w:rPr>
        <w:tab/>
        <w:t>واستناداً إلى مصدر من وزار</w:t>
      </w:r>
      <w:r>
        <w:rPr>
          <w:rFonts w:hint="cs"/>
          <w:rtl/>
        </w:rPr>
        <w:t>ة الصحة العامة ترد فيما يلي المؤشرات المتوافـرة بشأن وفيات الرضَّـع لعام 1998:</w:t>
      </w:r>
    </w:p>
    <w:p w:rsidR="00000000" w:rsidRDefault="00567B15">
      <w:pPr>
        <w:spacing w:before="0" w:after="0" w:line="360" w:lineRule="exact"/>
        <w:jc w:val="center"/>
        <w:rPr>
          <w:rFonts w:hint="cs"/>
          <w:b/>
          <w:bCs/>
          <w:rtl/>
        </w:rPr>
      </w:pPr>
      <w:r>
        <w:rPr>
          <w:rFonts w:hint="cs"/>
          <w:b/>
          <w:bCs/>
          <w:rtl/>
        </w:rPr>
        <w:t>المؤشرات الديمغرافية لعام 1998</w:t>
      </w:r>
    </w:p>
    <w:p w:rsidR="00000000" w:rsidRDefault="00567B15">
      <w:pPr>
        <w:spacing w:before="0" w:after="120" w:line="360" w:lineRule="exact"/>
        <w:jc w:val="center"/>
        <w:rPr>
          <w:rFonts w:hint="cs"/>
          <w:b/>
          <w:bCs/>
          <w:rtl/>
        </w:rPr>
      </w:pPr>
      <w:r>
        <w:rPr>
          <w:rFonts w:hint="cs"/>
          <w:b/>
          <w:bCs/>
          <w:rtl/>
        </w:rPr>
        <w:t>(وزارة الصحة العامة)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67"/>
        <w:gridCol w:w="1713"/>
      </w:tblGrid>
      <w:tr w:rsidR="00567B15" w:rsidTr="00567B15">
        <w:tblPrEx>
          <w:tblCellMar>
            <w:top w:w="0" w:type="dxa"/>
            <w:bottom w:w="0" w:type="dxa"/>
          </w:tblCellMar>
        </w:tblPrEx>
        <w:trPr>
          <w:jc w:val="center"/>
        </w:trPr>
        <w:tc>
          <w:tcPr>
            <w:tcW w:w="3867" w:type="dxa"/>
          </w:tcPr>
          <w:p w:rsidR="00567B15" w:rsidRDefault="00567B15">
            <w:pPr>
              <w:spacing w:before="0" w:after="0" w:line="340" w:lineRule="exact"/>
              <w:jc w:val="both"/>
              <w:rPr>
                <w:rFonts w:hint="cs"/>
                <w:sz w:val="26"/>
                <w:szCs w:val="26"/>
              </w:rPr>
            </w:pPr>
            <w:r>
              <w:rPr>
                <w:rFonts w:hint="cs"/>
                <w:sz w:val="26"/>
                <w:szCs w:val="26"/>
                <w:rtl/>
              </w:rPr>
              <w:t>وفيات الرضع*</w:t>
            </w:r>
          </w:p>
        </w:tc>
        <w:tc>
          <w:tcPr>
            <w:tcW w:w="1713" w:type="dxa"/>
          </w:tcPr>
          <w:p w:rsidR="00567B15" w:rsidRDefault="00567B15">
            <w:pPr>
              <w:spacing w:before="0" w:after="0" w:line="340" w:lineRule="exact"/>
              <w:ind w:left="340"/>
              <w:jc w:val="both"/>
              <w:rPr>
                <w:rFonts w:hint="cs"/>
                <w:sz w:val="26"/>
                <w:szCs w:val="26"/>
              </w:rPr>
            </w:pPr>
            <w:r>
              <w:rPr>
                <w:rFonts w:hint="cs"/>
                <w:sz w:val="26"/>
                <w:szCs w:val="26"/>
                <w:rtl/>
              </w:rPr>
              <w:t>32.2</w:t>
            </w:r>
          </w:p>
        </w:tc>
      </w:tr>
      <w:tr w:rsidR="00567B15" w:rsidTr="00567B15">
        <w:tblPrEx>
          <w:tblCellMar>
            <w:top w:w="0" w:type="dxa"/>
            <w:bottom w:w="0" w:type="dxa"/>
          </w:tblCellMar>
        </w:tblPrEx>
        <w:trPr>
          <w:jc w:val="center"/>
        </w:trPr>
        <w:tc>
          <w:tcPr>
            <w:tcW w:w="3867" w:type="dxa"/>
          </w:tcPr>
          <w:p w:rsidR="00567B15" w:rsidRDefault="00567B15">
            <w:pPr>
              <w:spacing w:before="0" w:after="0" w:line="340" w:lineRule="exact"/>
              <w:jc w:val="both"/>
              <w:rPr>
                <w:rFonts w:hint="cs"/>
                <w:sz w:val="26"/>
                <w:szCs w:val="26"/>
              </w:rPr>
            </w:pPr>
            <w:r>
              <w:rPr>
                <w:rFonts w:hint="cs"/>
                <w:sz w:val="26"/>
                <w:szCs w:val="26"/>
                <w:rtl/>
              </w:rPr>
              <w:t>وفيات الولدان*</w:t>
            </w:r>
          </w:p>
        </w:tc>
        <w:tc>
          <w:tcPr>
            <w:tcW w:w="1713" w:type="dxa"/>
          </w:tcPr>
          <w:p w:rsidR="00567B15" w:rsidRDefault="00567B15">
            <w:pPr>
              <w:spacing w:before="0" w:after="0" w:line="340" w:lineRule="exact"/>
              <w:ind w:left="340"/>
              <w:jc w:val="both"/>
              <w:rPr>
                <w:rFonts w:hint="cs"/>
                <w:sz w:val="26"/>
                <w:szCs w:val="26"/>
              </w:rPr>
            </w:pPr>
            <w:r>
              <w:rPr>
                <w:rFonts w:hint="cs"/>
                <w:sz w:val="26"/>
                <w:szCs w:val="26"/>
                <w:rtl/>
              </w:rPr>
              <w:t>14.5</w:t>
            </w:r>
          </w:p>
        </w:tc>
      </w:tr>
      <w:tr w:rsidR="00567B15" w:rsidTr="00567B15">
        <w:tblPrEx>
          <w:tblCellMar>
            <w:top w:w="0" w:type="dxa"/>
            <w:bottom w:w="0" w:type="dxa"/>
          </w:tblCellMar>
        </w:tblPrEx>
        <w:trPr>
          <w:jc w:val="center"/>
        </w:trPr>
        <w:tc>
          <w:tcPr>
            <w:tcW w:w="3867" w:type="dxa"/>
          </w:tcPr>
          <w:p w:rsidR="00567B15" w:rsidRDefault="00567B15">
            <w:pPr>
              <w:spacing w:before="0" w:after="0" w:line="340" w:lineRule="exact"/>
              <w:jc w:val="both"/>
              <w:rPr>
                <w:rFonts w:hint="cs"/>
                <w:sz w:val="26"/>
                <w:szCs w:val="26"/>
              </w:rPr>
            </w:pPr>
            <w:r>
              <w:rPr>
                <w:rFonts w:hint="cs"/>
                <w:sz w:val="26"/>
                <w:szCs w:val="26"/>
                <w:rtl/>
              </w:rPr>
              <w:t>وفيات المواليد في فترة ما بعد الولادة*</w:t>
            </w:r>
          </w:p>
        </w:tc>
        <w:tc>
          <w:tcPr>
            <w:tcW w:w="1713" w:type="dxa"/>
          </w:tcPr>
          <w:p w:rsidR="00567B15" w:rsidRDefault="00567B15">
            <w:pPr>
              <w:spacing w:before="0" w:after="0" w:line="340" w:lineRule="exact"/>
              <w:ind w:left="340"/>
              <w:jc w:val="both"/>
              <w:rPr>
                <w:rFonts w:hint="cs"/>
                <w:sz w:val="26"/>
                <w:szCs w:val="26"/>
              </w:rPr>
            </w:pPr>
            <w:r>
              <w:rPr>
                <w:rFonts w:hint="cs"/>
                <w:sz w:val="26"/>
                <w:szCs w:val="26"/>
                <w:rtl/>
              </w:rPr>
              <w:t>17.7</w:t>
            </w:r>
          </w:p>
        </w:tc>
      </w:tr>
      <w:tr w:rsidR="00567B15" w:rsidTr="00567B15">
        <w:tblPrEx>
          <w:tblCellMar>
            <w:top w:w="0" w:type="dxa"/>
            <w:bottom w:w="0" w:type="dxa"/>
          </w:tblCellMar>
        </w:tblPrEx>
        <w:trPr>
          <w:jc w:val="center"/>
        </w:trPr>
        <w:tc>
          <w:tcPr>
            <w:tcW w:w="3867" w:type="dxa"/>
          </w:tcPr>
          <w:p w:rsidR="00567B15" w:rsidRDefault="00567B15">
            <w:pPr>
              <w:spacing w:before="0" w:after="0" w:line="340" w:lineRule="exact"/>
              <w:jc w:val="both"/>
              <w:rPr>
                <w:rFonts w:hint="cs"/>
                <w:sz w:val="26"/>
                <w:szCs w:val="26"/>
              </w:rPr>
            </w:pPr>
            <w:r>
              <w:rPr>
                <w:rFonts w:hint="cs"/>
                <w:sz w:val="26"/>
                <w:szCs w:val="26"/>
                <w:rtl/>
              </w:rPr>
              <w:t>الوفيات في فترة ما حول الولادة*</w:t>
            </w:r>
          </w:p>
        </w:tc>
        <w:tc>
          <w:tcPr>
            <w:tcW w:w="1713" w:type="dxa"/>
          </w:tcPr>
          <w:p w:rsidR="00567B15" w:rsidRDefault="00567B15">
            <w:pPr>
              <w:spacing w:before="0" w:after="0" w:line="340" w:lineRule="exact"/>
              <w:ind w:left="340"/>
              <w:jc w:val="both"/>
              <w:rPr>
                <w:rFonts w:hint="cs"/>
                <w:sz w:val="26"/>
                <w:szCs w:val="26"/>
              </w:rPr>
            </w:pPr>
            <w:r>
              <w:rPr>
                <w:rFonts w:hint="cs"/>
                <w:sz w:val="26"/>
                <w:szCs w:val="26"/>
                <w:rtl/>
              </w:rPr>
              <w:t>19.7</w:t>
            </w:r>
          </w:p>
        </w:tc>
      </w:tr>
    </w:tbl>
    <w:p w:rsidR="00000000" w:rsidRDefault="00567B15">
      <w:pPr>
        <w:spacing w:before="120" w:after="120"/>
        <w:jc w:val="both"/>
        <w:rPr>
          <w:rFonts w:hint="cs"/>
          <w:rtl/>
        </w:rPr>
      </w:pPr>
      <w:r>
        <w:rPr>
          <w:rFonts w:hint="cs"/>
          <w:rtl/>
        </w:rPr>
        <w:tab/>
      </w:r>
      <w:r>
        <w:rPr>
          <w:rFonts w:hint="cs"/>
          <w:rtl/>
        </w:rPr>
        <w:tab/>
      </w:r>
      <w:r>
        <w:rPr>
          <w:rFonts w:hint="cs"/>
          <w:rtl/>
        </w:rPr>
        <w:tab/>
        <w:t>*</w:t>
      </w:r>
      <w:r>
        <w:rPr>
          <w:rFonts w:hint="cs"/>
          <w:rtl/>
        </w:rPr>
        <w:tab/>
        <w:t>لكل 000 1 مولود حي.</w:t>
      </w:r>
    </w:p>
    <w:p w:rsidR="00000000" w:rsidRDefault="00567B15">
      <w:pPr>
        <w:spacing w:line="380" w:lineRule="exact"/>
        <w:jc w:val="both"/>
        <w:rPr>
          <w:rFonts w:hint="cs"/>
          <w:i/>
          <w:iCs/>
          <w:rtl/>
        </w:rPr>
      </w:pPr>
      <w:r>
        <w:rPr>
          <w:rFonts w:hint="cs"/>
          <w:i/>
          <w:iCs/>
          <w:rtl/>
        </w:rPr>
        <w:t>إمدادات مياه الشرب</w:t>
      </w:r>
    </w:p>
    <w:p w:rsidR="00000000" w:rsidRDefault="00567B15">
      <w:pPr>
        <w:spacing w:line="380" w:lineRule="exact"/>
        <w:jc w:val="both"/>
        <w:rPr>
          <w:rFonts w:hint="cs"/>
          <w:rtl/>
        </w:rPr>
      </w:pPr>
      <w:r>
        <w:rPr>
          <w:rFonts w:hint="cs"/>
          <w:rtl/>
        </w:rPr>
        <w:t>403-</w:t>
      </w:r>
      <w:r>
        <w:rPr>
          <w:rFonts w:hint="cs"/>
          <w:rtl/>
        </w:rPr>
        <w:tab/>
        <w:t xml:space="preserve">توفر شبكة الإمدادات العامة أكثر مياه الشرب أماناً نظراً إلى أنها تعتبر مياهاً معالجة صالحة للاستهلاك البشري. وعلى الصعيد الوطني، يحصل 73 </w:t>
      </w:r>
      <w:r>
        <w:rPr>
          <w:rFonts w:hint="eastAsia"/>
          <w:rtl/>
        </w:rPr>
        <w:t>في</w:t>
      </w:r>
      <w:r>
        <w:t xml:space="preserve"> </w:t>
      </w:r>
      <w:r>
        <w:rPr>
          <w:rtl/>
        </w:rPr>
        <w:t>المائة</w:t>
      </w:r>
      <w:r>
        <w:rPr>
          <w:rFonts w:hint="cs"/>
          <w:rtl/>
        </w:rPr>
        <w:t xml:space="preserve"> من سكان الحضر و32.5 </w:t>
      </w:r>
      <w:r>
        <w:rPr>
          <w:rFonts w:hint="eastAsia"/>
          <w:rtl/>
        </w:rPr>
        <w:t>في</w:t>
      </w:r>
      <w:r>
        <w:t xml:space="preserve"> </w:t>
      </w:r>
      <w:r>
        <w:rPr>
          <w:rtl/>
        </w:rPr>
        <w:t>المائة</w:t>
      </w:r>
      <w:r>
        <w:rPr>
          <w:rFonts w:hint="cs"/>
          <w:rtl/>
        </w:rPr>
        <w:t xml:space="preserve"> من سكان الريف على الإمدادات من م</w:t>
      </w:r>
      <w:r>
        <w:rPr>
          <w:rFonts w:hint="cs"/>
          <w:rtl/>
        </w:rPr>
        <w:t>ياه الشرب السابقة الذكر.</w:t>
      </w:r>
    </w:p>
    <w:p w:rsidR="00000000" w:rsidRDefault="00567B15">
      <w:pPr>
        <w:spacing w:line="380" w:lineRule="exact"/>
        <w:jc w:val="both"/>
        <w:rPr>
          <w:rFonts w:hint="cs"/>
          <w:rtl/>
        </w:rPr>
      </w:pPr>
      <w:r>
        <w:rPr>
          <w:rFonts w:hint="cs"/>
          <w:rtl/>
        </w:rPr>
        <w:t>404-</w:t>
      </w:r>
      <w:r>
        <w:rPr>
          <w:rFonts w:hint="cs"/>
          <w:rtl/>
        </w:rPr>
        <w:tab/>
        <w:t>وهناك مشاكل خطيرة في استقرار الإمداد بالمياه في الأغلبية الواسعة من القرى، لا سيما الصغيرة الحجم منها، بسبب النقص في الهياكل الأساسية القائمة؛ وتستدعي إدارة الشبكة وصيانتها تقنين التوزيع والإمدادات المتقطعة للمستهلكين.</w:t>
      </w:r>
    </w:p>
    <w:p w:rsidR="00000000" w:rsidRDefault="00567B15">
      <w:pPr>
        <w:spacing w:line="380" w:lineRule="exact"/>
        <w:jc w:val="both"/>
        <w:rPr>
          <w:rFonts w:hint="cs"/>
          <w:rtl/>
        </w:rPr>
      </w:pPr>
      <w:r>
        <w:rPr>
          <w:rFonts w:hint="cs"/>
          <w:rtl/>
        </w:rPr>
        <w:t>405-</w:t>
      </w:r>
      <w:r>
        <w:rPr>
          <w:rFonts w:hint="cs"/>
          <w:rtl/>
        </w:rPr>
        <w:tab/>
        <w:t>وت</w:t>
      </w:r>
      <w:r>
        <w:rPr>
          <w:rFonts w:hint="cs"/>
          <w:rtl/>
        </w:rPr>
        <w:t>تعرض العديد من الإمدادات بمياه الشرب لمشاكل تقنية خطيرة في نظم معالجتها، مما يجعل نوعية المياه التي يجري الإمداد بها هزيلة من الناحية الكيميائية والبكتريولوجية. وكثيراً ما يتسم تطهير المياه باللامبالاة. وإلى جانب ذلك، فالموارد التقنية والاقتصادية المتوافرة</w:t>
      </w:r>
      <w:r>
        <w:rPr>
          <w:rFonts w:hint="cs"/>
          <w:rtl/>
        </w:rPr>
        <w:t xml:space="preserve"> للإدارة والصيانة محدودة.</w:t>
      </w:r>
    </w:p>
    <w:p w:rsidR="00000000" w:rsidRDefault="00567B15">
      <w:pPr>
        <w:spacing w:line="380" w:lineRule="exact"/>
        <w:jc w:val="both"/>
        <w:rPr>
          <w:rFonts w:hint="cs"/>
          <w:rtl/>
        </w:rPr>
      </w:pPr>
      <w:r>
        <w:rPr>
          <w:rFonts w:hint="cs"/>
          <w:rtl/>
        </w:rPr>
        <w:t>406-</w:t>
      </w:r>
      <w:r>
        <w:rPr>
          <w:rFonts w:hint="cs"/>
          <w:rtl/>
        </w:rPr>
        <w:tab/>
        <w:t xml:space="preserve">وتناط بالبلديات في </w:t>
      </w:r>
      <w:r>
        <w:rPr>
          <w:rFonts w:hint="eastAsia"/>
          <w:rtl/>
        </w:rPr>
        <w:t>إكوادور</w:t>
      </w:r>
      <w:r>
        <w:rPr>
          <w:rFonts w:hint="cs"/>
          <w:rtl/>
        </w:rPr>
        <w:t xml:space="preserve"> مسؤولية إدارة وتشغيل الخدمات الأساسية.</w:t>
      </w:r>
    </w:p>
    <w:p w:rsidR="00000000" w:rsidRDefault="00567B15">
      <w:pPr>
        <w:spacing w:line="380" w:lineRule="exact"/>
        <w:jc w:val="both"/>
        <w:rPr>
          <w:rFonts w:hint="cs"/>
          <w:rtl/>
        </w:rPr>
      </w:pPr>
      <w:r>
        <w:rPr>
          <w:rFonts w:hint="cs"/>
          <w:rtl/>
        </w:rPr>
        <w:t>407-</w:t>
      </w:r>
      <w:r>
        <w:rPr>
          <w:rFonts w:hint="cs"/>
          <w:rtl/>
        </w:rPr>
        <w:tab/>
        <w:t>ومن بين ال‍ 214 بلدية في البلد، تتمتع 12 منها بمنشآت خدمات وإدارة مدنية.</w:t>
      </w:r>
    </w:p>
    <w:p w:rsidR="00000000" w:rsidRDefault="00567B15">
      <w:pPr>
        <w:spacing w:line="380" w:lineRule="exact"/>
        <w:jc w:val="both"/>
        <w:rPr>
          <w:rFonts w:hint="cs"/>
        </w:rPr>
      </w:pPr>
      <w:r>
        <w:rPr>
          <w:rFonts w:hint="cs"/>
          <w:rtl/>
        </w:rPr>
        <w:t>408-</w:t>
      </w:r>
      <w:r>
        <w:rPr>
          <w:rFonts w:hint="cs"/>
          <w:rtl/>
        </w:rPr>
        <w:tab/>
        <w:t>وتتولى مسؤولية إدارة شبكات مياه الشرب وتشغيلها وصيانتها مجالس إدارة مياه الش</w:t>
      </w:r>
      <w:r>
        <w:rPr>
          <w:rFonts w:hint="cs"/>
          <w:rtl/>
        </w:rPr>
        <w:t>رب يوجد في البلد منها زهاء 000 3 مجلس.</w:t>
      </w:r>
    </w:p>
    <w:p w:rsidR="00000000" w:rsidRDefault="00567B15">
      <w:pPr>
        <w:spacing w:line="380" w:lineRule="exact"/>
        <w:jc w:val="both"/>
        <w:rPr>
          <w:rFonts w:hint="cs"/>
          <w:rtl/>
        </w:rPr>
      </w:pPr>
      <w:r>
        <w:rPr>
          <w:rFonts w:hint="cs"/>
          <w:rtl/>
        </w:rPr>
        <w:t>409-</w:t>
      </w:r>
      <w:r>
        <w:rPr>
          <w:rFonts w:hint="cs"/>
          <w:rtl/>
        </w:rPr>
        <w:tab/>
        <w:t xml:space="preserve">وتتولى وزارة التنمية الحضرية والإسكان ومجلس تحديث الدولة في إطار مشروع موستا </w:t>
      </w:r>
      <w:r>
        <w:t>MOSTA</w:t>
      </w:r>
      <w:r>
        <w:rPr>
          <w:rFonts w:hint="cs"/>
          <w:rtl/>
        </w:rPr>
        <w:t xml:space="preserve"> تحليل وتقييم جميع السمات الحيوية والجوانب التقنية والاجتماعية والمالية والمؤسسية لقطاع مياه الشرب والمرافق الصحية. ووفر ذلك أساس </w:t>
      </w:r>
      <w:r>
        <w:rPr>
          <w:rFonts w:hint="cs"/>
          <w:rtl/>
        </w:rPr>
        <w:t>تصميم السياسات الوطنية لتطوير القطاع على المديين المتوسط والبعيد بهدف سدّ الفجوات في التغطية وتحسين أداء هذه الخدمات.</w:t>
      </w:r>
    </w:p>
    <w:p w:rsidR="00000000" w:rsidRDefault="00567B15">
      <w:pPr>
        <w:spacing w:line="380" w:lineRule="exact"/>
        <w:jc w:val="both"/>
        <w:rPr>
          <w:rFonts w:hint="cs"/>
          <w:rtl/>
        </w:rPr>
      </w:pPr>
      <w:r>
        <w:rPr>
          <w:rFonts w:hint="cs"/>
          <w:rtl/>
        </w:rPr>
        <w:t>410-</w:t>
      </w:r>
      <w:r>
        <w:rPr>
          <w:rFonts w:hint="cs"/>
          <w:rtl/>
        </w:rPr>
        <w:tab/>
        <w:t>وتسعى وزارة التنمية الحضرية والإسكان إلى تحسين نوعية حياة سكان لمناطق الريفية والحضرية من خلال البرنامج الوطني للمياه والمرافق الصحية</w:t>
      </w:r>
      <w:r>
        <w:rPr>
          <w:rFonts w:hint="cs"/>
          <w:rtl/>
        </w:rPr>
        <w:t xml:space="preserve"> لفائدة المجتمعات الريفية والبلديات الصغيرة، الأمر الذي يدعو إلى زيادة التغطية واعتماد نماذج إدارة قابلة للتطبيق على توفير خدمات مستدامة في البلديات.</w:t>
      </w:r>
    </w:p>
    <w:p w:rsidR="00000000" w:rsidRDefault="00567B15">
      <w:pPr>
        <w:spacing w:line="380" w:lineRule="exact"/>
        <w:jc w:val="both"/>
        <w:rPr>
          <w:rFonts w:hint="cs"/>
          <w:rtl/>
        </w:rPr>
      </w:pPr>
      <w:r>
        <w:rPr>
          <w:rFonts w:hint="cs"/>
          <w:rtl/>
        </w:rPr>
        <w:t>411-</w:t>
      </w:r>
      <w:r>
        <w:rPr>
          <w:rFonts w:hint="cs"/>
          <w:rtl/>
        </w:rPr>
        <w:tab/>
        <w:t>ويطبق هذا البرنامج على ثلاث مراحل:</w:t>
      </w:r>
    </w:p>
    <w:p w:rsidR="00000000" w:rsidRDefault="00567B15">
      <w:pPr>
        <w:spacing w:line="380" w:lineRule="exact"/>
        <w:jc w:val="both"/>
        <w:rPr>
          <w:rFonts w:hint="cs"/>
          <w:rtl/>
        </w:rPr>
      </w:pPr>
      <w:r>
        <w:rPr>
          <w:rFonts w:hint="cs"/>
          <w:rtl/>
        </w:rPr>
        <w:tab/>
        <w:t>(أ)</w:t>
      </w:r>
      <w:r>
        <w:rPr>
          <w:rFonts w:hint="cs"/>
          <w:rtl/>
        </w:rPr>
        <w:tab/>
        <w:t>تحسين التغطية بمياه الشرب في المناطق الريفية وفي مراكز الدوائ</w:t>
      </w:r>
      <w:r>
        <w:rPr>
          <w:rFonts w:hint="cs"/>
          <w:rtl/>
        </w:rPr>
        <w:t>ر الإدارية للبلديات التي يقل عدد سكانها عن 000 10 نسمة. ويكون الماء المزود به صالحاً للاستهلاك البشري، وستتخذ خطوات لجعل تلك الخدمات مستدامة؛</w:t>
      </w:r>
    </w:p>
    <w:p w:rsidR="00000000" w:rsidRDefault="00567B15">
      <w:pPr>
        <w:spacing w:line="380" w:lineRule="exact"/>
        <w:jc w:val="both"/>
        <w:rPr>
          <w:rFonts w:hint="cs"/>
          <w:rtl/>
        </w:rPr>
      </w:pPr>
      <w:r>
        <w:rPr>
          <w:rFonts w:hint="cs"/>
          <w:rtl/>
        </w:rPr>
        <w:tab/>
        <w:t>(ب)</w:t>
      </w:r>
      <w:r>
        <w:rPr>
          <w:rFonts w:hint="cs"/>
          <w:rtl/>
        </w:rPr>
        <w:tab/>
        <w:t>بناء القدرات في البلديات وفي مجالس إدارة مياه الشرب حتى تتوفق إلى إدارة تلك الخدمات على نحو فعال؛ وينبغي أن ي</w:t>
      </w:r>
      <w:r>
        <w:rPr>
          <w:rFonts w:hint="cs"/>
          <w:rtl/>
        </w:rPr>
        <w:t>غطي النهج المتبع الجوانب الإدارية والتنفيذية والتجارية، والتخطيط والمالية وخدمة الزبائن؛</w:t>
      </w:r>
    </w:p>
    <w:p w:rsidR="00000000" w:rsidRDefault="00567B15">
      <w:pPr>
        <w:spacing w:line="380" w:lineRule="exact"/>
        <w:jc w:val="both"/>
        <w:rPr>
          <w:rFonts w:hint="cs"/>
          <w:rtl/>
        </w:rPr>
      </w:pPr>
      <w:r>
        <w:rPr>
          <w:rFonts w:hint="cs"/>
          <w:rtl/>
        </w:rPr>
        <w:tab/>
        <w:t>(ج)</w:t>
      </w:r>
      <w:r>
        <w:rPr>
          <w:rFonts w:hint="cs"/>
          <w:rtl/>
        </w:rPr>
        <w:tab/>
        <w:t>تحديد التسلسل الهرمي فيما بين المؤسسات في القطاع وتحديد الأدوار التي تضطلع بها كل مؤسسة في الإطار المحدد للامركزية الدولة.</w:t>
      </w:r>
    </w:p>
    <w:p w:rsidR="00000000" w:rsidRDefault="00567B15">
      <w:pPr>
        <w:spacing w:line="380" w:lineRule="exact"/>
        <w:jc w:val="both"/>
        <w:rPr>
          <w:rFonts w:hint="cs"/>
          <w:rtl/>
        </w:rPr>
      </w:pPr>
      <w:r>
        <w:rPr>
          <w:rFonts w:hint="cs"/>
          <w:rtl/>
        </w:rPr>
        <w:t>412-</w:t>
      </w:r>
      <w:r>
        <w:rPr>
          <w:rFonts w:hint="cs"/>
          <w:rtl/>
        </w:rPr>
        <w:tab/>
        <w:t xml:space="preserve">وسيموَّل البرنامج من موارد يقدمها </w:t>
      </w:r>
      <w:r>
        <w:rPr>
          <w:rFonts w:hint="cs"/>
          <w:rtl/>
        </w:rPr>
        <w:t>البنك الدولي.</w:t>
      </w:r>
    </w:p>
    <w:p w:rsidR="00000000" w:rsidRDefault="00567B15">
      <w:pPr>
        <w:spacing w:line="380" w:lineRule="exact"/>
        <w:jc w:val="both"/>
        <w:rPr>
          <w:rFonts w:hint="cs"/>
          <w:b/>
          <w:bCs/>
          <w:rtl/>
        </w:rPr>
      </w:pPr>
      <w:r>
        <w:rPr>
          <w:rFonts w:hint="cs"/>
          <w:b/>
          <w:bCs/>
          <w:rtl/>
        </w:rPr>
        <w:t>معالجة المياه القذرة</w:t>
      </w:r>
    </w:p>
    <w:p w:rsidR="00000000" w:rsidRDefault="00567B15">
      <w:pPr>
        <w:spacing w:line="380" w:lineRule="exact"/>
        <w:jc w:val="both"/>
        <w:rPr>
          <w:rFonts w:hint="cs"/>
          <w:rtl/>
        </w:rPr>
      </w:pPr>
      <w:r>
        <w:rPr>
          <w:rFonts w:hint="cs"/>
          <w:rtl/>
        </w:rPr>
        <w:t>413-</w:t>
      </w:r>
      <w:r>
        <w:rPr>
          <w:rFonts w:hint="cs"/>
          <w:rtl/>
        </w:rPr>
        <w:tab/>
        <w:t>ترتبط 53 في المائة من الأسر المعيشية الحضرية على الصعيد الوطني، بشبكة مياه المجارير؛ ولا تتجاوز تلك النسبة 11 في المائة في المناطق الريفية. ولا تعالج المياه المستعملة مما يؤدي إلى مشاكل تلوث خطيرة عندما تصرف مباشرة ف</w:t>
      </w:r>
      <w:r>
        <w:rPr>
          <w:rFonts w:hint="cs"/>
          <w:rtl/>
        </w:rPr>
        <w:t>ي الترع والأنهار.</w:t>
      </w:r>
    </w:p>
    <w:p w:rsidR="00000000" w:rsidRDefault="00567B15">
      <w:pPr>
        <w:spacing w:line="380" w:lineRule="exact"/>
        <w:jc w:val="both"/>
        <w:rPr>
          <w:rFonts w:hint="cs"/>
          <w:rtl/>
        </w:rPr>
      </w:pPr>
      <w:r>
        <w:rPr>
          <w:rFonts w:hint="cs"/>
          <w:rtl/>
        </w:rPr>
        <w:t>414-</w:t>
      </w:r>
      <w:r>
        <w:rPr>
          <w:rFonts w:hint="cs"/>
          <w:rtl/>
        </w:rPr>
        <w:tab/>
        <w:t>وتعاني شبكات مياه المجارير المنفصلة التي أُنشئت من قبل من مشاكل خطيرة في معالجة التدفقات المجمعة (الصرف ومياه المجارير) ولا تولى لها سوى عناية محدودة ضمن عمليات الصيانة الوقائية.</w:t>
      </w:r>
    </w:p>
    <w:p w:rsidR="00000000" w:rsidRDefault="00567B15">
      <w:pPr>
        <w:spacing w:line="380" w:lineRule="exact"/>
        <w:jc w:val="both"/>
        <w:rPr>
          <w:rFonts w:hint="cs"/>
          <w:rtl/>
        </w:rPr>
      </w:pPr>
      <w:r>
        <w:rPr>
          <w:rFonts w:hint="cs"/>
          <w:rtl/>
        </w:rPr>
        <w:t>415-</w:t>
      </w:r>
      <w:r>
        <w:rPr>
          <w:rFonts w:hint="cs"/>
          <w:rtl/>
        </w:rPr>
        <w:tab/>
        <w:t>وعلى الصعيد الوطني، تستخدم 31 في المائة من المساك</w:t>
      </w:r>
      <w:r>
        <w:rPr>
          <w:rFonts w:hint="cs"/>
          <w:rtl/>
        </w:rPr>
        <w:t>ن الحضرية و20 في المائة من المساكن الريفية بالوعات للتخلص من متخلفات دورات المياه.</w:t>
      </w:r>
    </w:p>
    <w:p w:rsidR="00000000" w:rsidRDefault="00567B15">
      <w:pPr>
        <w:spacing w:line="380" w:lineRule="exact"/>
        <w:jc w:val="both"/>
        <w:rPr>
          <w:rtl/>
        </w:rPr>
      </w:pPr>
      <w:r>
        <w:rPr>
          <w:rFonts w:hint="cs"/>
          <w:rtl/>
        </w:rPr>
        <w:t>416-</w:t>
      </w:r>
      <w:r>
        <w:rPr>
          <w:rFonts w:hint="cs"/>
          <w:rtl/>
        </w:rPr>
        <w:tab/>
        <w:t>ويسعى برنامج الإدارة المتكامل للنفايات الصلبة لفائدة البلديات الصغيرة والمتوسطة الحجم إلى تطبيق أساليب إدارة بديلة للخدمات المدرة للربح و/أو المولدة لفرص عمل. وسيمول بم</w:t>
      </w:r>
      <w:r>
        <w:rPr>
          <w:rFonts w:hint="cs"/>
          <w:rtl/>
        </w:rPr>
        <w:t xml:space="preserve">وارد مشروع تقديم المساعدة التقنية للإدارة البيئية </w:t>
      </w:r>
      <w:r>
        <w:t>PATRA</w:t>
      </w:r>
      <w:r>
        <w:rPr>
          <w:rFonts w:hint="cs"/>
          <w:rtl/>
        </w:rPr>
        <w:t xml:space="preserve"> من البنك الدولي.</w:t>
      </w:r>
    </w:p>
    <w:p w:rsidR="00000000" w:rsidRDefault="00567B15">
      <w:pPr>
        <w:spacing w:line="380" w:lineRule="exact"/>
        <w:jc w:val="both"/>
        <w:rPr>
          <w:rFonts w:hint="cs"/>
          <w:rtl/>
        </w:rPr>
      </w:pPr>
      <w:r>
        <w:rPr>
          <w:rFonts w:hint="cs"/>
          <w:rtl/>
        </w:rPr>
        <w:t>417-</w:t>
      </w:r>
      <w:r>
        <w:rPr>
          <w:rFonts w:hint="cs"/>
          <w:rtl/>
        </w:rPr>
        <w:tab/>
        <w:t>وصيغ مشروع القانون بشأن هذا الموضوع بموارد من مصرف التنمية للبلدان الأمريكية.</w:t>
      </w:r>
    </w:p>
    <w:p w:rsidR="00000000" w:rsidRDefault="00567B15">
      <w:pPr>
        <w:spacing w:line="380" w:lineRule="exact"/>
        <w:jc w:val="both"/>
        <w:rPr>
          <w:rFonts w:hint="cs"/>
          <w:spacing w:val="0"/>
          <w:rtl/>
        </w:rPr>
      </w:pPr>
      <w:r>
        <w:rPr>
          <w:rFonts w:hint="cs"/>
          <w:rtl/>
        </w:rPr>
        <w:t>418</w:t>
      </w:r>
      <w:r>
        <w:rPr>
          <w:rFonts w:hint="cs"/>
          <w:spacing w:val="0"/>
          <w:rtl/>
        </w:rPr>
        <w:t>-</w:t>
      </w:r>
      <w:r>
        <w:rPr>
          <w:rFonts w:hint="cs"/>
          <w:spacing w:val="0"/>
          <w:rtl/>
        </w:rPr>
        <w:tab/>
        <w:t>وساعدت برامج التمنيع التي تنهض بها وزارة الصحة العامة على توعية الجمهور العام بالحاجة إلى تحسين</w:t>
      </w:r>
      <w:r>
        <w:rPr>
          <w:rFonts w:hint="cs"/>
          <w:spacing w:val="0"/>
          <w:rtl/>
        </w:rPr>
        <w:t xml:space="preserve"> ثقافة رعاية صحية في إكوادور حتى تستوفى الأهداف التي حددتها السلطات لمعدلات التمنيع المرتفعة المستدامة والحد من المخاطر المحدقة بصحة الأطفال، مما يؤدي إلى خفض معدلات وفيات الرضع الناجمة عن أمراض يمكن الوقاية منها.</w:t>
      </w:r>
    </w:p>
    <w:p w:rsidR="00000000" w:rsidRDefault="00567B15">
      <w:pPr>
        <w:spacing w:line="380" w:lineRule="exact"/>
        <w:jc w:val="both"/>
        <w:rPr>
          <w:rFonts w:hint="cs"/>
          <w:rtl/>
        </w:rPr>
      </w:pPr>
      <w:r>
        <w:rPr>
          <w:rFonts w:hint="cs"/>
          <w:rtl/>
        </w:rPr>
        <w:t>419-</w:t>
      </w:r>
      <w:r>
        <w:rPr>
          <w:rFonts w:hint="cs"/>
          <w:rtl/>
        </w:rPr>
        <w:tab/>
        <w:t xml:space="preserve">وسجلت التغطية بلقاح بي-سي-جي ضد السل </w:t>
      </w:r>
      <w:r>
        <w:rPr>
          <w:rFonts w:hint="cs"/>
          <w:rtl/>
        </w:rPr>
        <w:t>الرئوي أكبر نجاح خلال السنوات الأخيرة. وتشكل حملات اللقاح ضد الخناق والشاهوق (السعال الديكي) والكزاز أكثر الحملات رواجاً.</w:t>
      </w:r>
    </w:p>
    <w:p w:rsidR="00000000" w:rsidRDefault="00567B15">
      <w:pPr>
        <w:jc w:val="center"/>
        <w:rPr>
          <w:rFonts w:hint="cs"/>
          <w:b/>
          <w:bCs/>
          <w:rtl/>
        </w:rPr>
      </w:pPr>
      <w:r>
        <w:rPr>
          <w:rFonts w:hint="cs"/>
          <w:b/>
          <w:bCs/>
          <w:rtl/>
        </w:rPr>
        <w:t>التغطية باللقاح بين الأطفال الذين يقل عمرهم عن عام واحد</w:t>
      </w:r>
      <w:r>
        <w:rPr>
          <w:b/>
          <w:bCs/>
          <w:rtl/>
        </w:rPr>
        <w:br/>
      </w:r>
      <w:r>
        <w:rPr>
          <w:rFonts w:hint="cs"/>
          <w:b/>
          <w:bCs/>
          <w:rtl/>
        </w:rPr>
        <w:t>ودون الخمس سنوات، على الصعيد الوطني وحسب المناطق</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6"/>
        <w:gridCol w:w="1404"/>
        <w:gridCol w:w="1440"/>
        <w:gridCol w:w="1195"/>
        <w:gridCol w:w="65"/>
        <w:gridCol w:w="1440"/>
        <w:gridCol w:w="1440"/>
        <w:gridCol w:w="1261"/>
      </w:tblGrid>
      <w:tr w:rsidR="00567B15" w:rsidTr="00567B15">
        <w:tblPrEx>
          <w:tblCellMar>
            <w:top w:w="0" w:type="dxa"/>
            <w:bottom w:w="0" w:type="dxa"/>
          </w:tblCellMar>
        </w:tblPrEx>
        <w:trPr>
          <w:cantSplit/>
        </w:trPr>
        <w:tc>
          <w:tcPr>
            <w:tcW w:w="1116" w:type="dxa"/>
          </w:tcPr>
          <w:p w:rsidR="00567B15" w:rsidRDefault="00567B15">
            <w:pPr>
              <w:spacing w:before="0" w:after="0"/>
              <w:jc w:val="both"/>
              <w:rPr>
                <w:rFonts w:hint="cs"/>
                <w:sz w:val="26"/>
                <w:szCs w:val="26"/>
              </w:rPr>
            </w:pPr>
            <w:r>
              <w:rPr>
                <w:rFonts w:hint="cs"/>
                <w:sz w:val="26"/>
                <w:szCs w:val="26"/>
                <w:rtl/>
              </w:rPr>
              <w:t>السنة</w:t>
            </w:r>
          </w:p>
        </w:tc>
        <w:tc>
          <w:tcPr>
            <w:tcW w:w="4039" w:type="dxa"/>
            <w:gridSpan w:val="3"/>
          </w:tcPr>
          <w:p w:rsidR="00567B15" w:rsidRDefault="00567B15">
            <w:pPr>
              <w:spacing w:before="0" w:after="0"/>
              <w:jc w:val="center"/>
              <w:rPr>
                <w:rFonts w:hint="cs"/>
                <w:sz w:val="26"/>
                <w:szCs w:val="26"/>
              </w:rPr>
            </w:pPr>
            <w:r>
              <w:rPr>
                <w:rFonts w:hint="cs"/>
                <w:sz w:val="26"/>
                <w:szCs w:val="26"/>
                <w:rtl/>
              </w:rPr>
              <w:t>السل الرئوي (بي سي جي)</w:t>
            </w:r>
          </w:p>
        </w:tc>
        <w:tc>
          <w:tcPr>
            <w:tcW w:w="4206" w:type="dxa"/>
            <w:gridSpan w:val="4"/>
          </w:tcPr>
          <w:p w:rsidR="00567B15" w:rsidRDefault="00567B15">
            <w:pPr>
              <w:spacing w:before="0" w:after="0"/>
              <w:jc w:val="center"/>
              <w:rPr>
                <w:rFonts w:hint="cs"/>
                <w:sz w:val="26"/>
                <w:szCs w:val="26"/>
              </w:rPr>
            </w:pPr>
            <w:r>
              <w:rPr>
                <w:rFonts w:hint="cs"/>
                <w:sz w:val="26"/>
                <w:szCs w:val="26"/>
                <w:rtl/>
              </w:rPr>
              <w:t>الخناق والشاهوق والكزاز</w:t>
            </w:r>
          </w:p>
        </w:tc>
      </w:tr>
      <w:tr w:rsidR="00567B15" w:rsidTr="00567B15">
        <w:tblPrEx>
          <w:tblCellMar>
            <w:top w:w="0" w:type="dxa"/>
            <w:bottom w:w="0" w:type="dxa"/>
          </w:tblCellMar>
        </w:tblPrEx>
        <w:trPr>
          <w:cantSplit/>
        </w:trPr>
        <w:tc>
          <w:tcPr>
            <w:tcW w:w="1116" w:type="dxa"/>
          </w:tcPr>
          <w:p w:rsidR="00567B15" w:rsidRDefault="00567B15">
            <w:pPr>
              <w:spacing w:before="0" w:after="0" w:line="340" w:lineRule="exact"/>
              <w:jc w:val="both"/>
              <w:rPr>
                <w:sz w:val="26"/>
                <w:szCs w:val="26"/>
              </w:rPr>
            </w:pPr>
          </w:p>
        </w:tc>
        <w:tc>
          <w:tcPr>
            <w:tcW w:w="8245" w:type="dxa"/>
            <w:gridSpan w:val="7"/>
          </w:tcPr>
          <w:p w:rsidR="00567B15" w:rsidRDefault="00567B15">
            <w:pPr>
              <w:spacing w:before="0" w:after="0" w:line="340" w:lineRule="exact"/>
              <w:jc w:val="center"/>
              <w:rPr>
                <w:rFonts w:hint="cs"/>
                <w:sz w:val="26"/>
                <w:szCs w:val="26"/>
              </w:rPr>
            </w:pPr>
            <w:r>
              <w:rPr>
                <w:rFonts w:hint="cs"/>
                <w:sz w:val="26"/>
                <w:szCs w:val="26"/>
                <w:rtl/>
              </w:rPr>
              <w:t>دون سنة واحدة</w:t>
            </w:r>
          </w:p>
        </w:tc>
      </w:tr>
      <w:tr w:rsidR="00567B15" w:rsidTr="00567B15">
        <w:tblPrEx>
          <w:tblCellMar>
            <w:top w:w="0" w:type="dxa"/>
            <w:bottom w:w="0" w:type="dxa"/>
          </w:tblCellMar>
        </w:tblPrEx>
        <w:tc>
          <w:tcPr>
            <w:tcW w:w="1116" w:type="dxa"/>
            <w:tcBorders>
              <w:bottom w:val="single" w:sz="4" w:space="0" w:color="auto"/>
            </w:tcBorders>
          </w:tcPr>
          <w:p w:rsidR="00567B15" w:rsidRDefault="00567B15">
            <w:pPr>
              <w:spacing w:before="0" w:after="0" w:line="340" w:lineRule="exact"/>
              <w:jc w:val="both"/>
              <w:rPr>
                <w:sz w:val="26"/>
                <w:szCs w:val="26"/>
              </w:rPr>
            </w:pPr>
          </w:p>
        </w:tc>
        <w:tc>
          <w:tcPr>
            <w:tcW w:w="1404" w:type="dxa"/>
            <w:tcBorders>
              <w:bottom w:val="single" w:sz="4" w:space="0" w:color="auto"/>
            </w:tcBorders>
          </w:tcPr>
          <w:p w:rsidR="00567B15" w:rsidRDefault="00567B15">
            <w:pPr>
              <w:spacing w:before="0" w:after="0" w:line="340" w:lineRule="exact"/>
              <w:jc w:val="both"/>
              <w:rPr>
                <w:rFonts w:hint="cs"/>
                <w:spacing w:val="2"/>
                <w:sz w:val="26"/>
                <w:szCs w:val="26"/>
              </w:rPr>
            </w:pPr>
            <w:r>
              <w:rPr>
                <w:rFonts w:hint="cs"/>
                <w:spacing w:val="2"/>
                <w:sz w:val="26"/>
                <w:szCs w:val="26"/>
                <w:rtl/>
              </w:rPr>
              <w:t>الصعيد الوطني</w:t>
            </w:r>
          </w:p>
        </w:tc>
        <w:tc>
          <w:tcPr>
            <w:tcW w:w="1440" w:type="dxa"/>
            <w:tcBorders>
              <w:bottom w:val="single" w:sz="4" w:space="0" w:color="auto"/>
            </w:tcBorders>
          </w:tcPr>
          <w:p w:rsidR="00567B15" w:rsidRDefault="00567B15">
            <w:pPr>
              <w:spacing w:before="0" w:after="0" w:line="340" w:lineRule="exact"/>
              <w:jc w:val="both"/>
              <w:rPr>
                <w:rFonts w:hint="cs"/>
                <w:spacing w:val="2"/>
                <w:sz w:val="26"/>
                <w:szCs w:val="26"/>
              </w:rPr>
            </w:pPr>
            <w:r>
              <w:rPr>
                <w:rFonts w:hint="cs"/>
                <w:spacing w:val="2"/>
                <w:sz w:val="26"/>
                <w:szCs w:val="26"/>
                <w:rtl/>
              </w:rPr>
              <w:t>المناطق الحضرية</w:t>
            </w:r>
          </w:p>
        </w:tc>
        <w:tc>
          <w:tcPr>
            <w:tcW w:w="1260" w:type="dxa"/>
            <w:gridSpan w:val="2"/>
            <w:tcBorders>
              <w:bottom w:val="single" w:sz="4" w:space="0" w:color="auto"/>
            </w:tcBorders>
          </w:tcPr>
          <w:p w:rsidR="00567B15" w:rsidRDefault="00567B15">
            <w:pPr>
              <w:spacing w:before="0" w:after="0" w:line="340" w:lineRule="exact"/>
              <w:jc w:val="both"/>
              <w:rPr>
                <w:rFonts w:hint="cs"/>
                <w:spacing w:val="2"/>
                <w:sz w:val="26"/>
                <w:szCs w:val="26"/>
              </w:rPr>
            </w:pPr>
            <w:r>
              <w:rPr>
                <w:rFonts w:hint="cs"/>
                <w:spacing w:val="2"/>
                <w:sz w:val="26"/>
                <w:szCs w:val="26"/>
                <w:rtl/>
              </w:rPr>
              <w:t>المناطق الريفية</w:t>
            </w:r>
          </w:p>
        </w:tc>
        <w:tc>
          <w:tcPr>
            <w:tcW w:w="1440" w:type="dxa"/>
            <w:tcBorders>
              <w:bottom w:val="single" w:sz="4" w:space="0" w:color="auto"/>
            </w:tcBorders>
          </w:tcPr>
          <w:p w:rsidR="00567B15" w:rsidRDefault="00567B15">
            <w:pPr>
              <w:spacing w:before="0" w:after="0" w:line="340" w:lineRule="exact"/>
              <w:jc w:val="both"/>
              <w:rPr>
                <w:rFonts w:hint="cs"/>
                <w:spacing w:val="2"/>
                <w:sz w:val="26"/>
                <w:szCs w:val="26"/>
              </w:rPr>
            </w:pPr>
            <w:r>
              <w:rPr>
                <w:rFonts w:hint="cs"/>
                <w:spacing w:val="2"/>
                <w:sz w:val="26"/>
                <w:szCs w:val="26"/>
                <w:rtl/>
              </w:rPr>
              <w:t>الصعيد الوطني</w:t>
            </w:r>
          </w:p>
        </w:tc>
        <w:tc>
          <w:tcPr>
            <w:tcW w:w="1440" w:type="dxa"/>
            <w:tcBorders>
              <w:bottom w:val="single" w:sz="4" w:space="0" w:color="auto"/>
            </w:tcBorders>
          </w:tcPr>
          <w:p w:rsidR="00567B15" w:rsidRDefault="00567B15">
            <w:pPr>
              <w:spacing w:before="0" w:after="0" w:line="340" w:lineRule="exact"/>
              <w:jc w:val="both"/>
              <w:rPr>
                <w:rFonts w:hint="cs"/>
                <w:spacing w:val="2"/>
                <w:sz w:val="26"/>
                <w:szCs w:val="26"/>
              </w:rPr>
            </w:pPr>
            <w:r>
              <w:rPr>
                <w:rFonts w:hint="cs"/>
                <w:spacing w:val="2"/>
                <w:sz w:val="26"/>
                <w:szCs w:val="26"/>
                <w:rtl/>
              </w:rPr>
              <w:t>المناطق الحضرية</w:t>
            </w:r>
          </w:p>
        </w:tc>
        <w:tc>
          <w:tcPr>
            <w:tcW w:w="1261" w:type="dxa"/>
            <w:tcBorders>
              <w:bottom w:val="single" w:sz="4" w:space="0" w:color="auto"/>
            </w:tcBorders>
          </w:tcPr>
          <w:p w:rsidR="00567B15" w:rsidRDefault="00567B15">
            <w:pPr>
              <w:spacing w:before="0" w:after="0" w:line="340" w:lineRule="exact"/>
              <w:jc w:val="both"/>
              <w:rPr>
                <w:rFonts w:hint="cs"/>
                <w:spacing w:val="2"/>
                <w:sz w:val="26"/>
                <w:szCs w:val="26"/>
              </w:rPr>
            </w:pPr>
            <w:r>
              <w:rPr>
                <w:rFonts w:hint="cs"/>
                <w:spacing w:val="2"/>
                <w:sz w:val="26"/>
                <w:szCs w:val="26"/>
                <w:rtl/>
              </w:rPr>
              <w:t>المناطق الريفية</w:t>
            </w:r>
          </w:p>
        </w:tc>
      </w:tr>
      <w:tr w:rsidR="00567B15" w:rsidTr="00567B15">
        <w:tblPrEx>
          <w:tblCellMar>
            <w:top w:w="0" w:type="dxa"/>
            <w:bottom w:w="0" w:type="dxa"/>
          </w:tblCellMar>
        </w:tblPrEx>
        <w:tc>
          <w:tcPr>
            <w:tcW w:w="1116" w:type="dxa"/>
            <w:tcBorders>
              <w:bottom w:val="nil"/>
            </w:tcBorders>
          </w:tcPr>
          <w:p w:rsidR="00567B15" w:rsidRDefault="00567B15">
            <w:pPr>
              <w:spacing w:before="0" w:after="0" w:line="340" w:lineRule="exact"/>
              <w:jc w:val="both"/>
              <w:rPr>
                <w:rFonts w:hint="cs"/>
                <w:sz w:val="26"/>
                <w:szCs w:val="26"/>
              </w:rPr>
            </w:pPr>
            <w:r>
              <w:rPr>
                <w:rFonts w:hint="cs"/>
                <w:sz w:val="26"/>
                <w:szCs w:val="26"/>
                <w:rtl/>
              </w:rPr>
              <w:t>1994</w:t>
            </w:r>
          </w:p>
        </w:tc>
        <w:tc>
          <w:tcPr>
            <w:tcW w:w="1404" w:type="dxa"/>
            <w:tcBorders>
              <w:bottom w:val="nil"/>
            </w:tcBorders>
          </w:tcPr>
          <w:p w:rsidR="00567B15" w:rsidRDefault="00567B15">
            <w:pPr>
              <w:spacing w:before="0" w:after="0" w:line="340" w:lineRule="exact"/>
              <w:jc w:val="center"/>
              <w:rPr>
                <w:rFonts w:hint="cs"/>
                <w:sz w:val="26"/>
                <w:szCs w:val="26"/>
              </w:rPr>
            </w:pPr>
            <w:r>
              <w:rPr>
                <w:rFonts w:hint="cs"/>
                <w:sz w:val="26"/>
                <w:szCs w:val="26"/>
                <w:rtl/>
              </w:rPr>
              <w:t>91.4</w:t>
            </w:r>
          </w:p>
        </w:tc>
        <w:tc>
          <w:tcPr>
            <w:tcW w:w="1440" w:type="dxa"/>
            <w:tcBorders>
              <w:bottom w:val="nil"/>
            </w:tcBorders>
          </w:tcPr>
          <w:p w:rsidR="00567B15" w:rsidRDefault="00567B15">
            <w:pPr>
              <w:spacing w:before="0" w:after="0" w:line="340" w:lineRule="exact"/>
              <w:jc w:val="center"/>
              <w:rPr>
                <w:rFonts w:hint="cs"/>
                <w:sz w:val="26"/>
                <w:szCs w:val="26"/>
              </w:rPr>
            </w:pPr>
            <w:r>
              <w:rPr>
                <w:rFonts w:hint="cs"/>
                <w:sz w:val="26"/>
                <w:szCs w:val="26"/>
                <w:rtl/>
              </w:rPr>
              <w:t>94.6</w:t>
            </w:r>
          </w:p>
        </w:tc>
        <w:tc>
          <w:tcPr>
            <w:tcW w:w="1260" w:type="dxa"/>
            <w:gridSpan w:val="2"/>
            <w:tcBorders>
              <w:bottom w:val="nil"/>
            </w:tcBorders>
          </w:tcPr>
          <w:p w:rsidR="00567B15" w:rsidRDefault="00567B15">
            <w:pPr>
              <w:spacing w:before="0" w:after="0" w:line="340" w:lineRule="exact"/>
              <w:jc w:val="center"/>
              <w:rPr>
                <w:rFonts w:hint="cs"/>
                <w:sz w:val="26"/>
                <w:szCs w:val="26"/>
              </w:rPr>
            </w:pPr>
            <w:r>
              <w:rPr>
                <w:rFonts w:hint="cs"/>
                <w:sz w:val="26"/>
                <w:szCs w:val="26"/>
                <w:rtl/>
              </w:rPr>
              <w:t>87.6</w:t>
            </w:r>
          </w:p>
        </w:tc>
        <w:tc>
          <w:tcPr>
            <w:tcW w:w="1440" w:type="dxa"/>
            <w:tcBorders>
              <w:bottom w:val="nil"/>
            </w:tcBorders>
          </w:tcPr>
          <w:p w:rsidR="00567B15" w:rsidRDefault="00567B15">
            <w:pPr>
              <w:spacing w:before="0" w:after="0" w:line="340" w:lineRule="exact"/>
              <w:jc w:val="center"/>
              <w:rPr>
                <w:rFonts w:hint="cs"/>
                <w:sz w:val="26"/>
                <w:szCs w:val="26"/>
              </w:rPr>
            </w:pPr>
            <w:r>
              <w:rPr>
                <w:rFonts w:hint="cs"/>
                <w:sz w:val="26"/>
                <w:szCs w:val="26"/>
                <w:rtl/>
              </w:rPr>
              <w:t>50.6</w:t>
            </w:r>
          </w:p>
        </w:tc>
        <w:tc>
          <w:tcPr>
            <w:tcW w:w="1440" w:type="dxa"/>
            <w:tcBorders>
              <w:bottom w:val="nil"/>
            </w:tcBorders>
          </w:tcPr>
          <w:p w:rsidR="00567B15" w:rsidRDefault="00567B15">
            <w:pPr>
              <w:spacing w:before="0" w:after="0" w:line="340" w:lineRule="exact"/>
              <w:jc w:val="center"/>
              <w:rPr>
                <w:rFonts w:hint="cs"/>
                <w:sz w:val="26"/>
                <w:szCs w:val="26"/>
              </w:rPr>
            </w:pPr>
            <w:r>
              <w:rPr>
                <w:rFonts w:hint="cs"/>
                <w:sz w:val="26"/>
                <w:szCs w:val="26"/>
                <w:rtl/>
              </w:rPr>
              <w:t>55.3</w:t>
            </w:r>
          </w:p>
        </w:tc>
        <w:tc>
          <w:tcPr>
            <w:tcW w:w="1261" w:type="dxa"/>
            <w:tcBorders>
              <w:bottom w:val="nil"/>
            </w:tcBorders>
          </w:tcPr>
          <w:p w:rsidR="00567B15" w:rsidRDefault="00567B15">
            <w:pPr>
              <w:spacing w:before="0" w:after="0" w:line="340" w:lineRule="exact"/>
              <w:jc w:val="center"/>
              <w:rPr>
                <w:rFonts w:hint="cs"/>
                <w:sz w:val="26"/>
                <w:szCs w:val="26"/>
              </w:rPr>
            </w:pPr>
            <w:r>
              <w:rPr>
                <w:rFonts w:hint="cs"/>
                <w:sz w:val="26"/>
                <w:szCs w:val="26"/>
                <w:rtl/>
              </w:rPr>
              <w:t>45.0</w:t>
            </w:r>
          </w:p>
        </w:tc>
      </w:tr>
      <w:tr w:rsidR="00567B15" w:rsidTr="00567B15">
        <w:tblPrEx>
          <w:tblCellMar>
            <w:top w:w="0" w:type="dxa"/>
            <w:bottom w:w="0" w:type="dxa"/>
          </w:tblCellMar>
        </w:tblPrEx>
        <w:tc>
          <w:tcPr>
            <w:tcW w:w="1116"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1995</w:t>
            </w:r>
          </w:p>
        </w:tc>
        <w:tc>
          <w:tcPr>
            <w:tcW w:w="1404"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89.5</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95.2</w:t>
            </w:r>
          </w:p>
        </w:tc>
        <w:tc>
          <w:tcPr>
            <w:tcW w:w="1260" w:type="dxa"/>
            <w:gridSpan w:val="2"/>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81.8</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45.8</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48.8</w:t>
            </w:r>
          </w:p>
        </w:tc>
        <w:tc>
          <w:tcPr>
            <w:tcW w:w="1261"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41.6</w:t>
            </w:r>
          </w:p>
        </w:tc>
      </w:tr>
      <w:tr w:rsidR="00567B15" w:rsidTr="00567B15">
        <w:tblPrEx>
          <w:tblCellMar>
            <w:top w:w="0" w:type="dxa"/>
            <w:bottom w:w="0" w:type="dxa"/>
          </w:tblCellMar>
        </w:tblPrEx>
        <w:tc>
          <w:tcPr>
            <w:tcW w:w="1116"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1998</w:t>
            </w:r>
          </w:p>
        </w:tc>
        <w:tc>
          <w:tcPr>
            <w:tcW w:w="1404"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81.8</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79.6</w:t>
            </w:r>
          </w:p>
        </w:tc>
        <w:tc>
          <w:tcPr>
            <w:tcW w:w="1260" w:type="dxa"/>
            <w:gridSpan w:val="2"/>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85.4</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58.3</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59.4</w:t>
            </w:r>
          </w:p>
        </w:tc>
        <w:tc>
          <w:tcPr>
            <w:tcW w:w="1261"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56.9</w:t>
            </w:r>
          </w:p>
        </w:tc>
      </w:tr>
      <w:tr w:rsidR="00567B15" w:rsidTr="00567B15">
        <w:tblPrEx>
          <w:tblCellMar>
            <w:top w:w="0" w:type="dxa"/>
            <w:bottom w:w="0" w:type="dxa"/>
          </w:tblCellMar>
        </w:tblPrEx>
        <w:tc>
          <w:tcPr>
            <w:tcW w:w="1116" w:type="dxa"/>
            <w:tcBorders>
              <w:top w:val="nil"/>
            </w:tcBorders>
          </w:tcPr>
          <w:p w:rsidR="00567B15" w:rsidRDefault="00567B15">
            <w:pPr>
              <w:spacing w:before="0" w:after="0" w:line="340" w:lineRule="exact"/>
              <w:jc w:val="both"/>
              <w:rPr>
                <w:rFonts w:hint="cs"/>
                <w:sz w:val="26"/>
                <w:szCs w:val="26"/>
                <w:rtl/>
              </w:rPr>
            </w:pPr>
            <w:r>
              <w:rPr>
                <w:rFonts w:hint="cs"/>
                <w:sz w:val="26"/>
                <w:szCs w:val="26"/>
                <w:rtl/>
              </w:rPr>
              <w:t>1999</w:t>
            </w:r>
          </w:p>
        </w:tc>
        <w:tc>
          <w:tcPr>
            <w:tcW w:w="1404" w:type="dxa"/>
            <w:tcBorders>
              <w:top w:val="nil"/>
            </w:tcBorders>
          </w:tcPr>
          <w:p w:rsidR="00567B15" w:rsidRDefault="00567B15">
            <w:pPr>
              <w:spacing w:before="0" w:after="0" w:line="340" w:lineRule="exact"/>
              <w:jc w:val="center"/>
              <w:rPr>
                <w:rFonts w:hint="cs"/>
                <w:sz w:val="26"/>
                <w:szCs w:val="26"/>
              </w:rPr>
            </w:pPr>
            <w:r>
              <w:rPr>
                <w:rFonts w:hint="cs"/>
                <w:sz w:val="26"/>
                <w:szCs w:val="26"/>
                <w:rtl/>
              </w:rPr>
              <w:t>97.8</w:t>
            </w:r>
          </w:p>
        </w:tc>
        <w:tc>
          <w:tcPr>
            <w:tcW w:w="1440" w:type="dxa"/>
            <w:tcBorders>
              <w:top w:val="nil"/>
            </w:tcBorders>
          </w:tcPr>
          <w:p w:rsidR="00567B15" w:rsidRDefault="00567B15">
            <w:pPr>
              <w:spacing w:before="0" w:after="0" w:line="340" w:lineRule="exact"/>
              <w:jc w:val="center"/>
              <w:rPr>
                <w:rFonts w:hint="cs"/>
                <w:sz w:val="26"/>
                <w:szCs w:val="26"/>
              </w:rPr>
            </w:pPr>
            <w:r>
              <w:rPr>
                <w:rFonts w:hint="cs"/>
                <w:sz w:val="26"/>
                <w:szCs w:val="26"/>
                <w:rtl/>
              </w:rPr>
              <w:t>91.8</w:t>
            </w:r>
          </w:p>
        </w:tc>
        <w:tc>
          <w:tcPr>
            <w:tcW w:w="1260" w:type="dxa"/>
            <w:gridSpan w:val="2"/>
            <w:tcBorders>
              <w:top w:val="nil"/>
            </w:tcBorders>
          </w:tcPr>
          <w:p w:rsidR="00567B15" w:rsidRDefault="00567B15">
            <w:pPr>
              <w:spacing w:before="0" w:after="0" w:line="340" w:lineRule="exact"/>
              <w:jc w:val="center"/>
              <w:rPr>
                <w:rFonts w:hint="cs"/>
                <w:sz w:val="26"/>
                <w:szCs w:val="26"/>
              </w:rPr>
            </w:pPr>
            <w:r>
              <w:rPr>
                <w:rFonts w:hint="cs"/>
                <w:sz w:val="26"/>
                <w:szCs w:val="26"/>
                <w:rtl/>
              </w:rPr>
              <w:t>87.7</w:t>
            </w:r>
          </w:p>
        </w:tc>
        <w:tc>
          <w:tcPr>
            <w:tcW w:w="1440" w:type="dxa"/>
            <w:tcBorders>
              <w:top w:val="nil"/>
            </w:tcBorders>
          </w:tcPr>
          <w:p w:rsidR="00567B15" w:rsidRDefault="00567B15">
            <w:pPr>
              <w:spacing w:before="0" w:after="0" w:line="340" w:lineRule="exact"/>
              <w:jc w:val="center"/>
              <w:rPr>
                <w:rFonts w:hint="cs"/>
                <w:sz w:val="26"/>
                <w:szCs w:val="26"/>
              </w:rPr>
            </w:pPr>
            <w:r>
              <w:rPr>
                <w:rFonts w:hint="cs"/>
                <w:sz w:val="26"/>
                <w:szCs w:val="26"/>
                <w:rtl/>
              </w:rPr>
              <w:t>57.6</w:t>
            </w:r>
          </w:p>
        </w:tc>
        <w:tc>
          <w:tcPr>
            <w:tcW w:w="1440" w:type="dxa"/>
            <w:tcBorders>
              <w:top w:val="nil"/>
            </w:tcBorders>
          </w:tcPr>
          <w:p w:rsidR="00567B15" w:rsidRDefault="00567B15">
            <w:pPr>
              <w:spacing w:before="0" w:after="0" w:line="340" w:lineRule="exact"/>
              <w:jc w:val="center"/>
              <w:rPr>
                <w:rFonts w:hint="cs"/>
                <w:sz w:val="26"/>
                <w:szCs w:val="26"/>
              </w:rPr>
            </w:pPr>
            <w:r>
              <w:rPr>
                <w:rFonts w:hint="cs"/>
                <w:sz w:val="26"/>
                <w:szCs w:val="26"/>
                <w:rtl/>
              </w:rPr>
              <w:t>61.6</w:t>
            </w:r>
          </w:p>
        </w:tc>
        <w:tc>
          <w:tcPr>
            <w:tcW w:w="1261" w:type="dxa"/>
            <w:tcBorders>
              <w:top w:val="nil"/>
            </w:tcBorders>
          </w:tcPr>
          <w:p w:rsidR="00567B15" w:rsidRDefault="00567B15">
            <w:pPr>
              <w:spacing w:before="0" w:after="0" w:line="340" w:lineRule="exact"/>
              <w:jc w:val="center"/>
              <w:rPr>
                <w:rFonts w:hint="cs"/>
                <w:sz w:val="26"/>
                <w:szCs w:val="26"/>
              </w:rPr>
            </w:pPr>
            <w:r>
              <w:rPr>
                <w:rFonts w:hint="cs"/>
                <w:sz w:val="26"/>
                <w:szCs w:val="26"/>
                <w:rtl/>
              </w:rPr>
              <w:t>52.7</w:t>
            </w:r>
          </w:p>
        </w:tc>
      </w:tr>
      <w:tr w:rsidR="00567B15" w:rsidTr="00567B15">
        <w:tblPrEx>
          <w:tblCellMar>
            <w:top w:w="0" w:type="dxa"/>
            <w:bottom w:w="0" w:type="dxa"/>
          </w:tblCellMar>
        </w:tblPrEx>
        <w:trPr>
          <w:cantSplit/>
        </w:trPr>
        <w:tc>
          <w:tcPr>
            <w:tcW w:w="1116" w:type="dxa"/>
            <w:tcBorders>
              <w:bottom w:val="single" w:sz="4" w:space="0" w:color="auto"/>
            </w:tcBorders>
          </w:tcPr>
          <w:p w:rsidR="00567B15" w:rsidRDefault="00567B15">
            <w:pPr>
              <w:spacing w:before="0" w:after="0" w:line="340" w:lineRule="exact"/>
              <w:jc w:val="both"/>
              <w:rPr>
                <w:sz w:val="26"/>
                <w:szCs w:val="26"/>
              </w:rPr>
            </w:pPr>
          </w:p>
        </w:tc>
        <w:tc>
          <w:tcPr>
            <w:tcW w:w="8245" w:type="dxa"/>
            <w:gridSpan w:val="7"/>
            <w:tcBorders>
              <w:bottom w:val="single" w:sz="4" w:space="0" w:color="auto"/>
            </w:tcBorders>
          </w:tcPr>
          <w:p w:rsidR="00567B15" w:rsidRDefault="00567B15">
            <w:pPr>
              <w:spacing w:before="0" w:after="0" w:line="340" w:lineRule="exact"/>
              <w:jc w:val="center"/>
              <w:rPr>
                <w:rFonts w:hint="cs"/>
                <w:sz w:val="26"/>
                <w:szCs w:val="26"/>
              </w:rPr>
            </w:pPr>
            <w:r>
              <w:rPr>
                <w:rFonts w:hint="cs"/>
                <w:sz w:val="26"/>
                <w:szCs w:val="26"/>
                <w:rtl/>
              </w:rPr>
              <w:t>دون الخامسة</w:t>
            </w:r>
          </w:p>
        </w:tc>
      </w:tr>
      <w:tr w:rsidR="00567B15" w:rsidTr="00567B15">
        <w:tblPrEx>
          <w:tblCellMar>
            <w:top w:w="0" w:type="dxa"/>
            <w:bottom w:w="0" w:type="dxa"/>
          </w:tblCellMar>
        </w:tblPrEx>
        <w:tc>
          <w:tcPr>
            <w:tcW w:w="1116" w:type="dxa"/>
            <w:tcBorders>
              <w:bottom w:val="nil"/>
            </w:tcBorders>
          </w:tcPr>
          <w:p w:rsidR="00567B15" w:rsidRDefault="00567B15">
            <w:pPr>
              <w:spacing w:before="0" w:after="0" w:line="340" w:lineRule="exact"/>
              <w:jc w:val="both"/>
              <w:rPr>
                <w:rFonts w:hint="cs"/>
                <w:sz w:val="26"/>
                <w:szCs w:val="26"/>
                <w:rtl/>
              </w:rPr>
            </w:pPr>
            <w:r>
              <w:rPr>
                <w:rFonts w:hint="cs"/>
                <w:sz w:val="26"/>
                <w:szCs w:val="26"/>
                <w:rtl/>
              </w:rPr>
              <w:t>1994</w:t>
            </w:r>
          </w:p>
        </w:tc>
        <w:tc>
          <w:tcPr>
            <w:tcW w:w="1404" w:type="dxa"/>
            <w:tcBorders>
              <w:bottom w:val="nil"/>
            </w:tcBorders>
          </w:tcPr>
          <w:p w:rsidR="00567B15" w:rsidRDefault="00567B15">
            <w:pPr>
              <w:spacing w:before="0" w:after="0" w:line="340" w:lineRule="exact"/>
              <w:jc w:val="center"/>
              <w:rPr>
                <w:rFonts w:hint="cs"/>
                <w:sz w:val="26"/>
                <w:szCs w:val="26"/>
              </w:rPr>
            </w:pPr>
            <w:r>
              <w:rPr>
                <w:rFonts w:hint="cs"/>
                <w:sz w:val="26"/>
                <w:szCs w:val="26"/>
                <w:rtl/>
              </w:rPr>
              <w:t>97.0</w:t>
            </w:r>
          </w:p>
        </w:tc>
        <w:tc>
          <w:tcPr>
            <w:tcW w:w="1440" w:type="dxa"/>
            <w:tcBorders>
              <w:bottom w:val="nil"/>
            </w:tcBorders>
          </w:tcPr>
          <w:p w:rsidR="00567B15" w:rsidRDefault="00567B15">
            <w:pPr>
              <w:spacing w:before="0" w:after="0" w:line="340" w:lineRule="exact"/>
              <w:jc w:val="center"/>
              <w:rPr>
                <w:rFonts w:hint="cs"/>
                <w:sz w:val="26"/>
                <w:szCs w:val="26"/>
              </w:rPr>
            </w:pPr>
            <w:r>
              <w:rPr>
                <w:rFonts w:hint="cs"/>
                <w:sz w:val="26"/>
                <w:szCs w:val="26"/>
                <w:rtl/>
              </w:rPr>
              <w:t>98.7</w:t>
            </w:r>
          </w:p>
        </w:tc>
        <w:tc>
          <w:tcPr>
            <w:tcW w:w="1260" w:type="dxa"/>
            <w:gridSpan w:val="2"/>
            <w:tcBorders>
              <w:bottom w:val="nil"/>
            </w:tcBorders>
          </w:tcPr>
          <w:p w:rsidR="00567B15" w:rsidRDefault="00567B15">
            <w:pPr>
              <w:spacing w:before="0" w:after="0" w:line="340" w:lineRule="exact"/>
              <w:jc w:val="center"/>
              <w:rPr>
                <w:rFonts w:hint="cs"/>
                <w:sz w:val="26"/>
                <w:szCs w:val="26"/>
              </w:rPr>
            </w:pPr>
            <w:r>
              <w:rPr>
                <w:rFonts w:hint="cs"/>
                <w:sz w:val="26"/>
                <w:szCs w:val="26"/>
                <w:rtl/>
              </w:rPr>
              <w:t>95.1</w:t>
            </w:r>
          </w:p>
        </w:tc>
        <w:tc>
          <w:tcPr>
            <w:tcW w:w="1440" w:type="dxa"/>
            <w:tcBorders>
              <w:bottom w:val="nil"/>
            </w:tcBorders>
          </w:tcPr>
          <w:p w:rsidR="00567B15" w:rsidRDefault="00567B15">
            <w:pPr>
              <w:spacing w:before="0" w:after="0" w:line="340" w:lineRule="exact"/>
              <w:jc w:val="center"/>
              <w:rPr>
                <w:rFonts w:hint="cs"/>
                <w:sz w:val="26"/>
                <w:szCs w:val="26"/>
              </w:rPr>
            </w:pPr>
            <w:r>
              <w:rPr>
                <w:rFonts w:hint="cs"/>
                <w:sz w:val="26"/>
                <w:szCs w:val="26"/>
                <w:rtl/>
              </w:rPr>
              <w:t>50.6</w:t>
            </w:r>
          </w:p>
        </w:tc>
        <w:tc>
          <w:tcPr>
            <w:tcW w:w="1440" w:type="dxa"/>
            <w:tcBorders>
              <w:bottom w:val="nil"/>
            </w:tcBorders>
          </w:tcPr>
          <w:p w:rsidR="00567B15" w:rsidRDefault="00567B15">
            <w:pPr>
              <w:spacing w:before="0" w:after="0" w:line="340" w:lineRule="exact"/>
              <w:jc w:val="center"/>
              <w:rPr>
                <w:rFonts w:hint="cs"/>
                <w:sz w:val="26"/>
                <w:szCs w:val="26"/>
              </w:rPr>
            </w:pPr>
            <w:r>
              <w:rPr>
                <w:rFonts w:hint="cs"/>
                <w:sz w:val="26"/>
                <w:szCs w:val="26"/>
                <w:rtl/>
              </w:rPr>
              <w:t>85.6</w:t>
            </w:r>
          </w:p>
        </w:tc>
        <w:tc>
          <w:tcPr>
            <w:tcW w:w="1261" w:type="dxa"/>
            <w:tcBorders>
              <w:bottom w:val="nil"/>
            </w:tcBorders>
          </w:tcPr>
          <w:p w:rsidR="00567B15" w:rsidRDefault="00567B15">
            <w:pPr>
              <w:spacing w:before="0" w:after="0" w:line="340" w:lineRule="exact"/>
              <w:jc w:val="center"/>
              <w:rPr>
                <w:rFonts w:hint="cs"/>
                <w:sz w:val="26"/>
                <w:szCs w:val="26"/>
              </w:rPr>
            </w:pPr>
            <w:r>
              <w:rPr>
                <w:rFonts w:hint="cs"/>
                <w:sz w:val="26"/>
                <w:szCs w:val="26"/>
                <w:rtl/>
              </w:rPr>
              <w:t>72.6</w:t>
            </w:r>
          </w:p>
        </w:tc>
      </w:tr>
      <w:tr w:rsidR="00567B15" w:rsidTr="00567B15">
        <w:tblPrEx>
          <w:tblCellMar>
            <w:top w:w="0" w:type="dxa"/>
            <w:bottom w:w="0" w:type="dxa"/>
          </w:tblCellMar>
        </w:tblPrEx>
        <w:tc>
          <w:tcPr>
            <w:tcW w:w="1116"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1995</w:t>
            </w:r>
          </w:p>
        </w:tc>
        <w:tc>
          <w:tcPr>
            <w:tcW w:w="1404"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96.2</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98.5</w:t>
            </w:r>
          </w:p>
        </w:tc>
        <w:tc>
          <w:tcPr>
            <w:tcW w:w="1260" w:type="dxa"/>
            <w:gridSpan w:val="2"/>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93.2</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45.8</w:t>
            </w:r>
          </w:p>
        </w:tc>
        <w:tc>
          <w:tcPr>
            <w:tcW w:w="1440"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82.1</w:t>
            </w:r>
          </w:p>
        </w:tc>
        <w:tc>
          <w:tcPr>
            <w:tcW w:w="1261" w:type="dxa"/>
            <w:tcBorders>
              <w:top w:val="nil"/>
              <w:bottom w:val="nil"/>
            </w:tcBorders>
          </w:tcPr>
          <w:p w:rsidR="00567B15" w:rsidRDefault="00567B15">
            <w:pPr>
              <w:spacing w:before="0" w:after="0" w:line="340" w:lineRule="exact"/>
              <w:jc w:val="center"/>
              <w:rPr>
                <w:rFonts w:hint="cs"/>
                <w:sz w:val="26"/>
                <w:szCs w:val="26"/>
              </w:rPr>
            </w:pPr>
            <w:r>
              <w:rPr>
                <w:rFonts w:hint="cs"/>
                <w:sz w:val="26"/>
                <w:szCs w:val="26"/>
                <w:rtl/>
              </w:rPr>
              <w:t>72.6</w:t>
            </w:r>
          </w:p>
        </w:tc>
      </w:tr>
      <w:tr w:rsidR="00567B15" w:rsidTr="00567B15">
        <w:tblPrEx>
          <w:tblCellMar>
            <w:top w:w="0" w:type="dxa"/>
            <w:bottom w:w="0" w:type="dxa"/>
          </w:tblCellMar>
        </w:tblPrEx>
        <w:tc>
          <w:tcPr>
            <w:tcW w:w="1116" w:type="dxa"/>
            <w:tcBorders>
              <w:top w:val="nil"/>
            </w:tcBorders>
          </w:tcPr>
          <w:p w:rsidR="00567B15" w:rsidRDefault="00567B15">
            <w:pPr>
              <w:spacing w:before="0" w:after="0" w:line="340" w:lineRule="exact"/>
              <w:jc w:val="both"/>
              <w:rPr>
                <w:rFonts w:hint="cs"/>
                <w:sz w:val="26"/>
                <w:szCs w:val="26"/>
                <w:rtl/>
              </w:rPr>
            </w:pPr>
            <w:r>
              <w:rPr>
                <w:rFonts w:hint="cs"/>
                <w:sz w:val="26"/>
                <w:szCs w:val="26"/>
                <w:rtl/>
              </w:rPr>
              <w:t>1999</w:t>
            </w:r>
          </w:p>
        </w:tc>
        <w:tc>
          <w:tcPr>
            <w:tcW w:w="1404" w:type="dxa"/>
            <w:tcBorders>
              <w:top w:val="nil"/>
            </w:tcBorders>
          </w:tcPr>
          <w:p w:rsidR="00567B15" w:rsidRDefault="00567B15">
            <w:pPr>
              <w:spacing w:before="0" w:after="0" w:line="340" w:lineRule="exact"/>
              <w:jc w:val="center"/>
              <w:rPr>
                <w:rFonts w:hint="cs"/>
                <w:sz w:val="26"/>
                <w:szCs w:val="26"/>
              </w:rPr>
            </w:pPr>
            <w:r>
              <w:rPr>
                <w:rFonts w:hint="cs"/>
                <w:sz w:val="26"/>
                <w:szCs w:val="26"/>
                <w:rtl/>
              </w:rPr>
              <w:t>97.0</w:t>
            </w:r>
          </w:p>
        </w:tc>
        <w:tc>
          <w:tcPr>
            <w:tcW w:w="1440" w:type="dxa"/>
            <w:tcBorders>
              <w:top w:val="nil"/>
            </w:tcBorders>
          </w:tcPr>
          <w:p w:rsidR="00567B15" w:rsidRDefault="00567B15">
            <w:pPr>
              <w:spacing w:before="0" w:after="0" w:line="340" w:lineRule="exact"/>
              <w:jc w:val="center"/>
              <w:rPr>
                <w:rFonts w:hint="cs"/>
                <w:sz w:val="26"/>
                <w:szCs w:val="26"/>
              </w:rPr>
            </w:pPr>
            <w:r>
              <w:rPr>
                <w:rFonts w:hint="cs"/>
                <w:sz w:val="26"/>
                <w:szCs w:val="26"/>
                <w:rtl/>
              </w:rPr>
              <w:t>97.5</w:t>
            </w:r>
          </w:p>
        </w:tc>
        <w:tc>
          <w:tcPr>
            <w:tcW w:w="1260" w:type="dxa"/>
            <w:gridSpan w:val="2"/>
            <w:tcBorders>
              <w:top w:val="nil"/>
            </w:tcBorders>
          </w:tcPr>
          <w:p w:rsidR="00567B15" w:rsidRDefault="00567B15">
            <w:pPr>
              <w:spacing w:before="0" w:after="0" w:line="340" w:lineRule="exact"/>
              <w:jc w:val="center"/>
              <w:rPr>
                <w:rFonts w:hint="cs"/>
                <w:sz w:val="26"/>
                <w:szCs w:val="26"/>
              </w:rPr>
            </w:pPr>
            <w:r>
              <w:rPr>
                <w:rFonts w:hint="cs"/>
                <w:sz w:val="26"/>
                <w:szCs w:val="26"/>
                <w:rtl/>
              </w:rPr>
              <w:t>96.4</w:t>
            </w:r>
          </w:p>
        </w:tc>
        <w:tc>
          <w:tcPr>
            <w:tcW w:w="1440" w:type="dxa"/>
            <w:tcBorders>
              <w:top w:val="nil"/>
            </w:tcBorders>
          </w:tcPr>
          <w:p w:rsidR="00567B15" w:rsidRDefault="00567B15">
            <w:pPr>
              <w:spacing w:before="0" w:after="0" w:line="340" w:lineRule="exact"/>
              <w:jc w:val="center"/>
              <w:rPr>
                <w:rFonts w:hint="cs"/>
                <w:sz w:val="26"/>
                <w:szCs w:val="26"/>
              </w:rPr>
            </w:pPr>
            <w:r>
              <w:rPr>
                <w:rFonts w:hint="cs"/>
                <w:sz w:val="26"/>
                <w:szCs w:val="26"/>
                <w:rtl/>
              </w:rPr>
              <w:t>57.6</w:t>
            </w:r>
          </w:p>
        </w:tc>
        <w:tc>
          <w:tcPr>
            <w:tcW w:w="1440" w:type="dxa"/>
            <w:tcBorders>
              <w:top w:val="nil"/>
            </w:tcBorders>
          </w:tcPr>
          <w:p w:rsidR="00567B15" w:rsidRDefault="00567B15">
            <w:pPr>
              <w:spacing w:before="0" w:after="0" w:line="340" w:lineRule="exact"/>
              <w:jc w:val="center"/>
              <w:rPr>
                <w:rFonts w:hint="cs"/>
                <w:sz w:val="26"/>
                <w:szCs w:val="26"/>
              </w:rPr>
            </w:pPr>
            <w:r>
              <w:rPr>
                <w:rFonts w:hint="cs"/>
                <w:sz w:val="26"/>
                <w:szCs w:val="26"/>
                <w:rtl/>
              </w:rPr>
              <w:t>87.9</w:t>
            </w:r>
          </w:p>
        </w:tc>
        <w:tc>
          <w:tcPr>
            <w:tcW w:w="1261" w:type="dxa"/>
            <w:tcBorders>
              <w:top w:val="nil"/>
            </w:tcBorders>
          </w:tcPr>
          <w:p w:rsidR="00567B15" w:rsidRDefault="00567B15">
            <w:pPr>
              <w:spacing w:before="0" w:after="0" w:line="340" w:lineRule="exact"/>
              <w:jc w:val="center"/>
              <w:rPr>
                <w:rFonts w:hint="cs"/>
                <w:sz w:val="26"/>
                <w:szCs w:val="26"/>
              </w:rPr>
            </w:pPr>
            <w:r>
              <w:rPr>
                <w:rFonts w:hint="cs"/>
                <w:sz w:val="26"/>
                <w:szCs w:val="26"/>
                <w:rtl/>
              </w:rPr>
              <w:t>74.9</w:t>
            </w:r>
          </w:p>
        </w:tc>
      </w:tr>
    </w:tbl>
    <w:p w:rsidR="00000000" w:rsidRDefault="00567B15">
      <w:pPr>
        <w:spacing w:before="120"/>
        <w:jc w:val="both"/>
        <w:rPr>
          <w:rFonts w:hint="cs"/>
          <w:rtl/>
        </w:rPr>
      </w:pPr>
      <w:r>
        <w:rPr>
          <w:rFonts w:hint="cs"/>
          <w:rtl/>
        </w:rPr>
        <w:tab/>
      </w:r>
      <w:r>
        <w:rPr>
          <w:rFonts w:hint="cs"/>
          <w:u w:val="single"/>
          <w:rtl/>
        </w:rPr>
        <w:t>المصدر</w:t>
      </w:r>
      <w:r>
        <w:rPr>
          <w:rFonts w:hint="cs"/>
          <w:rtl/>
        </w:rPr>
        <w:t>:</w:t>
      </w:r>
      <w:r>
        <w:rPr>
          <w:rFonts w:hint="cs"/>
          <w:rtl/>
        </w:rPr>
        <w:tab/>
        <w:t>اللجنة الاقتصادية والاجتماعية لآسيا والمحيط الهادئ، دراسة استقصائية عن الظروف المعيشية، 1994، المعهد ا</w:t>
      </w:r>
      <w:r>
        <w:rPr>
          <w:rFonts w:hint="cs"/>
          <w:rtl/>
        </w:rPr>
        <w:t>لوطني للإحصاءات وتعداد السكان 1995-1999.</w:t>
      </w:r>
    </w:p>
    <w:p w:rsidR="00000000" w:rsidRDefault="00567B15">
      <w:pPr>
        <w:spacing w:line="380" w:lineRule="exact"/>
        <w:jc w:val="both"/>
        <w:rPr>
          <w:rFonts w:hint="cs"/>
          <w:spacing w:val="0"/>
          <w:rtl/>
        </w:rPr>
      </w:pPr>
      <w:r>
        <w:rPr>
          <w:rFonts w:hint="cs"/>
          <w:spacing w:val="0"/>
          <w:rtl/>
        </w:rPr>
        <w:t>420-</w:t>
      </w:r>
      <w:r>
        <w:rPr>
          <w:rFonts w:hint="cs"/>
          <w:spacing w:val="0"/>
          <w:rtl/>
        </w:rPr>
        <w:tab/>
        <w:t xml:space="preserve">وشهدت منظمة الصحة العالمية أخيراً أن إكوادور خالية من الشلل. ولم تبلغ معدلات اللقاح أ ت ب </w:t>
      </w:r>
      <w:r>
        <w:rPr>
          <w:spacing w:val="0"/>
        </w:rPr>
        <w:t>ATP</w:t>
      </w:r>
      <w:r>
        <w:rPr>
          <w:rFonts w:hint="cs"/>
          <w:spacing w:val="0"/>
          <w:rtl/>
        </w:rPr>
        <w:t xml:space="preserve"> الهدف الإقليمي الذي حُدد لعام 2000، وهو تغطية تفوق 90 في المائة.</w:t>
      </w:r>
    </w:p>
    <w:p w:rsidR="00000000" w:rsidRDefault="00567B15">
      <w:pPr>
        <w:spacing w:line="380" w:lineRule="exact"/>
        <w:jc w:val="both"/>
        <w:rPr>
          <w:rFonts w:hint="cs"/>
          <w:rtl/>
        </w:rPr>
      </w:pPr>
      <w:r>
        <w:rPr>
          <w:rFonts w:hint="cs"/>
          <w:rtl/>
        </w:rPr>
        <w:t>421-</w:t>
      </w:r>
      <w:r>
        <w:rPr>
          <w:rFonts w:hint="cs"/>
          <w:rtl/>
        </w:rPr>
        <w:tab/>
        <w:t>وبدأت حملات اللقاح الشاملة منذ عام 1990 للقضاء</w:t>
      </w:r>
      <w:r>
        <w:rPr>
          <w:rFonts w:hint="cs"/>
          <w:rtl/>
        </w:rPr>
        <w:t xml:space="preserve"> على الحصبة لدى شريحة الأطفال الذين يقل سنهم عن 5 سنوات.</w:t>
      </w:r>
    </w:p>
    <w:p w:rsidR="00000000" w:rsidRDefault="00567B15">
      <w:pPr>
        <w:spacing w:line="380" w:lineRule="exact"/>
        <w:jc w:val="both"/>
        <w:rPr>
          <w:rFonts w:hint="cs"/>
          <w:rtl/>
        </w:rPr>
      </w:pPr>
      <w:r>
        <w:rPr>
          <w:rFonts w:hint="cs"/>
          <w:rtl/>
        </w:rPr>
        <w:t>422-</w:t>
      </w:r>
      <w:r>
        <w:rPr>
          <w:rFonts w:hint="cs"/>
          <w:rtl/>
        </w:rPr>
        <w:tab/>
        <w:t>وجنحت الحصبة إلى الانخفاض على الصعيد الوطني في الفترة بين عامي 1994 و1999، لا سيما في أوساط الأطفال الذين يقل سنهم عن عام واحد. ومن جهة أخرى، تشهد مناطق جغرافية مختلفة نسباً متباينة خلال هذه الف</w:t>
      </w:r>
      <w:r>
        <w:rPr>
          <w:rFonts w:hint="cs"/>
          <w:rtl/>
        </w:rPr>
        <w:t>ترة: فقد شهدت المناطق الحضرية عام 1999 زيادة طفيفة مقارنة بعام 1998. وتباينت التغطية بالتمنيع ضد الحصبة في المناطق الريفية، وتشهد انخفاضاً</w:t>
      </w:r>
      <w:r>
        <w:rPr>
          <w:rFonts w:hint="cs"/>
          <w:vertAlign w:val="superscript"/>
          <w:rtl/>
        </w:rPr>
        <w:t>(57)</w:t>
      </w:r>
      <w:r>
        <w:rPr>
          <w:rFonts w:hint="cs"/>
          <w:rtl/>
        </w:rPr>
        <w:t>.</w:t>
      </w:r>
    </w:p>
    <w:p w:rsidR="00000000" w:rsidRDefault="00567B15">
      <w:pPr>
        <w:spacing w:before="120" w:after="120" w:line="360" w:lineRule="exact"/>
        <w:jc w:val="center"/>
        <w:rPr>
          <w:rFonts w:hint="cs"/>
          <w:b/>
          <w:bCs/>
          <w:rtl/>
        </w:rPr>
      </w:pPr>
      <w:r>
        <w:rPr>
          <w:rFonts w:hint="cs"/>
          <w:b/>
          <w:bCs/>
          <w:rtl/>
        </w:rPr>
        <w:t>التغطية باللقاح بين الأطفال الذين يقل سنهم عن عام واحد</w:t>
      </w:r>
      <w:r>
        <w:rPr>
          <w:b/>
          <w:bCs/>
          <w:rtl/>
        </w:rPr>
        <w:br/>
      </w:r>
      <w:r>
        <w:rPr>
          <w:rFonts w:hint="cs"/>
          <w:b/>
          <w:bCs/>
          <w:rtl/>
        </w:rPr>
        <w:t>ودون الخمس سنوات، على الصعيد الوطني وحسب المناطق</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6"/>
        <w:gridCol w:w="1404"/>
        <w:gridCol w:w="1440"/>
        <w:gridCol w:w="1195"/>
        <w:gridCol w:w="65"/>
        <w:gridCol w:w="1440"/>
        <w:gridCol w:w="1440"/>
        <w:gridCol w:w="1368"/>
      </w:tblGrid>
      <w:tr w:rsidR="00567B15" w:rsidTr="00567B15">
        <w:tblPrEx>
          <w:tblCellMar>
            <w:top w:w="0" w:type="dxa"/>
            <w:bottom w:w="0" w:type="dxa"/>
          </w:tblCellMar>
        </w:tblPrEx>
        <w:trPr>
          <w:cantSplit/>
        </w:trPr>
        <w:tc>
          <w:tcPr>
            <w:tcW w:w="1116" w:type="dxa"/>
          </w:tcPr>
          <w:p w:rsidR="00567B15" w:rsidRDefault="00567B15">
            <w:pPr>
              <w:spacing w:before="0" w:after="0" w:line="320" w:lineRule="exact"/>
              <w:jc w:val="both"/>
              <w:rPr>
                <w:rFonts w:hint="cs"/>
                <w:sz w:val="26"/>
                <w:szCs w:val="26"/>
              </w:rPr>
            </w:pPr>
            <w:r>
              <w:rPr>
                <w:rFonts w:hint="cs"/>
                <w:sz w:val="26"/>
                <w:szCs w:val="26"/>
                <w:rtl/>
              </w:rPr>
              <w:t>السنة</w:t>
            </w:r>
          </w:p>
        </w:tc>
        <w:tc>
          <w:tcPr>
            <w:tcW w:w="4039" w:type="dxa"/>
            <w:gridSpan w:val="3"/>
          </w:tcPr>
          <w:p w:rsidR="00567B15" w:rsidRDefault="00567B15">
            <w:pPr>
              <w:spacing w:before="0" w:after="0" w:line="320" w:lineRule="exact"/>
              <w:jc w:val="center"/>
              <w:rPr>
                <w:rFonts w:hint="cs"/>
                <w:sz w:val="26"/>
                <w:szCs w:val="26"/>
              </w:rPr>
            </w:pPr>
            <w:r>
              <w:rPr>
                <w:rFonts w:hint="cs"/>
                <w:sz w:val="26"/>
                <w:szCs w:val="26"/>
                <w:rtl/>
              </w:rPr>
              <w:t>الشلل (أ ت ب)</w:t>
            </w:r>
          </w:p>
        </w:tc>
        <w:tc>
          <w:tcPr>
            <w:tcW w:w="4313" w:type="dxa"/>
            <w:gridSpan w:val="4"/>
          </w:tcPr>
          <w:p w:rsidR="00567B15" w:rsidRDefault="00567B15">
            <w:pPr>
              <w:spacing w:before="0" w:after="0" w:line="320" w:lineRule="exact"/>
              <w:jc w:val="center"/>
              <w:rPr>
                <w:rFonts w:hint="cs"/>
                <w:sz w:val="26"/>
                <w:szCs w:val="26"/>
              </w:rPr>
            </w:pPr>
            <w:r>
              <w:rPr>
                <w:rFonts w:hint="cs"/>
                <w:sz w:val="26"/>
                <w:szCs w:val="26"/>
                <w:rtl/>
              </w:rPr>
              <w:t>الحصبة</w:t>
            </w:r>
          </w:p>
        </w:tc>
      </w:tr>
      <w:tr w:rsidR="00567B15" w:rsidTr="00567B15">
        <w:tblPrEx>
          <w:tblCellMar>
            <w:top w:w="0" w:type="dxa"/>
            <w:bottom w:w="0" w:type="dxa"/>
          </w:tblCellMar>
        </w:tblPrEx>
        <w:trPr>
          <w:cantSplit/>
        </w:trPr>
        <w:tc>
          <w:tcPr>
            <w:tcW w:w="1116" w:type="dxa"/>
          </w:tcPr>
          <w:p w:rsidR="00567B15" w:rsidRDefault="00567B15">
            <w:pPr>
              <w:spacing w:before="0" w:after="0" w:line="320" w:lineRule="exact"/>
              <w:jc w:val="both"/>
              <w:rPr>
                <w:sz w:val="26"/>
                <w:szCs w:val="26"/>
              </w:rPr>
            </w:pPr>
          </w:p>
        </w:tc>
        <w:tc>
          <w:tcPr>
            <w:tcW w:w="8352" w:type="dxa"/>
            <w:gridSpan w:val="7"/>
          </w:tcPr>
          <w:p w:rsidR="00567B15" w:rsidRDefault="00567B15">
            <w:pPr>
              <w:spacing w:before="0" w:after="0" w:line="320" w:lineRule="exact"/>
              <w:jc w:val="center"/>
              <w:rPr>
                <w:rFonts w:hint="cs"/>
                <w:sz w:val="26"/>
                <w:szCs w:val="26"/>
              </w:rPr>
            </w:pPr>
            <w:r>
              <w:rPr>
                <w:rFonts w:hint="cs"/>
                <w:sz w:val="26"/>
                <w:szCs w:val="26"/>
                <w:rtl/>
              </w:rPr>
              <w:t>دون سنة واحدة</w:t>
            </w:r>
          </w:p>
        </w:tc>
      </w:tr>
      <w:tr w:rsidR="00567B15" w:rsidTr="00567B15">
        <w:tblPrEx>
          <w:tblCellMar>
            <w:top w:w="0" w:type="dxa"/>
            <w:bottom w:w="0" w:type="dxa"/>
          </w:tblCellMar>
        </w:tblPrEx>
        <w:tc>
          <w:tcPr>
            <w:tcW w:w="1116" w:type="dxa"/>
            <w:tcBorders>
              <w:bottom w:val="single" w:sz="4" w:space="0" w:color="auto"/>
            </w:tcBorders>
          </w:tcPr>
          <w:p w:rsidR="00567B15" w:rsidRDefault="00567B15">
            <w:pPr>
              <w:spacing w:before="0" w:after="0" w:line="320" w:lineRule="exact"/>
              <w:jc w:val="both"/>
              <w:rPr>
                <w:rFonts w:hint="cs"/>
                <w:sz w:val="26"/>
                <w:szCs w:val="26"/>
              </w:rPr>
            </w:pPr>
          </w:p>
        </w:tc>
        <w:tc>
          <w:tcPr>
            <w:tcW w:w="1404" w:type="dxa"/>
            <w:tcBorders>
              <w:bottom w:val="single" w:sz="4" w:space="0" w:color="auto"/>
            </w:tcBorders>
          </w:tcPr>
          <w:p w:rsidR="00567B15" w:rsidRDefault="00567B15">
            <w:pPr>
              <w:spacing w:before="0" w:after="0" w:line="320" w:lineRule="exact"/>
              <w:jc w:val="both"/>
              <w:rPr>
                <w:rFonts w:hint="cs"/>
                <w:spacing w:val="2"/>
                <w:sz w:val="26"/>
                <w:szCs w:val="26"/>
              </w:rPr>
            </w:pPr>
            <w:r>
              <w:rPr>
                <w:rFonts w:hint="cs"/>
                <w:spacing w:val="2"/>
                <w:sz w:val="26"/>
                <w:szCs w:val="26"/>
                <w:rtl/>
              </w:rPr>
              <w:t>الصعيد الوطني</w:t>
            </w:r>
          </w:p>
        </w:tc>
        <w:tc>
          <w:tcPr>
            <w:tcW w:w="1440" w:type="dxa"/>
            <w:tcBorders>
              <w:bottom w:val="single" w:sz="4" w:space="0" w:color="auto"/>
            </w:tcBorders>
          </w:tcPr>
          <w:p w:rsidR="00567B15" w:rsidRDefault="00567B15">
            <w:pPr>
              <w:spacing w:before="0" w:after="0" w:line="320" w:lineRule="exact"/>
              <w:jc w:val="both"/>
              <w:rPr>
                <w:rFonts w:hint="cs"/>
                <w:spacing w:val="2"/>
                <w:sz w:val="26"/>
                <w:szCs w:val="26"/>
              </w:rPr>
            </w:pPr>
            <w:r>
              <w:rPr>
                <w:rFonts w:hint="cs"/>
                <w:spacing w:val="2"/>
                <w:sz w:val="26"/>
                <w:szCs w:val="26"/>
                <w:rtl/>
              </w:rPr>
              <w:t>المناطق الحضرية</w:t>
            </w:r>
          </w:p>
        </w:tc>
        <w:tc>
          <w:tcPr>
            <w:tcW w:w="1260" w:type="dxa"/>
            <w:gridSpan w:val="2"/>
            <w:tcBorders>
              <w:bottom w:val="single" w:sz="4" w:space="0" w:color="auto"/>
            </w:tcBorders>
          </w:tcPr>
          <w:p w:rsidR="00567B15" w:rsidRDefault="00567B15">
            <w:pPr>
              <w:spacing w:before="0" w:after="0" w:line="320" w:lineRule="exact"/>
              <w:jc w:val="both"/>
              <w:rPr>
                <w:rFonts w:hint="cs"/>
                <w:spacing w:val="2"/>
                <w:sz w:val="26"/>
                <w:szCs w:val="26"/>
              </w:rPr>
            </w:pPr>
            <w:r>
              <w:rPr>
                <w:rFonts w:hint="cs"/>
                <w:spacing w:val="2"/>
                <w:sz w:val="26"/>
                <w:szCs w:val="26"/>
                <w:rtl/>
              </w:rPr>
              <w:t>المناطق الريفية</w:t>
            </w:r>
          </w:p>
        </w:tc>
        <w:tc>
          <w:tcPr>
            <w:tcW w:w="1440" w:type="dxa"/>
            <w:tcBorders>
              <w:bottom w:val="single" w:sz="4" w:space="0" w:color="auto"/>
            </w:tcBorders>
          </w:tcPr>
          <w:p w:rsidR="00567B15" w:rsidRDefault="00567B15">
            <w:pPr>
              <w:spacing w:before="0" w:after="0" w:line="320" w:lineRule="exact"/>
              <w:jc w:val="both"/>
              <w:rPr>
                <w:rFonts w:hint="cs"/>
                <w:spacing w:val="2"/>
                <w:sz w:val="26"/>
                <w:szCs w:val="26"/>
              </w:rPr>
            </w:pPr>
            <w:r>
              <w:rPr>
                <w:rFonts w:hint="cs"/>
                <w:spacing w:val="2"/>
                <w:sz w:val="26"/>
                <w:szCs w:val="26"/>
                <w:rtl/>
              </w:rPr>
              <w:t>الصعيد الوطني</w:t>
            </w:r>
          </w:p>
        </w:tc>
        <w:tc>
          <w:tcPr>
            <w:tcW w:w="1440" w:type="dxa"/>
            <w:tcBorders>
              <w:bottom w:val="single" w:sz="4" w:space="0" w:color="auto"/>
            </w:tcBorders>
          </w:tcPr>
          <w:p w:rsidR="00567B15" w:rsidRDefault="00567B15">
            <w:pPr>
              <w:spacing w:before="0" w:after="0" w:line="320" w:lineRule="exact"/>
              <w:jc w:val="both"/>
              <w:rPr>
                <w:rFonts w:hint="cs"/>
                <w:spacing w:val="2"/>
                <w:sz w:val="26"/>
                <w:szCs w:val="26"/>
              </w:rPr>
            </w:pPr>
            <w:r>
              <w:rPr>
                <w:rFonts w:hint="cs"/>
                <w:spacing w:val="2"/>
                <w:sz w:val="26"/>
                <w:szCs w:val="26"/>
                <w:rtl/>
              </w:rPr>
              <w:t>المناطق الحضرية</w:t>
            </w:r>
          </w:p>
        </w:tc>
        <w:tc>
          <w:tcPr>
            <w:tcW w:w="1368" w:type="dxa"/>
            <w:tcBorders>
              <w:bottom w:val="single" w:sz="4" w:space="0" w:color="auto"/>
            </w:tcBorders>
          </w:tcPr>
          <w:p w:rsidR="00567B15" w:rsidRDefault="00567B15">
            <w:pPr>
              <w:spacing w:before="0" w:after="0" w:line="320" w:lineRule="exact"/>
              <w:jc w:val="both"/>
              <w:rPr>
                <w:rFonts w:hint="cs"/>
                <w:spacing w:val="2"/>
                <w:sz w:val="26"/>
                <w:szCs w:val="26"/>
              </w:rPr>
            </w:pPr>
            <w:r>
              <w:rPr>
                <w:rFonts w:hint="cs"/>
                <w:spacing w:val="2"/>
                <w:sz w:val="26"/>
                <w:szCs w:val="26"/>
                <w:rtl/>
              </w:rPr>
              <w:t>المناطق الريفية</w:t>
            </w:r>
          </w:p>
        </w:tc>
      </w:tr>
      <w:tr w:rsidR="00567B15" w:rsidTr="00567B15">
        <w:tblPrEx>
          <w:tblCellMar>
            <w:top w:w="0" w:type="dxa"/>
            <w:bottom w:w="0" w:type="dxa"/>
          </w:tblCellMar>
        </w:tblPrEx>
        <w:tc>
          <w:tcPr>
            <w:tcW w:w="1116" w:type="dxa"/>
            <w:tcBorders>
              <w:bottom w:val="nil"/>
            </w:tcBorders>
          </w:tcPr>
          <w:p w:rsidR="00567B15" w:rsidRDefault="00567B15">
            <w:pPr>
              <w:spacing w:before="0" w:after="0" w:line="320" w:lineRule="exact"/>
              <w:jc w:val="both"/>
              <w:rPr>
                <w:rFonts w:hint="cs"/>
                <w:sz w:val="26"/>
                <w:szCs w:val="26"/>
              </w:rPr>
            </w:pPr>
            <w:r>
              <w:rPr>
                <w:rFonts w:hint="cs"/>
                <w:sz w:val="26"/>
                <w:szCs w:val="26"/>
                <w:rtl/>
              </w:rPr>
              <w:t>1994</w:t>
            </w:r>
          </w:p>
        </w:tc>
        <w:tc>
          <w:tcPr>
            <w:tcW w:w="1404" w:type="dxa"/>
            <w:tcBorders>
              <w:bottom w:val="nil"/>
            </w:tcBorders>
          </w:tcPr>
          <w:p w:rsidR="00567B15" w:rsidRDefault="00567B15">
            <w:pPr>
              <w:spacing w:before="0" w:after="0" w:line="320" w:lineRule="exact"/>
              <w:jc w:val="center"/>
              <w:rPr>
                <w:rFonts w:hint="cs"/>
                <w:sz w:val="26"/>
                <w:szCs w:val="26"/>
              </w:rPr>
            </w:pPr>
            <w:r>
              <w:rPr>
                <w:rFonts w:hint="cs"/>
                <w:sz w:val="26"/>
                <w:szCs w:val="26"/>
                <w:rtl/>
              </w:rPr>
              <w:t>47.7</w:t>
            </w:r>
          </w:p>
        </w:tc>
        <w:tc>
          <w:tcPr>
            <w:tcW w:w="1440" w:type="dxa"/>
            <w:tcBorders>
              <w:bottom w:val="nil"/>
            </w:tcBorders>
          </w:tcPr>
          <w:p w:rsidR="00567B15" w:rsidRDefault="00567B15">
            <w:pPr>
              <w:spacing w:before="0" w:after="0" w:line="320" w:lineRule="exact"/>
              <w:jc w:val="center"/>
              <w:rPr>
                <w:rFonts w:hint="cs"/>
                <w:sz w:val="26"/>
                <w:szCs w:val="26"/>
              </w:rPr>
            </w:pPr>
            <w:r>
              <w:rPr>
                <w:rFonts w:hint="cs"/>
                <w:sz w:val="26"/>
                <w:szCs w:val="26"/>
                <w:rtl/>
              </w:rPr>
              <w:t>52.7</w:t>
            </w:r>
          </w:p>
        </w:tc>
        <w:tc>
          <w:tcPr>
            <w:tcW w:w="1260" w:type="dxa"/>
            <w:gridSpan w:val="2"/>
            <w:tcBorders>
              <w:bottom w:val="nil"/>
            </w:tcBorders>
          </w:tcPr>
          <w:p w:rsidR="00567B15" w:rsidRDefault="00567B15">
            <w:pPr>
              <w:spacing w:before="0" w:after="0" w:line="320" w:lineRule="exact"/>
              <w:jc w:val="center"/>
              <w:rPr>
                <w:rFonts w:hint="cs"/>
                <w:sz w:val="26"/>
                <w:szCs w:val="26"/>
              </w:rPr>
            </w:pPr>
            <w:r>
              <w:rPr>
                <w:rFonts w:hint="cs"/>
                <w:sz w:val="26"/>
                <w:szCs w:val="26"/>
                <w:rtl/>
              </w:rPr>
              <w:t>41.7</w:t>
            </w:r>
          </w:p>
        </w:tc>
        <w:tc>
          <w:tcPr>
            <w:tcW w:w="1440" w:type="dxa"/>
            <w:tcBorders>
              <w:bottom w:val="nil"/>
            </w:tcBorders>
          </w:tcPr>
          <w:p w:rsidR="00567B15" w:rsidRDefault="00567B15">
            <w:pPr>
              <w:spacing w:before="0" w:after="0" w:line="320" w:lineRule="exact"/>
              <w:jc w:val="center"/>
              <w:rPr>
                <w:rFonts w:hint="cs"/>
                <w:sz w:val="26"/>
                <w:szCs w:val="26"/>
              </w:rPr>
            </w:pPr>
            <w:r>
              <w:rPr>
                <w:rFonts w:hint="cs"/>
                <w:sz w:val="26"/>
                <w:szCs w:val="26"/>
                <w:rtl/>
              </w:rPr>
              <w:t>62.0</w:t>
            </w:r>
          </w:p>
        </w:tc>
        <w:tc>
          <w:tcPr>
            <w:tcW w:w="1440" w:type="dxa"/>
            <w:tcBorders>
              <w:bottom w:val="nil"/>
            </w:tcBorders>
          </w:tcPr>
          <w:p w:rsidR="00567B15" w:rsidRDefault="00567B15">
            <w:pPr>
              <w:spacing w:before="0" w:after="0" w:line="320" w:lineRule="exact"/>
              <w:jc w:val="center"/>
              <w:rPr>
                <w:rFonts w:hint="cs"/>
                <w:sz w:val="26"/>
                <w:szCs w:val="26"/>
              </w:rPr>
            </w:pPr>
            <w:r>
              <w:rPr>
                <w:rFonts w:hint="cs"/>
                <w:sz w:val="26"/>
                <w:szCs w:val="26"/>
                <w:rtl/>
              </w:rPr>
              <w:t>69.8</w:t>
            </w:r>
          </w:p>
        </w:tc>
        <w:tc>
          <w:tcPr>
            <w:tcW w:w="1368" w:type="dxa"/>
            <w:tcBorders>
              <w:bottom w:val="nil"/>
            </w:tcBorders>
          </w:tcPr>
          <w:p w:rsidR="00567B15" w:rsidRDefault="00567B15">
            <w:pPr>
              <w:spacing w:before="0" w:after="0" w:line="320" w:lineRule="exact"/>
              <w:jc w:val="center"/>
              <w:rPr>
                <w:rFonts w:hint="cs"/>
                <w:sz w:val="26"/>
                <w:szCs w:val="26"/>
              </w:rPr>
            </w:pPr>
            <w:r>
              <w:rPr>
                <w:rFonts w:hint="cs"/>
                <w:sz w:val="26"/>
                <w:szCs w:val="26"/>
                <w:rtl/>
              </w:rPr>
              <w:t>52.8</w:t>
            </w:r>
          </w:p>
        </w:tc>
      </w:tr>
      <w:tr w:rsidR="00567B15" w:rsidTr="00567B15">
        <w:tblPrEx>
          <w:tblCellMar>
            <w:top w:w="0" w:type="dxa"/>
            <w:bottom w:w="0" w:type="dxa"/>
          </w:tblCellMar>
        </w:tblPrEx>
        <w:tc>
          <w:tcPr>
            <w:tcW w:w="1116"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1995</w:t>
            </w:r>
          </w:p>
        </w:tc>
        <w:tc>
          <w:tcPr>
            <w:tcW w:w="1404"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43.4</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45.7</w:t>
            </w:r>
          </w:p>
        </w:tc>
        <w:tc>
          <w:tcPr>
            <w:tcW w:w="1260" w:type="dxa"/>
            <w:gridSpan w:val="2"/>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40.2</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60.3</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64.1</w:t>
            </w:r>
          </w:p>
        </w:tc>
        <w:tc>
          <w:tcPr>
            <w:tcW w:w="1368"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55.5</w:t>
            </w:r>
          </w:p>
        </w:tc>
      </w:tr>
      <w:tr w:rsidR="00567B15" w:rsidTr="00567B15">
        <w:tblPrEx>
          <w:tblCellMar>
            <w:top w:w="0" w:type="dxa"/>
            <w:bottom w:w="0" w:type="dxa"/>
          </w:tblCellMar>
        </w:tblPrEx>
        <w:tc>
          <w:tcPr>
            <w:tcW w:w="1116"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1998</w:t>
            </w:r>
          </w:p>
        </w:tc>
        <w:tc>
          <w:tcPr>
            <w:tcW w:w="1404"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52.5</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52.4</w:t>
            </w:r>
          </w:p>
        </w:tc>
        <w:tc>
          <w:tcPr>
            <w:tcW w:w="1260" w:type="dxa"/>
            <w:gridSpan w:val="2"/>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52.7</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52.3</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55.7</w:t>
            </w:r>
          </w:p>
        </w:tc>
        <w:tc>
          <w:tcPr>
            <w:tcW w:w="1368"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48.5</w:t>
            </w:r>
          </w:p>
        </w:tc>
      </w:tr>
      <w:tr w:rsidR="00567B15" w:rsidTr="00567B15">
        <w:tblPrEx>
          <w:tblCellMar>
            <w:top w:w="0" w:type="dxa"/>
            <w:bottom w:w="0" w:type="dxa"/>
          </w:tblCellMar>
        </w:tblPrEx>
        <w:tc>
          <w:tcPr>
            <w:tcW w:w="1116" w:type="dxa"/>
            <w:tcBorders>
              <w:top w:val="nil"/>
            </w:tcBorders>
          </w:tcPr>
          <w:p w:rsidR="00567B15" w:rsidRDefault="00567B15">
            <w:pPr>
              <w:spacing w:before="0" w:after="0" w:line="320" w:lineRule="exact"/>
              <w:jc w:val="both"/>
              <w:rPr>
                <w:rFonts w:hint="cs"/>
                <w:sz w:val="26"/>
                <w:szCs w:val="26"/>
                <w:rtl/>
              </w:rPr>
            </w:pPr>
            <w:r>
              <w:rPr>
                <w:rFonts w:hint="cs"/>
                <w:sz w:val="26"/>
                <w:szCs w:val="26"/>
                <w:rtl/>
              </w:rPr>
              <w:t>1999</w:t>
            </w:r>
          </w:p>
        </w:tc>
        <w:tc>
          <w:tcPr>
            <w:tcW w:w="1404" w:type="dxa"/>
            <w:tcBorders>
              <w:top w:val="nil"/>
            </w:tcBorders>
          </w:tcPr>
          <w:p w:rsidR="00567B15" w:rsidRDefault="00567B15">
            <w:pPr>
              <w:spacing w:before="0" w:after="0" w:line="320" w:lineRule="exact"/>
              <w:jc w:val="center"/>
              <w:rPr>
                <w:rFonts w:hint="cs"/>
                <w:sz w:val="26"/>
                <w:szCs w:val="26"/>
              </w:rPr>
            </w:pPr>
            <w:r>
              <w:rPr>
                <w:rFonts w:hint="cs"/>
                <w:sz w:val="26"/>
                <w:szCs w:val="26"/>
                <w:rtl/>
              </w:rPr>
              <w:t>56.3</w:t>
            </w:r>
          </w:p>
        </w:tc>
        <w:tc>
          <w:tcPr>
            <w:tcW w:w="1440" w:type="dxa"/>
            <w:tcBorders>
              <w:top w:val="nil"/>
            </w:tcBorders>
          </w:tcPr>
          <w:p w:rsidR="00567B15" w:rsidRDefault="00567B15">
            <w:pPr>
              <w:spacing w:before="0" w:after="0" w:line="320" w:lineRule="exact"/>
              <w:jc w:val="center"/>
              <w:rPr>
                <w:rFonts w:hint="cs"/>
                <w:sz w:val="26"/>
                <w:szCs w:val="26"/>
              </w:rPr>
            </w:pPr>
            <w:r>
              <w:rPr>
                <w:rFonts w:hint="cs"/>
                <w:sz w:val="26"/>
                <w:szCs w:val="26"/>
                <w:rtl/>
              </w:rPr>
              <w:t>61.6</w:t>
            </w:r>
          </w:p>
        </w:tc>
        <w:tc>
          <w:tcPr>
            <w:tcW w:w="1260" w:type="dxa"/>
            <w:gridSpan w:val="2"/>
            <w:tcBorders>
              <w:top w:val="nil"/>
            </w:tcBorders>
          </w:tcPr>
          <w:p w:rsidR="00567B15" w:rsidRDefault="00567B15">
            <w:pPr>
              <w:spacing w:before="0" w:after="0" w:line="320" w:lineRule="exact"/>
              <w:jc w:val="center"/>
              <w:rPr>
                <w:rFonts w:hint="cs"/>
                <w:sz w:val="26"/>
                <w:szCs w:val="26"/>
              </w:rPr>
            </w:pPr>
            <w:r>
              <w:rPr>
                <w:rFonts w:hint="cs"/>
                <w:sz w:val="26"/>
                <w:szCs w:val="26"/>
                <w:rtl/>
              </w:rPr>
              <w:t>49.8</w:t>
            </w:r>
          </w:p>
        </w:tc>
        <w:tc>
          <w:tcPr>
            <w:tcW w:w="1440" w:type="dxa"/>
            <w:tcBorders>
              <w:top w:val="nil"/>
            </w:tcBorders>
          </w:tcPr>
          <w:p w:rsidR="00567B15" w:rsidRDefault="00567B15">
            <w:pPr>
              <w:spacing w:before="0" w:after="0" w:line="320" w:lineRule="exact"/>
              <w:jc w:val="center"/>
              <w:rPr>
                <w:rFonts w:hint="cs"/>
                <w:sz w:val="26"/>
                <w:szCs w:val="26"/>
              </w:rPr>
            </w:pPr>
            <w:r>
              <w:rPr>
                <w:rFonts w:hint="cs"/>
                <w:sz w:val="26"/>
                <w:szCs w:val="26"/>
                <w:rtl/>
              </w:rPr>
              <w:t>52.8</w:t>
            </w:r>
          </w:p>
        </w:tc>
        <w:tc>
          <w:tcPr>
            <w:tcW w:w="1440" w:type="dxa"/>
            <w:tcBorders>
              <w:top w:val="nil"/>
            </w:tcBorders>
          </w:tcPr>
          <w:p w:rsidR="00567B15" w:rsidRDefault="00567B15">
            <w:pPr>
              <w:spacing w:before="0" w:after="0" w:line="320" w:lineRule="exact"/>
              <w:jc w:val="center"/>
              <w:rPr>
                <w:rFonts w:hint="cs"/>
                <w:sz w:val="26"/>
                <w:szCs w:val="26"/>
              </w:rPr>
            </w:pPr>
            <w:r>
              <w:rPr>
                <w:rFonts w:hint="cs"/>
                <w:sz w:val="26"/>
                <w:szCs w:val="26"/>
                <w:rtl/>
              </w:rPr>
              <w:t>59.5</w:t>
            </w:r>
          </w:p>
        </w:tc>
        <w:tc>
          <w:tcPr>
            <w:tcW w:w="1368" w:type="dxa"/>
            <w:tcBorders>
              <w:top w:val="nil"/>
            </w:tcBorders>
          </w:tcPr>
          <w:p w:rsidR="00567B15" w:rsidRDefault="00567B15">
            <w:pPr>
              <w:spacing w:before="0" w:after="0" w:line="320" w:lineRule="exact"/>
              <w:jc w:val="center"/>
              <w:rPr>
                <w:rFonts w:hint="cs"/>
                <w:sz w:val="26"/>
                <w:szCs w:val="26"/>
              </w:rPr>
            </w:pPr>
            <w:r>
              <w:rPr>
                <w:rFonts w:hint="cs"/>
                <w:sz w:val="26"/>
                <w:szCs w:val="26"/>
                <w:rtl/>
              </w:rPr>
              <w:t>41.3</w:t>
            </w:r>
          </w:p>
        </w:tc>
      </w:tr>
      <w:tr w:rsidR="00567B15" w:rsidTr="00567B15">
        <w:tblPrEx>
          <w:tblCellMar>
            <w:top w:w="0" w:type="dxa"/>
            <w:bottom w:w="0" w:type="dxa"/>
          </w:tblCellMar>
        </w:tblPrEx>
        <w:trPr>
          <w:cantSplit/>
        </w:trPr>
        <w:tc>
          <w:tcPr>
            <w:tcW w:w="1116" w:type="dxa"/>
            <w:tcBorders>
              <w:bottom w:val="single" w:sz="4" w:space="0" w:color="auto"/>
            </w:tcBorders>
          </w:tcPr>
          <w:p w:rsidR="00567B15" w:rsidRDefault="00567B15">
            <w:pPr>
              <w:spacing w:before="0" w:after="0" w:line="320" w:lineRule="exact"/>
              <w:jc w:val="both"/>
              <w:rPr>
                <w:sz w:val="26"/>
                <w:szCs w:val="26"/>
              </w:rPr>
            </w:pPr>
          </w:p>
        </w:tc>
        <w:tc>
          <w:tcPr>
            <w:tcW w:w="8352" w:type="dxa"/>
            <w:gridSpan w:val="7"/>
            <w:tcBorders>
              <w:bottom w:val="single" w:sz="4" w:space="0" w:color="auto"/>
            </w:tcBorders>
          </w:tcPr>
          <w:p w:rsidR="00567B15" w:rsidRDefault="00567B15">
            <w:pPr>
              <w:spacing w:before="0" w:after="0" w:line="320" w:lineRule="exact"/>
              <w:jc w:val="center"/>
              <w:rPr>
                <w:rFonts w:hint="cs"/>
                <w:sz w:val="26"/>
                <w:szCs w:val="26"/>
              </w:rPr>
            </w:pPr>
            <w:r>
              <w:rPr>
                <w:rFonts w:hint="cs"/>
                <w:sz w:val="26"/>
                <w:szCs w:val="26"/>
                <w:rtl/>
              </w:rPr>
              <w:t>دون الخامسة</w:t>
            </w:r>
          </w:p>
        </w:tc>
      </w:tr>
      <w:tr w:rsidR="00567B15" w:rsidTr="00567B15">
        <w:tblPrEx>
          <w:tblCellMar>
            <w:top w:w="0" w:type="dxa"/>
            <w:bottom w:w="0" w:type="dxa"/>
          </w:tblCellMar>
        </w:tblPrEx>
        <w:tc>
          <w:tcPr>
            <w:tcW w:w="1116" w:type="dxa"/>
            <w:tcBorders>
              <w:bottom w:val="nil"/>
            </w:tcBorders>
          </w:tcPr>
          <w:p w:rsidR="00567B15" w:rsidRDefault="00567B15">
            <w:pPr>
              <w:spacing w:before="0" w:after="0" w:line="320" w:lineRule="exact"/>
              <w:jc w:val="both"/>
              <w:rPr>
                <w:rFonts w:hint="cs"/>
                <w:sz w:val="26"/>
                <w:szCs w:val="26"/>
                <w:rtl/>
              </w:rPr>
            </w:pPr>
            <w:r>
              <w:rPr>
                <w:rFonts w:hint="cs"/>
                <w:sz w:val="26"/>
                <w:szCs w:val="26"/>
                <w:rtl/>
              </w:rPr>
              <w:t>1994</w:t>
            </w:r>
          </w:p>
        </w:tc>
        <w:tc>
          <w:tcPr>
            <w:tcW w:w="1404" w:type="dxa"/>
            <w:tcBorders>
              <w:bottom w:val="nil"/>
            </w:tcBorders>
          </w:tcPr>
          <w:p w:rsidR="00567B15" w:rsidRDefault="00567B15">
            <w:pPr>
              <w:spacing w:before="0" w:after="0" w:line="320" w:lineRule="exact"/>
              <w:jc w:val="center"/>
              <w:rPr>
                <w:rFonts w:hint="cs"/>
                <w:sz w:val="26"/>
                <w:szCs w:val="26"/>
              </w:rPr>
            </w:pPr>
            <w:r>
              <w:rPr>
                <w:rFonts w:hint="cs"/>
                <w:sz w:val="26"/>
                <w:szCs w:val="26"/>
                <w:rtl/>
              </w:rPr>
              <w:t>78.3</w:t>
            </w:r>
          </w:p>
        </w:tc>
        <w:tc>
          <w:tcPr>
            <w:tcW w:w="1440" w:type="dxa"/>
            <w:tcBorders>
              <w:bottom w:val="nil"/>
            </w:tcBorders>
          </w:tcPr>
          <w:p w:rsidR="00567B15" w:rsidRDefault="00567B15">
            <w:pPr>
              <w:spacing w:before="0" w:after="0" w:line="320" w:lineRule="exact"/>
              <w:jc w:val="center"/>
              <w:rPr>
                <w:rFonts w:hint="cs"/>
                <w:sz w:val="26"/>
                <w:szCs w:val="26"/>
              </w:rPr>
            </w:pPr>
            <w:r>
              <w:rPr>
                <w:rFonts w:hint="cs"/>
                <w:sz w:val="26"/>
                <w:szCs w:val="26"/>
                <w:rtl/>
              </w:rPr>
              <w:t>85.0</w:t>
            </w:r>
          </w:p>
        </w:tc>
        <w:tc>
          <w:tcPr>
            <w:tcW w:w="1260" w:type="dxa"/>
            <w:gridSpan w:val="2"/>
            <w:tcBorders>
              <w:bottom w:val="nil"/>
            </w:tcBorders>
          </w:tcPr>
          <w:p w:rsidR="00567B15" w:rsidRDefault="00567B15">
            <w:pPr>
              <w:spacing w:before="0" w:after="0" w:line="320" w:lineRule="exact"/>
              <w:jc w:val="center"/>
              <w:rPr>
                <w:rFonts w:hint="cs"/>
                <w:sz w:val="26"/>
                <w:szCs w:val="26"/>
              </w:rPr>
            </w:pPr>
            <w:r>
              <w:rPr>
                <w:rFonts w:hint="cs"/>
                <w:sz w:val="26"/>
                <w:szCs w:val="26"/>
                <w:rtl/>
              </w:rPr>
              <w:t>70.9</w:t>
            </w:r>
          </w:p>
        </w:tc>
        <w:tc>
          <w:tcPr>
            <w:tcW w:w="1440" w:type="dxa"/>
            <w:tcBorders>
              <w:bottom w:val="nil"/>
            </w:tcBorders>
          </w:tcPr>
          <w:p w:rsidR="00567B15" w:rsidRDefault="00567B15">
            <w:pPr>
              <w:spacing w:before="0" w:after="0" w:line="320" w:lineRule="exact"/>
              <w:jc w:val="center"/>
              <w:rPr>
                <w:rFonts w:hint="cs"/>
                <w:sz w:val="26"/>
                <w:szCs w:val="26"/>
              </w:rPr>
            </w:pPr>
            <w:r>
              <w:rPr>
                <w:rFonts w:hint="cs"/>
                <w:sz w:val="26"/>
                <w:szCs w:val="26"/>
                <w:rtl/>
              </w:rPr>
              <w:t>62.0</w:t>
            </w:r>
          </w:p>
        </w:tc>
        <w:tc>
          <w:tcPr>
            <w:tcW w:w="1440" w:type="dxa"/>
            <w:tcBorders>
              <w:bottom w:val="nil"/>
            </w:tcBorders>
          </w:tcPr>
          <w:p w:rsidR="00567B15" w:rsidRDefault="00567B15">
            <w:pPr>
              <w:spacing w:before="0" w:after="0" w:line="320" w:lineRule="exact"/>
              <w:jc w:val="center"/>
              <w:rPr>
                <w:rFonts w:hint="cs"/>
                <w:sz w:val="26"/>
                <w:szCs w:val="26"/>
              </w:rPr>
            </w:pPr>
            <w:r>
              <w:rPr>
                <w:rFonts w:hint="cs"/>
                <w:sz w:val="26"/>
                <w:szCs w:val="26"/>
                <w:rtl/>
              </w:rPr>
              <w:t>92.0</w:t>
            </w:r>
          </w:p>
        </w:tc>
        <w:tc>
          <w:tcPr>
            <w:tcW w:w="1368" w:type="dxa"/>
            <w:tcBorders>
              <w:bottom w:val="nil"/>
            </w:tcBorders>
          </w:tcPr>
          <w:p w:rsidR="00567B15" w:rsidRDefault="00567B15">
            <w:pPr>
              <w:spacing w:before="0" w:after="0" w:line="320" w:lineRule="exact"/>
              <w:jc w:val="center"/>
              <w:rPr>
                <w:rFonts w:hint="cs"/>
                <w:sz w:val="26"/>
                <w:szCs w:val="26"/>
              </w:rPr>
            </w:pPr>
            <w:r>
              <w:rPr>
                <w:rFonts w:hint="cs"/>
                <w:sz w:val="26"/>
                <w:szCs w:val="26"/>
                <w:rtl/>
              </w:rPr>
              <w:t>81.6</w:t>
            </w:r>
          </w:p>
        </w:tc>
      </w:tr>
      <w:tr w:rsidR="00567B15" w:rsidTr="00567B15">
        <w:tblPrEx>
          <w:tblCellMar>
            <w:top w:w="0" w:type="dxa"/>
            <w:bottom w:w="0" w:type="dxa"/>
          </w:tblCellMar>
        </w:tblPrEx>
        <w:tc>
          <w:tcPr>
            <w:tcW w:w="1116"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1995</w:t>
            </w:r>
          </w:p>
        </w:tc>
        <w:tc>
          <w:tcPr>
            <w:tcW w:w="1404"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77.0</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81.5</w:t>
            </w:r>
          </w:p>
        </w:tc>
        <w:tc>
          <w:tcPr>
            <w:tcW w:w="1260" w:type="dxa"/>
            <w:gridSpan w:val="2"/>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71.1</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60.3</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90.1</w:t>
            </w:r>
          </w:p>
        </w:tc>
        <w:tc>
          <w:tcPr>
            <w:tcW w:w="1368"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84.5</w:t>
            </w:r>
          </w:p>
        </w:tc>
      </w:tr>
      <w:tr w:rsidR="00567B15" w:rsidTr="00567B15">
        <w:tblPrEx>
          <w:tblCellMar>
            <w:top w:w="0" w:type="dxa"/>
            <w:bottom w:w="0" w:type="dxa"/>
          </w:tblCellMar>
        </w:tblPrEx>
        <w:tc>
          <w:tcPr>
            <w:tcW w:w="1116" w:type="dxa"/>
            <w:tcBorders>
              <w:top w:val="nil"/>
              <w:bottom w:val="nil"/>
            </w:tcBorders>
          </w:tcPr>
          <w:p w:rsidR="00567B15" w:rsidRDefault="00567B15">
            <w:pPr>
              <w:spacing w:before="0" w:after="0" w:line="320" w:lineRule="exact"/>
              <w:jc w:val="both"/>
              <w:rPr>
                <w:rFonts w:hint="cs"/>
                <w:sz w:val="26"/>
                <w:szCs w:val="26"/>
                <w:rtl/>
              </w:rPr>
            </w:pPr>
            <w:r>
              <w:rPr>
                <w:rFonts w:hint="cs"/>
                <w:sz w:val="26"/>
                <w:szCs w:val="26"/>
                <w:rtl/>
              </w:rPr>
              <w:t>1998</w:t>
            </w:r>
          </w:p>
        </w:tc>
        <w:tc>
          <w:tcPr>
            <w:tcW w:w="1404"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82.0</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84.1</w:t>
            </w:r>
          </w:p>
        </w:tc>
        <w:tc>
          <w:tcPr>
            <w:tcW w:w="1260" w:type="dxa"/>
            <w:gridSpan w:val="2"/>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79.3</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52.3</w:t>
            </w:r>
          </w:p>
        </w:tc>
        <w:tc>
          <w:tcPr>
            <w:tcW w:w="1440"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89.8</w:t>
            </w:r>
          </w:p>
        </w:tc>
        <w:tc>
          <w:tcPr>
            <w:tcW w:w="1368" w:type="dxa"/>
            <w:tcBorders>
              <w:top w:val="nil"/>
              <w:bottom w:val="nil"/>
            </w:tcBorders>
          </w:tcPr>
          <w:p w:rsidR="00567B15" w:rsidRDefault="00567B15">
            <w:pPr>
              <w:spacing w:before="0" w:after="0" w:line="320" w:lineRule="exact"/>
              <w:jc w:val="center"/>
              <w:rPr>
                <w:rFonts w:hint="cs"/>
                <w:sz w:val="26"/>
                <w:szCs w:val="26"/>
              </w:rPr>
            </w:pPr>
            <w:r>
              <w:rPr>
                <w:rFonts w:hint="cs"/>
                <w:sz w:val="26"/>
                <w:szCs w:val="26"/>
                <w:rtl/>
              </w:rPr>
              <w:t>85.4</w:t>
            </w:r>
          </w:p>
        </w:tc>
      </w:tr>
      <w:tr w:rsidR="00567B15" w:rsidTr="00567B15">
        <w:tblPrEx>
          <w:tblCellMar>
            <w:top w:w="0" w:type="dxa"/>
            <w:bottom w:w="0" w:type="dxa"/>
          </w:tblCellMar>
        </w:tblPrEx>
        <w:tc>
          <w:tcPr>
            <w:tcW w:w="1116" w:type="dxa"/>
            <w:tcBorders>
              <w:top w:val="nil"/>
            </w:tcBorders>
          </w:tcPr>
          <w:p w:rsidR="00567B15" w:rsidRDefault="00567B15">
            <w:pPr>
              <w:spacing w:before="0" w:after="0" w:line="320" w:lineRule="exact"/>
              <w:jc w:val="both"/>
              <w:rPr>
                <w:rFonts w:hint="cs"/>
                <w:sz w:val="26"/>
                <w:szCs w:val="26"/>
                <w:rtl/>
              </w:rPr>
            </w:pPr>
            <w:r>
              <w:rPr>
                <w:rFonts w:hint="cs"/>
                <w:sz w:val="26"/>
                <w:szCs w:val="26"/>
                <w:rtl/>
              </w:rPr>
              <w:t>1999</w:t>
            </w:r>
          </w:p>
        </w:tc>
        <w:tc>
          <w:tcPr>
            <w:tcW w:w="1404" w:type="dxa"/>
            <w:tcBorders>
              <w:top w:val="nil"/>
            </w:tcBorders>
          </w:tcPr>
          <w:p w:rsidR="00567B15" w:rsidRDefault="00567B15">
            <w:pPr>
              <w:spacing w:before="0" w:after="0" w:line="320" w:lineRule="exact"/>
              <w:jc w:val="center"/>
              <w:rPr>
                <w:rFonts w:hint="cs"/>
                <w:sz w:val="26"/>
                <w:szCs w:val="26"/>
                <w:rtl/>
              </w:rPr>
            </w:pPr>
            <w:r>
              <w:rPr>
                <w:rFonts w:hint="cs"/>
                <w:sz w:val="26"/>
                <w:szCs w:val="26"/>
                <w:rtl/>
              </w:rPr>
              <w:t>81.6</w:t>
            </w:r>
          </w:p>
        </w:tc>
        <w:tc>
          <w:tcPr>
            <w:tcW w:w="1440" w:type="dxa"/>
            <w:tcBorders>
              <w:top w:val="nil"/>
            </w:tcBorders>
          </w:tcPr>
          <w:p w:rsidR="00567B15" w:rsidRDefault="00567B15">
            <w:pPr>
              <w:spacing w:before="0" w:after="0" w:line="320" w:lineRule="exact"/>
              <w:jc w:val="center"/>
              <w:rPr>
                <w:rFonts w:hint="cs"/>
                <w:sz w:val="26"/>
                <w:szCs w:val="26"/>
                <w:rtl/>
              </w:rPr>
            </w:pPr>
            <w:r>
              <w:rPr>
                <w:rFonts w:hint="cs"/>
                <w:sz w:val="26"/>
                <w:szCs w:val="26"/>
                <w:rtl/>
              </w:rPr>
              <w:t>87.8</w:t>
            </w:r>
          </w:p>
        </w:tc>
        <w:tc>
          <w:tcPr>
            <w:tcW w:w="1260" w:type="dxa"/>
            <w:gridSpan w:val="2"/>
            <w:tcBorders>
              <w:top w:val="nil"/>
            </w:tcBorders>
          </w:tcPr>
          <w:p w:rsidR="00567B15" w:rsidRDefault="00567B15">
            <w:pPr>
              <w:spacing w:before="0" w:after="0" w:line="320" w:lineRule="exact"/>
              <w:jc w:val="center"/>
              <w:rPr>
                <w:rFonts w:hint="cs"/>
                <w:sz w:val="26"/>
                <w:szCs w:val="26"/>
                <w:rtl/>
              </w:rPr>
            </w:pPr>
            <w:r>
              <w:rPr>
                <w:rFonts w:hint="cs"/>
                <w:sz w:val="26"/>
                <w:szCs w:val="26"/>
                <w:rtl/>
              </w:rPr>
              <w:t>74.1</w:t>
            </w:r>
          </w:p>
        </w:tc>
        <w:tc>
          <w:tcPr>
            <w:tcW w:w="1440" w:type="dxa"/>
            <w:tcBorders>
              <w:top w:val="nil"/>
            </w:tcBorders>
          </w:tcPr>
          <w:p w:rsidR="00567B15" w:rsidRDefault="00567B15">
            <w:pPr>
              <w:spacing w:before="0" w:after="0" w:line="320" w:lineRule="exact"/>
              <w:jc w:val="center"/>
              <w:rPr>
                <w:rFonts w:hint="cs"/>
                <w:sz w:val="26"/>
                <w:szCs w:val="26"/>
                <w:rtl/>
              </w:rPr>
            </w:pPr>
            <w:r>
              <w:rPr>
                <w:rFonts w:hint="cs"/>
                <w:sz w:val="26"/>
                <w:szCs w:val="26"/>
                <w:rtl/>
              </w:rPr>
              <w:t>52.8</w:t>
            </w:r>
          </w:p>
        </w:tc>
        <w:tc>
          <w:tcPr>
            <w:tcW w:w="1440" w:type="dxa"/>
            <w:tcBorders>
              <w:top w:val="nil"/>
            </w:tcBorders>
          </w:tcPr>
          <w:p w:rsidR="00567B15" w:rsidRDefault="00567B15">
            <w:pPr>
              <w:spacing w:before="0" w:after="0" w:line="320" w:lineRule="exact"/>
              <w:jc w:val="center"/>
              <w:rPr>
                <w:rFonts w:hint="cs"/>
                <w:sz w:val="26"/>
                <w:szCs w:val="26"/>
                <w:rtl/>
              </w:rPr>
            </w:pPr>
            <w:r>
              <w:rPr>
                <w:rFonts w:hint="cs"/>
                <w:sz w:val="26"/>
                <w:szCs w:val="26"/>
                <w:rtl/>
              </w:rPr>
              <w:t>90.5</w:t>
            </w:r>
          </w:p>
        </w:tc>
        <w:tc>
          <w:tcPr>
            <w:tcW w:w="1368" w:type="dxa"/>
            <w:tcBorders>
              <w:top w:val="nil"/>
            </w:tcBorders>
          </w:tcPr>
          <w:p w:rsidR="00567B15" w:rsidRDefault="00567B15">
            <w:pPr>
              <w:spacing w:before="0" w:after="0" w:line="320" w:lineRule="exact"/>
              <w:jc w:val="center"/>
              <w:rPr>
                <w:rFonts w:hint="cs"/>
                <w:sz w:val="26"/>
                <w:szCs w:val="26"/>
                <w:rtl/>
              </w:rPr>
            </w:pPr>
            <w:r>
              <w:rPr>
                <w:rFonts w:hint="cs"/>
                <w:sz w:val="26"/>
                <w:szCs w:val="26"/>
                <w:rtl/>
              </w:rPr>
              <w:t>81.6</w:t>
            </w:r>
          </w:p>
        </w:tc>
      </w:tr>
    </w:tbl>
    <w:p w:rsidR="00000000" w:rsidRDefault="00567B15">
      <w:pPr>
        <w:spacing w:line="300" w:lineRule="exact"/>
        <w:jc w:val="both"/>
        <w:rPr>
          <w:rFonts w:hint="cs"/>
          <w:rtl/>
        </w:rPr>
      </w:pPr>
      <w:r>
        <w:rPr>
          <w:rFonts w:hint="cs"/>
          <w:rtl/>
        </w:rPr>
        <w:tab/>
      </w:r>
      <w:r>
        <w:rPr>
          <w:rFonts w:hint="cs"/>
          <w:u w:val="single"/>
          <w:rtl/>
        </w:rPr>
        <w:t>المصدر</w:t>
      </w:r>
      <w:r>
        <w:rPr>
          <w:rFonts w:hint="cs"/>
          <w:rtl/>
        </w:rPr>
        <w:t>:</w:t>
      </w:r>
      <w:r>
        <w:rPr>
          <w:rFonts w:hint="cs"/>
          <w:rtl/>
        </w:rPr>
        <w:tab/>
        <w:t xml:space="preserve">اللجنة الاقتصادية والاجتماعية لآسيا والمحيط الهادئ، دراسة استقصائية عن </w:t>
      </w:r>
      <w:r>
        <w:rPr>
          <w:rFonts w:hint="cs"/>
          <w:rtl/>
        </w:rPr>
        <w:t>الظروف المعيشية، 1994، المعهد الوطني للإحصاءات وتعداد السكان 1995-1999.</w:t>
      </w:r>
    </w:p>
    <w:p w:rsidR="00000000" w:rsidRDefault="00567B15">
      <w:pPr>
        <w:spacing w:line="380" w:lineRule="exact"/>
        <w:jc w:val="both"/>
        <w:rPr>
          <w:rFonts w:hint="cs"/>
          <w:b/>
          <w:bCs/>
          <w:rtl/>
        </w:rPr>
      </w:pPr>
      <w:r>
        <w:rPr>
          <w:rFonts w:hint="cs"/>
          <w:b/>
          <w:bCs/>
          <w:rtl/>
        </w:rPr>
        <w:t>العمر المتوقع</w:t>
      </w:r>
    </w:p>
    <w:p w:rsidR="00000000" w:rsidRDefault="00567B15">
      <w:pPr>
        <w:spacing w:line="380" w:lineRule="exact"/>
        <w:jc w:val="both"/>
        <w:rPr>
          <w:rFonts w:hint="cs"/>
          <w:rtl/>
        </w:rPr>
      </w:pPr>
      <w:r>
        <w:rPr>
          <w:rFonts w:hint="cs"/>
          <w:rtl/>
        </w:rPr>
        <w:t>423-</w:t>
      </w:r>
      <w:r>
        <w:rPr>
          <w:rFonts w:hint="cs"/>
          <w:rtl/>
        </w:rPr>
        <w:tab/>
        <w:t>حُـدِّد العمـر المتوقـع في إكوادور خلال الفترة 1995-2000 بسن 69.9 عاماً: 67.3 عاماً للرجال، و72.5 عاماً للنساء.</w:t>
      </w:r>
    </w:p>
    <w:p w:rsidR="00000000" w:rsidRDefault="00567B15">
      <w:pPr>
        <w:spacing w:line="380" w:lineRule="exact"/>
        <w:jc w:val="both"/>
        <w:rPr>
          <w:rFonts w:hint="cs"/>
          <w:rtl/>
        </w:rPr>
      </w:pPr>
      <w:r>
        <w:rPr>
          <w:rFonts w:hint="cs"/>
          <w:rtl/>
        </w:rPr>
        <w:t>424-</w:t>
      </w:r>
      <w:r>
        <w:rPr>
          <w:rFonts w:hint="cs"/>
          <w:rtl/>
        </w:rPr>
        <w:tab/>
        <w:t>ومن المهم معرفة ما إذا كان بإمكان شخص الحصول على</w:t>
      </w:r>
      <w:r>
        <w:rPr>
          <w:rFonts w:hint="cs"/>
          <w:rtl/>
        </w:rPr>
        <w:t xml:space="preserve"> المعالجة في مرفق صحي، وتحتاج هذه المعلومة إلى استكمالها بعدد المرات التي يزور فيها الشخص طبيباً، نظراً إلى أن كل زيارة تتضمن مجموعة من الموارد المختلفة. وتبرز البيانات المستقاة من الدراسة الاستقصائية أن أكثرية الأشخاص على الصعيد الوطني، (66.55 في المائة) </w:t>
      </w:r>
      <w:r>
        <w:rPr>
          <w:rFonts w:hint="cs"/>
          <w:rtl/>
        </w:rPr>
        <w:t>الذي أجروا فحوصاً طبية أو متابعة طبية في الشهر السابق، لم يزوروا الطبيب إلا مرة واحدة وأن 26 في المائة من بين كل مائة زاروا طبيباً مرتين، أما الذين زاروا الطبيب ثلاث مرات أو أكثر فهم أقلية (7.6 في المائة). ولا تتوافر معلومات عن الأدوية التي صرفت لهم.</w:t>
      </w:r>
    </w:p>
    <w:p w:rsidR="00000000" w:rsidRDefault="00567B15">
      <w:pPr>
        <w:spacing w:before="120" w:after="120" w:line="380" w:lineRule="exact"/>
        <w:jc w:val="both"/>
        <w:rPr>
          <w:rFonts w:hint="cs"/>
          <w:rtl/>
        </w:rPr>
      </w:pPr>
      <w:r>
        <w:rPr>
          <w:rFonts w:hint="cs"/>
          <w:i/>
          <w:iCs/>
          <w:rtl/>
        </w:rPr>
        <w:t>الرعا</w:t>
      </w:r>
      <w:r>
        <w:rPr>
          <w:rFonts w:hint="cs"/>
          <w:i/>
          <w:iCs/>
          <w:rtl/>
        </w:rPr>
        <w:t>ية المقدمة عند الوضع</w:t>
      </w:r>
    </w:p>
    <w:p w:rsidR="00000000" w:rsidRDefault="00567B15">
      <w:pPr>
        <w:spacing w:line="360" w:lineRule="exact"/>
        <w:jc w:val="both"/>
        <w:rPr>
          <w:rFonts w:hint="cs"/>
          <w:spacing w:val="0"/>
          <w:rtl/>
        </w:rPr>
      </w:pPr>
      <w:r>
        <w:rPr>
          <w:rFonts w:hint="cs"/>
          <w:spacing w:val="0"/>
          <w:rtl/>
        </w:rPr>
        <w:t>425-</w:t>
      </w:r>
      <w:r>
        <w:rPr>
          <w:rFonts w:hint="cs"/>
          <w:spacing w:val="0"/>
          <w:rtl/>
        </w:rPr>
        <w:tab/>
        <w:t xml:space="preserve">تبين أرقام الدراسة الاستقصائية الديمغرافية والمتعلقة بصحة الأم والطفل لعام 1999 أن 80.6 في المائة من أمهات الأطفال الذين ولدوا أحياء في كامل أنحاء البلد فيما بين آذار/مارس 1994 وشباط/فبراير 1999 تلقين فحصاً طبياً واحداً على الأقل </w:t>
      </w:r>
      <w:r>
        <w:rPr>
          <w:rFonts w:hint="cs"/>
          <w:spacing w:val="0"/>
          <w:rtl/>
        </w:rPr>
        <w:t>قبل الولادة. ويبلغ الرقم 89 في المائة في المدن، في حين يقل بمقدار 18 نقطة، أي يصبح 71 في المائة، في المناطق الريفية. وتسجل المناطق الساحلية أعلى الأرقام لكل من المناطق الحضرية والريفية. وتبعث الحالة في الأمازون على القلق، نظراً إلى أن 66 في المائة فقط من ا</w:t>
      </w:r>
      <w:r>
        <w:rPr>
          <w:rFonts w:hint="cs"/>
          <w:spacing w:val="0"/>
          <w:rtl/>
        </w:rPr>
        <w:t>لأمهات يتلقين فحصاً واحداً على الأقل سابقاً للولادة.</w:t>
      </w:r>
    </w:p>
    <w:p w:rsidR="00000000" w:rsidRDefault="00567B15">
      <w:pPr>
        <w:spacing w:line="360" w:lineRule="exact"/>
        <w:jc w:val="both"/>
        <w:rPr>
          <w:rFonts w:hint="cs"/>
          <w:rtl/>
        </w:rPr>
      </w:pPr>
      <w:r>
        <w:rPr>
          <w:rFonts w:hint="cs"/>
          <w:rtl/>
        </w:rPr>
        <w:t>426-</w:t>
      </w:r>
      <w:r>
        <w:rPr>
          <w:rFonts w:hint="cs"/>
          <w:rtl/>
        </w:rPr>
        <w:tab/>
        <w:t>وحددت الرعاية المهنية عند الولادة وبعدها بنسبة 69.2 في المائة من جميع الأمهات على الصعيد الوطني اللائي وضعن خلال الخمس سنوات التي سبقت الدراسة الاستقصائية مباشرة.</w:t>
      </w:r>
    </w:p>
    <w:p w:rsidR="00000000" w:rsidRDefault="00567B15">
      <w:pPr>
        <w:spacing w:line="360" w:lineRule="exact"/>
        <w:jc w:val="both"/>
        <w:rPr>
          <w:rFonts w:hint="cs"/>
          <w:rtl/>
        </w:rPr>
      </w:pPr>
      <w:r>
        <w:rPr>
          <w:rFonts w:hint="cs"/>
          <w:rtl/>
        </w:rPr>
        <w:t>427-</w:t>
      </w:r>
      <w:r>
        <w:rPr>
          <w:rFonts w:hint="cs"/>
          <w:rtl/>
        </w:rPr>
        <w:tab/>
        <w:t>وتحوم هذه النسبة حول 86 في الم</w:t>
      </w:r>
      <w:r>
        <w:rPr>
          <w:rFonts w:hint="cs"/>
          <w:rtl/>
        </w:rPr>
        <w:t>ائة في المناطق الحضرية ونصف ذلك فقط، أي 49 في المائة في المناطق الريفية. والأمازون هي المنطقة التي حظيت بأقل تغطية، حيث أقل من النصف (47.9 في المائة) من جميع الأمهات يحظين برعاية صحية مهنية خلال الوضع. وهذه الأرقام تستحق عناية أكبر داخل القطاع، نظراً إلى ا</w:t>
      </w:r>
      <w:r>
        <w:rPr>
          <w:rFonts w:hint="cs"/>
          <w:rtl/>
        </w:rPr>
        <w:t>لأهمية التي تكتسيها مقاومة النسب العالية من وفيات الأمومة في إكوادور والقضاء عليها.</w:t>
      </w:r>
    </w:p>
    <w:p w:rsidR="00000000" w:rsidRDefault="00567B15">
      <w:pPr>
        <w:spacing w:line="360" w:lineRule="exact"/>
        <w:jc w:val="both"/>
        <w:rPr>
          <w:rFonts w:hint="cs"/>
          <w:spacing w:val="0"/>
          <w:rtl/>
        </w:rPr>
      </w:pPr>
      <w:r>
        <w:rPr>
          <w:rFonts w:hint="cs"/>
          <w:spacing w:val="0"/>
          <w:rtl/>
        </w:rPr>
        <w:t>428-</w:t>
      </w:r>
      <w:r>
        <w:rPr>
          <w:rFonts w:hint="cs"/>
          <w:spacing w:val="0"/>
          <w:rtl/>
        </w:rPr>
        <w:tab/>
        <w:t>وتبلغ نسبة الأمهات اللائي يلدن في البيوت بمساعدة قابلة أو أحد أفراد الأسرة، أو اللائي يضعن بمفردهن، زهاء 29 في المائة بالنسبة إلى كامل البلد في حين أن هذه الممارسة تمت</w:t>
      </w:r>
      <w:r>
        <w:rPr>
          <w:rFonts w:hint="cs"/>
          <w:spacing w:val="0"/>
          <w:rtl/>
        </w:rPr>
        <w:t>د إلى نصف جميع الأمهات في المناطق الريفية. والنسبة المئوية في المناطق الريفية الواقعة على الساحل أقل، حيث تبلغ 40 في المائة. وفي المناطق الريفية الواقعة في سييرا والأمازون، فإن نصف النساء يلدن في ظروف محفوفة بالخطر حيث تكون هناك نسبة عالية لاحتمال حدوث مضا</w:t>
      </w:r>
      <w:r>
        <w:rPr>
          <w:rFonts w:hint="cs"/>
          <w:spacing w:val="0"/>
          <w:rtl/>
        </w:rPr>
        <w:t>عفات، وفي بعض الأحيان بآثار يؤسف لها: ويعكس ذلك العجز في تغطية الرعاية الصحية للأم والطفل في تلك المناطق.</w:t>
      </w:r>
    </w:p>
    <w:p w:rsidR="00000000" w:rsidRDefault="00567B15">
      <w:pPr>
        <w:spacing w:before="120" w:after="120" w:line="340" w:lineRule="exact"/>
        <w:jc w:val="center"/>
        <w:rPr>
          <w:rFonts w:hint="cs"/>
          <w:b/>
          <w:bCs/>
          <w:rtl/>
        </w:rPr>
      </w:pPr>
      <w:r>
        <w:rPr>
          <w:rFonts w:hint="cs"/>
          <w:b/>
          <w:bCs/>
          <w:rtl/>
        </w:rPr>
        <w:t>الرعاية المقدمة عند الولادة حسب السمات المميزة، للمواليد</w:t>
      </w:r>
      <w:r>
        <w:rPr>
          <w:b/>
          <w:bCs/>
          <w:rtl/>
        </w:rPr>
        <w:br/>
      </w:r>
      <w:r>
        <w:rPr>
          <w:rFonts w:hint="cs"/>
          <w:b/>
          <w:bCs/>
          <w:rtl/>
        </w:rPr>
        <w:t>الأحياء، من آذار/مارس 1994 إلى شباط/فبراير 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6"/>
        <w:gridCol w:w="1540"/>
        <w:gridCol w:w="1582"/>
        <w:gridCol w:w="1443"/>
      </w:tblGrid>
      <w:tr w:rsidR="00567B15" w:rsidTr="00567B15">
        <w:tblPrEx>
          <w:tblCellMar>
            <w:top w:w="0" w:type="dxa"/>
            <w:bottom w:w="0" w:type="dxa"/>
          </w:tblCellMar>
        </w:tblPrEx>
        <w:trPr>
          <w:cantSplit/>
        </w:trPr>
        <w:tc>
          <w:tcPr>
            <w:tcW w:w="4796" w:type="dxa"/>
          </w:tcPr>
          <w:p w:rsidR="00567B15" w:rsidRDefault="00567B15">
            <w:pPr>
              <w:spacing w:before="0" w:after="0" w:line="320" w:lineRule="exact"/>
              <w:jc w:val="center"/>
              <w:rPr>
                <w:rStyle w:val="FootnoteReference"/>
                <w:rFonts w:hint="cs"/>
                <w:sz w:val="26"/>
                <w:szCs w:val="26"/>
              </w:rPr>
            </w:pPr>
            <w:r>
              <w:rPr>
                <w:rFonts w:hint="cs"/>
                <w:sz w:val="26"/>
                <w:szCs w:val="26"/>
                <w:rtl/>
              </w:rPr>
              <w:t>الرعاية المقدمة عند الولادة</w:t>
            </w:r>
          </w:p>
        </w:tc>
        <w:tc>
          <w:tcPr>
            <w:tcW w:w="4565" w:type="dxa"/>
            <w:gridSpan w:val="3"/>
          </w:tcPr>
          <w:p w:rsidR="00567B15" w:rsidRDefault="00567B15">
            <w:pPr>
              <w:spacing w:before="0" w:after="0" w:line="320" w:lineRule="exact"/>
              <w:jc w:val="center"/>
              <w:rPr>
                <w:rStyle w:val="FootnoteReference"/>
                <w:rFonts w:hint="cs"/>
                <w:sz w:val="26"/>
                <w:szCs w:val="26"/>
              </w:rPr>
            </w:pPr>
            <w:r>
              <w:rPr>
                <w:rFonts w:hint="cs"/>
                <w:sz w:val="26"/>
                <w:szCs w:val="26"/>
                <w:rtl/>
              </w:rPr>
              <w:t>البلد</w:t>
            </w:r>
          </w:p>
        </w:tc>
      </w:tr>
      <w:tr w:rsidR="00567B15" w:rsidTr="00567B15">
        <w:tblPrEx>
          <w:tblCellMar>
            <w:top w:w="0" w:type="dxa"/>
            <w:bottom w:w="0" w:type="dxa"/>
          </w:tblCellMar>
        </w:tblPrEx>
        <w:tc>
          <w:tcPr>
            <w:tcW w:w="4796" w:type="dxa"/>
            <w:tcBorders>
              <w:bottom w:val="single" w:sz="4" w:space="0" w:color="auto"/>
            </w:tcBorders>
          </w:tcPr>
          <w:p w:rsidR="00567B15" w:rsidRDefault="00567B15">
            <w:pPr>
              <w:spacing w:before="0" w:after="0" w:line="320" w:lineRule="exact"/>
              <w:jc w:val="both"/>
              <w:rPr>
                <w:rStyle w:val="FootnoteReference"/>
                <w:rFonts w:hint="cs"/>
                <w:bCs w:val="0"/>
                <w:sz w:val="26"/>
                <w:szCs w:val="26"/>
                <w:vertAlign w:val="baseline"/>
              </w:rPr>
            </w:pPr>
            <w:r>
              <w:rPr>
                <w:rFonts w:hint="cs"/>
                <w:sz w:val="26"/>
                <w:szCs w:val="26"/>
                <w:rtl/>
              </w:rPr>
              <w:t>المكان</w:t>
            </w:r>
          </w:p>
        </w:tc>
        <w:tc>
          <w:tcPr>
            <w:tcW w:w="1540" w:type="dxa"/>
            <w:tcBorders>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كامل البلد</w:t>
            </w:r>
          </w:p>
        </w:tc>
        <w:tc>
          <w:tcPr>
            <w:tcW w:w="1582" w:type="dxa"/>
            <w:tcBorders>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المناطق الحضرية</w:t>
            </w:r>
          </w:p>
        </w:tc>
        <w:tc>
          <w:tcPr>
            <w:tcW w:w="1443" w:type="dxa"/>
            <w:tcBorders>
              <w:bottom w:val="single" w:sz="4" w:space="0" w:color="auto"/>
            </w:tcBorders>
          </w:tcPr>
          <w:p w:rsidR="00567B15" w:rsidRDefault="00567B15">
            <w:pPr>
              <w:spacing w:before="0" w:after="0" w:line="320" w:lineRule="exact"/>
              <w:jc w:val="center"/>
              <w:rPr>
                <w:rStyle w:val="FootnoteReference"/>
                <w:rFonts w:hint="cs"/>
                <w:bCs w:val="0"/>
                <w:sz w:val="26"/>
                <w:szCs w:val="26"/>
                <w:vertAlign w:val="baseline"/>
              </w:rPr>
            </w:pPr>
            <w:r>
              <w:rPr>
                <w:rFonts w:hint="cs"/>
                <w:sz w:val="26"/>
                <w:szCs w:val="26"/>
                <w:rtl/>
              </w:rPr>
              <w:t>المناطق الريفية</w:t>
            </w:r>
          </w:p>
        </w:tc>
      </w:tr>
      <w:tr w:rsidR="00567B15" w:rsidTr="00567B15">
        <w:tblPrEx>
          <w:tblCellMar>
            <w:top w:w="0" w:type="dxa"/>
            <w:bottom w:w="0" w:type="dxa"/>
          </w:tblCellMar>
        </w:tblPrEx>
        <w:tc>
          <w:tcPr>
            <w:tcW w:w="4796" w:type="dxa"/>
            <w:tcBorders>
              <w:bottom w:val="nil"/>
              <w:right w:val="single" w:sz="4" w:space="0" w:color="auto"/>
            </w:tcBorders>
          </w:tcPr>
          <w:p w:rsidR="00567B15" w:rsidRDefault="00567B15">
            <w:pPr>
              <w:spacing w:before="0" w:after="0" w:line="300" w:lineRule="exact"/>
              <w:jc w:val="both"/>
              <w:rPr>
                <w:rStyle w:val="FootnoteReference"/>
                <w:rFonts w:hint="cs"/>
                <w:bCs w:val="0"/>
                <w:sz w:val="26"/>
                <w:szCs w:val="26"/>
                <w:vertAlign w:val="baseline"/>
              </w:rPr>
            </w:pPr>
            <w:r>
              <w:rPr>
                <w:rFonts w:hint="cs"/>
                <w:sz w:val="26"/>
                <w:szCs w:val="26"/>
                <w:rtl/>
              </w:rPr>
              <w:t>مهنية</w:t>
            </w:r>
          </w:p>
        </w:tc>
        <w:tc>
          <w:tcPr>
            <w:tcW w:w="1540" w:type="dxa"/>
            <w:tcBorders>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tl/>
              </w:rPr>
            </w:pPr>
            <w:r>
              <w:rPr>
                <w:rFonts w:hint="cs"/>
                <w:sz w:val="26"/>
                <w:szCs w:val="26"/>
                <w:rtl/>
              </w:rPr>
              <w:t>69.2</w:t>
            </w:r>
          </w:p>
        </w:tc>
        <w:tc>
          <w:tcPr>
            <w:tcW w:w="1582" w:type="dxa"/>
            <w:tcBorders>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tl/>
              </w:rPr>
            </w:pPr>
            <w:r>
              <w:rPr>
                <w:rFonts w:hint="cs"/>
                <w:sz w:val="26"/>
                <w:szCs w:val="26"/>
                <w:rtl/>
              </w:rPr>
              <w:t>86.2</w:t>
            </w:r>
          </w:p>
        </w:tc>
        <w:tc>
          <w:tcPr>
            <w:tcW w:w="1443" w:type="dxa"/>
            <w:tcBorders>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tl/>
              </w:rPr>
            </w:pPr>
            <w:r>
              <w:rPr>
                <w:rFonts w:hint="cs"/>
                <w:sz w:val="26"/>
                <w:szCs w:val="26"/>
                <w:rtl/>
              </w:rPr>
              <w:t>49.0</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Style w:val="FootnoteReference"/>
                <w:rFonts w:hint="cs"/>
                <w:bCs w:val="0"/>
                <w:sz w:val="26"/>
                <w:szCs w:val="26"/>
                <w:vertAlign w:val="baseline"/>
              </w:rPr>
            </w:pPr>
            <w:r>
              <w:rPr>
                <w:rFonts w:hint="cs"/>
                <w:sz w:val="26"/>
                <w:szCs w:val="26"/>
                <w:rtl/>
              </w:rPr>
              <w:t>عامة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Style w:val="FootnoteReference"/>
                <w:rFonts w:hint="cs"/>
                <w:bCs w:val="0"/>
                <w:sz w:val="26"/>
                <w:szCs w:val="26"/>
                <w:vertAlign w:val="baseline"/>
              </w:rPr>
            </w:pPr>
            <w:r>
              <w:rPr>
                <w:rFonts w:hint="cs"/>
                <w:sz w:val="26"/>
                <w:szCs w:val="26"/>
                <w:rtl/>
              </w:rPr>
              <w:tab/>
              <w:t>وزارة الصحة العامة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34.4</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36.6</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31.8</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Style w:val="FootnoteReference"/>
                <w:rFonts w:hint="cs"/>
                <w:bCs w:val="0"/>
                <w:sz w:val="26"/>
                <w:szCs w:val="26"/>
                <w:vertAlign w:val="baseline"/>
              </w:rPr>
            </w:pPr>
            <w:r>
              <w:rPr>
                <w:rFonts w:hint="cs"/>
                <w:sz w:val="26"/>
                <w:szCs w:val="26"/>
                <w:rtl/>
              </w:rPr>
              <w:tab/>
              <w:t>مؤسسات عامة أخرى</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16.0</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25.4</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4.7</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Style w:val="FootnoteReference"/>
                <w:rFonts w:hint="cs"/>
                <w:bCs w:val="0"/>
                <w:sz w:val="26"/>
                <w:szCs w:val="26"/>
                <w:vertAlign w:val="baseline"/>
              </w:rPr>
            </w:pPr>
            <w:r>
              <w:rPr>
                <w:rFonts w:hint="cs"/>
                <w:sz w:val="26"/>
                <w:szCs w:val="26"/>
                <w:rtl/>
              </w:rPr>
              <w:t>خاصة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18.8</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24.2</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12.5</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Style w:val="FootnoteReference"/>
                <w:rFonts w:hint="cs"/>
                <w:bCs w:val="0"/>
                <w:sz w:val="26"/>
                <w:szCs w:val="26"/>
                <w:vertAlign w:val="baseline"/>
              </w:rPr>
            </w:pPr>
            <w:r>
              <w:rPr>
                <w:rFonts w:hint="cs"/>
                <w:sz w:val="26"/>
                <w:szCs w:val="26"/>
                <w:rtl/>
              </w:rPr>
              <w:t>غير مهنية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29.0</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11.9</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49.3</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Fonts w:hint="cs"/>
                <w:sz w:val="26"/>
                <w:szCs w:val="26"/>
                <w:rtl/>
              </w:rPr>
            </w:pPr>
            <w:r>
              <w:rPr>
                <w:sz w:val="26"/>
                <w:szCs w:val="26"/>
                <w:rtl/>
              </w:rPr>
              <w:tab/>
              <w:t xml:space="preserve">في </w:t>
            </w:r>
            <w:r>
              <w:rPr>
                <w:rFonts w:hint="cs"/>
                <w:sz w:val="26"/>
                <w:szCs w:val="26"/>
                <w:rtl/>
              </w:rPr>
              <w:t>البيت بمساعدة قابلة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14.3</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7.1</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22.9</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Fonts w:hint="cs"/>
                <w:sz w:val="26"/>
                <w:szCs w:val="26"/>
                <w:rtl/>
              </w:rPr>
            </w:pPr>
            <w:r>
              <w:rPr>
                <w:rFonts w:hint="cs"/>
                <w:sz w:val="26"/>
                <w:szCs w:val="26"/>
                <w:rtl/>
              </w:rPr>
              <w:tab/>
              <w:t>في البيت بمساعدة أحد أفراد الأسرة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11.1</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3.8</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19.9</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Fonts w:hint="cs"/>
                <w:sz w:val="26"/>
                <w:szCs w:val="26"/>
                <w:rtl/>
              </w:rPr>
            </w:pPr>
            <w:r>
              <w:rPr>
                <w:sz w:val="26"/>
                <w:szCs w:val="26"/>
                <w:rtl/>
              </w:rPr>
              <w:tab/>
            </w:r>
            <w:r>
              <w:rPr>
                <w:rFonts w:hint="cs"/>
                <w:sz w:val="26"/>
                <w:szCs w:val="26"/>
                <w:rtl/>
              </w:rPr>
              <w:t>ولادة دون رعاية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3.5</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1.0</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6.5</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Fonts w:hint="cs"/>
                <w:sz w:val="26"/>
                <w:szCs w:val="26"/>
                <w:rtl/>
              </w:rPr>
            </w:pPr>
            <w:r>
              <w:rPr>
                <w:rFonts w:hint="cs"/>
                <w:sz w:val="26"/>
                <w:szCs w:val="26"/>
                <w:rtl/>
              </w:rPr>
              <w:t>غير معروف</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1.8</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1.9</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1.7</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Fonts w:hint="cs"/>
                <w:sz w:val="26"/>
                <w:szCs w:val="26"/>
                <w:rtl/>
              </w:rPr>
            </w:pPr>
            <w:r>
              <w:rPr>
                <w:rFonts w:hint="cs"/>
                <w:sz w:val="26"/>
                <w:szCs w:val="26"/>
                <w:rtl/>
              </w:rPr>
              <w:t>نوع الولادة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sz w:val="26"/>
                <w:szCs w:val="26"/>
                <w:rtl/>
              </w:rPr>
            </w:pPr>
            <w:r>
              <w:rPr>
                <w:sz w:val="26"/>
                <w:szCs w:val="26"/>
                <w:rtl/>
              </w:rPr>
              <w:tab/>
            </w:r>
            <w:r>
              <w:rPr>
                <w:rFonts w:hint="cs"/>
                <w:sz w:val="26"/>
                <w:szCs w:val="26"/>
                <w:rtl/>
              </w:rPr>
              <w:t xml:space="preserve">طبيعية </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80.1</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72.4</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89.3</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300" w:lineRule="exact"/>
              <w:jc w:val="both"/>
              <w:rPr>
                <w:rFonts w:hint="cs"/>
                <w:sz w:val="26"/>
                <w:szCs w:val="26"/>
                <w:rtl/>
              </w:rPr>
            </w:pPr>
            <w:r>
              <w:rPr>
                <w:rFonts w:hint="cs"/>
                <w:sz w:val="26"/>
                <w:szCs w:val="26"/>
                <w:rtl/>
              </w:rPr>
              <w:tab/>
              <w:t>قيصرية</w:t>
            </w:r>
          </w:p>
        </w:tc>
        <w:tc>
          <w:tcPr>
            <w:tcW w:w="1540"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19.9</w:t>
            </w:r>
          </w:p>
        </w:tc>
        <w:tc>
          <w:tcPr>
            <w:tcW w:w="1582" w:type="dxa"/>
            <w:tcBorders>
              <w:top w:val="nil"/>
              <w:left w:val="single" w:sz="4" w:space="0" w:color="auto"/>
              <w:bottom w:val="nil"/>
              <w:right w:val="single" w:sz="4" w:space="0" w:color="auto"/>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27.6</w:t>
            </w:r>
          </w:p>
        </w:tc>
        <w:tc>
          <w:tcPr>
            <w:tcW w:w="1443" w:type="dxa"/>
            <w:tcBorders>
              <w:top w:val="nil"/>
              <w:left w:val="single" w:sz="4" w:space="0" w:color="auto"/>
              <w:bottom w:val="nil"/>
            </w:tcBorders>
          </w:tcPr>
          <w:p w:rsidR="00567B15" w:rsidRDefault="00567B15">
            <w:pPr>
              <w:spacing w:before="0" w:after="0" w:line="300" w:lineRule="exact"/>
              <w:ind w:firstLine="434"/>
              <w:jc w:val="both"/>
              <w:rPr>
                <w:rStyle w:val="FootnoteReference"/>
                <w:rFonts w:hint="cs"/>
                <w:bCs w:val="0"/>
                <w:sz w:val="26"/>
                <w:szCs w:val="26"/>
                <w:vertAlign w:val="baseline"/>
              </w:rPr>
            </w:pPr>
            <w:r>
              <w:rPr>
                <w:rFonts w:hint="cs"/>
                <w:sz w:val="26"/>
                <w:szCs w:val="26"/>
                <w:rtl/>
              </w:rPr>
              <w:t>10.7</w:t>
            </w: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280" w:lineRule="exact"/>
              <w:jc w:val="both"/>
              <w:rPr>
                <w:rFonts w:hint="cs"/>
                <w:sz w:val="26"/>
                <w:szCs w:val="26"/>
                <w:rtl/>
              </w:rPr>
            </w:pPr>
            <w:r>
              <w:rPr>
                <w:rFonts w:hint="cs"/>
                <w:sz w:val="26"/>
                <w:szCs w:val="26"/>
                <w:rtl/>
              </w:rPr>
              <w:t>الرعاية بعد الولادة</w:t>
            </w:r>
          </w:p>
        </w:tc>
        <w:tc>
          <w:tcPr>
            <w:tcW w:w="1540" w:type="dxa"/>
            <w:tcBorders>
              <w:top w:val="nil"/>
              <w:left w:val="single" w:sz="4" w:space="0" w:color="auto"/>
              <w:bottom w:val="nil"/>
              <w:right w:val="single" w:sz="4" w:space="0" w:color="auto"/>
            </w:tcBorders>
          </w:tcPr>
          <w:p w:rsidR="00567B15" w:rsidRDefault="00567B15">
            <w:pPr>
              <w:spacing w:before="0" w:after="0" w:line="280" w:lineRule="exact"/>
              <w:ind w:firstLine="434"/>
              <w:jc w:val="both"/>
              <w:rPr>
                <w:rStyle w:val="FootnoteReference"/>
                <w:rFonts w:hint="cs"/>
                <w:bCs w:val="0"/>
                <w:sz w:val="26"/>
                <w:szCs w:val="26"/>
                <w:vertAlign w:val="baseline"/>
              </w:rPr>
            </w:pPr>
          </w:p>
        </w:tc>
        <w:tc>
          <w:tcPr>
            <w:tcW w:w="1582" w:type="dxa"/>
            <w:tcBorders>
              <w:top w:val="nil"/>
              <w:left w:val="single" w:sz="4" w:space="0" w:color="auto"/>
              <w:bottom w:val="nil"/>
              <w:right w:val="single" w:sz="4" w:space="0" w:color="auto"/>
            </w:tcBorders>
          </w:tcPr>
          <w:p w:rsidR="00567B15" w:rsidRDefault="00567B15">
            <w:pPr>
              <w:spacing w:before="0" w:after="0" w:line="280" w:lineRule="exact"/>
              <w:ind w:firstLine="434"/>
              <w:jc w:val="both"/>
              <w:rPr>
                <w:rStyle w:val="FootnoteReference"/>
                <w:rFonts w:hint="cs"/>
                <w:bCs w:val="0"/>
                <w:sz w:val="26"/>
                <w:szCs w:val="26"/>
                <w:vertAlign w:val="baseline"/>
              </w:rPr>
            </w:pPr>
          </w:p>
        </w:tc>
        <w:tc>
          <w:tcPr>
            <w:tcW w:w="1443" w:type="dxa"/>
            <w:tcBorders>
              <w:top w:val="nil"/>
              <w:left w:val="single" w:sz="4" w:space="0" w:color="auto"/>
              <w:bottom w:val="nil"/>
            </w:tcBorders>
          </w:tcPr>
          <w:p w:rsidR="00567B15" w:rsidRDefault="00567B15">
            <w:pPr>
              <w:spacing w:before="0" w:after="0" w:line="280" w:lineRule="exact"/>
              <w:ind w:firstLine="434"/>
              <w:jc w:val="both"/>
              <w:rPr>
                <w:rStyle w:val="FootnoteReference"/>
                <w:rFonts w:hint="cs"/>
                <w:bCs w:val="0"/>
                <w:sz w:val="26"/>
                <w:szCs w:val="26"/>
                <w:vertAlign w:val="baseline"/>
              </w:rPr>
            </w:pPr>
          </w:p>
        </w:tc>
      </w:tr>
      <w:tr w:rsidR="00567B15" w:rsidTr="00567B15">
        <w:tblPrEx>
          <w:tblCellMar>
            <w:top w:w="0" w:type="dxa"/>
            <w:bottom w:w="0" w:type="dxa"/>
          </w:tblCellMar>
        </w:tblPrEx>
        <w:tc>
          <w:tcPr>
            <w:tcW w:w="4796" w:type="dxa"/>
            <w:tcBorders>
              <w:top w:val="nil"/>
              <w:bottom w:val="nil"/>
              <w:right w:val="single" w:sz="4" w:space="0" w:color="auto"/>
            </w:tcBorders>
          </w:tcPr>
          <w:p w:rsidR="00567B15" w:rsidRDefault="00567B15">
            <w:pPr>
              <w:spacing w:before="0" w:after="0" w:line="280" w:lineRule="exact"/>
              <w:jc w:val="both"/>
              <w:rPr>
                <w:sz w:val="26"/>
                <w:szCs w:val="26"/>
                <w:rtl/>
              </w:rPr>
            </w:pPr>
            <w:r>
              <w:rPr>
                <w:sz w:val="26"/>
                <w:szCs w:val="26"/>
                <w:rtl/>
              </w:rPr>
              <w:tab/>
              <w:t>نعم</w:t>
            </w:r>
          </w:p>
        </w:tc>
        <w:tc>
          <w:tcPr>
            <w:tcW w:w="1540" w:type="dxa"/>
            <w:tcBorders>
              <w:top w:val="nil"/>
              <w:left w:val="single" w:sz="4" w:space="0" w:color="auto"/>
              <w:bottom w:val="nil"/>
              <w:right w:val="single" w:sz="4" w:space="0" w:color="auto"/>
            </w:tcBorders>
          </w:tcPr>
          <w:p w:rsidR="00567B15" w:rsidRDefault="00567B15">
            <w:pPr>
              <w:spacing w:before="0" w:after="0" w:line="280" w:lineRule="exact"/>
              <w:ind w:firstLine="434"/>
              <w:jc w:val="both"/>
              <w:rPr>
                <w:rStyle w:val="FootnoteReference"/>
                <w:rFonts w:hint="cs"/>
                <w:bCs w:val="0"/>
                <w:sz w:val="26"/>
                <w:szCs w:val="26"/>
                <w:vertAlign w:val="baseline"/>
              </w:rPr>
            </w:pPr>
            <w:r>
              <w:rPr>
                <w:rFonts w:hint="cs"/>
                <w:sz w:val="26"/>
                <w:szCs w:val="26"/>
                <w:rtl/>
              </w:rPr>
              <w:t>39.1</w:t>
            </w:r>
          </w:p>
        </w:tc>
        <w:tc>
          <w:tcPr>
            <w:tcW w:w="1582" w:type="dxa"/>
            <w:tcBorders>
              <w:top w:val="nil"/>
              <w:left w:val="single" w:sz="4" w:space="0" w:color="auto"/>
              <w:bottom w:val="nil"/>
              <w:right w:val="single" w:sz="4" w:space="0" w:color="auto"/>
            </w:tcBorders>
          </w:tcPr>
          <w:p w:rsidR="00567B15" w:rsidRDefault="00567B15">
            <w:pPr>
              <w:spacing w:before="0" w:after="0" w:line="280" w:lineRule="exact"/>
              <w:ind w:firstLine="434"/>
              <w:jc w:val="both"/>
              <w:rPr>
                <w:rStyle w:val="FootnoteReference"/>
                <w:rFonts w:hint="cs"/>
                <w:bCs w:val="0"/>
                <w:sz w:val="26"/>
                <w:szCs w:val="26"/>
                <w:vertAlign w:val="baseline"/>
              </w:rPr>
            </w:pPr>
            <w:r>
              <w:rPr>
                <w:rFonts w:hint="cs"/>
                <w:sz w:val="26"/>
                <w:szCs w:val="26"/>
                <w:rtl/>
              </w:rPr>
              <w:t>47.5</w:t>
            </w:r>
          </w:p>
        </w:tc>
        <w:tc>
          <w:tcPr>
            <w:tcW w:w="1443" w:type="dxa"/>
            <w:tcBorders>
              <w:top w:val="nil"/>
              <w:left w:val="single" w:sz="4" w:space="0" w:color="auto"/>
              <w:bottom w:val="nil"/>
            </w:tcBorders>
          </w:tcPr>
          <w:p w:rsidR="00567B15" w:rsidRDefault="00567B15">
            <w:pPr>
              <w:spacing w:before="0" w:after="0" w:line="280" w:lineRule="exact"/>
              <w:ind w:firstLine="434"/>
              <w:jc w:val="both"/>
              <w:rPr>
                <w:rStyle w:val="FootnoteReference"/>
                <w:rFonts w:hint="cs"/>
                <w:bCs w:val="0"/>
                <w:sz w:val="26"/>
                <w:szCs w:val="26"/>
                <w:vertAlign w:val="baseline"/>
              </w:rPr>
            </w:pPr>
            <w:r>
              <w:rPr>
                <w:rFonts w:hint="cs"/>
                <w:sz w:val="26"/>
                <w:szCs w:val="26"/>
                <w:rtl/>
              </w:rPr>
              <w:t>27.8</w:t>
            </w:r>
          </w:p>
        </w:tc>
      </w:tr>
      <w:tr w:rsidR="00567B15" w:rsidTr="00567B15">
        <w:tblPrEx>
          <w:tblCellMar>
            <w:top w:w="0" w:type="dxa"/>
            <w:bottom w:w="0" w:type="dxa"/>
          </w:tblCellMar>
        </w:tblPrEx>
        <w:tc>
          <w:tcPr>
            <w:tcW w:w="4796" w:type="dxa"/>
            <w:tcBorders>
              <w:top w:val="nil"/>
              <w:right w:val="single" w:sz="4" w:space="0" w:color="auto"/>
            </w:tcBorders>
          </w:tcPr>
          <w:p w:rsidR="00567B15" w:rsidRDefault="00567B15">
            <w:pPr>
              <w:spacing w:before="0" w:after="0" w:line="280" w:lineRule="exact"/>
              <w:jc w:val="both"/>
              <w:rPr>
                <w:rFonts w:hint="cs"/>
                <w:sz w:val="26"/>
                <w:szCs w:val="26"/>
                <w:rtl/>
              </w:rPr>
            </w:pPr>
            <w:r>
              <w:rPr>
                <w:rFonts w:hint="cs"/>
                <w:sz w:val="26"/>
                <w:szCs w:val="26"/>
                <w:rtl/>
              </w:rPr>
              <w:tab/>
              <w:t>كلا</w:t>
            </w:r>
          </w:p>
        </w:tc>
        <w:tc>
          <w:tcPr>
            <w:tcW w:w="1540" w:type="dxa"/>
            <w:tcBorders>
              <w:top w:val="nil"/>
              <w:left w:val="single" w:sz="4" w:space="0" w:color="auto"/>
              <w:right w:val="single" w:sz="4" w:space="0" w:color="auto"/>
            </w:tcBorders>
          </w:tcPr>
          <w:p w:rsidR="00567B15" w:rsidRDefault="00567B15">
            <w:pPr>
              <w:spacing w:before="0" w:after="0" w:line="280" w:lineRule="exact"/>
              <w:ind w:firstLine="434"/>
              <w:jc w:val="both"/>
              <w:rPr>
                <w:rStyle w:val="FootnoteReference"/>
                <w:rFonts w:hint="cs"/>
                <w:bCs w:val="0"/>
                <w:sz w:val="26"/>
                <w:szCs w:val="26"/>
                <w:vertAlign w:val="baseline"/>
              </w:rPr>
            </w:pPr>
            <w:r>
              <w:rPr>
                <w:rFonts w:hint="cs"/>
                <w:sz w:val="26"/>
                <w:szCs w:val="26"/>
                <w:rtl/>
              </w:rPr>
              <w:t>60.9</w:t>
            </w:r>
          </w:p>
        </w:tc>
        <w:tc>
          <w:tcPr>
            <w:tcW w:w="1582" w:type="dxa"/>
            <w:tcBorders>
              <w:top w:val="nil"/>
              <w:left w:val="single" w:sz="4" w:space="0" w:color="auto"/>
              <w:right w:val="single" w:sz="4" w:space="0" w:color="auto"/>
            </w:tcBorders>
          </w:tcPr>
          <w:p w:rsidR="00567B15" w:rsidRDefault="00567B15">
            <w:pPr>
              <w:spacing w:before="0" w:after="0" w:line="280" w:lineRule="exact"/>
              <w:ind w:firstLine="434"/>
              <w:jc w:val="both"/>
              <w:rPr>
                <w:rStyle w:val="FootnoteReference"/>
                <w:rFonts w:hint="cs"/>
                <w:bCs w:val="0"/>
                <w:sz w:val="26"/>
                <w:szCs w:val="26"/>
                <w:vertAlign w:val="baseline"/>
              </w:rPr>
            </w:pPr>
            <w:r>
              <w:rPr>
                <w:rFonts w:hint="cs"/>
                <w:sz w:val="26"/>
                <w:szCs w:val="26"/>
                <w:rtl/>
              </w:rPr>
              <w:t>52.5</w:t>
            </w:r>
          </w:p>
        </w:tc>
        <w:tc>
          <w:tcPr>
            <w:tcW w:w="1443" w:type="dxa"/>
            <w:tcBorders>
              <w:top w:val="nil"/>
              <w:left w:val="single" w:sz="4" w:space="0" w:color="auto"/>
            </w:tcBorders>
          </w:tcPr>
          <w:p w:rsidR="00567B15" w:rsidRDefault="00567B15">
            <w:pPr>
              <w:spacing w:before="0" w:after="0" w:line="280" w:lineRule="exact"/>
              <w:ind w:firstLine="434"/>
              <w:jc w:val="both"/>
              <w:rPr>
                <w:rStyle w:val="FootnoteReference"/>
                <w:rFonts w:hint="cs"/>
                <w:bCs w:val="0"/>
                <w:sz w:val="26"/>
                <w:szCs w:val="26"/>
                <w:vertAlign w:val="baseline"/>
              </w:rPr>
            </w:pPr>
            <w:r>
              <w:rPr>
                <w:rFonts w:hint="cs"/>
                <w:sz w:val="26"/>
                <w:szCs w:val="26"/>
                <w:rtl/>
              </w:rPr>
              <w:t>72.2</w:t>
            </w:r>
          </w:p>
        </w:tc>
      </w:tr>
    </w:tbl>
    <w:p w:rsidR="00000000" w:rsidRDefault="00567B15">
      <w:pPr>
        <w:spacing w:before="120" w:after="0" w:line="280" w:lineRule="exact"/>
        <w:jc w:val="both"/>
        <w:rPr>
          <w:rFonts w:hint="cs"/>
          <w:rtl/>
        </w:rPr>
      </w:pPr>
      <w:r>
        <w:rPr>
          <w:rFonts w:hint="cs"/>
          <w:rtl/>
        </w:rPr>
        <w:tab/>
      </w:r>
      <w:r>
        <w:rPr>
          <w:rFonts w:hint="cs"/>
          <w:u w:val="single"/>
          <w:rtl/>
        </w:rPr>
        <w:t>المصدر</w:t>
      </w:r>
      <w:r>
        <w:rPr>
          <w:rFonts w:hint="cs"/>
          <w:rtl/>
        </w:rPr>
        <w:t>:</w:t>
      </w:r>
      <w:r>
        <w:rPr>
          <w:rFonts w:hint="cs"/>
          <w:rtl/>
        </w:rPr>
        <w:tab/>
        <w:t>مركز الدراسات السكانية والتنمية الاجتماعية</w:t>
      </w:r>
      <w:r>
        <w:rPr>
          <w:rFonts w:hint="cs"/>
          <w:rtl/>
        </w:rPr>
        <w:t>، الدراسة الاستقصائية الديمغرافية والمتعلقة بصحة الأم والطفل - 1999.</w:t>
      </w:r>
    </w:p>
    <w:p w:rsidR="00000000" w:rsidRDefault="00567B15">
      <w:pPr>
        <w:spacing w:line="380" w:lineRule="exact"/>
        <w:jc w:val="both"/>
        <w:rPr>
          <w:rFonts w:hint="cs"/>
          <w:rtl/>
        </w:rPr>
      </w:pPr>
      <w:r>
        <w:rPr>
          <w:rFonts w:hint="cs"/>
          <w:rtl/>
        </w:rPr>
        <w:t>429-</w:t>
      </w:r>
      <w:r>
        <w:rPr>
          <w:rFonts w:hint="cs"/>
          <w:rtl/>
        </w:rPr>
        <w:tab/>
        <w:t>وعلى الصعيد الوطني فإن 39 في المائة فقط من النساء يُجرى لهن فحص طبي بعد الولادة؛ وهو رقم أفضل بقليل في المناطق الحضرية، حيث يبلغ 47.5 في المائة. وعدم الاهتمام بصحة الأمهات أمر واضح ف</w:t>
      </w:r>
      <w:r>
        <w:rPr>
          <w:rFonts w:hint="cs"/>
          <w:rtl/>
        </w:rPr>
        <w:t>ي المناطق الريفية، حيث أن 7 نساء من أصل 10 يُجرى لهن فحص طبي بعد الولادة.</w:t>
      </w:r>
    </w:p>
    <w:p w:rsidR="00000000" w:rsidRDefault="00567B15">
      <w:pPr>
        <w:spacing w:line="380" w:lineRule="exact"/>
        <w:jc w:val="both"/>
        <w:rPr>
          <w:rFonts w:hint="cs"/>
          <w:rtl/>
        </w:rPr>
      </w:pPr>
      <w:r>
        <w:rPr>
          <w:rFonts w:hint="cs"/>
          <w:rtl/>
        </w:rPr>
        <w:t>430-</w:t>
      </w:r>
      <w:r>
        <w:rPr>
          <w:rFonts w:hint="cs"/>
          <w:rtl/>
        </w:rPr>
        <w:tab/>
        <w:t xml:space="preserve">وفي عام 1997 بلغ عدد وفيات الأمومة 93.7 لكل 000 100 مولود حي (المعهد الوطني للإحصاءات وتعداد السكان 1997)، مع وجود فوارق إقليمية تصل إلى 250 وفاة لكل 000 100 مولود حي. وهي نسبة </w:t>
      </w:r>
      <w:r>
        <w:rPr>
          <w:rFonts w:hint="cs"/>
          <w:rtl/>
        </w:rPr>
        <w:t>تقل عن الهدف الذي حدّده المؤتمر الدولي للسكان والتنمية</w:t>
      </w:r>
      <w:r>
        <w:rPr>
          <w:rFonts w:hint="cs"/>
          <w:vertAlign w:val="superscript"/>
          <w:rtl/>
        </w:rPr>
        <w:t>(58)</w:t>
      </w:r>
      <w:r>
        <w:rPr>
          <w:rFonts w:hint="cs"/>
          <w:rtl/>
        </w:rPr>
        <w:t>.</w:t>
      </w:r>
    </w:p>
    <w:p w:rsidR="00000000" w:rsidRDefault="00567B15">
      <w:pPr>
        <w:spacing w:line="380" w:lineRule="exact"/>
        <w:jc w:val="both"/>
        <w:rPr>
          <w:rFonts w:hint="cs"/>
          <w:rtl/>
        </w:rPr>
      </w:pPr>
      <w:r>
        <w:rPr>
          <w:rFonts w:hint="cs"/>
          <w:rtl/>
        </w:rPr>
        <w:t>431-</w:t>
      </w:r>
      <w:r>
        <w:rPr>
          <w:rFonts w:hint="cs"/>
          <w:rtl/>
        </w:rPr>
        <w:tab/>
        <w:t>والسبب الرئيسي المباشر لوفيات الأمومة هو تسمم الدم في الحمل، الذي يبلغ 38 في المائة من الوفيات، يليه النزيف خلال الحمل أو الولادة (23 في المائة)، وعمليات الإسقاط (6 في المائة) والمضاعفات اللا</w:t>
      </w:r>
      <w:r>
        <w:rPr>
          <w:rFonts w:hint="cs"/>
          <w:rtl/>
        </w:rPr>
        <w:t>حقة للولادة (4.2 في المائة). وتحتل نسبة الأسباب الأخرى المرتبطة بصورة مباشرة أو غير مباشرة بالحمل، أو الوضع، أو الفترة اللاحقة للوضع 29 في المائة</w:t>
      </w:r>
      <w:r>
        <w:rPr>
          <w:rFonts w:hint="cs"/>
          <w:vertAlign w:val="superscript"/>
          <w:rtl/>
        </w:rPr>
        <w:t>(59)</w:t>
      </w:r>
      <w:r>
        <w:rPr>
          <w:rFonts w:hint="cs"/>
          <w:rtl/>
        </w:rPr>
        <w:t xml:space="preserve">. </w:t>
      </w:r>
    </w:p>
    <w:p w:rsidR="00000000" w:rsidRDefault="00567B15">
      <w:pPr>
        <w:spacing w:line="380" w:lineRule="exact"/>
        <w:jc w:val="both"/>
        <w:rPr>
          <w:rFonts w:hint="cs"/>
          <w:rtl/>
        </w:rPr>
      </w:pPr>
      <w:r>
        <w:rPr>
          <w:rFonts w:hint="cs"/>
          <w:rtl/>
        </w:rPr>
        <w:t>432-</w:t>
      </w:r>
      <w:r>
        <w:rPr>
          <w:rFonts w:hint="cs"/>
          <w:rtl/>
        </w:rPr>
        <w:tab/>
        <w:t>ويبرز متوسط تغطية خدمات الرعاية الصحية في الأمومة، التي كانت تقدمها مرافق وزارة الصحة العامة في الت</w:t>
      </w:r>
      <w:r>
        <w:rPr>
          <w:rFonts w:hint="cs"/>
          <w:rtl/>
        </w:rPr>
        <w:t>سعينات الاتجاه التالي:</w:t>
      </w:r>
    </w:p>
    <w:p w:rsidR="00000000" w:rsidRDefault="00567B15">
      <w:pPr>
        <w:spacing w:line="380" w:lineRule="exact"/>
        <w:jc w:val="both"/>
        <w:rPr>
          <w:rFonts w:hint="cs"/>
          <w:spacing w:val="-2"/>
          <w:w w:val="99"/>
          <w:rtl/>
        </w:rPr>
      </w:pPr>
      <w:r>
        <w:rPr>
          <w:rFonts w:hint="cs"/>
          <w:spacing w:val="-2"/>
          <w:w w:val="99"/>
          <w:rtl/>
        </w:rPr>
        <w:tab/>
        <w:t>(أ)</w:t>
      </w:r>
      <w:r>
        <w:rPr>
          <w:rFonts w:hint="cs"/>
          <w:spacing w:val="-2"/>
          <w:w w:val="99"/>
          <w:rtl/>
        </w:rPr>
        <w:tab/>
        <w:t>ارتفعت نسبة الرعاية السابقة للولادة من 47.8 في المائة عام 1990 إلى 69.3 في المائة عام 1998</w:t>
      </w:r>
      <w:r>
        <w:rPr>
          <w:rFonts w:hint="cs"/>
          <w:spacing w:val="-2"/>
          <w:w w:val="99"/>
          <w:vertAlign w:val="superscript"/>
          <w:rtl/>
        </w:rPr>
        <w:t>(60)</w:t>
      </w:r>
      <w:r>
        <w:rPr>
          <w:rFonts w:hint="cs"/>
          <w:spacing w:val="-2"/>
          <w:w w:val="99"/>
          <w:rtl/>
        </w:rPr>
        <w:t>؛</w:t>
      </w:r>
    </w:p>
    <w:p w:rsidR="00000000" w:rsidRDefault="00567B15">
      <w:pPr>
        <w:spacing w:line="380" w:lineRule="exact"/>
        <w:jc w:val="both"/>
        <w:rPr>
          <w:rFonts w:hint="cs"/>
          <w:rtl/>
        </w:rPr>
      </w:pPr>
      <w:r>
        <w:rPr>
          <w:rFonts w:hint="cs"/>
          <w:rtl/>
        </w:rPr>
        <w:tab/>
        <w:t>(ب)</w:t>
      </w:r>
      <w:r>
        <w:rPr>
          <w:rFonts w:hint="cs"/>
          <w:rtl/>
        </w:rPr>
        <w:tab/>
        <w:t>ظلت المساعدة المقدمة عند الوضع ثابتة تقريباً خلال الست سنوات الماضية، حيث لم ترتفع من 23.6 في المائة إلا 26.9 في المائة عام 199</w:t>
      </w:r>
      <w:r>
        <w:rPr>
          <w:rFonts w:hint="cs"/>
          <w:rtl/>
        </w:rPr>
        <w:t>8؛</w:t>
      </w:r>
    </w:p>
    <w:p w:rsidR="00000000" w:rsidRDefault="00567B15">
      <w:pPr>
        <w:spacing w:line="380" w:lineRule="exact"/>
        <w:jc w:val="both"/>
        <w:rPr>
          <w:rFonts w:hint="cs"/>
          <w:rtl/>
        </w:rPr>
      </w:pPr>
      <w:r>
        <w:rPr>
          <w:rFonts w:hint="cs"/>
          <w:rtl/>
        </w:rPr>
        <w:tab/>
        <w:t>(ج)</w:t>
      </w:r>
      <w:r>
        <w:rPr>
          <w:rFonts w:hint="cs"/>
          <w:rtl/>
        </w:rPr>
        <w:tab/>
        <w:t>نسجت الرعاية اللاحقة للولادة على نفس المنوال، حيث ارتفعت من 11.6 في المائة عام 1990 إلى 15.1 في المائة عام 1998.</w:t>
      </w:r>
    </w:p>
    <w:p w:rsidR="00000000" w:rsidRDefault="00567B15">
      <w:pPr>
        <w:spacing w:line="380" w:lineRule="exact"/>
        <w:jc w:val="both"/>
        <w:rPr>
          <w:rFonts w:hint="cs"/>
          <w:i/>
          <w:iCs/>
          <w:rtl/>
        </w:rPr>
      </w:pPr>
      <w:r>
        <w:rPr>
          <w:rFonts w:hint="cs"/>
          <w:i/>
          <w:iCs/>
          <w:rtl/>
        </w:rPr>
        <w:t>الرعاية الصحية للطفل</w:t>
      </w:r>
    </w:p>
    <w:p w:rsidR="00000000" w:rsidRDefault="00567B15">
      <w:pPr>
        <w:spacing w:line="380" w:lineRule="exact"/>
        <w:jc w:val="both"/>
        <w:rPr>
          <w:rFonts w:hint="cs"/>
          <w:rtl/>
        </w:rPr>
      </w:pPr>
      <w:r>
        <w:rPr>
          <w:rFonts w:hint="cs"/>
          <w:rtl/>
        </w:rPr>
        <w:t>433-</w:t>
      </w:r>
      <w:r>
        <w:rPr>
          <w:rFonts w:hint="cs"/>
          <w:rtl/>
        </w:rPr>
        <w:tab/>
        <w:t>إن مستويات الرعاية الصحية وظيفة من اختصاص الخدمات الصحية، ونوعيتها وهيكلها الأساسي. وعلى المستوى الابتدائي، ا</w:t>
      </w:r>
      <w:r>
        <w:rPr>
          <w:rFonts w:hint="cs"/>
          <w:rtl/>
        </w:rPr>
        <w:t>لذي يشمل الرعاية الصحية الأولية، يرد التعليم والوقاية والترويج والعلاج في مرافق المرضى الخارجيين. ويشمل المستوى الثانوي أربعة اختصاصات أساسية وهي: طب النساء والتوليد، طب الأطفال، الجراحة، والطب الباطني.</w:t>
      </w:r>
    </w:p>
    <w:p w:rsidR="00000000" w:rsidRDefault="00567B15">
      <w:pPr>
        <w:spacing w:line="380" w:lineRule="exact"/>
        <w:jc w:val="both"/>
        <w:rPr>
          <w:rFonts w:hint="cs"/>
          <w:rtl/>
        </w:rPr>
      </w:pPr>
      <w:r>
        <w:rPr>
          <w:rFonts w:hint="cs"/>
          <w:rtl/>
        </w:rPr>
        <w:t>434-</w:t>
      </w:r>
      <w:r>
        <w:rPr>
          <w:rFonts w:hint="cs"/>
          <w:rtl/>
        </w:rPr>
        <w:tab/>
        <w:t>وفي الفترة بين عامي 1994 و1999 يبدو أن نسبة أكبر</w:t>
      </w:r>
      <w:r>
        <w:rPr>
          <w:rFonts w:hint="cs"/>
          <w:rtl/>
        </w:rPr>
        <w:t xml:space="preserve"> من السكان الإكوادوريين كانوا يتلقون رعاية صحية ثانوية، بسبب العجز في ثقافة الرعاية الصحية الوقائية وبسبب عوامل تتصل بنقص الموارد الاقتصادية، نظراً إلى أن السكان الذين يعيشون في المناطق الحضرية، يولون أهمية محدودة ولا سيما في المناطق الريفية، لمشاكلهم الصح</w:t>
      </w:r>
      <w:r>
        <w:rPr>
          <w:rFonts w:hint="cs"/>
          <w:rtl/>
        </w:rPr>
        <w:t>ية حتى تصبح مشاكل حادة، تتطلب رعاية أكثر تخصصاً.</w:t>
      </w:r>
    </w:p>
    <w:p w:rsidR="00000000" w:rsidRDefault="00567B15">
      <w:pPr>
        <w:spacing w:line="380" w:lineRule="exact"/>
        <w:jc w:val="both"/>
        <w:rPr>
          <w:rFonts w:hint="cs"/>
          <w:rtl/>
        </w:rPr>
      </w:pPr>
      <w:r>
        <w:rPr>
          <w:rFonts w:hint="cs"/>
          <w:rtl/>
        </w:rPr>
        <w:t>435-</w:t>
      </w:r>
      <w:r>
        <w:rPr>
          <w:rFonts w:hint="cs"/>
          <w:rtl/>
        </w:rPr>
        <w:tab/>
        <w:t>ويُجرى لزهاء 91.3 في المائة من الأطفال على الصعيد الوطني فحوص طبية منذ ولادتهم؛ وينخفض هذا الرقم إلى 87.9 في المائة في المناطق الريفية، ويتدنى عن ذلك في الأمازون، حيث إن نحو 16 في المائة من مجموع الأطفا</w:t>
      </w:r>
      <w:r>
        <w:rPr>
          <w:rFonts w:hint="cs"/>
          <w:rtl/>
        </w:rPr>
        <w:t>ل لا يجرى لهم أي شكل من أشكال الفحوص الطبية</w:t>
      </w:r>
      <w:r>
        <w:rPr>
          <w:rFonts w:hint="cs"/>
          <w:vertAlign w:val="superscript"/>
          <w:rtl/>
        </w:rPr>
        <w:t>(61)</w:t>
      </w:r>
      <w:r>
        <w:rPr>
          <w:rFonts w:hint="cs"/>
          <w:rtl/>
        </w:rPr>
        <w:t>.</w:t>
      </w:r>
    </w:p>
    <w:p w:rsidR="00000000" w:rsidRDefault="00567B15">
      <w:pPr>
        <w:spacing w:line="340" w:lineRule="exact"/>
        <w:jc w:val="center"/>
        <w:rPr>
          <w:rFonts w:hint="cs"/>
          <w:b/>
          <w:bCs/>
          <w:rtl/>
        </w:rPr>
      </w:pPr>
      <w:r>
        <w:rPr>
          <w:rFonts w:hint="cs"/>
          <w:b/>
          <w:bCs/>
          <w:rtl/>
        </w:rPr>
        <w:t>الفحوص الطبية التي تُجرى للأطفال حسب المنطقة والإقليم</w:t>
      </w:r>
      <w:r>
        <w:rPr>
          <w:b/>
          <w:bCs/>
          <w:rtl/>
        </w:rPr>
        <w:br/>
      </w:r>
      <w:r>
        <w:rPr>
          <w:rFonts w:hint="cs"/>
          <w:b/>
          <w:bCs/>
          <w:rtl/>
        </w:rPr>
        <w:t>(من آذار/مارس 1994 إلى شباط/فبراير 1999)</w:t>
      </w:r>
    </w:p>
    <w:tbl>
      <w:tblPr>
        <w:bidiVisual/>
        <w:tblW w:w="0" w:type="auto"/>
        <w:jc w:val="center"/>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0"/>
        <w:gridCol w:w="1876"/>
        <w:gridCol w:w="2300"/>
      </w:tblGrid>
      <w:tr w:rsidR="00567B15" w:rsidTr="00567B15">
        <w:tblPrEx>
          <w:tblCellMar>
            <w:top w:w="0" w:type="dxa"/>
            <w:bottom w:w="0" w:type="dxa"/>
          </w:tblCellMar>
        </w:tblPrEx>
        <w:trPr>
          <w:trHeight w:val="428"/>
          <w:jc w:val="center"/>
        </w:trPr>
        <w:tc>
          <w:tcPr>
            <w:tcW w:w="2610" w:type="dxa"/>
            <w:tcBorders>
              <w:bottom w:val="single" w:sz="4" w:space="0" w:color="auto"/>
            </w:tcBorders>
          </w:tcPr>
          <w:p w:rsidR="00567B15" w:rsidRDefault="00567B15">
            <w:pPr>
              <w:spacing w:before="0" w:after="0" w:line="360" w:lineRule="exact"/>
              <w:jc w:val="center"/>
              <w:rPr>
                <w:rFonts w:hint="cs"/>
                <w:sz w:val="26"/>
                <w:szCs w:val="26"/>
              </w:rPr>
            </w:pPr>
            <w:r>
              <w:rPr>
                <w:rFonts w:hint="cs"/>
                <w:sz w:val="26"/>
                <w:szCs w:val="26"/>
                <w:rtl/>
              </w:rPr>
              <w:t>المنطقة والإقليم</w:t>
            </w:r>
          </w:p>
        </w:tc>
        <w:tc>
          <w:tcPr>
            <w:tcW w:w="1876" w:type="dxa"/>
            <w:tcBorders>
              <w:bottom w:val="single" w:sz="4" w:space="0" w:color="auto"/>
            </w:tcBorders>
          </w:tcPr>
          <w:p w:rsidR="00567B15" w:rsidRDefault="00567B15">
            <w:pPr>
              <w:spacing w:before="0" w:after="0" w:line="360" w:lineRule="exact"/>
              <w:jc w:val="center"/>
              <w:rPr>
                <w:rFonts w:hint="cs"/>
                <w:sz w:val="26"/>
                <w:szCs w:val="26"/>
              </w:rPr>
            </w:pPr>
            <w:r>
              <w:rPr>
                <w:rFonts w:hint="cs"/>
                <w:sz w:val="26"/>
                <w:szCs w:val="26"/>
                <w:rtl/>
              </w:rPr>
              <w:t>الفحوص الطبية</w:t>
            </w:r>
          </w:p>
        </w:tc>
        <w:tc>
          <w:tcPr>
            <w:tcW w:w="2300" w:type="dxa"/>
            <w:tcBorders>
              <w:bottom w:val="single" w:sz="4" w:space="0" w:color="auto"/>
            </w:tcBorders>
          </w:tcPr>
          <w:p w:rsidR="00567B15" w:rsidRDefault="00567B15">
            <w:pPr>
              <w:spacing w:before="0" w:after="0" w:line="360" w:lineRule="exact"/>
              <w:jc w:val="center"/>
              <w:rPr>
                <w:rFonts w:hint="cs"/>
                <w:sz w:val="26"/>
                <w:szCs w:val="26"/>
              </w:rPr>
            </w:pPr>
            <w:r>
              <w:rPr>
                <w:rFonts w:hint="cs"/>
                <w:sz w:val="26"/>
                <w:szCs w:val="26"/>
                <w:rtl/>
              </w:rPr>
              <w:t>عدم إجراء فحوص طبية</w:t>
            </w:r>
          </w:p>
        </w:tc>
      </w:tr>
      <w:tr w:rsidR="00567B15" w:rsidTr="00567B15">
        <w:tblPrEx>
          <w:tblCellMar>
            <w:top w:w="0" w:type="dxa"/>
            <w:bottom w:w="0" w:type="dxa"/>
          </w:tblCellMar>
        </w:tblPrEx>
        <w:trPr>
          <w:jc w:val="center"/>
        </w:trPr>
        <w:tc>
          <w:tcPr>
            <w:tcW w:w="2610" w:type="dxa"/>
            <w:tcBorders>
              <w:bottom w:val="nil"/>
            </w:tcBorders>
          </w:tcPr>
          <w:p w:rsidR="00567B15" w:rsidRDefault="00567B15">
            <w:pPr>
              <w:spacing w:before="0" w:after="0" w:line="360" w:lineRule="exact"/>
              <w:jc w:val="both"/>
              <w:rPr>
                <w:rFonts w:hint="cs"/>
                <w:sz w:val="26"/>
                <w:szCs w:val="26"/>
              </w:rPr>
            </w:pPr>
            <w:r>
              <w:rPr>
                <w:rFonts w:hint="cs"/>
                <w:sz w:val="26"/>
                <w:szCs w:val="26"/>
                <w:rtl/>
              </w:rPr>
              <w:t>كامل البلد</w:t>
            </w:r>
          </w:p>
        </w:tc>
        <w:tc>
          <w:tcPr>
            <w:tcW w:w="1876" w:type="dxa"/>
            <w:tcBorders>
              <w:bottom w:val="nil"/>
            </w:tcBorders>
          </w:tcPr>
          <w:p w:rsidR="00567B15" w:rsidRDefault="00567B15">
            <w:pPr>
              <w:spacing w:before="0" w:after="0" w:line="360" w:lineRule="exact"/>
              <w:ind w:firstLine="522"/>
              <w:jc w:val="both"/>
              <w:rPr>
                <w:rFonts w:hint="cs"/>
                <w:sz w:val="26"/>
                <w:szCs w:val="26"/>
              </w:rPr>
            </w:pPr>
            <w:r>
              <w:rPr>
                <w:rFonts w:hint="cs"/>
                <w:sz w:val="26"/>
                <w:szCs w:val="26"/>
                <w:rtl/>
              </w:rPr>
              <w:t>91.3</w:t>
            </w:r>
          </w:p>
        </w:tc>
        <w:tc>
          <w:tcPr>
            <w:tcW w:w="2300" w:type="dxa"/>
            <w:tcBorders>
              <w:bottom w:val="nil"/>
            </w:tcBorders>
          </w:tcPr>
          <w:p w:rsidR="00567B15" w:rsidRDefault="00567B15">
            <w:pPr>
              <w:spacing w:before="0" w:after="0" w:line="360" w:lineRule="exact"/>
              <w:ind w:firstLine="858"/>
              <w:jc w:val="both"/>
              <w:rPr>
                <w:rStyle w:val="FootnoteReference"/>
                <w:rFonts w:hint="cs"/>
                <w:bCs w:val="0"/>
                <w:sz w:val="26"/>
                <w:szCs w:val="26"/>
                <w:vertAlign w:val="baseline"/>
                <w:rtl/>
              </w:rPr>
            </w:pPr>
            <w:r>
              <w:rPr>
                <w:rFonts w:hint="cs"/>
                <w:sz w:val="26"/>
                <w:szCs w:val="26"/>
                <w:rtl/>
              </w:rPr>
              <w:t>8.7</w:t>
            </w:r>
          </w:p>
        </w:tc>
      </w:tr>
      <w:tr w:rsidR="00567B15" w:rsidTr="00567B15">
        <w:tblPrEx>
          <w:tblCellMar>
            <w:top w:w="0" w:type="dxa"/>
            <w:bottom w:w="0" w:type="dxa"/>
          </w:tblCellMar>
        </w:tblPrEx>
        <w:trPr>
          <w:jc w:val="center"/>
        </w:trPr>
        <w:tc>
          <w:tcPr>
            <w:tcW w:w="2610" w:type="dxa"/>
            <w:tcBorders>
              <w:top w:val="nil"/>
              <w:bottom w:val="nil"/>
            </w:tcBorders>
          </w:tcPr>
          <w:p w:rsidR="00567B15" w:rsidRDefault="00567B15">
            <w:pPr>
              <w:spacing w:before="0" w:after="0" w:line="360" w:lineRule="exact"/>
              <w:jc w:val="both"/>
              <w:rPr>
                <w:rFonts w:hint="cs"/>
                <w:sz w:val="26"/>
                <w:szCs w:val="26"/>
              </w:rPr>
            </w:pPr>
            <w:r>
              <w:rPr>
                <w:rFonts w:hint="cs"/>
                <w:sz w:val="26"/>
                <w:szCs w:val="26"/>
                <w:rtl/>
              </w:rPr>
              <w:t>المنطقة</w:t>
            </w:r>
          </w:p>
        </w:tc>
        <w:tc>
          <w:tcPr>
            <w:tcW w:w="1876" w:type="dxa"/>
            <w:tcBorders>
              <w:top w:val="nil"/>
              <w:bottom w:val="nil"/>
            </w:tcBorders>
          </w:tcPr>
          <w:p w:rsidR="00567B15" w:rsidRDefault="00567B15">
            <w:pPr>
              <w:spacing w:before="0" w:after="0" w:line="360" w:lineRule="exact"/>
              <w:ind w:firstLine="522"/>
              <w:jc w:val="both"/>
              <w:rPr>
                <w:rFonts w:hint="cs"/>
                <w:sz w:val="26"/>
                <w:szCs w:val="26"/>
              </w:rPr>
            </w:pPr>
          </w:p>
        </w:tc>
        <w:tc>
          <w:tcPr>
            <w:tcW w:w="2300" w:type="dxa"/>
            <w:tcBorders>
              <w:top w:val="nil"/>
              <w:bottom w:val="nil"/>
            </w:tcBorders>
          </w:tcPr>
          <w:p w:rsidR="00567B15" w:rsidRDefault="00567B15">
            <w:pPr>
              <w:spacing w:before="0" w:after="0" w:line="360" w:lineRule="exact"/>
              <w:ind w:firstLine="858"/>
              <w:jc w:val="both"/>
              <w:rPr>
                <w:rFonts w:hint="cs"/>
                <w:sz w:val="26"/>
                <w:szCs w:val="26"/>
              </w:rPr>
            </w:pPr>
          </w:p>
        </w:tc>
      </w:tr>
      <w:tr w:rsidR="00567B15" w:rsidTr="00567B15">
        <w:tblPrEx>
          <w:tblCellMar>
            <w:top w:w="0" w:type="dxa"/>
            <w:bottom w:w="0" w:type="dxa"/>
          </w:tblCellMar>
        </w:tblPrEx>
        <w:trPr>
          <w:jc w:val="center"/>
        </w:trPr>
        <w:tc>
          <w:tcPr>
            <w:tcW w:w="2610" w:type="dxa"/>
            <w:tcBorders>
              <w:top w:val="nil"/>
              <w:bottom w:val="nil"/>
            </w:tcBorders>
          </w:tcPr>
          <w:p w:rsidR="00567B15" w:rsidRDefault="00567B15">
            <w:pPr>
              <w:spacing w:before="0" w:after="0" w:line="360" w:lineRule="exact"/>
              <w:jc w:val="both"/>
              <w:rPr>
                <w:rFonts w:hint="cs"/>
                <w:sz w:val="26"/>
                <w:szCs w:val="26"/>
              </w:rPr>
            </w:pPr>
            <w:r>
              <w:rPr>
                <w:rFonts w:hint="cs"/>
                <w:sz w:val="26"/>
                <w:szCs w:val="26"/>
                <w:rtl/>
              </w:rPr>
              <w:t xml:space="preserve">    الحضرية</w:t>
            </w:r>
          </w:p>
        </w:tc>
        <w:tc>
          <w:tcPr>
            <w:tcW w:w="1876" w:type="dxa"/>
            <w:tcBorders>
              <w:top w:val="nil"/>
              <w:bottom w:val="nil"/>
            </w:tcBorders>
          </w:tcPr>
          <w:p w:rsidR="00567B15" w:rsidRDefault="00567B15">
            <w:pPr>
              <w:spacing w:before="0" w:after="0" w:line="360" w:lineRule="exact"/>
              <w:ind w:firstLine="522"/>
              <w:jc w:val="both"/>
              <w:rPr>
                <w:rFonts w:hint="cs"/>
                <w:sz w:val="26"/>
                <w:szCs w:val="26"/>
              </w:rPr>
            </w:pPr>
            <w:r>
              <w:rPr>
                <w:rFonts w:hint="cs"/>
                <w:sz w:val="26"/>
                <w:szCs w:val="26"/>
                <w:rtl/>
              </w:rPr>
              <w:t>94.1</w:t>
            </w:r>
          </w:p>
        </w:tc>
        <w:tc>
          <w:tcPr>
            <w:tcW w:w="2300" w:type="dxa"/>
            <w:tcBorders>
              <w:top w:val="nil"/>
              <w:bottom w:val="nil"/>
            </w:tcBorders>
          </w:tcPr>
          <w:p w:rsidR="00567B15" w:rsidRDefault="00567B15">
            <w:pPr>
              <w:spacing w:before="0" w:after="0" w:line="360" w:lineRule="exact"/>
              <w:ind w:firstLine="858"/>
              <w:jc w:val="both"/>
              <w:rPr>
                <w:rFonts w:hint="cs"/>
                <w:sz w:val="26"/>
                <w:szCs w:val="26"/>
              </w:rPr>
            </w:pPr>
            <w:r>
              <w:rPr>
                <w:rFonts w:hint="cs"/>
                <w:sz w:val="26"/>
                <w:szCs w:val="26"/>
                <w:rtl/>
              </w:rPr>
              <w:t>5.9</w:t>
            </w:r>
          </w:p>
        </w:tc>
      </w:tr>
      <w:tr w:rsidR="00567B15" w:rsidTr="00567B15">
        <w:tblPrEx>
          <w:tblCellMar>
            <w:top w:w="0" w:type="dxa"/>
            <w:bottom w:w="0" w:type="dxa"/>
          </w:tblCellMar>
        </w:tblPrEx>
        <w:trPr>
          <w:jc w:val="center"/>
        </w:trPr>
        <w:tc>
          <w:tcPr>
            <w:tcW w:w="2610" w:type="dxa"/>
            <w:tcBorders>
              <w:top w:val="nil"/>
              <w:bottom w:val="nil"/>
            </w:tcBorders>
          </w:tcPr>
          <w:p w:rsidR="00567B15" w:rsidRDefault="00567B15">
            <w:pPr>
              <w:spacing w:before="0" w:after="0" w:line="360" w:lineRule="exact"/>
              <w:jc w:val="both"/>
              <w:rPr>
                <w:rFonts w:hint="cs"/>
                <w:sz w:val="26"/>
                <w:szCs w:val="26"/>
              </w:rPr>
            </w:pPr>
            <w:r>
              <w:rPr>
                <w:rFonts w:hint="cs"/>
                <w:sz w:val="26"/>
                <w:szCs w:val="26"/>
                <w:rtl/>
              </w:rPr>
              <w:t xml:space="preserve">    الريفية</w:t>
            </w:r>
          </w:p>
        </w:tc>
        <w:tc>
          <w:tcPr>
            <w:tcW w:w="1876" w:type="dxa"/>
            <w:tcBorders>
              <w:top w:val="nil"/>
              <w:bottom w:val="nil"/>
            </w:tcBorders>
          </w:tcPr>
          <w:p w:rsidR="00567B15" w:rsidRDefault="00567B15">
            <w:pPr>
              <w:spacing w:before="0" w:after="0" w:line="360" w:lineRule="exact"/>
              <w:ind w:firstLine="522"/>
              <w:jc w:val="both"/>
              <w:rPr>
                <w:rFonts w:hint="cs"/>
                <w:sz w:val="26"/>
                <w:szCs w:val="26"/>
              </w:rPr>
            </w:pPr>
            <w:r>
              <w:rPr>
                <w:rFonts w:hint="cs"/>
                <w:sz w:val="26"/>
                <w:szCs w:val="26"/>
                <w:rtl/>
              </w:rPr>
              <w:t>87.9</w:t>
            </w:r>
          </w:p>
        </w:tc>
        <w:tc>
          <w:tcPr>
            <w:tcW w:w="2300" w:type="dxa"/>
            <w:tcBorders>
              <w:top w:val="nil"/>
              <w:bottom w:val="nil"/>
            </w:tcBorders>
          </w:tcPr>
          <w:p w:rsidR="00567B15" w:rsidRDefault="00567B15">
            <w:pPr>
              <w:spacing w:before="0" w:after="0" w:line="360" w:lineRule="exact"/>
              <w:ind w:firstLine="858"/>
              <w:jc w:val="both"/>
              <w:rPr>
                <w:rFonts w:hint="cs"/>
                <w:sz w:val="26"/>
                <w:szCs w:val="26"/>
              </w:rPr>
            </w:pPr>
            <w:r>
              <w:rPr>
                <w:rFonts w:hint="cs"/>
                <w:sz w:val="26"/>
                <w:szCs w:val="26"/>
                <w:rtl/>
              </w:rPr>
              <w:t>12.1</w:t>
            </w:r>
          </w:p>
        </w:tc>
      </w:tr>
      <w:tr w:rsidR="00567B15" w:rsidTr="00567B15">
        <w:tblPrEx>
          <w:tblCellMar>
            <w:top w:w="0" w:type="dxa"/>
            <w:bottom w:w="0" w:type="dxa"/>
          </w:tblCellMar>
        </w:tblPrEx>
        <w:trPr>
          <w:jc w:val="center"/>
        </w:trPr>
        <w:tc>
          <w:tcPr>
            <w:tcW w:w="2610" w:type="dxa"/>
            <w:tcBorders>
              <w:top w:val="nil"/>
              <w:bottom w:val="nil"/>
            </w:tcBorders>
          </w:tcPr>
          <w:p w:rsidR="00567B15" w:rsidRDefault="00567B15">
            <w:pPr>
              <w:spacing w:before="0" w:after="0" w:line="360" w:lineRule="exact"/>
              <w:jc w:val="both"/>
              <w:rPr>
                <w:rFonts w:hint="cs"/>
                <w:sz w:val="26"/>
                <w:szCs w:val="26"/>
              </w:rPr>
            </w:pPr>
            <w:r>
              <w:rPr>
                <w:rFonts w:hint="cs"/>
                <w:sz w:val="26"/>
                <w:szCs w:val="26"/>
                <w:rtl/>
              </w:rPr>
              <w:t>الإقليم</w:t>
            </w:r>
          </w:p>
        </w:tc>
        <w:tc>
          <w:tcPr>
            <w:tcW w:w="1876" w:type="dxa"/>
            <w:tcBorders>
              <w:top w:val="nil"/>
              <w:bottom w:val="nil"/>
            </w:tcBorders>
          </w:tcPr>
          <w:p w:rsidR="00567B15" w:rsidRDefault="00567B15">
            <w:pPr>
              <w:spacing w:before="0" w:after="0" w:line="360" w:lineRule="exact"/>
              <w:ind w:firstLine="522"/>
              <w:jc w:val="both"/>
              <w:rPr>
                <w:rFonts w:hint="cs"/>
                <w:sz w:val="26"/>
                <w:szCs w:val="26"/>
              </w:rPr>
            </w:pPr>
          </w:p>
        </w:tc>
        <w:tc>
          <w:tcPr>
            <w:tcW w:w="2300" w:type="dxa"/>
            <w:tcBorders>
              <w:top w:val="nil"/>
              <w:bottom w:val="nil"/>
            </w:tcBorders>
          </w:tcPr>
          <w:p w:rsidR="00567B15" w:rsidRDefault="00567B15">
            <w:pPr>
              <w:spacing w:before="0" w:after="0" w:line="360" w:lineRule="exact"/>
              <w:ind w:firstLine="858"/>
              <w:jc w:val="both"/>
              <w:rPr>
                <w:rFonts w:hint="cs"/>
                <w:sz w:val="26"/>
                <w:szCs w:val="26"/>
              </w:rPr>
            </w:pPr>
          </w:p>
        </w:tc>
      </w:tr>
      <w:tr w:rsidR="00567B15" w:rsidTr="00567B15">
        <w:tblPrEx>
          <w:tblCellMar>
            <w:top w:w="0" w:type="dxa"/>
            <w:bottom w:w="0" w:type="dxa"/>
          </w:tblCellMar>
        </w:tblPrEx>
        <w:trPr>
          <w:jc w:val="center"/>
        </w:trPr>
        <w:tc>
          <w:tcPr>
            <w:tcW w:w="2610" w:type="dxa"/>
            <w:tcBorders>
              <w:top w:val="nil"/>
              <w:bottom w:val="nil"/>
            </w:tcBorders>
          </w:tcPr>
          <w:p w:rsidR="00567B15" w:rsidRDefault="00567B15">
            <w:pPr>
              <w:spacing w:before="0" w:after="0" w:line="360" w:lineRule="exact"/>
              <w:jc w:val="both"/>
              <w:rPr>
                <w:rFonts w:hint="cs"/>
                <w:sz w:val="26"/>
                <w:szCs w:val="26"/>
              </w:rPr>
            </w:pPr>
            <w:r>
              <w:rPr>
                <w:rFonts w:hint="cs"/>
                <w:sz w:val="26"/>
                <w:szCs w:val="26"/>
                <w:rtl/>
              </w:rPr>
              <w:t xml:space="preserve">    الساحلي</w:t>
            </w:r>
          </w:p>
        </w:tc>
        <w:tc>
          <w:tcPr>
            <w:tcW w:w="1876" w:type="dxa"/>
            <w:tcBorders>
              <w:top w:val="nil"/>
              <w:bottom w:val="nil"/>
            </w:tcBorders>
          </w:tcPr>
          <w:p w:rsidR="00567B15" w:rsidRDefault="00567B15">
            <w:pPr>
              <w:spacing w:before="0" w:after="0" w:line="360" w:lineRule="exact"/>
              <w:ind w:firstLine="522"/>
              <w:jc w:val="both"/>
              <w:rPr>
                <w:rFonts w:hint="cs"/>
                <w:sz w:val="26"/>
                <w:szCs w:val="26"/>
              </w:rPr>
            </w:pPr>
            <w:r>
              <w:rPr>
                <w:rFonts w:hint="cs"/>
                <w:sz w:val="26"/>
                <w:szCs w:val="26"/>
                <w:rtl/>
              </w:rPr>
              <w:t>92.7</w:t>
            </w:r>
          </w:p>
        </w:tc>
        <w:tc>
          <w:tcPr>
            <w:tcW w:w="2300" w:type="dxa"/>
            <w:tcBorders>
              <w:top w:val="nil"/>
              <w:bottom w:val="nil"/>
            </w:tcBorders>
          </w:tcPr>
          <w:p w:rsidR="00567B15" w:rsidRDefault="00567B15">
            <w:pPr>
              <w:spacing w:before="0" w:after="0" w:line="360" w:lineRule="exact"/>
              <w:ind w:firstLine="858"/>
              <w:jc w:val="both"/>
              <w:rPr>
                <w:rFonts w:hint="cs"/>
                <w:sz w:val="26"/>
                <w:szCs w:val="26"/>
              </w:rPr>
            </w:pPr>
            <w:r>
              <w:rPr>
                <w:rFonts w:hint="cs"/>
                <w:sz w:val="26"/>
                <w:szCs w:val="26"/>
                <w:rtl/>
              </w:rPr>
              <w:t>7.3</w:t>
            </w:r>
          </w:p>
        </w:tc>
      </w:tr>
      <w:tr w:rsidR="00567B15" w:rsidTr="00567B15">
        <w:tblPrEx>
          <w:tblCellMar>
            <w:top w:w="0" w:type="dxa"/>
            <w:bottom w:w="0" w:type="dxa"/>
          </w:tblCellMar>
        </w:tblPrEx>
        <w:trPr>
          <w:jc w:val="center"/>
        </w:trPr>
        <w:tc>
          <w:tcPr>
            <w:tcW w:w="2610" w:type="dxa"/>
            <w:tcBorders>
              <w:top w:val="nil"/>
              <w:bottom w:val="nil"/>
            </w:tcBorders>
          </w:tcPr>
          <w:p w:rsidR="00567B15" w:rsidRDefault="00567B15">
            <w:pPr>
              <w:spacing w:before="0" w:after="0" w:line="360" w:lineRule="exact"/>
              <w:jc w:val="both"/>
              <w:rPr>
                <w:rFonts w:hint="cs"/>
                <w:sz w:val="26"/>
                <w:szCs w:val="26"/>
                <w:rtl/>
              </w:rPr>
            </w:pPr>
            <w:r>
              <w:rPr>
                <w:rFonts w:hint="cs"/>
                <w:sz w:val="26"/>
                <w:szCs w:val="26"/>
                <w:rtl/>
              </w:rPr>
              <w:t xml:space="preserve">    سيارا</w:t>
            </w:r>
          </w:p>
        </w:tc>
        <w:tc>
          <w:tcPr>
            <w:tcW w:w="1876" w:type="dxa"/>
            <w:tcBorders>
              <w:top w:val="nil"/>
              <w:bottom w:val="nil"/>
            </w:tcBorders>
          </w:tcPr>
          <w:p w:rsidR="00567B15" w:rsidRDefault="00567B15">
            <w:pPr>
              <w:spacing w:before="0" w:after="0" w:line="360" w:lineRule="exact"/>
              <w:ind w:firstLine="522"/>
              <w:jc w:val="both"/>
              <w:rPr>
                <w:rFonts w:hint="cs"/>
                <w:sz w:val="26"/>
                <w:szCs w:val="26"/>
              </w:rPr>
            </w:pPr>
            <w:r>
              <w:rPr>
                <w:rFonts w:hint="cs"/>
                <w:sz w:val="26"/>
                <w:szCs w:val="26"/>
                <w:rtl/>
              </w:rPr>
              <w:t>90.9</w:t>
            </w:r>
          </w:p>
        </w:tc>
        <w:tc>
          <w:tcPr>
            <w:tcW w:w="2300" w:type="dxa"/>
            <w:tcBorders>
              <w:top w:val="nil"/>
              <w:bottom w:val="nil"/>
            </w:tcBorders>
          </w:tcPr>
          <w:p w:rsidR="00567B15" w:rsidRDefault="00567B15">
            <w:pPr>
              <w:spacing w:before="0" w:after="0" w:line="360" w:lineRule="exact"/>
              <w:ind w:firstLine="858"/>
              <w:jc w:val="both"/>
              <w:rPr>
                <w:rFonts w:hint="cs"/>
                <w:sz w:val="26"/>
                <w:szCs w:val="26"/>
              </w:rPr>
            </w:pPr>
            <w:r>
              <w:rPr>
                <w:rFonts w:hint="cs"/>
                <w:sz w:val="26"/>
                <w:szCs w:val="26"/>
                <w:rtl/>
              </w:rPr>
              <w:t>9.1</w:t>
            </w:r>
          </w:p>
        </w:tc>
      </w:tr>
      <w:tr w:rsidR="00567B15" w:rsidTr="00567B15">
        <w:tblPrEx>
          <w:tblCellMar>
            <w:top w:w="0" w:type="dxa"/>
            <w:bottom w:w="0" w:type="dxa"/>
          </w:tblCellMar>
        </w:tblPrEx>
        <w:trPr>
          <w:jc w:val="center"/>
        </w:trPr>
        <w:tc>
          <w:tcPr>
            <w:tcW w:w="2610" w:type="dxa"/>
            <w:tcBorders>
              <w:top w:val="nil"/>
              <w:bottom w:val="nil"/>
            </w:tcBorders>
          </w:tcPr>
          <w:p w:rsidR="00567B15" w:rsidRDefault="00567B15">
            <w:pPr>
              <w:spacing w:before="0" w:after="0" w:line="360" w:lineRule="exact"/>
              <w:jc w:val="both"/>
              <w:rPr>
                <w:rFonts w:hint="cs"/>
                <w:sz w:val="26"/>
                <w:szCs w:val="26"/>
                <w:rtl/>
              </w:rPr>
            </w:pPr>
            <w:r>
              <w:rPr>
                <w:rFonts w:hint="cs"/>
                <w:sz w:val="26"/>
                <w:szCs w:val="26"/>
                <w:rtl/>
              </w:rPr>
              <w:t xml:space="preserve">    الأمازون</w:t>
            </w:r>
          </w:p>
        </w:tc>
        <w:tc>
          <w:tcPr>
            <w:tcW w:w="1876" w:type="dxa"/>
            <w:tcBorders>
              <w:top w:val="nil"/>
              <w:bottom w:val="nil"/>
            </w:tcBorders>
          </w:tcPr>
          <w:p w:rsidR="00567B15" w:rsidRDefault="00567B15">
            <w:pPr>
              <w:spacing w:before="0" w:after="0" w:line="360" w:lineRule="exact"/>
              <w:ind w:firstLine="522"/>
              <w:jc w:val="both"/>
              <w:rPr>
                <w:rFonts w:hint="cs"/>
                <w:sz w:val="26"/>
                <w:szCs w:val="26"/>
              </w:rPr>
            </w:pPr>
            <w:r>
              <w:rPr>
                <w:rFonts w:hint="cs"/>
                <w:sz w:val="26"/>
                <w:szCs w:val="26"/>
                <w:rtl/>
              </w:rPr>
              <w:t>84.0</w:t>
            </w:r>
          </w:p>
        </w:tc>
        <w:tc>
          <w:tcPr>
            <w:tcW w:w="2300" w:type="dxa"/>
            <w:tcBorders>
              <w:top w:val="nil"/>
              <w:bottom w:val="nil"/>
            </w:tcBorders>
          </w:tcPr>
          <w:p w:rsidR="00567B15" w:rsidRDefault="00567B15">
            <w:pPr>
              <w:spacing w:before="0" w:after="0" w:line="360" w:lineRule="exact"/>
              <w:ind w:firstLine="858"/>
              <w:jc w:val="both"/>
              <w:rPr>
                <w:rFonts w:hint="cs"/>
                <w:sz w:val="26"/>
                <w:szCs w:val="26"/>
              </w:rPr>
            </w:pPr>
            <w:r>
              <w:rPr>
                <w:rFonts w:hint="cs"/>
                <w:sz w:val="26"/>
                <w:szCs w:val="26"/>
                <w:rtl/>
              </w:rPr>
              <w:t>16.0</w:t>
            </w:r>
          </w:p>
        </w:tc>
      </w:tr>
      <w:tr w:rsidR="00567B15" w:rsidTr="00567B15">
        <w:tblPrEx>
          <w:tblCellMar>
            <w:top w:w="0" w:type="dxa"/>
            <w:bottom w:w="0" w:type="dxa"/>
          </w:tblCellMar>
        </w:tblPrEx>
        <w:trPr>
          <w:jc w:val="center"/>
        </w:trPr>
        <w:tc>
          <w:tcPr>
            <w:tcW w:w="2610" w:type="dxa"/>
            <w:tcBorders>
              <w:top w:val="nil"/>
            </w:tcBorders>
          </w:tcPr>
          <w:p w:rsidR="00567B15" w:rsidRDefault="00567B15">
            <w:pPr>
              <w:spacing w:before="0" w:after="0" w:line="360" w:lineRule="exact"/>
              <w:jc w:val="both"/>
              <w:rPr>
                <w:rFonts w:hint="cs"/>
                <w:sz w:val="26"/>
                <w:szCs w:val="26"/>
                <w:rtl/>
              </w:rPr>
            </w:pPr>
            <w:r>
              <w:rPr>
                <w:rFonts w:hint="cs"/>
                <w:sz w:val="26"/>
                <w:szCs w:val="26"/>
                <w:rtl/>
              </w:rPr>
              <w:t xml:space="preserve">    الجزر</w:t>
            </w:r>
          </w:p>
        </w:tc>
        <w:tc>
          <w:tcPr>
            <w:tcW w:w="1876" w:type="dxa"/>
            <w:tcBorders>
              <w:top w:val="nil"/>
            </w:tcBorders>
          </w:tcPr>
          <w:p w:rsidR="00567B15" w:rsidRDefault="00567B15">
            <w:pPr>
              <w:spacing w:before="0" w:after="0" w:line="360" w:lineRule="exact"/>
              <w:ind w:firstLine="522"/>
              <w:jc w:val="both"/>
              <w:rPr>
                <w:rFonts w:hint="cs"/>
                <w:sz w:val="26"/>
                <w:szCs w:val="26"/>
              </w:rPr>
            </w:pPr>
            <w:r>
              <w:rPr>
                <w:rFonts w:hint="cs"/>
                <w:sz w:val="26"/>
                <w:szCs w:val="26"/>
                <w:rtl/>
              </w:rPr>
              <w:t>95.5</w:t>
            </w:r>
          </w:p>
        </w:tc>
        <w:tc>
          <w:tcPr>
            <w:tcW w:w="2300" w:type="dxa"/>
            <w:tcBorders>
              <w:top w:val="nil"/>
            </w:tcBorders>
          </w:tcPr>
          <w:p w:rsidR="00567B15" w:rsidRDefault="00567B15">
            <w:pPr>
              <w:spacing w:before="0" w:after="0" w:line="360" w:lineRule="exact"/>
              <w:ind w:firstLine="858"/>
              <w:jc w:val="both"/>
              <w:rPr>
                <w:rFonts w:hint="cs"/>
                <w:sz w:val="26"/>
                <w:szCs w:val="26"/>
              </w:rPr>
            </w:pPr>
            <w:r>
              <w:rPr>
                <w:rFonts w:hint="cs"/>
                <w:sz w:val="26"/>
                <w:szCs w:val="26"/>
                <w:rtl/>
              </w:rPr>
              <w:t>4.5</w:t>
            </w:r>
          </w:p>
        </w:tc>
      </w:tr>
    </w:tbl>
    <w:p w:rsidR="00000000" w:rsidRDefault="00567B15">
      <w:pPr>
        <w:ind w:left="2160" w:right="1358" w:hanging="720"/>
        <w:jc w:val="both"/>
        <w:rPr>
          <w:rFonts w:hint="cs"/>
          <w:rtl/>
        </w:rPr>
      </w:pPr>
      <w:r>
        <w:rPr>
          <w:rFonts w:hint="cs"/>
          <w:u w:val="single"/>
          <w:rtl/>
        </w:rPr>
        <w:t>المصدر</w:t>
      </w:r>
      <w:r>
        <w:rPr>
          <w:rFonts w:hint="cs"/>
          <w:rtl/>
        </w:rPr>
        <w:t>:</w:t>
      </w:r>
      <w:r>
        <w:rPr>
          <w:rFonts w:hint="cs"/>
          <w:rtl/>
        </w:rPr>
        <w:tab/>
        <w:t>مركز الدراسات السكانية والتنمية الاجتماعية المسؤولة، الدراسة الاستقصائية الديمغرافية والمتعلقة بحالة الأم والطفل لعام 1999.</w:t>
      </w:r>
    </w:p>
    <w:p w:rsidR="00000000" w:rsidRDefault="00567B15">
      <w:pPr>
        <w:spacing w:line="380" w:lineRule="exact"/>
        <w:jc w:val="both"/>
        <w:rPr>
          <w:rFonts w:hint="cs"/>
          <w:i/>
          <w:iCs/>
          <w:rtl/>
        </w:rPr>
      </w:pPr>
      <w:r>
        <w:rPr>
          <w:rFonts w:hint="cs"/>
          <w:i/>
          <w:iCs/>
          <w:rtl/>
        </w:rPr>
        <w:t>حالة السكا</w:t>
      </w:r>
      <w:r>
        <w:rPr>
          <w:rFonts w:hint="cs"/>
          <w:i/>
          <w:iCs/>
          <w:rtl/>
        </w:rPr>
        <w:t>ن</w:t>
      </w:r>
    </w:p>
    <w:p w:rsidR="00000000" w:rsidRDefault="00567B15">
      <w:pPr>
        <w:spacing w:line="380" w:lineRule="exact"/>
        <w:jc w:val="both"/>
        <w:rPr>
          <w:rFonts w:hint="cs"/>
          <w:rtl/>
        </w:rPr>
      </w:pPr>
      <w:r>
        <w:rPr>
          <w:rFonts w:hint="cs"/>
          <w:rtl/>
        </w:rPr>
        <w:t>436-</w:t>
      </w:r>
      <w:r>
        <w:rPr>
          <w:rFonts w:hint="cs"/>
          <w:rtl/>
        </w:rPr>
        <w:tab/>
        <w:t>يشهد الفقر المدقع في إكوادور كثافة في الكانتونات والبلديات الريفية وأغلبية سكانها من السكان الأصليين والسود. ويعاني هؤلاء السكان من فقر متواصل في شكل تدهور نوعية المعيشة والظروف الصحية، نظراً إلى العلاقة المتينة القائمة بين التنمية الاقتصادية الاجتم</w:t>
      </w:r>
      <w:r>
        <w:rPr>
          <w:rFonts w:hint="cs"/>
          <w:rtl/>
        </w:rPr>
        <w:t xml:space="preserve">اعية والصحة. وخيارات بقائهم هي مواصلة العيش في الريف أو الشروع في الهجرة إلى المدن الكبيرة أو إلى بلدان أخرى، حيث يواجهون مشاكل اقتصادية أكثر حدة، والاكتظاظ والفصل ومشكلة أكثر تفاقماً هي الاغتراب الثقافي عن هويتهم، مما شجع على بروز مشاكل صحية جديدة وتغيير </w:t>
      </w:r>
      <w:r>
        <w:rPr>
          <w:rFonts w:hint="cs"/>
          <w:rtl/>
        </w:rPr>
        <w:t>الأنماط الوبائية.</w:t>
      </w:r>
    </w:p>
    <w:p w:rsidR="00000000" w:rsidRDefault="00567B15">
      <w:pPr>
        <w:spacing w:line="380" w:lineRule="exact"/>
        <w:jc w:val="both"/>
        <w:rPr>
          <w:rFonts w:hint="cs"/>
          <w:rtl/>
        </w:rPr>
      </w:pPr>
      <w:r>
        <w:rPr>
          <w:rFonts w:hint="cs"/>
          <w:rtl/>
        </w:rPr>
        <w:t>437-</w:t>
      </w:r>
      <w:r>
        <w:rPr>
          <w:rFonts w:hint="cs"/>
          <w:rtl/>
        </w:rPr>
        <w:tab/>
        <w:t xml:space="preserve">وترتبط المشاكل الصحية لدى شرائح السكان الأصليين ارتباطاً مباشراً بالفقر، لا سيما بظواهر مثل سوء التغذية، ونقص الخدمات الأساسية، وغياب الهياكل الأساسية، والحصول على مياه الشرب بكميات محدودة أو عدم توافرها أصلاً والمجارير وما إلى ذلك، </w:t>
      </w:r>
      <w:r>
        <w:rPr>
          <w:rFonts w:hint="cs"/>
          <w:rtl/>
        </w:rPr>
        <w:t xml:space="preserve">كما يظهر ذلك في مؤشرات الوفيات المرتفعة في المقاطعات التي يؤمها عدد كبير من السـكان الأصليين، مثل بوليفـار (5.8 بين كل 000 100 مولود حي)، وكوتوباكسي (7.8)، وشيمبورازو (6.8)، وإنبابورا (6.6) وتونغوراهوا (6.2) مقارنة بمعدل الوفيـات الشامل وهو 4.5 بين كل 000 </w:t>
      </w:r>
      <w:r>
        <w:rPr>
          <w:rFonts w:hint="cs"/>
          <w:rtl/>
        </w:rPr>
        <w:t>100 مولود حي</w:t>
      </w:r>
      <w:r>
        <w:rPr>
          <w:rFonts w:hint="cs"/>
          <w:vertAlign w:val="superscript"/>
          <w:rtl/>
        </w:rPr>
        <w:t>(62)</w:t>
      </w:r>
      <w:r>
        <w:rPr>
          <w:rFonts w:hint="cs"/>
          <w:rtl/>
        </w:rPr>
        <w:t>.</w:t>
      </w:r>
    </w:p>
    <w:p w:rsidR="00000000" w:rsidRDefault="00567B15">
      <w:pPr>
        <w:spacing w:line="380" w:lineRule="exact"/>
        <w:jc w:val="both"/>
        <w:rPr>
          <w:rFonts w:hint="cs"/>
          <w:rtl/>
        </w:rPr>
      </w:pPr>
      <w:r>
        <w:rPr>
          <w:rFonts w:hint="cs"/>
          <w:rtl/>
        </w:rPr>
        <w:t>438-</w:t>
      </w:r>
      <w:r>
        <w:rPr>
          <w:rFonts w:hint="cs"/>
          <w:rtl/>
        </w:rPr>
        <w:tab/>
        <w:t>وعلى مر التاريخ، نبذ الاتجاه الرسمي معارف السكان الأصليين الطبية، موازياً إياه بالسحر أو الشعوذة ومعتبراً أنها تفتقر إلى الأساس العلمي؛ غير أن طب السكان الأصليين ساد، وأثبت نجاعته لدى أكثرية السكان الأصليين الذين يتوجهون إلى المعالجي</w:t>
      </w:r>
      <w:r>
        <w:rPr>
          <w:rFonts w:hint="cs"/>
          <w:rtl/>
        </w:rPr>
        <w:t xml:space="preserve">ن التقليديين مثل تيتياشاكس </w:t>
      </w:r>
      <w:r>
        <w:t>taitayachacs</w:t>
      </w:r>
      <w:r>
        <w:rPr>
          <w:rFonts w:hint="cs"/>
          <w:rtl/>
        </w:rPr>
        <w:t xml:space="preserve">، وكويفيشاكس </w:t>
      </w:r>
      <w:r>
        <w:t>cuyfichacs</w:t>
      </w:r>
      <w:r>
        <w:rPr>
          <w:rFonts w:hint="cs"/>
          <w:rtl/>
        </w:rPr>
        <w:t xml:space="preserve">، وماباشيتادوروس </w:t>
      </w:r>
      <w:r>
        <w:t>mapachitadores</w:t>
      </w:r>
      <w:r>
        <w:rPr>
          <w:rFonts w:hint="cs"/>
          <w:rtl/>
        </w:rPr>
        <w:t xml:space="preserve">، وتشامانس </w:t>
      </w:r>
      <w:r>
        <w:t>shamans</w:t>
      </w:r>
      <w:r>
        <w:rPr>
          <w:rFonts w:hint="cs"/>
          <w:rtl/>
        </w:rPr>
        <w:t xml:space="preserve"> ومن إليهم.</w:t>
      </w:r>
    </w:p>
    <w:p w:rsidR="00000000" w:rsidRDefault="00567B15">
      <w:pPr>
        <w:spacing w:line="380" w:lineRule="exact"/>
        <w:jc w:val="both"/>
        <w:rPr>
          <w:rFonts w:hint="cs"/>
          <w:rtl/>
        </w:rPr>
      </w:pPr>
      <w:r>
        <w:rPr>
          <w:rFonts w:hint="cs"/>
          <w:rtl/>
        </w:rPr>
        <w:t>439-</w:t>
      </w:r>
      <w:r>
        <w:rPr>
          <w:rFonts w:hint="cs"/>
          <w:rtl/>
        </w:rPr>
        <w:tab/>
        <w:t xml:space="preserve">وتبين الدراسات التي أجريت في أوساط تسعة مجتمعات محلية في أوتافالو رفض قبول السكان الأصليين في المرافق الصحية الرسمية؛ ويعود ذلك </w:t>
      </w:r>
      <w:r>
        <w:rPr>
          <w:rFonts w:hint="cs"/>
          <w:rtl/>
        </w:rPr>
        <w:t>أساساً إلى حاجز ثقافي، نظراً إلى أن موظفي الصحة لا يدركون منظور السكان الأصليين للكون ولا يتقنون لغتهم، وكذلك بسبب ارتفاع تكاليف العلاج. ومن أجل تجاوز هذه المشاكل، سيكون من الضروري إقامة حوار بين طب السكان الأصليين والطب الغربي على قدم المساواة والسعي لإرس</w:t>
      </w:r>
      <w:r>
        <w:rPr>
          <w:rFonts w:hint="cs"/>
          <w:rtl/>
        </w:rPr>
        <w:t>اء نظام رعاية صحية "مختلط" يفسح المجال لتفهم الفوارق الثقافية في الطريقة التي يعالج بها المرضى ويدمج كلتا فئتي المعارف.</w:t>
      </w:r>
    </w:p>
    <w:p w:rsidR="00000000" w:rsidRDefault="00567B15">
      <w:pPr>
        <w:spacing w:line="380" w:lineRule="exact"/>
        <w:jc w:val="both"/>
        <w:rPr>
          <w:rFonts w:hint="cs"/>
          <w:rtl/>
        </w:rPr>
      </w:pPr>
      <w:r>
        <w:rPr>
          <w:rFonts w:hint="cs"/>
          <w:rtl/>
        </w:rPr>
        <w:t>440-</w:t>
      </w:r>
      <w:r>
        <w:rPr>
          <w:rFonts w:hint="cs"/>
          <w:rtl/>
        </w:rPr>
        <w:tab/>
        <w:t>وولّدت تجربة تتماشى مع هذا الاتجاه نتائج طيبة: إذ أجريت في جامبي هواسي بمقاطعة أوتافالو، وفي ساكيسيلي بمقاطعة كوتوباكسي، حيث تقدم ا</w:t>
      </w:r>
      <w:r>
        <w:rPr>
          <w:rFonts w:hint="cs"/>
          <w:rtl/>
        </w:rPr>
        <w:t>لرعاية الطبية في ظروف يسود فيها الاحترام المشترك والمساواة بين فئتي الطب ويُمكَّن المرضى فيها من اختيار فئة الرعاية التي يودونها. وفي ذلك إشارة إلى وجوب تعميم التجربة على مناطق أخرى من البلد يقطنها سكان أصليون</w:t>
      </w:r>
      <w:r>
        <w:rPr>
          <w:rFonts w:hint="cs"/>
          <w:vertAlign w:val="superscript"/>
          <w:rtl/>
        </w:rPr>
        <w:t>(63)</w:t>
      </w:r>
      <w:r>
        <w:rPr>
          <w:rFonts w:hint="cs"/>
          <w:rtl/>
        </w:rPr>
        <w:t xml:space="preserve">. </w:t>
      </w:r>
    </w:p>
    <w:p w:rsidR="00000000" w:rsidRDefault="00567B15">
      <w:pPr>
        <w:spacing w:line="380" w:lineRule="exact"/>
        <w:jc w:val="both"/>
        <w:rPr>
          <w:rFonts w:hint="cs"/>
          <w:i/>
          <w:iCs/>
          <w:rtl/>
        </w:rPr>
      </w:pPr>
      <w:r>
        <w:rPr>
          <w:rFonts w:hint="cs"/>
          <w:i/>
          <w:iCs/>
          <w:rtl/>
        </w:rPr>
        <w:t>العمل من أجل مكافحة الظروف غير الصحية</w:t>
      </w:r>
    </w:p>
    <w:p w:rsidR="00000000" w:rsidRDefault="00567B15">
      <w:pPr>
        <w:spacing w:line="380" w:lineRule="exact"/>
        <w:jc w:val="both"/>
        <w:rPr>
          <w:rFonts w:hint="cs"/>
          <w:rtl/>
        </w:rPr>
      </w:pPr>
      <w:r>
        <w:rPr>
          <w:rFonts w:hint="cs"/>
          <w:rtl/>
        </w:rPr>
        <w:t>44</w:t>
      </w:r>
      <w:r>
        <w:rPr>
          <w:rFonts w:hint="cs"/>
          <w:rtl/>
        </w:rPr>
        <w:t>1-</w:t>
      </w:r>
      <w:r>
        <w:rPr>
          <w:rFonts w:hint="cs"/>
          <w:rtl/>
        </w:rPr>
        <w:tab/>
        <w:t xml:space="preserve">وفقت إكوادور إلى زيادة التغطية بإمدادات مياه الشرب، ومياه المجارير والتخلص من النفايات بنسبة 15 في المائة مقارنة بالحالة السابقة؛ فقد صُمِّمت عمليات تضمن مستويات بنوعية ملائمة لحماية الصحة العامة، لا سيما في صنع المنتوجات المعدة للاستهلاك البشري، وخاصة </w:t>
      </w:r>
      <w:r>
        <w:rPr>
          <w:rFonts w:hint="cs"/>
          <w:rtl/>
        </w:rPr>
        <w:t>الأدوية والأغذية، وتقديم الخدمات الصحية، انطلاقاً من وجهة نظر المستفيد وتراعي في الوقت نفسه احترام المعايير التقنية. ومن أهم هذه الإنجازات العمل في مجال الخدمات الصحية، والتدريب ووزع الموارد البشرية.</w:t>
      </w:r>
    </w:p>
    <w:p w:rsidR="00000000" w:rsidRDefault="00567B15">
      <w:pPr>
        <w:spacing w:line="380" w:lineRule="exact"/>
        <w:jc w:val="both"/>
        <w:rPr>
          <w:rFonts w:hint="cs"/>
          <w:rtl/>
        </w:rPr>
      </w:pPr>
      <w:r>
        <w:rPr>
          <w:rFonts w:hint="cs"/>
          <w:rtl/>
        </w:rPr>
        <w:t>442-</w:t>
      </w:r>
      <w:r>
        <w:rPr>
          <w:rFonts w:hint="cs"/>
          <w:rtl/>
        </w:rPr>
        <w:tab/>
        <w:t>ولهذا الغرض، بدأت الحكومة في تنفيذ الخطة الوطنية لل</w:t>
      </w:r>
      <w:r>
        <w:rPr>
          <w:rFonts w:hint="cs"/>
          <w:rtl/>
        </w:rPr>
        <w:t>صحة منذ نهاية عام 1999، وأصبحت الخطة في الوقت الحاضر تغطي البلد بأكمله.</w:t>
      </w:r>
    </w:p>
    <w:p w:rsidR="00000000" w:rsidRDefault="00567B15">
      <w:pPr>
        <w:spacing w:line="380" w:lineRule="exact"/>
        <w:jc w:val="both"/>
        <w:rPr>
          <w:rFonts w:hint="cs"/>
          <w:rtl/>
        </w:rPr>
      </w:pPr>
      <w:r>
        <w:rPr>
          <w:rFonts w:hint="cs"/>
          <w:rtl/>
        </w:rPr>
        <w:t>443-</w:t>
      </w:r>
      <w:r>
        <w:rPr>
          <w:rFonts w:hint="cs"/>
          <w:rtl/>
        </w:rPr>
        <w:tab/>
        <w:t>وتضمن الدولة الحق في الصحة، وأساساً كما استنبطته المؤسسات العاملة في قطاع الصحة.</w:t>
      </w:r>
    </w:p>
    <w:p w:rsidR="00000000" w:rsidRDefault="00567B15">
      <w:pPr>
        <w:spacing w:line="380" w:lineRule="exact"/>
        <w:jc w:val="both"/>
        <w:rPr>
          <w:rFonts w:hint="cs"/>
          <w:rtl/>
        </w:rPr>
      </w:pPr>
      <w:r>
        <w:rPr>
          <w:rFonts w:hint="cs"/>
          <w:rtl/>
        </w:rPr>
        <w:t>444-</w:t>
      </w:r>
      <w:r>
        <w:rPr>
          <w:rFonts w:hint="cs"/>
          <w:rtl/>
        </w:rPr>
        <w:tab/>
        <w:t xml:space="preserve">وبموجب الهيكل القانوني الجاري، تدير الجدولة نظام الصحة الوطني، الذي يربط بين الأجهزة العامة، </w:t>
      </w:r>
      <w:r>
        <w:rPr>
          <w:rFonts w:hint="cs"/>
          <w:rtl/>
        </w:rPr>
        <w:t>والمستقلة والأجهزة التي تديرها المجتمعات المحلية في قطاع الصحة ويفترض أن يدار بوصفه مؤسسة لا مركزية تقوم على نقل السلطة والمشاركة. وتتولى الأجهزة العمومية تمويل النظام، وتشمل مساهمات من المستفيدين الذين يقدرون على الدفع.</w:t>
      </w:r>
    </w:p>
    <w:p w:rsidR="00000000" w:rsidRDefault="00567B15">
      <w:pPr>
        <w:spacing w:line="380" w:lineRule="exact"/>
        <w:jc w:val="both"/>
        <w:rPr>
          <w:rFonts w:hint="cs"/>
          <w:rtl/>
        </w:rPr>
      </w:pPr>
      <w:r>
        <w:rPr>
          <w:rFonts w:hint="cs"/>
          <w:rtl/>
        </w:rPr>
        <w:t>445-</w:t>
      </w:r>
      <w:r>
        <w:rPr>
          <w:rFonts w:hint="cs"/>
          <w:rtl/>
        </w:rPr>
        <w:tab/>
        <w:t>وصُمِّم النظام الوطني للصحة ال</w:t>
      </w:r>
      <w:r>
        <w:rPr>
          <w:rFonts w:hint="cs"/>
          <w:rtl/>
        </w:rPr>
        <w:t>صادر عن الدولة ليطبق على فترة خمس سنوات، بداية من عام 2000 وحتى عام 2005، ويحدد الأهداف التالية:</w:t>
      </w:r>
    </w:p>
    <w:p w:rsidR="00000000" w:rsidRDefault="00567B15">
      <w:pPr>
        <w:spacing w:before="180" w:after="180" w:line="380" w:lineRule="exact"/>
        <w:jc w:val="both"/>
        <w:rPr>
          <w:rFonts w:hint="cs"/>
          <w:rtl/>
        </w:rPr>
      </w:pPr>
      <w:r>
        <w:rPr>
          <w:rFonts w:hint="cs"/>
          <w:rtl/>
        </w:rPr>
        <w:tab/>
        <w:t>(أ)</w:t>
      </w:r>
      <w:r>
        <w:rPr>
          <w:rFonts w:hint="cs"/>
          <w:rtl/>
        </w:rPr>
        <w:tab/>
        <w:t>تخفيض وفيات الرضع بنسبة 25 في المائة؛</w:t>
      </w:r>
    </w:p>
    <w:p w:rsidR="00000000" w:rsidRDefault="00567B15">
      <w:pPr>
        <w:spacing w:before="180" w:after="180" w:line="380" w:lineRule="exact"/>
        <w:jc w:val="both"/>
        <w:rPr>
          <w:rFonts w:hint="cs"/>
          <w:rtl/>
        </w:rPr>
      </w:pPr>
      <w:r>
        <w:rPr>
          <w:rFonts w:hint="cs"/>
          <w:rtl/>
        </w:rPr>
        <w:tab/>
        <w:t>(ب)</w:t>
      </w:r>
      <w:r>
        <w:rPr>
          <w:rFonts w:hint="cs"/>
          <w:rtl/>
        </w:rPr>
        <w:tab/>
        <w:t>تخفيض وفيات الأمومة بنسبة 25 في المائة؛</w:t>
      </w:r>
    </w:p>
    <w:p w:rsidR="00000000" w:rsidRDefault="00567B15">
      <w:pPr>
        <w:spacing w:before="180" w:after="180" w:line="380" w:lineRule="exact"/>
        <w:jc w:val="both"/>
        <w:rPr>
          <w:rFonts w:hint="cs"/>
          <w:rtl/>
        </w:rPr>
      </w:pPr>
      <w:r>
        <w:rPr>
          <w:rFonts w:hint="cs"/>
          <w:rtl/>
        </w:rPr>
        <w:tab/>
        <w:t>(ج)</w:t>
      </w:r>
      <w:r>
        <w:rPr>
          <w:rFonts w:hint="cs"/>
          <w:rtl/>
        </w:rPr>
        <w:tab/>
        <w:t>التقليل من أثر هذه الاعتلالات؛</w:t>
      </w:r>
    </w:p>
    <w:p w:rsidR="00000000" w:rsidRDefault="00567B15">
      <w:pPr>
        <w:spacing w:before="180" w:after="180" w:line="380" w:lineRule="exact"/>
        <w:jc w:val="both"/>
        <w:rPr>
          <w:rFonts w:hint="cs"/>
          <w:rtl/>
        </w:rPr>
      </w:pPr>
      <w:r>
        <w:rPr>
          <w:rFonts w:hint="cs"/>
          <w:rtl/>
        </w:rPr>
        <w:tab/>
        <w:t>(د)</w:t>
      </w:r>
      <w:r>
        <w:rPr>
          <w:rFonts w:hint="cs"/>
          <w:rtl/>
        </w:rPr>
        <w:tab/>
        <w:t>الحد من الوفيات من الأمراض الن</w:t>
      </w:r>
      <w:r>
        <w:rPr>
          <w:rFonts w:hint="cs"/>
          <w:rtl/>
        </w:rPr>
        <w:t>اشئة والراجعة بنسبة 25 في المائة؛</w:t>
      </w:r>
    </w:p>
    <w:p w:rsidR="00000000" w:rsidRDefault="00567B15">
      <w:pPr>
        <w:spacing w:before="180" w:after="180" w:line="380" w:lineRule="exact"/>
        <w:jc w:val="both"/>
        <w:rPr>
          <w:rFonts w:hint="cs"/>
          <w:rtl/>
        </w:rPr>
      </w:pPr>
      <w:r>
        <w:rPr>
          <w:rFonts w:hint="cs"/>
          <w:rtl/>
        </w:rPr>
        <w:tab/>
        <w:t>(ه)</w:t>
      </w:r>
      <w:r>
        <w:rPr>
          <w:rFonts w:hint="cs"/>
          <w:rtl/>
        </w:rPr>
        <w:tab/>
        <w:t>التخفيض في الاعتلال والوفيات بنسبة 15 في المائة؛</w:t>
      </w:r>
    </w:p>
    <w:p w:rsidR="00000000" w:rsidRDefault="00567B15">
      <w:pPr>
        <w:spacing w:before="180" w:after="180" w:line="380" w:lineRule="exact"/>
        <w:jc w:val="both"/>
        <w:rPr>
          <w:rFonts w:hint="cs"/>
          <w:rtl/>
        </w:rPr>
      </w:pPr>
      <w:r>
        <w:rPr>
          <w:rFonts w:hint="cs"/>
          <w:rtl/>
        </w:rPr>
        <w:tab/>
        <w:t>(و)</w:t>
      </w:r>
      <w:r>
        <w:rPr>
          <w:rFonts w:hint="cs"/>
          <w:rtl/>
        </w:rPr>
        <w:tab/>
        <w:t>الحد من انتشار التسوس ومرض ما حول الأسنان بنسبة 30 في المائة؛</w:t>
      </w:r>
    </w:p>
    <w:p w:rsidR="00000000" w:rsidRDefault="00567B15">
      <w:pPr>
        <w:spacing w:before="180" w:after="180" w:line="380" w:lineRule="exact"/>
        <w:jc w:val="both"/>
        <w:rPr>
          <w:rFonts w:hint="cs"/>
          <w:rtl/>
        </w:rPr>
      </w:pPr>
      <w:r>
        <w:rPr>
          <w:rFonts w:hint="cs"/>
          <w:rtl/>
        </w:rPr>
        <w:tab/>
        <w:t>(ز)</w:t>
      </w:r>
      <w:r>
        <w:rPr>
          <w:rFonts w:hint="cs"/>
          <w:rtl/>
        </w:rPr>
        <w:tab/>
        <w:t>زيادة التغطية بإمدادات ماء الشرب والمجارير بنسبة 15 في المائة عن مستوياتها الحالية؛</w:t>
      </w:r>
    </w:p>
    <w:p w:rsidR="00000000" w:rsidRDefault="00567B15">
      <w:pPr>
        <w:spacing w:before="180" w:after="180" w:line="380" w:lineRule="exact"/>
        <w:jc w:val="both"/>
        <w:rPr>
          <w:rFonts w:hint="cs"/>
          <w:rtl/>
        </w:rPr>
      </w:pPr>
      <w:r>
        <w:rPr>
          <w:rFonts w:hint="cs"/>
          <w:rtl/>
        </w:rPr>
        <w:tab/>
        <w:t>(ح)</w:t>
      </w:r>
      <w:r>
        <w:rPr>
          <w:rFonts w:hint="cs"/>
          <w:rtl/>
        </w:rPr>
        <w:tab/>
        <w:t>الزيادة</w:t>
      </w:r>
      <w:r>
        <w:rPr>
          <w:rFonts w:hint="cs"/>
          <w:rtl/>
        </w:rPr>
        <w:t xml:space="preserve"> في التغطية بالخدمات الصحية بنسبة 25 في المائة عن مستوياتها الحالية؛</w:t>
      </w:r>
    </w:p>
    <w:p w:rsidR="00000000" w:rsidRDefault="00567B15">
      <w:pPr>
        <w:spacing w:before="180" w:after="180" w:line="380" w:lineRule="exact"/>
        <w:jc w:val="both"/>
        <w:rPr>
          <w:rStyle w:val="FootnoteReference"/>
          <w:bCs w:val="0"/>
          <w:vertAlign w:val="baseline"/>
          <w:rtl/>
        </w:rPr>
      </w:pPr>
      <w:r>
        <w:rPr>
          <w:rFonts w:hint="cs"/>
          <w:rtl/>
        </w:rPr>
        <w:tab/>
        <w:t>(ط)</w:t>
      </w:r>
      <w:r>
        <w:rPr>
          <w:rFonts w:hint="cs"/>
          <w:rtl/>
        </w:rPr>
        <w:tab/>
        <w:t>تحديث وزارة الصحة العامة لتنفيذ الأدوار الجديدة المناطة بالدولة في مجال الصحة على جميع المستويات الإدارية والتنفيذية.</w:t>
      </w:r>
    </w:p>
    <w:p w:rsidR="00000000" w:rsidRDefault="00567B15">
      <w:pPr>
        <w:spacing w:line="380" w:lineRule="exact"/>
        <w:jc w:val="both"/>
        <w:rPr>
          <w:rFonts w:hint="cs"/>
          <w:rtl/>
        </w:rPr>
      </w:pPr>
      <w:r>
        <w:rPr>
          <w:rFonts w:hint="cs"/>
          <w:rtl/>
        </w:rPr>
        <w:t>446-</w:t>
      </w:r>
      <w:r>
        <w:rPr>
          <w:rFonts w:hint="cs"/>
          <w:rtl/>
        </w:rPr>
        <w:tab/>
        <w:t>وتسعى الدولة إلى تعزيز الإدارة الوطنية للصحة البيئية التابع</w:t>
      </w:r>
      <w:r>
        <w:rPr>
          <w:rFonts w:hint="cs"/>
          <w:rtl/>
        </w:rPr>
        <w:t>ة لوزارة الصحة العامة وإلى التنسيق الروتيني مع وزارتي الإسكان والبيئة بغية إرساء دعائم الصحة البيئية بوصفها مسألة سياسية، وإقامة نظام رصد للصحة البيئية ووضع مبادئ توجيهية وطنية بشأن الرعاية البيئية الأولية: توفير التصحاح الأساسي عن طريق تشجيع السكان على اس</w:t>
      </w:r>
      <w:r>
        <w:rPr>
          <w:rFonts w:hint="cs"/>
          <w:rtl/>
        </w:rPr>
        <w:t>تنباط التكنولوجيات البديلة وتطبيقها في مجال الإمداد بماء الشرب والتخلص من مياه المجارير والنفايات، لا سيما في المناطق الريفية؛ ووضع قواعد ورصد الآثار الصحية للمخاطر البيئية والكوارث الطبيعية؛ وإدارة برامج تهدف إلى منع ومراقبة تلوث مصادر المياه والفضاء والت</w:t>
      </w:r>
      <w:r>
        <w:rPr>
          <w:rFonts w:hint="cs"/>
          <w:rtl/>
        </w:rPr>
        <w:t>ربة؛ وإدارة برنامج لنفايات المستشفيات؛ والوقاية من الأخطار المهنية، وإتاحة الإنذار المبكر بها والتحكم فيها؛ ووضع مرصد وبائي للأمراض المهنية؛ وتنسيق الخدمات الصحية مع إدارات السلامة الصناعية والصحة في أماكن العمل.</w:t>
      </w:r>
    </w:p>
    <w:p w:rsidR="00000000" w:rsidRDefault="00567B15">
      <w:pPr>
        <w:spacing w:line="380" w:lineRule="exact"/>
        <w:jc w:val="both"/>
        <w:rPr>
          <w:rFonts w:hint="cs"/>
          <w:rtl/>
        </w:rPr>
      </w:pPr>
      <w:r>
        <w:rPr>
          <w:rFonts w:hint="cs"/>
          <w:b/>
          <w:bCs/>
          <w:rtl/>
        </w:rPr>
        <w:t>الحد من وفيات الرضع</w:t>
      </w:r>
    </w:p>
    <w:p w:rsidR="00000000" w:rsidRDefault="00567B15">
      <w:pPr>
        <w:spacing w:line="380" w:lineRule="exact"/>
        <w:jc w:val="both"/>
        <w:rPr>
          <w:rFonts w:hint="cs"/>
          <w:spacing w:val="0"/>
          <w:rtl/>
        </w:rPr>
      </w:pPr>
      <w:r>
        <w:rPr>
          <w:rFonts w:hint="cs"/>
          <w:spacing w:val="0"/>
          <w:rtl/>
        </w:rPr>
        <w:t>447-</w:t>
      </w:r>
      <w:r>
        <w:rPr>
          <w:rFonts w:hint="cs"/>
          <w:spacing w:val="0"/>
          <w:rtl/>
        </w:rPr>
        <w:tab/>
        <w:t>تشمل الإجراءات الت</w:t>
      </w:r>
      <w:r>
        <w:rPr>
          <w:rFonts w:hint="cs"/>
          <w:spacing w:val="0"/>
          <w:rtl/>
        </w:rPr>
        <w:t>ي اتخذتها الحكومة عن طريق وزارة الصحة العامة للحد من وفيات الرضع واعتلالهم ما يلي:</w:t>
      </w:r>
    </w:p>
    <w:p w:rsidR="00000000" w:rsidRDefault="00567B15">
      <w:pPr>
        <w:spacing w:before="180" w:after="180" w:line="380" w:lineRule="exact"/>
        <w:jc w:val="both"/>
        <w:rPr>
          <w:rFonts w:hint="cs"/>
          <w:rtl/>
        </w:rPr>
      </w:pPr>
      <w:r>
        <w:rPr>
          <w:rFonts w:hint="cs"/>
          <w:rtl/>
        </w:rPr>
        <w:tab/>
        <w:t>(أ)</w:t>
      </w:r>
      <w:r>
        <w:rPr>
          <w:rFonts w:hint="cs"/>
          <w:rtl/>
        </w:rPr>
        <w:tab/>
        <w:t>رصد نمو الطفل ونمائه بهدف التعرف في الوقت المناسب على الأطفال الذي يعانون من سوء التغذية أو الذين يتعرضون لخطر ذلك، أو الذين يعانون من صعوبات في التنمية النفسية والحركي</w:t>
      </w:r>
      <w:r>
        <w:rPr>
          <w:rFonts w:hint="cs"/>
          <w:rtl/>
        </w:rPr>
        <w:t>ة؛</w:t>
      </w:r>
    </w:p>
    <w:p w:rsidR="00000000" w:rsidRDefault="00567B15">
      <w:pPr>
        <w:spacing w:before="180" w:after="180" w:line="380" w:lineRule="exact"/>
        <w:jc w:val="both"/>
        <w:rPr>
          <w:rFonts w:hint="cs"/>
          <w:rtl/>
        </w:rPr>
      </w:pPr>
      <w:r>
        <w:rPr>
          <w:rFonts w:hint="cs"/>
          <w:rtl/>
        </w:rPr>
        <w:tab/>
        <w:t>(ب)</w:t>
      </w:r>
      <w:r>
        <w:rPr>
          <w:rFonts w:hint="cs"/>
          <w:rtl/>
        </w:rPr>
        <w:tab/>
        <w:t>الرعاية الشاملة للأمراض السائدة لدى الطفولة. وهي استراتيجية تنهض بالمشاركة الفعلية للمجتمع المحلي في الرعاية الموسعة للطفولة: إجراءات لتعزيز الشفاء من الأمراض العادية في حينه والوقاية منها وكفالة ذلك؛</w:t>
      </w:r>
    </w:p>
    <w:p w:rsidR="00000000" w:rsidRDefault="00567B15">
      <w:pPr>
        <w:spacing w:before="180" w:after="180" w:line="380" w:lineRule="exact"/>
        <w:jc w:val="both"/>
        <w:rPr>
          <w:rFonts w:hint="cs"/>
          <w:rtl/>
        </w:rPr>
      </w:pPr>
      <w:r>
        <w:rPr>
          <w:rFonts w:hint="cs"/>
          <w:rtl/>
        </w:rPr>
        <w:tab/>
        <w:t>(ج)</w:t>
      </w:r>
      <w:r>
        <w:rPr>
          <w:rFonts w:hint="cs"/>
          <w:rtl/>
        </w:rPr>
        <w:tab/>
        <w:t xml:space="preserve">التشجيع على الرضاعة الطبيعية. فأفضل طريقة </w:t>
      </w:r>
      <w:r>
        <w:rPr>
          <w:rFonts w:hint="cs"/>
          <w:rtl/>
        </w:rPr>
        <w:t>لتغذية رضيع منذ الولادة هي الاقتصار على الرضاعة حتى يبلغ سن ستة شهور؛</w:t>
      </w:r>
    </w:p>
    <w:p w:rsidR="00000000" w:rsidRDefault="00567B15">
      <w:pPr>
        <w:spacing w:before="180" w:after="180" w:line="380" w:lineRule="exact"/>
        <w:jc w:val="both"/>
        <w:rPr>
          <w:rFonts w:hint="cs"/>
          <w:rtl/>
        </w:rPr>
      </w:pPr>
      <w:r>
        <w:rPr>
          <w:rFonts w:hint="cs"/>
          <w:rtl/>
        </w:rPr>
        <w:tab/>
        <w:t>(د)</w:t>
      </w:r>
      <w:r>
        <w:rPr>
          <w:rFonts w:hint="cs"/>
          <w:rtl/>
        </w:rPr>
        <w:tab/>
        <w:t>برنامج تحصين موسع. والحفاظ على مستويات مفيدة من التغطية باللقاحات الموجودة والاعتماد التدريجي للقاحات جديدة ضد أمراض مثل الحصبة الألمانية، والنكاف، والالتهاب الكبدي باء والتهاب السح</w:t>
      </w:r>
      <w:r>
        <w:rPr>
          <w:rFonts w:hint="cs"/>
          <w:rtl/>
        </w:rPr>
        <w:t>ايا؛ ولقاحات معززة لفائدة النساء في سنّ التوالد ولقاحات مضادة للحمى الصفراء في المناطق الخطرة؛</w:t>
      </w:r>
    </w:p>
    <w:p w:rsidR="00000000" w:rsidRDefault="00567B15">
      <w:pPr>
        <w:spacing w:before="180" w:after="180" w:line="380" w:lineRule="exact"/>
        <w:jc w:val="both"/>
        <w:rPr>
          <w:rFonts w:hint="cs"/>
          <w:rtl/>
        </w:rPr>
      </w:pPr>
      <w:r>
        <w:rPr>
          <w:rFonts w:hint="cs"/>
          <w:rtl/>
        </w:rPr>
        <w:tab/>
        <w:t>(ه‍)</w:t>
      </w:r>
      <w:r>
        <w:rPr>
          <w:rFonts w:hint="cs"/>
          <w:rtl/>
        </w:rPr>
        <w:tab/>
        <w:t>برامج الأغذية التكميلية الذي يوفر حصص إعاشة للأطفال الذين يتعرضون إلى خطر سوء التغذية على الصعيد الوطني أو الذين يعانون فعلاً من نقص التغذية إلى أن يبرأوا؛</w:t>
      </w:r>
    </w:p>
    <w:p w:rsidR="00000000" w:rsidRDefault="00567B15">
      <w:pPr>
        <w:spacing w:before="180" w:after="180" w:line="380" w:lineRule="exact"/>
        <w:jc w:val="both"/>
        <w:rPr>
          <w:rFonts w:hint="cs"/>
          <w:rtl/>
        </w:rPr>
      </w:pPr>
      <w:r>
        <w:rPr>
          <w:rFonts w:hint="cs"/>
          <w:rtl/>
        </w:rPr>
        <w:tab/>
        <w:t>(و)</w:t>
      </w:r>
      <w:r>
        <w:rPr>
          <w:rFonts w:hint="cs"/>
          <w:rtl/>
        </w:rPr>
        <w:tab/>
        <w:t>برنامج العنصر النزر الذي يزود الحوامل والأطفال دون سن الواحدة بالعناصر النزرة، مثل المواد التكميلية من الحديد وفيتامين ألف. ويغطي البرنامج البلد بأكمله وتتولى إنجازه جميع الوحدات التنفيذية، بدعم من وزارة الصحة العامة وهيئات التعاون الدولي. وتخصّب الم</w:t>
      </w:r>
      <w:r>
        <w:rPr>
          <w:rFonts w:hint="cs"/>
          <w:rtl/>
        </w:rPr>
        <w:t>واد الغذائية الأساسية والدقيق بالحديد، وبحمض فوليك، وفيتامين باء المركب والنياسين، والملح المدعم بالفلور واليود.</w:t>
      </w:r>
    </w:p>
    <w:p w:rsidR="00000000" w:rsidRDefault="00567B15">
      <w:pPr>
        <w:spacing w:line="380" w:lineRule="exact"/>
        <w:jc w:val="both"/>
        <w:rPr>
          <w:rFonts w:hint="cs"/>
          <w:rtl/>
        </w:rPr>
      </w:pPr>
      <w:r>
        <w:rPr>
          <w:rFonts w:hint="cs"/>
          <w:rtl/>
        </w:rPr>
        <w:t>448-</w:t>
      </w:r>
      <w:r>
        <w:rPr>
          <w:rFonts w:hint="cs"/>
          <w:rtl/>
        </w:rPr>
        <w:tab/>
        <w:t>وفيما يتعلق بمسألة الصحة البيئية فإن الإجراءات المتخذة تشمل ما يلي:</w:t>
      </w:r>
    </w:p>
    <w:p w:rsidR="00000000" w:rsidRDefault="00567B15">
      <w:pPr>
        <w:spacing w:before="180" w:after="180" w:line="380" w:lineRule="exact"/>
        <w:jc w:val="both"/>
        <w:rPr>
          <w:rFonts w:hint="cs"/>
          <w:rtl/>
        </w:rPr>
      </w:pPr>
      <w:r>
        <w:rPr>
          <w:rFonts w:hint="cs"/>
          <w:rtl/>
        </w:rPr>
        <w:tab/>
        <w:t>(أ)</w:t>
      </w:r>
      <w:r>
        <w:rPr>
          <w:rFonts w:hint="cs"/>
          <w:rtl/>
        </w:rPr>
        <w:tab/>
        <w:t>قانون البيئة الذي اعتمده الكونغرس الوطني في 10 حزيران/يونيه 1999؛</w:t>
      </w:r>
    </w:p>
    <w:p w:rsidR="00000000" w:rsidRDefault="00567B15">
      <w:pPr>
        <w:spacing w:before="180" w:after="180" w:line="380" w:lineRule="exact"/>
        <w:jc w:val="both"/>
        <w:rPr>
          <w:rFonts w:hint="cs"/>
          <w:rtl/>
        </w:rPr>
      </w:pPr>
      <w:r>
        <w:rPr>
          <w:rFonts w:hint="cs"/>
          <w:rtl/>
        </w:rPr>
        <w:tab/>
        <w:t>(ب)</w:t>
      </w:r>
      <w:r>
        <w:rPr>
          <w:rFonts w:hint="cs"/>
          <w:rtl/>
        </w:rPr>
        <w:tab/>
        <w:t>قانون العمل، في تنظيمات العمالة الإكوادورية: قواعد بشأن صحة العمال وسلامتهم وتحسين بيئة العمل (الطبعة الثامنة، تشرين الأول/أكتوبر 1997)؛</w:t>
      </w:r>
    </w:p>
    <w:p w:rsidR="00000000" w:rsidRDefault="00567B15">
      <w:pPr>
        <w:spacing w:before="180" w:after="180" w:line="380" w:lineRule="exact"/>
        <w:jc w:val="both"/>
        <w:rPr>
          <w:rFonts w:hint="cs"/>
          <w:rtl/>
        </w:rPr>
      </w:pPr>
      <w:r>
        <w:rPr>
          <w:rFonts w:hint="cs"/>
          <w:rtl/>
        </w:rPr>
        <w:tab/>
        <w:t>(ج)</w:t>
      </w:r>
      <w:r>
        <w:rPr>
          <w:rFonts w:hint="cs"/>
          <w:rtl/>
        </w:rPr>
        <w:tab/>
        <w:t>قواعد بشأن صحة العمال وسلامتهم وتحسين بيئة العمل، صادرة في كيتو بمرسوم رقم 2393، لعام 1986؛</w:t>
      </w:r>
    </w:p>
    <w:p w:rsidR="00000000" w:rsidRDefault="00567B15">
      <w:pPr>
        <w:spacing w:before="180" w:after="180" w:line="380" w:lineRule="exact"/>
        <w:jc w:val="both"/>
        <w:rPr>
          <w:rFonts w:hint="cs"/>
          <w:rtl/>
        </w:rPr>
      </w:pPr>
      <w:r>
        <w:rPr>
          <w:rFonts w:hint="cs"/>
          <w:rtl/>
        </w:rPr>
        <w:tab/>
        <w:t>(د)</w:t>
      </w:r>
      <w:r>
        <w:rPr>
          <w:rFonts w:hint="cs"/>
          <w:rtl/>
        </w:rPr>
        <w:tab/>
        <w:t>القانون الم</w:t>
      </w:r>
      <w:r>
        <w:rPr>
          <w:rFonts w:hint="cs"/>
          <w:rtl/>
        </w:rPr>
        <w:t xml:space="preserve">يتروبولي الذي يحل محل الكتاب الثاني، الباب الخامس، الفصل الثالث، من قانون البلديات، بشأن منع التلوث الصادر عن السوائل والانبعاثات الجوية من مصادر ثابتة والتحكم فيه، وهو قانون صادر عن المكتب البيئي التابع لبلدية الدائرة الميتروبولية لكيتو، وهو ساري المفعول </w:t>
      </w:r>
      <w:r>
        <w:rPr>
          <w:rFonts w:hint="cs"/>
          <w:rtl/>
        </w:rPr>
        <w:t>منذ 5 تشرين الثاني/نوفمبر 1998. هذا إضافة إلى التحكم والمخططات في حالات الطوارئ، وتحديد نوعية المياه والتلوث البيئي؛</w:t>
      </w:r>
    </w:p>
    <w:p w:rsidR="00000000" w:rsidRDefault="00567B15">
      <w:pPr>
        <w:spacing w:before="180" w:after="180" w:line="380" w:lineRule="exact"/>
        <w:jc w:val="both"/>
        <w:rPr>
          <w:rFonts w:hint="cs"/>
          <w:rtl/>
        </w:rPr>
      </w:pPr>
      <w:r>
        <w:rPr>
          <w:rFonts w:hint="cs"/>
          <w:rtl/>
        </w:rPr>
        <w:tab/>
        <w:t>(ه‍)</w:t>
      </w:r>
      <w:r>
        <w:rPr>
          <w:rFonts w:hint="cs"/>
          <w:rtl/>
        </w:rPr>
        <w:tab/>
        <w:t xml:space="preserve">قيام المجلس الوطني لمراقبة المواد المخدرة والمؤثرات العقلية برصد المنتجات الكيميائية، القانون رقم 108، </w:t>
      </w:r>
      <w:r>
        <w:rPr>
          <w:rFonts w:hint="cs"/>
          <w:i/>
          <w:iCs/>
          <w:rtl/>
        </w:rPr>
        <w:t xml:space="preserve">الجريدة الرسمية </w:t>
      </w:r>
      <w:r>
        <w:rPr>
          <w:rFonts w:hint="cs"/>
          <w:rtl/>
        </w:rPr>
        <w:t>رقم 523 المؤرخ</w:t>
      </w:r>
      <w:r>
        <w:rPr>
          <w:rFonts w:hint="cs"/>
          <w:rtl/>
        </w:rPr>
        <w:t>ة 17 أيلول/سبتمبر 1990؛</w:t>
      </w:r>
    </w:p>
    <w:p w:rsidR="00000000" w:rsidRDefault="00567B15">
      <w:pPr>
        <w:spacing w:before="180" w:after="180" w:line="380" w:lineRule="exact"/>
        <w:jc w:val="both"/>
        <w:rPr>
          <w:rFonts w:hint="cs"/>
          <w:rtl/>
        </w:rPr>
      </w:pPr>
      <w:r>
        <w:rPr>
          <w:rFonts w:hint="cs"/>
          <w:rtl/>
        </w:rPr>
        <w:tab/>
        <w:t>(و)</w:t>
      </w:r>
      <w:r>
        <w:rPr>
          <w:rFonts w:hint="cs"/>
          <w:rtl/>
        </w:rPr>
        <w:tab/>
        <w:t>قانون الوقاية من الحرائق الصادر عن فرقة رجال المطافئ في بيشنشا؛</w:t>
      </w:r>
    </w:p>
    <w:p w:rsidR="00000000" w:rsidRDefault="00567B15">
      <w:pPr>
        <w:spacing w:before="180" w:after="180" w:line="380" w:lineRule="exact"/>
        <w:jc w:val="both"/>
        <w:rPr>
          <w:rFonts w:hint="cs"/>
          <w:rtl/>
        </w:rPr>
      </w:pPr>
      <w:r>
        <w:rPr>
          <w:rFonts w:hint="cs"/>
          <w:rtl/>
        </w:rPr>
        <w:tab/>
        <w:t>(ز)</w:t>
      </w:r>
      <w:r>
        <w:rPr>
          <w:rFonts w:hint="cs"/>
          <w:rtl/>
        </w:rPr>
        <w:tab/>
        <w:t>بروتوكول مونتريال؛</w:t>
      </w:r>
    </w:p>
    <w:p w:rsidR="00000000" w:rsidRDefault="00567B15">
      <w:pPr>
        <w:spacing w:before="180" w:after="180" w:line="380" w:lineRule="exact"/>
        <w:jc w:val="both"/>
        <w:rPr>
          <w:rFonts w:hint="cs"/>
          <w:rtl/>
        </w:rPr>
      </w:pPr>
      <w:r>
        <w:rPr>
          <w:rFonts w:hint="cs"/>
          <w:rtl/>
        </w:rPr>
        <w:tab/>
        <w:t>(ح)</w:t>
      </w:r>
      <w:r>
        <w:rPr>
          <w:rFonts w:hint="cs"/>
          <w:rtl/>
        </w:rPr>
        <w:tab/>
        <w:t>منظمة العمل الدولية.</w:t>
      </w:r>
    </w:p>
    <w:p w:rsidR="00000000" w:rsidRDefault="00567B15">
      <w:pPr>
        <w:spacing w:line="380" w:lineRule="exact"/>
        <w:jc w:val="both"/>
        <w:rPr>
          <w:rFonts w:hint="cs"/>
          <w:rtl/>
        </w:rPr>
      </w:pPr>
      <w:r>
        <w:rPr>
          <w:rFonts w:hint="cs"/>
          <w:rtl/>
        </w:rPr>
        <w:t>449-</w:t>
      </w:r>
      <w:r>
        <w:rPr>
          <w:rFonts w:hint="cs"/>
          <w:rtl/>
        </w:rPr>
        <w:tab/>
        <w:t>وستحمي الدولة حق السكان في العيش في بيئة صحية، ومتوازنة من الناحية الإيكولوجية وضامنة للتنمية المستدامة، وست</w:t>
      </w:r>
      <w:r>
        <w:rPr>
          <w:rFonts w:hint="cs"/>
          <w:rtl/>
        </w:rPr>
        <w:t>سهر على عدم انتهاك هذا الحق وتضمن حماية الطبيعة.</w:t>
      </w:r>
    </w:p>
    <w:p w:rsidR="00000000" w:rsidRDefault="00567B15">
      <w:pPr>
        <w:spacing w:line="380" w:lineRule="exact"/>
        <w:jc w:val="both"/>
        <w:rPr>
          <w:rFonts w:hint="cs"/>
          <w:rtl/>
        </w:rPr>
      </w:pPr>
      <w:r>
        <w:rPr>
          <w:rFonts w:hint="cs"/>
          <w:rtl/>
        </w:rPr>
        <w:t>450-</w:t>
      </w:r>
      <w:r>
        <w:rPr>
          <w:rFonts w:hint="cs"/>
          <w:rtl/>
        </w:rPr>
        <w:tab/>
        <w:t>وستتخذ الدولة إجراءات لبلوغ الغايات التالية:</w:t>
      </w:r>
    </w:p>
    <w:p w:rsidR="00000000" w:rsidRDefault="00567B15">
      <w:pPr>
        <w:spacing w:before="180" w:after="180" w:line="380" w:lineRule="exact"/>
        <w:jc w:val="both"/>
        <w:rPr>
          <w:rFonts w:hint="cs"/>
          <w:rtl/>
        </w:rPr>
      </w:pPr>
      <w:r>
        <w:rPr>
          <w:rFonts w:hint="cs"/>
          <w:rtl/>
        </w:rPr>
        <w:tab/>
        <w:t>(أ)</w:t>
      </w:r>
      <w:r>
        <w:rPr>
          <w:rFonts w:hint="cs"/>
          <w:rtl/>
        </w:rPr>
        <w:tab/>
        <w:t>النهوض باستعمال موارد طاقة بديلة نظيفة بيئياً وغير ملوثة، في القطاعين العام والخاص؛</w:t>
      </w:r>
    </w:p>
    <w:p w:rsidR="00000000" w:rsidRDefault="00567B15">
      <w:pPr>
        <w:spacing w:before="180" w:after="180" w:line="380" w:lineRule="exact"/>
        <w:jc w:val="both"/>
        <w:rPr>
          <w:rFonts w:hint="cs"/>
          <w:rtl/>
        </w:rPr>
      </w:pPr>
      <w:r>
        <w:rPr>
          <w:rFonts w:hint="cs"/>
          <w:rtl/>
        </w:rPr>
        <w:tab/>
        <w:t>(ب)</w:t>
      </w:r>
      <w:r>
        <w:rPr>
          <w:rFonts w:hint="cs"/>
          <w:rtl/>
        </w:rPr>
        <w:tab/>
        <w:t>اعتماد حوافز ضريبية للأنشطة "الخضراء"؛</w:t>
      </w:r>
    </w:p>
    <w:p w:rsidR="00000000" w:rsidRDefault="00567B15">
      <w:pPr>
        <w:spacing w:before="180" w:after="180" w:line="380" w:lineRule="exact"/>
        <w:jc w:val="both"/>
        <w:rPr>
          <w:rFonts w:hint="cs"/>
          <w:rtl/>
        </w:rPr>
      </w:pPr>
      <w:r>
        <w:rPr>
          <w:rFonts w:hint="cs"/>
          <w:rtl/>
        </w:rPr>
        <w:tab/>
        <w:t>(ج)</w:t>
      </w:r>
      <w:r>
        <w:rPr>
          <w:rFonts w:hint="cs"/>
          <w:rtl/>
        </w:rPr>
        <w:tab/>
        <w:t>حظر صنع الأسلحة الك</w:t>
      </w:r>
      <w:r>
        <w:rPr>
          <w:rFonts w:hint="cs"/>
          <w:rtl/>
        </w:rPr>
        <w:t>يميائية والبيولوجية والنووية واستيرادها وحيازتها واستخدامها وإدخال النفايات النووية والسمية إلى الأراضي الإكوادورية؛</w:t>
      </w:r>
    </w:p>
    <w:p w:rsidR="00000000" w:rsidRDefault="00567B15">
      <w:pPr>
        <w:spacing w:before="180" w:after="180" w:line="380" w:lineRule="exact"/>
        <w:jc w:val="both"/>
        <w:rPr>
          <w:rFonts w:hint="cs"/>
          <w:rtl/>
        </w:rPr>
      </w:pPr>
      <w:r>
        <w:rPr>
          <w:rFonts w:hint="cs"/>
          <w:rtl/>
        </w:rPr>
        <w:tab/>
        <w:t>(د)</w:t>
      </w:r>
      <w:r>
        <w:rPr>
          <w:rFonts w:hint="cs"/>
          <w:rtl/>
        </w:rPr>
        <w:tab/>
        <w:t>تنظيم واستيراد وتوزيع واستخدام المواد التي تعتبر سمية وضارة بالأفراد والبيئة، رغم فائدتها.</w:t>
      </w:r>
    </w:p>
    <w:p w:rsidR="00000000" w:rsidRDefault="00567B15">
      <w:pPr>
        <w:spacing w:line="380" w:lineRule="exact"/>
        <w:jc w:val="both"/>
        <w:rPr>
          <w:rFonts w:hint="cs"/>
          <w:rtl/>
        </w:rPr>
      </w:pPr>
      <w:r>
        <w:rPr>
          <w:rFonts w:hint="cs"/>
          <w:rtl/>
        </w:rPr>
        <w:t>451-</w:t>
      </w:r>
      <w:r>
        <w:rPr>
          <w:rFonts w:hint="cs"/>
          <w:rtl/>
        </w:rPr>
        <w:tab/>
        <w:t>وتسعى وزارة الصحة العامة، عن طريق الإد</w:t>
      </w:r>
      <w:r>
        <w:rPr>
          <w:rFonts w:hint="cs"/>
          <w:rtl/>
        </w:rPr>
        <w:t>ارة الوطنية للصحة البيئية، التي أنشئت في نيسان/أبريل 1994، إلى النهوض بالصحة البيئية وتنظيم الآثار الصحية للعمليات البيئية ورصدها وتقييمها على أساس نظام معلومات فرعي مقابل.</w:t>
      </w:r>
    </w:p>
    <w:p w:rsidR="00000000" w:rsidRDefault="00567B15">
      <w:pPr>
        <w:spacing w:line="380" w:lineRule="exact"/>
        <w:jc w:val="both"/>
        <w:rPr>
          <w:rFonts w:hint="cs"/>
          <w:i/>
          <w:iCs/>
          <w:rtl/>
        </w:rPr>
      </w:pPr>
      <w:r>
        <w:rPr>
          <w:rFonts w:hint="cs"/>
          <w:i/>
          <w:iCs/>
          <w:rtl/>
        </w:rPr>
        <w:t>الوقاية من الأمراض المتوطنة</w:t>
      </w:r>
    </w:p>
    <w:p w:rsidR="00000000" w:rsidRDefault="00567B15">
      <w:pPr>
        <w:spacing w:line="380" w:lineRule="exact"/>
        <w:jc w:val="both"/>
        <w:rPr>
          <w:rFonts w:hint="cs"/>
          <w:rtl/>
        </w:rPr>
      </w:pPr>
      <w:r>
        <w:rPr>
          <w:rFonts w:hint="cs"/>
          <w:rtl/>
        </w:rPr>
        <w:t>452-</w:t>
      </w:r>
      <w:r>
        <w:rPr>
          <w:rFonts w:hint="cs"/>
          <w:rtl/>
        </w:rPr>
        <w:tab/>
        <w:t>عانت إكوادور، خلال العقد الماضي، من العديد من الكو</w:t>
      </w:r>
      <w:r>
        <w:rPr>
          <w:rFonts w:hint="cs"/>
          <w:rtl/>
        </w:rPr>
        <w:t>ارث (انزلاق التربة في لا جوزيفينا، وظاهرة النينيو، وزلازل بوخيلي وباهية دي كراكاس، تجدد الأنشطة البركانية في بيشنشا وتونغوراهوا وما إلى ذلك) التي تشكل آثارها في السكان طلبات استثنائية على القطاع الصحي.</w:t>
      </w:r>
    </w:p>
    <w:p w:rsidR="00000000" w:rsidRDefault="00567B15">
      <w:pPr>
        <w:spacing w:line="380" w:lineRule="exact"/>
        <w:jc w:val="both"/>
        <w:rPr>
          <w:rFonts w:hint="cs"/>
          <w:rtl/>
        </w:rPr>
      </w:pPr>
      <w:r>
        <w:rPr>
          <w:rFonts w:hint="cs"/>
          <w:rtl/>
        </w:rPr>
        <w:t>453-</w:t>
      </w:r>
      <w:r>
        <w:rPr>
          <w:rFonts w:hint="cs"/>
          <w:rtl/>
        </w:rPr>
        <w:tab/>
        <w:t>وقللت الإجراءات الحاسمة التي تتخذها وزارة الصحة ا</w:t>
      </w:r>
      <w:r>
        <w:rPr>
          <w:rFonts w:hint="cs"/>
          <w:rtl/>
        </w:rPr>
        <w:t>لعامة عن طريق إداراتها الصحية بهدف مساعدة الجمهور العام، على مر الزمن، الأضرار المحتملة، وقد نُفذت تلك الإجراءات خلال مرحلتي المراقبة الوبائية والتحكم في ظهور أمراض سائدة وذات أولوية عالية.</w:t>
      </w:r>
    </w:p>
    <w:p w:rsidR="00000000" w:rsidRDefault="00567B15">
      <w:pPr>
        <w:spacing w:line="380" w:lineRule="exact"/>
        <w:jc w:val="both"/>
        <w:rPr>
          <w:rFonts w:hint="cs"/>
          <w:spacing w:val="0"/>
          <w:rtl/>
        </w:rPr>
      </w:pPr>
      <w:r>
        <w:rPr>
          <w:rFonts w:hint="cs"/>
          <w:spacing w:val="0"/>
          <w:rtl/>
        </w:rPr>
        <w:t>454-</w:t>
      </w:r>
      <w:r>
        <w:rPr>
          <w:rFonts w:hint="cs"/>
          <w:spacing w:val="0"/>
          <w:rtl/>
        </w:rPr>
        <w:tab/>
        <w:t>وشملت الإجراءات الأساسية التي اتخذتها الوزارة عن طريق الأفرقة</w:t>
      </w:r>
      <w:r>
        <w:rPr>
          <w:rFonts w:hint="cs"/>
          <w:spacing w:val="0"/>
          <w:rtl/>
        </w:rPr>
        <w:t xml:space="preserve"> الطبية بدعم من المجتمعات المحلية ما يلي:</w:t>
      </w:r>
    </w:p>
    <w:p w:rsidR="00000000" w:rsidRDefault="00567B15">
      <w:pPr>
        <w:spacing w:before="160" w:after="160" w:line="380" w:lineRule="exact"/>
        <w:jc w:val="both"/>
        <w:rPr>
          <w:rFonts w:hint="cs"/>
          <w:rtl/>
        </w:rPr>
      </w:pPr>
      <w:r>
        <w:rPr>
          <w:rFonts w:hint="cs"/>
          <w:rtl/>
        </w:rPr>
        <w:tab/>
        <w:t>(أ)</w:t>
      </w:r>
      <w:r>
        <w:rPr>
          <w:rFonts w:hint="cs"/>
          <w:rtl/>
        </w:rPr>
        <w:tab/>
        <w:t>حملات لإعلام المجتمعات المحلية وتأهبها بشأن التثقيف الصحي؛</w:t>
      </w:r>
    </w:p>
    <w:p w:rsidR="00000000" w:rsidRDefault="00567B15">
      <w:pPr>
        <w:spacing w:before="160" w:after="160" w:line="380" w:lineRule="exact"/>
        <w:jc w:val="both"/>
        <w:rPr>
          <w:rFonts w:hint="cs"/>
          <w:rtl/>
        </w:rPr>
      </w:pPr>
      <w:r>
        <w:rPr>
          <w:rFonts w:hint="cs"/>
          <w:rtl/>
        </w:rPr>
        <w:tab/>
        <w:t>(ب)</w:t>
      </w:r>
      <w:r>
        <w:rPr>
          <w:rFonts w:hint="cs"/>
          <w:rtl/>
        </w:rPr>
        <w:tab/>
        <w:t>توفير الإمداد بماء الشرب عن طريق صنع الكلور وتوزيعه بدعم من المجتمعات المحلية؛</w:t>
      </w:r>
    </w:p>
    <w:p w:rsidR="00000000" w:rsidRDefault="00567B15">
      <w:pPr>
        <w:spacing w:before="160" w:after="160" w:line="380" w:lineRule="exact"/>
        <w:jc w:val="both"/>
        <w:rPr>
          <w:rFonts w:hint="cs"/>
          <w:rtl/>
        </w:rPr>
      </w:pPr>
      <w:r>
        <w:rPr>
          <w:rFonts w:hint="cs"/>
          <w:rtl/>
        </w:rPr>
        <w:tab/>
        <w:t>(ج)</w:t>
      </w:r>
      <w:r>
        <w:rPr>
          <w:rFonts w:hint="cs"/>
          <w:rtl/>
        </w:rPr>
        <w:tab/>
        <w:t>التحصين من أمراض الطفولة القابلة للوقاية، والحمى الصفراء، ودا</w:t>
      </w:r>
      <w:r>
        <w:rPr>
          <w:rFonts w:hint="cs"/>
          <w:rtl/>
        </w:rPr>
        <w:t>ء الكلَب الحيواني والبشري؛</w:t>
      </w:r>
    </w:p>
    <w:p w:rsidR="00000000" w:rsidRDefault="00567B15">
      <w:pPr>
        <w:spacing w:before="160" w:after="160" w:line="380" w:lineRule="exact"/>
        <w:jc w:val="both"/>
        <w:rPr>
          <w:rFonts w:hint="cs"/>
          <w:rtl/>
        </w:rPr>
      </w:pPr>
      <w:r>
        <w:rPr>
          <w:rFonts w:hint="cs"/>
          <w:rtl/>
        </w:rPr>
        <w:tab/>
        <w:t>(د)</w:t>
      </w:r>
      <w:r>
        <w:rPr>
          <w:rFonts w:hint="cs"/>
          <w:rtl/>
        </w:rPr>
        <w:tab/>
        <w:t>التبخير والرش داخل البيوت وخارجها (شراء العناصر المدخلة والمعدات)؛</w:t>
      </w:r>
    </w:p>
    <w:p w:rsidR="00000000" w:rsidRDefault="00567B15">
      <w:pPr>
        <w:spacing w:before="160" w:after="160" w:line="380" w:lineRule="exact"/>
        <w:jc w:val="both"/>
        <w:rPr>
          <w:rFonts w:hint="cs"/>
          <w:rtl/>
        </w:rPr>
      </w:pPr>
      <w:r>
        <w:rPr>
          <w:rFonts w:hint="cs"/>
          <w:rtl/>
        </w:rPr>
        <w:tab/>
        <w:t>(ه‍)</w:t>
      </w:r>
      <w:r>
        <w:rPr>
          <w:rFonts w:hint="cs"/>
          <w:rtl/>
        </w:rPr>
        <w:tab/>
        <w:t>القضاء على مناطق تكاثر البعوض بمساعدة المجتمعات المحلية؛</w:t>
      </w:r>
    </w:p>
    <w:p w:rsidR="00000000" w:rsidRDefault="00567B15">
      <w:pPr>
        <w:spacing w:before="160" w:after="160" w:line="380" w:lineRule="exact"/>
        <w:jc w:val="both"/>
        <w:rPr>
          <w:rFonts w:hint="cs"/>
          <w:rtl/>
        </w:rPr>
      </w:pPr>
      <w:r>
        <w:rPr>
          <w:rFonts w:hint="cs"/>
          <w:rtl/>
        </w:rPr>
        <w:tab/>
        <w:t>(و)</w:t>
      </w:r>
      <w:r>
        <w:rPr>
          <w:rFonts w:hint="cs"/>
          <w:rtl/>
        </w:rPr>
        <w:tab/>
        <w:t>توزيع الأدوية المضادة للملاريا والمصل المضاد للتيفوئيد؛</w:t>
      </w:r>
    </w:p>
    <w:p w:rsidR="00000000" w:rsidRDefault="00567B15">
      <w:pPr>
        <w:spacing w:before="160" w:after="160" w:line="380" w:lineRule="exact"/>
        <w:jc w:val="both"/>
        <w:rPr>
          <w:rFonts w:hint="cs"/>
          <w:rtl/>
        </w:rPr>
      </w:pPr>
      <w:r>
        <w:rPr>
          <w:rFonts w:hint="cs"/>
          <w:rtl/>
        </w:rPr>
        <w:tab/>
        <w:t>(ز)</w:t>
      </w:r>
      <w:r>
        <w:rPr>
          <w:rFonts w:hint="cs"/>
          <w:rtl/>
        </w:rPr>
        <w:tab/>
        <w:t>التحكم في الديدان في الأسواق</w:t>
      </w:r>
      <w:r>
        <w:rPr>
          <w:rFonts w:hint="cs"/>
          <w:rtl/>
        </w:rPr>
        <w:t xml:space="preserve"> وفي المساحات العامة الأخرى؛</w:t>
      </w:r>
    </w:p>
    <w:p w:rsidR="00000000" w:rsidRDefault="00567B15">
      <w:pPr>
        <w:spacing w:before="160" w:after="160" w:line="380" w:lineRule="exact"/>
        <w:jc w:val="both"/>
        <w:rPr>
          <w:rFonts w:hint="cs"/>
          <w:rtl/>
        </w:rPr>
      </w:pPr>
      <w:r>
        <w:rPr>
          <w:rFonts w:hint="cs"/>
          <w:rtl/>
        </w:rPr>
        <w:tab/>
        <w:t>(ح)</w:t>
      </w:r>
      <w:r>
        <w:rPr>
          <w:rFonts w:hint="cs"/>
          <w:rtl/>
        </w:rPr>
        <w:tab/>
        <w:t>التحكم في ناقلات المرض بالتنسيق مع الهيئة الوطنية لاستئصال الملاريا، وتبخير ورش البيوت بالمبيدات الحشرية للتحكم في انتشار البعوض الناقل للملاريا ولحمى الضنك؛</w:t>
      </w:r>
    </w:p>
    <w:p w:rsidR="00000000" w:rsidRDefault="00567B15">
      <w:pPr>
        <w:spacing w:before="160" w:after="160" w:line="380" w:lineRule="exact"/>
        <w:jc w:val="both"/>
        <w:rPr>
          <w:rFonts w:hint="cs"/>
          <w:rtl/>
        </w:rPr>
      </w:pPr>
      <w:r>
        <w:rPr>
          <w:rFonts w:hint="cs"/>
          <w:rtl/>
        </w:rPr>
        <w:tab/>
        <w:t>(ط)</w:t>
      </w:r>
      <w:r>
        <w:rPr>
          <w:rFonts w:hint="cs"/>
          <w:rtl/>
        </w:rPr>
        <w:tab/>
        <w:t>تعبئة الموظفين الميدانيين.</w:t>
      </w:r>
    </w:p>
    <w:p w:rsidR="00000000" w:rsidRDefault="00567B15">
      <w:pPr>
        <w:spacing w:line="380" w:lineRule="exact"/>
        <w:jc w:val="both"/>
        <w:rPr>
          <w:rFonts w:hint="cs"/>
          <w:rtl/>
        </w:rPr>
      </w:pPr>
      <w:r>
        <w:rPr>
          <w:rFonts w:hint="cs"/>
          <w:i/>
          <w:iCs/>
          <w:rtl/>
        </w:rPr>
        <w:t>رعاية الصحة العامة</w:t>
      </w:r>
    </w:p>
    <w:p w:rsidR="00000000" w:rsidRDefault="00567B15">
      <w:pPr>
        <w:spacing w:line="380" w:lineRule="exact"/>
        <w:jc w:val="both"/>
        <w:rPr>
          <w:rFonts w:hint="cs"/>
          <w:rtl/>
        </w:rPr>
      </w:pPr>
      <w:r>
        <w:rPr>
          <w:rFonts w:hint="cs"/>
          <w:rtl/>
        </w:rPr>
        <w:t>455-</w:t>
      </w:r>
      <w:r>
        <w:rPr>
          <w:rFonts w:hint="cs"/>
          <w:rtl/>
        </w:rPr>
        <w:tab/>
        <w:t>تضع الخط</w:t>
      </w:r>
      <w:r>
        <w:rPr>
          <w:rFonts w:hint="cs"/>
          <w:rtl/>
        </w:rPr>
        <w:t>ة الصحية الوطنية للفترة 2000-2005 استراتيجيات العمل العامة التالية:</w:t>
      </w:r>
    </w:p>
    <w:p w:rsidR="00000000" w:rsidRDefault="00567B15">
      <w:pPr>
        <w:spacing w:before="180" w:after="180" w:line="380" w:lineRule="exact"/>
        <w:jc w:val="both"/>
        <w:rPr>
          <w:rFonts w:hint="cs"/>
          <w:rtl/>
        </w:rPr>
      </w:pPr>
      <w:r>
        <w:rPr>
          <w:rFonts w:hint="cs"/>
          <w:rtl/>
        </w:rPr>
        <w:tab/>
        <w:t>(أ)</w:t>
      </w:r>
      <w:r>
        <w:rPr>
          <w:rFonts w:hint="cs"/>
          <w:rtl/>
        </w:rPr>
        <w:tab/>
        <w:t>تحويل الشؤون الاجتماعية إلى قضايا سياسية، وفتح الطريق أمام التدخل المشترك بين القطاعات؛</w:t>
      </w:r>
    </w:p>
    <w:p w:rsidR="00000000" w:rsidRDefault="00567B15">
      <w:pPr>
        <w:spacing w:before="180" w:after="180" w:line="380" w:lineRule="exact"/>
        <w:jc w:val="both"/>
        <w:rPr>
          <w:rFonts w:hint="cs"/>
          <w:rtl/>
        </w:rPr>
      </w:pPr>
      <w:r>
        <w:rPr>
          <w:rFonts w:hint="cs"/>
          <w:rtl/>
        </w:rPr>
        <w:tab/>
        <w:t>(ب)</w:t>
      </w:r>
      <w:r>
        <w:rPr>
          <w:rFonts w:hint="cs"/>
          <w:rtl/>
        </w:rPr>
        <w:tab/>
        <w:t>الإدارة اللامركزية والتشاركية والقائمة على نقل السلطة إلى جانب زيادة مشاركة الحكومات المحل</w:t>
      </w:r>
      <w:r>
        <w:rPr>
          <w:rFonts w:hint="cs"/>
          <w:rtl/>
        </w:rPr>
        <w:t>ية والمجتمع المدني؛</w:t>
      </w:r>
    </w:p>
    <w:p w:rsidR="00000000" w:rsidRDefault="00567B15">
      <w:pPr>
        <w:spacing w:before="180" w:after="180" w:line="380" w:lineRule="exact"/>
        <w:jc w:val="both"/>
        <w:rPr>
          <w:rFonts w:hint="cs"/>
          <w:rtl/>
        </w:rPr>
      </w:pPr>
      <w:r>
        <w:rPr>
          <w:rFonts w:hint="cs"/>
          <w:rtl/>
        </w:rPr>
        <w:tab/>
        <w:t>(ج)</w:t>
      </w:r>
      <w:r>
        <w:rPr>
          <w:rFonts w:hint="cs"/>
          <w:rtl/>
        </w:rPr>
        <w:tab/>
        <w:t>تحديث إدارة المؤسسات والخدمات؛</w:t>
      </w:r>
    </w:p>
    <w:p w:rsidR="00000000" w:rsidRDefault="00567B15">
      <w:pPr>
        <w:spacing w:before="180" w:after="180" w:line="380" w:lineRule="exact"/>
        <w:jc w:val="both"/>
        <w:rPr>
          <w:rFonts w:hint="cs"/>
          <w:rtl/>
        </w:rPr>
      </w:pPr>
      <w:r>
        <w:rPr>
          <w:rFonts w:hint="cs"/>
          <w:rtl/>
        </w:rPr>
        <w:tab/>
        <w:t>(د)</w:t>
      </w:r>
      <w:r>
        <w:rPr>
          <w:rFonts w:hint="cs"/>
          <w:rtl/>
        </w:rPr>
        <w:tab/>
        <w:t>المواجهة في مقاومة الفساد.</w:t>
      </w:r>
    </w:p>
    <w:p w:rsidR="00000000" w:rsidRDefault="00567B15">
      <w:pPr>
        <w:spacing w:line="380" w:lineRule="exact"/>
        <w:jc w:val="both"/>
        <w:rPr>
          <w:rFonts w:hint="cs"/>
          <w:rtl/>
        </w:rPr>
      </w:pPr>
      <w:r>
        <w:rPr>
          <w:rFonts w:hint="cs"/>
          <w:rtl/>
        </w:rPr>
        <w:t>456-</w:t>
      </w:r>
      <w:r>
        <w:rPr>
          <w:rFonts w:hint="cs"/>
          <w:rtl/>
        </w:rPr>
        <w:tab/>
        <w:t>تحديد ثلاثة مواقع تركيز أساسية لإدارة التغيير:</w:t>
      </w:r>
    </w:p>
    <w:p w:rsidR="00000000" w:rsidRDefault="00567B15">
      <w:pPr>
        <w:spacing w:before="180" w:after="180" w:line="380" w:lineRule="exact"/>
        <w:jc w:val="both"/>
        <w:rPr>
          <w:rFonts w:hint="cs"/>
          <w:rtl/>
        </w:rPr>
      </w:pPr>
      <w:r>
        <w:rPr>
          <w:rFonts w:hint="cs"/>
          <w:rtl/>
        </w:rPr>
        <w:tab/>
        <w:t>(أ)</w:t>
      </w:r>
      <w:r>
        <w:rPr>
          <w:rFonts w:hint="cs"/>
          <w:rtl/>
        </w:rPr>
        <w:tab/>
        <w:t>تطوير المواهب البشرية؛</w:t>
      </w:r>
    </w:p>
    <w:p w:rsidR="00000000" w:rsidRDefault="00567B15">
      <w:pPr>
        <w:spacing w:before="180" w:after="180" w:line="380" w:lineRule="exact"/>
        <w:jc w:val="both"/>
        <w:rPr>
          <w:rFonts w:hint="cs"/>
          <w:rtl/>
        </w:rPr>
      </w:pPr>
      <w:r>
        <w:rPr>
          <w:rFonts w:hint="cs"/>
          <w:rtl/>
        </w:rPr>
        <w:tab/>
        <w:t>(ب)</w:t>
      </w:r>
      <w:r>
        <w:rPr>
          <w:rFonts w:hint="cs"/>
          <w:rtl/>
        </w:rPr>
        <w:tab/>
        <w:t>ربط تخصيص الموارد بالمنتوجات والنتائج؛</w:t>
      </w:r>
    </w:p>
    <w:p w:rsidR="00000000" w:rsidRDefault="00567B15">
      <w:pPr>
        <w:spacing w:before="180" w:after="180" w:line="380" w:lineRule="exact"/>
        <w:jc w:val="both"/>
        <w:rPr>
          <w:rFonts w:hint="cs"/>
          <w:rtl/>
        </w:rPr>
      </w:pPr>
      <w:r>
        <w:rPr>
          <w:rFonts w:hint="cs"/>
          <w:rtl/>
        </w:rPr>
        <w:tab/>
        <w:t>(ج)</w:t>
      </w:r>
      <w:r>
        <w:rPr>
          <w:rFonts w:hint="cs"/>
          <w:rtl/>
        </w:rPr>
        <w:tab/>
        <w:t>الإدارة الذاتية.</w:t>
      </w:r>
    </w:p>
    <w:p w:rsidR="00000000" w:rsidRDefault="00567B15">
      <w:pPr>
        <w:spacing w:line="380" w:lineRule="exact"/>
        <w:jc w:val="both"/>
        <w:rPr>
          <w:rFonts w:hint="cs"/>
          <w:rtl/>
        </w:rPr>
      </w:pPr>
      <w:r>
        <w:rPr>
          <w:rFonts w:hint="cs"/>
          <w:rtl/>
        </w:rPr>
        <w:t>457-</w:t>
      </w:r>
      <w:r>
        <w:rPr>
          <w:rFonts w:hint="cs"/>
          <w:rtl/>
        </w:rPr>
        <w:tab/>
        <w:t xml:space="preserve">وقد أُنجز ما يلي </w:t>
      </w:r>
      <w:r>
        <w:rPr>
          <w:rFonts w:hint="cs"/>
          <w:rtl/>
        </w:rPr>
        <w:t>خلال السنة الأولى من العمل:</w:t>
      </w:r>
    </w:p>
    <w:p w:rsidR="00000000" w:rsidRDefault="00567B15">
      <w:pPr>
        <w:spacing w:before="180" w:after="180" w:line="380" w:lineRule="exact"/>
        <w:jc w:val="both"/>
        <w:rPr>
          <w:rFonts w:hint="cs"/>
          <w:rtl/>
        </w:rPr>
      </w:pPr>
      <w:r>
        <w:rPr>
          <w:rFonts w:hint="cs"/>
          <w:rtl/>
        </w:rPr>
        <w:tab/>
        <w:t>(أ)</w:t>
      </w:r>
      <w:r>
        <w:rPr>
          <w:rFonts w:hint="cs"/>
          <w:rtl/>
        </w:rPr>
        <w:tab/>
        <w:t>صياغة الخطة الوطنية للصحة على أساس الخطط المحلية وخطط المقاطعات؛</w:t>
      </w:r>
    </w:p>
    <w:p w:rsidR="00000000" w:rsidRDefault="00567B15">
      <w:pPr>
        <w:spacing w:before="180" w:after="180" w:line="380" w:lineRule="exact"/>
        <w:jc w:val="both"/>
        <w:rPr>
          <w:rFonts w:hint="cs"/>
          <w:rtl/>
        </w:rPr>
      </w:pPr>
      <w:r>
        <w:rPr>
          <w:rFonts w:hint="cs"/>
          <w:rtl/>
        </w:rPr>
        <w:tab/>
        <w:t>(ب)</w:t>
      </w:r>
      <w:r>
        <w:rPr>
          <w:rFonts w:hint="cs"/>
          <w:rtl/>
        </w:rPr>
        <w:tab/>
        <w:t>إصدار مراسيم تنفيذية تمكن وزارة الصحة العامة من استحداث خدمات صحية لا مركزية ونماذج إدارة خدمات مستقلة ذاتياً؛</w:t>
      </w:r>
    </w:p>
    <w:p w:rsidR="00000000" w:rsidRDefault="00567B15">
      <w:pPr>
        <w:spacing w:before="180" w:after="180" w:line="380" w:lineRule="exact"/>
        <w:jc w:val="both"/>
        <w:rPr>
          <w:rFonts w:hint="cs"/>
          <w:rtl/>
        </w:rPr>
      </w:pPr>
      <w:r>
        <w:rPr>
          <w:rFonts w:hint="cs"/>
          <w:rtl/>
        </w:rPr>
        <w:tab/>
        <w:t>(ج)</w:t>
      </w:r>
      <w:r>
        <w:rPr>
          <w:rFonts w:hint="cs"/>
          <w:rtl/>
        </w:rPr>
        <w:tab/>
        <w:t>إصدار اتفاق من وزارة المالية والإقراض</w:t>
      </w:r>
      <w:r>
        <w:rPr>
          <w:rFonts w:hint="cs"/>
          <w:rtl/>
        </w:rPr>
        <w:t xml:space="preserve"> العام بشأن جمع المداخيل التي يسهم بها المستفيدون مع القدرة على الدفع؛</w:t>
      </w:r>
    </w:p>
    <w:p w:rsidR="00000000" w:rsidRDefault="00567B15">
      <w:pPr>
        <w:spacing w:before="180" w:after="180" w:line="380" w:lineRule="exact"/>
        <w:jc w:val="both"/>
        <w:rPr>
          <w:rFonts w:hint="cs"/>
          <w:rtl/>
        </w:rPr>
      </w:pPr>
      <w:r>
        <w:rPr>
          <w:rFonts w:hint="cs"/>
          <w:rtl/>
        </w:rPr>
        <w:tab/>
        <w:t>(د)</w:t>
      </w:r>
      <w:r>
        <w:rPr>
          <w:rFonts w:hint="cs"/>
          <w:rtl/>
        </w:rPr>
        <w:tab/>
        <w:t>صياغة معايير لتقديم الرعاية المجانية لمتلقي بطاقات التموين واعتماد مساهمات من المستفيدين مع القدرة على الدفع، استناداً إلى الفئة السكانية؛</w:t>
      </w:r>
    </w:p>
    <w:p w:rsidR="00000000" w:rsidRDefault="00567B15">
      <w:pPr>
        <w:spacing w:before="180" w:after="180" w:line="380" w:lineRule="exact"/>
        <w:jc w:val="both"/>
        <w:rPr>
          <w:rFonts w:hint="cs"/>
          <w:rtl/>
        </w:rPr>
      </w:pPr>
      <w:r>
        <w:rPr>
          <w:rFonts w:hint="cs"/>
          <w:rtl/>
        </w:rPr>
        <w:tab/>
        <w:t>(ه‍‍)</w:t>
      </w:r>
      <w:r>
        <w:rPr>
          <w:rFonts w:hint="cs"/>
          <w:rtl/>
        </w:rPr>
        <w:tab/>
        <w:t>إصدار اتفاقات وزارية بشأن نقل سلطة</w:t>
      </w:r>
      <w:r>
        <w:rPr>
          <w:rFonts w:hint="cs"/>
          <w:rtl/>
        </w:rPr>
        <w:t xml:space="preserve"> إدارة الموارد البشرية والسلطات القانونية والإدارية والمالية إلى إدارات المحافظات، والأجهزة المساعدة، والمستشفيات والدوائر الصحية؛</w:t>
      </w:r>
    </w:p>
    <w:p w:rsidR="00000000" w:rsidRDefault="00567B15">
      <w:pPr>
        <w:spacing w:before="180" w:after="180" w:line="380" w:lineRule="exact"/>
        <w:jc w:val="both"/>
        <w:rPr>
          <w:rFonts w:hint="cs"/>
          <w:rtl/>
        </w:rPr>
      </w:pPr>
      <w:r>
        <w:rPr>
          <w:rFonts w:hint="cs"/>
          <w:rtl/>
        </w:rPr>
        <w:tab/>
        <w:t>(و)</w:t>
      </w:r>
      <w:r>
        <w:rPr>
          <w:rFonts w:hint="cs"/>
          <w:rtl/>
        </w:rPr>
        <w:tab/>
        <w:t>إعادة تنظيم المؤسسة لاستئصال شأفة البيروقراطية وتحويل الوزارة إلى جهاز أكثر مرونة، وفعالية، يُركز على النتائج ويُرضي الم</w:t>
      </w:r>
      <w:r>
        <w:rPr>
          <w:rFonts w:hint="cs"/>
          <w:rtl/>
        </w:rPr>
        <w:t>ستفيدين منه داخلياً وخارجياً؛</w:t>
      </w:r>
    </w:p>
    <w:p w:rsidR="00000000" w:rsidRDefault="00567B15">
      <w:pPr>
        <w:spacing w:before="180" w:after="180" w:line="380" w:lineRule="exact"/>
        <w:jc w:val="both"/>
        <w:rPr>
          <w:rFonts w:hint="cs"/>
          <w:rtl/>
        </w:rPr>
      </w:pPr>
      <w:r>
        <w:rPr>
          <w:rFonts w:hint="cs"/>
          <w:rtl/>
        </w:rPr>
        <w:tab/>
        <w:t>(ز)</w:t>
      </w:r>
      <w:r>
        <w:rPr>
          <w:rFonts w:hint="cs"/>
          <w:rtl/>
        </w:rPr>
        <w:tab/>
        <w:t>النهوض بالمجالس الصحية المحلية، والقيام بتجارب لإبراز طريقة تنظيم وتشغيل النظم اللامركزية الشاملة للتأمين الصحي.</w:t>
      </w:r>
    </w:p>
    <w:p w:rsidR="00000000" w:rsidRDefault="00567B15">
      <w:pPr>
        <w:spacing w:line="380" w:lineRule="exact"/>
        <w:jc w:val="both"/>
        <w:rPr>
          <w:rFonts w:hint="cs"/>
          <w:i/>
          <w:iCs/>
          <w:rtl/>
        </w:rPr>
      </w:pPr>
      <w:r>
        <w:rPr>
          <w:rFonts w:hint="cs"/>
          <w:i/>
          <w:iCs/>
          <w:rtl/>
        </w:rPr>
        <w:t>حالة الفئات الضعيفة</w:t>
      </w:r>
    </w:p>
    <w:p w:rsidR="00000000" w:rsidRDefault="00567B15">
      <w:pPr>
        <w:spacing w:line="380" w:lineRule="exact"/>
        <w:jc w:val="both"/>
        <w:rPr>
          <w:rFonts w:hint="cs"/>
          <w:rtl/>
        </w:rPr>
      </w:pPr>
      <w:r>
        <w:rPr>
          <w:rFonts w:hint="cs"/>
          <w:rtl/>
        </w:rPr>
        <w:t>458-</w:t>
      </w:r>
      <w:r>
        <w:rPr>
          <w:rFonts w:hint="cs"/>
          <w:rtl/>
        </w:rPr>
        <w:tab/>
        <w:t>إكوادور بلد نام يعاني من مشاكل هيكلية قائمة، أكثرها خطورة الدخول المتدنية التي تحول</w:t>
      </w:r>
      <w:r>
        <w:rPr>
          <w:rFonts w:hint="cs"/>
          <w:rtl/>
        </w:rPr>
        <w:t xml:space="preserve"> دون حصول أكثرية السكان على الخدمات الأساسية - ومنها الرعاية الصحية - حتى تتوفق إلى ضمان مستوى عيش مقبول.</w:t>
      </w:r>
    </w:p>
    <w:p w:rsidR="00000000" w:rsidRDefault="00567B15">
      <w:pPr>
        <w:spacing w:line="380" w:lineRule="exact"/>
        <w:jc w:val="both"/>
        <w:rPr>
          <w:rFonts w:hint="cs"/>
          <w:rtl/>
        </w:rPr>
      </w:pPr>
      <w:r>
        <w:rPr>
          <w:rFonts w:hint="cs"/>
          <w:rtl/>
        </w:rPr>
        <w:t>459-</w:t>
      </w:r>
      <w:r>
        <w:rPr>
          <w:rFonts w:hint="cs"/>
          <w:rtl/>
        </w:rPr>
        <w:tab/>
        <w:t>وأصبحت الصحة، التي هي حق من حقوق الإنسان الأساسية، امتيازاً تتمتع به أقلية في إكوادور يمكنها أن تحصل على الخدمات الصحية الخاصة.</w:t>
      </w:r>
    </w:p>
    <w:p w:rsidR="00000000" w:rsidRDefault="00567B15">
      <w:pPr>
        <w:spacing w:line="380" w:lineRule="exact"/>
        <w:jc w:val="both"/>
        <w:rPr>
          <w:rFonts w:hint="cs"/>
          <w:rtl/>
        </w:rPr>
      </w:pPr>
      <w:r>
        <w:rPr>
          <w:rFonts w:hint="cs"/>
          <w:rtl/>
        </w:rPr>
        <w:t>460-</w:t>
      </w:r>
      <w:r>
        <w:rPr>
          <w:rFonts w:hint="cs"/>
          <w:rtl/>
        </w:rPr>
        <w:tab/>
        <w:t>ولا يحصل ذوو</w:t>
      </w:r>
      <w:r>
        <w:rPr>
          <w:rFonts w:hint="cs"/>
          <w:rtl/>
        </w:rPr>
        <w:t xml:space="preserve"> الموارد المحدودة على الخدمات الصحية العامة نظراً إلى أنهم عندما يقصدون المؤسسات العامة ابتغاءً للرعاية الصحية، يجدون تلك الوحدات الطبية تفتقر إلى الإمدادات اللازمة لتقديم الرعاية التي يحتاجها المستفيدون، أو أنها مغلقة نتيجة للإضرابات المتكررة أو النزاعات </w:t>
      </w:r>
      <w:r>
        <w:rPr>
          <w:rFonts w:hint="cs"/>
          <w:rtl/>
        </w:rPr>
        <w:t xml:space="preserve">العمالية التي ينظمها العاملون في قطاع الصحة؛ والأدهى من ذلك أن التكلفة المرتفعة للإمدادات الطبية تجعلهم يواجهون خيار الحصول على العلاج، أو الحصول على شبه علاج أو عدم الحصول على أي علاج. </w:t>
      </w:r>
    </w:p>
    <w:p w:rsidR="00000000" w:rsidRDefault="00567B15">
      <w:pPr>
        <w:spacing w:line="380" w:lineRule="exact"/>
        <w:jc w:val="both"/>
        <w:rPr>
          <w:rFonts w:hint="cs"/>
          <w:rtl/>
        </w:rPr>
      </w:pPr>
      <w:r>
        <w:rPr>
          <w:rFonts w:hint="cs"/>
          <w:rtl/>
        </w:rPr>
        <w:t>461-</w:t>
      </w:r>
      <w:r>
        <w:rPr>
          <w:rFonts w:hint="cs"/>
          <w:rtl/>
        </w:rPr>
        <w:tab/>
        <w:t>والخدمات الصحية غير منصفة، وقد أصبحت مشكلة اجتماعية تبعث على الق</w:t>
      </w:r>
      <w:r>
        <w:rPr>
          <w:rFonts w:hint="cs"/>
          <w:rtl/>
        </w:rPr>
        <w:t>لق رغم أن الدستور الحالي يضمن الصحة لجميع المواطنين وتعلن الحكومات عن عزمها على جعل الصحة أولوية.</w:t>
      </w:r>
    </w:p>
    <w:p w:rsidR="00000000" w:rsidRDefault="00567B15">
      <w:pPr>
        <w:spacing w:line="380" w:lineRule="exact"/>
        <w:jc w:val="both"/>
        <w:rPr>
          <w:rFonts w:hint="cs"/>
          <w:rtl/>
        </w:rPr>
      </w:pPr>
      <w:r>
        <w:rPr>
          <w:rFonts w:hint="cs"/>
          <w:rtl/>
        </w:rPr>
        <w:t>462-</w:t>
      </w:r>
      <w:r>
        <w:rPr>
          <w:rFonts w:hint="cs"/>
          <w:rtl/>
        </w:rPr>
        <w:tab/>
        <w:t>ومن الواضح أيضاً أنه بسبب التنمية الصناعية وغياب الوعي بالحفاظ على البيئة، أُهملت مراقبة البيئة مما أدى إلى ظهور أمراض ترتبط بالتصنيع دون مراعاة البيئة و</w:t>
      </w:r>
      <w:r>
        <w:rPr>
          <w:rFonts w:hint="cs"/>
          <w:rtl/>
        </w:rPr>
        <w:t xml:space="preserve">التسمم البطيء للمواد الغذائية ومصادر المياه. وبدأت الخدمات الأولية تشعر بآثار عجز الموارد وهي تسعى للإبقاء على التغطية السابقة، ويلاحظ تدهور شديد في الرعاية الصحية بسبب نقص المدخلات الأساسية ووجود موظفين ذوي أجور متدنية ومثبطين. </w:t>
      </w:r>
    </w:p>
    <w:p w:rsidR="00000000" w:rsidRDefault="00567B15">
      <w:pPr>
        <w:spacing w:line="380" w:lineRule="exact"/>
        <w:jc w:val="both"/>
        <w:rPr>
          <w:rFonts w:hint="cs"/>
          <w:i/>
          <w:iCs/>
          <w:rtl/>
        </w:rPr>
      </w:pPr>
      <w:r>
        <w:rPr>
          <w:rFonts w:hint="cs"/>
          <w:i/>
          <w:iCs/>
          <w:rtl/>
        </w:rPr>
        <w:t>المسنون</w:t>
      </w:r>
    </w:p>
    <w:p w:rsidR="00000000" w:rsidRDefault="00567B15">
      <w:pPr>
        <w:spacing w:line="380" w:lineRule="exact"/>
        <w:jc w:val="both"/>
        <w:rPr>
          <w:rFonts w:hint="cs"/>
          <w:rtl/>
        </w:rPr>
      </w:pPr>
      <w:r>
        <w:rPr>
          <w:rFonts w:hint="cs"/>
          <w:rtl/>
        </w:rPr>
        <w:t>463-</w:t>
      </w:r>
      <w:r>
        <w:rPr>
          <w:rFonts w:hint="cs"/>
          <w:rtl/>
        </w:rPr>
        <w:tab/>
        <w:t>ينص دستور إكو</w:t>
      </w:r>
      <w:r>
        <w:rPr>
          <w:rFonts w:hint="cs"/>
          <w:rtl/>
        </w:rPr>
        <w:t>ادور، الذي يشكل النظام القانوني في البلد على شكل من أشكال الحكومة يتمشى ورغبة السكان واحتياجاتهم ويوفر نوعاً من الحماية تترجم الحقوق والضمانات لجميع الإكوادوريين دون تمييز بسبب السن البيولوجي. وقانون المسنين، وهو تشريع صادر بالمرسوم رقم 130 المؤرخ 17 تشرين</w:t>
      </w:r>
      <w:r>
        <w:rPr>
          <w:rFonts w:hint="cs"/>
          <w:rtl/>
        </w:rPr>
        <w:t xml:space="preserve"> الأول/أكتوبر 1991 والذي نشرته الجريدة الرسمية في عددها رقم 806 المؤرخ 6 تشرين الثاني/نوفمبر 1991، وهو نص تشريعي دائم وملزم يعالج موضوعاً ذا أهمية خاصة وينص على المصالح الاقتصادية والاجتماعية والقانونية لجميع الذين تجاوزوا 65 عاماً ويدعو إلى منحهم المساعدة</w:t>
      </w:r>
      <w:r>
        <w:rPr>
          <w:rFonts w:hint="cs"/>
          <w:rtl/>
        </w:rPr>
        <w:t xml:space="preserve"> الطبية الكاملة.</w:t>
      </w:r>
    </w:p>
    <w:p w:rsidR="00000000" w:rsidRDefault="00567B15">
      <w:pPr>
        <w:spacing w:line="380" w:lineRule="exact"/>
        <w:jc w:val="both"/>
        <w:rPr>
          <w:rFonts w:hint="cs"/>
          <w:rtl/>
        </w:rPr>
      </w:pPr>
      <w:r>
        <w:rPr>
          <w:rFonts w:hint="cs"/>
          <w:rtl/>
        </w:rPr>
        <w:t>464-</w:t>
      </w:r>
      <w:r>
        <w:rPr>
          <w:rFonts w:hint="cs"/>
          <w:rtl/>
        </w:rPr>
        <w:tab/>
        <w:t>وتأذن المادة 3 من القانون للمؤسسات التي توفر الحماية والرعاية للمسنين باستيراد الإمدادات الطبية معفاة من الضرائب والرسوم الجمركية بموافقة مسبقة من وزارة الرفاه الاجتماعي. ويتأثر المسنون تأثراً كبيراً بالأزمة الاقتصادية والاجتماعية، وي</w:t>
      </w:r>
      <w:r>
        <w:rPr>
          <w:rFonts w:hint="cs"/>
          <w:rtl/>
        </w:rPr>
        <w:t>واجهون سلسلة من المشاكل تتصل بالتهميش والإهمال. وصحيح أن لدى إكوادور قوانين محددة يستفيد منها المسنون، غير أن الظروف الفعلية التي يواجهها المسنون الذين يعانون من الفقر ظروفٌ مختلفة عملياً. والمسنون فئة اجتماعية هي الأكثر ضعفاً والأقل حماية؛ حيث تتألف مداخل</w:t>
      </w:r>
      <w:r>
        <w:rPr>
          <w:rFonts w:hint="cs"/>
          <w:rtl/>
        </w:rPr>
        <w:t>هم من بطاقات التموين والمساعدات الغذائية التي لا توفر لهم مستوى عيش ملائم ولا تساعدهم على تحسين ظروفهم المعيشية.</w:t>
      </w:r>
    </w:p>
    <w:p w:rsidR="00000000" w:rsidRDefault="00567B15">
      <w:pPr>
        <w:spacing w:line="380" w:lineRule="exact"/>
        <w:jc w:val="both"/>
        <w:rPr>
          <w:rFonts w:hint="cs"/>
          <w:i/>
          <w:iCs/>
          <w:rtl/>
        </w:rPr>
      </w:pPr>
      <w:r>
        <w:rPr>
          <w:rFonts w:hint="cs"/>
          <w:i/>
          <w:iCs/>
          <w:rtl/>
        </w:rPr>
        <w:t>الرعاية الصحية الأولية</w:t>
      </w:r>
    </w:p>
    <w:p w:rsidR="00000000" w:rsidRDefault="00567B15">
      <w:pPr>
        <w:spacing w:line="380" w:lineRule="exact"/>
        <w:jc w:val="both"/>
        <w:rPr>
          <w:rFonts w:hint="cs"/>
          <w:spacing w:val="2"/>
          <w:rtl/>
        </w:rPr>
      </w:pPr>
      <w:r>
        <w:rPr>
          <w:rFonts w:hint="cs"/>
          <w:spacing w:val="2"/>
          <w:rtl/>
        </w:rPr>
        <w:t>465-</w:t>
      </w:r>
      <w:r>
        <w:rPr>
          <w:rFonts w:hint="cs"/>
          <w:spacing w:val="2"/>
          <w:rtl/>
        </w:rPr>
        <w:tab/>
        <w:t>تراعى، تحت هذا العنوان، أهمية الإجراءات المتخذة في مختلف القطاعات الاقتصادية والاجتماعية بهدف توفير ظروف ملائمة للح</w:t>
      </w:r>
      <w:r>
        <w:rPr>
          <w:rFonts w:hint="cs"/>
          <w:spacing w:val="2"/>
          <w:rtl/>
        </w:rPr>
        <w:t>ياة والصحة يمكن لقطاع الصحة أن يشجع عليها وينجزها بدعم من قطاعات الدولة الأخرى، والمجتمعات المحلية وأجهزة التعاون الدولي، وإنشاء آليات تمويل مشتركة مع مختلف القطاعات الاقتصادية والاجتماعية لاستكمال الجهود والموارد واستغلالها على النحو الأمثل بغية تحسين الظ</w:t>
      </w:r>
      <w:r>
        <w:rPr>
          <w:rFonts w:hint="cs"/>
          <w:spacing w:val="2"/>
          <w:rtl/>
        </w:rPr>
        <w:t>روف المعيشية والصحية لعامة السكان.</w:t>
      </w:r>
    </w:p>
    <w:p w:rsidR="00000000" w:rsidRDefault="00567B15">
      <w:pPr>
        <w:spacing w:line="380" w:lineRule="exact"/>
        <w:jc w:val="both"/>
        <w:rPr>
          <w:rFonts w:hint="cs"/>
          <w:rtl/>
        </w:rPr>
      </w:pPr>
      <w:r>
        <w:rPr>
          <w:rFonts w:hint="cs"/>
          <w:rtl/>
        </w:rPr>
        <w:t>466-</w:t>
      </w:r>
      <w:r>
        <w:rPr>
          <w:rFonts w:hint="cs"/>
          <w:rtl/>
        </w:rPr>
        <w:tab/>
        <w:t>ولوزارة الصحة العامة السياسات التالية في هذا المجال:</w:t>
      </w:r>
    </w:p>
    <w:p w:rsidR="00000000" w:rsidRDefault="00567B15">
      <w:pPr>
        <w:spacing w:before="180" w:after="180" w:line="380" w:lineRule="exact"/>
        <w:jc w:val="both"/>
        <w:rPr>
          <w:rFonts w:hint="cs"/>
          <w:rtl/>
        </w:rPr>
      </w:pPr>
      <w:r>
        <w:rPr>
          <w:rFonts w:hint="cs"/>
          <w:rtl/>
        </w:rPr>
        <w:tab/>
        <w:t>(أ)</w:t>
      </w:r>
      <w:r>
        <w:rPr>
          <w:rFonts w:hint="cs"/>
          <w:rtl/>
        </w:rPr>
        <w:tab/>
        <w:t>اتباع استراتيجية النهوض بالصحة والإعلام، والتثقيف، والاتصال والقيام بحملات تعبئة اجتماعية لفائدة الصحة لتعزيز العادات الصحية، وردع التصرف المضر، وتشجيع السكان</w:t>
      </w:r>
      <w:r>
        <w:rPr>
          <w:rFonts w:hint="cs"/>
          <w:rtl/>
        </w:rPr>
        <w:t xml:space="preserve"> على رعاية أنفسهم بذاتهم وقبول المسؤولية المشتركة عن الرعاية الصحية للأسرة والمجتمع المحلي؛</w:t>
      </w:r>
    </w:p>
    <w:p w:rsidR="00000000" w:rsidRDefault="00567B15">
      <w:pPr>
        <w:spacing w:before="180" w:after="180" w:line="380" w:lineRule="exact"/>
        <w:jc w:val="both"/>
        <w:rPr>
          <w:rFonts w:hint="cs"/>
          <w:rtl/>
        </w:rPr>
      </w:pPr>
      <w:r>
        <w:rPr>
          <w:rFonts w:hint="cs"/>
          <w:rtl/>
        </w:rPr>
        <w:tab/>
        <w:t>(ب)</w:t>
      </w:r>
      <w:r>
        <w:rPr>
          <w:rFonts w:hint="cs"/>
          <w:rtl/>
        </w:rPr>
        <w:tab/>
        <w:t>النهوض بالظروف الصحية، والحفاظ عليها وتوسيع نطاقها في البيئة المادية، وبيئة العمل والبيئة الاجتماعية عن طريق إصدار قواعد للاستغلال الرشيد للموارد الطبيعية (دون</w:t>
      </w:r>
      <w:r>
        <w:rPr>
          <w:rFonts w:hint="cs"/>
          <w:rtl/>
        </w:rPr>
        <w:t xml:space="preserve"> التأثير في البيئة أو في البشر). ويتعين إيلاء عناية خاصة لتوفير مياه الشرب وغيرها من هياكل التصحاح الأساسية في المناطق الحضرية والريفية التي تفتقر إلى المرافق الصحية؛</w:t>
      </w:r>
    </w:p>
    <w:p w:rsidR="00000000" w:rsidRDefault="00567B15">
      <w:pPr>
        <w:spacing w:before="180" w:after="180" w:line="380" w:lineRule="exact"/>
        <w:jc w:val="both"/>
        <w:rPr>
          <w:rFonts w:hint="cs"/>
          <w:rtl/>
        </w:rPr>
      </w:pPr>
      <w:r>
        <w:rPr>
          <w:rFonts w:hint="cs"/>
          <w:rtl/>
        </w:rPr>
        <w:tab/>
        <w:t>(ج)</w:t>
      </w:r>
      <w:r>
        <w:rPr>
          <w:rFonts w:hint="cs"/>
          <w:rtl/>
        </w:rPr>
        <w:tab/>
        <w:t>اتخاذ إجراءات لمكافحة سوء تغذية الأطفال، بما في ذلك الرضاعة الطبيعية واتباع استراتيج</w:t>
      </w:r>
      <w:r>
        <w:rPr>
          <w:rFonts w:hint="cs"/>
          <w:rtl/>
        </w:rPr>
        <w:t>ية أمن غذائي لكافة السكان، مع تأمين ذلك لفائدة الفئات التي تتعرض إلى خطر بيولوجي أو اجتماعي شديد؛</w:t>
      </w:r>
    </w:p>
    <w:p w:rsidR="00000000" w:rsidRDefault="00567B15">
      <w:pPr>
        <w:spacing w:before="180" w:after="180" w:line="380" w:lineRule="exact"/>
        <w:jc w:val="both"/>
        <w:rPr>
          <w:rFonts w:hint="cs"/>
          <w:rtl/>
        </w:rPr>
      </w:pPr>
      <w:r>
        <w:rPr>
          <w:rFonts w:hint="cs"/>
          <w:rtl/>
        </w:rPr>
        <w:tab/>
        <w:t>(د)</w:t>
      </w:r>
      <w:r>
        <w:rPr>
          <w:rFonts w:hint="cs"/>
          <w:rtl/>
        </w:rPr>
        <w:tab/>
        <w:t>تشجيع مشاركة الجمهور في المراقبة الصحية والمدنية على الصعيد المحلي حتى يمارس السكان حقوقهم في تلقي المعلومات وفي ابتغاء الرعاية الملائمة والحصول عليها؛</w:t>
      </w:r>
    </w:p>
    <w:p w:rsidR="00000000" w:rsidRDefault="00567B15">
      <w:pPr>
        <w:spacing w:before="180" w:after="180" w:line="380" w:lineRule="exact"/>
        <w:jc w:val="both"/>
        <w:rPr>
          <w:rFonts w:hint="cs"/>
          <w:rtl/>
        </w:rPr>
      </w:pPr>
      <w:r>
        <w:rPr>
          <w:rFonts w:hint="cs"/>
          <w:rtl/>
        </w:rPr>
        <w:tab/>
      </w:r>
      <w:r>
        <w:rPr>
          <w:rFonts w:hint="cs"/>
          <w:rtl/>
        </w:rPr>
        <w:t>(ه‍)</w:t>
      </w:r>
      <w:r>
        <w:rPr>
          <w:rFonts w:hint="cs"/>
          <w:rtl/>
        </w:rPr>
        <w:tab/>
        <w:t>الوقاية من المخاطر والأمراض البيولوجية ذات الصلة بالعمل والأمراض النفسية الاجتماعية التي تؤثر في صحة فئات محددة من السكان، ومراقبتها ورصدها؛</w:t>
      </w:r>
    </w:p>
    <w:p w:rsidR="00000000" w:rsidRDefault="00567B15">
      <w:pPr>
        <w:spacing w:before="180" w:after="180" w:line="380" w:lineRule="exact"/>
        <w:jc w:val="both"/>
        <w:rPr>
          <w:rFonts w:hint="cs"/>
          <w:spacing w:val="0"/>
          <w:rtl/>
        </w:rPr>
      </w:pPr>
      <w:r>
        <w:rPr>
          <w:rFonts w:hint="cs"/>
          <w:spacing w:val="0"/>
          <w:rtl/>
        </w:rPr>
        <w:tab/>
        <w:t>(و)</w:t>
      </w:r>
      <w:r>
        <w:rPr>
          <w:rFonts w:hint="cs"/>
          <w:spacing w:val="0"/>
          <w:rtl/>
        </w:rPr>
        <w:tab/>
        <w:t>تنفيذ خطة السكان الوطنية الراهنة، بما فيها الأجزاء المتعلقة بالصحة الجنسية والإنجابية وتنظيم الأسرة؛</w:t>
      </w:r>
    </w:p>
    <w:p w:rsidR="00000000" w:rsidRDefault="00567B15">
      <w:pPr>
        <w:spacing w:before="180" w:after="180" w:line="380" w:lineRule="exact"/>
        <w:jc w:val="both"/>
        <w:rPr>
          <w:rFonts w:hint="cs"/>
          <w:rtl/>
        </w:rPr>
      </w:pPr>
      <w:r>
        <w:rPr>
          <w:rFonts w:hint="cs"/>
          <w:rtl/>
        </w:rPr>
        <w:tab/>
        <w:t>(ز)</w:t>
      </w:r>
      <w:r>
        <w:rPr>
          <w:rFonts w:hint="cs"/>
          <w:rtl/>
        </w:rPr>
        <w:tab/>
        <w:t>تنظيم أسعار ونوعية الإمدادات الطبية، والمدخلات والمعدات الطبية وغيرها من التكنولوجيا ذات الصلة بالصحة؛</w:t>
      </w:r>
    </w:p>
    <w:p w:rsidR="00000000" w:rsidRDefault="00567B15">
      <w:pPr>
        <w:spacing w:before="180" w:after="180" w:line="380" w:lineRule="exact"/>
        <w:jc w:val="both"/>
        <w:rPr>
          <w:rFonts w:hint="cs"/>
          <w:rtl/>
        </w:rPr>
      </w:pPr>
      <w:r>
        <w:rPr>
          <w:rFonts w:hint="cs"/>
          <w:rtl/>
        </w:rPr>
        <w:tab/>
        <w:t>(ح)</w:t>
      </w:r>
      <w:r>
        <w:rPr>
          <w:rFonts w:hint="cs"/>
          <w:rtl/>
        </w:rPr>
        <w:tab/>
        <w:t>صياغة واستنباط سياسات صحية للنهوض بالصحة في المجتمعات المحلية</w:t>
      </w:r>
      <w:r>
        <w:rPr>
          <w:rFonts w:hint="cs"/>
          <w:vertAlign w:val="superscript"/>
          <w:rtl/>
        </w:rPr>
        <w:t>(64)</w:t>
      </w:r>
      <w:r>
        <w:rPr>
          <w:rFonts w:hint="cs"/>
          <w:rtl/>
        </w:rPr>
        <w:t>.</w:t>
      </w:r>
    </w:p>
    <w:p w:rsidR="00000000" w:rsidRDefault="00567B15">
      <w:pPr>
        <w:spacing w:line="380" w:lineRule="exact"/>
        <w:jc w:val="both"/>
        <w:rPr>
          <w:rFonts w:hint="cs"/>
          <w:rtl/>
        </w:rPr>
      </w:pPr>
      <w:r>
        <w:rPr>
          <w:rFonts w:hint="cs"/>
          <w:rtl/>
        </w:rPr>
        <w:t>467-</w:t>
      </w:r>
      <w:r>
        <w:rPr>
          <w:rFonts w:hint="cs"/>
          <w:rtl/>
        </w:rPr>
        <w:tab/>
        <w:t>وتقوم جميع العناصر الآنفة الذكر على أساس أن الصحة العامة تتطلب تحاليل لا مر</w:t>
      </w:r>
      <w:r>
        <w:rPr>
          <w:rFonts w:hint="cs"/>
          <w:rtl/>
        </w:rPr>
        <w:t>كزية طبقية توجه مختلف مسارات العمل لمختلف شرائح السكان، لا على أساس الفئات البيولوجية التقليدية للسن والجنس فقط بل كذلك باستخدام الفئات الاجتماعية التي لها قدرة توضيحية أكبر، تُعرَّف كظروف معيشية بين مختلف الشرائح السكانية</w:t>
      </w:r>
      <w:r>
        <w:rPr>
          <w:rFonts w:hint="cs"/>
          <w:vertAlign w:val="superscript"/>
          <w:rtl/>
        </w:rPr>
        <w:t>(65)</w:t>
      </w:r>
      <w:r>
        <w:rPr>
          <w:rFonts w:hint="cs"/>
          <w:rtl/>
        </w:rPr>
        <w:t>. وهي الطريقة التي تميزت بها إ</w:t>
      </w:r>
      <w:r>
        <w:rPr>
          <w:rFonts w:hint="cs"/>
          <w:rtl/>
        </w:rPr>
        <w:t xml:space="preserve">دارة وزارة الصحة خلال ال‍ 15 سنة الماضية، ومكنت الرعاية الصحية من أن تنظم وفقاً لخطوط جغرافية في "دوائر صحية" ضمن إطار تنمية أتاحه مشروع التنمية الاجتماعية والصحة والتغذية الذي تديره الوزارة منذ عام 1992. وأثبتت العملية، التي جنحت إلى أن تكون عملية محدودة </w:t>
      </w:r>
      <w:r>
        <w:rPr>
          <w:rFonts w:hint="cs"/>
          <w:rtl/>
        </w:rPr>
        <w:t>لنقل السلطة لوحدات وزارة الصحة، دون شك مزايا المشاركة المحلية كوسيلة لاعتماد مزيد من التكافؤ والكفاءة في استخدام الموارد الشحيحة. غير أن الآفاق التي فتحها القانون الجديد للامركزية والمشاركة الاجتماعية، والمستلزمات الدستورية قد سرعت إجراءات إضفاء الطابع الل</w:t>
      </w:r>
      <w:r>
        <w:rPr>
          <w:rFonts w:hint="cs"/>
          <w:rtl/>
        </w:rPr>
        <w:t>امركزي على خدمات الإدارة، بالاعتماد على البلديات - والتي تقدر العديد منها سواء كانت لوحدها أو مع أطراف أخرى، المشاركة في أنشطة النهوض بالرعاية الصحية في دوائرها الأساسية - لتضطلع بدور ريادي من خلال اتفاقات بشأن نقل المسؤوليات والسلطات من الحكومة المركزية ط</w:t>
      </w:r>
      <w:r>
        <w:rPr>
          <w:rFonts w:hint="cs"/>
          <w:rtl/>
        </w:rPr>
        <w:t>بقاً للتوجيه المقدم في القطاع من وزارة الصحة العامة. وإضافة إلى ذلك فإن مشروع الوزارة الجديد لتحديث الصحة، الذي يموله البنك الدولي، صُمِّم لإنشاء نظام لا مركزي يوفر تغطية شاملة بدعم مختلف المؤسسات النشطة في قطاع الصحة، وذلك عن طريق إنشاء شبكات رعاية متعددة</w:t>
      </w:r>
      <w:r>
        <w:rPr>
          <w:rFonts w:hint="cs"/>
          <w:rtl/>
        </w:rPr>
        <w:t xml:space="preserve"> وتكييف الإدارة المحلية والنظم المالية التي ستضطلع فيها البلدية بدور هام بجعل الصحة جزءاً من خططها الإنمائية المحلية.</w:t>
      </w:r>
    </w:p>
    <w:p w:rsidR="00000000" w:rsidRDefault="00567B15">
      <w:pPr>
        <w:spacing w:line="380" w:lineRule="exact"/>
        <w:jc w:val="both"/>
        <w:rPr>
          <w:rFonts w:hint="cs"/>
          <w:rtl/>
        </w:rPr>
      </w:pPr>
      <w:r>
        <w:rPr>
          <w:rFonts w:hint="cs"/>
          <w:rtl/>
        </w:rPr>
        <w:t>468-</w:t>
      </w:r>
      <w:r>
        <w:rPr>
          <w:rFonts w:hint="cs"/>
          <w:rtl/>
        </w:rPr>
        <w:tab/>
        <w:t>وبإيجاز، فإن لا مركزية الرعاية الصحية ونقل السلطة الخاصة بها جانب أساسي من إصلاح القطاع الصحي. ومع تطور هذا القطاع سيسمح بوضع نماذج إ</w:t>
      </w:r>
      <w:r>
        <w:rPr>
          <w:rFonts w:hint="cs"/>
          <w:rtl/>
        </w:rPr>
        <w:t>دارة جديدة للزيادة في قدرات الخدمات المقدمة وتلبية طلبات الجمهور ذات الأولوية، الأمر الذي يؤدي إلى إقامة نظام وطني للصحة متين وحيوي ومرن على أساس نظم الكانتونات والمقاطعات الذي يطبق في الوقت الراهن في جميع أنحاء البلد</w:t>
      </w:r>
      <w:r>
        <w:rPr>
          <w:rFonts w:hint="cs"/>
          <w:vertAlign w:val="superscript"/>
          <w:rtl/>
        </w:rPr>
        <w:t>(66)</w:t>
      </w:r>
      <w:r>
        <w:rPr>
          <w:rFonts w:hint="cs"/>
          <w:rtl/>
        </w:rPr>
        <w:t>.</w:t>
      </w:r>
    </w:p>
    <w:p w:rsidR="00000000" w:rsidRDefault="00567B15">
      <w:pPr>
        <w:spacing w:line="380" w:lineRule="exact"/>
        <w:jc w:val="both"/>
        <w:rPr>
          <w:rFonts w:hint="cs"/>
          <w:b/>
          <w:bCs/>
          <w:rtl/>
        </w:rPr>
      </w:pPr>
      <w:r>
        <w:rPr>
          <w:rFonts w:hint="cs"/>
          <w:b/>
          <w:bCs/>
          <w:rtl/>
        </w:rPr>
        <w:t>التعليم والصحة</w:t>
      </w:r>
    </w:p>
    <w:p w:rsidR="00000000" w:rsidRDefault="00567B15">
      <w:pPr>
        <w:spacing w:line="380" w:lineRule="exact"/>
        <w:jc w:val="both"/>
        <w:rPr>
          <w:rFonts w:hint="cs"/>
          <w:rtl/>
        </w:rPr>
      </w:pPr>
      <w:r>
        <w:rPr>
          <w:rFonts w:hint="cs"/>
          <w:rtl/>
        </w:rPr>
        <w:t>469-</w:t>
      </w:r>
      <w:r>
        <w:rPr>
          <w:rFonts w:hint="cs"/>
          <w:rtl/>
        </w:rPr>
        <w:tab/>
        <w:t>تغطي برامج ال</w:t>
      </w:r>
      <w:r>
        <w:rPr>
          <w:rFonts w:hint="cs"/>
          <w:rtl/>
        </w:rPr>
        <w:t>صحة النهوض بالصحة وحمايتها والوقاية من الأمراض والعلاج والتأهيل.</w:t>
      </w:r>
    </w:p>
    <w:p w:rsidR="00000000" w:rsidRDefault="00567B15">
      <w:pPr>
        <w:spacing w:line="380" w:lineRule="exact"/>
        <w:jc w:val="both"/>
        <w:rPr>
          <w:rFonts w:hint="cs"/>
          <w:rtl/>
        </w:rPr>
      </w:pPr>
      <w:r>
        <w:rPr>
          <w:rFonts w:hint="cs"/>
          <w:rtl/>
        </w:rPr>
        <w:t>470-</w:t>
      </w:r>
      <w:r>
        <w:rPr>
          <w:rFonts w:hint="cs"/>
          <w:rtl/>
        </w:rPr>
        <w:tab/>
        <w:t>وتتجذر أنشطة النهوض بالصحة وحمايتها (شأنها شأن إدارة الخدمات الصحية) في التشجيع النشط على المشاركة المدنية، التي يمكن تأمينها من خلال اللجان وأجهزة التمثيل الوطنية والإقليمية والمحلية. و</w:t>
      </w:r>
      <w:r>
        <w:rPr>
          <w:rFonts w:hint="cs"/>
          <w:rtl/>
        </w:rPr>
        <w:t>سيجري الإسراع في تشكيل تلك اللجان والأجهزة. وسيدعم التدخل القطاعي الإجراءات الرامية إلى تعزيز المدارس والمعاهد والكليات والبلديات الصحية، من بين جملة أمور، وتعزيز الثقافة المدنية التي تشجع الصحة.</w:t>
      </w:r>
    </w:p>
    <w:p w:rsidR="00000000" w:rsidRDefault="00567B15">
      <w:pPr>
        <w:spacing w:line="380" w:lineRule="exact"/>
        <w:jc w:val="both"/>
        <w:rPr>
          <w:rStyle w:val="FootnoteReference"/>
          <w:rFonts w:hint="cs"/>
          <w:bCs w:val="0"/>
          <w:vertAlign w:val="baseline"/>
          <w:rtl/>
        </w:rPr>
      </w:pPr>
      <w:r>
        <w:rPr>
          <w:rFonts w:hint="cs"/>
          <w:rtl/>
        </w:rPr>
        <w:t>471-</w:t>
      </w:r>
      <w:r>
        <w:rPr>
          <w:rFonts w:hint="cs"/>
          <w:rtl/>
        </w:rPr>
        <w:tab/>
        <w:t>وثمة أنشطة إعلامية وتثقيفية أيضاً وفي مجال الاتصال صُمّ</w:t>
      </w:r>
      <w:r>
        <w:rPr>
          <w:rFonts w:hint="cs"/>
          <w:rtl/>
        </w:rPr>
        <w:t>مت من أجل التشجيع على اعتماد أنماط الحياة وفئات السلوك الصحية (الغذاء والممارسات الصحية الملائمة، على سبيل المثال) وتفادي السلوك والعادات المضرة (التدخين ونمط الحياة الحضري على سبيل المثال).</w:t>
      </w:r>
    </w:p>
    <w:p w:rsidR="00000000" w:rsidRDefault="00567B15">
      <w:pPr>
        <w:spacing w:line="380" w:lineRule="exact"/>
        <w:jc w:val="both"/>
        <w:rPr>
          <w:rFonts w:hint="cs"/>
          <w:rtl/>
        </w:rPr>
      </w:pPr>
      <w:r>
        <w:rPr>
          <w:rFonts w:hint="cs"/>
          <w:rtl/>
        </w:rPr>
        <w:t>472-</w:t>
      </w:r>
      <w:r>
        <w:rPr>
          <w:rFonts w:hint="cs"/>
          <w:rtl/>
        </w:rPr>
        <w:tab/>
        <w:t xml:space="preserve">وبدأ تنفيذ عدد من البرامج وهي: </w:t>
      </w:r>
    </w:p>
    <w:p w:rsidR="00000000" w:rsidRDefault="00567B15">
      <w:pPr>
        <w:spacing w:before="180" w:after="180" w:line="380" w:lineRule="exact"/>
        <w:jc w:val="both"/>
        <w:rPr>
          <w:rFonts w:hint="cs"/>
          <w:rtl/>
        </w:rPr>
      </w:pPr>
      <w:r>
        <w:rPr>
          <w:rFonts w:hint="cs"/>
          <w:rtl/>
        </w:rPr>
        <w:tab/>
        <w:t>(أ)</w:t>
      </w:r>
      <w:r>
        <w:rPr>
          <w:rFonts w:hint="cs"/>
          <w:rtl/>
        </w:rPr>
        <w:tab/>
        <w:t>برنامج الأغذية والتغذية</w:t>
      </w:r>
      <w:r>
        <w:rPr>
          <w:rFonts w:hint="cs"/>
          <w:rtl/>
        </w:rPr>
        <w:t>، 2000 الذي يقدم أغذية إضافية لمن هم دون السنتين (الذين يعانون من سوء التغذية أو يتهددهم خطر ذلك) والحوامل المعرضات لسوء التغذية؛</w:t>
      </w:r>
    </w:p>
    <w:p w:rsidR="00000000" w:rsidRDefault="00567B15">
      <w:pPr>
        <w:spacing w:before="180" w:after="180" w:line="380" w:lineRule="exact"/>
        <w:jc w:val="both"/>
        <w:rPr>
          <w:rFonts w:hint="cs"/>
          <w:rtl/>
        </w:rPr>
      </w:pPr>
      <w:r>
        <w:rPr>
          <w:rFonts w:hint="cs"/>
          <w:rtl/>
        </w:rPr>
        <w:tab/>
        <w:t>(ب)</w:t>
      </w:r>
      <w:r>
        <w:rPr>
          <w:rFonts w:hint="cs"/>
          <w:rtl/>
        </w:rPr>
        <w:tab/>
        <w:t>تعزيز نظام مراقبة الأغذية والتغذية لتحسين أنشطة الرصد والتقييم عن طريق النظم الآلية والدعم الإداري؛</w:t>
      </w:r>
    </w:p>
    <w:p w:rsidR="00000000" w:rsidRDefault="00567B15">
      <w:pPr>
        <w:spacing w:before="180" w:after="180" w:line="380" w:lineRule="exact"/>
        <w:jc w:val="both"/>
        <w:rPr>
          <w:rFonts w:hint="cs"/>
          <w:rtl/>
        </w:rPr>
      </w:pPr>
      <w:r>
        <w:rPr>
          <w:rFonts w:hint="cs"/>
          <w:rtl/>
        </w:rPr>
        <w:tab/>
        <w:t>(ج)</w:t>
      </w:r>
      <w:r>
        <w:rPr>
          <w:rFonts w:hint="cs"/>
          <w:rtl/>
        </w:rPr>
        <w:tab/>
        <w:t>برنامج الأغذية ا</w:t>
      </w:r>
      <w:r>
        <w:rPr>
          <w:rFonts w:hint="cs"/>
          <w:rtl/>
        </w:rPr>
        <w:t>لتكميلية، الذي يقدم حصص أغذية على الصعيد الوطني للأطفال الذين يعانون من سوء تغذية معتدل أو حاد وللحوامل اللائي يعانين من نقص الوزن. ويخطط لزيادة التغطية باطراد كجزء من تعهد مشترك بين المؤسسات (عملية إنقاذ الطفولة، والمؤسسة الوطنية للطفل والأسرة، ووزارة الت</w:t>
      </w:r>
      <w:r>
        <w:rPr>
          <w:rFonts w:hint="cs"/>
          <w:rtl/>
        </w:rPr>
        <w:t>عليم، وتعاونية الإغاثة الأمريكية في كل مكان (</w:t>
      </w:r>
      <w:r>
        <w:t>CARE</w:t>
      </w:r>
      <w:r>
        <w:rPr>
          <w:rFonts w:hint="cs"/>
          <w:rtl/>
        </w:rPr>
        <w:t>)؛</w:t>
      </w:r>
    </w:p>
    <w:p w:rsidR="00000000" w:rsidRDefault="00567B15">
      <w:pPr>
        <w:spacing w:before="180" w:after="180" w:line="380" w:lineRule="exact"/>
        <w:jc w:val="both"/>
        <w:rPr>
          <w:rFonts w:hint="cs"/>
          <w:rtl/>
        </w:rPr>
      </w:pPr>
      <w:r>
        <w:rPr>
          <w:rFonts w:hint="cs"/>
          <w:rtl/>
        </w:rPr>
        <w:tab/>
        <w:t>(د)</w:t>
      </w:r>
      <w:r>
        <w:rPr>
          <w:rFonts w:hint="cs"/>
          <w:rtl/>
        </w:rPr>
        <w:tab/>
        <w:t>البرنامج المتكامل للعناصر النزرة الذي يقوم على تقديم العناصر النزرة التكميلية، من حديد وفيتامين  ألف للحوامل والأطفال دون سن الواحدة. وتنفذ البرنامج على الصعيد الوطني جميع الوحدات التنفيذية في البلد،</w:t>
      </w:r>
      <w:r>
        <w:rPr>
          <w:rFonts w:hint="cs"/>
          <w:rtl/>
        </w:rPr>
        <w:t xml:space="preserve"> بدعم من وزارة الصحة العامة وأجهزة التعاون الدولي. وإلى جانب ذلك، تخصب المواد الغذائية الأساسية والدقيق بالحديد، وحمض الفوليك، وفيتامين باء المركب والنياسين، والملح المدعم بالفلور واليود؛</w:t>
      </w:r>
    </w:p>
    <w:p w:rsidR="00000000" w:rsidRDefault="00567B15">
      <w:pPr>
        <w:spacing w:before="180" w:after="180" w:line="380" w:lineRule="exact"/>
        <w:jc w:val="both"/>
        <w:rPr>
          <w:rFonts w:hint="cs"/>
          <w:rtl/>
        </w:rPr>
      </w:pPr>
      <w:r>
        <w:rPr>
          <w:rFonts w:hint="cs"/>
          <w:rtl/>
        </w:rPr>
        <w:tab/>
        <w:t>(ه‍)</w:t>
      </w:r>
      <w:r>
        <w:rPr>
          <w:rFonts w:hint="cs"/>
          <w:rtl/>
        </w:rPr>
        <w:tab/>
        <w:t>برنامج التثقيف الغذائي. وفي جميع البرامج السابقة عنصر تغذوي إع</w:t>
      </w:r>
      <w:r>
        <w:rPr>
          <w:rFonts w:hint="cs"/>
          <w:rtl/>
        </w:rPr>
        <w:t>لامي وتثقيفي واتصالي صمم للتشجيع على استخدام أفضل للأغذية المتوافرة محلياً واعتماد ممارسات للإرضاع والتغذية الملائمين، وفي الوقت نفسه التخلص من السلوك الضار، واستحداث واستخدام أدوات مثل أدلة التغذية تستند إلى أغذية مختلفة، وبرامج إذاعية لجماهير الإناث، وتق</w:t>
      </w:r>
      <w:r>
        <w:rPr>
          <w:rFonts w:hint="cs"/>
          <w:rtl/>
        </w:rPr>
        <w:t>نيات "أفضل المشتريات" والتقنيات التثقيفية الابتكارية مثل الإرشاد الغذائي؛</w:t>
      </w:r>
    </w:p>
    <w:p w:rsidR="00000000" w:rsidRDefault="00567B15">
      <w:pPr>
        <w:spacing w:before="180" w:after="180" w:line="380" w:lineRule="exact"/>
        <w:jc w:val="both"/>
        <w:rPr>
          <w:rFonts w:hint="cs"/>
          <w:rtl/>
        </w:rPr>
      </w:pPr>
      <w:r>
        <w:rPr>
          <w:rFonts w:hint="cs"/>
          <w:rtl/>
        </w:rPr>
        <w:tab/>
        <w:t>(و)</w:t>
      </w:r>
      <w:r>
        <w:rPr>
          <w:rFonts w:hint="cs"/>
          <w:rtl/>
        </w:rPr>
        <w:tab/>
        <w:t>برنامج رعاية الطفولة. وهو برنامج رعاية شامل لأمراض الطفولة السائدة. ورصد نمو الطفل ونمائه، من أجل التعرف في حينه على الأطفال الذين يعانون من نقص التغذية أو يتعرضون لخطر سوء التغ</w:t>
      </w:r>
      <w:r>
        <w:rPr>
          <w:rFonts w:hint="cs"/>
          <w:rtl/>
        </w:rPr>
        <w:t>ذية، أو الذين يواجهون صعوبات إنمائية نفسية وحركية؛</w:t>
      </w:r>
    </w:p>
    <w:p w:rsidR="00000000" w:rsidRDefault="00567B15">
      <w:pPr>
        <w:spacing w:before="180" w:after="180" w:line="380" w:lineRule="exact"/>
        <w:jc w:val="both"/>
        <w:rPr>
          <w:rFonts w:hint="cs"/>
          <w:spacing w:val="0"/>
          <w:rtl/>
        </w:rPr>
      </w:pPr>
      <w:r>
        <w:rPr>
          <w:rFonts w:hint="cs"/>
          <w:spacing w:val="0"/>
          <w:rtl/>
        </w:rPr>
        <w:tab/>
        <w:t>(ز)</w:t>
      </w:r>
      <w:r>
        <w:rPr>
          <w:rFonts w:hint="cs"/>
          <w:spacing w:val="0"/>
          <w:rtl/>
        </w:rPr>
        <w:tab/>
        <w:t>الوقاية من الأمراض السارية والتحكم فيها لا سيما أمراض الجهاز التنفسي والتشكي من أوجاع الأمعاء؛</w:t>
      </w:r>
    </w:p>
    <w:p w:rsidR="00000000" w:rsidRDefault="00567B15">
      <w:pPr>
        <w:spacing w:before="180" w:after="180" w:line="380" w:lineRule="exact"/>
        <w:jc w:val="both"/>
        <w:rPr>
          <w:rFonts w:hint="cs"/>
          <w:rtl/>
        </w:rPr>
      </w:pPr>
      <w:r>
        <w:rPr>
          <w:rFonts w:hint="cs"/>
          <w:rtl/>
        </w:rPr>
        <w:tab/>
        <w:t>(ح)</w:t>
      </w:r>
      <w:r>
        <w:rPr>
          <w:rFonts w:hint="cs"/>
          <w:rtl/>
        </w:rPr>
        <w:tab/>
        <w:t xml:space="preserve">برنامج التمنيع الموسع. الحفاظ على مستويات هامة للتغطية باللقاحات الحالية والاعتماد التدريجي للقاحات </w:t>
      </w:r>
      <w:r>
        <w:rPr>
          <w:rFonts w:hint="cs"/>
          <w:rtl/>
        </w:rPr>
        <w:t xml:space="preserve">جديدة ضد أمراض مثل الحصبة الألمانية والانتكاف والالتهاب الكبدي باء والتهاب السحايا؛ ولقاحات معززة لفائدة النساء في سن التوالد ومضادة للحمى الصفراء في المناطق الخطرة؛ </w:t>
      </w:r>
    </w:p>
    <w:p w:rsidR="00000000" w:rsidRDefault="00567B15">
      <w:pPr>
        <w:spacing w:before="180" w:after="180" w:line="380" w:lineRule="exact"/>
        <w:jc w:val="both"/>
        <w:rPr>
          <w:rFonts w:hint="cs"/>
          <w:rtl/>
        </w:rPr>
      </w:pPr>
      <w:r>
        <w:rPr>
          <w:rFonts w:hint="cs"/>
          <w:rtl/>
        </w:rPr>
        <w:tab/>
        <w:t>(ط)</w:t>
      </w:r>
      <w:r>
        <w:rPr>
          <w:rFonts w:hint="cs"/>
          <w:rtl/>
        </w:rPr>
        <w:tab/>
        <w:t>برنامج الرعاية في المدارس، الذي يُسعى من خلاله للقيام بأنشطة عن طريق الزيارات الدوري</w:t>
      </w:r>
      <w:r>
        <w:rPr>
          <w:rFonts w:hint="cs"/>
          <w:rtl/>
        </w:rPr>
        <w:t>ة للمؤسسات المدرسية، بما فيها أداء الزيارات بواسطة الوحدات المتنقلة بالتنسيق مع وزارة التعليم؛</w:t>
      </w:r>
    </w:p>
    <w:p w:rsidR="00000000" w:rsidRDefault="00567B15">
      <w:pPr>
        <w:spacing w:before="180" w:after="180" w:line="380" w:lineRule="exact"/>
        <w:jc w:val="both"/>
        <w:rPr>
          <w:rFonts w:hint="cs"/>
          <w:rtl/>
        </w:rPr>
      </w:pPr>
      <w:r>
        <w:rPr>
          <w:rFonts w:hint="cs"/>
          <w:rtl/>
        </w:rPr>
        <w:tab/>
        <w:t>(ي)</w:t>
      </w:r>
      <w:r>
        <w:rPr>
          <w:rFonts w:hint="cs"/>
          <w:rtl/>
        </w:rPr>
        <w:tab/>
        <w:t>فحوص طبية وقائية وعلاجية، وتقديم رعاية لمشاكل البصر والسمع. ورعاية صحة الفم إلى جانب العناصر التثقيفية، وصرف الفلور وإجراء الفحوص الطبية الوقائية والعلاجية؛</w:t>
      </w:r>
    </w:p>
    <w:p w:rsidR="00000000" w:rsidRDefault="00567B15">
      <w:pPr>
        <w:spacing w:before="180" w:after="180" w:line="380" w:lineRule="exact"/>
        <w:jc w:val="both"/>
        <w:rPr>
          <w:rFonts w:hint="cs"/>
          <w:rtl/>
        </w:rPr>
      </w:pPr>
      <w:r>
        <w:rPr>
          <w:rFonts w:hint="cs"/>
          <w:rtl/>
        </w:rPr>
        <w:tab/>
        <w:t>(ك)</w:t>
      </w:r>
      <w:r>
        <w:rPr>
          <w:rFonts w:hint="cs"/>
          <w:rtl/>
        </w:rPr>
        <w:tab/>
        <w:t>الصحة العقلية، والتشخيص المبكر لصعوبات التعلم ومعالجتها؛</w:t>
      </w:r>
    </w:p>
    <w:p w:rsidR="00000000" w:rsidRDefault="00567B15">
      <w:pPr>
        <w:spacing w:before="180" w:after="180" w:line="380" w:lineRule="exact"/>
        <w:jc w:val="both"/>
        <w:rPr>
          <w:rFonts w:hint="cs"/>
          <w:rtl/>
        </w:rPr>
      </w:pPr>
      <w:r>
        <w:rPr>
          <w:rFonts w:hint="cs"/>
          <w:rtl/>
        </w:rPr>
        <w:tab/>
        <w:t>(ل)</w:t>
      </w:r>
      <w:r>
        <w:rPr>
          <w:rFonts w:hint="cs"/>
          <w:rtl/>
        </w:rPr>
        <w:tab/>
        <w:t>القضاء على الطفيليات الباطنية.</w:t>
      </w:r>
    </w:p>
    <w:p w:rsidR="00000000" w:rsidRDefault="00567B15">
      <w:pPr>
        <w:spacing w:line="380" w:lineRule="exact"/>
        <w:jc w:val="both"/>
        <w:rPr>
          <w:rFonts w:hint="cs"/>
          <w:i/>
          <w:iCs/>
          <w:rtl/>
        </w:rPr>
      </w:pPr>
      <w:r>
        <w:rPr>
          <w:rFonts w:hint="cs"/>
          <w:i/>
          <w:iCs/>
          <w:rtl/>
        </w:rPr>
        <w:t>برامج الصحة الجنسية والإنجابية</w:t>
      </w:r>
    </w:p>
    <w:p w:rsidR="00000000" w:rsidRDefault="00567B15">
      <w:pPr>
        <w:spacing w:line="380" w:lineRule="exact"/>
        <w:jc w:val="both"/>
        <w:rPr>
          <w:rFonts w:hint="cs"/>
          <w:rtl/>
        </w:rPr>
      </w:pPr>
      <w:r>
        <w:rPr>
          <w:rFonts w:hint="cs"/>
          <w:rtl/>
        </w:rPr>
        <w:t>473-</w:t>
      </w:r>
      <w:r>
        <w:rPr>
          <w:rFonts w:hint="cs"/>
          <w:rtl/>
        </w:rPr>
        <w:tab/>
        <w:t>الأمومة الصحية. الرعاية السابقة للولادة والتالية لها، الهادفة إلى تحسين التغطية والتركيز. والتثقيف التغذوي خلال الحمل وال</w:t>
      </w:r>
      <w:r>
        <w:rPr>
          <w:rFonts w:hint="cs"/>
          <w:rtl/>
        </w:rPr>
        <w:t>تشجيع على الرضاعة الطبيعية والتشجيع على الولادة في المرافق الملائمة، مع إيلاء أولوية خاصة للمرأة التي تعيش في المناطق الريفية، لضمان الاكتشاف المبكر للمخاطر والنقل في حينه للمرافق المزودة بالموظفين على النحو الملائم والتي توفر رعاية جراحية في طب التوليد وا</w:t>
      </w:r>
      <w:r>
        <w:rPr>
          <w:rFonts w:hint="cs"/>
          <w:rtl/>
        </w:rPr>
        <w:t>لوصول بسرعة إلى بنوك الدم.</w:t>
      </w:r>
    </w:p>
    <w:p w:rsidR="00000000" w:rsidRDefault="00567B15">
      <w:pPr>
        <w:spacing w:line="380" w:lineRule="exact"/>
        <w:jc w:val="both"/>
        <w:rPr>
          <w:rFonts w:hint="cs"/>
          <w:rtl/>
        </w:rPr>
      </w:pPr>
      <w:r>
        <w:rPr>
          <w:rFonts w:hint="cs"/>
          <w:rtl/>
        </w:rPr>
        <w:t>474-</w:t>
      </w:r>
      <w:r>
        <w:rPr>
          <w:rFonts w:hint="cs"/>
          <w:rtl/>
        </w:rPr>
        <w:tab/>
        <w:t>كما تشمل هذه البرامج جوانب أخرى مثل توفير الإقامة للأمهات في المرافق الصحية، وتنفيذ قانون الأمومة المجانية، والإجراءات الرامية إلى الوقاية من العنف في البيوت والتعامل معه، وتنظيم الأسرة (باعتماد نهج شامل يغطي الأنشطة التي تس</w:t>
      </w:r>
      <w:r>
        <w:rPr>
          <w:rFonts w:hint="cs"/>
          <w:rtl/>
        </w:rPr>
        <w:t>تهدف الزوجين بهدف التشجيع على اتخاذ قرارات مستنيرة ملائمة)، والوقاية من الأمراض التي تنتقل عن طريق الاتصال الجنسي والتحكم فيها، والتشديد على الوقاية من فيروس نقص المناعة البشري/متلازمة نقص المناعة المكتسب (الإيدز) في المواضيع التثقيفية، والوقاية من سرطان ا</w:t>
      </w:r>
      <w:r>
        <w:rPr>
          <w:rFonts w:hint="cs"/>
          <w:rtl/>
        </w:rPr>
        <w:t>لرحم والثدي والبروستاتا، والنهوض بروابط مؤسسية نشطة مع الجمعية الإكوادورية لمكافحة السرطان ومرافقها.</w:t>
      </w:r>
    </w:p>
    <w:p w:rsidR="00000000" w:rsidRDefault="00567B15">
      <w:pPr>
        <w:spacing w:line="380" w:lineRule="exact"/>
        <w:jc w:val="both"/>
        <w:rPr>
          <w:rFonts w:hint="cs"/>
          <w:rtl/>
        </w:rPr>
      </w:pPr>
      <w:r>
        <w:rPr>
          <w:rFonts w:hint="cs"/>
          <w:rtl/>
        </w:rPr>
        <w:t>475-</w:t>
      </w:r>
      <w:r>
        <w:rPr>
          <w:rFonts w:hint="cs"/>
          <w:rtl/>
        </w:rPr>
        <w:tab/>
        <w:t>برنامج الرعاية الشاملة للمراهقين: منع حدوث الحمل المبكر ومعالجته، والوقاية من الأمراض التي تنتقل عن طريق الاتصال الجنسي ومعالجتها، والوقاية من إدمان ا</w:t>
      </w:r>
      <w:r>
        <w:rPr>
          <w:rFonts w:hint="cs"/>
          <w:rtl/>
        </w:rPr>
        <w:t>لمخدرات، وإدمان الكحول والتدخين.</w:t>
      </w:r>
    </w:p>
    <w:p w:rsidR="00000000" w:rsidRDefault="00567B15">
      <w:pPr>
        <w:spacing w:line="380" w:lineRule="exact"/>
        <w:jc w:val="both"/>
        <w:rPr>
          <w:rFonts w:hint="cs"/>
          <w:rtl/>
        </w:rPr>
      </w:pPr>
      <w:r>
        <w:rPr>
          <w:rFonts w:hint="cs"/>
          <w:rtl/>
        </w:rPr>
        <w:t>476-</w:t>
      </w:r>
      <w:r>
        <w:rPr>
          <w:rFonts w:hint="cs"/>
          <w:rtl/>
        </w:rPr>
        <w:tab/>
        <w:t>برامج للتعامل مع الأمراض المعدية السائدة. الوقاية من الملاريا والتحكم فيها إلى جانب الأمراض الأخرى المنقولة بالحشرات، والسل، وداء الكَلب وغيرها من الأمراض ذات الأهمية الوبائية على الصعيد الوطني.</w:t>
      </w:r>
    </w:p>
    <w:p w:rsidR="00000000" w:rsidRDefault="00567B15">
      <w:pPr>
        <w:spacing w:line="380" w:lineRule="exact"/>
        <w:jc w:val="both"/>
        <w:rPr>
          <w:rFonts w:hint="cs"/>
          <w:rtl/>
        </w:rPr>
      </w:pPr>
      <w:r>
        <w:rPr>
          <w:rFonts w:hint="cs"/>
          <w:rtl/>
        </w:rPr>
        <w:t>477-</w:t>
      </w:r>
      <w:r>
        <w:rPr>
          <w:rFonts w:hint="cs"/>
          <w:rtl/>
        </w:rPr>
        <w:tab/>
        <w:t xml:space="preserve">برنامج للتعامل مع </w:t>
      </w:r>
      <w:r>
        <w:rPr>
          <w:rFonts w:hint="cs"/>
          <w:rtl/>
        </w:rPr>
        <w:t>الأمراض غير المنقولة السائدة. الوقاية والتحكم في ضغط الدم المرتفع، وأمراض القلب والمخّ والأوعية، والسرطان والسكري وحوادث الطرق، والعنف، والأمراض العقلية ذات الأهمية الوبائية على الصعيد الوطني.</w:t>
      </w:r>
    </w:p>
    <w:p w:rsidR="00000000" w:rsidRDefault="00567B15">
      <w:pPr>
        <w:spacing w:line="380" w:lineRule="exact"/>
        <w:jc w:val="both"/>
        <w:rPr>
          <w:rFonts w:hint="cs"/>
          <w:rtl/>
        </w:rPr>
      </w:pPr>
      <w:r>
        <w:rPr>
          <w:rFonts w:hint="cs"/>
          <w:rtl/>
        </w:rPr>
        <w:t>478-</w:t>
      </w:r>
      <w:r>
        <w:rPr>
          <w:rFonts w:hint="cs"/>
          <w:rtl/>
        </w:rPr>
        <w:tab/>
        <w:t>رعاية المعوقين والمسنين. تقديم أشكال بديلة للرعاية الشاملة</w:t>
      </w:r>
      <w:r>
        <w:rPr>
          <w:rFonts w:hint="cs"/>
          <w:rtl/>
        </w:rPr>
        <w:t xml:space="preserve"> للمسنين، بما فيها الرعاية الصحية الوقائية وتشجيعهم على اتباع نمط عيش يقوم على العطاء؛ وبالتنسيق مع المجلس الوطني للمعوقين أيضاً، التعرف على المعوقين واعتمادهم حتى يؤهلوا لتلقي مستحقات</w:t>
      </w:r>
      <w:r>
        <w:rPr>
          <w:rFonts w:hint="cs"/>
          <w:vertAlign w:val="superscript"/>
          <w:rtl/>
        </w:rPr>
        <w:t>(67)</w:t>
      </w:r>
      <w:r>
        <w:rPr>
          <w:rFonts w:hint="cs"/>
          <w:rtl/>
        </w:rPr>
        <w:t>.</w:t>
      </w:r>
    </w:p>
    <w:p w:rsidR="00000000" w:rsidRDefault="00567B15">
      <w:pPr>
        <w:spacing w:line="380" w:lineRule="exact"/>
        <w:jc w:val="both"/>
        <w:rPr>
          <w:rFonts w:hint="cs"/>
          <w:i/>
          <w:iCs/>
          <w:rtl/>
        </w:rPr>
      </w:pPr>
      <w:r>
        <w:rPr>
          <w:rFonts w:hint="cs"/>
          <w:i/>
          <w:iCs/>
          <w:rtl/>
        </w:rPr>
        <w:t>المساعدة الدولية</w:t>
      </w:r>
    </w:p>
    <w:p w:rsidR="00000000" w:rsidRDefault="00567B15">
      <w:pPr>
        <w:spacing w:line="380" w:lineRule="exact"/>
        <w:jc w:val="both"/>
        <w:rPr>
          <w:rFonts w:hint="cs"/>
          <w:rtl/>
        </w:rPr>
      </w:pPr>
      <w:r>
        <w:rPr>
          <w:rFonts w:hint="cs"/>
          <w:rtl/>
        </w:rPr>
        <w:t>479-</w:t>
      </w:r>
      <w:r>
        <w:rPr>
          <w:rFonts w:hint="cs"/>
          <w:rtl/>
        </w:rPr>
        <w:tab/>
        <w:t xml:space="preserve">وتتلقى جزئياً البرامجَ التي تديرها في الوقت </w:t>
      </w:r>
      <w:r>
        <w:rPr>
          <w:rFonts w:hint="cs"/>
          <w:rtl/>
        </w:rPr>
        <w:t>الراهن وزارة الصحة العامة تمويلاً جزئياً من وكالات المساعدة الدولية.</w:t>
      </w:r>
    </w:p>
    <w:p w:rsidR="00000000" w:rsidRDefault="00567B15">
      <w:pPr>
        <w:spacing w:line="380" w:lineRule="exact"/>
        <w:jc w:val="both"/>
        <w:rPr>
          <w:rFonts w:hint="cs"/>
          <w:rtl/>
        </w:rPr>
      </w:pPr>
      <w:r>
        <w:rPr>
          <w:rFonts w:hint="cs"/>
          <w:rtl/>
        </w:rPr>
        <w:t>480-</w:t>
      </w:r>
      <w:r>
        <w:rPr>
          <w:rFonts w:hint="cs"/>
          <w:rtl/>
        </w:rPr>
        <w:tab/>
        <w:t xml:space="preserve">وتتلقى الوزارة مساندة من مؤسسات الأمم المتحدة، وبرنامج الأمم المتحدة الإنمائي، ومنظمة الصحة للبلدان الأمريكية/منظمة الصحة العالمية، واليونيسيف، وبرنامج الأغذية العالمي، ومنظمة الأمم </w:t>
      </w:r>
      <w:r>
        <w:rPr>
          <w:rFonts w:hint="cs"/>
          <w:rtl/>
        </w:rPr>
        <w:t>المتحدة للأغذية والزراعة وما إليها، لمجالات محددة في كل حالة: فقد اضطلعت اليونيسيف بالخصوص ببرامج صممت بهدف تحسين رعاية الأمومة والطفولة في المقام الأول. وتوجد مشاريع تنفذ بالتنسيق مع برامج إنمائية أخرى سعياً إلى بلوغ أهداف محددة، مثل المساعدة المقدمة من ك</w:t>
      </w:r>
      <w:r>
        <w:rPr>
          <w:rFonts w:hint="cs"/>
          <w:rtl/>
        </w:rPr>
        <w:t>ندا التي تهب أغذية بهدف تحصيل سوكرات (عمليات لبيع من أجل جمع العملة المحلية) واستخدام العائدات لتمويل برنامج لمكافحة مرض السل. وتعمل فرنسا في مجال المساعدة على تطوير المناطق الصحية.</w:t>
      </w:r>
    </w:p>
    <w:p w:rsidR="00000000" w:rsidRDefault="00567B15">
      <w:pPr>
        <w:spacing w:line="380" w:lineRule="exact"/>
        <w:jc w:val="center"/>
        <w:rPr>
          <w:rFonts w:hint="cs"/>
          <w:b/>
          <w:bCs/>
          <w:rtl/>
        </w:rPr>
      </w:pPr>
      <w:r>
        <w:rPr>
          <w:rFonts w:hint="cs"/>
          <w:b/>
          <w:bCs/>
          <w:rtl/>
        </w:rPr>
        <w:t>المادة 13</w:t>
      </w:r>
    </w:p>
    <w:p w:rsidR="00000000" w:rsidRDefault="00567B15">
      <w:pPr>
        <w:spacing w:line="380" w:lineRule="exact"/>
        <w:jc w:val="both"/>
        <w:rPr>
          <w:rFonts w:hint="cs"/>
          <w:b/>
          <w:bCs/>
          <w:rtl/>
        </w:rPr>
      </w:pPr>
      <w:r>
        <w:rPr>
          <w:rFonts w:hint="cs"/>
          <w:b/>
          <w:bCs/>
          <w:rtl/>
        </w:rPr>
        <w:t>الحق في التعليم</w:t>
      </w:r>
    </w:p>
    <w:p w:rsidR="00000000" w:rsidRDefault="00567B15">
      <w:pPr>
        <w:spacing w:line="380" w:lineRule="exact"/>
        <w:jc w:val="both"/>
        <w:rPr>
          <w:rFonts w:hint="cs"/>
          <w:spacing w:val="0"/>
          <w:rtl/>
        </w:rPr>
      </w:pPr>
      <w:r>
        <w:rPr>
          <w:rFonts w:hint="cs"/>
          <w:spacing w:val="0"/>
          <w:rtl/>
        </w:rPr>
        <w:t>481-</w:t>
      </w:r>
      <w:r>
        <w:rPr>
          <w:rFonts w:hint="cs"/>
          <w:spacing w:val="0"/>
          <w:rtl/>
        </w:rPr>
        <w:tab/>
        <w:t xml:space="preserve">تقضي المادة 23 من الدستور المتعلقة بالحقوق </w:t>
      </w:r>
      <w:r>
        <w:rPr>
          <w:rFonts w:hint="cs"/>
          <w:spacing w:val="0"/>
          <w:rtl/>
        </w:rPr>
        <w:t>المدنية بالحق في نوعية حياة تكفل توفير الصحة والأغذية والتغذية وماء الشرب والتصحاح والتعليم والعمل والعمالة والترفيه والإسكان والملبس وغيرها من الخدمات الضرورية.</w:t>
      </w:r>
    </w:p>
    <w:p w:rsidR="00000000" w:rsidRDefault="00567B15">
      <w:pPr>
        <w:spacing w:line="380" w:lineRule="exact"/>
        <w:jc w:val="both"/>
        <w:rPr>
          <w:rFonts w:hint="cs"/>
          <w:spacing w:val="2"/>
          <w:rtl/>
        </w:rPr>
      </w:pPr>
      <w:r>
        <w:rPr>
          <w:rFonts w:hint="cs"/>
          <w:spacing w:val="2"/>
          <w:rtl/>
        </w:rPr>
        <w:t>482-</w:t>
      </w:r>
      <w:r>
        <w:rPr>
          <w:rFonts w:hint="cs"/>
          <w:spacing w:val="2"/>
          <w:rtl/>
        </w:rPr>
        <w:tab/>
        <w:t>وإضافة إلى ذلك، تنص المادة 66 من الدستور على أن التعليم حق لا يمكن التخلي عنه وهو مجال يح</w:t>
      </w:r>
      <w:r>
        <w:rPr>
          <w:rFonts w:hint="cs"/>
          <w:spacing w:val="2"/>
          <w:rtl/>
        </w:rPr>
        <w:t>ظى بالأولوية في الاستثمارات العامة بصفته من مستلزمات التنمية الوطنية وضماناً للمساواة الاجتماعية: "فالتعليم، الذي يستند إلى المبادئ الأخلاقية والتعددية والديمقراطية، والإنسانية والعلمية، ينهض باحترام حقوق الإنسان، وتطوير التفكير النقدي وتشجيع الانضباط المد</w:t>
      </w:r>
      <w:r>
        <w:rPr>
          <w:rFonts w:hint="cs"/>
          <w:spacing w:val="2"/>
          <w:rtl/>
        </w:rPr>
        <w:t>ني؛ وتوفير المهارات لضمان كفاءة العمالة والإنتاج؛ وحفز قدرات الخلق والإبداع، والنماء الكامل للشخصية والقدرات الخاصة لكل شخص؛ وتعزيز التعدد الثقافي، والتضامن والسلام"</w:t>
      </w:r>
      <w:r>
        <w:rPr>
          <w:rFonts w:hint="cs"/>
          <w:spacing w:val="2"/>
          <w:vertAlign w:val="superscript"/>
          <w:rtl/>
        </w:rPr>
        <w:t>(68)</w:t>
      </w:r>
      <w:r>
        <w:rPr>
          <w:rFonts w:hint="cs"/>
          <w:spacing w:val="2"/>
          <w:rtl/>
        </w:rPr>
        <w:t>.</w:t>
      </w:r>
    </w:p>
    <w:p w:rsidR="00000000" w:rsidRDefault="00567B15">
      <w:pPr>
        <w:spacing w:line="380" w:lineRule="exact"/>
        <w:jc w:val="both"/>
        <w:rPr>
          <w:rFonts w:hint="cs"/>
          <w:rtl/>
        </w:rPr>
      </w:pPr>
      <w:r>
        <w:rPr>
          <w:rFonts w:hint="cs"/>
          <w:rtl/>
        </w:rPr>
        <w:t>483-</w:t>
      </w:r>
      <w:r>
        <w:rPr>
          <w:rFonts w:hint="cs"/>
          <w:rtl/>
        </w:rPr>
        <w:tab/>
        <w:t>وتنص المادة 67 من الدستور على أن "التعليم العام دنيوي في جميع المستويات؛ وإجباري</w:t>
      </w:r>
      <w:r>
        <w:rPr>
          <w:rFonts w:hint="cs"/>
          <w:rtl/>
        </w:rPr>
        <w:t xml:space="preserve"> إلى حد المستوى الابتدائي ومجاني إلى حد شهادة البكالوريا أو ما يعادلها. وتقدم المدارس العامة الخدمات الاجتماعية مجاناً لكل من يحتاج إليها. ويتلقى الطلاب الذين يعيشون في فقر مدقع إعانات محددة".</w:t>
      </w:r>
    </w:p>
    <w:p w:rsidR="00000000" w:rsidRDefault="00567B15">
      <w:pPr>
        <w:spacing w:line="380" w:lineRule="exact"/>
        <w:jc w:val="both"/>
        <w:rPr>
          <w:rFonts w:hint="cs"/>
          <w:rtl/>
        </w:rPr>
      </w:pPr>
      <w:r>
        <w:rPr>
          <w:rFonts w:hint="cs"/>
          <w:rtl/>
        </w:rPr>
        <w:t>484-</w:t>
      </w:r>
      <w:r>
        <w:rPr>
          <w:rFonts w:hint="cs"/>
          <w:rtl/>
        </w:rPr>
        <w:tab/>
        <w:t>ومنذ عام 1996، ينفذ البلد إصلاح مناهج التعليم الابتدائي، و</w:t>
      </w:r>
      <w:r>
        <w:rPr>
          <w:rFonts w:hint="cs"/>
          <w:rtl/>
        </w:rPr>
        <w:t>هو إجباري حتى سن العاشرة. والهدف من ذلك هو وجوب تطبيقه على نحو شامل بحلول عام 2003. وفيما يتعلق بتنفيذ الإصلاح، استثمرت موارد مالية هائلة من القروض الدولية في تدريب الموارد البشرية ونشر المعلومات والهياكل الأساسية والمعدات وما إليها.</w:t>
      </w:r>
    </w:p>
    <w:p w:rsidR="00000000" w:rsidRDefault="00567B15">
      <w:pPr>
        <w:spacing w:line="380" w:lineRule="exact"/>
        <w:jc w:val="both"/>
        <w:rPr>
          <w:rFonts w:hint="cs"/>
          <w:i/>
          <w:iCs/>
          <w:rtl/>
        </w:rPr>
      </w:pPr>
      <w:r>
        <w:rPr>
          <w:rFonts w:hint="cs"/>
          <w:i/>
          <w:iCs/>
          <w:rtl/>
        </w:rPr>
        <w:t>التعليم الثانوي</w:t>
      </w:r>
    </w:p>
    <w:p w:rsidR="00000000" w:rsidRDefault="00567B15">
      <w:pPr>
        <w:spacing w:line="380" w:lineRule="exact"/>
        <w:jc w:val="both"/>
        <w:rPr>
          <w:rFonts w:hint="cs"/>
          <w:rtl/>
        </w:rPr>
      </w:pPr>
      <w:r>
        <w:rPr>
          <w:rFonts w:hint="cs"/>
          <w:rtl/>
        </w:rPr>
        <w:t>485-</w:t>
      </w:r>
      <w:r>
        <w:rPr>
          <w:rFonts w:hint="cs"/>
          <w:rtl/>
        </w:rPr>
        <w:tab/>
        <w:t>ي</w:t>
      </w:r>
      <w:r>
        <w:rPr>
          <w:rFonts w:hint="cs"/>
          <w:rtl/>
        </w:rPr>
        <w:t>نص قانون التعليم على أن تتولى الدولة صياغة الخطط التعليمية المتواصلة والبرامج الرامية إلى القضاء على الأمية ومنح الأولوية للنهوض بالتعليم في المناطق الريفية والحدودية وضمان التعليم الخاص.</w:t>
      </w:r>
    </w:p>
    <w:p w:rsidR="00000000" w:rsidRDefault="00567B15">
      <w:pPr>
        <w:spacing w:line="380" w:lineRule="exact"/>
        <w:jc w:val="both"/>
        <w:rPr>
          <w:rStyle w:val="FootnoteReference"/>
          <w:rFonts w:hint="cs"/>
          <w:bCs w:val="0"/>
          <w:vertAlign w:val="baseline"/>
          <w:rtl/>
        </w:rPr>
      </w:pPr>
      <w:r>
        <w:rPr>
          <w:rFonts w:hint="cs"/>
          <w:rtl/>
        </w:rPr>
        <w:t>486-</w:t>
      </w:r>
      <w:r>
        <w:rPr>
          <w:rFonts w:hint="cs"/>
          <w:rtl/>
        </w:rPr>
        <w:tab/>
        <w:t>وتنص المادة 67 من الدستور على أن التعليم مجاني، غير أن هذا الحك</w:t>
      </w:r>
      <w:r>
        <w:rPr>
          <w:rFonts w:hint="cs"/>
          <w:rtl/>
        </w:rPr>
        <w:t>م لم ينفذ نظراً إلى أن التعليم الثانوي في البلد ليس مجانياً تماماً. ذلك أن الحكومة تغطي أكثرية ميزانيات المدارس العامة، ولكن توجه مساهمة طوعية من الوالدين عن طريق لجان الآباء، وتتعهد تلك المساهمة بأنشطة إدارة ذاتية لتغطية الاحتياجات المؤسسية مثل الهياكل ال</w:t>
      </w:r>
      <w:r>
        <w:rPr>
          <w:rFonts w:hint="cs"/>
          <w:rtl/>
        </w:rPr>
        <w:t xml:space="preserve">أساسية، والصيانة وانتداب أساتذة متخصصين. </w:t>
      </w:r>
    </w:p>
    <w:p w:rsidR="00000000" w:rsidRDefault="00567B15">
      <w:pPr>
        <w:spacing w:line="380" w:lineRule="exact"/>
        <w:jc w:val="both"/>
        <w:rPr>
          <w:rFonts w:hint="cs"/>
          <w:rtl/>
        </w:rPr>
      </w:pPr>
      <w:r>
        <w:rPr>
          <w:rFonts w:hint="cs"/>
          <w:rtl/>
        </w:rPr>
        <w:t>487-</w:t>
      </w:r>
      <w:r>
        <w:rPr>
          <w:rFonts w:hint="cs"/>
          <w:rtl/>
        </w:rPr>
        <w:tab/>
        <w:t xml:space="preserve">وينص إعلان هافانا (الصادر عن المؤتمر الإقليمي الذي نظمته اليونسكو والمعني بالسياسات والاستراتيجيات الهادفة إلى تغيير التعليم العالي في أمريكا اللاتينية ومنطقة البحر الكاريبي، وعقد في تشرين الثاني/نوفمبر 1996) </w:t>
      </w:r>
      <w:r>
        <w:rPr>
          <w:rFonts w:hint="cs"/>
          <w:rtl/>
        </w:rPr>
        <w:t>على أن "التعليم عامة والتعليم العالي خاصة، أداتان أساسيتان للنجاح في مواجهة التحديات التي يطرحها عالم اليوم وفي تعليم المواطنين الذين يمكنهم عندئذ بناء مجتمع أكثر انفتاحا وعدالة؛ مجتمع قائم على التضامن واحترام حقوق الإنسان والاشتراك في استخدام المعارف والم</w:t>
      </w:r>
      <w:r>
        <w:rPr>
          <w:rFonts w:hint="cs"/>
          <w:rtl/>
        </w:rPr>
        <w:t>علومات. وفي الوقت ذاته، يشكل التعليم العالي عنصرا لا مفرّ منه للتنمية الاجتماعية والإنتاج والنمو الاقتصادي وتعزيز الهُويّة الثقافية والحفاظ على تماسك المجتمع ومواصلة مكافحة الفقر وتعزيز ثقافة سلام".</w:t>
      </w:r>
    </w:p>
    <w:p w:rsidR="00000000" w:rsidRDefault="00567B15">
      <w:pPr>
        <w:spacing w:line="380" w:lineRule="exact"/>
        <w:jc w:val="both"/>
        <w:rPr>
          <w:rFonts w:hint="cs"/>
          <w:rtl/>
        </w:rPr>
      </w:pPr>
      <w:r>
        <w:rPr>
          <w:rFonts w:hint="cs"/>
          <w:rtl/>
        </w:rPr>
        <w:t>488-</w:t>
      </w:r>
      <w:r>
        <w:rPr>
          <w:rFonts w:hint="cs"/>
          <w:rtl/>
        </w:rPr>
        <w:tab/>
        <w:t>وتنص المادة 38، من الفصل الرابع (الطلاب)، من قانون ا</w:t>
      </w:r>
      <w:r>
        <w:rPr>
          <w:rFonts w:hint="cs"/>
          <w:rtl/>
        </w:rPr>
        <w:t>لجامعات والمدارس التقنية على أنه "يشترط حصول الطالب على شهادة البكالوريا للالتحاق بالجامعة أو المدرسة التقنية. وتحدد كل جامعة أو مدرسة تقنية إجراءات القبول فيها، مع مراعاة تخصص الطلاب، واحتياجاتهم في استيفاء المستوى المطلوب، وتنظيم وتوزيع الموارد الأكاديمي</w:t>
      </w:r>
      <w:r>
        <w:rPr>
          <w:rFonts w:hint="cs"/>
          <w:rtl/>
        </w:rPr>
        <w:t>ة واحتياجات البلد في مجال التدريب المهني".</w:t>
      </w:r>
    </w:p>
    <w:p w:rsidR="00000000" w:rsidRDefault="00567B15">
      <w:pPr>
        <w:spacing w:line="380" w:lineRule="exact"/>
        <w:jc w:val="both"/>
        <w:rPr>
          <w:rFonts w:hint="cs"/>
          <w:rtl/>
        </w:rPr>
      </w:pPr>
      <w:r>
        <w:rPr>
          <w:rFonts w:hint="cs"/>
          <w:rtl/>
        </w:rPr>
        <w:t>489-</w:t>
      </w:r>
      <w:r>
        <w:rPr>
          <w:rFonts w:hint="cs"/>
          <w:rtl/>
        </w:rPr>
        <w:tab/>
        <w:t>وتهدف سياسة التعليم العالي التي اعتمدها المجلس الوطني للجامعات والمدارس التقنية إلى تنفيذ المادة 26 من الإعلان العالمي لحقوق الإنسان تنفيذا كاملا حيث تنص على أن "يكون التعليم العالي متاحا للجميع على قدم المسا</w:t>
      </w:r>
      <w:r>
        <w:rPr>
          <w:rFonts w:hint="cs"/>
          <w:rtl/>
        </w:rPr>
        <w:t xml:space="preserve">واة تبعا لكفاءتهم". وهذا هو السبب في أن القواعد التي تطبق في الوقت الراهن على الجامعات والمدارس التقنية لقبول الطلاب لا تنال من حقهم في الالتحاق بمؤسسات التعليم العالي إذا نجحوا في اختبارات القبول واستوفوا الشروط المطلوبة. </w:t>
      </w:r>
    </w:p>
    <w:p w:rsidR="00000000" w:rsidRDefault="00567B15">
      <w:pPr>
        <w:spacing w:line="380" w:lineRule="exact"/>
        <w:jc w:val="both"/>
        <w:rPr>
          <w:rFonts w:hint="cs"/>
          <w:rtl/>
        </w:rPr>
      </w:pPr>
      <w:r>
        <w:rPr>
          <w:rFonts w:hint="cs"/>
          <w:rtl/>
        </w:rPr>
        <w:t>490-</w:t>
      </w:r>
      <w:r>
        <w:rPr>
          <w:rFonts w:hint="cs"/>
          <w:rtl/>
        </w:rPr>
        <w:tab/>
        <w:t>ويحدد المجلس الوطني للجامعا</w:t>
      </w:r>
      <w:r>
        <w:rPr>
          <w:rFonts w:hint="cs"/>
          <w:rtl/>
        </w:rPr>
        <w:t>ت والمدارس التقنية تكاليف التعليم العالي في المؤسسات العامة. وفيما يلي رسوم التسجيل في الجامعات والمدارس التقنية للفترة 1999-2000:</w:t>
      </w:r>
    </w:p>
    <w:p w:rsidR="00000000" w:rsidRDefault="00567B15">
      <w:pPr>
        <w:spacing w:line="380" w:lineRule="exact"/>
        <w:jc w:val="both"/>
        <w:rPr>
          <w:rFonts w:hint="cs"/>
          <w:b/>
          <w:bCs/>
          <w:rtl/>
        </w:rPr>
      </w:pPr>
      <w:r>
        <w:rPr>
          <w:rFonts w:hint="cs"/>
          <w:b/>
          <w:bCs/>
          <w:rtl/>
        </w:rPr>
        <w:tab/>
        <w:t>الجامعات الحكومية</w:t>
      </w:r>
    </w:p>
    <w:p w:rsidR="00000000" w:rsidRDefault="00567B15">
      <w:pPr>
        <w:spacing w:line="380" w:lineRule="exact"/>
        <w:jc w:val="both"/>
        <w:rPr>
          <w:rFonts w:hint="cs"/>
          <w:i/>
          <w:iCs/>
          <w:rtl/>
        </w:rPr>
      </w:pPr>
      <w:r>
        <w:rPr>
          <w:rFonts w:hint="cs"/>
          <w:i/>
          <w:iCs/>
          <w:rtl/>
        </w:rPr>
        <w:tab/>
        <w:t>جامعة إكوادور المركزية (1999-2001)</w:t>
      </w:r>
    </w:p>
    <w:p w:rsidR="00000000" w:rsidRDefault="00567B15">
      <w:pPr>
        <w:spacing w:before="180" w:after="180" w:line="380" w:lineRule="exact"/>
        <w:jc w:val="both"/>
        <w:rPr>
          <w:rFonts w:hint="cs"/>
          <w:rtl/>
        </w:rPr>
      </w:pPr>
      <w:r>
        <w:rPr>
          <w:rFonts w:hint="cs"/>
          <w:rtl/>
        </w:rPr>
        <w:tab/>
      </w:r>
      <w:r>
        <w:rPr>
          <w:rFonts w:hint="cs"/>
          <w:rtl/>
        </w:rPr>
        <w:tab/>
        <w:t>الحد الأدنى للأجور = 100 دولار من دولارات الولايات المتحدة</w:t>
      </w:r>
    </w:p>
    <w:p w:rsidR="00000000" w:rsidRDefault="00567B15">
      <w:pPr>
        <w:spacing w:before="180" w:after="180" w:line="380" w:lineRule="exact"/>
        <w:jc w:val="both"/>
        <w:rPr>
          <w:rFonts w:hint="cs"/>
          <w:i/>
          <w:iCs/>
          <w:rtl/>
        </w:rPr>
      </w:pPr>
      <w:r>
        <w:rPr>
          <w:rFonts w:hint="cs"/>
          <w:i/>
          <w:iCs/>
          <w:rtl/>
        </w:rPr>
        <w:tab/>
      </w:r>
      <w:r>
        <w:rPr>
          <w:rFonts w:hint="cs"/>
          <w:i/>
          <w:iCs/>
          <w:rtl/>
        </w:rPr>
        <w:tab/>
        <w:t>القيـد</w:t>
      </w:r>
    </w:p>
    <w:p w:rsidR="00000000" w:rsidRDefault="00567B15">
      <w:pPr>
        <w:spacing w:before="180" w:after="180" w:line="380" w:lineRule="exact"/>
        <w:jc w:val="both"/>
        <w:rPr>
          <w:rFonts w:hint="cs"/>
          <w:rtl/>
        </w:rPr>
      </w:pPr>
      <w:r>
        <w:rPr>
          <w:rFonts w:hint="cs"/>
          <w:rtl/>
        </w:rPr>
        <w:tab/>
      </w:r>
      <w:r>
        <w:rPr>
          <w:rFonts w:hint="cs"/>
          <w:rtl/>
        </w:rPr>
        <w:tab/>
        <w:t>تتوقف التكاليف على نوع المدرسة المعنية</w:t>
      </w:r>
    </w:p>
    <w:tbl>
      <w:tblPr>
        <w:bidiVisual/>
        <w:tblW w:w="0" w:type="auto"/>
        <w:tblInd w:w="1413" w:type="dxa"/>
        <w:tblLook w:val="0000" w:firstRow="0" w:lastRow="0" w:firstColumn="0" w:lastColumn="0" w:noHBand="0" w:noVBand="0"/>
      </w:tblPr>
      <w:tblGrid>
        <w:gridCol w:w="3023"/>
        <w:gridCol w:w="2954"/>
        <w:gridCol w:w="2180"/>
      </w:tblGrid>
      <w:tr w:rsidR="00567B15" w:rsidTr="00567B15">
        <w:tblPrEx>
          <w:tblCellMar>
            <w:top w:w="0" w:type="dxa"/>
            <w:bottom w:w="0" w:type="dxa"/>
          </w:tblCellMar>
        </w:tblPrEx>
        <w:tc>
          <w:tcPr>
            <w:tcW w:w="3023" w:type="dxa"/>
          </w:tcPr>
          <w:p w:rsidR="00567B15" w:rsidRDefault="00567B15">
            <w:pPr>
              <w:spacing w:before="0" w:after="0" w:line="360" w:lineRule="exact"/>
              <w:jc w:val="center"/>
              <w:rPr>
                <w:rFonts w:hint="cs"/>
              </w:rPr>
            </w:pPr>
          </w:p>
        </w:tc>
        <w:tc>
          <w:tcPr>
            <w:tcW w:w="2954" w:type="dxa"/>
          </w:tcPr>
          <w:p w:rsidR="00567B15" w:rsidRDefault="00567B15">
            <w:pPr>
              <w:spacing w:before="0" w:after="0" w:line="360" w:lineRule="exact"/>
              <w:jc w:val="center"/>
              <w:rPr>
                <w:rFonts w:hint="cs"/>
              </w:rPr>
            </w:pPr>
            <w:r>
              <w:rPr>
                <w:rFonts w:hint="cs"/>
                <w:rtl/>
              </w:rPr>
              <w:t>مضاعف الحد الأدنى للأجور</w:t>
            </w:r>
          </w:p>
        </w:tc>
        <w:tc>
          <w:tcPr>
            <w:tcW w:w="2180" w:type="dxa"/>
          </w:tcPr>
          <w:p w:rsidR="00567B15" w:rsidRDefault="00567B15">
            <w:pPr>
              <w:spacing w:before="0" w:after="0" w:line="360" w:lineRule="exact"/>
              <w:jc w:val="center"/>
              <w:rPr>
                <w:rFonts w:hint="cs"/>
              </w:rPr>
            </w:pPr>
            <w:r>
              <w:rPr>
                <w:rFonts w:hint="cs"/>
                <w:rtl/>
              </w:rPr>
              <w:t>سوكرات</w:t>
            </w:r>
          </w:p>
        </w:tc>
      </w:tr>
      <w:tr w:rsidR="00567B15" w:rsidTr="00567B15">
        <w:tblPrEx>
          <w:tblCellMar>
            <w:top w:w="0" w:type="dxa"/>
            <w:bottom w:w="0" w:type="dxa"/>
          </w:tblCellMar>
        </w:tblPrEx>
        <w:tc>
          <w:tcPr>
            <w:tcW w:w="3023" w:type="dxa"/>
          </w:tcPr>
          <w:p w:rsidR="00567B15" w:rsidRDefault="00567B15">
            <w:pPr>
              <w:spacing w:before="0" w:after="0" w:line="360" w:lineRule="exact"/>
              <w:jc w:val="both"/>
              <w:rPr>
                <w:rFonts w:hint="cs"/>
                <w:rtl/>
              </w:rPr>
            </w:pPr>
            <w:r>
              <w:rPr>
                <w:rFonts w:hint="cs"/>
                <w:rtl/>
              </w:rPr>
              <w:t>المدارس التي تمولها الدولة</w:t>
            </w:r>
          </w:p>
          <w:p w:rsidR="00567B15" w:rsidRDefault="00567B15">
            <w:pPr>
              <w:spacing w:before="0" w:after="0" w:line="360" w:lineRule="exact"/>
              <w:jc w:val="both"/>
              <w:rPr>
                <w:rFonts w:hint="cs"/>
                <w:rtl/>
              </w:rPr>
            </w:pPr>
            <w:r>
              <w:rPr>
                <w:rFonts w:hint="cs"/>
                <w:rtl/>
              </w:rPr>
              <w:t>المدارس الخاصة</w:t>
            </w:r>
          </w:p>
          <w:p w:rsidR="00567B15" w:rsidRDefault="00567B15">
            <w:pPr>
              <w:spacing w:before="0" w:after="0" w:line="360" w:lineRule="exact"/>
              <w:jc w:val="both"/>
              <w:rPr>
                <w:rFonts w:hint="cs"/>
              </w:rPr>
            </w:pPr>
            <w:r>
              <w:rPr>
                <w:rFonts w:hint="cs"/>
                <w:rtl/>
              </w:rPr>
              <w:t>الخريجون الأجانب</w:t>
            </w:r>
          </w:p>
        </w:tc>
        <w:tc>
          <w:tcPr>
            <w:tcW w:w="2954" w:type="dxa"/>
          </w:tcPr>
          <w:p w:rsidR="00567B15" w:rsidRDefault="00567B15">
            <w:pPr>
              <w:spacing w:before="0" w:after="0" w:line="360" w:lineRule="exact"/>
              <w:ind w:firstLine="1348"/>
              <w:jc w:val="both"/>
              <w:rPr>
                <w:rFonts w:hint="cs"/>
                <w:rtl/>
              </w:rPr>
            </w:pPr>
            <w:r>
              <w:rPr>
                <w:rFonts w:hint="cs"/>
                <w:rtl/>
              </w:rPr>
              <w:t>2</w:t>
            </w:r>
          </w:p>
          <w:p w:rsidR="00567B15" w:rsidRDefault="00567B15">
            <w:pPr>
              <w:spacing w:before="0" w:after="0" w:line="360" w:lineRule="exact"/>
              <w:ind w:firstLine="1348"/>
              <w:jc w:val="both"/>
              <w:rPr>
                <w:rFonts w:hint="cs"/>
                <w:rtl/>
              </w:rPr>
            </w:pPr>
            <w:r>
              <w:rPr>
                <w:rFonts w:hint="cs"/>
                <w:rtl/>
              </w:rPr>
              <w:t>4</w:t>
            </w:r>
          </w:p>
          <w:p w:rsidR="00567B15" w:rsidRDefault="00567B15">
            <w:pPr>
              <w:spacing w:before="0" w:after="0" w:line="360" w:lineRule="exact"/>
              <w:ind w:firstLine="1348"/>
              <w:jc w:val="both"/>
              <w:rPr>
                <w:rFonts w:hint="cs"/>
              </w:rPr>
            </w:pPr>
            <w:r>
              <w:rPr>
                <w:rFonts w:hint="cs"/>
                <w:rtl/>
              </w:rPr>
              <w:t>6</w:t>
            </w:r>
          </w:p>
        </w:tc>
        <w:tc>
          <w:tcPr>
            <w:tcW w:w="2180" w:type="dxa"/>
          </w:tcPr>
          <w:p w:rsidR="00567B15" w:rsidRDefault="00567B15">
            <w:pPr>
              <w:spacing w:before="0" w:after="0" w:line="360" w:lineRule="exact"/>
              <w:ind w:firstLine="480"/>
              <w:jc w:val="both"/>
              <w:rPr>
                <w:rFonts w:hint="cs"/>
                <w:rtl/>
              </w:rPr>
            </w:pPr>
            <w:r>
              <w:rPr>
                <w:rFonts w:hint="cs"/>
                <w:rtl/>
              </w:rPr>
              <w:t>000 200</w:t>
            </w:r>
          </w:p>
          <w:p w:rsidR="00567B15" w:rsidRDefault="00567B15">
            <w:pPr>
              <w:spacing w:before="0" w:after="0" w:line="360" w:lineRule="exact"/>
              <w:ind w:firstLine="480"/>
              <w:jc w:val="both"/>
              <w:rPr>
                <w:rFonts w:hint="cs"/>
                <w:rtl/>
              </w:rPr>
            </w:pPr>
            <w:r>
              <w:rPr>
                <w:rFonts w:hint="cs"/>
                <w:rtl/>
              </w:rPr>
              <w:t>000 400</w:t>
            </w:r>
          </w:p>
          <w:p w:rsidR="00567B15" w:rsidRDefault="00567B15">
            <w:pPr>
              <w:spacing w:before="0" w:after="0" w:line="360" w:lineRule="exact"/>
              <w:ind w:firstLine="480"/>
              <w:jc w:val="both"/>
              <w:rPr>
                <w:rFonts w:hint="cs"/>
              </w:rPr>
            </w:pPr>
            <w:r>
              <w:rPr>
                <w:rFonts w:hint="cs"/>
                <w:rtl/>
              </w:rPr>
              <w:t>000 600</w:t>
            </w:r>
          </w:p>
        </w:tc>
      </w:tr>
      <w:tr w:rsidR="00567B15" w:rsidTr="00567B15">
        <w:tblPrEx>
          <w:tblCellMar>
            <w:top w:w="0" w:type="dxa"/>
            <w:bottom w:w="0" w:type="dxa"/>
          </w:tblCellMar>
        </w:tblPrEx>
        <w:tc>
          <w:tcPr>
            <w:tcW w:w="3023" w:type="dxa"/>
          </w:tcPr>
          <w:p w:rsidR="00567B15" w:rsidRDefault="00567B15">
            <w:pPr>
              <w:spacing w:before="0" w:after="0" w:line="360" w:lineRule="exact"/>
              <w:jc w:val="both"/>
              <w:rPr>
                <w:rFonts w:hint="cs"/>
                <w:i/>
                <w:iCs/>
              </w:rPr>
            </w:pPr>
            <w:r>
              <w:rPr>
                <w:rFonts w:hint="cs"/>
                <w:i/>
                <w:iCs/>
                <w:rtl/>
              </w:rPr>
              <w:t>التسجيل</w:t>
            </w:r>
          </w:p>
        </w:tc>
        <w:tc>
          <w:tcPr>
            <w:tcW w:w="2954" w:type="dxa"/>
          </w:tcPr>
          <w:p w:rsidR="00567B15" w:rsidRDefault="00567B15">
            <w:pPr>
              <w:spacing w:before="0" w:after="0" w:line="360" w:lineRule="exact"/>
              <w:ind w:firstLine="1348"/>
              <w:jc w:val="both"/>
              <w:rPr>
                <w:rFonts w:hint="cs"/>
              </w:rPr>
            </w:pPr>
          </w:p>
        </w:tc>
        <w:tc>
          <w:tcPr>
            <w:tcW w:w="2180" w:type="dxa"/>
          </w:tcPr>
          <w:p w:rsidR="00567B15" w:rsidRDefault="00567B15">
            <w:pPr>
              <w:spacing w:before="0" w:after="0" w:line="360" w:lineRule="exact"/>
              <w:ind w:firstLine="480"/>
              <w:jc w:val="both"/>
              <w:rPr>
                <w:rFonts w:hint="cs"/>
              </w:rPr>
            </w:pPr>
          </w:p>
        </w:tc>
      </w:tr>
      <w:tr w:rsidR="00567B15" w:rsidTr="00567B15">
        <w:tblPrEx>
          <w:tblCellMar>
            <w:top w:w="0" w:type="dxa"/>
            <w:bottom w:w="0" w:type="dxa"/>
          </w:tblCellMar>
        </w:tblPrEx>
        <w:tc>
          <w:tcPr>
            <w:tcW w:w="3023" w:type="dxa"/>
          </w:tcPr>
          <w:p w:rsidR="00567B15" w:rsidRDefault="00567B15">
            <w:pPr>
              <w:spacing w:before="0" w:after="0" w:line="360" w:lineRule="exact"/>
              <w:jc w:val="both"/>
              <w:rPr>
                <w:rFonts w:hint="cs"/>
                <w:rtl/>
              </w:rPr>
            </w:pPr>
            <w:r>
              <w:rPr>
                <w:rFonts w:hint="cs"/>
                <w:rtl/>
              </w:rPr>
              <w:t>المدارس التي تمولها الدولة</w:t>
            </w:r>
          </w:p>
          <w:p w:rsidR="00567B15" w:rsidRDefault="00567B15">
            <w:pPr>
              <w:spacing w:before="0" w:after="0" w:line="360" w:lineRule="exact"/>
              <w:jc w:val="both"/>
              <w:rPr>
                <w:rFonts w:hint="cs"/>
                <w:rtl/>
              </w:rPr>
            </w:pPr>
            <w:r>
              <w:rPr>
                <w:rFonts w:hint="cs"/>
                <w:rtl/>
              </w:rPr>
              <w:t>مدرسة خاصة ألف</w:t>
            </w:r>
          </w:p>
          <w:p w:rsidR="00567B15" w:rsidRDefault="00567B15">
            <w:pPr>
              <w:spacing w:before="0" w:after="0" w:line="360" w:lineRule="exact"/>
              <w:jc w:val="both"/>
              <w:rPr>
                <w:rFonts w:hint="cs"/>
                <w:rtl/>
              </w:rPr>
            </w:pPr>
            <w:r>
              <w:rPr>
                <w:rFonts w:hint="cs"/>
                <w:rtl/>
              </w:rPr>
              <w:t>مدرسة خاصة باء</w:t>
            </w:r>
          </w:p>
          <w:p w:rsidR="00567B15" w:rsidRDefault="00567B15">
            <w:pPr>
              <w:spacing w:before="0" w:after="0" w:line="360" w:lineRule="exact"/>
              <w:jc w:val="both"/>
              <w:rPr>
                <w:rFonts w:hint="cs"/>
                <w:rtl/>
              </w:rPr>
            </w:pPr>
            <w:r>
              <w:rPr>
                <w:rFonts w:hint="cs"/>
                <w:rtl/>
              </w:rPr>
              <w:t>مدرسة خاصة جيم</w:t>
            </w:r>
          </w:p>
          <w:p w:rsidR="00567B15" w:rsidRDefault="00567B15">
            <w:pPr>
              <w:spacing w:before="0" w:after="0" w:line="360" w:lineRule="exact"/>
              <w:jc w:val="both"/>
              <w:rPr>
                <w:rFonts w:hint="cs"/>
                <w:rtl/>
              </w:rPr>
            </w:pPr>
            <w:r>
              <w:rPr>
                <w:rFonts w:hint="cs"/>
                <w:rtl/>
              </w:rPr>
              <w:t>الخريجون الأجانب</w:t>
            </w:r>
          </w:p>
          <w:p w:rsidR="00567B15" w:rsidRDefault="00567B15">
            <w:pPr>
              <w:spacing w:before="0" w:after="0" w:line="360" w:lineRule="exact"/>
              <w:jc w:val="both"/>
              <w:rPr>
                <w:rFonts w:hint="cs"/>
              </w:rPr>
            </w:pPr>
            <w:r>
              <w:rPr>
                <w:rFonts w:hint="cs"/>
                <w:rtl/>
              </w:rPr>
              <w:t>الأجانب</w:t>
            </w:r>
          </w:p>
        </w:tc>
        <w:tc>
          <w:tcPr>
            <w:tcW w:w="2954" w:type="dxa"/>
          </w:tcPr>
          <w:p w:rsidR="00567B15" w:rsidRDefault="00567B15">
            <w:pPr>
              <w:spacing w:before="0" w:after="0" w:line="360" w:lineRule="exact"/>
              <w:ind w:firstLine="1348"/>
              <w:jc w:val="both"/>
              <w:rPr>
                <w:rFonts w:hint="cs"/>
                <w:rtl/>
              </w:rPr>
            </w:pPr>
            <w:r>
              <w:rPr>
                <w:rFonts w:hint="cs"/>
                <w:rtl/>
              </w:rPr>
              <w:t>1.5</w:t>
            </w:r>
          </w:p>
          <w:p w:rsidR="00567B15" w:rsidRDefault="00567B15">
            <w:pPr>
              <w:spacing w:before="0" w:after="0" w:line="360" w:lineRule="exact"/>
              <w:ind w:firstLine="1348"/>
              <w:jc w:val="both"/>
              <w:rPr>
                <w:rFonts w:hint="cs"/>
                <w:rtl/>
              </w:rPr>
            </w:pPr>
            <w:r>
              <w:rPr>
                <w:rFonts w:hint="cs"/>
                <w:rtl/>
              </w:rPr>
              <w:t>3</w:t>
            </w:r>
          </w:p>
          <w:p w:rsidR="00567B15" w:rsidRDefault="00567B15">
            <w:pPr>
              <w:spacing w:before="0" w:after="0" w:line="360" w:lineRule="exact"/>
              <w:ind w:firstLine="1348"/>
              <w:jc w:val="both"/>
              <w:rPr>
                <w:rFonts w:hint="cs"/>
                <w:rtl/>
              </w:rPr>
            </w:pPr>
            <w:r>
              <w:rPr>
                <w:rFonts w:hint="cs"/>
                <w:rtl/>
              </w:rPr>
              <w:t>5</w:t>
            </w:r>
          </w:p>
          <w:p w:rsidR="00567B15" w:rsidRDefault="00567B15">
            <w:pPr>
              <w:spacing w:before="0" w:after="0" w:line="360" w:lineRule="exact"/>
              <w:ind w:firstLine="1348"/>
              <w:jc w:val="both"/>
              <w:rPr>
                <w:rFonts w:hint="cs"/>
                <w:rtl/>
              </w:rPr>
            </w:pPr>
            <w:r>
              <w:rPr>
                <w:rFonts w:hint="cs"/>
                <w:rtl/>
              </w:rPr>
              <w:t>10</w:t>
            </w:r>
          </w:p>
          <w:p w:rsidR="00567B15" w:rsidRDefault="00567B15">
            <w:pPr>
              <w:spacing w:before="0" w:after="0" w:line="360" w:lineRule="exact"/>
              <w:ind w:firstLine="1348"/>
              <w:jc w:val="both"/>
              <w:rPr>
                <w:rFonts w:hint="cs"/>
                <w:rtl/>
              </w:rPr>
            </w:pPr>
            <w:r>
              <w:rPr>
                <w:rFonts w:hint="cs"/>
                <w:rtl/>
              </w:rPr>
              <w:t>5</w:t>
            </w:r>
          </w:p>
          <w:p w:rsidR="00567B15" w:rsidRDefault="00567B15">
            <w:pPr>
              <w:spacing w:before="0" w:after="0" w:line="360" w:lineRule="exact"/>
              <w:ind w:firstLine="1348"/>
              <w:jc w:val="both"/>
              <w:rPr>
                <w:rFonts w:hint="cs"/>
              </w:rPr>
            </w:pPr>
            <w:r>
              <w:rPr>
                <w:rFonts w:hint="cs"/>
                <w:rtl/>
              </w:rPr>
              <w:t>25</w:t>
            </w:r>
          </w:p>
        </w:tc>
        <w:tc>
          <w:tcPr>
            <w:tcW w:w="2180" w:type="dxa"/>
          </w:tcPr>
          <w:p w:rsidR="00567B15" w:rsidRDefault="00567B15">
            <w:pPr>
              <w:spacing w:before="0" w:after="0" w:line="360" w:lineRule="exact"/>
              <w:ind w:firstLine="480"/>
              <w:jc w:val="both"/>
              <w:rPr>
                <w:rFonts w:hint="cs"/>
                <w:rtl/>
              </w:rPr>
            </w:pPr>
            <w:r>
              <w:rPr>
                <w:rFonts w:hint="cs"/>
                <w:rtl/>
              </w:rPr>
              <w:t>000 150</w:t>
            </w:r>
          </w:p>
          <w:p w:rsidR="00567B15" w:rsidRDefault="00567B15">
            <w:pPr>
              <w:spacing w:before="0" w:after="0" w:line="360" w:lineRule="exact"/>
              <w:ind w:firstLine="480"/>
              <w:jc w:val="both"/>
              <w:rPr>
                <w:rFonts w:hint="cs"/>
                <w:rtl/>
              </w:rPr>
            </w:pPr>
            <w:r>
              <w:rPr>
                <w:rFonts w:hint="cs"/>
                <w:rtl/>
              </w:rPr>
              <w:t>000 300</w:t>
            </w:r>
          </w:p>
          <w:p w:rsidR="00567B15" w:rsidRDefault="00567B15">
            <w:pPr>
              <w:spacing w:before="0" w:after="0" w:line="360" w:lineRule="exact"/>
              <w:ind w:firstLine="480"/>
              <w:jc w:val="both"/>
              <w:rPr>
                <w:rFonts w:hint="cs"/>
                <w:rtl/>
              </w:rPr>
            </w:pPr>
            <w:r>
              <w:rPr>
                <w:rFonts w:hint="cs"/>
                <w:rtl/>
              </w:rPr>
              <w:t>000 500</w:t>
            </w:r>
          </w:p>
          <w:p w:rsidR="00567B15" w:rsidRDefault="00567B15">
            <w:pPr>
              <w:spacing w:before="0" w:after="0" w:line="360" w:lineRule="exact"/>
              <w:ind w:firstLine="480"/>
              <w:jc w:val="both"/>
              <w:rPr>
                <w:rFonts w:hint="cs"/>
                <w:rtl/>
              </w:rPr>
            </w:pPr>
            <w:r>
              <w:rPr>
                <w:rFonts w:hint="cs"/>
                <w:rtl/>
              </w:rPr>
              <w:t>000 000 1</w:t>
            </w:r>
          </w:p>
          <w:p w:rsidR="00567B15" w:rsidRDefault="00567B15">
            <w:pPr>
              <w:spacing w:before="0" w:after="0" w:line="360" w:lineRule="exact"/>
              <w:ind w:firstLine="480"/>
              <w:jc w:val="both"/>
              <w:rPr>
                <w:rFonts w:hint="cs"/>
                <w:rtl/>
              </w:rPr>
            </w:pPr>
            <w:r>
              <w:rPr>
                <w:rFonts w:hint="cs"/>
                <w:rtl/>
              </w:rPr>
              <w:t>000 500</w:t>
            </w:r>
          </w:p>
          <w:p w:rsidR="00567B15" w:rsidRDefault="00567B15">
            <w:pPr>
              <w:spacing w:before="0" w:after="0" w:line="360" w:lineRule="exact"/>
              <w:ind w:firstLine="480"/>
              <w:jc w:val="both"/>
              <w:rPr>
                <w:rFonts w:hint="cs"/>
              </w:rPr>
            </w:pPr>
            <w:r>
              <w:rPr>
                <w:rFonts w:hint="cs"/>
                <w:rtl/>
              </w:rPr>
              <w:t>000 500 2</w:t>
            </w:r>
          </w:p>
        </w:tc>
      </w:tr>
    </w:tbl>
    <w:p w:rsidR="00000000" w:rsidRDefault="00567B15">
      <w:pPr>
        <w:spacing w:before="180" w:after="180" w:line="380" w:lineRule="exact"/>
        <w:jc w:val="both"/>
        <w:rPr>
          <w:rFonts w:hint="cs"/>
          <w:i/>
          <w:iCs/>
          <w:rtl/>
        </w:rPr>
      </w:pPr>
      <w:r>
        <w:rPr>
          <w:rFonts w:hint="cs"/>
          <w:i/>
          <w:iCs/>
          <w:rtl/>
        </w:rPr>
        <w:tab/>
      </w:r>
      <w:r>
        <w:rPr>
          <w:rFonts w:hint="cs"/>
          <w:i/>
          <w:iCs/>
          <w:rtl/>
        </w:rPr>
        <w:tab/>
        <w:t>الإقامة والطعام</w:t>
      </w:r>
    </w:p>
    <w:p w:rsidR="00000000" w:rsidRDefault="00567B15">
      <w:pPr>
        <w:spacing w:before="180" w:after="180" w:line="380" w:lineRule="exact"/>
        <w:jc w:val="both"/>
        <w:rPr>
          <w:rFonts w:hint="cs"/>
          <w:rtl/>
        </w:rPr>
      </w:pPr>
      <w:r>
        <w:rPr>
          <w:rFonts w:hint="cs"/>
          <w:rtl/>
        </w:rPr>
        <w:tab/>
      </w:r>
      <w:r>
        <w:rPr>
          <w:rFonts w:hint="cs"/>
          <w:rtl/>
        </w:rPr>
        <w:tab/>
        <w:t>لا تدفع أي رسوم مقابل الإقامة والطعام في أي كلية.</w:t>
      </w:r>
    </w:p>
    <w:p w:rsidR="00000000" w:rsidRDefault="00567B15">
      <w:pPr>
        <w:spacing w:before="180" w:after="180" w:line="380" w:lineRule="exact"/>
        <w:jc w:val="both"/>
        <w:rPr>
          <w:rFonts w:hint="cs"/>
          <w:i/>
          <w:iCs/>
          <w:rtl/>
        </w:rPr>
      </w:pPr>
      <w:r>
        <w:rPr>
          <w:rFonts w:hint="cs"/>
          <w:i/>
          <w:iCs/>
          <w:rtl/>
        </w:rPr>
        <w:tab/>
        <w:t>المدرسة التقنية الوطنية (1999)</w:t>
      </w:r>
    </w:p>
    <w:p w:rsidR="00000000" w:rsidRDefault="00567B15">
      <w:pPr>
        <w:spacing w:before="180" w:after="180" w:line="380" w:lineRule="exact"/>
        <w:jc w:val="both"/>
        <w:rPr>
          <w:rFonts w:hint="cs"/>
          <w:rtl/>
        </w:rPr>
      </w:pPr>
      <w:r>
        <w:rPr>
          <w:rFonts w:hint="cs"/>
          <w:rtl/>
        </w:rPr>
        <w:tab/>
      </w:r>
      <w:r>
        <w:rPr>
          <w:rFonts w:hint="cs"/>
          <w:rtl/>
        </w:rPr>
        <w:tab/>
        <w:t>تحسب الرسوم على أساس:</w:t>
      </w:r>
    </w:p>
    <w:p w:rsidR="00000000" w:rsidRDefault="00567B15">
      <w:pPr>
        <w:spacing w:before="120" w:after="120" w:line="380" w:lineRule="exact"/>
        <w:jc w:val="both"/>
        <w:rPr>
          <w:rFonts w:hint="cs"/>
          <w:rtl/>
        </w:rPr>
      </w:pPr>
      <w:r>
        <w:rPr>
          <w:rFonts w:hint="cs"/>
          <w:rtl/>
        </w:rPr>
        <w:tab/>
      </w:r>
      <w:r>
        <w:rPr>
          <w:rFonts w:hint="cs"/>
          <w:rtl/>
        </w:rPr>
        <w:tab/>
        <w:t>-</w:t>
      </w:r>
      <w:r>
        <w:rPr>
          <w:rFonts w:hint="cs"/>
          <w:rtl/>
        </w:rPr>
        <w:tab/>
        <w:t>دخل الأسرة؛</w:t>
      </w:r>
    </w:p>
    <w:p w:rsidR="00000000" w:rsidRDefault="00567B15">
      <w:pPr>
        <w:spacing w:before="120" w:after="120" w:line="380" w:lineRule="exact"/>
        <w:jc w:val="both"/>
        <w:rPr>
          <w:rFonts w:hint="cs"/>
          <w:rtl/>
        </w:rPr>
      </w:pPr>
      <w:r>
        <w:rPr>
          <w:rFonts w:hint="cs"/>
          <w:rtl/>
        </w:rPr>
        <w:tab/>
      </w:r>
      <w:r>
        <w:rPr>
          <w:rFonts w:hint="cs"/>
          <w:rtl/>
        </w:rPr>
        <w:tab/>
        <w:t>-</w:t>
      </w:r>
      <w:r>
        <w:rPr>
          <w:rFonts w:hint="cs"/>
          <w:rtl/>
        </w:rPr>
        <w:tab/>
        <w:t>استهلاك الكهرباء؛</w:t>
      </w:r>
    </w:p>
    <w:p w:rsidR="00000000" w:rsidRDefault="00567B15">
      <w:pPr>
        <w:spacing w:before="120" w:after="120" w:line="380" w:lineRule="exact"/>
        <w:jc w:val="both"/>
        <w:rPr>
          <w:rFonts w:hint="cs"/>
          <w:rtl/>
        </w:rPr>
      </w:pPr>
      <w:r>
        <w:rPr>
          <w:rFonts w:hint="cs"/>
          <w:rtl/>
        </w:rPr>
        <w:tab/>
      </w:r>
      <w:r>
        <w:rPr>
          <w:rFonts w:hint="cs"/>
          <w:rtl/>
        </w:rPr>
        <w:tab/>
        <w:t>-</w:t>
      </w:r>
      <w:r>
        <w:rPr>
          <w:rFonts w:hint="cs"/>
          <w:rtl/>
        </w:rPr>
        <w:tab/>
        <w:t>ال</w:t>
      </w:r>
      <w:r>
        <w:rPr>
          <w:rFonts w:hint="cs"/>
          <w:rtl/>
        </w:rPr>
        <w:t xml:space="preserve">مدرسة التي تخرج منها الطالب؛ </w:t>
      </w:r>
    </w:p>
    <w:p w:rsidR="00000000" w:rsidRDefault="00567B15">
      <w:pPr>
        <w:spacing w:before="120" w:after="120" w:line="380" w:lineRule="exact"/>
        <w:jc w:val="both"/>
        <w:rPr>
          <w:rFonts w:hint="cs"/>
          <w:rtl/>
        </w:rPr>
      </w:pPr>
      <w:r>
        <w:rPr>
          <w:rFonts w:hint="cs"/>
          <w:rtl/>
        </w:rPr>
        <w:tab/>
      </w:r>
      <w:r>
        <w:rPr>
          <w:rFonts w:hint="cs"/>
          <w:rtl/>
        </w:rPr>
        <w:tab/>
        <w:t>-</w:t>
      </w:r>
      <w:r>
        <w:rPr>
          <w:rFonts w:hint="cs"/>
          <w:rtl/>
        </w:rPr>
        <w:tab/>
        <w:t>استخدام عشر فئات لتحديد تكاليف القيد.</w:t>
      </w:r>
    </w:p>
    <w:p w:rsidR="00000000" w:rsidRDefault="00567B15">
      <w:pPr>
        <w:spacing w:line="380" w:lineRule="exact"/>
        <w:jc w:val="both"/>
        <w:rPr>
          <w:rFonts w:hint="cs"/>
          <w:i/>
          <w:iCs/>
          <w:rtl/>
        </w:rPr>
      </w:pPr>
      <w:r>
        <w:rPr>
          <w:rFonts w:hint="cs"/>
          <w:i/>
          <w:iCs/>
          <w:rtl/>
        </w:rPr>
        <w:tab/>
        <w:t>المدرسة التقنية العليا بالساحل (1999)</w:t>
      </w:r>
    </w:p>
    <w:p w:rsidR="00000000" w:rsidRDefault="00567B15">
      <w:pPr>
        <w:spacing w:before="120" w:after="120" w:line="380" w:lineRule="exact"/>
        <w:jc w:val="both"/>
        <w:rPr>
          <w:rFonts w:hint="cs"/>
          <w:i/>
          <w:iCs/>
          <w:rtl/>
        </w:rPr>
      </w:pPr>
      <w:r>
        <w:rPr>
          <w:rFonts w:hint="cs"/>
          <w:i/>
          <w:iCs/>
          <w:rtl/>
        </w:rPr>
        <w:tab/>
      </w:r>
      <w:r>
        <w:rPr>
          <w:rFonts w:hint="cs"/>
          <w:i/>
          <w:iCs/>
          <w:rtl/>
        </w:rPr>
        <w:tab/>
        <w:t>القبول</w:t>
      </w:r>
    </w:p>
    <w:p w:rsidR="00000000" w:rsidRDefault="00567B15">
      <w:pPr>
        <w:spacing w:before="120" w:after="120" w:line="380" w:lineRule="exact"/>
        <w:ind w:left="720" w:hanging="720"/>
        <w:jc w:val="both"/>
        <w:rPr>
          <w:rFonts w:hint="cs"/>
          <w:rtl/>
        </w:rPr>
      </w:pPr>
      <w:r>
        <w:rPr>
          <w:rFonts w:hint="cs"/>
          <w:rtl/>
        </w:rPr>
        <w:tab/>
      </w:r>
      <w:r>
        <w:rPr>
          <w:rFonts w:hint="cs"/>
          <w:rtl/>
        </w:rPr>
        <w:tab/>
        <w:t>على الطلاب الذي يرغبون في دخول المدرسة تسديد رسوم خدمات طلابية لدروس "مرحلة ما قبل المدرسة التقنية" (دروس الأساس الأولية) وهي تعادل نص</w:t>
      </w:r>
      <w:r>
        <w:rPr>
          <w:rFonts w:hint="cs"/>
          <w:rtl/>
        </w:rPr>
        <w:t>ف الحد الأدنى للأجور.</w:t>
      </w:r>
    </w:p>
    <w:p w:rsidR="00000000" w:rsidRDefault="00567B15">
      <w:pPr>
        <w:spacing w:before="120" w:after="120" w:line="380" w:lineRule="exact"/>
        <w:jc w:val="both"/>
        <w:rPr>
          <w:rFonts w:hint="cs"/>
          <w:i/>
          <w:iCs/>
          <w:rtl/>
        </w:rPr>
      </w:pPr>
      <w:r>
        <w:rPr>
          <w:rFonts w:hint="cs"/>
          <w:i/>
          <w:iCs/>
          <w:rtl/>
        </w:rPr>
        <w:tab/>
      </w:r>
      <w:r>
        <w:rPr>
          <w:rFonts w:hint="cs"/>
          <w:i/>
          <w:iCs/>
          <w:rtl/>
        </w:rPr>
        <w:tab/>
        <w:t>رسوم اختبار القبول</w:t>
      </w:r>
    </w:p>
    <w:p w:rsidR="00000000" w:rsidRDefault="00567B15">
      <w:pPr>
        <w:spacing w:before="120" w:after="120" w:line="380" w:lineRule="exact"/>
        <w:ind w:left="720" w:hanging="720"/>
        <w:jc w:val="both"/>
        <w:rPr>
          <w:rFonts w:hint="cs"/>
          <w:rtl/>
        </w:rPr>
      </w:pPr>
      <w:r>
        <w:rPr>
          <w:rFonts w:hint="cs"/>
          <w:rtl/>
        </w:rPr>
        <w:tab/>
      </w:r>
      <w:r>
        <w:rPr>
          <w:rFonts w:hint="cs"/>
          <w:rtl/>
        </w:rPr>
        <w:tab/>
        <w:t>يسدد جميع الطلاب الإكوادوريين والأجانب وحدة واحدة من الحد الأدنى للأجور مقابل اختبار الدخول، زائداً التكاليف الإدارية.</w:t>
      </w:r>
    </w:p>
    <w:p w:rsidR="00000000" w:rsidRDefault="00567B15">
      <w:pPr>
        <w:spacing w:before="120" w:after="120" w:line="380" w:lineRule="exact"/>
        <w:jc w:val="both"/>
        <w:rPr>
          <w:rFonts w:hint="cs"/>
          <w:i/>
          <w:iCs/>
          <w:rtl/>
        </w:rPr>
      </w:pPr>
      <w:r>
        <w:rPr>
          <w:rFonts w:hint="cs"/>
          <w:i/>
          <w:iCs/>
          <w:rtl/>
        </w:rPr>
        <w:tab/>
      </w:r>
      <w:r>
        <w:rPr>
          <w:rFonts w:hint="cs"/>
          <w:i/>
          <w:iCs/>
          <w:rtl/>
        </w:rPr>
        <w:tab/>
        <w:t>رسوم القيد في دروس مرحلة ما قبل المدرسة التقنية</w:t>
      </w:r>
    </w:p>
    <w:p w:rsidR="00000000" w:rsidRDefault="00567B15">
      <w:pPr>
        <w:spacing w:before="120" w:after="120" w:line="380" w:lineRule="exact"/>
        <w:jc w:val="both"/>
        <w:rPr>
          <w:rFonts w:hint="cs"/>
          <w:rtl/>
        </w:rPr>
      </w:pPr>
      <w:r>
        <w:rPr>
          <w:rFonts w:hint="cs"/>
          <w:rtl/>
        </w:rPr>
        <w:tab/>
      </w:r>
      <w:r>
        <w:rPr>
          <w:rFonts w:hint="cs"/>
          <w:rtl/>
        </w:rPr>
        <w:tab/>
        <w:t>يسدد الرسوم جميع الطلاب الإكوادوريين وال</w:t>
      </w:r>
      <w:r>
        <w:rPr>
          <w:rFonts w:hint="cs"/>
          <w:rtl/>
        </w:rPr>
        <w:t>أجانب (الذي يحملون تأشيرات إقامة).</w:t>
      </w:r>
    </w:p>
    <w:tbl>
      <w:tblPr>
        <w:bidiVisual/>
        <w:tblW w:w="0" w:type="auto"/>
        <w:tblInd w:w="1399" w:type="dxa"/>
        <w:tblLook w:val="0000" w:firstRow="0" w:lastRow="0" w:firstColumn="0" w:lastColumn="0" w:noHBand="0" w:noVBand="0"/>
      </w:tblPr>
      <w:tblGrid>
        <w:gridCol w:w="4393"/>
        <w:gridCol w:w="3778"/>
      </w:tblGrid>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تسدد المدارس التي تمولها الدولة والمدارس البلدية:</w:t>
            </w:r>
          </w:p>
        </w:tc>
        <w:tc>
          <w:tcPr>
            <w:tcW w:w="3778" w:type="dxa"/>
          </w:tcPr>
          <w:p w:rsidR="00567B15" w:rsidRDefault="00567B15">
            <w:pPr>
              <w:spacing w:before="180" w:after="180" w:line="360" w:lineRule="exact"/>
              <w:ind w:left="312"/>
              <w:jc w:val="both"/>
              <w:rPr>
                <w:rFonts w:hint="cs"/>
              </w:rPr>
            </w:pPr>
            <w:r>
              <w:rPr>
                <w:rFonts w:hint="cs"/>
                <w:rtl/>
              </w:rPr>
              <w:t>000 624 سوكر</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المدارس الخاصة، والرعايا والأجانب الذين يحملون تأشيرات إقامة:</w:t>
            </w:r>
          </w:p>
        </w:tc>
        <w:tc>
          <w:tcPr>
            <w:tcW w:w="3778" w:type="dxa"/>
          </w:tcPr>
          <w:p w:rsidR="00567B15" w:rsidRDefault="00567B15">
            <w:pPr>
              <w:spacing w:before="180" w:after="180" w:line="360" w:lineRule="exact"/>
              <w:ind w:left="312"/>
              <w:jc w:val="both"/>
              <w:rPr>
                <w:rFonts w:hint="cs"/>
                <w:spacing w:val="0"/>
              </w:rPr>
            </w:pPr>
            <w:r>
              <w:rPr>
                <w:rFonts w:hint="cs"/>
                <w:spacing w:val="0"/>
                <w:rtl/>
              </w:rPr>
              <w:t>7.5 مرات الرسوم الرسمية للإقامة والطعام (على ألا تتجاوز 000 900 3 سوكر ولا تقل عن 000 092 1 سوكر)</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يسدد الطلاب الذين يتمتعون بمنح، أو يحملون تأشيرات إقامة، من الرعايا أو الأجانب:</w:t>
            </w:r>
          </w:p>
        </w:tc>
        <w:tc>
          <w:tcPr>
            <w:tcW w:w="3778" w:type="dxa"/>
          </w:tcPr>
          <w:p w:rsidR="00567B15" w:rsidRDefault="00567B15">
            <w:pPr>
              <w:spacing w:before="180" w:after="180" w:line="360" w:lineRule="exact"/>
              <w:ind w:left="312"/>
              <w:jc w:val="both"/>
              <w:rPr>
                <w:rFonts w:hint="cs"/>
              </w:rPr>
            </w:pPr>
            <w:r>
              <w:rPr>
                <w:rFonts w:hint="cs"/>
                <w:rtl/>
              </w:rPr>
              <w:t>000 624 سوكر</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يسدد الطلاب الذين لا يحملون تأشيرات إقامة:</w:t>
            </w:r>
          </w:p>
        </w:tc>
        <w:tc>
          <w:tcPr>
            <w:tcW w:w="3778" w:type="dxa"/>
          </w:tcPr>
          <w:p w:rsidR="00567B15" w:rsidRDefault="00567B15">
            <w:pPr>
              <w:spacing w:before="180" w:after="180" w:line="360" w:lineRule="exact"/>
              <w:ind w:left="312"/>
              <w:jc w:val="both"/>
              <w:rPr>
                <w:rFonts w:hint="cs"/>
              </w:rPr>
            </w:pPr>
            <w:r>
              <w:rPr>
                <w:rFonts w:hint="cs"/>
                <w:rtl/>
              </w:rPr>
              <w:t>000 900 3 سوكر</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pPr>
            <w:r>
              <w:rPr>
                <w:rFonts w:hint="cs"/>
                <w:rtl/>
              </w:rPr>
              <w:t>يسدد الطـلاب الإكوادوريون الذين تخرجوا في الخارج:</w:t>
            </w:r>
          </w:p>
        </w:tc>
        <w:tc>
          <w:tcPr>
            <w:tcW w:w="3778" w:type="dxa"/>
          </w:tcPr>
          <w:p w:rsidR="00567B15" w:rsidRDefault="00567B15">
            <w:pPr>
              <w:spacing w:before="180" w:after="180" w:line="360" w:lineRule="exact"/>
              <w:ind w:left="312"/>
              <w:jc w:val="both"/>
              <w:rPr>
                <w:rFonts w:hint="cs"/>
              </w:rPr>
            </w:pPr>
            <w:r>
              <w:rPr>
                <w:rFonts w:hint="cs"/>
                <w:rtl/>
              </w:rPr>
              <w:t>000 000 3 سوكر</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 xml:space="preserve">الطلاب في مرحلة ما قبل المدرسة التقنية الذين يفشلون في الحصول على إحدى المواد الثلاث اللازمة للفوز بدرجة علمية: </w:t>
            </w:r>
          </w:p>
        </w:tc>
        <w:tc>
          <w:tcPr>
            <w:tcW w:w="3778" w:type="dxa"/>
          </w:tcPr>
          <w:p w:rsidR="00567B15" w:rsidRDefault="00567B15">
            <w:pPr>
              <w:spacing w:before="180" w:after="180" w:line="360" w:lineRule="exact"/>
              <w:ind w:left="312"/>
              <w:jc w:val="both"/>
              <w:rPr>
                <w:rFonts w:hint="cs"/>
              </w:rPr>
            </w:pPr>
            <w:r>
              <w:rPr>
                <w:rFonts w:hint="cs"/>
                <w:rtl/>
              </w:rPr>
              <w:t>يحصلون على تخفيض قدره 40 في المائة من الرسوم.</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الطلاب الأشقاء:</w:t>
            </w:r>
          </w:p>
        </w:tc>
        <w:tc>
          <w:tcPr>
            <w:tcW w:w="3778" w:type="dxa"/>
          </w:tcPr>
          <w:p w:rsidR="00567B15" w:rsidRDefault="00567B15">
            <w:pPr>
              <w:spacing w:before="180" w:after="180" w:line="360" w:lineRule="exact"/>
              <w:ind w:left="312"/>
              <w:jc w:val="both"/>
              <w:rPr>
                <w:rFonts w:hint="cs"/>
              </w:rPr>
            </w:pPr>
            <w:r>
              <w:rPr>
                <w:rFonts w:hint="cs"/>
                <w:rtl/>
              </w:rPr>
              <w:t>يحصلون على تخفيض قدره 25 في المائة.</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الطالب المتميز من مدرسة خاصة أو مدرسة تمولها الدولة:</w:t>
            </w:r>
          </w:p>
        </w:tc>
        <w:tc>
          <w:tcPr>
            <w:tcW w:w="3778" w:type="dxa"/>
          </w:tcPr>
          <w:p w:rsidR="00567B15" w:rsidRDefault="00567B15">
            <w:pPr>
              <w:spacing w:before="180" w:after="180" w:line="360" w:lineRule="exact"/>
              <w:ind w:left="312"/>
              <w:jc w:val="both"/>
              <w:rPr>
                <w:rFonts w:hint="cs"/>
              </w:rPr>
            </w:pPr>
            <w:r>
              <w:rPr>
                <w:rFonts w:hint="cs"/>
                <w:rtl/>
              </w:rPr>
              <w:t>لا يسدد رسوم قيد، ولكن يسدّد رسوما إدارية فقط.</w:t>
            </w:r>
          </w:p>
        </w:tc>
      </w:tr>
      <w:tr w:rsidR="00567B15" w:rsidTr="00567B15">
        <w:tblPrEx>
          <w:tblCellMar>
            <w:top w:w="0" w:type="dxa"/>
            <w:bottom w:w="0" w:type="dxa"/>
          </w:tblCellMar>
        </w:tblPrEx>
        <w:tc>
          <w:tcPr>
            <w:tcW w:w="4393" w:type="dxa"/>
          </w:tcPr>
          <w:p w:rsidR="00567B15" w:rsidRDefault="00567B15">
            <w:pPr>
              <w:spacing w:before="180" w:after="180" w:line="360" w:lineRule="exact"/>
              <w:jc w:val="both"/>
              <w:rPr>
                <w:rFonts w:hint="cs"/>
              </w:rPr>
            </w:pPr>
            <w:r>
              <w:rPr>
                <w:rFonts w:hint="cs"/>
                <w:rtl/>
              </w:rPr>
              <w:t>الطلاب غير المسجلين:</w:t>
            </w:r>
          </w:p>
        </w:tc>
        <w:tc>
          <w:tcPr>
            <w:tcW w:w="3778" w:type="dxa"/>
          </w:tcPr>
          <w:p w:rsidR="00567B15" w:rsidRDefault="00567B15">
            <w:pPr>
              <w:spacing w:before="180" w:after="180" w:line="360" w:lineRule="exact"/>
              <w:ind w:left="312"/>
              <w:jc w:val="both"/>
              <w:rPr>
                <w:rFonts w:hint="cs"/>
              </w:rPr>
            </w:pPr>
            <w:r>
              <w:rPr>
                <w:rFonts w:hint="cs"/>
                <w:rtl/>
              </w:rPr>
              <w:t>يسددون نفس الرسوم التي يسددها الطلاب من المدارس التي تمولها الدولة.</w:t>
            </w:r>
          </w:p>
        </w:tc>
      </w:tr>
    </w:tbl>
    <w:p w:rsidR="00000000" w:rsidRDefault="00567B15">
      <w:pPr>
        <w:spacing w:before="0" w:after="0"/>
        <w:jc w:val="both"/>
        <w:rPr>
          <w:rFonts w:hint="cs"/>
          <w:i/>
          <w:iCs/>
          <w:rtl/>
        </w:rPr>
      </w:pPr>
      <w:r>
        <w:rPr>
          <w:rFonts w:hint="cs"/>
          <w:i/>
          <w:iCs/>
          <w:rtl/>
        </w:rPr>
        <w:tab/>
      </w:r>
      <w:r>
        <w:rPr>
          <w:rFonts w:hint="cs"/>
          <w:i/>
          <w:iCs/>
          <w:rtl/>
        </w:rPr>
        <w:tab/>
        <w:t>رسوم التسجيل</w:t>
      </w:r>
    </w:p>
    <w:tbl>
      <w:tblPr>
        <w:bidiVisual/>
        <w:tblW w:w="0" w:type="auto"/>
        <w:tblInd w:w="1469" w:type="dxa"/>
        <w:tblLook w:val="0000" w:firstRow="0" w:lastRow="0" w:firstColumn="0" w:lastColumn="0" w:noHBand="0" w:noVBand="0"/>
      </w:tblPr>
      <w:tblGrid>
        <w:gridCol w:w="5333"/>
        <w:gridCol w:w="2768"/>
      </w:tblGrid>
      <w:tr w:rsidR="00567B15" w:rsidTr="00567B15">
        <w:tblPrEx>
          <w:tblCellMar>
            <w:top w:w="0" w:type="dxa"/>
            <w:bottom w:w="0" w:type="dxa"/>
          </w:tblCellMar>
        </w:tblPrEx>
        <w:tc>
          <w:tcPr>
            <w:tcW w:w="5333" w:type="dxa"/>
          </w:tcPr>
          <w:p w:rsidR="00567B15" w:rsidRDefault="00567B15">
            <w:pPr>
              <w:spacing w:before="120" w:after="120"/>
              <w:jc w:val="both"/>
            </w:pPr>
          </w:p>
        </w:tc>
        <w:tc>
          <w:tcPr>
            <w:tcW w:w="2768" w:type="dxa"/>
          </w:tcPr>
          <w:p w:rsidR="00567B15" w:rsidRDefault="00567B15">
            <w:pPr>
              <w:spacing w:before="120" w:after="120"/>
              <w:ind w:left="452"/>
              <w:jc w:val="both"/>
              <w:rPr>
                <w:rFonts w:hint="cs"/>
              </w:rPr>
            </w:pPr>
            <w:r>
              <w:rPr>
                <w:rFonts w:hint="cs"/>
                <w:rtl/>
              </w:rPr>
              <w:t>سوكر</w:t>
            </w:r>
          </w:p>
        </w:tc>
      </w:tr>
      <w:tr w:rsidR="00567B15" w:rsidTr="00567B15">
        <w:tblPrEx>
          <w:tblCellMar>
            <w:top w:w="0" w:type="dxa"/>
            <w:bottom w:w="0" w:type="dxa"/>
          </w:tblCellMar>
        </w:tblPrEx>
        <w:tc>
          <w:tcPr>
            <w:tcW w:w="5333" w:type="dxa"/>
          </w:tcPr>
          <w:p w:rsidR="00567B15" w:rsidRDefault="00567B15">
            <w:pPr>
              <w:spacing w:before="0" w:after="0"/>
              <w:jc w:val="both"/>
              <w:rPr>
                <w:rFonts w:hint="cs"/>
                <w:rtl/>
              </w:rPr>
            </w:pPr>
            <w:r>
              <w:rPr>
                <w:rFonts w:hint="cs"/>
                <w:rtl/>
              </w:rPr>
              <w:t>الرعايا والطلاب الأجانب المقيمون</w:t>
            </w:r>
          </w:p>
          <w:p w:rsidR="00567B15" w:rsidRDefault="00567B15">
            <w:pPr>
              <w:spacing w:before="0" w:after="0"/>
              <w:jc w:val="both"/>
              <w:rPr>
                <w:rFonts w:hint="cs"/>
                <w:rtl/>
              </w:rPr>
            </w:pPr>
            <w:r>
              <w:rPr>
                <w:rFonts w:hint="cs"/>
                <w:rtl/>
              </w:rPr>
              <w:t>الرعايا المهنيون والطلاب المتخرجون</w:t>
            </w:r>
          </w:p>
          <w:p w:rsidR="00567B15" w:rsidRDefault="00567B15">
            <w:pPr>
              <w:spacing w:before="0" w:after="0"/>
              <w:jc w:val="both"/>
              <w:rPr>
                <w:rFonts w:hint="cs"/>
                <w:rtl/>
              </w:rPr>
            </w:pPr>
            <w:r>
              <w:rPr>
                <w:rFonts w:hint="cs"/>
                <w:rtl/>
              </w:rPr>
              <w:t>الطلاب الأجانب دون تأشيرات إقامة</w:t>
            </w:r>
          </w:p>
          <w:p w:rsidR="00567B15" w:rsidRDefault="00567B15">
            <w:pPr>
              <w:spacing w:before="0" w:after="0"/>
              <w:jc w:val="both"/>
              <w:rPr>
                <w:rFonts w:hint="cs"/>
              </w:rPr>
            </w:pPr>
            <w:r>
              <w:rPr>
                <w:rFonts w:hint="cs"/>
                <w:rtl/>
              </w:rPr>
              <w:t>رسوم التسجيل للفصل الجامعي</w:t>
            </w:r>
          </w:p>
        </w:tc>
        <w:tc>
          <w:tcPr>
            <w:tcW w:w="2768" w:type="dxa"/>
          </w:tcPr>
          <w:p w:rsidR="00567B15" w:rsidRDefault="00567B15">
            <w:pPr>
              <w:spacing w:before="0" w:after="0"/>
              <w:ind w:left="452"/>
              <w:jc w:val="both"/>
              <w:rPr>
                <w:rFonts w:hint="cs"/>
                <w:rtl/>
              </w:rPr>
            </w:pPr>
            <w:r>
              <w:rPr>
                <w:rFonts w:hint="cs"/>
                <w:rtl/>
              </w:rPr>
              <w:t>000 290</w:t>
            </w:r>
          </w:p>
          <w:p w:rsidR="00567B15" w:rsidRDefault="00567B15">
            <w:pPr>
              <w:spacing w:before="0" w:after="0"/>
              <w:ind w:left="452"/>
              <w:jc w:val="both"/>
              <w:rPr>
                <w:rFonts w:hint="cs"/>
                <w:rtl/>
              </w:rPr>
            </w:pPr>
            <w:r>
              <w:rPr>
                <w:rFonts w:hint="cs"/>
                <w:rtl/>
              </w:rPr>
              <w:t>000 000 1</w:t>
            </w:r>
          </w:p>
          <w:p w:rsidR="00567B15" w:rsidRDefault="00567B15">
            <w:pPr>
              <w:spacing w:before="0" w:after="0"/>
              <w:ind w:left="452"/>
              <w:jc w:val="both"/>
              <w:rPr>
                <w:rFonts w:hint="cs"/>
                <w:rtl/>
              </w:rPr>
            </w:pPr>
            <w:r>
              <w:rPr>
                <w:rFonts w:hint="cs"/>
                <w:rtl/>
              </w:rPr>
              <w:t>000 300 1</w:t>
            </w:r>
          </w:p>
          <w:p w:rsidR="00567B15" w:rsidRDefault="00567B15">
            <w:pPr>
              <w:spacing w:before="0" w:after="0"/>
              <w:ind w:left="452"/>
              <w:jc w:val="both"/>
              <w:rPr>
                <w:rFonts w:hint="cs"/>
                <w:rtl/>
              </w:rPr>
            </w:pPr>
            <w:r>
              <w:rPr>
                <w:rFonts w:hint="cs"/>
                <w:rtl/>
              </w:rPr>
              <w:t>000 300</w:t>
            </w:r>
          </w:p>
        </w:tc>
      </w:tr>
      <w:tr w:rsidR="00567B15" w:rsidTr="00567B15">
        <w:tblPrEx>
          <w:tblCellMar>
            <w:top w:w="0" w:type="dxa"/>
            <w:bottom w:w="0" w:type="dxa"/>
          </w:tblCellMar>
        </w:tblPrEx>
        <w:tc>
          <w:tcPr>
            <w:tcW w:w="5333" w:type="dxa"/>
          </w:tcPr>
          <w:p w:rsidR="00567B15" w:rsidRDefault="00567B15">
            <w:pPr>
              <w:spacing w:before="120" w:after="120"/>
              <w:jc w:val="both"/>
              <w:rPr>
                <w:rFonts w:hint="cs"/>
                <w:rtl/>
              </w:rPr>
            </w:pPr>
            <w:r>
              <w:rPr>
                <w:rFonts w:hint="cs"/>
                <w:i/>
                <w:iCs/>
                <w:rtl/>
              </w:rPr>
              <w:t>المواد الممولة ذاتيا</w:t>
            </w:r>
          </w:p>
        </w:tc>
        <w:tc>
          <w:tcPr>
            <w:tcW w:w="2768" w:type="dxa"/>
          </w:tcPr>
          <w:p w:rsidR="00567B15" w:rsidRDefault="00567B15">
            <w:pPr>
              <w:spacing w:before="120" w:after="120"/>
              <w:ind w:left="452"/>
              <w:jc w:val="both"/>
              <w:rPr>
                <w:rFonts w:hint="cs"/>
                <w:rtl/>
              </w:rPr>
            </w:pPr>
          </w:p>
        </w:tc>
      </w:tr>
      <w:tr w:rsidR="00567B15" w:rsidTr="00567B15">
        <w:tblPrEx>
          <w:tblCellMar>
            <w:top w:w="0" w:type="dxa"/>
            <w:bottom w:w="0" w:type="dxa"/>
          </w:tblCellMar>
        </w:tblPrEx>
        <w:tc>
          <w:tcPr>
            <w:tcW w:w="5333" w:type="dxa"/>
          </w:tcPr>
          <w:p w:rsidR="00567B15" w:rsidRDefault="00567B15">
            <w:pPr>
              <w:spacing w:before="120" w:after="120"/>
              <w:jc w:val="both"/>
              <w:rPr>
                <w:rFonts w:hint="cs"/>
                <w:i/>
                <w:iCs/>
                <w:rtl/>
              </w:rPr>
            </w:pPr>
            <w:r>
              <w:rPr>
                <w:rFonts w:hint="cs"/>
                <w:rtl/>
              </w:rPr>
              <w:t>الرسوم المبينة في كل وحدة</w:t>
            </w:r>
          </w:p>
        </w:tc>
        <w:tc>
          <w:tcPr>
            <w:tcW w:w="2768" w:type="dxa"/>
          </w:tcPr>
          <w:p w:rsidR="00567B15" w:rsidRDefault="00567B15">
            <w:pPr>
              <w:spacing w:before="120" w:after="120"/>
              <w:ind w:left="452"/>
              <w:jc w:val="both"/>
              <w:rPr>
                <w:rFonts w:hint="cs"/>
                <w:rtl/>
              </w:rPr>
            </w:pPr>
          </w:p>
        </w:tc>
      </w:tr>
      <w:tr w:rsidR="00567B15" w:rsidTr="00567B15">
        <w:tblPrEx>
          <w:tblCellMar>
            <w:top w:w="0" w:type="dxa"/>
            <w:bottom w:w="0" w:type="dxa"/>
          </w:tblCellMar>
        </w:tblPrEx>
        <w:tc>
          <w:tcPr>
            <w:tcW w:w="5333" w:type="dxa"/>
          </w:tcPr>
          <w:p w:rsidR="00567B15" w:rsidRDefault="00567B15">
            <w:pPr>
              <w:spacing w:before="0" w:after="0"/>
              <w:jc w:val="both"/>
              <w:rPr>
                <w:rFonts w:hint="cs"/>
                <w:rtl/>
              </w:rPr>
            </w:pPr>
            <w:r>
              <w:rPr>
                <w:rFonts w:hint="cs"/>
                <w:rtl/>
              </w:rPr>
              <w:tab/>
              <w:t>الطلاب الرعايا غير المسجلين للحصول على درجة</w:t>
            </w:r>
          </w:p>
          <w:p w:rsidR="00567B15" w:rsidRDefault="00567B15">
            <w:pPr>
              <w:spacing w:before="0" w:after="0"/>
              <w:jc w:val="both"/>
              <w:rPr>
                <w:rFonts w:hint="cs"/>
                <w:rtl/>
              </w:rPr>
            </w:pPr>
            <w:r>
              <w:rPr>
                <w:rFonts w:hint="cs"/>
                <w:rtl/>
              </w:rPr>
              <w:tab/>
              <w:t>الطلاب الأجانب غير المسجلين للحصول على درجة</w:t>
            </w:r>
          </w:p>
        </w:tc>
        <w:tc>
          <w:tcPr>
            <w:tcW w:w="2768" w:type="dxa"/>
          </w:tcPr>
          <w:p w:rsidR="00567B15" w:rsidRDefault="00567B15">
            <w:pPr>
              <w:spacing w:before="0" w:after="0"/>
              <w:ind w:left="452"/>
              <w:jc w:val="both"/>
              <w:rPr>
                <w:rFonts w:hint="cs"/>
                <w:rtl/>
              </w:rPr>
            </w:pPr>
            <w:r>
              <w:rPr>
                <w:rFonts w:hint="cs"/>
                <w:rtl/>
              </w:rPr>
              <w:t>000 800</w:t>
            </w:r>
          </w:p>
          <w:p w:rsidR="00567B15" w:rsidRDefault="00567B15">
            <w:pPr>
              <w:spacing w:before="0" w:after="0"/>
              <w:ind w:left="452"/>
              <w:jc w:val="both"/>
              <w:rPr>
                <w:rFonts w:hint="cs"/>
                <w:rtl/>
              </w:rPr>
            </w:pPr>
            <w:r>
              <w:rPr>
                <w:rFonts w:hint="cs"/>
                <w:rtl/>
              </w:rPr>
              <w:t>000 500 1</w:t>
            </w:r>
          </w:p>
        </w:tc>
      </w:tr>
    </w:tbl>
    <w:p w:rsidR="00000000" w:rsidRDefault="00567B15">
      <w:pPr>
        <w:spacing w:before="180" w:after="180" w:line="380" w:lineRule="exact"/>
        <w:jc w:val="both"/>
        <w:rPr>
          <w:rFonts w:hint="cs"/>
          <w:rtl/>
        </w:rPr>
      </w:pPr>
      <w:r>
        <w:rPr>
          <w:rFonts w:hint="cs"/>
          <w:rtl/>
        </w:rPr>
        <w:tab/>
      </w:r>
      <w:r>
        <w:rPr>
          <w:rFonts w:hint="cs"/>
          <w:rtl/>
        </w:rPr>
        <w:tab/>
        <w:t>تُحدد رسوم الإقامة والطعام حسب ترتيب المدارس الخ</w:t>
      </w:r>
      <w:r>
        <w:rPr>
          <w:rFonts w:hint="cs"/>
          <w:rtl/>
        </w:rPr>
        <w:t>اصة والمدارس التي تمولها الدولة.</w:t>
      </w:r>
    </w:p>
    <w:p w:rsidR="00000000" w:rsidRDefault="00567B15">
      <w:pPr>
        <w:spacing w:before="180" w:after="180" w:line="380" w:lineRule="exact"/>
        <w:ind w:left="720" w:hanging="720"/>
        <w:jc w:val="both"/>
        <w:rPr>
          <w:rFonts w:hint="cs"/>
          <w:rtl/>
        </w:rPr>
      </w:pPr>
      <w:r>
        <w:rPr>
          <w:rFonts w:hint="cs"/>
          <w:rtl/>
        </w:rPr>
        <w:tab/>
      </w:r>
      <w:r>
        <w:rPr>
          <w:rFonts w:hint="cs"/>
          <w:rtl/>
        </w:rPr>
        <w:tab/>
        <w:t>حسب القطاع: اجتماعي، شعبي، متوسط، مرتفع وحصري، جدول كثافة الإسكان، استهلاك الطاقة الكهربائية.</w:t>
      </w:r>
    </w:p>
    <w:p w:rsidR="00000000" w:rsidRDefault="00567B15">
      <w:pPr>
        <w:spacing w:before="180" w:after="180" w:line="380" w:lineRule="exact"/>
        <w:jc w:val="both"/>
        <w:rPr>
          <w:rFonts w:hint="cs"/>
          <w:rtl/>
        </w:rPr>
      </w:pPr>
      <w:r>
        <w:rPr>
          <w:rFonts w:hint="cs"/>
          <w:rtl/>
        </w:rPr>
        <w:tab/>
      </w:r>
      <w:r>
        <w:rPr>
          <w:rFonts w:hint="cs"/>
          <w:rtl/>
        </w:rPr>
        <w:tab/>
        <w:t>العنصر الأكاديمي، لفائدة الطلاب ذوي المستويات المتقدمة في التدريب.</w:t>
      </w:r>
    </w:p>
    <w:tbl>
      <w:tblPr>
        <w:bidiVisual/>
        <w:tblW w:w="0" w:type="auto"/>
        <w:tblInd w:w="1469" w:type="dxa"/>
        <w:tblLook w:val="0000" w:firstRow="0" w:lastRow="0" w:firstColumn="0" w:lastColumn="0" w:noHBand="0" w:noVBand="0"/>
      </w:tblPr>
      <w:tblGrid>
        <w:gridCol w:w="5333"/>
        <w:gridCol w:w="2768"/>
      </w:tblGrid>
      <w:tr w:rsidR="00567B15" w:rsidTr="00567B15">
        <w:tblPrEx>
          <w:tblCellMar>
            <w:top w:w="0" w:type="dxa"/>
            <w:bottom w:w="0" w:type="dxa"/>
          </w:tblCellMar>
        </w:tblPrEx>
        <w:tc>
          <w:tcPr>
            <w:tcW w:w="5333" w:type="dxa"/>
          </w:tcPr>
          <w:p w:rsidR="00567B15" w:rsidRDefault="00567B15">
            <w:pPr>
              <w:spacing w:before="0" w:after="0"/>
              <w:jc w:val="both"/>
            </w:pPr>
          </w:p>
        </w:tc>
        <w:tc>
          <w:tcPr>
            <w:tcW w:w="2768" w:type="dxa"/>
          </w:tcPr>
          <w:p w:rsidR="00567B15" w:rsidRDefault="00567B15">
            <w:pPr>
              <w:spacing w:before="0" w:after="0"/>
              <w:ind w:left="452"/>
              <w:jc w:val="both"/>
              <w:rPr>
                <w:rFonts w:hint="cs"/>
              </w:rPr>
            </w:pPr>
            <w:r>
              <w:rPr>
                <w:rFonts w:hint="cs"/>
                <w:rtl/>
              </w:rPr>
              <w:t>سوكر</w:t>
            </w:r>
          </w:p>
        </w:tc>
      </w:tr>
      <w:tr w:rsidR="00567B15" w:rsidTr="00567B15">
        <w:tblPrEx>
          <w:tblCellMar>
            <w:top w:w="0" w:type="dxa"/>
            <w:bottom w:w="0" w:type="dxa"/>
          </w:tblCellMar>
        </w:tblPrEx>
        <w:tc>
          <w:tcPr>
            <w:tcW w:w="5333" w:type="dxa"/>
          </w:tcPr>
          <w:p w:rsidR="00567B15" w:rsidRDefault="00567B15">
            <w:pPr>
              <w:spacing w:before="0" w:after="0"/>
              <w:jc w:val="both"/>
              <w:rPr>
                <w:rFonts w:hint="cs"/>
                <w:rtl/>
              </w:rPr>
            </w:pPr>
            <w:r>
              <w:rPr>
                <w:rFonts w:hint="cs"/>
                <w:rtl/>
              </w:rPr>
              <w:t>رسوم التسجيل أو شهادة المواظبة</w:t>
            </w:r>
          </w:p>
          <w:p w:rsidR="00567B15" w:rsidRDefault="00567B15">
            <w:pPr>
              <w:spacing w:before="0" w:after="0"/>
              <w:jc w:val="both"/>
              <w:rPr>
                <w:rFonts w:hint="cs"/>
                <w:rtl/>
              </w:rPr>
            </w:pPr>
            <w:r>
              <w:rPr>
                <w:rFonts w:hint="cs"/>
                <w:rtl/>
              </w:rPr>
              <w:t>رسوم التصديق على درجة</w:t>
            </w:r>
          </w:p>
          <w:p w:rsidR="00567B15" w:rsidRDefault="00567B15">
            <w:pPr>
              <w:spacing w:before="0" w:after="0"/>
              <w:jc w:val="both"/>
              <w:rPr>
                <w:rFonts w:hint="cs"/>
                <w:rtl/>
              </w:rPr>
            </w:pPr>
            <w:r>
              <w:rPr>
                <w:rFonts w:hint="cs"/>
                <w:rtl/>
              </w:rPr>
              <w:t>رسوم التحقق من العنصر الاقتصادي - الاجتماعي</w:t>
            </w:r>
          </w:p>
          <w:p w:rsidR="00567B15" w:rsidRDefault="00567B15">
            <w:pPr>
              <w:spacing w:before="0" w:after="0"/>
              <w:jc w:val="both"/>
              <w:rPr>
                <w:rFonts w:hint="cs"/>
                <w:rtl/>
              </w:rPr>
            </w:pPr>
            <w:r>
              <w:rPr>
                <w:rFonts w:hint="cs"/>
                <w:rtl/>
              </w:rPr>
              <w:t>رسوم تغيير مادة دراسة</w:t>
            </w:r>
          </w:p>
          <w:p w:rsidR="00567B15" w:rsidRDefault="00567B15">
            <w:pPr>
              <w:spacing w:before="0" w:after="0"/>
              <w:jc w:val="both"/>
              <w:rPr>
                <w:rFonts w:hint="cs"/>
                <w:rtl/>
              </w:rPr>
            </w:pPr>
            <w:r>
              <w:rPr>
                <w:rFonts w:hint="cs"/>
                <w:rtl/>
              </w:rPr>
              <w:t>رسوم تأكيد موضوع</w:t>
            </w:r>
          </w:p>
          <w:p w:rsidR="00567B15" w:rsidRDefault="00567B15">
            <w:pPr>
              <w:spacing w:before="0" w:after="0"/>
              <w:jc w:val="both"/>
              <w:rPr>
                <w:rFonts w:hint="cs"/>
                <w:rtl/>
              </w:rPr>
            </w:pPr>
            <w:r>
              <w:rPr>
                <w:rFonts w:hint="cs"/>
                <w:rtl/>
              </w:rPr>
              <w:t>تأكيد موضوع، لمواصلة الدراسات</w:t>
            </w:r>
          </w:p>
          <w:p w:rsidR="00567B15" w:rsidRDefault="00567B15">
            <w:pPr>
              <w:spacing w:before="0" w:after="0"/>
              <w:jc w:val="both"/>
              <w:rPr>
                <w:rFonts w:hint="cs"/>
                <w:rtl/>
              </w:rPr>
            </w:pPr>
            <w:r>
              <w:rPr>
                <w:rFonts w:hint="cs"/>
                <w:rtl/>
              </w:rPr>
              <w:t>نسخة من دفترسجلّ الطالب</w:t>
            </w:r>
          </w:p>
          <w:p w:rsidR="00567B15" w:rsidRDefault="00567B15">
            <w:pPr>
              <w:spacing w:before="0" w:after="0"/>
              <w:jc w:val="both"/>
              <w:rPr>
                <w:rFonts w:hint="cs"/>
                <w:rtl/>
              </w:rPr>
            </w:pPr>
            <w:r>
              <w:rPr>
                <w:rFonts w:hint="cs"/>
                <w:rtl/>
              </w:rPr>
              <w:t>عمليات تصديق أخرى</w:t>
            </w:r>
          </w:p>
          <w:p w:rsidR="00567B15" w:rsidRDefault="00567B15">
            <w:pPr>
              <w:spacing w:before="0" w:after="0"/>
              <w:jc w:val="both"/>
              <w:rPr>
                <w:rFonts w:hint="cs"/>
                <w:rtl/>
              </w:rPr>
            </w:pPr>
            <w:r>
              <w:rPr>
                <w:rFonts w:hint="cs"/>
                <w:rtl/>
              </w:rPr>
              <w:t>توجد رسوم أخرى للدراسات التي تدوم نصف سنة جامعية</w:t>
            </w:r>
          </w:p>
          <w:p w:rsidR="00567B15" w:rsidRDefault="00567B15">
            <w:pPr>
              <w:spacing w:before="0" w:after="0"/>
              <w:jc w:val="both"/>
              <w:rPr>
                <w:rFonts w:hint="cs"/>
              </w:rPr>
            </w:pPr>
            <w:r>
              <w:rPr>
                <w:rFonts w:hint="cs"/>
                <w:rtl/>
              </w:rPr>
              <w:t>رسوم ومصاريف أخرى</w:t>
            </w:r>
          </w:p>
        </w:tc>
        <w:tc>
          <w:tcPr>
            <w:tcW w:w="2768" w:type="dxa"/>
          </w:tcPr>
          <w:p w:rsidR="00567B15" w:rsidRDefault="00567B15">
            <w:pPr>
              <w:spacing w:before="0" w:after="0"/>
              <w:ind w:left="438"/>
              <w:jc w:val="both"/>
              <w:rPr>
                <w:rFonts w:hint="cs"/>
                <w:rtl/>
              </w:rPr>
            </w:pPr>
            <w:r>
              <w:rPr>
                <w:rFonts w:hint="cs"/>
                <w:rtl/>
              </w:rPr>
              <w:t>000 10</w:t>
            </w:r>
          </w:p>
          <w:p w:rsidR="00567B15" w:rsidRDefault="00567B15">
            <w:pPr>
              <w:spacing w:before="0" w:after="0"/>
              <w:ind w:left="438"/>
              <w:jc w:val="both"/>
              <w:rPr>
                <w:rFonts w:hint="cs"/>
                <w:rtl/>
              </w:rPr>
            </w:pPr>
            <w:r>
              <w:rPr>
                <w:rFonts w:hint="cs"/>
                <w:rtl/>
              </w:rPr>
              <w:t>000 100</w:t>
            </w:r>
          </w:p>
          <w:p w:rsidR="00567B15" w:rsidRDefault="00567B15">
            <w:pPr>
              <w:spacing w:before="0" w:after="0"/>
              <w:ind w:left="438"/>
              <w:jc w:val="both"/>
              <w:rPr>
                <w:rFonts w:hint="cs"/>
                <w:rtl/>
              </w:rPr>
            </w:pPr>
            <w:r>
              <w:rPr>
                <w:rFonts w:hint="cs"/>
                <w:rtl/>
              </w:rPr>
              <w:t>000 70</w:t>
            </w:r>
          </w:p>
          <w:p w:rsidR="00567B15" w:rsidRDefault="00567B15">
            <w:pPr>
              <w:spacing w:before="0" w:after="0"/>
              <w:ind w:left="438"/>
              <w:jc w:val="both"/>
              <w:rPr>
                <w:rFonts w:hint="cs"/>
                <w:rtl/>
              </w:rPr>
            </w:pPr>
            <w:r>
              <w:rPr>
                <w:rFonts w:hint="cs"/>
                <w:rtl/>
              </w:rPr>
              <w:t>000 200</w:t>
            </w:r>
          </w:p>
          <w:p w:rsidR="00567B15" w:rsidRDefault="00567B15">
            <w:pPr>
              <w:spacing w:before="0" w:after="0"/>
              <w:ind w:left="438"/>
              <w:jc w:val="both"/>
              <w:rPr>
                <w:rFonts w:hint="cs"/>
                <w:rtl/>
              </w:rPr>
            </w:pPr>
            <w:r>
              <w:rPr>
                <w:rFonts w:hint="cs"/>
                <w:rtl/>
              </w:rPr>
              <w:t>000 50</w:t>
            </w:r>
          </w:p>
          <w:p w:rsidR="00567B15" w:rsidRDefault="00567B15">
            <w:pPr>
              <w:spacing w:before="0" w:after="0"/>
              <w:ind w:left="438"/>
              <w:jc w:val="both"/>
              <w:rPr>
                <w:rFonts w:hint="cs"/>
                <w:rtl/>
              </w:rPr>
            </w:pPr>
            <w:r>
              <w:rPr>
                <w:rFonts w:hint="cs"/>
                <w:rtl/>
              </w:rPr>
              <w:t>000 600</w:t>
            </w:r>
          </w:p>
          <w:p w:rsidR="00567B15" w:rsidRDefault="00567B15">
            <w:pPr>
              <w:spacing w:before="0" w:after="0"/>
              <w:ind w:left="438"/>
              <w:jc w:val="both"/>
              <w:rPr>
                <w:rFonts w:hint="cs"/>
                <w:rtl/>
              </w:rPr>
            </w:pPr>
            <w:r>
              <w:rPr>
                <w:rFonts w:hint="cs"/>
                <w:rtl/>
              </w:rPr>
              <w:t>000 45</w:t>
            </w:r>
          </w:p>
          <w:p w:rsidR="00567B15" w:rsidRDefault="00567B15">
            <w:pPr>
              <w:spacing w:before="0" w:after="0"/>
              <w:ind w:left="438"/>
              <w:jc w:val="both"/>
              <w:rPr>
                <w:rFonts w:hint="cs"/>
                <w:rtl/>
              </w:rPr>
            </w:pPr>
            <w:r>
              <w:rPr>
                <w:rFonts w:hint="cs"/>
                <w:rtl/>
              </w:rPr>
              <w:t>000 10</w:t>
            </w:r>
          </w:p>
        </w:tc>
      </w:tr>
    </w:tbl>
    <w:p w:rsidR="00000000" w:rsidRDefault="00567B15">
      <w:pPr>
        <w:jc w:val="both"/>
        <w:rPr>
          <w:rFonts w:hint="cs"/>
          <w:b/>
          <w:bCs/>
          <w:rtl/>
        </w:rPr>
      </w:pPr>
      <w:r>
        <w:rPr>
          <w:rFonts w:hint="cs"/>
          <w:b/>
          <w:bCs/>
          <w:rtl/>
        </w:rPr>
        <w:tab/>
        <w:t>جامعات خاصة تتلقى إعانات من الدولة</w:t>
      </w:r>
    </w:p>
    <w:p w:rsidR="00000000" w:rsidRDefault="00567B15">
      <w:pPr>
        <w:spacing w:before="180" w:after="180"/>
        <w:jc w:val="both"/>
        <w:rPr>
          <w:rFonts w:hint="cs"/>
          <w:i/>
          <w:iCs/>
          <w:rtl/>
        </w:rPr>
      </w:pPr>
      <w:r>
        <w:rPr>
          <w:rFonts w:hint="cs"/>
          <w:i/>
          <w:iCs/>
          <w:rtl/>
        </w:rPr>
        <w:tab/>
        <w:t>الجامعة الكاثوليكية سنتياغو دي غواياكيل (1999-2000)</w:t>
      </w:r>
    </w:p>
    <w:p w:rsidR="00000000" w:rsidRDefault="00567B15">
      <w:pPr>
        <w:spacing w:before="180" w:after="180"/>
        <w:ind w:left="720" w:hanging="720"/>
        <w:jc w:val="both"/>
        <w:rPr>
          <w:rFonts w:hint="cs"/>
          <w:rtl/>
        </w:rPr>
      </w:pPr>
      <w:r>
        <w:rPr>
          <w:rFonts w:hint="cs"/>
          <w:rtl/>
        </w:rPr>
        <w:tab/>
      </w:r>
      <w:r>
        <w:rPr>
          <w:rFonts w:hint="cs"/>
          <w:rtl/>
        </w:rPr>
        <w:tab/>
        <w:t>تحدد الجامعة الرسوم حسب وضع الطالب الاقتصادي والاجتماعي، استنادا إلى الدرجات السبع التالية:</w:t>
      </w:r>
    </w:p>
    <w:p w:rsidR="00000000" w:rsidRDefault="00567B15">
      <w:pPr>
        <w:spacing w:before="180" w:after="180"/>
        <w:jc w:val="both"/>
        <w:rPr>
          <w:rFonts w:hint="cs"/>
          <w:rtl/>
        </w:rPr>
      </w:pPr>
      <w:r>
        <w:rPr>
          <w:rFonts w:hint="cs"/>
          <w:rtl/>
        </w:rPr>
        <w:tab/>
      </w:r>
      <w:r>
        <w:rPr>
          <w:rFonts w:hint="cs"/>
          <w:rtl/>
        </w:rPr>
        <w:tab/>
      </w:r>
      <w:r>
        <w:rPr>
          <w:rFonts w:hint="cs"/>
          <w:rtl/>
        </w:rPr>
        <w:tab/>
        <w:t>سوكر</w:t>
      </w:r>
    </w:p>
    <w:p w:rsidR="00000000" w:rsidRDefault="00567B15">
      <w:pPr>
        <w:spacing w:before="0" w:after="0"/>
        <w:jc w:val="both"/>
        <w:rPr>
          <w:rFonts w:hint="cs"/>
          <w:rtl/>
        </w:rPr>
      </w:pPr>
      <w:r>
        <w:rPr>
          <w:rFonts w:hint="cs"/>
          <w:rtl/>
        </w:rPr>
        <w:tab/>
      </w:r>
      <w:r>
        <w:rPr>
          <w:rFonts w:hint="cs"/>
          <w:rtl/>
        </w:rPr>
        <w:tab/>
        <w:t>1-</w:t>
      </w:r>
      <w:r>
        <w:rPr>
          <w:rFonts w:hint="cs"/>
          <w:rtl/>
        </w:rPr>
        <w:tab/>
        <w:t>265 116</w:t>
      </w:r>
    </w:p>
    <w:p w:rsidR="00000000" w:rsidRDefault="00567B15">
      <w:pPr>
        <w:spacing w:before="0" w:after="0"/>
        <w:jc w:val="both"/>
        <w:rPr>
          <w:rFonts w:hint="cs"/>
          <w:rtl/>
        </w:rPr>
      </w:pPr>
      <w:r>
        <w:rPr>
          <w:rFonts w:hint="cs"/>
          <w:rtl/>
        </w:rPr>
        <w:tab/>
      </w:r>
      <w:r>
        <w:rPr>
          <w:rFonts w:hint="cs"/>
          <w:rtl/>
        </w:rPr>
        <w:tab/>
        <w:t>2-</w:t>
      </w:r>
      <w:r>
        <w:rPr>
          <w:rFonts w:hint="cs"/>
          <w:rtl/>
        </w:rPr>
        <w:tab/>
        <w:t>000 200</w:t>
      </w:r>
    </w:p>
    <w:p w:rsidR="00000000" w:rsidRDefault="00567B15">
      <w:pPr>
        <w:spacing w:before="0" w:after="0"/>
        <w:jc w:val="both"/>
        <w:rPr>
          <w:rFonts w:hint="cs"/>
          <w:rtl/>
        </w:rPr>
      </w:pPr>
      <w:r>
        <w:rPr>
          <w:rFonts w:hint="cs"/>
          <w:rtl/>
        </w:rPr>
        <w:tab/>
      </w:r>
      <w:r>
        <w:rPr>
          <w:rFonts w:hint="cs"/>
          <w:rtl/>
        </w:rPr>
        <w:tab/>
        <w:t>3-</w:t>
      </w:r>
      <w:r>
        <w:rPr>
          <w:rFonts w:hint="cs"/>
          <w:rtl/>
        </w:rPr>
        <w:tab/>
        <w:t>027 34</w:t>
      </w:r>
      <w:r>
        <w:rPr>
          <w:rFonts w:hint="cs"/>
          <w:rtl/>
        </w:rPr>
        <w:t>6</w:t>
      </w:r>
    </w:p>
    <w:p w:rsidR="00000000" w:rsidRDefault="00567B15">
      <w:pPr>
        <w:spacing w:before="0" w:after="0"/>
        <w:jc w:val="both"/>
        <w:rPr>
          <w:rFonts w:hint="cs"/>
          <w:rtl/>
        </w:rPr>
      </w:pPr>
      <w:r>
        <w:rPr>
          <w:rFonts w:hint="cs"/>
          <w:rtl/>
        </w:rPr>
        <w:tab/>
      </w:r>
      <w:r>
        <w:rPr>
          <w:rFonts w:hint="cs"/>
          <w:rtl/>
        </w:rPr>
        <w:tab/>
        <w:t>4-</w:t>
      </w:r>
      <w:r>
        <w:rPr>
          <w:rFonts w:hint="cs"/>
          <w:rtl/>
        </w:rPr>
        <w:tab/>
        <w:t>041 519</w:t>
      </w:r>
    </w:p>
    <w:p w:rsidR="00000000" w:rsidRDefault="00567B15">
      <w:pPr>
        <w:spacing w:before="0" w:after="0"/>
        <w:jc w:val="both"/>
        <w:rPr>
          <w:rFonts w:hint="cs"/>
          <w:rtl/>
        </w:rPr>
      </w:pPr>
      <w:r>
        <w:rPr>
          <w:rFonts w:hint="cs"/>
          <w:rtl/>
        </w:rPr>
        <w:tab/>
      </w:r>
      <w:r>
        <w:rPr>
          <w:rFonts w:hint="cs"/>
          <w:rtl/>
        </w:rPr>
        <w:tab/>
        <w:t>5-</w:t>
      </w:r>
      <w:r>
        <w:rPr>
          <w:rFonts w:hint="cs"/>
          <w:rtl/>
        </w:rPr>
        <w:tab/>
        <w:t>055 692</w:t>
      </w:r>
    </w:p>
    <w:p w:rsidR="00000000" w:rsidRDefault="00567B15">
      <w:pPr>
        <w:spacing w:before="0" w:after="0"/>
        <w:jc w:val="both"/>
        <w:rPr>
          <w:rFonts w:hint="cs"/>
          <w:rtl/>
        </w:rPr>
      </w:pPr>
      <w:r>
        <w:rPr>
          <w:rFonts w:hint="cs"/>
          <w:rtl/>
        </w:rPr>
        <w:tab/>
      </w:r>
      <w:r>
        <w:rPr>
          <w:rFonts w:hint="cs"/>
          <w:rtl/>
        </w:rPr>
        <w:tab/>
        <w:t>6-</w:t>
      </w:r>
      <w:r>
        <w:rPr>
          <w:rFonts w:hint="cs"/>
          <w:rtl/>
        </w:rPr>
        <w:tab/>
        <w:t>199 897</w:t>
      </w:r>
    </w:p>
    <w:p w:rsidR="00000000" w:rsidRDefault="00567B15">
      <w:pPr>
        <w:spacing w:before="0" w:after="0"/>
        <w:jc w:val="both"/>
        <w:rPr>
          <w:rFonts w:hint="cs"/>
          <w:rtl/>
        </w:rPr>
      </w:pPr>
      <w:r>
        <w:rPr>
          <w:rFonts w:hint="cs"/>
          <w:rtl/>
        </w:rPr>
        <w:tab/>
      </w:r>
      <w:r>
        <w:rPr>
          <w:rFonts w:hint="cs"/>
          <w:rtl/>
        </w:rPr>
        <w:tab/>
        <w:t>7-</w:t>
      </w:r>
      <w:r>
        <w:rPr>
          <w:rFonts w:hint="cs"/>
          <w:rtl/>
        </w:rPr>
        <w:tab/>
        <w:t>516 147 1</w:t>
      </w:r>
    </w:p>
    <w:p w:rsidR="00000000" w:rsidRDefault="00567B15">
      <w:pPr>
        <w:spacing w:before="0" w:after="0"/>
        <w:jc w:val="both"/>
        <w:rPr>
          <w:rFonts w:hint="cs"/>
          <w:rtl/>
        </w:rPr>
      </w:pPr>
    </w:p>
    <w:p w:rsidR="00000000" w:rsidRDefault="00567B15">
      <w:pPr>
        <w:spacing w:before="0" w:after="0"/>
        <w:jc w:val="both"/>
        <w:rPr>
          <w:rFonts w:hint="cs"/>
          <w:rtl/>
        </w:rPr>
      </w:pPr>
    </w:p>
    <w:p w:rsidR="00000000" w:rsidRDefault="00567B15">
      <w:pPr>
        <w:spacing w:before="0" w:after="0"/>
        <w:jc w:val="both"/>
        <w:rPr>
          <w:rFonts w:hint="cs"/>
          <w:rtl/>
        </w:rPr>
      </w:pPr>
    </w:p>
    <w:p w:rsidR="00000000" w:rsidRDefault="00567B15">
      <w:pPr>
        <w:spacing w:before="0" w:after="0"/>
        <w:jc w:val="both"/>
        <w:rPr>
          <w:rFonts w:hint="cs"/>
          <w:rtl/>
        </w:rPr>
      </w:pPr>
    </w:p>
    <w:p w:rsidR="00000000" w:rsidRDefault="00567B15">
      <w:pPr>
        <w:jc w:val="both"/>
        <w:rPr>
          <w:rFonts w:hint="cs"/>
          <w:i/>
          <w:iCs/>
          <w:rtl/>
        </w:rPr>
      </w:pPr>
      <w:r>
        <w:rPr>
          <w:rFonts w:hint="cs"/>
          <w:i/>
          <w:iCs/>
          <w:rtl/>
        </w:rPr>
        <w:tab/>
        <w:t>الجامعة الدنياوية فيسانتي روكافوارتي دي غواياكيل</w:t>
      </w:r>
    </w:p>
    <w:tbl>
      <w:tblPr>
        <w:bidiVisual/>
        <w:tblW w:w="0" w:type="auto"/>
        <w:tblInd w:w="1455" w:type="dxa"/>
        <w:tblLook w:val="0000" w:firstRow="0" w:lastRow="0" w:firstColumn="0" w:lastColumn="0" w:noHBand="0" w:noVBand="0"/>
      </w:tblPr>
      <w:tblGrid>
        <w:gridCol w:w="5347"/>
        <w:gridCol w:w="2768"/>
      </w:tblGrid>
      <w:tr w:rsidR="00567B15" w:rsidTr="00567B15">
        <w:tblPrEx>
          <w:tblCellMar>
            <w:top w:w="0" w:type="dxa"/>
            <w:bottom w:w="0" w:type="dxa"/>
          </w:tblCellMar>
        </w:tblPrEx>
        <w:tc>
          <w:tcPr>
            <w:tcW w:w="5347" w:type="dxa"/>
          </w:tcPr>
          <w:p w:rsidR="00567B15" w:rsidRDefault="00567B15">
            <w:pPr>
              <w:spacing w:before="120" w:after="120"/>
              <w:jc w:val="both"/>
            </w:pPr>
          </w:p>
        </w:tc>
        <w:tc>
          <w:tcPr>
            <w:tcW w:w="2768" w:type="dxa"/>
          </w:tcPr>
          <w:p w:rsidR="00567B15" w:rsidRDefault="00567B15">
            <w:pPr>
              <w:spacing w:before="120" w:after="120"/>
              <w:ind w:left="452"/>
              <w:jc w:val="both"/>
              <w:rPr>
                <w:rFonts w:hint="cs"/>
              </w:rPr>
            </w:pPr>
            <w:r>
              <w:rPr>
                <w:rFonts w:hint="cs"/>
                <w:rtl/>
              </w:rPr>
              <w:t>سوكر</w:t>
            </w:r>
          </w:p>
        </w:tc>
      </w:tr>
      <w:tr w:rsidR="00567B15" w:rsidTr="00567B15">
        <w:tblPrEx>
          <w:tblCellMar>
            <w:top w:w="0" w:type="dxa"/>
            <w:bottom w:w="0" w:type="dxa"/>
          </w:tblCellMar>
        </w:tblPrEx>
        <w:tc>
          <w:tcPr>
            <w:tcW w:w="5347" w:type="dxa"/>
          </w:tcPr>
          <w:p w:rsidR="00567B15" w:rsidRDefault="00567B15">
            <w:pPr>
              <w:spacing w:before="0" w:after="0"/>
              <w:jc w:val="both"/>
              <w:rPr>
                <w:rFonts w:hint="cs"/>
                <w:rtl/>
              </w:rPr>
            </w:pPr>
            <w:r>
              <w:rPr>
                <w:rFonts w:hint="cs"/>
                <w:rtl/>
              </w:rPr>
              <w:t>القيد العادي</w:t>
            </w:r>
          </w:p>
          <w:p w:rsidR="00567B15" w:rsidRDefault="00567B15">
            <w:pPr>
              <w:spacing w:before="0" w:after="0"/>
              <w:jc w:val="both"/>
              <w:rPr>
                <w:rFonts w:hint="cs"/>
                <w:rtl/>
              </w:rPr>
            </w:pPr>
            <w:r>
              <w:rPr>
                <w:rFonts w:hint="cs"/>
                <w:rtl/>
              </w:rPr>
              <w:t>القيد الخاص</w:t>
            </w:r>
          </w:p>
          <w:p w:rsidR="00567B15" w:rsidRDefault="00567B15">
            <w:pPr>
              <w:spacing w:before="0" w:after="0"/>
              <w:jc w:val="both"/>
              <w:rPr>
                <w:rFonts w:hint="cs"/>
                <w:rtl/>
              </w:rPr>
            </w:pPr>
            <w:r>
              <w:rPr>
                <w:rFonts w:hint="cs"/>
                <w:rtl/>
              </w:rPr>
              <w:t>القيد للمرة الثانية</w:t>
            </w:r>
          </w:p>
          <w:p w:rsidR="00567B15" w:rsidRDefault="00567B15">
            <w:pPr>
              <w:spacing w:before="0" w:after="0"/>
              <w:jc w:val="both"/>
              <w:rPr>
                <w:rFonts w:hint="cs"/>
                <w:rtl/>
              </w:rPr>
            </w:pPr>
            <w:r>
              <w:rPr>
                <w:rFonts w:hint="cs"/>
                <w:rtl/>
              </w:rPr>
              <w:t>القيد للمرة الثالثة</w:t>
            </w:r>
          </w:p>
          <w:p w:rsidR="00567B15" w:rsidRDefault="00567B15">
            <w:pPr>
              <w:spacing w:before="0" w:after="0"/>
              <w:jc w:val="both"/>
              <w:rPr>
                <w:rFonts w:hint="cs"/>
                <w:rtl/>
              </w:rPr>
            </w:pPr>
            <w:r>
              <w:rPr>
                <w:rFonts w:hint="cs"/>
                <w:rtl/>
              </w:rPr>
              <w:t>قيد الأجانب (الأولي)</w:t>
            </w:r>
          </w:p>
          <w:p w:rsidR="00567B15" w:rsidRDefault="00567B15">
            <w:pPr>
              <w:spacing w:before="0" w:after="0"/>
              <w:jc w:val="both"/>
              <w:rPr>
                <w:rFonts w:hint="cs"/>
                <w:rtl/>
              </w:rPr>
            </w:pPr>
            <w:r>
              <w:rPr>
                <w:rFonts w:hint="cs"/>
                <w:rtl/>
              </w:rPr>
              <w:t>قيد الأجانب (خريجو الجامعة)</w:t>
            </w:r>
          </w:p>
          <w:p w:rsidR="00567B15" w:rsidRDefault="00567B15">
            <w:pPr>
              <w:spacing w:before="0" w:after="0"/>
              <w:jc w:val="both"/>
              <w:rPr>
                <w:rFonts w:hint="cs"/>
                <w:rtl/>
              </w:rPr>
            </w:pPr>
            <w:r>
              <w:rPr>
                <w:rFonts w:hint="cs"/>
                <w:rtl/>
              </w:rPr>
              <w:t>فئات أخرى من القيد بإذن من مكتب رئيس الجامعة</w:t>
            </w:r>
          </w:p>
          <w:p w:rsidR="00567B15" w:rsidRDefault="00567B15">
            <w:pPr>
              <w:jc w:val="both"/>
              <w:rPr>
                <w:rFonts w:hint="cs"/>
                <w:i/>
                <w:iCs/>
                <w:rtl/>
              </w:rPr>
            </w:pPr>
            <w:r>
              <w:rPr>
                <w:rFonts w:hint="cs"/>
                <w:i/>
                <w:iCs/>
                <w:rtl/>
              </w:rPr>
              <w:t>الرسوم الشهرية للإقامة والطعام</w:t>
            </w:r>
          </w:p>
          <w:p w:rsidR="00567B15" w:rsidRDefault="00567B15">
            <w:pPr>
              <w:spacing w:before="0" w:after="0"/>
              <w:jc w:val="both"/>
              <w:rPr>
                <w:rFonts w:hint="cs"/>
                <w:rtl/>
              </w:rPr>
            </w:pPr>
            <w:r>
              <w:rPr>
                <w:rFonts w:hint="cs"/>
                <w:rtl/>
              </w:rPr>
              <w:t>من السنة الأولى إلى السنة السادسة</w:t>
            </w:r>
          </w:p>
          <w:p w:rsidR="00567B15" w:rsidRDefault="00567B15">
            <w:pPr>
              <w:spacing w:before="0" w:after="0"/>
              <w:jc w:val="both"/>
              <w:rPr>
                <w:rFonts w:hint="cs"/>
                <w:rtl/>
              </w:rPr>
            </w:pPr>
            <w:r>
              <w:rPr>
                <w:rFonts w:hint="cs"/>
                <w:rtl/>
              </w:rPr>
              <w:t>رسوم الامتحانات النهائية</w:t>
            </w:r>
          </w:p>
          <w:p w:rsidR="00567B15" w:rsidRDefault="00567B15">
            <w:pPr>
              <w:spacing w:before="0" w:after="0"/>
              <w:jc w:val="both"/>
              <w:rPr>
                <w:rFonts w:hint="cs"/>
                <w:rtl/>
              </w:rPr>
            </w:pPr>
            <w:r>
              <w:rPr>
                <w:rFonts w:hint="cs"/>
                <w:rtl/>
              </w:rPr>
              <w:t>رسوم الامتحانات النهائية (المؤجلة والمعلقة)</w:t>
            </w:r>
          </w:p>
          <w:p w:rsidR="00567B15" w:rsidRDefault="00567B15">
            <w:pPr>
              <w:spacing w:before="0" w:after="0"/>
              <w:jc w:val="both"/>
              <w:rPr>
                <w:rFonts w:hint="cs"/>
                <w:rtl/>
              </w:rPr>
            </w:pPr>
            <w:r>
              <w:rPr>
                <w:rFonts w:hint="cs"/>
                <w:rtl/>
              </w:rPr>
              <w:t>رسوم امتحانات جزئية أو متأخرة</w:t>
            </w:r>
          </w:p>
          <w:p w:rsidR="00567B15" w:rsidRDefault="00567B15">
            <w:pPr>
              <w:spacing w:before="0" w:after="0"/>
              <w:jc w:val="both"/>
              <w:rPr>
                <w:rFonts w:hint="cs"/>
                <w:rtl/>
              </w:rPr>
            </w:pPr>
            <w:r>
              <w:rPr>
                <w:rFonts w:hint="cs"/>
                <w:rtl/>
              </w:rPr>
              <w:t>رسوم امتحانات إضافية</w:t>
            </w:r>
          </w:p>
          <w:p w:rsidR="00567B15" w:rsidRDefault="00567B15">
            <w:pPr>
              <w:spacing w:before="0" w:after="0"/>
              <w:jc w:val="both"/>
              <w:rPr>
                <w:rFonts w:hint="cs"/>
                <w:rtl/>
              </w:rPr>
            </w:pPr>
            <w:r>
              <w:rPr>
                <w:rFonts w:hint="cs"/>
                <w:rtl/>
              </w:rPr>
              <w:t>رسوم امتحانات تعويضية</w:t>
            </w:r>
          </w:p>
          <w:p w:rsidR="00567B15" w:rsidRDefault="00567B15">
            <w:pPr>
              <w:spacing w:before="0" w:after="0"/>
              <w:jc w:val="both"/>
              <w:rPr>
                <w:rFonts w:hint="cs"/>
                <w:rtl/>
              </w:rPr>
            </w:pPr>
            <w:r>
              <w:rPr>
                <w:rFonts w:hint="cs"/>
                <w:rtl/>
              </w:rPr>
              <w:t>رسوم اعتماد أو نسخ</w:t>
            </w:r>
          </w:p>
          <w:p w:rsidR="00567B15" w:rsidRDefault="00567B15">
            <w:pPr>
              <w:spacing w:before="0" w:after="0"/>
              <w:jc w:val="both"/>
              <w:rPr>
                <w:rFonts w:hint="cs"/>
              </w:rPr>
            </w:pPr>
            <w:r>
              <w:rPr>
                <w:rFonts w:hint="cs"/>
                <w:rtl/>
              </w:rPr>
              <w:t>رسوم التخرج</w:t>
            </w:r>
          </w:p>
        </w:tc>
        <w:tc>
          <w:tcPr>
            <w:tcW w:w="2768" w:type="dxa"/>
          </w:tcPr>
          <w:p w:rsidR="00567B15" w:rsidRDefault="00567B15">
            <w:pPr>
              <w:spacing w:before="0" w:after="0"/>
              <w:ind w:left="424"/>
              <w:jc w:val="both"/>
              <w:rPr>
                <w:rFonts w:hint="cs"/>
                <w:rtl/>
              </w:rPr>
            </w:pPr>
            <w:r>
              <w:rPr>
                <w:rFonts w:hint="cs"/>
                <w:rtl/>
              </w:rPr>
              <w:t>000 200</w:t>
            </w:r>
          </w:p>
          <w:p w:rsidR="00567B15" w:rsidRDefault="00567B15">
            <w:pPr>
              <w:spacing w:before="0" w:after="0"/>
              <w:ind w:left="424"/>
              <w:jc w:val="both"/>
              <w:rPr>
                <w:rFonts w:hint="cs"/>
                <w:rtl/>
              </w:rPr>
            </w:pPr>
            <w:r>
              <w:rPr>
                <w:rFonts w:hint="cs"/>
                <w:rtl/>
              </w:rPr>
              <w:t>000 300</w:t>
            </w:r>
          </w:p>
          <w:p w:rsidR="00567B15" w:rsidRDefault="00567B15">
            <w:pPr>
              <w:spacing w:before="0" w:after="0"/>
              <w:ind w:left="424"/>
              <w:jc w:val="both"/>
              <w:rPr>
                <w:rFonts w:hint="cs"/>
                <w:rtl/>
              </w:rPr>
            </w:pPr>
            <w:r>
              <w:rPr>
                <w:rFonts w:hint="cs"/>
                <w:rtl/>
              </w:rPr>
              <w:t>000 400</w:t>
            </w:r>
          </w:p>
          <w:p w:rsidR="00567B15" w:rsidRDefault="00567B15">
            <w:pPr>
              <w:spacing w:before="0" w:after="0"/>
              <w:ind w:left="424"/>
              <w:jc w:val="both"/>
              <w:rPr>
                <w:rFonts w:hint="cs"/>
                <w:rtl/>
              </w:rPr>
            </w:pPr>
            <w:r>
              <w:rPr>
                <w:rFonts w:hint="cs"/>
                <w:rtl/>
              </w:rPr>
              <w:t>000 600</w:t>
            </w:r>
          </w:p>
          <w:p w:rsidR="00567B15" w:rsidRDefault="00567B15">
            <w:pPr>
              <w:spacing w:before="0" w:after="0"/>
              <w:ind w:left="424"/>
              <w:jc w:val="both"/>
              <w:rPr>
                <w:rFonts w:hint="cs"/>
                <w:rtl/>
              </w:rPr>
            </w:pPr>
            <w:r>
              <w:rPr>
                <w:rFonts w:hint="cs"/>
                <w:rtl/>
              </w:rPr>
              <w:t>000 000 3</w:t>
            </w:r>
          </w:p>
          <w:p w:rsidR="00567B15" w:rsidRDefault="00567B15">
            <w:pPr>
              <w:spacing w:before="0" w:after="0"/>
              <w:ind w:left="424"/>
              <w:jc w:val="both"/>
              <w:rPr>
                <w:rFonts w:hint="cs"/>
                <w:rtl/>
              </w:rPr>
            </w:pPr>
            <w:r>
              <w:rPr>
                <w:rFonts w:hint="cs"/>
                <w:rtl/>
              </w:rPr>
              <w:t>000 600</w:t>
            </w:r>
          </w:p>
          <w:p w:rsidR="00567B15" w:rsidRDefault="00567B15">
            <w:pPr>
              <w:spacing w:before="0" w:after="0"/>
              <w:ind w:left="424"/>
              <w:jc w:val="both"/>
              <w:rPr>
                <w:rFonts w:hint="cs"/>
                <w:rtl/>
              </w:rPr>
            </w:pPr>
            <w:r>
              <w:rPr>
                <w:rFonts w:hint="cs"/>
                <w:rtl/>
              </w:rPr>
              <w:t>000 600</w:t>
            </w:r>
          </w:p>
          <w:p w:rsidR="00567B15" w:rsidRDefault="00567B15">
            <w:pPr>
              <w:ind w:left="425"/>
              <w:jc w:val="both"/>
              <w:rPr>
                <w:rFonts w:hint="cs"/>
                <w:rtl/>
              </w:rPr>
            </w:pPr>
          </w:p>
          <w:p w:rsidR="00567B15" w:rsidRDefault="00567B15">
            <w:pPr>
              <w:spacing w:before="0" w:after="0"/>
              <w:ind w:left="425"/>
              <w:jc w:val="both"/>
              <w:rPr>
                <w:rFonts w:hint="cs"/>
                <w:rtl/>
              </w:rPr>
            </w:pPr>
            <w:r>
              <w:rPr>
                <w:rFonts w:hint="cs"/>
                <w:rtl/>
              </w:rPr>
              <w:t>000 300</w:t>
            </w:r>
          </w:p>
          <w:p w:rsidR="00567B15" w:rsidRDefault="00567B15">
            <w:pPr>
              <w:spacing w:before="0" w:after="0"/>
              <w:ind w:left="425"/>
              <w:jc w:val="both"/>
              <w:rPr>
                <w:rFonts w:hint="cs"/>
                <w:rtl/>
              </w:rPr>
            </w:pPr>
            <w:r>
              <w:rPr>
                <w:rFonts w:hint="cs"/>
                <w:rtl/>
              </w:rPr>
              <w:t>000 150</w:t>
            </w:r>
          </w:p>
          <w:p w:rsidR="00567B15" w:rsidRDefault="00567B15">
            <w:pPr>
              <w:spacing w:before="0" w:after="0"/>
              <w:ind w:left="425"/>
              <w:jc w:val="both"/>
              <w:rPr>
                <w:rFonts w:hint="cs"/>
                <w:rtl/>
              </w:rPr>
            </w:pPr>
            <w:r>
              <w:rPr>
                <w:rFonts w:hint="cs"/>
                <w:rtl/>
              </w:rPr>
              <w:t>000 25</w:t>
            </w:r>
          </w:p>
          <w:p w:rsidR="00567B15" w:rsidRDefault="00567B15">
            <w:pPr>
              <w:spacing w:before="0" w:after="0"/>
              <w:ind w:left="425"/>
              <w:jc w:val="both"/>
              <w:rPr>
                <w:rFonts w:hint="cs"/>
                <w:rtl/>
              </w:rPr>
            </w:pPr>
            <w:r>
              <w:rPr>
                <w:rFonts w:hint="cs"/>
                <w:rtl/>
              </w:rPr>
              <w:t>000 25</w:t>
            </w:r>
          </w:p>
          <w:p w:rsidR="00567B15" w:rsidRDefault="00567B15">
            <w:pPr>
              <w:spacing w:before="0" w:after="0"/>
              <w:ind w:left="425"/>
              <w:jc w:val="both"/>
              <w:rPr>
                <w:rFonts w:hint="cs"/>
                <w:rtl/>
              </w:rPr>
            </w:pPr>
            <w:r>
              <w:rPr>
                <w:rFonts w:hint="cs"/>
                <w:rtl/>
              </w:rPr>
              <w:t>000 25</w:t>
            </w:r>
          </w:p>
          <w:p w:rsidR="00567B15" w:rsidRDefault="00567B15">
            <w:pPr>
              <w:spacing w:before="0" w:after="0"/>
              <w:ind w:left="425"/>
              <w:jc w:val="both"/>
              <w:rPr>
                <w:rFonts w:hint="cs"/>
                <w:rtl/>
              </w:rPr>
            </w:pPr>
            <w:r>
              <w:rPr>
                <w:rFonts w:hint="cs"/>
                <w:rtl/>
              </w:rPr>
              <w:t>000 50</w:t>
            </w:r>
          </w:p>
          <w:p w:rsidR="00567B15" w:rsidRDefault="00567B15">
            <w:pPr>
              <w:spacing w:before="0" w:after="0"/>
              <w:ind w:left="425"/>
              <w:jc w:val="both"/>
              <w:rPr>
                <w:rFonts w:hint="cs"/>
                <w:rtl/>
              </w:rPr>
            </w:pPr>
            <w:r>
              <w:rPr>
                <w:rFonts w:hint="cs"/>
                <w:rtl/>
              </w:rPr>
              <w:t>000 10</w:t>
            </w:r>
          </w:p>
          <w:p w:rsidR="00567B15" w:rsidRDefault="00567B15">
            <w:pPr>
              <w:spacing w:before="0" w:after="0"/>
              <w:ind w:left="425"/>
              <w:jc w:val="both"/>
              <w:rPr>
                <w:rFonts w:hint="cs"/>
                <w:rtl/>
              </w:rPr>
            </w:pPr>
            <w:r>
              <w:rPr>
                <w:rFonts w:hint="cs"/>
                <w:rtl/>
              </w:rPr>
              <w:t>000 10</w:t>
            </w:r>
          </w:p>
        </w:tc>
      </w:tr>
    </w:tbl>
    <w:p w:rsidR="00000000" w:rsidRDefault="00567B15">
      <w:pPr>
        <w:jc w:val="both"/>
        <w:rPr>
          <w:rFonts w:hint="cs"/>
          <w:b/>
          <w:bCs/>
          <w:rtl/>
        </w:rPr>
      </w:pPr>
      <w:r>
        <w:rPr>
          <w:rFonts w:hint="cs"/>
          <w:b/>
          <w:bCs/>
          <w:rtl/>
        </w:rPr>
        <w:tab/>
        <w:t>جامعات خاصة لا تتلقى إعانات من الدولة</w:t>
      </w:r>
    </w:p>
    <w:p w:rsidR="00000000" w:rsidRDefault="00567B15">
      <w:pPr>
        <w:jc w:val="both"/>
        <w:rPr>
          <w:rFonts w:hint="cs"/>
          <w:i/>
          <w:iCs/>
          <w:rtl/>
        </w:rPr>
      </w:pPr>
      <w:r>
        <w:rPr>
          <w:rFonts w:hint="cs"/>
          <w:i/>
          <w:iCs/>
          <w:rtl/>
        </w:rPr>
        <w:tab/>
        <w:t xml:space="preserve">الجامعة الخاصة </w:t>
      </w:r>
      <w:r>
        <w:rPr>
          <w:i/>
          <w:iCs/>
        </w:rPr>
        <w:t>SEK</w:t>
      </w:r>
      <w:r>
        <w:rPr>
          <w:rFonts w:hint="cs"/>
          <w:rtl/>
        </w:rPr>
        <w:t xml:space="preserve"> </w:t>
      </w:r>
      <w:r>
        <w:rPr>
          <w:rFonts w:hint="cs"/>
          <w:i/>
          <w:iCs/>
          <w:rtl/>
        </w:rPr>
        <w:t>(1999)</w:t>
      </w:r>
    </w:p>
    <w:tbl>
      <w:tblPr>
        <w:bidiVisual/>
        <w:tblW w:w="0" w:type="auto"/>
        <w:tblInd w:w="1427" w:type="dxa"/>
        <w:tblLook w:val="0000" w:firstRow="0" w:lastRow="0" w:firstColumn="0" w:lastColumn="0" w:noHBand="0" w:noVBand="0"/>
      </w:tblPr>
      <w:tblGrid>
        <w:gridCol w:w="4633"/>
        <w:gridCol w:w="3510"/>
      </w:tblGrid>
      <w:tr w:rsidR="00567B15" w:rsidTr="00567B15">
        <w:tblPrEx>
          <w:tblCellMar>
            <w:top w:w="0" w:type="dxa"/>
            <w:bottom w:w="0" w:type="dxa"/>
          </w:tblCellMar>
        </w:tblPrEx>
        <w:tc>
          <w:tcPr>
            <w:tcW w:w="4633" w:type="dxa"/>
          </w:tcPr>
          <w:p w:rsidR="00567B15" w:rsidRDefault="00567B15">
            <w:pPr>
              <w:spacing w:before="0" w:after="0"/>
              <w:jc w:val="both"/>
              <w:rPr>
                <w:rFonts w:hint="cs"/>
              </w:rPr>
            </w:pPr>
            <w:r>
              <w:rPr>
                <w:rFonts w:hint="cs"/>
                <w:rtl/>
              </w:rPr>
              <w:t>التسجيل</w:t>
            </w:r>
          </w:p>
        </w:tc>
        <w:tc>
          <w:tcPr>
            <w:tcW w:w="3510" w:type="dxa"/>
          </w:tcPr>
          <w:p w:rsidR="00567B15" w:rsidRDefault="00567B15">
            <w:pPr>
              <w:spacing w:before="0" w:after="0"/>
              <w:jc w:val="both"/>
              <w:rPr>
                <w:rFonts w:hint="cs"/>
              </w:rPr>
            </w:pPr>
            <w:r>
              <w:rPr>
                <w:rFonts w:hint="cs"/>
                <w:rtl/>
              </w:rPr>
              <w:t>000 380 سوكر</w:t>
            </w:r>
          </w:p>
        </w:tc>
      </w:tr>
      <w:tr w:rsidR="00567B15" w:rsidTr="00567B15">
        <w:tblPrEx>
          <w:tblCellMar>
            <w:top w:w="0" w:type="dxa"/>
            <w:bottom w:w="0" w:type="dxa"/>
          </w:tblCellMar>
        </w:tblPrEx>
        <w:tc>
          <w:tcPr>
            <w:tcW w:w="4633" w:type="dxa"/>
          </w:tcPr>
          <w:p w:rsidR="00567B15" w:rsidRDefault="00567B15">
            <w:pPr>
              <w:spacing w:before="0" w:after="0"/>
              <w:jc w:val="both"/>
              <w:rPr>
                <w:rFonts w:hint="cs"/>
                <w:rtl/>
              </w:rPr>
            </w:pPr>
            <w:r>
              <w:rPr>
                <w:rFonts w:hint="cs"/>
                <w:rtl/>
              </w:rPr>
              <w:t>القيد</w:t>
            </w:r>
          </w:p>
        </w:tc>
        <w:tc>
          <w:tcPr>
            <w:tcW w:w="3510" w:type="dxa"/>
          </w:tcPr>
          <w:p w:rsidR="00567B15" w:rsidRDefault="00567B15">
            <w:pPr>
              <w:spacing w:before="0" w:after="0"/>
              <w:jc w:val="both"/>
              <w:rPr>
                <w:rFonts w:hint="cs"/>
                <w:rtl/>
              </w:rPr>
            </w:pPr>
          </w:p>
        </w:tc>
      </w:tr>
      <w:tr w:rsidR="00567B15" w:rsidTr="00567B15">
        <w:tblPrEx>
          <w:tblCellMar>
            <w:top w:w="0" w:type="dxa"/>
            <w:bottom w:w="0" w:type="dxa"/>
          </w:tblCellMar>
        </w:tblPrEx>
        <w:tc>
          <w:tcPr>
            <w:tcW w:w="4633" w:type="dxa"/>
          </w:tcPr>
          <w:p w:rsidR="00567B15" w:rsidRDefault="00567B15">
            <w:pPr>
              <w:spacing w:before="0" w:after="0"/>
              <w:jc w:val="both"/>
              <w:rPr>
                <w:rFonts w:hint="cs"/>
                <w:rtl/>
              </w:rPr>
            </w:pPr>
            <w:r>
              <w:rPr>
                <w:rFonts w:hint="cs"/>
                <w:rtl/>
              </w:rPr>
              <w:tab/>
              <w:t xml:space="preserve">طلاب جدد </w:t>
            </w:r>
          </w:p>
          <w:p w:rsidR="00567B15" w:rsidRDefault="00567B15">
            <w:pPr>
              <w:spacing w:before="0" w:after="0"/>
              <w:jc w:val="both"/>
              <w:rPr>
                <w:rFonts w:hint="cs"/>
                <w:rtl/>
              </w:rPr>
            </w:pPr>
            <w:r>
              <w:rPr>
                <w:rFonts w:hint="cs"/>
                <w:rtl/>
              </w:rPr>
              <w:tab/>
              <w:t>طلاب عائدون</w:t>
            </w:r>
          </w:p>
        </w:tc>
        <w:tc>
          <w:tcPr>
            <w:tcW w:w="3510" w:type="dxa"/>
          </w:tcPr>
          <w:p w:rsidR="00567B15" w:rsidRDefault="00567B15">
            <w:pPr>
              <w:spacing w:before="0" w:after="0"/>
              <w:jc w:val="both"/>
              <w:rPr>
                <w:rFonts w:hint="cs"/>
                <w:rtl/>
              </w:rPr>
            </w:pPr>
            <w:r>
              <w:rPr>
                <w:rFonts w:hint="cs"/>
                <w:rtl/>
              </w:rPr>
              <w:t>000 000 2 سوكر</w:t>
            </w:r>
          </w:p>
          <w:p w:rsidR="00567B15" w:rsidRDefault="00567B15">
            <w:pPr>
              <w:spacing w:before="0" w:after="0"/>
              <w:jc w:val="both"/>
              <w:rPr>
                <w:rFonts w:hint="cs"/>
                <w:rtl/>
              </w:rPr>
            </w:pPr>
            <w:r>
              <w:rPr>
                <w:rFonts w:hint="cs"/>
                <w:rtl/>
              </w:rPr>
              <w:t>000 250 1 سوكر</w:t>
            </w:r>
          </w:p>
        </w:tc>
      </w:tr>
      <w:tr w:rsidR="00567B15" w:rsidTr="00567B15">
        <w:tblPrEx>
          <w:tblCellMar>
            <w:top w:w="0" w:type="dxa"/>
            <w:bottom w:w="0" w:type="dxa"/>
          </w:tblCellMar>
        </w:tblPrEx>
        <w:tc>
          <w:tcPr>
            <w:tcW w:w="4633" w:type="dxa"/>
          </w:tcPr>
          <w:p w:rsidR="00567B15" w:rsidRDefault="00567B15">
            <w:pPr>
              <w:spacing w:before="0" w:after="0"/>
              <w:jc w:val="both"/>
              <w:rPr>
                <w:rFonts w:hint="cs"/>
                <w:rtl/>
              </w:rPr>
            </w:pPr>
            <w:r>
              <w:rPr>
                <w:rFonts w:hint="cs"/>
                <w:rtl/>
              </w:rPr>
              <w:t>رسوم أكاديمية</w:t>
            </w:r>
          </w:p>
        </w:tc>
        <w:tc>
          <w:tcPr>
            <w:tcW w:w="3510" w:type="dxa"/>
          </w:tcPr>
          <w:p w:rsidR="00567B15" w:rsidRDefault="00567B15">
            <w:pPr>
              <w:spacing w:before="0" w:after="0"/>
              <w:jc w:val="both"/>
              <w:rPr>
                <w:rFonts w:hint="cs"/>
                <w:rtl/>
              </w:rPr>
            </w:pPr>
            <w:r>
              <w:rPr>
                <w:rFonts w:hint="cs"/>
                <w:rtl/>
              </w:rPr>
              <w:t>000 000 15 سوكر</w:t>
            </w:r>
          </w:p>
        </w:tc>
      </w:tr>
    </w:tbl>
    <w:p w:rsidR="00000000" w:rsidRDefault="00567B15">
      <w:pPr>
        <w:jc w:val="both"/>
        <w:rPr>
          <w:rFonts w:hint="cs"/>
          <w:i/>
          <w:iCs/>
          <w:rtl/>
        </w:rPr>
      </w:pPr>
      <w:r>
        <w:rPr>
          <w:rFonts w:hint="cs"/>
          <w:i/>
          <w:iCs/>
          <w:rtl/>
        </w:rPr>
        <w:tab/>
        <w:t>جامعة إكوادور الدولية (1999)</w:t>
      </w:r>
    </w:p>
    <w:tbl>
      <w:tblPr>
        <w:bidiVisual/>
        <w:tblW w:w="0" w:type="auto"/>
        <w:tblInd w:w="1427" w:type="dxa"/>
        <w:tblLook w:val="0000" w:firstRow="0" w:lastRow="0" w:firstColumn="0" w:lastColumn="0" w:noHBand="0" w:noVBand="0"/>
      </w:tblPr>
      <w:tblGrid>
        <w:gridCol w:w="4633"/>
        <w:gridCol w:w="3510"/>
      </w:tblGrid>
      <w:tr w:rsidR="00567B15" w:rsidTr="00567B15">
        <w:tblPrEx>
          <w:tblCellMar>
            <w:top w:w="0" w:type="dxa"/>
            <w:bottom w:w="0" w:type="dxa"/>
          </w:tblCellMar>
        </w:tblPrEx>
        <w:tc>
          <w:tcPr>
            <w:tcW w:w="4633" w:type="dxa"/>
          </w:tcPr>
          <w:p w:rsidR="00567B15" w:rsidRDefault="00567B15">
            <w:pPr>
              <w:spacing w:before="0" w:after="0"/>
              <w:jc w:val="both"/>
            </w:pPr>
          </w:p>
        </w:tc>
        <w:tc>
          <w:tcPr>
            <w:tcW w:w="3510" w:type="dxa"/>
          </w:tcPr>
          <w:p w:rsidR="00567B15" w:rsidRDefault="00567B15">
            <w:pPr>
              <w:spacing w:before="0" w:after="0"/>
              <w:jc w:val="both"/>
              <w:rPr>
                <w:rFonts w:hint="cs"/>
              </w:rPr>
            </w:pPr>
            <w:r>
              <w:rPr>
                <w:rFonts w:hint="cs"/>
                <w:rtl/>
              </w:rPr>
              <w:t>سوكر</w:t>
            </w:r>
          </w:p>
        </w:tc>
      </w:tr>
      <w:tr w:rsidR="00567B15" w:rsidTr="00567B15">
        <w:tblPrEx>
          <w:tblCellMar>
            <w:top w:w="0" w:type="dxa"/>
            <w:bottom w:w="0" w:type="dxa"/>
          </w:tblCellMar>
        </w:tblPrEx>
        <w:tc>
          <w:tcPr>
            <w:tcW w:w="4633" w:type="dxa"/>
          </w:tcPr>
          <w:p w:rsidR="00567B15" w:rsidRDefault="00567B15">
            <w:pPr>
              <w:spacing w:before="0" w:after="0"/>
              <w:jc w:val="both"/>
              <w:rPr>
                <w:rFonts w:hint="cs"/>
                <w:rtl/>
              </w:rPr>
            </w:pPr>
            <w:r>
              <w:rPr>
                <w:rFonts w:hint="cs"/>
                <w:rtl/>
              </w:rPr>
              <w:tab/>
              <w:t xml:space="preserve">التسجيل السنوي </w:t>
            </w:r>
          </w:p>
          <w:p w:rsidR="00567B15" w:rsidRDefault="00567B15">
            <w:pPr>
              <w:spacing w:before="0" w:after="0"/>
              <w:jc w:val="both"/>
              <w:rPr>
                <w:rFonts w:hint="cs"/>
                <w:rtl/>
              </w:rPr>
            </w:pPr>
            <w:r>
              <w:rPr>
                <w:rFonts w:hint="cs"/>
                <w:rtl/>
              </w:rPr>
              <w:tab/>
              <w:t>القيد السنوي</w:t>
            </w:r>
          </w:p>
          <w:p w:rsidR="00567B15" w:rsidRDefault="00567B15">
            <w:pPr>
              <w:spacing w:before="0" w:after="0"/>
              <w:jc w:val="both"/>
              <w:rPr>
                <w:rtl/>
              </w:rPr>
            </w:pPr>
            <w:r>
              <w:rPr>
                <w:rtl/>
              </w:rPr>
              <w:tab/>
            </w:r>
            <w:r>
              <w:rPr>
                <w:rFonts w:hint="cs"/>
                <w:rtl/>
              </w:rPr>
              <w:t>الرسوم السنوية</w:t>
            </w:r>
          </w:p>
        </w:tc>
        <w:tc>
          <w:tcPr>
            <w:tcW w:w="3510" w:type="dxa"/>
          </w:tcPr>
          <w:p w:rsidR="00567B15" w:rsidRDefault="00567B15">
            <w:pPr>
              <w:spacing w:before="0" w:after="0"/>
              <w:jc w:val="both"/>
              <w:rPr>
                <w:rFonts w:hint="cs"/>
                <w:rtl/>
              </w:rPr>
            </w:pPr>
            <w:r>
              <w:rPr>
                <w:rFonts w:hint="cs"/>
                <w:rtl/>
              </w:rPr>
              <w:t>000 000 7</w:t>
            </w:r>
          </w:p>
          <w:p w:rsidR="00567B15" w:rsidRDefault="00567B15">
            <w:pPr>
              <w:spacing w:before="0" w:after="0"/>
              <w:jc w:val="both"/>
              <w:rPr>
                <w:rFonts w:hint="cs"/>
                <w:rtl/>
              </w:rPr>
            </w:pPr>
            <w:r>
              <w:rPr>
                <w:rFonts w:hint="cs"/>
                <w:rtl/>
              </w:rPr>
              <w:t>000 900 1</w:t>
            </w:r>
          </w:p>
          <w:p w:rsidR="00567B15" w:rsidRDefault="00567B15">
            <w:pPr>
              <w:spacing w:before="0" w:after="0"/>
              <w:jc w:val="both"/>
              <w:rPr>
                <w:rFonts w:hint="cs"/>
                <w:rtl/>
              </w:rPr>
            </w:pPr>
            <w:r>
              <w:rPr>
                <w:rFonts w:hint="cs"/>
                <w:rtl/>
              </w:rPr>
              <w:t>000 300 13</w:t>
            </w:r>
          </w:p>
        </w:tc>
      </w:tr>
      <w:tr w:rsidR="00567B15" w:rsidTr="00567B15">
        <w:tblPrEx>
          <w:tblCellMar>
            <w:top w:w="0" w:type="dxa"/>
            <w:bottom w:w="0" w:type="dxa"/>
          </w:tblCellMar>
        </w:tblPrEx>
        <w:tc>
          <w:tcPr>
            <w:tcW w:w="4633" w:type="dxa"/>
          </w:tcPr>
          <w:p w:rsidR="00567B15" w:rsidRDefault="00567B15">
            <w:pPr>
              <w:spacing w:before="0" w:after="0"/>
              <w:jc w:val="both"/>
              <w:rPr>
                <w:rFonts w:hint="cs"/>
                <w:rtl/>
              </w:rPr>
            </w:pPr>
            <w:r>
              <w:rPr>
                <w:rtl/>
              </w:rPr>
              <w:tab/>
            </w:r>
            <w:r>
              <w:rPr>
                <w:rtl/>
              </w:rPr>
              <w:tab/>
            </w:r>
            <w:r>
              <w:rPr>
                <w:rFonts w:hint="cs"/>
                <w:rtl/>
              </w:rPr>
              <w:t>مجموع التكاليف سنوياً</w:t>
            </w:r>
          </w:p>
        </w:tc>
        <w:tc>
          <w:tcPr>
            <w:tcW w:w="3510" w:type="dxa"/>
          </w:tcPr>
          <w:p w:rsidR="00567B15" w:rsidRDefault="00567B15">
            <w:pPr>
              <w:spacing w:before="0" w:after="0"/>
              <w:jc w:val="both"/>
              <w:rPr>
                <w:rFonts w:hint="cs"/>
                <w:rtl/>
              </w:rPr>
            </w:pPr>
            <w:r>
              <w:rPr>
                <w:rFonts w:hint="cs"/>
                <w:rtl/>
              </w:rPr>
              <w:t>000 900 15</w:t>
            </w:r>
          </w:p>
        </w:tc>
      </w:tr>
    </w:tbl>
    <w:p w:rsidR="00000000" w:rsidRDefault="00567B15">
      <w:pPr>
        <w:spacing w:line="380" w:lineRule="exact"/>
        <w:jc w:val="both"/>
        <w:rPr>
          <w:rFonts w:hint="cs"/>
          <w:rtl/>
        </w:rPr>
      </w:pPr>
      <w:r>
        <w:rPr>
          <w:rFonts w:hint="cs"/>
          <w:rtl/>
        </w:rPr>
        <w:t>491-</w:t>
      </w:r>
      <w:r>
        <w:rPr>
          <w:rFonts w:hint="cs"/>
          <w:rtl/>
        </w:rPr>
        <w:tab/>
        <w:t>يبين إنشاء المدارس التي تمولها الدولة على جميع المستو</w:t>
      </w:r>
      <w:r>
        <w:rPr>
          <w:rFonts w:hint="cs"/>
          <w:rtl/>
        </w:rPr>
        <w:t>يات وعدد وظائف المدرسين التي يجري إنشاؤها اعتماد التعليم المجاني تدريجيا.</w:t>
      </w:r>
    </w:p>
    <w:p w:rsidR="00000000" w:rsidRDefault="00567B15">
      <w:pPr>
        <w:spacing w:before="0" w:after="0"/>
        <w:jc w:val="center"/>
        <w:rPr>
          <w:rFonts w:hint="cs"/>
          <w:b/>
          <w:bCs/>
          <w:rtl/>
        </w:rPr>
      </w:pPr>
      <w:r>
        <w:rPr>
          <w:rFonts w:hint="cs"/>
          <w:b/>
          <w:bCs/>
          <w:rtl/>
        </w:rPr>
        <w:t>أعداد المدارس والمعلمين والطلاب حسب السنوات</w:t>
      </w:r>
    </w:p>
    <w:p w:rsidR="00000000" w:rsidRDefault="00567B15">
      <w:pPr>
        <w:spacing w:before="0"/>
        <w:jc w:val="center"/>
        <w:rPr>
          <w:rFonts w:hint="cs"/>
          <w:b/>
          <w:bCs/>
          <w:rtl/>
        </w:rPr>
      </w:pPr>
      <w:r>
        <w:rPr>
          <w:rFonts w:hint="cs"/>
          <w:b/>
          <w:bCs/>
          <w:rtl/>
        </w:rPr>
        <w:t>1970-1998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567B15" w:rsidTr="00567B15">
        <w:tblPrEx>
          <w:tblCellMar>
            <w:top w:w="0" w:type="dxa"/>
            <w:bottom w:w="0" w:type="dxa"/>
          </w:tblCellMar>
        </w:tblPrEx>
        <w:tc>
          <w:tcPr>
            <w:tcW w:w="2392" w:type="dxa"/>
            <w:tcBorders>
              <w:bottom w:val="single" w:sz="4" w:space="0" w:color="auto"/>
            </w:tcBorders>
          </w:tcPr>
          <w:p w:rsidR="00567B15" w:rsidRDefault="00567B15">
            <w:pPr>
              <w:spacing w:before="0" w:after="0" w:line="360" w:lineRule="exact"/>
              <w:jc w:val="center"/>
              <w:rPr>
                <w:rFonts w:hint="cs"/>
                <w:sz w:val="26"/>
                <w:szCs w:val="26"/>
              </w:rPr>
            </w:pPr>
            <w:r>
              <w:rPr>
                <w:rFonts w:hint="cs"/>
                <w:sz w:val="26"/>
                <w:szCs w:val="26"/>
                <w:rtl/>
              </w:rPr>
              <w:t>السنوات</w:t>
            </w:r>
          </w:p>
        </w:tc>
        <w:tc>
          <w:tcPr>
            <w:tcW w:w="2392" w:type="dxa"/>
            <w:tcBorders>
              <w:bottom w:val="single" w:sz="4" w:space="0" w:color="auto"/>
            </w:tcBorders>
          </w:tcPr>
          <w:p w:rsidR="00567B15" w:rsidRDefault="00567B15">
            <w:pPr>
              <w:spacing w:before="0" w:after="0" w:line="360" w:lineRule="exact"/>
              <w:jc w:val="center"/>
              <w:rPr>
                <w:rFonts w:hint="cs"/>
                <w:sz w:val="26"/>
                <w:szCs w:val="26"/>
              </w:rPr>
            </w:pPr>
            <w:r>
              <w:rPr>
                <w:rFonts w:hint="cs"/>
                <w:sz w:val="26"/>
                <w:szCs w:val="26"/>
                <w:rtl/>
              </w:rPr>
              <w:t>المدارس</w:t>
            </w:r>
          </w:p>
        </w:tc>
        <w:tc>
          <w:tcPr>
            <w:tcW w:w="2393" w:type="dxa"/>
            <w:tcBorders>
              <w:bottom w:val="single" w:sz="4" w:space="0" w:color="auto"/>
            </w:tcBorders>
          </w:tcPr>
          <w:p w:rsidR="00567B15" w:rsidRDefault="00567B15">
            <w:pPr>
              <w:spacing w:before="0" w:after="0" w:line="360" w:lineRule="exact"/>
              <w:jc w:val="center"/>
              <w:rPr>
                <w:rFonts w:hint="cs"/>
                <w:sz w:val="26"/>
                <w:szCs w:val="26"/>
              </w:rPr>
            </w:pPr>
            <w:r>
              <w:rPr>
                <w:rFonts w:hint="cs"/>
                <w:sz w:val="26"/>
                <w:szCs w:val="26"/>
                <w:rtl/>
              </w:rPr>
              <w:t>المعلمون</w:t>
            </w:r>
          </w:p>
        </w:tc>
        <w:tc>
          <w:tcPr>
            <w:tcW w:w="2393" w:type="dxa"/>
            <w:tcBorders>
              <w:bottom w:val="single" w:sz="4" w:space="0" w:color="auto"/>
            </w:tcBorders>
          </w:tcPr>
          <w:p w:rsidR="00567B15" w:rsidRDefault="00567B15">
            <w:pPr>
              <w:spacing w:before="0" w:after="0" w:line="360" w:lineRule="exact"/>
              <w:jc w:val="center"/>
              <w:rPr>
                <w:rFonts w:hint="cs"/>
                <w:sz w:val="26"/>
                <w:szCs w:val="26"/>
              </w:rPr>
            </w:pPr>
            <w:r>
              <w:rPr>
                <w:rFonts w:hint="cs"/>
                <w:sz w:val="26"/>
                <w:szCs w:val="26"/>
                <w:rtl/>
              </w:rPr>
              <w:t>الطلاب</w:t>
            </w:r>
          </w:p>
        </w:tc>
      </w:tr>
      <w:tr w:rsidR="00567B15" w:rsidTr="00567B15">
        <w:tblPrEx>
          <w:tblCellMar>
            <w:top w:w="0" w:type="dxa"/>
            <w:bottom w:w="0" w:type="dxa"/>
          </w:tblCellMar>
        </w:tblPrEx>
        <w:tc>
          <w:tcPr>
            <w:tcW w:w="2392" w:type="dxa"/>
            <w:tcBorders>
              <w:bottom w:val="nil"/>
            </w:tcBorders>
          </w:tcPr>
          <w:p w:rsidR="00567B15" w:rsidRDefault="00567B15">
            <w:pPr>
              <w:spacing w:before="0" w:after="0" w:line="360" w:lineRule="exact"/>
              <w:jc w:val="center"/>
              <w:rPr>
                <w:rFonts w:hint="cs"/>
                <w:sz w:val="26"/>
                <w:szCs w:val="26"/>
              </w:rPr>
            </w:pPr>
            <w:r>
              <w:rPr>
                <w:rFonts w:hint="cs"/>
                <w:sz w:val="26"/>
                <w:szCs w:val="26"/>
                <w:rtl/>
              </w:rPr>
              <w:t>1970-1972</w:t>
            </w:r>
          </w:p>
        </w:tc>
        <w:tc>
          <w:tcPr>
            <w:tcW w:w="2392" w:type="dxa"/>
            <w:tcBorders>
              <w:bottom w:val="nil"/>
            </w:tcBorders>
          </w:tcPr>
          <w:p w:rsidR="00567B15" w:rsidRDefault="00567B15">
            <w:pPr>
              <w:spacing w:before="0" w:after="0" w:line="360" w:lineRule="exact"/>
              <w:ind w:firstLine="662"/>
              <w:jc w:val="both"/>
              <w:rPr>
                <w:rFonts w:hint="cs"/>
                <w:sz w:val="26"/>
                <w:szCs w:val="26"/>
              </w:rPr>
            </w:pPr>
            <w:r>
              <w:rPr>
                <w:rFonts w:hint="cs"/>
                <w:sz w:val="26"/>
                <w:szCs w:val="26"/>
                <w:rtl/>
              </w:rPr>
              <w:t>687 8</w:t>
            </w:r>
          </w:p>
        </w:tc>
        <w:tc>
          <w:tcPr>
            <w:tcW w:w="2393" w:type="dxa"/>
            <w:tcBorders>
              <w:bottom w:val="nil"/>
            </w:tcBorders>
          </w:tcPr>
          <w:p w:rsidR="00567B15" w:rsidRDefault="00567B15">
            <w:pPr>
              <w:spacing w:before="0" w:after="0" w:line="360" w:lineRule="exact"/>
              <w:ind w:firstLine="610"/>
              <w:jc w:val="both"/>
              <w:rPr>
                <w:rFonts w:hint="cs"/>
                <w:sz w:val="26"/>
                <w:szCs w:val="26"/>
              </w:rPr>
            </w:pPr>
            <w:r>
              <w:rPr>
                <w:rFonts w:hint="cs"/>
                <w:sz w:val="26"/>
                <w:szCs w:val="26"/>
                <w:rtl/>
              </w:rPr>
              <w:t>741 47</w:t>
            </w:r>
          </w:p>
        </w:tc>
        <w:tc>
          <w:tcPr>
            <w:tcW w:w="2393" w:type="dxa"/>
            <w:tcBorders>
              <w:bottom w:val="nil"/>
            </w:tcBorders>
          </w:tcPr>
          <w:p w:rsidR="00567B15" w:rsidRDefault="00567B15">
            <w:pPr>
              <w:spacing w:before="0" w:after="0" w:line="360" w:lineRule="exact"/>
              <w:ind w:firstLine="377"/>
              <w:jc w:val="both"/>
              <w:rPr>
                <w:rFonts w:hint="cs"/>
                <w:sz w:val="26"/>
                <w:szCs w:val="26"/>
              </w:rPr>
            </w:pPr>
            <w:r>
              <w:rPr>
                <w:rFonts w:hint="cs"/>
                <w:sz w:val="26"/>
                <w:szCs w:val="26"/>
                <w:rtl/>
              </w:rPr>
              <w:t>965 246 1</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1979-1980</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916 12</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704 72</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927 005 2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1985-1986</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454 17</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572 103</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287 533 2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1989-1990</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684 19</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066 125</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432 749 2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1990-1991</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887 19</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466 127</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206 747 2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1991-1992</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133 21</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040 131</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590 834 2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1992-1993</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728 20</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872 131</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524 800 2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1993-1994</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753 22</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177 130</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621 655 2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1994-1995</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334 23</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827 139</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457 713 2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1995-1996</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322 23</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392 146</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485 753 2</w:t>
            </w:r>
          </w:p>
        </w:tc>
      </w:tr>
      <w:tr w:rsidR="00567B15" w:rsidTr="00567B15">
        <w:tblPrEx>
          <w:tblCellMar>
            <w:top w:w="0" w:type="dxa"/>
            <w:bottom w:w="0" w:type="dxa"/>
          </w:tblCellMar>
        </w:tblPrEx>
        <w:tc>
          <w:tcPr>
            <w:tcW w:w="2392" w:type="dxa"/>
            <w:tcBorders>
              <w:top w:val="nil"/>
              <w:bottom w:val="nil"/>
            </w:tcBorders>
          </w:tcPr>
          <w:p w:rsidR="00567B15" w:rsidRDefault="00567B15">
            <w:pPr>
              <w:spacing w:before="0" w:after="0" w:line="360" w:lineRule="exact"/>
              <w:jc w:val="center"/>
              <w:rPr>
                <w:rFonts w:hint="cs"/>
                <w:sz w:val="26"/>
                <w:szCs w:val="26"/>
              </w:rPr>
            </w:pPr>
            <w:r>
              <w:rPr>
                <w:rFonts w:hint="cs"/>
                <w:sz w:val="26"/>
                <w:szCs w:val="26"/>
                <w:rtl/>
              </w:rPr>
              <w:t>1996-1997</w:t>
            </w:r>
          </w:p>
        </w:tc>
        <w:tc>
          <w:tcPr>
            <w:tcW w:w="2392" w:type="dxa"/>
            <w:tcBorders>
              <w:top w:val="nil"/>
              <w:bottom w:val="nil"/>
            </w:tcBorders>
          </w:tcPr>
          <w:p w:rsidR="00567B15" w:rsidRDefault="00567B15">
            <w:pPr>
              <w:spacing w:before="0" w:after="0" w:line="360" w:lineRule="exact"/>
              <w:ind w:firstLine="662"/>
              <w:jc w:val="both"/>
              <w:rPr>
                <w:rFonts w:hint="cs"/>
                <w:sz w:val="26"/>
                <w:szCs w:val="26"/>
              </w:rPr>
            </w:pPr>
            <w:r>
              <w:rPr>
                <w:rFonts w:hint="cs"/>
                <w:sz w:val="26"/>
                <w:szCs w:val="26"/>
                <w:rtl/>
              </w:rPr>
              <w:t>171 24</w:t>
            </w:r>
          </w:p>
        </w:tc>
        <w:tc>
          <w:tcPr>
            <w:tcW w:w="2393" w:type="dxa"/>
            <w:tcBorders>
              <w:top w:val="nil"/>
              <w:bottom w:val="nil"/>
            </w:tcBorders>
          </w:tcPr>
          <w:p w:rsidR="00567B15" w:rsidRDefault="00567B15">
            <w:pPr>
              <w:spacing w:before="0" w:after="0" w:line="360" w:lineRule="exact"/>
              <w:ind w:firstLine="610"/>
              <w:jc w:val="both"/>
              <w:rPr>
                <w:rFonts w:hint="cs"/>
                <w:sz w:val="26"/>
                <w:szCs w:val="26"/>
              </w:rPr>
            </w:pPr>
            <w:r>
              <w:rPr>
                <w:rFonts w:hint="cs"/>
                <w:sz w:val="26"/>
                <w:szCs w:val="26"/>
                <w:rtl/>
              </w:rPr>
              <w:t>163 156</w:t>
            </w:r>
          </w:p>
        </w:tc>
        <w:tc>
          <w:tcPr>
            <w:tcW w:w="2393" w:type="dxa"/>
            <w:tcBorders>
              <w:top w:val="nil"/>
              <w:bottom w:val="nil"/>
            </w:tcBorders>
          </w:tcPr>
          <w:p w:rsidR="00567B15" w:rsidRDefault="00567B15">
            <w:pPr>
              <w:spacing w:before="0" w:after="0" w:line="360" w:lineRule="exact"/>
              <w:ind w:firstLine="377"/>
              <w:jc w:val="both"/>
              <w:rPr>
                <w:rFonts w:hint="cs"/>
                <w:sz w:val="26"/>
                <w:szCs w:val="26"/>
              </w:rPr>
            </w:pPr>
            <w:r>
              <w:rPr>
                <w:rFonts w:hint="cs"/>
                <w:sz w:val="26"/>
                <w:szCs w:val="26"/>
                <w:rtl/>
              </w:rPr>
              <w:t>279 886 2</w:t>
            </w:r>
          </w:p>
        </w:tc>
      </w:tr>
      <w:tr w:rsidR="00567B15" w:rsidTr="00567B15">
        <w:tblPrEx>
          <w:tblCellMar>
            <w:top w:w="0" w:type="dxa"/>
            <w:bottom w:w="0" w:type="dxa"/>
          </w:tblCellMar>
        </w:tblPrEx>
        <w:tc>
          <w:tcPr>
            <w:tcW w:w="2392" w:type="dxa"/>
            <w:tcBorders>
              <w:top w:val="nil"/>
            </w:tcBorders>
          </w:tcPr>
          <w:p w:rsidR="00567B15" w:rsidRDefault="00567B15">
            <w:pPr>
              <w:spacing w:before="0" w:after="0" w:line="360" w:lineRule="exact"/>
              <w:jc w:val="center"/>
              <w:rPr>
                <w:rFonts w:hint="cs"/>
                <w:sz w:val="26"/>
                <w:szCs w:val="26"/>
              </w:rPr>
            </w:pPr>
            <w:r>
              <w:rPr>
                <w:rFonts w:hint="cs"/>
                <w:sz w:val="26"/>
                <w:szCs w:val="26"/>
                <w:rtl/>
              </w:rPr>
              <w:t>1997-1998</w:t>
            </w:r>
          </w:p>
        </w:tc>
        <w:tc>
          <w:tcPr>
            <w:tcW w:w="2392" w:type="dxa"/>
            <w:tcBorders>
              <w:top w:val="nil"/>
            </w:tcBorders>
          </w:tcPr>
          <w:p w:rsidR="00567B15" w:rsidRDefault="00567B15">
            <w:pPr>
              <w:spacing w:before="0" w:after="0" w:line="360" w:lineRule="exact"/>
              <w:ind w:firstLine="662"/>
              <w:jc w:val="both"/>
              <w:rPr>
                <w:rFonts w:hint="cs"/>
                <w:sz w:val="26"/>
                <w:szCs w:val="26"/>
              </w:rPr>
            </w:pPr>
            <w:r>
              <w:rPr>
                <w:rFonts w:hint="cs"/>
                <w:sz w:val="26"/>
                <w:szCs w:val="26"/>
                <w:rtl/>
              </w:rPr>
              <w:t>827 24</w:t>
            </w:r>
          </w:p>
        </w:tc>
        <w:tc>
          <w:tcPr>
            <w:tcW w:w="2393" w:type="dxa"/>
            <w:tcBorders>
              <w:top w:val="nil"/>
            </w:tcBorders>
          </w:tcPr>
          <w:p w:rsidR="00567B15" w:rsidRDefault="00567B15">
            <w:pPr>
              <w:spacing w:before="0" w:after="0" w:line="360" w:lineRule="exact"/>
              <w:ind w:firstLine="610"/>
              <w:jc w:val="both"/>
              <w:rPr>
                <w:rFonts w:hint="cs"/>
                <w:sz w:val="26"/>
                <w:szCs w:val="26"/>
              </w:rPr>
            </w:pPr>
            <w:r>
              <w:rPr>
                <w:rFonts w:hint="cs"/>
                <w:sz w:val="26"/>
                <w:szCs w:val="26"/>
                <w:rtl/>
              </w:rPr>
              <w:t>273 162</w:t>
            </w:r>
          </w:p>
        </w:tc>
        <w:tc>
          <w:tcPr>
            <w:tcW w:w="2393" w:type="dxa"/>
            <w:tcBorders>
              <w:top w:val="nil"/>
            </w:tcBorders>
          </w:tcPr>
          <w:p w:rsidR="00567B15" w:rsidRDefault="00567B15">
            <w:pPr>
              <w:spacing w:before="0" w:after="0" w:line="360" w:lineRule="exact"/>
              <w:ind w:firstLine="377"/>
              <w:jc w:val="both"/>
              <w:rPr>
                <w:rFonts w:hint="cs"/>
                <w:sz w:val="26"/>
                <w:szCs w:val="26"/>
              </w:rPr>
            </w:pPr>
            <w:r>
              <w:rPr>
                <w:rFonts w:hint="cs"/>
                <w:sz w:val="26"/>
                <w:szCs w:val="26"/>
                <w:rtl/>
              </w:rPr>
              <w:t>503 952 2</w:t>
            </w:r>
          </w:p>
        </w:tc>
      </w:tr>
    </w:tbl>
    <w:p w:rsidR="00000000" w:rsidRDefault="00567B15">
      <w:pPr>
        <w:spacing w:line="360" w:lineRule="exact"/>
        <w:jc w:val="both"/>
        <w:rPr>
          <w:rFonts w:hint="cs"/>
          <w:rtl/>
        </w:rPr>
      </w:pPr>
      <w:r>
        <w:rPr>
          <w:rFonts w:hint="cs"/>
          <w:rtl/>
        </w:rPr>
        <w:tab/>
      </w:r>
      <w:r>
        <w:rPr>
          <w:rFonts w:hint="cs"/>
          <w:u w:val="single"/>
          <w:rtl/>
        </w:rPr>
        <w:t>المصدر</w:t>
      </w:r>
      <w:r>
        <w:rPr>
          <w:rFonts w:hint="cs"/>
          <w:rtl/>
        </w:rPr>
        <w:t xml:space="preserve">: الفقر والرأسمال البشري في إكوادور، نظام المؤشرات الاجتماعية المتكامل </w:t>
      </w:r>
      <w:r>
        <w:t>(SIISE)</w:t>
      </w:r>
      <w:r>
        <w:rPr>
          <w:rFonts w:hint="cs"/>
          <w:rtl/>
        </w:rPr>
        <w:t>، 1997.</w:t>
      </w:r>
    </w:p>
    <w:p w:rsidR="00000000" w:rsidRDefault="00567B15">
      <w:pPr>
        <w:spacing w:line="360" w:lineRule="exact"/>
        <w:jc w:val="both"/>
        <w:rPr>
          <w:i/>
          <w:iCs/>
          <w:rtl/>
        </w:rPr>
      </w:pPr>
      <w:r>
        <w:rPr>
          <w:rFonts w:hint="cs"/>
          <w:i/>
          <w:iCs/>
          <w:rtl/>
        </w:rPr>
        <w:t>نظام التعليم الأساسي</w:t>
      </w:r>
    </w:p>
    <w:p w:rsidR="00000000" w:rsidRDefault="00567B15">
      <w:pPr>
        <w:spacing w:line="360" w:lineRule="exact"/>
        <w:jc w:val="both"/>
        <w:rPr>
          <w:rFonts w:hint="cs"/>
          <w:rtl/>
        </w:rPr>
      </w:pPr>
      <w:r>
        <w:rPr>
          <w:rFonts w:hint="cs"/>
          <w:rtl/>
        </w:rPr>
        <w:t>492-</w:t>
      </w:r>
      <w:r>
        <w:rPr>
          <w:rFonts w:hint="cs"/>
          <w:rtl/>
        </w:rPr>
        <w:tab/>
        <w:t>يوجد نظام واحد للتعليم الوطني وهو يتألف من نظامين فرعيين هما:</w:t>
      </w:r>
    </w:p>
    <w:p w:rsidR="00000000" w:rsidRDefault="00567B15">
      <w:pPr>
        <w:spacing w:before="180" w:after="180" w:line="340" w:lineRule="exact"/>
        <w:jc w:val="both"/>
        <w:rPr>
          <w:rFonts w:hint="cs"/>
          <w:rtl/>
        </w:rPr>
      </w:pPr>
      <w:r>
        <w:rPr>
          <w:rFonts w:hint="cs"/>
          <w:rtl/>
        </w:rPr>
        <w:tab/>
        <w:t>(أ)</w:t>
      </w:r>
      <w:r>
        <w:rPr>
          <w:rFonts w:hint="cs"/>
          <w:rtl/>
        </w:rPr>
        <w:tab/>
        <w:t>المدرسي: للناطقين بالإسبانية وبلغات السكان الأصليين؛</w:t>
      </w:r>
    </w:p>
    <w:p w:rsidR="00000000" w:rsidRDefault="00567B15">
      <w:pPr>
        <w:spacing w:before="180" w:after="180" w:line="340" w:lineRule="exact"/>
        <w:jc w:val="both"/>
        <w:rPr>
          <w:rFonts w:hint="cs"/>
          <w:rtl/>
        </w:rPr>
      </w:pPr>
      <w:r>
        <w:rPr>
          <w:rFonts w:hint="cs"/>
          <w:rtl/>
        </w:rPr>
        <w:tab/>
        <w:t>(ب)</w:t>
      </w:r>
      <w:r>
        <w:rPr>
          <w:rFonts w:hint="cs"/>
          <w:rtl/>
        </w:rPr>
        <w:tab/>
        <w:t>التعليم عن بُ</w:t>
      </w:r>
      <w:r>
        <w:rPr>
          <w:rFonts w:hint="cs"/>
          <w:rtl/>
        </w:rPr>
        <w:t>عد: للناطقين بالإسبانية وبلغات السكان الأصليين.</w:t>
      </w:r>
    </w:p>
    <w:p w:rsidR="00000000" w:rsidRDefault="00567B15">
      <w:pPr>
        <w:spacing w:line="380" w:lineRule="exact"/>
        <w:jc w:val="both"/>
        <w:rPr>
          <w:rFonts w:hint="cs"/>
          <w:spacing w:val="0"/>
          <w:rtl/>
        </w:rPr>
      </w:pPr>
      <w:r>
        <w:rPr>
          <w:rFonts w:hint="cs"/>
          <w:spacing w:val="0"/>
          <w:rtl/>
        </w:rPr>
        <w:t>493-</w:t>
      </w:r>
      <w:r>
        <w:rPr>
          <w:rFonts w:hint="cs"/>
          <w:spacing w:val="0"/>
          <w:rtl/>
        </w:rPr>
        <w:tab/>
        <w:t>ويتألف النظام الفرعي الأول من التعليم الموفّر في مؤسسات معيّنة بموجب القانون واللوائح العامة والخاصة:</w:t>
      </w:r>
    </w:p>
    <w:p w:rsidR="00000000" w:rsidRDefault="00567B15">
      <w:pPr>
        <w:spacing w:before="180" w:after="180" w:line="380" w:lineRule="exact"/>
        <w:jc w:val="both"/>
        <w:rPr>
          <w:rFonts w:hint="cs"/>
          <w:rtl/>
        </w:rPr>
      </w:pPr>
      <w:r>
        <w:rPr>
          <w:rFonts w:hint="cs"/>
          <w:rtl/>
        </w:rPr>
        <w:tab/>
        <w:t>(أ)</w:t>
      </w:r>
      <w:r>
        <w:rPr>
          <w:rFonts w:hint="cs"/>
          <w:rtl/>
        </w:rPr>
        <w:tab/>
        <w:t>التعليم النظامي: للناطقين بالإسبانية وبلغات السكان الأصليين؛</w:t>
      </w:r>
    </w:p>
    <w:p w:rsidR="00000000" w:rsidRDefault="00567B15">
      <w:pPr>
        <w:spacing w:before="180" w:after="180" w:line="380" w:lineRule="exact"/>
        <w:jc w:val="both"/>
        <w:rPr>
          <w:rFonts w:hint="cs"/>
          <w:rtl/>
        </w:rPr>
      </w:pPr>
      <w:r>
        <w:rPr>
          <w:rFonts w:hint="cs"/>
          <w:rtl/>
        </w:rPr>
        <w:tab/>
        <w:t>(ب)</w:t>
      </w:r>
      <w:r>
        <w:rPr>
          <w:rFonts w:hint="cs"/>
          <w:rtl/>
        </w:rPr>
        <w:tab/>
        <w:t>التعليم التعويضي: للناطقين بال</w:t>
      </w:r>
      <w:r>
        <w:rPr>
          <w:rFonts w:hint="cs"/>
          <w:rtl/>
        </w:rPr>
        <w:t>إسبانية وبلغات السكان الأصليين؛</w:t>
      </w:r>
    </w:p>
    <w:p w:rsidR="00000000" w:rsidRDefault="00567B15">
      <w:pPr>
        <w:spacing w:before="180" w:after="180" w:line="380" w:lineRule="exact"/>
        <w:jc w:val="both"/>
        <w:rPr>
          <w:rFonts w:hint="cs"/>
          <w:rtl/>
        </w:rPr>
      </w:pPr>
      <w:r>
        <w:rPr>
          <w:rFonts w:hint="cs"/>
          <w:rtl/>
        </w:rPr>
        <w:tab/>
        <w:t>(ج)</w:t>
      </w:r>
      <w:r>
        <w:rPr>
          <w:rFonts w:hint="cs"/>
          <w:rtl/>
        </w:rPr>
        <w:tab/>
        <w:t>التعليم الخاص: للناطقين بالإسبانية وبلغات السكان الأصليين.</w:t>
      </w:r>
    </w:p>
    <w:p w:rsidR="00000000" w:rsidRDefault="00567B15">
      <w:pPr>
        <w:spacing w:line="380" w:lineRule="exact"/>
        <w:jc w:val="both"/>
        <w:rPr>
          <w:rFonts w:hint="cs"/>
          <w:rtl/>
        </w:rPr>
      </w:pPr>
      <w:r>
        <w:rPr>
          <w:rFonts w:hint="cs"/>
          <w:rtl/>
        </w:rPr>
        <w:t>494-</w:t>
      </w:r>
      <w:r>
        <w:rPr>
          <w:rFonts w:hint="cs"/>
          <w:rtl/>
        </w:rPr>
        <w:tab/>
        <w:t>ويمكن اتخاذ ترتيبات خاصة في المدارس لأجل الأشخاص الناطقين بالإسبانية ولغات السكان الأصليين. أما الغرض الرئيسي للتعليم التعويضي فهو السهر على إتاحة فرص متكا</w:t>
      </w:r>
      <w:r>
        <w:rPr>
          <w:rFonts w:hint="cs"/>
          <w:rtl/>
        </w:rPr>
        <w:t>فئة من جديد للأشخاص الذين لم يسجلوا في التعليم النظامي أو لم يستكمِلوه ، وتمكينهم، بالتالي، من أن يفعلوا ذلك في أي مرحلة من مراحل حياتهم وفقاً لاحتياجاتهم وتطلُّعاتهم.</w:t>
      </w:r>
    </w:p>
    <w:p w:rsidR="00000000" w:rsidRDefault="00567B15">
      <w:pPr>
        <w:spacing w:line="380" w:lineRule="exact"/>
        <w:jc w:val="both"/>
        <w:rPr>
          <w:rFonts w:hint="cs"/>
          <w:rtl/>
        </w:rPr>
      </w:pPr>
      <w:r>
        <w:rPr>
          <w:rFonts w:hint="cs"/>
          <w:rtl/>
        </w:rPr>
        <w:t>495-</w:t>
      </w:r>
      <w:r>
        <w:rPr>
          <w:rFonts w:hint="cs"/>
          <w:rtl/>
        </w:rPr>
        <w:tab/>
        <w:t>ويتألف التعليم التعويضي من:</w:t>
      </w:r>
    </w:p>
    <w:p w:rsidR="00000000" w:rsidRDefault="00567B15">
      <w:pPr>
        <w:spacing w:before="180" w:after="180" w:line="380" w:lineRule="exact"/>
        <w:jc w:val="both"/>
        <w:rPr>
          <w:rFonts w:hint="cs"/>
          <w:rtl/>
        </w:rPr>
      </w:pPr>
      <w:r>
        <w:rPr>
          <w:rFonts w:hint="cs"/>
          <w:rtl/>
        </w:rPr>
        <w:tab/>
        <w:t>(أ)</w:t>
      </w:r>
      <w:r>
        <w:rPr>
          <w:rFonts w:hint="cs"/>
          <w:rtl/>
        </w:rPr>
        <w:tab/>
        <w:t>التعليم الشعبي الأساسي:</w:t>
      </w:r>
    </w:p>
    <w:p w:rsidR="00000000" w:rsidRDefault="00567B15">
      <w:pPr>
        <w:spacing w:before="180" w:after="180" w:line="380" w:lineRule="exact"/>
        <w:ind w:firstLine="720"/>
        <w:jc w:val="both"/>
        <w:rPr>
          <w:rFonts w:hint="cs"/>
          <w:rtl/>
        </w:rPr>
      </w:pPr>
      <w:r>
        <w:rPr>
          <w:rtl/>
        </w:rPr>
        <w:t>`</w:t>
      </w:r>
      <w:r>
        <w:rPr>
          <w:rFonts w:hint="cs"/>
          <w:rtl/>
        </w:rPr>
        <w:t>1</w:t>
      </w:r>
      <w:r>
        <w:rPr>
          <w:rtl/>
        </w:rPr>
        <w:t>`</w:t>
      </w:r>
      <w:r>
        <w:rPr>
          <w:rFonts w:hint="cs"/>
          <w:rtl/>
        </w:rPr>
        <w:tab/>
        <w:t>محو الأمية؛</w:t>
      </w:r>
    </w:p>
    <w:p w:rsidR="00000000" w:rsidRDefault="00567B15">
      <w:pPr>
        <w:spacing w:before="180" w:after="180" w:line="380" w:lineRule="exact"/>
        <w:jc w:val="both"/>
        <w:rPr>
          <w:rFonts w:hint="cs"/>
          <w:rtl/>
        </w:rPr>
      </w:pPr>
      <w:r>
        <w:rPr>
          <w:rFonts w:hint="cs"/>
          <w:rtl/>
        </w:rPr>
        <w:tab/>
      </w:r>
      <w:r>
        <w:rPr>
          <w:rtl/>
        </w:rPr>
        <w:t>`</w:t>
      </w:r>
      <w:r>
        <w:rPr>
          <w:rFonts w:hint="cs"/>
          <w:rtl/>
        </w:rPr>
        <w:t>2</w:t>
      </w:r>
      <w:r>
        <w:rPr>
          <w:rtl/>
        </w:rPr>
        <w:t>`</w:t>
      </w:r>
      <w:r>
        <w:rPr>
          <w:rFonts w:hint="cs"/>
          <w:rtl/>
        </w:rPr>
        <w:tab/>
        <w:t>مرحلة</w:t>
      </w:r>
      <w:r>
        <w:rPr>
          <w:rFonts w:hint="cs"/>
          <w:rtl/>
        </w:rPr>
        <w:t xml:space="preserve"> ما بعد محو الأمية؛</w:t>
      </w:r>
    </w:p>
    <w:p w:rsidR="00000000" w:rsidRDefault="00567B15">
      <w:pPr>
        <w:spacing w:before="180" w:after="180" w:line="380" w:lineRule="exact"/>
        <w:ind w:firstLine="720"/>
        <w:jc w:val="both"/>
        <w:rPr>
          <w:rFonts w:hint="cs"/>
          <w:rtl/>
        </w:rPr>
      </w:pPr>
      <w:r>
        <w:rPr>
          <w:rtl/>
        </w:rPr>
        <w:t>`</w:t>
      </w:r>
      <w:r>
        <w:rPr>
          <w:rFonts w:hint="cs"/>
          <w:rtl/>
        </w:rPr>
        <w:t>3</w:t>
      </w:r>
      <w:r>
        <w:rPr>
          <w:rtl/>
        </w:rPr>
        <w:t>`</w:t>
      </w:r>
      <w:r>
        <w:rPr>
          <w:rFonts w:hint="cs"/>
          <w:rtl/>
        </w:rPr>
        <w:tab/>
        <w:t>دورة التعليم الأساسي؛</w:t>
      </w:r>
    </w:p>
    <w:p w:rsidR="00000000" w:rsidRDefault="00567B15">
      <w:pPr>
        <w:spacing w:before="180" w:after="180" w:line="380" w:lineRule="exact"/>
        <w:jc w:val="both"/>
        <w:rPr>
          <w:rFonts w:hint="cs"/>
          <w:rtl/>
        </w:rPr>
      </w:pPr>
      <w:r>
        <w:rPr>
          <w:rFonts w:hint="cs"/>
          <w:rtl/>
        </w:rPr>
        <w:tab/>
        <w:t>(ب)</w:t>
      </w:r>
      <w:r>
        <w:rPr>
          <w:rFonts w:hint="cs"/>
          <w:rtl/>
        </w:rPr>
        <w:tab/>
        <w:t>التعليم الشعبي المتنوِّع؛</w:t>
      </w:r>
    </w:p>
    <w:p w:rsidR="00000000" w:rsidRDefault="00567B15">
      <w:pPr>
        <w:spacing w:before="180" w:after="180" w:line="380" w:lineRule="exact"/>
        <w:jc w:val="both"/>
        <w:rPr>
          <w:rFonts w:hint="cs"/>
          <w:rtl/>
        </w:rPr>
      </w:pPr>
      <w:r>
        <w:rPr>
          <w:rFonts w:hint="cs"/>
          <w:rtl/>
        </w:rPr>
        <w:tab/>
        <w:t>(ج)</w:t>
      </w:r>
      <w:r>
        <w:rPr>
          <w:rFonts w:hint="cs"/>
          <w:rtl/>
        </w:rPr>
        <w:tab/>
        <w:t>التدريب المهني على الحرف اليدوية؛</w:t>
      </w:r>
    </w:p>
    <w:p w:rsidR="00000000" w:rsidRDefault="00567B15">
      <w:pPr>
        <w:spacing w:before="180" w:after="180" w:line="380" w:lineRule="exact"/>
        <w:jc w:val="both"/>
        <w:rPr>
          <w:rFonts w:hint="cs"/>
          <w:rtl/>
        </w:rPr>
      </w:pPr>
      <w:r>
        <w:rPr>
          <w:rFonts w:hint="cs"/>
          <w:rtl/>
        </w:rPr>
        <w:tab/>
        <w:t>(د)</w:t>
      </w:r>
      <w:r>
        <w:rPr>
          <w:rFonts w:hint="cs"/>
          <w:rtl/>
        </w:rPr>
        <w:tab/>
        <w:t>ويمكن، كجزء من التعليم الشعبي المستمر، إنشاء وحدات إنتاج تربوية تُضبَط بموجب لوائح تعتمدها وزارة التعليم والثقافة لهذا الغرض.</w:t>
      </w:r>
    </w:p>
    <w:p w:rsidR="00000000" w:rsidRDefault="00567B15">
      <w:pPr>
        <w:spacing w:line="380" w:lineRule="exact"/>
        <w:jc w:val="both"/>
        <w:rPr>
          <w:rFonts w:hint="cs"/>
          <w:rtl/>
        </w:rPr>
      </w:pPr>
      <w:r>
        <w:rPr>
          <w:rFonts w:hint="cs"/>
          <w:rtl/>
        </w:rPr>
        <w:t>496-</w:t>
      </w:r>
      <w:r>
        <w:rPr>
          <w:rFonts w:hint="cs"/>
          <w:rtl/>
        </w:rPr>
        <w:tab/>
        <w:t>وكان</w:t>
      </w:r>
      <w:r>
        <w:rPr>
          <w:rFonts w:hint="cs"/>
          <w:rtl/>
        </w:rPr>
        <w:t>ت تلك الأنشطة تشمل في الماضي:</w:t>
      </w:r>
    </w:p>
    <w:p w:rsidR="00000000" w:rsidRDefault="00567B15">
      <w:pPr>
        <w:spacing w:before="180" w:after="180" w:line="380" w:lineRule="exact"/>
        <w:jc w:val="both"/>
        <w:rPr>
          <w:rFonts w:hint="cs"/>
          <w:rtl/>
        </w:rPr>
      </w:pPr>
      <w:r>
        <w:rPr>
          <w:rFonts w:hint="cs"/>
          <w:rtl/>
        </w:rPr>
        <w:tab/>
        <w:t>(أ)</w:t>
      </w:r>
      <w:r>
        <w:rPr>
          <w:rFonts w:hint="cs"/>
          <w:rtl/>
        </w:rPr>
        <w:tab/>
        <w:t>حملة محو الأمية لبرنامج الأمم المتحدة في الفترة بين عامي 1944 و1963؛</w:t>
      </w:r>
    </w:p>
    <w:p w:rsidR="00000000" w:rsidRDefault="00567B15">
      <w:pPr>
        <w:spacing w:before="180" w:after="180" w:line="380" w:lineRule="exact"/>
        <w:jc w:val="both"/>
        <w:rPr>
          <w:rFonts w:hint="cs"/>
          <w:rtl/>
        </w:rPr>
      </w:pPr>
      <w:r>
        <w:rPr>
          <w:rFonts w:hint="cs"/>
          <w:rtl/>
        </w:rPr>
        <w:tab/>
        <w:t>(ب)</w:t>
      </w:r>
      <w:r>
        <w:rPr>
          <w:rFonts w:hint="cs"/>
          <w:rtl/>
        </w:rPr>
        <w:tab/>
        <w:t>الحمل</w:t>
      </w:r>
      <w:r>
        <w:rPr>
          <w:rFonts w:hint="cs"/>
          <w:rtl/>
        </w:rPr>
        <w:t>ة الوطنية لمحو الأمية التي أعدتها وزارة التعليم للفترة بين عامي 1963 و1972؛</w:t>
      </w:r>
    </w:p>
    <w:p w:rsidR="00000000" w:rsidRDefault="00567B15">
      <w:pPr>
        <w:spacing w:before="180" w:after="180" w:line="380" w:lineRule="exact"/>
        <w:jc w:val="both"/>
        <w:rPr>
          <w:rFonts w:hint="cs"/>
          <w:rtl/>
        </w:rPr>
      </w:pPr>
      <w:r>
        <w:rPr>
          <w:rFonts w:hint="cs"/>
          <w:rtl/>
        </w:rPr>
        <w:tab/>
        <w:t>(ج)</w:t>
      </w:r>
      <w:r>
        <w:rPr>
          <w:rFonts w:hint="cs"/>
          <w:rtl/>
        </w:rPr>
        <w:tab/>
        <w:t>مشروع محو الأمية النموذجي المشترك بين وزارة التعليم واليونسكو</w:t>
      </w:r>
      <w:r>
        <w:rPr>
          <w:rFonts w:hint="cs"/>
          <w:rtl/>
        </w:rPr>
        <w:t xml:space="preserve"> وبرنامج الأمم المتحدة الإنمائي، للفترة بين عامي 1967 و1972؛</w:t>
      </w:r>
    </w:p>
    <w:p w:rsidR="00000000" w:rsidRDefault="00567B15">
      <w:pPr>
        <w:spacing w:before="180" w:after="180" w:line="380" w:lineRule="exact"/>
        <w:jc w:val="both"/>
        <w:rPr>
          <w:rFonts w:hint="cs"/>
          <w:rtl/>
        </w:rPr>
      </w:pPr>
      <w:r>
        <w:rPr>
          <w:rFonts w:hint="cs"/>
          <w:rtl/>
        </w:rPr>
        <w:tab/>
        <w:t>(د)</w:t>
      </w:r>
      <w:r>
        <w:rPr>
          <w:rFonts w:hint="cs"/>
          <w:rtl/>
        </w:rPr>
        <w:tab/>
        <w:t>البرنامج الوطني لمحو الأمية للفترة بين عامي1972 و1979(وزارة التعليم، إدارة تعليم الكبار ومحو الأمية)؛</w:t>
      </w:r>
    </w:p>
    <w:p w:rsidR="00000000" w:rsidRDefault="00567B15">
      <w:pPr>
        <w:spacing w:before="180" w:after="180" w:line="380" w:lineRule="exact"/>
        <w:jc w:val="both"/>
        <w:rPr>
          <w:rFonts w:hint="cs"/>
          <w:rtl/>
        </w:rPr>
      </w:pPr>
      <w:r>
        <w:rPr>
          <w:rFonts w:hint="cs"/>
          <w:rtl/>
        </w:rPr>
        <w:tab/>
        <w:t>(ه‍)</w:t>
      </w:r>
      <w:r>
        <w:rPr>
          <w:rFonts w:hint="cs"/>
          <w:rtl/>
        </w:rPr>
        <w:tab/>
        <w:t>البرنامج الوطني لمحو الأمية للفترة بين عامي 1980 و1984 (</w:t>
      </w:r>
      <w:r>
        <w:t>JRA</w:t>
      </w:r>
      <w:r>
        <w:rPr>
          <w:rFonts w:hint="cs"/>
          <w:rtl/>
        </w:rPr>
        <w:t xml:space="preserve"> - وزارة التعليم - المك</w:t>
      </w:r>
      <w:r>
        <w:rPr>
          <w:rFonts w:hint="cs"/>
          <w:rtl/>
        </w:rPr>
        <w:t>تب الوطني لمحو الأمية)؛</w:t>
      </w:r>
    </w:p>
    <w:p w:rsidR="00000000" w:rsidRDefault="00567B15">
      <w:pPr>
        <w:spacing w:before="180" w:after="180" w:line="380" w:lineRule="exact"/>
        <w:jc w:val="both"/>
        <w:rPr>
          <w:rFonts w:hint="cs"/>
          <w:rtl/>
        </w:rPr>
      </w:pPr>
      <w:r>
        <w:rPr>
          <w:rFonts w:hint="cs"/>
          <w:rtl/>
        </w:rPr>
        <w:tab/>
        <w:t>(و)</w:t>
      </w:r>
      <w:r>
        <w:rPr>
          <w:rFonts w:hint="cs"/>
          <w:rtl/>
        </w:rPr>
        <w:tab/>
        <w:t>برنامج التعليم التعويضي للفترة بين عامي 1984 و1988(الإدارة الوطنية للتعليم التعويضي والتعليم خارج المدرسة)؛</w:t>
      </w:r>
    </w:p>
    <w:p w:rsidR="00000000" w:rsidRDefault="00567B15">
      <w:pPr>
        <w:spacing w:before="180" w:after="180" w:line="380" w:lineRule="exact"/>
        <w:jc w:val="both"/>
        <w:rPr>
          <w:rFonts w:hint="cs"/>
          <w:rtl/>
        </w:rPr>
      </w:pPr>
      <w:r>
        <w:rPr>
          <w:rFonts w:hint="cs"/>
          <w:rtl/>
        </w:rPr>
        <w:tab/>
        <w:t>(ز)</w:t>
      </w:r>
      <w:r>
        <w:rPr>
          <w:rFonts w:hint="cs"/>
          <w:rtl/>
        </w:rPr>
        <w:tab/>
        <w:t>الحملة الوطنية لمحو الأمية، ليونيداس بروانيو، 1989؛</w:t>
      </w:r>
    </w:p>
    <w:p w:rsidR="00000000" w:rsidRDefault="00567B15">
      <w:pPr>
        <w:spacing w:before="180" w:after="180" w:line="380" w:lineRule="exact"/>
        <w:jc w:val="both"/>
        <w:rPr>
          <w:rFonts w:hint="cs"/>
          <w:rtl/>
        </w:rPr>
      </w:pPr>
      <w:r>
        <w:rPr>
          <w:rFonts w:hint="cs"/>
          <w:rtl/>
        </w:rPr>
        <w:tab/>
        <w:t>(ح)</w:t>
      </w:r>
      <w:r>
        <w:rPr>
          <w:rFonts w:hint="cs"/>
          <w:rtl/>
        </w:rPr>
        <w:tab/>
        <w:t>البرنامج المكيَّف، "إكوادور تتعلَّم"، 1990؛</w:t>
      </w:r>
    </w:p>
    <w:p w:rsidR="00000000" w:rsidRDefault="00567B15">
      <w:pPr>
        <w:spacing w:before="180" w:after="180" w:line="380" w:lineRule="exact"/>
        <w:jc w:val="both"/>
        <w:rPr>
          <w:rFonts w:hint="cs"/>
          <w:rtl/>
        </w:rPr>
      </w:pPr>
      <w:r>
        <w:rPr>
          <w:rFonts w:hint="cs"/>
          <w:rtl/>
        </w:rPr>
        <w:tab/>
        <w:t>(ط)</w:t>
      </w:r>
      <w:r>
        <w:rPr>
          <w:rFonts w:hint="cs"/>
          <w:rtl/>
        </w:rPr>
        <w:tab/>
        <w:t>"اتجاه ث</w:t>
      </w:r>
      <w:r>
        <w:rPr>
          <w:rFonts w:hint="cs"/>
          <w:rtl/>
        </w:rPr>
        <w:t>قافي جديد"، 1996.</w:t>
      </w:r>
    </w:p>
    <w:p w:rsidR="00000000" w:rsidRDefault="00567B15">
      <w:pPr>
        <w:spacing w:line="380" w:lineRule="exact"/>
        <w:jc w:val="both"/>
        <w:rPr>
          <w:rFonts w:hint="cs"/>
          <w:rtl/>
        </w:rPr>
      </w:pPr>
      <w:r>
        <w:rPr>
          <w:rFonts w:hint="cs"/>
          <w:rtl/>
        </w:rPr>
        <w:t>497-</w:t>
      </w:r>
      <w:r>
        <w:rPr>
          <w:rFonts w:hint="cs"/>
          <w:rtl/>
        </w:rPr>
        <w:tab/>
        <w:t>ولقد تم اعتماد ترتيبات خاصة في كل من هذه البرامج والمشاريع مثلما شارك طلاب المدارس الثانوية مشاركة مباشرة في حملات محو الأمية.</w:t>
      </w:r>
    </w:p>
    <w:p w:rsidR="00000000" w:rsidRDefault="00567B15">
      <w:pPr>
        <w:spacing w:line="380" w:lineRule="exact"/>
        <w:jc w:val="both"/>
        <w:rPr>
          <w:rFonts w:hint="cs"/>
          <w:b/>
          <w:bCs/>
          <w:rtl/>
        </w:rPr>
      </w:pPr>
      <w:r>
        <w:rPr>
          <w:rFonts w:hint="cs"/>
          <w:b/>
          <w:bCs/>
          <w:rtl/>
        </w:rPr>
        <w:t>المشاكل الأساسية</w:t>
      </w:r>
    </w:p>
    <w:p w:rsidR="00000000" w:rsidRDefault="00567B15">
      <w:pPr>
        <w:spacing w:line="380" w:lineRule="exact"/>
        <w:jc w:val="both"/>
        <w:rPr>
          <w:rFonts w:hint="cs"/>
          <w:rtl/>
        </w:rPr>
      </w:pPr>
      <w:r>
        <w:rPr>
          <w:rFonts w:hint="cs"/>
          <w:rtl/>
        </w:rPr>
        <w:t>498-</w:t>
      </w:r>
      <w:r>
        <w:rPr>
          <w:rFonts w:hint="cs"/>
          <w:rtl/>
        </w:rPr>
        <w:tab/>
        <w:t xml:space="preserve">على الرغم من أن الدستور ينص على تكريس ما لا يقل عن 30 في المائة من الميزانية العامة </w:t>
      </w:r>
      <w:r>
        <w:rPr>
          <w:rFonts w:hint="cs"/>
          <w:rtl/>
        </w:rPr>
        <w:t>للدولة لأغراض التعليم، لم يكن تطبيق ذلك ممكناً في الواقع لتأثر التعليم بالمشاكل الاقتصادية الوطنية ولاعتماده على السياسة الحكومية.</w:t>
      </w:r>
    </w:p>
    <w:p w:rsidR="00000000" w:rsidRDefault="00567B15">
      <w:pPr>
        <w:spacing w:line="380" w:lineRule="exact"/>
        <w:jc w:val="both"/>
        <w:rPr>
          <w:rFonts w:hint="cs"/>
          <w:rtl/>
        </w:rPr>
      </w:pPr>
      <w:r>
        <w:rPr>
          <w:rFonts w:hint="cs"/>
          <w:rtl/>
        </w:rPr>
        <w:t>499-</w:t>
      </w:r>
      <w:r>
        <w:rPr>
          <w:rFonts w:hint="cs"/>
          <w:rtl/>
        </w:rPr>
        <w:tab/>
        <w:t>ويوجد عنصر آخر ينبغي أخذه في الاعتبار وهو أن البلد مر في السنوات الأخيرة بأزمة اقتصادية كبيرة وأن الميزانية المرصودة للت</w:t>
      </w:r>
      <w:r>
        <w:rPr>
          <w:rFonts w:hint="cs"/>
          <w:rtl/>
        </w:rPr>
        <w:t>عليم لم تسجِّل زيادة بل وتقلّصت.</w:t>
      </w:r>
    </w:p>
    <w:p w:rsidR="00000000" w:rsidRDefault="00567B15">
      <w:pPr>
        <w:spacing w:line="380" w:lineRule="exact"/>
        <w:jc w:val="both"/>
        <w:rPr>
          <w:rFonts w:hint="cs"/>
          <w:rtl/>
        </w:rPr>
      </w:pPr>
      <w:r>
        <w:rPr>
          <w:rFonts w:hint="cs"/>
          <w:rtl/>
        </w:rPr>
        <w:t>500-</w:t>
      </w:r>
      <w:r>
        <w:rPr>
          <w:rFonts w:hint="cs"/>
          <w:rtl/>
        </w:rPr>
        <w:tab/>
        <w:t>أما وضع قانون التعليم فهو أمر ضروري ويتم الآن صياغته لتناول التغيُّرات الاجتماعية والتحوُّلات التي يمر بها البلد، ولتعزيز اللامركزية الإدارية والمالية، ومشاركة المجتمع، والمساءلة التامة، وتحسين نوعية التعليم.</w:t>
      </w:r>
    </w:p>
    <w:p w:rsidR="00000000" w:rsidRDefault="00567B15">
      <w:pPr>
        <w:spacing w:line="380" w:lineRule="exact"/>
        <w:jc w:val="both"/>
        <w:rPr>
          <w:rFonts w:hint="cs"/>
          <w:rtl/>
        </w:rPr>
      </w:pPr>
      <w:r>
        <w:rPr>
          <w:rFonts w:hint="cs"/>
          <w:i/>
          <w:iCs/>
          <w:rtl/>
        </w:rPr>
        <w:t>مستويات ا</w:t>
      </w:r>
      <w:r>
        <w:rPr>
          <w:rFonts w:hint="cs"/>
          <w:i/>
          <w:iCs/>
          <w:rtl/>
        </w:rPr>
        <w:t>لتعليم، الإحصائيات</w:t>
      </w:r>
    </w:p>
    <w:p w:rsidR="00000000" w:rsidRDefault="00567B15">
      <w:pPr>
        <w:spacing w:line="380" w:lineRule="exact"/>
        <w:jc w:val="both"/>
        <w:rPr>
          <w:rFonts w:hint="cs"/>
          <w:rtl/>
        </w:rPr>
      </w:pPr>
      <w:r>
        <w:rPr>
          <w:rFonts w:hint="cs"/>
          <w:rtl/>
        </w:rPr>
        <w:t>501-</w:t>
      </w:r>
      <w:r>
        <w:rPr>
          <w:rFonts w:hint="cs"/>
          <w:rtl/>
        </w:rPr>
        <w:tab/>
        <w:t>يتألف السكان الأميون من أشخاص لا يلمّون بالقراءة أو بالكتابة.</w:t>
      </w:r>
    </w:p>
    <w:p w:rsidR="00000000" w:rsidRDefault="00567B15">
      <w:pPr>
        <w:spacing w:line="380" w:lineRule="exact"/>
        <w:jc w:val="both"/>
        <w:rPr>
          <w:rFonts w:hint="cs"/>
          <w:rtl/>
        </w:rPr>
      </w:pPr>
      <w:r>
        <w:rPr>
          <w:rFonts w:hint="cs"/>
          <w:rtl/>
        </w:rPr>
        <w:t>502-</w:t>
      </w:r>
      <w:r>
        <w:rPr>
          <w:rFonts w:hint="cs"/>
          <w:rtl/>
        </w:rPr>
        <w:tab/>
        <w:t>وما زالت نسبة الأمية مرتفعة في البلد ولا سيما بين الأشخاص البالغين 15 عاماً من العمر وما فوق، على الرغم من أنه تم في السنوات الأخيرة تنفيذ برامج محو الأمية والقيام ب</w:t>
      </w:r>
      <w:r>
        <w:rPr>
          <w:rFonts w:hint="cs"/>
          <w:rtl/>
        </w:rPr>
        <w:t>حملات تعليمية صممت خصيصاً لأجل البالغين. ولكن سجل مع ذلك، انخفاض مطرد في عدد الأميين في جميع أرجاء البلد خلال الفترة بين عامي 1994 و1998. وكانت معدلات الأمية في عام 1999 أعلى من المتوسط الوطني ولا سيما في المناطق الريفية</w:t>
      </w:r>
      <w:r>
        <w:rPr>
          <w:rFonts w:hint="cs"/>
          <w:vertAlign w:val="superscript"/>
          <w:rtl/>
        </w:rPr>
        <w:t>(69)</w:t>
      </w:r>
      <w:r>
        <w:rPr>
          <w:rFonts w:hint="cs"/>
          <w:rtl/>
        </w:rPr>
        <w:t>.</w:t>
      </w:r>
    </w:p>
    <w:p w:rsidR="00000000" w:rsidRDefault="00567B15">
      <w:pPr>
        <w:spacing w:line="380" w:lineRule="exact"/>
        <w:jc w:val="both"/>
        <w:rPr>
          <w:rFonts w:hint="cs"/>
          <w:rtl/>
        </w:rPr>
      </w:pPr>
      <w:r>
        <w:rPr>
          <w:rFonts w:hint="cs"/>
          <w:rtl/>
        </w:rPr>
        <w:t>503-</w:t>
      </w:r>
      <w:r>
        <w:rPr>
          <w:rFonts w:hint="cs"/>
          <w:rtl/>
        </w:rPr>
        <w:tab/>
        <w:t>ويُذكَر بين الأسباب الرئي</w:t>
      </w:r>
      <w:r>
        <w:rPr>
          <w:rFonts w:hint="cs"/>
          <w:rtl/>
        </w:rPr>
        <w:t>سية المؤدية إلى انتشار الأمية: آثار الأزمة الاقتصادية التي حالت دون التمكُّن من استخدام الموارد الضرورية لتلبية تلك الاحتياجات؛ وكوْن مراكز التعليم موجودة في مناطق نائية؛ والافتقار إلى الهيكل الأساسي التربوي اللازم ولا سيما في المناطق الريفية؛ وانخراط السك</w:t>
      </w:r>
      <w:r>
        <w:rPr>
          <w:rFonts w:hint="cs"/>
          <w:rtl/>
        </w:rPr>
        <w:t>ان في سوق العمالة بصورة متزايدة</w:t>
      </w:r>
      <w:r>
        <w:rPr>
          <w:rFonts w:hint="cs"/>
          <w:vertAlign w:val="superscript"/>
          <w:rtl/>
        </w:rPr>
        <w:t>(70)</w:t>
      </w:r>
      <w:r>
        <w:rPr>
          <w:rFonts w:hint="cs"/>
          <w:rtl/>
        </w:rPr>
        <w:t>.</w:t>
      </w:r>
    </w:p>
    <w:p w:rsidR="00000000" w:rsidRDefault="00567B15">
      <w:pPr>
        <w:spacing w:after="0"/>
        <w:jc w:val="center"/>
        <w:rPr>
          <w:rFonts w:hint="cs"/>
          <w:b/>
          <w:bCs/>
          <w:rtl/>
        </w:rPr>
      </w:pPr>
      <w:r>
        <w:rPr>
          <w:rFonts w:hint="cs"/>
          <w:b/>
          <w:bCs/>
          <w:rtl/>
        </w:rPr>
        <w:t>نسبة الأميين حسب المنطقة والفئة العمرية</w:t>
      </w:r>
    </w:p>
    <w:p w:rsidR="00000000" w:rsidRDefault="00567B15">
      <w:pPr>
        <w:spacing w:before="0"/>
        <w:jc w:val="center"/>
        <w:rPr>
          <w:rFonts w:hint="cs"/>
          <w:b/>
          <w:bCs/>
          <w:rtl/>
        </w:rPr>
      </w:pPr>
      <w:r>
        <w:rPr>
          <w:rFonts w:hint="cs"/>
          <w:b/>
          <w:bCs/>
          <w:rtl/>
        </w:rPr>
        <w:t>على الصعيد الوطني (نسبة مئوية)</w:t>
      </w:r>
    </w:p>
    <w:tbl>
      <w:tblPr>
        <w:bidiVisual/>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4"/>
        <w:gridCol w:w="1440"/>
        <w:gridCol w:w="1440"/>
        <w:gridCol w:w="1620"/>
        <w:gridCol w:w="1247"/>
      </w:tblGrid>
      <w:tr w:rsidR="00567B15" w:rsidTr="00567B15">
        <w:tblPrEx>
          <w:tblCellMar>
            <w:top w:w="0" w:type="dxa"/>
            <w:bottom w:w="0" w:type="dxa"/>
          </w:tblCellMar>
        </w:tblPrEx>
        <w:tc>
          <w:tcPr>
            <w:tcW w:w="3604" w:type="dxa"/>
            <w:tcBorders>
              <w:bottom w:val="single" w:sz="4" w:space="0" w:color="auto"/>
            </w:tcBorders>
          </w:tcPr>
          <w:p w:rsidR="00567B15" w:rsidRDefault="00567B15">
            <w:pPr>
              <w:spacing w:before="0" w:after="0" w:line="360" w:lineRule="exact"/>
              <w:jc w:val="center"/>
              <w:rPr>
                <w:rStyle w:val="FootnoteReference"/>
                <w:rFonts w:hint="cs"/>
                <w:bCs w:val="0"/>
                <w:sz w:val="26"/>
                <w:szCs w:val="26"/>
                <w:vertAlign w:val="baseline"/>
              </w:rPr>
            </w:pPr>
            <w:r>
              <w:rPr>
                <w:rFonts w:hint="cs"/>
                <w:sz w:val="26"/>
                <w:szCs w:val="26"/>
                <w:rtl/>
              </w:rPr>
              <w:t>الفئة العمرية</w:t>
            </w:r>
          </w:p>
        </w:tc>
        <w:tc>
          <w:tcPr>
            <w:tcW w:w="1440" w:type="dxa"/>
            <w:tcBorders>
              <w:bottom w:val="single" w:sz="4" w:space="0" w:color="auto"/>
            </w:tcBorders>
          </w:tcPr>
          <w:p w:rsidR="00567B15" w:rsidRDefault="00567B15">
            <w:pPr>
              <w:spacing w:before="0" w:after="0" w:line="360" w:lineRule="exact"/>
              <w:jc w:val="center"/>
              <w:rPr>
                <w:rStyle w:val="FootnoteReference"/>
                <w:rFonts w:hint="cs"/>
                <w:bCs w:val="0"/>
                <w:sz w:val="26"/>
                <w:szCs w:val="26"/>
                <w:vertAlign w:val="baseline"/>
              </w:rPr>
            </w:pPr>
            <w:r>
              <w:rPr>
                <w:rFonts w:hint="cs"/>
                <w:sz w:val="26"/>
                <w:szCs w:val="26"/>
                <w:rtl/>
              </w:rPr>
              <w:t>1994</w:t>
            </w:r>
          </w:p>
        </w:tc>
        <w:tc>
          <w:tcPr>
            <w:tcW w:w="1440" w:type="dxa"/>
            <w:tcBorders>
              <w:bottom w:val="single" w:sz="4" w:space="0" w:color="auto"/>
            </w:tcBorders>
          </w:tcPr>
          <w:p w:rsidR="00567B15" w:rsidRDefault="00567B15">
            <w:pPr>
              <w:spacing w:before="0" w:after="0" w:line="360" w:lineRule="exact"/>
              <w:jc w:val="center"/>
              <w:rPr>
                <w:rStyle w:val="FootnoteReference"/>
                <w:rFonts w:hint="cs"/>
                <w:bCs w:val="0"/>
                <w:sz w:val="26"/>
                <w:szCs w:val="26"/>
                <w:vertAlign w:val="baseline"/>
              </w:rPr>
            </w:pPr>
            <w:r>
              <w:rPr>
                <w:rFonts w:hint="cs"/>
                <w:sz w:val="26"/>
                <w:szCs w:val="26"/>
                <w:rtl/>
              </w:rPr>
              <w:t>1995</w:t>
            </w:r>
          </w:p>
        </w:tc>
        <w:tc>
          <w:tcPr>
            <w:tcW w:w="1620" w:type="dxa"/>
            <w:tcBorders>
              <w:bottom w:val="single" w:sz="4" w:space="0" w:color="auto"/>
            </w:tcBorders>
          </w:tcPr>
          <w:p w:rsidR="00567B15" w:rsidRDefault="00567B15">
            <w:pPr>
              <w:spacing w:before="0" w:after="0" w:line="360" w:lineRule="exact"/>
              <w:jc w:val="center"/>
              <w:rPr>
                <w:rStyle w:val="FootnoteReference"/>
                <w:rFonts w:hint="cs"/>
                <w:bCs w:val="0"/>
                <w:sz w:val="26"/>
                <w:szCs w:val="26"/>
                <w:vertAlign w:val="baseline"/>
              </w:rPr>
            </w:pPr>
            <w:r>
              <w:rPr>
                <w:rFonts w:hint="cs"/>
                <w:sz w:val="26"/>
                <w:szCs w:val="26"/>
                <w:rtl/>
              </w:rPr>
              <w:t>1998</w:t>
            </w:r>
          </w:p>
        </w:tc>
        <w:tc>
          <w:tcPr>
            <w:tcW w:w="1247" w:type="dxa"/>
            <w:tcBorders>
              <w:bottom w:val="single" w:sz="4" w:space="0" w:color="auto"/>
            </w:tcBorders>
          </w:tcPr>
          <w:p w:rsidR="00567B15" w:rsidRDefault="00567B15">
            <w:pPr>
              <w:spacing w:before="0" w:after="0" w:line="360" w:lineRule="exact"/>
              <w:jc w:val="center"/>
              <w:rPr>
                <w:rStyle w:val="FootnoteReference"/>
                <w:rFonts w:hint="cs"/>
                <w:bCs w:val="0"/>
                <w:sz w:val="26"/>
                <w:szCs w:val="26"/>
                <w:vertAlign w:val="baseline"/>
              </w:rPr>
            </w:pPr>
            <w:r>
              <w:rPr>
                <w:rFonts w:hint="cs"/>
                <w:sz w:val="26"/>
                <w:szCs w:val="26"/>
                <w:rtl/>
              </w:rPr>
              <w:t>1999</w:t>
            </w:r>
          </w:p>
        </w:tc>
      </w:tr>
      <w:tr w:rsidR="00567B15" w:rsidTr="00567B15">
        <w:tblPrEx>
          <w:tblCellMar>
            <w:top w:w="0" w:type="dxa"/>
            <w:bottom w:w="0" w:type="dxa"/>
          </w:tblCellMar>
        </w:tblPrEx>
        <w:tc>
          <w:tcPr>
            <w:tcW w:w="3604" w:type="dxa"/>
            <w:tcBorders>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على الصعيد الوطني</w:t>
            </w:r>
          </w:p>
        </w:tc>
        <w:tc>
          <w:tcPr>
            <w:tcW w:w="1440" w:type="dxa"/>
            <w:tcBorders>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p>
        </w:tc>
        <w:tc>
          <w:tcPr>
            <w:tcW w:w="1440" w:type="dxa"/>
            <w:tcBorders>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p>
        </w:tc>
        <w:tc>
          <w:tcPr>
            <w:tcW w:w="1620" w:type="dxa"/>
            <w:tcBorders>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p>
        </w:tc>
        <w:tc>
          <w:tcPr>
            <w:tcW w:w="1247" w:type="dxa"/>
            <w:tcBorders>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c>
          <w:tcPr>
            <w:tcW w:w="3604" w:type="dxa"/>
            <w:tcBorders>
              <w:top w:val="nil"/>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ab/>
              <w:t>10 سنوات وما فوق</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9.9</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9.5</w:t>
            </w:r>
          </w:p>
        </w:tc>
        <w:tc>
          <w:tcPr>
            <w:tcW w:w="1620" w:type="dxa"/>
            <w:tcBorders>
              <w:top w:val="nil"/>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r>
              <w:rPr>
                <w:rFonts w:hint="cs"/>
                <w:sz w:val="26"/>
                <w:szCs w:val="26"/>
                <w:rtl/>
              </w:rPr>
              <w:t>9.9</w:t>
            </w:r>
          </w:p>
        </w:tc>
        <w:tc>
          <w:tcPr>
            <w:tcW w:w="1247" w:type="dxa"/>
            <w:tcBorders>
              <w:top w:val="nil"/>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r>
              <w:rPr>
                <w:rFonts w:hint="cs"/>
                <w:sz w:val="26"/>
                <w:szCs w:val="26"/>
                <w:rtl/>
              </w:rPr>
              <w:t>9.9</w:t>
            </w:r>
          </w:p>
        </w:tc>
      </w:tr>
      <w:tr w:rsidR="00567B15" w:rsidTr="00567B15">
        <w:tblPrEx>
          <w:tblCellMar>
            <w:top w:w="0" w:type="dxa"/>
            <w:bottom w:w="0" w:type="dxa"/>
          </w:tblCellMar>
        </w:tblPrEx>
        <w:tc>
          <w:tcPr>
            <w:tcW w:w="3604" w:type="dxa"/>
            <w:tcBorders>
              <w:top w:val="nil"/>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ab/>
              <w:t>15 سنة وما فوق</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11.2</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10.5</w:t>
            </w:r>
          </w:p>
        </w:tc>
        <w:tc>
          <w:tcPr>
            <w:tcW w:w="1620" w:type="dxa"/>
            <w:tcBorders>
              <w:top w:val="nil"/>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r>
              <w:rPr>
                <w:rFonts w:hint="cs"/>
                <w:sz w:val="26"/>
                <w:szCs w:val="26"/>
                <w:rtl/>
              </w:rPr>
              <w:t>10.2</w:t>
            </w:r>
          </w:p>
        </w:tc>
        <w:tc>
          <w:tcPr>
            <w:tcW w:w="1247" w:type="dxa"/>
            <w:tcBorders>
              <w:top w:val="nil"/>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r>
              <w:rPr>
                <w:rFonts w:hint="cs"/>
                <w:sz w:val="26"/>
                <w:szCs w:val="26"/>
                <w:rtl/>
              </w:rPr>
              <w:t>11.0</w:t>
            </w:r>
          </w:p>
        </w:tc>
      </w:tr>
      <w:tr w:rsidR="00567B15" w:rsidTr="00567B15">
        <w:tblPrEx>
          <w:tblCellMar>
            <w:top w:w="0" w:type="dxa"/>
            <w:bottom w:w="0" w:type="dxa"/>
          </w:tblCellMar>
        </w:tblPrEx>
        <w:tc>
          <w:tcPr>
            <w:tcW w:w="3604" w:type="dxa"/>
            <w:tcBorders>
              <w:top w:val="nil"/>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على الصعيد الحضري</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p>
        </w:tc>
        <w:tc>
          <w:tcPr>
            <w:tcW w:w="1620" w:type="dxa"/>
            <w:tcBorders>
              <w:top w:val="nil"/>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p>
        </w:tc>
        <w:tc>
          <w:tcPr>
            <w:tcW w:w="1247" w:type="dxa"/>
            <w:tcBorders>
              <w:top w:val="nil"/>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c>
          <w:tcPr>
            <w:tcW w:w="3604" w:type="dxa"/>
            <w:tcBorders>
              <w:top w:val="nil"/>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ab/>
              <w:t>10 سنوات وما فوق</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4.9</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5.4</w:t>
            </w:r>
          </w:p>
        </w:tc>
        <w:tc>
          <w:tcPr>
            <w:tcW w:w="1620" w:type="dxa"/>
            <w:tcBorders>
              <w:top w:val="nil"/>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r>
              <w:rPr>
                <w:rFonts w:hint="cs"/>
                <w:sz w:val="26"/>
                <w:szCs w:val="26"/>
                <w:rtl/>
              </w:rPr>
              <w:t>4.6</w:t>
            </w:r>
          </w:p>
        </w:tc>
        <w:tc>
          <w:tcPr>
            <w:tcW w:w="1247" w:type="dxa"/>
            <w:tcBorders>
              <w:top w:val="nil"/>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r>
              <w:rPr>
                <w:rFonts w:hint="cs"/>
                <w:sz w:val="26"/>
                <w:szCs w:val="26"/>
                <w:rtl/>
              </w:rPr>
              <w:t>5.3</w:t>
            </w:r>
          </w:p>
        </w:tc>
      </w:tr>
      <w:tr w:rsidR="00567B15" w:rsidTr="00567B15">
        <w:tblPrEx>
          <w:tblCellMar>
            <w:top w:w="0" w:type="dxa"/>
            <w:bottom w:w="0" w:type="dxa"/>
          </w:tblCellMar>
        </w:tblPrEx>
        <w:tc>
          <w:tcPr>
            <w:tcW w:w="3604" w:type="dxa"/>
            <w:tcBorders>
              <w:top w:val="nil"/>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ab/>
              <w:t>15 سنة وما فوق</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5.4</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6.0</w:t>
            </w:r>
          </w:p>
        </w:tc>
        <w:tc>
          <w:tcPr>
            <w:tcW w:w="1620" w:type="dxa"/>
            <w:tcBorders>
              <w:top w:val="nil"/>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r>
              <w:rPr>
                <w:rFonts w:hint="cs"/>
                <w:sz w:val="26"/>
                <w:szCs w:val="26"/>
                <w:rtl/>
              </w:rPr>
              <w:t>5.0</w:t>
            </w:r>
          </w:p>
        </w:tc>
        <w:tc>
          <w:tcPr>
            <w:tcW w:w="1247" w:type="dxa"/>
            <w:tcBorders>
              <w:top w:val="nil"/>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r>
              <w:rPr>
                <w:rFonts w:hint="cs"/>
                <w:sz w:val="26"/>
                <w:szCs w:val="26"/>
                <w:rtl/>
              </w:rPr>
              <w:t>5.7</w:t>
            </w:r>
          </w:p>
        </w:tc>
      </w:tr>
      <w:tr w:rsidR="00567B15" w:rsidTr="00567B15">
        <w:tblPrEx>
          <w:tblCellMar>
            <w:top w:w="0" w:type="dxa"/>
            <w:bottom w:w="0" w:type="dxa"/>
          </w:tblCellMar>
        </w:tblPrEx>
        <w:tc>
          <w:tcPr>
            <w:tcW w:w="3604" w:type="dxa"/>
            <w:tcBorders>
              <w:top w:val="nil"/>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على الصعيد الريفي</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p>
        </w:tc>
        <w:tc>
          <w:tcPr>
            <w:tcW w:w="1620" w:type="dxa"/>
            <w:tcBorders>
              <w:top w:val="nil"/>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p>
        </w:tc>
        <w:tc>
          <w:tcPr>
            <w:tcW w:w="1247" w:type="dxa"/>
            <w:tcBorders>
              <w:top w:val="nil"/>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c>
          <w:tcPr>
            <w:tcW w:w="3604" w:type="dxa"/>
            <w:tcBorders>
              <w:top w:val="nil"/>
              <w:bottom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ab/>
              <w:t>10 سنوات وما فوق</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16.8</w:t>
            </w:r>
          </w:p>
        </w:tc>
        <w:tc>
          <w:tcPr>
            <w:tcW w:w="1440" w:type="dxa"/>
            <w:tcBorders>
              <w:top w:val="nil"/>
              <w:bottom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15.9</w:t>
            </w:r>
          </w:p>
        </w:tc>
        <w:tc>
          <w:tcPr>
            <w:tcW w:w="1620" w:type="dxa"/>
            <w:tcBorders>
              <w:top w:val="nil"/>
              <w:bottom w:val="nil"/>
            </w:tcBorders>
          </w:tcPr>
          <w:p w:rsidR="00567B15" w:rsidRDefault="00567B15">
            <w:pPr>
              <w:spacing w:before="0" w:after="0" w:line="360" w:lineRule="exact"/>
              <w:ind w:firstLine="432"/>
              <w:jc w:val="both"/>
              <w:rPr>
                <w:rStyle w:val="FootnoteReference"/>
                <w:rFonts w:hint="cs"/>
                <w:bCs w:val="0"/>
                <w:sz w:val="26"/>
                <w:szCs w:val="26"/>
                <w:vertAlign w:val="baseline"/>
              </w:rPr>
            </w:pPr>
            <w:r>
              <w:rPr>
                <w:rFonts w:hint="cs"/>
                <w:sz w:val="26"/>
                <w:szCs w:val="26"/>
                <w:rtl/>
              </w:rPr>
              <w:t>15.5</w:t>
            </w:r>
          </w:p>
        </w:tc>
        <w:tc>
          <w:tcPr>
            <w:tcW w:w="1247" w:type="dxa"/>
            <w:tcBorders>
              <w:top w:val="nil"/>
              <w:bottom w:val="nil"/>
            </w:tcBorders>
          </w:tcPr>
          <w:p w:rsidR="00567B15" w:rsidRDefault="00567B15">
            <w:pPr>
              <w:spacing w:before="0" w:after="0" w:line="360" w:lineRule="exact"/>
              <w:ind w:firstLine="252"/>
              <w:jc w:val="both"/>
              <w:rPr>
                <w:rStyle w:val="FootnoteReference"/>
                <w:rFonts w:hint="cs"/>
                <w:bCs w:val="0"/>
                <w:sz w:val="26"/>
                <w:szCs w:val="26"/>
                <w:vertAlign w:val="baseline"/>
              </w:rPr>
            </w:pPr>
            <w:r>
              <w:rPr>
                <w:rFonts w:hint="cs"/>
                <w:sz w:val="26"/>
                <w:szCs w:val="26"/>
                <w:rtl/>
              </w:rPr>
              <w:t>16.8</w:t>
            </w:r>
          </w:p>
        </w:tc>
      </w:tr>
      <w:tr w:rsidR="00567B15" w:rsidTr="00567B15">
        <w:tblPrEx>
          <w:tblCellMar>
            <w:top w:w="0" w:type="dxa"/>
            <w:bottom w:w="0" w:type="dxa"/>
          </w:tblCellMar>
        </w:tblPrEx>
        <w:tc>
          <w:tcPr>
            <w:tcW w:w="3604" w:type="dxa"/>
            <w:tcBorders>
              <w:top w:val="nil"/>
            </w:tcBorders>
          </w:tcPr>
          <w:p w:rsidR="00567B15" w:rsidRDefault="00567B15">
            <w:pPr>
              <w:spacing w:before="0" w:after="0" w:line="360" w:lineRule="exact"/>
              <w:jc w:val="both"/>
              <w:rPr>
                <w:rStyle w:val="FootnoteReference"/>
                <w:rFonts w:hint="cs"/>
                <w:bCs w:val="0"/>
                <w:sz w:val="26"/>
                <w:szCs w:val="26"/>
                <w:vertAlign w:val="baseline"/>
              </w:rPr>
            </w:pPr>
            <w:r>
              <w:rPr>
                <w:rFonts w:hint="cs"/>
                <w:sz w:val="26"/>
                <w:szCs w:val="26"/>
                <w:rtl/>
              </w:rPr>
              <w:tab/>
              <w:t>15 سنة وما فوق</w:t>
            </w:r>
          </w:p>
        </w:tc>
        <w:tc>
          <w:tcPr>
            <w:tcW w:w="1440" w:type="dxa"/>
            <w:tcBorders>
              <w:top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19.3</w:t>
            </w:r>
          </w:p>
        </w:tc>
        <w:tc>
          <w:tcPr>
            <w:tcW w:w="1440" w:type="dxa"/>
            <w:tcBorders>
              <w:top w:val="nil"/>
            </w:tcBorders>
          </w:tcPr>
          <w:p w:rsidR="00567B15" w:rsidRDefault="00567B15">
            <w:pPr>
              <w:spacing w:before="0" w:after="0" w:line="360" w:lineRule="exact"/>
              <w:ind w:firstLine="404"/>
              <w:jc w:val="both"/>
              <w:rPr>
                <w:rStyle w:val="FootnoteReference"/>
                <w:rFonts w:hint="cs"/>
                <w:bCs w:val="0"/>
                <w:sz w:val="26"/>
                <w:szCs w:val="26"/>
                <w:vertAlign w:val="baseline"/>
              </w:rPr>
            </w:pPr>
            <w:r>
              <w:rPr>
                <w:rFonts w:hint="cs"/>
                <w:sz w:val="26"/>
                <w:szCs w:val="26"/>
                <w:rtl/>
              </w:rPr>
              <w:t>17.9</w:t>
            </w:r>
          </w:p>
        </w:tc>
        <w:tc>
          <w:tcPr>
            <w:tcW w:w="1620" w:type="dxa"/>
            <w:tcBorders>
              <w:top w:val="nil"/>
            </w:tcBorders>
          </w:tcPr>
          <w:p w:rsidR="00567B15" w:rsidRDefault="00567B15">
            <w:pPr>
              <w:spacing w:before="0" w:after="0" w:line="360" w:lineRule="exact"/>
              <w:ind w:firstLine="432"/>
              <w:jc w:val="both"/>
              <w:rPr>
                <w:rStyle w:val="FootnoteReference"/>
                <w:rFonts w:hint="cs"/>
                <w:bCs w:val="0"/>
                <w:sz w:val="26"/>
                <w:szCs w:val="26"/>
                <w:vertAlign w:val="baseline"/>
              </w:rPr>
            </w:pPr>
            <w:r>
              <w:rPr>
                <w:rFonts w:hint="cs"/>
                <w:sz w:val="26"/>
                <w:szCs w:val="26"/>
                <w:rtl/>
              </w:rPr>
              <w:t>17.9</w:t>
            </w:r>
          </w:p>
        </w:tc>
        <w:tc>
          <w:tcPr>
            <w:tcW w:w="1247" w:type="dxa"/>
            <w:tcBorders>
              <w:top w:val="nil"/>
            </w:tcBorders>
          </w:tcPr>
          <w:p w:rsidR="00567B15" w:rsidRDefault="00567B15">
            <w:pPr>
              <w:spacing w:before="0" w:after="0" w:line="360" w:lineRule="exact"/>
              <w:ind w:firstLine="252"/>
              <w:jc w:val="both"/>
              <w:rPr>
                <w:rStyle w:val="FootnoteReference"/>
                <w:rFonts w:hint="cs"/>
                <w:bCs w:val="0"/>
                <w:sz w:val="26"/>
                <w:szCs w:val="26"/>
                <w:vertAlign w:val="baseline"/>
              </w:rPr>
            </w:pPr>
            <w:r>
              <w:rPr>
                <w:rFonts w:hint="cs"/>
                <w:sz w:val="26"/>
                <w:szCs w:val="26"/>
                <w:rtl/>
              </w:rPr>
              <w:t>19.2</w:t>
            </w:r>
          </w:p>
        </w:tc>
      </w:tr>
    </w:tbl>
    <w:p w:rsidR="00000000" w:rsidRDefault="00567B15">
      <w:pPr>
        <w:jc w:val="both"/>
        <w:rPr>
          <w:rFonts w:hint="cs"/>
          <w:spacing w:val="0"/>
          <w:rtl/>
        </w:rPr>
      </w:pPr>
      <w:r>
        <w:rPr>
          <w:rFonts w:hint="cs"/>
          <w:spacing w:val="0"/>
          <w:rtl/>
        </w:rPr>
        <w:tab/>
      </w:r>
      <w:r>
        <w:rPr>
          <w:rFonts w:hint="cs"/>
          <w:spacing w:val="0"/>
          <w:u w:val="single"/>
          <w:rtl/>
        </w:rPr>
        <w:t>المصدر</w:t>
      </w:r>
      <w:r>
        <w:rPr>
          <w:rFonts w:hint="cs"/>
          <w:spacing w:val="0"/>
          <w:rtl/>
        </w:rPr>
        <w:t>: المعهد الوطني للإحصاءات وتعداد السكان، دراسة استقصائية لمستويات المعيشة، 19</w:t>
      </w:r>
      <w:r>
        <w:rPr>
          <w:rFonts w:hint="cs"/>
          <w:spacing w:val="0"/>
          <w:rtl/>
        </w:rPr>
        <w:t>94-1999.</w:t>
      </w:r>
    </w:p>
    <w:p w:rsidR="00000000" w:rsidRDefault="00567B15">
      <w:pPr>
        <w:spacing w:before="0" w:after="0"/>
        <w:jc w:val="center"/>
        <w:rPr>
          <w:rFonts w:hint="cs"/>
          <w:b/>
          <w:bCs/>
          <w:rtl/>
        </w:rPr>
      </w:pPr>
      <w:r>
        <w:rPr>
          <w:rFonts w:hint="cs"/>
          <w:b/>
          <w:bCs/>
          <w:rtl/>
        </w:rPr>
        <w:t>القيد في مؤسسات التعليم النظامي في مراحل التعليم الثلاث</w:t>
      </w:r>
    </w:p>
    <w:p w:rsidR="00000000" w:rsidRDefault="00567B15">
      <w:pPr>
        <w:spacing w:before="0"/>
        <w:jc w:val="center"/>
        <w:rPr>
          <w:rFonts w:hint="cs"/>
          <w:b/>
          <w:bCs/>
          <w:rtl/>
        </w:rPr>
      </w:pPr>
      <w:r>
        <w:rPr>
          <w:rFonts w:hint="cs"/>
          <w:b/>
          <w:bCs/>
          <w:rtl/>
        </w:rPr>
        <w:t>حسب المنطقة والسنة الدراسية والجنس</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4"/>
        <w:gridCol w:w="662"/>
        <w:gridCol w:w="870"/>
        <w:gridCol w:w="870"/>
        <w:gridCol w:w="870"/>
        <w:gridCol w:w="870"/>
        <w:gridCol w:w="870"/>
        <w:gridCol w:w="870"/>
        <w:gridCol w:w="870"/>
        <w:gridCol w:w="870"/>
        <w:gridCol w:w="791"/>
      </w:tblGrid>
      <w:tr w:rsidR="00567B15" w:rsidTr="00567B15">
        <w:tblPrEx>
          <w:tblCellMar>
            <w:top w:w="0" w:type="dxa"/>
            <w:bottom w:w="0" w:type="dxa"/>
          </w:tblCellMar>
        </w:tblPrEx>
        <w:trPr>
          <w:cantSplit/>
          <w:tblHeader/>
        </w:trPr>
        <w:tc>
          <w:tcPr>
            <w:tcW w:w="994" w:type="dxa"/>
            <w:vMerge w:val="restart"/>
            <w:vAlign w:val="center"/>
          </w:tcPr>
          <w:p w:rsidR="00567B15" w:rsidRDefault="00567B15">
            <w:pPr>
              <w:spacing w:before="0" w:after="0"/>
              <w:jc w:val="center"/>
              <w:rPr>
                <w:rFonts w:hint="cs"/>
                <w:sz w:val="18"/>
                <w:szCs w:val="18"/>
              </w:rPr>
            </w:pPr>
            <w:r>
              <w:rPr>
                <w:rFonts w:hint="cs"/>
                <w:sz w:val="18"/>
                <w:szCs w:val="18"/>
                <w:rtl/>
              </w:rPr>
              <w:t>السنة</w:t>
            </w:r>
            <w:r>
              <w:rPr>
                <w:sz w:val="18"/>
                <w:szCs w:val="18"/>
                <w:rtl/>
              </w:rPr>
              <w:br/>
            </w:r>
            <w:r>
              <w:rPr>
                <w:rFonts w:hint="cs"/>
                <w:sz w:val="18"/>
                <w:szCs w:val="18"/>
                <w:rtl/>
              </w:rPr>
              <w:t>الدراسية</w:t>
            </w:r>
          </w:p>
        </w:tc>
        <w:tc>
          <w:tcPr>
            <w:tcW w:w="662" w:type="dxa"/>
            <w:vMerge w:val="restart"/>
            <w:vAlign w:val="center"/>
          </w:tcPr>
          <w:p w:rsidR="00567B15" w:rsidRDefault="00567B15">
            <w:pPr>
              <w:spacing w:before="0" w:after="0"/>
              <w:jc w:val="center"/>
              <w:rPr>
                <w:rFonts w:hint="cs"/>
                <w:sz w:val="18"/>
                <w:szCs w:val="18"/>
              </w:rPr>
            </w:pPr>
            <w:r>
              <w:rPr>
                <w:rFonts w:hint="cs"/>
                <w:sz w:val="18"/>
                <w:szCs w:val="18"/>
                <w:rtl/>
              </w:rPr>
              <w:t>الجنس</w:t>
            </w:r>
          </w:p>
        </w:tc>
        <w:tc>
          <w:tcPr>
            <w:tcW w:w="2610" w:type="dxa"/>
            <w:gridSpan w:val="3"/>
          </w:tcPr>
          <w:p w:rsidR="00567B15" w:rsidRDefault="00567B15">
            <w:pPr>
              <w:spacing w:before="0" w:after="0"/>
              <w:jc w:val="center"/>
              <w:rPr>
                <w:rFonts w:hint="cs"/>
                <w:sz w:val="18"/>
                <w:szCs w:val="18"/>
              </w:rPr>
            </w:pPr>
            <w:r>
              <w:rPr>
                <w:rFonts w:hint="cs"/>
                <w:sz w:val="18"/>
                <w:szCs w:val="18"/>
                <w:rtl/>
              </w:rPr>
              <w:t>مرحلة ما قبل التعليم الابتدائي</w:t>
            </w:r>
          </w:p>
        </w:tc>
        <w:tc>
          <w:tcPr>
            <w:tcW w:w="2610" w:type="dxa"/>
            <w:gridSpan w:val="3"/>
          </w:tcPr>
          <w:p w:rsidR="00567B15" w:rsidRDefault="00567B15">
            <w:pPr>
              <w:spacing w:before="0" w:after="0"/>
              <w:jc w:val="center"/>
              <w:rPr>
                <w:rFonts w:hint="cs"/>
                <w:sz w:val="18"/>
                <w:szCs w:val="18"/>
              </w:rPr>
            </w:pPr>
            <w:r>
              <w:rPr>
                <w:rFonts w:hint="cs"/>
                <w:sz w:val="18"/>
                <w:szCs w:val="18"/>
                <w:rtl/>
              </w:rPr>
              <w:t>المرحلة الابتدائية</w:t>
            </w:r>
          </w:p>
        </w:tc>
        <w:tc>
          <w:tcPr>
            <w:tcW w:w="2531" w:type="dxa"/>
            <w:gridSpan w:val="3"/>
          </w:tcPr>
          <w:p w:rsidR="00567B15" w:rsidRDefault="00567B15">
            <w:pPr>
              <w:spacing w:before="0" w:after="0"/>
              <w:jc w:val="center"/>
              <w:rPr>
                <w:rFonts w:hint="cs"/>
                <w:sz w:val="18"/>
                <w:szCs w:val="18"/>
              </w:rPr>
            </w:pPr>
            <w:r>
              <w:rPr>
                <w:rFonts w:hint="cs"/>
                <w:sz w:val="18"/>
                <w:szCs w:val="18"/>
                <w:rtl/>
              </w:rPr>
              <w:t>دورة التعليم الأساسي</w:t>
            </w:r>
          </w:p>
        </w:tc>
      </w:tr>
      <w:tr w:rsidR="00567B15" w:rsidTr="00567B15">
        <w:tblPrEx>
          <w:tblCellMar>
            <w:top w:w="0" w:type="dxa"/>
            <w:bottom w:w="0" w:type="dxa"/>
          </w:tblCellMar>
        </w:tblPrEx>
        <w:trPr>
          <w:cantSplit/>
          <w:tblHeader/>
        </w:trPr>
        <w:tc>
          <w:tcPr>
            <w:tcW w:w="994" w:type="dxa"/>
            <w:vMerge/>
            <w:tcBorders>
              <w:bottom w:val="single" w:sz="4" w:space="0" w:color="auto"/>
            </w:tcBorders>
          </w:tcPr>
          <w:p w:rsidR="00567B15" w:rsidRDefault="00567B15">
            <w:pPr>
              <w:spacing w:before="0" w:after="0"/>
              <w:jc w:val="center"/>
              <w:rPr>
                <w:rFonts w:hint="cs"/>
                <w:sz w:val="18"/>
                <w:szCs w:val="18"/>
              </w:rPr>
            </w:pPr>
          </w:p>
        </w:tc>
        <w:tc>
          <w:tcPr>
            <w:tcW w:w="662" w:type="dxa"/>
            <w:vMerge/>
            <w:tcBorders>
              <w:bottom w:val="single" w:sz="4" w:space="0" w:color="auto"/>
            </w:tcBorders>
          </w:tcPr>
          <w:p w:rsidR="00567B15" w:rsidRDefault="00567B15">
            <w:pPr>
              <w:spacing w:before="0" w:after="0"/>
              <w:jc w:val="both"/>
              <w:rPr>
                <w:rFonts w:hint="cs"/>
                <w:sz w:val="18"/>
                <w:szCs w:val="18"/>
              </w:rPr>
            </w:pP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الحضر</w:t>
            </w: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الريف</w:t>
            </w: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المجموع</w:t>
            </w: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الحضر</w:t>
            </w: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الريف</w:t>
            </w: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المجموع</w:t>
            </w: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الحضر</w:t>
            </w:r>
          </w:p>
        </w:tc>
        <w:tc>
          <w:tcPr>
            <w:tcW w:w="870"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الريف</w:t>
            </w:r>
          </w:p>
        </w:tc>
        <w:tc>
          <w:tcPr>
            <w:tcW w:w="791" w:type="dxa"/>
            <w:tcBorders>
              <w:bottom w:val="single" w:sz="4" w:space="0" w:color="auto"/>
            </w:tcBorders>
          </w:tcPr>
          <w:p w:rsidR="00567B15" w:rsidRDefault="00567B15">
            <w:pPr>
              <w:spacing w:before="0" w:after="0"/>
              <w:jc w:val="center"/>
              <w:rPr>
                <w:rFonts w:hint="cs"/>
                <w:sz w:val="18"/>
                <w:szCs w:val="18"/>
              </w:rPr>
            </w:pPr>
            <w:r>
              <w:rPr>
                <w:rFonts w:hint="cs"/>
                <w:sz w:val="18"/>
                <w:szCs w:val="18"/>
                <w:rtl/>
              </w:rPr>
              <w:t>المجموع</w:t>
            </w:r>
          </w:p>
        </w:tc>
      </w:tr>
      <w:tr w:rsidR="00567B15" w:rsidTr="00567B15">
        <w:tblPrEx>
          <w:tblCellMar>
            <w:top w:w="0" w:type="dxa"/>
            <w:bottom w:w="0" w:type="dxa"/>
          </w:tblCellMar>
        </w:tblPrEx>
        <w:tc>
          <w:tcPr>
            <w:tcW w:w="994" w:type="dxa"/>
            <w:tcBorders>
              <w:bottom w:val="nil"/>
            </w:tcBorders>
          </w:tcPr>
          <w:p w:rsidR="00567B15" w:rsidRDefault="00567B15">
            <w:pPr>
              <w:spacing w:before="0" w:after="0"/>
              <w:jc w:val="center"/>
              <w:rPr>
                <w:rFonts w:hint="cs"/>
                <w:sz w:val="16"/>
                <w:szCs w:val="16"/>
              </w:rPr>
            </w:pPr>
            <w:r>
              <w:rPr>
                <w:rFonts w:hint="cs"/>
                <w:sz w:val="16"/>
                <w:szCs w:val="16"/>
                <w:rtl/>
              </w:rPr>
              <w:t>1993-1994</w:t>
            </w:r>
          </w:p>
        </w:tc>
        <w:tc>
          <w:tcPr>
            <w:tcW w:w="662" w:type="dxa"/>
            <w:tcBorders>
              <w:bottom w:val="nil"/>
            </w:tcBorders>
          </w:tcPr>
          <w:p w:rsidR="00567B15" w:rsidRDefault="00567B15">
            <w:pPr>
              <w:spacing w:before="0" w:after="0"/>
              <w:jc w:val="both"/>
              <w:rPr>
                <w:rFonts w:hint="cs"/>
                <w:sz w:val="16"/>
                <w:szCs w:val="16"/>
              </w:rPr>
            </w:pPr>
            <w:r>
              <w:rPr>
                <w:rFonts w:hint="cs"/>
                <w:sz w:val="16"/>
                <w:szCs w:val="16"/>
                <w:rtl/>
              </w:rPr>
              <w:t>ذكور</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854 50</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222 11</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076 62</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901 502</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981 389</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882 892</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190 187</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075 36</w:t>
            </w:r>
          </w:p>
        </w:tc>
        <w:tc>
          <w:tcPr>
            <w:tcW w:w="791" w:type="dxa"/>
            <w:tcBorders>
              <w:bottom w:val="nil"/>
            </w:tcBorders>
          </w:tcPr>
          <w:p w:rsidR="00567B15" w:rsidRDefault="00567B15">
            <w:pPr>
              <w:spacing w:before="0" w:after="0"/>
              <w:jc w:val="both"/>
              <w:rPr>
                <w:rFonts w:hint="cs"/>
                <w:sz w:val="16"/>
                <w:szCs w:val="16"/>
              </w:rPr>
            </w:pPr>
            <w:r>
              <w:rPr>
                <w:rFonts w:hint="cs"/>
                <w:sz w:val="16"/>
                <w:szCs w:val="16"/>
                <w:rtl/>
              </w:rPr>
              <w:t>265 223</w:t>
            </w:r>
          </w:p>
        </w:tc>
      </w:tr>
      <w:tr w:rsidR="00567B15" w:rsidTr="00567B15">
        <w:tblPrEx>
          <w:tblCellMar>
            <w:top w:w="0" w:type="dxa"/>
            <w:bottom w:w="0" w:type="dxa"/>
          </w:tblCellMar>
        </w:tblPrEx>
        <w:tc>
          <w:tcPr>
            <w:tcW w:w="994" w:type="dxa"/>
            <w:tcBorders>
              <w:top w:val="nil"/>
              <w:bottom w:val="nil"/>
            </w:tcBorders>
          </w:tcPr>
          <w:p w:rsidR="00567B15" w:rsidRDefault="00567B15">
            <w:pPr>
              <w:spacing w:before="0" w:after="0"/>
              <w:jc w:val="center"/>
              <w:rPr>
                <w:rFonts w:hint="cs"/>
                <w:sz w:val="16"/>
                <w:szCs w:val="16"/>
              </w:rPr>
            </w:pPr>
          </w:p>
        </w:tc>
        <w:tc>
          <w:tcPr>
            <w:tcW w:w="662" w:type="dxa"/>
            <w:tcBorders>
              <w:top w:val="nil"/>
              <w:bottom w:val="nil"/>
            </w:tcBorders>
          </w:tcPr>
          <w:p w:rsidR="00567B15" w:rsidRDefault="00567B15">
            <w:pPr>
              <w:spacing w:before="0" w:after="0"/>
              <w:jc w:val="both"/>
              <w:rPr>
                <w:rFonts w:hint="cs"/>
                <w:sz w:val="16"/>
                <w:szCs w:val="16"/>
              </w:rPr>
            </w:pPr>
            <w:r>
              <w:rPr>
                <w:rFonts w:hint="cs"/>
                <w:sz w:val="16"/>
                <w:szCs w:val="16"/>
                <w:rtl/>
              </w:rPr>
              <w:t>إناث</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079 51</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281 11</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360 62</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007 493</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234 365</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241 858</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105 181</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288 26</w:t>
            </w:r>
          </w:p>
        </w:tc>
        <w:tc>
          <w:tcPr>
            <w:tcW w:w="791" w:type="dxa"/>
            <w:tcBorders>
              <w:top w:val="nil"/>
              <w:bottom w:val="nil"/>
            </w:tcBorders>
          </w:tcPr>
          <w:p w:rsidR="00567B15" w:rsidRDefault="00567B15">
            <w:pPr>
              <w:spacing w:before="0" w:after="0"/>
              <w:jc w:val="both"/>
              <w:rPr>
                <w:rFonts w:hint="cs"/>
                <w:sz w:val="16"/>
                <w:szCs w:val="16"/>
              </w:rPr>
            </w:pPr>
            <w:r>
              <w:rPr>
                <w:rFonts w:hint="cs"/>
                <w:sz w:val="16"/>
                <w:szCs w:val="16"/>
                <w:rtl/>
              </w:rPr>
              <w:t>393 207</w:t>
            </w:r>
          </w:p>
        </w:tc>
      </w:tr>
      <w:tr w:rsidR="00567B15" w:rsidTr="00567B15">
        <w:tblPrEx>
          <w:tblCellMar>
            <w:top w:w="0" w:type="dxa"/>
            <w:bottom w:w="0" w:type="dxa"/>
          </w:tblCellMar>
        </w:tblPrEx>
        <w:tc>
          <w:tcPr>
            <w:tcW w:w="994" w:type="dxa"/>
            <w:tcBorders>
              <w:top w:val="nil"/>
              <w:bottom w:val="single" w:sz="4" w:space="0" w:color="auto"/>
            </w:tcBorders>
          </w:tcPr>
          <w:p w:rsidR="00567B15" w:rsidRDefault="00567B15">
            <w:pPr>
              <w:spacing w:before="0" w:after="0"/>
              <w:jc w:val="center"/>
              <w:rPr>
                <w:rFonts w:hint="cs"/>
                <w:sz w:val="16"/>
                <w:szCs w:val="16"/>
              </w:rPr>
            </w:pPr>
          </w:p>
        </w:tc>
        <w:tc>
          <w:tcPr>
            <w:tcW w:w="662"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 xml:space="preserve"> المجموع</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933 101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503 22</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436 124</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908 995</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215 755</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123 751 1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295 368</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363 62</w:t>
            </w:r>
          </w:p>
        </w:tc>
        <w:tc>
          <w:tcPr>
            <w:tcW w:w="791"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658 430</w:t>
            </w:r>
          </w:p>
        </w:tc>
      </w:tr>
      <w:tr w:rsidR="00567B15" w:rsidTr="00567B15">
        <w:tblPrEx>
          <w:tblCellMar>
            <w:top w:w="0" w:type="dxa"/>
            <w:bottom w:w="0" w:type="dxa"/>
          </w:tblCellMar>
        </w:tblPrEx>
        <w:tc>
          <w:tcPr>
            <w:tcW w:w="994" w:type="dxa"/>
            <w:tcBorders>
              <w:bottom w:val="nil"/>
            </w:tcBorders>
          </w:tcPr>
          <w:p w:rsidR="00567B15" w:rsidRDefault="00567B15">
            <w:pPr>
              <w:spacing w:before="0" w:after="0"/>
              <w:jc w:val="center"/>
              <w:rPr>
                <w:rFonts w:hint="cs"/>
                <w:sz w:val="16"/>
                <w:szCs w:val="16"/>
              </w:rPr>
            </w:pPr>
            <w:r>
              <w:rPr>
                <w:rFonts w:hint="cs"/>
                <w:sz w:val="16"/>
                <w:szCs w:val="16"/>
                <w:rtl/>
              </w:rPr>
              <w:t>1994-1995</w:t>
            </w:r>
          </w:p>
        </w:tc>
        <w:tc>
          <w:tcPr>
            <w:tcW w:w="662" w:type="dxa"/>
            <w:tcBorders>
              <w:bottom w:val="nil"/>
            </w:tcBorders>
          </w:tcPr>
          <w:p w:rsidR="00567B15" w:rsidRDefault="00567B15">
            <w:pPr>
              <w:spacing w:before="0" w:after="0"/>
              <w:jc w:val="both"/>
              <w:rPr>
                <w:rFonts w:hint="cs"/>
                <w:sz w:val="16"/>
                <w:szCs w:val="16"/>
              </w:rPr>
            </w:pPr>
            <w:r>
              <w:rPr>
                <w:rFonts w:hint="cs"/>
                <w:sz w:val="16"/>
                <w:szCs w:val="16"/>
                <w:rtl/>
              </w:rPr>
              <w:t>ذكور</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843 55</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866 12</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709 68</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215 511</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072 395</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287 906</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938 197</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028 38</w:t>
            </w:r>
          </w:p>
        </w:tc>
        <w:tc>
          <w:tcPr>
            <w:tcW w:w="791" w:type="dxa"/>
            <w:tcBorders>
              <w:bottom w:val="nil"/>
            </w:tcBorders>
          </w:tcPr>
          <w:p w:rsidR="00567B15" w:rsidRDefault="00567B15">
            <w:pPr>
              <w:spacing w:before="0" w:after="0"/>
              <w:jc w:val="both"/>
              <w:rPr>
                <w:rFonts w:hint="cs"/>
                <w:sz w:val="16"/>
                <w:szCs w:val="16"/>
              </w:rPr>
            </w:pPr>
            <w:r>
              <w:rPr>
                <w:rFonts w:hint="cs"/>
                <w:sz w:val="16"/>
                <w:szCs w:val="16"/>
                <w:rtl/>
              </w:rPr>
              <w:t>966 235</w:t>
            </w:r>
          </w:p>
        </w:tc>
      </w:tr>
      <w:tr w:rsidR="00567B15" w:rsidTr="00567B15">
        <w:tblPrEx>
          <w:tblCellMar>
            <w:top w:w="0" w:type="dxa"/>
            <w:bottom w:w="0" w:type="dxa"/>
          </w:tblCellMar>
        </w:tblPrEx>
        <w:tc>
          <w:tcPr>
            <w:tcW w:w="994" w:type="dxa"/>
            <w:tcBorders>
              <w:top w:val="nil"/>
              <w:bottom w:val="nil"/>
            </w:tcBorders>
          </w:tcPr>
          <w:p w:rsidR="00567B15" w:rsidRDefault="00567B15">
            <w:pPr>
              <w:spacing w:before="0" w:after="0"/>
              <w:jc w:val="center"/>
              <w:rPr>
                <w:rFonts w:hint="cs"/>
                <w:sz w:val="16"/>
                <w:szCs w:val="16"/>
              </w:rPr>
            </w:pPr>
          </w:p>
        </w:tc>
        <w:tc>
          <w:tcPr>
            <w:tcW w:w="662" w:type="dxa"/>
            <w:tcBorders>
              <w:top w:val="nil"/>
              <w:bottom w:val="nil"/>
            </w:tcBorders>
          </w:tcPr>
          <w:p w:rsidR="00567B15" w:rsidRDefault="00567B15">
            <w:pPr>
              <w:spacing w:before="0" w:after="0"/>
              <w:jc w:val="both"/>
              <w:rPr>
                <w:rFonts w:hint="cs"/>
                <w:sz w:val="16"/>
                <w:szCs w:val="16"/>
              </w:rPr>
            </w:pPr>
            <w:r>
              <w:rPr>
                <w:rFonts w:hint="cs"/>
                <w:sz w:val="16"/>
                <w:szCs w:val="16"/>
                <w:rtl/>
              </w:rPr>
              <w:t>إناث</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711 54</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738 12</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449 67</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039 502</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978 368</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017 871</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973 188</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306 27</w:t>
            </w:r>
          </w:p>
        </w:tc>
        <w:tc>
          <w:tcPr>
            <w:tcW w:w="791" w:type="dxa"/>
            <w:tcBorders>
              <w:top w:val="nil"/>
              <w:bottom w:val="nil"/>
            </w:tcBorders>
          </w:tcPr>
          <w:p w:rsidR="00567B15" w:rsidRDefault="00567B15">
            <w:pPr>
              <w:spacing w:before="0" w:after="0"/>
              <w:jc w:val="both"/>
              <w:rPr>
                <w:rFonts w:hint="cs"/>
                <w:sz w:val="16"/>
                <w:szCs w:val="16"/>
              </w:rPr>
            </w:pPr>
            <w:r>
              <w:rPr>
                <w:rFonts w:hint="cs"/>
                <w:sz w:val="16"/>
                <w:szCs w:val="16"/>
                <w:rtl/>
              </w:rPr>
              <w:t>279 216</w:t>
            </w:r>
          </w:p>
        </w:tc>
      </w:tr>
      <w:tr w:rsidR="00567B15" w:rsidTr="00567B15">
        <w:tblPrEx>
          <w:tblCellMar>
            <w:top w:w="0" w:type="dxa"/>
            <w:bottom w:w="0" w:type="dxa"/>
          </w:tblCellMar>
        </w:tblPrEx>
        <w:tc>
          <w:tcPr>
            <w:tcW w:w="994" w:type="dxa"/>
            <w:tcBorders>
              <w:top w:val="nil"/>
              <w:bottom w:val="single" w:sz="4" w:space="0" w:color="auto"/>
            </w:tcBorders>
          </w:tcPr>
          <w:p w:rsidR="00567B15" w:rsidRDefault="00567B15">
            <w:pPr>
              <w:spacing w:before="0" w:after="0"/>
              <w:jc w:val="center"/>
              <w:rPr>
                <w:rFonts w:hint="cs"/>
                <w:sz w:val="16"/>
                <w:szCs w:val="16"/>
              </w:rPr>
            </w:pPr>
          </w:p>
        </w:tc>
        <w:tc>
          <w:tcPr>
            <w:tcW w:w="662"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 xml:space="preserve"> المجموع</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544 110</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604 25</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158 136</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254 013 1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050 764</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304 777 1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911 386</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334 65</w:t>
            </w:r>
          </w:p>
        </w:tc>
        <w:tc>
          <w:tcPr>
            <w:tcW w:w="791"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245 452</w:t>
            </w:r>
          </w:p>
        </w:tc>
      </w:tr>
      <w:tr w:rsidR="00567B15" w:rsidTr="00567B15">
        <w:tblPrEx>
          <w:tblCellMar>
            <w:top w:w="0" w:type="dxa"/>
            <w:bottom w:w="0" w:type="dxa"/>
          </w:tblCellMar>
        </w:tblPrEx>
        <w:tc>
          <w:tcPr>
            <w:tcW w:w="994" w:type="dxa"/>
            <w:tcBorders>
              <w:bottom w:val="nil"/>
            </w:tcBorders>
          </w:tcPr>
          <w:p w:rsidR="00567B15" w:rsidRDefault="00567B15">
            <w:pPr>
              <w:spacing w:before="0" w:after="0"/>
              <w:jc w:val="center"/>
              <w:rPr>
                <w:rFonts w:hint="cs"/>
                <w:sz w:val="16"/>
                <w:szCs w:val="16"/>
              </w:rPr>
            </w:pPr>
            <w:r>
              <w:rPr>
                <w:rFonts w:hint="cs"/>
                <w:sz w:val="16"/>
                <w:szCs w:val="16"/>
                <w:rtl/>
              </w:rPr>
              <w:t>1995-1996</w:t>
            </w:r>
          </w:p>
        </w:tc>
        <w:tc>
          <w:tcPr>
            <w:tcW w:w="662" w:type="dxa"/>
            <w:tcBorders>
              <w:bottom w:val="nil"/>
            </w:tcBorders>
          </w:tcPr>
          <w:p w:rsidR="00567B15" w:rsidRDefault="00567B15">
            <w:pPr>
              <w:spacing w:before="0" w:after="0"/>
              <w:jc w:val="both"/>
              <w:rPr>
                <w:rFonts w:hint="cs"/>
                <w:sz w:val="16"/>
                <w:szCs w:val="16"/>
              </w:rPr>
            </w:pPr>
            <w:r>
              <w:rPr>
                <w:rFonts w:hint="cs"/>
                <w:sz w:val="16"/>
                <w:szCs w:val="16"/>
                <w:rtl/>
              </w:rPr>
              <w:t>ذكور</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357 58</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583 14</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940 72</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840 524</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714 399</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554 924</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060 194</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231 41</w:t>
            </w:r>
          </w:p>
        </w:tc>
        <w:tc>
          <w:tcPr>
            <w:tcW w:w="791" w:type="dxa"/>
            <w:tcBorders>
              <w:bottom w:val="nil"/>
            </w:tcBorders>
          </w:tcPr>
          <w:p w:rsidR="00567B15" w:rsidRDefault="00567B15">
            <w:pPr>
              <w:spacing w:before="0" w:after="0"/>
              <w:jc w:val="both"/>
              <w:rPr>
                <w:rFonts w:hint="cs"/>
                <w:sz w:val="16"/>
                <w:szCs w:val="16"/>
              </w:rPr>
            </w:pPr>
            <w:r>
              <w:rPr>
                <w:rFonts w:hint="cs"/>
                <w:sz w:val="16"/>
                <w:szCs w:val="16"/>
                <w:rtl/>
              </w:rPr>
              <w:t>291 235</w:t>
            </w:r>
          </w:p>
        </w:tc>
      </w:tr>
      <w:tr w:rsidR="00567B15" w:rsidTr="00567B15">
        <w:tblPrEx>
          <w:tblCellMar>
            <w:top w:w="0" w:type="dxa"/>
            <w:bottom w:w="0" w:type="dxa"/>
          </w:tblCellMar>
        </w:tblPrEx>
        <w:tc>
          <w:tcPr>
            <w:tcW w:w="994" w:type="dxa"/>
            <w:tcBorders>
              <w:top w:val="nil"/>
              <w:bottom w:val="nil"/>
            </w:tcBorders>
          </w:tcPr>
          <w:p w:rsidR="00567B15" w:rsidRDefault="00567B15">
            <w:pPr>
              <w:spacing w:before="0" w:after="0"/>
              <w:jc w:val="center"/>
              <w:rPr>
                <w:rFonts w:hint="cs"/>
                <w:sz w:val="16"/>
                <w:szCs w:val="16"/>
              </w:rPr>
            </w:pPr>
          </w:p>
        </w:tc>
        <w:tc>
          <w:tcPr>
            <w:tcW w:w="662" w:type="dxa"/>
            <w:tcBorders>
              <w:top w:val="nil"/>
              <w:bottom w:val="nil"/>
            </w:tcBorders>
          </w:tcPr>
          <w:p w:rsidR="00567B15" w:rsidRDefault="00567B15">
            <w:pPr>
              <w:spacing w:before="0" w:after="0"/>
              <w:jc w:val="both"/>
              <w:rPr>
                <w:rFonts w:hint="cs"/>
                <w:sz w:val="16"/>
                <w:szCs w:val="16"/>
              </w:rPr>
            </w:pPr>
            <w:r>
              <w:rPr>
                <w:rFonts w:hint="cs"/>
                <w:sz w:val="16"/>
                <w:szCs w:val="16"/>
                <w:rtl/>
              </w:rPr>
              <w:t>إناث</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620 58</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298 14</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918 72</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048 515</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653 372</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701 887</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392 192</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832 29</w:t>
            </w:r>
          </w:p>
        </w:tc>
        <w:tc>
          <w:tcPr>
            <w:tcW w:w="791" w:type="dxa"/>
            <w:tcBorders>
              <w:top w:val="nil"/>
              <w:bottom w:val="nil"/>
            </w:tcBorders>
          </w:tcPr>
          <w:p w:rsidR="00567B15" w:rsidRDefault="00567B15">
            <w:pPr>
              <w:spacing w:before="0" w:after="0"/>
              <w:jc w:val="both"/>
              <w:rPr>
                <w:rFonts w:hint="cs"/>
                <w:sz w:val="16"/>
                <w:szCs w:val="16"/>
              </w:rPr>
            </w:pPr>
            <w:r>
              <w:rPr>
                <w:rFonts w:hint="cs"/>
                <w:sz w:val="16"/>
                <w:szCs w:val="16"/>
                <w:rtl/>
              </w:rPr>
              <w:t>224 222</w:t>
            </w:r>
          </w:p>
        </w:tc>
      </w:tr>
      <w:tr w:rsidR="00567B15" w:rsidTr="00567B15">
        <w:tblPrEx>
          <w:tblCellMar>
            <w:top w:w="0" w:type="dxa"/>
            <w:bottom w:w="0" w:type="dxa"/>
          </w:tblCellMar>
        </w:tblPrEx>
        <w:tc>
          <w:tcPr>
            <w:tcW w:w="994" w:type="dxa"/>
            <w:tcBorders>
              <w:top w:val="nil"/>
              <w:bottom w:val="single" w:sz="4" w:space="0" w:color="auto"/>
            </w:tcBorders>
          </w:tcPr>
          <w:p w:rsidR="00567B15" w:rsidRDefault="00567B15">
            <w:pPr>
              <w:spacing w:before="0" w:after="0"/>
              <w:jc w:val="center"/>
              <w:rPr>
                <w:rFonts w:hint="cs"/>
                <w:sz w:val="16"/>
                <w:szCs w:val="16"/>
              </w:rPr>
            </w:pPr>
          </w:p>
        </w:tc>
        <w:tc>
          <w:tcPr>
            <w:tcW w:w="662"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 xml:space="preserve"> المجموع</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977 116</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881 28</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858 145</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888 039 1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367 772</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255 812 1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452 386</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063 71</w:t>
            </w:r>
          </w:p>
        </w:tc>
        <w:tc>
          <w:tcPr>
            <w:tcW w:w="791"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515 457</w:t>
            </w:r>
          </w:p>
        </w:tc>
      </w:tr>
      <w:tr w:rsidR="00567B15" w:rsidTr="00567B15">
        <w:tblPrEx>
          <w:tblCellMar>
            <w:top w:w="0" w:type="dxa"/>
            <w:bottom w:w="0" w:type="dxa"/>
          </w:tblCellMar>
        </w:tblPrEx>
        <w:tc>
          <w:tcPr>
            <w:tcW w:w="994" w:type="dxa"/>
            <w:tcBorders>
              <w:bottom w:val="nil"/>
            </w:tcBorders>
          </w:tcPr>
          <w:p w:rsidR="00567B15" w:rsidRDefault="00567B15">
            <w:pPr>
              <w:spacing w:before="0" w:after="0"/>
              <w:jc w:val="center"/>
              <w:rPr>
                <w:rFonts w:hint="cs"/>
                <w:sz w:val="16"/>
                <w:szCs w:val="16"/>
              </w:rPr>
            </w:pPr>
            <w:r>
              <w:rPr>
                <w:rFonts w:hint="cs"/>
                <w:sz w:val="16"/>
                <w:szCs w:val="16"/>
                <w:rtl/>
              </w:rPr>
              <w:t>1996-1997</w:t>
            </w:r>
          </w:p>
        </w:tc>
        <w:tc>
          <w:tcPr>
            <w:tcW w:w="662" w:type="dxa"/>
            <w:tcBorders>
              <w:bottom w:val="nil"/>
            </w:tcBorders>
          </w:tcPr>
          <w:p w:rsidR="00567B15" w:rsidRDefault="00567B15">
            <w:pPr>
              <w:spacing w:before="0" w:after="0"/>
              <w:jc w:val="both"/>
              <w:rPr>
                <w:rFonts w:hint="cs"/>
                <w:sz w:val="16"/>
                <w:szCs w:val="16"/>
              </w:rPr>
            </w:pPr>
            <w:r>
              <w:rPr>
                <w:rFonts w:hint="cs"/>
                <w:sz w:val="16"/>
                <w:szCs w:val="16"/>
                <w:rtl/>
              </w:rPr>
              <w:t>ذكور</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037 63</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455 15</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492 78</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810 548</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801 414</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611 963</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472 211</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608 44</w:t>
            </w:r>
          </w:p>
        </w:tc>
        <w:tc>
          <w:tcPr>
            <w:tcW w:w="791" w:type="dxa"/>
            <w:tcBorders>
              <w:bottom w:val="nil"/>
            </w:tcBorders>
          </w:tcPr>
          <w:p w:rsidR="00567B15" w:rsidRDefault="00567B15">
            <w:pPr>
              <w:spacing w:before="0" w:after="0"/>
              <w:jc w:val="both"/>
              <w:rPr>
                <w:rFonts w:hint="cs"/>
                <w:sz w:val="16"/>
                <w:szCs w:val="16"/>
              </w:rPr>
            </w:pPr>
            <w:r>
              <w:rPr>
                <w:rFonts w:hint="cs"/>
                <w:sz w:val="16"/>
                <w:szCs w:val="16"/>
                <w:rtl/>
              </w:rPr>
              <w:t>080 256</w:t>
            </w:r>
          </w:p>
        </w:tc>
      </w:tr>
      <w:tr w:rsidR="00567B15" w:rsidTr="00567B15">
        <w:tblPrEx>
          <w:tblCellMar>
            <w:top w:w="0" w:type="dxa"/>
            <w:bottom w:w="0" w:type="dxa"/>
          </w:tblCellMar>
        </w:tblPrEx>
        <w:tc>
          <w:tcPr>
            <w:tcW w:w="994" w:type="dxa"/>
            <w:tcBorders>
              <w:top w:val="nil"/>
              <w:bottom w:val="nil"/>
            </w:tcBorders>
          </w:tcPr>
          <w:p w:rsidR="00567B15" w:rsidRDefault="00567B15">
            <w:pPr>
              <w:spacing w:before="0" w:after="0"/>
              <w:jc w:val="center"/>
              <w:rPr>
                <w:rFonts w:hint="cs"/>
                <w:sz w:val="16"/>
                <w:szCs w:val="16"/>
              </w:rPr>
            </w:pPr>
          </w:p>
        </w:tc>
        <w:tc>
          <w:tcPr>
            <w:tcW w:w="662" w:type="dxa"/>
            <w:tcBorders>
              <w:top w:val="nil"/>
              <w:bottom w:val="nil"/>
            </w:tcBorders>
          </w:tcPr>
          <w:p w:rsidR="00567B15" w:rsidRDefault="00567B15">
            <w:pPr>
              <w:spacing w:before="0" w:after="0"/>
              <w:jc w:val="both"/>
              <w:rPr>
                <w:rFonts w:hint="cs"/>
                <w:sz w:val="16"/>
                <w:szCs w:val="16"/>
              </w:rPr>
            </w:pPr>
            <w:r>
              <w:rPr>
                <w:rFonts w:hint="cs"/>
                <w:sz w:val="16"/>
                <w:szCs w:val="16"/>
                <w:rtl/>
              </w:rPr>
              <w:t>إناث</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305 63</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975 14</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280 78</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425 537</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136 387</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561 924</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151 211</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071 32</w:t>
            </w:r>
          </w:p>
        </w:tc>
        <w:tc>
          <w:tcPr>
            <w:tcW w:w="791" w:type="dxa"/>
            <w:tcBorders>
              <w:top w:val="nil"/>
              <w:bottom w:val="nil"/>
            </w:tcBorders>
          </w:tcPr>
          <w:p w:rsidR="00567B15" w:rsidRDefault="00567B15">
            <w:pPr>
              <w:spacing w:before="0" w:after="0"/>
              <w:jc w:val="both"/>
              <w:rPr>
                <w:rFonts w:hint="cs"/>
                <w:sz w:val="16"/>
                <w:szCs w:val="16"/>
              </w:rPr>
            </w:pPr>
            <w:r>
              <w:rPr>
                <w:rFonts w:hint="cs"/>
                <w:sz w:val="16"/>
                <w:szCs w:val="16"/>
                <w:rtl/>
              </w:rPr>
              <w:t>222 243</w:t>
            </w:r>
          </w:p>
        </w:tc>
      </w:tr>
      <w:tr w:rsidR="00567B15" w:rsidTr="00567B15">
        <w:tblPrEx>
          <w:tblCellMar>
            <w:top w:w="0" w:type="dxa"/>
            <w:bottom w:w="0" w:type="dxa"/>
          </w:tblCellMar>
        </w:tblPrEx>
        <w:tc>
          <w:tcPr>
            <w:tcW w:w="994" w:type="dxa"/>
            <w:tcBorders>
              <w:top w:val="nil"/>
              <w:bottom w:val="single" w:sz="4" w:space="0" w:color="auto"/>
            </w:tcBorders>
          </w:tcPr>
          <w:p w:rsidR="00567B15" w:rsidRDefault="00567B15">
            <w:pPr>
              <w:spacing w:before="0" w:after="0"/>
              <w:jc w:val="center"/>
              <w:rPr>
                <w:rFonts w:hint="cs"/>
                <w:sz w:val="16"/>
                <w:szCs w:val="16"/>
              </w:rPr>
            </w:pPr>
          </w:p>
        </w:tc>
        <w:tc>
          <w:tcPr>
            <w:tcW w:w="662"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 xml:space="preserve"> المجموع</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342 126</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430 30</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772 156</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235 086 1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937 801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172 888 1</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623 422</w:t>
            </w:r>
          </w:p>
        </w:tc>
        <w:tc>
          <w:tcPr>
            <w:tcW w:w="870"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679 76</w:t>
            </w:r>
          </w:p>
        </w:tc>
        <w:tc>
          <w:tcPr>
            <w:tcW w:w="791" w:type="dxa"/>
            <w:tcBorders>
              <w:top w:val="nil"/>
              <w:bottom w:val="single" w:sz="4" w:space="0" w:color="auto"/>
            </w:tcBorders>
          </w:tcPr>
          <w:p w:rsidR="00567B15" w:rsidRDefault="00567B15">
            <w:pPr>
              <w:spacing w:before="0" w:after="0"/>
              <w:jc w:val="both"/>
              <w:rPr>
                <w:rFonts w:hint="cs"/>
                <w:sz w:val="16"/>
                <w:szCs w:val="16"/>
              </w:rPr>
            </w:pPr>
            <w:r>
              <w:rPr>
                <w:rFonts w:hint="cs"/>
                <w:sz w:val="16"/>
                <w:szCs w:val="16"/>
                <w:rtl/>
              </w:rPr>
              <w:t>302 499</w:t>
            </w:r>
          </w:p>
        </w:tc>
      </w:tr>
      <w:tr w:rsidR="00567B15" w:rsidTr="00567B15">
        <w:tblPrEx>
          <w:tblCellMar>
            <w:top w:w="0" w:type="dxa"/>
            <w:bottom w:w="0" w:type="dxa"/>
          </w:tblCellMar>
        </w:tblPrEx>
        <w:tc>
          <w:tcPr>
            <w:tcW w:w="994" w:type="dxa"/>
            <w:tcBorders>
              <w:bottom w:val="nil"/>
            </w:tcBorders>
          </w:tcPr>
          <w:p w:rsidR="00567B15" w:rsidRDefault="00567B15">
            <w:pPr>
              <w:spacing w:before="0" w:after="0"/>
              <w:jc w:val="center"/>
              <w:rPr>
                <w:rFonts w:hint="cs"/>
                <w:sz w:val="16"/>
                <w:szCs w:val="16"/>
              </w:rPr>
            </w:pPr>
            <w:r>
              <w:rPr>
                <w:rFonts w:hint="cs"/>
                <w:sz w:val="16"/>
                <w:szCs w:val="16"/>
                <w:rtl/>
              </w:rPr>
              <w:t>1997-1998</w:t>
            </w:r>
          </w:p>
        </w:tc>
        <w:tc>
          <w:tcPr>
            <w:tcW w:w="662" w:type="dxa"/>
            <w:tcBorders>
              <w:bottom w:val="nil"/>
            </w:tcBorders>
          </w:tcPr>
          <w:p w:rsidR="00567B15" w:rsidRDefault="00567B15">
            <w:pPr>
              <w:spacing w:before="0" w:after="0"/>
              <w:jc w:val="both"/>
              <w:rPr>
                <w:rFonts w:hint="cs"/>
                <w:sz w:val="16"/>
                <w:szCs w:val="16"/>
              </w:rPr>
            </w:pPr>
            <w:r>
              <w:rPr>
                <w:rFonts w:hint="cs"/>
                <w:sz w:val="16"/>
                <w:szCs w:val="16"/>
                <w:rtl/>
              </w:rPr>
              <w:t>ذكور</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920 66</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007 17</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927 83</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101 553</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000 406</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101 959</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797 208</w:t>
            </w:r>
          </w:p>
        </w:tc>
        <w:tc>
          <w:tcPr>
            <w:tcW w:w="870" w:type="dxa"/>
            <w:tcBorders>
              <w:bottom w:val="nil"/>
            </w:tcBorders>
          </w:tcPr>
          <w:p w:rsidR="00567B15" w:rsidRDefault="00567B15">
            <w:pPr>
              <w:spacing w:before="0" w:after="0"/>
              <w:jc w:val="both"/>
              <w:rPr>
                <w:rFonts w:hint="cs"/>
                <w:sz w:val="16"/>
                <w:szCs w:val="16"/>
              </w:rPr>
            </w:pPr>
            <w:r>
              <w:rPr>
                <w:rFonts w:hint="cs"/>
                <w:sz w:val="16"/>
                <w:szCs w:val="16"/>
                <w:rtl/>
              </w:rPr>
              <w:t>696 46</w:t>
            </w:r>
          </w:p>
        </w:tc>
        <w:tc>
          <w:tcPr>
            <w:tcW w:w="791" w:type="dxa"/>
            <w:tcBorders>
              <w:bottom w:val="nil"/>
            </w:tcBorders>
          </w:tcPr>
          <w:p w:rsidR="00567B15" w:rsidRDefault="00567B15">
            <w:pPr>
              <w:spacing w:before="0" w:after="0"/>
              <w:jc w:val="both"/>
              <w:rPr>
                <w:rFonts w:hint="cs"/>
                <w:sz w:val="16"/>
                <w:szCs w:val="16"/>
              </w:rPr>
            </w:pPr>
            <w:r>
              <w:rPr>
                <w:rFonts w:hint="cs"/>
                <w:sz w:val="16"/>
                <w:szCs w:val="16"/>
                <w:rtl/>
              </w:rPr>
              <w:t>493 255</w:t>
            </w:r>
          </w:p>
        </w:tc>
      </w:tr>
      <w:tr w:rsidR="00567B15" w:rsidTr="00567B15">
        <w:tblPrEx>
          <w:tblCellMar>
            <w:top w:w="0" w:type="dxa"/>
            <w:bottom w:w="0" w:type="dxa"/>
          </w:tblCellMar>
        </w:tblPrEx>
        <w:tc>
          <w:tcPr>
            <w:tcW w:w="994" w:type="dxa"/>
            <w:tcBorders>
              <w:top w:val="nil"/>
              <w:bottom w:val="nil"/>
            </w:tcBorders>
          </w:tcPr>
          <w:p w:rsidR="00567B15" w:rsidRDefault="00567B15">
            <w:pPr>
              <w:spacing w:before="0" w:after="0"/>
              <w:jc w:val="center"/>
              <w:rPr>
                <w:rFonts w:hint="cs"/>
                <w:sz w:val="16"/>
                <w:szCs w:val="16"/>
              </w:rPr>
            </w:pPr>
          </w:p>
        </w:tc>
        <w:tc>
          <w:tcPr>
            <w:tcW w:w="662" w:type="dxa"/>
            <w:tcBorders>
              <w:top w:val="nil"/>
              <w:bottom w:val="nil"/>
            </w:tcBorders>
          </w:tcPr>
          <w:p w:rsidR="00567B15" w:rsidRDefault="00567B15">
            <w:pPr>
              <w:spacing w:before="0" w:after="0"/>
              <w:jc w:val="both"/>
              <w:rPr>
                <w:rFonts w:hint="cs"/>
                <w:sz w:val="16"/>
                <w:szCs w:val="16"/>
              </w:rPr>
            </w:pPr>
            <w:r>
              <w:rPr>
                <w:rFonts w:hint="cs"/>
                <w:sz w:val="16"/>
                <w:szCs w:val="16"/>
                <w:rtl/>
              </w:rPr>
              <w:t>إناث</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354 67</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847 16</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201 84</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943 544</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901 378</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844 923</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329 209</w:t>
            </w:r>
          </w:p>
        </w:tc>
        <w:tc>
          <w:tcPr>
            <w:tcW w:w="870" w:type="dxa"/>
            <w:tcBorders>
              <w:top w:val="nil"/>
              <w:bottom w:val="nil"/>
            </w:tcBorders>
          </w:tcPr>
          <w:p w:rsidR="00567B15" w:rsidRDefault="00567B15">
            <w:pPr>
              <w:spacing w:before="0" w:after="0"/>
              <w:jc w:val="both"/>
              <w:rPr>
                <w:rFonts w:hint="cs"/>
                <w:sz w:val="16"/>
                <w:szCs w:val="16"/>
              </w:rPr>
            </w:pPr>
            <w:r>
              <w:rPr>
                <w:rFonts w:hint="cs"/>
                <w:sz w:val="16"/>
                <w:szCs w:val="16"/>
                <w:rtl/>
              </w:rPr>
              <w:t>020 34</w:t>
            </w:r>
          </w:p>
        </w:tc>
        <w:tc>
          <w:tcPr>
            <w:tcW w:w="791" w:type="dxa"/>
            <w:tcBorders>
              <w:top w:val="nil"/>
              <w:bottom w:val="nil"/>
            </w:tcBorders>
          </w:tcPr>
          <w:p w:rsidR="00567B15" w:rsidRDefault="00567B15">
            <w:pPr>
              <w:spacing w:before="0" w:after="0"/>
              <w:jc w:val="both"/>
              <w:rPr>
                <w:rFonts w:hint="cs"/>
                <w:sz w:val="16"/>
                <w:szCs w:val="16"/>
              </w:rPr>
            </w:pPr>
            <w:r>
              <w:rPr>
                <w:rFonts w:hint="cs"/>
                <w:sz w:val="16"/>
                <w:szCs w:val="16"/>
                <w:rtl/>
              </w:rPr>
              <w:t>349 243</w:t>
            </w:r>
          </w:p>
        </w:tc>
      </w:tr>
      <w:tr w:rsidR="00567B15" w:rsidTr="00567B15">
        <w:tblPrEx>
          <w:tblCellMar>
            <w:top w:w="0" w:type="dxa"/>
            <w:bottom w:w="0" w:type="dxa"/>
          </w:tblCellMar>
        </w:tblPrEx>
        <w:tc>
          <w:tcPr>
            <w:tcW w:w="994" w:type="dxa"/>
            <w:tcBorders>
              <w:top w:val="nil"/>
            </w:tcBorders>
          </w:tcPr>
          <w:p w:rsidR="00567B15" w:rsidRDefault="00567B15">
            <w:pPr>
              <w:spacing w:before="0" w:after="0"/>
              <w:jc w:val="center"/>
              <w:rPr>
                <w:rFonts w:hint="cs"/>
                <w:sz w:val="16"/>
                <w:szCs w:val="16"/>
              </w:rPr>
            </w:pPr>
          </w:p>
        </w:tc>
        <w:tc>
          <w:tcPr>
            <w:tcW w:w="662" w:type="dxa"/>
            <w:tcBorders>
              <w:top w:val="nil"/>
            </w:tcBorders>
          </w:tcPr>
          <w:p w:rsidR="00567B15" w:rsidRDefault="00567B15">
            <w:pPr>
              <w:spacing w:before="0" w:after="0"/>
              <w:jc w:val="both"/>
              <w:rPr>
                <w:rFonts w:hint="cs"/>
                <w:sz w:val="16"/>
                <w:szCs w:val="16"/>
              </w:rPr>
            </w:pPr>
            <w:r>
              <w:rPr>
                <w:rFonts w:hint="cs"/>
                <w:sz w:val="16"/>
                <w:szCs w:val="16"/>
                <w:rtl/>
              </w:rPr>
              <w:t xml:space="preserve"> المجموع</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274 134</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854 33</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128 168</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044 098 1</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901 784</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945 882 1</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126 418</w:t>
            </w:r>
          </w:p>
        </w:tc>
        <w:tc>
          <w:tcPr>
            <w:tcW w:w="870" w:type="dxa"/>
            <w:tcBorders>
              <w:top w:val="nil"/>
            </w:tcBorders>
          </w:tcPr>
          <w:p w:rsidR="00567B15" w:rsidRDefault="00567B15">
            <w:pPr>
              <w:spacing w:before="0" w:after="0"/>
              <w:jc w:val="both"/>
              <w:rPr>
                <w:rFonts w:hint="cs"/>
                <w:sz w:val="16"/>
                <w:szCs w:val="16"/>
              </w:rPr>
            </w:pPr>
            <w:r>
              <w:rPr>
                <w:rFonts w:hint="cs"/>
                <w:sz w:val="16"/>
                <w:szCs w:val="16"/>
                <w:rtl/>
              </w:rPr>
              <w:t>716 80</w:t>
            </w:r>
          </w:p>
        </w:tc>
        <w:tc>
          <w:tcPr>
            <w:tcW w:w="791" w:type="dxa"/>
            <w:tcBorders>
              <w:top w:val="nil"/>
            </w:tcBorders>
          </w:tcPr>
          <w:p w:rsidR="00567B15" w:rsidRDefault="00567B15">
            <w:pPr>
              <w:spacing w:before="0" w:after="0"/>
              <w:jc w:val="both"/>
              <w:rPr>
                <w:rFonts w:hint="cs"/>
                <w:sz w:val="16"/>
                <w:szCs w:val="16"/>
              </w:rPr>
            </w:pPr>
            <w:r>
              <w:rPr>
                <w:rFonts w:hint="cs"/>
                <w:sz w:val="16"/>
                <w:szCs w:val="16"/>
                <w:rtl/>
              </w:rPr>
              <w:t>842 498</w:t>
            </w:r>
          </w:p>
        </w:tc>
      </w:tr>
    </w:tbl>
    <w:p w:rsidR="00000000" w:rsidRDefault="00567B15">
      <w:pPr>
        <w:spacing w:after="0"/>
        <w:jc w:val="both"/>
        <w:rPr>
          <w:rFonts w:hint="cs"/>
          <w:rtl/>
        </w:rPr>
      </w:pPr>
      <w:r>
        <w:rPr>
          <w:rFonts w:hint="cs"/>
          <w:rtl/>
        </w:rPr>
        <w:tab/>
      </w:r>
      <w:r>
        <w:rPr>
          <w:rFonts w:hint="cs"/>
          <w:u w:val="single"/>
          <w:rtl/>
        </w:rPr>
        <w:t>المصدر</w:t>
      </w:r>
      <w:r>
        <w:rPr>
          <w:rFonts w:hint="cs"/>
          <w:rtl/>
        </w:rPr>
        <w:t>: النظام الوطني الإكوادوري للإحصاءات التربوية.</w:t>
      </w:r>
    </w:p>
    <w:p w:rsidR="00000000" w:rsidRDefault="00567B15">
      <w:pPr>
        <w:spacing w:before="0" w:after="0"/>
        <w:jc w:val="both"/>
        <w:rPr>
          <w:rFonts w:hint="cs"/>
          <w:rtl/>
        </w:rPr>
      </w:pPr>
      <w:r>
        <w:rPr>
          <w:rFonts w:hint="cs"/>
          <w:rtl/>
        </w:rPr>
        <w:tab/>
      </w:r>
      <w:r>
        <w:rPr>
          <w:rFonts w:hint="cs"/>
          <w:u w:val="single"/>
          <w:rtl/>
        </w:rPr>
        <w:t>إعداد</w:t>
      </w:r>
      <w:r>
        <w:rPr>
          <w:rFonts w:hint="cs"/>
          <w:rtl/>
        </w:rPr>
        <w:t xml:space="preserve">: </w:t>
      </w:r>
      <w:r>
        <w:rPr>
          <w:rFonts w:hint="cs"/>
          <w:rtl/>
        </w:rPr>
        <w:t>الفريق الإحصائي لوزارة التعليم والثقافة.</w:t>
      </w:r>
    </w:p>
    <w:p w:rsidR="00000000" w:rsidRDefault="00567B15">
      <w:pPr>
        <w:spacing w:before="0" w:after="0"/>
        <w:jc w:val="both"/>
        <w:rPr>
          <w:rFonts w:hint="cs"/>
          <w:rtl/>
        </w:rPr>
      </w:pPr>
    </w:p>
    <w:p w:rsidR="00000000" w:rsidRDefault="00567B15">
      <w:pPr>
        <w:spacing w:before="0" w:after="0"/>
        <w:jc w:val="both"/>
        <w:rPr>
          <w:rFonts w:hint="cs"/>
          <w:rtl/>
        </w:rPr>
      </w:pPr>
    </w:p>
    <w:p w:rsidR="00000000" w:rsidRDefault="00567B15">
      <w:pPr>
        <w:spacing w:before="0" w:after="0" w:line="360" w:lineRule="exact"/>
        <w:jc w:val="center"/>
        <w:rPr>
          <w:rFonts w:hint="cs"/>
          <w:b/>
          <w:bCs/>
          <w:rtl/>
        </w:rPr>
      </w:pPr>
      <w:r>
        <w:rPr>
          <w:rFonts w:hint="cs"/>
          <w:b/>
          <w:bCs/>
          <w:rtl/>
        </w:rPr>
        <w:t>طلاب التعليم النظامي لمرحلة ما قبل الابتدائي الناجحون</w:t>
      </w:r>
    </w:p>
    <w:p w:rsidR="00000000" w:rsidRDefault="00567B15">
      <w:pPr>
        <w:spacing w:before="0" w:after="120" w:line="360" w:lineRule="exact"/>
        <w:jc w:val="center"/>
        <w:rPr>
          <w:rFonts w:hint="cs"/>
          <w:b/>
          <w:bCs/>
          <w:rtl/>
        </w:rPr>
      </w:pPr>
      <w:r>
        <w:rPr>
          <w:rFonts w:hint="cs"/>
          <w:b/>
          <w:bCs/>
          <w:rtl/>
        </w:rPr>
        <w:t>حسب المنطقة والسنة الدراسية والجنس</w:t>
      </w:r>
    </w:p>
    <w:tbl>
      <w:tblPr>
        <w:bidiVisual/>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1093"/>
        <w:gridCol w:w="1196"/>
        <w:gridCol w:w="1196"/>
        <w:gridCol w:w="1196"/>
        <w:gridCol w:w="1196"/>
        <w:gridCol w:w="1197"/>
        <w:gridCol w:w="1073"/>
      </w:tblGrid>
      <w:tr w:rsidR="00567B15" w:rsidTr="00567B15">
        <w:tblPrEx>
          <w:tblCellMar>
            <w:top w:w="0" w:type="dxa"/>
            <w:bottom w:w="0" w:type="dxa"/>
          </w:tblCellMar>
        </w:tblPrEx>
        <w:trPr>
          <w:cantSplit/>
        </w:trPr>
        <w:tc>
          <w:tcPr>
            <w:tcW w:w="1204" w:type="dxa"/>
            <w:vMerge w:val="restart"/>
            <w:vAlign w:val="center"/>
          </w:tcPr>
          <w:p w:rsidR="00567B15" w:rsidRDefault="00567B15">
            <w:pPr>
              <w:spacing w:before="0" w:after="0" w:line="280" w:lineRule="exact"/>
              <w:jc w:val="both"/>
              <w:rPr>
                <w:rFonts w:hint="cs"/>
                <w:szCs w:val="22"/>
              </w:rPr>
            </w:pPr>
            <w:r>
              <w:rPr>
                <w:rFonts w:hint="cs"/>
                <w:szCs w:val="22"/>
                <w:rtl/>
              </w:rPr>
              <w:t>السنة الدراسية</w:t>
            </w:r>
          </w:p>
        </w:tc>
        <w:tc>
          <w:tcPr>
            <w:tcW w:w="8147" w:type="dxa"/>
            <w:gridSpan w:val="7"/>
          </w:tcPr>
          <w:p w:rsidR="00567B15" w:rsidRDefault="00567B15">
            <w:pPr>
              <w:spacing w:before="0" w:after="0" w:line="280" w:lineRule="exact"/>
              <w:jc w:val="center"/>
              <w:rPr>
                <w:rFonts w:hint="cs"/>
                <w:szCs w:val="22"/>
              </w:rPr>
            </w:pPr>
            <w:r>
              <w:rPr>
                <w:rFonts w:hint="cs"/>
                <w:szCs w:val="22"/>
                <w:rtl/>
              </w:rPr>
              <w:t>مرحلة ما قبل الابتدائي</w:t>
            </w:r>
          </w:p>
        </w:tc>
      </w:tr>
      <w:tr w:rsidR="00567B15" w:rsidTr="00567B15">
        <w:tblPrEx>
          <w:tblCellMar>
            <w:top w:w="0" w:type="dxa"/>
            <w:bottom w:w="0" w:type="dxa"/>
          </w:tblCellMar>
        </w:tblPrEx>
        <w:trPr>
          <w:cantSplit/>
          <w:trHeight w:val="875"/>
        </w:trPr>
        <w:tc>
          <w:tcPr>
            <w:tcW w:w="1204" w:type="dxa"/>
            <w:vMerge/>
            <w:tcBorders>
              <w:bottom w:val="single" w:sz="4" w:space="0" w:color="auto"/>
            </w:tcBorders>
          </w:tcPr>
          <w:p w:rsidR="00567B15" w:rsidRDefault="00567B15">
            <w:pPr>
              <w:spacing w:before="0" w:after="0" w:line="320" w:lineRule="exact"/>
              <w:jc w:val="both"/>
              <w:rPr>
                <w:sz w:val="20"/>
                <w:szCs w:val="20"/>
              </w:rPr>
            </w:pPr>
          </w:p>
        </w:tc>
        <w:tc>
          <w:tcPr>
            <w:tcW w:w="1093"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الجنس</w:t>
            </w:r>
          </w:p>
        </w:tc>
        <w:tc>
          <w:tcPr>
            <w:tcW w:w="1196"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العدد الصافي للمسجلين في المناطق الحضرية</w:t>
            </w:r>
          </w:p>
        </w:tc>
        <w:tc>
          <w:tcPr>
            <w:tcW w:w="1196"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الناجحون (في المناطق الحضرية)*</w:t>
            </w:r>
          </w:p>
        </w:tc>
        <w:tc>
          <w:tcPr>
            <w:tcW w:w="1196" w:type="dxa"/>
            <w:tcBorders>
              <w:bottom w:val="single" w:sz="4" w:space="0" w:color="auto"/>
            </w:tcBorders>
            <w:vAlign w:val="bottom"/>
          </w:tcPr>
          <w:p w:rsidR="00567B15" w:rsidRDefault="00567B15">
            <w:pPr>
              <w:spacing w:before="0" w:after="0" w:line="280" w:lineRule="exact"/>
              <w:jc w:val="both"/>
              <w:rPr>
                <w:rFonts w:hint="cs"/>
                <w:szCs w:val="22"/>
              </w:rPr>
            </w:pPr>
            <w:r>
              <w:rPr>
                <w:rFonts w:hint="cs"/>
                <w:szCs w:val="22"/>
                <w:rtl/>
              </w:rPr>
              <w:t>نسبة مئوية</w:t>
            </w:r>
          </w:p>
        </w:tc>
        <w:tc>
          <w:tcPr>
            <w:tcW w:w="1196"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العدد الصافي للمسجلين في المناطق الريفية</w:t>
            </w:r>
          </w:p>
        </w:tc>
        <w:tc>
          <w:tcPr>
            <w:tcW w:w="1197"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الناجحون (في المناطق الريفية)*</w:t>
            </w:r>
          </w:p>
        </w:tc>
        <w:tc>
          <w:tcPr>
            <w:tcW w:w="1073" w:type="dxa"/>
            <w:tcBorders>
              <w:bottom w:val="single" w:sz="4" w:space="0" w:color="auto"/>
            </w:tcBorders>
            <w:vAlign w:val="bottom"/>
          </w:tcPr>
          <w:p w:rsidR="00567B15" w:rsidRDefault="00567B15">
            <w:pPr>
              <w:spacing w:before="0" w:after="0" w:line="280" w:lineRule="exact"/>
              <w:jc w:val="both"/>
              <w:rPr>
                <w:rFonts w:hint="cs"/>
                <w:szCs w:val="22"/>
              </w:rPr>
            </w:pPr>
            <w:r>
              <w:rPr>
                <w:rFonts w:hint="cs"/>
                <w:szCs w:val="22"/>
                <w:rtl/>
              </w:rPr>
              <w:t>نسبة مئوية</w:t>
            </w:r>
          </w:p>
        </w:tc>
      </w:tr>
      <w:tr w:rsidR="00567B15" w:rsidTr="00567B15">
        <w:tblPrEx>
          <w:tblCellMar>
            <w:top w:w="0" w:type="dxa"/>
            <w:bottom w:w="0" w:type="dxa"/>
          </w:tblCellMar>
        </w:tblPrEx>
        <w:tc>
          <w:tcPr>
            <w:tcW w:w="1204" w:type="dxa"/>
            <w:tcBorders>
              <w:bottom w:val="nil"/>
            </w:tcBorders>
          </w:tcPr>
          <w:p w:rsidR="00567B15" w:rsidRDefault="00567B15">
            <w:pPr>
              <w:spacing w:before="0" w:after="0" w:line="320" w:lineRule="exact"/>
              <w:jc w:val="both"/>
              <w:rPr>
                <w:rFonts w:hint="cs"/>
                <w:szCs w:val="22"/>
              </w:rPr>
            </w:pPr>
            <w:r>
              <w:rPr>
                <w:rFonts w:hint="cs"/>
                <w:szCs w:val="22"/>
                <w:rtl/>
              </w:rPr>
              <w:t>1993-1994</w:t>
            </w:r>
          </w:p>
        </w:tc>
        <w:tc>
          <w:tcPr>
            <w:tcW w:w="1093" w:type="dxa"/>
            <w:tcBorders>
              <w:bottom w:val="nil"/>
            </w:tcBorders>
          </w:tcPr>
          <w:p w:rsidR="00567B15" w:rsidRDefault="00567B15">
            <w:pPr>
              <w:spacing w:before="0" w:after="0" w:line="320" w:lineRule="exact"/>
              <w:jc w:val="both"/>
              <w:rPr>
                <w:rFonts w:hint="cs"/>
                <w:szCs w:val="22"/>
              </w:rPr>
            </w:pPr>
            <w:r>
              <w:rPr>
                <w:rFonts w:hint="cs"/>
                <w:szCs w:val="22"/>
                <w:rtl/>
              </w:rPr>
              <w:t>ذكور</w:t>
            </w:r>
          </w:p>
        </w:tc>
        <w:tc>
          <w:tcPr>
            <w:tcW w:w="1196" w:type="dxa"/>
            <w:tcBorders>
              <w:bottom w:val="nil"/>
            </w:tcBorders>
          </w:tcPr>
          <w:p w:rsidR="00567B15" w:rsidRDefault="00567B15">
            <w:pPr>
              <w:spacing w:before="0" w:after="0" w:line="320" w:lineRule="exact"/>
              <w:ind w:firstLine="122"/>
              <w:jc w:val="both"/>
              <w:rPr>
                <w:rFonts w:hint="cs"/>
                <w:szCs w:val="22"/>
              </w:rPr>
            </w:pPr>
            <w:r>
              <w:rPr>
                <w:rFonts w:hint="cs"/>
                <w:szCs w:val="22"/>
                <w:rtl/>
              </w:rPr>
              <w:t>854 50</w:t>
            </w:r>
          </w:p>
        </w:tc>
        <w:tc>
          <w:tcPr>
            <w:tcW w:w="1196" w:type="dxa"/>
            <w:tcBorders>
              <w:bottom w:val="nil"/>
            </w:tcBorders>
          </w:tcPr>
          <w:p w:rsidR="00567B15" w:rsidRDefault="00567B15">
            <w:pPr>
              <w:spacing w:before="0" w:after="0" w:line="320" w:lineRule="exact"/>
              <w:ind w:firstLine="160"/>
              <w:jc w:val="both"/>
              <w:rPr>
                <w:rFonts w:hint="cs"/>
                <w:szCs w:val="22"/>
              </w:rPr>
            </w:pPr>
            <w:r>
              <w:rPr>
                <w:rFonts w:hint="cs"/>
                <w:szCs w:val="22"/>
                <w:rtl/>
              </w:rPr>
              <w:t>366 48</w:t>
            </w:r>
          </w:p>
        </w:tc>
        <w:tc>
          <w:tcPr>
            <w:tcW w:w="1196" w:type="dxa"/>
            <w:tcBorders>
              <w:bottom w:val="nil"/>
            </w:tcBorders>
          </w:tcPr>
          <w:p w:rsidR="00567B15" w:rsidRDefault="00567B15">
            <w:pPr>
              <w:spacing w:before="0" w:after="0" w:line="320" w:lineRule="exact"/>
              <w:jc w:val="both"/>
              <w:rPr>
                <w:rFonts w:hint="cs"/>
                <w:szCs w:val="22"/>
              </w:rPr>
            </w:pPr>
            <w:r>
              <w:rPr>
                <w:rFonts w:hint="cs"/>
                <w:szCs w:val="22"/>
                <w:rtl/>
              </w:rPr>
              <w:t>95.11</w:t>
            </w:r>
          </w:p>
        </w:tc>
        <w:tc>
          <w:tcPr>
            <w:tcW w:w="1196" w:type="dxa"/>
            <w:tcBorders>
              <w:bottom w:val="nil"/>
            </w:tcBorders>
          </w:tcPr>
          <w:p w:rsidR="00567B15" w:rsidRDefault="00567B15">
            <w:pPr>
              <w:spacing w:before="0" w:after="0" w:line="320" w:lineRule="exact"/>
              <w:ind w:firstLine="134"/>
              <w:jc w:val="both"/>
              <w:rPr>
                <w:rFonts w:hint="cs"/>
                <w:szCs w:val="22"/>
              </w:rPr>
            </w:pPr>
            <w:r>
              <w:rPr>
                <w:rFonts w:hint="cs"/>
                <w:szCs w:val="22"/>
                <w:rtl/>
              </w:rPr>
              <w:t>222 11</w:t>
            </w:r>
          </w:p>
        </w:tc>
        <w:tc>
          <w:tcPr>
            <w:tcW w:w="1197" w:type="dxa"/>
            <w:tcBorders>
              <w:bottom w:val="nil"/>
            </w:tcBorders>
          </w:tcPr>
          <w:p w:rsidR="00567B15" w:rsidRDefault="00567B15">
            <w:pPr>
              <w:spacing w:before="0" w:after="0" w:line="320" w:lineRule="exact"/>
              <w:ind w:firstLine="161"/>
              <w:jc w:val="both"/>
              <w:rPr>
                <w:rFonts w:hint="cs"/>
                <w:szCs w:val="22"/>
              </w:rPr>
            </w:pPr>
            <w:r>
              <w:rPr>
                <w:rFonts w:hint="cs"/>
                <w:szCs w:val="22"/>
                <w:rtl/>
              </w:rPr>
              <w:t>562 10</w:t>
            </w:r>
          </w:p>
        </w:tc>
        <w:tc>
          <w:tcPr>
            <w:tcW w:w="1073" w:type="dxa"/>
            <w:tcBorders>
              <w:bottom w:val="nil"/>
            </w:tcBorders>
          </w:tcPr>
          <w:p w:rsidR="00567B15" w:rsidRDefault="00567B15">
            <w:pPr>
              <w:spacing w:before="0" w:after="0" w:line="320" w:lineRule="exact"/>
              <w:jc w:val="both"/>
              <w:rPr>
                <w:rFonts w:hint="cs"/>
                <w:szCs w:val="22"/>
              </w:rPr>
            </w:pPr>
            <w:r>
              <w:rPr>
                <w:rFonts w:hint="cs"/>
                <w:szCs w:val="22"/>
                <w:rtl/>
              </w:rPr>
              <w:t>94.12</w:t>
            </w:r>
          </w:p>
        </w:tc>
      </w:tr>
      <w:tr w:rsidR="00567B15" w:rsidTr="00567B15">
        <w:tblPrEx>
          <w:tblCellMar>
            <w:top w:w="0" w:type="dxa"/>
            <w:bottom w:w="0" w:type="dxa"/>
          </w:tblCellMar>
        </w:tblPrEx>
        <w:tc>
          <w:tcPr>
            <w:tcW w:w="1204" w:type="dxa"/>
            <w:tcBorders>
              <w:top w:val="nil"/>
              <w:bottom w:val="nil"/>
            </w:tcBorders>
          </w:tcPr>
          <w:p w:rsidR="00567B15" w:rsidRDefault="00567B15">
            <w:pPr>
              <w:spacing w:before="0" w:after="0" w:line="320" w:lineRule="exact"/>
              <w:jc w:val="both"/>
              <w:rPr>
                <w:szCs w:val="22"/>
              </w:rPr>
            </w:pPr>
          </w:p>
        </w:tc>
        <w:tc>
          <w:tcPr>
            <w:tcW w:w="1093" w:type="dxa"/>
            <w:tcBorders>
              <w:top w:val="nil"/>
              <w:bottom w:val="nil"/>
            </w:tcBorders>
          </w:tcPr>
          <w:p w:rsidR="00567B15" w:rsidRDefault="00567B15">
            <w:pPr>
              <w:spacing w:before="0" w:after="0" w:line="320" w:lineRule="exact"/>
              <w:jc w:val="both"/>
              <w:rPr>
                <w:rFonts w:hint="cs"/>
                <w:szCs w:val="22"/>
              </w:rPr>
            </w:pPr>
            <w:r>
              <w:rPr>
                <w:rFonts w:hint="cs"/>
                <w:szCs w:val="22"/>
                <w:rtl/>
              </w:rPr>
              <w:t>إناث</w:t>
            </w:r>
          </w:p>
        </w:tc>
        <w:tc>
          <w:tcPr>
            <w:tcW w:w="1196" w:type="dxa"/>
            <w:tcBorders>
              <w:top w:val="nil"/>
              <w:bottom w:val="nil"/>
            </w:tcBorders>
          </w:tcPr>
          <w:p w:rsidR="00567B15" w:rsidRDefault="00567B15">
            <w:pPr>
              <w:spacing w:before="0" w:after="0" w:line="320" w:lineRule="exact"/>
              <w:ind w:firstLine="122"/>
              <w:jc w:val="both"/>
              <w:rPr>
                <w:rFonts w:hint="cs"/>
                <w:szCs w:val="22"/>
              </w:rPr>
            </w:pPr>
            <w:r>
              <w:rPr>
                <w:rFonts w:hint="cs"/>
                <w:szCs w:val="22"/>
                <w:rtl/>
              </w:rPr>
              <w:t>079 51</w:t>
            </w:r>
          </w:p>
        </w:tc>
        <w:tc>
          <w:tcPr>
            <w:tcW w:w="1196" w:type="dxa"/>
            <w:tcBorders>
              <w:top w:val="nil"/>
              <w:bottom w:val="nil"/>
            </w:tcBorders>
          </w:tcPr>
          <w:p w:rsidR="00567B15" w:rsidRDefault="00567B15">
            <w:pPr>
              <w:spacing w:before="0" w:after="0" w:line="320" w:lineRule="exact"/>
              <w:ind w:firstLine="160"/>
              <w:jc w:val="both"/>
              <w:rPr>
                <w:rFonts w:hint="cs"/>
                <w:szCs w:val="22"/>
              </w:rPr>
            </w:pPr>
            <w:r>
              <w:rPr>
                <w:rFonts w:hint="cs"/>
                <w:szCs w:val="22"/>
                <w:rtl/>
              </w:rPr>
              <w:t>681 48</w:t>
            </w:r>
          </w:p>
        </w:tc>
        <w:tc>
          <w:tcPr>
            <w:tcW w:w="1196" w:type="dxa"/>
            <w:tcBorders>
              <w:top w:val="nil"/>
              <w:bottom w:val="nil"/>
            </w:tcBorders>
          </w:tcPr>
          <w:p w:rsidR="00567B15" w:rsidRDefault="00567B15">
            <w:pPr>
              <w:spacing w:before="0" w:after="0" w:line="320" w:lineRule="exact"/>
              <w:jc w:val="both"/>
              <w:rPr>
                <w:rFonts w:hint="cs"/>
                <w:szCs w:val="22"/>
              </w:rPr>
            </w:pPr>
            <w:r>
              <w:rPr>
                <w:rFonts w:hint="cs"/>
                <w:szCs w:val="22"/>
                <w:rtl/>
              </w:rPr>
              <w:t>95.31</w:t>
            </w:r>
          </w:p>
        </w:tc>
        <w:tc>
          <w:tcPr>
            <w:tcW w:w="1196" w:type="dxa"/>
            <w:tcBorders>
              <w:top w:val="nil"/>
              <w:bottom w:val="nil"/>
            </w:tcBorders>
          </w:tcPr>
          <w:p w:rsidR="00567B15" w:rsidRDefault="00567B15">
            <w:pPr>
              <w:spacing w:before="0" w:after="0" w:line="320" w:lineRule="exact"/>
              <w:ind w:firstLine="134"/>
              <w:jc w:val="both"/>
              <w:rPr>
                <w:rFonts w:hint="cs"/>
                <w:szCs w:val="22"/>
              </w:rPr>
            </w:pPr>
            <w:r>
              <w:rPr>
                <w:rFonts w:hint="cs"/>
                <w:szCs w:val="22"/>
                <w:rtl/>
              </w:rPr>
              <w:t>281 11</w:t>
            </w:r>
          </w:p>
        </w:tc>
        <w:tc>
          <w:tcPr>
            <w:tcW w:w="1197" w:type="dxa"/>
            <w:tcBorders>
              <w:top w:val="nil"/>
              <w:bottom w:val="nil"/>
            </w:tcBorders>
          </w:tcPr>
          <w:p w:rsidR="00567B15" w:rsidRDefault="00567B15">
            <w:pPr>
              <w:spacing w:before="0" w:after="0" w:line="320" w:lineRule="exact"/>
              <w:ind w:firstLine="161"/>
              <w:jc w:val="both"/>
              <w:rPr>
                <w:rFonts w:hint="cs"/>
                <w:szCs w:val="22"/>
              </w:rPr>
            </w:pPr>
            <w:r>
              <w:rPr>
                <w:rFonts w:hint="cs"/>
                <w:szCs w:val="22"/>
                <w:rtl/>
              </w:rPr>
              <w:t>637 10</w:t>
            </w:r>
          </w:p>
        </w:tc>
        <w:tc>
          <w:tcPr>
            <w:tcW w:w="1073" w:type="dxa"/>
            <w:tcBorders>
              <w:top w:val="nil"/>
              <w:bottom w:val="nil"/>
            </w:tcBorders>
          </w:tcPr>
          <w:p w:rsidR="00567B15" w:rsidRDefault="00567B15">
            <w:pPr>
              <w:spacing w:before="0" w:after="0" w:line="320" w:lineRule="exact"/>
              <w:jc w:val="both"/>
              <w:rPr>
                <w:rFonts w:hint="cs"/>
                <w:szCs w:val="22"/>
              </w:rPr>
            </w:pPr>
            <w:r>
              <w:rPr>
                <w:rFonts w:hint="cs"/>
                <w:szCs w:val="22"/>
                <w:rtl/>
              </w:rPr>
              <w:t>94.29</w:t>
            </w:r>
          </w:p>
        </w:tc>
      </w:tr>
      <w:tr w:rsidR="00567B15" w:rsidTr="00567B15">
        <w:tblPrEx>
          <w:tblCellMar>
            <w:top w:w="0" w:type="dxa"/>
            <w:bottom w:w="0" w:type="dxa"/>
          </w:tblCellMar>
        </w:tblPrEx>
        <w:tc>
          <w:tcPr>
            <w:tcW w:w="1204" w:type="dxa"/>
            <w:tcBorders>
              <w:top w:val="nil"/>
              <w:bottom w:val="single" w:sz="4" w:space="0" w:color="auto"/>
            </w:tcBorders>
          </w:tcPr>
          <w:p w:rsidR="00567B15" w:rsidRDefault="00567B15">
            <w:pPr>
              <w:spacing w:before="0" w:after="0" w:line="320" w:lineRule="exact"/>
              <w:jc w:val="both"/>
              <w:rPr>
                <w:szCs w:val="22"/>
              </w:rPr>
            </w:pPr>
          </w:p>
        </w:tc>
        <w:tc>
          <w:tcPr>
            <w:tcW w:w="1093" w:type="dxa"/>
            <w:tcBorders>
              <w:top w:val="nil"/>
              <w:bottom w:val="single" w:sz="4" w:space="0" w:color="auto"/>
            </w:tcBorders>
          </w:tcPr>
          <w:p w:rsidR="00567B15" w:rsidRDefault="00567B15">
            <w:pPr>
              <w:tabs>
                <w:tab w:val="left" w:pos="238"/>
              </w:tabs>
              <w:spacing w:before="0" w:after="0" w:line="320" w:lineRule="exact"/>
              <w:jc w:val="both"/>
              <w:rPr>
                <w:szCs w:val="22"/>
              </w:rPr>
            </w:pPr>
            <w:r>
              <w:rPr>
                <w:szCs w:val="22"/>
                <w:rtl/>
              </w:rPr>
              <w:tab/>
              <w:t>المجموع</w:t>
            </w:r>
          </w:p>
        </w:tc>
        <w:tc>
          <w:tcPr>
            <w:tcW w:w="1196" w:type="dxa"/>
            <w:tcBorders>
              <w:top w:val="nil"/>
              <w:bottom w:val="single" w:sz="4" w:space="0" w:color="auto"/>
            </w:tcBorders>
          </w:tcPr>
          <w:p w:rsidR="00567B15" w:rsidRDefault="00567B15">
            <w:pPr>
              <w:spacing w:before="0" w:after="0" w:line="320" w:lineRule="exact"/>
              <w:ind w:firstLine="122"/>
              <w:jc w:val="both"/>
              <w:rPr>
                <w:rFonts w:hint="cs"/>
                <w:szCs w:val="22"/>
              </w:rPr>
            </w:pPr>
            <w:r>
              <w:rPr>
                <w:rFonts w:hint="cs"/>
                <w:szCs w:val="22"/>
                <w:rtl/>
              </w:rPr>
              <w:t>933 101</w:t>
            </w:r>
          </w:p>
        </w:tc>
        <w:tc>
          <w:tcPr>
            <w:tcW w:w="1196" w:type="dxa"/>
            <w:tcBorders>
              <w:top w:val="nil"/>
              <w:bottom w:val="single" w:sz="4" w:space="0" w:color="auto"/>
            </w:tcBorders>
          </w:tcPr>
          <w:p w:rsidR="00567B15" w:rsidRDefault="00567B15">
            <w:pPr>
              <w:spacing w:before="0" w:after="0" w:line="320" w:lineRule="exact"/>
              <w:ind w:firstLine="160"/>
              <w:jc w:val="both"/>
              <w:rPr>
                <w:rFonts w:hint="cs"/>
                <w:szCs w:val="22"/>
              </w:rPr>
            </w:pPr>
            <w:r>
              <w:rPr>
                <w:rFonts w:hint="cs"/>
                <w:szCs w:val="22"/>
                <w:rtl/>
              </w:rPr>
              <w:t>047 97</w:t>
            </w:r>
          </w:p>
        </w:tc>
        <w:tc>
          <w:tcPr>
            <w:tcW w:w="1196"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95.21</w:t>
            </w:r>
          </w:p>
        </w:tc>
        <w:tc>
          <w:tcPr>
            <w:tcW w:w="1196" w:type="dxa"/>
            <w:tcBorders>
              <w:top w:val="nil"/>
              <w:bottom w:val="single" w:sz="4" w:space="0" w:color="auto"/>
            </w:tcBorders>
          </w:tcPr>
          <w:p w:rsidR="00567B15" w:rsidRDefault="00567B15">
            <w:pPr>
              <w:spacing w:before="0" w:after="0" w:line="320" w:lineRule="exact"/>
              <w:ind w:firstLine="134"/>
              <w:jc w:val="both"/>
              <w:rPr>
                <w:rFonts w:hint="cs"/>
                <w:szCs w:val="22"/>
              </w:rPr>
            </w:pPr>
            <w:r>
              <w:rPr>
                <w:rFonts w:hint="cs"/>
                <w:szCs w:val="22"/>
                <w:rtl/>
              </w:rPr>
              <w:t>503 22</w:t>
            </w:r>
          </w:p>
        </w:tc>
        <w:tc>
          <w:tcPr>
            <w:tcW w:w="1197" w:type="dxa"/>
            <w:tcBorders>
              <w:top w:val="nil"/>
              <w:bottom w:val="single" w:sz="4" w:space="0" w:color="auto"/>
            </w:tcBorders>
          </w:tcPr>
          <w:p w:rsidR="00567B15" w:rsidRDefault="00567B15">
            <w:pPr>
              <w:spacing w:before="0" w:after="0" w:line="320" w:lineRule="exact"/>
              <w:ind w:firstLine="161"/>
              <w:jc w:val="both"/>
              <w:rPr>
                <w:rFonts w:hint="cs"/>
                <w:szCs w:val="22"/>
              </w:rPr>
            </w:pPr>
            <w:r>
              <w:rPr>
                <w:rFonts w:hint="cs"/>
                <w:szCs w:val="22"/>
                <w:rtl/>
              </w:rPr>
              <w:t>199 21</w:t>
            </w:r>
          </w:p>
        </w:tc>
        <w:tc>
          <w:tcPr>
            <w:tcW w:w="1073"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94.21</w:t>
            </w:r>
          </w:p>
        </w:tc>
      </w:tr>
      <w:tr w:rsidR="00567B15" w:rsidTr="00567B15">
        <w:tblPrEx>
          <w:tblCellMar>
            <w:top w:w="0" w:type="dxa"/>
            <w:bottom w:w="0" w:type="dxa"/>
          </w:tblCellMar>
        </w:tblPrEx>
        <w:tc>
          <w:tcPr>
            <w:tcW w:w="1204" w:type="dxa"/>
            <w:tcBorders>
              <w:bottom w:val="nil"/>
            </w:tcBorders>
          </w:tcPr>
          <w:p w:rsidR="00567B15" w:rsidRDefault="00567B15">
            <w:pPr>
              <w:spacing w:before="0" w:after="0" w:line="320" w:lineRule="exact"/>
              <w:jc w:val="both"/>
              <w:rPr>
                <w:rFonts w:hint="cs"/>
                <w:szCs w:val="22"/>
              </w:rPr>
            </w:pPr>
            <w:r>
              <w:rPr>
                <w:rFonts w:hint="cs"/>
                <w:szCs w:val="22"/>
                <w:rtl/>
              </w:rPr>
              <w:t>1994-1995</w:t>
            </w:r>
          </w:p>
        </w:tc>
        <w:tc>
          <w:tcPr>
            <w:tcW w:w="1093" w:type="dxa"/>
            <w:tcBorders>
              <w:bottom w:val="nil"/>
            </w:tcBorders>
          </w:tcPr>
          <w:p w:rsidR="00567B15" w:rsidRDefault="00567B15">
            <w:pPr>
              <w:spacing w:before="0" w:after="0" w:line="320" w:lineRule="exact"/>
              <w:jc w:val="both"/>
              <w:rPr>
                <w:rFonts w:hint="cs"/>
                <w:szCs w:val="22"/>
              </w:rPr>
            </w:pPr>
            <w:r>
              <w:rPr>
                <w:rFonts w:hint="cs"/>
                <w:szCs w:val="22"/>
                <w:rtl/>
              </w:rPr>
              <w:t>ذكور</w:t>
            </w:r>
          </w:p>
        </w:tc>
        <w:tc>
          <w:tcPr>
            <w:tcW w:w="1196" w:type="dxa"/>
            <w:tcBorders>
              <w:bottom w:val="nil"/>
            </w:tcBorders>
          </w:tcPr>
          <w:p w:rsidR="00567B15" w:rsidRDefault="00567B15">
            <w:pPr>
              <w:spacing w:before="0" w:after="0" w:line="320" w:lineRule="exact"/>
              <w:ind w:firstLine="122"/>
              <w:jc w:val="both"/>
              <w:rPr>
                <w:rFonts w:hint="cs"/>
                <w:szCs w:val="22"/>
              </w:rPr>
            </w:pPr>
            <w:r>
              <w:rPr>
                <w:rFonts w:hint="cs"/>
                <w:szCs w:val="22"/>
                <w:rtl/>
              </w:rPr>
              <w:t>843 55</w:t>
            </w:r>
          </w:p>
        </w:tc>
        <w:tc>
          <w:tcPr>
            <w:tcW w:w="1196" w:type="dxa"/>
            <w:tcBorders>
              <w:bottom w:val="nil"/>
            </w:tcBorders>
          </w:tcPr>
          <w:p w:rsidR="00567B15" w:rsidRDefault="00567B15">
            <w:pPr>
              <w:spacing w:before="0" w:after="0" w:line="320" w:lineRule="exact"/>
              <w:ind w:firstLine="160"/>
              <w:jc w:val="both"/>
              <w:rPr>
                <w:rFonts w:hint="cs"/>
                <w:szCs w:val="22"/>
              </w:rPr>
            </w:pPr>
            <w:r>
              <w:rPr>
                <w:rFonts w:hint="cs"/>
                <w:szCs w:val="22"/>
                <w:rtl/>
              </w:rPr>
              <w:t>487 53</w:t>
            </w:r>
          </w:p>
        </w:tc>
        <w:tc>
          <w:tcPr>
            <w:tcW w:w="1196" w:type="dxa"/>
            <w:tcBorders>
              <w:bottom w:val="nil"/>
            </w:tcBorders>
          </w:tcPr>
          <w:p w:rsidR="00567B15" w:rsidRDefault="00567B15">
            <w:pPr>
              <w:spacing w:before="0" w:after="0" w:line="320" w:lineRule="exact"/>
              <w:jc w:val="both"/>
              <w:rPr>
                <w:rFonts w:hint="cs"/>
                <w:szCs w:val="22"/>
              </w:rPr>
            </w:pPr>
            <w:r>
              <w:rPr>
                <w:rFonts w:hint="cs"/>
                <w:szCs w:val="22"/>
                <w:rtl/>
              </w:rPr>
              <w:t>95.78</w:t>
            </w:r>
          </w:p>
        </w:tc>
        <w:tc>
          <w:tcPr>
            <w:tcW w:w="1196" w:type="dxa"/>
            <w:tcBorders>
              <w:bottom w:val="nil"/>
            </w:tcBorders>
          </w:tcPr>
          <w:p w:rsidR="00567B15" w:rsidRDefault="00567B15">
            <w:pPr>
              <w:spacing w:before="0" w:after="0" w:line="320" w:lineRule="exact"/>
              <w:ind w:firstLine="134"/>
              <w:jc w:val="both"/>
              <w:rPr>
                <w:rFonts w:hint="cs"/>
                <w:szCs w:val="22"/>
              </w:rPr>
            </w:pPr>
            <w:r>
              <w:rPr>
                <w:rFonts w:hint="cs"/>
                <w:szCs w:val="22"/>
                <w:rtl/>
              </w:rPr>
              <w:t>866 12</w:t>
            </w:r>
          </w:p>
        </w:tc>
        <w:tc>
          <w:tcPr>
            <w:tcW w:w="1197" w:type="dxa"/>
            <w:tcBorders>
              <w:bottom w:val="nil"/>
            </w:tcBorders>
          </w:tcPr>
          <w:p w:rsidR="00567B15" w:rsidRDefault="00567B15">
            <w:pPr>
              <w:spacing w:before="0" w:after="0" w:line="320" w:lineRule="exact"/>
              <w:ind w:firstLine="161"/>
              <w:jc w:val="both"/>
              <w:rPr>
                <w:rFonts w:hint="cs"/>
                <w:szCs w:val="22"/>
              </w:rPr>
            </w:pPr>
            <w:r>
              <w:rPr>
                <w:rFonts w:hint="cs"/>
                <w:szCs w:val="22"/>
                <w:rtl/>
              </w:rPr>
              <w:t>259 12</w:t>
            </w:r>
          </w:p>
        </w:tc>
        <w:tc>
          <w:tcPr>
            <w:tcW w:w="1073" w:type="dxa"/>
            <w:tcBorders>
              <w:bottom w:val="nil"/>
            </w:tcBorders>
          </w:tcPr>
          <w:p w:rsidR="00567B15" w:rsidRDefault="00567B15">
            <w:pPr>
              <w:spacing w:before="0" w:after="0" w:line="320" w:lineRule="exact"/>
              <w:jc w:val="both"/>
              <w:rPr>
                <w:rFonts w:hint="cs"/>
                <w:szCs w:val="22"/>
              </w:rPr>
            </w:pPr>
            <w:r>
              <w:rPr>
                <w:rFonts w:hint="cs"/>
                <w:szCs w:val="22"/>
                <w:rtl/>
              </w:rPr>
              <w:t>95.28</w:t>
            </w:r>
          </w:p>
        </w:tc>
      </w:tr>
      <w:tr w:rsidR="00567B15" w:rsidTr="00567B15">
        <w:tblPrEx>
          <w:tblCellMar>
            <w:top w:w="0" w:type="dxa"/>
            <w:bottom w:w="0" w:type="dxa"/>
          </w:tblCellMar>
        </w:tblPrEx>
        <w:tc>
          <w:tcPr>
            <w:tcW w:w="1204" w:type="dxa"/>
            <w:tcBorders>
              <w:top w:val="nil"/>
              <w:bottom w:val="nil"/>
            </w:tcBorders>
          </w:tcPr>
          <w:p w:rsidR="00567B15" w:rsidRDefault="00567B15">
            <w:pPr>
              <w:spacing w:before="0" w:after="0" w:line="320" w:lineRule="exact"/>
              <w:jc w:val="both"/>
              <w:rPr>
                <w:szCs w:val="22"/>
              </w:rPr>
            </w:pPr>
          </w:p>
        </w:tc>
        <w:tc>
          <w:tcPr>
            <w:tcW w:w="1093" w:type="dxa"/>
            <w:tcBorders>
              <w:top w:val="nil"/>
              <w:bottom w:val="nil"/>
            </w:tcBorders>
          </w:tcPr>
          <w:p w:rsidR="00567B15" w:rsidRDefault="00567B15">
            <w:pPr>
              <w:spacing w:before="0" w:after="0" w:line="320" w:lineRule="exact"/>
              <w:jc w:val="both"/>
              <w:rPr>
                <w:rFonts w:hint="cs"/>
                <w:szCs w:val="22"/>
              </w:rPr>
            </w:pPr>
            <w:r>
              <w:rPr>
                <w:rFonts w:hint="cs"/>
                <w:szCs w:val="22"/>
                <w:rtl/>
              </w:rPr>
              <w:t>إناث</w:t>
            </w:r>
          </w:p>
        </w:tc>
        <w:tc>
          <w:tcPr>
            <w:tcW w:w="1196" w:type="dxa"/>
            <w:tcBorders>
              <w:top w:val="nil"/>
              <w:bottom w:val="nil"/>
            </w:tcBorders>
          </w:tcPr>
          <w:p w:rsidR="00567B15" w:rsidRDefault="00567B15">
            <w:pPr>
              <w:spacing w:before="0" w:after="0" w:line="320" w:lineRule="exact"/>
              <w:ind w:firstLine="122"/>
              <w:jc w:val="both"/>
              <w:rPr>
                <w:rFonts w:hint="cs"/>
                <w:szCs w:val="22"/>
              </w:rPr>
            </w:pPr>
            <w:r>
              <w:rPr>
                <w:rFonts w:hint="cs"/>
                <w:szCs w:val="22"/>
                <w:rtl/>
              </w:rPr>
              <w:t>711 54</w:t>
            </w:r>
          </w:p>
        </w:tc>
        <w:tc>
          <w:tcPr>
            <w:tcW w:w="1196" w:type="dxa"/>
            <w:tcBorders>
              <w:top w:val="nil"/>
              <w:bottom w:val="nil"/>
            </w:tcBorders>
          </w:tcPr>
          <w:p w:rsidR="00567B15" w:rsidRDefault="00567B15">
            <w:pPr>
              <w:spacing w:before="0" w:after="0" w:line="320" w:lineRule="exact"/>
              <w:ind w:firstLine="160"/>
              <w:jc w:val="both"/>
              <w:rPr>
                <w:rFonts w:hint="cs"/>
                <w:szCs w:val="22"/>
              </w:rPr>
            </w:pPr>
            <w:r>
              <w:rPr>
                <w:rFonts w:hint="cs"/>
                <w:szCs w:val="22"/>
                <w:rtl/>
              </w:rPr>
              <w:t>348 52</w:t>
            </w:r>
          </w:p>
        </w:tc>
        <w:tc>
          <w:tcPr>
            <w:tcW w:w="1196" w:type="dxa"/>
            <w:tcBorders>
              <w:top w:val="nil"/>
              <w:bottom w:val="nil"/>
            </w:tcBorders>
          </w:tcPr>
          <w:p w:rsidR="00567B15" w:rsidRDefault="00567B15">
            <w:pPr>
              <w:spacing w:before="0" w:after="0" w:line="320" w:lineRule="exact"/>
              <w:jc w:val="both"/>
              <w:rPr>
                <w:rFonts w:hint="cs"/>
                <w:szCs w:val="22"/>
              </w:rPr>
            </w:pPr>
            <w:r>
              <w:rPr>
                <w:rFonts w:hint="cs"/>
                <w:szCs w:val="22"/>
                <w:rtl/>
              </w:rPr>
              <w:t>95.68</w:t>
            </w:r>
          </w:p>
        </w:tc>
        <w:tc>
          <w:tcPr>
            <w:tcW w:w="1196" w:type="dxa"/>
            <w:tcBorders>
              <w:top w:val="nil"/>
              <w:bottom w:val="nil"/>
            </w:tcBorders>
          </w:tcPr>
          <w:p w:rsidR="00567B15" w:rsidRDefault="00567B15">
            <w:pPr>
              <w:spacing w:before="0" w:after="0" w:line="320" w:lineRule="exact"/>
              <w:ind w:firstLine="134"/>
              <w:jc w:val="both"/>
              <w:rPr>
                <w:rFonts w:hint="cs"/>
                <w:szCs w:val="22"/>
              </w:rPr>
            </w:pPr>
            <w:r>
              <w:rPr>
                <w:rFonts w:hint="cs"/>
                <w:szCs w:val="22"/>
                <w:rtl/>
              </w:rPr>
              <w:t>738 12</w:t>
            </w:r>
          </w:p>
        </w:tc>
        <w:tc>
          <w:tcPr>
            <w:tcW w:w="1197" w:type="dxa"/>
            <w:tcBorders>
              <w:top w:val="nil"/>
              <w:bottom w:val="nil"/>
            </w:tcBorders>
          </w:tcPr>
          <w:p w:rsidR="00567B15" w:rsidRDefault="00567B15">
            <w:pPr>
              <w:spacing w:before="0" w:after="0" w:line="320" w:lineRule="exact"/>
              <w:ind w:firstLine="161"/>
              <w:jc w:val="both"/>
              <w:rPr>
                <w:rFonts w:hint="cs"/>
                <w:szCs w:val="22"/>
              </w:rPr>
            </w:pPr>
            <w:r>
              <w:rPr>
                <w:rFonts w:hint="cs"/>
                <w:szCs w:val="22"/>
                <w:rtl/>
              </w:rPr>
              <w:t>183 12</w:t>
            </w:r>
          </w:p>
        </w:tc>
        <w:tc>
          <w:tcPr>
            <w:tcW w:w="1073" w:type="dxa"/>
            <w:tcBorders>
              <w:top w:val="nil"/>
              <w:bottom w:val="nil"/>
            </w:tcBorders>
          </w:tcPr>
          <w:p w:rsidR="00567B15" w:rsidRDefault="00567B15">
            <w:pPr>
              <w:spacing w:before="0" w:after="0" w:line="320" w:lineRule="exact"/>
              <w:jc w:val="both"/>
              <w:rPr>
                <w:rFonts w:hint="cs"/>
                <w:szCs w:val="22"/>
              </w:rPr>
            </w:pPr>
            <w:r>
              <w:rPr>
                <w:rFonts w:hint="cs"/>
                <w:szCs w:val="22"/>
                <w:rtl/>
              </w:rPr>
              <w:t>95.64</w:t>
            </w:r>
          </w:p>
        </w:tc>
      </w:tr>
      <w:tr w:rsidR="00567B15" w:rsidTr="00567B15">
        <w:tblPrEx>
          <w:tblCellMar>
            <w:top w:w="0" w:type="dxa"/>
            <w:bottom w:w="0" w:type="dxa"/>
          </w:tblCellMar>
        </w:tblPrEx>
        <w:tc>
          <w:tcPr>
            <w:tcW w:w="1204" w:type="dxa"/>
            <w:tcBorders>
              <w:top w:val="nil"/>
              <w:bottom w:val="single" w:sz="4" w:space="0" w:color="auto"/>
            </w:tcBorders>
          </w:tcPr>
          <w:p w:rsidR="00567B15" w:rsidRDefault="00567B15">
            <w:pPr>
              <w:spacing w:before="0" w:after="0" w:line="320" w:lineRule="exact"/>
              <w:jc w:val="both"/>
              <w:rPr>
                <w:szCs w:val="22"/>
              </w:rPr>
            </w:pPr>
          </w:p>
        </w:tc>
        <w:tc>
          <w:tcPr>
            <w:tcW w:w="1093" w:type="dxa"/>
            <w:tcBorders>
              <w:top w:val="nil"/>
              <w:bottom w:val="single" w:sz="4" w:space="0" w:color="auto"/>
            </w:tcBorders>
          </w:tcPr>
          <w:p w:rsidR="00567B15" w:rsidRDefault="00567B15">
            <w:pPr>
              <w:tabs>
                <w:tab w:val="left" w:pos="238"/>
              </w:tabs>
              <w:spacing w:before="0" w:after="0" w:line="320" w:lineRule="exact"/>
              <w:jc w:val="both"/>
              <w:rPr>
                <w:szCs w:val="22"/>
              </w:rPr>
            </w:pPr>
            <w:r>
              <w:rPr>
                <w:szCs w:val="22"/>
                <w:rtl/>
              </w:rPr>
              <w:tab/>
              <w:t>المجموع</w:t>
            </w:r>
          </w:p>
        </w:tc>
        <w:tc>
          <w:tcPr>
            <w:tcW w:w="1196" w:type="dxa"/>
            <w:tcBorders>
              <w:top w:val="nil"/>
              <w:bottom w:val="single" w:sz="4" w:space="0" w:color="auto"/>
            </w:tcBorders>
          </w:tcPr>
          <w:p w:rsidR="00567B15" w:rsidRDefault="00567B15">
            <w:pPr>
              <w:spacing w:before="0" w:after="0" w:line="320" w:lineRule="exact"/>
              <w:ind w:firstLine="122"/>
              <w:jc w:val="both"/>
              <w:rPr>
                <w:rFonts w:hint="cs"/>
                <w:szCs w:val="22"/>
              </w:rPr>
            </w:pPr>
            <w:r>
              <w:rPr>
                <w:rFonts w:hint="cs"/>
                <w:szCs w:val="22"/>
                <w:rtl/>
              </w:rPr>
              <w:t>554 110</w:t>
            </w:r>
          </w:p>
        </w:tc>
        <w:tc>
          <w:tcPr>
            <w:tcW w:w="1196" w:type="dxa"/>
            <w:tcBorders>
              <w:top w:val="nil"/>
              <w:bottom w:val="single" w:sz="4" w:space="0" w:color="auto"/>
            </w:tcBorders>
          </w:tcPr>
          <w:p w:rsidR="00567B15" w:rsidRDefault="00567B15">
            <w:pPr>
              <w:spacing w:before="0" w:after="0" w:line="320" w:lineRule="exact"/>
              <w:ind w:firstLine="160"/>
              <w:jc w:val="both"/>
              <w:rPr>
                <w:rFonts w:hint="cs"/>
                <w:szCs w:val="22"/>
              </w:rPr>
            </w:pPr>
            <w:r>
              <w:rPr>
                <w:rFonts w:hint="cs"/>
                <w:szCs w:val="22"/>
                <w:rtl/>
              </w:rPr>
              <w:t>835 105</w:t>
            </w:r>
          </w:p>
        </w:tc>
        <w:tc>
          <w:tcPr>
            <w:tcW w:w="1196"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95.73</w:t>
            </w:r>
          </w:p>
        </w:tc>
        <w:tc>
          <w:tcPr>
            <w:tcW w:w="1196" w:type="dxa"/>
            <w:tcBorders>
              <w:top w:val="nil"/>
              <w:bottom w:val="single" w:sz="4" w:space="0" w:color="auto"/>
            </w:tcBorders>
          </w:tcPr>
          <w:p w:rsidR="00567B15" w:rsidRDefault="00567B15">
            <w:pPr>
              <w:spacing w:before="0" w:after="0" w:line="320" w:lineRule="exact"/>
              <w:ind w:firstLine="134"/>
              <w:jc w:val="both"/>
              <w:rPr>
                <w:rFonts w:hint="cs"/>
                <w:szCs w:val="22"/>
              </w:rPr>
            </w:pPr>
            <w:r>
              <w:rPr>
                <w:rFonts w:hint="cs"/>
                <w:szCs w:val="22"/>
                <w:rtl/>
              </w:rPr>
              <w:t>604 25</w:t>
            </w:r>
          </w:p>
        </w:tc>
        <w:tc>
          <w:tcPr>
            <w:tcW w:w="1197" w:type="dxa"/>
            <w:tcBorders>
              <w:top w:val="nil"/>
              <w:bottom w:val="single" w:sz="4" w:space="0" w:color="auto"/>
            </w:tcBorders>
          </w:tcPr>
          <w:p w:rsidR="00567B15" w:rsidRDefault="00567B15">
            <w:pPr>
              <w:spacing w:before="0" w:after="0" w:line="320" w:lineRule="exact"/>
              <w:ind w:firstLine="161"/>
              <w:jc w:val="both"/>
              <w:rPr>
                <w:szCs w:val="22"/>
              </w:rPr>
            </w:pPr>
          </w:p>
        </w:tc>
        <w:tc>
          <w:tcPr>
            <w:tcW w:w="1073"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0.00</w:t>
            </w:r>
          </w:p>
        </w:tc>
      </w:tr>
      <w:tr w:rsidR="00567B15" w:rsidTr="00567B15">
        <w:tblPrEx>
          <w:tblCellMar>
            <w:top w:w="0" w:type="dxa"/>
            <w:bottom w:w="0" w:type="dxa"/>
          </w:tblCellMar>
        </w:tblPrEx>
        <w:tc>
          <w:tcPr>
            <w:tcW w:w="1204" w:type="dxa"/>
            <w:tcBorders>
              <w:bottom w:val="nil"/>
            </w:tcBorders>
          </w:tcPr>
          <w:p w:rsidR="00567B15" w:rsidRDefault="00567B15">
            <w:pPr>
              <w:spacing w:before="0" w:after="0" w:line="320" w:lineRule="exact"/>
              <w:jc w:val="both"/>
              <w:rPr>
                <w:rFonts w:hint="cs"/>
                <w:szCs w:val="22"/>
              </w:rPr>
            </w:pPr>
            <w:r>
              <w:rPr>
                <w:rFonts w:hint="cs"/>
                <w:szCs w:val="22"/>
                <w:rtl/>
              </w:rPr>
              <w:t>1995-1996</w:t>
            </w:r>
          </w:p>
        </w:tc>
        <w:tc>
          <w:tcPr>
            <w:tcW w:w="1093" w:type="dxa"/>
            <w:tcBorders>
              <w:bottom w:val="nil"/>
            </w:tcBorders>
          </w:tcPr>
          <w:p w:rsidR="00567B15" w:rsidRDefault="00567B15">
            <w:pPr>
              <w:spacing w:before="0" w:after="0" w:line="320" w:lineRule="exact"/>
              <w:jc w:val="both"/>
              <w:rPr>
                <w:rFonts w:hint="cs"/>
                <w:szCs w:val="22"/>
              </w:rPr>
            </w:pPr>
            <w:r>
              <w:rPr>
                <w:rFonts w:hint="cs"/>
                <w:szCs w:val="22"/>
                <w:rtl/>
              </w:rPr>
              <w:t>ذكور</w:t>
            </w:r>
          </w:p>
        </w:tc>
        <w:tc>
          <w:tcPr>
            <w:tcW w:w="1196" w:type="dxa"/>
            <w:tcBorders>
              <w:bottom w:val="nil"/>
            </w:tcBorders>
          </w:tcPr>
          <w:p w:rsidR="00567B15" w:rsidRDefault="00567B15">
            <w:pPr>
              <w:spacing w:before="0" w:after="0" w:line="320" w:lineRule="exact"/>
              <w:ind w:firstLine="122"/>
              <w:jc w:val="both"/>
              <w:rPr>
                <w:rFonts w:hint="cs"/>
                <w:szCs w:val="22"/>
              </w:rPr>
            </w:pPr>
            <w:r>
              <w:rPr>
                <w:rFonts w:hint="cs"/>
                <w:szCs w:val="22"/>
                <w:rtl/>
              </w:rPr>
              <w:t>357 58</w:t>
            </w:r>
          </w:p>
        </w:tc>
        <w:tc>
          <w:tcPr>
            <w:tcW w:w="1196" w:type="dxa"/>
            <w:tcBorders>
              <w:bottom w:val="nil"/>
            </w:tcBorders>
          </w:tcPr>
          <w:p w:rsidR="00567B15" w:rsidRDefault="00567B15">
            <w:pPr>
              <w:spacing w:before="0" w:after="0" w:line="320" w:lineRule="exact"/>
              <w:ind w:firstLine="160"/>
              <w:jc w:val="both"/>
              <w:rPr>
                <w:rFonts w:hint="cs"/>
                <w:szCs w:val="22"/>
              </w:rPr>
            </w:pPr>
            <w:r>
              <w:rPr>
                <w:rFonts w:hint="cs"/>
                <w:szCs w:val="22"/>
                <w:rtl/>
              </w:rPr>
              <w:t>840 55</w:t>
            </w:r>
          </w:p>
        </w:tc>
        <w:tc>
          <w:tcPr>
            <w:tcW w:w="1196" w:type="dxa"/>
            <w:tcBorders>
              <w:bottom w:val="nil"/>
            </w:tcBorders>
          </w:tcPr>
          <w:p w:rsidR="00567B15" w:rsidRDefault="00567B15">
            <w:pPr>
              <w:spacing w:before="0" w:after="0" w:line="320" w:lineRule="exact"/>
              <w:jc w:val="both"/>
              <w:rPr>
                <w:rFonts w:hint="cs"/>
                <w:szCs w:val="22"/>
              </w:rPr>
            </w:pPr>
            <w:r>
              <w:rPr>
                <w:rFonts w:hint="cs"/>
                <w:szCs w:val="22"/>
                <w:rtl/>
              </w:rPr>
              <w:t>95.69</w:t>
            </w:r>
          </w:p>
        </w:tc>
        <w:tc>
          <w:tcPr>
            <w:tcW w:w="1196" w:type="dxa"/>
            <w:tcBorders>
              <w:bottom w:val="nil"/>
            </w:tcBorders>
          </w:tcPr>
          <w:p w:rsidR="00567B15" w:rsidRDefault="00567B15">
            <w:pPr>
              <w:spacing w:before="0" w:after="0" w:line="320" w:lineRule="exact"/>
              <w:ind w:firstLine="134"/>
              <w:jc w:val="both"/>
              <w:rPr>
                <w:rFonts w:hint="cs"/>
                <w:szCs w:val="22"/>
              </w:rPr>
            </w:pPr>
            <w:r>
              <w:rPr>
                <w:rFonts w:hint="cs"/>
                <w:szCs w:val="22"/>
                <w:rtl/>
              </w:rPr>
              <w:t>583 14</w:t>
            </w:r>
          </w:p>
        </w:tc>
        <w:tc>
          <w:tcPr>
            <w:tcW w:w="1197" w:type="dxa"/>
            <w:tcBorders>
              <w:bottom w:val="nil"/>
            </w:tcBorders>
          </w:tcPr>
          <w:p w:rsidR="00567B15" w:rsidRDefault="00567B15">
            <w:pPr>
              <w:spacing w:before="0" w:after="0" w:line="320" w:lineRule="exact"/>
              <w:ind w:firstLine="161"/>
              <w:jc w:val="both"/>
              <w:rPr>
                <w:rFonts w:hint="cs"/>
                <w:szCs w:val="22"/>
              </w:rPr>
            </w:pPr>
            <w:r>
              <w:rPr>
                <w:rFonts w:hint="cs"/>
                <w:szCs w:val="22"/>
                <w:rtl/>
              </w:rPr>
              <w:t>380 13</w:t>
            </w:r>
          </w:p>
        </w:tc>
        <w:tc>
          <w:tcPr>
            <w:tcW w:w="1073" w:type="dxa"/>
            <w:tcBorders>
              <w:bottom w:val="nil"/>
            </w:tcBorders>
          </w:tcPr>
          <w:p w:rsidR="00567B15" w:rsidRDefault="00567B15">
            <w:pPr>
              <w:spacing w:before="0" w:after="0" w:line="320" w:lineRule="exact"/>
              <w:jc w:val="both"/>
              <w:rPr>
                <w:rFonts w:hint="cs"/>
                <w:szCs w:val="22"/>
              </w:rPr>
            </w:pPr>
            <w:r>
              <w:rPr>
                <w:rFonts w:hint="cs"/>
                <w:szCs w:val="22"/>
                <w:rtl/>
              </w:rPr>
              <w:t>91.75</w:t>
            </w:r>
          </w:p>
        </w:tc>
      </w:tr>
      <w:tr w:rsidR="00567B15" w:rsidTr="00567B15">
        <w:tblPrEx>
          <w:tblCellMar>
            <w:top w:w="0" w:type="dxa"/>
            <w:bottom w:w="0" w:type="dxa"/>
          </w:tblCellMar>
        </w:tblPrEx>
        <w:tc>
          <w:tcPr>
            <w:tcW w:w="1204" w:type="dxa"/>
            <w:tcBorders>
              <w:top w:val="nil"/>
              <w:bottom w:val="nil"/>
            </w:tcBorders>
          </w:tcPr>
          <w:p w:rsidR="00567B15" w:rsidRDefault="00567B15">
            <w:pPr>
              <w:spacing w:before="0" w:after="0" w:line="320" w:lineRule="exact"/>
              <w:jc w:val="both"/>
              <w:rPr>
                <w:szCs w:val="22"/>
              </w:rPr>
            </w:pPr>
          </w:p>
        </w:tc>
        <w:tc>
          <w:tcPr>
            <w:tcW w:w="1093" w:type="dxa"/>
            <w:tcBorders>
              <w:top w:val="nil"/>
              <w:bottom w:val="nil"/>
            </w:tcBorders>
          </w:tcPr>
          <w:p w:rsidR="00567B15" w:rsidRDefault="00567B15">
            <w:pPr>
              <w:spacing w:before="0" w:after="0" w:line="320" w:lineRule="exact"/>
              <w:jc w:val="both"/>
              <w:rPr>
                <w:rFonts w:hint="cs"/>
                <w:szCs w:val="22"/>
              </w:rPr>
            </w:pPr>
            <w:r>
              <w:rPr>
                <w:rFonts w:hint="cs"/>
                <w:szCs w:val="22"/>
                <w:rtl/>
              </w:rPr>
              <w:t>إناث</w:t>
            </w:r>
          </w:p>
        </w:tc>
        <w:tc>
          <w:tcPr>
            <w:tcW w:w="1196" w:type="dxa"/>
            <w:tcBorders>
              <w:top w:val="nil"/>
              <w:bottom w:val="nil"/>
            </w:tcBorders>
          </w:tcPr>
          <w:p w:rsidR="00567B15" w:rsidRDefault="00567B15">
            <w:pPr>
              <w:spacing w:before="0" w:after="0" w:line="320" w:lineRule="exact"/>
              <w:ind w:firstLine="122"/>
              <w:jc w:val="both"/>
              <w:rPr>
                <w:rFonts w:hint="cs"/>
                <w:szCs w:val="22"/>
              </w:rPr>
            </w:pPr>
            <w:r>
              <w:rPr>
                <w:rFonts w:hint="cs"/>
                <w:szCs w:val="22"/>
                <w:rtl/>
              </w:rPr>
              <w:t>620 58</w:t>
            </w:r>
          </w:p>
        </w:tc>
        <w:tc>
          <w:tcPr>
            <w:tcW w:w="1196" w:type="dxa"/>
            <w:tcBorders>
              <w:top w:val="nil"/>
              <w:bottom w:val="nil"/>
            </w:tcBorders>
          </w:tcPr>
          <w:p w:rsidR="00567B15" w:rsidRDefault="00567B15">
            <w:pPr>
              <w:spacing w:before="0" w:after="0" w:line="320" w:lineRule="exact"/>
              <w:ind w:firstLine="160"/>
              <w:jc w:val="both"/>
              <w:rPr>
                <w:rFonts w:hint="cs"/>
                <w:szCs w:val="22"/>
              </w:rPr>
            </w:pPr>
            <w:r>
              <w:rPr>
                <w:rFonts w:hint="cs"/>
                <w:szCs w:val="22"/>
                <w:rtl/>
              </w:rPr>
              <w:t>163 56</w:t>
            </w:r>
          </w:p>
        </w:tc>
        <w:tc>
          <w:tcPr>
            <w:tcW w:w="1196" w:type="dxa"/>
            <w:tcBorders>
              <w:top w:val="nil"/>
              <w:bottom w:val="nil"/>
            </w:tcBorders>
          </w:tcPr>
          <w:p w:rsidR="00567B15" w:rsidRDefault="00567B15">
            <w:pPr>
              <w:spacing w:before="0" w:after="0" w:line="320" w:lineRule="exact"/>
              <w:jc w:val="both"/>
              <w:rPr>
                <w:rFonts w:hint="cs"/>
                <w:szCs w:val="22"/>
              </w:rPr>
            </w:pPr>
            <w:r>
              <w:rPr>
                <w:rFonts w:hint="cs"/>
                <w:szCs w:val="22"/>
                <w:rtl/>
              </w:rPr>
              <w:t>95.81</w:t>
            </w:r>
          </w:p>
        </w:tc>
        <w:tc>
          <w:tcPr>
            <w:tcW w:w="1196" w:type="dxa"/>
            <w:tcBorders>
              <w:top w:val="nil"/>
              <w:bottom w:val="nil"/>
            </w:tcBorders>
          </w:tcPr>
          <w:p w:rsidR="00567B15" w:rsidRDefault="00567B15">
            <w:pPr>
              <w:spacing w:before="0" w:after="0" w:line="320" w:lineRule="exact"/>
              <w:ind w:firstLine="134"/>
              <w:jc w:val="both"/>
              <w:rPr>
                <w:rFonts w:hint="cs"/>
                <w:szCs w:val="22"/>
              </w:rPr>
            </w:pPr>
            <w:r>
              <w:rPr>
                <w:rFonts w:hint="cs"/>
                <w:szCs w:val="22"/>
                <w:rtl/>
              </w:rPr>
              <w:t>298 14</w:t>
            </w:r>
          </w:p>
        </w:tc>
        <w:tc>
          <w:tcPr>
            <w:tcW w:w="1197" w:type="dxa"/>
            <w:tcBorders>
              <w:top w:val="nil"/>
              <w:bottom w:val="nil"/>
            </w:tcBorders>
          </w:tcPr>
          <w:p w:rsidR="00567B15" w:rsidRDefault="00567B15">
            <w:pPr>
              <w:spacing w:before="0" w:after="0" w:line="320" w:lineRule="exact"/>
              <w:ind w:firstLine="161"/>
              <w:jc w:val="both"/>
              <w:rPr>
                <w:rFonts w:hint="cs"/>
                <w:szCs w:val="22"/>
              </w:rPr>
            </w:pPr>
            <w:r>
              <w:rPr>
                <w:rFonts w:hint="cs"/>
                <w:szCs w:val="22"/>
                <w:rtl/>
              </w:rPr>
              <w:t>634 13</w:t>
            </w:r>
          </w:p>
        </w:tc>
        <w:tc>
          <w:tcPr>
            <w:tcW w:w="1073" w:type="dxa"/>
            <w:tcBorders>
              <w:top w:val="nil"/>
              <w:bottom w:val="nil"/>
            </w:tcBorders>
          </w:tcPr>
          <w:p w:rsidR="00567B15" w:rsidRDefault="00567B15">
            <w:pPr>
              <w:spacing w:before="0" w:after="0" w:line="320" w:lineRule="exact"/>
              <w:jc w:val="both"/>
              <w:rPr>
                <w:rFonts w:hint="cs"/>
                <w:szCs w:val="22"/>
              </w:rPr>
            </w:pPr>
            <w:r>
              <w:rPr>
                <w:rFonts w:hint="cs"/>
                <w:szCs w:val="22"/>
                <w:rtl/>
              </w:rPr>
              <w:t>95.36</w:t>
            </w:r>
          </w:p>
        </w:tc>
      </w:tr>
      <w:tr w:rsidR="00567B15" w:rsidTr="00567B15">
        <w:tblPrEx>
          <w:tblCellMar>
            <w:top w:w="0" w:type="dxa"/>
            <w:bottom w:w="0" w:type="dxa"/>
          </w:tblCellMar>
        </w:tblPrEx>
        <w:tc>
          <w:tcPr>
            <w:tcW w:w="1204" w:type="dxa"/>
            <w:tcBorders>
              <w:top w:val="nil"/>
              <w:bottom w:val="single" w:sz="4" w:space="0" w:color="auto"/>
            </w:tcBorders>
          </w:tcPr>
          <w:p w:rsidR="00567B15" w:rsidRDefault="00567B15">
            <w:pPr>
              <w:spacing w:before="0" w:after="0" w:line="320" w:lineRule="exact"/>
              <w:jc w:val="both"/>
              <w:rPr>
                <w:szCs w:val="22"/>
              </w:rPr>
            </w:pPr>
          </w:p>
        </w:tc>
        <w:tc>
          <w:tcPr>
            <w:tcW w:w="1093" w:type="dxa"/>
            <w:tcBorders>
              <w:top w:val="nil"/>
              <w:bottom w:val="single" w:sz="4" w:space="0" w:color="auto"/>
            </w:tcBorders>
          </w:tcPr>
          <w:p w:rsidR="00567B15" w:rsidRDefault="00567B15">
            <w:pPr>
              <w:tabs>
                <w:tab w:val="left" w:pos="238"/>
              </w:tabs>
              <w:spacing w:before="0" w:after="0" w:line="320" w:lineRule="exact"/>
              <w:jc w:val="both"/>
              <w:rPr>
                <w:szCs w:val="22"/>
              </w:rPr>
            </w:pPr>
            <w:r>
              <w:rPr>
                <w:szCs w:val="22"/>
                <w:rtl/>
              </w:rPr>
              <w:tab/>
              <w:t>المجموع</w:t>
            </w:r>
          </w:p>
        </w:tc>
        <w:tc>
          <w:tcPr>
            <w:tcW w:w="1196" w:type="dxa"/>
            <w:tcBorders>
              <w:top w:val="nil"/>
              <w:bottom w:val="single" w:sz="4" w:space="0" w:color="auto"/>
            </w:tcBorders>
          </w:tcPr>
          <w:p w:rsidR="00567B15" w:rsidRDefault="00567B15">
            <w:pPr>
              <w:spacing w:before="0" w:after="0" w:line="320" w:lineRule="exact"/>
              <w:ind w:firstLine="122"/>
              <w:jc w:val="both"/>
              <w:rPr>
                <w:rFonts w:hint="cs"/>
                <w:szCs w:val="22"/>
              </w:rPr>
            </w:pPr>
            <w:r>
              <w:rPr>
                <w:rFonts w:hint="cs"/>
                <w:szCs w:val="22"/>
                <w:rtl/>
              </w:rPr>
              <w:t>977 116</w:t>
            </w:r>
          </w:p>
        </w:tc>
        <w:tc>
          <w:tcPr>
            <w:tcW w:w="1196" w:type="dxa"/>
            <w:tcBorders>
              <w:top w:val="nil"/>
              <w:bottom w:val="single" w:sz="4" w:space="0" w:color="auto"/>
            </w:tcBorders>
          </w:tcPr>
          <w:p w:rsidR="00567B15" w:rsidRDefault="00567B15">
            <w:pPr>
              <w:spacing w:before="0" w:after="0" w:line="320" w:lineRule="exact"/>
              <w:ind w:firstLine="160"/>
              <w:jc w:val="both"/>
              <w:rPr>
                <w:rFonts w:hint="cs"/>
                <w:szCs w:val="22"/>
              </w:rPr>
            </w:pPr>
            <w:r>
              <w:rPr>
                <w:rFonts w:hint="cs"/>
                <w:szCs w:val="22"/>
                <w:rtl/>
              </w:rPr>
              <w:t>003 112</w:t>
            </w:r>
          </w:p>
        </w:tc>
        <w:tc>
          <w:tcPr>
            <w:tcW w:w="1196"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95.75</w:t>
            </w:r>
          </w:p>
        </w:tc>
        <w:tc>
          <w:tcPr>
            <w:tcW w:w="1196" w:type="dxa"/>
            <w:tcBorders>
              <w:top w:val="nil"/>
              <w:bottom w:val="single" w:sz="4" w:space="0" w:color="auto"/>
            </w:tcBorders>
          </w:tcPr>
          <w:p w:rsidR="00567B15" w:rsidRDefault="00567B15">
            <w:pPr>
              <w:spacing w:before="0" w:after="0" w:line="320" w:lineRule="exact"/>
              <w:ind w:firstLine="134"/>
              <w:jc w:val="both"/>
              <w:rPr>
                <w:rFonts w:hint="cs"/>
                <w:szCs w:val="22"/>
              </w:rPr>
            </w:pPr>
            <w:r>
              <w:rPr>
                <w:rFonts w:hint="cs"/>
                <w:szCs w:val="22"/>
                <w:rtl/>
              </w:rPr>
              <w:t>881 28</w:t>
            </w:r>
          </w:p>
        </w:tc>
        <w:tc>
          <w:tcPr>
            <w:tcW w:w="1197" w:type="dxa"/>
            <w:tcBorders>
              <w:top w:val="nil"/>
              <w:bottom w:val="single" w:sz="4" w:space="0" w:color="auto"/>
            </w:tcBorders>
          </w:tcPr>
          <w:p w:rsidR="00567B15" w:rsidRDefault="00567B15">
            <w:pPr>
              <w:spacing w:before="0" w:after="0" w:line="320" w:lineRule="exact"/>
              <w:ind w:firstLine="161"/>
              <w:jc w:val="both"/>
              <w:rPr>
                <w:szCs w:val="22"/>
              </w:rPr>
            </w:pPr>
          </w:p>
        </w:tc>
        <w:tc>
          <w:tcPr>
            <w:tcW w:w="1073"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0.00</w:t>
            </w:r>
          </w:p>
        </w:tc>
      </w:tr>
      <w:tr w:rsidR="00567B15" w:rsidTr="00567B15">
        <w:tblPrEx>
          <w:tblCellMar>
            <w:top w:w="0" w:type="dxa"/>
            <w:bottom w:w="0" w:type="dxa"/>
          </w:tblCellMar>
        </w:tblPrEx>
        <w:tc>
          <w:tcPr>
            <w:tcW w:w="1204" w:type="dxa"/>
            <w:tcBorders>
              <w:bottom w:val="nil"/>
            </w:tcBorders>
          </w:tcPr>
          <w:p w:rsidR="00567B15" w:rsidRDefault="00567B15">
            <w:pPr>
              <w:spacing w:before="0" w:after="0" w:line="320" w:lineRule="exact"/>
              <w:jc w:val="both"/>
              <w:rPr>
                <w:rFonts w:hint="cs"/>
                <w:szCs w:val="22"/>
              </w:rPr>
            </w:pPr>
            <w:r>
              <w:rPr>
                <w:rFonts w:hint="cs"/>
                <w:szCs w:val="22"/>
                <w:rtl/>
              </w:rPr>
              <w:t>1996-1997</w:t>
            </w:r>
          </w:p>
        </w:tc>
        <w:tc>
          <w:tcPr>
            <w:tcW w:w="1093" w:type="dxa"/>
            <w:tcBorders>
              <w:bottom w:val="nil"/>
            </w:tcBorders>
          </w:tcPr>
          <w:p w:rsidR="00567B15" w:rsidRDefault="00567B15">
            <w:pPr>
              <w:spacing w:before="0" w:after="0" w:line="320" w:lineRule="exact"/>
              <w:jc w:val="both"/>
              <w:rPr>
                <w:rFonts w:hint="cs"/>
                <w:szCs w:val="22"/>
              </w:rPr>
            </w:pPr>
            <w:r>
              <w:rPr>
                <w:rFonts w:hint="cs"/>
                <w:szCs w:val="22"/>
                <w:rtl/>
              </w:rPr>
              <w:t>ذكور</w:t>
            </w:r>
          </w:p>
        </w:tc>
        <w:tc>
          <w:tcPr>
            <w:tcW w:w="1196" w:type="dxa"/>
            <w:tcBorders>
              <w:bottom w:val="nil"/>
            </w:tcBorders>
          </w:tcPr>
          <w:p w:rsidR="00567B15" w:rsidRDefault="00567B15">
            <w:pPr>
              <w:spacing w:before="0" w:after="0" w:line="320" w:lineRule="exact"/>
              <w:ind w:firstLine="122"/>
              <w:jc w:val="both"/>
              <w:rPr>
                <w:rFonts w:hint="cs"/>
                <w:szCs w:val="22"/>
              </w:rPr>
            </w:pPr>
            <w:r>
              <w:rPr>
                <w:rFonts w:hint="cs"/>
                <w:szCs w:val="22"/>
                <w:rtl/>
              </w:rPr>
              <w:t>037 63</w:t>
            </w:r>
          </w:p>
        </w:tc>
        <w:tc>
          <w:tcPr>
            <w:tcW w:w="1196" w:type="dxa"/>
            <w:tcBorders>
              <w:bottom w:val="nil"/>
            </w:tcBorders>
          </w:tcPr>
          <w:p w:rsidR="00567B15" w:rsidRDefault="00567B15">
            <w:pPr>
              <w:spacing w:before="0" w:after="0" w:line="320" w:lineRule="exact"/>
              <w:ind w:firstLine="160"/>
              <w:jc w:val="both"/>
              <w:rPr>
                <w:rFonts w:hint="cs"/>
                <w:szCs w:val="22"/>
              </w:rPr>
            </w:pPr>
            <w:r>
              <w:rPr>
                <w:rFonts w:hint="cs"/>
                <w:szCs w:val="22"/>
                <w:rtl/>
              </w:rPr>
              <w:t>484 60</w:t>
            </w:r>
          </w:p>
        </w:tc>
        <w:tc>
          <w:tcPr>
            <w:tcW w:w="1196" w:type="dxa"/>
            <w:tcBorders>
              <w:bottom w:val="nil"/>
            </w:tcBorders>
          </w:tcPr>
          <w:p w:rsidR="00567B15" w:rsidRDefault="00567B15">
            <w:pPr>
              <w:spacing w:before="0" w:after="0" w:line="320" w:lineRule="exact"/>
              <w:jc w:val="both"/>
              <w:rPr>
                <w:rFonts w:hint="cs"/>
                <w:szCs w:val="22"/>
              </w:rPr>
            </w:pPr>
            <w:r>
              <w:rPr>
                <w:rFonts w:hint="cs"/>
                <w:szCs w:val="22"/>
                <w:rtl/>
              </w:rPr>
              <w:t>95.95</w:t>
            </w:r>
          </w:p>
        </w:tc>
        <w:tc>
          <w:tcPr>
            <w:tcW w:w="1196" w:type="dxa"/>
            <w:tcBorders>
              <w:bottom w:val="nil"/>
            </w:tcBorders>
          </w:tcPr>
          <w:p w:rsidR="00567B15" w:rsidRDefault="00567B15">
            <w:pPr>
              <w:spacing w:before="0" w:after="0" w:line="320" w:lineRule="exact"/>
              <w:ind w:firstLine="134"/>
              <w:jc w:val="both"/>
              <w:rPr>
                <w:rFonts w:hint="cs"/>
                <w:szCs w:val="22"/>
              </w:rPr>
            </w:pPr>
            <w:r>
              <w:rPr>
                <w:rFonts w:hint="cs"/>
                <w:szCs w:val="22"/>
                <w:rtl/>
              </w:rPr>
              <w:t>455 15</w:t>
            </w:r>
          </w:p>
        </w:tc>
        <w:tc>
          <w:tcPr>
            <w:tcW w:w="1197" w:type="dxa"/>
            <w:tcBorders>
              <w:bottom w:val="nil"/>
            </w:tcBorders>
          </w:tcPr>
          <w:p w:rsidR="00567B15" w:rsidRDefault="00567B15">
            <w:pPr>
              <w:spacing w:before="0" w:after="0" w:line="320" w:lineRule="exact"/>
              <w:ind w:firstLine="161"/>
              <w:jc w:val="both"/>
              <w:rPr>
                <w:rFonts w:hint="cs"/>
                <w:szCs w:val="22"/>
              </w:rPr>
            </w:pPr>
            <w:r>
              <w:rPr>
                <w:rFonts w:hint="cs"/>
                <w:szCs w:val="22"/>
                <w:rtl/>
              </w:rPr>
              <w:t>718 14</w:t>
            </w:r>
          </w:p>
        </w:tc>
        <w:tc>
          <w:tcPr>
            <w:tcW w:w="1073" w:type="dxa"/>
            <w:tcBorders>
              <w:bottom w:val="nil"/>
            </w:tcBorders>
          </w:tcPr>
          <w:p w:rsidR="00567B15" w:rsidRDefault="00567B15">
            <w:pPr>
              <w:spacing w:before="0" w:after="0" w:line="320" w:lineRule="exact"/>
              <w:jc w:val="both"/>
              <w:rPr>
                <w:rFonts w:hint="cs"/>
                <w:szCs w:val="22"/>
              </w:rPr>
            </w:pPr>
            <w:r>
              <w:rPr>
                <w:rFonts w:hint="cs"/>
                <w:szCs w:val="22"/>
                <w:rtl/>
              </w:rPr>
              <w:t>95.23</w:t>
            </w:r>
          </w:p>
        </w:tc>
      </w:tr>
      <w:tr w:rsidR="00567B15" w:rsidTr="00567B15">
        <w:tblPrEx>
          <w:tblCellMar>
            <w:top w:w="0" w:type="dxa"/>
            <w:bottom w:w="0" w:type="dxa"/>
          </w:tblCellMar>
        </w:tblPrEx>
        <w:tc>
          <w:tcPr>
            <w:tcW w:w="1204" w:type="dxa"/>
            <w:tcBorders>
              <w:top w:val="nil"/>
              <w:bottom w:val="nil"/>
            </w:tcBorders>
          </w:tcPr>
          <w:p w:rsidR="00567B15" w:rsidRDefault="00567B15">
            <w:pPr>
              <w:spacing w:before="0" w:after="0" w:line="320" w:lineRule="exact"/>
              <w:jc w:val="both"/>
              <w:rPr>
                <w:szCs w:val="22"/>
              </w:rPr>
            </w:pPr>
          </w:p>
        </w:tc>
        <w:tc>
          <w:tcPr>
            <w:tcW w:w="1093" w:type="dxa"/>
            <w:tcBorders>
              <w:top w:val="nil"/>
              <w:bottom w:val="nil"/>
            </w:tcBorders>
          </w:tcPr>
          <w:p w:rsidR="00567B15" w:rsidRDefault="00567B15">
            <w:pPr>
              <w:spacing w:before="0" w:after="0" w:line="320" w:lineRule="exact"/>
              <w:jc w:val="both"/>
              <w:rPr>
                <w:rFonts w:hint="cs"/>
                <w:szCs w:val="22"/>
              </w:rPr>
            </w:pPr>
            <w:r>
              <w:rPr>
                <w:rFonts w:hint="cs"/>
                <w:szCs w:val="22"/>
                <w:rtl/>
              </w:rPr>
              <w:t>إناث</w:t>
            </w:r>
          </w:p>
        </w:tc>
        <w:tc>
          <w:tcPr>
            <w:tcW w:w="1196" w:type="dxa"/>
            <w:tcBorders>
              <w:top w:val="nil"/>
              <w:bottom w:val="nil"/>
            </w:tcBorders>
          </w:tcPr>
          <w:p w:rsidR="00567B15" w:rsidRDefault="00567B15">
            <w:pPr>
              <w:spacing w:before="0" w:after="0" w:line="320" w:lineRule="exact"/>
              <w:ind w:firstLine="122"/>
              <w:jc w:val="both"/>
              <w:rPr>
                <w:rFonts w:hint="cs"/>
                <w:szCs w:val="22"/>
              </w:rPr>
            </w:pPr>
            <w:r>
              <w:rPr>
                <w:rFonts w:hint="cs"/>
                <w:szCs w:val="22"/>
                <w:rtl/>
              </w:rPr>
              <w:t>305 63</w:t>
            </w:r>
          </w:p>
        </w:tc>
        <w:tc>
          <w:tcPr>
            <w:tcW w:w="1196" w:type="dxa"/>
            <w:tcBorders>
              <w:top w:val="nil"/>
              <w:bottom w:val="nil"/>
            </w:tcBorders>
          </w:tcPr>
          <w:p w:rsidR="00567B15" w:rsidRDefault="00567B15">
            <w:pPr>
              <w:spacing w:before="0" w:after="0" w:line="320" w:lineRule="exact"/>
              <w:ind w:firstLine="160"/>
              <w:jc w:val="both"/>
              <w:rPr>
                <w:rFonts w:hint="cs"/>
                <w:szCs w:val="22"/>
              </w:rPr>
            </w:pPr>
            <w:r>
              <w:rPr>
                <w:rFonts w:hint="cs"/>
                <w:szCs w:val="22"/>
                <w:rtl/>
              </w:rPr>
              <w:t>817 60</w:t>
            </w:r>
          </w:p>
        </w:tc>
        <w:tc>
          <w:tcPr>
            <w:tcW w:w="1196" w:type="dxa"/>
            <w:tcBorders>
              <w:top w:val="nil"/>
              <w:bottom w:val="nil"/>
            </w:tcBorders>
          </w:tcPr>
          <w:p w:rsidR="00567B15" w:rsidRDefault="00567B15">
            <w:pPr>
              <w:spacing w:before="0" w:after="0" w:line="320" w:lineRule="exact"/>
              <w:jc w:val="both"/>
              <w:rPr>
                <w:rFonts w:hint="cs"/>
                <w:szCs w:val="22"/>
              </w:rPr>
            </w:pPr>
            <w:r>
              <w:rPr>
                <w:rFonts w:hint="cs"/>
                <w:szCs w:val="22"/>
                <w:rtl/>
              </w:rPr>
              <w:t>96.07</w:t>
            </w:r>
          </w:p>
        </w:tc>
        <w:tc>
          <w:tcPr>
            <w:tcW w:w="1196" w:type="dxa"/>
            <w:tcBorders>
              <w:top w:val="nil"/>
              <w:bottom w:val="nil"/>
            </w:tcBorders>
          </w:tcPr>
          <w:p w:rsidR="00567B15" w:rsidRDefault="00567B15">
            <w:pPr>
              <w:spacing w:before="0" w:after="0" w:line="320" w:lineRule="exact"/>
              <w:ind w:firstLine="134"/>
              <w:jc w:val="both"/>
              <w:rPr>
                <w:rFonts w:hint="cs"/>
                <w:szCs w:val="22"/>
              </w:rPr>
            </w:pPr>
            <w:r>
              <w:rPr>
                <w:rFonts w:hint="cs"/>
                <w:szCs w:val="22"/>
                <w:rtl/>
              </w:rPr>
              <w:t>975 14</w:t>
            </w:r>
          </w:p>
        </w:tc>
        <w:tc>
          <w:tcPr>
            <w:tcW w:w="1197" w:type="dxa"/>
            <w:tcBorders>
              <w:top w:val="nil"/>
              <w:bottom w:val="nil"/>
            </w:tcBorders>
          </w:tcPr>
          <w:p w:rsidR="00567B15" w:rsidRDefault="00567B15">
            <w:pPr>
              <w:spacing w:before="0" w:after="0" w:line="320" w:lineRule="exact"/>
              <w:ind w:firstLine="161"/>
              <w:jc w:val="both"/>
              <w:rPr>
                <w:rFonts w:hint="cs"/>
                <w:szCs w:val="22"/>
              </w:rPr>
            </w:pPr>
            <w:r>
              <w:rPr>
                <w:rFonts w:hint="cs"/>
                <w:szCs w:val="22"/>
                <w:rtl/>
              </w:rPr>
              <w:t>291 14</w:t>
            </w:r>
          </w:p>
        </w:tc>
        <w:tc>
          <w:tcPr>
            <w:tcW w:w="1073" w:type="dxa"/>
            <w:tcBorders>
              <w:top w:val="nil"/>
              <w:bottom w:val="nil"/>
            </w:tcBorders>
          </w:tcPr>
          <w:p w:rsidR="00567B15" w:rsidRDefault="00567B15">
            <w:pPr>
              <w:spacing w:before="0" w:after="0" w:line="320" w:lineRule="exact"/>
              <w:jc w:val="both"/>
              <w:rPr>
                <w:rFonts w:hint="cs"/>
                <w:szCs w:val="22"/>
              </w:rPr>
            </w:pPr>
            <w:r>
              <w:rPr>
                <w:rFonts w:hint="cs"/>
                <w:szCs w:val="22"/>
                <w:rtl/>
              </w:rPr>
              <w:t>95.43</w:t>
            </w:r>
          </w:p>
        </w:tc>
      </w:tr>
      <w:tr w:rsidR="00567B15" w:rsidTr="00567B15">
        <w:tblPrEx>
          <w:tblCellMar>
            <w:top w:w="0" w:type="dxa"/>
            <w:bottom w:w="0" w:type="dxa"/>
          </w:tblCellMar>
        </w:tblPrEx>
        <w:tc>
          <w:tcPr>
            <w:tcW w:w="1204" w:type="dxa"/>
            <w:tcBorders>
              <w:top w:val="nil"/>
              <w:bottom w:val="single" w:sz="4" w:space="0" w:color="auto"/>
            </w:tcBorders>
          </w:tcPr>
          <w:p w:rsidR="00567B15" w:rsidRDefault="00567B15">
            <w:pPr>
              <w:spacing w:before="0" w:after="0" w:line="320" w:lineRule="exact"/>
              <w:jc w:val="both"/>
              <w:rPr>
                <w:szCs w:val="22"/>
              </w:rPr>
            </w:pPr>
          </w:p>
        </w:tc>
        <w:tc>
          <w:tcPr>
            <w:tcW w:w="1093" w:type="dxa"/>
            <w:tcBorders>
              <w:top w:val="nil"/>
              <w:bottom w:val="single" w:sz="4" w:space="0" w:color="auto"/>
            </w:tcBorders>
          </w:tcPr>
          <w:p w:rsidR="00567B15" w:rsidRDefault="00567B15">
            <w:pPr>
              <w:tabs>
                <w:tab w:val="left" w:pos="238"/>
              </w:tabs>
              <w:spacing w:before="0" w:after="0" w:line="320" w:lineRule="exact"/>
              <w:jc w:val="both"/>
              <w:rPr>
                <w:szCs w:val="22"/>
              </w:rPr>
            </w:pPr>
            <w:r>
              <w:rPr>
                <w:szCs w:val="22"/>
                <w:rtl/>
              </w:rPr>
              <w:tab/>
              <w:t>المجموع</w:t>
            </w:r>
          </w:p>
        </w:tc>
        <w:tc>
          <w:tcPr>
            <w:tcW w:w="1196" w:type="dxa"/>
            <w:tcBorders>
              <w:top w:val="nil"/>
              <w:bottom w:val="single" w:sz="4" w:space="0" w:color="auto"/>
            </w:tcBorders>
          </w:tcPr>
          <w:p w:rsidR="00567B15" w:rsidRDefault="00567B15">
            <w:pPr>
              <w:spacing w:before="0" w:after="0" w:line="320" w:lineRule="exact"/>
              <w:ind w:firstLine="122"/>
              <w:jc w:val="both"/>
              <w:rPr>
                <w:rFonts w:hint="cs"/>
                <w:szCs w:val="22"/>
              </w:rPr>
            </w:pPr>
            <w:r>
              <w:rPr>
                <w:rFonts w:hint="cs"/>
                <w:szCs w:val="22"/>
                <w:rtl/>
              </w:rPr>
              <w:t>342 126</w:t>
            </w:r>
          </w:p>
        </w:tc>
        <w:tc>
          <w:tcPr>
            <w:tcW w:w="1196" w:type="dxa"/>
            <w:tcBorders>
              <w:top w:val="nil"/>
              <w:bottom w:val="single" w:sz="4" w:space="0" w:color="auto"/>
            </w:tcBorders>
          </w:tcPr>
          <w:p w:rsidR="00567B15" w:rsidRDefault="00567B15">
            <w:pPr>
              <w:spacing w:before="0" w:after="0" w:line="320" w:lineRule="exact"/>
              <w:ind w:firstLine="160"/>
              <w:jc w:val="both"/>
              <w:rPr>
                <w:rFonts w:hint="cs"/>
                <w:szCs w:val="22"/>
              </w:rPr>
            </w:pPr>
            <w:r>
              <w:rPr>
                <w:rFonts w:hint="cs"/>
                <w:szCs w:val="22"/>
                <w:rtl/>
              </w:rPr>
              <w:t>301 121</w:t>
            </w:r>
          </w:p>
        </w:tc>
        <w:tc>
          <w:tcPr>
            <w:tcW w:w="1196"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96.01</w:t>
            </w:r>
          </w:p>
        </w:tc>
        <w:tc>
          <w:tcPr>
            <w:tcW w:w="1196" w:type="dxa"/>
            <w:tcBorders>
              <w:top w:val="nil"/>
              <w:bottom w:val="single" w:sz="4" w:space="0" w:color="auto"/>
            </w:tcBorders>
          </w:tcPr>
          <w:p w:rsidR="00567B15" w:rsidRDefault="00567B15">
            <w:pPr>
              <w:spacing w:before="0" w:after="0" w:line="320" w:lineRule="exact"/>
              <w:ind w:firstLine="134"/>
              <w:jc w:val="both"/>
              <w:rPr>
                <w:rFonts w:hint="cs"/>
                <w:szCs w:val="22"/>
              </w:rPr>
            </w:pPr>
            <w:r>
              <w:rPr>
                <w:rFonts w:hint="cs"/>
                <w:szCs w:val="22"/>
                <w:rtl/>
              </w:rPr>
              <w:t>430 30</w:t>
            </w:r>
          </w:p>
        </w:tc>
        <w:tc>
          <w:tcPr>
            <w:tcW w:w="1197" w:type="dxa"/>
            <w:tcBorders>
              <w:top w:val="nil"/>
              <w:bottom w:val="single" w:sz="4" w:space="0" w:color="auto"/>
            </w:tcBorders>
          </w:tcPr>
          <w:p w:rsidR="00567B15" w:rsidRDefault="00567B15">
            <w:pPr>
              <w:spacing w:before="0" w:after="0" w:line="320" w:lineRule="exact"/>
              <w:ind w:firstLine="161"/>
              <w:jc w:val="both"/>
              <w:rPr>
                <w:szCs w:val="22"/>
              </w:rPr>
            </w:pPr>
          </w:p>
        </w:tc>
        <w:tc>
          <w:tcPr>
            <w:tcW w:w="1073" w:type="dxa"/>
            <w:tcBorders>
              <w:top w:val="nil"/>
              <w:bottom w:val="single" w:sz="4" w:space="0" w:color="auto"/>
            </w:tcBorders>
          </w:tcPr>
          <w:p w:rsidR="00567B15" w:rsidRDefault="00567B15">
            <w:pPr>
              <w:spacing w:before="0" w:after="0" w:line="320" w:lineRule="exact"/>
              <w:jc w:val="both"/>
              <w:rPr>
                <w:rFonts w:hint="cs"/>
                <w:szCs w:val="22"/>
              </w:rPr>
            </w:pPr>
            <w:r>
              <w:rPr>
                <w:rFonts w:hint="cs"/>
                <w:szCs w:val="22"/>
                <w:rtl/>
              </w:rPr>
              <w:t>0.00</w:t>
            </w:r>
          </w:p>
        </w:tc>
      </w:tr>
      <w:tr w:rsidR="00567B15" w:rsidTr="00567B15">
        <w:tblPrEx>
          <w:tblCellMar>
            <w:top w:w="0" w:type="dxa"/>
            <w:bottom w:w="0" w:type="dxa"/>
          </w:tblCellMar>
        </w:tblPrEx>
        <w:tc>
          <w:tcPr>
            <w:tcW w:w="1204" w:type="dxa"/>
            <w:tcBorders>
              <w:bottom w:val="nil"/>
            </w:tcBorders>
          </w:tcPr>
          <w:p w:rsidR="00567B15" w:rsidRDefault="00567B15">
            <w:pPr>
              <w:spacing w:before="0" w:after="0" w:line="320" w:lineRule="exact"/>
              <w:jc w:val="both"/>
              <w:rPr>
                <w:rFonts w:hint="cs"/>
                <w:szCs w:val="22"/>
              </w:rPr>
            </w:pPr>
            <w:r>
              <w:rPr>
                <w:rFonts w:hint="cs"/>
                <w:szCs w:val="22"/>
                <w:rtl/>
              </w:rPr>
              <w:t>1997-1998</w:t>
            </w:r>
          </w:p>
        </w:tc>
        <w:tc>
          <w:tcPr>
            <w:tcW w:w="1093" w:type="dxa"/>
            <w:tcBorders>
              <w:bottom w:val="nil"/>
            </w:tcBorders>
          </w:tcPr>
          <w:p w:rsidR="00567B15" w:rsidRDefault="00567B15">
            <w:pPr>
              <w:spacing w:before="0" w:after="0" w:line="320" w:lineRule="exact"/>
              <w:jc w:val="both"/>
              <w:rPr>
                <w:rFonts w:hint="cs"/>
                <w:szCs w:val="22"/>
              </w:rPr>
            </w:pPr>
            <w:r>
              <w:rPr>
                <w:rFonts w:hint="cs"/>
                <w:szCs w:val="22"/>
                <w:rtl/>
              </w:rPr>
              <w:t>ذكور</w:t>
            </w:r>
          </w:p>
        </w:tc>
        <w:tc>
          <w:tcPr>
            <w:tcW w:w="1196" w:type="dxa"/>
            <w:tcBorders>
              <w:bottom w:val="nil"/>
            </w:tcBorders>
          </w:tcPr>
          <w:p w:rsidR="00567B15" w:rsidRDefault="00567B15">
            <w:pPr>
              <w:spacing w:before="0" w:after="0" w:line="320" w:lineRule="exact"/>
              <w:ind w:firstLine="122"/>
              <w:jc w:val="both"/>
              <w:rPr>
                <w:rFonts w:hint="cs"/>
                <w:szCs w:val="22"/>
              </w:rPr>
            </w:pPr>
            <w:r>
              <w:rPr>
                <w:rFonts w:hint="cs"/>
                <w:szCs w:val="22"/>
                <w:rtl/>
              </w:rPr>
              <w:t>920 66</w:t>
            </w:r>
          </w:p>
        </w:tc>
        <w:tc>
          <w:tcPr>
            <w:tcW w:w="1196" w:type="dxa"/>
            <w:tcBorders>
              <w:bottom w:val="nil"/>
            </w:tcBorders>
          </w:tcPr>
          <w:p w:rsidR="00567B15" w:rsidRDefault="00567B15">
            <w:pPr>
              <w:spacing w:before="0" w:after="0" w:line="320" w:lineRule="exact"/>
              <w:ind w:firstLine="160"/>
              <w:jc w:val="both"/>
              <w:rPr>
                <w:rFonts w:hint="cs"/>
                <w:szCs w:val="22"/>
              </w:rPr>
            </w:pPr>
            <w:r>
              <w:rPr>
                <w:rFonts w:hint="cs"/>
                <w:szCs w:val="22"/>
                <w:rtl/>
              </w:rPr>
              <w:t>428 64</w:t>
            </w:r>
          </w:p>
        </w:tc>
        <w:tc>
          <w:tcPr>
            <w:tcW w:w="1196" w:type="dxa"/>
            <w:tcBorders>
              <w:bottom w:val="nil"/>
            </w:tcBorders>
          </w:tcPr>
          <w:p w:rsidR="00567B15" w:rsidRDefault="00567B15">
            <w:pPr>
              <w:spacing w:before="0" w:after="0" w:line="320" w:lineRule="exact"/>
              <w:jc w:val="both"/>
              <w:rPr>
                <w:rFonts w:hint="cs"/>
                <w:szCs w:val="22"/>
              </w:rPr>
            </w:pPr>
            <w:r>
              <w:rPr>
                <w:rFonts w:hint="cs"/>
                <w:szCs w:val="22"/>
                <w:rtl/>
              </w:rPr>
              <w:t>96.28</w:t>
            </w:r>
          </w:p>
        </w:tc>
        <w:tc>
          <w:tcPr>
            <w:tcW w:w="1196" w:type="dxa"/>
            <w:tcBorders>
              <w:bottom w:val="nil"/>
            </w:tcBorders>
          </w:tcPr>
          <w:p w:rsidR="00567B15" w:rsidRDefault="00567B15">
            <w:pPr>
              <w:spacing w:before="0" w:after="0" w:line="320" w:lineRule="exact"/>
              <w:ind w:firstLine="134"/>
              <w:jc w:val="both"/>
              <w:rPr>
                <w:rFonts w:hint="cs"/>
                <w:szCs w:val="22"/>
              </w:rPr>
            </w:pPr>
            <w:r>
              <w:rPr>
                <w:rFonts w:hint="cs"/>
                <w:szCs w:val="22"/>
                <w:rtl/>
              </w:rPr>
              <w:t>007 17</w:t>
            </w:r>
          </w:p>
        </w:tc>
        <w:tc>
          <w:tcPr>
            <w:tcW w:w="1197" w:type="dxa"/>
            <w:tcBorders>
              <w:bottom w:val="nil"/>
            </w:tcBorders>
          </w:tcPr>
          <w:p w:rsidR="00567B15" w:rsidRDefault="00567B15">
            <w:pPr>
              <w:spacing w:before="0" w:after="0" w:line="320" w:lineRule="exact"/>
              <w:ind w:firstLine="161"/>
              <w:jc w:val="both"/>
              <w:rPr>
                <w:rFonts w:hint="cs"/>
                <w:szCs w:val="22"/>
              </w:rPr>
            </w:pPr>
            <w:r>
              <w:rPr>
                <w:rFonts w:hint="cs"/>
                <w:szCs w:val="22"/>
                <w:rtl/>
              </w:rPr>
              <w:t>252 16</w:t>
            </w:r>
          </w:p>
        </w:tc>
        <w:tc>
          <w:tcPr>
            <w:tcW w:w="1073" w:type="dxa"/>
            <w:tcBorders>
              <w:bottom w:val="nil"/>
            </w:tcBorders>
          </w:tcPr>
          <w:p w:rsidR="00567B15" w:rsidRDefault="00567B15">
            <w:pPr>
              <w:spacing w:before="0" w:after="0" w:line="320" w:lineRule="exact"/>
              <w:jc w:val="both"/>
              <w:rPr>
                <w:rFonts w:hint="cs"/>
                <w:szCs w:val="22"/>
              </w:rPr>
            </w:pPr>
            <w:r>
              <w:rPr>
                <w:rFonts w:hint="cs"/>
                <w:szCs w:val="22"/>
                <w:rtl/>
              </w:rPr>
              <w:t>95.56</w:t>
            </w:r>
          </w:p>
        </w:tc>
      </w:tr>
      <w:tr w:rsidR="00567B15" w:rsidTr="00567B15">
        <w:tblPrEx>
          <w:tblCellMar>
            <w:top w:w="0" w:type="dxa"/>
            <w:bottom w:w="0" w:type="dxa"/>
          </w:tblCellMar>
        </w:tblPrEx>
        <w:tc>
          <w:tcPr>
            <w:tcW w:w="1204" w:type="dxa"/>
            <w:tcBorders>
              <w:top w:val="nil"/>
              <w:bottom w:val="nil"/>
            </w:tcBorders>
          </w:tcPr>
          <w:p w:rsidR="00567B15" w:rsidRDefault="00567B15">
            <w:pPr>
              <w:spacing w:before="0" w:after="0" w:line="320" w:lineRule="exact"/>
              <w:jc w:val="both"/>
              <w:rPr>
                <w:szCs w:val="22"/>
              </w:rPr>
            </w:pPr>
          </w:p>
        </w:tc>
        <w:tc>
          <w:tcPr>
            <w:tcW w:w="1093" w:type="dxa"/>
            <w:tcBorders>
              <w:top w:val="nil"/>
              <w:bottom w:val="nil"/>
            </w:tcBorders>
          </w:tcPr>
          <w:p w:rsidR="00567B15" w:rsidRDefault="00567B15">
            <w:pPr>
              <w:spacing w:before="0" w:after="0" w:line="320" w:lineRule="exact"/>
              <w:jc w:val="both"/>
              <w:rPr>
                <w:rFonts w:hint="cs"/>
                <w:szCs w:val="22"/>
              </w:rPr>
            </w:pPr>
            <w:r>
              <w:rPr>
                <w:rFonts w:hint="cs"/>
                <w:szCs w:val="22"/>
                <w:rtl/>
              </w:rPr>
              <w:t>إناث</w:t>
            </w:r>
          </w:p>
        </w:tc>
        <w:tc>
          <w:tcPr>
            <w:tcW w:w="1196" w:type="dxa"/>
            <w:tcBorders>
              <w:top w:val="nil"/>
              <w:bottom w:val="nil"/>
            </w:tcBorders>
          </w:tcPr>
          <w:p w:rsidR="00567B15" w:rsidRDefault="00567B15">
            <w:pPr>
              <w:spacing w:before="0" w:after="0" w:line="320" w:lineRule="exact"/>
              <w:ind w:firstLine="122"/>
              <w:jc w:val="both"/>
              <w:rPr>
                <w:rFonts w:hint="cs"/>
                <w:szCs w:val="22"/>
              </w:rPr>
            </w:pPr>
            <w:r>
              <w:rPr>
                <w:rFonts w:hint="cs"/>
                <w:szCs w:val="22"/>
                <w:rtl/>
              </w:rPr>
              <w:t>354 67</w:t>
            </w:r>
          </w:p>
        </w:tc>
        <w:tc>
          <w:tcPr>
            <w:tcW w:w="1196" w:type="dxa"/>
            <w:tcBorders>
              <w:top w:val="nil"/>
              <w:bottom w:val="nil"/>
            </w:tcBorders>
          </w:tcPr>
          <w:p w:rsidR="00567B15" w:rsidRDefault="00567B15">
            <w:pPr>
              <w:spacing w:before="0" w:after="0" w:line="320" w:lineRule="exact"/>
              <w:ind w:firstLine="160"/>
              <w:jc w:val="both"/>
              <w:rPr>
                <w:rFonts w:hint="cs"/>
                <w:szCs w:val="22"/>
              </w:rPr>
            </w:pPr>
            <w:r>
              <w:rPr>
                <w:rFonts w:hint="cs"/>
                <w:szCs w:val="22"/>
                <w:rtl/>
              </w:rPr>
              <w:t>927 64</w:t>
            </w:r>
          </w:p>
        </w:tc>
        <w:tc>
          <w:tcPr>
            <w:tcW w:w="1196" w:type="dxa"/>
            <w:tcBorders>
              <w:top w:val="nil"/>
              <w:bottom w:val="nil"/>
            </w:tcBorders>
          </w:tcPr>
          <w:p w:rsidR="00567B15" w:rsidRDefault="00567B15">
            <w:pPr>
              <w:spacing w:before="0" w:after="0" w:line="320" w:lineRule="exact"/>
              <w:jc w:val="both"/>
              <w:rPr>
                <w:rFonts w:hint="cs"/>
                <w:szCs w:val="22"/>
              </w:rPr>
            </w:pPr>
            <w:r>
              <w:rPr>
                <w:rFonts w:hint="cs"/>
                <w:szCs w:val="22"/>
                <w:rtl/>
              </w:rPr>
              <w:t>96.40</w:t>
            </w:r>
          </w:p>
        </w:tc>
        <w:tc>
          <w:tcPr>
            <w:tcW w:w="1196" w:type="dxa"/>
            <w:tcBorders>
              <w:top w:val="nil"/>
              <w:bottom w:val="nil"/>
            </w:tcBorders>
          </w:tcPr>
          <w:p w:rsidR="00567B15" w:rsidRDefault="00567B15">
            <w:pPr>
              <w:spacing w:before="0" w:after="0" w:line="320" w:lineRule="exact"/>
              <w:ind w:firstLine="134"/>
              <w:jc w:val="both"/>
              <w:rPr>
                <w:rFonts w:hint="cs"/>
                <w:szCs w:val="22"/>
              </w:rPr>
            </w:pPr>
            <w:r>
              <w:rPr>
                <w:rFonts w:hint="cs"/>
                <w:szCs w:val="22"/>
                <w:rtl/>
              </w:rPr>
              <w:t>847 16</w:t>
            </w:r>
          </w:p>
        </w:tc>
        <w:tc>
          <w:tcPr>
            <w:tcW w:w="1197" w:type="dxa"/>
            <w:tcBorders>
              <w:top w:val="nil"/>
              <w:bottom w:val="nil"/>
            </w:tcBorders>
          </w:tcPr>
          <w:p w:rsidR="00567B15" w:rsidRDefault="00567B15">
            <w:pPr>
              <w:spacing w:before="0" w:after="0" w:line="320" w:lineRule="exact"/>
              <w:ind w:firstLine="161"/>
              <w:jc w:val="both"/>
              <w:rPr>
                <w:rFonts w:hint="cs"/>
                <w:szCs w:val="22"/>
              </w:rPr>
            </w:pPr>
            <w:r>
              <w:rPr>
                <w:rFonts w:hint="cs"/>
                <w:szCs w:val="22"/>
                <w:rtl/>
              </w:rPr>
              <w:t>203 16</w:t>
            </w:r>
          </w:p>
        </w:tc>
        <w:tc>
          <w:tcPr>
            <w:tcW w:w="1073" w:type="dxa"/>
            <w:tcBorders>
              <w:top w:val="nil"/>
              <w:bottom w:val="nil"/>
            </w:tcBorders>
          </w:tcPr>
          <w:p w:rsidR="00567B15" w:rsidRDefault="00567B15">
            <w:pPr>
              <w:spacing w:before="0" w:after="0" w:line="320" w:lineRule="exact"/>
              <w:jc w:val="both"/>
              <w:rPr>
                <w:rFonts w:hint="cs"/>
                <w:szCs w:val="22"/>
              </w:rPr>
            </w:pPr>
            <w:r>
              <w:rPr>
                <w:rFonts w:hint="cs"/>
                <w:szCs w:val="22"/>
                <w:rtl/>
              </w:rPr>
              <w:t>96.18</w:t>
            </w:r>
          </w:p>
        </w:tc>
      </w:tr>
      <w:tr w:rsidR="00567B15" w:rsidTr="00567B15">
        <w:tblPrEx>
          <w:tblCellMar>
            <w:top w:w="0" w:type="dxa"/>
            <w:bottom w:w="0" w:type="dxa"/>
          </w:tblCellMar>
        </w:tblPrEx>
        <w:tc>
          <w:tcPr>
            <w:tcW w:w="1204" w:type="dxa"/>
            <w:tcBorders>
              <w:top w:val="nil"/>
            </w:tcBorders>
          </w:tcPr>
          <w:p w:rsidR="00567B15" w:rsidRDefault="00567B15">
            <w:pPr>
              <w:spacing w:before="0" w:after="0" w:line="320" w:lineRule="exact"/>
              <w:jc w:val="both"/>
              <w:rPr>
                <w:szCs w:val="22"/>
              </w:rPr>
            </w:pPr>
          </w:p>
        </w:tc>
        <w:tc>
          <w:tcPr>
            <w:tcW w:w="1093" w:type="dxa"/>
            <w:tcBorders>
              <w:top w:val="nil"/>
            </w:tcBorders>
          </w:tcPr>
          <w:p w:rsidR="00567B15" w:rsidRDefault="00567B15">
            <w:pPr>
              <w:tabs>
                <w:tab w:val="left" w:pos="238"/>
              </w:tabs>
              <w:spacing w:before="0" w:after="0" w:line="320" w:lineRule="exact"/>
              <w:jc w:val="both"/>
              <w:rPr>
                <w:szCs w:val="22"/>
              </w:rPr>
            </w:pPr>
            <w:r>
              <w:rPr>
                <w:szCs w:val="22"/>
                <w:rtl/>
              </w:rPr>
              <w:tab/>
              <w:t>المجموع</w:t>
            </w:r>
          </w:p>
        </w:tc>
        <w:tc>
          <w:tcPr>
            <w:tcW w:w="1196" w:type="dxa"/>
            <w:tcBorders>
              <w:top w:val="nil"/>
            </w:tcBorders>
          </w:tcPr>
          <w:p w:rsidR="00567B15" w:rsidRDefault="00567B15">
            <w:pPr>
              <w:spacing w:before="0" w:after="0" w:line="320" w:lineRule="exact"/>
              <w:ind w:firstLine="122"/>
              <w:jc w:val="both"/>
              <w:rPr>
                <w:rFonts w:hint="cs"/>
                <w:szCs w:val="22"/>
              </w:rPr>
            </w:pPr>
            <w:r>
              <w:rPr>
                <w:rFonts w:hint="cs"/>
                <w:szCs w:val="22"/>
                <w:rtl/>
              </w:rPr>
              <w:t>274 134</w:t>
            </w:r>
          </w:p>
        </w:tc>
        <w:tc>
          <w:tcPr>
            <w:tcW w:w="1196" w:type="dxa"/>
            <w:tcBorders>
              <w:top w:val="nil"/>
            </w:tcBorders>
          </w:tcPr>
          <w:p w:rsidR="00567B15" w:rsidRDefault="00567B15">
            <w:pPr>
              <w:spacing w:before="0" w:after="0" w:line="320" w:lineRule="exact"/>
              <w:ind w:firstLine="160"/>
              <w:jc w:val="both"/>
              <w:rPr>
                <w:rFonts w:hint="cs"/>
                <w:szCs w:val="22"/>
              </w:rPr>
            </w:pPr>
            <w:r>
              <w:rPr>
                <w:rFonts w:hint="cs"/>
                <w:szCs w:val="22"/>
                <w:rtl/>
              </w:rPr>
              <w:t>355 129</w:t>
            </w:r>
          </w:p>
        </w:tc>
        <w:tc>
          <w:tcPr>
            <w:tcW w:w="1196" w:type="dxa"/>
            <w:tcBorders>
              <w:top w:val="nil"/>
            </w:tcBorders>
          </w:tcPr>
          <w:p w:rsidR="00567B15" w:rsidRDefault="00567B15">
            <w:pPr>
              <w:spacing w:before="0" w:after="0" w:line="320" w:lineRule="exact"/>
              <w:jc w:val="both"/>
              <w:rPr>
                <w:rFonts w:hint="cs"/>
                <w:szCs w:val="22"/>
              </w:rPr>
            </w:pPr>
            <w:r>
              <w:rPr>
                <w:rFonts w:hint="cs"/>
                <w:szCs w:val="22"/>
                <w:rtl/>
              </w:rPr>
              <w:t>96.34</w:t>
            </w:r>
          </w:p>
        </w:tc>
        <w:tc>
          <w:tcPr>
            <w:tcW w:w="1196" w:type="dxa"/>
            <w:tcBorders>
              <w:top w:val="nil"/>
            </w:tcBorders>
          </w:tcPr>
          <w:p w:rsidR="00567B15" w:rsidRDefault="00567B15">
            <w:pPr>
              <w:spacing w:before="0" w:after="0" w:line="320" w:lineRule="exact"/>
              <w:ind w:firstLine="134"/>
              <w:jc w:val="both"/>
              <w:rPr>
                <w:rFonts w:hint="cs"/>
                <w:szCs w:val="22"/>
              </w:rPr>
            </w:pPr>
            <w:r>
              <w:rPr>
                <w:rFonts w:hint="cs"/>
                <w:szCs w:val="22"/>
                <w:rtl/>
              </w:rPr>
              <w:t>854 33</w:t>
            </w:r>
          </w:p>
        </w:tc>
        <w:tc>
          <w:tcPr>
            <w:tcW w:w="1197" w:type="dxa"/>
            <w:tcBorders>
              <w:top w:val="nil"/>
            </w:tcBorders>
          </w:tcPr>
          <w:p w:rsidR="00567B15" w:rsidRDefault="00567B15">
            <w:pPr>
              <w:spacing w:before="0" w:after="0" w:line="320" w:lineRule="exact"/>
              <w:ind w:firstLine="161"/>
              <w:jc w:val="both"/>
              <w:rPr>
                <w:szCs w:val="22"/>
              </w:rPr>
            </w:pPr>
          </w:p>
        </w:tc>
        <w:tc>
          <w:tcPr>
            <w:tcW w:w="1073" w:type="dxa"/>
            <w:tcBorders>
              <w:top w:val="nil"/>
            </w:tcBorders>
          </w:tcPr>
          <w:p w:rsidR="00567B15" w:rsidRDefault="00567B15">
            <w:pPr>
              <w:spacing w:before="0" w:after="0" w:line="320" w:lineRule="exact"/>
              <w:jc w:val="both"/>
              <w:rPr>
                <w:rFonts w:hint="cs"/>
                <w:szCs w:val="22"/>
              </w:rPr>
            </w:pPr>
            <w:r>
              <w:rPr>
                <w:rFonts w:hint="cs"/>
                <w:szCs w:val="22"/>
                <w:rtl/>
              </w:rPr>
              <w:t>0.00</w:t>
            </w:r>
          </w:p>
        </w:tc>
      </w:tr>
    </w:tbl>
    <w:p w:rsidR="00000000" w:rsidRDefault="00567B15">
      <w:pPr>
        <w:spacing w:after="0"/>
        <w:jc w:val="both"/>
        <w:rPr>
          <w:rFonts w:hint="cs"/>
          <w:rtl/>
        </w:rPr>
      </w:pPr>
      <w:r>
        <w:rPr>
          <w:rFonts w:hint="cs"/>
          <w:rtl/>
        </w:rPr>
        <w:tab/>
        <w:t>*</w:t>
      </w:r>
      <w:r>
        <w:rPr>
          <w:rFonts w:hint="cs"/>
          <w:rtl/>
        </w:rPr>
        <w:tab/>
        <w:t>طلاب مرحلة ما قبل الابتدائي الناجحون (بما أنه لا يوجد رسوب في هذه المرحلة، يتم طرح عدد المنقطعين عن الدراسة من عدد المسجلين الإجمالي).</w:t>
      </w:r>
    </w:p>
    <w:p w:rsidR="00000000" w:rsidRDefault="00567B15">
      <w:pPr>
        <w:spacing w:before="120" w:after="0"/>
        <w:jc w:val="both"/>
        <w:rPr>
          <w:rFonts w:hint="cs"/>
          <w:rtl/>
        </w:rPr>
      </w:pPr>
      <w:r>
        <w:rPr>
          <w:rFonts w:hint="cs"/>
          <w:rtl/>
        </w:rPr>
        <w:tab/>
      </w:r>
      <w:r>
        <w:rPr>
          <w:rFonts w:hint="cs"/>
          <w:u w:val="single"/>
          <w:rtl/>
        </w:rPr>
        <w:t>إعداد</w:t>
      </w:r>
      <w:r>
        <w:rPr>
          <w:rFonts w:hint="cs"/>
          <w:rtl/>
        </w:rPr>
        <w:t>: الفريق الإحصائي لوزارة التعليم والثقاف</w:t>
      </w:r>
      <w:r>
        <w:rPr>
          <w:rFonts w:hint="cs"/>
          <w:rtl/>
        </w:rPr>
        <w:t>ة.</w:t>
      </w:r>
    </w:p>
    <w:p w:rsidR="00000000" w:rsidRDefault="00567B15">
      <w:pPr>
        <w:spacing w:before="120" w:after="0" w:line="360" w:lineRule="exact"/>
        <w:jc w:val="center"/>
        <w:rPr>
          <w:rFonts w:hint="cs"/>
          <w:b/>
          <w:bCs/>
          <w:rtl/>
        </w:rPr>
      </w:pPr>
      <w:r>
        <w:rPr>
          <w:rFonts w:hint="cs"/>
          <w:b/>
          <w:bCs/>
          <w:rtl/>
        </w:rPr>
        <w:t>طلاب التعليم النظامي الابتدائي الناجحون</w:t>
      </w:r>
    </w:p>
    <w:p w:rsidR="00000000" w:rsidRDefault="00567B15">
      <w:pPr>
        <w:spacing w:before="0" w:after="120" w:line="360" w:lineRule="exact"/>
        <w:jc w:val="center"/>
        <w:rPr>
          <w:rFonts w:hint="cs"/>
          <w:b/>
          <w:bCs/>
          <w:rtl/>
        </w:rPr>
      </w:pPr>
      <w:r>
        <w:rPr>
          <w:rFonts w:hint="cs"/>
          <w:b/>
          <w:bCs/>
          <w:rtl/>
        </w:rPr>
        <w:t>حسب المنطقة والسنة الدراسية والجنس</w:t>
      </w:r>
    </w:p>
    <w:tbl>
      <w:tblPr>
        <w:bidiVisual/>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6"/>
        <w:gridCol w:w="966"/>
        <w:gridCol w:w="1281"/>
        <w:gridCol w:w="1196"/>
        <w:gridCol w:w="1196"/>
        <w:gridCol w:w="1196"/>
        <w:gridCol w:w="1197"/>
        <w:gridCol w:w="1059"/>
      </w:tblGrid>
      <w:tr w:rsidR="00567B15" w:rsidTr="00567B15">
        <w:tblPrEx>
          <w:tblCellMar>
            <w:top w:w="0" w:type="dxa"/>
            <w:bottom w:w="0" w:type="dxa"/>
          </w:tblCellMar>
        </w:tblPrEx>
        <w:trPr>
          <w:cantSplit/>
          <w:tblHeader/>
        </w:trPr>
        <w:tc>
          <w:tcPr>
            <w:tcW w:w="1246" w:type="dxa"/>
            <w:vMerge w:val="restart"/>
            <w:vAlign w:val="center"/>
          </w:tcPr>
          <w:p w:rsidR="00567B15" w:rsidRDefault="00567B15">
            <w:pPr>
              <w:spacing w:before="0" w:after="0"/>
              <w:jc w:val="both"/>
              <w:rPr>
                <w:rFonts w:hint="cs"/>
                <w:szCs w:val="22"/>
              </w:rPr>
            </w:pPr>
            <w:r>
              <w:rPr>
                <w:rFonts w:hint="cs"/>
                <w:szCs w:val="22"/>
                <w:rtl/>
              </w:rPr>
              <w:t>السنة الدراسية</w:t>
            </w:r>
          </w:p>
        </w:tc>
        <w:tc>
          <w:tcPr>
            <w:tcW w:w="8091" w:type="dxa"/>
            <w:gridSpan w:val="7"/>
          </w:tcPr>
          <w:p w:rsidR="00567B15" w:rsidRDefault="00567B15">
            <w:pPr>
              <w:spacing w:before="0" w:after="0" w:line="280" w:lineRule="exact"/>
              <w:jc w:val="center"/>
              <w:rPr>
                <w:rFonts w:hint="cs"/>
                <w:szCs w:val="22"/>
              </w:rPr>
            </w:pPr>
            <w:r>
              <w:rPr>
                <w:rFonts w:hint="cs"/>
                <w:szCs w:val="22"/>
                <w:rtl/>
              </w:rPr>
              <w:t>المرحلة الابتدائية</w:t>
            </w:r>
          </w:p>
        </w:tc>
      </w:tr>
      <w:tr w:rsidR="00567B15" w:rsidTr="00567B15">
        <w:tblPrEx>
          <w:tblCellMar>
            <w:top w:w="0" w:type="dxa"/>
            <w:bottom w:w="0" w:type="dxa"/>
          </w:tblCellMar>
        </w:tblPrEx>
        <w:trPr>
          <w:cantSplit/>
          <w:tblHeader/>
        </w:trPr>
        <w:tc>
          <w:tcPr>
            <w:tcW w:w="1246" w:type="dxa"/>
            <w:vMerge/>
            <w:tcBorders>
              <w:bottom w:val="single" w:sz="4" w:space="0" w:color="auto"/>
            </w:tcBorders>
          </w:tcPr>
          <w:p w:rsidR="00567B15" w:rsidRDefault="00567B15">
            <w:pPr>
              <w:spacing w:before="0" w:after="0"/>
              <w:jc w:val="both"/>
              <w:rPr>
                <w:szCs w:val="22"/>
              </w:rPr>
            </w:pPr>
          </w:p>
        </w:tc>
        <w:tc>
          <w:tcPr>
            <w:tcW w:w="966"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الجنس</w:t>
            </w:r>
          </w:p>
        </w:tc>
        <w:tc>
          <w:tcPr>
            <w:tcW w:w="1281"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العدد الصافي للمسجلين في المناطق الحضرية</w:t>
            </w:r>
          </w:p>
        </w:tc>
        <w:tc>
          <w:tcPr>
            <w:tcW w:w="1196"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الناجحون (في المناطق الحضرية)*</w:t>
            </w:r>
          </w:p>
        </w:tc>
        <w:tc>
          <w:tcPr>
            <w:tcW w:w="1196" w:type="dxa"/>
            <w:tcBorders>
              <w:bottom w:val="single" w:sz="4" w:space="0" w:color="auto"/>
            </w:tcBorders>
            <w:vAlign w:val="bottom"/>
          </w:tcPr>
          <w:p w:rsidR="00567B15" w:rsidRDefault="00567B15">
            <w:pPr>
              <w:spacing w:before="0" w:after="0" w:line="280" w:lineRule="exact"/>
              <w:ind w:firstLine="70"/>
              <w:jc w:val="both"/>
              <w:rPr>
                <w:rFonts w:hint="cs"/>
                <w:szCs w:val="22"/>
              </w:rPr>
            </w:pPr>
            <w:r>
              <w:rPr>
                <w:rFonts w:hint="cs"/>
                <w:szCs w:val="22"/>
                <w:rtl/>
              </w:rPr>
              <w:t>نسبة مئوية</w:t>
            </w:r>
          </w:p>
        </w:tc>
        <w:tc>
          <w:tcPr>
            <w:tcW w:w="1196"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العدد الصافي للمسجلين في المناطق الريفية</w:t>
            </w:r>
          </w:p>
        </w:tc>
        <w:tc>
          <w:tcPr>
            <w:tcW w:w="1197" w:type="dxa"/>
            <w:tcBorders>
              <w:bottom w:val="single" w:sz="4" w:space="0" w:color="auto"/>
            </w:tcBorders>
            <w:vAlign w:val="bottom"/>
          </w:tcPr>
          <w:p w:rsidR="00567B15" w:rsidRDefault="00567B15">
            <w:pPr>
              <w:spacing w:before="0" w:after="0" w:line="280" w:lineRule="exact"/>
              <w:jc w:val="center"/>
              <w:rPr>
                <w:rFonts w:hint="cs"/>
                <w:szCs w:val="22"/>
              </w:rPr>
            </w:pPr>
            <w:r>
              <w:rPr>
                <w:rFonts w:hint="cs"/>
                <w:szCs w:val="22"/>
                <w:rtl/>
              </w:rPr>
              <w:t>الناجحون (في المناطق الريفية)*</w:t>
            </w:r>
          </w:p>
        </w:tc>
        <w:tc>
          <w:tcPr>
            <w:tcW w:w="1059" w:type="dxa"/>
            <w:tcBorders>
              <w:bottom w:val="single" w:sz="4" w:space="0" w:color="auto"/>
            </w:tcBorders>
            <w:vAlign w:val="bottom"/>
          </w:tcPr>
          <w:p w:rsidR="00567B15" w:rsidRDefault="00567B15">
            <w:pPr>
              <w:spacing w:before="0" w:after="0" w:line="280" w:lineRule="exact"/>
              <w:ind w:firstLine="81"/>
              <w:jc w:val="both"/>
              <w:rPr>
                <w:rFonts w:hint="cs"/>
                <w:szCs w:val="22"/>
              </w:rPr>
            </w:pPr>
            <w:r>
              <w:rPr>
                <w:rFonts w:hint="cs"/>
                <w:szCs w:val="22"/>
                <w:rtl/>
              </w:rPr>
              <w:t>نسبة مئوية</w:t>
            </w:r>
          </w:p>
        </w:tc>
      </w:tr>
      <w:tr w:rsidR="00567B15" w:rsidTr="00567B15">
        <w:tblPrEx>
          <w:tblCellMar>
            <w:top w:w="0" w:type="dxa"/>
            <w:bottom w:w="0" w:type="dxa"/>
          </w:tblCellMar>
        </w:tblPrEx>
        <w:tc>
          <w:tcPr>
            <w:tcW w:w="1246" w:type="dxa"/>
            <w:tcBorders>
              <w:bottom w:val="nil"/>
            </w:tcBorders>
          </w:tcPr>
          <w:p w:rsidR="00567B15" w:rsidRDefault="00567B15">
            <w:pPr>
              <w:spacing w:before="0" w:after="0"/>
              <w:jc w:val="both"/>
              <w:rPr>
                <w:rFonts w:hint="cs"/>
                <w:szCs w:val="22"/>
              </w:rPr>
            </w:pPr>
            <w:r>
              <w:rPr>
                <w:rFonts w:hint="cs"/>
                <w:szCs w:val="22"/>
                <w:rtl/>
              </w:rPr>
              <w:t>1993-1994</w:t>
            </w:r>
          </w:p>
        </w:tc>
        <w:tc>
          <w:tcPr>
            <w:tcW w:w="966" w:type="dxa"/>
            <w:tcBorders>
              <w:bottom w:val="nil"/>
            </w:tcBorders>
          </w:tcPr>
          <w:p w:rsidR="00567B15" w:rsidRDefault="00567B15">
            <w:pPr>
              <w:spacing w:before="0" w:after="0"/>
              <w:jc w:val="both"/>
              <w:rPr>
                <w:rFonts w:hint="cs"/>
                <w:szCs w:val="22"/>
              </w:rPr>
            </w:pPr>
            <w:r>
              <w:rPr>
                <w:rFonts w:hint="cs"/>
                <w:szCs w:val="22"/>
                <w:rtl/>
              </w:rPr>
              <w:t>ذكور</w:t>
            </w:r>
          </w:p>
        </w:tc>
        <w:tc>
          <w:tcPr>
            <w:tcW w:w="1281" w:type="dxa"/>
            <w:tcBorders>
              <w:bottom w:val="nil"/>
            </w:tcBorders>
          </w:tcPr>
          <w:p w:rsidR="00567B15" w:rsidRDefault="00567B15">
            <w:pPr>
              <w:spacing w:before="0" w:after="0"/>
              <w:ind w:firstLine="122"/>
              <w:jc w:val="both"/>
              <w:rPr>
                <w:rFonts w:hint="cs"/>
                <w:szCs w:val="22"/>
              </w:rPr>
            </w:pPr>
            <w:r>
              <w:rPr>
                <w:rFonts w:hint="cs"/>
                <w:szCs w:val="22"/>
                <w:rtl/>
              </w:rPr>
              <w:t>901 502</w:t>
            </w:r>
          </w:p>
        </w:tc>
        <w:tc>
          <w:tcPr>
            <w:tcW w:w="1196" w:type="dxa"/>
            <w:tcBorders>
              <w:bottom w:val="nil"/>
            </w:tcBorders>
          </w:tcPr>
          <w:p w:rsidR="00567B15" w:rsidRDefault="00567B15">
            <w:pPr>
              <w:spacing w:before="0" w:after="0"/>
              <w:ind w:firstLine="160"/>
              <w:jc w:val="both"/>
              <w:rPr>
                <w:rFonts w:hint="cs"/>
                <w:szCs w:val="22"/>
              </w:rPr>
            </w:pPr>
            <w:r>
              <w:rPr>
                <w:rFonts w:hint="cs"/>
                <w:szCs w:val="22"/>
                <w:rtl/>
              </w:rPr>
              <w:t>176 72</w:t>
            </w:r>
          </w:p>
        </w:tc>
        <w:tc>
          <w:tcPr>
            <w:tcW w:w="1196" w:type="dxa"/>
            <w:tcBorders>
              <w:bottom w:val="nil"/>
            </w:tcBorders>
          </w:tcPr>
          <w:p w:rsidR="00567B15" w:rsidRDefault="00567B15">
            <w:pPr>
              <w:spacing w:before="0" w:after="0"/>
              <w:ind w:firstLine="70"/>
              <w:jc w:val="both"/>
              <w:rPr>
                <w:rFonts w:hint="cs"/>
                <w:szCs w:val="22"/>
              </w:rPr>
            </w:pPr>
            <w:r>
              <w:rPr>
                <w:rFonts w:hint="cs"/>
                <w:szCs w:val="22"/>
                <w:rtl/>
              </w:rPr>
              <w:t>14.35</w:t>
            </w:r>
          </w:p>
        </w:tc>
        <w:tc>
          <w:tcPr>
            <w:tcW w:w="1196" w:type="dxa"/>
            <w:tcBorders>
              <w:bottom w:val="nil"/>
            </w:tcBorders>
          </w:tcPr>
          <w:p w:rsidR="00567B15" w:rsidRDefault="00567B15">
            <w:pPr>
              <w:spacing w:before="0" w:after="0"/>
              <w:ind w:firstLine="134"/>
              <w:jc w:val="both"/>
              <w:rPr>
                <w:rFonts w:hint="cs"/>
                <w:szCs w:val="22"/>
              </w:rPr>
            </w:pPr>
            <w:r>
              <w:rPr>
                <w:rFonts w:hint="cs"/>
                <w:szCs w:val="22"/>
                <w:rtl/>
              </w:rPr>
              <w:t>981 389</w:t>
            </w:r>
          </w:p>
        </w:tc>
        <w:tc>
          <w:tcPr>
            <w:tcW w:w="1197" w:type="dxa"/>
            <w:tcBorders>
              <w:bottom w:val="nil"/>
            </w:tcBorders>
          </w:tcPr>
          <w:p w:rsidR="00567B15" w:rsidRDefault="00567B15">
            <w:pPr>
              <w:spacing w:before="0" w:after="0"/>
              <w:ind w:firstLine="161"/>
              <w:jc w:val="both"/>
              <w:rPr>
                <w:rFonts w:hint="cs"/>
                <w:szCs w:val="22"/>
              </w:rPr>
            </w:pPr>
            <w:r>
              <w:rPr>
                <w:rFonts w:hint="cs"/>
                <w:szCs w:val="22"/>
                <w:rtl/>
              </w:rPr>
              <w:t>963 45</w:t>
            </w:r>
          </w:p>
        </w:tc>
        <w:tc>
          <w:tcPr>
            <w:tcW w:w="1059" w:type="dxa"/>
            <w:tcBorders>
              <w:bottom w:val="nil"/>
            </w:tcBorders>
          </w:tcPr>
          <w:p w:rsidR="00567B15" w:rsidRDefault="00567B15">
            <w:pPr>
              <w:spacing w:before="0" w:after="0"/>
              <w:ind w:firstLine="81"/>
              <w:jc w:val="both"/>
              <w:rPr>
                <w:rFonts w:hint="cs"/>
                <w:szCs w:val="22"/>
              </w:rPr>
            </w:pPr>
            <w:r>
              <w:rPr>
                <w:rFonts w:hint="cs"/>
                <w:szCs w:val="22"/>
                <w:rtl/>
              </w:rPr>
              <w:t>11.79</w:t>
            </w:r>
          </w:p>
        </w:tc>
      </w:tr>
      <w:tr w:rsidR="00567B15" w:rsidTr="00567B15">
        <w:tblPrEx>
          <w:tblCellMar>
            <w:top w:w="0" w:type="dxa"/>
            <w:bottom w:w="0" w:type="dxa"/>
          </w:tblCellMar>
        </w:tblPrEx>
        <w:tc>
          <w:tcPr>
            <w:tcW w:w="1246" w:type="dxa"/>
            <w:tcBorders>
              <w:top w:val="nil"/>
              <w:bottom w:val="nil"/>
            </w:tcBorders>
          </w:tcPr>
          <w:p w:rsidR="00567B15" w:rsidRDefault="00567B15">
            <w:pPr>
              <w:spacing w:before="0" w:after="0"/>
              <w:jc w:val="both"/>
              <w:rPr>
                <w:szCs w:val="22"/>
              </w:rPr>
            </w:pPr>
          </w:p>
        </w:tc>
        <w:tc>
          <w:tcPr>
            <w:tcW w:w="966" w:type="dxa"/>
            <w:tcBorders>
              <w:top w:val="nil"/>
              <w:bottom w:val="nil"/>
            </w:tcBorders>
          </w:tcPr>
          <w:p w:rsidR="00567B15" w:rsidRDefault="00567B15">
            <w:pPr>
              <w:spacing w:before="0" w:after="0"/>
              <w:jc w:val="both"/>
              <w:rPr>
                <w:rFonts w:hint="cs"/>
                <w:szCs w:val="22"/>
              </w:rPr>
            </w:pPr>
            <w:r>
              <w:rPr>
                <w:rFonts w:hint="cs"/>
                <w:szCs w:val="22"/>
                <w:rtl/>
              </w:rPr>
              <w:t>إناث</w:t>
            </w:r>
          </w:p>
        </w:tc>
        <w:tc>
          <w:tcPr>
            <w:tcW w:w="1281" w:type="dxa"/>
            <w:tcBorders>
              <w:top w:val="nil"/>
              <w:bottom w:val="nil"/>
            </w:tcBorders>
          </w:tcPr>
          <w:p w:rsidR="00567B15" w:rsidRDefault="00567B15">
            <w:pPr>
              <w:spacing w:before="0" w:after="0"/>
              <w:ind w:firstLine="122"/>
              <w:jc w:val="both"/>
              <w:rPr>
                <w:rFonts w:hint="cs"/>
                <w:szCs w:val="22"/>
              </w:rPr>
            </w:pPr>
            <w:r>
              <w:rPr>
                <w:rFonts w:hint="cs"/>
                <w:szCs w:val="22"/>
                <w:rtl/>
              </w:rPr>
              <w:t>007 493</w:t>
            </w:r>
          </w:p>
        </w:tc>
        <w:tc>
          <w:tcPr>
            <w:tcW w:w="1196" w:type="dxa"/>
            <w:tcBorders>
              <w:top w:val="nil"/>
              <w:bottom w:val="nil"/>
            </w:tcBorders>
          </w:tcPr>
          <w:p w:rsidR="00567B15" w:rsidRDefault="00567B15">
            <w:pPr>
              <w:spacing w:before="0" w:after="0"/>
              <w:ind w:firstLine="160"/>
              <w:jc w:val="both"/>
              <w:rPr>
                <w:rFonts w:hint="cs"/>
                <w:szCs w:val="22"/>
              </w:rPr>
            </w:pPr>
            <w:r>
              <w:rPr>
                <w:rFonts w:hint="cs"/>
                <w:szCs w:val="22"/>
                <w:rtl/>
              </w:rPr>
              <w:t>455 72</w:t>
            </w:r>
          </w:p>
        </w:tc>
        <w:tc>
          <w:tcPr>
            <w:tcW w:w="1196" w:type="dxa"/>
            <w:tcBorders>
              <w:top w:val="nil"/>
              <w:bottom w:val="nil"/>
            </w:tcBorders>
          </w:tcPr>
          <w:p w:rsidR="00567B15" w:rsidRDefault="00567B15">
            <w:pPr>
              <w:spacing w:before="0" w:after="0"/>
              <w:ind w:firstLine="70"/>
              <w:jc w:val="both"/>
              <w:rPr>
                <w:rFonts w:hint="cs"/>
                <w:szCs w:val="22"/>
              </w:rPr>
            </w:pPr>
            <w:r>
              <w:rPr>
                <w:rFonts w:hint="cs"/>
                <w:szCs w:val="22"/>
                <w:rtl/>
              </w:rPr>
              <w:t>14.70</w:t>
            </w:r>
          </w:p>
        </w:tc>
        <w:tc>
          <w:tcPr>
            <w:tcW w:w="1196" w:type="dxa"/>
            <w:tcBorders>
              <w:top w:val="nil"/>
              <w:bottom w:val="nil"/>
            </w:tcBorders>
          </w:tcPr>
          <w:p w:rsidR="00567B15" w:rsidRDefault="00567B15">
            <w:pPr>
              <w:spacing w:before="0" w:after="0"/>
              <w:ind w:firstLine="134"/>
              <w:jc w:val="both"/>
              <w:rPr>
                <w:rFonts w:hint="cs"/>
                <w:szCs w:val="22"/>
              </w:rPr>
            </w:pPr>
            <w:r>
              <w:rPr>
                <w:rFonts w:hint="cs"/>
                <w:szCs w:val="22"/>
                <w:rtl/>
              </w:rPr>
              <w:t>234 365</w:t>
            </w:r>
          </w:p>
        </w:tc>
        <w:tc>
          <w:tcPr>
            <w:tcW w:w="1197" w:type="dxa"/>
            <w:tcBorders>
              <w:top w:val="nil"/>
              <w:bottom w:val="nil"/>
            </w:tcBorders>
          </w:tcPr>
          <w:p w:rsidR="00567B15" w:rsidRDefault="00567B15">
            <w:pPr>
              <w:spacing w:before="0" w:after="0"/>
              <w:ind w:firstLine="161"/>
              <w:jc w:val="both"/>
              <w:rPr>
                <w:rFonts w:hint="cs"/>
                <w:szCs w:val="22"/>
              </w:rPr>
            </w:pPr>
            <w:r>
              <w:rPr>
                <w:rFonts w:hint="cs"/>
                <w:szCs w:val="22"/>
                <w:rtl/>
              </w:rPr>
              <w:t>024 44</w:t>
            </w:r>
          </w:p>
        </w:tc>
        <w:tc>
          <w:tcPr>
            <w:tcW w:w="1059" w:type="dxa"/>
            <w:tcBorders>
              <w:top w:val="nil"/>
              <w:bottom w:val="nil"/>
            </w:tcBorders>
          </w:tcPr>
          <w:p w:rsidR="00567B15" w:rsidRDefault="00567B15">
            <w:pPr>
              <w:spacing w:before="0" w:after="0"/>
              <w:ind w:firstLine="81"/>
              <w:jc w:val="both"/>
              <w:rPr>
                <w:rFonts w:hint="cs"/>
                <w:szCs w:val="22"/>
              </w:rPr>
            </w:pPr>
            <w:r>
              <w:rPr>
                <w:rFonts w:hint="cs"/>
                <w:szCs w:val="22"/>
                <w:rtl/>
              </w:rPr>
              <w:t>12.05</w:t>
            </w:r>
          </w:p>
        </w:tc>
      </w:tr>
      <w:tr w:rsidR="00567B15" w:rsidTr="00567B15">
        <w:tblPrEx>
          <w:tblCellMar>
            <w:top w:w="0" w:type="dxa"/>
            <w:bottom w:w="0" w:type="dxa"/>
          </w:tblCellMar>
        </w:tblPrEx>
        <w:tc>
          <w:tcPr>
            <w:tcW w:w="1246" w:type="dxa"/>
            <w:tcBorders>
              <w:top w:val="nil"/>
              <w:bottom w:val="single" w:sz="4" w:space="0" w:color="auto"/>
            </w:tcBorders>
          </w:tcPr>
          <w:p w:rsidR="00567B15" w:rsidRDefault="00567B15">
            <w:pPr>
              <w:spacing w:before="0" w:after="0"/>
              <w:jc w:val="both"/>
              <w:rPr>
                <w:szCs w:val="22"/>
              </w:rPr>
            </w:pPr>
          </w:p>
        </w:tc>
        <w:tc>
          <w:tcPr>
            <w:tcW w:w="966" w:type="dxa"/>
            <w:tcBorders>
              <w:top w:val="nil"/>
              <w:bottom w:val="single" w:sz="4" w:space="0" w:color="auto"/>
            </w:tcBorders>
          </w:tcPr>
          <w:p w:rsidR="00567B15" w:rsidRDefault="00567B15">
            <w:pPr>
              <w:tabs>
                <w:tab w:val="left" w:pos="238"/>
              </w:tabs>
              <w:spacing w:before="0" w:after="0"/>
              <w:jc w:val="both"/>
              <w:rPr>
                <w:szCs w:val="22"/>
              </w:rPr>
            </w:pPr>
            <w:r>
              <w:rPr>
                <w:szCs w:val="22"/>
                <w:rtl/>
              </w:rPr>
              <w:tab/>
              <w:t>المجموع</w:t>
            </w:r>
          </w:p>
        </w:tc>
        <w:tc>
          <w:tcPr>
            <w:tcW w:w="1281" w:type="dxa"/>
            <w:tcBorders>
              <w:top w:val="nil"/>
              <w:bottom w:val="single" w:sz="4" w:space="0" w:color="auto"/>
            </w:tcBorders>
          </w:tcPr>
          <w:p w:rsidR="00567B15" w:rsidRDefault="00567B15">
            <w:pPr>
              <w:spacing w:before="0" w:after="0"/>
              <w:ind w:firstLine="122"/>
              <w:jc w:val="both"/>
              <w:rPr>
                <w:rFonts w:hint="cs"/>
                <w:szCs w:val="22"/>
              </w:rPr>
            </w:pPr>
            <w:r>
              <w:rPr>
                <w:rFonts w:hint="cs"/>
                <w:szCs w:val="22"/>
                <w:rtl/>
              </w:rPr>
              <w:t>908 995</w:t>
            </w:r>
          </w:p>
        </w:tc>
        <w:tc>
          <w:tcPr>
            <w:tcW w:w="1196" w:type="dxa"/>
            <w:tcBorders>
              <w:top w:val="nil"/>
              <w:bottom w:val="single" w:sz="4" w:space="0" w:color="auto"/>
            </w:tcBorders>
          </w:tcPr>
          <w:p w:rsidR="00567B15" w:rsidRDefault="00567B15">
            <w:pPr>
              <w:spacing w:before="0" w:after="0"/>
              <w:ind w:firstLine="160"/>
              <w:jc w:val="both"/>
              <w:rPr>
                <w:rFonts w:hint="cs"/>
                <w:szCs w:val="22"/>
              </w:rPr>
            </w:pPr>
            <w:r>
              <w:rPr>
                <w:rFonts w:hint="cs"/>
                <w:szCs w:val="22"/>
                <w:rtl/>
              </w:rPr>
              <w:t>631 144</w:t>
            </w:r>
          </w:p>
        </w:tc>
        <w:tc>
          <w:tcPr>
            <w:tcW w:w="1196" w:type="dxa"/>
            <w:tcBorders>
              <w:top w:val="nil"/>
              <w:bottom w:val="single" w:sz="4" w:space="0" w:color="auto"/>
            </w:tcBorders>
          </w:tcPr>
          <w:p w:rsidR="00567B15" w:rsidRDefault="00567B15">
            <w:pPr>
              <w:spacing w:before="0" w:after="0"/>
              <w:ind w:firstLine="70"/>
              <w:jc w:val="both"/>
              <w:rPr>
                <w:rFonts w:hint="cs"/>
                <w:szCs w:val="22"/>
              </w:rPr>
            </w:pPr>
            <w:r>
              <w:rPr>
                <w:rFonts w:hint="cs"/>
                <w:szCs w:val="22"/>
                <w:rtl/>
              </w:rPr>
              <w:t>14.52</w:t>
            </w:r>
          </w:p>
        </w:tc>
        <w:tc>
          <w:tcPr>
            <w:tcW w:w="1196" w:type="dxa"/>
            <w:tcBorders>
              <w:top w:val="nil"/>
              <w:bottom w:val="single" w:sz="4" w:space="0" w:color="auto"/>
            </w:tcBorders>
          </w:tcPr>
          <w:p w:rsidR="00567B15" w:rsidRDefault="00567B15">
            <w:pPr>
              <w:spacing w:before="0" w:after="0"/>
              <w:ind w:firstLine="134"/>
              <w:jc w:val="both"/>
              <w:rPr>
                <w:rFonts w:hint="cs"/>
                <w:szCs w:val="22"/>
              </w:rPr>
            </w:pPr>
            <w:r>
              <w:rPr>
                <w:rFonts w:hint="cs"/>
                <w:szCs w:val="22"/>
                <w:rtl/>
              </w:rPr>
              <w:t>215 755</w:t>
            </w:r>
          </w:p>
        </w:tc>
        <w:tc>
          <w:tcPr>
            <w:tcW w:w="1197" w:type="dxa"/>
            <w:tcBorders>
              <w:top w:val="nil"/>
              <w:bottom w:val="single" w:sz="4" w:space="0" w:color="auto"/>
            </w:tcBorders>
          </w:tcPr>
          <w:p w:rsidR="00567B15" w:rsidRDefault="00567B15">
            <w:pPr>
              <w:spacing w:before="0" w:after="0"/>
              <w:ind w:firstLine="161"/>
              <w:jc w:val="both"/>
              <w:rPr>
                <w:rFonts w:hint="cs"/>
                <w:szCs w:val="22"/>
              </w:rPr>
            </w:pPr>
            <w:r>
              <w:rPr>
                <w:rFonts w:hint="cs"/>
                <w:szCs w:val="22"/>
                <w:rtl/>
              </w:rPr>
              <w:t>987 89</w:t>
            </w:r>
          </w:p>
        </w:tc>
        <w:tc>
          <w:tcPr>
            <w:tcW w:w="1059" w:type="dxa"/>
            <w:tcBorders>
              <w:top w:val="nil"/>
              <w:bottom w:val="single" w:sz="4" w:space="0" w:color="auto"/>
            </w:tcBorders>
          </w:tcPr>
          <w:p w:rsidR="00567B15" w:rsidRDefault="00567B15">
            <w:pPr>
              <w:spacing w:before="0" w:after="0"/>
              <w:ind w:firstLine="81"/>
              <w:jc w:val="both"/>
              <w:rPr>
                <w:rFonts w:hint="cs"/>
                <w:szCs w:val="22"/>
              </w:rPr>
            </w:pPr>
            <w:r>
              <w:rPr>
                <w:rFonts w:hint="cs"/>
                <w:szCs w:val="22"/>
                <w:rtl/>
              </w:rPr>
              <w:t>11.92</w:t>
            </w:r>
          </w:p>
        </w:tc>
      </w:tr>
      <w:tr w:rsidR="00567B15" w:rsidTr="00567B15">
        <w:tblPrEx>
          <w:tblCellMar>
            <w:top w:w="0" w:type="dxa"/>
            <w:bottom w:w="0" w:type="dxa"/>
          </w:tblCellMar>
        </w:tblPrEx>
        <w:tc>
          <w:tcPr>
            <w:tcW w:w="1246" w:type="dxa"/>
            <w:tcBorders>
              <w:bottom w:val="nil"/>
            </w:tcBorders>
          </w:tcPr>
          <w:p w:rsidR="00567B15" w:rsidRDefault="00567B15">
            <w:pPr>
              <w:spacing w:before="0" w:after="0"/>
              <w:jc w:val="both"/>
              <w:rPr>
                <w:rFonts w:hint="cs"/>
                <w:szCs w:val="22"/>
              </w:rPr>
            </w:pPr>
            <w:r>
              <w:rPr>
                <w:rFonts w:hint="cs"/>
                <w:szCs w:val="22"/>
                <w:rtl/>
              </w:rPr>
              <w:t>1994-1995</w:t>
            </w:r>
          </w:p>
        </w:tc>
        <w:tc>
          <w:tcPr>
            <w:tcW w:w="966" w:type="dxa"/>
            <w:tcBorders>
              <w:bottom w:val="nil"/>
            </w:tcBorders>
          </w:tcPr>
          <w:p w:rsidR="00567B15" w:rsidRDefault="00567B15">
            <w:pPr>
              <w:spacing w:before="0" w:after="0"/>
              <w:jc w:val="both"/>
              <w:rPr>
                <w:rFonts w:hint="cs"/>
                <w:szCs w:val="22"/>
              </w:rPr>
            </w:pPr>
            <w:r>
              <w:rPr>
                <w:rFonts w:hint="cs"/>
                <w:szCs w:val="22"/>
                <w:rtl/>
              </w:rPr>
              <w:t>ذكور</w:t>
            </w:r>
          </w:p>
        </w:tc>
        <w:tc>
          <w:tcPr>
            <w:tcW w:w="1281" w:type="dxa"/>
            <w:tcBorders>
              <w:bottom w:val="nil"/>
            </w:tcBorders>
          </w:tcPr>
          <w:p w:rsidR="00567B15" w:rsidRDefault="00567B15">
            <w:pPr>
              <w:spacing w:before="0" w:after="0"/>
              <w:ind w:firstLine="122"/>
              <w:jc w:val="both"/>
              <w:rPr>
                <w:rFonts w:hint="cs"/>
                <w:szCs w:val="22"/>
              </w:rPr>
            </w:pPr>
            <w:r>
              <w:rPr>
                <w:rFonts w:hint="cs"/>
                <w:szCs w:val="22"/>
                <w:rtl/>
              </w:rPr>
              <w:t>215 511</w:t>
            </w:r>
          </w:p>
        </w:tc>
        <w:tc>
          <w:tcPr>
            <w:tcW w:w="1196" w:type="dxa"/>
            <w:tcBorders>
              <w:bottom w:val="nil"/>
            </w:tcBorders>
          </w:tcPr>
          <w:p w:rsidR="00567B15" w:rsidRDefault="00567B15">
            <w:pPr>
              <w:spacing w:before="0" w:after="0"/>
              <w:ind w:firstLine="160"/>
              <w:jc w:val="both"/>
              <w:rPr>
                <w:rFonts w:hint="cs"/>
                <w:szCs w:val="22"/>
              </w:rPr>
            </w:pPr>
            <w:r>
              <w:rPr>
                <w:rFonts w:hint="cs"/>
                <w:szCs w:val="22"/>
                <w:rtl/>
              </w:rPr>
              <w:t>582 71</w:t>
            </w:r>
          </w:p>
        </w:tc>
        <w:tc>
          <w:tcPr>
            <w:tcW w:w="1196" w:type="dxa"/>
            <w:tcBorders>
              <w:bottom w:val="nil"/>
            </w:tcBorders>
          </w:tcPr>
          <w:p w:rsidR="00567B15" w:rsidRDefault="00567B15">
            <w:pPr>
              <w:spacing w:before="0" w:after="0"/>
              <w:ind w:firstLine="70"/>
              <w:jc w:val="both"/>
              <w:rPr>
                <w:rFonts w:hint="cs"/>
                <w:szCs w:val="22"/>
              </w:rPr>
            </w:pPr>
            <w:r>
              <w:rPr>
                <w:rFonts w:hint="cs"/>
                <w:szCs w:val="22"/>
                <w:rtl/>
              </w:rPr>
              <w:t>14.00</w:t>
            </w:r>
          </w:p>
        </w:tc>
        <w:tc>
          <w:tcPr>
            <w:tcW w:w="1196" w:type="dxa"/>
            <w:tcBorders>
              <w:bottom w:val="nil"/>
            </w:tcBorders>
          </w:tcPr>
          <w:p w:rsidR="00567B15" w:rsidRDefault="00567B15">
            <w:pPr>
              <w:spacing w:before="0" w:after="0"/>
              <w:ind w:firstLine="134"/>
              <w:jc w:val="both"/>
              <w:rPr>
                <w:rFonts w:hint="cs"/>
                <w:szCs w:val="22"/>
              </w:rPr>
            </w:pPr>
            <w:r>
              <w:rPr>
                <w:rFonts w:hint="cs"/>
                <w:szCs w:val="22"/>
                <w:rtl/>
              </w:rPr>
              <w:t>072 395</w:t>
            </w:r>
          </w:p>
        </w:tc>
        <w:tc>
          <w:tcPr>
            <w:tcW w:w="1197" w:type="dxa"/>
            <w:tcBorders>
              <w:bottom w:val="nil"/>
            </w:tcBorders>
          </w:tcPr>
          <w:p w:rsidR="00567B15" w:rsidRDefault="00567B15">
            <w:pPr>
              <w:spacing w:before="0" w:after="0"/>
              <w:ind w:firstLine="161"/>
              <w:jc w:val="both"/>
              <w:rPr>
                <w:rFonts w:hint="cs"/>
                <w:szCs w:val="22"/>
              </w:rPr>
            </w:pPr>
            <w:r>
              <w:rPr>
                <w:rFonts w:hint="cs"/>
                <w:szCs w:val="22"/>
                <w:rtl/>
              </w:rPr>
              <w:t>671 46</w:t>
            </w:r>
          </w:p>
        </w:tc>
        <w:tc>
          <w:tcPr>
            <w:tcW w:w="1059" w:type="dxa"/>
            <w:tcBorders>
              <w:bottom w:val="nil"/>
            </w:tcBorders>
          </w:tcPr>
          <w:p w:rsidR="00567B15" w:rsidRDefault="00567B15">
            <w:pPr>
              <w:spacing w:before="0" w:after="0"/>
              <w:ind w:firstLine="81"/>
              <w:jc w:val="both"/>
              <w:rPr>
                <w:rFonts w:hint="cs"/>
                <w:szCs w:val="22"/>
              </w:rPr>
            </w:pPr>
            <w:r>
              <w:rPr>
                <w:rFonts w:hint="cs"/>
                <w:szCs w:val="22"/>
                <w:rtl/>
              </w:rPr>
              <w:t>11.81</w:t>
            </w:r>
          </w:p>
        </w:tc>
      </w:tr>
      <w:tr w:rsidR="00567B15" w:rsidTr="00567B15">
        <w:tblPrEx>
          <w:tblCellMar>
            <w:top w:w="0" w:type="dxa"/>
            <w:bottom w:w="0" w:type="dxa"/>
          </w:tblCellMar>
        </w:tblPrEx>
        <w:tc>
          <w:tcPr>
            <w:tcW w:w="1246" w:type="dxa"/>
            <w:tcBorders>
              <w:top w:val="nil"/>
              <w:bottom w:val="nil"/>
            </w:tcBorders>
          </w:tcPr>
          <w:p w:rsidR="00567B15" w:rsidRDefault="00567B15">
            <w:pPr>
              <w:spacing w:before="0" w:after="0"/>
              <w:jc w:val="both"/>
              <w:rPr>
                <w:szCs w:val="22"/>
              </w:rPr>
            </w:pPr>
          </w:p>
        </w:tc>
        <w:tc>
          <w:tcPr>
            <w:tcW w:w="966" w:type="dxa"/>
            <w:tcBorders>
              <w:top w:val="nil"/>
              <w:bottom w:val="nil"/>
            </w:tcBorders>
          </w:tcPr>
          <w:p w:rsidR="00567B15" w:rsidRDefault="00567B15">
            <w:pPr>
              <w:spacing w:before="0" w:after="0"/>
              <w:jc w:val="both"/>
              <w:rPr>
                <w:rFonts w:hint="cs"/>
                <w:szCs w:val="22"/>
              </w:rPr>
            </w:pPr>
            <w:r>
              <w:rPr>
                <w:rFonts w:hint="cs"/>
                <w:szCs w:val="22"/>
                <w:rtl/>
              </w:rPr>
              <w:t>إناث</w:t>
            </w:r>
          </w:p>
        </w:tc>
        <w:tc>
          <w:tcPr>
            <w:tcW w:w="1281" w:type="dxa"/>
            <w:tcBorders>
              <w:top w:val="nil"/>
              <w:bottom w:val="nil"/>
            </w:tcBorders>
          </w:tcPr>
          <w:p w:rsidR="00567B15" w:rsidRDefault="00567B15">
            <w:pPr>
              <w:spacing w:before="0" w:after="0"/>
              <w:ind w:firstLine="122"/>
              <w:jc w:val="both"/>
              <w:rPr>
                <w:rFonts w:hint="cs"/>
                <w:szCs w:val="22"/>
              </w:rPr>
            </w:pPr>
            <w:r>
              <w:rPr>
                <w:rFonts w:hint="cs"/>
                <w:szCs w:val="22"/>
                <w:rtl/>
              </w:rPr>
              <w:t>039 502</w:t>
            </w:r>
          </w:p>
        </w:tc>
        <w:tc>
          <w:tcPr>
            <w:tcW w:w="1196" w:type="dxa"/>
            <w:tcBorders>
              <w:top w:val="nil"/>
              <w:bottom w:val="nil"/>
            </w:tcBorders>
          </w:tcPr>
          <w:p w:rsidR="00567B15" w:rsidRDefault="00567B15">
            <w:pPr>
              <w:spacing w:before="0" w:after="0"/>
              <w:ind w:firstLine="160"/>
              <w:jc w:val="both"/>
              <w:rPr>
                <w:rFonts w:hint="cs"/>
                <w:szCs w:val="22"/>
              </w:rPr>
            </w:pPr>
            <w:r>
              <w:rPr>
                <w:rFonts w:hint="cs"/>
                <w:szCs w:val="22"/>
                <w:rtl/>
              </w:rPr>
              <w:t>581 72</w:t>
            </w:r>
          </w:p>
        </w:tc>
        <w:tc>
          <w:tcPr>
            <w:tcW w:w="1196" w:type="dxa"/>
            <w:tcBorders>
              <w:top w:val="nil"/>
              <w:bottom w:val="nil"/>
            </w:tcBorders>
          </w:tcPr>
          <w:p w:rsidR="00567B15" w:rsidRDefault="00567B15">
            <w:pPr>
              <w:spacing w:before="0" w:after="0"/>
              <w:ind w:firstLine="70"/>
              <w:jc w:val="both"/>
              <w:rPr>
                <w:rFonts w:hint="cs"/>
                <w:szCs w:val="22"/>
              </w:rPr>
            </w:pPr>
            <w:r>
              <w:rPr>
                <w:rFonts w:hint="cs"/>
                <w:szCs w:val="22"/>
                <w:rtl/>
              </w:rPr>
              <w:t>14.46</w:t>
            </w:r>
          </w:p>
        </w:tc>
        <w:tc>
          <w:tcPr>
            <w:tcW w:w="1196" w:type="dxa"/>
            <w:tcBorders>
              <w:top w:val="nil"/>
              <w:bottom w:val="nil"/>
            </w:tcBorders>
          </w:tcPr>
          <w:p w:rsidR="00567B15" w:rsidRDefault="00567B15">
            <w:pPr>
              <w:spacing w:before="0" w:after="0"/>
              <w:ind w:firstLine="134"/>
              <w:jc w:val="both"/>
              <w:rPr>
                <w:rFonts w:hint="cs"/>
                <w:szCs w:val="22"/>
              </w:rPr>
            </w:pPr>
            <w:r>
              <w:rPr>
                <w:rFonts w:hint="cs"/>
                <w:szCs w:val="22"/>
                <w:rtl/>
              </w:rPr>
              <w:t>978 368</w:t>
            </w:r>
          </w:p>
        </w:tc>
        <w:tc>
          <w:tcPr>
            <w:tcW w:w="1197" w:type="dxa"/>
            <w:tcBorders>
              <w:top w:val="nil"/>
              <w:bottom w:val="nil"/>
            </w:tcBorders>
          </w:tcPr>
          <w:p w:rsidR="00567B15" w:rsidRDefault="00567B15">
            <w:pPr>
              <w:spacing w:before="0" w:after="0"/>
              <w:ind w:firstLine="161"/>
              <w:jc w:val="both"/>
              <w:rPr>
                <w:rFonts w:hint="cs"/>
                <w:szCs w:val="22"/>
              </w:rPr>
            </w:pPr>
            <w:r>
              <w:rPr>
                <w:rFonts w:hint="cs"/>
                <w:szCs w:val="22"/>
                <w:rtl/>
              </w:rPr>
              <w:t>127 44</w:t>
            </w:r>
          </w:p>
        </w:tc>
        <w:tc>
          <w:tcPr>
            <w:tcW w:w="1059" w:type="dxa"/>
            <w:tcBorders>
              <w:top w:val="nil"/>
              <w:bottom w:val="nil"/>
            </w:tcBorders>
          </w:tcPr>
          <w:p w:rsidR="00567B15" w:rsidRDefault="00567B15">
            <w:pPr>
              <w:spacing w:before="0" w:after="0"/>
              <w:ind w:firstLine="81"/>
              <w:jc w:val="both"/>
              <w:rPr>
                <w:rFonts w:hint="cs"/>
                <w:szCs w:val="22"/>
              </w:rPr>
            </w:pPr>
            <w:r>
              <w:rPr>
                <w:rFonts w:hint="cs"/>
                <w:szCs w:val="22"/>
                <w:rtl/>
              </w:rPr>
              <w:t>11.96</w:t>
            </w:r>
          </w:p>
        </w:tc>
      </w:tr>
      <w:tr w:rsidR="00567B15" w:rsidTr="00567B15">
        <w:tblPrEx>
          <w:tblCellMar>
            <w:top w:w="0" w:type="dxa"/>
            <w:bottom w:w="0" w:type="dxa"/>
          </w:tblCellMar>
        </w:tblPrEx>
        <w:tc>
          <w:tcPr>
            <w:tcW w:w="1246" w:type="dxa"/>
            <w:tcBorders>
              <w:top w:val="nil"/>
              <w:bottom w:val="single" w:sz="4" w:space="0" w:color="auto"/>
            </w:tcBorders>
          </w:tcPr>
          <w:p w:rsidR="00567B15" w:rsidRDefault="00567B15">
            <w:pPr>
              <w:spacing w:before="0" w:after="0"/>
              <w:jc w:val="both"/>
              <w:rPr>
                <w:szCs w:val="22"/>
              </w:rPr>
            </w:pPr>
          </w:p>
        </w:tc>
        <w:tc>
          <w:tcPr>
            <w:tcW w:w="966" w:type="dxa"/>
            <w:tcBorders>
              <w:top w:val="nil"/>
              <w:bottom w:val="single" w:sz="4" w:space="0" w:color="auto"/>
            </w:tcBorders>
          </w:tcPr>
          <w:p w:rsidR="00567B15" w:rsidRDefault="00567B15">
            <w:pPr>
              <w:tabs>
                <w:tab w:val="left" w:pos="238"/>
              </w:tabs>
              <w:spacing w:before="0" w:after="0"/>
              <w:jc w:val="both"/>
              <w:rPr>
                <w:szCs w:val="22"/>
              </w:rPr>
            </w:pPr>
            <w:r>
              <w:rPr>
                <w:szCs w:val="22"/>
                <w:rtl/>
              </w:rPr>
              <w:tab/>
              <w:t>المجموع</w:t>
            </w:r>
          </w:p>
        </w:tc>
        <w:tc>
          <w:tcPr>
            <w:tcW w:w="1281" w:type="dxa"/>
            <w:tcBorders>
              <w:top w:val="nil"/>
              <w:bottom w:val="single" w:sz="4" w:space="0" w:color="auto"/>
            </w:tcBorders>
          </w:tcPr>
          <w:p w:rsidR="00567B15" w:rsidRDefault="00567B15">
            <w:pPr>
              <w:spacing w:before="0" w:after="0"/>
              <w:ind w:firstLine="122"/>
              <w:jc w:val="both"/>
              <w:rPr>
                <w:rFonts w:hint="cs"/>
                <w:szCs w:val="22"/>
              </w:rPr>
            </w:pPr>
            <w:r>
              <w:rPr>
                <w:rFonts w:hint="cs"/>
                <w:szCs w:val="22"/>
                <w:rtl/>
              </w:rPr>
              <w:t>254 013 1</w:t>
            </w:r>
          </w:p>
        </w:tc>
        <w:tc>
          <w:tcPr>
            <w:tcW w:w="1196" w:type="dxa"/>
            <w:tcBorders>
              <w:top w:val="nil"/>
              <w:bottom w:val="single" w:sz="4" w:space="0" w:color="auto"/>
            </w:tcBorders>
          </w:tcPr>
          <w:p w:rsidR="00567B15" w:rsidRDefault="00567B15">
            <w:pPr>
              <w:spacing w:before="0" w:after="0"/>
              <w:ind w:firstLine="160"/>
              <w:jc w:val="both"/>
              <w:rPr>
                <w:rFonts w:hint="cs"/>
                <w:szCs w:val="22"/>
              </w:rPr>
            </w:pPr>
            <w:r>
              <w:rPr>
                <w:rFonts w:hint="cs"/>
                <w:szCs w:val="22"/>
                <w:rtl/>
              </w:rPr>
              <w:t>163 144</w:t>
            </w:r>
          </w:p>
        </w:tc>
        <w:tc>
          <w:tcPr>
            <w:tcW w:w="1196" w:type="dxa"/>
            <w:tcBorders>
              <w:top w:val="nil"/>
              <w:bottom w:val="single" w:sz="4" w:space="0" w:color="auto"/>
            </w:tcBorders>
          </w:tcPr>
          <w:p w:rsidR="00567B15" w:rsidRDefault="00567B15">
            <w:pPr>
              <w:spacing w:before="0" w:after="0"/>
              <w:ind w:firstLine="70"/>
              <w:jc w:val="both"/>
              <w:rPr>
                <w:rFonts w:hint="cs"/>
                <w:szCs w:val="22"/>
              </w:rPr>
            </w:pPr>
            <w:r>
              <w:rPr>
                <w:rFonts w:hint="cs"/>
                <w:szCs w:val="22"/>
                <w:rtl/>
              </w:rPr>
              <w:t>14.23</w:t>
            </w:r>
          </w:p>
        </w:tc>
        <w:tc>
          <w:tcPr>
            <w:tcW w:w="1196" w:type="dxa"/>
            <w:tcBorders>
              <w:top w:val="nil"/>
              <w:bottom w:val="single" w:sz="4" w:space="0" w:color="auto"/>
            </w:tcBorders>
          </w:tcPr>
          <w:p w:rsidR="00567B15" w:rsidRDefault="00567B15">
            <w:pPr>
              <w:spacing w:before="0" w:after="0"/>
              <w:ind w:firstLine="134"/>
              <w:jc w:val="both"/>
              <w:rPr>
                <w:rFonts w:hint="cs"/>
                <w:szCs w:val="22"/>
              </w:rPr>
            </w:pPr>
            <w:r>
              <w:rPr>
                <w:rFonts w:hint="cs"/>
                <w:szCs w:val="22"/>
                <w:rtl/>
              </w:rPr>
              <w:t>050 764</w:t>
            </w:r>
          </w:p>
        </w:tc>
        <w:tc>
          <w:tcPr>
            <w:tcW w:w="1197" w:type="dxa"/>
            <w:tcBorders>
              <w:top w:val="nil"/>
              <w:bottom w:val="single" w:sz="4" w:space="0" w:color="auto"/>
            </w:tcBorders>
          </w:tcPr>
          <w:p w:rsidR="00567B15" w:rsidRDefault="00567B15">
            <w:pPr>
              <w:spacing w:before="0" w:after="0"/>
              <w:ind w:firstLine="161"/>
              <w:jc w:val="both"/>
              <w:rPr>
                <w:rFonts w:hint="cs"/>
                <w:szCs w:val="22"/>
              </w:rPr>
            </w:pPr>
            <w:r>
              <w:rPr>
                <w:rFonts w:hint="cs"/>
                <w:szCs w:val="22"/>
                <w:rtl/>
              </w:rPr>
              <w:t>798 90</w:t>
            </w:r>
          </w:p>
        </w:tc>
        <w:tc>
          <w:tcPr>
            <w:tcW w:w="1059" w:type="dxa"/>
            <w:tcBorders>
              <w:top w:val="nil"/>
              <w:bottom w:val="single" w:sz="4" w:space="0" w:color="auto"/>
            </w:tcBorders>
          </w:tcPr>
          <w:p w:rsidR="00567B15" w:rsidRDefault="00567B15">
            <w:pPr>
              <w:spacing w:before="0" w:after="0"/>
              <w:ind w:firstLine="81"/>
              <w:jc w:val="both"/>
              <w:rPr>
                <w:rFonts w:hint="cs"/>
                <w:szCs w:val="22"/>
              </w:rPr>
            </w:pPr>
            <w:r>
              <w:rPr>
                <w:rFonts w:hint="cs"/>
                <w:szCs w:val="22"/>
                <w:rtl/>
              </w:rPr>
              <w:t>11.88</w:t>
            </w:r>
          </w:p>
        </w:tc>
      </w:tr>
      <w:tr w:rsidR="00567B15" w:rsidTr="00567B15">
        <w:tblPrEx>
          <w:tblCellMar>
            <w:top w:w="0" w:type="dxa"/>
            <w:bottom w:w="0" w:type="dxa"/>
          </w:tblCellMar>
        </w:tblPrEx>
        <w:tc>
          <w:tcPr>
            <w:tcW w:w="1246" w:type="dxa"/>
            <w:tcBorders>
              <w:bottom w:val="single" w:sz="4" w:space="0" w:color="auto"/>
            </w:tcBorders>
          </w:tcPr>
          <w:p w:rsidR="00567B15" w:rsidRDefault="00567B15">
            <w:pPr>
              <w:spacing w:before="0" w:after="0"/>
              <w:jc w:val="both"/>
              <w:rPr>
                <w:rFonts w:hint="cs"/>
                <w:szCs w:val="22"/>
              </w:rPr>
            </w:pPr>
            <w:r>
              <w:rPr>
                <w:rFonts w:hint="cs"/>
                <w:szCs w:val="22"/>
                <w:rtl/>
              </w:rPr>
              <w:t>1995-1996</w:t>
            </w:r>
          </w:p>
        </w:tc>
        <w:tc>
          <w:tcPr>
            <w:tcW w:w="966" w:type="dxa"/>
            <w:tcBorders>
              <w:bottom w:val="single" w:sz="4" w:space="0" w:color="auto"/>
            </w:tcBorders>
          </w:tcPr>
          <w:p w:rsidR="00567B15" w:rsidRDefault="00567B15">
            <w:pPr>
              <w:spacing w:before="0" w:after="0"/>
              <w:jc w:val="both"/>
              <w:rPr>
                <w:rFonts w:hint="cs"/>
                <w:szCs w:val="22"/>
              </w:rPr>
            </w:pPr>
            <w:r>
              <w:rPr>
                <w:rFonts w:hint="cs"/>
                <w:szCs w:val="22"/>
                <w:rtl/>
              </w:rPr>
              <w:t>ذكور</w:t>
            </w:r>
          </w:p>
        </w:tc>
        <w:tc>
          <w:tcPr>
            <w:tcW w:w="1281" w:type="dxa"/>
            <w:tcBorders>
              <w:bottom w:val="single" w:sz="4" w:space="0" w:color="auto"/>
            </w:tcBorders>
          </w:tcPr>
          <w:p w:rsidR="00567B15" w:rsidRDefault="00567B15">
            <w:pPr>
              <w:spacing w:before="0" w:after="0"/>
              <w:ind w:firstLine="122"/>
              <w:jc w:val="both"/>
              <w:rPr>
                <w:rFonts w:hint="cs"/>
                <w:szCs w:val="22"/>
              </w:rPr>
            </w:pPr>
            <w:r>
              <w:rPr>
                <w:rFonts w:hint="cs"/>
                <w:szCs w:val="22"/>
                <w:rtl/>
              </w:rPr>
              <w:t>840 524</w:t>
            </w:r>
          </w:p>
        </w:tc>
        <w:tc>
          <w:tcPr>
            <w:tcW w:w="1196" w:type="dxa"/>
            <w:tcBorders>
              <w:bottom w:val="single" w:sz="4" w:space="0" w:color="auto"/>
            </w:tcBorders>
          </w:tcPr>
          <w:p w:rsidR="00567B15" w:rsidRDefault="00567B15">
            <w:pPr>
              <w:spacing w:before="0" w:after="0"/>
              <w:ind w:firstLine="160"/>
              <w:jc w:val="both"/>
              <w:rPr>
                <w:rFonts w:hint="cs"/>
                <w:szCs w:val="22"/>
              </w:rPr>
            </w:pPr>
            <w:r>
              <w:rPr>
                <w:rFonts w:hint="cs"/>
                <w:szCs w:val="22"/>
                <w:rtl/>
              </w:rPr>
              <w:t>938 72</w:t>
            </w:r>
          </w:p>
        </w:tc>
        <w:tc>
          <w:tcPr>
            <w:tcW w:w="1196" w:type="dxa"/>
            <w:tcBorders>
              <w:bottom w:val="single" w:sz="4" w:space="0" w:color="auto"/>
            </w:tcBorders>
          </w:tcPr>
          <w:p w:rsidR="00567B15" w:rsidRDefault="00567B15">
            <w:pPr>
              <w:spacing w:before="0" w:after="0"/>
              <w:ind w:firstLine="70"/>
              <w:jc w:val="both"/>
              <w:rPr>
                <w:rFonts w:hint="cs"/>
                <w:szCs w:val="22"/>
              </w:rPr>
            </w:pPr>
            <w:r>
              <w:rPr>
                <w:rFonts w:hint="cs"/>
                <w:szCs w:val="22"/>
                <w:rtl/>
              </w:rPr>
              <w:t>13.90</w:t>
            </w:r>
          </w:p>
        </w:tc>
        <w:tc>
          <w:tcPr>
            <w:tcW w:w="1196" w:type="dxa"/>
            <w:tcBorders>
              <w:bottom w:val="single" w:sz="4" w:space="0" w:color="auto"/>
            </w:tcBorders>
          </w:tcPr>
          <w:p w:rsidR="00567B15" w:rsidRDefault="00567B15">
            <w:pPr>
              <w:spacing w:before="0" w:after="0"/>
              <w:ind w:firstLine="134"/>
              <w:jc w:val="both"/>
              <w:rPr>
                <w:rFonts w:hint="cs"/>
                <w:szCs w:val="22"/>
              </w:rPr>
            </w:pPr>
            <w:r>
              <w:rPr>
                <w:rFonts w:hint="cs"/>
                <w:szCs w:val="22"/>
                <w:rtl/>
              </w:rPr>
              <w:t>714 399</w:t>
            </w:r>
          </w:p>
        </w:tc>
        <w:tc>
          <w:tcPr>
            <w:tcW w:w="1197" w:type="dxa"/>
            <w:tcBorders>
              <w:bottom w:val="single" w:sz="4" w:space="0" w:color="auto"/>
            </w:tcBorders>
          </w:tcPr>
          <w:p w:rsidR="00567B15" w:rsidRDefault="00567B15">
            <w:pPr>
              <w:spacing w:before="0" w:after="0"/>
              <w:ind w:firstLine="161"/>
              <w:jc w:val="both"/>
              <w:rPr>
                <w:rFonts w:hint="cs"/>
                <w:szCs w:val="22"/>
              </w:rPr>
            </w:pPr>
            <w:r>
              <w:rPr>
                <w:rFonts w:hint="cs"/>
                <w:szCs w:val="22"/>
                <w:rtl/>
              </w:rPr>
              <w:t>594 46</w:t>
            </w:r>
          </w:p>
        </w:tc>
        <w:tc>
          <w:tcPr>
            <w:tcW w:w="1059" w:type="dxa"/>
            <w:tcBorders>
              <w:bottom w:val="single" w:sz="4" w:space="0" w:color="auto"/>
            </w:tcBorders>
          </w:tcPr>
          <w:p w:rsidR="00567B15" w:rsidRDefault="00567B15">
            <w:pPr>
              <w:spacing w:before="0" w:after="0"/>
              <w:ind w:firstLine="81"/>
              <w:jc w:val="both"/>
              <w:rPr>
                <w:rFonts w:hint="cs"/>
                <w:szCs w:val="22"/>
              </w:rPr>
            </w:pPr>
            <w:r>
              <w:rPr>
                <w:rFonts w:hint="cs"/>
                <w:szCs w:val="22"/>
                <w:rtl/>
              </w:rPr>
              <w:t>11.66</w:t>
            </w:r>
          </w:p>
        </w:tc>
      </w:tr>
      <w:tr w:rsidR="00567B15" w:rsidTr="00567B15">
        <w:tblPrEx>
          <w:tblCellMar>
            <w:top w:w="0" w:type="dxa"/>
            <w:bottom w:w="0" w:type="dxa"/>
          </w:tblCellMar>
        </w:tblPrEx>
        <w:tc>
          <w:tcPr>
            <w:tcW w:w="1246" w:type="dxa"/>
            <w:tcBorders>
              <w:top w:val="single" w:sz="4" w:space="0" w:color="auto"/>
              <w:bottom w:val="nil"/>
            </w:tcBorders>
          </w:tcPr>
          <w:p w:rsidR="00567B15" w:rsidRDefault="00567B15">
            <w:pPr>
              <w:spacing w:before="0" w:after="0"/>
              <w:jc w:val="both"/>
              <w:rPr>
                <w:szCs w:val="22"/>
              </w:rPr>
            </w:pPr>
          </w:p>
        </w:tc>
        <w:tc>
          <w:tcPr>
            <w:tcW w:w="966" w:type="dxa"/>
            <w:tcBorders>
              <w:top w:val="single" w:sz="4" w:space="0" w:color="auto"/>
              <w:bottom w:val="nil"/>
            </w:tcBorders>
          </w:tcPr>
          <w:p w:rsidR="00567B15" w:rsidRDefault="00567B15">
            <w:pPr>
              <w:spacing w:before="0" w:after="0"/>
              <w:jc w:val="both"/>
              <w:rPr>
                <w:rFonts w:hint="cs"/>
                <w:szCs w:val="22"/>
              </w:rPr>
            </w:pPr>
            <w:r>
              <w:rPr>
                <w:rFonts w:hint="cs"/>
                <w:szCs w:val="22"/>
                <w:rtl/>
              </w:rPr>
              <w:t>إناث</w:t>
            </w:r>
          </w:p>
        </w:tc>
        <w:tc>
          <w:tcPr>
            <w:tcW w:w="1281" w:type="dxa"/>
            <w:tcBorders>
              <w:top w:val="single" w:sz="4" w:space="0" w:color="auto"/>
              <w:bottom w:val="nil"/>
            </w:tcBorders>
          </w:tcPr>
          <w:p w:rsidR="00567B15" w:rsidRDefault="00567B15">
            <w:pPr>
              <w:spacing w:before="0" w:after="0"/>
              <w:ind w:firstLine="122"/>
              <w:jc w:val="both"/>
              <w:rPr>
                <w:rFonts w:hint="cs"/>
                <w:szCs w:val="22"/>
              </w:rPr>
            </w:pPr>
            <w:r>
              <w:rPr>
                <w:rFonts w:hint="cs"/>
                <w:szCs w:val="22"/>
                <w:rtl/>
              </w:rPr>
              <w:t>048 515</w:t>
            </w:r>
          </w:p>
        </w:tc>
        <w:tc>
          <w:tcPr>
            <w:tcW w:w="1196" w:type="dxa"/>
            <w:tcBorders>
              <w:top w:val="single" w:sz="4" w:space="0" w:color="auto"/>
              <w:bottom w:val="nil"/>
            </w:tcBorders>
          </w:tcPr>
          <w:p w:rsidR="00567B15" w:rsidRDefault="00567B15">
            <w:pPr>
              <w:spacing w:before="0" w:after="0"/>
              <w:ind w:firstLine="160"/>
              <w:jc w:val="both"/>
              <w:rPr>
                <w:rFonts w:hint="cs"/>
                <w:szCs w:val="22"/>
              </w:rPr>
            </w:pPr>
            <w:r>
              <w:rPr>
                <w:rFonts w:hint="cs"/>
                <w:szCs w:val="22"/>
                <w:rtl/>
              </w:rPr>
              <w:t>347 73</w:t>
            </w:r>
          </w:p>
        </w:tc>
        <w:tc>
          <w:tcPr>
            <w:tcW w:w="1196" w:type="dxa"/>
            <w:tcBorders>
              <w:top w:val="single" w:sz="4" w:space="0" w:color="auto"/>
              <w:bottom w:val="nil"/>
            </w:tcBorders>
          </w:tcPr>
          <w:p w:rsidR="00567B15" w:rsidRDefault="00567B15">
            <w:pPr>
              <w:spacing w:before="0" w:after="0"/>
              <w:ind w:firstLine="70"/>
              <w:jc w:val="both"/>
              <w:rPr>
                <w:rFonts w:hint="cs"/>
                <w:szCs w:val="22"/>
              </w:rPr>
            </w:pPr>
            <w:r>
              <w:rPr>
                <w:rFonts w:hint="cs"/>
                <w:szCs w:val="22"/>
                <w:rtl/>
              </w:rPr>
              <w:t>14.24</w:t>
            </w:r>
          </w:p>
        </w:tc>
        <w:tc>
          <w:tcPr>
            <w:tcW w:w="1196" w:type="dxa"/>
            <w:tcBorders>
              <w:top w:val="single" w:sz="4" w:space="0" w:color="auto"/>
              <w:bottom w:val="nil"/>
            </w:tcBorders>
          </w:tcPr>
          <w:p w:rsidR="00567B15" w:rsidRDefault="00567B15">
            <w:pPr>
              <w:spacing w:before="0" w:after="0"/>
              <w:ind w:firstLine="134"/>
              <w:jc w:val="both"/>
              <w:rPr>
                <w:rFonts w:hint="cs"/>
                <w:szCs w:val="22"/>
              </w:rPr>
            </w:pPr>
            <w:r>
              <w:rPr>
                <w:rFonts w:hint="cs"/>
                <w:szCs w:val="22"/>
                <w:rtl/>
              </w:rPr>
              <w:t>653 372</w:t>
            </w:r>
          </w:p>
        </w:tc>
        <w:tc>
          <w:tcPr>
            <w:tcW w:w="1197" w:type="dxa"/>
            <w:tcBorders>
              <w:top w:val="single" w:sz="4" w:space="0" w:color="auto"/>
              <w:bottom w:val="nil"/>
            </w:tcBorders>
          </w:tcPr>
          <w:p w:rsidR="00567B15" w:rsidRDefault="00567B15">
            <w:pPr>
              <w:spacing w:before="0" w:after="0"/>
              <w:ind w:firstLine="161"/>
              <w:jc w:val="both"/>
              <w:rPr>
                <w:rFonts w:hint="cs"/>
                <w:szCs w:val="22"/>
              </w:rPr>
            </w:pPr>
            <w:r>
              <w:rPr>
                <w:rFonts w:hint="cs"/>
                <w:szCs w:val="22"/>
                <w:rtl/>
              </w:rPr>
              <w:t>067 44</w:t>
            </w:r>
          </w:p>
        </w:tc>
        <w:tc>
          <w:tcPr>
            <w:tcW w:w="1059" w:type="dxa"/>
            <w:tcBorders>
              <w:top w:val="single" w:sz="4" w:space="0" w:color="auto"/>
              <w:bottom w:val="nil"/>
            </w:tcBorders>
          </w:tcPr>
          <w:p w:rsidR="00567B15" w:rsidRDefault="00567B15">
            <w:pPr>
              <w:spacing w:before="0" w:after="0"/>
              <w:ind w:firstLine="81"/>
              <w:jc w:val="both"/>
              <w:rPr>
                <w:rFonts w:hint="cs"/>
                <w:szCs w:val="22"/>
              </w:rPr>
            </w:pPr>
            <w:r>
              <w:rPr>
                <w:rFonts w:hint="cs"/>
                <w:szCs w:val="22"/>
                <w:rtl/>
              </w:rPr>
              <w:t>11.83</w:t>
            </w:r>
          </w:p>
        </w:tc>
      </w:tr>
      <w:tr w:rsidR="00567B15" w:rsidTr="00567B15">
        <w:tblPrEx>
          <w:tblCellMar>
            <w:top w:w="0" w:type="dxa"/>
            <w:bottom w:w="0" w:type="dxa"/>
          </w:tblCellMar>
        </w:tblPrEx>
        <w:tc>
          <w:tcPr>
            <w:tcW w:w="1246" w:type="dxa"/>
            <w:tcBorders>
              <w:top w:val="nil"/>
              <w:bottom w:val="single" w:sz="4" w:space="0" w:color="auto"/>
            </w:tcBorders>
          </w:tcPr>
          <w:p w:rsidR="00567B15" w:rsidRDefault="00567B15">
            <w:pPr>
              <w:spacing w:before="0" w:after="0"/>
              <w:jc w:val="both"/>
              <w:rPr>
                <w:szCs w:val="22"/>
              </w:rPr>
            </w:pPr>
          </w:p>
        </w:tc>
        <w:tc>
          <w:tcPr>
            <w:tcW w:w="966" w:type="dxa"/>
            <w:tcBorders>
              <w:top w:val="nil"/>
              <w:bottom w:val="single" w:sz="4" w:space="0" w:color="auto"/>
            </w:tcBorders>
          </w:tcPr>
          <w:p w:rsidR="00567B15" w:rsidRDefault="00567B15">
            <w:pPr>
              <w:tabs>
                <w:tab w:val="left" w:pos="238"/>
              </w:tabs>
              <w:spacing w:before="0" w:after="0"/>
              <w:jc w:val="both"/>
              <w:rPr>
                <w:szCs w:val="22"/>
              </w:rPr>
            </w:pPr>
            <w:r>
              <w:rPr>
                <w:szCs w:val="22"/>
                <w:rtl/>
              </w:rPr>
              <w:tab/>
              <w:t>المجموع</w:t>
            </w:r>
          </w:p>
        </w:tc>
        <w:tc>
          <w:tcPr>
            <w:tcW w:w="1281" w:type="dxa"/>
            <w:tcBorders>
              <w:top w:val="nil"/>
              <w:bottom w:val="single" w:sz="4" w:space="0" w:color="auto"/>
            </w:tcBorders>
          </w:tcPr>
          <w:p w:rsidR="00567B15" w:rsidRDefault="00567B15">
            <w:pPr>
              <w:spacing w:before="0" w:after="0"/>
              <w:ind w:firstLine="122"/>
              <w:jc w:val="both"/>
              <w:rPr>
                <w:rFonts w:hint="cs"/>
                <w:szCs w:val="22"/>
              </w:rPr>
            </w:pPr>
            <w:r>
              <w:rPr>
                <w:rFonts w:hint="cs"/>
                <w:szCs w:val="22"/>
                <w:rtl/>
              </w:rPr>
              <w:t>888 039 1</w:t>
            </w:r>
          </w:p>
        </w:tc>
        <w:tc>
          <w:tcPr>
            <w:tcW w:w="1196" w:type="dxa"/>
            <w:tcBorders>
              <w:top w:val="nil"/>
              <w:bottom w:val="single" w:sz="4" w:space="0" w:color="auto"/>
            </w:tcBorders>
          </w:tcPr>
          <w:p w:rsidR="00567B15" w:rsidRDefault="00567B15">
            <w:pPr>
              <w:spacing w:before="0" w:after="0"/>
              <w:ind w:firstLine="160"/>
              <w:jc w:val="both"/>
              <w:rPr>
                <w:rFonts w:hint="cs"/>
                <w:szCs w:val="22"/>
              </w:rPr>
            </w:pPr>
            <w:r>
              <w:rPr>
                <w:rFonts w:hint="cs"/>
                <w:szCs w:val="22"/>
                <w:rtl/>
              </w:rPr>
              <w:t>258 146</w:t>
            </w:r>
          </w:p>
        </w:tc>
        <w:tc>
          <w:tcPr>
            <w:tcW w:w="1196" w:type="dxa"/>
            <w:tcBorders>
              <w:top w:val="nil"/>
              <w:bottom w:val="single" w:sz="4" w:space="0" w:color="auto"/>
            </w:tcBorders>
          </w:tcPr>
          <w:p w:rsidR="00567B15" w:rsidRDefault="00567B15">
            <w:pPr>
              <w:spacing w:before="0" w:after="0"/>
              <w:ind w:firstLine="70"/>
              <w:jc w:val="both"/>
              <w:rPr>
                <w:rFonts w:hint="cs"/>
                <w:szCs w:val="22"/>
              </w:rPr>
            </w:pPr>
            <w:r>
              <w:rPr>
                <w:rFonts w:hint="cs"/>
                <w:szCs w:val="22"/>
                <w:rtl/>
              </w:rPr>
              <w:t>14.07</w:t>
            </w:r>
          </w:p>
        </w:tc>
        <w:tc>
          <w:tcPr>
            <w:tcW w:w="1196" w:type="dxa"/>
            <w:tcBorders>
              <w:top w:val="nil"/>
              <w:bottom w:val="single" w:sz="4" w:space="0" w:color="auto"/>
            </w:tcBorders>
          </w:tcPr>
          <w:p w:rsidR="00567B15" w:rsidRDefault="00567B15">
            <w:pPr>
              <w:spacing w:before="0" w:after="0"/>
              <w:ind w:firstLine="134"/>
              <w:jc w:val="both"/>
              <w:rPr>
                <w:rFonts w:hint="cs"/>
                <w:szCs w:val="22"/>
              </w:rPr>
            </w:pPr>
            <w:r>
              <w:rPr>
                <w:rFonts w:hint="cs"/>
                <w:szCs w:val="22"/>
                <w:rtl/>
              </w:rPr>
              <w:t>367 772</w:t>
            </w:r>
          </w:p>
        </w:tc>
        <w:tc>
          <w:tcPr>
            <w:tcW w:w="1197" w:type="dxa"/>
            <w:tcBorders>
              <w:top w:val="nil"/>
              <w:bottom w:val="single" w:sz="4" w:space="0" w:color="auto"/>
            </w:tcBorders>
          </w:tcPr>
          <w:p w:rsidR="00567B15" w:rsidRDefault="00567B15">
            <w:pPr>
              <w:spacing w:before="0" w:after="0"/>
              <w:ind w:firstLine="161"/>
              <w:jc w:val="both"/>
              <w:rPr>
                <w:rFonts w:hint="cs"/>
                <w:szCs w:val="22"/>
              </w:rPr>
            </w:pPr>
            <w:r>
              <w:rPr>
                <w:rFonts w:hint="cs"/>
                <w:szCs w:val="22"/>
                <w:rtl/>
              </w:rPr>
              <w:t>661 90</w:t>
            </w:r>
          </w:p>
        </w:tc>
        <w:tc>
          <w:tcPr>
            <w:tcW w:w="1059" w:type="dxa"/>
            <w:tcBorders>
              <w:top w:val="nil"/>
              <w:bottom w:val="single" w:sz="4" w:space="0" w:color="auto"/>
            </w:tcBorders>
          </w:tcPr>
          <w:p w:rsidR="00567B15" w:rsidRDefault="00567B15">
            <w:pPr>
              <w:spacing w:before="0" w:after="0"/>
              <w:ind w:firstLine="81"/>
              <w:jc w:val="both"/>
              <w:rPr>
                <w:rFonts w:hint="cs"/>
                <w:szCs w:val="22"/>
              </w:rPr>
            </w:pPr>
            <w:r>
              <w:rPr>
                <w:rFonts w:hint="cs"/>
                <w:szCs w:val="22"/>
                <w:rtl/>
              </w:rPr>
              <w:t>11.74</w:t>
            </w:r>
          </w:p>
        </w:tc>
      </w:tr>
      <w:tr w:rsidR="00567B15" w:rsidTr="00567B15">
        <w:tblPrEx>
          <w:tblCellMar>
            <w:top w:w="0" w:type="dxa"/>
            <w:bottom w:w="0" w:type="dxa"/>
          </w:tblCellMar>
        </w:tblPrEx>
        <w:tc>
          <w:tcPr>
            <w:tcW w:w="1246" w:type="dxa"/>
            <w:tcBorders>
              <w:bottom w:val="nil"/>
            </w:tcBorders>
          </w:tcPr>
          <w:p w:rsidR="00567B15" w:rsidRDefault="00567B15">
            <w:pPr>
              <w:spacing w:before="0" w:after="0"/>
              <w:jc w:val="both"/>
              <w:rPr>
                <w:rFonts w:hint="cs"/>
                <w:szCs w:val="22"/>
              </w:rPr>
            </w:pPr>
            <w:r>
              <w:rPr>
                <w:rFonts w:hint="cs"/>
                <w:szCs w:val="22"/>
                <w:rtl/>
              </w:rPr>
              <w:t>1996-1997</w:t>
            </w:r>
          </w:p>
        </w:tc>
        <w:tc>
          <w:tcPr>
            <w:tcW w:w="966" w:type="dxa"/>
            <w:tcBorders>
              <w:bottom w:val="nil"/>
            </w:tcBorders>
          </w:tcPr>
          <w:p w:rsidR="00567B15" w:rsidRDefault="00567B15">
            <w:pPr>
              <w:spacing w:before="0" w:after="0"/>
              <w:jc w:val="both"/>
              <w:rPr>
                <w:rFonts w:hint="cs"/>
                <w:szCs w:val="22"/>
              </w:rPr>
            </w:pPr>
            <w:r>
              <w:rPr>
                <w:rFonts w:hint="cs"/>
                <w:szCs w:val="22"/>
                <w:rtl/>
              </w:rPr>
              <w:t>ذكور</w:t>
            </w:r>
          </w:p>
        </w:tc>
        <w:tc>
          <w:tcPr>
            <w:tcW w:w="1281" w:type="dxa"/>
            <w:tcBorders>
              <w:bottom w:val="nil"/>
            </w:tcBorders>
          </w:tcPr>
          <w:p w:rsidR="00567B15" w:rsidRDefault="00567B15">
            <w:pPr>
              <w:spacing w:before="0" w:after="0"/>
              <w:ind w:firstLine="122"/>
              <w:jc w:val="both"/>
              <w:rPr>
                <w:rFonts w:hint="cs"/>
                <w:szCs w:val="22"/>
              </w:rPr>
            </w:pPr>
            <w:r>
              <w:rPr>
                <w:rFonts w:hint="cs"/>
                <w:szCs w:val="22"/>
                <w:rtl/>
              </w:rPr>
              <w:t>810 548</w:t>
            </w:r>
          </w:p>
        </w:tc>
        <w:tc>
          <w:tcPr>
            <w:tcW w:w="1196" w:type="dxa"/>
            <w:tcBorders>
              <w:bottom w:val="nil"/>
            </w:tcBorders>
          </w:tcPr>
          <w:p w:rsidR="00567B15" w:rsidRDefault="00567B15">
            <w:pPr>
              <w:spacing w:before="0" w:after="0"/>
              <w:ind w:firstLine="160"/>
              <w:jc w:val="both"/>
              <w:rPr>
                <w:rFonts w:hint="cs"/>
                <w:szCs w:val="22"/>
              </w:rPr>
            </w:pPr>
            <w:r>
              <w:rPr>
                <w:rFonts w:hint="cs"/>
                <w:szCs w:val="22"/>
                <w:rtl/>
              </w:rPr>
              <w:t>832 76</w:t>
            </w:r>
          </w:p>
        </w:tc>
        <w:tc>
          <w:tcPr>
            <w:tcW w:w="1196" w:type="dxa"/>
            <w:tcBorders>
              <w:bottom w:val="nil"/>
            </w:tcBorders>
          </w:tcPr>
          <w:p w:rsidR="00567B15" w:rsidRDefault="00567B15">
            <w:pPr>
              <w:spacing w:before="0" w:after="0"/>
              <w:ind w:firstLine="70"/>
              <w:jc w:val="both"/>
              <w:rPr>
                <w:rFonts w:hint="cs"/>
                <w:szCs w:val="22"/>
              </w:rPr>
            </w:pPr>
            <w:r>
              <w:rPr>
                <w:rFonts w:hint="cs"/>
                <w:szCs w:val="22"/>
                <w:rtl/>
              </w:rPr>
              <w:t>14.00</w:t>
            </w:r>
          </w:p>
        </w:tc>
        <w:tc>
          <w:tcPr>
            <w:tcW w:w="1196" w:type="dxa"/>
            <w:tcBorders>
              <w:bottom w:val="nil"/>
            </w:tcBorders>
          </w:tcPr>
          <w:p w:rsidR="00567B15" w:rsidRDefault="00567B15">
            <w:pPr>
              <w:spacing w:before="0" w:after="0"/>
              <w:ind w:firstLine="134"/>
              <w:jc w:val="both"/>
              <w:rPr>
                <w:rFonts w:hint="cs"/>
                <w:szCs w:val="22"/>
              </w:rPr>
            </w:pPr>
            <w:r>
              <w:rPr>
                <w:rFonts w:hint="cs"/>
                <w:szCs w:val="22"/>
                <w:rtl/>
              </w:rPr>
              <w:t>801 414</w:t>
            </w:r>
          </w:p>
        </w:tc>
        <w:tc>
          <w:tcPr>
            <w:tcW w:w="1197" w:type="dxa"/>
            <w:tcBorders>
              <w:bottom w:val="nil"/>
            </w:tcBorders>
          </w:tcPr>
          <w:p w:rsidR="00567B15" w:rsidRDefault="00567B15">
            <w:pPr>
              <w:spacing w:before="0" w:after="0"/>
              <w:ind w:firstLine="161"/>
              <w:jc w:val="both"/>
              <w:rPr>
                <w:rFonts w:hint="cs"/>
                <w:szCs w:val="22"/>
              </w:rPr>
            </w:pPr>
            <w:r>
              <w:rPr>
                <w:rFonts w:hint="cs"/>
                <w:szCs w:val="22"/>
                <w:rtl/>
              </w:rPr>
              <w:t>240 49</w:t>
            </w:r>
          </w:p>
        </w:tc>
        <w:tc>
          <w:tcPr>
            <w:tcW w:w="1059" w:type="dxa"/>
            <w:tcBorders>
              <w:bottom w:val="nil"/>
            </w:tcBorders>
          </w:tcPr>
          <w:p w:rsidR="00567B15" w:rsidRDefault="00567B15">
            <w:pPr>
              <w:spacing w:before="0" w:after="0"/>
              <w:ind w:firstLine="81"/>
              <w:jc w:val="both"/>
              <w:rPr>
                <w:rFonts w:hint="cs"/>
                <w:szCs w:val="22"/>
              </w:rPr>
            </w:pPr>
            <w:r>
              <w:rPr>
                <w:rFonts w:hint="cs"/>
                <w:szCs w:val="22"/>
                <w:rtl/>
              </w:rPr>
              <w:t>11.87</w:t>
            </w:r>
          </w:p>
        </w:tc>
      </w:tr>
      <w:tr w:rsidR="00567B15" w:rsidTr="00567B15">
        <w:tblPrEx>
          <w:tblCellMar>
            <w:top w:w="0" w:type="dxa"/>
            <w:bottom w:w="0" w:type="dxa"/>
          </w:tblCellMar>
        </w:tblPrEx>
        <w:tc>
          <w:tcPr>
            <w:tcW w:w="1246" w:type="dxa"/>
            <w:tcBorders>
              <w:top w:val="nil"/>
              <w:bottom w:val="nil"/>
            </w:tcBorders>
          </w:tcPr>
          <w:p w:rsidR="00567B15" w:rsidRDefault="00567B15">
            <w:pPr>
              <w:spacing w:before="0" w:after="0"/>
              <w:jc w:val="both"/>
              <w:rPr>
                <w:szCs w:val="22"/>
              </w:rPr>
            </w:pPr>
          </w:p>
        </w:tc>
        <w:tc>
          <w:tcPr>
            <w:tcW w:w="966" w:type="dxa"/>
            <w:tcBorders>
              <w:top w:val="nil"/>
              <w:bottom w:val="nil"/>
            </w:tcBorders>
          </w:tcPr>
          <w:p w:rsidR="00567B15" w:rsidRDefault="00567B15">
            <w:pPr>
              <w:spacing w:before="0" w:after="0"/>
              <w:jc w:val="both"/>
              <w:rPr>
                <w:rFonts w:hint="cs"/>
                <w:szCs w:val="22"/>
              </w:rPr>
            </w:pPr>
            <w:r>
              <w:rPr>
                <w:rFonts w:hint="cs"/>
                <w:szCs w:val="22"/>
                <w:rtl/>
              </w:rPr>
              <w:t>إناث</w:t>
            </w:r>
          </w:p>
        </w:tc>
        <w:tc>
          <w:tcPr>
            <w:tcW w:w="1281" w:type="dxa"/>
            <w:tcBorders>
              <w:top w:val="nil"/>
              <w:bottom w:val="nil"/>
            </w:tcBorders>
          </w:tcPr>
          <w:p w:rsidR="00567B15" w:rsidRDefault="00567B15">
            <w:pPr>
              <w:spacing w:before="0" w:after="0"/>
              <w:ind w:firstLine="122"/>
              <w:jc w:val="both"/>
              <w:rPr>
                <w:rFonts w:hint="cs"/>
                <w:szCs w:val="22"/>
              </w:rPr>
            </w:pPr>
            <w:r>
              <w:rPr>
                <w:rFonts w:hint="cs"/>
                <w:szCs w:val="22"/>
                <w:rtl/>
              </w:rPr>
              <w:t>425 537</w:t>
            </w:r>
          </w:p>
        </w:tc>
        <w:tc>
          <w:tcPr>
            <w:tcW w:w="1196" w:type="dxa"/>
            <w:tcBorders>
              <w:top w:val="nil"/>
              <w:bottom w:val="nil"/>
            </w:tcBorders>
          </w:tcPr>
          <w:p w:rsidR="00567B15" w:rsidRDefault="00567B15">
            <w:pPr>
              <w:spacing w:before="0" w:after="0"/>
              <w:ind w:firstLine="160"/>
              <w:jc w:val="both"/>
              <w:rPr>
                <w:rFonts w:hint="cs"/>
                <w:szCs w:val="22"/>
              </w:rPr>
            </w:pPr>
            <w:r>
              <w:rPr>
                <w:rFonts w:hint="cs"/>
                <w:szCs w:val="22"/>
                <w:rtl/>
              </w:rPr>
              <w:t>149 77</w:t>
            </w:r>
          </w:p>
        </w:tc>
        <w:tc>
          <w:tcPr>
            <w:tcW w:w="1196" w:type="dxa"/>
            <w:tcBorders>
              <w:top w:val="nil"/>
              <w:bottom w:val="nil"/>
            </w:tcBorders>
          </w:tcPr>
          <w:p w:rsidR="00567B15" w:rsidRDefault="00567B15">
            <w:pPr>
              <w:spacing w:before="0" w:after="0"/>
              <w:ind w:firstLine="70"/>
              <w:jc w:val="both"/>
              <w:rPr>
                <w:rFonts w:hint="cs"/>
                <w:szCs w:val="22"/>
              </w:rPr>
            </w:pPr>
            <w:r>
              <w:rPr>
                <w:rFonts w:hint="cs"/>
                <w:szCs w:val="22"/>
                <w:rtl/>
              </w:rPr>
              <w:t>14.36</w:t>
            </w:r>
          </w:p>
        </w:tc>
        <w:tc>
          <w:tcPr>
            <w:tcW w:w="1196" w:type="dxa"/>
            <w:tcBorders>
              <w:top w:val="nil"/>
              <w:bottom w:val="nil"/>
            </w:tcBorders>
          </w:tcPr>
          <w:p w:rsidR="00567B15" w:rsidRDefault="00567B15">
            <w:pPr>
              <w:spacing w:before="0" w:after="0"/>
              <w:ind w:firstLine="134"/>
              <w:jc w:val="both"/>
              <w:rPr>
                <w:rFonts w:hint="cs"/>
                <w:szCs w:val="22"/>
              </w:rPr>
            </w:pPr>
            <w:r>
              <w:rPr>
                <w:rFonts w:hint="cs"/>
                <w:szCs w:val="22"/>
                <w:rtl/>
              </w:rPr>
              <w:t>136 387</w:t>
            </w:r>
          </w:p>
        </w:tc>
        <w:tc>
          <w:tcPr>
            <w:tcW w:w="1197" w:type="dxa"/>
            <w:tcBorders>
              <w:top w:val="nil"/>
              <w:bottom w:val="nil"/>
            </w:tcBorders>
          </w:tcPr>
          <w:p w:rsidR="00567B15" w:rsidRDefault="00567B15">
            <w:pPr>
              <w:spacing w:before="0" w:after="0"/>
              <w:ind w:firstLine="161"/>
              <w:jc w:val="both"/>
              <w:rPr>
                <w:rFonts w:hint="cs"/>
                <w:szCs w:val="22"/>
              </w:rPr>
            </w:pPr>
            <w:r>
              <w:rPr>
                <w:rFonts w:hint="cs"/>
                <w:szCs w:val="22"/>
                <w:rtl/>
              </w:rPr>
              <w:t>047 46</w:t>
            </w:r>
          </w:p>
        </w:tc>
        <w:tc>
          <w:tcPr>
            <w:tcW w:w="1059" w:type="dxa"/>
            <w:tcBorders>
              <w:top w:val="nil"/>
              <w:bottom w:val="nil"/>
            </w:tcBorders>
          </w:tcPr>
          <w:p w:rsidR="00567B15" w:rsidRDefault="00567B15">
            <w:pPr>
              <w:spacing w:before="0" w:after="0"/>
              <w:ind w:firstLine="81"/>
              <w:jc w:val="both"/>
              <w:rPr>
                <w:rFonts w:hint="cs"/>
                <w:szCs w:val="22"/>
              </w:rPr>
            </w:pPr>
            <w:r>
              <w:rPr>
                <w:rFonts w:hint="cs"/>
                <w:szCs w:val="22"/>
                <w:rtl/>
              </w:rPr>
              <w:t>11.89</w:t>
            </w:r>
          </w:p>
        </w:tc>
      </w:tr>
      <w:tr w:rsidR="00567B15" w:rsidTr="00567B15">
        <w:tblPrEx>
          <w:tblCellMar>
            <w:top w:w="0" w:type="dxa"/>
            <w:bottom w:w="0" w:type="dxa"/>
          </w:tblCellMar>
        </w:tblPrEx>
        <w:tc>
          <w:tcPr>
            <w:tcW w:w="1246" w:type="dxa"/>
            <w:tcBorders>
              <w:top w:val="nil"/>
              <w:bottom w:val="single" w:sz="4" w:space="0" w:color="auto"/>
            </w:tcBorders>
          </w:tcPr>
          <w:p w:rsidR="00567B15" w:rsidRDefault="00567B15">
            <w:pPr>
              <w:spacing w:before="0" w:after="0"/>
              <w:jc w:val="both"/>
              <w:rPr>
                <w:szCs w:val="22"/>
              </w:rPr>
            </w:pPr>
          </w:p>
        </w:tc>
        <w:tc>
          <w:tcPr>
            <w:tcW w:w="966" w:type="dxa"/>
            <w:tcBorders>
              <w:top w:val="nil"/>
              <w:bottom w:val="single" w:sz="4" w:space="0" w:color="auto"/>
            </w:tcBorders>
          </w:tcPr>
          <w:p w:rsidR="00567B15" w:rsidRDefault="00567B15">
            <w:pPr>
              <w:tabs>
                <w:tab w:val="left" w:pos="238"/>
              </w:tabs>
              <w:spacing w:before="0" w:after="0"/>
              <w:jc w:val="both"/>
              <w:rPr>
                <w:szCs w:val="22"/>
              </w:rPr>
            </w:pPr>
            <w:r>
              <w:rPr>
                <w:szCs w:val="22"/>
                <w:rtl/>
              </w:rPr>
              <w:tab/>
              <w:t>المجموع</w:t>
            </w:r>
          </w:p>
        </w:tc>
        <w:tc>
          <w:tcPr>
            <w:tcW w:w="1281" w:type="dxa"/>
            <w:tcBorders>
              <w:top w:val="nil"/>
              <w:bottom w:val="single" w:sz="4" w:space="0" w:color="auto"/>
            </w:tcBorders>
          </w:tcPr>
          <w:p w:rsidR="00567B15" w:rsidRDefault="00567B15">
            <w:pPr>
              <w:spacing w:before="0" w:after="0"/>
              <w:ind w:firstLine="122"/>
              <w:jc w:val="both"/>
              <w:rPr>
                <w:rFonts w:hint="cs"/>
                <w:szCs w:val="22"/>
              </w:rPr>
            </w:pPr>
            <w:r>
              <w:rPr>
                <w:rFonts w:hint="cs"/>
                <w:szCs w:val="22"/>
                <w:rtl/>
              </w:rPr>
              <w:t>235 086 1</w:t>
            </w:r>
          </w:p>
        </w:tc>
        <w:tc>
          <w:tcPr>
            <w:tcW w:w="1196" w:type="dxa"/>
            <w:tcBorders>
              <w:top w:val="nil"/>
              <w:bottom w:val="single" w:sz="4" w:space="0" w:color="auto"/>
            </w:tcBorders>
          </w:tcPr>
          <w:p w:rsidR="00567B15" w:rsidRDefault="00567B15">
            <w:pPr>
              <w:spacing w:before="0" w:after="0"/>
              <w:ind w:firstLine="160"/>
              <w:jc w:val="both"/>
              <w:rPr>
                <w:rFonts w:hint="cs"/>
                <w:szCs w:val="22"/>
              </w:rPr>
            </w:pPr>
            <w:r>
              <w:rPr>
                <w:rFonts w:hint="cs"/>
                <w:szCs w:val="22"/>
                <w:rtl/>
              </w:rPr>
              <w:t>981 153</w:t>
            </w:r>
          </w:p>
        </w:tc>
        <w:tc>
          <w:tcPr>
            <w:tcW w:w="1196" w:type="dxa"/>
            <w:tcBorders>
              <w:top w:val="nil"/>
              <w:bottom w:val="single" w:sz="4" w:space="0" w:color="auto"/>
            </w:tcBorders>
          </w:tcPr>
          <w:p w:rsidR="00567B15" w:rsidRDefault="00567B15">
            <w:pPr>
              <w:spacing w:before="0" w:after="0"/>
              <w:ind w:firstLine="70"/>
              <w:jc w:val="both"/>
              <w:rPr>
                <w:rFonts w:hint="cs"/>
                <w:szCs w:val="22"/>
              </w:rPr>
            </w:pPr>
            <w:r>
              <w:rPr>
                <w:rFonts w:hint="cs"/>
                <w:szCs w:val="22"/>
                <w:rtl/>
              </w:rPr>
              <w:t>14.18</w:t>
            </w:r>
          </w:p>
        </w:tc>
        <w:tc>
          <w:tcPr>
            <w:tcW w:w="1196" w:type="dxa"/>
            <w:tcBorders>
              <w:top w:val="nil"/>
              <w:bottom w:val="single" w:sz="4" w:space="0" w:color="auto"/>
            </w:tcBorders>
          </w:tcPr>
          <w:p w:rsidR="00567B15" w:rsidRDefault="00567B15">
            <w:pPr>
              <w:spacing w:before="0" w:after="0"/>
              <w:ind w:firstLine="134"/>
              <w:jc w:val="both"/>
              <w:rPr>
                <w:rFonts w:hint="cs"/>
                <w:szCs w:val="22"/>
              </w:rPr>
            </w:pPr>
            <w:r>
              <w:rPr>
                <w:rFonts w:hint="cs"/>
                <w:szCs w:val="22"/>
                <w:rtl/>
              </w:rPr>
              <w:t>937 801</w:t>
            </w:r>
          </w:p>
        </w:tc>
        <w:tc>
          <w:tcPr>
            <w:tcW w:w="1197" w:type="dxa"/>
            <w:tcBorders>
              <w:top w:val="nil"/>
              <w:bottom w:val="single" w:sz="4" w:space="0" w:color="auto"/>
            </w:tcBorders>
          </w:tcPr>
          <w:p w:rsidR="00567B15" w:rsidRDefault="00567B15">
            <w:pPr>
              <w:spacing w:before="0" w:after="0"/>
              <w:ind w:firstLine="161"/>
              <w:jc w:val="both"/>
              <w:rPr>
                <w:rFonts w:hint="cs"/>
                <w:szCs w:val="22"/>
              </w:rPr>
            </w:pPr>
            <w:r>
              <w:rPr>
                <w:rFonts w:hint="cs"/>
                <w:szCs w:val="22"/>
                <w:rtl/>
              </w:rPr>
              <w:t>287 95</w:t>
            </w:r>
          </w:p>
        </w:tc>
        <w:tc>
          <w:tcPr>
            <w:tcW w:w="1059" w:type="dxa"/>
            <w:tcBorders>
              <w:top w:val="nil"/>
              <w:bottom w:val="single" w:sz="4" w:space="0" w:color="auto"/>
            </w:tcBorders>
          </w:tcPr>
          <w:p w:rsidR="00567B15" w:rsidRDefault="00567B15">
            <w:pPr>
              <w:spacing w:before="0" w:after="0"/>
              <w:ind w:firstLine="81"/>
              <w:jc w:val="both"/>
              <w:rPr>
                <w:rFonts w:hint="cs"/>
                <w:szCs w:val="22"/>
              </w:rPr>
            </w:pPr>
            <w:r>
              <w:rPr>
                <w:rFonts w:hint="cs"/>
                <w:szCs w:val="22"/>
                <w:rtl/>
              </w:rPr>
              <w:t>11.88</w:t>
            </w:r>
          </w:p>
        </w:tc>
      </w:tr>
      <w:tr w:rsidR="00567B15" w:rsidTr="00567B15">
        <w:tblPrEx>
          <w:tblCellMar>
            <w:top w:w="0" w:type="dxa"/>
            <w:bottom w:w="0" w:type="dxa"/>
          </w:tblCellMar>
        </w:tblPrEx>
        <w:tc>
          <w:tcPr>
            <w:tcW w:w="1246" w:type="dxa"/>
            <w:tcBorders>
              <w:bottom w:val="nil"/>
            </w:tcBorders>
          </w:tcPr>
          <w:p w:rsidR="00567B15" w:rsidRDefault="00567B15">
            <w:pPr>
              <w:spacing w:before="0" w:after="0"/>
              <w:jc w:val="both"/>
              <w:rPr>
                <w:rFonts w:hint="cs"/>
                <w:szCs w:val="22"/>
              </w:rPr>
            </w:pPr>
            <w:r>
              <w:rPr>
                <w:rFonts w:hint="cs"/>
                <w:szCs w:val="22"/>
                <w:rtl/>
              </w:rPr>
              <w:t>1997-1998</w:t>
            </w:r>
          </w:p>
        </w:tc>
        <w:tc>
          <w:tcPr>
            <w:tcW w:w="966" w:type="dxa"/>
            <w:tcBorders>
              <w:bottom w:val="nil"/>
            </w:tcBorders>
          </w:tcPr>
          <w:p w:rsidR="00567B15" w:rsidRDefault="00567B15">
            <w:pPr>
              <w:spacing w:before="0" w:after="0"/>
              <w:jc w:val="both"/>
              <w:rPr>
                <w:rFonts w:hint="cs"/>
                <w:szCs w:val="22"/>
              </w:rPr>
            </w:pPr>
            <w:r>
              <w:rPr>
                <w:rFonts w:hint="cs"/>
                <w:szCs w:val="22"/>
                <w:rtl/>
              </w:rPr>
              <w:t>ذكور</w:t>
            </w:r>
          </w:p>
        </w:tc>
        <w:tc>
          <w:tcPr>
            <w:tcW w:w="1281" w:type="dxa"/>
            <w:tcBorders>
              <w:bottom w:val="nil"/>
            </w:tcBorders>
          </w:tcPr>
          <w:p w:rsidR="00567B15" w:rsidRDefault="00567B15">
            <w:pPr>
              <w:spacing w:before="0" w:after="0"/>
              <w:ind w:firstLine="122"/>
              <w:jc w:val="both"/>
              <w:rPr>
                <w:rFonts w:hint="cs"/>
                <w:szCs w:val="22"/>
              </w:rPr>
            </w:pPr>
            <w:r>
              <w:rPr>
                <w:rFonts w:hint="cs"/>
                <w:szCs w:val="22"/>
                <w:rtl/>
              </w:rPr>
              <w:t>101 553</w:t>
            </w:r>
          </w:p>
        </w:tc>
        <w:tc>
          <w:tcPr>
            <w:tcW w:w="1196" w:type="dxa"/>
            <w:tcBorders>
              <w:bottom w:val="nil"/>
            </w:tcBorders>
          </w:tcPr>
          <w:p w:rsidR="00567B15" w:rsidRDefault="00567B15">
            <w:pPr>
              <w:spacing w:before="0" w:after="0"/>
              <w:ind w:firstLine="160"/>
              <w:jc w:val="both"/>
              <w:rPr>
                <w:rFonts w:hint="cs"/>
                <w:szCs w:val="22"/>
              </w:rPr>
            </w:pPr>
            <w:r>
              <w:rPr>
                <w:rFonts w:hint="cs"/>
                <w:szCs w:val="22"/>
                <w:rtl/>
              </w:rPr>
              <w:t>703 77</w:t>
            </w:r>
          </w:p>
        </w:tc>
        <w:tc>
          <w:tcPr>
            <w:tcW w:w="1196" w:type="dxa"/>
            <w:tcBorders>
              <w:bottom w:val="nil"/>
            </w:tcBorders>
          </w:tcPr>
          <w:p w:rsidR="00567B15" w:rsidRDefault="00567B15">
            <w:pPr>
              <w:spacing w:before="0" w:after="0"/>
              <w:ind w:firstLine="70"/>
              <w:jc w:val="both"/>
              <w:rPr>
                <w:rFonts w:hint="cs"/>
                <w:szCs w:val="22"/>
              </w:rPr>
            </w:pPr>
            <w:r>
              <w:rPr>
                <w:rFonts w:hint="cs"/>
                <w:szCs w:val="22"/>
                <w:rtl/>
              </w:rPr>
              <w:t>14.05</w:t>
            </w:r>
          </w:p>
        </w:tc>
        <w:tc>
          <w:tcPr>
            <w:tcW w:w="1196" w:type="dxa"/>
            <w:tcBorders>
              <w:bottom w:val="nil"/>
            </w:tcBorders>
          </w:tcPr>
          <w:p w:rsidR="00567B15" w:rsidRDefault="00567B15">
            <w:pPr>
              <w:spacing w:before="0" w:after="0"/>
              <w:ind w:firstLine="134"/>
              <w:jc w:val="both"/>
              <w:rPr>
                <w:rFonts w:hint="cs"/>
                <w:szCs w:val="22"/>
              </w:rPr>
            </w:pPr>
            <w:r>
              <w:rPr>
                <w:rFonts w:hint="cs"/>
                <w:szCs w:val="22"/>
                <w:rtl/>
              </w:rPr>
              <w:t>000 406</w:t>
            </w:r>
          </w:p>
        </w:tc>
        <w:tc>
          <w:tcPr>
            <w:tcW w:w="1197" w:type="dxa"/>
            <w:tcBorders>
              <w:bottom w:val="nil"/>
            </w:tcBorders>
          </w:tcPr>
          <w:p w:rsidR="00567B15" w:rsidRDefault="00567B15">
            <w:pPr>
              <w:spacing w:before="0" w:after="0"/>
              <w:ind w:firstLine="161"/>
              <w:jc w:val="both"/>
              <w:rPr>
                <w:rFonts w:hint="cs"/>
                <w:szCs w:val="22"/>
              </w:rPr>
            </w:pPr>
            <w:r>
              <w:rPr>
                <w:rFonts w:hint="cs"/>
                <w:szCs w:val="22"/>
                <w:rtl/>
              </w:rPr>
              <w:t>973 48</w:t>
            </w:r>
          </w:p>
        </w:tc>
        <w:tc>
          <w:tcPr>
            <w:tcW w:w="1059" w:type="dxa"/>
            <w:tcBorders>
              <w:bottom w:val="nil"/>
            </w:tcBorders>
          </w:tcPr>
          <w:p w:rsidR="00567B15" w:rsidRDefault="00567B15">
            <w:pPr>
              <w:spacing w:before="0" w:after="0"/>
              <w:ind w:firstLine="81"/>
              <w:jc w:val="both"/>
              <w:rPr>
                <w:rFonts w:hint="cs"/>
                <w:szCs w:val="22"/>
              </w:rPr>
            </w:pPr>
            <w:r>
              <w:rPr>
                <w:rFonts w:hint="cs"/>
                <w:szCs w:val="22"/>
                <w:rtl/>
              </w:rPr>
              <w:t>12.06</w:t>
            </w:r>
          </w:p>
        </w:tc>
      </w:tr>
      <w:tr w:rsidR="00567B15" w:rsidTr="00567B15">
        <w:tblPrEx>
          <w:tblCellMar>
            <w:top w:w="0" w:type="dxa"/>
            <w:bottom w:w="0" w:type="dxa"/>
          </w:tblCellMar>
        </w:tblPrEx>
        <w:tc>
          <w:tcPr>
            <w:tcW w:w="1246" w:type="dxa"/>
            <w:tcBorders>
              <w:top w:val="nil"/>
              <w:bottom w:val="nil"/>
            </w:tcBorders>
          </w:tcPr>
          <w:p w:rsidR="00567B15" w:rsidRDefault="00567B15">
            <w:pPr>
              <w:spacing w:before="0" w:after="0"/>
              <w:jc w:val="both"/>
              <w:rPr>
                <w:szCs w:val="22"/>
              </w:rPr>
            </w:pPr>
          </w:p>
        </w:tc>
        <w:tc>
          <w:tcPr>
            <w:tcW w:w="966" w:type="dxa"/>
            <w:tcBorders>
              <w:top w:val="nil"/>
              <w:bottom w:val="nil"/>
            </w:tcBorders>
          </w:tcPr>
          <w:p w:rsidR="00567B15" w:rsidRDefault="00567B15">
            <w:pPr>
              <w:spacing w:before="0" w:after="0"/>
              <w:jc w:val="both"/>
              <w:rPr>
                <w:rFonts w:hint="cs"/>
                <w:szCs w:val="22"/>
              </w:rPr>
            </w:pPr>
            <w:r>
              <w:rPr>
                <w:rFonts w:hint="cs"/>
                <w:szCs w:val="22"/>
                <w:rtl/>
              </w:rPr>
              <w:t>إناث</w:t>
            </w:r>
          </w:p>
        </w:tc>
        <w:tc>
          <w:tcPr>
            <w:tcW w:w="1281" w:type="dxa"/>
            <w:tcBorders>
              <w:top w:val="nil"/>
              <w:bottom w:val="nil"/>
            </w:tcBorders>
          </w:tcPr>
          <w:p w:rsidR="00567B15" w:rsidRDefault="00567B15">
            <w:pPr>
              <w:spacing w:before="0" w:after="0"/>
              <w:ind w:firstLine="122"/>
              <w:jc w:val="both"/>
              <w:rPr>
                <w:rFonts w:hint="cs"/>
                <w:szCs w:val="22"/>
              </w:rPr>
            </w:pPr>
            <w:r>
              <w:rPr>
                <w:rFonts w:hint="cs"/>
                <w:szCs w:val="22"/>
                <w:rtl/>
              </w:rPr>
              <w:t>943 544</w:t>
            </w:r>
          </w:p>
        </w:tc>
        <w:tc>
          <w:tcPr>
            <w:tcW w:w="1196" w:type="dxa"/>
            <w:tcBorders>
              <w:top w:val="nil"/>
              <w:bottom w:val="nil"/>
            </w:tcBorders>
          </w:tcPr>
          <w:p w:rsidR="00567B15" w:rsidRDefault="00567B15">
            <w:pPr>
              <w:spacing w:before="0" w:after="0"/>
              <w:ind w:firstLine="160"/>
              <w:jc w:val="both"/>
              <w:rPr>
                <w:rFonts w:hint="cs"/>
                <w:szCs w:val="22"/>
              </w:rPr>
            </w:pPr>
            <w:r>
              <w:rPr>
                <w:rFonts w:hint="cs"/>
                <w:szCs w:val="22"/>
                <w:rtl/>
              </w:rPr>
              <w:t>208 79</w:t>
            </w:r>
          </w:p>
        </w:tc>
        <w:tc>
          <w:tcPr>
            <w:tcW w:w="1196" w:type="dxa"/>
            <w:tcBorders>
              <w:top w:val="nil"/>
              <w:bottom w:val="nil"/>
            </w:tcBorders>
          </w:tcPr>
          <w:p w:rsidR="00567B15" w:rsidRDefault="00567B15">
            <w:pPr>
              <w:spacing w:before="0" w:after="0"/>
              <w:ind w:firstLine="70"/>
              <w:jc w:val="both"/>
              <w:rPr>
                <w:rFonts w:hint="cs"/>
                <w:szCs w:val="22"/>
              </w:rPr>
            </w:pPr>
            <w:r>
              <w:rPr>
                <w:rFonts w:hint="cs"/>
                <w:szCs w:val="22"/>
                <w:rtl/>
              </w:rPr>
              <w:t>14.54</w:t>
            </w:r>
          </w:p>
        </w:tc>
        <w:tc>
          <w:tcPr>
            <w:tcW w:w="1196" w:type="dxa"/>
            <w:tcBorders>
              <w:top w:val="nil"/>
              <w:bottom w:val="nil"/>
            </w:tcBorders>
          </w:tcPr>
          <w:p w:rsidR="00567B15" w:rsidRDefault="00567B15">
            <w:pPr>
              <w:spacing w:before="0" w:after="0"/>
              <w:ind w:firstLine="134"/>
              <w:jc w:val="both"/>
              <w:rPr>
                <w:rFonts w:hint="cs"/>
                <w:szCs w:val="22"/>
              </w:rPr>
            </w:pPr>
            <w:r>
              <w:rPr>
                <w:rFonts w:hint="cs"/>
                <w:szCs w:val="22"/>
                <w:rtl/>
              </w:rPr>
              <w:t>901 378</w:t>
            </w:r>
          </w:p>
        </w:tc>
        <w:tc>
          <w:tcPr>
            <w:tcW w:w="1197" w:type="dxa"/>
            <w:tcBorders>
              <w:top w:val="nil"/>
              <w:bottom w:val="nil"/>
            </w:tcBorders>
          </w:tcPr>
          <w:p w:rsidR="00567B15" w:rsidRDefault="00567B15">
            <w:pPr>
              <w:spacing w:before="0" w:after="0"/>
              <w:ind w:firstLine="161"/>
              <w:jc w:val="both"/>
              <w:rPr>
                <w:rFonts w:hint="cs"/>
                <w:szCs w:val="22"/>
              </w:rPr>
            </w:pPr>
            <w:r>
              <w:rPr>
                <w:rFonts w:hint="cs"/>
                <w:szCs w:val="22"/>
                <w:rtl/>
              </w:rPr>
              <w:t>495 46</w:t>
            </w:r>
          </w:p>
        </w:tc>
        <w:tc>
          <w:tcPr>
            <w:tcW w:w="1059" w:type="dxa"/>
            <w:tcBorders>
              <w:top w:val="nil"/>
              <w:bottom w:val="nil"/>
            </w:tcBorders>
          </w:tcPr>
          <w:p w:rsidR="00567B15" w:rsidRDefault="00567B15">
            <w:pPr>
              <w:spacing w:before="0" w:after="0"/>
              <w:ind w:firstLine="81"/>
              <w:jc w:val="both"/>
              <w:rPr>
                <w:rFonts w:hint="cs"/>
                <w:szCs w:val="22"/>
              </w:rPr>
            </w:pPr>
            <w:r>
              <w:rPr>
                <w:rFonts w:hint="cs"/>
                <w:szCs w:val="22"/>
                <w:rtl/>
              </w:rPr>
              <w:t>12.27</w:t>
            </w:r>
          </w:p>
        </w:tc>
      </w:tr>
      <w:tr w:rsidR="00567B15" w:rsidTr="00567B15">
        <w:tblPrEx>
          <w:tblCellMar>
            <w:top w:w="0" w:type="dxa"/>
            <w:bottom w:w="0" w:type="dxa"/>
          </w:tblCellMar>
        </w:tblPrEx>
        <w:tc>
          <w:tcPr>
            <w:tcW w:w="1246" w:type="dxa"/>
            <w:tcBorders>
              <w:top w:val="nil"/>
            </w:tcBorders>
          </w:tcPr>
          <w:p w:rsidR="00567B15" w:rsidRDefault="00567B15">
            <w:pPr>
              <w:spacing w:before="0" w:after="0"/>
              <w:jc w:val="both"/>
              <w:rPr>
                <w:szCs w:val="22"/>
              </w:rPr>
            </w:pPr>
          </w:p>
        </w:tc>
        <w:tc>
          <w:tcPr>
            <w:tcW w:w="966" w:type="dxa"/>
            <w:tcBorders>
              <w:top w:val="nil"/>
            </w:tcBorders>
          </w:tcPr>
          <w:p w:rsidR="00567B15" w:rsidRDefault="00567B15">
            <w:pPr>
              <w:tabs>
                <w:tab w:val="left" w:pos="238"/>
              </w:tabs>
              <w:spacing w:before="0" w:after="0"/>
              <w:jc w:val="both"/>
              <w:rPr>
                <w:szCs w:val="22"/>
              </w:rPr>
            </w:pPr>
            <w:r>
              <w:rPr>
                <w:szCs w:val="22"/>
                <w:rtl/>
              </w:rPr>
              <w:tab/>
              <w:t>المجموع</w:t>
            </w:r>
          </w:p>
        </w:tc>
        <w:tc>
          <w:tcPr>
            <w:tcW w:w="1281" w:type="dxa"/>
            <w:tcBorders>
              <w:top w:val="nil"/>
            </w:tcBorders>
          </w:tcPr>
          <w:p w:rsidR="00567B15" w:rsidRDefault="00567B15">
            <w:pPr>
              <w:spacing w:before="0" w:after="0"/>
              <w:ind w:firstLine="122"/>
              <w:jc w:val="both"/>
              <w:rPr>
                <w:rFonts w:hint="cs"/>
                <w:szCs w:val="22"/>
              </w:rPr>
            </w:pPr>
            <w:r>
              <w:rPr>
                <w:rFonts w:hint="cs"/>
                <w:szCs w:val="22"/>
                <w:rtl/>
              </w:rPr>
              <w:t>044 098 1</w:t>
            </w:r>
          </w:p>
        </w:tc>
        <w:tc>
          <w:tcPr>
            <w:tcW w:w="1196" w:type="dxa"/>
            <w:tcBorders>
              <w:top w:val="nil"/>
            </w:tcBorders>
          </w:tcPr>
          <w:p w:rsidR="00567B15" w:rsidRDefault="00567B15">
            <w:pPr>
              <w:spacing w:before="0" w:after="0"/>
              <w:ind w:firstLine="160"/>
              <w:jc w:val="both"/>
              <w:rPr>
                <w:rFonts w:hint="cs"/>
                <w:szCs w:val="22"/>
              </w:rPr>
            </w:pPr>
            <w:r>
              <w:rPr>
                <w:rFonts w:hint="cs"/>
                <w:szCs w:val="22"/>
                <w:rtl/>
              </w:rPr>
              <w:t>911 156</w:t>
            </w:r>
          </w:p>
        </w:tc>
        <w:tc>
          <w:tcPr>
            <w:tcW w:w="1196" w:type="dxa"/>
            <w:tcBorders>
              <w:top w:val="nil"/>
            </w:tcBorders>
          </w:tcPr>
          <w:p w:rsidR="00567B15" w:rsidRDefault="00567B15">
            <w:pPr>
              <w:spacing w:before="0" w:after="0"/>
              <w:ind w:firstLine="70"/>
              <w:jc w:val="both"/>
              <w:rPr>
                <w:rFonts w:hint="cs"/>
                <w:szCs w:val="22"/>
              </w:rPr>
            </w:pPr>
            <w:r>
              <w:rPr>
                <w:rFonts w:hint="cs"/>
                <w:szCs w:val="22"/>
                <w:rtl/>
              </w:rPr>
              <w:t>14.29</w:t>
            </w:r>
          </w:p>
        </w:tc>
        <w:tc>
          <w:tcPr>
            <w:tcW w:w="1196" w:type="dxa"/>
            <w:tcBorders>
              <w:top w:val="nil"/>
            </w:tcBorders>
          </w:tcPr>
          <w:p w:rsidR="00567B15" w:rsidRDefault="00567B15">
            <w:pPr>
              <w:spacing w:before="0" w:after="0"/>
              <w:ind w:firstLine="134"/>
              <w:jc w:val="both"/>
              <w:rPr>
                <w:rFonts w:hint="cs"/>
                <w:szCs w:val="22"/>
              </w:rPr>
            </w:pPr>
            <w:r>
              <w:rPr>
                <w:rFonts w:hint="cs"/>
                <w:szCs w:val="22"/>
                <w:rtl/>
              </w:rPr>
              <w:t>901 784</w:t>
            </w:r>
          </w:p>
        </w:tc>
        <w:tc>
          <w:tcPr>
            <w:tcW w:w="1197" w:type="dxa"/>
            <w:tcBorders>
              <w:top w:val="nil"/>
            </w:tcBorders>
          </w:tcPr>
          <w:p w:rsidR="00567B15" w:rsidRDefault="00567B15">
            <w:pPr>
              <w:spacing w:before="0" w:after="0"/>
              <w:ind w:firstLine="161"/>
              <w:jc w:val="both"/>
              <w:rPr>
                <w:rFonts w:hint="cs"/>
                <w:szCs w:val="22"/>
              </w:rPr>
            </w:pPr>
            <w:r>
              <w:rPr>
                <w:rFonts w:hint="cs"/>
                <w:szCs w:val="22"/>
                <w:rtl/>
              </w:rPr>
              <w:t>468 95</w:t>
            </w:r>
          </w:p>
        </w:tc>
        <w:tc>
          <w:tcPr>
            <w:tcW w:w="1059" w:type="dxa"/>
            <w:tcBorders>
              <w:top w:val="nil"/>
            </w:tcBorders>
          </w:tcPr>
          <w:p w:rsidR="00567B15" w:rsidRDefault="00567B15">
            <w:pPr>
              <w:spacing w:before="0" w:after="0"/>
              <w:ind w:firstLine="81"/>
              <w:jc w:val="both"/>
              <w:rPr>
                <w:rFonts w:hint="cs"/>
                <w:szCs w:val="22"/>
              </w:rPr>
            </w:pPr>
            <w:r>
              <w:rPr>
                <w:rFonts w:hint="cs"/>
                <w:szCs w:val="22"/>
                <w:rtl/>
              </w:rPr>
              <w:t>12.16</w:t>
            </w:r>
          </w:p>
        </w:tc>
      </w:tr>
    </w:tbl>
    <w:p w:rsidR="00000000" w:rsidRDefault="00567B15">
      <w:pPr>
        <w:spacing w:before="120" w:after="0" w:line="380" w:lineRule="exact"/>
        <w:jc w:val="both"/>
        <w:rPr>
          <w:rFonts w:hint="cs"/>
          <w:rtl/>
        </w:rPr>
      </w:pPr>
      <w:r>
        <w:rPr>
          <w:rFonts w:hint="cs"/>
          <w:rtl/>
        </w:rPr>
        <w:tab/>
      </w:r>
      <w:r>
        <w:rPr>
          <w:rFonts w:hint="cs"/>
          <w:u w:val="single"/>
          <w:rtl/>
        </w:rPr>
        <w:t>المصدر</w:t>
      </w:r>
      <w:r>
        <w:rPr>
          <w:rFonts w:hint="cs"/>
          <w:rtl/>
        </w:rPr>
        <w:t>: النظام الوطني الإكوادوري للإحصاءات التربوية.</w:t>
      </w:r>
    </w:p>
    <w:p w:rsidR="00000000" w:rsidRDefault="00567B15">
      <w:pPr>
        <w:spacing w:before="0" w:after="0" w:line="380" w:lineRule="exact"/>
        <w:jc w:val="both"/>
        <w:rPr>
          <w:rFonts w:hint="cs"/>
          <w:rtl/>
        </w:rPr>
      </w:pPr>
      <w:r>
        <w:rPr>
          <w:rFonts w:hint="cs"/>
          <w:rtl/>
        </w:rPr>
        <w:tab/>
      </w:r>
      <w:r>
        <w:rPr>
          <w:rFonts w:hint="cs"/>
          <w:u w:val="single"/>
          <w:rtl/>
        </w:rPr>
        <w:t>إعداد</w:t>
      </w:r>
      <w:r>
        <w:rPr>
          <w:rFonts w:hint="cs"/>
          <w:rtl/>
        </w:rPr>
        <w:t>: فريق الإحصاءات لوزارة التعليم والثقافة.</w:t>
      </w:r>
    </w:p>
    <w:p w:rsidR="00000000" w:rsidRDefault="00567B15">
      <w:pPr>
        <w:spacing w:before="0" w:after="0" w:line="380" w:lineRule="exact"/>
        <w:jc w:val="both"/>
        <w:rPr>
          <w:rFonts w:hint="cs"/>
          <w:rtl/>
        </w:rPr>
      </w:pPr>
      <w:r>
        <w:rPr>
          <w:rFonts w:hint="cs"/>
          <w:rtl/>
        </w:rPr>
        <w:tab/>
        <w:t>*</w:t>
      </w:r>
      <w:r>
        <w:rPr>
          <w:rFonts w:hint="cs"/>
          <w:rtl/>
        </w:rPr>
        <w:tab/>
        <w:t>طلاب الصف السادس الناجحون.</w:t>
      </w:r>
    </w:p>
    <w:p w:rsidR="00000000" w:rsidRDefault="00567B15">
      <w:pPr>
        <w:spacing w:before="180" w:after="0" w:line="340" w:lineRule="exact"/>
        <w:jc w:val="center"/>
        <w:rPr>
          <w:rFonts w:hint="cs"/>
          <w:b/>
          <w:bCs/>
          <w:rtl/>
        </w:rPr>
      </w:pPr>
      <w:r>
        <w:rPr>
          <w:rFonts w:hint="cs"/>
          <w:b/>
          <w:bCs/>
          <w:rtl/>
        </w:rPr>
        <w:t>طلاب دورة التعليم الأساسي النظامي الناجحون</w:t>
      </w:r>
    </w:p>
    <w:p w:rsidR="00000000" w:rsidRDefault="00567B15">
      <w:pPr>
        <w:spacing w:before="0" w:after="180" w:line="360" w:lineRule="exact"/>
        <w:jc w:val="center"/>
        <w:rPr>
          <w:rFonts w:hint="cs"/>
          <w:b/>
          <w:bCs/>
          <w:rtl/>
        </w:rPr>
      </w:pPr>
      <w:r>
        <w:rPr>
          <w:rFonts w:hint="cs"/>
          <w:b/>
          <w:bCs/>
          <w:rtl/>
        </w:rPr>
        <w:t>حسب ا</w:t>
      </w:r>
      <w:r>
        <w:rPr>
          <w:rFonts w:hint="cs"/>
          <w:b/>
          <w:bCs/>
          <w:rtl/>
        </w:rPr>
        <w:t>لمنطقة والسنة الدراسية والجنس</w:t>
      </w:r>
    </w:p>
    <w:tbl>
      <w:tblPr>
        <w:bidiVisual/>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4"/>
        <w:gridCol w:w="1020"/>
        <w:gridCol w:w="1196"/>
        <w:gridCol w:w="1196"/>
        <w:gridCol w:w="1196"/>
        <w:gridCol w:w="1196"/>
        <w:gridCol w:w="1197"/>
        <w:gridCol w:w="1076"/>
      </w:tblGrid>
      <w:tr w:rsidR="00567B15" w:rsidTr="00567B15">
        <w:tblPrEx>
          <w:tblCellMar>
            <w:top w:w="0" w:type="dxa"/>
            <w:bottom w:w="0" w:type="dxa"/>
          </w:tblCellMar>
        </w:tblPrEx>
        <w:trPr>
          <w:cantSplit/>
          <w:tblHeader/>
        </w:trPr>
        <w:tc>
          <w:tcPr>
            <w:tcW w:w="9351" w:type="dxa"/>
            <w:gridSpan w:val="8"/>
            <w:tcBorders>
              <w:bottom w:val="single" w:sz="4" w:space="0" w:color="auto"/>
            </w:tcBorders>
            <w:vAlign w:val="bottom"/>
          </w:tcPr>
          <w:p w:rsidR="00000000" w:rsidRDefault="00567B15">
            <w:pPr>
              <w:spacing w:before="0" w:after="0" w:line="260" w:lineRule="exact"/>
              <w:jc w:val="center"/>
              <w:rPr>
                <w:rFonts w:hint="cs"/>
                <w:szCs w:val="22"/>
              </w:rPr>
            </w:pPr>
            <w:r>
              <w:rPr>
                <w:rFonts w:hint="cs"/>
                <w:szCs w:val="22"/>
                <w:rtl/>
              </w:rPr>
              <w:t>دورة  التعليم الأساسي</w:t>
            </w:r>
          </w:p>
        </w:tc>
      </w:tr>
      <w:tr w:rsidR="00567B15" w:rsidTr="00567B15">
        <w:tblPrEx>
          <w:tblCellMar>
            <w:top w:w="0" w:type="dxa"/>
            <w:bottom w:w="0" w:type="dxa"/>
          </w:tblCellMar>
        </w:tblPrEx>
        <w:trPr>
          <w:cantSplit/>
          <w:trHeight w:val="833"/>
          <w:tblHeader/>
        </w:trPr>
        <w:tc>
          <w:tcPr>
            <w:tcW w:w="1274" w:type="dxa"/>
            <w:tcBorders>
              <w:bottom w:val="single" w:sz="4" w:space="0" w:color="auto"/>
            </w:tcBorders>
            <w:vAlign w:val="bottom"/>
          </w:tcPr>
          <w:p w:rsidR="00567B15" w:rsidRDefault="00567B15">
            <w:pPr>
              <w:spacing w:before="0" w:after="0" w:line="260" w:lineRule="exact"/>
              <w:jc w:val="center"/>
              <w:rPr>
                <w:rFonts w:hint="cs"/>
                <w:szCs w:val="22"/>
              </w:rPr>
            </w:pPr>
            <w:r>
              <w:rPr>
                <w:rFonts w:hint="cs"/>
                <w:szCs w:val="22"/>
                <w:rtl/>
              </w:rPr>
              <w:t>السنة الدراسية</w:t>
            </w:r>
          </w:p>
        </w:tc>
        <w:tc>
          <w:tcPr>
            <w:tcW w:w="1020" w:type="dxa"/>
            <w:tcBorders>
              <w:bottom w:val="single" w:sz="4" w:space="0" w:color="auto"/>
            </w:tcBorders>
            <w:vAlign w:val="bottom"/>
          </w:tcPr>
          <w:p w:rsidR="00567B15" w:rsidRDefault="00567B15">
            <w:pPr>
              <w:spacing w:before="0" w:after="0" w:line="260" w:lineRule="exact"/>
              <w:jc w:val="center"/>
              <w:rPr>
                <w:rFonts w:hint="cs"/>
                <w:szCs w:val="22"/>
              </w:rPr>
            </w:pPr>
            <w:r>
              <w:rPr>
                <w:rFonts w:hint="cs"/>
                <w:szCs w:val="22"/>
                <w:rtl/>
              </w:rPr>
              <w:t>الجنس</w:t>
            </w:r>
          </w:p>
        </w:tc>
        <w:tc>
          <w:tcPr>
            <w:tcW w:w="1196" w:type="dxa"/>
            <w:tcBorders>
              <w:bottom w:val="single" w:sz="4" w:space="0" w:color="auto"/>
            </w:tcBorders>
            <w:vAlign w:val="bottom"/>
          </w:tcPr>
          <w:p w:rsidR="00567B15" w:rsidRDefault="00567B15">
            <w:pPr>
              <w:spacing w:before="0" w:after="0" w:line="260" w:lineRule="exact"/>
              <w:jc w:val="center"/>
              <w:rPr>
                <w:szCs w:val="22"/>
              </w:rPr>
            </w:pPr>
            <w:r>
              <w:rPr>
                <w:rFonts w:hint="cs"/>
                <w:szCs w:val="22"/>
                <w:rtl/>
              </w:rPr>
              <w:t>العدد الصافي للمسجلين في المناطق الحضرية</w:t>
            </w:r>
          </w:p>
        </w:tc>
        <w:tc>
          <w:tcPr>
            <w:tcW w:w="1196" w:type="dxa"/>
            <w:tcBorders>
              <w:bottom w:val="single" w:sz="4" w:space="0" w:color="auto"/>
            </w:tcBorders>
            <w:vAlign w:val="bottom"/>
          </w:tcPr>
          <w:p w:rsidR="00567B15" w:rsidRDefault="00567B15">
            <w:pPr>
              <w:spacing w:before="0" w:after="0" w:line="260" w:lineRule="exact"/>
              <w:jc w:val="center"/>
              <w:rPr>
                <w:szCs w:val="22"/>
              </w:rPr>
            </w:pPr>
            <w:r>
              <w:rPr>
                <w:rFonts w:hint="cs"/>
                <w:szCs w:val="22"/>
                <w:rtl/>
              </w:rPr>
              <w:t>الناجحون (في المناطق الحضرية)*</w:t>
            </w:r>
          </w:p>
        </w:tc>
        <w:tc>
          <w:tcPr>
            <w:tcW w:w="1196" w:type="dxa"/>
            <w:tcBorders>
              <w:bottom w:val="single" w:sz="4" w:space="0" w:color="auto"/>
            </w:tcBorders>
            <w:vAlign w:val="bottom"/>
          </w:tcPr>
          <w:p w:rsidR="00567B15" w:rsidRDefault="00567B15">
            <w:pPr>
              <w:spacing w:before="0" w:after="0" w:line="260" w:lineRule="exact"/>
              <w:ind w:firstLine="70"/>
              <w:jc w:val="both"/>
              <w:rPr>
                <w:szCs w:val="22"/>
              </w:rPr>
            </w:pPr>
            <w:r>
              <w:rPr>
                <w:rFonts w:hint="cs"/>
                <w:szCs w:val="22"/>
                <w:rtl/>
              </w:rPr>
              <w:t>نسبة مئوية</w:t>
            </w:r>
          </w:p>
        </w:tc>
        <w:tc>
          <w:tcPr>
            <w:tcW w:w="1196" w:type="dxa"/>
            <w:tcBorders>
              <w:bottom w:val="single" w:sz="4" w:space="0" w:color="auto"/>
            </w:tcBorders>
            <w:vAlign w:val="bottom"/>
          </w:tcPr>
          <w:p w:rsidR="00567B15" w:rsidRDefault="00567B15">
            <w:pPr>
              <w:spacing w:before="0" w:after="0" w:line="260" w:lineRule="exact"/>
              <w:jc w:val="center"/>
              <w:rPr>
                <w:szCs w:val="22"/>
              </w:rPr>
            </w:pPr>
            <w:r>
              <w:rPr>
                <w:rFonts w:hint="cs"/>
                <w:szCs w:val="22"/>
                <w:rtl/>
              </w:rPr>
              <w:t>العدد الصافي للمسجلين في المناطق الريفية</w:t>
            </w:r>
          </w:p>
        </w:tc>
        <w:tc>
          <w:tcPr>
            <w:tcW w:w="1197" w:type="dxa"/>
            <w:tcBorders>
              <w:bottom w:val="single" w:sz="4" w:space="0" w:color="auto"/>
            </w:tcBorders>
            <w:vAlign w:val="bottom"/>
          </w:tcPr>
          <w:p w:rsidR="00567B15" w:rsidRDefault="00567B15">
            <w:pPr>
              <w:spacing w:before="0" w:after="0" w:line="260" w:lineRule="exact"/>
              <w:jc w:val="center"/>
              <w:rPr>
                <w:szCs w:val="22"/>
              </w:rPr>
            </w:pPr>
            <w:r>
              <w:rPr>
                <w:rFonts w:hint="cs"/>
                <w:szCs w:val="22"/>
                <w:rtl/>
              </w:rPr>
              <w:t>الناجحون (في المناطق الريفية)</w:t>
            </w:r>
          </w:p>
        </w:tc>
        <w:tc>
          <w:tcPr>
            <w:tcW w:w="1076" w:type="dxa"/>
            <w:tcBorders>
              <w:bottom w:val="single" w:sz="4" w:space="0" w:color="auto"/>
            </w:tcBorders>
            <w:vAlign w:val="bottom"/>
          </w:tcPr>
          <w:p w:rsidR="00567B15" w:rsidRDefault="00567B15">
            <w:pPr>
              <w:spacing w:before="0" w:after="0" w:line="260" w:lineRule="exact"/>
              <w:ind w:firstLine="81"/>
              <w:jc w:val="both"/>
              <w:rPr>
                <w:szCs w:val="22"/>
              </w:rPr>
            </w:pPr>
            <w:r>
              <w:rPr>
                <w:rFonts w:hint="cs"/>
                <w:szCs w:val="22"/>
                <w:rtl/>
              </w:rPr>
              <w:t>نسبة مئوية</w:t>
            </w:r>
          </w:p>
        </w:tc>
      </w:tr>
      <w:tr w:rsidR="00567B15" w:rsidTr="00567B15">
        <w:tblPrEx>
          <w:tblCellMar>
            <w:top w:w="0" w:type="dxa"/>
            <w:bottom w:w="0" w:type="dxa"/>
          </w:tblCellMar>
        </w:tblPrEx>
        <w:tc>
          <w:tcPr>
            <w:tcW w:w="1274" w:type="dxa"/>
            <w:tcBorders>
              <w:bottom w:val="nil"/>
            </w:tcBorders>
          </w:tcPr>
          <w:p w:rsidR="00567B15" w:rsidRDefault="00567B15">
            <w:pPr>
              <w:spacing w:before="0" w:after="0"/>
              <w:jc w:val="both"/>
              <w:rPr>
                <w:rFonts w:hint="cs"/>
                <w:sz w:val="20"/>
                <w:szCs w:val="20"/>
              </w:rPr>
            </w:pPr>
            <w:r>
              <w:rPr>
                <w:rFonts w:hint="cs"/>
                <w:sz w:val="20"/>
                <w:szCs w:val="20"/>
                <w:rtl/>
              </w:rPr>
              <w:t>1993-1994</w:t>
            </w:r>
          </w:p>
        </w:tc>
        <w:tc>
          <w:tcPr>
            <w:tcW w:w="1020" w:type="dxa"/>
            <w:tcBorders>
              <w:bottom w:val="nil"/>
            </w:tcBorders>
          </w:tcPr>
          <w:p w:rsidR="00567B15" w:rsidRDefault="00567B15">
            <w:pPr>
              <w:spacing w:before="0" w:after="0"/>
              <w:jc w:val="both"/>
              <w:rPr>
                <w:rFonts w:hint="cs"/>
                <w:sz w:val="20"/>
                <w:szCs w:val="20"/>
              </w:rPr>
            </w:pPr>
            <w:r>
              <w:rPr>
                <w:rFonts w:hint="cs"/>
                <w:sz w:val="20"/>
                <w:szCs w:val="20"/>
                <w:rtl/>
              </w:rPr>
              <w:t>ذكور</w:t>
            </w:r>
          </w:p>
        </w:tc>
        <w:tc>
          <w:tcPr>
            <w:tcW w:w="1196" w:type="dxa"/>
            <w:tcBorders>
              <w:bottom w:val="nil"/>
            </w:tcBorders>
          </w:tcPr>
          <w:p w:rsidR="00567B15" w:rsidRDefault="00567B15">
            <w:pPr>
              <w:spacing w:before="0" w:after="0"/>
              <w:ind w:firstLine="122"/>
              <w:jc w:val="both"/>
              <w:rPr>
                <w:rFonts w:hint="cs"/>
                <w:sz w:val="20"/>
                <w:szCs w:val="20"/>
              </w:rPr>
            </w:pPr>
            <w:r>
              <w:rPr>
                <w:rFonts w:hint="cs"/>
                <w:sz w:val="20"/>
                <w:szCs w:val="20"/>
                <w:rtl/>
              </w:rPr>
              <w:t>190 187</w:t>
            </w:r>
          </w:p>
        </w:tc>
        <w:tc>
          <w:tcPr>
            <w:tcW w:w="1196" w:type="dxa"/>
            <w:tcBorders>
              <w:bottom w:val="nil"/>
            </w:tcBorders>
          </w:tcPr>
          <w:p w:rsidR="00567B15" w:rsidRDefault="00567B15">
            <w:pPr>
              <w:spacing w:before="0" w:after="0"/>
              <w:ind w:firstLine="160"/>
              <w:jc w:val="both"/>
              <w:rPr>
                <w:rFonts w:hint="cs"/>
                <w:sz w:val="20"/>
                <w:szCs w:val="20"/>
              </w:rPr>
            </w:pPr>
            <w:r>
              <w:rPr>
                <w:rFonts w:hint="cs"/>
                <w:sz w:val="20"/>
                <w:szCs w:val="20"/>
                <w:rtl/>
              </w:rPr>
              <w:t>291 43</w:t>
            </w:r>
          </w:p>
        </w:tc>
        <w:tc>
          <w:tcPr>
            <w:tcW w:w="1196" w:type="dxa"/>
            <w:tcBorders>
              <w:bottom w:val="nil"/>
            </w:tcBorders>
          </w:tcPr>
          <w:p w:rsidR="00567B15" w:rsidRDefault="00567B15">
            <w:pPr>
              <w:spacing w:before="0" w:after="0"/>
              <w:ind w:firstLine="70"/>
              <w:jc w:val="both"/>
              <w:rPr>
                <w:rFonts w:hint="cs"/>
                <w:sz w:val="20"/>
                <w:szCs w:val="20"/>
              </w:rPr>
            </w:pPr>
            <w:r>
              <w:rPr>
                <w:rFonts w:hint="cs"/>
                <w:sz w:val="20"/>
                <w:szCs w:val="20"/>
                <w:rtl/>
              </w:rPr>
              <w:t>23.13</w:t>
            </w:r>
          </w:p>
        </w:tc>
        <w:tc>
          <w:tcPr>
            <w:tcW w:w="1196" w:type="dxa"/>
            <w:tcBorders>
              <w:bottom w:val="nil"/>
            </w:tcBorders>
          </w:tcPr>
          <w:p w:rsidR="00567B15" w:rsidRDefault="00567B15">
            <w:pPr>
              <w:spacing w:before="0" w:after="0"/>
              <w:ind w:firstLine="134"/>
              <w:jc w:val="both"/>
              <w:rPr>
                <w:rFonts w:hint="cs"/>
                <w:sz w:val="20"/>
                <w:szCs w:val="20"/>
              </w:rPr>
            </w:pPr>
            <w:r>
              <w:rPr>
                <w:rFonts w:hint="cs"/>
                <w:sz w:val="20"/>
                <w:szCs w:val="20"/>
                <w:rtl/>
              </w:rPr>
              <w:t>075 36</w:t>
            </w:r>
          </w:p>
        </w:tc>
        <w:tc>
          <w:tcPr>
            <w:tcW w:w="1197" w:type="dxa"/>
            <w:tcBorders>
              <w:bottom w:val="nil"/>
            </w:tcBorders>
          </w:tcPr>
          <w:p w:rsidR="00567B15" w:rsidRDefault="00567B15">
            <w:pPr>
              <w:spacing w:before="0" w:after="0"/>
              <w:ind w:firstLine="161"/>
              <w:jc w:val="both"/>
              <w:rPr>
                <w:rFonts w:hint="cs"/>
                <w:sz w:val="20"/>
                <w:szCs w:val="20"/>
              </w:rPr>
            </w:pPr>
            <w:r>
              <w:rPr>
                <w:rFonts w:hint="cs"/>
                <w:sz w:val="20"/>
                <w:szCs w:val="20"/>
                <w:rtl/>
              </w:rPr>
              <w:t>033 8</w:t>
            </w:r>
          </w:p>
        </w:tc>
        <w:tc>
          <w:tcPr>
            <w:tcW w:w="1076" w:type="dxa"/>
            <w:tcBorders>
              <w:bottom w:val="nil"/>
            </w:tcBorders>
          </w:tcPr>
          <w:p w:rsidR="00567B15" w:rsidRDefault="00567B15">
            <w:pPr>
              <w:spacing w:before="0" w:after="0"/>
              <w:ind w:firstLine="81"/>
              <w:jc w:val="both"/>
              <w:rPr>
                <w:rFonts w:hint="cs"/>
                <w:sz w:val="20"/>
                <w:szCs w:val="20"/>
              </w:rPr>
            </w:pPr>
            <w:r>
              <w:rPr>
                <w:rFonts w:hint="cs"/>
                <w:sz w:val="20"/>
                <w:szCs w:val="20"/>
                <w:rtl/>
              </w:rPr>
              <w:t>22.27</w:t>
            </w:r>
          </w:p>
        </w:tc>
      </w:tr>
      <w:tr w:rsidR="00567B15" w:rsidTr="00567B15">
        <w:tblPrEx>
          <w:tblCellMar>
            <w:top w:w="0" w:type="dxa"/>
            <w:bottom w:w="0" w:type="dxa"/>
          </w:tblCellMar>
        </w:tblPrEx>
        <w:tc>
          <w:tcPr>
            <w:tcW w:w="1274" w:type="dxa"/>
            <w:tcBorders>
              <w:top w:val="nil"/>
              <w:bottom w:val="nil"/>
            </w:tcBorders>
          </w:tcPr>
          <w:p w:rsidR="00567B15" w:rsidRDefault="00567B15">
            <w:pPr>
              <w:spacing w:before="0" w:after="0"/>
              <w:jc w:val="both"/>
              <w:rPr>
                <w:sz w:val="20"/>
                <w:szCs w:val="20"/>
              </w:rPr>
            </w:pPr>
          </w:p>
        </w:tc>
        <w:tc>
          <w:tcPr>
            <w:tcW w:w="1020" w:type="dxa"/>
            <w:tcBorders>
              <w:top w:val="nil"/>
              <w:bottom w:val="nil"/>
            </w:tcBorders>
          </w:tcPr>
          <w:p w:rsidR="00567B15" w:rsidRDefault="00567B15">
            <w:pPr>
              <w:spacing w:before="0" w:after="0"/>
              <w:jc w:val="both"/>
              <w:rPr>
                <w:rFonts w:hint="cs"/>
                <w:sz w:val="20"/>
                <w:szCs w:val="20"/>
              </w:rPr>
            </w:pPr>
            <w:r>
              <w:rPr>
                <w:rFonts w:hint="cs"/>
                <w:sz w:val="20"/>
                <w:szCs w:val="20"/>
                <w:rtl/>
              </w:rPr>
              <w:t>إناث</w:t>
            </w:r>
          </w:p>
        </w:tc>
        <w:tc>
          <w:tcPr>
            <w:tcW w:w="1196" w:type="dxa"/>
            <w:tcBorders>
              <w:top w:val="nil"/>
              <w:bottom w:val="nil"/>
            </w:tcBorders>
          </w:tcPr>
          <w:p w:rsidR="00567B15" w:rsidRDefault="00567B15">
            <w:pPr>
              <w:spacing w:before="0" w:after="0"/>
              <w:ind w:firstLine="122"/>
              <w:jc w:val="both"/>
              <w:rPr>
                <w:rFonts w:hint="cs"/>
                <w:sz w:val="20"/>
                <w:szCs w:val="20"/>
              </w:rPr>
            </w:pPr>
            <w:r>
              <w:rPr>
                <w:rFonts w:hint="cs"/>
                <w:sz w:val="20"/>
                <w:szCs w:val="20"/>
                <w:rtl/>
              </w:rPr>
              <w:t>105 181</w:t>
            </w:r>
          </w:p>
        </w:tc>
        <w:tc>
          <w:tcPr>
            <w:tcW w:w="1196" w:type="dxa"/>
            <w:tcBorders>
              <w:top w:val="nil"/>
              <w:bottom w:val="nil"/>
            </w:tcBorders>
          </w:tcPr>
          <w:p w:rsidR="00567B15" w:rsidRDefault="00567B15">
            <w:pPr>
              <w:spacing w:before="0" w:after="0"/>
              <w:ind w:firstLine="160"/>
              <w:jc w:val="both"/>
              <w:rPr>
                <w:rFonts w:hint="cs"/>
                <w:sz w:val="20"/>
                <w:szCs w:val="20"/>
              </w:rPr>
            </w:pPr>
            <w:r>
              <w:rPr>
                <w:rFonts w:hint="cs"/>
                <w:sz w:val="20"/>
                <w:szCs w:val="20"/>
                <w:rtl/>
              </w:rPr>
              <w:t>201 47</w:t>
            </w:r>
          </w:p>
        </w:tc>
        <w:tc>
          <w:tcPr>
            <w:tcW w:w="1196" w:type="dxa"/>
            <w:tcBorders>
              <w:top w:val="nil"/>
              <w:bottom w:val="nil"/>
            </w:tcBorders>
          </w:tcPr>
          <w:p w:rsidR="00567B15" w:rsidRDefault="00567B15">
            <w:pPr>
              <w:spacing w:before="0" w:after="0"/>
              <w:ind w:firstLine="70"/>
              <w:jc w:val="both"/>
              <w:rPr>
                <w:rFonts w:hint="cs"/>
                <w:sz w:val="20"/>
                <w:szCs w:val="20"/>
              </w:rPr>
            </w:pPr>
            <w:r>
              <w:rPr>
                <w:rFonts w:hint="cs"/>
                <w:sz w:val="20"/>
                <w:szCs w:val="20"/>
                <w:rtl/>
              </w:rPr>
              <w:t>26.06</w:t>
            </w:r>
          </w:p>
        </w:tc>
        <w:tc>
          <w:tcPr>
            <w:tcW w:w="1196" w:type="dxa"/>
            <w:tcBorders>
              <w:top w:val="nil"/>
              <w:bottom w:val="nil"/>
            </w:tcBorders>
          </w:tcPr>
          <w:p w:rsidR="00567B15" w:rsidRDefault="00567B15">
            <w:pPr>
              <w:spacing w:before="0" w:after="0"/>
              <w:ind w:firstLine="134"/>
              <w:jc w:val="both"/>
              <w:rPr>
                <w:rFonts w:hint="cs"/>
                <w:sz w:val="20"/>
                <w:szCs w:val="20"/>
              </w:rPr>
            </w:pPr>
            <w:r>
              <w:rPr>
                <w:rFonts w:hint="cs"/>
                <w:sz w:val="20"/>
                <w:szCs w:val="20"/>
                <w:rtl/>
              </w:rPr>
              <w:t>288 26</w:t>
            </w:r>
          </w:p>
        </w:tc>
        <w:tc>
          <w:tcPr>
            <w:tcW w:w="1197" w:type="dxa"/>
            <w:tcBorders>
              <w:top w:val="nil"/>
              <w:bottom w:val="nil"/>
            </w:tcBorders>
          </w:tcPr>
          <w:p w:rsidR="00567B15" w:rsidRDefault="00567B15">
            <w:pPr>
              <w:spacing w:before="0" w:after="0"/>
              <w:ind w:firstLine="161"/>
              <w:jc w:val="both"/>
              <w:rPr>
                <w:rFonts w:hint="cs"/>
                <w:sz w:val="20"/>
                <w:szCs w:val="20"/>
              </w:rPr>
            </w:pPr>
            <w:r>
              <w:rPr>
                <w:rFonts w:hint="cs"/>
                <w:sz w:val="20"/>
                <w:szCs w:val="20"/>
                <w:rtl/>
              </w:rPr>
              <w:t>411 6</w:t>
            </w:r>
          </w:p>
        </w:tc>
        <w:tc>
          <w:tcPr>
            <w:tcW w:w="1076" w:type="dxa"/>
            <w:tcBorders>
              <w:top w:val="nil"/>
              <w:bottom w:val="nil"/>
            </w:tcBorders>
          </w:tcPr>
          <w:p w:rsidR="00567B15" w:rsidRDefault="00567B15">
            <w:pPr>
              <w:spacing w:before="0" w:after="0"/>
              <w:ind w:firstLine="81"/>
              <w:jc w:val="both"/>
              <w:rPr>
                <w:rFonts w:hint="cs"/>
                <w:sz w:val="20"/>
                <w:szCs w:val="20"/>
              </w:rPr>
            </w:pPr>
            <w:r>
              <w:rPr>
                <w:rFonts w:hint="cs"/>
                <w:sz w:val="20"/>
                <w:szCs w:val="20"/>
                <w:rtl/>
              </w:rPr>
              <w:t>24.39</w:t>
            </w:r>
          </w:p>
        </w:tc>
      </w:tr>
      <w:tr w:rsidR="00567B15" w:rsidTr="00567B15">
        <w:tblPrEx>
          <w:tblCellMar>
            <w:top w:w="0" w:type="dxa"/>
            <w:bottom w:w="0" w:type="dxa"/>
          </w:tblCellMar>
        </w:tblPrEx>
        <w:tc>
          <w:tcPr>
            <w:tcW w:w="1274" w:type="dxa"/>
            <w:tcBorders>
              <w:top w:val="nil"/>
              <w:bottom w:val="single" w:sz="4" w:space="0" w:color="auto"/>
            </w:tcBorders>
          </w:tcPr>
          <w:p w:rsidR="00567B15" w:rsidRDefault="00567B15">
            <w:pPr>
              <w:spacing w:before="0" w:after="0"/>
              <w:jc w:val="both"/>
              <w:rPr>
                <w:sz w:val="20"/>
                <w:szCs w:val="20"/>
              </w:rPr>
            </w:pPr>
          </w:p>
        </w:tc>
        <w:tc>
          <w:tcPr>
            <w:tcW w:w="1020" w:type="dxa"/>
            <w:tcBorders>
              <w:top w:val="nil"/>
              <w:bottom w:val="single" w:sz="4" w:space="0" w:color="auto"/>
            </w:tcBorders>
          </w:tcPr>
          <w:p w:rsidR="00567B15" w:rsidRDefault="00567B15">
            <w:pPr>
              <w:tabs>
                <w:tab w:val="left" w:pos="238"/>
              </w:tabs>
              <w:spacing w:before="0" w:after="0"/>
              <w:jc w:val="both"/>
              <w:rPr>
                <w:sz w:val="20"/>
                <w:szCs w:val="20"/>
              </w:rPr>
            </w:pPr>
            <w:r>
              <w:rPr>
                <w:sz w:val="20"/>
                <w:szCs w:val="20"/>
                <w:rtl/>
              </w:rPr>
              <w:tab/>
              <w:t>المجموع</w:t>
            </w:r>
          </w:p>
        </w:tc>
        <w:tc>
          <w:tcPr>
            <w:tcW w:w="1196" w:type="dxa"/>
            <w:tcBorders>
              <w:top w:val="nil"/>
              <w:bottom w:val="single" w:sz="4" w:space="0" w:color="auto"/>
            </w:tcBorders>
          </w:tcPr>
          <w:p w:rsidR="00567B15" w:rsidRDefault="00567B15">
            <w:pPr>
              <w:spacing w:before="0" w:after="0"/>
              <w:ind w:firstLine="122"/>
              <w:jc w:val="both"/>
              <w:rPr>
                <w:rFonts w:hint="cs"/>
                <w:sz w:val="20"/>
                <w:szCs w:val="20"/>
              </w:rPr>
            </w:pPr>
            <w:r>
              <w:rPr>
                <w:rFonts w:hint="cs"/>
                <w:sz w:val="20"/>
                <w:szCs w:val="20"/>
                <w:rtl/>
              </w:rPr>
              <w:t>295 368</w:t>
            </w:r>
          </w:p>
        </w:tc>
        <w:tc>
          <w:tcPr>
            <w:tcW w:w="1196" w:type="dxa"/>
            <w:tcBorders>
              <w:top w:val="nil"/>
              <w:bottom w:val="single" w:sz="4" w:space="0" w:color="auto"/>
            </w:tcBorders>
          </w:tcPr>
          <w:p w:rsidR="00567B15" w:rsidRDefault="00567B15">
            <w:pPr>
              <w:spacing w:before="0" w:after="0"/>
              <w:ind w:firstLine="160"/>
              <w:jc w:val="both"/>
              <w:rPr>
                <w:rFonts w:hint="cs"/>
                <w:sz w:val="20"/>
                <w:szCs w:val="20"/>
              </w:rPr>
            </w:pPr>
            <w:r>
              <w:rPr>
                <w:rFonts w:hint="cs"/>
                <w:sz w:val="20"/>
                <w:szCs w:val="20"/>
                <w:rtl/>
              </w:rPr>
              <w:t>492 90</w:t>
            </w:r>
          </w:p>
        </w:tc>
        <w:tc>
          <w:tcPr>
            <w:tcW w:w="1196" w:type="dxa"/>
            <w:tcBorders>
              <w:top w:val="nil"/>
              <w:bottom w:val="single" w:sz="4" w:space="0" w:color="auto"/>
            </w:tcBorders>
          </w:tcPr>
          <w:p w:rsidR="00567B15" w:rsidRDefault="00567B15">
            <w:pPr>
              <w:spacing w:before="0" w:after="0"/>
              <w:ind w:firstLine="70"/>
              <w:jc w:val="both"/>
              <w:rPr>
                <w:rFonts w:hint="cs"/>
                <w:sz w:val="20"/>
                <w:szCs w:val="20"/>
              </w:rPr>
            </w:pPr>
            <w:r>
              <w:rPr>
                <w:rFonts w:hint="cs"/>
                <w:sz w:val="20"/>
                <w:szCs w:val="20"/>
                <w:rtl/>
              </w:rPr>
              <w:t>24.57</w:t>
            </w:r>
          </w:p>
        </w:tc>
        <w:tc>
          <w:tcPr>
            <w:tcW w:w="1196" w:type="dxa"/>
            <w:tcBorders>
              <w:top w:val="nil"/>
              <w:bottom w:val="single" w:sz="4" w:space="0" w:color="auto"/>
            </w:tcBorders>
          </w:tcPr>
          <w:p w:rsidR="00567B15" w:rsidRDefault="00567B15">
            <w:pPr>
              <w:spacing w:before="0" w:after="0"/>
              <w:ind w:firstLine="134"/>
              <w:jc w:val="both"/>
              <w:rPr>
                <w:rFonts w:hint="cs"/>
                <w:sz w:val="20"/>
                <w:szCs w:val="20"/>
              </w:rPr>
            </w:pPr>
            <w:r>
              <w:rPr>
                <w:rFonts w:hint="cs"/>
                <w:sz w:val="20"/>
                <w:szCs w:val="20"/>
                <w:rtl/>
              </w:rPr>
              <w:t>363 62</w:t>
            </w:r>
          </w:p>
        </w:tc>
        <w:tc>
          <w:tcPr>
            <w:tcW w:w="1197" w:type="dxa"/>
            <w:tcBorders>
              <w:top w:val="nil"/>
              <w:bottom w:val="single" w:sz="4" w:space="0" w:color="auto"/>
            </w:tcBorders>
          </w:tcPr>
          <w:p w:rsidR="00567B15" w:rsidRDefault="00567B15">
            <w:pPr>
              <w:spacing w:before="0" w:after="0"/>
              <w:ind w:firstLine="161"/>
              <w:jc w:val="both"/>
              <w:rPr>
                <w:rFonts w:hint="cs"/>
                <w:sz w:val="20"/>
                <w:szCs w:val="20"/>
              </w:rPr>
            </w:pPr>
            <w:r>
              <w:rPr>
                <w:rFonts w:hint="cs"/>
                <w:sz w:val="20"/>
                <w:szCs w:val="20"/>
                <w:rtl/>
              </w:rPr>
              <w:t>444 14</w:t>
            </w:r>
          </w:p>
        </w:tc>
        <w:tc>
          <w:tcPr>
            <w:tcW w:w="1076" w:type="dxa"/>
            <w:tcBorders>
              <w:top w:val="nil"/>
              <w:bottom w:val="single" w:sz="4" w:space="0" w:color="auto"/>
            </w:tcBorders>
          </w:tcPr>
          <w:p w:rsidR="00567B15" w:rsidRDefault="00567B15">
            <w:pPr>
              <w:spacing w:before="0" w:after="0"/>
              <w:ind w:firstLine="81"/>
              <w:jc w:val="both"/>
              <w:rPr>
                <w:rFonts w:hint="cs"/>
                <w:sz w:val="20"/>
                <w:szCs w:val="20"/>
              </w:rPr>
            </w:pPr>
            <w:r>
              <w:rPr>
                <w:rFonts w:hint="cs"/>
                <w:sz w:val="20"/>
                <w:szCs w:val="20"/>
                <w:rtl/>
              </w:rPr>
              <w:t>23.16</w:t>
            </w:r>
          </w:p>
        </w:tc>
      </w:tr>
      <w:tr w:rsidR="00567B15" w:rsidTr="00567B15">
        <w:tblPrEx>
          <w:tblCellMar>
            <w:top w:w="0" w:type="dxa"/>
            <w:bottom w:w="0" w:type="dxa"/>
          </w:tblCellMar>
        </w:tblPrEx>
        <w:tc>
          <w:tcPr>
            <w:tcW w:w="1274" w:type="dxa"/>
            <w:tcBorders>
              <w:bottom w:val="nil"/>
            </w:tcBorders>
          </w:tcPr>
          <w:p w:rsidR="00567B15" w:rsidRDefault="00567B15">
            <w:pPr>
              <w:spacing w:before="0" w:after="0"/>
              <w:jc w:val="both"/>
              <w:rPr>
                <w:rFonts w:hint="cs"/>
                <w:sz w:val="20"/>
                <w:szCs w:val="20"/>
              </w:rPr>
            </w:pPr>
            <w:r>
              <w:rPr>
                <w:rFonts w:hint="cs"/>
                <w:sz w:val="20"/>
                <w:szCs w:val="20"/>
                <w:rtl/>
              </w:rPr>
              <w:t>1994-1995</w:t>
            </w:r>
          </w:p>
        </w:tc>
        <w:tc>
          <w:tcPr>
            <w:tcW w:w="1020" w:type="dxa"/>
            <w:tcBorders>
              <w:bottom w:val="nil"/>
            </w:tcBorders>
          </w:tcPr>
          <w:p w:rsidR="00567B15" w:rsidRDefault="00567B15">
            <w:pPr>
              <w:spacing w:before="0" w:after="0"/>
              <w:jc w:val="both"/>
              <w:rPr>
                <w:rFonts w:hint="cs"/>
                <w:sz w:val="20"/>
                <w:szCs w:val="20"/>
              </w:rPr>
            </w:pPr>
            <w:r>
              <w:rPr>
                <w:rFonts w:hint="cs"/>
                <w:sz w:val="20"/>
                <w:szCs w:val="20"/>
                <w:rtl/>
              </w:rPr>
              <w:t>ذكور</w:t>
            </w:r>
          </w:p>
        </w:tc>
        <w:tc>
          <w:tcPr>
            <w:tcW w:w="1196" w:type="dxa"/>
            <w:tcBorders>
              <w:bottom w:val="nil"/>
            </w:tcBorders>
          </w:tcPr>
          <w:p w:rsidR="00567B15" w:rsidRDefault="00567B15">
            <w:pPr>
              <w:spacing w:before="0" w:after="0"/>
              <w:ind w:firstLine="122"/>
              <w:jc w:val="both"/>
              <w:rPr>
                <w:rFonts w:hint="cs"/>
                <w:sz w:val="20"/>
                <w:szCs w:val="20"/>
              </w:rPr>
            </w:pPr>
            <w:r>
              <w:rPr>
                <w:rFonts w:hint="cs"/>
                <w:sz w:val="20"/>
                <w:szCs w:val="20"/>
                <w:rtl/>
              </w:rPr>
              <w:t>938 197</w:t>
            </w:r>
          </w:p>
        </w:tc>
        <w:tc>
          <w:tcPr>
            <w:tcW w:w="1196" w:type="dxa"/>
            <w:tcBorders>
              <w:bottom w:val="nil"/>
            </w:tcBorders>
          </w:tcPr>
          <w:p w:rsidR="00567B15" w:rsidRDefault="00567B15">
            <w:pPr>
              <w:spacing w:before="0" w:after="0"/>
              <w:ind w:firstLine="160"/>
              <w:jc w:val="both"/>
              <w:rPr>
                <w:rFonts w:hint="cs"/>
                <w:sz w:val="20"/>
                <w:szCs w:val="20"/>
              </w:rPr>
            </w:pPr>
            <w:r>
              <w:rPr>
                <w:rFonts w:hint="cs"/>
                <w:sz w:val="20"/>
                <w:szCs w:val="20"/>
                <w:rtl/>
              </w:rPr>
              <w:t>997 45</w:t>
            </w:r>
          </w:p>
        </w:tc>
        <w:tc>
          <w:tcPr>
            <w:tcW w:w="1196" w:type="dxa"/>
            <w:tcBorders>
              <w:bottom w:val="nil"/>
            </w:tcBorders>
          </w:tcPr>
          <w:p w:rsidR="00567B15" w:rsidRDefault="00567B15">
            <w:pPr>
              <w:spacing w:before="0" w:after="0"/>
              <w:ind w:firstLine="70"/>
              <w:jc w:val="both"/>
              <w:rPr>
                <w:rFonts w:hint="cs"/>
                <w:sz w:val="20"/>
                <w:szCs w:val="20"/>
              </w:rPr>
            </w:pPr>
            <w:r>
              <w:rPr>
                <w:rFonts w:hint="cs"/>
                <w:sz w:val="20"/>
                <w:szCs w:val="20"/>
                <w:rtl/>
              </w:rPr>
              <w:t>23.24</w:t>
            </w:r>
          </w:p>
        </w:tc>
        <w:tc>
          <w:tcPr>
            <w:tcW w:w="1196" w:type="dxa"/>
            <w:tcBorders>
              <w:bottom w:val="nil"/>
            </w:tcBorders>
          </w:tcPr>
          <w:p w:rsidR="00567B15" w:rsidRDefault="00567B15">
            <w:pPr>
              <w:spacing w:before="0" w:after="0"/>
              <w:ind w:firstLine="134"/>
              <w:jc w:val="both"/>
              <w:rPr>
                <w:rFonts w:hint="cs"/>
                <w:sz w:val="20"/>
                <w:szCs w:val="20"/>
              </w:rPr>
            </w:pPr>
            <w:r>
              <w:rPr>
                <w:rFonts w:hint="cs"/>
                <w:sz w:val="20"/>
                <w:szCs w:val="20"/>
                <w:rtl/>
              </w:rPr>
              <w:t>028 38</w:t>
            </w:r>
          </w:p>
        </w:tc>
        <w:tc>
          <w:tcPr>
            <w:tcW w:w="1197" w:type="dxa"/>
            <w:tcBorders>
              <w:bottom w:val="nil"/>
            </w:tcBorders>
          </w:tcPr>
          <w:p w:rsidR="00567B15" w:rsidRDefault="00567B15">
            <w:pPr>
              <w:spacing w:before="0" w:after="0"/>
              <w:ind w:firstLine="161"/>
              <w:jc w:val="both"/>
              <w:rPr>
                <w:rFonts w:hint="cs"/>
                <w:sz w:val="20"/>
                <w:szCs w:val="20"/>
              </w:rPr>
            </w:pPr>
            <w:r>
              <w:rPr>
                <w:rFonts w:hint="cs"/>
                <w:sz w:val="20"/>
                <w:szCs w:val="20"/>
                <w:rtl/>
              </w:rPr>
              <w:t>647 8</w:t>
            </w:r>
          </w:p>
        </w:tc>
        <w:tc>
          <w:tcPr>
            <w:tcW w:w="1076" w:type="dxa"/>
            <w:tcBorders>
              <w:bottom w:val="nil"/>
            </w:tcBorders>
          </w:tcPr>
          <w:p w:rsidR="00567B15" w:rsidRDefault="00567B15">
            <w:pPr>
              <w:spacing w:before="0" w:after="0"/>
              <w:ind w:firstLine="81"/>
              <w:jc w:val="both"/>
              <w:rPr>
                <w:rFonts w:hint="cs"/>
                <w:sz w:val="20"/>
                <w:szCs w:val="20"/>
              </w:rPr>
            </w:pPr>
            <w:r>
              <w:rPr>
                <w:rFonts w:hint="cs"/>
                <w:sz w:val="20"/>
                <w:szCs w:val="20"/>
                <w:rtl/>
              </w:rPr>
              <w:t>22.74</w:t>
            </w:r>
          </w:p>
        </w:tc>
      </w:tr>
      <w:tr w:rsidR="00567B15" w:rsidTr="00567B15">
        <w:tblPrEx>
          <w:tblCellMar>
            <w:top w:w="0" w:type="dxa"/>
            <w:bottom w:w="0" w:type="dxa"/>
          </w:tblCellMar>
        </w:tblPrEx>
        <w:tc>
          <w:tcPr>
            <w:tcW w:w="1274" w:type="dxa"/>
            <w:tcBorders>
              <w:top w:val="nil"/>
              <w:bottom w:val="nil"/>
            </w:tcBorders>
          </w:tcPr>
          <w:p w:rsidR="00567B15" w:rsidRDefault="00567B15">
            <w:pPr>
              <w:spacing w:before="0" w:after="0"/>
              <w:jc w:val="both"/>
              <w:rPr>
                <w:sz w:val="20"/>
                <w:szCs w:val="20"/>
              </w:rPr>
            </w:pPr>
          </w:p>
        </w:tc>
        <w:tc>
          <w:tcPr>
            <w:tcW w:w="1020" w:type="dxa"/>
            <w:tcBorders>
              <w:top w:val="nil"/>
              <w:bottom w:val="nil"/>
            </w:tcBorders>
          </w:tcPr>
          <w:p w:rsidR="00567B15" w:rsidRDefault="00567B15">
            <w:pPr>
              <w:spacing w:before="0" w:after="0"/>
              <w:jc w:val="both"/>
              <w:rPr>
                <w:rFonts w:hint="cs"/>
                <w:sz w:val="20"/>
                <w:szCs w:val="20"/>
              </w:rPr>
            </w:pPr>
            <w:r>
              <w:rPr>
                <w:rFonts w:hint="cs"/>
                <w:sz w:val="20"/>
                <w:szCs w:val="20"/>
                <w:rtl/>
              </w:rPr>
              <w:t>إناث</w:t>
            </w:r>
          </w:p>
        </w:tc>
        <w:tc>
          <w:tcPr>
            <w:tcW w:w="1196" w:type="dxa"/>
            <w:tcBorders>
              <w:top w:val="nil"/>
              <w:bottom w:val="nil"/>
            </w:tcBorders>
          </w:tcPr>
          <w:p w:rsidR="00567B15" w:rsidRDefault="00567B15">
            <w:pPr>
              <w:spacing w:before="0" w:after="0"/>
              <w:ind w:firstLine="122"/>
              <w:jc w:val="both"/>
              <w:rPr>
                <w:rFonts w:hint="cs"/>
                <w:sz w:val="20"/>
                <w:szCs w:val="20"/>
              </w:rPr>
            </w:pPr>
            <w:r>
              <w:rPr>
                <w:rFonts w:hint="cs"/>
                <w:sz w:val="20"/>
                <w:szCs w:val="20"/>
                <w:rtl/>
              </w:rPr>
              <w:t>973 188</w:t>
            </w:r>
          </w:p>
        </w:tc>
        <w:tc>
          <w:tcPr>
            <w:tcW w:w="1196" w:type="dxa"/>
            <w:tcBorders>
              <w:top w:val="nil"/>
              <w:bottom w:val="nil"/>
            </w:tcBorders>
          </w:tcPr>
          <w:p w:rsidR="00567B15" w:rsidRDefault="00567B15">
            <w:pPr>
              <w:spacing w:before="0" w:after="0"/>
              <w:ind w:firstLine="160"/>
              <w:jc w:val="both"/>
              <w:rPr>
                <w:rFonts w:hint="cs"/>
                <w:sz w:val="20"/>
                <w:szCs w:val="20"/>
              </w:rPr>
            </w:pPr>
            <w:r>
              <w:rPr>
                <w:rFonts w:hint="cs"/>
                <w:sz w:val="20"/>
                <w:szCs w:val="20"/>
                <w:rtl/>
              </w:rPr>
              <w:t>644 49</w:t>
            </w:r>
          </w:p>
        </w:tc>
        <w:tc>
          <w:tcPr>
            <w:tcW w:w="1196" w:type="dxa"/>
            <w:tcBorders>
              <w:top w:val="nil"/>
              <w:bottom w:val="nil"/>
            </w:tcBorders>
          </w:tcPr>
          <w:p w:rsidR="00567B15" w:rsidRDefault="00567B15">
            <w:pPr>
              <w:spacing w:before="0" w:after="0"/>
              <w:ind w:firstLine="70"/>
              <w:jc w:val="both"/>
              <w:rPr>
                <w:rFonts w:hint="cs"/>
                <w:sz w:val="20"/>
                <w:szCs w:val="20"/>
              </w:rPr>
            </w:pPr>
            <w:r>
              <w:rPr>
                <w:rFonts w:hint="cs"/>
                <w:sz w:val="20"/>
                <w:szCs w:val="20"/>
                <w:rtl/>
              </w:rPr>
              <w:t>26.27</w:t>
            </w:r>
          </w:p>
        </w:tc>
        <w:tc>
          <w:tcPr>
            <w:tcW w:w="1196" w:type="dxa"/>
            <w:tcBorders>
              <w:top w:val="nil"/>
              <w:bottom w:val="nil"/>
            </w:tcBorders>
          </w:tcPr>
          <w:p w:rsidR="00567B15" w:rsidRDefault="00567B15">
            <w:pPr>
              <w:spacing w:before="0" w:after="0"/>
              <w:ind w:firstLine="134"/>
              <w:jc w:val="both"/>
              <w:rPr>
                <w:rFonts w:hint="cs"/>
                <w:sz w:val="20"/>
                <w:szCs w:val="20"/>
              </w:rPr>
            </w:pPr>
            <w:r>
              <w:rPr>
                <w:rFonts w:hint="cs"/>
                <w:sz w:val="20"/>
                <w:szCs w:val="20"/>
                <w:rtl/>
              </w:rPr>
              <w:t>306 27</w:t>
            </w:r>
          </w:p>
        </w:tc>
        <w:tc>
          <w:tcPr>
            <w:tcW w:w="1197" w:type="dxa"/>
            <w:tcBorders>
              <w:top w:val="nil"/>
              <w:bottom w:val="nil"/>
            </w:tcBorders>
          </w:tcPr>
          <w:p w:rsidR="00567B15" w:rsidRDefault="00567B15">
            <w:pPr>
              <w:spacing w:before="0" w:after="0"/>
              <w:ind w:firstLine="161"/>
              <w:jc w:val="both"/>
              <w:rPr>
                <w:rFonts w:hint="cs"/>
                <w:sz w:val="20"/>
                <w:szCs w:val="20"/>
              </w:rPr>
            </w:pPr>
            <w:r>
              <w:rPr>
                <w:rFonts w:hint="cs"/>
                <w:sz w:val="20"/>
                <w:szCs w:val="20"/>
                <w:rtl/>
              </w:rPr>
              <w:t>678 6</w:t>
            </w:r>
          </w:p>
        </w:tc>
        <w:tc>
          <w:tcPr>
            <w:tcW w:w="1076" w:type="dxa"/>
            <w:tcBorders>
              <w:top w:val="nil"/>
              <w:bottom w:val="nil"/>
            </w:tcBorders>
          </w:tcPr>
          <w:p w:rsidR="00567B15" w:rsidRDefault="00567B15">
            <w:pPr>
              <w:spacing w:before="0" w:after="0"/>
              <w:ind w:firstLine="81"/>
              <w:jc w:val="both"/>
              <w:rPr>
                <w:rFonts w:hint="cs"/>
                <w:sz w:val="20"/>
                <w:szCs w:val="20"/>
              </w:rPr>
            </w:pPr>
            <w:r>
              <w:rPr>
                <w:rFonts w:hint="cs"/>
                <w:sz w:val="20"/>
                <w:szCs w:val="20"/>
                <w:rtl/>
              </w:rPr>
              <w:t>24.46</w:t>
            </w:r>
          </w:p>
        </w:tc>
      </w:tr>
      <w:tr w:rsidR="00567B15" w:rsidTr="00567B15">
        <w:tblPrEx>
          <w:tblCellMar>
            <w:top w:w="0" w:type="dxa"/>
            <w:bottom w:w="0" w:type="dxa"/>
          </w:tblCellMar>
        </w:tblPrEx>
        <w:tc>
          <w:tcPr>
            <w:tcW w:w="1274" w:type="dxa"/>
            <w:tcBorders>
              <w:top w:val="nil"/>
              <w:bottom w:val="single" w:sz="4" w:space="0" w:color="auto"/>
            </w:tcBorders>
          </w:tcPr>
          <w:p w:rsidR="00567B15" w:rsidRDefault="00567B15">
            <w:pPr>
              <w:spacing w:before="0" w:after="0"/>
              <w:jc w:val="both"/>
              <w:rPr>
                <w:sz w:val="20"/>
                <w:szCs w:val="20"/>
              </w:rPr>
            </w:pPr>
          </w:p>
        </w:tc>
        <w:tc>
          <w:tcPr>
            <w:tcW w:w="1020" w:type="dxa"/>
            <w:tcBorders>
              <w:top w:val="nil"/>
              <w:bottom w:val="single" w:sz="4" w:space="0" w:color="auto"/>
            </w:tcBorders>
          </w:tcPr>
          <w:p w:rsidR="00567B15" w:rsidRDefault="00567B15">
            <w:pPr>
              <w:tabs>
                <w:tab w:val="left" w:pos="238"/>
              </w:tabs>
              <w:spacing w:before="0" w:after="0"/>
              <w:jc w:val="both"/>
              <w:rPr>
                <w:sz w:val="20"/>
                <w:szCs w:val="20"/>
              </w:rPr>
            </w:pPr>
            <w:r>
              <w:rPr>
                <w:sz w:val="20"/>
                <w:szCs w:val="20"/>
                <w:rtl/>
              </w:rPr>
              <w:tab/>
              <w:t>المجموع</w:t>
            </w:r>
          </w:p>
        </w:tc>
        <w:tc>
          <w:tcPr>
            <w:tcW w:w="1196" w:type="dxa"/>
            <w:tcBorders>
              <w:top w:val="nil"/>
              <w:bottom w:val="single" w:sz="4" w:space="0" w:color="auto"/>
            </w:tcBorders>
          </w:tcPr>
          <w:p w:rsidR="00567B15" w:rsidRDefault="00567B15">
            <w:pPr>
              <w:spacing w:before="0" w:after="0"/>
              <w:ind w:firstLine="122"/>
              <w:jc w:val="both"/>
              <w:rPr>
                <w:rFonts w:hint="cs"/>
                <w:sz w:val="20"/>
                <w:szCs w:val="20"/>
              </w:rPr>
            </w:pPr>
            <w:r>
              <w:rPr>
                <w:rFonts w:hint="cs"/>
                <w:sz w:val="20"/>
                <w:szCs w:val="20"/>
                <w:rtl/>
              </w:rPr>
              <w:t>911 386</w:t>
            </w:r>
          </w:p>
        </w:tc>
        <w:tc>
          <w:tcPr>
            <w:tcW w:w="1196" w:type="dxa"/>
            <w:tcBorders>
              <w:top w:val="nil"/>
              <w:bottom w:val="single" w:sz="4" w:space="0" w:color="auto"/>
            </w:tcBorders>
          </w:tcPr>
          <w:p w:rsidR="00567B15" w:rsidRDefault="00567B15">
            <w:pPr>
              <w:spacing w:before="0" w:after="0"/>
              <w:ind w:firstLine="160"/>
              <w:jc w:val="both"/>
              <w:rPr>
                <w:rFonts w:hint="cs"/>
                <w:sz w:val="20"/>
                <w:szCs w:val="20"/>
              </w:rPr>
            </w:pPr>
            <w:r>
              <w:rPr>
                <w:rFonts w:hint="cs"/>
                <w:sz w:val="20"/>
                <w:szCs w:val="20"/>
                <w:rtl/>
              </w:rPr>
              <w:t>641 95</w:t>
            </w:r>
          </w:p>
        </w:tc>
        <w:tc>
          <w:tcPr>
            <w:tcW w:w="1196" w:type="dxa"/>
            <w:tcBorders>
              <w:top w:val="nil"/>
              <w:bottom w:val="single" w:sz="4" w:space="0" w:color="auto"/>
            </w:tcBorders>
          </w:tcPr>
          <w:p w:rsidR="00567B15" w:rsidRDefault="00567B15">
            <w:pPr>
              <w:spacing w:before="0" w:after="0"/>
              <w:ind w:firstLine="70"/>
              <w:jc w:val="both"/>
              <w:rPr>
                <w:rFonts w:hint="cs"/>
                <w:sz w:val="20"/>
                <w:szCs w:val="20"/>
              </w:rPr>
            </w:pPr>
            <w:r>
              <w:rPr>
                <w:rFonts w:hint="cs"/>
                <w:sz w:val="20"/>
                <w:szCs w:val="20"/>
                <w:rtl/>
              </w:rPr>
              <w:t>24.72</w:t>
            </w:r>
          </w:p>
        </w:tc>
        <w:tc>
          <w:tcPr>
            <w:tcW w:w="1196" w:type="dxa"/>
            <w:tcBorders>
              <w:top w:val="nil"/>
              <w:bottom w:val="single" w:sz="4" w:space="0" w:color="auto"/>
            </w:tcBorders>
          </w:tcPr>
          <w:p w:rsidR="00567B15" w:rsidRDefault="00567B15">
            <w:pPr>
              <w:spacing w:before="0" w:after="0"/>
              <w:ind w:firstLine="134"/>
              <w:jc w:val="both"/>
              <w:rPr>
                <w:rFonts w:hint="cs"/>
                <w:sz w:val="20"/>
                <w:szCs w:val="20"/>
              </w:rPr>
            </w:pPr>
            <w:r>
              <w:rPr>
                <w:rFonts w:hint="cs"/>
                <w:sz w:val="20"/>
                <w:szCs w:val="20"/>
                <w:rtl/>
              </w:rPr>
              <w:t>334 65</w:t>
            </w:r>
          </w:p>
        </w:tc>
        <w:tc>
          <w:tcPr>
            <w:tcW w:w="1197" w:type="dxa"/>
            <w:tcBorders>
              <w:top w:val="nil"/>
              <w:bottom w:val="single" w:sz="4" w:space="0" w:color="auto"/>
            </w:tcBorders>
          </w:tcPr>
          <w:p w:rsidR="00567B15" w:rsidRDefault="00567B15">
            <w:pPr>
              <w:spacing w:before="0" w:after="0"/>
              <w:ind w:firstLine="161"/>
              <w:jc w:val="both"/>
              <w:rPr>
                <w:rFonts w:hint="cs"/>
                <w:sz w:val="20"/>
                <w:szCs w:val="20"/>
              </w:rPr>
            </w:pPr>
            <w:r>
              <w:rPr>
                <w:rFonts w:hint="cs"/>
                <w:sz w:val="20"/>
                <w:szCs w:val="20"/>
                <w:rtl/>
              </w:rPr>
              <w:t>325 15</w:t>
            </w:r>
          </w:p>
        </w:tc>
        <w:tc>
          <w:tcPr>
            <w:tcW w:w="1076" w:type="dxa"/>
            <w:tcBorders>
              <w:top w:val="nil"/>
              <w:bottom w:val="single" w:sz="4" w:space="0" w:color="auto"/>
            </w:tcBorders>
          </w:tcPr>
          <w:p w:rsidR="00567B15" w:rsidRDefault="00567B15">
            <w:pPr>
              <w:spacing w:before="0" w:after="0"/>
              <w:ind w:firstLine="81"/>
              <w:jc w:val="both"/>
              <w:rPr>
                <w:rFonts w:hint="cs"/>
                <w:sz w:val="20"/>
                <w:szCs w:val="20"/>
              </w:rPr>
            </w:pPr>
            <w:r>
              <w:rPr>
                <w:rFonts w:hint="cs"/>
                <w:sz w:val="20"/>
                <w:szCs w:val="20"/>
                <w:rtl/>
              </w:rPr>
              <w:t>23.46</w:t>
            </w:r>
          </w:p>
        </w:tc>
      </w:tr>
      <w:tr w:rsidR="00567B15" w:rsidTr="00567B15">
        <w:tblPrEx>
          <w:tblCellMar>
            <w:top w:w="0" w:type="dxa"/>
            <w:bottom w:w="0" w:type="dxa"/>
          </w:tblCellMar>
        </w:tblPrEx>
        <w:tc>
          <w:tcPr>
            <w:tcW w:w="1274" w:type="dxa"/>
            <w:tcBorders>
              <w:bottom w:val="nil"/>
            </w:tcBorders>
          </w:tcPr>
          <w:p w:rsidR="00567B15" w:rsidRDefault="00567B15">
            <w:pPr>
              <w:spacing w:before="0" w:after="0"/>
              <w:jc w:val="both"/>
              <w:rPr>
                <w:rFonts w:hint="cs"/>
                <w:sz w:val="20"/>
                <w:szCs w:val="20"/>
              </w:rPr>
            </w:pPr>
            <w:r>
              <w:rPr>
                <w:rFonts w:hint="cs"/>
                <w:sz w:val="20"/>
                <w:szCs w:val="20"/>
                <w:rtl/>
              </w:rPr>
              <w:t>1995-1996</w:t>
            </w:r>
          </w:p>
        </w:tc>
        <w:tc>
          <w:tcPr>
            <w:tcW w:w="1020" w:type="dxa"/>
            <w:tcBorders>
              <w:bottom w:val="nil"/>
            </w:tcBorders>
          </w:tcPr>
          <w:p w:rsidR="00567B15" w:rsidRDefault="00567B15">
            <w:pPr>
              <w:spacing w:before="0" w:after="0"/>
              <w:jc w:val="both"/>
              <w:rPr>
                <w:rFonts w:hint="cs"/>
                <w:sz w:val="20"/>
                <w:szCs w:val="20"/>
              </w:rPr>
            </w:pPr>
            <w:r>
              <w:rPr>
                <w:rFonts w:hint="cs"/>
                <w:sz w:val="20"/>
                <w:szCs w:val="20"/>
                <w:rtl/>
              </w:rPr>
              <w:t>ذكور</w:t>
            </w:r>
          </w:p>
        </w:tc>
        <w:tc>
          <w:tcPr>
            <w:tcW w:w="1196" w:type="dxa"/>
            <w:tcBorders>
              <w:bottom w:val="nil"/>
            </w:tcBorders>
          </w:tcPr>
          <w:p w:rsidR="00567B15" w:rsidRDefault="00567B15">
            <w:pPr>
              <w:spacing w:before="0" w:after="0"/>
              <w:ind w:firstLine="122"/>
              <w:jc w:val="both"/>
              <w:rPr>
                <w:rFonts w:hint="cs"/>
                <w:sz w:val="20"/>
                <w:szCs w:val="20"/>
              </w:rPr>
            </w:pPr>
            <w:r>
              <w:rPr>
                <w:rFonts w:hint="cs"/>
                <w:sz w:val="20"/>
                <w:szCs w:val="20"/>
                <w:rtl/>
              </w:rPr>
              <w:t>060 194</w:t>
            </w:r>
          </w:p>
        </w:tc>
        <w:tc>
          <w:tcPr>
            <w:tcW w:w="1196" w:type="dxa"/>
            <w:tcBorders>
              <w:bottom w:val="nil"/>
            </w:tcBorders>
          </w:tcPr>
          <w:p w:rsidR="00567B15" w:rsidRDefault="00567B15">
            <w:pPr>
              <w:spacing w:before="0" w:after="0"/>
              <w:ind w:firstLine="160"/>
              <w:jc w:val="both"/>
              <w:rPr>
                <w:rFonts w:hint="cs"/>
                <w:sz w:val="20"/>
                <w:szCs w:val="20"/>
              </w:rPr>
            </w:pPr>
            <w:r>
              <w:rPr>
                <w:rFonts w:hint="cs"/>
                <w:sz w:val="20"/>
                <w:szCs w:val="20"/>
                <w:rtl/>
              </w:rPr>
              <w:t>232 47</w:t>
            </w:r>
          </w:p>
        </w:tc>
        <w:tc>
          <w:tcPr>
            <w:tcW w:w="1196" w:type="dxa"/>
            <w:tcBorders>
              <w:bottom w:val="nil"/>
            </w:tcBorders>
          </w:tcPr>
          <w:p w:rsidR="00567B15" w:rsidRDefault="00567B15">
            <w:pPr>
              <w:spacing w:before="0" w:after="0"/>
              <w:ind w:firstLine="70"/>
              <w:jc w:val="both"/>
              <w:rPr>
                <w:rFonts w:hint="cs"/>
                <w:sz w:val="20"/>
                <w:szCs w:val="20"/>
              </w:rPr>
            </w:pPr>
            <w:r>
              <w:rPr>
                <w:rFonts w:hint="cs"/>
                <w:sz w:val="20"/>
                <w:szCs w:val="20"/>
                <w:rtl/>
              </w:rPr>
              <w:t>24.34</w:t>
            </w:r>
          </w:p>
        </w:tc>
        <w:tc>
          <w:tcPr>
            <w:tcW w:w="1196" w:type="dxa"/>
            <w:tcBorders>
              <w:bottom w:val="nil"/>
            </w:tcBorders>
          </w:tcPr>
          <w:p w:rsidR="00567B15" w:rsidRDefault="00567B15">
            <w:pPr>
              <w:spacing w:before="0" w:after="0"/>
              <w:ind w:firstLine="134"/>
              <w:jc w:val="both"/>
              <w:rPr>
                <w:rFonts w:hint="cs"/>
                <w:sz w:val="20"/>
                <w:szCs w:val="20"/>
              </w:rPr>
            </w:pPr>
            <w:r>
              <w:rPr>
                <w:rFonts w:hint="cs"/>
                <w:sz w:val="20"/>
                <w:szCs w:val="20"/>
                <w:rtl/>
              </w:rPr>
              <w:t>231 41</w:t>
            </w:r>
          </w:p>
        </w:tc>
        <w:tc>
          <w:tcPr>
            <w:tcW w:w="1197" w:type="dxa"/>
            <w:tcBorders>
              <w:bottom w:val="nil"/>
            </w:tcBorders>
          </w:tcPr>
          <w:p w:rsidR="00567B15" w:rsidRDefault="00567B15">
            <w:pPr>
              <w:spacing w:before="0" w:after="0"/>
              <w:ind w:firstLine="161"/>
              <w:jc w:val="both"/>
              <w:rPr>
                <w:rFonts w:hint="cs"/>
                <w:sz w:val="20"/>
                <w:szCs w:val="20"/>
              </w:rPr>
            </w:pPr>
            <w:r>
              <w:rPr>
                <w:rFonts w:hint="cs"/>
                <w:sz w:val="20"/>
                <w:szCs w:val="20"/>
                <w:rtl/>
              </w:rPr>
              <w:t>217 9</w:t>
            </w:r>
          </w:p>
        </w:tc>
        <w:tc>
          <w:tcPr>
            <w:tcW w:w="1076" w:type="dxa"/>
            <w:tcBorders>
              <w:bottom w:val="nil"/>
            </w:tcBorders>
          </w:tcPr>
          <w:p w:rsidR="00567B15" w:rsidRDefault="00567B15">
            <w:pPr>
              <w:spacing w:before="0" w:after="0"/>
              <w:ind w:firstLine="81"/>
              <w:jc w:val="both"/>
              <w:rPr>
                <w:rFonts w:hint="cs"/>
                <w:sz w:val="20"/>
                <w:szCs w:val="20"/>
              </w:rPr>
            </w:pPr>
            <w:r>
              <w:rPr>
                <w:rFonts w:hint="cs"/>
                <w:sz w:val="20"/>
                <w:szCs w:val="20"/>
                <w:rtl/>
              </w:rPr>
              <w:t>22.35</w:t>
            </w:r>
          </w:p>
        </w:tc>
      </w:tr>
      <w:tr w:rsidR="00567B15" w:rsidTr="00567B15">
        <w:tblPrEx>
          <w:tblCellMar>
            <w:top w:w="0" w:type="dxa"/>
            <w:bottom w:w="0" w:type="dxa"/>
          </w:tblCellMar>
        </w:tblPrEx>
        <w:tc>
          <w:tcPr>
            <w:tcW w:w="1274" w:type="dxa"/>
            <w:tcBorders>
              <w:top w:val="nil"/>
              <w:bottom w:val="nil"/>
            </w:tcBorders>
          </w:tcPr>
          <w:p w:rsidR="00567B15" w:rsidRDefault="00567B15">
            <w:pPr>
              <w:spacing w:before="0" w:after="0"/>
              <w:jc w:val="both"/>
              <w:rPr>
                <w:sz w:val="20"/>
                <w:szCs w:val="20"/>
              </w:rPr>
            </w:pPr>
          </w:p>
        </w:tc>
        <w:tc>
          <w:tcPr>
            <w:tcW w:w="1020" w:type="dxa"/>
            <w:tcBorders>
              <w:top w:val="nil"/>
              <w:bottom w:val="nil"/>
            </w:tcBorders>
          </w:tcPr>
          <w:p w:rsidR="00567B15" w:rsidRDefault="00567B15">
            <w:pPr>
              <w:spacing w:before="0" w:after="0"/>
              <w:jc w:val="both"/>
              <w:rPr>
                <w:rFonts w:hint="cs"/>
                <w:sz w:val="20"/>
                <w:szCs w:val="20"/>
              </w:rPr>
            </w:pPr>
            <w:r>
              <w:rPr>
                <w:rFonts w:hint="cs"/>
                <w:sz w:val="20"/>
                <w:szCs w:val="20"/>
                <w:rtl/>
              </w:rPr>
              <w:t>إناث</w:t>
            </w:r>
          </w:p>
        </w:tc>
        <w:tc>
          <w:tcPr>
            <w:tcW w:w="1196" w:type="dxa"/>
            <w:tcBorders>
              <w:top w:val="nil"/>
              <w:bottom w:val="nil"/>
            </w:tcBorders>
          </w:tcPr>
          <w:p w:rsidR="00567B15" w:rsidRDefault="00567B15">
            <w:pPr>
              <w:spacing w:before="0" w:after="0"/>
              <w:ind w:firstLine="122"/>
              <w:jc w:val="both"/>
              <w:rPr>
                <w:rFonts w:hint="cs"/>
                <w:sz w:val="20"/>
                <w:szCs w:val="20"/>
              </w:rPr>
            </w:pPr>
            <w:r>
              <w:rPr>
                <w:rFonts w:hint="cs"/>
                <w:sz w:val="20"/>
                <w:szCs w:val="20"/>
                <w:rtl/>
              </w:rPr>
              <w:t>392 192</w:t>
            </w:r>
          </w:p>
        </w:tc>
        <w:tc>
          <w:tcPr>
            <w:tcW w:w="1196" w:type="dxa"/>
            <w:tcBorders>
              <w:top w:val="nil"/>
              <w:bottom w:val="nil"/>
            </w:tcBorders>
          </w:tcPr>
          <w:p w:rsidR="00567B15" w:rsidRDefault="00567B15">
            <w:pPr>
              <w:spacing w:before="0" w:after="0"/>
              <w:ind w:firstLine="160"/>
              <w:jc w:val="both"/>
              <w:rPr>
                <w:rFonts w:hint="cs"/>
                <w:sz w:val="20"/>
                <w:szCs w:val="20"/>
              </w:rPr>
            </w:pPr>
            <w:r>
              <w:rPr>
                <w:rFonts w:hint="cs"/>
                <w:sz w:val="20"/>
                <w:szCs w:val="20"/>
                <w:rtl/>
              </w:rPr>
              <w:t>711 51</w:t>
            </w:r>
          </w:p>
        </w:tc>
        <w:tc>
          <w:tcPr>
            <w:tcW w:w="1196" w:type="dxa"/>
            <w:tcBorders>
              <w:top w:val="nil"/>
              <w:bottom w:val="nil"/>
            </w:tcBorders>
          </w:tcPr>
          <w:p w:rsidR="00567B15" w:rsidRDefault="00567B15">
            <w:pPr>
              <w:spacing w:before="0" w:after="0"/>
              <w:ind w:firstLine="70"/>
              <w:jc w:val="both"/>
              <w:rPr>
                <w:rFonts w:hint="cs"/>
                <w:sz w:val="20"/>
                <w:szCs w:val="20"/>
              </w:rPr>
            </w:pPr>
            <w:r>
              <w:rPr>
                <w:rFonts w:hint="cs"/>
                <w:sz w:val="20"/>
                <w:szCs w:val="20"/>
                <w:rtl/>
              </w:rPr>
              <w:t>26.88</w:t>
            </w:r>
          </w:p>
        </w:tc>
        <w:tc>
          <w:tcPr>
            <w:tcW w:w="1196" w:type="dxa"/>
            <w:tcBorders>
              <w:top w:val="nil"/>
              <w:bottom w:val="nil"/>
            </w:tcBorders>
          </w:tcPr>
          <w:p w:rsidR="00567B15" w:rsidRDefault="00567B15">
            <w:pPr>
              <w:spacing w:before="0" w:after="0"/>
              <w:ind w:firstLine="134"/>
              <w:jc w:val="both"/>
              <w:rPr>
                <w:rFonts w:hint="cs"/>
                <w:sz w:val="20"/>
                <w:szCs w:val="20"/>
              </w:rPr>
            </w:pPr>
            <w:r>
              <w:rPr>
                <w:rFonts w:hint="cs"/>
                <w:sz w:val="20"/>
                <w:szCs w:val="20"/>
                <w:rtl/>
              </w:rPr>
              <w:t>832 29</w:t>
            </w:r>
          </w:p>
        </w:tc>
        <w:tc>
          <w:tcPr>
            <w:tcW w:w="1197" w:type="dxa"/>
            <w:tcBorders>
              <w:top w:val="nil"/>
              <w:bottom w:val="nil"/>
            </w:tcBorders>
          </w:tcPr>
          <w:p w:rsidR="00567B15" w:rsidRDefault="00567B15">
            <w:pPr>
              <w:spacing w:before="0" w:after="0"/>
              <w:ind w:firstLine="161"/>
              <w:jc w:val="both"/>
              <w:rPr>
                <w:rFonts w:hint="cs"/>
                <w:sz w:val="20"/>
                <w:szCs w:val="20"/>
              </w:rPr>
            </w:pPr>
            <w:r>
              <w:rPr>
                <w:rFonts w:hint="cs"/>
                <w:sz w:val="20"/>
                <w:szCs w:val="20"/>
                <w:rtl/>
              </w:rPr>
              <w:t>311 7</w:t>
            </w:r>
          </w:p>
        </w:tc>
        <w:tc>
          <w:tcPr>
            <w:tcW w:w="1076" w:type="dxa"/>
            <w:tcBorders>
              <w:top w:val="nil"/>
              <w:bottom w:val="nil"/>
            </w:tcBorders>
          </w:tcPr>
          <w:p w:rsidR="00567B15" w:rsidRDefault="00567B15">
            <w:pPr>
              <w:spacing w:before="0" w:after="0"/>
              <w:ind w:firstLine="81"/>
              <w:jc w:val="both"/>
              <w:rPr>
                <w:rFonts w:hint="cs"/>
                <w:sz w:val="20"/>
                <w:szCs w:val="20"/>
              </w:rPr>
            </w:pPr>
            <w:r>
              <w:rPr>
                <w:rFonts w:hint="cs"/>
                <w:sz w:val="20"/>
                <w:szCs w:val="20"/>
                <w:rtl/>
              </w:rPr>
              <w:t>24.51</w:t>
            </w:r>
          </w:p>
        </w:tc>
      </w:tr>
      <w:tr w:rsidR="00567B15" w:rsidTr="00567B15">
        <w:tblPrEx>
          <w:tblCellMar>
            <w:top w:w="0" w:type="dxa"/>
            <w:bottom w:w="0" w:type="dxa"/>
          </w:tblCellMar>
        </w:tblPrEx>
        <w:tc>
          <w:tcPr>
            <w:tcW w:w="1274" w:type="dxa"/>
            <w:tcBorders>
              <w:top w:val="nil"/>
              <w:bottom w:val="single" w:sz="4" w:space="0" w:color="auto"/>
            </w:tcBorders>
          </w:tcPr>
          <w:p w:rsidR="00567B15" w:rsidRDefault="00567B15">
            <w:pPr>
              <w:spacing w:before="0" w:after="0"/>
              <w:jc w:val="both"/>
              <w:rPr>
                <w:sz w:val="20"/>
                <w:szCs w:val="20"/>
              </w:rPr>
            </w:pPr>
          </w:p>
        </w:tc>
        <w:tc>
          <w:tcPr>
            <w:tcW w:w="1020" w:type="dxa"/>
            <w:tcBorders>
              <w:top w:val="nil"/>
              <w:bottom w:val="single" w:sz="4" w:space="0" w:color="auto"/>
            </w:tcBorders>
          </w:tcPr>
          <w:p w:rsidR="00567B15" w:rsidRDefault="00567B15">
            <w:pPr>
              <w:tabs>
                <w:tab w:val="left" w:pos="238"/>
              </w:tabs>
              <w:spacing w:before="0" w:after="0"/>
              <w:jc w:val="both"/>
              <w:rPr>
                <w:sz w:val="20"/>
                <w:szCs w:val="20"/>
              </w:rPr>
            </w:pPr>
            <w:r>
              <w:rPr>
                <w:sz w:val="20"/>
                <w:szCs w:val="20"/>
                <w:rtl/>
              </w:rPr>
              <w:tab/>
              <w:t>المجموع</w:t>
            </w:r>
          </w:p>
        </w:tc>
        <w:tc>
          <w:tcPr>
            <w:tcW w:w="1196" w:type="dxa"/>
            <w:tcBorders>
              <w:top w:val="nil"/>
              <w:bottom w:val="single" w:sz="4" w:space="0" w:color="auto"/>
            </w:tcBorders>
          </w:tcPr>
          <w:p w:rsidR="00567B15" w:rsidRDefault="00567B15">
            <w:pPr>
              <w:spacing w:before="0" w:after="0"/>
              <w:ind w:firstLine="122"/>
              <w:jc w:val="both"/>
              <w:rPr>
                <w:rFonts w:hint="cs"/>
                <w:sz w:val="20"/>
                <w:szCs w:val="20"/>
              </w:rPr>
            </w:pPr>
            <w:r>
              <w:rPr>
                <w:rFonts w:hint="cs"/>
                <w:sz w:val="20"/>
                <w:szCs w:val="20"/>
                <w:rtl/>
              </w:rPr>
              <w:t>452 386</w:t>
            </w:r>
          </w:p>
        </w:tc>
        <w:tc>
          <w:tcPr>
            <w:tcW w:w="1196" w:type="dxa"/>
            <w:tcBorders>
              <w:top w:val="nil"/>
              <w:bottom w:val="single" w:sz="4" w:space="0" w:color="auto"/>
            </w:tcBorders>
          </w:tcPr>
          <w:p w:rsidR="00567B15" w:rsidRDefault="00567B15">
            <w:pPr>
              <w:spacing w:before="0" w:after="0"/>
              <w:ind w:firstLine="160"/>
              <w:jc w:val="both"/>
              <w:rPr>
                <w:rFonts w:hint="cs"/>
                <w:sz w:val="20"/>
                <w:szCs w:val="20"/>
              </w:rPr>
            </w:pPr>
            <w:r>
              <w:rPr>
                <w:rFonts w:hint="cs"/>
                <w:sz w:val="20"/>
                <w:szCs w:val="20"/>
                <w:rtl/>
              </w:rPr>
              <w:t>943 98</w:t>
            </w:r>
          </w:p>
        </w:tc>
        <w:tc>
          <w:tcPr>
            <w:tcW w:w="1196" w:type="dxa"/>
            <w:tcBorders>
              <w:top w:val="nil"/>
              <w:bottom w:val="single" w:sz="4" w:space="0" w:color="auto"/>
            </w:tcBorders>
          </w:tcPr>
          <w:p w:rsidR="00567B15" w:rsidRDefault="00567B15">
            <w:pPr>
              <w:spacing w:before="0" w:after="0"/>
              <w:ind w:firstLine="70"/>
              <w:jc w:val="both"/>
              <w:rPr>
                <w:rFonts w:hint="cs"/>
                <w:sz w:val="20"/>
                <w:szCs w:val="20"/>
              </w:rPr>
            </w:pPr>
            <w:r>
              <w:rPr>
                <w:rFonts w:hint="cs"/>
                <w:sz w:val="20"/>
                <w:szCs w:val="20"/>
                <w:rtl/>
              </w:rPr>
              <w:t>25.60</w:t>
            </w:r>
          </w:p>
        </w:tc>
        <w:tc>
          <w:tcPr>
            <w:tcW w:w="1196" w:type="dxa"/>
            <w:tcBorders>
              <w:top w:val="nil"/>
              <w:bottom w:val="single" w:sz="4" w:space="0" w:color="auto"/>
            </w:tcBorders>
          </w:tcPr>
          <w:p w:rsidR="00567B15" w:rsidRDefault="00567B15">
            <w:pPr>
              <w:spacing w:before="0" w:after="0"/>
              <w:ind w:firstLine="134"/>
              <w:jc w:val="both"/>
              <w:rPr>
                <w:rFonts w:hint="cs"/>
                <w:sz w:val="20"/>
                <w:szCs w:val="20"/>
              </w:rPr>
            </w:pPr>
            <w:r>
              <w:rPr>
                <w:rFonts w:hint="cs"/>
                <w:sz w:val="20"/>
                <w:szCs w:val="20"/>
                <w:rtl/>
              </w:rPr>
              <w:t>063 71</w:t>
            </w:r>
          </w:p>
        </w:tc>
        <w:tc>
          <w:tcPr>
            <w:tcW w:w="1197" w:type="dxa"/>
            <w:tcBorders>
              <w:top w:val="nil"/>
              <w:bottom w:val="single" w:sz="4" w:space="0" w:color="auto"/>
            </w:tcBorders>
          </w:tcPr>
          <w:p w:rsidR="00567B15" w:rsidRDefault="00567B15">
            <w:pPr>
              <w:spacing w:before="0" w:after="0"/>
              <w:ind w:firstLine="161"/>
              <w:jc w:val="both"/>
              <w:rPr>
                <w:rFonts w:hint="cs"/>
                <w:sz w:val="20"/>
                <w:szCs w:val="20"/>
              </w:rPr>
            </w:pPr>
            <w:r>
              <w:rPr>
                <w:rFonts w:hint="cs"/>
                <w:sz w:val="20"/>
                <w:szCs w:val="20"/>
                <w:rtl/>
              </w:rPr>
              <w:t>528 16</w:t>
            </w:r>
          </w:p>
        </w:tc>
        <w:tc>
          <w:tcPr>
            <w:tcW w:w="1076" w:type="dxa"/>
            <w:tcBorders>
              <w:top w:val="nil"/>
              <w:bottom w:val="single" w:sz="4" w:space="0" w:color="auto"/>
            </w:tcBorders>
          </w:tcPr>
          <w:p w:rsidR="00567B15" w:rsidRDefault="00567B15">
            <w:pPr>
              <w:spacing w:before="0" w:after="0"/>
              <w:ind w:firstLine="81"/>
              <w:jc w:val="both"/>
              <w:rPr>
                <w:rFonts w:hint="cs"/>
                <w:sz w:val="20"/>
                <w:szCs w:val="20"/>
              </w:rPr>
            </w:pPr>
            <w:r>
              <w:rPr>
                <w:rFonts w:hint="cs"/>
                <w:sz w:val="20"/>
                <w:szCs w:val="20"/>
                <w:rtl/>
              </w:rPr>
              <w:t>23.26</w:t>
            </w:r>
          </w:p>
        </w:tc>
      </w:tr>
      <w:tr w:rsidR="00567B15" w:rsidTr="00567B15">
        <w:tblPrEx>
          <w:tblCellMar>
            <w:top w:w="0" w:type="dxa"/>
            <w:bottom w:w="0" w:type="dxa"/>
          </w:tblCellMar>
        </w:tblPrEx>
        <w:tc>
          <w:tcPr>
            <w:tcW w:w="1274" w:type="dxa"/>
            <w:tcBorders>
              <w:bottom w:val="nil"/>
            </w:tcBorders>
          </w:tcPr>
          <w:p w:rsidR="00567B15" w:rsidRDefault="00567B15">
            <w:pPr>
              <w:spacing w:before="0" w:after="0"/>
              <w:jc w:val="both"/>
              <w:rPr>
                <w:rFonts w:hint="cs"/>
                <w:sz w:val="20"/>
                <w:szCs w:val="20"/>
              </w:rPr>
            </w:pPr>
            <w:r>
              <w:rPr>
                <w:rFonts w:hint="cs"/>
                <w:sz w:val="20"/>
                <w:szCs w:val="20"/>
                <w:rtl/>
              </w:rPr>
              <w:t>1996-1997</w:t>
            </w:r>
          </w:p>
        </w:tc>
        <w:tc>
          <w:tcPr>
            <w:tcW w:w="1020" w:type="dxa"/>
            <w:tcBorders>
              <w:bottom w:val="nil"/>
            </w:tcBorders>
          </w:tcPr>
          <w:p w:rsidR="00567B15" w:rsidRDefault="00567B15">
            <w:pPr>
              <w:spacing w:before="0" w:after="0"/>
              <w:jc w:val="both"/>
              <w:rPr>
                <w:rFonts w:hint="cs"/>
                <w:sz w:val="20"/>
                <w:szCs w:val="20"/>
              </w:rPr>
            </w:pPr>
            <w:r>
              <w:rPr>
                <w:rFonts w:hint="cs"/>
                <w:sz w:val="20"/>
                <w:szCs w:val="20"/>
                <w:rtl/>
              </w:rPr>
              <w:t>ذكور</w:t>
            </w:r>
          </w:p>
        </w:tc>
        <w:tc>
          <w:tcPr>
            <w:tcW w:w="1196" w:type="dxa"/>
            <w:tcBorders>
              <w:bottom w:val="nil"/>
            </w:tcBorders>
          </w:tcPr>
          <w:p w:rsidR="00567B15" w:rsidRDefault="00567B15">
            <w:pPr>
              <w:spacing w:before="0" w:after="0"/>
              <w:ind w:firstLine="122"/>
              <w:jc w:val="both"/>
              <w:rPr>
                <w:rFonts w:hint="cs"/>
                <w:sz w:val="20"/>
                <w:szCs w:val="20"/>
              </w:rPr>
            </w:pPr>
            <w:r>
              <w:rPr>
                <w:rFonts w:hint="cs"/>
                <w:sz w:val="20"/>
                <w:szCs w:val="20"/>
                <w:rtl/>
              </w:rPr>
              <w:t>472 211</w:t>
            </w:r>
          </w:p>
        </w:tc>
        <w:tc>
          <w:tcPr>
            <w:tcW w:w="1196" w:type="dxa"/>
            <w:tcBorders>
              <w:bottom w:val="nil"/>
            </w:tcBorders>
          </w:tcPr>
          <w:p w:rsidR="00567B15" w:rsidRDefault="00567B15">
            <w:pPr>
              <w:spacing w:before="0" w:after="0"/>
              <w:ind w:firstLine="160"/>
              <w:jc w:val="both"/>
              <w:rPr>
                <w:rFonts w:hint="cs"/>
                <w:sz w:val="20"/>
                <w:szCs w:val="20"/>
              </w:rPr>
            </w:pPr>
            <w:r>
              <w:rPr>
                <w:rFonts w:hint="cs"/>
                <w:sz w:val="20"/>
                <w:szCs w:val="20"/>
                <w:rtl/>
              </w:rPr>
              <w:t>502 52</w:t>
            </w:r>
          </w:p>
        </w:tc>
        <w:tc>
          <w:tcPr>
            <w:tcW w:w="1196" w:type="dxa"/>
            <w:tcBorders>
              <w:bottom w:val="nil"/>
            </w:tcBorders>
          </w:tcPr>
          <w:p w:rsidR="00567B15" w:rsidRDefault="00567B15">
            <w:pPr>
              <w:spacing w:before="0" w:after="0"/>
              <w:ind w:firstLine="70"/>
              <w:jc w:val="both"/>
              <w:rPr>
                <w:rFonts w:hint="cs"/>
                <w:sz w:val="20"/>
                <w:szCs w:val="20"/>
              </w:rPr>
            </w:pPr>
            <w:r>
              <w:rPr>
                <w:rFonts w:hint="cs"/>
                <w:sz w:val="20"/>
                <w:szCs w:val="20"/>
                <w:rtl/>
              </w:rPr>
              <w:t>24.83</w:t>
            </w:r>
          </w:p>
        </w:tc>
        <w:tc>
          <w:tcPr>
            <w:tcW w:w="1196" w:type="dxa"/>
            <w:tcBorders>
              <w:bottom w:val="nil"/>
            </w:tcBorders>
          </w:tcPr>
          <w:p w:rsidR="00567B15" w:rsidRDefault="00567B15">
            <w:pPr>
              <w:spacing w:before="0" w:after="0"/>
              <w:ind w:firstLine="134"/>
              <w:jc w:val="both"/>
              <w:rPr>
                <w:rFonts w:hint="cs"/>
                <w:sz w:val="20"/>
                <w:szCs w:val="20"/>
              </w:rPr>
            </w:pPr>
            <w:r>
              <w:rPr>
                <w:rFonts w:hint="cs"/>
                <w:sz w:val="20"/>
                <w:szCs w:val="20"/>
                <w:rtl/>
              </w:rPr>
              <w:t>608 44</w:t>
            </w:r>
          </w:p>
        </w:tc>
        <w:tc>
          <w:tcPr>
            <w:tcW w:w="1197" w:type="dxa"/>
            <w:tcBorders>
              <w:bottom w:val="nil"/>
            </w:tcBorders>
          </w:tcPr>
          <w:p w:rsidR="00567B15" w:rsidRDefault="00567B15">
            <w:pPr>
              <w:spacing w:before="0" w:after="0"/>
              <w:ind w:firstLine="161"/>
              <w:jc w:val="both"/>
              <w:rPr>
                <w:rFonts w:hint="cs"/>
                <w:sz w:val="20"/>
                <w:szCs w:val="20"/>
              </w:rPr>
            </w:pPr>
            <w:r>
              <w:rPr>
                <w:rFonts w:hint="cs"/>
                <w:sz w:val="20"/>
                <w:szCs w:val="20"/>
                <w:rtl/>
              </w:rPr>
              <w:t>293 10</w:t>
            </w:r>
          </w:p>
        </w:tc>
        <w:tc>
          <w:tcPr>
            <w:tcW w:w="1076" w:type="dxa"/>
            <w:tcBorders>
              <w:bottom w:val="nil"/>
            </w:tcBorders>
          </w:tcPr>
          <w:p w:rsidR="00567B15" w:rsidRDefault="00567B15">
            <w:pPr>
              <w:spacing w:before="0" w:after="0"/>
              <w:ind w:firstLine="81"/>
              <w:jc w:val="both"/>
              <w:rPr>
                <w:rFonts w:hint="cs"/>
                <w:sz w:val="20"/>
                <w:szCs w:val="20"/>
              </w:rPr>
            </w:pPr>
            <w:r>
              <w:rPr>
                <w:rFonts w:hint="cs"/>
                <w:sz w:val="20"/>
                <w:szCs w:val="20"/>
                <w:rtl/>
              </w:rPr>
              <w:t>23.07</w:t>
            </w:r>
          </w:p>
        </w:tc>
      </w:tr>
      <w:tr w:rsidR="00567B15" w:rsidTr="00567B15">
        <w:tblPrEx>
          <w:tblCellMar>
            <w:top w:w="0" w:type="dxa"/>
            <w:bottom w:w="0" w:type="dxa"/>
          </w:tblCellMar>
        </w:tblPrEx>
        <w:tc>
          <w:tcPr>
            <w:tcW w:w="1274" w:type="dxa"/>
            <w:tcBorders>
              <w:top w:val="nil"/>
              <w:bottom w:val="nil"/>
            </w:tcBorders>
          </w:tcPr>
          <w:p w:rsidR="00567B15" w:rsidRDefault="00567B15">
            <w:pPr>
              <w:spacing w:before="0" w:after="0"/>
              <w:jc w:val="both"/>
              <w:rPr>
                <w:sz w:val="20"/>
                <w:szCs w:val="20"/>
              </w:rPr>
            </w:pPr>
          </w:p>
        </w:tc>
        <w:tc>
          <w:tcPr>
            <w:tcW w:w="1020" w:type="dxa"/>
            <w:tcBorders>
              <w:top w:val="nil"/>
              <w:bottom w:val="nil"/>
            </w:tcBorders>
          </w:tcPr>
          <w:p w:rsidR="00567B15" w:rsidRDefault="00567B15">
            <w:pPr>
              <w:spacing w:before="0" w:after="0"/>
              <w:jc w:val="both"/>
              <w:rPr>
                <w:rFonts w:hint="cs"/>
                <w:sz w:val="20"/>
                <w:szCs w:val="20"/>
              </w:rPr>
            </w:pPr>
            <w:r>
              <w:rPr>
                <w:rFonts w:hint="cs"/>
                <w:sz w:val="20"/>
                <w:szCs w:val="20"/>
                <w:rtl/>
              </w:rPr>
              <w:t>إناث</w:t>
            </w:r>
          </w:p>
        </w:tc>
        <w:tc>
          <w:tcPr>
            <w:tcW w:w="1196" w:type="dxa"/>
            <w:tcBorders>
              <w:top w:val="nil"/>
              <w:bottom w:val="nil"/>
            </w:tcBorders>
          </w:tcPr>
          <w:p w:rsidR="00567B15" w:rsidRDefault="00567B15">
            <w:pPr>
              <w:spacing w:before="0" w:after="0"/>
              <w:ind w:firstLine="122"/>
              <w:jc w:val="both"/>
              <w:rPr>
                <w:rFonts w:hint="cs"/>
                <w:sz w:val="20"/>
                <w:szCs w:val="20"/>
              </w:rPr>
            </w:pPr>
            <w:r>
              <w:rPr>
                <w:rFonts w:hint="cs"/>
                <w:sz w:val="20"/>
                <w:szCs w:val="20"/>
                <w:rtl/>
              </w:rPr>
              <w:t>151 211</w:t>
            </w:r>
          </w:p>
        </w:tc>
        <w:tc>
          <w:tcPr>
            <w:tcW w:w="1196" w:type="dxa"/>
            <w:tcBorders>
              <w:top w:val="nil"/>
              <w:bottom w:val="nil"/>
            </w:tcBorders>
          </w:tcPr>
          <w:p w:rsidR="00567B15" w:rsidRDefault="00567B15">
            <w:pPr>
              <w:spacing w:before="0" w:after="0"/>
              <w:ind w:firstLine="160"/>
              <w:jc w:val="both"/>
              <w:rPr>
                <w:rFonts w:hint="cs"/>
                <w:sz w:val="20"/>
                <w:szCs w:val="20"/>
              </w:rPr>
            </w:pPr>
            <w:r>
              <w:rPr>
                <w:rFonts w:hint="cs"/>
                <w:sz w:val="20"/>
                <w:szCs w:val="20"/>
                <w:rtl/>
              </w:rPr>
              <w:t>034 58</w:t>
            </w:r>
          </w:p>
        </w:tc>
        <w:tc>
          <w:tcPr>
            <w:tcW w:w="1196" w:type="dxa"/>
            <w:tcBorders>
              <w:top w:val="nil"/>
              <w:bottom w:val="nil"/>
            </w:tcBorders>
          </w:tcPr>
          <w:p w:rsidR="00567B15" w:rsidRDefault="00567B15">
            <w:pPr>
              <w:spacing w:before="0" w:after="0"/>
              <w:ind w:firstLine="70"/>
              <w:jc w:val="both"/>
              <w:rPr>
                <w:rFonts w:hint="cs"/>
                <w:sz w:val="20"/>
                <w:szCs w:val="20"/>
              </w:rPr>
            </w:pPr>
            <w:r>
              <w:rPr>
                <w:rFonts w:hint="cs"/>
                <w:sz w:val="20"/>
                <w:szCs w:val="20"/>
                <w:rtl/>
              </w:rPr>
              <w:t>27.48</w:t>
            </w:r>
          </w:p>
        </w:tc>
        <w:tc>
          <w:tcPr>
            <w:tcW w:w="1196" w:type="dxa"/>
            <w:tcBorders>
              <w:top w:val="nil"/>
              <w:bottom w:val="nil"/>
            </w:tcBorders>
          </w:tcPr>
          <w:p w:rsidR="00567B15" w:rsidRDefault="00567B15">
            <w:pPr>
              <w:spacing w:before="0" w:after="0"/>
              <w:ind w:firstLine="134"/>
              <w:jc w:val="both"/>
              <w:rPr>
                <w:rFonts w:hint="cs"/>
                <w:sz w:val="20"/>
                <w:szCs w:val="20"/>
              </w:rPr>
            </w:pPr>
            <w:r>
              <w:rPr>
                <w:rFonts w:hint="cs"/>
                <w:sz w:val="20"/>
                <w:szCs w:val="20"/>
                <w:rtl/>
              </w:rPr>
              <w:t>071 32</w:t>
            </w:r>
          </w:p>
        </w:tc>
        <w:tc>
          <w:tcPr>
            <w:tcW w:w="1197" w:type="dxa"/>
            <w:tcBorders>
              <w:top w:val="nil"/>
              <w:bottom w:val="nil"/>
            </w:tcBorders>
          </w:tcPr>
          <w:p w:rsidR="00567B15" w:rsidRDefault="00567B15">
            <w:pPr>
              <w:spacing w:before="0" w:after="0"/>
              <w:ind w:firstLine="161"/>
              <w:jc w:val="both"/>
              <w:rPr>
                <w:rFonts w:hint="cs"/>
                <w:sz w:val="20"/>
                <w:szCs w:val="20"/>
              </w:rPr>
            </w:pPr>
            <w:r>
              <w:rPr>
                <w:rFonts w:hint="cs"/>
                <w:sz w:val="20"/>
                <w:szCs w:val="20"/>
                <w:rtl/>
              </w:rPr>
              <w:t>949 7</w:t>
            </w:r>
          </w:p>
        </w:tc>
        <w:tc>
          <w:tcPr>
            <w:tcW w:w="1076" w:type="dxa"/>
            <w:tcBorders>
              <w:top w:val="nil"/>
              <w:bottom w:val="nil"/>
            </w:tcBorders>
          </w:tcPr>
          <w:p w:rsidR="00567B15" w:rsidRDefault="00567B15">
            <w:pPr>
              <w:spacing w:before="0" w:after="0"/>
              <w:ind w:firstLine="81"/>
              <w:jc w:val="both"/>
              <w:rPr>
                <w:rFonts w:hint="cs"/>
                <w:sz w:val="20"/>
                <w:szCs w:val="20"/>
              </w:rPr>
            </w:pPr>
            <w:r>
              <w:rPr>
                <w:rFonts w:hint="cs"/>
                <w:sz w:val="20"/>
                <w:szCs w:val="20"/>
                <w:rtl/>
              </w:rPr>
              <w:t>24.79</w:t>
            </w:r>
          </w:p>
        </w:tc>
      </w:tr>
      <w:tr w:rsidR="00567B15" w:rsidTr="00567B15">
        <w:tblPrEx>
          <w:tblCellMar>
            <w:top w:w="0" w:type="dxa"/>
            <w:bottom w:w="0" w:type="dxa"/>
          </w:tblCellMar>
        </w:tblPrEx>
        <w:tc>
          <w:tcPr>
            <w:tcW w:w="1274" w:type="dxa"/>
            <w:tcBorders>
              <w:top w:val="nil"/>
              <w:bottom w:val="single" w:sz="4" w:space="0" w:color="auto"/>
            </w:tcBorders>
          </w:tcPr>
          <w:p w:rsidR="00567B15" w:rsidRDefault="00567B15">
            <w:pPr>
              <w:spacing w:before="0" w:after="0"/>
              <w:jc w:val="both"/>
              <w:rPr>
                <w:sz w:val="20"/>
                <w:szCs w:val="20"/>
              </w:rPr>
            </w:pPr>
          </w:p>
        </w:tc>
        <w:tc>
          <w:tcPr>
            <w:tcW w:w="1020" w:type="dxa"/>
            <w:tcBorders>
              <w:top w:val="nil"/>
              <w:bottom w:val="single" w:sz="4" w:space="0" w:color="auto"/>
            </w:tcBorders>
          </w:tcPr>
          <w:p w:rsidR="00567B15" w:rsidRDefault="00567B15">
            <w:pPr>
              <w:tabs>
                <w:tab w:val="left" w:pos="238"/>
              </w:tabs>
              <w:spacing w:before="0" w:after="0"/>
              <w:jc w:val="both"/>
              <w:rPr>
                <w:sz w:val="20"/>
                <w:szCs w:val="20"/>
              </w:rPr>
            </w:pPr>
            <w:r>
              <w:rPr>
                <w:sz w:val="20"/>
                <w:szCs w:val="20"/>
                <w:rtl/>
              </w:rPr>
              <w:tab/>
              <w:t>المجموع</w:t>
            </w:r>
          </w:p>
        </w:tc>
        <w:tc>
          <w:tcPr>
            <w:tcW w:w="1196" w:type="dxa"/>
            <w:tcBorders>
              <w:top w:val="nil"/>
              <w:bottom w:val="single" w:sz="4" w:space="0" w:color="auto"/>
            </w:tcBorders>
          </w:tcPr>
          <w:p w:rsidR="00567B15" w:rsidRDefault="00567B15">
            <w:pPr>
              <w:spacing w:before="0" w:after="0"/>
              <w:ind w:firstLine="122"/>
              <w:jc w:val="both"/>
              <w:rPr>
                <w:rFonts w:hint="cs"/>
                <w:sz w:val="20"/>
                <w:szCs w:val="20"/>
              </w:rPr>
            </w:pPr>
            <w:r>
              <w:rPr>
                <w:rFonts w:hint="cs"/>
                <w:sz w:val="20"/>
                <w:szCs w:val="20"/>
                <w:rtl/>
              </w:rPr>
              <w:t>623 422</w:t>
            </w:r>
          </w:p>
        </w:tc>
        <w:tc>
          <w:tcPr>
            <w:tcW w:w="1196" w:type="dxa"/>
            <w:tcBorders>
              <w:top w:val="nil"/>
              <w:bottom w:val="single" w:sz="4" w:space="0" w:color="auto"/>
            </w:tcBorders>
          </w:tcPr>
          <w:p w:rsidR="00567B15" w:rsidRDefault="00567B15">
            <w:pPr>
              <w:spacing w:before="0" w:after="0"/>
              <w:ind w:firstLine="160"/>
              <w:jc w:val="both"/>
              <w:rPr>
                <w:rFonts w:hint="cs"/>
                <w:sz w:val="20"/>
                <w:szCs w:val="20"/>
              </w:rPr>
            </w:pPr>
            <w:r>
              <w:rPr>
                <w:rFonts w:hint="cs"/>
                <w:sz w:val="20"/>
                <w:szCs w:val="20"/>
                <w:rtl/>
              </w:rPr>
              <w:t>536 110</w:t>
            </w:r>
          </w:p>
        </w:tc>
        <w:tc>
          <w:tcPr>
            <w:tcW w:w="1196" w:type="dxa"/>
            <w:tcBorders>
              <w:top w:val="nil"/>
              <w:bottom w:val="single" w:sz="4" w:space="0" w:color="auto"/>
            </w:tcBorders>
          </w:tcPr>
          <w:p w:rsidR="00567B15" w:rsidRDefault="00567B15">
            <w:pPr>
              <w:spacing w:before="0" w:after="0"/>
              <w:ind w:firstLine="70"/>
              <w:jc w:val="both"/>
              <w:rPr>
                <w:rFonts w:hint="cs"/>
                <w:sz w:val="20"/>
                <w:szCs w:val="20"/>
              </w:rPr>
            </w:pPr>
            <w:r>
              <w:rPr>
                <w:rFonts w:hint="cs"/>
                <w:sz w:val="20"/>
                <w:szCs w:val="20"/>
                <w:rtl/>
              </w:rPr>
              <w:t>26.15</w:t>
            </w:r>
          </w:p>
        </w:tc>
        <w:tc>
          <w:tcPr>
            <w:tcW w:w="1196" w:type="dxa"/>
            <w:tcBorders>
              <w:top w:val="nil"/>
              <w:bottom w:val="single" w:sz="4" w:space="0" w:color="auto"/>
            </w:tcBorders>
          </w:tcPr>
          <w:p w:rsidR="00567B15" w:rsidRDefault="00567B15">
            <w:pPr>
              <w:spacing w:before="0" w:after="0"/>
              <w:ind w:firstLine="134"/>
              <w:jc w:val="both"/>
              <w:rPr>
                <w:rFonts w:hint="cs"/>
                <w:sz w:val="20"/>
                <w:szCs w:val="20"/>
              </w:rPr>
            </w:pPr>
            <w:r>
              <w:rPr>
                <w:rFonts w:hint="cs"/>
                <w:sz w:val="20"/>
                <w:szCs w:val="20"/>
                <w:rtl/>
              </w:rPr>
              <w:t>679 76</w:t>
            </w:r>
          </w:p>
        </w:tc>
        <w:tc>
          <w:tcPr>
            <w:tcW w:w="1197" w:type="dxa"/>
            <w:tcBorders>
              <w:top w:val="nil"/>
              <w:bottom w:val="single" w:sz="4" w:space="0" w:color="auto"/>
            </w:tcBorders>
          </w:tcPr>
          <w:p w:rsidR="00567B15" w:rsidRDefault="00567B15">
            <w:pPr>
              <w:spacing w:before="0" w:after="0"/>
              <w:ind w:firstLine="161"/>
              <w:jc w:val="both"/>
              <w:rPr>
                <w:rFonts w:hint="cs"/>
                <w:sz w:val="20"/>
                <w:szCs w:val="20"/>
              </w:rPr>
            </w:pPr>
            <w:r>
              <w:rPr>
                <w:rFonts w:hint="cs"/>
                <w:sz w:val="20"/>
                <w:szCs w:val="20"/>
                <w:rtl/>
              </w:rPr>
              <w:t>242 18</w:t>
            </w:r>
          </w:p>
        </w:tc>
        <w:tc>
          <w:tcPr>
            <w:tcW w:w="1076" w:type="dxa"/>
            <w:tcBorders>
              <w:top w:val="nil"/>
              <w:bottom w:val="single" w:sz="4" w:space="0" w:color="auto"/>
            </w:tcBorders>
          </w:tcPr>
          <w:p w:rsidR="00567B15" w:rsidRDefault="00567B15">
            <w:pPr>
              <w:spacing w:before="0" w:after="0"/>
              <w:ind w:firstLine="81"/>
              <w:jc w:val="both"/>
              <w:rPr>
                <w:rFonts w:hint="cs"/>
                <w:sz w:val="20"/>
                <w:szCs w:val="20"/>
              </w:rPr>
            </w:pPr>
            <w:r>
              <w:rPr>
                <w:rFonts w:hint="cs"/>
                <w:sz w:val="20"/>
                <w:szCs w:val="20"/>
                <w:rtl/>
              </w:rPr>
              <w:t>23.79</w:t>
            </w:r>
          </w:p>
        </w:tc>
      </w:tr>
      <w:tr w:rsidR="00567B15" w:rsidTr="00567B15">
        <w:tblPrEx>
          <w:tblCellMar>
            <w:top w:w="0" w:type="dxa"/>
            <w:bottom w:w="0" w:type="dxa"/>
          </w:tblCellMar>
        </w:tblPrEx>
        <w:tc>
          <w:tcPr>
            <w:tcW w:w="1274" w:type="dxa"/>
            <w:tcBorders>
              <w:bottom w:val="nil"/>
            </w:tcBorders>
          </w:tcPr>
          <w:p w:rsidR="00567B15" w:rsidRDefault="00567B15">
            <w:pPr>
              <w:spacing w:before="0" w:after="0"/>
              <w:jc w:val="both"/>
              <w:rPr>
                <w:rFonts w:hint="cs"/>
                <w:sz w:val="20"/>
                <w:szCs w:val="20"/>
              </w:rPr>
            </w:pPr>
            <w:r>
              <w:rPr>
                <w:rFonts w:hint="cs"/>
                <w:sz w:val="20"/>
                <w:szCs w:val="20"/>
                <w:rtl/>
              </w:rPr>
              <w:t>1997-1998</w:t>
            </w:r>
          </w:p>
        </w:tc>
        <w:tc>
          <w:tcPr>
            <w:tcW w:w="1020" w:type="dxa"/>
            <w:tcBorders>
              <w:bottom w:val="nil"/>
            </w:tcBorders>
          </w:tcPr>
          <w:p w:rsidR="00567B15" w:rsidRDefault="00567B15">
            <w:pPr>
              <w:spacing w:before="0" w:after="0"/>
              <w:jc w:val="both"/>
              <w:rPr>
                <w:rFonts w:hint="cs"/>
                <w:sz w:val="20"/>
                <w:szCs w:val="20"/>
              </w:rPr>
            </w:pPr>
            <w:r>
              <w:rPr>
                <w:rFonts w:hint="cs"/>
                <w:sz w:val="20"/>
                <w:szCs w:val="20"/>
                <w:rtl/>
              </w:rPr>
              <w:t>ذكور</w:t>
            </w:r>
          </w:p>
        </w:tc>
        <w:tc>
          <w:tcPr>
            <w:tcW w:w="1196" w:type="dxa"/>
            <w:tcBorders>
              <w:bottom w:val="nil"/>
            </w:tcBorders>
          </w:tcPr>
          <w:p w:rsidR="00567B15" w:rsidRDefault="00567B15">
            <w:pPr>
              <w:spacing w:before="0" w:after="0"/>
              <w:ind w:firstLine="122"/>
              <w:jc w:val="both"/>
              <w:rPr>
                <w:rFonts w:hint="cs"/>
                <w:sz w:val="20"/>
                <w:szCs w:val="20"/>
              </w:rPr>
            </w:pPr>
            <w:r>
              <w:rPr>
                <w:rFonts w:hint="cs"/>
                <w:sz w:val="20"/>
                <w:szCs w:val="20"/>
                <w:rtl/>
              </w:rPr>
              <w:t>797 208</w:t>
            </w:r>
          </w:p>
        </w:tc>
        <w:tc>
          <w:tcPr>
            <w:tcW w:w="1196" w:type="dxa"/>
            <w:tcBorders>
              <w:bottom w:val="nil"/>
            </w:tcBorders>
          </w:tcPr>
          <w:p w:rsidR="00567B15" w:rsidRDefault="00567B15">
            <w:pPr>
              <w:spacing w:before="0" w:after="0"/>
              <w:ind w:firstLine="160"/>
              <w:jc w:val="both"/>
              <w:rPr>
                <w:rFonts w:hint="cs"/>
                <w:sz w:val="20"/>
                <w:szCs w:val="20"/>
              </w:rPr>
            </w:pPr>
          </w:p>
        </w:tc>
        <w:tc>
          <w:tcPr>
            <w:tcW w:w="1196" w:type="dxa"/>
            <w:tcBorders>
              <w:bottom w:val="nil"/>
            </w:tcBorders>
          </w:tcPr>
          <w:p w:rsidR="00567B15" w:rsidRDefault="00567B15">
            <w:pPr>
              <w:spacing w:before="0" w:after="0"/>
              <w:ind w:firstLine="70"/>
              <w:jc w:val="both"/>
              <w:rPr>
                <w:rFonts w:hint="cs"/>
                <w:sz w:val="20"/>
                <w:szCs w:val="20"/>
              </w:rPr>
            </w:pPr>
            <w:r>
              <w:rPr>
                <w:rFonts w:hint="cs"/>
                <w:sz w:val="20"/>
                <w:szCs w:val="20"/>
                <w:rtl/>
              </w:rPr>
              <w:t>0.00</w:t>
            </w:r>
          </w:p>
        </w:tc>
        <w:tc>
          <w:tcPr>
            <w:tcW w:w="1196" w:type="dxa"/>
            <w:tcBorders>
              <w:bottom w:val="nil"/>
            </w:tcBorders>
          </w:tcPr>
          <w:p w:rsidR="00567B15" w:rsidRDefault="00567B15">
            <w:pPr>
              <w:spacing w:before="0" w:after="0"/>
              <w:ind w:firstLine="134"/>
              <w:jc w:val="both"/>
              <w:rPr>
                <w:rFonts w:hint="cs"/>
                <w:sz w:val="20"/>
                <w:szCs w:val="20"/>
              </w:rPr>
            </w:pPr>
            <w:r>
              <w:rPr>
                <w:rFonts w:hint="cs"/>
                <w:sz w:val="20"/>
                <w:szCs w:val="20"/>
                <w:rtl/>
              </w:rPr>
              <w:t>696 46</w:t>
            </w:r>
          </w:p>
        </w:tc>
        <w:tc>
          <w:tcPr>
            <w:tcW w:w="1197" w:type="dxa"/>
            <w:tcBorders>
              <w:bottom w:val="nil"/>
            </w:tcBorders>
          </w:tcPr>
          <w:p w:rsidR="00567B15" w:rsidRDefault="00567B15">
            <w:pPr>
              <w:spacing w:before="0" w:after="0"/>
              <w:ind w:firstLine="161"/>
              <w:jc w:val="both"/>
              <w:rPr>
                <w:rFonts w:hint="cs"/>
                <w:sz w:val="20"/>
                <w:szCs w:val="20"/>
              </w:rPr>
            </w:pPr>
          </w:p>
        </w:tc>
        <w:tc>
          <w:tcPr>
            <w:tcW w:w="1076" w:type="dxa"/>
            <w:tcBorders>
              <w:bottom w:val="nil"/>
            </w:tcBorders>
          </w:tcPr>
          <w:p w:rsidR="00567B15" w:rsidRDefault="00567B15">
            <w:pPr>
              <w:spacing w:before="0" w:after="0"/>
              <w:ind w:firstLine="70"/>
              <w:jc w:val="both"/>
              <w:rPr>
                <w:rFonts w:hint="cs"/>
                <w:sz w:val="20"/>
                <w:szCs w:val="20"/>
              </w:rPr>
            </w:pPr>
            <w:r>
              <w:rPr>
                <w:rFonts w:hint="cs"/>
                <w:sz w:val="20"/>
                <w:szCs w:val="20"/>
                <w:rtl/>
              </w:rPr>
              <w:t>0.00</w:t>
            </w:r>
          </w:p>
        </w:tc>
      </w:tr>
      <w:tr w:rsidR="00567B15" w:rsidTr="00567B15">
        <w:tblPrEx>
          <w:tblCellMar>
            <w:top w:w="0" w:type="dxa"/>
            <w:bottom w:w="0" w:type="dxa"/>
          </w:tblCellMar>
        </w:tblPrEx>
        <w:tc>
          <w:tcPr>
            <w:tcW w:w="1274" w:type="dxa"/>
            <w:tcBorders>
              <w:top w:val="nil"/>
              <w:bottom w:val="nil"/>
            </w:tcBorders>
          </w:tcPr>
          <w:p w:rsidR="00567B15" w:rsidRDefault="00567B15">
            <w:pPr>
              <w:spacing w:before="0" w:after="0"/>
              <w:jc w:val="both"/>
              <w:rPr>
                <w:sz w:val="20"/>
                <w:szCs w:val="20"/>
              </w:rPr>
            </w:pPr>
          </w:p>
        </w:tc>
        <w:tc>
          <w:tcPr>
            <w:tcW w:w="1020" w:type="dxa"/>
            <w:tcBorders>
              <w:top w:val="nil"/>
              <w:bottom w:val="nil"/>
            </w:tcBorders>
          </w:tcPr>
          <w:p w:rsidR="00567B15" w:rsidRDefault="00567B15">
            <w:pPr>
              <w:spacing w:before="0" w:after="0"/>
              <w:jc w:val="both"/>
              <w:rPr>
                <w:rFonts w:hint="cs"/>
                <w:sz w:val="20"/>
                <w:szCs w:val="20"/>
              </w:rPr>
            </w:pPr>
            <w:r>
              <w:rPr>
                <w:rFonts w:hint="cs"/>
                <w:sz w:val="20"/>
                <w:szCs w:val="20"/>
                <w:rtl/>
              </w:rPr>
              <w:t>إناث</w:t>
            </w:r>
          </w:p>
        </w:tc>
        <w:tc>
          <w:tcPr>
            <w:tcW w:w="1196" w:type="dxa"/>
            <w:tcBorders>
              <w:top w:val="nil"/>
              <w:bottom w:val="nil"/>
            </w:tcBorders>
          </w:tcPr>
          <w:p w:rsidR="00567B15" w:rsidRDefault="00567B15">
            <w:pPr>
              <w:spacing w:before="0" w:after="0"/>
              <w:ind w:firstLine="122"/>
              <w:jc w:val="both"/>
              <w:rPr>
                <w:rFonts w:hint="cs"/>
                <w:sz w:val="20"/>
                <w:szCs w:val="20"/>
              </w:rPr>
            </w:pPr>
            <w:r>
              <w:rPr>
                <w:rFonts w:hint="cs"/>
                <w:sz w:val="20"/>
                <w:szCs w:val="20"/>
                <w:rtl/>
              </w:rPr>
              <w:t>329 209</w:t>
            </w:r>
          </w:p>
        </w:tc>
        <w:tc>
          <w:tcPr>
            <w:tcW w:w="1196" w:type="dxa"/>
            <w:tcBorders>
              <w:top w:val="nil"/>
              <w:bottom w:val="nil"/>
            </w:tcBorders>
          </w:tcPr>
          <w:p w:rsidR="00567B15" w:rsidRDefault="00567B15">
            <w:pPr>
              <w:spacing w:before="0" w:after="0"/>
              <w:ind w:firstLine="160"/>
              <w:jc w:val="both"/>
              <w:rPr>
                <w:rFonts w:hint="cs"/>
                <w:sz w:val="20"/>
                <w:szCs w:val="20"/>
              </w:rPr>
            </w:pPr>
          </w:p>
        </w:tc>
        <w:tc>
          <w:tcPr>
            <w:tcW w:w="1196" w:type="dxa"/>
            <w:tcBorders>
              <w:top w:val="nil"/>
              <w:bottom w:val="nil"/>
            </w:tcBorders>
          </w:tcPr>
          <w:p w:rsidR="00567B15" w:rsidRDefault="00567B15">
            <w:pPr>
              <w:spacing w:before="0" w:after="0"/>
              <w:ind w:firstLine="70"/>
              <w:jc w:val="both"/>
              <w:rPr>
                <w:rFonts w:hint="cs"/>
                <w:sz w:val="20"/>
                <w:szCs w:val="20"/>
              </w:rPr>
            </w:pPr>
            <w:r>
              <w:rPr>
                <w:rFonts w:hint="cs"/>
                <w:sz w:val="20"/>
                <w:szCs w:val="20"/>
                <w:rtl/>
              </w:rPr>
              <w:t>0.00</w:t>
            </w:r>
          </w:p>
        </w:tc>
        <w:tc>
          <w:tcPr>
            <w:tcW w:w="1196" w:type="dxa"/>
            <w:tcBorders>
              <w:top w:val="nil"/>
              <w:bottom w:val="nil"/>
            </w:tcBorders>
          </w:tcPr>
          <w:p w:rsidR="00567B15" w:rsidRDefault="00567B15">
            <w:pPr>
              <w:spacing w:before="0" w:after="0"/>
              <w:ind w:firstLine="134"/>
              <w:jc w:val="both"/>
              <w:rPr>
                <w:rFonts w:hint="cs"/>
                <w:sz w:val="20"/>
                <w:szCs w:val="20"/>
              </w:rPr>
            </w:pPr>
            <w:r>
              <w:rPr>
                <w:rFonts w:hint="cs"/>
                <w:sz w:val="20"/>
                <w:szCs w:val="20"/>
                <w:rtl/>
              </w:rPr>
              <w:t>020 34</w:t>
            </w:r>
          </w:p>
        </w:tc>
        <w:tc>
          <w:tcPr>
            <w:tcW w:w="1197" w:type="dxa"/>
            <w:tcBorders>
              <w:top w:val="nil"/>
              <w:bottom w:val="nil"/>
            </w:tcBorders>
          </w:tcPr>
          <w:p w:rsidR="00567B15" w:rsidRDefault="00567B15">
            <w:pPr>
              <w:spacing w:before="0" w:after="0"/>
              <w:ind w:firstLine="161"/>
              <w:jc w:val="both"/>
              <w:rPr>
                <w:rFonts w:hint="cs"/>
                <w:sz w:val="20"/>
                <w:szCs w:val="20"/>
              </w:rPr>
            </w:pPr>
          </w:p>
        </w:tc>
        <w:tc>
          <w:tcPr>
            <w:tcW w:w="1076" w:type="dxa"/>
            <w:tcBorders>
              <w:top w:val="nil"/>
              <w:bottom w:val="nil"/>
            </w:tcBorders>
          </w:tcPr>
          <w:p w:rsidR="00567B15" w:rsidRDefault="00567B15">
            <w:pPr>
              <w:spacing w:before="0" w:after="0"/>
              <w:ind w:firstLine="70"/>
              <w:jc w:val="both"/>
              <w:rPr>
                <w:rFonts w:hint="cs"/>
                <w:sz w:val="20"/>
                <w:szCs w:val="20"/>
              </w:rPr>
            </w:pPr>
            <w:r>
              <w:rPr>
                <w:rFonts w:hint="cs"/>
                <w:sz w:val="20"/>
                <w:szCs w:val="20"/>
                <w:rtl/>
              </w:rPr>
              <w:t>0.00</w:t>
            </w:r>
          </w:p>
        </w:tc>
      </w:tr>
      <w:tr w:rsidR="00567B15" w:rsidTr="00567B15">
        <w:tblPrEx>
          <w:tblCellMar>
            <w:top w:w="0" w:type="dxa"/>
            <w:bottom w:w="0" w:type="dxa"/>
          </w:tblCellMar>
        </w:tblPrEx>
        <w:tc>
          <w:tcPr>
            <w:tcW w:w="1274" w:type="dxa"/>
            <w:tcBorders>
              <w:top w:val="nil"/>
            </w:tcBorders>
          </w:tcPr>
          <w:p w:rsidR="00567B15" w:rsidRDefault="00567B15">
            <w:pPr>
              <w:spacing w:before="0" w:after="0"/>
              <w:jc w:val="both"/>
              <w:rPr>
                <w:sz w:val="20"/>
                <w:szCs w:val="20"/>
              </w:rPr>
            </w:pPr>
          </w:p>
        </w:tc>
        <w:tc>
          <w:tcPr>
            <w:tcW w:w="1020" w:type="dxa"/>
            <w:tcBorders>
              <w:top w:val="nil"/>
            </w:tcBorders>
          </w:tcPr>
          <w:p w:rsidR="00567B15" w:rsidRDefault="00567B15">
            <w:pPr>
              <w:tabs>
                <w:tab w:val="left" w:pos="238"/>
              </w:tabs>
              <w:spacing w:before="0" w:after="0"/>
              <w:jc w:val="both"/>
              <w:rPr>
                <w:sz w:val="20"/>
                <w:szCs w:val="20"/>
              </w:rPr>
            </w:pPr>
            <w:r>
              <w:rPr>
                <w:sz w:val="20"/>
                <w:szCs w:val="20"/>
                <w:rtl/>
              </w:rPr>
              <w:tab/>
              <w:t>المجموع</w:t>
            </w:r>
          </w:p>
        </w:tc>
        <w:tc>
          <w:tcPr>
            <w:tcW w:w="1196" w:type="dxa"/>
            <w:tcBorders>
              <w:top w:val="nil"/>
            </w:tcBorders>
          </w:tcPr>
          <w:p w:rsidR="00567B15" w:rsidRDefault="00567B15">
            <w:pPr>
              <w:spacing w:before="0" w:after="0"/>
              <w:ind w:firstLine="122"/>
              <w:jc w:val="both"/>
              <w:rPr>
                <w:rFonts w:hint="cs"/>
                <w:sz w:val="20"/>
                <w:szCs w:val="20"/>
              </w:rPr>
            </w:pPr>
            <w:r>
              <w:rPr>
                <w:rFonts w:hint="cs"/>
                <w:sz w:val="20"/>
                <w:szCs w:val="20"/>
                <w:rtl/>
              </w:rPr>
              <w:t>126 418</w:t>
            </w:r>
          </w:p>
        </w:tc>
        <w:tc>
          <w:tcPr>
            <w:tcW w:w="1196" w:type="dxa"/>
            <w:tcBorders>
              <w:top w:val="nil"/>
            </w:tcBorders>
          </w:tcPr>
          <w:p w:rsidR="00567B15" w:rsidRDefault="00567B15">
            <w:pPr>
              <w:spacing w:before="0" w:after="0"/>
              <w:ind w:firstLine="160"/>
              <w:jc w:val="both"/>
              <w:rPr>
                <w:rFonts w:hint="cs"/>
                <w:sz w:val="20"/>
                <w:szCs w:val="20"/>
              </w:rPr>
            </w:pPr>
          </w:p>
        </w:tc>
        <w:tc>
          <w:tcPr>
            <w:tcW w:w="1196" w:type="dxa"/>
            <w:tcBorders>
              <w:top w:val="nil"/>
            </w:tcBorders>
          </w:tcPr>
          <w:p w:rsidR="00567B15" w:rsidRDefault="00567B15">
            <w:pPr>
              <w:spacing w:before="0" w:after="0"/>
              <w:ind w:firstLine="70"/>
              <w:jc w:val="both"/>
              <w:rPr>
                <w:rFonts w:hint="cs"/>
                <w:sz w:val="20"/>
                <w:szCs w:val="20"/>
              </w:rPr>
            </w:pPr>
            <w:r>
              <w:rPr>
                <w:rFonts w:hint="cs"/>
                <w:sz w:val="20"/>
                <w:szCs w:val="20"/>
                <w:rtl/>
              </w:rPr>
              <w:t>0.00</w:t>
            </w:r>
          </w:p>
        </w:tc>
        <w:tc>
          <w:tcPr>
            <w:tcW w:w="1196" w:type="dxa"/>
            <w:tcBorders>
              <w:top w:val="nil"/>
            </w:tcBorders>
          </w:tcPr>
          <w:p w:rsidR="00567B15" w:rsidRDefault="00567B15">
            <w:pPr>
              <w:spacing w:before="0" w:after="0"/>
              <w:ind w:firstLine="134"/>
              <w:jc w:val="both"/>
              <w:rPr>
                <w:rFonts w:hint="cs"/>
                <w:sz w:val="20"/>
                <w:szCs w:val="20"/>
              </w:rPr>
            </w:pPr>
            <w:r>
              <w:rPr>
                <w:rFonts w:hint="cs"/>
                <w:sz w:val="20"/>
                <w:szCs w:val="20"/>
                <w:rtl/>
              </w:rPr>
              <w:t>716 80</w:t>
            </w:r>
          </w:p>
        </w:tc>
        <w:tc>
          <w:tcPr>
            <w:tcW w:w="1197" w:type="dxa"/>
            <w:tcBorders>
              <w:top w:val="nil"/>
            </w:tcBorders>
          </w:tcPr>
          <w:p w:rsidR="00567B15" w:rsidRDefault="00567B15">
            <w:pPr>
              <w:spacing w:before="0" w:after="0"/>
              <w:ind w:firstLine="161"/>
              <w:jc w:val="both"/>
              <w:rPr>
                <w:rFonts w:hint="cs"/>
                <w:sz w:val="20"/>
                <w:szCs w:val="20"/>
              </w:rPr>
            </w:pPr>
          </w:p>
        </w:tc>
        <w:tc>
          <w:tcPr>
            <w:tcW w:w="1076" w:type="dxa"/>
            <w:tcBorders>
              <w:top w:val="nil"/>
            </w:tcBorders>
          </w:tcPr>
          <w:p w:rsidR="00567B15" w:rsidRDefault="00567B15">
            <w:pPr>
              <w:spacing w:before="0" w:after="0"/>
              <w:ind w:firstLine="70"/>
              <w:jc w:val="both"/>
              <w:rPr>
                <w:rFonts w:hint="cs"/>
                <w:sz w:val="20"/>
                <w:szCs w:val="20"/>
              </w:rPr>
            </w:pPr>
            <w:r>
              <w:rPr>
                <w:rFonts w:hint="cs"/>
                <w:sz w:val="20"/>
                <w:szCs w:val="20"/>
                <w:rtl/>
              </w:rPr>
              <w:t>0.00</w:t>
            </w:r>
          </w:p>
        </w:tc>
      </w:tr>
    </w:tbl>
    <w:p w:rsidR="00000000" w:rsidRDefault="00567B15">
      <w:pPr>
        <w:spacing w:before="120" w:after="0" w:line="320" w:lineRule="exact"/>
        <w:jc w:val="both"/>
        <w:rPr>
          <w:rFonts w:hint="cs"/>
          <w:rtl/>
        </w:rPr>
      </w:pPr>
      <w:r>
        <w:rPr>
          <w:rFonts w:hint="cs"/>
          <w:rtl/>
        </w:rPr>
        <w:tab/>
      </w:r>
      <w:r>
        <w:rPr>
          <w:rFonts w:hint="cs"/>
          <w:u w:val="single"/>
          <w:rtl/>
        </w:rPr>
        <w:t>المصدر</w:t>
      </w:r>
      <w:r>
        <w:rPr>
          <w:rFonts w:hint="cs"/>
          <w:rtl/>
        </w:rPr>
        <w:t>: النظام الوطني الإكوادوري للإحصاءات الت</w:t>
      </w:r>
      <w:r>
        <w:rPr>
          <w:rFonts w:hint="cs"/>
          <w:rtl/>
        </w:rPr>
        <w:t>ربوية.</w:t>
      </w:r>
    </w:p>
    <w:p w:rsidR="00000000" w:rsidRDefault="00567B15">
      <w:pPr>
        <w:spacing w:before="0" w:after="0" w:line="320" w:lineRule="exact"/>
        <w:jc w:val="both"/>
        <w:rPr>
          <w:rFonts w:hint="cs"/>
          <w:rtl/>
        </w:rPr>
      </w:pPr>
      <w:r>
        <w:rPr>
          <w:rFonts w:hint="cs"/>
          <w:rtl/>
        </w:rPr>
        <w:tab/>
      </w:r>
      <w:r>
        <w:rPr>
          <w:rFonts w:hint="cs"/>
          <w:u w:val="single"/>
          <w:rtl/>
        </w:rPr>
        <w:t>إعداد</w:t>
      </w:r>
      <w:r>
        <w:rPr>
          <w:rFonts w:hint="cs"/>
          <w:rtl/>
        </w:rPr>
        <w:t>: الفريق الإحصائي لوزارة التعليم والثقافة.</w:t>
      </w:r>
    </w:p>
    <w:p w:rsidR="00000000" w:rsidRDefault="00567B15">
      <w:pPr>
        <w:spacing w:before="0" w:after="0" w:line="320" w:lineRule="exact"/>
        <w:jc w:val="both"/>
        <w:rPr>
          <w:rFonts w:hint="cs"/>
          <w:rtl/>
        </w:rPr>
      </w:pPr>
      <w:r>
        <w:rPr>
          <w:rFonts w:hint="cs"/>
          <w:rtl/>
        </w:rPr>
        <w:tab/>
        <w:t>*</w:t>
      </w:r>
      <w:r>
        <w:rPr>
          <w:rFonts w:hint="cs"/>
          <w:rtl/>
        </w:rPr>
        <w:tab/>
        <w:t>الطلاب الناجحون في المستوى الثالث من دورة التعليم الأساسي.</w:t>
      </w:r>
    </w:p>
    <w:p w:rsidR="00000000" w:rsidRDefault="00567B15">
      <w:pPr>
        <w:spacing w:after="0"/>
        <w:jc w:val="center"/>
        <w:rPr>
          <w:rFonts w:hint="cs"/>
          <w:b/>
          <w:bCs/>
          <w:rtl/>
        </w:rPr>
      </w:pPr>
      <w:r>
        <w:rPr>
          <w:rFonts w:hint="cs"/>
          <w:b/>
          <w:bCs/>
          <w:rtl/>
        </w:rPr>
        <w:t>نفقات التعليم للفترة بين عامي 1990-1998</w:t>
      </w:r>
    </w:p>
    <w:p w:rsidR="00000000" w:rsidRDefault="00567B15">
      <w:pPr>
        <w:spacing w:before="0" w:after="0" w:line="360" w:lineRule="exact"/>
        <w:jc w:val="center"/>
        <w:rPr>
          <w:rFonts w:hint="cs"/>
          <w:b/>
          <w:bCs/>
          <w:rtl/>
        </w:rPr>
      </w:pPr>
      <w:r>
        <w:rPr>
          <w:rFonts w:hint="cs"/>
          <w:b/>
          <w:bCs/>
          <w:rtl/>
        </w:rPr>
        <w:t>(بآلاف الملايين من السوكرات وملايين دولارات الولايات المتحدة</w:t>
      </w:r>
    </w:p>
    <w:p w:rsidR="00000000" w:rsidRDefault="00567B15">
      <w:pPr>
        <w:spacing w:before="0" w:after="120" w:line="360" w:lineRule="exact"/>
        <w:jc w:val="center"/>
        <w:rPr>
          <w:rFonts w:hint="cs"/>
          <w:b/>
          <w:bCs/>
          <w:rtl/>
        </w:rPr>
      </w:pPr>
      <w:r>
        <w:rPr>
          <w:rFonts w:hint="cs"/>
          <w:b/>
          <w:bCs/>
          <w:rtl/>
        </w:rPr>
        <w:t>محسوبة كنسبة مئوية من الناتج المحلي ا</w:t>
      </w:r>
      <w:r>
        <w:rPr>
          <w:rFonts w:hint="cs"/>
          <w:b/>
          <w:bCs/>
          <w:rtl/>
        </w:rPr>
        <w:t>لإجمالي)</w:t>
      </w:r>
    </w:p>
    <w:tbl>
      <w:tblPr>
        <w:bidiVisu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8"/>
        <w:gridCol w:w="742"/>
        <w:gridCol w:w="798"/>
        <w:gridCol w:w="742"/>
        <w:gridCol w:w="769"/>
        <w:gridCol w:w="851"/>
        <w:gridCol w:w="851"/>
        <w:gridCol w:w="851"/>
        <w:gridCol w:w="851"/>
        <w:gridCol w:w="851"/>
      </w:tblGrid>
      <w:tr w:rsidR="00567B15" w:rsidTr="00567B15">
        <w:tblPrEx>
          <w:tblCellMar>
            <w:top w:w="0" w:type="dxa"/>
            <w:bottom w:w="0" w:type="dxa"/>
          </w:tblCellMar>
        </w:tblPrEx>
        <w:tc>
          <w:tcPr>
            <w:tcW w:w="2058" w:type="dxa"/>
            <w:tcBorders>
              <w:bottom w:val="single" w:sz="4" w:space="0" w:color="auto"/>
            </w:tcBorders>
          </w:tcPr>
          <w:p w:rsidR="00567B15" w:rsidRDefault="00567B15">
            <w:pPr>
              <w:spacing w:before="0" w:after="0"/>
              <w:jc w:val="both"/>
              <w:rPr>
                <w:rFonts w:hint="cs"/>
                <w:sz w:val="18"/>
                <w:szCs w:val="18"/>
              </w:rPr>
            </w:pPr>
            <w:r>
              <w:rPr>
                <w:rFonts w:hint="cs"/>
                <w:sz w:val="18"/>
                <w:szCs w:val="18"/>
                <w:rtl/>
              </w:rPr>
              <w:t>القطاع التعليمي</w:t>
            </w:r>
          </w:p>
        </w:tc>
        <w:tc>
          <w:tcPr>
            <w:tcW w:w="742"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1990</w:t>
            </w:r>
          </w:p>
        </w:tc>
        <w:tc>
          <w:tcPr>
            <w:tcW w:w="798"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1991</w:t>
            </w:r>
          </w:p>
        </w:tc>
        <w:tc>
          <w:tcPr>
            <w:tcW w:w="742"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1992</w:t>
            </w:r>
          </w:p>
        </w:tc>
        <w:tc>
          <w:tcPr>
            <w:tcW w:w="769"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1993</w:t>
            </w:r>
          </w:p>
        </w:tc>
        <w:tc>
          <w:tcPr>
            <w:tcW w:w="851"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1994</w:t>
            </w:r>
          </w:p>
        </w:tc>
        <w:tc>
          <w:tcPr>
            <w:tcW w:w="851"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1995</w:t>
            </w:r>
          </w:p>
        </w:tc>
        <w:tc>
          <w:tcPr>
            <w:tcW w:w="851"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1996*</w:t>
            </w:r>
          </w:p>
        </w:tc>
        <w:tc>
          <w:tcPr>
            <w:tcW w:w="851"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1997*</w:t>
            </w:r>
          </w:p>
        </w:tc>
        <w:tc>
          <w:tcPr>
            <w:tcW w:w="851" w:type="dxa"/>
            <w:tcBorders>
              <w:bottom w:val="single" w:sz="4" w:space="0" w:color="auto"/>
            </w:tcBorders>
          </w:tcPr>
          <w:p w:rsidR="00567B15" w:rsidRDefault="00567B15">
            <w:pPr>
              <w:spacing w:before="0" w:after="0"/>
              <w:jc w:val="both"/>
              <w:rPr>
                <w:rFonts w:hint="cs"/>
                <w:sz w:val="20"/>
                <w:szCs w:val="20"/>
              </w:rPr>
            </w:pPr>
            <w:r>
              <w:rPr>
                <w:rFonts w:hint="cs"/>
                <w:sz w:val="20"/>
                <w:szCs w:val="20"/>
                <w:rtl/>
              </w:rPr>
              <w:t>1998*</w:t>
            </w:r>
          </w:p>
        </w:tc>
      </w:tr>
      <w:tr w:rsidR="00567B15" w:rsidTr="00567B15">
        <w:tblPrEx>
          <w:tblCellMar>
            <w:top w:w="0" w:type="dxa"/>
            <w:bottom w:w="0" w:type="dxa"/>
          </w:tblCellMar>
        </w:tblPrEx>
        <w:tc>
          <w:tcPr>
            <w:tcW w:w="2058" w:type="dxa"/>
            <w:tcBorders>
              <w:bottom w:val="nil"/>
            </w:tcBorders>
          </w:tcPr>
          <w:p w:rsidR="00567B15" w:rsidRDefault="00567B15">
            <w:pPr>
              <w:spacing w:before="0" w:after="0"/>
              <w:jc w:val="both"/>
              <w:rPr>
                <w:rFonts w:hint="cs"/>
                <w:sz w:val="18"/>
                <w:szCs w:val="18"/>
              </w:rPr>
            </w:pPr>
            <w:r>
              <w:rPr>
                <w:rFonts w:hint="cs"/>
                <w:sz w:val="18"/>
                <w:szCs w:val="18"/>
                <w:rtl/>
              </w:rPr>
              <w:t>سوكرات</w:t>
            </w:r>
          </w:p>
        </w:tc>
        <w:tc>
          <w:tcPr>
            <w:tcW w:w="742" w:type="dxa"/>
            <w:tcBorders>
              <w:bottom w:val="nil"/>
            </w:tcBorders>
          </w:tcPr>
          <w:p w:rsidR="00567B15" w:rsidRDefault="00567B15">
            <w:pPr>
              <w:spacing w:before="0" w:after="0"/>
              <w:jc w:val="both"/>
              <w:rPr>
                <w:rFonts w:hint="cs"/>
                <w:sz w:val="20"/>
                <w:szCs w:val="20"/>
              </w:rPr>
            </w:pPr>
            <w:r>
              <w:rPr>
                <w:rFonts w:hint="cs"/>
                <w:sz w:val="20"/>
                <w:szCs w:val="20"/>
                <w:rtl/>
              </w:rPr>
              <w:t>223.6</w:t>
            </w:r>
          </w:p>
        </w:tc>
        <w:tc>
          <w:tcPr>
            <w:tcW w:w="798" w:type="dxa"/>
            <w:tcBorders>
              <w:bottom w:val="nil"/>
            </w:tcBorders>
          </w:tcPr>
          <w:p w:rsidR="00567B15" w:rsidRDefault="00567B15">
            <w:pPr>
              <w:spacing w:before="0" w:after="0"/>
              <w:jc w:val="both"/>
              <w:rPr>
                <w:rFonts w:hint="cs"/>
                <w:sz w:val="20"/>
                <w:szCs w:val="20"/>
              </w:rPr>
            </w:pPr>
            <w:r>
              <w:rPr>
                <w:rFonts w:hint="cs"/>
                <w:sz w:val="20"/>
                <w:szCs w:val="20"/>
                <w:rtl/>
              </w:rPr>
              <w:t>357.2</w:t>
            </w:r>
          </w:p>
        </w:tc>
        <w:tc>
          <w:tcPr>
            <w:tcW w:w="742" w:type="dxa"/>
            <w:tcBorders>
              <w:bottom w:val="nil"/>
            </w:tcBorders>
          </w:tcPr>
          <w:p w:rsidR="00567B15" w:rsidRDefault="00567B15">
            <w:pPr>
              <w:spacing w:before="0" w:after="0"/>
              <w:jc w:val="both"/>
              <w:rPr>
                <w:rFonts w:hint="cs"/>
                <w:sz w:val="20"/>
                <w:szCs w:val="20"/>
              </w:rPr>
            </w:pPr>
            <w:r>
              <w:rPr>
                <w:rFonts w:hint="cs"/>
                <w:sz w:val="20"/>
                <w:szCs w:val="20"/>
                <w:rtl/>
              </w:rPr>
              <w:t>605.1</w:t>
            </w:r>
          </w:p>
        </w:tc>
        <w:tc>
          <w:tcPr>
            <w:tcW w:w="769" w:type="dxa"/>
            <w:tcBorders>
              <w:bottom w:val="nil"/>
            </w:tcBorders>
          </w:tcPr>
          <w:p w:rsidR="00567B15" w:rsidRDefault="00567B15">
            <w:pPr>
              <w:spacing w:before="0" w:after="0"/>
              <w:jc w:val="both"/>
              <w:rPr>
                <w:rFonts w:hint="cs"/>
                <w:sz w:val="20"/>
                <w:szCs w:val="20"/>
              </w:rPr>
            </w:pPr>
            <w:r>
              <w:rPr>
                <w:rFonts w:hint="cs"/>
                <w:sz w:val="20"/>
                <w:szCs w:val="20"/>
                <w:rtl/>
              </w:rPr>
              <w:t>797.2</w:t>
            </w:r>
          </w:p>
        </w:tc>
        <w:tc>
          <w:tcPr>
            <w:tcW w:w="851" w:type="dxa"/>
            <w:tcBorders>
              <w:bottom w:val="nil"/>
            </w:tcBorders>
          </w:tcPr>
          <w:p w:rsidR="00567B15" w:rsidRDefault="00567B15">
            <w:pPr>
              <w:spacing w:before="0" w:after="0"/>
              <w:jc w:val="both"/>
              <w:rPr>
                <w:rFonts w:hint="cs"/>
                <w:sz w:val="20"/>
                <w:szCs w:val="20"/>
              </w:rPr>
            </w:pPr>
            <w:r>
              <w:rPr>
                <w:rFonts w:hint="cs"/>
                <w:sz w:val="20"/>
                <w:szCs w:val="20"/>
                <w:rtl/>
              </w:rPr>
              <w:t>018.6 1</w:t>
            </w:r>
          </w:p>
        </w:tc>
        <w:tc>
          <w:tcPr>
            <w:tcW w:w="851" w:type="dxa"/>
            <w:tcBorders>
              <w:bottom w:val="nil"/>
            </w:tcBorders>
          </w:tcPr>
          <w:p w:rsidR="00567B15" w:rsidRDefault="00567B15">
            <w:pPr>
              <w:spacing w:before="0" w:after="0"/>
              <w:jc w:val="both"/>
              <w:rPr>
                <w:rFonts w:hint="cs"/>
                <w:sz w:val="20"/>
                <w:szCs w:val="20"/>
              </w:rPr>
            </w:pPr>
            <w:r>
              <w:rPr>
                <w:rFonts w:hint="cs"/>
                <w:sz w:val="20"/>
                <w:szCs w:val="20"/>
                <w:rtl/>
              </w:rPr>
              <w:t>434.5 1</w:t>
            </w:r>
          </w:p>
        </w:tc>
        <w:tc>
          <w:tcPr>
            <w:tcW w:w="851" w:type="dxa"/>
            <w:tcBorders>
              <w:bottom w:val="nil"/>
            </w:tcBorders>
          </w:tcPr>
          <w:p w:rsidR="00567B15" w:rsidRDefault="00567B15">
            <w:pPr>
              <w:spacing w:before="0" w:after="0"/>
              <w:jc w:val="both"/>
              <w:rPr>
                <w:rFonts w:hint="cs"/>
                <w:sz w:val="20"/>
                <w:szCs w:val="20"/>
              </w:rPr>
            </w:pPr>
            <w:r>
              <w:rPr>
                <w:rFonts w:hint="cs"/>
                <w:sz w:val="20"/>
                <w:szCs w:val="20"/>
                <w:rtl/>
              </w:rPr>
              <w:t>933.9 1</w:t>
            </w:r>
          </w:p>
        </w:tc>
        <w:tc>
          <w:tcPr>
            <w:tcW w:w="851" w:type="dxa"/>
            <w:tcBorders>
              <w:bottom w:val="nil"/>
            </w:tcBorders>
          </w:tcPr>
          <w:p w:rsidR="00567B15" w:rsidRDefault="00567B15">
            <w:pPr>
              <w:spacing w:before="0" w:after="0"/>
              <w:jc w:val="both"/>
              <w:rPr>
                <w:rFonts w:hint="cs"/>
                <w:sz w:val="20"/>
                <w:szCs w:val="20"/>
              </w:rPr>
            </w:pPr>
            <w:r>
              <w:rPr>
                <w:rFonts w:hint="cs"/>
                <w:sz w:val="20"/>
                <w:szCs w:val="20"/>
                <w:rtl/>
              </w:rPr>
              <w:t>256.6 2</w:t>
            </w:r>
          </w:p>
        </w:tc>
        <w:tc>
          <w:tcPr>
            <w:tcW w:w="851" w:type="dxa"/>
            <w:tcBorders>
              <w:bottom w:val="nil"/>
            </w:tcBorders>
          </w:tcPr>
          <w:p w:rsidR="00567B15" w:rsidRDefault="00567B15">
            <w:pPr>
              <w:spacing w:before="0" w:after="0"/>
              <w:jc w:val="both"/>
              <w:rPr>
                <w:rFonts w:hint="cs"/>
                <w:sz w:val="20"/>
                <w:szCs w:val="20"/>
              </w:rPr>
            </w:pPr>
            <w:r>
              <w:rPr>
                <w:rFonts w:hint="cs"/>
                <w:sz w:val="20"/>
                <w:szCs w:val="20"/>
                <w:rtl/>
              </w:rPr>
              <w:t>369.3 3</w:t>
            </w:r>
          </w:p>
        </w:tc>
      </w:tr>
      <w:tr w:rsidR="00567B15" w:rsidTr="00567B15">
        <w:tblPrEx>
          <w:tblCellMar>
            <w:top w:w="0" w:type="dxa"/>
            <w:bottom w:w="0" w:type="dxa"/>
          </w:tblCellMar>
        </w:tblPrEx>
        <w:tc>
          <w:tcPr>
            <w:tcW w:w="2058" w:type="dxa"/>
            <w:tcBorders>
              <w:top w:val="nil"/>
              <w:bottom w:val="nil"/>
            </w:tcBorders>
          </w:tcPr>
          <w:p w:rsidR="00567B15" w:rsidRDefault="00567B15">
            <w:pPr>
              <w:spacing w:before="0" w:after="0"/>
              <w:jc w:val="both"/>
              <w:rPr>
                <w:rFonts w:hint="cs"/>
                <w:sz w:val="18"/>
                <w:szCs w:val="18"/>
              </w:rPr>
            </w:pPr>
            <w:r>
              <w:rPr>
                <w:rFonts w:hint="cs"/>
                <w:sz w:val="18"/>
                <w:szCs w:val="18"/>
                <w:rtl/>
              </w:rPr>
              <w:t>دولارات</w:t>
            </w:r>
          </w:p>
        </w:tc>
        <w:tc>
          <w:tcPr>
            <w:tcW w:w="742" w:type="dxa"/>
            <w:tcBorders>
              <w:top w:val="nil"/>
              <w:bottom w:val="nil"/>
            </w:tcBorders>
          </w:tcPr>
          <w:p w:rsidR="00567B15" w:rsidRDefault="00567B15">
            <w:pPr>
              <w:spacing w:before="0" w:after="0"/>
              <w:jc w:val="both"/>
              <w:rPr>
                <w:rFonts w:hint="cs"/>
                <w:sz w:val="20"/>
                <w:szCs w:val="20"/>
              </w:rPr>
            </w:pPr>
            <w:r>
              <w:rPr>
                <w:rFonts w:hint="cs"/>
                <w:sz w:val="20"/>
                <w:szCs w:val="20"/>
                <w:rtl/>
              </w:rPr>
              <w:t>269.9</w:t>
            </w:r>
          </w:p>
        </w:tc>
        <w:tc>
          <w:tcPr>
            <w:tcW w:w="798" w:type="dxa"/>
            <w:tcBorders>
              <w:top w:val="nil"/>
              <w:bottom w:val="nil"/>
            </w:tcBorders>
          </w:tcPr>
          <w:p w:rsidR="00567B15" w:rsidRDefault="00567B15">
            <w:pPr>
              <w:spacing w:before="0" w:after="0"/>
              <w:jc w:val="both"/>
              <w:rPr>
                <w:rFonts w:hint="cs"/>
                <w:sz w:val="20"/>
                <w:szCs w:val="20"/>
              </w:rPr>
            </w:pPr>
            <w:r>
              <w:rPr>
                <w:rFonts w:hint="cs"/>
                <w:sz w:val="20"/>
                <w:szCs w:val="20"/>
                <w:rtl/>
              </w:rPr>
              <w:t>322.8</w:t>
            </w:r>
          </w:p>
        </w:tc>
        <w:tc>
          <w:tcPr>
            <w:tcW w:w="742" w:type="dxa"/>
            <w:tcBorders>
              <w:top w:val="nil"/>
              <w:bottom w:val="nil"/>
            </w:tcBorders>
          </w:tcPr>
          <w:p w:rsidR="00567B15" w:rsidRDefault="00567B15">
            <w:pPr>
              <w:spacing w:before="0" w:after="0"/>
              <w:jc w:val="both"/>
              <w:rPr>
                <w:rFonts w:hint="cs"/>
                <w:sz w:val="20"/>
                <w:szCs w:val="20"/>
              </w:rPr>
            </w:pPr>
            <w:r>
              <w:rPr>
                <w:rFonts w:hint="cs"/>
                <w:sz w:val="20"/>
                <w:szCs w:val="20"/>
                <w:rtl/>
              </w:rPr>
              <w:t>378.6</w:t>
            </w:r>
          </w:p>
        </w:tc>
        <w:tc>
          <w:tcPr>
            <w:tcW w:w="769" w:type="dxa"/>
            <w:tcBorders>
              <w:top w:val="nil"/>
              <w:bottom w:val="nil"/>
            </w:tcBorders>
          </w:tcPr>
          <w:p w:rsidR="00567B15" w:rsidRDefault="00567B15">
            <w:pPr>
              <w:spacing w:before="0" w:after="0"/>
              <w:jc w:val="both"/>
              <w:rPr>
                <w:rFonts w:hint="cs"/>
                <w:sz w:val="20"/>
                <w:szCs w:val="20"/>
              </w:rPr>
            </w:pPr>
            <w:r>
              <w:rPr>
                <w:rFonts w:hint="cs"/>
                <w:sz w:val="20"/>
                <w:szCs w:val="20"/>
                <w:rtl/>
              </w:rPr>
              <w:t>415.3</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463.6</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559.2</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606.2</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564.3</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618.6</w:t>
            </w:r>
          </w:p>
        </w:tc>
      </w:tr>
      <w:tr w:rsidR="00567B15" w:rsidTr="00567B15">
        <w:tblPrEx>
          <w:tblCellMar>
            <w:top w:w="0" w:type="dxa"/>
            <w:bottom w:w="0" w:type="dxa"/>
          </w:tblCellMar>
        </w:tblPrEx>
        <w:tc>
          <w:tcPr>
            <w:tcW w:w="2058" w:type="dxa"/>
            <w:tcBorders>
              <w:top w:val="nil"/>
              <w:bottom w:val="nil"/>
            </w:tcBorders>
          </w:tcPr>
          <w:p w:rsidR="00567B15" w:rsidRDefault="00567B15">
            <w:pPr>
              <w:spacing w:before="0" w:after="0"/>
              <w:jc w:val="both"/>
              <w:rPr>
                <w:rFonts w:hint="cs"/>
                <w:sz w:val="18"/>
                <w:szCs w:val="18"/>
              </w:rPr>
            </w:pPr>
            <w:r>
              <w:rPr>
                <w:rFonts w:hint="cs"/>
                <w:sz w:val="18"/>
                <w:szCs w:val="18"/>
                <w:rtl/>
              </w:rPr>
              <w:t>نسبة مئوية من الناتج المحلي لإجمالي</w:t>
            </w:r>
          </w:p>
        </w:tc>
        <w:tc>
          <w:tcPr>
            <w:tcW w:w="742" w:type="dxa"/>
            <w:tcBorders>
              <w:top w:val="nil"/>
              <w:bottom w:val="nil"/>
            </w:tcBorders>
          </w:tcPr>
          <w:p w:rsidR="00567B15" w:rsidRDefault="00567B15">
            <w:pPr>
              <w:spacing w:before="0" w:after="0"/>
              <w:jc w:val="both"/>
              <w:rPr>
                <w:rFonts w:hint="cs"/>
                <w:sz w:val="20"/>
                <w:szCs w:val="20"/>
              </w:rPr>
            </w:pPr>
            <w:r>
              <w:rPr>
                <w:rFonts w:hint="cs"/>
                <w:sz w:val="20"/>
                <w:szCs w:val="20"/>
                <w:rtl/>
              </w:rPr>
              <w:t>2.73</w:t>
            </w:r>
          </w:p>
        </w:tc>
        <w:tc>
          <w:tcPr>
            <w:tcW w:w="798" w:type="dxa"/>
            <w:tcBorders>
              <w:top w:val="nil"/>
              <w:bottom w:val="nil"/>
            </w:tcBorders>
          </w:tcPr>
          <w:p w:rsidR="00567B15" w:rsidRDefault="00567B15">
            <w:pPr>
              <w:spacing w:before="0" w:after="0"/>
              <w:jc w:val="both"/>
              <w:rPr>
                <w:rFonts w:hint="cs"/>
                <w:sz w:val="20"/>
                <w:szCs w:val="20"/>
              </w:rPr>
            </w:pPr>
            <w:r>
              <w:rPr>
                <w:rFonts w:hint="cs"/>
                <w:sz w:val="20"/>
                <w:szCs w:val="20"/>
                <w:rtl/>
              </w:rPr>
              <w:t>2.91</w:t>
            </w:r>
          </w:p>
        </w:tc>
        <w:tc>
          <w:tcPr>
            <w:tcW w:w="742" w:type="dxa"/>
            <w:tcBorders>
              <w:top w:val="nil"/>
              <w:bottom w:val="nil"/>
            </w:tcBorders>
          </w:tcPr>
          <w:p w:rsidR="00567B15" w:rsidRDefault="00567B15">
            <w:pPr>
              <w:spacing w:before="0" w:after="0"/>
              <w:jc w:val="both"/>
              <w:rPr>
                <w:rFonts w:hint="cs"/>
                <w:sz w:val="20"/>
                <w:szCs w:val="20"/>
              </w:rPr>
            </w:pPr>
            <w:r>
              <w:rPr>
                <w:rFonts w:hint="cs"/>
                <w:sz w:val="20"/>
                <w:szCs w:val="20"/>
                <w:rtl/>
              </w:rPr>
              <w:t>3.12</w:t>
            </w:r>
          </w:p>
        </w:tc>
        <w:tc>
          <w:tcPr>
            <w:tcW w:w="769" w:type="dxa"/>
            <w:tcBorders>
              <w:top w:val="nil"/>
              <w:bottom w:val="nil"/>
            </w:tcBorders>
          </w:tcPr>
          <w:p w:rsidR="00567B15" w:rsidRDefault="00567B15">
            <w:pPr>
              <w:spacing w:before="0" w:after="0"/>
              <w:jc w:val="both"/>
              <w:rPr>
                <w:rFonts w:hint="cs"/>
                <w:sz w:val="20"/>
                <w:szCs w:val="20"/>
              </w:rPr>
            </w:pPr>
            <w:r>
              <w:rPr>
                <w:rFonts w:hint="cs"/>
                <w:sz w:val="20"/>
                <w:szCs w:val="20"/>
                <w:rtl/>
              </w:rPr>
              <w:t>2.90</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2.79</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3.12</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3.18</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2.85</w:t>
            </w:r>
          </w:p>
        </w:tc>
        <w:tc>
          <w:tcPr>
            <w:tcW w:w="851" w:type="dxa"/>
            <w:tcBorders>
              <w:top w:val="nil"/>
              <w:bottom w:val="nil"/>
            </w:tcBorders>
          </w:tcPr>
          <w:p w:rsidR="00567B15" w:rsidRDefault="00567B15">
            <w:pPr>
              <w:spacing w:before="0" w:after="0"/>
              <w:jc w:val="both"/>
              <w:rPr>
                <w:rFonts w:hint="cs"/>
                <w:sz w:val="20"/>
                <w:szCs w:val="20"/>
              </w:rPr>
            </w:pPr>
            <w:r>
              <w:rPr>
                <w:rFonts w:hint="cs"/>
                <w:sz w:val="20"/>
                <w:szCs w:val="20"/>
                <w:rtl/>
              </w:rPr>
              <w:t>3.14</w:t>
            </w:r>
          </w:p>
        </w:tc>
      </w:tr>
      <w:tr w:rsidR="00567B15" w:rsidTr="00567B15">
        <w:tblPrEx>
          <w:tblCellMar>
            <w:top w:w="0" w:type="dxa"/>
            <w:bottom w:w="0" w:type="dxa"/>
          </w:tblCellMar>
        </w:tblPrEx>
        <w:tc>
          <w:tcPr>
            <w:tcW w:w="2058" w:type="dxa"/>
            <w:tcBorders>
              <w:top w:val="nil"/>
            </w:tcBorders>
          </w:tcPr>
          <w:p w:rsidR="00567B15" w:rsidRDefault="00567B15">
            <w:pPr>
              <w:spacing w:before="0" w:after="0"/>
              <w:jc w:val="both"/>
              <w:rPr>
                <w:rFonts w:hint="cs"/>
                <w:sz w:val="18"/>
                <w:szCs w:val="18"/>
              </w:rPr>
            </w:pPr>
            <w:r>
              <w:rPr>
                <w:rFonts w:hint="cs"/>
                <w:sz w:val="18"/>
                <w:szCs w:val="18"/>
                <w:rtl/>
              </w:rPr>
              <w:t>نسبة مئوية من النفقات الإجمالية</w:t>
            </w:r>
          </w:p>
        </w:tc>
        <w:tc>
          <w:tcPr>
            <w:tcW w:w="742" w:type="dxa"/>
            <w:tcBorders>
              <w:top w:val="nil"/>
            </w:tcBorders>
          </w:tcPr>
          <w:p w:rsidR="00567B15" w:rsidRDefault="00567B15">
            <w:pPr>
              <w:spacing w:before="0" w:after="0"/>
              <w:jc w:val="both"/>
              <w:rPr>
                <w:rFonts w:hint="cs"/>
                <w:sz w:val="20"/>
                <w:szCs w:val="20"/>
              </w:rPr>
            </w:pPr>
            <w:r>
              <w:rPr>
                <w:rFonts w:hint="cs"/>
                <w:sz w:val="20"/>
                <w:szCs w:val="20"/>
                <w:rtl/>
              </w:rPr>
              <w:t>18.52</w:t>
            </w:r>
          </w:p>
        </w:tc>
        <w:tc>
          <w:tcPr>
            <w:tcW w:w="798" w:type="dxa"/>
            <w:tcBorders>
              <w:top w:val="nil"/>
            </w:tcBorders>
          </w:tcPr>
          <w:p w:rsidR="00567B15" w:rsidRDefault="00567B15">
            <w:pPr>
              <w:spacing w:before="0" w:after="0"/>
              <w:jc w:val="both"/>
              <w:rPr>
                <w:rFonts w:hint="cs"/>
                <w:sz w:val="20"/>
                <w:szCs w:val="20"/>
              </w:rPr>
            </w:pPr>
            <w:r>
              <w:rPr>
                <w:rFonts w:hint="cs"/>
                <w:sz w:val="20"/>
                <w:szCs w:val="20"/>
                <w:rtl/>
              </w:rPr>
              <w:t>21.74</w:t>
            </w:r>
          </w:p>
        </w:tc>
        <w:tc>
          <w:tcPr>
            <w:tcW w:w="742" w:type="dxa"/>
            <w:tcBorders>
              <w:top w:val="nil"/>
            </w:tcBorders>
          </w:tcPr>
          <w:p w:rsidR="00567B15" w:rsidRDefault="00567B15">
            <w:pPr>
              <w:spacing w:before="0" w:after="0"/>
              <w:jc w:val="both"/>
              <w:rPr>
                <w:rFonts w:hint="cs"/>
                <w:sz w:val="20"/>
                <w:szCs w:val="20"/>
              </w:rPr>
            </w:pPr>
            <w:r>
              <w:rPr>
                <w:rFonts w:hint="cs"/>
                <w:sz w:val="20"/>
                <w:szCs w:val="20"/>
                <w:rtl/>
              </w:rPr>
              <w:t>23.75</w:t>
            </w:r>
          </w:p>
        </w:tc>
        <w:tc>
          <w:tcPr>
            <w:tcW w:w="769" w:type="dxa"/>
            <w:tcBorders>
              <w:top w:val="nil"/>
            </w:tcBorders>
          </w:tcPr>
          <w:p w:rsidR="00567B15" w:rsidRDefault="00567B15">
            <w:pPr>
              <w:spacing w:before="0" w:after="0"/>
              <w:jc w:val="both"/>
              <w:rPr>
                <w:rFonts w:hint="cs"/>
                <w:sz w:val="20"/>
                <w:szCs w:val="20"/>
              </w:rPr>
            </w:pPr>
            <w:r>
              <w:rPr>
                <w:rFonts w:hint="cs"/>
                <w:sz w:val="20"/>
                <w:szCs w:val="20"/>
                <w:rtl/>
              </w:rPr>
              <w:t>21.18</w:t>
            </w:r>
          </w:p>
        </w:tc>
        <w:tc>
          <w:tcPr>
            <w:tcW w:w="851" w:type="dxa"/>
            <w:tcBorders>
              <w:top w:val="nil"/>
            </w:tcBorders>
          </w:tcPr>
          <w:p w:rsidR="00567B15" w:rsidRDefault="00567B15">
            <w:pPr>
              <w:spacing w:before="0" w:after="0"/>
              <w:jc w:val="both"/>
              <w:rPr>
                <w:rFonts w:hint="cs"/>
                <w:sz w:val="20"/>
                <w:szCs w:val="20"/>
              </w:rPr>
            </w:pPr>
            <w:r>
              <w:rPr>
                <w:rFonts w:hint="cs"/>
                <w:sz w:val="20"/>
                <w:szCs w:val="20"/>
                <w:rtl/>
              </w:rPr>
              <w:t>18.41</w:t>
            </w:r>
          </w:p>
        </w:tc>
        <w:tc>
          <w:tcPr>
            <w:tcW w:w="851" w:type="dxa"/>
            <w:tcBorders>
              <w:top w:val="nil"/>
            </w:tcBorders>
          </w:tcPr>
          <w:p w:rsidR="00567B15" w:rsidRDefault="00567B15">
            <w:pPr>
              <w:spacing w:before="0" w:after="0"/>
              <w:jc w:val="both"/>
              <w:rPr>
                <w:rFonts w:hint="cs"/>
                <w:sz w:val="20"/>
                <w:szCs w:val="20"/>
              </w:rPr>
            </w:pPr>
            <w:r>
              <w:rPr>
                <w:rFonts w:hint="cs"/>
                <w:sz w:val="20"/>
                <w:szCs w:val="20"/>
                <w:rtl/>
              </w:rPr>
              <w:t>16.97</w:t>
            </w:r>
          </w:p>
        </w:tc>
        <w:tc>
          <w:tcPr>
            <w:tcW w:w="851" w:type="dxa"/>
            <w:tcBorders>
              <w:top w:val="nil"/>
            </w:tcBorders>
          </w:tcPr>
          <w:p w:rsidR="00567B15" w:rsidRDefault="00567B15">
            <w:pPr>
              <w:spacing w:before="0" w:after="0"/>
              <w:jc w:val="both"/>
              <w:rPr>
                <w:rFonts w:hint="cs"/>
                <w:sz w:val="20"/>
                <w:szCs w:val="20"/>
              </w:rPr>
            </w:pPr>
            <w:r>
              <w:rPr>
                <w:rFonts w:hint="cs"/>
                <w:sz w:val="20"/>
                <w:szCs w:val="20"/>
                <w:rtl/>
              </w:rPr>
              <w:t>23.47</w:t>
            </w:r>
          </w:p>
        </w:tc>
        <w:tc>
          <w:tcPr>
            <w:tcW w:w="851" w:type="dxa"/>
            <w:tcBorders>
              <w:top w:val="nil"/>
            </w:tcBorders>
          </w:tcPr>
          <w:p w:rsidR="00567B15" w:rsidRDefault="00567B15">
            <w:pPr>
              <w:spacing w:before="0" w:after="0"/>
              <w:jc w:val="both"/>
              <w:rPr>
                <w:rFonts w:hint="cs"/>
                <w:sz w:val="20"/>
                <w:szCs w:val="20"/>
              </w:rPr>
            </w:pPr>
            <w:r>
              <w:rPr>
                <w:rFonts w:hint="cs"/>
                <w:sz w:val="20"/>
                <w:szCs w:val="20"/>
                <w:rtl/>
              </w:rPr>
              <w:t>22.84</w:t>
            </w:r>
          </w:p>
        </w:tc>
        <w:tc>
          <w:tcPr>
            <w:tcW w:w="851" w:type="dxa"/>
            <w:tcBorders>
              <w:top w:val="nil"/>
            </w:tcBorders>
          </w:tcPr>
          <w:p w:rsidR="00567B15" w:rsidRDefault="00567B15">
            <w:pPr>
              <w:spacing w:before="0" w:after="0"/>
              <w:jc w:val="both"/>
              <w:rPr>
                <w:rFonts w:hint="cs"/>
                <w:sz w:val="20"/>
                <w:szCs w:val="20"/>
              </w:rPr>
            </w:pPr>
            <w:r>
              <w:rPr>
                <w:rFonts w:hint="cs"/>
                <w:sz w:val="20"/>
                <w:szCs w:val="20"/>
                <w:rtl/>
              </w:rPr>
              <w:t>16.33</w:t>
            </w:r>
          </w:p>
        </w:tc>
      </w:tr>
    </w:tbl>
    <w:p w:rsidR="00000000" w:rsidRDefault="00567B15">
      <w:pPr>
        <w:spacing w:before="120" w:after="0" w:line="320" w:lineRule="exact"/>
        <w:jc w:val="both"/>
        <w:rPr>
          <w:rFonts w:hint="cs"/>
          <w:rtl/>
        </w:rPr>
      </w:pPr>
      <w:r>
        <w:rPr>
          <w:rFonts w:hint="cs"/>
          <w:u w:val="single"/>
          <w:rtl/>
        </w:rPr>
        <w:t>المصدر</w:t>
      </w:r>
      <w:r>
        <w:rPr>
          <w:rFonts w:hint="cs"/>
          <w:rtl/>
        </w:rPr>
        <w:t>: وزارة المالية والائتمانات العامة.</w:t>
      </w:r>
    </w:p>
    <w:p w:rsidR="00000000" w:rsidRDefault="00567B15">
      <w:pPr>
        <w:spacing w:before="0" w:after="60" w:line="320" w:lineRule="exact"/>
        <w:jc w:val="both"/>
        <w:rPr>
          <w:rFonts w:hint="cs"/>
          <w:rtl/>
        </w:rPr>
      </w:pPr>
      <w:r>
        <w:rPr>
          <w:rFonts w:hint="cs"/>
          <w:rtl/>
        </w:rPr>
        <w:tab/>
      </w:r>
      <w:r>
        <w:rPr>
          <w:rFonts w:hint="cs"/>
          <w:u w:val="single"/>
          <w:rtl/>
        </w:rPr>
        <w:t>إعداد</w:t>
      </w:r>
      <w:r>
        <w:rPr>
          <w:rFonts w:hint="cs"/>
          <w:rtl/>
        </w:rPr>
        <w:t>: الإدارة الفنية.</w:t>
      </w:r>
    </w:p>
    <w:p w:rsidR="00000000" w:rsidRDefault="00567B15">
      <w:pPr>
        <w:spacing w:before="0" w:after="0" w:line="320" w:lineRule="exact"/>
        <w:jc w:val="both"/>
        <w:rPr>
          <w:rFonts w:hint="cs"/>
          <w:rtl/>
        </w:rPr>
      </w:pPr>
      <w:r>
        <w:rPr>
          <w:rFonts w:hint="cs"/>
          <w:rtl/>
        </w:rPr>
        <w:tab/>
        <w:t>*</w:t>
      </w:r>
      <w:r>
        <w:rPr>
          <w:rFonts w:hint="cs"/>
          <w:rtl/>
        </w:rPr>
        <w:tab/>
        <w:t>بيانات مؤقتة.</w:t>
      </w:r>
    </w:p>
    <w:p w:rsidR="00000000" w:rsidRDefault="00567B15">
      <w:pPr>
        <w:spacing w:before="200" w:after="200" w:line="360" w:lineRule="exact"/>
        <w:jc w:val="both"/>
        <w:rPr>
          <w:rFonts w:hint="cs"/>
          <w:spacing w:val="-2"/>
          <w:rtl/>
        </w:rPr>
      </w:pPr>
      <w:r>
        <w:rPr>
          <w:rFonts w:hint="cs"/>
          <w:spacing w:val="-2"/>
          <w:rtl/>
        </w:rPr>
        <w:t>504-</w:t>
      </w:r>
      <w:r>
        <w:rPr>
          <w:rFonts w:hint="cs"/>
          <w:spacing w:val="-2"/>
          <w:rtl/>
        </w:rPr>
        <w:tab/>
        <w:t>وإذا اعتُبِرَت الموارد المرصودة في الميزانية ا</w:t>
      </w:r>
      <w:r>
        <w:rPr>
          <w:rFonts w:hint="cs"/>
          <w:spacing w:val="-2"/>
          <w:rtl/>
        </w:rPr>
        <w:t>لعامة لقطاع التعليم خلال العقد الماضي على أنها نفقات الحكومة المركزية على التعليم، لتبين أن المبالغ المخصصة بقيت ثابتة من حيث حصتها من الناتج المحلي الإجمالي ومن الميزانية العامة للدولة، مما يظهر الأولوية النسبية التي ما انفكت الحكومة توليها لهذه النفقات م</w:t>
      </w:r>
      <w:r>
        <w:rPr>
          <w:rFonts w:hint="cs"/>
          <w:spacing w:val="-2"/>
          <w:rtl/>
        </w:rPr>
        <w:t>قارنة بنفقات أخرى خلال نفس الفترة. وقد يلاحظ أيضاً أن هذه النفقات ازدادت بالأرقام المطلقة بمبلغ 54.3 من ملايين الدولارات في عام 1998 مقارنة بالعام السابق.</w:t>
      </w:r>
    </w:p>
    <w:p w:rsidR="00000000" w:rsidRDefault="00567B15">
      <w:pPr>
        <w:spacing w:before="200" w:after="200" w:line="360" w:lineRule="exact"/>
        <w:jc w:val="both"/>
        <w:rPr>
          <w:rFonts w:hint="cs"/>
          <w:rtl/>
        </w:rPr>
      </w:pPr>
      <w:r>
        <w:rPr>
          <w:rFonts w:hint="cs"/>
          <w:rtl/>
        </w:rPr>
        <w:t>505-</w:t>
      </w:r>
      <w:r>
        <w:rPr>
          <w:rFonts w:hint="cs"/>
          <w:rtl/>
        </w:rPr>
        <w:tab/>
        <w:t>وتبلغ حصة المرتبات 95 في المائة من ميزانية التعليم بينما تكون حصة الاستثمارات أقل من 5 في المائة</w:t>
      </w:r>
      <w:r>
        <w:rPr>
          <w:rFonts w:hint="cs"/>
          <w:rtl/>
        </w:rPr>
        <w:t>. ويستوعب القطاع العام 78 في المائة من المسجلين في مدارس التعليم العام. ولقد كانت الاستثمارات محسوبة للطالب الواحد أقل في المرحلة الابتدائية منها في المراحل الأخرى خلال إصلاح المناهج الدراسية</w:t>
      </w:r>
      <w:r>
        <w:rPr>
          <w:rFonts w:hint="cs"/>
          <w:vertAlign w:val="superscript"/>
          <w:rtl/>
        </w:rPr>
        <w:t>(71)</w:t>
      </w:r>
      <w:r>
        <w:rPr>
          <w:rFonts w:hint="cs"/>
          <w:rtl/>
        </w:rPr>
        <w:t>.</w:t>
      </w:r>
    </w:p>
    <w:p w:rsidR="00000000" w:rsidRDefault="00567B15">
      <w:pPr>
        <w:spacing w:before="200" w:after="200" w:line="360" w:lineRule="exact"/>
        <w:jc w:val="both"/>
        <w:rPr>
          <w:rFonts w:hint="cs"/>
          <w:rtl/>
        </w:rPr>
      </w:pPr>
      <w:r>
        <w:rPr>
          <w:rFonts w:hint="cs"/>
          <w:rtl/>
        </w:rPr>
        <w:t>506-</w:t>
      </w:r>
      <w:r>
        <w:rPr>
          <w:rFonts w:hint="cs"/>
          <w:rtl/>
        </w:rPr>
        <w:tab/>
        <w:t>وقد يلاحظ، لدى النظر في التفصيل في القطاعات الحكومية ا</w:t>
      </w:r>
      <w:r>
        <w:rPr>
          <w:rFonts w:hint="cs"/>
          <w:rtl/>
        </w:rPr>
        <w:t>لتي خفضت مستوى إنفاقها خلال السنتين المنصرمتين، أن الإنفاق الاجتماعي هو أكثر المجالات حساسية وذلك على الرغم من الانخفاض البائن المسجّل في نسبة المشتركين في برامج محو الأمية التي بلغت 8.2 في المائة في عام 2001</w:t>
      </w:r>
      <w:r>
        <w:rPr>
          <w:rFonts w:hint="cs"/>
          <w:vertAlign w:val="superscript"/>
          <w:rtl/>
        </w:rPr>
        <w:t>(72)</w:t>
      </w:r>
      <w:r>
        <w:rPr>
          <w:rFonts w:hint="cs"/>
          <w:rtl/>
        </w:rPr>
        <w:t>.</w:t>
      </w:r>
    </w:p>
    <w:p w:rsidR="00000000" w:rsidRDefault="00567B15">
      <w:pPr>
        <w:spacing w:before="200" w:after="200" w:line="360" w:lineRule="exact"/>
        <w:jc w:val="both"/>
        <w:rPr>
          <w:rFonts w:hint="cs"/>
          <w:rtl/>
        </w:rPr>
      </w:pPr>
      <w:r>
        <w:rPr>
          <w:rFonts w:hint="cs"/>
          <w:rtl/>
        </w:rPr>
        <w:t>507-</w:t>
      </w:r>
      <w:r>
        <w:rPr>
          <w:rFonts w:hint="cs"/>
          <w:rtl/>
        </w:rPr>
        <w:tab/>
        <w:t>ويتمتع الرجال والنساء بفرص متكافئة في</w:t>
      </w:r>
      <w:r>
        <w:rPr>
          <w:rFonts w:hint="cs"/>
          <w:rtl/>
        </w:rPr>
        <w:t xml:space="preserve"> إمكانية الاستفادة من برامج محو الأمية، ولكن لأسباب اجتماعية اقتصادية وثقافية تبعد النساء عن التعليم وتكون نسبة الأمية بينهن أعلى بالتالي من نسبة الأمية بين الذكور- بل وتكون أعلى من ذلك أيضاً في المناطق الريفية.</w:t>
      </w:r>
    </w:p>
    <w:p w:rsidR="00000000" w:rsidRDefault="00567B15">
      <w:pPr>
        <w:spacing w:before="0" w:after="0" w:line="320" w:lineRule="exact"/>
        <w:jc w:val="center"/>
        <w:rPr>
          <w:rFonts w:hint="cs"/>
          <w:b/>
          <w:bCs/>
          <w:rtl/>
        </w:rPr>
      </w:pPr>
      <w:r>
        <w:rPr>
          <w:rFonts w:hint="cs"/>
          <w:b/>
          <w:bCs/>
          <w:rtl/>
        </w:rPr>
        <w:t>معدلات الأمية حسب فئة السن والمنطقة</w:t>
      </w:r>
    </w:p>
    <w:p w:rsidR="00000000" w:rsidRDefault="00567B15">
      <w:pPr>
        <w:spacing w:before="0" w:after="120" w:line="360" w:lineRule="exact"/>
        <w:jc w:val="center"/>
        <w:rPr>
          <w:rFonts w:hint="cs"/>
          <w:b/>
          <w:bCs/>
          <w:rtl/>
        </w:rPr>
      </w:pPr>
      <w:r>
        <w:rPr>
          <w:rFonts w:hint="cs"/>
          <w:b/>
          <w:bCs/>
          <w:rtl/>
        </w:rPr>
        <w:t>(نسبة مئ</w:t>
      </w:r>
      <w:r>
        <w:rPr>
          <w:rFonts w:hint="cs"/>
          <w:b/>
          <w:bCs/>
          <w:rtl/>
        </w:rPr>
        <w:t>وية)</w:t>
      </w:r>
    </w:p>
    <w:tbl>
      <w:tblPr>
        <w:bidiVisual/>
        <w:tblW w:w="930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3"/>
        <w:gridCol w:w="900"/>
        <w:gridCol w:w="900"/>
        <w:gridCol w:w="900"/>
        <w:gridCol w:w="900"/>
        <w:gridCol w:w="916"/>
        <w:gridCol w:w="840"/>
      </w:tblGrid>
      <w:tr w:rsidR="00567B15" w:rsidTr="00567B15">
        <w:tblPrEx>
          <w:tblCellMar>
            <w:top w:w="0" w:type="dxa"/>
            <w:bottom w:w="0" w:type="dxa"/>
          </w:tblCellMar>
        </w:tblPrEx>
        <w:trPr>
          <w:cantSplit/>
        </w:trPr>
        <w:tc>
          <w:tcPr>
            <w:tcW w:w="3953" w:type="dxa"/>
            <w:tcBorders>
              <w:bottom w:val="single" w:sz="4" w:space="0" w:color="auto"/>
            </w:tcBorders>
          </w:tcPr>
          <w:p w:rsidR="00567B15" w:rsidRDefault="00567B15">
            <w:pPr>
              <w:spacing w:before="0" w:after="0" w:line="300" w:lineRule="exact"/>
              <w:jc w:val="center"/>
              <w:rPr>
                <w:sz w:val="24"/>
                <w:szCs w:val="24"/>
              </w:rPr>
            </w:pPr>
            <w:r>
              <w:rPr>
                <w:rFonts w:hint="cs"/>
                <w:sz w:val="24"/>
                <w:szCs w:val="24"/>
                <w:rtl/>
              </w:rPr>
              <w:t>فئة السن</w:t>
            </w:r>
          </w:p>
        </w:tc>
        <w:tc>
          <w:tcPr>
            <w:tcW w:w="1800" w:type="dxa"/>
            <w:gridSpan w:val="2"/>
            <w:tcBorders>
              <w:bottom w:val="single" w:sz="4" w:space="0" w:color="auto"/>
            </w:tcBorders>
          </w:tcPr>
          <w:p w:rsidR="00567B15" w:rsidRDefault="00567B15">
            <w:pPr>
              <w:spacing w:before="0" w:after="0" w:line="300" w:lineRule="exact"/>
              <w:jc w:val="center"/>
              <w:rPr>
                <w:sz w:val="24"/>
                <w:szCs w:val="24"/>
              </w:rPr>
            </w:pPr>
            <w:r>
              <w:rPr>
                <w:rFonts w:hint="cs"/>
                <w:sz w:val="24"/>
                <w:szCs w:val="24"/>
                <w:rtl/>
              </w:rPr>
              <w:t>المناطق الحضرية</w:t>
            </w:r>
          </w:p>
        </w:tc>
        <w:tc>
          <w:tcPr>
            <w:tcW w:w="1800" w:type="dxa"/>
            <w:gridSpan w:val="2"/>
            <w:tcBorders>
              <w:bottom w:val="single" w:sz="4" w:space="0" w:color="auto"/>
            </w:tcBorders>
          </w:tcPr>
          <w:p w:rsidR="00567B15" w:rsidRDefault="00567B15">
            <w:pPr>
              <w:spacing w:before="0" w:after="0" w:line="300" w:lineRule="exact"/>
              <w:jc w:val="center"/>
              <w:rPr>
                <w:sz w:val="24"/>
                <w:szCs w:val="24"/>
              </w:rPr>
            </w:pPr>
            <w:r>
              <w:rPr>
                <w:rFonts w:hint="cs"/>
                <w:sz w:val="24"/>
                <w:szCs w:val="24"/>
                <w:rtl/>
              </w:rPr>
              <w:t>المناطق الريفية</w:t>
            </w:r>
          </w:p>
        </w:tc>
        <w:tc>
          <w:tcPr>
            <w:tcW w:w="1756" w:type="dxa"/>
            <w:gridSpan w:val="2"/>
            <w:tcBorders>
              <w:bottom w:val="single" w:sz="4" w:space="0" w:color="auto"/>
            </w:tcBorders>
          </w:tcPr>
          <w:p w:rsidR="00567B15" w:rsidRDefault="00567B15">
            <w:pPr>
              <w:spacing w:before="0" w:after="0" w:line="300" w:lineRule="exact"/>
              <w:jc w:val="center"/>
              <w:rPr>
                <w:rFonts w:hint="cs"/>
                <w:sz w:val="24"/>
                <w:szCs w:val="24"/>
              </w:rPr>
            </w:pPr>
            <w:r>
              <w:rPr>
                <w:rFonts w:hint="cs"/>
                <w:sz w:val="24"/>
                <w:szCs w:val="24"/>
                <w:rtl/>
              </w:rPr>
              <w:t>المجموع الوطني</w:t>
            </w:r>
          </w:p>
        </w:tc>
      </w:tr>
      <w:tr w:rsidR="00567B15" w:rsidTr="00567B15">
        <w:tblPrEx>
          <w:tblCellMar>
            <w:top w:w="0" w:type="dxa"/>
            <w:bottom w:w="0" w:type="dxa"/>
          </w:tblCellMar>
        </w:tblPrEx>
        <w:trPr>
          <w:cantSplit/>
        </w:trPr>
        <w:tc>
          <w:tcPr>
            <w:tcW w:w="3953" w:type="dxa"/>
            <w:tcBorders>
              <w:bottom w:val="nil"/>
            </w:tcBorders>
          </w:tcPr>
          <w:p w:rsidR="00567B15" w:rsidRDefault="00567B15">
            <w:pPr>
              <w:spacing w:before="0" w:after="0" w:line="300" w:lineRule="exact"/>
              <w:jc w:val="center"/>
              <w:rPr>
                <w:sz w:val="24"/>
                <w:szCs w:val="24"/>
              </w:rPr>
            </w:pPr>
          </w:p>
        </w:tc>
        <w:tc>
          <w:tcPr>
            <w:tcW w:w="900" w:type="dxa"/>
            <w:tcBorders>
              <w:bottom w:val="nil"/>
            </w:tcBorders>
          </w:tcPr>
          <w:p w:rsidR="00567B15" w:rsidRDefault="00567B15">
            <w:pPr>
              <w:spacing w:before="0" w:after="0" w:line="300" w:lineRule="exact"/>
              <w:jc w:val="center"/>
              <w:rPr>
                <w:sz w:val="24"/>
                <w:szCs w:val="24"/>
              </w:rPr>
            </w:pPr>
            <w:r>
              <w:rPr>
                <w:rFonts w:hint="cs"/>
                <w:sz w:val="24"/>
                <w:szCs w:val="24"/>
                <w:rtl/>
              </w:rPr>
              <w:t>الإناث</w:t>
            </w:r>
          </w:p>
        </w:tc>
        <w:tc>
          <w:tcPr>
            <w:tcW w:w="900" w:type="dxa"/>
            <w:tcBorders>
              <w:bottom w:val="nil"/>
            </w:tcBorders>
          </w:tcPr>
          <w:p w:rsidR="00567B15" w:rsidRDefault="00567B15">
            <w:pPr>
              <w:spacing w:before="0" w:after="0" w:line="300" w:lineRule="exact"/>
              <w:jc w:val="center"/>
              <w:rPr>
                <w:sz w:val="24"/>
                <w:szCs w:val="24"/>
              </w:rPr>
            </w:pPr>
            <w:r>
              <w:rPr>
                <w:rFonts w:hint="cs"/>
                <w:sz w:val="24"/>
                <w:szCs w:val="24"/>
                <w:rtl/>
              </w:rPr>
              <w:t>الذكور</w:t>
            </w:r>
          </w:p>
        </w:tc>
        <w:tc>
          <w:tcPr>
            <w:tcW w:w="900" w:type="dxa"/>
            <w:tcBorders>
              <w:bottom w:val="nil"/>
            </w:tcBorders>
          </w:tcPr>
          <w:p w:rsidR="00567B15" w:rsidRDefault="00567B15">
            <w:pPr>
              <w:spacing w:before="0" w:after="0" w:line="300" w:lineRule="exact"/>
              <w:jc w:val="center"/>
              <w:rPr>
                <w:sz w:val="24"/>
                <w:szCs w:val="24"/>
              </w:rPr>
            </w:pPr>
            <w:r>
              <w:rPr>
                <w:rFonts w:hint="cs"/>
                <w:sz w:val="24"/>
                <w:szCs w:val="24"/>
                <w:rtl/>
              </w:rPr>
              <w:t>الإناث</w:t>
            </w:r>
          </w:p>
        </w:tc>
        <w:tc>
          <w:tcPr>
            <w:tcW w:w="900" w:type="dxa"/>
            <w:tcBorders>
              <w:bottom w:val="nil"/>
            </w:tcBorders>
          </w:tcPr>
          <w:p w:rsidR="00567B15" w:rsidRDefault="00567B15">
            <w:pPr>
              <w:spacing w:before="0" w:after="0" w:line="300" w:lineRule="exact"/>
              <w:jc w:val="center"/>
              <w:rPr>
                <w:sz w:val="24"/>
                <w:szCs w:val="24"/>
              </w:rPr>
            </w:pPr>
            <w:r>
              <w:rPr>
                <w:rFonts w:hint="cs"/>
                <w:sz w:val="24"/>
                <w:szCs w:val="24"/>
                <w:rtl/>
              </w:rPr>
              <w:t>الذكور</w:t>
            </w:r>
          </w:p>
        </w:tc>
        <w:tc>
          <w:tcPr>
            <w:tcW w:w="916" w:type="dxa"/>
            <w:tcBorders>
              <w:bottom w:val="nil"/>
            </w:tcBorders>
          </w:tcPr>
          <w:p w:rsidR="00567B15" w:rsidRDefault="00567B15">
            <w:pPr>
              <w:spacing w:before="0" w:after="0" w:line="300" w:lineRule="exact"/>
              <w:jc w:val="center"/>
              <w:rPr>
                <w:sz w:val="24"/>
                <w:szCs w:val="24"/>
              </w:rPr>
            </w:pPr>
            <w:r>
              <w:rPr>
                <w:rFonts w:hint="cs"/>
                <w:sz w:val="24"/>
                <w:szCs w:val="24"/>
                <w:rtl/>
              </w:rPr>
              <w:t>الإناث</w:t>
            </w:r>
          </w:p>
        </w:tc>
        <w:tc>
          <w:tcPr>
            <w:tcW w:w="840" w:type="dxa"/>
            <w:tcBorders>
              <w:bottom w:val="nil"/>
            </w:tcBorders>
          </w:tcPr>
          <w:p w:rsidR="00567B15" w:rsidRDefault="00567B15">
            <w:pPr>
              <w:spacing w:before="0" w:after="0" w:line="300" w:lineRule="exact"/>
              <w:jc w:val="center"/>
              <w:rPr>
                <w:sz w:val="24"/>
                <w:szCs w:val="24"/>
              </w:rPr>
            </w:pPr>
            <w:r>
              <w:rPr>
                <w:rFonts w:hint="cs"/>
                <w:sz w:val="24"/>
                <w:szCs w:val="24"/>
                <w:rtl/>
              </w:rPr>
              <w:t>الذكور</w:t>
            </w:r>
          </w:p>
        </w:tc>
      </w:tr>
      <w:tr w:rsidR="00567B15" w:rsidTr="00567B15">
        <w:tblPrEx>
          <w:tblCellMar>
            <w:top w:w="0" w:type="dxa"/>
            <w:bottom w:w="0" w:type="dxa"/>
          </w:tblCellMar>
        </w:tblPrEx>
        <w:trPr>
          <w:cantSplit/>
        </w:trPr>
        <w:tc>
          <w:tcPr>
            <w:tcW w:w="3953" w:type="dxa"/>
            <w:tcBorders>
              <w:top w:val="nil"/>
              <w:bottom w:val="nil"/>
            </w:tcBorders>
          </w:tcPr>
          <w:p w:rsidR="00567B15" w:rsidRDefault="00567B15">
            <w:pPr>
              <w:spacing w:before="0" w:after="0" w:line="300" w:lineRule="exact"/>
              <w:jc w:val="both"/>
              <w:rPr>
                <w:sz w:val="24"/>
                <w:szCs w:val="24"/>
              </w:rPr>
            </w:pPr>
            <w:r>
              <w:rPr>
                <w:rFonts w:hint="cs"/>
                <w:sz w:val="24"/>
                <w:szCs w:val="24"/>
                <w:rtl/>
              </w:rPr>
              <w:t>15 إلى 24 عاماً</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1.9</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1.5</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4.7</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4.5</w:t>
            </w:r>
          </w:p>
        </w:tc>
        <w:tc>
          <w:tcPr>
            <w:tcW w:w="916"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3.0</w:t>
            </w:r>
          </w:p>
        </w:tc>
        <w:tc>
          <w:tcPr>
            <w:tcW w:w="84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2.7</w:t>
            </w:r>
          </w:p>
        </w:tc>
      </w:tr>
      <w:tr w:rsidR="00567B15" w:rsidTr="00567B15">
        <w:tblPrEx>
          <w:tblCellMar>
            <w:top w:w="0" w:type="dxa"/>
            <w:bottom w:w="0" w:type="dxa"/>
          </w:tblCellMar>
        </w:tblPrEx>
        <w:trPr>
          <w:cantSplit/>
        </w:trPr>
        <w:tc>
          <w:tcPr>
            <w:tcW w:w="3953" w:type="dxa"/>
            <w:tcBorders>
              <w:top w:val="nil"/>
              <w:bottom w:val="nil"/>
            </w:tcBorders>
          </w:tcPr>
          <w:p w:rsidR="00567B15" w:rsidRDefault="00567B15">
            <w:pPr>
              <w:spacing w:before="0" w:after="0" w:line="300" w:lineRule="exact"/>
              <w:jc w:val="both"/>
              <w:rPr>
                <w:sz w:val="24"/>
                <w:szCs w:val="24"/>
              </w:rPr>
            </w:pPr>
            <w:r>
              <w:rPr>
                <w:rFonts w:hint="cs"/>
                <w:sz w:val="24"/>
                <w:szCs w:val="24"/>
                <w:rtl/>
              </w:rPr>
              <w:t>25 إلى 39 عاماً</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2.5</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1.9</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13.3</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6.9</w:t>
            </w:r>
          </w:p>
        </w:tc>
        <w:tc>
          <w:tcPr>
            <w:tcW w:w="916"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6.2</w:t>
            </w:r>
          </w:p>
        </w:tc>
        <w:tc>
          <w:tcPr>
            <w:tcW w:w="84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3.8</w:t>
            </w:r>
          </w:p>
        </w:tc>
      </w:tr>
      <w:tr w:rsidR="00567B15" w:rsidTr="00567B15">
        <w:tblPrEx>
          <w:tblCellMar>
            <w:top w:w="0" w:type="dxa"/>
            <w:bottom w:w="0" w:type="dxa"/>
          </w:tblCellMar>
        </w:tblPrEx>
        <w:trPr>
          <w:cantSplit/>
        </w:trPr>
        <w:tc>
          <w:tcPr>
            <w:tcW w:w="3953" w:type="dxa"/>
            <w:tcBorders>
              <w:top w:val="nil"/>
              <w:bottom w:val="nil"/>
            </w:tcBorders>
          </w:tcPr>
          <w:p w:rsidR="00567B15" w:rsidRDefault="00567B15">
            <w:pPr>
              <w:spacing w:before="0" w:after="0" w:line="300" w:lineRule="exact"/>
              <w:jc w:val="both"/>
              <w:rPr>
                <w:sz w:val="24"/>
                <w:szCs w:val="24"/>
              </w:rPr>
            </w:pPr>
            <w:r>
              <w:rPr>
                <w:rFonts w:hint="cs"/>
                <w:sz w:val="24"/>
                <w:szCs w:val="24"/>
                <w:rtl/>
              </w:rPr>
              <w:t>40 إلى 64 عاماً</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10.1</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5.0</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32.5</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23.4</w:t>
            </w:r>
          </w:p>
        </w:tc>
        <w:tc>
          <w:tcPr>
            <w:tcW w:w="916"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19.4</w:t>
            </w:r>
          </w:p>
        </w:tc>
        <w:tc>
          <w:tcPr>
            <w:tcW w:w="84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13.1</w:t>
            </w:r>
          </w:p>
        </w:tc>
      </w:tr>
      <w:tr w:rsidR="00567B15" w:rsidTr="00567B15">
        <w:tblPrEx>
          <w:tblCellMar>
            <w:top w:w="0" w:type="dxa"/>
            <w:bottom w:w="0" w:type="dxa"/>
          </w:tblCellMar>
        </w:tblPrEx>
        <w:trPr>
          <w:cantSplit/>
        </w:trPr>
        <w:tc>
          <w:tcPr>
            <w:tcW w:w="3953" w:type="dxa"/>
            <w:tcBorders>
              <w:top w:val="nil"/>
              <w:bottom w:val="nil"/>
            </w:tcBorders>
          </w:tcPr>
          <w:p w:rsidR="00567B15" w:rsidRDefault="00567B15">
            <w:pPr>
              <w:spacing w:before="0" w:after="0" w:line="300" w:lineRule="exact"/>
              <w:jc w:val="both"/>
              <w:rPr>
                <w:sz w:val="24"/>
                <w:szCs w:val="24"/>
              </w:rPr>
            </w:pPr>
            <w:r>
              <w:rPr>
                <w:rFonts w:hint="cs"/>
                <w:sz w:val="24"/>
                <w:szCs w:val="24"/>
                <w:rtl/>
              </w:rPr>
              <w:t>65 عاماً وما فوق</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29.7</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16.1</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56.1</w:t>
            </w:r>
          </w:p>
        </w:tc>
        <w:tc>
          <w:tcPr>
            <w:tcW w:w="90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42.0</w:t>
            </w:r>
          </w:p>
        </w:tc>
        <w:tc>
          <w:tcPr>
            <w:tcW w:w="916"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42.7</w:t>
            </w:r>
          </w:p>
        </w:tc>
        <w:tc>
          <w:tcPr>
            <w:tcW w:w="840" w:type="dxa"/>
            <w:tcBorders>
              <w:top w:val="nil"/>
              <w:bottom w:val="nil"/>
            </w:tcBorders>
          </w:tcPr>
          <w:p w:rsidR="00567B15" w:rsidRDefault="00567B15">
            <w:pPr>
              <w:spacing w:before="0" w:after="0" w:line="300" w:lineRule="exact"/>
              <w:jc w:val="center"/>
              <w:rPr>
                <w:rFonts w:hint="cs"/>
                <w:sz w:val="24"/>
                <w:szCs w:val="24"/>
              </w:rPr>
            </w:pPr>
            <w:r>
              <w:rPr>
                <w:rFonts w:hint="cs"/>
                <w:sz w:val="24"/>
                <w:szCs w:val="24"/>
                <w:rtl/>
              </w:rPr>
              <w:t>30.3</w:t>
            </w:r>
          </w:p>
        </w:tc>
      </w:tr>
      <w:tr w:rsidR="00567B15" w:rsidTr="00567B15">
        <w:tblPrEx>
          <w:tblCellMar>
            <w:top w:w="0" w:type="dxa"/>
            <w:bottom w:w="0" w:type="dxa"/>
          </w:tblCellMar>
        </w:tblPrEx>
        <w:trPr>
          <w:cantSplit/>
        </w:trPr>
        <w:tc>
          <w:tcPr>
            <w:tcW w:w="3953" w:type="dxa"/>
            <w:tcBorders>
              <w:top w:val="nil"/>
            </w:tcBorders>
          </w:tcPr>
          <w:p w:rsidR="00567B15" w:rsidRDefault="00567B15">
            <w:pPr>
              <w:spacing w:before="0" w:after="0" w:line="300" w:lineRule="exact"/>
              <w:jc w:val="center"/>
              <w:rPr>
                <w:sz w:val="24"/>
                <w:szCs w:val="24"/>
              </w:rPr>
            </w:pPr>
            <w:r>
              <w:rPr>
                <w:rFonts w:hint="cs"/>
                <w:sz w:val="24"/>
                <w:szCs w:val="24"/>
                <w:rtl/>
              </w:rPr>
              <w:t>المجموع</w:t>
            </w:r>
          </w:p>
        </w:tc>
        <w:tc>
          <w:tcPr>
            <w:tcW w:w="900" w:type="dxa"/>
            <w:tcBorders>
              <w:top w:val="nil"/>
            </w:tcBorders>
          </w:tcPr>
          <w:p w:rsidR="00567B15" w:rsidRDefault="00567B15">
            <w:pPr>
              <w:spacing w:before="0" w:after="0" w:line="300" w:lineRule="exact"/>
              <w:jc w:val="center"/>
              <w:rPr>
                <w:rFonts w:hint="cs"/>
                <w:sz w:val="24"/>
                <w:szCs w:val="24"/>
              </w:rPr>
            </w:pPr>
            <w:r>
              <w:rPr>
                <w:rFonts w:hint="cs"/>
                <w:sz w:val="24"/>
                <w:szCs w:val="24"/>
                <w:rtl/>
              </w:rPr>
              <w:t>6.3</w:t>
            </w:r>
          </w:p>
        </w:tc>
        <w:tc>
          <w:tcPr>
            <w:tcW w:w="900" w:type="dxa"/>
            <w:tcBorders>
              <w:top w:val="nil"/>
            </w:tcBorders>
          </w:tcPr>
          <w:p w:rsidR="00567B15" w:rsidRDefault="00567B15">
            <w:pPr>
              <w:spacing w:before="0" w:after="0" w:line="300" w:lineRule="exact"/>
              <w:jc w:val="center"/>
              <w:rPr>
                <w:rFonts w:hint="cs"/>
                <w:sz w:val="24"/>
                <w:szCs w:val="24"/>
              </w:rPr>
            </w:pPr>
            <w:r>
              <w:rPr>
                <w:rFonts w:hint="cs"/>
                <w:sz w:val="24"/>
                <w:szCs w:val="24"/>
                <w:rtl/>
              </w:rPr>
              <w:t>3.6</w:t>
            </w:r>
          </w:p>
        </w:tc>
        <w:tc>
          <w:tcPr>
            <w:tcW w:w="900" w:type="dxa"/>
            <w:tcBorders>
              <w:top w:val="nil"/>
            </w:tcBorders>
          </w:tcPr>
          <w:p w:rsidR="00567B15" w:rsidRDefault="00567B15">
            <w:pPr>
              <w:spacing w:before="0" w:after="0" w:line="300" w:lineRule="exact"/>
              <w:jc w:val="center"/>
              <w:rPr>
                <w:rFonts w:hint="cs"/>
                <w:sz w:val="24"/>
                <w:szCs w:val="24"/>
              </w:rPr>
            </w:pPr>
            <w:r>
              <w:rPr>
                <w:rFonts w:hint="cs"/>
                <w:sz w:val="24"/>
                <w:szCs w:val="24"/>
                <w:rtl/>
              </w:rPr>
              <w:t>21.1</w:t>
            </w:r>
          </w:p>
        </w:tc>
        <w:tc>
          <w:tcPr>
            <w:tcW w:w="900" w:type="dxa"/>
            <w:tcBorders>
              <w:top w:val="nil"/>
            </w:tcBorders>
          </w:tcPr>
          <w:p w:rsidR="00567B15" w:rsidRDefault="00567B15">
            <w:pPr>
              <w:spacing w:before="0" w:after="0" w:line="300" w:lineRule="exact"/>
              <w:jc w:val="center"/>
              <w:rPr>
                <w:rFonts w:hint="cs"/>
                <w:sz w:val="24"/>
                <w:szCs w:val="24"/>
              </w:rPr>
            </w:pPr>
            <w:r>
              <w:rPr>
                <w:rFonts w:hint="cs"/>
                <w:sz w:val="24"/>
                <w:szCs w:val="24"/>
                <w:rtl/>
              </w:rPr>
              <w:t>14.8</w:t>
            </w:r>
          </w:p>
        </w:tc>
        <w:tc>
          <w:tcPr>
            <w:tcW w:w="916" w:type="dxa"/>
            <w:tcBorders>
              <w:top w:val="nil"/>
            </w:tcBorders>
          </w:tcPr>
          <w:p w:rsidR="00567B15" w:rsidRDefault="00567B15">
            <w:pPr>
              <w:spacing w:before="0" w:after="0" w:line="300" w:lineRule="exact"/>
              <w:jc w:val="center"/>
              <w:rPr>
                <w:rFonts w:hint="cs"/>
                <w:sz w:val="24"/>
                <w:szCs w:val="24"/>
              </w:rPr>
            </w:pPr>
            <w:r>
              <w:rPr>
                <w:rFonts w:hint="cs"/>
                <w:sz w:val="24"/>
                <w:szCs w:val="24"/>
                <w:rtl/>
              </w:rPr>
              <w:t>12.1</w:t>
            </w:r>
          </w:p>
        </w:tc>
        <w:tc>
          <w:tcPr>
            <w:tcW w:w="840" w:type="dxa"/>
            <w:tcBorders>
              <w:top w:val="nil"/>
            </w:tcBorders>
          </w:tcPr>
          <w:p w:rsidR="00567B15" w:rsidRDefault="00567B15">
            <w:pPr>
              <w:spacing w:before="0" w:after="0" w:line="300" w:lineRule="exact"/>
              <w:jc w:val="center"/>
              <w:rPr>
                <w:rFonts w:hint="cs"/>
                <w:sz w:val="24"/>
                <w:szCs w:val="24"/>
              </w:rPr>
            </w:pPr>
            <w:r>
              <w:rPr>
                <w:rFonts w:hint="cs"/>
                <w:sz w:val="24"/>
                <w:szCs w:val="24"/>
                <w:rtl/>
              </w:rPr>
              <w:t>8.3</w:t>
            </w:r>
          </w:p>
        </w:tc>
      </w:tr>
    </w:tbl>
    <w:p w:rsidR="00000000" w:rsidRDefault="00567B15">
      <w:pPr>
        <w:tabs>
          <w:tab w:val="left" w:pos="534"/>
        </w:tabs>
        <w:spacing w:before="120" w:after="0" w:line="320" w:lineRule="exact"/>
        <w:jc w:val="both"/>
        <w:rPr>
          <w:rFonts w:hint="cs"/>
          <w:spacing w:val="0"/>
          <w:rtl/>
        </w:rPr>
      </w:pPr>
      <w:r>
        <w:rPr>
          <w:rFonts w:hint="cs"/>
          <w:spacing w:val="0"/>
          <w:rtl/>
        </w:rPr>
        <w:tab/>
      </w:r>
      <w:r>
        <w:rPr>
          <w:rFonts w:hint="cs"/>
          <w:spacing w:val="0"/>
          <w:u w:val="single"/>
          <w:rtl/>
        </w:rPr>
        <w:t>المصدر</w:t>
      </w:r>
      <w:r>
        <w:rPr>
          <w:rFonts w:hint="cs"/>
          <w:spacing w:val="0"/>
          <w:rtl/>
        </w:rPr>
        <w:t>: المعهد الوطني للإحصائيات وتعداد السكان دراسة استقصائية لمستويات المعيشة - الجولة الثالثة، 1998.</w:t>
      </w:r>
    </w:p>
    <w:p w:rsidR="00000000" w:rsidRDefault="00567B15">
      <w:pPr>
        <w:spacing w:line="380" w:lineRule="exact"/>
        <w:jc w:val="both"/>
        <w:rPr>
          <w:rFonts w:hint="cs"/>
          <w:rtl/>
        </w:rPr>
      </w:pPr>
      <w:r>
        <w:rPr>
          <w:rFonts w:hint="cs"/>
          <w:rtl/>
        </w:rPr>
        <w:t>508-</w:t>
      </w:r>
      <w:r>
        <w:rPr>
          <w:rFonts w:hint="cs"/>
          <w:rtl/>
        </w:rPr>
        <w:tab/>
        <w:t>أما عدد الإناث المشتركات في برامج محو الأمية فهو مضاهٍ تقريباً لعدد الذكور، وهو أعل</w:t>
      </w:r>
      <w:r>
        <w:rPr>
          <w:rFonts w:hint="cs"/>
          <w:rtl/>
        </w:rPr>
        <w:t>ى في المناطق الحضرية بنسبة 0.9 في المائة، ولكن تكون تلك النسبة أعلى وأهم فيما يتعلق بالذكور في المناطق الريفية.</w:t>
      </w:r>
    </w:p>
    <w:p w:rsidR="00000000" w:rsidRDefault="00567B15">
      <w:pPr>
        <w:jc w:val="center"/>
        <w:rPr>
          <w:rFonts w:hint="cs"/>
          <w:b/>
          <w:bCs/>
          <w:rtl/>
        </w:rPr>
      </w:pPr>
      <w:r>
        <w:rPr>
          <w:rFonts w:hint="cs"/>
          <w:b/>
          <w:bCs/>
          <w:rtl/>
        </w:rPr>
        <w:t>متوسط مدة المواظبة على الدراسة (بالسنوات)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701"/>
        <w:gridCol w:w="1701"/>
      </w:tblGrid>
      <w:tr w:rsidR="00567B15" w:rsidTr="00567B15">
        <w:tblPrEx>
          <w:tblCellMar>
            <w:top w:w="0" w:type="dxa"/>
            <w:bottom w:w="0" w:type="dxa"/>
          </w:tblCellMar>
        </w:tblPrEx>
        <w:trPr>
          <w:jc w:val="center"/>
        </w:trPr>
        <w:tc>
          <w:tcPr>
            <w:tcW w:w="1701" w:type="dxa"/>
            <w:tcBorders>
              <w:bottom w:val="single" w:sz="4" w:space="0" w:color="auto"/>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المنطقة</w:t>
            </w:r>
          </w:p>
        </w:tc>
        <w:tc>
          <w:tcPr>
            <w:tcW w:w="1701" w:type="dxa"/>
            <w:tcBorders>
              <w:bottom w:val="single" w:sz="4" w:space="0" w:color="auto"/>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الإناث</w:t>
            </w:r>
          </w:p>
        </w:tc>
        <w:tc>
          <w:tcPr>
            <w:tcW w:w="1701" w:type="dxa"/>
            <w:tcBorders>
              <w:bottom w:val="single" w:sz="4" w:space="0" w:color="auto"/>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الذكور</w:t>
            </w:r>
          </w:p>
        </w:tc>
      </w:tr>
      <w:tr w:rsidR="00567B15" w:rsidTr="00567B15">
        <w:tblPrEx>
          <w:tblCellMar>
            <w:top w:w="0" w:type="dxa"/>
            <w:bottom w:w="0" w:type="dxa"/>
          </w:tblCellMar>
        </w:tblPrEx>
        <w:trPr>
          <w:jc w:val="center"/>
        </w:trPr>
        <w:tc>
          <w:tcPr>
            <w:tcW w:w="1701" w:type="dxa"/>
            <w:tcBorders>
              <w:bottom w:val="nil"/>
            </w:tcBorders>
          </w:tcPr>
          <w:p w:rsidR="00567B15" w:rsidRDefault="00567B15">
            <w:pPr>
              <w:spacing w:before="0" w:after="0"/>
              <w:jc w:val="both"/>
              <w:rPr>
                <w:rStyle w:val="FootnoteReference"/>
                <w:rFonts w:hint="cs"/>
                <w:bCs w:val="0"/>
                <w:sz w:val="26"/>
                <w:szCs w:val="26"/>
                <w:vertAlign w:val="baseline"/>
              </w:rPr>
            </w:pPr>
            <w:r>
              <w:rPr>
                <w:rFonts w:hint="cs"/>
                <w:sz w:val="26"/>
                <w:szCs w:val="26"/>
                <w:rtl/>
              </w:rPr>
              <w:t>الحضرية</w:t>
            </w:r>
          </w:p>
        </w:tc>
        <w:tc>
          <w:tcPr>
            <w:tcW w:w="1701" w:type="dxa"/>
            <w:tcBorders>
              <w:bottom w:val="nil"/>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8.6</w:t>
            </w:r>
          </w:p>
        </w:tc>
        <w:tc>
          <w:tcPr>
            <w:tcW w:w="1701" w:type="dxa"/>
            <w:tcBorders>
              <w:bottom w:val="nil"/>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9.1</w:t>
            </w:r>
          </w:p>
        </w:tc>
      </w:tr>
      <w:tr w:rsidR="00567B15" w:rsidTr="00567B15">
        <w:tblPrEx>
          <w:tblCellMar>
            <w:top w:w="0" w:type="dxa"/>
            <w:bottom w:w="0" w:type="dxa"/>
          </w:tblCellMar>
        </w:tblPrEx>
        <w:trPr>
          <w:jc w:val="center"/>
        </w:trPr>
        <w:tc>
          <w:tcPr>
            <w:tcW w:w="1701" w:type="dxa"/>
            <w:tcBorders>
              <w:top w:val="nil"/>
            </w:tcBorders>
          </w:tcPr>
          <w:p w:rsidR="00567B15" w:rsidRDefault="00567B15">
            <w:pPr>
              <w:spacing w:before="0" w:after="0"/>
              <w:jc w:val="both"/>
              <w:rPr>
                <w:rFonts w:hint="cs"/>
                <w:sz w:val="26"/>
                <w:szCs w:val="26"/>
                <w:rtl/>
              </w:rPr>
            </w:pPr>
            <w:r>
              <w:rPr>
                <w:rFonts w:hint="cs"/>
                <w:sz w:val="26"/>
                <w:szCs w:val="26"/>
                <w:rtl/>
              </w:rPr>
              <w:t>الريفية</w:t>
            </w:r>
          </w:p>
        </w:tc>
        <w:tc>
          <w:tcPr>
            <w:tcW w:w="1701" w:type="dxa"/>
            <w:tcBorders>
              <w:top w:val="nil"/>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4.1</w:t>
            </w:r>
          </w:p>
        </w:tc>
        <w:tc>
          <w:tcPr>
            <w:tcW w:w="1701" w:type="dxa"/>
            <w:tcBorders>
              <w:top w:val="nil"/>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4.7</w:t>
            </w:r>
          </w:p>
        </w:tc>
      </w:tr>
      <w:tr w:rsidR="00567B15" w:rsidTr="00567B15">
        <w:tblPrEx>
          <w:tblCellMar>
            <w:top w:w="0" w:type="dxa"/>
            <w:bottom w:w="0" w:type="dxa"/>
          </w:tblCellMar>
        </w:tblPrEx>
        <w:trPr>
          <w:jc w:val="center"/>
        </w:trPr>
        <w:tc>
          <w:tcPr>
            <w:tcW w:w="1701" w:type="dxa"/>
          </w:tcPr>
          <w:p w:rsidR="00567B15" w:rsidRDefault="00567B15">
            <w:pPr>
              <w:tabs>
                <w:tab w:val="left" w:pos="280"/>
              </w:tabs>
              <w:spacing w:before="0" w:after="0"/>
              <w:jc w:val="both"/>
              <w:rPr>
                <w:rFonts w:hint="cs"/>
                <w:sz w:val="26"/>
                <w:szCs w:val="26"/>
                <w:rtl/>
              </w:rPr>
            </w:pPr>
            <w:r>
              <w:rPr>
                <w:sz w:val="26"/>
                <w:szCs w:val="26"/>
                <w:rtl/>
              </w:rPr>
              <w:tab/>
              <w:t xml:space="preserve">المجموع </w:t>
            </w:r>
            <w:r>
              <w:rPr>
                <w:rFonts w:hint="cs"/>
                <w:sz w:val="26"/>
                <w:szCs w:val="26"/>
                <w:rtl/>
              </w:rPr>
              <w:t>الوطني</w:t>
            </w:r>
          </w:p>
        </w:tc>
        <w:tc>
          <w:tcPr>
            <w:tcW w:w="1701" w:type="dxa"/>
          </w:tcPr>
          <w:p w:rsidR="00567B15" w:rsidRDefault="00567B15">
            <w:pPr>
              <w:spacing w:before="0" w:after="0"/>
              <w:jc w:val="center"/>
              <w:rPr>
                <w:rStyle w:val="FootnoteReference"/>
                <w:rFonts w:hint="cs"/>
                <w:bCs w:val="0"/>
                <w:sz w:val="26"/>
                <w:szCs w:val="26"/>
                <w:vertAlign w:val="baseline"/>
              </w:rPr>
            </w:pPr>
            <w:r>
              <w:rPr>
                <w:rFonts w:hint="cs"/>
                <w:sz w:val="26"/>
                <w:szCs w:val="26"/>
                <w:rtl/>
              </w:rPr>
              <w:t>7.0</w:t>
            </w:r>
          </w:p>
        </w:tc>
        <w:tc>
          <w:tcPr>
            <w:tcW w:w="1701" w:type="dxa"/>
          </w:tcPr>
          <w:p w:rsidR="00567B15" w:rsidRDefault="00567B15">
            <w:pPr>
              <w:spacing w:before="0" w:after="0"/>
              <w:jc w:val="center"/>
              <w:rPr>
                <w:rStyle w:val="FootnoteReference"/>
                <w:rFonts w:hint="cs"/>
                <w:bCs w:val="0"/>
                <w:sz w:val="26"/>
                <w:szCs w:val="26"/>
                <w:vertAlign w:val="baseline"/>
              </w:rPr>
            </w:pPr>
            <w:r>
              <w:rPr>
                <w:rFonts w:hint="cs"/>
                <w:sz w:val="26"/>
                <w:szCs w:val="26"/>
                <w:rtl/>
              </w:rPr>
              <w:t>7.4</w:t>
            </w:r>
          </w:p>
        </w:tc>
      </w:tr>
    </w:tbl>
    <w:p w:rsidR="00000000" w:rsidRDefault="00567B15">
      <w:pPr>
        <w:spacing w:before="120" w:after="0" w:line="340" w:lineRule="exact"/>
        <w:ind w:left="714" w:hanging="714"/>
        <w:jc w:val="both"/>
        <w:rPr>
          <w:spacing w:val="4"/>
          <w:rtl/>
        </w:rPr>
      </w:pPr>
      <w:r>
        <w:rPr>
          <w:rFonts w:hint="cs"/>
          <w:rtl/>
        </w:rPr>
        <w:tab/>
      </w:r>
      <w:r>
        <w:rPr>
          <w:rFonts w:hint="cs"/>
          <w:rtl/>
        </w:rPr>
        <w:tab/>
      </w:r>
      <w:r>
        <w:rPr>
          <w:rFonts w:hint="cs"/>
          <w:rtl/>
        </w:rPr>
        <w:tab/>
      </w:r>
      <w:r>
        <w:rPr>
          <w:rFonts w:hint="cs"/>
          <w:rtl/>
        </w:rPr>
        <w:tab/>
      </w:r>
      <w:r>
        <w:rPr>
          <w:rFonts w:hint="cs"/>
          <w:rtl/>
        </w:rPr>
        <w:tab/>
      </w:r>
      <w:r>
        <w:rPr>
          <w:rFonts w:hint="cs"/>
          <w:spacing w:val="4"/>
          <w:u w:val="single"/>
          <w:rtl/>
        </w:rPr>
        <w:t>المصدر</w:t>
      </w:r>
      <w:r>
        <w:rPr>
          <w:rFonts w:hint="cs"/>
          <w:spacing w:val="4"/>
          <w:rtl/>
        </w:rPr>
        <w:t>:</w:t>
      </w:r>
      <w:r>
        <w:rPr>
          <w:rFonts w:hint="cs"/>
          <w:spacing w:val="4"/>
          <w:rtl/>
        </w:rPr>
        <w:tab/>
        <w:t xml:space="preserve">المعهد </w:t>
      </w:r>
      <w:r>
        <w:rPr>
          <w:rFonts w:hint="cs"/>
          <w:spacing w:val="4"/>
          <w:rtl/>
        </w:rPr>
        <w:t>الوطني للإحصائيات وتعـداد السكان،</w:t>
      </w:r>
    </w:p>
    <w:p w:rsidR="00000000" w:rsidRDefault="00567B15">
      <w:pPr>
        <w:spacing w:before="0" w:after="0" w:line="340" w:lineRule="exact"/>
        <w:ind w:left="714" w:hanging="714"/>
        <w:jc w:val="both"/>
        <w:rPr>
          <w:rFonts w:hint="cs"/>
          <w:spacing w:val="4"/>
          <w:rtl/>
        </w:rPr>
      </w:pPr>
      <w:r>
        <w:rPr>
          <w:rFonts w:hint="cs"/>
          <w:spacing w:val="4"/>
          <w:rtl/>
        </w:rPr>
        <w:tab/>
      </w:r>
      <w:r>
        <w:rPr>
          <w:rFonts w:hint="cs"/>
          <w:spacing w:val="4"/>
          <w:rtl/>
        </w:rPr>
        <w:tab/>
      </w:r>
      <w:r>
        <w:rPr>
          <w:rFonts w:hint="cs"/>
          <w:spacing w:val="4"/>
          <w:rtl/>
        </w:rPr>
        <w:tab/>
      </w:r>
      <w:r>
        <w:rPr>
          <w:rFonts w:hint="cs"/>
          <w:spacing w:val="4"/>
          <w:rtl/>
        </w:rPr>
        <w:tab/>
        <w:t>دراسة استقصائية لمستويات المعيشة، 1995، نظـام المؤشرات</w:t>
      </w:r>
    </w:p>
    <w:p w:rsidR="00000000" w:rsidRDefault="00567B15">
      <w:pPr>
        <w:spacing w:before="0" w:after="0" w:line="340" w:lineRule="exact"/>
        <w:ind w:left="714" w:hanging="714"/>
        <w:jc w:val="both"/>
        <w:rPr>
          <w:rFonts w:hint="cs"/>
          <w:rtl/>
        </w:rPr>
      </w:pPr>
      <w:r>
        <w:rPr>
          <w:rFonts w:hint="cs"/>
          <w:rtl/>
        </w:rPr>
        <w:tab/>
      </w:r>
      <w:r>
        <w:rPr>
          <w:rFonts w:hint="cs"/>
          <w:rtl/>
        </w:rPr>
        <w:tab/>
      </w:r>
      <w:r>
        <w:rPr>
          <w:rFonts w:hint="cs"/>
          <w:rtl/>
        </w:rPr>
        <w:tab/>
      </w:r>
      <w:r>
        <w:rPr>
          <w:rFonts w:hint="cs"/>
          <w:rtl/>
        </w:rPr>
        <w:tab/>
        <w:t>الاجتماعية المتكامل - المجلس النسائي الوطني.</w:t>
      </w:r>
    </w:p>
    <w:p w:rsidR="00000000" w:rsidRDefault="00567B15">
      <w:pPr>
        <w:spacing w:line="380" w:lineRule="exact"/>
        <w:jc w:val="both"/>
        <w:rPr>
          <w:rFonts w:hint="cs"/>
          <w:rtl/>
        </w:rPr>
      </w:pPr>
      <w:r>
        <w:rPr>
          <w:rFonts w:hint="cs"/>
          <w:i/>
          <w:iCs/>
          <w:rtl/>
        </w:rPr>
        <w:t>التعليم الموفر للأقليات الإثنية</w:t>
      </w:r>
    </w:p>
    <w:p w:rsidR="00000000" w:rsidRDefault="00567B15">
      <w:pPr>
        <w:spacing w:line="380" w:lineRule="exact"/>
        <w:jc w:val="both"/>
        <w:rPr>
          <w:rFonts w:hint="cs"/>
          <w:rtl/>
        </w:rPr>
      </w:pPr>
      <w:r>
        <w:rPr>
          <w:rFonts w:hint="cs"/>
          <w:rtl/>
        </w:rPr>
        <w:t>509-</w:t>
      </w:r>
      <w:r>
        <w:rPr>
          <w:rFonts w:hint="cs"/>
          <w:rtl/>
        </w:rPr>
        <w:tab/>
        <w:t>ينص الدستور على أن جميع الإكوادوريين يتمتعون بإمكانية الحصول مجاناً على التعل</w:t>
      </w:r>
      <w:r>
        <w:rPr>
          <w:rFonts w:hint="cs"/>
          <w:rtl/>
        </w:rPr>
        <w:t>يم بشتى مستوياته، ولكنهم لا يستفيدون جميعاً منه بسبب عوامل جغرافية، واجتماعية اقتصادية، وثقافية.</w:t>
      </w:r>
    </w:p>
    <w:p w:rsidR="00000000" w:rsidRDefault="00567B15">
      <w:pPr>
        <w:spacing w:line="380" w:lineRule="exact"/>
        <w:jc w:val="both"/>
        <w:rPr>
          <w:rFonts w:hint="cs"/>
          <w:rtl/>
        </w:rPr>
      </w:pPr>
      <w:r>
        <w:rPr>
          <w:rFonts w:hint="cs"/>
          <w:rtl/>
        </w:rPr>
        <w:t>510-</w:t>
      </w:r>
      <w:r>
        <w:rPr>
          <w:rFonts w:hint="cs"/>
          <w:rtl/>
        </w:rPr>
        <w:tab/>
        <w:t>ولقد أخذت الإدارة الوطنية للتعليم الشعبي المستمر تلك العوامل في الاعتبار وهي توفر مناهج ومشاريع خاصة لمختلف فئات السكان في البلد تضمن مراعاة التنوع الاجتم</w:t>
      </w:r>
      <w:r>
        <w:rPr>
          <w:rFonts w:hint="cs"/>
          <w:rtl/>
        </w:rPr>
        <w:t>اعي والثقافي.</w:t>
      </w:r>
    </w:p>
    <w:p w:rsidR="00000000" w:rsidRDefault="00567B15">
      <w:pPr>
        <w:spacing w:line="380" w:lineRule="exact"/>
        <w:jc w:val="both"/>
        <w:rPr>
          <w:rFonts w:hint="cs"/>
          <w:rtl/>
        </w:rPr>
      </w:pPr>
      <w:r>
        <w:rPr>
          <w:rFonts w:hint="cs"/>
          <w:rtl/>
        </w:rPr>
        <w:t>511-</w:t>
      </w:r>
      <w:r>
        <w:rPr>
          <w:rFonts w:hint="cs"/>
          <w:rtl/>
        </w:rPr>
        <w:tab/>
        <w:t>ويبيِّن الإقبال الموجود على طلب العلم في إطار النظام الفرعي للتعلم عن بعد ووجود برامج ومشاريع توفر حلولاً متنوعة لتلبية هذا الطلب، أن هذه الخدمة تعود بالمنفعة على عدد كبير من الناس.</w:t>
      </w:r>
    </w:p>
    <w:p w:rsidR="00000000" w:rsidRDefault="00567B15">
      <w:pPr>
        <w:spacing w:line="380" w:lineRule="exact"/>
        <w:jc w:val="both"/>
        <w:rPr>
          <w:rFonts w:hint="cs"/>
          <w:rtl/>
        </w:rPr>
      </w:pPr>
      <w:r>
        <w:rPr>
          <w:rFonts w:hint="cs"/>
          <w:rtl/>
        </w:rPr>
        <w:t>512-</w:t>
      </w:r>
      <w:r>
        <w:rPr>
          <w:rFonts w:hint="cs"/>
          <w:rtl/>
        </w:rPr>
        <w:tab/>
        <w:t>ولقد أصبح الشباب من السكان الأصليين ينخرطون ببطء ف</w:t>
      </w:r>
      <w:r>
        <w:rPr>
          <w:rFonts w:hint="cs"/>
          <w:rtl/>
        </w:rPr>
        <w:t>ي نظام التعليم الوطني. وتعتبر القيود المالية والفنية والمادية والقيود التي يفرضها الهيكل الأساسي عوامل حاسمة لإدماجهم في عملية التعليم.</w:t>
      </w:r>
    </w:p>
    <w:p w:rsidR="00000000" w:rsidRDefault="00567B15">
      <w:pPr>
        <w:spacing w:line="380" w:lineRule="exact"/>
        <w:jc w:val="both"/>
        <w:rPr>
          <w:rFonts w:hint="cs"/>
          <w:rtl/>
        </w:rPr>
      </w:pPr>
      <w:r>
        <w:rPr>
          <w:rFonts w:hint="cs"/>
          <w:rtl/>
        </w:rPr>
        <w:t>513-</w:t>
      </w:r>
      <w:r>
        <w:rPr>
          <w:rFonts w:hint="cs"/>
          <w:rtl/>
        </w:rPr>
        <w:tab/>
        <w:t>وتبرز المعدلات العالية للمنقطعين عن الدراسة والراسبين عدم اهتمام الدولة بتعليم السكان الأصليين. وتبين الدراسات التي</w:t>
      </w:r>
      <w:r>
        <w:rPr>
          <w:rFonts w:hint="cs"/>
          <w:rtl/>
        </w:rPr>
        <w:t xml:space="preserve"> أجريت خلال السنتين الدراسيتين 1997 و1998 أن نسبة الراسبين في الصفوف السابع والثامن والتاسع تبلغ 2 في المائة، بينما تبلغ نسبة المنقطعين عن الدراسة 26.6 في المائة.</w:t>
      </w:r>
    </w:p>
    <w:p w:rsidR="00000000" w:rsidRDefault="00567B15">
      <w:pPr>
        <w:spacing w:line="380" w:lineRule="exact"/>
        <w:jc w:val="both"/>
        <w:rPr>
          <w:rFonts w:hint="cs"/>
          <w:rtl/>
        </w:rPr>
      </w:pPr>
      <w:r>
        <w:rPr>
          <w:rFonts w:hint="cs"/>
          <w:rtl/>
        </w:rPr>
        <w:t>514-</w:t>
      </w:r>
      <w:r>
        <w:rPr>
          <w:rFonts w:hint="cs"/>
          <w:rtl/>
        </w:rPr>
        <w:tab/>
        <w:t>ويثير معدل الانقطاع عن الدراسة في السنة الثانية من التعليم الأساسي قلقاً أكبر لأنه يصل إ</w:t>
      </w:r>
      <w:r>
        <w:rPr>
          <w:rFonts w:hint="cs"/>
          <w:rtl/>
        </w:rPr>
        <w:t>لى نسبة قدرها 33.5 في المائة.</w:t>
      </w:r>
    </w:p>
    <w:p w:rsidR="00000000" w:rsidRDefault="00567B15">
      <w:pPr>
        <w:spacing w:line="380" w:lineRule="exact"/>
        <w:jc w:val="both"/>
        <w:rPr>
          <w:rFonts w:hint="cs"/>
          <w:rtl/>
        </w:rPr>
      </w:pPr>
      <w:r>
        <w:rPr>
          <w:rFonts w:hint="cs"/>
          <w:rtl/>
        </w:rPr>
        <w:t>515-</w:t>
      </w:r>
      <w:r>
        <w:rPr>
          <w:rFonts w:hint="cs"/>
          <w:rtl/>
        </w:rPr>
        <w:tab/>
        <w:t>ولا يتجاوز عدد الطلاب الذين يواصلون دراستهم بعد استكمال سنوات الدراسة الست الأولى نسبة 40 في المائة، وتحاول نسبة ال‍ 60 في المائة المتبقية الحصول على عمل في الأرياف أو في المدن. وكلما اجتاز الطلاب مرحلة من مراحل التعليم ا</w:t>
      </w:r>
      <w:r>
        <w:rPr>
          <w:rFonts w:hint="cs"/>
          <w:rtl/>
        </w:rPr>
        <w:t>لأساسي حتى البكالوريا يصبح معدل المنقطعين عن الدراسة مثيراً لقلق بالغ، ولا يواصل سوى 10 إلى 13 في المائة من هؤلاء الطلاب دراستهم حتى نيل شهادة البكالوريا.</w:t>
      </w:r>
    </w:p>
    <w:p w:rsidR="00000000" w:rsidRDefault="00567B15">
      <w:pPr>
        <w:spacing w:line="380" w:lineRule="exact"/>
        <w:jc w:val="both"/>
        <w:rPr>
          <w:rFonts w:hint="cs"/>
          <w:rtl/>
        </w:rPr>
      </w:pPr>
      <w:r>
        <w:rPr>
          <w:rFonts w:hint="cs"/>
          <w:rtl/>
        </w:rPr>
        <w:t>516-</w:t>
      </w:r>
      <w:r>
        <w:rPr>
          <w:rFonts w:hint="cs"/>
          <w:rtl/>
        </w:rPr>
        <w:tab/>
        <w:t>وفيما يتعلق بالمعوقين كنسبة من إجمالي عدد السكان في إكوادور، لاتتاح إمكانية الحصول على التعليم ا</w:t>
      </w:r>
      <w:r>
        <w:rPr>
          <w:rFonts w:hint="cs"/>
          <w:rtl/>
        </w:rPr>
        <w:t>لخاص إلاَّ أمام 4 في المائة من الأشخاص المصابين بشكل ما من أشكال العوق وهم يشكلون 13 في المائة من إجمالي عدد السكان (000 600 1 نسمة)، ، ولا يكمل 37.9 في المائة من المعوقين دراستهم بغض النظر عن نوع التعليم. وتبرز المقارنة بمعدلات الأمية العامة (9.8 في المائ</w:t>
      </w:r>
      <w:r>
        <w:rPr>
          <w:rFonts w:hint="cs"/>
          <w:rtl/>
        </w:rPr>
        <w:t>ة) أن هذه الفئة من السكان محرومة ومحدودة إلى حد كبير للغاية من حيث إمكانية الحصول على التعليم الأساسي. ويتبين أن معدل الأمية أعلى بين هذه الفئة من السكان ولا سيما في المناطق الريفية.</w:t>
      </w:r>
    </w:p>
    <w:p w:rsidR="00000000" w:rsidRDefault="00567B15">
      <w:pPr>
        <w:spacing w:line="380" w:lineRule="exact"/>
        <w:jc w:val="both"/>
        <w:rPr>
          <w:rFonts w:hint="cs"/>
          <w:rtl/>
        </w:rPr>
      </w:pPr>
      <w:r>
        <w:rPr>
          <w:rFonts w:hint="cs"/>
          <w:rtl/>
        </w:rPr>
        <w:t>517-</w:t>
      </w:r>
      <w:r>
        <w:rPr>
          <w:rFonts w:hint="cs"/>
          <w:rtl/>
        </w:rPr>
        <w:tab/>
        <w:t>وإذا وضعنا في الحسبان أن 50.9 في المائة من عموم السكان أكملوا المدرس</w:t>
      </w:r>
      <w:r>
        <w:rPr>
          <w:rFonts w:hint="cs"/>
          <w:rtl/>
        </w:rPr>
        <w:t xml:space="preserve">ة الابتدائية (السنة السابعة من التعليم الأساسي) وأن 62.1 في المائة من الأشخاص المعوقين لم يصلوا إلى هذا المستوى من التعليم، لتبين بوضوح أنهم محرومون. وتبلغ نسبة الأشخاص المعوقين الذين يستكملون التعليم الثانوي (البكالوريا) زهاء 10.5 في المائة مقابل 25.9 في </w:t>
      </w:r>
      <w:r>
        <w:rPr>
          <w:rFonts w:hint="cs"/>
          <w:rtl/>
        </w:rPr>
        <w:t>المائة لعامة السكان. أما نسبة الأشخاص المعوقين المسجلين في مؤسسة ما من مؤسسات التعليم، فهي بالكاد تبلغ 23 في المائة، بينما تبلغ نسبة الذين لا يستفيدون منها 76.2 في المائة.</w:t>
      </w:r>
    </w:p>
    <w:p w:rsidR="00000000" w:rsidRDefault="00567B15">
      <w:pPr>
        <w:spacing w:line="380" w:lineRule="exact"/>
        <w:jc w:val="both"/>
        <w:rPr>
          <w:rFonts w:hint="cs"/>
          <w:rtl/>
        </w:rPr>
      </w:pPr>
      <w:r>
        <w:rPr>
          <w:rFonts w:hint="cs"/>
          <w:rtl/>
        </w:rPr>
        <w:t>518-</w:t>
      </w:r>
      <w:r>
        <w:rPr>
          <w:rFonts w:hint="cs"/>
          <w:rtl/>
        </w:rPr>
        <w:tab/>
        <w:t>ولقد عرضت المدارس النظامية خدماتها على 58.8 في المائة من الأشخاص المعوقين على ا</w:t>
      </w:r>
      <w:r>
        <w:rPr>
          <w:rFonts w:hint="cs"/>
          <w:rtl/>
        </w:rPr>
        <w:t>لصعيد الوطني. وتكفلت مؤسسات ومراكز أخرى بتعليم نسبة 34.6 في المائة المتبقية من بينهم ولا سيما في المناطق الساحلية.</w:t>
      </w:r>
    </w:p>
    <w:p w:rsidR="00000000" w:rsidRDefault="00567B15">
      <w:pPr>
        <w:spacing w:line="380" w:lineRule="exact"/>
        <w:jc w:val="both"/>
        <w:rPr>
          <w:rFonts w:hint="cs"/>
          <w:rtl/>
        </w:rPr>
      </w:pPr>
      <w:r>
        <w:rPr>
          <w:rFonts w:hint="cs"/>
          <w:rtl/>
        </w:rPr>
        <w:t>519-</w:t>
      </w:r>
      <w:r>
        <w:rPr>
          <w:rFonts w:hint="cs"/>
          <w:rtl/>
        </w:rPr>
        <w:tab/>
        <w:t xml:space="preserve">و لا يحصل 6.1 في المائة من الأطفال الذين لديهم احتياجات تربوية خاصة على أي دعم على الرغم من أنهم يدمجون ظاهرياً في التعليم النظامي0 </w:t>
      </w:r>
    </w:p>
    <w:p w:rsidR="00000000" w:rsidRDefault="00567B15">
      <w:pPr>
        <w:spacing w:line="380" w:lineRule="exact"/>
        <w:jc w:val="both"/>
        <w:rPr>
          <w:rFonts w:hint="cs"/>
          <w:rtl/>
        </w:rPr>
      </w:pPr>
      <w:r>
        <w:rPr>
          <w:rFonts w:hint="cs"/>
          <w:rtl/>
        </w:rPr>
        <w:t>520</w:t>
      </w:r>
      <w:r>
        <w:rPr>
          <w:rFonts w:hint="cs"/>
          <w:rtl/>
        </w:rPr>
        <w:t>-</w:t>
      </w:r>
      <w:r>
        <w:rPr>
          <w:rFonts w:hint="cs"/>
          <w:rtl/>
        </w:rPr>
        <w:tab/>
        <w:t>وتضطلع الشعبة الوطنية للتربية الخاصة ال</w:t>
      </w:r>
      <w:r>
        <w:rPr>
          <w:rFonts w:hint="cs"/>
          <w:rtl/>
        </w:rPr>
        <w:t xml:space="preserve">مدارة ذاتياً، بأنشطة لأجل الطلاب الذين لديهم احتياجات تربوية خاصة. وتوجد الآن على الصعيد الوطني 97 مؤسسة للتربية الخاصة تموَّل من الدولة ومن القطاع الخاص، وتضم 379 1 معلماً يعملون مع 140 4 طالباً مصاباً بتخلف عقلي؛ </w:t>
      </w:r>
      <w:r>
        <w:rPr>
          <w:rFonts w:hint="cs"/>
          <w:rtl/>
        </w:rPr>
        <w:t>و185 1 طالباً يعانون من إعاقات سمعية؛ و330 طالباً يعانون من إعاقات بصرية؛ و462 طالباً مصابين بشلل مخي؛ و26 طالباً يعانون من صعوبات في الحركة، أي مع 143 6 طالباً في المجموع.</w:t>
      </w:r>
    </w:p>
    <w:p w:rsidR="00000000" w:rsidRDefault="00567B15">
      <w:pPr>
        <w:spacing w:line="380" w:lineRule="exact"/>
        <w:jc w:val="both"/>
        <w:rPr>
          <w:rFonts w:hint="cs"/>
          <w:rtl/>
        </w:rPr>
      </w:pPr>
      <w:r>
        <w:rPr>
          <w:rFonts w:hint="cs"/>
          <w:i/>
          <w:iCs/>
          <w:rtl/>
        </w:rPr>
        <w:t>المساواة في التعليم</w:t>
      </w:r>
    </w:p>
    <w:p w:rsidR="00000000" w:rsidRDefault="00567B15">
      <w:pPr>
        <w:spacing w:line="380" w:lineRule="exact"/>
        <w:jc w:val="both"/>
        <w:rPr>
          <w:rFonts w:hint="cs"/>
          <w:spacing w:val="0"/>
          <w:rtl/>
        </w:rPr>
      </w:pPr>
      <w:r>
        <w:rPr>
          <w:rFonts w:hint="cs"/>
          <w:spacing w:val="0"/>
          <w:rtl/>
        </w:rPr>
        <w:t>521-</w:t>
      </w:r>
      <w:r>
        <w:rPr>
          <w:rFonts w:hint="cs"/>
          <w:spacing w:val="0"/>
          <w:rtl/>
        </w:rPr>
        <w:tab/>
        <w:t>كانت التدابير المعتمدة لضمان المساواة في إمكانية الاستفادة</w:t>
      </w:r>
      <w:r>
        <w:rPr>
          <w:rFonts w:hint="cs"/>
          <w:spacing w:val="0"/>
          <w:rtl/>
        </w:rPr>
        <w:t xml:space="preserve"> من التعليم بجميع مستوياته في إكوادور تعتمد إلى حد كبير على السياسات التي اتبعتها مختلف الحكومات، ولكن تم، جوهرياً، تنفيذ ما يلي في المرحلة الابتدائية:</w:t>
      </w:r>
    </w:p>
    <w:p w:rsidR="00000000" w:rsidRDefault="00567B15">
      <w:pPr>
        <w:spacing w:before="180" w:after="180" w:line="380" w:lineRule="exact"/>
        <w:jc w:val="both"/>
        <w:rPr>
          <w:rFonts w:hint="cs"/>
          <w:rtl/>
        </w:rPr>
      </w:pPr>
      <w:r>
        <w:rPr>
          <w:rFonts w:hint="cs"/>
          <w:rtl/>
        </w:rPr>
        <w:tab/>
        <w:t>(أ)</w:t>
      </w:r>
      <w:r>
        <w:rPr>
          <w:rFonts w:hint="cs"/>
          <w:rtl/>
        </w:rPr>
        <w:tab/>
        <w:t>إصلاح المناهج؛</w:t>
      </w:r>
    </w:p>
    <w:p w:rsidR="00000000" w:rsidRDefault="00567B15">
      <w:pPr>
        <w:spacing w:before="180" w:after="180" w:line="380" w:lineRule="exact"/>
        <w:jc w:val="both"/>
        <w:rPr>
          <w:rFonts w:hint="cs"/>
          <w:rtl/>
        </w:rPr>
      </w:pPr>
      <w:r>
        <w:rPr>
          <w:rFonts w:hint="cs"/>
          <w:rtl/>
        </w:rPr>
        <w:tab/>
        <w:t>(ب)</w:t>
      </w:r>
      <w:r>
        <w:rPr>
          <w:rFonts w:hint="cs"/>
          <w:rtl/>
        </w:rPr>
        <w:tab/>
        <w:t>[توفير] اللوازم المدرسية؛</w:t>
      </w:r>
    </w:p>
    <w:p w:rsidR="00000000" w:rsidRDefault="00567B15">
      <w:pPr>
        <w:spacing w:before="180" w:after="180" w:line="380" w:lineRule="exact"/>
        <w:jc w:val="both"/>
        <w:rPr>
          <w:rFonts w:hint="cs"/>
          <w:rtl/>
        </w:rPr>
      </w:pPr>
      <w:r>
        <w:rPr>
          <w:rFonts w:hint="cs"/>
          <w:rtl/>
        </w:rPr>
        <w:tab/>
        <w:t>(ج)</w:t>
      </w:r>
      <w:r>
        <w:rPr>
          <w:rFonts w:hint="cs"/>
          <w:rtl/>
        </w:rPr>
        <w:tab/>
        <w:t>[توفير] وجبات الطعام الخفيفة في المدرسة؛</w:t>
      </w:r>
    </w:p>
    <w:p w:rsidR="00000000" w:rsidRDefault="00567B15">
      <w:pPr>
        <w:spacing w:before="180" w:after="180" w:line="380" w:lineRule="exact"/>
        <w:jc w:val="both"/>
        <w:rPr>
          <w:rFonts w:hint="cs"/>
          <w:rtl/>
        </w:rPr>
      </w:pPr>
      <w:r>
        <w:rPr>
          <w:rFonts w:hint="cs"/>
          <w:rtl/>
        </w:rPr>
        <w:tab/>
        <w:t>(د)</w:t>
      </w:r>
      <w:r>
        <w:rPr>
          <w:rFonts w:hint="cs"/>
          <w:rtl/>
        </w:rPr>
        <w:tab/>
        <w:t>[ت</w:t>
      </w:r>
      <w:r>
        <w:rPr>
          <w:rFonts w:hint="cs"/>
          <w:rtl/>
        </w:rPr>
        <w:t>وفير] وجبات الطعام في المدرسة؛</w:t>
      </w:r>
    </w:p>
    <w:p w:rsidR="00000000" w:rsidRDefault="00567B15">
      <w:pPr>
        <w:spacing w:before="180" w:after="180" w:line="380" w:lineRule="exact"/>
        <w:jc w:val="both"/>
        <w:rPr>
          <w:rFonts w:hint="cs"/>
          <w:rtl/>
        </w:rPr>
      </w:pPr>
      <w:r>
        <w:rPr>
          <w:rFonts w:hint="cs"/>
          <w:rtl/>
        </w:rPr>
        <w:tab/>
        <w:t>(ه‍)</w:t>
      </w:r>
      <w:r>
        <w:rPr>
          <w:rFonts w:hint="cs"/>
          <w:rtl/>
        </w:rPr>
        <w:tab/>
        <w:t>[توفير] دفتر القسائم المدرسية.</w:t>
      </w:r>
    </w:p>
    <w:p w:rsidR="00000000" w:rsidRDefault="00567B15">
      <w:pPr>
        <w:spacing w:line="380" w:lineRule="exact"/>
        <w:jc w:val="both"/>
        <w:rPr>
          <w:rFonts w:hint="cs"/>
          <w:rtl/>
        </w:rPr>
      </w:pPr>
      <w:r>
        <w:rPr>
          <w:rFonts w:hint="cs"/>
          <w:rtl/>
        </w:rPr>
        <w:t>522-</w:t>
      </w:r>
      <w:r>
        <w:rPr>
          <w:rFonts w:hint="cs"/>
          <w:rtl/>
        </w:rPr>
        <w:tab/>
        <w:t>ولقد عولج مشكل التعليم المعقد في إكوادور بفضل مجموعة من مشاريع الإصلاح المفصلة، وآخر ما اعتمد منها في مجلس التعليم الوطني هو "الاقتراح المتفق عليه بشأن إصلاح مناهج التعليم الأساسي" ال</w:t>
      </w:r>
      <w:r>
        <w:rPr>
          <w:rFonts w:hint="cs"/>
          <w:rtl/>
        </w:rPr>
        <w:t>ذي دخل حيز النفاذ في شباط/فبراير 1996.</w:t>
      </w:r>
    </w:p>
    <w:p w:rsidR="00000000" w:rsidRDefault="00567B15">
      <w:pPr>
        <w:spacing w:line="380" w:lineRule="exact"/>
        <w:jc w:val="both"/>
        <w:rPr>
          <w:rFonts w:hint="cs"/>
          <w:rtl/>
        </w:rPr>
      </w:pPr>
      <w:r>
        <w:rPr>
          <w:rFonts w:hint="cs"/>
          <w:rtl/>
        </w:rPr>
        <w:t>523-</w:t>
      </w:r>
      <w:r>
        <w:rPr>
          <w:rFonts w:hint="cs"/>
          <w:rtl/>
        </w:rPr>
        <w:tab/>
        <w:t>أما الهدف المنشود من إصلاح المناهج وتغييرها فهو تنفيذ الاقتراح الحالي كخطوة باتجاه الإصلاح الفعال للمناهج، أي الإصلاح الذي يتم في الصف بمبادرة من المعلم وهو يشمل الكتب المدرسية والمواد التربوية والهيكل الأساسي وا</w:t>
      </w:r>
      <w:r>
        <w:rPr>
          <w:rFonts w:hint="cs"/>
          <w:rtl/>
        </w:rPr>
        <w:t>لوقت المكرس للدراسة، وأساليب الإدارة، ومشاركة الأهل والمجتمع. ويجب أن يحث هذا النهج على بذل جهود لترسيخ الإصلاح التربوي المستمر والرفيع المستوى الذي يعكس التنوع الاجتماعي الثقافي والاقتصادي للبلد. ويجب أن تلبي العروض التربوية احتياجات ومصالح الطلاب ومجتمعا</w:t>
      </w:r>
      <w:r>
        <w:rPr>
          <w:rFonts w:hint="cs"/>
          <w:rtl/>
        </w:rPr>
        <w:t>تهم عن طريق التدريب الأخلاقي والعلمي والثقافي الذي يدعم التدريب العام على العمل والتنمية المستديمة، مع إيلاء الاهتمام، على وجه الأولوية، للمناطق الريفية والحضرية المحرومة</w:t>
      </w:r>
      <w:r>
        <w:rPr>
          <w:rFonts w:hint="cs"/>
          <w:vertAlign w:val="superscript"/>
          <w:rtl/>
        </w:rPr>
        <w:t>(73)</w:t>
      </w:r>
      <w:r>
        <w:rPr>
          <w:rFonts w:hint="cs"/>
          <w:rtl/>
        </w:rPr>
        <w:t>.</w:t>
      </w:r>
    </w:p>
    <w:p w:rsidR="00000000" w:rsidRDefault="00567B15">
      <w:pPr>
        <w:spacing w:line="380" w:lineRule="exact"/>
        <w:jc w:val="both"/>
        <w:rPr>
          <w:rFonts w:hint="cs"/>
          <w:rtl/>
        </w:rPr>
      </w:pPr>
      <w:r>
        <w:rPr>
          <w:rFonts w:hint="cs"/>
          <w:rtl/>
        </w:rPr>
        <w:t>524-</w:t>
      </w:r>
      <w:r>
        <w:rPr>
          <w:rFonts w:hint="cs"/>
          <w:rtl/>
        </w:rPr>
        <w:tab/>
        <w:t>وستوزع مجموعة اللوازم المدرسية مجاناً على الأطفال في مدارس مرحلة ما قبل الم</w:t>
      </w:r>
      <w:r>
        <w:rPr>
          <w:rFonts w:hint="cs"/>
          <w:rtl/>
        </w:rPr>
        <w:t>درسة الابتدائية والمدارس الابتدائية الممولة من الدولة والممولة من الدولة بالاشتراك مع الهيئات الكنسية في جميع أرجاء البلد، باستثناء المدارس المشمولة في مشروع التعليم الأساسي/التنمية الأساسية، والفعالية والجودة، وبرنامج التدريب الاجتماعي وتدريب العمالة في ا</w:t>
      </w:r>
      <w:r>
        <w:rPr>
          <w:rFonts w:hint="cs"/>
          <w:rtl/>
        </w:rPr>
        <w:t>لمناطق الريفية:</w:t>
      </w:r>
    </w:p>
    <w:p w:rsidR="00000000" w:rsidRDefault="00567B15">
      <w:pPr>
        <w:spacing w:before="180" w:after="180" w:line="380" w:lineRule="exact"/>
        <w:jc w:val="both"/>
        <w:rPr>
          <w:rFonts w:hint="cs"/>
          <w:rtl/>
        </w:rPr>
      </w:pPr>
      <w:r>
        <w:rPr>
          <w:rFonts w:hint="cs"/>
          <w:rtl/>
        </w:rPr>
        <w:tab/>
        <w:t>(أ)</w:t>
      </w:r>
      <w:r>
        <w:rPr>
          <w:rFonts w:hint="cs"/>
          <w:rtl/>
        </w:rPr>
        <w:tab/>
        <w:t>الصف الأول من التعليم الأساسي (رياض الأطفال سابقاً) - الكتب المدرسية؛</w:t>
      </w:r>
    </w:p>
    <w:p w:rsidR="00000000" w:rsidRDefault="00567B15">
      <w:pPr>
        <w:spacing w:before="180" w:after="180" w:line="380" w:lineRule="exact"/>
        <w:jc w:val="both"/>
        <w:rPr>
          <w:rFonts w:hint="cs"/>
          <w:rtl/>
        </w:rPr>
      </w:pPr>
      <w:r>
        <w:rPr>
          <w:rFonts w:hint="cs"/>
          <w:rtl/>
        </w:rPr>
        <w:tab/>
        <w:t>(ب)</w:t>
      </w:r>
      <w:r>
        <w:rPr>
          <w:rFonts w:hint="cs"/>
          <w:rtl/>
        </w:rPr>
        <w:tab/>
        <w:t>الصف الثاني من التعليم الأساسي (الصف الأول سابقاً) - الكتب المدرسية واللوازم المدرسية التي تشمل الدفاتر والأقلام الملونة والمساطر ومواد للنظافة الشخصية؛</w:t>
      </w:r>
    </w:p>
    <w:p w:rsidR="00000000" w:rsidRDefault="00567B15">
      <w:pPr>
        <w:spacing w:before="180" w:after="180" w:line="380" w:lineRule="exact"/>
        <w:jc w:val="both"/>
        <w:rPr>
          <w:rFonts w:hint="cs"/>
          <w:rtl/>
        </w:rPr>
      </w:pPr>
      <w:r>
        <w:rPr>
          <w:rFonts w:hint="cs"/>
          <w:rtl/>
        </w:rPr>
        <w:tab/>
        <w:t>(ج)</w:t>
      </w:r>
      <w:r>
        <w:rPr>
          <w:rFonts w:hint="cs"/>
          <w:rtl/>
        </w:rPr>
        <w:tab/>
        <w:t>ال</w:t>
      </w:r>
      <w:r>
        <w:rPr>
          <w:rFonts w:hint="cs"/>
          <w:rtl/>
        </w:rPr>
        <w:t>صف الثالث من التعليم الأساسي (الصف الثاني سابقاً) - اللوازم المدرسية؛</w:t>
      </w:r>
    </w:p>
    <w:p w:rsidR="00000000" w:rsidRDefault="00567B15">
      <w:pPr>
        <w:spacing w:before="180" w:after="180" w:line="380" w:lineRule="exact"/>
        <w:jc w:val="both"/>
        <w:rPr>
          <w:rFonts w:hint="cs"/>
          <w:rtl/>
        </w:rPr>
      </w:pPr>
      <w:r>
        <w:rPr>
          <w:rFonts w:hint="cs"/>
          <w:rtl/>
        </w:rPr>
        <w:tab/>
        <w:t>(د)</w:t>
      </w:r>
      <w:r>
        <w:rPr>
          <w:rFonts w:hint="cs"/>
          <w:rtl/>
        </w:rPr>
        <w:tab/>
        <w:t>ستحصل المدارس على كتب القراءة وفقاً لعدد الطلاب المسجلين في الصفين الرابع والخامس من التعليم الأساسي (الصفان الثالث والرابع سابقاً)، وستصبح هذه الكتب ملكاً للمدرسة.</w:t>
      </w:r>
    </w:p>
    <w:p w:rsidR="00000000" w:rsidRDefault="00567B15">
      <w:pPr>
        <w:spacing w:line="380" w:lineRule="exact"/>
        <w:jc w:val="both"/>
        <w:rPr>
          <w:rFonts w:hint="cs"/>
          <w:rtl/>
        </w:rPr>
      </w:pPr>
      <w:r>
        <w:rPr>
          <w:rFonts w:hint="cs"/>
          <w:rtl/>
        </w:rPr>
        <w:t>525-</w:t>
      </w:r>
      <w:r>
        <w:rPr>
          <w:rFonts w:hint="cs"/>
          <w:rtl/>
        </w:rPr>
        <w:tab/>
        <w:t>ويتم الآن ب</w:t>
      </w:r>
      <w:r>
        <w:rPr>
          <w:rFonts w:hint="cs"/>
          <w:rtl/>
        </w:rPr>
        <w:t>ذل جهود لتوفير وجبات الغذاء المدرسية والمنح المدرسية عن طريق دفتر قسائم يعطى للأسر المعوزة لكي يتمكن أطفالها من المواظبة على المدرسة. ولقد وضع هذا الحافز إعمالاً لحق الأفراد، حتى أكثرهم حرماناً، في الحصول على التعليم، وذلك بتشجيع الأسر على إرسال أطفالها إل</w:t>
      </w:r>
      <w:r>
        <w:rPr>
          <w:rFonts w:hint="cs"/>
          <w:rtl/>
        </w:rPr>
        <w:t>ى المدرسة.</w:t>
      </w:r>
    </w:p>
    <w:p w:rsidR="00000000" w:rsidRDefault="00567B15">
      <w:pPr>
        <w:spacing w:line="380" w:lineRule="exact"/>
        <w:jc w:val="both"/>
        <w:rPr>
          <w:rFonts w:hint="cs"/>
          <w:spacing w:val="0"/>
          <w:rtl/>
        </w:rPr>
      </w:pPr>
      <w:r>
        <w:rPr>
          <w:rFonts w:hint="cs"/>
          <w:spacing w:val="0"/>
          <w:rtl/>
        </w:rPr>
        <w:t>526-</w:t>
      </w:r>
      <w:r>
        <w:rPr>
          <w:rFonts w:hint="cs"/>
          <w:spacing w:val="0"/>
          <w:rtl/>
        </w:rPr>
        <w:tab/>
        <w:t>وقامت وزارة التعليم بتنفيذ برنامج شبكات التعليم الريفي الجيدة والميسرة في الفترة بين عامي 1999 و2002.</w:t>
      </w:r>
    </w:p>
    <w:p w:rsidR="00000000" w:rsidRDefault="00567B15">
      <w:pPr>
        <w:spacing w:line="380" w:lineRule="exact"/>
        <w:jc w:val="both"/>
        <w:rPr>
          <w:rFonts w:hint="cs"/>
          <w:rtl/>
        </w:rPr>
      </w:pPr>
      <w:r>
        <w:rPr>
          <w:rFonts w:hint="cs"/>
          <w:rtl/>
        </w:rPr>
        <w:t>527-</w:t>
      </w:r>
      <w:r>
        <w:rPr>
          <w:rFonts w:hint="cs"/>
          <w:rtl/>
        </w:rPr>
        <w:tab/>
        <w:t>ولكن لم تسفر التدابير المعتمدة عن النتائج المتوقعة، فعلى الرغم من أنها وضعت لمساعدة الأطفال المسجلين خلال السنة الدراسية، فهي غير كاف</w:t>
      </w:r>
      <w:r>
        <w:rPr>
          <w:rFonts w:hint="cs"/>
          <w:rtl/>
        </w:rPr>
        <w:t>ية لضمان ممارسة جميع الأطفال لحقهم في الحصول على التعليم وذلك بسبب الأزمة الخطيرة التي تعاني منها الآن الأسر المعوزة والتي تضطر أكثر الفئات حرماناً إلى السعي لإيجاد استراتيجيات جديدة للبقاء، تقتضي إحداها أن يترك الأطفال المدرسة لمساعدة أهاليهم على الاسترزا</w:t>
      </w:r>
      <w:r>
        <w:rPr>
          <w:rFonts w:hint="cs"/>
          <w:rtl/>
        </w:rPr>
        <w:t>ق لتلبية احتياجاتهم الأساسية، مثل الصحة والغذاء. وأصبحت أعداد متزايدة من الأطفال تنقطع عن الدراسة لتنضم إلى سوق العمالة غير الرسمية مع ما يترتب على ذلك من نتائج نهائية وغير قابلة للإصلاح.</w:t>
      </w:r>
    </w:p>
    <w:p w:rsidR="00000000" w:rsidRDefault="00567B15">
      <w:pPr>
        <w:spacing w:line="380" w:lineRule="exact"/>
        <w:jc w:val="both"/>
        <w:rPr>
          <w:rFonts w:hint="cs"/>
          <w:rtl/>
        </w:rPr>
      </w:pPr>
      <w:r>
        <w:rPr>
          <w:rFonts w:hint="cs"/>
          <w:rtl/>
        </w:rPr>
        <w:t>528-</w:t>
      </w:r>
      <w:r>
        <w:rPr>
          <w:rFonts w:hint="cs"/>
          <w:rtl/>
        </w:rPr>
        <w:tab/>
        <w:t xml:space="preserve">وبغية إيجاد حل لهذا المشكل، وضع برنامج الحماية الاجتماعية دفتر </w:t>
      </w:r>
      <w:r>
        <w:rPr>
          <w:rFonts w:hint="cs"/>
          <w:rtl/>
        </w:rPr>
        <w:t xml:space="preserve">قسائم مدرسية، وهو عبارة عن منحة تدفع للأسر التي تسمح لأطفالها بالذهاب إلى المدرسة. ويدفع المبلغ مباشرة إلى الأهل الذين ما عادوا يحصِّلون أي دخل نتيجة تلك الأزمة ويساعدهم على تعويض الخسارة. ويتراوح مبلغ المنح بين 12 و15 دولاراً للأسر التي تطلبها من الدوائر </w:t>
      </w:r>
      <w:r>
        <w:rPr>
          <w:rFonts w:hint="cs"/>
          <w:rtl/>
        </w:rPr>
        <w:t>الريفية.</w:t>
      </w:r>
    </w:p>
    <w:p w:rsidR="00000000" w:rsidRDefault="00567B15">
      <w:pPr>
        <w:spacing w:line="380" w:lineRule="exact"/>
        <w:jc w:val="both"/>
        <w:rPr>
          <w:rFonts w:hint="cs"/>
          <w:rtl/>
        </w:rPr>
      </w:pPr>
      <w:r>
        <w:rPr>
          <w:rFonts w:hint="cs"/>
          <w:i/>
          <w:iCs/>
          <w:rtl/>
        </w:rPr>
        <w:t>التعليم الثنائي اللغات</w:t>
      </w:r>
    </w:p>
    <w:p w:rsidR="00000000" w:rsidRDefault="00567B15">
      <w:pPr>
        <w:spacing w:line="380" w:lineRule="exact"/>
        <w:jc w:val="both"/>
        <w:rPr>
          <w:rFonts w:hint="cs"/>
          <w:rtl/>
        </w:rPr>
      </w:pPr>
      <w:r>
        <w:rPr>
          <w:rFonts w:hint="cs"/>
          <w:rtl/>
        </w:rPr>
        <w:t>529-</w:t>
      </w:r>
      <w:r>
        <w:rPr>
          <w:rFonts w:hint="cs"/>
          <w:rtl/>
        </w:rPr>
        <w:tab/>
        <w:t xml:space="preserve">بدأ الحديث عن تعليم السكان الأصليين في إكوادور في منتصف القرن العشرين عندما أُدْخِلت تغييرات أساسية على نظام التعليم الموفر لمجتمعات السكان الأصليين. ولم تطرأ أي تغيرات على تعليم السكان الأصليين منذ أيام الاستعمار وحتى </w:t>
      </w:r>
      <w:r>
        <w:rPr>
          <w:rFonts w:hint="cs"/>
          <w:rtl/>
        </w:rPr>
        <w:t>مرحلة متأخرة من القرن العشرين، فكما يعلم الجميع لم يحرم الهنود من حقوقهم فحسب بل أخضعوا أيضاً لمعاملة مهينة ولا إنسانية للغاية</w:t>
      </w:r>
      <w:r>
        <w:rPr>
          <w:rFonts w:hint="cs"/>
          <w:vertAlign w:val="superscript"/>
          <w:rtl/>
        </w:rPr>
        <w:t>(74)</w:t>
      </w:r>
      <w:r>
        <w:rPr>
          <w:rFonts w:hint="cs"/>
          <w:rtl/>
        </w:rPr>
        <w:t>.</w:t>
      </w:r>
    </w:p>
    <w:p w:rsidR="00000000" w:rsidRDefault="00567B15">
      <w:pPr>
        <w:spacing w:line="380" w:lineRule="exact"/>
        <w:jc w:val="both"/>
        <w:rPr>
          <w:rFonts w:hint="cs"/>
          <w:rtl/>
        </w:rPr>
      </w:pPr>
      <w:r>
        <w:rPr>
          <w:rFonts w:hint="cs"/>
          <w:rtl/>
        </w:rPr>
        <w:t>530-</w:t>
      </w:r>
      <w:r>
        <w:rPr>
          <w:rFonts w:hint="cs"/>
          <w:rtl/>
        </w:rPr>
        <w:tab/>
        <w:t>ولقد قدمت الحكومة اقتراحاً في تشرين الثاني/نوفمبر 1988 بإنشاء الإدارة الوطنية المتعددة الثقافات الثنائية اللغة بالاشترا</w:t>
      </w:r>
      <w:r>
        <w:rPr>
          <w:rFonts w:hint="cs"/>
          <w:rtl/>
        </w:rPr>
        <w:t>ك مع المنظمات المنتمية إلى اتحاد قوميات السكان الأصليين في إكوادور. وتكفلت الدولة، فيما بعد، بتعليم هذه الفئة من السكان باعتماد الاقتراح المتعدد الثقافات الثنائي اللغة. وتم التوقيع في عام 1989، على اتفاق تعاون علمي بين وزارة التعليم والاتحاد. أما الهدف الخ</w:t>
      </w:r>
      <w:r>
        <w:rPr>
          <w:rFonts w:hint="cs"/>
          <w:rtl/>
        </w:rPr>
        <w:t>اص المنشود من الاتفاق فهو إنجاز بحوث لغوية وتربوية، وإعداد مواد التعليم اللازمة لمحو الأمية ولمرحلة ما بعد محو الأمية، كما تم، تدريجياً، تدريب الموظفين المشتركين على لغات الكيشوا والآوا والشاشي والتساشي واللغات الأخرى المتكلم بها في البلد</w:t>
      </w:r>
      <w:r>
        <w:rPr>
          <w:rFonts w:hint="cs"/>
          <w:vertAlign w:val="superscript"/>
          <w:rtl/>
        </w:rPr>
        <w:t>(75)</w:t>
      </w:r>
      <w:r>
        <w:rPr>
          <w:rFonts w:hint="cs"/>
          <w:rtl/>
        </w:rPr>
        <w:t>.</w:t>
      </w:r>
    </w:p>
    <w:p w:rsidR="00000000" w:rsidRDefault="00567B15">
      <w:pPr>
        <w:spacing w:before="120" w:after="120" w:line="320" w:lineRule="exact"/>
        <w:jc w:val="center"/>
        <w:rPr>
          <w:rFonts w:hint="cs"/>
          <w:b/>
          <w:bCs/>
          <w:rtl/>
        </w:rPr>
      </w:pPr>
      <w:r>
        <w:rPr>
          <w:rFonts w:hint="cs"/>
          <w:b/>
          <w:bCs/>
          <w:rtl/>
        </w:rPr>
        <w:t>التعليم الثن</w:t>
      </w:r>
      <w:r>
        <w:rPr>
          <w:rFonts w:hint="cs"/>
          <w:b/>
          <w:bCs/>
          <w:rtl/>
        </w:rPr>
        <w:t>ائي اللغة المتعدد الثقافات</w:t>
      </w:r>
    </w:p>
    <w:p w:rsidR="00000000" w:rsidRDefault="00567B15">
      <w:pPr>
        <w:spacing w:before="120" w:line="320" w:lineRule="exact"/>
        <w:jc w:val="center"/>
        <w:rPr>
          <w:rFonts w:hint="cs"/>
          <w:b/>
          <w:bCs/>
          <w:rtl/>
        </w:rPr>
      </w:pPr>
      <w:r>
        <w:rPr>
          <w:rFonts w:hint="cs"/>
          <w:b/>
          <w:bCs/>
          <w:rtl/>
        </w:rPr>
        <w:t>(السنوات الدراسية 1989-1990-1997-1998)</w:t>
      </w:r>
    </w:p>
    <w:tbl>
      <w:tblPr>
        <w:bidiVisual/>
        <w:tblW w:w="0" w:type="auto"/>
        <w:jc w:val="center"/>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0"/>
        <w:gridCol w:w="1440"/>
        <w:gridCol w:w="1440"/>
        <w:gridCol w:w="1440"/>
        <w:gridCol w:w="1368"/>
      </w:tblGrid>
      <w:tr w:rsidR="00567B15" w:rsidTr="00567B15">
        <w:tblPrEx>
          <w:tblCellMar>
            <w:top w:w="0" w:type="dxa"/>
            <w:bottom w:w="0" w:type="dxa"/>
          </w:tblCellMar>
        </w:tblPrEx>
        <w:trPr>
          <w:tblHeader/>
          <w:jc w:val="center"/>
        </w:trPr>
        <w:tc>
          <w:tcPr>
            <w:tcW w:w="3700" w:type="dxa"/>
            <w:tcBorders>
              <w:bottom w:val="single" w:sz="4" w:space="0" w:color="auto"/>
            </w:tcBorders>
          </w:tcPr>
          <w:p w:rsidR="00567B15" w:rsidRDefault="00567B15">
            <w:pPr>
              <w:spacing w:before="0" w:after="0"/>
              <w:jc w:val="both"/>
              <w:rPr>
                <w:rStyle w:val="FootnoteReference"/>
                <w:rFonts w:hint="cs"/>
                <w:bCs w:val="0"/>
                <w:sz w:val="26"/>
                <w:szCs w:val="26"/>
                <w:vertAlign w:val="baseline"/>
              </w:rPr>
            </w:pPr>
          </w:p>
        </w:tc>
        <w:tc>
          <w:tcPr>
            <w:tcW w:w="1440" w:type="dxa"/>
            <w:tcBorders>
              <w:bottom w:val="single" w:sz="4" w:space="0" w:color="auto"/>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1989-1990</w:t>
            </w:r>
          </w:p>
        </w:tc>
        <w:tc>
          <w:tcPr>
            <w:tcW w:w="1440" w:type="dxa"/>
            <w:tcBorders>
              <w:bottom w:val="single" w:sz="4" w:space="0" w:color="auto"/>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1994-1995</w:t>
            </w:r>
          </w:p>
        </w:tc>
        <w:tc>
          <w:tcPr>
            <w:tcW w:w="1440" w:type="dxa"/>
            <w:tcBorders>
              <w:bottom w:val="single" w:sz="4" w:space="0" w:color="auto"/>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1996-1997</w:t>
            </w:r>
          </w:p>
        </w:tc>
        <w:tc>
          <w:tcPr>
            <w:tcW w:w="1368" w:type="dxa"/>
            <w:tcBorders>
              <w:bottom w:val="single" w:sz="4" w:space="0" w:color="auto"/>
            </w:tcBorders>
          </w:tcPr>
          <w:p w:rsidR="00567B15" w:rsidRDefault="00567B15">
            <w:pPr>
              <w:spacing w:before="0" w:after="0"/>
              <w:jc w:val="center"/>
              <w:rPr>
                <w:rStyle w:val="FootnoteReference"/>
                <w:rFonts w:hint="cs"/>
                <w:bCs w:val="0"/>
                <w:sz w:val="26"/>
                <w:szCs w:val="26"/>
                <w:vertAlign w:val="baseline"/>
              </w:rPr>
            </w:pPr>
            <w:r>
              <w:rPr>
                <w:rFonts w:hint="cs"/>
                <w:sz w:val="26"/>
                <w:szCs w:val="26"/>
                <w:rtl/>
              </w:rPr>
              <w:t>1997-1998</w:t>
            </w:r>
          </w:p>
        </w:tc>
      </w:tr>
      <w:tr w:rsidR="00567B15" w:rsidTr="00567B15">
        <w:tblPrEx>
          <w:tblCellMar>
            <w:top w:w="0" w:type="dxa"/>
            <w:bottom w:w="0" w:type="dxa"/>
          </w:tblCellMar>
        </w:tblPrEx>
        <w:trPr>
          <w:jc w:val="center"/>
        </w:trPr>
        <w:tc>
          <w:tcPr>
            <w:tcW w:w="3700"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r>
              <w:rPr>
                <w:rFonts w:hint="cs"/>
                <w:sz w:val="26"/>
                <w:szCs w:val="26"/>
                <w:rtl/>
              </w:rPr>
              <w:t>مدارس مرحلة ما قبل الدراسة الابتدائية</w:t>
            </w:r>
          </w:p>
        </w:tc>
        <w:tc>
          <w:tcPr>
            <w:tcW w:w="1440" w:type="dxa"/>
            <w:tcBorders>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27</w:t>
            </w:r>
          </w:p>
        </w:tc>
        <w:tc>
          <w:tcPr>
            <w:tcW w:w="1440" w:type="dxa"/>
            <w:tcBorders>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37</w:t>
            </w:r>
          </w:p>
        </w:tc>
        <w:tc>
          <w:tcPr>
            <w:tcW w:w="1440" w:type="dxa"/>
            <w:tcBorders>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c>
          <w:tcPr>
            <w:tcW w:w="1368" w:type="dxa"/>
            <w:tcBorders>
              <w:bottom w:val="nil"/>
            </w:tcBorders>
          </w:tcPr>
          <w:p w:rsidR="00567B15" w:rsidRDefault="00567B15">
            <w:pPr>
              <w:spacing w:before="0" w:after="0" w:line="340" w:lineRule="exact"/>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المعلمون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27</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41</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المسجلون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525</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798</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مدارس المرحلة الابتدائية</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899</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635 1</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697 1</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730 1</w:t>
            </w: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المعلمون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157 2</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602 3</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117 4</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231 4</w:t>
            </w: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المسجلون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722 38</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094 74</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067 80</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الناجحون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525 34</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479 62</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092 67</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الراسبون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525 2</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106 6</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545 6</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single" w:sz="4" w:space="0" w:color="auto"/>
            </w:tcBorders>
          </w:tcPr>
          <w:p w:rsidR="00567B15" w:rsidRDefault="00567B15">
            <w:pPr>
              <w:spacing w:before="0" w:after="0" w:line="340" w:lineRule="exact"/>
              <w:jc w:val="both"/>
              <w:rPr>
                <w:rFonts w:hint="cs"/>
                <w:sz w:val="26"/>
                <w:szCs w:val="26"/>
                <w:rtl/>
              </w:rPr>
            </w:pPr>
            <w:r>
              <w:rPr>
                <w:rFonts w:hint="cs"/>
                <w:sz w:val="26"/>
                <w:szCs w:val="26"/>
                <w:rtl/>
              </w:rPr>
              <w:t>المنقطعون عن الدراسة</w:t>
            </w:r>
          </w:p>
        </w:tc>
        <w:tc>
          <w:tcPr>
            <w:tcW w:w="1440" w:type="dxa"/>
            <w:tcBorders>
              <w:top w:val="nil"/>
              <w:bottom w:val="single" w:sz="4" w:space="0" w:color="auto"/>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672 1</w:t>
            </w:r>
          </w:p>
        </w:tc>
        <w:tc>
          <w:tcPr>
            <w:tcW w:w="1440" w:type="dxa"/>
            <w:tcBorders>
              <w:top w:val="nil"/>
              <w:bottom w:val="single" w:sz="4" w:space="0" w:color="auto"/>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509 5</w:t>
            </w:r>
          </w:p>
        </w:tc>
        <w:tc>
          <w:tcPr>
            <w:tcW w:w="1440" w:type="dxa"/>
            <w:tcBorders>
              <w:top w:val="nil"/>
              <w:bottom w:val="single" w:sz="4" w:space="0" w:color="auto"/>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430 6</w:t>
            </w:r>
          </w:p>
        </w:tc>
        <w:tc>
          <w:tcPr>
            <w:tcW w:w="1368" w:type="dxa"/>
            <w:tcBorders>
              <w:top w:val="nil"/>
              <w:bottom w:val="single" w:sz="4" w:space="0" w:color="auto"/>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bottom w:val="nil"/>
            </w:tcBorders>
          </w:tcPr>
          <w:p w:rsidR="00567B15" w:rsidRDefault="00567B15">
            <w:pPr>
              <w:spacing w:before="0" w:after="0" w:line="340" w:lineRule="exact"/>
              <w:jc w:val="both"/>
              <w:rPr>
                <w:rFonts w:hint="cs"/>
                <w:sz w:val="26"/>
                <w:szCs w:val="26"/>
                <w:rtl/>
              </w:rPr>
            </w:pPr>
            <w:r>
              <w:rPr>
                <w:rFonts w:hint="cs"/>
                <w:sz w:val="26"/>
                <w:szCs w:val="26"/>
                <w:rtl/>
              </w:rPr>
              <w:t>مدارس المرحلة المتوسطة</w:t>
            </w:r>
          </w:p>
        </w:tc>
        <w:tc>
          <w:tcPr>
            <w:tcW w:w="1440" w:type="dxa"/>
            <w:tcBorders>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22</w:t>
            </w:r>
          </w:p>
        </w:tc>
        <w:tc>
          <w:tcPr>
            <w:tcW w:w="1440" w:type="dxa"/>
            <w:tcBorders>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63</w:t>
            </w:r>
          </w:p>
        </w:tc>
        <w:tc>
          <w:tcPr>
            <w:tcW w:w="1440" w:type="dxa"/>
            <w:tcBorders>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101</w:t>
            </w:r>
          </w:p>
        </w:tc>
        <w:tc>
          <w:tcPr>
            <w:tcW w:w="1368" w:type="dxa"/>
            <w:tcBorders>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103</w:t>
            </w: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المعلمون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416</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915</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060 1</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176 1</w:t>
            </w: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المسجلون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158 2</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580 6</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968 7</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272 9</w:t>
            </w: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الناجحون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678 1</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488 5</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524 6</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الراسبون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192</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446</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833</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المنقطعون عن الدراسة</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288</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646</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611</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pacing w:val="0"/>
                <w:sz w:val="26"/>
                <w:szCs w:val="26"/>
                <w:rtl/>
              </w:rPr>
            </w:pPr>
            <w:r>
              <w:rPr>
                <w:rFonts w:hint="cs"/>
                <w:spacing w:val="0"/>
                <w:sz w:val="26"/>
                <w:szCs w:val="26"/>
                <w:rtl/>
              </w:rPr>
              <w:t>المدارس المؤسسية للتعليم في مرحلة ما بعد البكالوريا</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3</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7</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8</w:t>
            </w: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المعلمون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94</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153</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210</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220</w:t>
            </w: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المسجلون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290</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598</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716</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الناجحون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286</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573</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543</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bottom w:val="nil"/>
            </w:tcBorders>
          </w:tcPr>
          <w:p w:rsidR="00567B15" w:rsidRDefault="00567B15">
            <w:pPr>
              <w:spacing w:before="0" w:after="0" w:line="340" w:lineRule="exact"/>
              <w:jc w:val="both"/>
              <w:rPr>
                <w:rFonts w:hint="cs"/>
                <w:sz w:val="26"/>
                <w:szCs w:val="26"/>
                <w:rtl/>
              </w:rPr>
            </w:pPr>
            <w:r>
              <w:rPr>
                <w:rFonts w:hint="cs"/>
                <w:sz w:val="26"/>
                <w:szCs w:val="26"/>
                <w:rtl/>
              </w:rPr>
              <w:t>الطلاب الراسبون</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4</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22</w:t>
            </w:r>
          </w:p>
        </w:tc>
        <w:tc>
          <w:tcPr>
            <w:tcW w:w="1440"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102</w:t>
            </w:r>
          </w:p>
        </w:tc>
        <w:tc>
          <w:tcPr>
            <w:tcW w:w="1368" w:type="dxa"/>
            <w:tcBorders>
              <w:top w:val="nil"/>
              <w:bottom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r w:rsidR="00567B15" w:rsidTr="00567B15">
        <w:tblPrEx>
          <w:tblCellMar>
            <w:top w:w="0" w:type="dxa"/>
            <w:bottom w:w="0" w:type="dxa"/>
          </w:tblCellMar>
        </w:tblPrEx>
        <w:trPr>
          <w:jc w:val="center"/>
        </w:trPr>
        <w:tc>
          <w:tcPr>
            <w:tcW w:w="3700" w:type="dxa"/>
            <w:tcBorders>
              <w:top w:val="nil"/>
            </w:tcBorders>
          </w:tcPr>
          <w:p w:rsidR="00567B15" w:rsidRDefault="00567B15">
            <w:pPr>
              <w:spacing w:before="0" w:after="0" w:line="340" w:lineRule="exact"/>
              <w:jc w:val="both"/>
              <w:rPr>
                <w:rFonts w:hint="cs"/>
                <w:sz w:val="26"/>
                <w:szCs w:val="26"/>
                <w:rtl/>
              </w:rPr>
            </w:pPr>
            <w:r>
              <w:rPr>
                <w:rFonts w:hint="cs"/>
                <w:sz w:val="26"/>
                <w:szCs w:val="26"/>
                <w:rtl/>
              </w:rPr>
              <w:t>المنقطعون عن الدراسة</w:t>
            </w:r>
          </w:p>
        </w:tc>
        <w:tc>
          <w:tcPr>
            <w:tcW w:w="1440" w:type="dxa"/>
            <w:tcBorders>
              <w:top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صفر</w:t>
            </w:r>
          </w:p>
        </w:tc>
        <w:tc>
          <w:tcPr>
            <w:tcW w:w="1440" w:type="dxa"/>
            <w:tcBorders>
              <w:top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3</w:t>
            </w:r>
          </w:p>
        </w:tc>
        <w:tc>
          <w:tcPr>
            <w:tcW w:w="1440" w:type="dxa"/>
            <w:tcBorders>
              <w:top w:val="nil"/>
            </w:tcBorders>
          </w:tcPr>
          <w:p w:rsidR="00567B15" w:rsidRDefault="00567B15">
            <w:pPr>
              <w:spacing w:before="0" w:after="0" w:line="340" w:lineRule="exact"/>
              <w:ind w:firstLine="252"/>
              <w:jc w:val="both"/>
              <w:rPr>
                <w:rStyle w:val="FootnoteReference"/>
                <w:rFonts w:hint="cs"/>
                <w:bCs w:val="0"/>
                <w:sz w:val="26"/>
                <w:szCs w:val="26"/>
                <w:vertAlign w:val="baseline"/>
              </w:rPr>
            </w:pPr>
            <w:r>
              <w:rPr>
                <w:rFonts w:hint="cs"/>
                <w:sz w:val="26"/>
                <w:szCs w:val="26"/>
                <w:rtl/>
              </w:rPr>
              <w:t>71</w:t>
            </w:r>
          </w:p>
        </w:tc>
        <w:tc>
          <w:tcPr>
            <w:tcW w:w="1368" w:type="dxa"/>
            <w:tcBorders>
              <w:top w:val="nil"/>
            </w:tcBorders>
          </w:tcPr>
          <w:p w:rsidR="00567B15" w:rsidRDefault="00567B15">
            <w:pPr>
              <w:spacing w:before="0" w:after="0" w:line="340" w:lineRule="exact"/>
              <w:ind w:firstLine="252"/>
              <w:jc w:val="both"/>
              <w:rPr>
                <w:rStyle w:val="FootnoteReference"/>
                <w:rFonts w:hint="cs"/>
                <w:bCs w:val="0"/>
                <w:sz w:val="26"/>
                <w:szCs w:val="26"/>
                <w:vertAlign w:val="baseline"/>
              </w:rPr>
            </w:pPr>
          </w:p>
        </w:tc>
      </w:tr>
    </w:tbl>
    <w:p w:rsidR="00000000" w:rsidRDefault="00567B15">
      <w:pPr>
        <w:jc w:val="both"/>
        <w:rPr>
          <w:rFonts w:hint="cs"/>
          <w:rtl/>
        </w:rPr>
      </w:pPr>
      <w:r>
        <w:rPr>
          <w:rFonts w:hint="cs"/>
          <w:rtl/>
        </w:rPr>
        <w:tab/>
      </w:r>
      <w:r>
        <w:rPr>
          <w:rFonts w:hint="cs"/>
          <w:u w:val="single"/>
          <w:rtl/>
        </w:rPr>
        <w:t>المصدر</w:t>
      </w:r>
      <w:r>
        <w:rPr>
          <w:rFonts w:hint="cs"/>
          <w:rtl/>
        </w:rPr>
        <w:t xml:space="preserve">: </w:t>
      </w:r>
      <w:r>
        <w:rPr>
          <w:rFonts w:hint="cs"/>
          <w:i/>
          <w:iCs/>
          <w:rtl/>
        </w:rPr>
        <w:t>الحولية الإحصائية للتعليم الثنائي اللغة المتعدد الثقافات</w:t>
      </w:r>
      <w:r>
        <w:rPr>
          <w:rFonts w:hint="cs"/>
          <w:rtl/>
        </w:rPr>
        <w:t>.</w:t>
      </w:r>
    </w:p>
    <w:p w:rsidR="00000000" w:rsidRDefault="00567B15">
      <w:pPr>
        <w:spacing w:line="380" w:lineRule="exact"/>
        <w:jc w:val="both"/>
        <w:rPr>
          <w:rFonts w:hint="cs"/>
          <w:rtl/>
        </w:rPr>
      </w:pPr>
      <w:r>
        <w:rPr>
          <w:rFonts w:hint="cs"/>
          <w:i/>
          <w:iCs/>
          <w:rtl/>
        </w:rPr>
        <w:t>الشروط المتاحة للمعلمين</w:t>
      </w:r>
    </w:p>
    <w:p w:rsidR="00000000" w:rsidRDefault="00567B15">
      <w:pPr>
        <w:spacing w:line="380" w:lineRule="exact"/>
        <w:jc w:val="both"/>
        <w:rPr>
          <w:rStyle w:val="FootnoteReference"/>
          <w:rFonts w:hint="cs"/>
          <w:bCs w:val="0"/>
          <w:vertAlign w:val="baseline"/>
          <w:rtl/>
        </w:rPr>
      </w:pPr>
      <w:r>
        <w:rPr>
          <w:rFonts w:hint="cs"/>
          <w:rtl/>
        </w:rPr>
        <w:t>531-</w:t>
      </w:r>
      <w:r>
        <w:rPr>
          <w:rFonts w:hint="cs"/>
          <w:rtl/>
        </w:rPr>
        <w:tab/>
        <w:t>تحدد مرتبات الموظفين المكلفين بالتعليم (المعلمون) وتضبط بموجب القانون الوطني</w:t>
      </w:r>
      <w:r>
        <w:rPr>
          <w:rFonts w:hint="cs"/>
          <w:rtl/>
        </w:rPr>
        <w:t xml:space="preserve"> لمهنة التعليم وسلم المرتبات كما تحدد مرتبات الموظفين الإداريين وموظفي الخدمات وتضبط بموجب قانون الخدمة المدنية والإدارة العامة. وتضبط أنظمة خاصة سلم المرتبات في الهيئات المستقلة والوزارية. ولقد ازداد سلم مرتبات المعلمين بعد وضع هذا القانون.</w:t>
      </w:r>
    </w:p>
    <w:p w:rsidR="00000000" w:rsidRDefault="00567B15">
      <w:pPr>
        <w:spacing w:line="380" w:lineRule="exact"/>
        <w:jc w:val="both"/>
        <w:rPr>
          <w:rFonts w:hint="cs"/>
          <w:rtl/>
        </w:rPr>
      </w:pPr>
      <w:r>
        <w:rPr>
          <w:rFonts w:hint="cs"/>
          <w:rtl/>
        </w:rPr>
        <w:t>532-</w:t>
      </w:r>
      <w:r>
        <w:rPr>
          <w:rFonts w:hint="cs"/>
          <w:rtl/>
        </w:rPr>
        <w:tab/>
        <w:t>لقد وضع ا</w:t>
      </w:r>
      <w:r>
        <w:rPr>
          <w:rFonts w:hint="cs"/>
          <w:rtl/>
        </w:rPr>
        <w:t>لقانون والتنظيمات الوطنية لمهنة التعليم وسلم المرتبات بغية حماية العاملين في مهنة التعليم وضبط سياسات مرتبات المهنيين العاملين في سلك التعليم، ويتم تعديلها وفقاً لاحتياجات المعلمين وميزانية الحكومة. ويوجد أيضاً قانون خاص بمقاطعة غلاباخوس يحمي مرتبات المعلم</w:t>
      </w:r>
      <w:r>
        <w:rPr>
          <w:rFonts w:hint="cs"/>
          <w:rtl/>
        </w:rPr>
        <w:t>ين والمكافآت التي يمنحون.</w:t>
      </w:r>
    </w:p>
    <w:p w:rsidR="00000000" w:rsidRDefault="00567B15">
      <w:pPr>
        <w:spacing w:line="380" w:lineRule="exact"/>
        <w:jc w:val="both"/>
        <w:rPr>
          <w:rFonts w:hint="cs"/>
          <w:rtl/>
        </w:rPr>
      </w:pPr>
      <w:r>
        <w:rPr>
          <w:rFonts w:hint="cs"/>
          <w:rtl/>
        </w:rPr>
        <w:t>533-</w:t>
      </w:r>
      <w:r>
        <w:rPr>
          <w:rFonts w:hint="cs"/>
          <w:rtl/>
        </w:rPr>
        <w:tab/>
        <w:t>ولا تعادل زيادات الأجور المتاحة للموظفين العاملين في الخدمة المدنية الزيادات الممنوحة للمعلمين دائماً. ولكن تجدر الإشارة مع ذلك إلى أن مرتبات المعلمين منخفضة، ولا يفوت أحداً، بالتالي، أن المعلمين ينظمون إضرابات في كل سنة للمط</w:t>
      </w:r>
      <w:r>
        <w:rPr>
          <w:rFonts w:hint="cs"/>
          <w:rtl/>
        </w:rPr>
        <w:t>البة بزيادة مرتباتهم والمطالبة بأن تدفع لهم أجورهم في الوقت المحدد.</w:t>
      </w:r>
    </w:p>
    <w:p w:rsidR="00000000" w:rsidRDefault="00567B15">
      <w:pPr>
        <w:spacing w:line="380" w:lineRule="exact"/>
        <w:jc w:val="both"/>
        <w:rPr>
          <w:rFonts w:hint="cs"/>
          <w:spacing w:val="0"/>
          <w:rtl/>
        </w:rPr>
      </w:pPr>
      <w:r>
        <w:rPr>
          <w:rFonts w:hint="cs"/>
          <w:spacing w:val="0"/>
          <w:rtl/>
        </w:rPr>
        <w:t>534-</w:t>
      </w:r>
      <w:r>
        <w:rPr>
          <w:rFonts w:hint="cs"/>
          <w:spacing w:val="0"/>
          <w:rtl/>
        </w:rPr>
        <w:tab/>
        <w:t xml:space="preserve">ولقد تم، نتيجة المشاكل المواجهة خلال السنوات الأخيرة في قطاع التعليم الممول من الدولة، تسجيل زيادة في عدد المؤسسات التعليمية الخاصة. ويمكن القول، بناءً عليه، أنه لا توجد أي قيود تمنع </w:t>
      </w:r>
      <w:r>
        <w:rPr>
          <w:rFonts w:hint="cs"/>
          <w:spacing w:val="0"/>
          <w:rtl/>
        </w:rPr>
        <w:t>إنشاء مدارس جديدة.</w:t>
      </w:r>
    </w:p>
    <w:p w:rsidR="00000000" w:rsidRDefault="00567B15">
      <w:pPr>
        <w:spacing w:line="380" w:lineRule="exact"/>
        <w:jc w:val="both"/>
        <w:rPr>
          <w:rFonts w:hint="cs"/>
          <w:rtl/>
        </w:rPr>
      </w:pPr>
      <w:r>
        <w:rPr>
          <w:rFonts w:hint="cs"/>
          <w:rtl/>
        </w:rPr>
        <w:t>535-</w:t>
      </w:r>
      <w:r>
        <w:rPr>
          <w:rFonts w:hint="cs"/>
          <w:rtl/>
        </w:rPr>
        <w:tab/>
        <w:t>ولم يتخذ أي إجراء يمكن أن يقوض حق الإكوادوريين في الحصول على التعليم المجاني. وعلى العكس من ذلك تبذل الجهود لضمان مستوى جيد من التعليم يلبي الاحتياجات الاجتماعية الرئيسية.</w:t>
      </w:r>
    </w:p>
    <w:p w:rsidR="00000000" w:rsidRDefault="00567B15">
      <w:pPr>
        <w:spacing w:line="380" w:lineRule="exact"/>
        <w:jc w:val="both"/>
        <w:rPr>
          <w:rFonts w:hint="cs"/>
          <w:rtl/>
        </w:rPr>
      </w:pPr>
    </w:p>
    <w:p w:rsidR="00000000" w:rsidRDefault="00567B15">
      <w:pPr>
        <w:spacing w:line="380" w:lineRule="exact"/>
        <w:jc w:val="both"/>
        <w:rPr>
          <w:rFonts w:hint="cs"/>
          <w:i/>
          <w:iCs/>
          <w:rtl/>
        </w:rPr>
      </w:pPr>
      <w:r>
        <w:rPr>
          <w:rFonts w:hint="cs"/>
          <w:i/>
          <w:iCs/>
          <w:rtl/>
        </w:rPr>
        <w:t>المعونة الدولية</w:t>
      </w:r>
    </w:p>
    <w:p w:rsidR="00000000" w:rsidRDefault="00567B15">
      <w:pPr>
        <w:spacing w:line="380" w:lineRule="exact"/>
        <w:jc w:val="both"/>
        <w:rPr>
          <w:rFonts w:hint="cs"/>
          <w:rtl/>
        </w:rPr>
      </w:pPr>
      <w:r>
        <w:rPr>
          <w:rFonts w:hint="cs"/>
          <w:rtl/>
        </w:rPr>
        <w:t>536-</w:t>
      </w:r>
      <w:r>
        <w:rPr>
          <w:rFonts w:hint="cs"/>
          <w:rtl/>
        </w:rPr>
        <w:tab/>
        <w:t xml:space="preserve">كان تطور وتعزيز التعليم الثنائي اللغة </w:t>
      </w:r>
      <w:r>
        <w:rPr>
          <w:rFonts w:hint="cs"/>
          <w:rtl/>
        </w:rPr>
        <w:t xml:space="preserve">المتعدد الثقافات ممكناً حتى الآن بفضل المساهمات الهامة التي قدمتها </w:t>
      </w:r>
      <w:r>
        <w:rPr>
          <w:rFonts w:hint="cs"/>
          <w:spacing w:val="0"/>
          <w:rtl/>
        </w:rPr>
        <w:t>منظمات دولية مثل اليونيسيف، ومشروع</w:t>
      </w:r>
      <w:r>
        <w:rPr>
          <w:rFonts w:hint="cs"/>
          <w:spacing w:val="0"/>
          <w:rtl/>
        </w:rPr>
        <w:t xml:space="preserve"> </w:t>
      </w:r>
      <w:r>
        <w:rPr>
          <w:spacing w:val="0"/>
        </w:rPr>
        <w:t>EBI-GTZ-HANS SEIDEL</w:t>
      </w:r>
      <w:r>
        <w:rPr>
          <w:rFonts w:hint="cs"/>
          <w:spacing w:val="0"/>
          <w:rtl/>
        </w:rPr>
        <w:t xml:space="preserve"> ومشـروع </w:t>
      </w:r>
      <w:r>
        <w:rPr>
          <w:spacing w:val="0"/>
        </w:rPr>
        <w:t>IBIS-CONAIE-DENMARK</w:t>
      </w:r>
      <w:r>
        <w:rPr>
          <w:rFonts w:hint="cs"/>
          <w:spacing w:val="0"/>
          <w:rtl/>
        </w:rPr>
        <w:t xml:space="preserve">، ومشروع </w:t>
      </w:r>
      <w:r>
        <w:rPr>
          <w:spacing w:val="0"/>
        </w:rPr>
        <w:t>PROMECEB</w:t>
      </w:r>
      <w:r>
        <w:rPr>
          <w:rFonts w:hint="cs"/>
          <w:spacing w:val="0"/>
          <w:rtl/>
        </w:rPr>
        <w:t xml:space="preserve">، والمشروع رقم 834 المشترك بين وزارة التعليم والثقافة ومصرف </w:t>
      </w:r>
      <w:r>
        <w:rPr>
          <w:rFonts w:hint="cs"/>
          <w:rtl/>
        </w:rPr>
        <w:t>التنمية للبلدان الأمريكية</w:t>
      </w:r>
      <w:r>
        <w:rPr>
          <w:rtl/>
        </w:rPr>
        <w:br/>
      </w:r>
      <w:r>
        <w:rPr>
          <w:rFonts w:hint="cs"/>
          <w:rtl/>
        </w:rPr>
        <w:t>(</w:t>
      </w:r>
      <w:r>
        <w:t>834</w:t>
      </w:r>
      <w:r>
        <w:t>-MEC-IDB</w:t>
      </w:r>
      <w:r>
        <w:rPr>
          <w:rFonts w:hint="cs"/>
          <w:rtl/>
        </w:rPr>
        <w:t xml:space="preserve">)، وشركتا النفط </w:t>
      </w:r>
      <w:r>
        <w:t>Occis</w:t>
      </w:r>
      <w:r>
        <w:rPr>
          <w:rFonts w:hint="cs"/>
          <w:rtl/>
        </w:rPr>
        <w:t xml:space="preserve"> و</w:t>
      </w:r>
      <w:r>
        <w:t>Maxus</w:t>
      </w:r>
      <w:r>
        <w:rPr>
          <w:rFonts w:hint="cs"/>
          <w:rtl/>
        </w:rPr>
        <w:t>، والخطة الدولية، والمنظمة الدولية للرؤية العالمية، وتعاونية الإغاثة الأمريكية في كل مكان (</w:t>
      </w:r>
      <w:r>
        <w:t>CARE</w:t>
      </w:r>
      <w:r>
        <w:rPr>
          <w:rFonts w:hint="cs"/>
          <w:rtl/>
        </w:rPr>
        <w:t>)، الخ.</w:t>
      </w:r>
    </w:p>
    <w:p w:rsidR="00000000" w:rsidRDefault="00567B15">
      <w:pPr>
        <w:spacing w:line="380" w:lineRule="exact"/>
        <w:jc w:val="both"/>
        <w:rPr>
          <w:rFonts w:hint="cs"/>
          <w:rtl/>
        </w:rPr>
      </w:pPr>
      <w:r>
        <w:rPr>
          <w:rFonts w:hint="cs"/>
          <w:rtl/>
        </w:rPr>
        <w:t>537-</w:t>
      </w:r>
      <w:r>
        <w:rPr>
          <w:rFonts w:hint="cs"/>
          <w:rtl/>
        </w:rPr>
        <w:tab/>
        <w:t xml:space="preserve">ويستفيد من تلك المعونة المعلمون والأطفال والمراهقون المشمولون في نظام التعليم العام والأساسي من المنتمين إلى 11 </w:t>
      </w:r>
      <w:r>
        <w:rPr>
          <w:rFonts w:hint="cs"/>
          <w:rtl/>
        </w:rPr>
        <w:t>فئة من فئات السكان الأصليين في البلد. ولقد تم تنظيم دورات لمنح الشهادات وتعليم المهنة للأشخاص الذين كانوا يعلمون في المرحلة الابتدائية دون شهادات تعليم.</w:t>
      </w:r>
    </w:p>
    <w:p w:rsidR="00000000" w:rsidRDefault="00567B15">
      <w:pPr>
        <w:spacing w:line="380" w:lineRule="exact"/>
        <w:jc w:val="both"/>
        <w:rPr>
          <w:rFonts w:hint="cs"/>
          <w:rtl/>
        </w:rPr>
      </w:pPr>
      <w:r>
        <w:rPr>
          <w:rFonts w:hint="cs"/>
          <w:rtl/>
        </w:rPr>
        <w:t>538-</w:t>
      </w:r>
      <w:r>
        <w:rPr>
          <w:rFonts w:hint="cs"/>
          <w:rtl/>
        </w:rPr>
        <w:tab/>
        <w:t>وتعتبر المجالات التالية من أهم المجالات:</w:t>
      </w:r>
    </w:p>
    <w:p w:rsidR="00000000" w:rsidRDefault="00567B15">
      <w:pPr>
        <w:spacing w:before="180" w:after="180" w:line="380" w:lineRule="exact"/>
        <w:jc w:val="both"/>
        <w:rPr>
          <w:rFonts w:hint="cs"/>
          <w:rtl/>
        </w:rPr>
      </w:pPr>
      <w:r>
        <w:rPr>
          <w:rFonts w:hint="cs"/>
          <w:rtl/>
        </w:rPr>
        <w:tab/>
        <w:t>(أ)</w:t>
      </w:r>
      <w:r>
        <w:rPr>
          <w:rFonts w:hint="cs"/>
          <w:rtl/>
        </w:rPr>
        <w:tab/>
        <w:t>تدريب الموارد البشرية التابعة للإدارة الوطنية للتعلي</w:t>
      </w:r>
      <w:r>
        <w:rPr>
          <w:rFonts w:hint="cs"/>
          <w:rtl/>
        </w:rPr>
        <w:t>م الثنائي اللغة المتعدد الثقافات؛</w:t>
      </w:r>
    </w:p>
    <w:p w:rsidR="00000000" w:rsidRDefault="00567B15">
      <w:pPr>
        <w:spacing w:before="180" w:after="180" w:line="380" w:lineRule="exact"/>
        <w:jc w:val="both"/>
        <w:rPr>
          <w:rFonts w:hint="cs"/>
          <w:rtl/>
        </w:rPr>
      </w:pPr>
      <w:r>
        <w:rPr>
          <w:rFonts w:hint="cs"/>
          <w:rtl/>
        </w:rPr>
        <w:tab/>
        <w:t>(ب)</w:t>
      </w:r>
      <w:r>
        <w:rPr>
          <w:rFonts w:hint="cs"/>
          <w:rtl/>
        </w:rPr>
        <w:tab/>
        <w:t>إسداء المشورة الفنية؛</w:t>
      </w:r>
    </w:p>
    <w:p w:rsidR="00000000" w:rsidRDefault="00567B15">
      <w:pPr>
        <w:spacing w:before="180" w:after="180" w:line="380" w:lineRule="exact"/>
        <w:jc w:val="both"/>
        <w:rPr>
          <w:rFonts w:hint="cs"/>
          <w:rtl/>
        </w:rPr>
      </w:pPr>
      <w:r>
        <w:rPr>
          <w:rFonts w:hint="cs"/>
          <w:rtl/>
        </w:rPr>
        <w:tab/>
        <w:t>(ج)</w:t>
      </w:r>
      <w:r>
        <w:rPr>
          <w:rFonts w:hint="cs"/>
          <w:rtl/>
        </w:rPr>
        <w:tab/>
        <w:t>تعميم الوثائق الفنية والدعاية لها؛</w:t>
      </w:r>
    </w:p>
    <w:p w:rsidR="00000000" w:rsidRDefault="00567B15">
      <w:pPr>
        <w:spacing w:before="180" w:after="180" w:line="380" w:lineRule="exact"/>
        <w:jc w:val="both"/>
        <w:rPr>
          <w:rFonts w:hint="cs"/>
          <w:rtl/>
        </w:rPr>
      </w:pPr>
      <w:r>
        <w:rPr>
          <w:rFonts w:hint="cs"/>
          <w:rtl/>
        </w:rPr>
        <w:tab/>
        <w:t>(د)</w:t>
      </w:r>
      <w:r>
        <w:rPr>
          <w:rFonts w:hint="cs"/>
          <w:rtl/>
        </w:rPr>
        <w:tab/>
        <w:t>إنتاج موارد التعليم؛</w:t>
      </w:r>
    </w:p>
    <w:p w:rsidR="00000000" w:rsidRDefault="00567B15">
      <w:pPr>
        <w:spacing w:before="180" w:after="180" w:line="380" w:lineRule="exact"/>
        <w:jc w:val="both"/>
        <w:rPr>
          <w:rFonts w:hint="cs"/>
          <w:rtl/>
        </w:rPr>
      </w:pPr>
      <w:r>
        <w:rPr>
          <w:rFonts w:hint="cs"/>
          <w:rtl/>
        </w:rPr>
        <w:tab/>
        <w:t>(ه‍)</w:t>
      </w:r>
      <w:r>
        <w:rPr>
          <w:rFonts w:hint="cs"/>
          <w:rtl/>
        </w:rPr>
        <w:tab/>
        <w:t>نشر كتب التعليم؛</w:t>
      </w:r>
    </w:p>
    <w:p w:rsidR="00000000" w:rsidRDefault="00567B15">
      <w:pPr>
        <w:spacing w:before="180" w:after="180" w:line="380" w:lineRule="exact"/>
        <w:jc w:val="both"/>
        <w:rPr>
          <w:rFonts w:hint="cs"/>
          <w:rtl/>
        </w:rPr>
      </w:pPr>
      <w:r>
        <w:rPr>
          <w:rFonts w:hint="cs"/>
          <w:rtl/>
        </w:rPr>
        <w:tab/>
        <w:t>(و)</w:t>
      </w:r>
      <w:r>
        <w:rPr>
          <w:rFonts w:hint="cs"/>
          <w:rtl/>
        </w:rPr>
        <w:tab/>
        <w:t>إنجاز بحوث في مجال التعليم الثنائي اللغة المتعدد الثقافات؛</w:t>
      </w:r>
    </w:p>
    <w:p w:rsidR="00000000" w:rsidRDefault="00567B15">
      <w:pPr>
        <w:spacing w:before="180" w:after="180" w:line="380" w:lineRule="exact"/>
        <w:jc w:val="both"/>
        <w:rPr>
          <w:rFonts w:hint="cs"/>
          <w:rtl/>
        </w:rPr>
      </w:pPr>
      <w:r>
        <w:rPr>
          <w:rFonts w:hint="cs"/>
          <w:rtl/>
        </w:rPr>
        <w:tab/>
        <w:t>(ز)</w:t>
      </w:r>
      <w:r>
        <w:rPr>
          <w:rFonts w:hint="cs"/>
          <w:rtl/>
        </w:rPr>
        <w:tab/>
        <w:t>الدورات الدولية؛</w:t>
      </w:r>
    </w:p>
    <w:p w:rsidR="00000000" w:rsidRDefault="00567B15">
      <w:pPr>
        <w:spacing w:before="180" w:after="180" w:line="380" w:lineRule="exact"/>
        <w:jc w:val="both"/>
        <w:rPr>
          <w:rFonts w:hint="cs"/>
          <w:rtl/>
        </w:rPr>
      </w:pPr>
      <w:r>
        <w:rPr>
          <w:rFonts w:hint="cs"/>
          <w:rtl/>
        </w:rPr>
        <w:tab/>
        <w:t>(ح)</w:t>
      </w:r>
      <w:r>
        <w:rPr>
          <w:rFonts w:hint="cs"/>
          <w:rtl/>
        </w:rPr>
        <w:tab/>
        <w:t>الدعم للهيكل ال</w:t>
      </w:r>
      <w:r>
        <w:rPr>
          <w:rFonts w:hint="cs"/>
          <w:rtl/>
        </w:rPr>
        <w:t>أساسي التربوي؛</w:t>
      </w:r>
    </w:p>
    <w:p w:rsidR="00000000" w:rsidRDefault="00567B15">
      <w:pPr>
        <w:spacing w:before="180" w:after="180" w:line="380" w:lineRule="exact"/>
        <w:jc w:val="both"/>
        <w:rPr>
          <w:rFonts w:hint="cs"/>
          <w:rtl/>
        </w:rPr>
      </w:pPr>
      <w:r>
        <w:rPr>
          <w:rFonts w:hint="cs"/>
          <w:rtl/>
        </w:rPr>
        <w:tab/>
        <w:t>(ط)</w:t>
      </w:r>
      <w:r>
        <w:rPr>
          <w:rFonts w:hint="cs"/>
          <w:rtl/>
        </w:rPr>
        <w:tab/>
        <w:t>استنباط تكنولوجيات إنتاجية؛</w:t>
      </w:r>
    </w:p>
    <w:p w:rsidR="00000000" w:rsidRDefault="00567B15">
      <w:pPr>
        <w:spacing w:before="180" w:after="180" w:line="380" w:lineRule="exact"/>
        <w:jc w:val="both"/>
        <w:rPr>
          <w:rFonts w:hint="cs"/>
          <w:rtl/>
        </w:rPr>
      </w:pPr>
      <w:r>
        <w:rPr>
          <w:rFonts w:hint="cs"/>
          <w:rtl/>
        </w:rPr>
        <w:tab/>
        <w:t>(ي)</w:t>
      </w:r>
      <w:r>
        <w:rPr>
          <w:rFonts w:hint="cs"/>
          <w:rtl/>
        </w:rPr>
        <w:tab/>
        <w:t>الأخذ بموارد التعليم في مراكز الإنتاج؛</w:t>
      </w:r>
    </w:p>
    <w:p w:rsidR="00000000" w:rsidRDefault="00567B15">
      <w:pPr>
        <w:spacing w:before="180" w:after="180" w:line="380" w:lineRule="exact"/>
        <w:jc w:val="both"/>
        <w:rPr>
          <w:rFonts w:hint="cs"/>
          <w:rtl/>
        </w:rPr>
      </w:pPr>
      <w:r>
        <w:rPr>
          <w:rFonts w:hint="cs"/>
          <w:rtl/>
        </w:rPr>
        <w:tab/>
        <w:t>(ك)</w:t>
      </w:r>
      <w:r>
        <w:rPr>
          <w:rFonts w:hint="cs"/>
          <w:rtl/>
        </w:rPr>
        <w:tab/>
        <w:t>إنتاج البرامج الإذاعية والتلفزيونية.</w:t>
      </w:r>
    </w:p>
    <w:p w:rsidR="00000000" w:rsidRDefault="00567B15">
      <w:pPr>
        <w:spacing w:line="380" w:lineRule="exact"/>
        <w:jc w:val="both"/>
        <w:rPr>
          <w:rFonts w:hint="cs"/>
          <w:rtl/>
        </w:rPr>
      </w:pPr>
      <w:r>
        <w:rPr>
          <w:rFonts w:hint="cs"/>
          <w:rtl/>
        </w:rPr>
        <w:t>539-</w:t>
      </w:r>
      <w:r>
        <w:rPr>
          <w:rFonts w:hint="cs"/>
          <w:rtl/>
        </w:rPr>
        <w:tab/>
        <w:t xml:space="preserve"> التقييم: لقد كانت مشاركة المنظمات الدولية في التعليم الثنائي اللغة المتعدد الثقافات مساهمة قيمة للغاية في تنفيذ المش</w:t>
      </w:r>
      <w:r>
        <w:rPr>
          <w:rFonts w:hint="cs"/>
          <w:rtl/>
        </w:rPr>
        <w:t>اريع التربوية المصممة لرفع مستوى التعليم وتحسين الظروف المعيشية للسكان الأصليين، ولولا تلك المشاركة لما كان ممكناً بلوغ أهداف الإدارة الوطنية للتعليم النظامي والتربية الخاصة، ووزارة التعليم والثقافة.</w:t>
      </w:r>
    </w:p>
    <w:p w:rsidR="00000000" w:rsidRDefault="00567B15">
      <w:pPr>
        <w:spacing w:line="380" w:lineRule="exact"/>
        <w:jc w:val="both"/>
        <w:rPr>
          <w:rFonts w:hint="cs"/>
          <w:spacing w:val="2"/>
          <w:rtl/>
        </w:rPr>
      </w:pPr>
      <w:r>
        <w:rPr>
          <w:rFonts w:hint="cs"/>
          <w:spacing w:val="2"/>
          <w:rtl/>
        </w:rPr>
        <w:t>540-</w:t>
      </w:r>
      <w:r>
        <w:rPr>
          <w:rFonts w:hint="cs"/>
          <w:spacing w:val="2"/>
          <w:rtl/>
        </w:rPr>
        <w:tab/>
        <w:t>التربية الخاصة: مشاركة المنظمات الدولية. تدعم اليون</w:t>
      </w:r>
      <w:r>
        <w:rPr>
          <w:rFonts w:hint="cs"/>
          <w:spacing w:val="2"/>
          <w:rtl/>
        </w:rPr>
        <w:t>سكو برامج مستقلة مثل التدريب وتجهيز بعض مؤسسات التربية الخاصة. وهي تقوم الآن بتدعيم برنامج الإدماج التربوي في مؤسسات تعليمية أربع في مدينة كيتو.</w:t>
      </w:r>
    </w:p>
    <w:p w:rsidR="00000000" w:rsidRDefault="00567B15">
      <w:pPr>
        <w:spacing w:line="380" w:lineRule="exact"/>
        <w:jc w:val="both"/>
        <w:rPr>
          <w:rFonts w:hint="cs"/>
          <w:rtl/>
        </w:rPr>
      </w:pPr>
      <w:r>
        <w:rPr>
          <w:rFonts w:hint="cs"/>
          <w:rtl/>
        </w:rPr>
        <w:t>541-</w:t>
      </w:r>
      <w:r>
        <w:rPr>
          <w:rFonts w:hint="cs"/>
          <w:rtl/>
        </w:rPr>
        <w:tab/>
        <w:t>المجلس الوطني للجامعات والمعاهد المتعددة الفنون: إن التعاون الدولي المتاح لهذا المجلس لمساعدته على إنجاز ا</w:t>
      </w:r>
      <w:r>
        <w:rPr>
          <w:rFonts w:hint="cs"/>
          <w:rtl/>
        </w:rPr>
        <w:t>لأنشطة المتصلة بأغراض ومهام الجامعات والمعاهد المتعددة الفنون، محدود للغاية؛ ويبذل المجلس جهوداً الآن مع عدد من الجامعات للحفاظ على العلاقات والاتفاقات مع المنظمات الدولية ويتم تنفيذ مشاريع معينة مع البلدان الصديقة.</w:t>
      </w:r>
    </w:p>
    <w:p w:rsidR="00000000" w:rsidRDefault="00567B15">
      <w:pPr>
        <w:spacing w:line="380" w:lineRule="exact"/>
        <w:jc w:val="both"/>
        <w:rPr>
          <w:rtl/>
        </w:rPr>
      </w:pPr>
      <w:r>
        <w:rPr>
          <w:rFonts w:hint="cs"/>
          <w:rtl/>
        </w:rPr>
        <w:t>542-</w:t>
      </w:r>
      <w:r>
        <w:rPr>
          <w:rFonts w:hint="cs"/>
          <w:rtl/>
        </w:rPr>
        <w:tab/>
        <w:t>ولقد استفاد التعليم الفني من عقدي ا</w:t>
      </w:r>
      <w:r>
        <w:rPr>
          <w:rFonts w:hint="cs"/>
          <w:rtl/>
        </w:rPr>
        <w:t xml:space="preserve">لإقراض رقم 618 </w:t>
      </w:r>
      <w:r>
        <w:t>SF/EC</w:t>
      </w:r>
      <w:r>
        <w:rPr>
          <w:rFonts w:hint="cs"/>
          <w:rtl/>
        </w:rPr>
        <w:t xml:space="preserve"> ورقـم 792 </w:t>
      </w:r>
      <w:r>
        <w:t>SF/EC</w:t>
      </w:r>
      <w:r>
        <w:rPr>
          <w:rFonts w:hint="cs"/>
          <w:rtl/>
        </w:rPr>
        <w:t xml:space="preserve"> المبرمين بين جمهورية إكوادور ومصرف التنمية للبلدان الأمريكية لتحسين التعليم الفني وتوسيع نطاق مشاريعه</w:t>
      </w:r>
      <w:r>
        <w:rPr>
          <w:rtl/>
        </w:rPr>
        <w:br/>
      </w:r>
      <w:r>
        <w:rPr>
          <w:rFonts w:hint="cs"/>
          <w:rtl/>
        </w:rPr>
        <w:t>(</w:t>
      </w:r>
      <w:r>
        <w:t>PR</w:t>
      </w:r>
      <w:r>
        <w:t>OMEET I and II</w:t>
      </w:r>
      <w:r>
        <w:rPr>
          <w:rFonts w:hint="cs"/>
          <w:rtl/>
        </w:rPr>
        <w:t>)، مما أسهم في رفع مستوى النظام الفرعي وفي تحسين الهيكل الأساسي والأجهزة وتدريب الموارد البشرية.</w:t>
      </w:r>
    </w:p>
    <w:p w:rsidR="00000000" w:rsidRDefault="00567B15">
      <w:pPr>
        <w:spacing w:line="380" w:lineRule="exact"/>
        <w:jc w:val="both"/>
        <w:rPr>
          <w:rFonts w:hint="cs"/>
          <w:rtl/>
        </w:rPr>
      </w:pPr>
      <w:r>
        <w:rPr>
          <w:rFonts w:hint="cs"/>
          <w:rtl/>
        </w:rPr>
        <w:t>543</w:t>
      </w:r>
      <w:r>
        <w:rPr>
          <w:rFonts w:hint="cs"/>
          <w:rtl/>
        </w:rPr>
        <w:t>-</w:t>
      </w:r>
      <w:r>
        <w:rPr>
          <w:rFonts w:hint="cs"/>
          <w:rtl/>
        </w:rPr>
        <w:tab/>
        <w:t>وسيتم عما قريب تنفيذ مشروع لتعزيز التعليم الفني في مجال الزراعة ومصائد الأسماك في مقاطعة لوخا بفضل معونة ثنائية من حكومة بلجيكا عن طريق الرابطة الفلمندية للتعاون الإنمائي والمساعدة التقنية في شكل قرض غير قابل للتسديد بمبلغ 000 100 1 من دولارات الولايات ا</w:t>
      </w:r>
      <w:r>
        <w:rPr>
          <w:rFonts w:hint="cs"/>
          <w:rtl/>
        </w:rPr>
        <w:t>لمتحدة.</w:t>
      </w:r>
    </w:p>
    <w:p w:rsidR="00000000" w:rsidRDefault="00567B15">
      <w:pPr>
        <w:spacing w:line="380" w:lineRule="exact"/>
        <w:jc w:val="both"/>
        <w:rPr>
          <w:rtl/>
        </w:rPr>
      </w:pPr>
      <w:r>
        <w:rPr>
          <w:rFonts w:hint="cs"/>
          <w:rtl/>
        </w:rPr>
        <w:t>544-</w:t>
      </w:r>
      <w:r>
        <w:rPr>
          <w:rFonts w:hint="cs"/>
          <w:rtl/>
        </w:rPr>
        <w:tab/>
        <w:t xml:space="preserve">وعلى الرغم من جهود التوسع المبذولة ولا سيما في مجال التعليم الفني وفي المناطق الريفية نتيجة تنفيذ المشاريع </w:t>
      </w:r>
      <w:r>
        <w:t>AMER-PROMEET</w:t>
      </w:r>
      <w:r>
        <w:rPr>
          <w:rFonts w:hint="cs"/>
          <w:rtl/>
        </w:rPr>
        <w:t xml:space="preserve"> و</w:t>
      </w:r>
      <w:r>
        <w:t>PROMECEB</w:t>
      </w:r>
      <w:r>
        <w:rPr>
          <w:rFonts w:hint="cs"/>
          <w:rtl/>
        </w:rPr>
        <w:t xml:space="preserve"> و</w:t>
      </w:r>
      <w:r>
        <w:t>EB-PRODEC</w:t>
      </w:r>
      <w:r>
        <w:rPr>
          <w:rFonts w:hint="cs"/>
          <w:rtl/>
        </w:rPr>
        <w:t>، يوجد عجز هائل من حيث المباني المتوافرة للمدارس والمعدات المدرسية وكتب التعليم والتكنولوجيا التربوية</w:t>
      </w:r>
      <w:r>
        <w:rPr>
          <w:rFonts w:hint="cs"/>
          <w:vertAlign w:val="superscript"/>
          <w:rtl/>
        </w:rPr>
        <w:t>(7</w:t>
      </w:r>
      <w:r>
        <w:rPr>
          <w:rFonts w:hint="cs"/>
          <w:vertAlign w:val="superscript"/>
          <w:rtl/>
        </w:rPr>
        <w:t>6)</w:t>
      </w:r>
      <w:r>
        <w:rPr>
          <w:rFonts w:hint="cs"/>
          <w:rtl/>
        </w:rPr>
        <w:t>.</w:t>
      </w:r>
    </w:p>
    <w:p w:rsidR="00000000" w:rsidRDefault="00567B15">
      <w:pPr>
        <w:spacing w:line="380" w:lineRule="exact"/>
        <w:jc w:val="center"/>
        <w:rPr>
          <w:rFonts w:hint="cs"/>
          <w:b/>
          <w:bCs/>
          <w:rtl/>
        </w:rPr>
      </w:pPr>
      <w:r>
        <w:rPr>
          <w:rFonts w:hint="cs"/>
          <w:b/>
          <w:bCs/>
          <w:rtl/>
        </w:rPr>
        <w:t>المادة 14</w:t>
      </w:r>
    </w:p>
    <w:p w:rsidR="00000000" w:rsidRDefault="00567B15">
      <w:pPr>
        <w:spacing w:line="380" w:lineRule="exact"/>
        <w:jc w:val="both"/>
        <w:rPr>
          <w:rFonts w:hint="cs"/>
          <w:b/>
          <w:bCs/>
          <w:rtl/>
        </w:rPr>
      </w:pPr>
      <w:r>
        <w:rPr>
          <w:rFonts w:hint="cs"/>
          <w:b/>
          <w:bCs/>
          <w:rtl/>
        </w:rPr>
        <w:t>التعليم الأساسي المجاني</w:t>
      </w:r>
    </w:p>
    <w:p w:rsidR="00000000" w:rsidRDefault="00567B15">
      <w:pPr>
        <w:spacing w:line="380" w:lineRule="exact"/>
        <w:jc w:val="both"/>
        <w:rPr>
          <w:rFonts w:hint="cs"/>
          <w:spacing w:val="2"/>
          <w:rtl/>
        </w:rPr>
      </w:pPr>
      <w:r>
        <w:rPr>
          <w:rFonts w:hint="cs"/>
          <w:spacing w:val="2"/>
          <w:rtl/>
        </w:rPr>
        <w:t>545-</w:t>
      </w:r>
      <w:r>
        <w:rPr>
          <w:rFonts w:hint="cs"/>
          <w:spacing w:val="2"/>
          <w:rtl/>
        </w:rPr>
        <w:tab/>
        <w:t>كما ذكر في الجزء المخصص للمادة 13 من العهد في هذا التقرير، تنص المادة 67 من الدستور على توفير التعليم المجاني لجميع الإكوادوريين، بما مفاده أنه: "يجب أن يكون التعليم العام علمانياً في جميع المراحل؛ وإلزامياً حتى ا</w:t>
      </w:r>
      <w:r>
        <w:rPr>
          <w:rFonts w:hint="cs"/>
          <w:spacing w:val="2"/>
          <w:rtl/>
        </w:rPr>
        <w:t>لمرحلة الابتدائية، ومجانياً حتى البكالوريا أو ما يعادلها. ويجب على المدارس العمومية أن توفر الخدمات الاجتماعية مجاناً لكل من يحتاج إليها. كما يجب أن يحصل الطلاب الذين يعيشون في فقر مدقع على إعانات خاصة".</w:t>
      </w:r>
    </w:p>
    <w:p w:rsidR="00000000" w:rsidRDefault="00567B15">
      <w:pPr>
        <w:spacing w:line="380" w:lineRule="exact"/>
        <w:jc w:val="center"/>
        <w:rPr>
          <w:rFonts w:hint="cs"/>
          <w:b/>
          <w:bCs/>
          <w:rtl/>
        </w:rPr>
      </w:pPr>
      <w:r>
        <w:rPr>
          <w:rFonts w:hint="cs"/>
          <w:b/>
          <w:bCs/>
          <w:rtl/>
        </w:rPr>
        <w:t>المادة 15</w:t>
      </w:r>
    </w:p>
    <w:p w:rsidR="00000000" w:rsidRDefault="00567B15">
      <w:pPr>
        <w:spacing w:line="380" w:lineRule="exact"/>
        <w:jc w:val="both"/>
        <w:rPr>
          <w:rFonts w:hint="cs"/>
          <w:b/>
          <w:bCs/>
          <w:rtl/>
        </w:rPr>
      </w:pPr>
      <w:r>
        <w:rPr>
          <w:rFonts w:hint="cs"/>
          <w:b/>
          <w:bCs/>
          <w:rtl/>
        </w:rPr>
        <w:t>ترويج الثقافة</w:t>
      </w:r>
    </w:p>
    <w:p w:rsidR="00000000" w:rsidRDefault="00567B15">
      <w:pPr>
        <w:spacing w:line="380" w:lineRule="exact"/>
        <w:jc w:val="both"/>
        <w:rPr>
          <w:rFonts w:hint="cs"/>
          <w:rtl/>
        </w:rPr>
      </w:pPr>
      <w:r>
        <w:rPr>
          <w:rFonts w:hint="cs"/>
          <w:rtl/>
        </w:rPr>
        <w:t>546-</w:t>
      </w:r>
      <w:r>
        <w:rPr>
          <w:rFonts w:hint="cs"/>
          <w:rtl/>
        </w:rPr>
        <w:tab/>
        <w:t xml:space="preserve">مجلس الثقافة الوطني هو </w:t>
      </w:r>
      <w:r>
        <w:rPr>
          <w:rFonts w:hint="cs"/>
          <w:rtl/>
        </w:rPr>
        <w:t>المسؤول في إكوادور عن تعزيز الهوية الثقافية، ولبلوغ هذا الهدف يعتمد المجلس بصفة رئيسية على صندوق الثقافة الوطني الذي يتميز بالمعالم والمهام التالية:</w:t>
      </w:r>
    </w:p>
    <w:p w:rsidR="00000000" w:rsidRDefault="00567B15">
      <w:pPr>
        <w:spacing w:before="180" w:after="180" w:line="360" w:lineRule="exact"/>
        <w:jc w:val="both"/>
        <w:rPr>
          <w:rFonts w:hint="cs"/>
          <w:rtl/>
        </w:rPr>
      </w:pPr>
      <w:r>
        <w:rPr>
          <w:rFonts w:hint="cs"/>
          <w:rtl/>
        </w:rPr>
        <w:tab/>
        <w:t>(أ)</w:t>
      </w:r>
      <w:r>
        <w:rPr>
          <w:rFonts w:hint="cs"/>
          <w:rtl/>
        </w:rPr>
        <w:tab/>
        <w:t>هو صندوق يُعنى بتوفير التمويل لتنفيذ المشاريع الثقافية ذات الأهمية الوطنية أو الإقليمية بمنح قروض بشرو</w:t>
      </w:r>
      <w:r>
        <w:rPr>
          <w:rFonts w:hint="cs"/>
          <w:rtl/>
        </w:rPr>
        <w:t>ط تساهلية أكثر من شروط السوق؛</w:t>
      </w:r>
    </w:p>
    <w:p w:rsidR="00000000" w:rsidRDefault="00567B15">
      <w:pPr>
        <w:spacing w:before="180" w:after="180" w:line="360" w:lineRule="exact"/>
        <w:jc w:val="both"/>
        <w:rPr>
          <w:rFonts w:hint="cs"/>
          <w:rtl/>
        </w:rPr>
      </w:pPr>
      <w:r>
        <w:rPr>
          <w:rFonts w:hint="cs"/>
          <w:rtl/>
        </w:rPr>
        <w:tab/>
        <w:t>(ب)</w:t>
      </w:r>
      <w:r>
        <w:rPr>
          <w:rFonts w:hint="cs"/>
          <w:rtl/>
        </w:rPr>
        <w:tab/>
        <w:t>تنطوي أهدافه على التشجيع على وضع وترجمة وإنتاج المؤلفات الثقافية الموسيقية والمسرحية وفي ميدان الفنون التشكيلية والأدب والفنون السمعية البصرية، والفنون الإلكترونية، والفنون الشعبية.</w:t>
      </w:r>
    </w:p>
    <w:p w:rsidR="00000000" w:rsidRDefault="00567B15">
      <w:pPr>
        <w:spacing w:line="380" w:lineRule="exact"/>
        <w:jc w:val="both"/>
        <w:rPr>
          <w:rFonts w:hint="cs"/>
          <w:rtl/>
        </w:rPr>
      </w:pPr>
      <w:r>
        <w:rPr>
          <w:rFonts w:hint="cs"/>
          <w:rtl/>
        </w:rPr>
        <w:t>547-</w:t>
      </w:r>
      <w:r>
        <w:rPr>
          <w:rFonts w:hint="cs"/>
          <w:rtl/>
        </w:rPr>
        <w:tab/>
        <w:t>ويستفيد من هذا الصندوق الفنانون وا</w:t>
      </w:r>
      <w:r>
        <w:rPr>
          <w:rFonts w:hint="cs"/>
          <w:rtl/>
        </w:rPr>
        <w:t>لمفكرون والمنتجون والمصممون والمؤسسات والمنظمات والجمعيات والشركات العامة أو الخاصة التي تضطلع بأنشطة ثقافية في إكوادور.</w:t>
      </w:r>
    </w:p>
    <w:p w:rsidR="00000000" w:rsidRDefault="00567B15">
      <w:pPr>
        <w:spacing w:line="380" w:lineRule="exact"/>
        <w:jc w:val="both"/>
        <w:rPr>
          <w:rFonts w:hint="cs"/>
          <w:rtl/>
        </w:rPr>
      </w:pPr>
      <w:r>
        <w:rPr>
          <w:rFonts w:hint="cs"/>
          <w:rtl/>
        </w:rPr>
        <w:t>548-</w:t>
      </w:r>
      <w:r>
        <w:rPr>
          <w:rFonts w:hint="cs"/>
          <w:rtl/>
        </w:rPr>
        <w:tab/>
        <w:t>ويمول الصندوق القروض التساهلية بسعر فائدة تفضيلي ويمنح إمكانية التسديد على فترة تتراوح بين سنة واحدة و10 سنوات، ومهلة لتسديد القرو</w:t>
      </w:r>
      <w:r>
        <w:rPr>
          <w:rFonts w:hint="cs"/>
          <w:rtl/>
        </w:rPr>
        <w:t>ض تتراوح بين عام واحد و3 أعوام، وتدفع الأرصدة المستحقة فصلياً أو كل ستة أشهر.</w:t>
      </w:r>
    </w:p>
    <w:p w:rsidR="00000000" w:rsidRDefault="00567B15">
      <w:pPr>
        <w:spacing w:line="380" w:lineRule="exact"/>
        <w:jc w:val="both"/>
        <w:rPr>
          <w:rFonts w:hint="cs"/>
          <w:rtl/>
        </w:rPr>
      </w:pPr>
      <w:r>
        <w:rPr>
          <w:rFonts w:hint="cs"/>
          <w:rtl/>
        </w:rPr>
        <w:t>549-</w:t>
      </w:r>
      <w:r>
        <w:rPr>
          <w:rFonts w:hint="cs"/>
          <w:rtl/>
        </w:rPr>
        <w:tab/>
        <w:t>ويسدي الصندوق المشورة ويوفر التدريب والدعاية لدى إعداد المشاريع الثقافية بغية التأكد من بلوغ أهداف المشروع. وللحصول على قرض يجب ملء استمارة المشاريع المقترحة واستيفاء الشروط</w:t>
      </w:r>
      <w:r>
        <w:rPr>
          <w:rFonts w:hint="cs"/>
          <w:rtl/>
        </w:rPr>
        <w:t xml:space="preserve"> المحددة في لوائح صندوق الثقافة الوطني.</w:t>
      </w:r>
    </w:p>
    <w:p w:rsidR="00000000" w:rsidRDefault="00567B15">
      <w:pPr>
        <w:spacing w:line="380" w:lineRule="exact"/>
        <w:jc w:val="both"/>
        <w:rPr>
          <w:rFonts w:hint="cs"/>
          <w:rtl/>
        </w:rPr>
      </w:pPr>
      <w:r>
        <w:rPr>
          <w:rFonts w:hint="cs"/>
          <w:rtl/>
        </w:rPr>
        <w:t>550-</w:t>
      </w:r>
      <w:r>
        <w:rPr>
          <w:rFonts w:hint="cs"/>
          <w:rtl/>
        </w:rPr>
        <w:tab/>
        <w:t xml:space="preserve">ويجب، أيضاً، تقديم خطة تنفيذية وموازنية للأنشطة الثقافية المقترحة. ولقد قام مجلس الثقافة الوطني، تحقيقاً لهذا الغرض، بتنفيذ خطة عمل للتنمية الثقافية (1997-1998) في إطار خطة التنمية الثقافية الإكوادورية المتوسطة </w:t>
      </w:r>
      <w:r>
        <w:rPr>
          <w:rFonts w:hint="cs"/>
          <w:rtl/>
        </w:rPr>
        <w:t>الأجل (1991-2000). ويقدم المجلس، بموجب تلك الخطة، الدعم للسياسات والتدابير الثقافية لسد الثغرات والنواقص الموجودة في النظام العام للمؤسسات الثقافية في إكوادور من حيث نشر الأنشطة الثقافية، وترويجها وتوفير المعلومات بشأنها وتسجيلها وإعدادها وتخطيطها وتمويلها</w:t>
      </w:r>
      <w:r>
        <w:rPr>
          <w:rFonts w:hint="cs"/>
          <w:rtl/>
        </w:rPr>
        <w:t>.</w:t>
      </w:r>
    </w:p>
    <w:p w:rsidR="00000000" w:rsidRDefault="00567B15">
      <w:pPr>
        <w:spacing w:line="380" w:lineRule="exact"/>
        <w:jc w:val="both"/>
        <w:rPr>
          <w:rFonts w:hint="cs"/>
          <w:rtl/>
        </w:rPr>
      </w:pPr>
      <w:r>
        <w:rPr>
          <w:rFonts w:hint="cs"/>
          <w:rtl/>
        </w:rPr>
        <w:t>551-</w:t>
      </w:r>
      <w:r>
        <w:rPr>
          <w:rFonts w:hint="cs"/>
          <w:rtl/>
        </w:rPr>
        <w:tab/>
        <w:t xml:space="preserve">ولكي يتمكن صندوق الثقافة الوطني من تطبيق تلك السياسات بتنفيذ المشاريع المشمولة في خطة العمل، لا بد من إقامة تعاون بين القطاعين العام والخاص. ويجب أن يتم تشغيل الصناديق والمشاريع التالية: </w:t>
      </w:r>
    </w:p>
    <w:p w:rsidR="00000000" w:rsidRDefault="00567B15">
      <w:pPr>
        <w:spacing w:before="180" w:after="180" w:line="380" w:lineRule="exact"/>
        <w:jc w:val="both"/>
        <w:rPr>
          <w:rFonts w:hint="cs"/>
          <w:spacing w:val="2"/>
          <w:rtl/>
        </w:rPr>
      </w:pPr>
      <w:r>
        <w:rPr>
          <w:rFonts w:hint="cs"/>
          <w:spacing w:val="2"/>
          <w:rtl/>
        </w:rPr>
        <w:tab/>
        <w:t>(أ)</w:t>
      </w:r>
      <w:r>
        <w:rPr>
          <w:rFonts w:hint="cs"/>
          <w:spacing w:val="2"/>
          <w:rtl/>
        </w:rPr>
        <w:tab/>
        <w:t>صندوق النشر التابع لدور الثقافة، بما يشمل المنشور المشتر</w:t>
      </w:r>
      <w:r>
        <w:rPr>
          <w:rFonts w:hint="cs"/>
          <w:spacing w:val="2"/>
          <w:rtl/>
        </w:rPr>
        <w:t>ك مع دار بنخامين كاريون للثقافة الإكوادورية المخصص في سلسلات ومجموعات متنوعة أغلبها مؤلف من مقتطفات عن روايات، ومؤلفات للأطفال، والتراث الثقافي التقليدي الذي يتناقله سماعياً الإكوادوريون المنحدرون من أصل أفريقي، والتقاليد الشامانية، وسير الأدباء الإكوادوري</w:t>
      </w:r>
      <w:r>
        <w:rPr>
          <w:rFonts w:hint="cs"/>
          <w:spacing w:val="2"/>
          <w:rtl/>
        </w:rPr>
        <w:t xml:space="preserve">ين المبرزين، والفلكلـور الإكـوادوري، والثقافـة الشعبيـة، ومن </w:t>
      </w:r>
      <w:r>
        <w:rPr>
          <w:rFonts w:hint="cs"/>
          <w:i/>
          <w:iCs/>
          <w:spacing w:val="2"/>
          <w:rtl/>
        </w:rPr>
        <w:t>المجلة الثقافية الوطنية</w:t>
      </w:r>
      <w:r>
        <w:rPr>
          <w:rFonts w:hint="cs"/>
          <w:spacing w:val="2"/>
          <w:rtl/>
        </w:rPr>
        <w:t xml:space="preserve"> "</w:t>
      </w:r>
      <w:r>
        <w:rPr>
          <w:spacing w:val="2"/>
        </w:rPr>
        <w:t>Revista Nacional de cultura</w:t>
      </w:r>
      <w:r>
        <w:rPr>
          <w:rFonts w:hint="cs"/>
          <w:spacing w:val="2"/>
          <w:rtl/>
        </w:rPr>
        <w:t>". وستصدر هذه السلسلات والمنشورات المشتركة بلغتين هما الإسبانية والإنكليزية؛</w:t>
      </w:r>
    </w:p>
    <w:p w:rsidR="00000000" w:rsidRDefault="00567B15">
      <w:pPr>
        <w:spacing w:before="180" w:after="180" w:line="380" w:lineRule="exact"/>
        <w:jc w:val="both"/>
        <w:rPr>
          <w:rFonts w:hint="cs"/>
          <w:rtl/>
        </w:rPr>
      </w:pPr>
      <w:r>
        <w:rPr>
          <w:rFonts w:hint="cs"/>
          <w:rtl/>
        </w:rPr>
        <w:tab/>
        <w:t>(ب)</w:t>
      </w:r>
      <w:r>
        <w:rPr>
          <w:rFonts w:hint="cs"/>
          <w:rtl/>
        </w:rPr>
        <w:tab/>
        <w:t>الصندوق الفيديوغرافي للثقافة الإكوادورية، الذي يشترك في الإشر</w:t>
      </w:r>
      <w:r>
        <w:rPr>
          <w:rFonts w:hint="cs"/>
          <w:rtl/>
        </w:rPr>
        <w:t>اف عليه مكتب وكيل وزارة الثقافة والأمانة الوطنية لشؤون الاتصالات. وسيتألف هذا الصندوق في البداية من تسجيلات ستشكل محفوظات السير الذاتية لكبار الفنانين الإكوادوريين كما سيتألف من المحفوظات السمعية البصرية لمختلف الاحتفالات وللثقافة الشعبية. وسيتم نشر هذه ال</w:t>
      </w:r>
      <w:r>
        <w:rPr>
          <w:rFonts w:hint="cs"/>
          <w:rtl/>
        </w:rPr>
        <w:t>مواد على الصعيدين الوطني والدولي؛</w:t>
      </w:r>
    </w:p>
    <w:p w:rsidR="00000000" w:rsidRDefault="00567B15">
      <w:pPr>
        <w:spacing w:before="180" w:after="180" w:line="380" w:lineRule="exact"/>
        <w:jc w:val="both"/>
        <w:rPr>
          <w:rFonts w:hint="cs"/>
          <w:rtl/>
        </w:rPr>
      </w:pPr>
      <w:r>
        <w:rPr>
          <w:rFonts w:hint="cs"/>
          <w:rtl/>
        </w:rPr>
        <w:tab/>
        <w:t>(ج)</w:t>
      </w:r>
      <w:r>
        <w:rPr>
          <w:rFonts w:hint="cs"/>
          <w:rtl/>
        </w:rPr>
        <w:tab/>
        <w:t xml:space="preserve">صندوق الثقافة الإكوادورية الإعلامي. سيتم، بالاعتماد على البحوث المنجزة في إطار مشاريع متنوعة مشمولة في برنامج العمل، إنتاج الكتب والمجلات الإلكترونية وتعميمها على الصعيدين الوطني والدولي. وسيبدأ الصندوق بإنتاج مؤلفات </w:t>
      </w:r>
      <w:r>
        <w:rPr>
          <w:rFonts w:hint="cs"/>
          <w:rtl/>
        </w:rPr>
        <w:t>بنخامين كاريون. وستنشر إلكترونياً، فيما بعد، المؤلفات الرئيسية؛</w:t>
      </w:r>
    </w:p>
    <w:p w:rsidR="00000000" w:rsidRDefault="00567B15">
      <w:pPr>
        <w:spacing w:before="180" w:after="180" w:line="380" w:lineRule="exact"/>
        <w:jc w:val="both"/>
        <w:rPr>
          <w:rFonts w:hint="cs"/>
          <w:rtl/>
        </w:rPr>
      </w:pPr>
      <w:r>
        <w:rPr>
          <w:rFonts w:hint="cs"/>
          <w:rtl/>
        </w:rPr>
        <w:tab/>
        <w:t>(د)</w:t>
      </w:r>
      <w:r>
        <w:rPr>
          <w:rFonts w:hint="cs"/>
          <w:rtl/>
        </w:rPr>
        <w:tab/>
        <w:t>صندوق الثقافة الإكوادورية للموسيقى الذي سيشمل تسجيلات صوتية على الأقراص المضغوطة وأشرطة الموسيقى الإكوادورية المعاصرة والأكاديمية والشعبية والتقليدية والعصرية والفلكلورية لنشرها على الصعي</w:t>
      </w:r>
      <w:r>
        <w:rPr>
          <w:rFonts w:hint="cs"/>
          <w:rtl/>
        </w:rPr>
        <w:t>دين الوطني والدولي؛</w:t>
      </w:r>
    </w:p>
    <w:p w:rsidR="00000000" w:rsidRDefault="00567B15">
      <w:pPr>
        <w:spacing w:before="180" w:after="180" w:line="380" w:lineRule="exact"/>
        <w:jc w:val="both"/>
        <w:rPr>
          <w:rFonts w:hint="cs"/>
          <w:rtl/>
        </w:rPr>
      </w:pPr>
      <w:r>
        <w:rPr>
          <w:rFonts w:hint="cs"/>
          <w:rtl/>
        </w:rPr>
        <w:tab/>
        <w:t>(ه‍)</w:t>
      </w:r>
      <w:r>
        <w:rPr>
          <w:rFonts w:hint="cs"/>
          <w:rtl/>
        </w:rPr>
        <w:tab/>
        <w:t xml:space="preserve">جائزة أمريكا اللاتينية الأولى للثقافة التي ستمنح سنوياً لشخصية مبرزة في ثقافة بلدان أمريكا اللاتينية. وسيتم على الصعيد الوطني إعداد سلسلة من الاحتفالات كالمقابلات والمناقشات مع أوساط المفكرين والفنانين والمحافل والحفلات الموسيقية </w:t>
      </w:r>
      <w:r>
        <w:rPr>
          <w:rFonts w:hint="cs"/>
          <w:rtl/>
        </w:rPr>
        <w:t>ومهرجانات الأفلام أو معارض الفنون التشكيلية الدائمة. وستسجل تلك الاحتفالات على أشرطة الفيديو؛</w:t>
      </w:r>
    </w:p>
    <w:p w:rsidR="00000000" w:rsidRDefault="00567B15">
      <w:pPr>
        <w:spacing w:before="180" w:after="180" w:line="380" w:lineRule="exact"/>
        <w:jc w:val="both"/>
        <w:rPr>
          <w:rFonts w:hint="cs"/>
          <w:rtl/>
        </w:rPr>
      </w:pPr>
      <w:r>
        <w:rPr>
          <w:rFonts w:hint="cs"/>
          <w:rtl/>
        </w:rPr>
        <w:tab/>
        <w:t>(و)</w:t>
      </w:r>
      <w:r>
        <w:rPr>
          <w:rFonts w:hint="cs"/>
          <w:rtl/>
        </w:rPr>
        <w:tab/>
        <w:t>مشروع الإدارة الذاتية للثقافات الإثنية الذي سيسعى إلى تطوير وتعزيز ثقافات المجموعات الإثنية وزيادة الاعتراف بطابع إكوادور المتعدد الثقافات والقوميات، وذلك بت</w:t>
      </w:r>
      <w:r>
        <w:rPr>
          <w:rFonts w:hint="cs"/>
          <w:rtl/>
        </w:rPr>
        <w:t>نفيذ أنشطة مختلفة - كإنتاج الأقراص المضغوطة التي تسجل عليها موسيقى السكان الأصليين وموسيقى الإكوادوريين المنحدرين من أصل أفريقي، وإنتاج الأفلام الوثائقية عن نساء السكان الأصليين اللواتي يمارسن الطب الشعبي، ونشر مقتطفات من مؤلفات أدباء السكان الأصليين، وتحس</w:t>
      </w:r>
      <w:r>
        <w:rPr>
          <w:rFonts w:hint="cs"/>
          <w:rtl/>
        </w:rPr>
        <w:t>ين ترويج منتجات مهرجان قوميات أبيا يالا، وتجميع كل ما يتصل بتقاليد السكان الإكوادوريين المنحدرين من أصل أفريقي والمقيمين في منطقة الهضاب؛</w:t>
      </w:r>
    </w:p>
    <w:p w:rsidR="00000000" w:rsidRDefault="00567B15">
      <w:pPr>
        <w:spacing w:before="180" w:after="180" w:line="380" w:lineRule="exact"/>
        <w:jc w:val="both"/>
        <w:rPr>
          <w:rFonts w:hint="cs"/>
          <w:rtl/>
        </w:rPr>
      </w:pPr>
      <w:r>
        <w:rPr>
          <w:rFonts w:hint="cs"/>
          <w:rtl/>
        </w:rPr>
        <w:tab/>
        <w:t>(ز)</w:t>
      </w:r>
      <w:r>
        <w:rPr>
          <w:rFonts w:hint="cs"/>
          <w:rtl/>
        </w:rPr>
        <w:tab/>
        <w:t xml:space="preserve">إنتاج وتوزيع المنشورات بفضل مشروع قائم على أساس أعمال اللجنة الدائمة المعنية بالاحتفالات الوطنية والتابعة لوزارة </w:t>
      </w:r>
      <w:r>
        <w:rPr>
          <w:rFonts w:hint="cs"/>
          <w:rtl/>
        </w:rPr>
        <w:t>الشؤون الخارجية. ولقد تم إعداد منشورات مختلفة عن أبرز الشخصيات الوطنية. ونشرت في عام 2000 نسخة لتوزيعها على المدارس والمعاهد. وتم في عام 2002 نشر كتاب عن الفنانين المعاصرين الرئيسين، وكتاب آخر عن الثروة الثقافية الإكوادورية؛</w:t>
      </w:r>
    </w:p>
    <w:p w:rsidR="00000000" w:rsidRDefault="00567B15">
      <w:pPr>
        <w:spacing w:before="180" w:after="180" w:line="380" w:lineRule="exact"/>
        <w:jc w:val="both"/>
        <w:rPr>
          <w:rFonts w:hint="cs"/>
          <w:rtl/>
        </w:rPr>
      </w:pPr>
      <w:r>
        <w:rPr>
          <w:rFonts w:hint="cs"/>
          <w:rtl/>
        </w:rPr>
        <w:tab/>
        <w:t>(ح)</w:t>
      </w:r>
      <w:r>
        <w:rPr>
          <w:rFonts w:hint="cs"/>
          <w:rtl/>
        </w:rPr>
        <w:tab/>
        <w:t>التدريب المهني للتنمية الث</w:t>
      </w:r>
      <w:r>
        <w:rPr>
          <w:rFonts w:hint="cs"/>
          <w:rtl/>
        </w:rPr>
        <w:t>قافية الذي يشترك فيه المسؤولون عن الأنشطة الثقافية في البلد. ولقد تم تمويل دراسات لتنظيم دورة عن الإدارة الثقافية بموجب اتفاق مع جامعة كوينكا؛</w:t>
      </w:r>
    </w:p>
    <w:p w:rsidR="00000000" w:rsidRDefault="00567B15">
      <w:pPr>
        <w:spacing w:before="180" w:after="180" w:line="380" w:lineRule="exact"/>
        <w:jc w:val="both"/>
        <w:rPr>
          <w:rFonts w:hint="cs"/>
          <w:spacing w:val="0"/>
          <w:rtl/>
        </w:rPr>
      </w:pPr>
      <w:r>
        <w:rPr>
          <w:rFonts w:hint="cs"/>
          <w:spacing w:val="0"/>
          <w:rtl/>
        </w:rPr>
        <w:tab/>
        <w:t>(ط)</w:t>
      </w:r>
      <w:r>
        <w:rPr>
          <w:rFonts w:hint="cs"/>
          <w:spacing w:val="0"/>
          <w:rtl/>
        </w:rPr>
        <w:tab/>
        <w:t>تدريب مخططي الشؤون الثقافية على أدوات التخطيط، ويتألف هذا التدريب من دورات لتخطيط المشاريع الهادفة (</w:t>
      </w:r>
      <w:r>
        <w:rPr>
          <w:spacing w:val="0"/>
        </w:rPr>
        <w:t>ZOPP</w:t>
      </w:r>
      <w:r>
        <w:rPr>
          <w:rFonts w:hint="cs"/>
          <w:spacing w:val="0"/>
          <w:rtl/>
        </w:rPr>
        <w:t>) تن</w:t>
      </w:r>
      <w:r>
        <w:rPr>
          <w:rFonts w:hint="cs"/>
          <w:spacing w:val="0"/>
          <w:rtl/>
        </w:rPr>
        <w:t>ظم على المستوى الرفيع، وبرمجة ومتابعة المشاريع التي تستخدم برنامج مايكروسوفت.</w:t>
      </w:r>
    </w:p>
    <w:p w:rsidR="00000000" w:rsidRDefault="00567B15">
      <w:pPr>
        <w:spacing w:line="380" w:lineRule="exact"/>
        <w:jc w:val="both"/>
        <w:rPr>
          <w:rFonts w:hint="cs"/>
          <w:spacing w:val="0"/>
          <w:rtl/>
        </w:rPr>
      </w:pPr>
      <w:r>
        <w:rPr>
          <w:rFonts w:hint="cs"/>
          <w:spacing w:val="0"/>
          <w:rtl/>
        </w:rPr>
        <w:t>552-</w:t>
      </w:r>
      <w:r>
        <w:rPr>
          <w:rFonts w:hint="cs"/>
          <w:spacing w:val="0"/>
          <w:rtl/>
        </w:rPr>
        <w:tab/>
        <w:t>ولقد أصدر البنك المركزي عن طريق مجلس الشؤون النقدية لوائح متعددة مصممة للحصول على موارد تخصص للتنمية الثقافية. وزادت الحكومة مبلغ جوائز الجدارة الثقافية من 30 إلى 60 مليون م</w:t>
      </w:r>
      <w:r>
        <w:rPr>
          <w:rFonts w:hint="cs"/>
          <w:spacing w:val="0"/>
          <w:rtl/>
        </w:rPr>
        <w:t>ن السوكرات، كما وسعت نطاق هذا المخطط ليمكن، في حال وفاة الشخص الذي كان سيستلم الجائزة، من تسديد مبلغها للزوجة أو الزوج أو للأطفال.</w:t>
      </w:r>
    </w:p>
    <w:p w:rsidR="00000000" w:rsidRDefault="00567B15">
      <w:pPr>
        <w:spacing w:line="380" w:lineRule="exact"/>
        <w:jc w:val="both"/>
        <w:rPr>
          <w:rFonts w:hint="cs"/>
          <w:rtl/>
        </w:rPr>
      </w:pPr>
      <w:r>
        <w:rPr>
          <w:rFonts w:hint="cs"/>
          <w:rtl/>
        </w:rPr>
        <w:t>553-</w:t>
      </w:r>
      <w:r>
        <w:rPr>
          <w:rFonts w:hint="cs"/>
          <w:rtl/>
        </w:rPr>
        <w:tab/>
        <w:t>وتوجد مساهمة هامة أخرى وهي المبلغ الذي يخصصه صندوق التضامن في كل سنة مالية وقدره 7 مليارات من السوكرات لإنتاج الكتب المد</w:t>
      </w:r>
      <w:r>
        <w:rPr>
          <w:rFonts w:hint="cs"/>
          <w:rtl/>
        </w:rPr>
        <w:t>رسية.</w:t>
      </w:r>
    </w:p>
    <w:p w:rsidR="00000000" w:rsidRDefault="00567B15">
      <w:pPr>
        <w:spacing w:line="380" w:lineRule="exact"/>
        <w:jc w:val="both"/>
        <w:rPr>
          <w:rFonts w:hint="cs"/>
          <w:i/>
          <w:iCs/>
          <w:rtl/>
        </w:rPr>
      </w:pPr>
      <w:r>
        <w:rPr>
          <w:rFonts w:hint="cs"/>
          <w:i/>
          <w:iCs/>
          <w:rtl/>
        </w:rPr>
        <w:t>المجتمع والثقافة</w:t>
      </w:r>
    </w:p>
    <w:p w:rsidR="00000000" w:rsidRDefault="00567B15">
      <w:pPr>
        <w:spacing w:line="380" w:lineRule="exact"/>
        <w:jc w:val="both"/>
        <w:rPr>
          <w:rFonts w:hint="cs"/>
          <w:rtl/>
        </w:rPr>
      </w:pPr>
      <w:r>
        <w:rPr>
          <w:rFonts w:hint="cs"/>
          <w:rtl/>
        </w:rPr>
        <w:t>554-</w:t>
      </w:r>
      <w:r>
        <w:rPr>
          <w:rFonts w:hint="cs"/>
          <w:rtl/>
        </w:rPr>
        <w:tab/>
        <w:t xml:space="preserve">ينص قانون الثقافة رقم 181 المنشور في عدد </w:t>
      </w:r>
      <w:r>
        <w:rPr>
          <w:rFonts w:hint="cs"/>
          <w:i/>
          <w:iCs/>
          <w:rtl/>
        </w:rPr>
        <w:t>الجريدة الرسمية</w:t>
      </w:r>
      <w:r>
        <w:rPr>
          <w:rFonts w:hint="cs"/>
          <w:rtl/>
        </w:rPr>
        <w:t xml:space="preserve"> 805 الصادر في 10 آب/أغسطس 1984 كما تنص اللوائح التنفيذية لهذا القانون (الجريدة الرسمية، العدد 449 الصادر في 3 حزيران/يونيه 1986) على إنشاء نظام للمؤسسات الثقافية الإكوادور</w:t>
      </w:r>
      <w:r>
        <w:rPr>
          <w:rFonts w:hint="cs"/>
          <w:rtl/>
        </w:rPr>
        <w:t>ية يتألف من:</w:t>
      </w:r>
    </w:p>
    <w:p w:rsidR="00000000" w:rsidRDefault="00567B15">
      <w:pPr>
        <w:spacing w:before="180" w:after="180" w:line="380" w:lineRule="exact"/>
        <w:ind w:left="720"/>
        <w:jc w:val="both"/>
        <w:rPr>
          <w:rFonts w:hint="cs"/>
          <w:rtl/>
        </w:rPr>
      </w:pPr>
      <w:r>
        <w:rPr>
          <w:rFonts w:hint="cs"/>
          <w:rtl/>
        </w:rPr>
        <w:t>(أ)</w:t>
      </w:r>
      <w:r>
        <w:rPr>
          <w:rFonts w:hint="cs"/>
          <w:rtl/>
        </w:rPr>
        <w:tab/>
        <w:t>وزارة التعليم والثقافة؛</w:t>
      </w:r>
    </w:p>
    <w:p w:rsidR="00000000" w:rsidRDefault="00567B15">
      <w:pPr>
        <w:spacing w:before="180" w:after="180" w:line="380" w:lineRule="exact"/>
        <w:ind w:left="720"/>
        <w:jc w:val="both"/>
        <w:rPr>
          <w:rFonts w:hint="cs"/>
          <w:rtl/>
        </w:rPr>
      </w:pPr>
      <w:r>
        <w:rPr>
          <w:rFonts w:hint="cs"/>
          <w:rtl/>
        </w:rPr>
        <w:t>(ب)</w:t>
      </w:r>
      <w:r>
        <w:rPr>
          <w:rFonts w:hint="cs"/>
          <w:rtl/>
        </w:rPr>
        <w:tab/>
        <w:t>مجلس الثقافة الوطني؛</w:t>
      </w:r>
    </w:p>
    <w:p w:rsidR="00000000" w:rsidRDefault="00567B15">
      <w:pPr>
        <w:spacing w:before="180" w:after="180" w:line="380" w:lineRule="exact"/>
        <w:ind w:left="720"/>
        <w:jc w:val="both"/>
        <w:rPr>
          <w:rFonts w:hint="cs"/>
          <w:rtl/>
        </w:rPr>
      </w:pPr>
      <w:r>
        <w:rPr>
          <w:rFonts w:hint="cs"/>
          <w:rtl/>
        </w:rPr>
        <w:t>(ج)</w:t>
      </w:r>
      <w:r>
        <w:rPr>
          <w:rFonts w:hint="cs"/>
          <w:rtl/>
        </w:rPr>
        <w:tab/>
        <w:t>دار الثقافة الإكوادورية؛</w:t>
      </w:r>
    </w:p>
    <w:p w:rsidR="00000000" w:rsidRDefault="00567B15">
      <w:pPr>
        <w:spacing w:before="180" w:after="180" w:line="380" w:lineRule="exact"/>
        <w:ind w:left="720"/>
        <w:jc w:val="both"/>
        <w:rPr>
          <w:rFonts w:hint="cs"/>
          <w:rtl/>
        </w:rPr>
      </w:pPr>
      <w:r>
        <w:rPr>
          <w:rFonts w:hint="cs"/>
          <w:rtl/>
        </w:rPr>
        <w:t>(د)</w:t>
      </w:r>
      <w:r>
        <w:rPr>
          <w:rFonts w:hint="cs"/>
          <w:rtl/>
        </w:rPr>
        <w:tab/>
        <w:t>معهد التراث الثقافي؛</w:t>
      </w:r>
    </w:p>
    <w:p w:rsidR="00000000" w:rsidRDefault="00567B15">
      <w:pPr>
        <w:spacing w:before="180" w:after="180" w:line="380" w:lineRule="exact"/>
        <w:jc w:val="both"/>
        <w:rPr>
          <w:rFonts w:hint="cs"/>
          <w:rtl/>
        </w:rPr>
      </w:pPr>
      <w:r>
        <w:rPr>
          <w:rFonts w:hint="cs"/>
          <w:rtl/>
        </w:rPr>
        <w:tab/>
        <w:t>(ه‍)</w:t>
      </w:r>
      <w:r>
        <w:rPr>
          <w:rFonts w:hint="cs"/>
          <w:rtl/>
        </w:rPr>
        <w:tab/>
        <w:t>مؤسسات أخرى من القطاعين العام والخاص تضطلع بأنشطة ثقافية وتشمل مجالس المحفوظات الوطنية، والمكتبات والمتاحف.</w:t>
      </w:r>
    </w:p>
    <w:p w:rsidR="00000000" w:rsidRDefault="00567B15">
      <w:pPr>
        <w:spacing w:line="380" w:lineRule="exact"/>
        <w:jc w:val="both"/>
        <w:rPr>
          <w:rFonts w:hint="cs"/>
          <w:rtl/>
        </w:rPr>
      </w:pPr>
      <w:r>
        <w:rPr>
          <w:rFonts w:hint="cs"/>
          <w:rtl/>
        </w:rPr>
        <w:t>555-</w:t>
      </w:r>
      <w:r>
        <w:rPr>
          <w:rFonts w:hint="cs"/>
          <w:rtl/>
        </w:rPr>
        <w:tab/>
        <w:t>وفيما يتعلق بوزار</w:t>
      </w:r>
      <w:r>
        <w:rPr>
          <w:rFonts w:hint="cs"/>
          <w:rtl/>
        </w:rPr>
        <w:t>ة التعليم والثقافة تنص المادة 2 من اللائحة على "أن مكتب وكيل الوزارة للشؤون الثقافية مكلف بتأدية المهام المنوطة بالوزارة بموجب المادتين 3 و4 من قانون الثقافة"، ويجب على هذا المكتب أن يقوم بالإضافة إلى ذلك "بتنفيذ المبادئ التوجيهية والبرامج الثقافية المشمول</w:t>
      </w:r>
      <w:r>
        <w:rPr>
          <w:rFonts w:hint="cs"/>
          <w:rtl/>
        </w:rPr>
        <w:t>ة في البرنامج الإنمائي الوطني".</w:t>
      </w:r>
    </w:p>
    <w:p w:rsidR="00000000" w:rsidRDefault="00567B15">
      <w:pPr>
        <w:spacing w:line="380" w:lineRule="exact"/>
        <w:jc w:val="both"/>
        <w:rPr>
          <w:rFonts w:hint="cs"/>
          <w:rtl/>
        </w:rPr>
      </w:pPr>
      <w:r>
        <w:rPr>
          <w:rFonts w:hint="cs"/>
          <w:rtl/>
        </w:rPr>
        <w:t>556-</w:t>
      </w:r>
      <w:r>
        <w:rPr>
          <w:rFonts w:hint="cs"/>
          <w:rtl/>
        </w:rPr>
        <w:tab/>
        <w:t>ويُلحق مجلس الثقافة الوطني بمكتب وكيل الوزارة للشؤون الثقافية بموجب المادة 3، بوصفه الهيئة المسؤولة عن تنفيذ السياسات الثقافية. وتنطوي المهام المنوطة بمجلس الثقافة الوطني بموجب المادة 10 على: "اعتماد وإصلاح خطة عامة متع</w:t>
      </w:r>
      <w:r>
        <w:rPr>
          <w:rFonts w:hint="cs"/>
          <w:rtl/>
        </w:rPr>
        <w:t>ددة السنوات لأجل القطاع الثقافي يتم فيها تحديد القطاعات الثقافية الفرعية بوضوح مع التأكد من ضمان تنمية ثقافية متوازنة في جميع مناطق البلد".</w:t>
      </w:r>
    </w:p>
    <w:p w:rsidR="00000000" w:rsidRDefault="00567B15">
      <w:pPr>
        <w:spacing w:line="380" w:lineRule="exact"/>
        <w:jc w:val="both"/>
        <w:rPr>
          <w:rFonts w:hint="cs"/>
          <w:rtl/>
        </w:rPr>
      </w:pPr>
      <w:r>
        <w:rPr>
          <w:rFonts w:hint="cs"/>
          <w:rtl/>
        </w:rPr>
        <w:t>557-</w:t>
      </w:r>
      <w:r>
        <w:rPr>
          <w:rFonts w:hint="cs"/>
          <w:rtl/>
        </w:rPr>
        <w:tab/>
        <w:t xml:space="preserve">وينص القانون رقم 113 (المعدِّل) لقانون الثقافة والمنشور في عدد </w:t>
      </w:r>
      <w:r>
        <w:rPr>
          <w:rFonts w:hint="cs"/>
          <w:i/>
          <w:iCs/>
          <w:rtl/>
        </w:rPr>
        <w:t>الجريدة الرسمية</w:t>
      </w:r>
      <w:r>
        <w:rPr>
          <w:rFonts w:hint="cs"/>
          <w:rtl/>
        </w:rPr>
        <w:t xml:space="preserve"> رقم 612 الصادر في 28 كانون الثان</w:t>
      </w:r>
      <w:r>
        <w:rPr>
          <w:rFonts w:hint="cs"/>
          <w:rtl/>
        </w:rPr>
        <w:t>ي/يناير 1991، على أنه يجب على الدولة أن "تتخذ تدابير لتنفيذ المشاريع التي تتسم بالأولوية والتي تشجع القيم الثقافية وتعززها وتصونها" عملاً بالدستور وأنه يجب عليها، لبلوغ هذا الغرض، أن تعزز الأنشطة الثقافية، وتزيد عددها على الصعيد المركزي وعلى صعيد مكاتب دور</w:t>
      </w:r>
      <w:r>
        <w:rPr>
          <w:rFonts w:hint="cs"/>
          <w:rtl/>
        </w:rPr>
        <w:t xml:space="preserve"> الثقافة الإكوادورية الموجودة في المقاطعات وعددها 22 مكتباً، وتسمح لها بتحقيق استقلالها الاقتصادي والمالي عملاً بالمادة 13 المعدلة التي تنص على أن: "دار بنخامين كاريون للثقافة الإكوادورية هي جهاز منشأ بموجب القانون العام وتتمتع بشخصية قانونية، ولها أصولها،</w:t>
      </w:r>
      <w:r>
        <w:rPr>
          <w:rFonts w:hint="cs"/>
          <w:rtl/>
        </w:rPr>
        <w:t xml:space="preserve"> وأموالها الذاتية، واستقلالها الاقتصادي والإداري والمالي والتنفيذي" مع استرعاء الانتباه أيضاً إلى أن "دار الثقافة تقوم بتنسيق أنشطتها وبرامجها مع مجلس الثقافة الوطني شريطة ألا يمس ذلك باستقلالها".</w:t>
      </w:r>
    </w:p>
    <w:p w:rsidR="00000000" w:rsidRDefault="00567B15">
      <w:pPr>
        <w:spacing w:line="380" w:lineRule="exact"/>
        <w:jc w:val="both"/>
        <w:rPr>
          <w:rFonts w:hint="cs"/>
          <w:b/>
          <w:bCs/>
          <w:rtl/>
        </w:rPr>
      </w:pPr>
      <w:r>
        <w:rPr>
          <w:rFonts w:hint="cs"/>
          <w:b/>
          <w:bCs/>
          <w:rtl/>
        </w:rPr>
        <w:t>هوية إكوادور الثقافية</w:t>
      </w:r>
    </w:p>
    <w:p w:rsidR="00000000" w:rsidRDefault="00567B15">
      <w:pPr>
        <w:spacing w:line="380" w:lineRule="exact"/>
        <w:jc w:val="both"/>
        <w:rPr>
          <w:rFonts w:hint="cs"/>
          <w:rtl/>
        </w:rPr>
      </w:pPr>
      <w:r>
        <w:rPr>
          <w:rFonts w:hint="cs"/>
          <w:rtl/>
        </w:rPr>
        <w:t>558-</w:t>
      </w:r>
      <w:r>
        <w:rPr>
          <w:rFonts w:hint="cs"/>
          <w:rtl/>
        </w:rPr>
        <w:tab/>
        <w:t>تشكل ممتلكات إكوادور الثقافية ال</w:t>
      </w:r>
      <w:r>
        <w:rPr>
          <w:rFonts w:hint="cs"/>
          <w:rtl/>
        </w:rPr>
        <w:t>منقولة وغير المنقولة العنصر الأساسي لتراثها الثقافي، ولا بد من دراسة هذا التراث والعمل على نشره باستمرار لتعزيز الهوية الوطنية. ومراعاة لتسلسل الأولويات هذا، يسعى معهد التراث الثقافي الوطني إلى تصنيف جميع الممتلكات الثقافية بغية صون وتعزيز التراث الثقافي ا</w:t>
      </w:r>
      <w:r>
        <w:rPr>
          <w:rFonts w:hint="cs"/>
          <w:rtl/>
        </w:rPr>
        <w:t>لمادي. ولقد قامت وزارة التعليم والثقافة، في إطار هذه العملية، بإدخال تعديلات على المناهج لتشمل التقدم المحرز في مجال الدراسات التاريخية والاجتماعية والثقافية المنجزة عن البلد، وقامت في الوقت نفسه بتشجيع مختلف المجتمعات الإثنية على المساهمة في تعيين الاحتيا</w:t>
      </w:r>
      <w:r>
        <w:rPr>
          <w:rFonts w:hint="cs"/>
          <w:rtl/>
        </w:rPr>
        <w:t>جات التربوية عن طريق برنامج التعليم الثنائي اللغة المتعدد الثقافات.</w:t>
      </w:r>
    </w:p>
    <w:p w:rsidR="00000000" w:rsidRDefault="00567B15">
      <w:pPr>
        <w:spacing w:line="380" w:lineRule="exact"/>
        <w:jc w:val="both"/>
        <w:rPr>
          <w:rFonts w:hint="cs"/>
          <w:i/>
          <w:iCs/>
          <w:rtl/>
        </w:rPr>
      </w:pPr>
      <w:r>
        <w:rPr>
          <w:rFonts w:hint="cs"/>
          <w:i/>
          <w:iCs/>
          <w:rtl/>
        </w:rPr>
        <w:t>ترويج الثقافة</w:t>
      </w:r>
    </w:p>
    <w:p w:rsidR="00000000" w:rsidRDefault="00567B15">
      <w:pPr>
        <w:spacing w:line="380" w:lineRule="exact"/>
        <w:jc w:val="both"/>
        <w:rPr>
          <w:rFonts w:hint="cs"/>
          <w:rtl/>
        </w:rPr>
      </w:pPr>
      <w:r>
        <w:rPr>
          <w:rFonts w:hint="cs"/>
          <w:rtl/>
        </w:rPr>
        <w:t>559-</w:t>
      </w:r>
      <w:r>
        <w:rPr>
          <w:rFonts w:hint="cs"/>
          <w:rtl/>
        </w:rPr>
        <w:tab/>
        <w:t>يوجد لدى مختلف المجتمعات مخزون من الأساليب الأصيلة المعتمدة التي تعبر عن ثقافتها والتي تبرز أحد العناصر الأساسية للهوية الثقافية الوطنية. ويسمح تشجيع وتقدير أساليب التعب</w:t>
      </w:r>
      <w:r>
        <w:rPr>
          <w:rFonts w:hint="cs"/>
          <w:rtl/>
        </w:rPr>
        <w:t>ير عن الثقافة الشعبية بترسيخ الهوية الثقافية في الحياة اليومية وممارسة التقاليد الثقافية بحرية، وذلك بإدماج معارف التراث الثقافي والطبيعي وبتقديره في العملية التربوية كصورة حية عن الإنجازات الثقافية لمجتمعات السكان الأصليين ولفئات إثنية أخرى. ويُذكَر بين ا</w:t>
      </w:r>
      <w:r>
        <w:rPr>
          <w:rFonts w:hint="cs"/>
          <w:rtl/>
        </w:rPr>
        <w:t>لوسائل الفعالة لبلوغ هذا الهدف إحياء الثقافة المستمدة من التراث الأدبي المتناقل بالسماع مع ما يشمله من روايات خرافية وأساطير ونوادر وتقاليد فضلاً عن إحياء التراث الموسيقي مع ما يشمله من أغان، وألحان شعر وإيقاعات وأدوات موسيقية؛ وكذلك إحياء احتفالات مختلف ا</w:t>
      </w:r>
      <w:r>
        <w:rPr>
          <w:rFonts w:hint="cs"/>
          <w:rtl/>
        </w:rPr>
        <w:t>لجماعات بالرجوع إلى أصلها ومغزاها؛ وإحياء الحرف اليدوية مع ما ترمز إليه وما تعبر عنه من ثروة ثقافية هائلة. وتفيد هذه العناصر في تدعيم تنمية العملية التربوية، كمواد نابضة وأساس للتنفيذ المنطقي اللازم لصيانة ثقافات السكان الأصليين.</w:t>
      </w:r>
    </w:p>
    <w:p w:rsidR="00000000" w:rsidRDefault="00567B15">
      <w:pPr>
        <w:spacing w:line="380" w:lineRule="exact"/>
        <w:jc w:val="both"/>
        <w:rPr>
          <w:rFonts w:hint="cs"/>
          <w:spacing w:val="0"/>
          <w:rtl/>
        </w:rPr>
      </w:pPr>
      <w:r>
        <w:rPr>
          <w:rFonts w:hint="cs"/>
          <w:spacing w:val="0"/>
          <w:rtl/>
        </w:rPr>
        <w:t>560-</w:t>
      </w:r>
      <w:r>
        <w:rPr>
          <w:rFonts w:hint="cs"/>
          <w:spacing w:val="0"/>
          <w:rtl/>
        </w:rPr>
        <w:tab/>
        <w:t>وإذا كانت عملية الترو</w:t>
      </w:r>
      <w:r>
        <w:rPr>
          <w:rFonts w:hint="cs"/>
          <w:spacing w:val="0"/>
          <w:rtl/>
        </w:rPr>
        <w:t>يج ربما لا تبدو حتى الآن عملية متكاملة منسقة ودارجة، فإن حكومة إكوادور ومجالس المقاطعات ومجالس البلديات تستمر في الاضطلاع بأنشطة تهدف إلى ترويج الثقافة. ولقد كان كتاب الفنانين التشكيليين الذي أصدرته وزارة الخارجية، كما كان برنامج ترويج الثقافة المعنون: "إك</w:t>
      </w:r>
      <w:r>
        <w:rPr>
          <w:rFonts w:hint="cs"/>
          <w:spacing w:val="0"/>
          <w:rtl/>
        </w:rPr>
        <w:t>وادور بالصور"، وأشرطة الفيديو المخصصة للثقافات الإكوادورية، والمنشورات التي أصدرتها منظمات خاصة عن الاحتفالات الشعبية، والفنون التشكيلية المعاصرة، والصور الفوتوغرافية التي تصور أنشطتنا الثقافية، بعض أبرز الأحداث الثقافية خلال السنوات الأخيرة.</w:t>
      </w:r>
    </w:p>
    <w:p w:rsidR="00000000" w:rsidRDefault="00567B15">
      <w:pPr>
        <w:spacing w:line="380" w:lineRule="exact"/>
        <w:jc w:val="both"/>
        <w:rPr>
          <w:rFonts w:hint="cs"/>
          <w:rtl/>
        </w:rPr>
      </w:pPr>
      <w:r>
        <w:rPr>
          <w:rFonts w:hint="cs"/>
          <w:rtl/>
        </w:rPr>
        <w:t>561-</w:t>
      </w:r>
      <w:r>
        <w:rPr>
          <w:rFonts w:hint="cs"/>
          <w:rtl/>
        </w:rPr>
        <w:tab/>
        <w:t>ويوجد بر</w:t>
      </w:r>
      <w:r>
        <w:rPr>
          <w:rFonts w:hint="cs"/>
          <w:rtl/>
        </w:rPr>
        <w:t>نامج وطني لنشر الثقافة وهو يشمل عدداً من العناصر المتنوعة: كالإنتاج والتوزيع عن طريق وسائط الإعلام الجماهيرية - الصحافة، وعن طريق الإذاعة والتلفزيون وشبكة الإنترنت ووسائل الاتصال السمعية البصرية؛ وكالطباعة والنشر؛ ونشر الثقافة الاكوادورية على الصعيد الدولي</w:t>
      </w:r>
      <w:r>
        <w:rPr>
          <w:rFonts w:hint="cs"/>
          <w:rtl/>
        </w:rPr>
        <w:t>.</w:t>
      </w:r>
    </w:p>
    <w:p w:rsidR="00000000" w:rsidRDefault="00567B15">
      <w:pPr>
        <w:spacing w:line="380" w:lineRule="exact"/>
        <w:jc w:val="both"/>
        <w:rPr>
          <w:rFonts w:hint="cs"/>
          <w:i/>
          <w:iCs/>
          <w:rtl/>
        </w:rPr>
      </w:pPr>
      <w:r>
        <w:rPr>
          <w:rFonts w:hint="cs"/>
          <w:i/>
          <w:iCs/>
          <w:rtl/>
        </w:rPr>
        <w:t>عناصر التراث الثقافي</w:t>
      </w:r>
    </w:p>
    <w:p w:rsidR="00000000" w:rsidRDefault="00567B15">
      <w:pPr>
        <w:spacing w:line="380" w:lineRule="exact"/>
        <w:jc w:val="both"/>
        <w:rPr>
          <w:rFonts w:hint="cs"/>
          <w:spacing w:val="0"/>
          <w:rtl/>
        </w:rPr>
      </w:pPr>
      <w:r>
        <w:rPr>
          <w:rFonts w:hint="cs"/>
          <w:spacing w:val="0"/>
          <w:rtl/>
        </w:rPr>
        <w:t>562-</w:t>
      </w:r>
      <w:r>
        <w:rPr>
          <w:rFonts w:hint="cs"/>
          <w:spacing w:val="0"/>
          <w:rtl/>
        </w:rPr>
        <w:tab/>
        <w:t xml:space="preserve">أعلنت منظمة الأمم المتحدة للتربية والعلم والثقافة (اليونسكو) في أيلول/سبتمبر 1978، كيتو، عاصمة إكوادور جزءاً من التراث الثقافي للإنسانية. وأعلنت في نفس الوقت جزر غلاباخوس جزءاً من التراث الطبيعي للبشرية. وصُنِّفت كوينكا كجزء من </w:t>
      </w:r>
      <w:r>
        <w:rPr>
          <w:rFonts w:hint="cs"/>
          <w:spacing w:val="0"/>
          <w:rtl/>
        </w:rPr>
        <w:t>التراث الثقافي في عام 2001 لمركزها التاريخي ومتاحفها ومعارضها التي تقام كل سنتين.</w:t>
      </w:r>
    </w:p>
    <w:p w:rsidR="00000000" w:rsidRDefault="00567B15">
      <w:pPr>
        <w:spacing w:line="380" w:lineRule="exact"/>
        <w:jc w:val="both"/>
        <w:rPr>
          <w:rFonts w:hint="cs"/>
          <w:rtl/>
        </w:rPr>
      </w:pPr>
      <w:r>
        <w:rPr>
          <w:rFonts w:hint="cs"/>
          <w:rtl/>
        </w:rPr>
        <w:t>563-</w:t>
      </w:r>
      <w:r>
        <w:rPr>
          <w:rFonts w:hint="cs"/>
          <w:rtl/>
        </w:rPr>
        <w:tab/>
        <w:t xml:space="preserve">ولقد قام المجلس الوطني، عملاً بالقانون رقم 82 المنشور في عدد </w:t>
      </w:r>
      <w:r>
        <w:rPr>
          <w:rFonts w:hint="cs"/>
          <w:i/>
          <w:iCs/>
          <w:rtl/>
        </w:rPr>
        <w:t>الجريدة الرسمية</w:t>
      </w:r>
      <w:r>
        <w:rPr>
          <w:rFonts w:hint="cs"/>
          <w:rtl/>
        </w:rPr>
        <w:t xml:space="preserve"> رقم 838 الصادر في 23 كانون الأول/ديسمبر 1987، بإنشاء صندوق إنقاذ التراث الثقافي بغية ترميم و</w:t>
      </w:r>
      <w:r>
        <w:rPr>
          <w:rFonts w:hint="cs"/>
          <w:rtl/>
        </w:rPr>
        <w:t>صون وحماية الآثار التاريخية والفنية والدينية والثقافية التي تضررت من جراء الزلزال الذي وقع في آذار/مارس 1987 والذي ألحق أضراراً جسيمة بتراث مدينة كيتو الثقافي والتاريخي. ونص القانون على تخصيص 10 في المائة من ميزانية صندوق الطوارئ الوطنية لصندوق الإنقاذ؛ ول</w:t>
      </w:r>
      <w:r>
        <w:rPr>
          <w:rFonts w:hint="cs"/>
          <w:rtl/>
        </w:rPr>
        <w:t>كن لم تحول تلك المبالغ من الميزانية حتى الآن مما قوض فعالية عملية ترميم الكنوز الثقافية القيمة التي لحق بها التلف.</w:t>
      </w:r>
    </w:p>
    <w:p w:rsidR="00000000" w:rsidRDefault="00567B15">
      <w:pPr>
        <w:spacing w:line="380" w:lineRule="exact"/>
        <w:jc w:val="both"/>
        <w:rPr>
          <w:rFonts w:hint="cs"/>
          <w:spacing w:val="2"/>
          <w:rtl/>
        </w:rPr>
      </w:pPr>
      <w:r>
        <w:rPr>
          <w:rFonts w:hint="cs"/>
          <w:spacing w:val="2"/>
          <w:rtl/>
        </w:rPr>
        <w:t>564-</w:t>
      </w:r>
      <w:r>
        <w:rPr>
          <w:rFonts w:hint="cs"/>
          <w:spacing w:val="2"/>
          <w:rtl/>
        </w:rPr>
        <w:tab/>
        <w:t xml:space="preserve">وقد دفع ذلك، المجلس الوطني إلى اعتماد قانون لتعديل التشريع الذي أنشئ بموجبه صندوق إنقاذ التراث الثقافي، ونشر هذا القانون في عدد </w:t>
      </w:r>
      <w:r>
        <w:rPr>
          <w:rFonts w:hint="cs"/>
          <w:i/>
          <w:iCs/>
          <w:spacing w:val="2"/>
          <w:rtl/>
        </w:rPr>
        <w:t xml:space="preserve">الجريدة </w:t>
      </w:r>
      <w:r>
        <w:rPr>
          <w:rFonts w:hint="cs"/>
          <w:i/>
          <w:iCs/>
          <w:spacing w:val="2"/>
          <w:rtl/>
        </w:rPr>
        <w:t>الرسمية</w:t>
      </w:r>
      <w:r>
        <w:rPr>
          <w:rFonts w:hint="cs"/>
          <w:spacing w:val="2"/>
          <w:rtl/>
        </w:rPr>
        <w:t xml:space="preserve"> رقم 808 الصادر في 8 تشرين الثاني/نوفمبر 1991. ويطلب القانون إلى صندوق الطوارئ الوطنية تحويل ما يعادل 10 في المائة من ميزانيته الأصلية إلى حساب خاص باسم بلدية كيتو في البنك المركزي. ومنذ ذاك الحين، سارت عملية الترميم بمراعاة الجدول الزمني المحدد لها</w:t>
      </w:r>
      <w:r>
        <w:rPr>
          <w:rFonts w:hint="cs"/>
          <w:spacing w:val="2"/>
          <w:rtl/>
        </w:rPr>
        <w:t>. وفي نفس الوقت، استلم صندوق إنقاذ التراث الثقافي أموالاً من الخارج أفادت كمصدر هام للغاية من الدعم لترميم التراث الثقافي.</w:t>
      </w:r>
    </w:p>
    <w:p w:rsidR="00000000" w:rsidRDefault="00567B15">
      <w:pPr>
        <w:spacing w:line="380" w:lineRule="exact"/>
        <w:jc w:val="both"/>
        <w:rPr>
          <w:rFonts w:hint="cs"/>
          <w:rtl/>
        </w:rPr>
      </w:pPr>
      <w:r>
        <w:rPr>
          <w:rFonts w:hint="cs"/>
          <w:rtl/>
        </w:rPr>
        <w:t>565-</w:t>
      </w:r>
      <w:r>
        <w:rPr>
          <w:rFonts w:hint="cs"/>
          <w:rtl/>
        </w:rPr>
        <w:tab/>
        <w:t xml:space="preserve">وتنص المادة 62 من الدستور على أن "الثقافة هي تراث الشعب وهي عنصر أساسي من العناصر المكونة لهويته. ويجب على الدولة أن تروج وتشجع </w:t>
      </w:r>
      <w:r>
        <w:rPr>
          <w:rFonts w:hint="cs"/>
          <w:rtl/>
        </w:rPr>
        <w:t>الثقافة والإبداع، والتدريب الفني والبحوث العلمية. كما يجب عليها أن تضع سياسات دائمة لحفظ وترميم وحماية ومراعاة التراث الثقافي الملموس وغير الملموس والثروة الوطنية الفنية والتاريخية واللغوية والأثرية، فضلاً عن مجموعة القيم وأساليب التعبير المختلفة التي تشكل</w:t>
      </w:r>
      <w:r>
        <w:rPr>
          <w:rFonts w:hint="cs"/>
          <w:rtl/>
        </w:rPr>
        <w:t xml:space="preserve"> الهوية الوطنية المتعددة الثقافات والإثنيات. ويجب على الدولة أن تشجع تعدد الثقافات وأن تبني سياساتها ومؤسساتها على أساس مبدأي العدل والمساواة بين الثقافات".</w:t>
      </w:r>
    </w:p>
    <w:p w:rsidR="00000000" w:rsidRDefault="00567B15">
      <w:pPr>
        <w:spacing w:line="380" w:lineRule="exact"/>
        <w:jc w:val="both"/>
        <w:rPr>
          <w:rFonts w:hint="cs"/>
          <w:rtl/>
        </w:rPr>
      </w:pPr>
      <w:r>
        <w:rPr>
          <w:rFonts w:hint="cs"/>
          <w:rtl/>
        </w:rPr>
        <w:t>566-</w:t>
      </w:r>
      <w:r>
        <w:rPr>
          <w:rFonts w:hint="cs"/>
          <w:rtl/>
        </w:rPr>
        <w:tab/>
        <w:t>وتشير المادة 63 إلى مشاركة الأفراد في الاحتفالات الثقافية، وتنص على أنه :"يجب على الدولة أن تض</w:t>
      </w:r>
      <w:r>
        <w:rPr>
          <w:rFonts w:hint="cs"/>
          <w:rtl/>
        </w:rPr>
        <w:t>من تكافؤ الشروط والفرص لتمكن الأفراد من الاستفادة من السلع والخدمات الثقافية وأساليب التعبير الثقافية والمشاركة فيها، كما يجب عليها أن تتخذ التدابير اللازمة للتأكد من أن المجتمع والنظام التربوي والمؤسسات الخاصة ووسائط الإعلام تسهم في تشجيع الإبداع والأنشطة</w:t>
      </w:r>
      <w:r>
        <w:rPr>
          <w:rFonts w:hint="cs"/>
          <w:rtl/>
        </w:rPr>
        <w:t xml:space="preserve"> الثقافية بشتى مظاهرها. ويجب أن يسهم المفكرون والفنانون في إعداد السياسات الثقافية عن طريق منظماتهم".</w:t>
      </w:r>
    </w:p>
    <w:p w:rsidR="00000000" w:rsidRDefault="00567B15">
      <w:pPr>
        <w:spacing w:line="380" w:lineRule="exact"/>
        <w:jc w:val="both"/>
        <w:rPr>
          <w:rFonts w:hint="cs"/>
          <w:rtl/>
        </w:rPr>
      </w:pPr>
      <w:r>
        <w:rPr>
          <w:rFonts w:hint="cs"/>
          <w:rtl/>
        </w:rPr>
        <w:t>567-</w:t>
      </w:r>
      <w:r>
        <w:rPr>
          <w:rFonts w:hint="cs"/>
          <w:rtl/>
        </w:rPr>
        <w:tab/>
        <w:t>وتنص المادة 27 من الإعلان العالمي لحقوق الإنسان الصادر في عام 1948، على أن: "لكل شخص حق المشاركة الحرة في حياة المجتمع الثقافية وفي الاستمتاع بالفنون</w:t>
      </w:r>
      <w:r>
        <w:rPr>
          <w:rFonts w:hint="cs"/>
          <w:rtl/>
        </w:rPr>
        <w:t xml:space="preserve"> والإسهام في التقدم العلمي وفي الفوائد التي تنجم عنه". كما تنص على أن: "لكل شخص حق في حماية المصالح المعنوية والمادية المترتبة على أي إنتاج علمي أو أدبي أو فني من صنعه".</w:t>
      </w:r>
    </w:p>
    <w:p w:rsidR="00000000" w:rsidRDefault="00567B15">
      <w:pPr>
        <w:spacing w:line="380" w:lineRule="exact"/>
        <w:jc w:val="both"/>
        <w:rPr>
          <w:rFonts w:hint="cs"/>
          <w:spacing w:val="0"/>
          <w:rtl/>
        </w:rPr>
      </w:pPr>
      <w:r>
        <w:rPr>
          <w:rFonts w:hint="cs"/>
          <w:rtl/>
        </w:rPr>
        <w:t>568-</w:t>
      </w:r>
      <w:r>
        <w:rPr>
          <w:rFonts w:hint="cs"/>
          <w:spacing w:val="0"/>
          <w:rtl/>
        </w:rPr>
        <w:tab/>
        <w:t xml:space="preserve">وبعد مرور سنة على إبرام اتفاقية برن لحماية المصنفات الأدبية والفنية في عام 1886، </w:t>
      </w:r>
      <w:r>
        <w:rPr>
          <w:rFonts w:hint="cs"/>
          <w:spacing w:val="0"/>
          <w:rtl/>
        </w:rPr>
        <w:t xml:space="preserve">اعتمدت إكوادور وأصدرت قانون عام 1887 للملكية الفنية والأدبية الذي ظل ساري المفعول حتى عام 1958. وأصدرت إكوادور في شباط/فبراير 1958 قانون الملكية الفكرية. وقد وضع هذا القانون </w:t>
      </w:r>
      <w:r>
        <w:rPr>
          <w:rFonts w:hint="cs"/>
          <w:spacing w:val="0"/>
          <w:rtl/>
        </w:rPr>
        <w:t>بالاعتم</w:t>
      </w:r>
      <w:r>
        <w:rPr>
          <w:rFonts w:hint="cs"/>
          <w:spacing w:val="0"/>
          <w:rtl/>
        </w:rPr>
        <w:t xml:space="preserve">اد على الاتفاقية العالمية لحقوق التأليف والنشر المبرمة في جنيف في عام 1952 </w:t>
      </w:r>
      <w:r>
        <w:rPr>
          <w:rFonts w:hint="cs"/>
          <w:spacing w:val="0"/>
          <w:rtl/>
        </w:rPr>
        <w:t xml:space="preserve">والتي قام المجلس الوطني الإكوادوري بإدماجها في 6 تشرين الثاني/نوفمبر 1956 في القانون الوطني، كما يتبين من عدد </w:t>
      </w:r>
      <w:r>
        <w:rPr>
          <w:rFonts w:hint="cs"/>
          <w:i/>
          <w:iCs/>
          <w:spacing w:val="0"/>
          <w:rtl/>
        </w:rPr>
        <w:t>الجريدة الرسمية</w:t>
      </w:r>
      <w:r>
        <w:rPr>
          <w:rFonts w:hint="cs"/>
          <w:spacing w:val="0"/>
          <w:rtl/>
        </w:rPr>
        <w:t xml:space="preserve"> رقم 194 الصادر في 34 نيسان/أبريل 1957.</w:t>
      </w:r>
    </w:p>
    <w:p w:rsidR="00000000" w:rsidRDefault="00567B15">
      <w:pPr>
        <w:spacing w:line="380" w:lineRule="exact"/>
        <w:jc w:val="both"/>
        <w:rPr>
          <w:rFonts w:hint="cs"/>
          <w:rtl/>
        </w:rPr>
      </w:pPr>
      <w:r>
        <w:rPr>
          <w:rFonts w:hint="cs"/>
          <w:rtl/>
        </w:rPr>
        <w:t>569-</w:t>
      </w:r>
      <w:r>
        <w:rPr>
          <w:rFonts w:hint="cs"/>
          <w:rtl/>
        </w:rPr>
        <w:tab/>
        <w:t>وبعد أن تم، في باريس، تنقيح الاتفاقية العالمية لحقوق التأليف والنشر واتفاقية برن بموجب</w:t>
      </w:r>
      <w:r>
        <w:rPr>
          <w:rFonts w:hint="cs"/>
          <w:rtl/>
        </w:rPr>
        <w:t xml:space="preserve"> وثيقة باريس المؤرخة في 24 تموز/يوليه 1971، أصبحت إكوادور طرفاً في هذين الصكين الدوليين الجديدين، وأصدرت في 13 آب/أغسطس 1976 قانون حقوق التأليف والنشر في العدد رقم 149 من </w:t>
      </w:r>
      <w:r>
        <w:rPr>
          <w:rFonts w:hint="cs"/>
          <w:i/>
          <w:iCs/>
          <w:rtl/>
        </w:rPr>
        <w:t>الجريدة الرسمية</w:t>
      </w:r>
      <w:r>
        <w:rPr>
          <w:rFonts w:hint="cs"/>
          <w:rtl/>
        </w:rPr>
        <w:t>؛ ونشرت لائحة التنفيذ العامة الخاصة بهذا القانون في عدد الجريدة الرسمي</w:t>
      </w:r>
      <w:r>
        <w:rPr>
          <w:rFonts w:hint="cs"/>
          <w:rtl/>
        </w:rPr>
        <w:t>ة رقم 495 الصادر في 30 كانون الأول/ديسمبر 1977. ووافقت حكومة إكوادور بموجب القانون واللائحة على إنشاء الجمعية الإكوادورية للمؤلفين والملحنين في عام 1979 بوصفها الجمعية الإدارية الجامعة الوحيدة لإعمال الحقوق في مجال الإبداع الموسيقي، إذ يحظر قانون التأليف و</w:t>
      </w:r>
      <w:r>
        <w:rPr>
          <w:rFonts w:hint="cs"/>
          <w:rtl/>
        </w:rPr>
        <w:t>النشر بوضوح وجود جمعيتين أو أكثر من نفس النوع بصورة قانونية في إكوادور. وتم في عام 1979 تنقيح جديد لوثيقة باريس، وانضمت إليها إكوادور في وقت لاحق.</w:t>
      </w:r>
    </w:p>
    <w:p w:rsidR="00000000" w:rsidRDefault="00567B15">
      <w:pPr>
        <w:spacing w:line="380" w:lineRule="exact"/>
        <w:jc w:val="both"/>
        <w:rPr>
          <w:rFonts w:hint="cs"/>
          <w:rtl/>
        </w:rPr>
      </w:pPr>
      <w:r>
        <w:rPr>
          <w:rFonts w:hint="cs"/>
          <w:rtl/>
        </w:rPr>
        <w:t>570-</w:t>
      </w:r>
      <w:r>
        <w:rPr>
          <w:rFonts w:hint="cs"/>
          <w:rtl/>
        </w:rPr>
        <w:tab/>
        <w:t xml:space="preserve">وعليه يجب التشديد على أن أحكام الاتفاقيتين العالميتين وأحكام قانون حقوق التأليف والنشر نافذة في إكوادور </w:t>
      </w:r>
      <w:r>
        <w:rPr>
          <w:rFonts w:hint="cs"/>
          <w:rtl/>
        </w:rPr>
        <w:t>شأنها شأن أحكام الاتفاقية الدولية لحماية فناني الأداء ومنتجي التسجيلات الصوتية وهيئات الإذاعة. وتسري أيضاً في إكوادور أحكام اتفاقية حماية منتجي الفونوغرامات من استنساخ فونوغراماتهم دون تصريح. ولهذا الغرض، أصدر المجلس الوطني في تموز/يوليه 1992 قانون حظر است</w:t>
      </w:r>
      <w:r>
        <w:rPr>
          <w:rFonts w:hint="cs"/>
          <w:rtl/>
        </w:rPr>
        <w:t xml:space="preserve">خدام المؤلفات الموسيقية دون ترخيص، ونشره في عدد </w:t>
      </w:r>
      <w:r>
        <w:rPr>
          <w:rFonts w:hint="cs"/>
          <w:i/>
          <w:iCs/>
          <w:rtl/>
        </w:rPr>
        <w:t>الجريدة الرسمية</w:t>
      </w:r>
      <w:r>
        <w:rPr>
          <w:rFonts w:hint="cs"/>
          <w:rtl/>
        </w:rPr>
        <w:t xml:space="preserve"> رقم 984 الصادرة في 22 تموز/يوليه 1992.</w:t>
      </w:r>
    </w:p>
    <w:p w:rsidR="00000000" w:rsidRDefault="00567B15">
      <w:pPr>
        <w:spacing w:line="380" w:lineRule="exact"/>
        <w:jc w:val="both"/>
        <w:rPr>
          <w:rFonts w:hint="cs"/>
          <w:rtl/>
        </w:rPr>
      </w:pPr>
      <w:r>
        <w:rPr>
          <w:rFonts w:hint="cs"/>
          <w:rtl/>
        </w:rPr>
        <w:t>571-</w:t>
      </w:r>
      <w:r>
        <w:rPr>
          <w:rFonts w:hint="cs"/>
          <w:rtl/>
        </w:rPr>
        <w:tab/>
        <w:t xml:space="preserve">ونشر المجلس الوطني قانون الملكية الفكرية الجديد في عدد </w:t>
      </w:r>
      <w:r>
        <w:rPr>
          <w:rFonts w:hint="cs"/>
          <w:i/>
          <w:iCs/>
          <w:rtl/>
        </w:rPr>
        <w:t>الجريدة الرسمية</w:t>
      </w:r>
      <w:r>
        <w:rPr>
          <w:rFonts w:hint="cs"/>
          <w:rtl/>
        </w:rPr>
        <w:t xml:space="preserve"> رقم 320 الصادر في 19 أيار/مايو 1998 عملاً بالأحكام الجديدة المنصوص عليها في م</w:t>
      </w:r>
      <w:r>
        <w:rPr>
          <w:rFonts w:hint="cs"/>
          <w:rtl/>
        </w:rPr>
        <w:t>نظمة التجارة العالمية المتعلق بجوانب حقوق الملكية الفكرية المتصلة بالتجارة.</w:t>
      </w:r>
    </w:p>
    <w:p w:rsidR="00000000" w:rsidRDefault="00567B15">
      <w:pPr>
        <w:spacing w:line="380" w:lineRule="exact"/>
        <w:jc w:val="both"/>
        <w:rPr>
          <w:rFonts w:hint="cs"/>
          <w:rtl/>
        </w:rPr>
      </w:pPr>
      <w:r>
        <w:rPr>
          <w:rFonts w:hint="cs"/>
          <w:rtl/>
        </w:rPr>
        <w:t>572-</w:t>
      </w:r>
      <w:r>
        <w:rPr>
          <w:rFonts w:hint="cs"/>
          <w:rtl/>
        </w:rPr>
        <w:tab/>
        <w:t xml:space="preserve">وفي عام 1963، أصبحت إكوادور دولة طرفاً في الاتفاقية الدولية لحماية فناني الأداء ومنتجي التسجيلات الصوتية وهيئات الإذاعة، عملاً بالمرسوم الأعلى 811 المنشور في عدد </w:t>
      </w:r>
      <w:r>
        <w:rPr>
          <w:rFonts w:hint="cs"/>
          <w:i/>
          <w:iCs/>
          <w:rtl/>
        </w:rPr>
        <w:t>الجريدة الرسم</w:t>
      </w:r>
      <w:r>
        <w:rPr>
          <w:rFonts w:hint="cs"/>
          <w:i/>
          <w:iCs/>
          <w:rtl/>
        </w:rPr>
        <w:t>ية</w:t>
      </w:r>
      <w:r>
        <w:rPr>
          <w:rFonts w:hint="cs"/>
          <w:rtl/>
        </w:rPr>
        <w:t xml:space="preserve"> رقم 137 الصادر في 14 تشرين الأول/أكتوبر 1963.</w:t>
      </w:r>
    </w:p>
    <w:p w:rsidR="00000000" w:rsidRDefault="00567B15">
      <w:pPr>
        <w:spacing w:line="380" w:lineRule="exact"/>
        <w:jc w:val="both"/>
        <w:rPr>
          <w:rFonts w:hint="cs"/>
          <w:rtl/>
        </w:rPr>
      </w:pPr>
      <w:r>
        <w:rPr>
          <w:rFonts w:hint="cs"/>
          <w:rtl/>
        </w:rPr>
        <w:t>573-</w:t>
      </w:r>
      <w:r>
        <w:rPr>
          <w:rFonts w:hint="cs"/>
          <w:rtl/>
        </w:rPr>
        <w:tab/>
        <w:t>ووقعت إكوادور في عامي 1971 و1979 على أحكام اتفاقية برن لحماية المصنفات الأدبية والفنية.</w:t>
      </w:r>
    </w:p>
    <w:p w:rsidR="00000000" w:rsidRDefault="00567B15">
      <w:pPr>
        <w:spacing w:line="380" w:lineRule="exact"/>
        <w:jc w:val="both"/>
        <w:rPr>
          <w:rFonts w:hint="cs"/>
          <w:spacing w:val="0"/>
          <w:rtl/>
        </w:rPr>
      </w:pPr>
      <w:r>
        <w:rPr>
          <w:rFonts w:hint="cs"/>
          <w:spacing w:val="0"/>
          <w:rtl/>
        </w:rPr>
        <w:t>574-</w:t>
      </w:r>
      <w:r>
        <w:rPr>
          <w:rFonts w:hint="cs"/>
          <w:spacing w:val="0"/>
          <w:rtl/>
        </w:rPr>
        <w:tab/>
        <w:t>كما وقعت إكوادور في عام 1971 على الاتفاقية العالمية لحقوق التأليف والنشر المنقحة في باريس في 14 تموز/يوليه 19</w:t>
      </w:r>
      <w:r>
        <w:rPr>
          <w:rFonts w:hint="cs"/>
          <w:spacing w:val="0"/>
          <w:rtl/>
        </w:rPr>
        <w:t>71 والمعروفة عامة باسم "اتفاقية عام 1952"، وأصبح يشار إليها فيما بعد باسم "اتفاقية عام 1971".</w:t>
      </w:r>
    </w:p>
    <w:p w:rsidR="00000000" w:rsidRDefault="00567B15">
      <w:pPr>
        <w:spacing w:line="380" w:lineRule="exact"/>
        <w:jc w:val="both"/>
        <w:rPr>
          <w:rFonts w:hint="cs"/>
          <w:rtl/>
        </w:rPr>
      </w:pPr>
      <w:r>
        <w:rPr>
          <w:rFonts w:hint="cs"/>
          <w:rtl/>
        </w:rPr>
        <w:t>575-</w:t>
      </w:r>
      <w:r>
        <w:rPr>
          <w:rFonts w:hint="cs"/>
          <w:rtl/>
        </w:rPr>
        <w:tab/>
        <w:t>واعتمدت إكوادور في عام 1996 بيانات المؤتمر الدبلوماسي المتفق عليها فيما يتعلق بمعاهدة المنظمة العالمية للملكية الفكرية بشأن الأداء والتسجيل الصوتي.</w:t>
      </w:r>
    </w:p>
    <w:p w:rsidR="00000000" w:rsidRDefault="00567B15">
      <w:pPr>
        <w:jc w:val="center"/>
        <w:rPr>
          <w:rFonts w:hint="cs"/>
          <w:b/>
          <w:bCs/>
          <w:rtl/>
        </w:rPr>
      </w:pPr>
      <w:r>
        <w:rPr>
          <w:rFonts w:hint="cs"/>
          <w:b/>
          <w:bCs/>
          <w:rtl/>
        </w:rPr>
        <w:t>مؤسسات ال</w:t>
      </w:r>
      <w:r>
        <w:rPr>
          <w:rFonts w:hint="cs"/>
          <w:b/>
          <w:bCs/>
          <w:rtl/>
        </w:rPr>
        <w:t>نظام الفرعي الثقافي للتدريب على الفنون</w:t>
      </w:r>
    </w:p>
    <w:p w:rsidR="00000000" w:rsidRDefault="00567B15">
      <w:pPr>
        <w:jc w:val="both"/>
        <w:rPr>
          <w:b/>
          <w:bCs/>
          <w:rtl/>
        </w:rPr>
      </w:pPr>
      <w:r>
        <w:rPr>
          <w:rFonts w:hint="cs"/>
          <w:b/>
          <w:bCs/>
          <w:rtl/>
        </w:rPr>
        <w:t>الموسيقى</w:t>
      </w:r>
    </w:p>
    <w:p w:rsidR="00000000" w:rsidRDefault="00567B15">
      <w:pPr>
        <w:jc w:val="both"/>
        <w:rPr>
          <w:i/>
          <w:iCs/>
          <w:rtl/>
        </w:rPr>
      </w:pPr>
      <w:r>
        <w:rPr>
          <w:rFonts w:hint="cs"/>
          <w:i/>
          <w:iCs/>
          <w:rtl/>
        </w:rPr>
        <w:t>معاهد الموسيقى المعاهد العليا</w:t>
      </w:r>
    </w:p>
    <w:tbl>
      <w:tblPr>
        <w:tblW w:w="4958" w:type="pct"/>
        <w:jc w:val="right"/>
        <w:tblInd w:w="40" w:type="dxa"/>
        <w:tblBorders>
          <w:top w:val="single" w:sz="6" w:space="0" w:color="auto"/>
          <w:left w:val="single" w:sz="6" w:space="0" w:color="auto"/>
          <w:bottom w:val="single" w:sz="6" w:space="0" w:color="auto"/>
          <w:right w:val="single" w:sz="6" w:space="0" w:color="auto"/>
          <w:insideV w:val="single" w:sz="6" w:space="0" w:color="auto"/>
        </w:tblBorders>
        <w:tblCellMar>
          <w:left w:w="40" w:type="dxa"/>
          <w:right w:w="40" w:type="dxa"/>
        </w:tblCellMar>
        <w:tblLook w:val="0000" w:firstRow="0" w:lastRow="0" w:firstColumn="0" w:lastColumn="0" w:noHBand="0" w:noVBand="0"/>
      </w:tblPr>
      <w:tblGrid>
        <w:gridCol w:w="6319"/>
        <w:gridCol w:w="1619"/>
        <w:gridCol w:w="1418"/>
      </w:tblGrid>
      <w:tr w:rsidR="00000000">
        <w:tblPrEx>
          <w:tblCellMar>
            <w:top w:w="0" w:type="dxa"/>
            <w:bottom w:w="0" w:type="dxa"/>
          </w:tblCellMar>
        </w:tblPrEx>
        <w:trPr>
          <w:jc w:val="right"/>
        </w:trPr>
        <w:tc>
          <w:tcPr>
            <w:tcW w:w="3377" w:type="pct"/>
          </w:tcPr>
          <w:p w:rsidR="00000000" w:rsidRDefault="00567B15">
            <w:pPr>
              <w:keepNext/>
              <w:keepLines/>
              <w:bidi w:val="0"/>
              <w:spacing w:before="0" w:after="0"/>
              <w:rPr>
                <w:lang w:val="fr-CH"/>
              </w:rPr>
            </w:pPr>
            <w:r>
              <w:rPr>
                <w:szCs w:val="25"/>
                <w:lang w:val="fr-CH"/>
              </w:rPr>
              <w:t>Conservatorio Nacional de Música</w:t>
            </w:r>
          </w:p>
        </w:tc>
        <w:tc>
          <w:tcPr>
            <w:tcW w:w="865" w:type="pct"/>
          </w:tcPr>
          <w:p w:rsidR="00000000" w:rsidRDefault="00567B15">
            <w:pPr>
              <w:keepNext/>
              <w:keepLines/>
              <w:bidi w:val="0"/>
              <w:spacing w:before="0" w:after="0"/>
              <w:rPr>
                <w:lang w:val="fr-CH"/>
              </w:rPr>
            </w:pPr>
            <w:r>
              <w:rPr>
                <w:szCs w:val="25"/>
                <w:lang w:val="fr-CH"/>
              </w:rPr>
              <w:t>Pichincha</w:t>
            </w:r>
          </w:p>
        </w:tc>
        <w:tc>
          <w:tcPr>
            <w:tcW w:w="758" w:type="pct"/>
          </w:tcPr>
          <w:p w:rsidR="00000000" w:rsidRDefault="00567B15">
            <w:pPr>
              <w:keepNext/>
              <w:keepLines/>
              <w:bidi w:val="0"/>
              <w:spacing w:before="0" w:after="0"/>
              <w:rPr>
                <w:lang w:val="fr-CH"/>
              </w:rPr>
            </w:pPr>
            <w:r>
              <w:rPr>
                <w:szCs w:val="25"/>
                <w:lang w:val="fr-CH"/>
              </w:rPr>
              <w:t>Quito</w:t>
            </w:r>
          </w:p>
        </w:tc>
      </w:tr>
      <w:tr w:rsidR="00000000">
        <w:tblPrEx>
          <w:tblCellMar>
            <w:top w:w="0" w:type="dxa"/>
            <w:bottom w:w="0" w:type="dxa"/>
          </w:tblCellMar>
        </w:tblPrEx>
        <w:trPr>
          <w:jc w:val="right"/>
        </w:trPr>
        <w:tc>
          <w:tcPr>
            <w:tcW w:w="3377" w:type="pct"/>
          </w:tcPr>
          <w:p w:rsidR="00000000" w:rsidRDefault="00567B15">
            <w:pPr>
              <w:keepNext/>
              <w:keepLines/>
              <w:bidi w:val="0"/>
              <w:spacing w:before="0" w:after="0"/>
              <w:rPr>
                <w:lang w:val="fr-CH"/>
              </w:rPr>
            </w:pPr>
            <w:r>
              <w:rPr>
                <w:szCs w:val="25"/>
                <w:lang w:val="fr-CH"/>
              </w:rPr>
              <w:t>Conservatorio Nacional “Antonio Neumane”</w:t>
            </w:r>
          </w:p>
        </w:tc>
        <w:tc>
          <w:tcPr>
            <w:tcW w:w="865" w:type="pct"/>
          </w:tcPr>
          <w:p w:rsidR="00000000" w:rsidRDefault="00567B15">
            <w:pPr>
              <w:keepNext/>
              <w:keepLines/>
              <w:bidi w:val="0"/>
              <w:spacing w:before="0" w:after="0"/>
              <w:rPr>
                <w:lang w:val="fr-CH"/>
              </w:rPr>
            </w:pPr>
            <w:r>
              <w:rPr>
                <w:szCs w:val="25"/>
                <w:lang w:val="fr-CH"/>
              </w:rPr>
              <w:t>Guayas</w:t>
            </w:r>
          </w:p>
        </w:tc>
        <w:tc>
          <w:tcPr>
            <w:tcW w:w="758" w:type="pct"/>
          </w:tcPr>
          <w:p w:rsidR="00000000" w:rsidRDefault="00567B15">
            <w:pPr>
              <w:keepNext/>
              <w:keepLines/>
              <w:bidi w:val="0"/>
              <w:spacing w:before="0" w:after="0"/>
              <w:rPr>
                <w:lang w:val="fr-CH"/>
              </w:rPr>
            </w:pPr>
            <w:r>
              <w:rPr>
                <w:szCs w:val="25"/>
                <w:lang w:val="fr-CH"/>
              </w:rPr>
              <w:t>Guayaquil</w:t>
            </w:r>
          </w:p>
        </w:tc>
      </w:tr>
      <w:tr w:rsidR="00000000">
        <w:tblPrEx>
          <w:tblCellMar>
            <w:top w:w="0" w:type="dxa"/>
            <w:bottom w:w="0" w:type="dxa"/>
          </w:tblCellMar>
        </w:tblPrEx>
        <w:trPr>
          <w:jc w:val="right"/>
        </w:trPr>
        <w:tc>
          <w:tcPr>
            <w:tcW w:w="3377" w:type="pct"/>
          </w:tcPr>
          <w:p w:rsidR="00000000" w:rsidRDefault="00567B15">
            <w:pPr>
              <w:keepNext/>
              <w:keepLines/>
              <w:bidi w:val="0"/>
              <w:spacing w:before="0" w:after="0"/>
              <w:rPr>
                <w:lang w:val="fr-CH"/>
              </w:rPr>
            </w:pPr>
            <w:r>
              <w:rPr>
                <w:szCs w:val="25"/>
                <w:lang w:val="fr-CH"/>
              </w:rPr>
              <w:t>Conservatorio Nacional de Música “José María Rodríguez”</w:t>
            </w:r>
          </w:p>
        </w:tc>
        <w:tc>
          <w:tcPr>
            <w:tcW w:w="865" w:type="pct"/>
          </w:tcPr>
          <w:p w:rsidR="00000000" w:rsidRDefault="00567B15">
            <w:pPr>
              <w:keepNext/>
              <w:keepLines/>
              <w:bidi w:val="0"/>
              <w:spacing w:before="0" w:after="0"/>
              <w:rPr>
                <w:lang w:val="fr-CH"/>
              </w:rPr>
            </w:pPr>
            <w:r>
              <w:rPr>
                <w:szCs w:val="25"/>
                <w:lang w:val="fr-CH"/>
              </w:rPr>
              <w:t>Azuay</w:t>
            </w:r>
          </w:p>
        </w:tc>
        <w:tc>
          <w:tcPr>
            <w:tcW w:w="758" w:type="pct"/>
          </w:tcPr>
          <w:p w:rsidR="00000000" w:rsidRDefault="00567B15">
            <w:pPr>
              <w:keepNext/>
              <w:keepLines/>
              <w:bidi w:val="0"/>
              <w:spacing w:before="0" w:after="0"/>
              <w:rPr>
                <w:lang w:val="fr-CH"/>
              </w:rPr>
            </w:pPr>
            <w:r>
              <w:rPr>
                <w:szCs w:val="25"/>
                <w:lang w:val="fr-CH"/>
              </w:rPr>
              <w:t>Cuenca</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de Música “Salvador Bustamante Celi”</w:t>
            </w:r>
          </w:p>
        </w:tc>
        <w:tc>
          <w:tcPr>
            <w:tcW w:w="865" w:type="pct"/>
          </w:tcPr>
          <w:p w:rsidR="00000000" w:rsidRDefault="00567B15">
            <w:pPr>
              <w:bidi w:val="0"/>
              <w:spacing w:before="0" w:after="0"/>
              <w:rPr>
                <w:lang w:val="fr-CH"/>
              </w:rPr>
            </w:pPr>
            <w:r>
              <w:rPr>
                <w:szCs w:val="25"/>
                <w:lang w:val="fr-CH"/>
              </w:rPr>
              <w:t>Loja</w:t>
            </w:r>
          </w:p>
        </w:tc>
        <w:tc>
          <w:tcPr>
            <w:tcW w:w="758" w:type="pct"/>
          </w:tcPr>
          <w:p w:rsidR="00000000" w:rsidRDefault="00567B15">
            <w:pPr>
              <w:bidi w:val="0"/>
              <w:spacing w:before="0" w:after="0"/>
              <w:rPr>
                <w:lang w:val="fr-CH"/>
              </w:rPr>
            </w:pPr>
            <w:r>
              <w:rPr>
                <w:szCs w:val="25"/>
                <w:lang w:val="fr-CH"/>
              </w:rPr>
              <w:t>Loja</w:t>
            </w:r>
          </w:p>
        </w:tc>
      </w:tr>
      <w:tr w:rsidR="00000000">
        <w:tblPrEx>
          <w:tblCellMar>
            <w:top w:w="0" w:type="dxa"/>
            <w:bottom w:w="0" w:type="dxa"/>
          </w:tblCellMar>
        </w:tblPrEx>
        <w:trPr>
          <w:jc w:val="right"/>
        </w:trPr>
        <w:tc>
          <w:tcPr>
            <w:tcW w:w="3377" w:type="pct"/>
          </w:tcPr>
          <w:p w:rsidR="00000000" w:rsidRDefault="00567B15">
            <w:pPr>
              <w:bidi w:val="0"/>
              <w:spacing w:before="0" w:after="0"/>
              <w:rPr>
                <w:szCs w:val="25"/>
                <w:lang w:val="fr-CH"/>
              </w:rPr>
            </w:pPr>
            <w:r>
              <w:rPr>
                <w:szCs w:val="25"/>
                <w:lang w:val="fr-CH"/>
              </w:rPr>
              <w:t>Conservatorio Fiscomisional de Música, Teatro y Danza</w:t>
            </w:r>
          </w:p>
          <w:p w:rsidR="00000000" w:rsidRDefault="00567B15">
            <w:pPr>
              <w:bidi w:val="0"/>
              <w:spacing w:before="0" w:after="0"/>
              <w:rPr>
                <w:lang w:val="fr-CH"/>
              </w:rPr>
            </w:pPr>
            <w:r>
              <w:rPr>
                <w:szCs w:val="25"/>
                <w:lang w:val="fr-CH"/>
              </w:rPr>
              <w:t xml:space="preserve">   “La Merced”</w:t>
            </w:r>
          </w:p>
        </w:tc>
        <w:tc>
          <w:tcPr>
            <w:tcW w:w="865" w:type="pct"/>
          </w:tcPr>
          <w:p w:rsidR="00000000" w:rsidRDefault="00567B15">
            <w:pPr>
              <w:bidi w:val="0"/>
              <w:spacing w:before="0" w:after="0"/>
              <w:rPr>
                <w:lang w:val="fr-CH"/>
              </w:rPr>
            </w:pPr>
            <w:r>
              <w:rPr>
                <w:szCs w:val="23"/>
                <w:lang w:val="fr-CH"/>
              </w:rPr>
              <w:t>Tungurahua</w:t>
            </w:r>
          </w:p>
        </w:tc>
        <w:tc>
          <w:tcPr>
            <w:tcW w:w="758" w:type="pct"/>
          </w:tcPr>
          <w:p w:rsidR="00000000" w:rsidRDefault="00567B15">
            <w:pPr>
              <w:bidi w:val="0"/>
              <w:spacing w:before="0" w:after="0"/>
              <w:rPr>
                <w:lang w:val="fr-CH"/>
              </w:rPr>
            </w:pPr>
            <w:r>
              <w:rPr>
                <w:lang w:val="fr-CH"/>
              </w:rPr>
              <w:t>Ambato</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Particular de Música “Padre Jaime Manuel Mola”</w:t>
            </w:r>
          </w:p>
        </w:tc>
        <w:tc>
          <w:tcPr>
            <w:tcW w:w="865" w:type="pct"/>
          </w:tcPr>
          <w:p w:rsidR="00000000" w:rsidRDefault="00567B15">
            <w:pPr>
              <w:bidi w:val="0"/>
              <w:spacing w:before="0" w:after="0"/>
              <w:rPr>
                <w:lang w:val="fr-CH"/>
              </w:rPr>
            </w:pPr>
            <w:r>
              <w:rPr>
                <w:szCs w:val="25"/>
                <w:lang w:val="fr-CH"/>
              </w:rPr>
              <w:t>Pichincha</w:t>
            </w:r>
          </w:p>
        </w:tc>
        <w:tc>
          <w:tcPr>
            <w:tcW w:w="758" w:type="pct"/>
          </w:tcPr>
          <w:p w:rsidR="00000000" w:rsidRDefault="00567B15">
            <w:pPr>
              <w:bidi w:val="0"/>
              <w:spacing w:before="0" w:after="0"/>
              <w:rPr>
                <w:lang w:val="fr-CH"/>
              </w:rPr>
            </w:pPr>
            <w:r>
              <w:rPr>
                <w:szCs w:val="25"/>
                <w:lang w:val="fr-CH"/>
              </w:rPr>
              <w:t>Quito</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Particular de</w:t>
            </w:r>
            <w:r>
              <w:rPr>
                <w:szCs w:val="25"/>
                <w:lang w:val="fr-CH"/>
              </w:rPr>
              <w:t xml:space="preserve"> Música “Rimsky Korsakov”</w:t>
            </w:r>
          </w:p>
        </w:tc>
        <w:tc>
          <w:tcPr>
            <w:tcW w:w="865" w:type="pct"/>
          </w:tcPr>
          <w:p w:rsidR="00000000" w:rsidRDefault="00567B15">
            <w:pPr>
              <w:bidi w:val="0"/>
              <w:spacing w:before="0" w:after="0"/>
              <w:rPr>
                <w:lang w:val="fr-CH"/>
              </w:rPr>
            </w:pPr>
            <w:r>
              <w:rPr>
                <w:szCs w:val="25"/>
                <w:lang w:val="fr-CH"/>
              </w:rPr>
              <w:t>Guayas</w:t>
            </w:r>
          </w:p>
        </w:tc>
        <w:tc>
          <w:tcPr>
            <w:tcW w:w="758" w:type="pct"/>
          </w:tcPr>
          <w:p w:rsidR="00000000" w:rsidRDefault="00567B15">
            <w:pPr>
              <w:bidi w:val="0"/>
              <w:spacing w:before="0" w:after="0"/>
              <w:rPr>
                <w:lang w:val="fr-CH"/>
              </w:rPr>
            </w:pPr>
            <w:r>
              <w:rPr>
                <w:szCs w:val="25"/>
                <w:lang w:val="fr-CH"/>
              </w:rPr>
              <w:t>Guayaquil</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del Sur - Municipio del Distrito Metropolitano</w:t>
            </w:r>
          </w:p>
        </w:tc>
        <w:tc>
          <w:tcPr>
            <w:tcW w:w="865" w:type="pct"/>
          </w:tcPr>
          <w:p w:rsidR="00000000" w:rsidRDefault="00567B15">
            <w:pPr>
              <w:bidi w:val="0"/>
              <w:spacing w:before="0" w:after="0"/>
              <w:rPr>
                <w:lang w:val="fr-CH"/>
              </w:rPr>
            </w:pPr>
            <w:r>
              <w:rPr>
                <w:szCs w:val="25"/>
                <w:lang w:val="fr-CH"/>
              </w:rPr>
              <w:t>Pichincha</w:t>
            </w:r>
          </w:p>
        </w:tc>
        <w:tc>
          <w:tcPr>
            <w:tcW w:w="758" w:type="pct"/>
          </w:tcPr>
          <w:p w:rsidR="00000000" w:rsidRDefault="00567B15">
            <w:pPr>
              <w:bidi w:val="0"/>
              <w:spacing w:before="0" w:after="0"/>
              <w:rPr>
                <w:lang w:val="fr-CH"/>
              </w:rPr>
            </w:pPr>
            <w:r>
              <w:rPr>
                <w:szCs w:val="25"/>
                <w:lang w:val="fr-CH"/>
              </w:rPr>
              <w:t>Quito</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de Música de Zamora</w:t>
            </w:r>
          </w:p>
        </w:tc>
        <w:tc>
          <w:tcPr>
            <w:tcW w:w="865" w:type="pct"/>
          </w:tcPr>
          <w:p w:rsidR="00000000" w:rsidRDefault="00567B15">
            <w:pPr>
              <w:bidi w:val="0"/>
              <w:spacing w:before="0" w:after="0"/>
              <w:rPr>
                <w:szCs w:val="25"/>
                <w:lang w:val="fr-CH"/>
              </w:rPr>
            </w:pPr>
            <w:r>
              <w:rPr>
                <w:szCs w:val="25"/>
                <w:lang w:val="fr-CH"/>
              </w:rPr>
              <w:t>Zamora</w:t>
            </w:r>
          </w:p>
          <w:p w:rsidR="00000000" w:rsidRDefault="00567B15">
            <w:pPr>
              <w:bidi w:val="0"/>
              <w:spacing w:before="0" w:after="0"/>
              <w:rPr>
                <w:lang w:val="fr-CH"/>
              </w:rPr>
            </w:pPr>
            <w:r>
              <w:rPr>
                <w:szCs w:val="25"/>
                <w:lang w:val="fr-CH"/>
              </w:rPr>
              <w:t xml:space="preserve">   Chinchipe</w:t>
            </w:r>
          </w:p>
        </w:tc>
        <w:tc>
          <w:tcPr>
            <w:tcW w:w="758" w:type="pct"/>
          </w:tcPr>
          <w:p w:rsidR="00000000" w:rsidRDefault="00567B15">
            <w:pPr>
              <w:bidi w:val="0"/>
              <w:spacing w:before="0" w:after="0"/>
              <w:rPr>
                <w:lang w:val="fr-CH"/>
              </w:rPr>
            </w:pPr>
            <w:r>
              <w:rPr>
                <w:szCs w:val="25"/>
                <w:lang w:val="fr-CH"/>
              </w:rPr>
              <w:t>Zamora</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Nacional de Música</w:t>
            </w:r>
          </w:p>
        </w:tc>
        <w:tc>
          <w:tcPr>
            <w:tcW w:w="865" w:type="pct"/>
          </w:tcPr>
          <w:p w:rsidR="00000000" w:rsidRDefault="00567B15">
            <w:pPr>
              <w:bidi w:val="0"/>
              <w:spacing w:before="0" w:after="0"/>
              <w:rPr>
                <w:lang w:val="fr-CH"/>
              </w:rPr>
            </w:pPr>
            <w:r>
              <w:rPr>
                <w:szCs w:val="25"/>
                <w:lang w:val="fr-CH"/>
              </w:rPr>
              <w:t>El Oro</w:t>
            </w:r>
          </w:p>
        </w:tc>
        <w:tc>
          <w:tcPr>
            <w:tcW w:w="758" w:type="pct"/>
          </w:tcPr>
          <w:p w:rsidR="00000000" w:rsidRDefault="00567B15">
            <w:pPr>
              <w:bidi w:val="0"/>
              <w:spacing w:before="0" w:after="0"/>
              <w:rPr>
                <w:lang w:val="fr-CH"/>
              </w:rPr>
            </w:pPr>
            <w:r>
              <w:rPr>
                <w:szCs w:val="25"/>
                <w:lang w:val="fr-CH"/>
              </w:rPr>
              <w:t>Machala</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de Música</w:t>
            </w:r>
          </w:p>
        </w:tc>
        <w:tc>
          <w:tcPr>
            <w:tcW w:w="865" w:type="pct"/>
          </w:tcPr>
          <w:p w:rsidR="00000000" w:rsidRDefault="00567B15">
            <w:pPr>
              <w:bidi w:val="0"/>
              <w:spacing w:before="0" w:after="0"/>
            </w:pPr>
            <w:r>
              <w:rPr>
                <w:szCs w:val="25"/>
              </w:rPr>
              <w:t>Los Ríos</w:t>
            </w:r>
          </w:p>
        </w:tc>
        <w:tc>
          <w:tcPr>
            <w:tcW w:w="758" w:type="pct"/>
          </w:tcPr>
          <w:p w:rsidR="00000000" w:rsidRDefault="00567B15">
            <w:pPr>
              <w:bidi w:val="0"/>
              <w:spacing w:before="0" w:after="0"/>
            </w:pPr>
            <w:r>
              <w:rPr>
                <w:szCs w:val="25"/>
              </w:rPr>
              <w:t>Babahoyo</w:t>
            </w:r>
          </w:p>
        </w:tc>
      </w:tr>
      <w:tr w:rsidR="00000000">
        <w:tblPrEx>
          <w:tblCellMar>
            <w:top w:w="0" w:type="dxa"/>
            <w:bottom w:w="0" w:type="dxa"/>
          </w:tblCellMar>
        </w:tblPrEx>
        <w:trPr>
          <w:jc w:val="right"/>
        </w:trPr>
        <w:tc>
          <w:tcPr>
            <w:tcW w:w="3377" w:type="pct"/>
          </w:tcPr>
          <w:p w:rsidR="00000000" w:rsidRDefault="00567B15">
            <w:pPr>
              <w:bidi w:val="0"/>
              <w:spacing w:before="0" w:after="0"/>
            </w:pPr>
            <w:r>
              <w:rPr>
                <w:szCs w:val="25"/>
              </w:rPr>
              <w:t>Conservatorio de Música “Dr. Jorge Manzano Escalante”</w:t>
            </w:r>
          </w:p>
        </w:tc>
        <w:tc>
          <w:tcPr>
            <w:tcW w:w="865" w:type="pct"/>
          </w:tcPr>
          <w:p w:rsidR="00000000" w:rsidRDefault="00567B15">
            <w:pPr>
              <w:bidi w:val="0"/>
              <w:spacing w:before="0" w:after="0"/>
            </w:pPr>
            <w:r>
              <w:rPr>
                <w:szCs w:val="25"/>
              </w:rPr>
              <w:t>Guayas</w:t>
            </w:r>
          </w:p>
        </w:tc>
        <w:tc>
          <w:tcPr>
            <w:tcW w:w="758" w:type="pct"/>
          </w:tcPr>
          <w:p w:rsidR="00000000" w:rsidRDefault="00567B15">
            <w:pPr>
              <w:bidi w:val="0"/>
              <w:spacing w:before="0" w:after="0"/>
            </w:pPr>
            <w:r>
              <w:rPr>
                <w:szCs w:val="25"/>
              </w:rPr>
              <w:t>Guayaquil</w:t>
            </w:r>
          </w:p>
        </w:tc>
      </w:tr>
      <w:tr w:rsidR="00000000">
        <w:tblPrEx>
          <w:tblCellMar>
            <w:top w:w="0" w:type="dxa"/>
            <w:bottom w:w="0" w:type="dxa"/>
          </w:tblCellMar>
        </w:tblPrEx>
        <w:trPr>
          <w:jc w:val="right"/>
        </w:trPr>
        <w:tc>
          <w:tcPr>
            <w:tcW w:w="3377" w:type="pct"/>
          </w:tcPr>
          <w:p w:rsidR="00000000" w:rsidRDefault="00567B15">
            <w:pPr>
              <w:bidi w:val="0"/>
              <w:spacing w:before="0" w:after="0"/>
            </w:pPr>
            <w:r>
              <w:rPr>
                <w:szCs w:val="25"/>
              </w:rPr>
              <w:t>Conservatorio de Música “Federico Chopín”</w:t>
            </w:r>
          </w:p>
        </w:tc>
        <w:tc>
          <w:tcPr>
            <w:tcW w:w="865" w:type="pct"/>
          </w:tcPr>
          <w:p w:rsidR="00000000" w:rsidRDefault="00567B15">
            <w:pPr>
              <w:bidi w:val="0"/>
              <w:spacing w:before="0" w:after="0"/>
            </w:pPr>
            <w:r>
              <w:rPr>
                <w:szCs w:val="25"/>
              </w:rPr>
              <w:t>Guayas</w:t>
            </w:r>
          </w:p>
        </w:tc>
        <w:tc>
          <w:tcPr>
            <w:tcW w:w="758" w:type="pct"/>
          </w:tcPr>
          <w:p w:rsidR="00000000" w:rsidRDefault="00567B15">
            <w:pPr>
              <w:bidi w:val="0"/>
              <w:spacing w:before="0" w:after="0"/>
            </w:pPr>
            <w:r>
              <w:rPr>
                <w:szCs w:val="25"/>
              </w:rPr>
              <w:t>Guayaquil</w:t>
            </w:r>
          </w:p>
        </w:tc>
      </w:tr>
      <w:tr w:rsidR="00000000">
        <w:tblPrEx>
          <w:tblCellMar>
            <w:top w:w="0" w:type="dxa"/>
            <w:bottom w:w="0" w:type="dxa"/>
          </w:tblCellMar>
        </w:tblPrEx>
        <w:trPr>
          <w:jc w:val="right"/>
        </w:trPr>
        <w:tc>
          <w:tcPr>
            <w:tcW w:w="3377" w:type="pct"/>
          </w:tcPr>
          <w:p w:rsidR="00000000" w:rsidRDefault="00567B15">
            <w:pPr>
              <w:bidi w:val="0"/>
              <w:spacing w:before="0" w:after="0"/>
            </w:pPr>
            <w:r>
              <w:rPr>
                <w:szCs w:val="25"/>
              </w:rPr>
              <w:t>Conservatorio de Música “Beethoven”</w:t>
            </w:r>
          </w:p>
        </w:tc>
        <w:tc>
          <w:tcPr>
            <w:tcW w:w="865" w:type="pct"/>
          </w:tcPr>
          <w:p w:rsidR="00000000" w:rsidRDefault="00567B15">
            <w:pPr>
              <w:bidi w:val="0"/>
              <w:spacing w:before="0" w:after="0"/>
              <w:rPr>
                <w:lang w:val="fr-CH"/>
              </w:rPr>
            </w:pPr>
            <w:r>
              <w:rPr>
                <w:szCs w:val="25"/>
                <w:lang w:val="fr-CH"/>
              </w:rPr>
              <w:t>Guayas</w:t>
            </w:r>
          </w:p>
        </w:tc>
        <w:tc>
          <w:tcPr>
            <w:tcW w:w="758" w:type="pct"/>
          </w:tcPr>
          <w:p w:rsidR="00000000" w:rsidRDefault="00567B15">
            <w:pPr>
              <w:bidi w:val="0"/>
              <w:spacing w:before="0" w:after="0"/>
              <w:rPr>
                <w:lang w:val="fr-CH"/>
              </w:rPr>
            </w:pPr>
            <w:r>
              <w:rPr>
                <w:szCs w:val="25"/>
                <w:lang w:val="fr-CH"/>
              </w:rPr>
              <w:t>Guayaquil</w:t>
            </w:r>
          </w:p>
        </w:tc>
      </w:tr>
      <w:tr w:rsidR="00000000">
        <w:tblPrEx>
          <w:tblCellMar>
            <w:top w:w="0" w:type="dxa"/>
            <w:bottom w:w="0" w:type="dxa"/>
          </w:tblCellMar>
        </w:tblPrEx>
        <w:trPr>
          <w:jc w:val="right"/>
        </w:trPr>
        <w:tc>
          <w:tcPr>
            <w:tcW w:w="3377" w:type="pct"/>
          </w:tcPr>
          <w:p w:rsidR="00000000" w:rsidRDefault="00567B15">
            <w:pPr>
              <w:bidi w:val="0"/>
              <w:spacing w:before="0" w:after="0"/>
              <w:rPr>
                <w:lang w:val="fr-CH"/>
              </w:rPr>
            </w:pPr>
            <w:r>
              <w:rPr>
                <w:szCs w:val="25"/>
                <w:lang w:val="fr-CH"/>
              </w:rPr>
              <w:t>Conservatorio de Música “Zulema Blacio”</w:t>
            </w:r>
          </w:p>
        </w:tc>
        <w:tc>
          <w:tcPr>
            <w:tcW w:w="865" w:type="pct"/>
          </w:tcPr>
          <w:p w:rsidR="00000000" w:rsidRDefault="00567B15">
            <w:pPr>
              <w:bidi w:val="0"/>
              <w:spacing w:before="0" w:after="0"/>
            </w:pPr>
            <w:r>
              <w:rPr>
                <w:szCs w:val="25"/>
              </w:rPr>
              <w:t>Guayas</w:t>
            </w:r>
          </w:p>
        </w:tc>
        <w:tc>
          <w:tcPr>
            <w:tcW w:w="758" w:type="pct"/>
          </w:tcPr>
          <w:p w:rsidR="00000000" w:rsidRDefault="00567B15">
            <w:pPr>
              <w:bidi w:val="0"/>
              <w:spacing w:before="0" w:after="0"/>
            </w:pPr>
            <w:r>
              <w:rPr>
                <w:szCs w:val="25"/>
              </w:rPr>
              <w:t>Gua</w:t>
            </w:r>
            <w:r>
              <w:rPr>
                <w:szCs w:val="25"/>
              </w:rPr>
              <w:t>yaquil</w:t>
            </w:r>
          </w:p>
        </w:tc>
      </w:tr>
    </w:tbl>
    <w:p w:rsidR="00000000" w:rsidRDefault="00567B15">
      <w:pPr>
        <w:jc w:val="both"/>
      </w:pPr>
      <w:r>
        <w:rPr>
          <w:rFonts w:hint="cs"/>
          <w:rtl/>
        </w:rPr>
        <w:t>المعاهد العليا</w:t>
      </w:r>
    </w:p>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27"/>
        <w:gridCol w:w="1611"/>
        <w:gridCol w:w="1418"/>
      </w:tblGrid>
      <w:tr w:rsidR="00000000">
        <w:tblPrEx>
          <w:tblCellMar>
            <w:top w:w="0" w:type="dxa"/>
            <w:bottom w:w="0" w:type="dxa"/>
          </w:tblCellMar>
        </w:tblPrEx>
        <w:tc>
          <w:tcPr>
            <w:tcW w:w="3381" w:type="pct"/>
          </w:tcPr>
          <w:p w:rsidR="00000000" w:rsidRDefault="00567B15">
            <w:pPr>
              <w:bidi w:val="0"/>
              <w:spacing w:before="0" w:after="0"/>
              <w:jc w:val="left"/>
            </w:pPr>
            <w:r>
              <w:rPr>
                <w:szCs w:val="25"/>
              </w:rPr>
              <w:t>Instituto Superior de Música “Inés Cobo Rumazo”</w:t>
            </w:r>
          </w:p>
        </w:tc>
        <w:tc>
          <w:tcPr>
            <w:tcW w:w="861" w:type="pct"/>
          </w:tcPr>
          <w:p w:rsidR="00000000" w:rsidRDefault="00567B15">
            <w:pPr>
              <w:bidi w:val="0"/>
              <w:spacing w:before="0" w:after="0"/>
              <w:jc w:val="left"/>
            </w:pPr>
            <w:r>
              <w:rPr>
                <w:szCs w:val="25"/>
              </w:rPr>
              <w:t>Cotopaxi</w:t>
            </w:r>
          </w:p>
        </w:tc>
        <w:tc>
          <w:tcPr>
            <w:tcW w:w="758" w:type="pct"/>
          </w:tcPr>
          <w:p w:rsidR="00000000" w:rsidRDefault="00567B15">
            <w:pPr>
              <w:bidi w:val="0"/>
              <w:spacing w:before="0" w:after="0"/>
              <w:jc w:val="left"/>
            </w:pPr>
            <w:r>
              <w:rPr>
                <w:szCs w:val="25"/>
              </w:rPr>
              <w:t>Pujilí</w:t>
            </w:r>
          </w:p>
        </w:tc>
      </w:tr>
      <w:tr w:rsidR="00000000">
        <w:tblPrEx>
          <w:tblCellMar>
            <w:top w:w="0" w:type="dxa"/>
            <w:bottom w:w="0" w:type="dxa"/>
          </w:tblCellMar>
        </w:tblPrEx>
        <w:tc>
          <w:tcPr>
            <w:tcW w:w="3381" w:type="pct"/>
          </w:tcPr>
          <w:p w:rsidR="00000000" w:rsidRDefault="00567B15">
            <w:pPr>
              <w:bidi w:val="0"/>
              <w:spacing w:before="0" w:after="0"/>
              <w:jc w:val="left"/>
            </w:pPr>
            <w:r>
              <w:rPr>
                <w:szCs w:val="25"/>
              </w:rPr>
              <w:t>Instituto Superior “Vicente Anda Aguirre”</w:t>
            </w:r>
          </w:p>
        </w:tc>
        <w:tc>
          <w:tcPr>
            <w:tcW w:w="861" w:type="pct"/>
          </w:tcPr>
          <w:p w:rsidR="00000000" w:rsidRDefault="00567B15">
            <w:pPr>
              <w:bidi w:val="0"/>
              <w:spacing w:before="0" w:after="0"/>
              <w:jc w:val="left"/>
            </w:pPr>
            <w:r>
              <w:rPr>
                <w:szCs w:val="25"/>
              </w:rPr>
              <w:t>Chimborazo</w:t>
            </w:r>
          </w:p>
        </w:tc>
        <w:tc>
          <w:tcPr>
            <w:tcW w:w="758" w:type="pct"/>
          </w:tcPr>
          <w:p w:rsidR="00000000" w:rsidRDefault="00567B15">
            <w:pPr>
              <w:bidi w:val="0"/>
              <w:spacing w:before="0" w:after="0"/>
              <w:jc w:val="left"/>
            </w:pPr>
            <w:r>
              <w:rPr>
                <w:szCs w:val="25"/>
              </w:rPr>
              <w:t>Riobamba</w:t>
            </w:r>
          </w:p>
        </w:tc>
      </w:tr>
      <w:tr w:rsidR="00000000">
        <w:tblPrEx>
          <w:tblCellMar>
            <w:top w:w="0" w:type="dxa"/>
            <w:bottom w:w="0" w:type="dxa"/>
          </w:tblCellMar>
        </w:tblPrEx>
        <w:tc>
          <w:tcPr>
            <w:tcW w:w="3381" w:type="pct"/>
          </w:tcPr>
          <w:p w:rsidR="00000000" w:rsidRDefault="00567B15">
            <w:pPr>
              <w:bidi w:val="0"/>
              <w:spacing w:before="0" w:after="0"/>
              <w:jc w:val="left"/>
              <w:rPr>
                <w:lang w:val="fr-CH"/>
              </w:rPr>
            </w:pPr>
            <w:r>
              <w:rPr>
                <w:szCs w:val="25"/>
                <w:lang w:val="fr-CH"/>
              </w:rPr>
              <w:t>Instituto Superior de Música “Luis Ulpiano de La Torre”</w:t>
            </w:r>
          </w:p>
        </w:tc>
        <w:tc>
          <w:tcPr>
            <w:tcW w:w="861" w:type="pct"/>
          </w:tcPr>
          <w:p w:rsidR="00000000" w:rsidRDefault="00567B15">
            <w:pPr>
              <w:bidi w:val="0"/>
              <w:spacing w:before="0" w:after="0"/>
              <w:jc w:val="left"/>
            </w:pPr>
            <w:r>
              <w:rPr>
                <w:szCs w:val="25"/>
              </w:rPr>
              <w:t>Imbabura</w:t>
            </w:r>
          </w:p>
        </w:tc>
        <w:tc>
          <w:tcPr>
            <w:tcW w:w="758" w:type="pct"/>
          </w:tcPr>
          <w:p w:rsidR="00000000" w:rsidRDefault="00567B15">
            <w:pPr>
              <w:bidi w:val="0"/>
              <w:spacing w:before="0" w:after="0"/>
              <w:jc w:val="left"/>
              <w:rPr>
                <w:rtl/>
              </w:rPr>
            </w:pPr>
            <w:r>
              <w:rPr>
                <w:szCs w:val="25"/>
              </w:rPr>
              <w:t>Cotacachi</w:t>
            </w:r>
          </w:p>
        </w:tc>
      </w:tr>
    </w:tbl>
    <w:p w:rsidR="00000000" w:rsidRDefault="00567B15">
      <w:pPr>
        <w:jc w:val="both"/>
        <w:rPr>
          <w:i/>
          <w:iCs/>
          <w:sz w:val="30"/>
        </w:rPr>
      </w:pPr>
      <w:r>
        <w:rPr>
          <w:rFonts w:hint="cs"/>
          <w:i/>
          <w:iCs/>
          <w:sz w:val="30"/>
          <w:rtl/>
        </w:rPr>
        <w:t xml:space="preserve">الكليات </w:t>
      </w:r>
      <w:r>
        <w:rPr>
          <w:rFonts w:hint="cs"/>
          <w:rtl/>
        </w:rPr>
        <w:t>والمدارس</w:t>
      </w:r>
    </w:p>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68" w:type="dxa"/>
          <w:right w:w="68" w:type="dxa"/>
        </w:tblCellMar>
        <w:tblLook w:val="0000" w:firstRow="0" w:lastRow="0" w:firstColumn="0" w:lastColumn="0" w:noHBand="0" w:noVBand="0"/>
      </w:tblPr>
      <w:tblGrid>
        <w:gridCol w:w="6338"/>
        <w:gridCol w:w="1600"/>
        <w:gridCol w:w="1418"/>
      </w:tblGrid>
      <w:tr w:rsidR="00000000">
        <w:tblPrEx>
          <w:tblCellMar>
            <w:top w:w="0" w:type="dxa"/>
            <w:bottom w:w="0" w:type="dxa"/>
          </w:tblCellMar>
        </w:tblPrEx>
        <w:tc>
          <w:tcPr>
            <w:tcW w:w="3387" w:type="pct"/>
          </w:tcPr>
          <w:p w:rsidR="00000000" w:rsidRDefault="00567B15">
            <w:pPr>
              <w:bidi w:val="0"/>
              <w:spacing w:before="0" w:after="0"/>
              <w:jc w:val="left"/>
              <w:rPr>
                <w:lang w:val="fr-CH"/>
              </w:rPr>
            </w:pPr>
            <w:r>
              <w:rPr>
                <w:szCs w:val="25"/>
                <w:lang w:val="fr-CH"/>
              </w:rPr>
              <w:t>Colegio de Música “C</w:t>
            </w:r>
            <w:r>
              <w:rPr>
                <w:szCs w:val="25"/>
                <w:lang w:val="fr-CH"/>
              </w:rPr>
              <w:t>ésar Viera”</w:t>
            </w:r>
          </w:p>
        </w:tc>
        <w:tc>
          <w:tcPr>
            <w:tcW w:w="855" w:type="pct"/>
          </w:tcPr>
          <w:p w:rsidR="00000000" w:rsidRDefault="00567B15">
            <w:pPr>
              <w:bidi w:val="0"/>
              <w:spacing w:before="0" w:after="0"/>
              <w:jc w:val="left"/>
              <w:rPr>
                <w:lang w:val="fr-CH"/>
              </w:rPr>
            </w:pPr>
            <w:r>
              <w:rPr>
                <w:szCs w:val="25"/>
                <w:lang w:val="fr-CH"/>
              </w:rPr>
              <w:t>Cotopaxi</w:t>
            </w:r>
          </w:p>
        </w:tc>
        <w:tc>
          <w:tcPr>
            <w:tcW w:w="758" w:type="pct"/>
          </w:tcPr>
          <w:p w:rsidR="00000000" w:rsidRDefault="00567B15">
            <w:pPr>
              <w:bidi w:val="0"/>
              <w:spacing w:before="0" w:after="0"/>
              <w:jc w:val="left"/>
              <w:rPr>
                <w:lang w:val="fr-CH"/>
              </w:rPr>
            </w:pPr>
            <w:r>
              <w:rPr>
                <w:szCs w:val="25"/>
                <w:lang w:val="fr-CH"/>
              </w:rPr>
              <w:t>Latacunga</w:t>
            </w:r>
          </w:p>
        </w:tc>
      </w:tr>
      <w:tr w:rsidR="00000000">
        <w:tblPrEx>
          <w:tblCellMar>
            <w:top w:w="0" w:type="dxa"/>
            <w:bottom w:w="0" w:type="dxa"/>
          </w:tblCellMar>
        </w:tblPrEx>
        <w:tc>
          <w:tcPr>
            <w:tcW w:w="3387" w:type="pct"/>
          </w:tcPr>
          <w:p w:rsidR="00000000" w:rsidRDefault="00567B15">
            <w:pPr>
              <w:bidi w:val="0"/>
              <w:spacing w:before="0" w:after="0"/>
              <w:jc w:val="left"/>
              <w:rPr>
                <w:lang w:val="fr-CH"/>
              </w:rPr>
            </w:pPr>
            <w:r>
              <w:rPr>
                <w:szCs w:val="25"/>
                <w:lang w:val="fr-CH"/>
              </w:rPr>
              <w:t>Colegio de Música “Juan Bautista Vásquez”</w:t>
            </w:r>
          </w:p>
        </w:tc>
        <w:tc>
          <w:tcPr>
            <w:tcW w:w="855" w:type="pct"/>
          </w:tcPr>
          <w:p w:rsidR="00000000" w:rsidRDefault="00567B15">
            <w:pPr>
              <w:bidi w:val="0"/>
              <w:spacing w:before="0" w:after="0"/>
              <w:jc w:val="left"/>
              <w:rPr>
                <w:lang w:val="fr-CH"/>
              </w:rPr>
            </w:pPr>
            <w:r>
              <w:rPr>
                <w:szCs w:val="25"/>
                <w:lang w:val="fr-CH"/>
              </w:rPr>
              <w:t>Cañar</w:t>
            </w:r>
          </w:p>
        </w:tc>
        <w:tc>
          <w:tcPr>
            <w:tcW w:w="758" w:type="pct"/>
          </w:tcPr>
          <w:p w:rsidR="00000000" w:rsidRDefault="00567B15">
            <w:pPr>
              <w:bidi w:val="0"/>
              <w:spacing w:before="0" w:after="0"/>
              <w:jc w:val="left"/>
              <w:rPr>
                <w:lang w:val="fr-CH"/>
              </w:rPr>
            </w:pPr>
            <w:r>
              <w:rPr>
                <w:szCs w:val="25"/>
                <w:lang w:val="fr-CH"/>
              </w:rPr>
              <w:t>Azoguez</w:t>
            </w:r>
          </w:p>
        </w:tc>
      </w:tr>
      <w:tr w:rsidR="00000000">
        <w:tblPrEx>
          <w:tblCellMar>
            <w:top w:w="0" w:type="dxa"/>
            <w:bottom w:w="0" w:type="dxa"/>
          </w:tblCellMar>
        </w:tblPrEx>
        <w:tc>
          <w:tcPr>
            <w:tcW w:w="3387" w:type="pct"/>
          </w:tcPr>
          <w:p w:rsidR="00000000" w:rsidRDefault="00567B15">
            <w:pPr>
              <w:bidi w:val="0"/>
              <w:spacing w:before="0" w:after="0"/>
              <w:jc w:val="left"/>
              <w:rPr>
                <w:lang w:val="fr-CH"/>
              </w:rPr>
            </w:pPr>
            <w:r>
              <w:rPr>
                <w:szCs w:val="25"/>
                <w:lang w:val="fr-CH"/>
              </w:rPr>
              <w:t>Colegio de Música “Rodrigo Barreno”</w:t>
            </w:r>
          </w:p>
        </w:tc>
        <w:tc>
          <w:tcPr>
            <w:tcW w:w="855" w:type="pct"/>
          </w:tcPr>
          <w:p w:rsidR="00000000" w:rsidRDefault="00567B15">
            <w:pPr>
              <w:bidi w:val="0"/>
              <w:spacing w:before="0" w:after="0"/>
              <w:jc w:val="left"/>
            </w:pPr>
            <w:r>
              <w:rPr>
                <w:szCs w:val="25"/>
              </w:rPr>
              <w:t>Chimborazo</w:t>
            </w:r>
          </w:p>
        </w:tc>
        <w:tc>
          <w:tcPr>
            <w:tcW w:w="758" w:type="pct"/>
          </w:tcPr>
          <w:p w:rsidR="00000000" w:rsidRDefault="00567B15">
            <w:pPr>
              <w:bidi w:val="0"/>
              <w:spacing w:before="0" w:after="0"/>
              <w:jc w:val="left"/>
            </w:pPr>
            <w:r>
              <w:rPr>
                <w:szCs w:val="25"/>
              </w:rPr>
              <w:t>Químiag</w:t>
            </w:r>
          </w:p>
        </w:tc>
      </w:tr>
      <w:tr w:rsidR="00000000">
        <w:tblPrEx>
          <w:tblCellMar>
            <w:top w:w="0" w:type="dxa"/>
            <w:bottom w:w="0" w:type="dxa"/>
          </w:tblCellMar>
        </w:tblPrEx>
        <w:tc>
          <w:tcPr>
            <w:tcW w:w="3387" w:type="pct"/>
          </w:tcPr>
          <w:p w:rsidR="00000000" w:rsidRDefault="00567B15">
            <w:pPr>
              <w:bidi w:val="0"/>
              <w:spacing w:before="0" w:after="0"/>
              <w:jc w:val="left"/>
            </w:pPr>
            <w:r>
              <w:rPr>
                <w:szCs w:val="25"/>
              </w:rPr>
              <w:t>Colegio de Música “Luis Humberto Salgado Torres”</w:t>
            </w:r>
          </w:p>
        </w:tc>
        <w:tc>
          <w:tcPr>
            <w:tcW w:w="855" w:type="pct"/>
          </w:tcPr>
          <w:p w:rsidR="00000000" w:rsidRDefault="00567B15">
            <w:pPr>
              <w:bidi w:val="0"/>
              <w:spacing w:before="0" w:after="0"/>
              <w:jc w:val="left"/>
            </w:pPr>
            <w:r>
              <w:rPr>
                <w:szCs w:val="25"/>
              </w:rPr>
              <w:t>Pichincha</w:t>
            </w:r>
          </w:p>
        </w:tc>
        <w:tc>
          <w:tcPr>
            <w:tcW w:w="758" w:type="pct"/>
          </w:tcPr>
          <w:p w:rsidR="00000000" w:rsidRDefault="00567B15">
            <w:pPr>
              <w:bidi w:val="0"/>
              <w:spacing w:before="0" w:after="0"/>
              <w:jc w:val="left"/>
            </w:pPr>
            <w:r>
              <w:rPr>
                <w:szCs w:val="25"/>
              </w:rPr>
              <w:t>Amaguaña</w:t>
            </w:r>
          </w:p>
        </w:tc>
      </w:tr>
      <w:tr w:rsidR="00000000">
        <w:tblPrEx>
          <w:tblCellMar>
            <w:top w:w="0" w:type="dxa"/>
            <w:bottom w:w="0" w:type="dxa"/>
          </w:tblCellMar>
        </w:tblPrEx>
        <w:tc>
          <w:tcPr>
            <w:tcW w:w="3387" w:type="pct"/>
          </w:tcPr>
          <w:p w:rsidR="00000000" w:rsidRDefault="00567B15">
            <w:pPr>
              <w:bidi w:val="0"/>
              <w:spacing w:before="0" w:after="0"/>
              <w:jc w:val="left"/>
            </w:pPr>
            <w:r>
              <w:rPr>
                <w:szCs w:val="25"/>
              </w:rPr>
              <w:t>Colegio Particular de Música “Teodora Luca</w:t>
            </w:r>
            <w:r>
              <w:rPr>
                <w:szCs w:val="25"/>
              </w:rPr>
              <w:t>ciu”</w:t>
            </w:r>
          </w:p>
        </w:tc>
        <w:tc>
          <w:tcPr>
            <w:tcW w:w="855" w:type="pct"/>
          </w:tcPr>
          <w:p w:rsidR="00000000" w:rsidRDefault="00567B15">
            <w:pPr>
              <w:bidi w:val="0"/>
              <w:spacing w:before="0" w:after="0"/>
              <w:jc w:val="left"/>
            </w:pPr>
            <w:r>
              <w:rPr>
                <w:szCs w:val="25"/>
              </w:rPr>
              <w:t>El Oro</w:t>
            </w:r>
          </w:p>
        </w:tc>
        <w:tc>
          <w:tcPr>
            <w:tcW w:w="758" w:type="pct"/>
          </w:tcPr>
          <w:p w:rsidR="00000000" w:rsidRDefault="00567B15">
            <w:pPr>
              <w:bidi w:val="0"/>
              <w:spacing w:before="0" w:after="0"/>
              <w:jc w:val="left"/>
            </w:pPr>
            <w:r>
              <w:rPr>
                <w:szCs w:val="25"/>
              </w:rPr>
              <w:t>Machala</w:t>
            </w:r>
          </w:p>
        </w:tc>
      </w:tr>
      <w:tr w:rsidR="00000000">
        <w:tblPrEx>
          <w:tblCellMar>
            <w:top w:w="0" w:type="dxa"/>
            <w:bottom w:w="0" w:type="dxa"/>
          </w:tblCellMar>
        </w:tblPrEx>
        <w:tc>
          <w:tcPr>
            <w:tcW w:w="3387" w:type="pct"/>
          </w:tcPr>
          <w:p w:rsidR="00000000" w:rsidRDefault="00567B15">
            <w:pPr>
              <w:bidi w:val="0"/>
              <w:spacing w:before="0" w:after="0"/>
              <w:jc w:val="left"/>
            </w:pPr>
            <w:r>
              <w:rPr>
                <w:szCs w:val="25"/>
              </w:rPr>
              <w:t>Colegio Nacional Técnico “San Lorenzo”</w:t>
            </w:r>
          </w:p>
        </w:tc>
        <w:tc>
          <w:tcPr>
            <w:tcW w:w="855" w:type="pct"/>
          </w:tcPr>
          <w:p w:rsidR="00000000" w:rsidRDefault="00567B15">
            <w:pPr>
              <w:bidi w:val="0"/>
              <w:spacing w:before="0" w:after="0"/>
              <w:jc w:val="left"/>
            </w:pPr>
            <w:r>
              <w:rPr>
                <w:szCs w:val="25"/>
              </w:rPr>
              <w:t>Bolívar</w:t>
            </w:r>
          </w:p>
        </w:tc>
        <w:tc>
          <w:tcPr>
            <w:tcW w:w="758" w:type="pct"/>
          </w:tcPr>
          <w:p w:rsidR="00000000" w:rsidRDefault="00567B15">
            <w:pPr>
              <w:bidi w:val="0"/>
              <w:spacing w:before="0" w:after="0"/>
              <w:jc w:val="left"/>
            </w:pPr>
            <w:r>
              <w:rPr>
                <w:szCs w:val="25"/>
              </w:rPr>
              <w:t>Guaranda</w:t>
            </w:r>
          </w:p>
        </w:tc>
      </w:tr>
      <w:tr w:rsidR="00000000">
        <w:tblPrEx>
          <w:tblCellMar>
            <w:top w:w="0" w:type="dxa"/>
            <w:bottom w:w="0" w:type="dxa"/>
          </w:tblCellMar>
        </w:tblPrEx>
        <w:tc>
          <w:tcPr>
            <w:tcW w:w="3387" w:type="pct"/>
          </w:tcPr>
          <w:p w:rsidR="00000000" w:rsidRDefault="00567B15">
            <w:pPr>
              <w:bidi w:val="0"/>
              <w:spacing w:before="0" w:after="0"/>
              <w:jc w:val="left"/>
            </w:pPr>
            <w:r>
              <w:rPr>
                <w:szCs w:val="25"/>
              </w:rPr>
              <w:t>Colegio de Música “Juan Esteban Cordero” del SI.NA.MU.NE.</w:t>
            </w:r>
          </w:p>
        </w:tc>
        <w:tc>
          <w:tcPr>
            <w:tcW w:w="855" w:type="pct"/>
          </w:tcPr>
          <w:p w:rsidR="00000000" w:rsidRDefault="00567B15">
            <w:pPr>
              <w:bidi w:val="0"/>
              <w:spacing w:before="0" w:after="0"/>
              <w:jc w:val="left"/>
            </w:pPr>
            <w:r>
              <w:rPr>
                <w:szCs w:val="25"/>
              </w:rPr>
              <w:t>Pichincha</w:t>
            </w:r>
          </w:p>
        </w:tc>
        <w:tc>
          <w:tcPr>
            <w:tcW w:w="758" w:type="pct"/>
          </w:tcPr>
          <w:p w:rsidR="00000000" w:rsidRDefault="00567B15">
            <w:pPr>
              <w:bidi w:val="0"/>
              <w:spacing w:before="0" w:after="0"/>
              <w:jc w:val="left"/>
            </w:pPr>
            <w:r>
              <w:rPr>
                <w:szCs w:val="25"/>
              </w:rPr>
              <w:t>Quito</w:t>
            </w:r>
          </w:p>
        </w:tc>
      </w:tr>
      <w:tr w:rsidR="00000000">
        <w:tblPrEx>
          <w:tblCellMar>
            <w:top w:w="0" w:type="dxa"/>
            <w:bottom w:w="0" w:type="dxa"/>
          </w:tblCellMar>
        </w:tblPrEx>
        <w:tc>
          <w:tcPr>
            <w:tcW w:w="3387" w:type="pct"/>
          </w:tcPr>
          <w:p w:rsidR="00000000" w:rsidRDefault="00567B15">
            <w:pPr>
              <w:bidi w:val="0"/>
              <w:spacing w:before="0" w:after="0"/>
              <w:jc w:val="left"/>
            </w:pPr>
            <w:r>
              <w:rPr>
                <w:szCs w:val="25"/>
              </w:rPr>
              <w:t>Colegio de Bellas Artes</w:t>
            </w:r>
          </w:p>
        </w:tc>
        <w:tc>
          <w:tcPr>
            <w:tcW w:w="855" w:type="pct"/>
          </w:tcPr>
          <w:p w:rsidR="00000000" w:rsidRDefault="00567B15">
            <w:pPr>
              <w:bidi w:val="0"/>
              <w:spacing w:before="0" w:after="0"/>
              <w:jc w:val="left"/>
            </w:pPr>
            <w:r>
              <w:rPr>
                <w:szCs w:val="25"/>
              </w:rPr>
              <w:t>Esmeraldas</w:t>
            </w:r>
          </w:p>
        </w:tc>
        <w:tc>
          <w:tcPr>
            <w:tcW w:w="758" w:type="pct"/>
          </w:tcPr>
          <w:p w:rsidR="00000000" w:rsidRDefault="00567B15">
            <w:pPr>
              <w:bidi w:val="0"/>
              <w:spacing w:before="0" w:after="0"/>
              <w:jc w:val="left"/>
            </w:pPr>
            <w:r>
              <w:rPr>
                <w:szCs w:val="25"/>
              </w:rPr>
              <w:t>Esmeraldas</w:t>
            </w:r>
          </w:p>
        </w:tc>
      </w:tr>
      <w:tr w:rsidR="00000000">
        <w:tblPrEx>
          <w:tblCellMar>
            <w:top w:w="0" w:type="dxa"/>
            <w:bottom w:w="0" w:type="dxa"/>
          </w:tblCellMar>
        </w:tblPrEx>
        <w:tc>
          <w:tcPr>
            <w:tcW w:w="3387" w:type="pct"/>
          </w:tcPr>
          <w:p w:rsidR="00000000" w:rsidRDefault="00567B15">
            <w:pPr>
              <w:bidi w:val="0"/>
              <w:spacing w:before="0" w:after="0"/>
              <w:jc w:val="left"/>
              <w:rPr>
                <w:lang w:val="fr-CH"/>
              </w:rPr>
            </w:pPr>
            <w:r>
              <w:rPr>
                <w:szCs w:val="25"/>
                <w:lang w:val="fr-CH"/>
              </w:rPr>
              <w:t>Escuela de Música “Wolfgang A.  Mozart”</w:t>
            </w:r>
          </w:p>
        </w:tc>
        <w:tc>
          <w:tcPr>
            <w:tcW w:w="855" w:type="pct"/>
          </w:tcPr>
          <w:p w:rsidR="00000000" w:rsidRDefault="00567B15">
            <w:pPr>
              <w:bidi w:val="0"/>
              <w:spacing w:before="0" w:after="0"/>
              <w:jc w:val="left"/>
              <w:rPr>
                <w:lang w:val="fr-CH"/>
              </w:rPr>
            </w:pPr>
            <w:r>
              <w:rPr>
                <w:szCs w:val="25"/>
                <w:lang w:val="fr-CH"/>
              </w:rPr>
              <w:t>Pichincha</w:t>
            </w:r>
          </w:p>
        </w:tc>
        <w:tc>
          <w:tcPr>
            <w:tcW w:w="758" w:type="pct"/>
          </w:tcPr>
          <w:p w:rsidR="00000000" w:rsidRDefault="00567B15">
            <w:pPr>
              <w:bidi w:val="0"/>
              <w:spacing w:before="0" w:after="0"/>
              <w:jc w:val="left"/>
              <w:rPr>
                <w:lang w:val="fr-CH"/>
              </w:rPr>
            </w:pPr>
            <w:r>
              <w:rPr>
                <w:szCs w:val="25"/>
                <w:lang w:val="fr-CH"/>
              </w:rPr>
              <w:t>Quito</w:t>
            </w:r>
          </w:p>
        </w:tc>
      </w:tr>
      <w:tr w:rsidR="00000000">
        <w:tblPrEx>
          <w:tblCellMar>
            <w:top w:w="0" w:type="dxa"/>
            <w:bottom w:w="0" w:type="dxa"/>
          </w:tblCellMar>
        </w:tblPrEx>
        <w:tc>
          <w:tcPr>
            <w:tcW w:w="3387" w:type="pct"/>
          </w:tcPr>
          <w:p w:rsidR="00000000" w:rsidRDefault="00567B15">
            <w:pPr>
              <w:bidi w:val="0"/>
              <w:spacing w:before="0" w:after="0"/>
              <w:jc w:val="left"/>
              <w:rPr>
                <w:lang w:val="fr-CH"/>
              </w:rPr>
            </w:pPr>
            <w:r>
              <w:rPr>
                <w:szCs w:val="25"/>
                <w:lang w:val="fr-CH"/>
              </w:rPr>
              <w:t>Escuela de Música “Gerardo Alzamora Vela” (CCE-Carchi)</w:t>
            </w:r>
          </w:p>
        </w:tc>
        <w:tc>
          <w:tcPr>
            <w:tcW w:w="855" w:type="pct"/>
          </w:tcPr>
          <w:p w:rsidR="00000000" w:rsidRDefault="00567B15">
            <w:pPr>
              <w:bidi w:val="0"/>
              <w:spacing w:before="0" w:after="0"/>
              <w:jc w:val="left"/>
              <w:rPr>
                <w:lang w:val="fr-CH"/>
              </w:rPr>
            </w:pPr>
            <w:r>
              <w:rPr>
                <w:szCs w:val="25"/>
                <w:lang w:val="fr-CH"/>
              </w:rPr>
              <w:t>Carchi</w:t>
            </w:r>
          </w:p>
        </w:tc>
        <w:tc>
          <w:tcPr>
            <w:tcW w:w="758" w:type="pct"/>
          </w:tcPr>
          <w:p w:rsidR="00000000" w:rsidRDefault="00567B15">
            <w:pPr>
              <w:bidi w:val="0"/>
              <w:spacing w:before="0" w:after="0"/>
              <w:jc w:val="left"/>
              <w:rPr>
                <w:lang w:val="fr-CH"/>
              </w:rPr>
            </w:pPr>
            <w:r>
              <w:rPr>
                <w:szCs w:val="25"/>
                <w:lang w:val="fr-CH"/>
              </w:rPr>
              <w:t>Tulcán</w:t>
            </w:r>
          </w:p>
        </w:tc>
      </w:tr>
      <w:tr w:rsidR="00000000">
        <w:tblPrEx>
          <w:tblCellMar>
            <w:top w:w="0" w:type="dxa"/>
            <w:bottom w:w="0" w:type="dxa"/>
          </w:tblCellMar>
        </w:tblPrEx>
        <w:tc>
          <w:tcPr>
            <w:tcW w:w="3387" w:type="pct"/>
          </w:tcPr>
          <w:p w:rsidR="00000000" w:rsidRDefault="00567B15">
            <w:pPr>
              <w:bidi w:val="0"/>
              <w:spacing w:before="0" w:after="0"/>
              <w:jc w:val="left"/>
              <w:rPr>
                <w:lang w:val="fr-CH"/>
              </w:rPr>
            </w:pPr>
            <w:r>
              <w:rPr>
                <w:szCs w:val="25"/>
                <w:lang w:val="fr-CH"/>
              </w:rPr>
              <w:t>Colegio de Música “Antonio de Jesús Hidalgo”</w:t>
            </w:r>
          </w:p>
        </w:tc>
        <w:tc>
          <w:tcPr>
            <w:tcW w:w="855" w:type="pct"/>
          </w:tcPr>
          <w:p w:rsidR="00000000" w:rsidRDefault="00567B15">
            <w:pPr>
              <w:bidi w:val="0"/>
              <w:spacing w:before="0" w:after="0"/>
              <w:jc w:val="left"/>
              <w:rPr>
                <w:lang w:val="fr-CH"/>
              </w:rPr>
            </w:pPr>
            <w:r>
              <w:rPr>
                <w:szCs w:val="25"/>
                <w:lang w:val="fr-CH"/>
              </w:rPr>
              <w:t>El Oro</w:t>
            </w:r>
          </w:p>
        </w:tc>
        <w:tc>
          <w:tcPr>
            <w:tcW w:w="758" w:type="pct"/>
          </w:tcPr>
          <w:p w:rsidR="00000000" w:rsidRDefault="00567B15">
            <w:pPr>
              <w:bidi w:val="0"/>
              <w:spacing w:before="0" w:after="0"/>
              <w:jc w:val="left"/>
              <w:rPr>
                <w:lang w:val="fr-CH"/>
              </w:rPr>
            </w:pPr>
            <w:r>
              <w:rPr>
                <w:szCs w:val="25"/>
                <w:lang w:val="fr-CH"/>
              </w:rPr>
              <w:t>Machala</w:t>
            </w:r>
          </w:p>
        </w:tc>
      </w:tr>
      <w:tr w:rsidR="00000000">
        <w:tblPrEx>
          <w:tblCellMar>
            <w:top w:w="0" w:type="dxa"/>
            <w:bottom w:w="0" w:type="dxa"/>
          </w:tblCellMar>
        </w:tblPrEx>
        <w:tc>
          <w:tcPr>
            <w:tcW w:w="3387" w:type="pct"/>
          </w:tcPr>
          <w:p w:rsidR="00000000" w:rsidRDefault="00567B15">
            <w:pPr>
              <w:bidi w:val="0"/>
              <w:spacing w:before="0" w:after="0"/>
              <w:jc w:val="left"/>
              <w:rPr>
                <w:szCs w:val="25"/>
                <w:lang w:val="fr-CH"/>
              </w:rPr>
            </w:pPr>
            <w:r>
              <w:rPr>
                <w:szCs w:val="25"/>
                <w:lang w:val="fr-CH"/>
              </w:rPr>
              <w:t>Escuela de Música de las Fuerzas Armadas</w:t>
            </w:r>
          </w:p>
        </w:tc>
        <w:tc>
          <w:tcPr>
            <w:tcW w:w="855" w:type="pct"/>
          </w:tcPr>
          <w:p w:rsidR="00000000" w:rsidRDefault="00567B15">
            <w:pPr>
              <w:bidi w:val="0"/>
              <w:spacing w:before="0" w:after="0"/>
              <w:jc w:val="left"/>
              <w:rPr>
                <w:szCs w:val="25"/>
              </w:rPr>
            </w:pPr>
            <w:r>
              <w:rPr>
                <w:szCs w:val="25"/>
              </w:rPr>
              <w:t>Pichincha</w:t>
            </w:r>
          </w:p>
        </w:tc>
        <w:tc>
          <w:tcPr>
            <w:tcW w:w="758" w:type="pct"/>
          </w:tcPr>
          <w:p w:rsidR="00000000" w:rsidRDefault="00567B15">
            <w:pPr>
              <w:bidi w:val="0"/>
              <w:spacing w:before="0" w:after="0"/>
              <w:jc w:val="left"/>
              <w:rPr>
                <w:szCs w:val="25"/>
              </w:rPr>
            </w:pPr>
            <w:r>
              <w:rPr>
                <w:szCs w:val="25"/>
              </w:rPr>
              <w:t>Quito</w:t>
            </w:r>
          </w:p>
        </w:tc>
      </w:tr>
    </w:tbl>
    <w:p w:rsidR="00000000" w:rsidRDefault="00567B15">
      <w:pPr>
        <w:jc w:val="both"/>
        <w:rPr>
          <w:b/>
          <w:bCs/>
          <w:sz w:val="30"/>
          <w:rtl/>
        </w:rPr>
      </w:pPr>
      <w:r>
        <w:rPr>
          <w:rFonts w:hint="cs"/>
          <w:b/>
          <w:bCs/>
          <w:sz w:val="30"/>
          <w:rtl/>
        </w:rPr>
        <w:t>الرقص</w:t>
      </w:r>
    </w:p>
    <w:p w:rsidR="00000000" w:rsidRDefault="00567B15">
      <w:pPr>
        <w:jc w:val="both"/>
        <w:rPr>
          <w:i/>
          <w:iCs/>
          <w:sz w:val="30"/>
        </w:rPr>
      </w:pPr>
      <w:r>
        <w:rPr>
          <w:rFonts w:hint="cs"/>
          <w:i/>
          <w:iCs/>
          <w:sz w:val="30"/>
          <w:rtl/>
        </w:rPr>
        <w:t>المعاهد والكليات</w:t>
      </w:r>
    </w:p>
    <w:tbl>
      <w:tblPr>
        <w:tblW w:w="4929" w:type="pct"/>
        <w:tblInd w:w="68" w:type="dxa"/>
        <w:tblBorders>
          <w:top w:val="single" w:sz="6" w:space="0" w:color="auto"/>
          <w:left w:val="single" w:sz="6" w:space="0" w:color="auto"/>
          <w:bottom w:val="single" w:sz="4"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85"/>
        <w:gridCol w:w="1553"/>
        <w:gridCol w:w="1418"/>
      </w:tblGrid>
      <w:tr w:rsidR="00000000">
        <w:tblPrEx>
          <w:tblCellMar>
            <w:top w:w="0" w:type="dxa"/>
            <w:bottom w:w="0" w:type="dxa"/>
          </w:tblCellMar>
        </w:tblPrEx>
        <w:tc>
          <w:tcPr>
            <w:tcW w:w="3412" w:type="pct"/>
          </w:tcPr>
          <w:p w:rsidR="00000000" w:rsidRDefault="00567B15">
            <w:pPr>
              <w:keepNext/>
              <w:keepLines/>
              <w:bidi w:val="0"/>
              <w:spacing w:before="0" w:after="0"/>
              <w:jc w:val="left"/>
              <w:rPr>
                <w:lang w:val="fr-CH"/>
              </w:rPr>
            </w:pPr>
            <w:r>
              <w:rPr>
                <w:lang w:val="fr-CH"/>
              </w:rPr>
              <w:t>Instituto de Danza “Raymond Maugé”</w:t>
            </w:r>
          </w:p>
        </w:tc>
        <w:tc>
          <w:tcPr>
            <w:tcW w:w="830" w:type="pct"/>
          </w:tcPr>
          <w:p w:rsidR="00000000" w:rsidRDefault="00567B15">
            <w:pPr>
              <w:keepNext/>
              <w:keepLines/>
              <w:bidi w:val="0"/>
              <w:spacing w:before="0" w:after="0"/>
              <w:jc w:val="left"/>
              <w:rPr>
                <w:lang w:val="fr-CH"/>
              </w:rPr>
            </w:pPr>
            <w:r>
              <w:rPr>
                <w:lang w:val="fr-CH"/>
              </w:rPr>
              <w:t>Guayas</w:t>
            </w:r>
          </w:p>
        </w:tc>
        <w:tc>
          <w:tcPr>
            <w:tcW w:w="758" w:type="pct"/>
          </w:tcPr>
          <w:p w:rsidR="00000000" w:rsidRDefault="00567B15">
            <w:pPr>
              <w:keepNext/>
              <w:keepLines/>
              <w:bidi w:val="0"/>
              <w:spacing w:before="0" w:after="0"/>
              <w:jc w:val="left"/>
              <w:rPr>
                <w:lang w:val="fr-CH"/>
              </w:rPr>
            </w:pPr>
            <w:r>
              <w:rPr>
                <w:lang w:val="fr-CH"/>
              </w:rPr>
              <w:t>G</w:t>
            </w:r>
            <w:r>
              <w:rPr>
                <w:lang w:val="fr-CH"/>
              </w:rPr>
              <w:t>uayaquil</w:t>
            </w:r>
          </w:p>
        </w:tc>
      </w:tr>
      <w:tr w:rsidR="00000000">
        <w:tblPrEx>
          <w:tblCellMar>
            <w:top w:w="0" w:type="dxa"/>
            <w:bottom w:w="0" w:type="dxa"/>
          </w:tblCellMar>
        </w:tblPrEx>
        <w:tc>
          <w:tcPr>
            <w:tcW w:w="3412" w:type="pct"/>
          </w:tcPr>
          <w:p w:rsidR="00000000" w:rsidRDefault="00567B15">
            <w:pPr>
              <w:bidi w:val="0"/>
              <w:spacing w:before="0" w:after="0"/>
              <w:jc w:val="left"/>
              <w:rPr>
                <w:lang w:val="fr-CH"/>
              </w:rPr>
            </w:pPr>
            <w:r>
              <w:rPr>
                <w:lang w:val="fr-CH"/>
              </w:rPr>
              <w:t>Instituto Superior de Danza</w:t>
            </w:r>
          </w:p>
        </w:tc>
        <w:tc>
          <w:tcPr>
            <w:tcW w:w="830" w:type="pct"/>
          </w:tcPr>
          <w:p w:rsidR="00000000" w:rsidRDefault="00567B15">
            <w:pPr>
              <w:bidi w:val="0"/>
              <w:spacing w:before="0" w:after="0"/>
              <w:jc w:val="left"/>
              <w:rPr>
                <w:lang w:val="fr-CH"/>
              </w:rPr>
            </w:pPr>
            <w:r>
              <w:rPr>
                <w:lang w:val="fr-CH"/>
              </w:rPr>
              <w:t>Pichincha</w:t>
            </w:r>
          </w:p>
        </w:tc>
        <w:tc>
          <w:tcPr>
            <w:tcW w:w="758" w:type="pct"/>
          </w:tcPr>
          <w:p w:rsidR="00000000" w:rsidRDefault="00567B15">
            <w:pPr>
              <w:bidi w:val="0"/>
              <w:spacing w:before="0" w:after="0"/>
              <w:jc w:val="left"/>
              <w:rPr>
                <w:lang w:val="fr-CH"/>
              </w:rPr>
            </w:pPr>
            <w:r>
              <w:rPr>
                <w:lang w:val="fr-CH"/>
              </w:rPr>
              <w:t>Quito</w:t>
            </w:r>
          </w:p>
        </w:tc>
      </w:tr>
      <w:tr w:rsidR="00000000">
        <w:tblPrEx>
          <w:tblCellMar>
            <w:top w:w="0" w:type="dxa"/>
            <w:bottom w:w="0" w:type="dxa"/>
          </w:tblCellMar>
        </w:tblPrEx>
        <w:tc>
          <w:tcPr>
            <w:tcW w:w="3412" w:type="pct"/>
          </w:tcPr>
          <w:p w:rsidR="00000000" w:rsidRDefault="00567B15">
            <w:pPr>
              <w:bidi w:val="0"/>
              <w:spacing w:before="0" w:after="0"/>
              <w:jc w:val="left"/>
              <w:rPr>
                <w:lang w:val="fr-CH"/>
              </w:rPr>
            </w:pPr>
            <w:r>
              <w:rPr>
                <w:lang w:val="fr-CH"/>
              </w:rPr>
              <w:t>Conservatorio Fiscomisional de Música, Danza y Teatro</w:t>
            </w:r>
          </w:p>
          <w:p w:rsidR="00000000" w:rsidRDefault="00567B15">
            <w:pPr>
              <w:bidi w:val="0"/>
              <w:spacing w:before="0" w:after="0"/>
              <w:jc w:val="left"/>
              <w:rPr>
                <w:lang w:val="fr-CH"/>
              </w:rPr>
            </w:pPr>
            <w:r>
              <w:rPr>
                <w:lang w:val="fr-CH"/>
              </w:rPr>
              <w:t xml:space="preserve">   “La Merced”</w:t>
            </w:r>
          </w:p>
        </w:tc>
        <w:tc>
          <w:tcPr>
            <w:tcW w:w="830" w:type="pct"/>
          </w:tcPr>
          <w:p w:rsidR="00000000" w:rsidRDefault="00567B15">
            <w:pPr>
              <w:bidi w:val="0"/>
              <w:spacing w:before="0" w:after="0"/>
              <w:jc w:val="left"/>
              <w:rPr>
                <w:lang w:val="fr-CH"/>
              </w:rPr>
            </w:pPr>
            <w:r>
              <w:rPr>
                <w:lang w:val="fr-CH"/>
              </w:rPr>
              <w:t>Tungurahua</w:t>
            </w:r>
          </w:p>
        </w:tc>
        <w:tc>
          <w:tcPr>
            <w:tcW w:w="758" w:type="pct"/>
          </w:tcPr>
          <w:p w:rsidR="00000000" w:rsidRDefault="00567B15">
            <w:pPr>
              <w:bidi w:val="0"/>
              <w:spacing w:before="0" w:after="0"/>
              <w:jc w:val="left"/>
              <w:rPr>
                <w:lang w:val="fr-CH"/>
              </w:rPr>
            </w:pPr>
            <w:r>
              <w:rPr>
                <w:lang w:val="fr-CH"/>
              </w:rPr>
              <w:t>Ambato</w:t>
            </w:r>
          </w:p>
        </w:tc>
      </w:tr>
    </w:tbl>
    <w:p w:rsidR="00000000" w:rsidRDefault="00567B15">
      <w:pPr>
        <w:jc w:val="both"/>
        <w:rPr>
          <w:rtl/>
          <w:lang w:val="fr-CH"/>
        </w:rPr>
      </w:pPr>
      <w:r>
        <w:rPr>
          <w:rFonts w:hint="cs"/>
          <w:b/>
          <w:bCs/>
          <w:rtl/>
        </w:rPr>
        <w:t>الفنون</w:t>
      </w:r>
      <w:r>
        <w:rPr>
          <w:rFonts w:hint="cs"/>
          <w:b/>
          <w:bCs/>
          <w:rtl/>
          <w:lang w:val="fr-CH"/>
        </w:rPr>
        <w:t xml:space="preserve"> </w:t>
      </w:r>
      <w:r>
        <w:rPr>
          <w:rFonts w:hint="cs"/>
          <w:b/>
          <w:bCs/>
          <w:rtl/>
        </w:rPr>
        <w:t>التشكيلية</w:t>
      </w:r>
    </w:p>
    <w:p w:rsidR="00000000" w:rsidRDefault="00567B15">
      <w:pPr>
        <w:jc w:val="both"/>
        <w:rPr>
          <w:i/>
          <w:iCs/>
        </w:rPr>
      </w:pPr>
      <w:r>
        <w:rPr>
          <w:rFonts w:hint="cs"/>
          <w:i/>
          <w:iCs/>
          <w:rtl/>
        </w:rPr>
        <w:t>المعاهد والكليات</w:t>
      </w:r>
    </w:p>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60"/>
        <w:gridCol w:w="1480"/>
        <w:gridCol w:w="1516"/>
      </w:tblGrid>
      <w:tr w:rsidR="00000000">
        <w:tblPrEx>
          <w:tblCellMar>
            <w:top w:w="0" w:type="dxa"/>
            <w:bottom w:w="0" w:type="dxa"/>
          </w:tblCellMar>
        </w:tblPrEx>
        <w:tc>
          <w:tcPr>
            <w:tcW w:w="3399" w:type="pct"/>
          </w:tcPr>
          <w:p w:rsidR="00000000" w:rsidRDefault="00567B15">
            <w:pPr>
              <w:bidi w:val="0"/>
              <w:spacing w:before="0" w:after="0"/>
              <w:jc w:val="left"/>
            </w:pPr>
            <w:r>
              <w:t>Instituto Superior “Daniel Reyes”</w:t>
            </w:r>
          </w:p>
        </w:tc>
        <w:tc>
          <w:tcPr>
            <w:tcW w:w="791" w:type="pct"/>
          </w:tcPr>
          <w:p w:rsidR="00000000" w:rsidRDefault="00567B15">
            <w:pPr>
              <w:bidi w:val="0"/>
              <w:spacing w:before="0" w:after="0"/>
              <w:jc w:val="left"/>
            </w:pPr>
            <w:r>
              <w:t>Imbabura</w:t>
            </w:r>
          </w:p>
        </w:tc>
        <w:tc>
          <w:tcPr>
            <w:tcW w:w="810" w:type="pct"/>
          </w:tcPr>
          <w:p w:rsidR="00000000" w:rsidRDefault="00567B15">
            <w:pPr>
              <w:bidi w:val="0"/>
              <w:spacing w:before="0" w:after="0"/>
              <w:jc w:val="left"/>
            </w:pPr>
            <w:r>
              <w:t>Ibarra</w:t>
            </w:r>
          </w:p>
        </w:tc>
      </w:tr>
      <w:tr w:rsidR="00000000">
        <w:tblPrEx>
          <w:tblCellMar>
            <w:top w:w="0" w:type="dxa"/>
            <w:bottom w:w="0" w:type="dxa"/>
          </w:tblCellMar>
        </w:tblPrEx>
        <w:tc>
          <w:tcPr>
            <w:tcW w:w="3399" w:type="pct"/>
          </w:tcPr>
          <w:p w:rsidR="00000000" w:rsidRDefault="00567B15">
            <w:pPr>
              <w:bidi w:val="0"/>
              <w:spacing w:before="0" w:after="0"/>
              <w:jc w:val="left"/>
            </w:pPr>
            <w:r>
              <w:t>Instituto Superior “Juan Jos</w:t>
            </w:r>
            <w:r>
              <w:t>é Plaza”</w:t>
            </w:r>
          </w:p>
        </w:tc>
        <w:tc>
          <w:tcPr>
            <w:tcW w:w="791" w:type="pct"/>
          </w:tcPr>
          <w:p w:rsidR="00000000" w:rsidRDefault="00567B15">
            <w:pPr>
              <w:bidi w:val="0"/>
              <w:spacing w:before="0" w:after="0"/>
              <w:jc w:val="left"/>
            </w:pPr>
            <w:r>
              <w:t>Guayas</w:t>
            </w:r>
          </w:p>
        </w:tc>
        <w:tc>
          <w:tcPr>
            <w:tcW w:w="810" w:type="pct"/>
          </w:tcPr>
          <w:p w:rsidR="00000000" w:rsidRDefault="00567B15">
            <w:pPr>
              <w:bidi w:val="0"/>
              <w:spacing w:before="0" w:after="0"/>
              <w:jc w:val="left"/>
            </w:pPr>
            <w:r>
              <w:t>Guayaquil</w:t>
            </w:r>
          </w:p>
        </w:tc>
      </w:tr>
      <w:tr w:rsidR="00000000">
        <w:tblPrEx>
          <w:tblCellMar>
            <w:top w:w="0" w:type="dxa"/>
            <w:bottom w:w="0" w:type="dxa"/>
          </w:tblCellMar>
        </w:tblPrEx>
        <w:tc>
          <w:tcPr>
            <w:tcW w:w="3399" w:type="pct"/>
          </w:tcPr>
          <w:p w:rsidR="00000000" w:rsidRDefault="00567B15">
            <w:pPr>
              <w:bidi w:val="0"/>
              <w:spacing w:before="0" w:after="0"/>
              <w:jc w:val="left"/>
            </w:pPr>
            <w:r>
              <w:t>Colegio de Artes Plásticas “Tohalí”</w:t>
            </w:r>
          </w:p>
        </w:tc>
        <w:tc>
          <w:tcPr>
            <w:tcW w:w="791" w:type="pct"/>
          </w:tcPr>
          <w:p w:rsidR="00000000" w:rsidRDefault="00567B15">
            <w:pPr>
              <w:bidi w:val="0"/>
              <w:spacing w:before="0" w:after="0"/>
              <w:jc w:val="left"/>
              <w:rPr>
                <w:lang w:val="fr-CH"/>
              </w:rPr>
            </w:pPr>
            <w:r>
              <w:rPr>
                <w:lang w:val="fr-CH"/>
              </w:rPr>
              <w:t>Manabí</w:t>
            </w:r>
          </w:p>
        </w:tc>
        <w:tc>
          <w:tcPr>
            <w:tcW w:w="810" w:type="pct"/>
          </w:tcPr>
          <w:p w:rsidR="00000000" w:rsidRDefault="00567B15">
            <w:pPr>
              <w:bidi w:val="0"/>
              <w:spacing w:before="0" w:after="0"/>
              <w:jc w:val="left"/>
              <w:rPr>
                <w:lang w:val="fr-CH"/>
              </w:rPr>
            </w:pPr>
            <w:r>
              <w:rPr>
                <w:lang w:val="fr-CH"/>
              </w:rPr>
              <w:t>Manta</w:t>
            </w:r>
          </w:p>
        </w:tc>
      </w:tr>
      <w:tr w:rsidR="00000000">
        <w:tblPrEx>
          <w:tblCellMar>
            <w:top w:w="0" w:type="dxa"/>
            <w:bottom w:w="0" w:type="dxa"/>
          </w:tblCellMar>
        </w:tblPrEx>
        <w:tc>
          <w:tcPr>
            <w:tcW w:w="3399" w:type="pct"/>
          </w:tcPr>
          <w:p w:rsidR="00000000" w:rsidRDefault="00567B15">
            <w:pPr>
              <w:bidi w:val="0"/>
              <w:spacing w:before="0" w:after="0"/>
              <w:jc w:val="left"/>
              <w:rPr>
                <w:lang w:val="fr-CH"/>
              </w:rPr>
            </w:pPr>
            <w:r>
              <w:rPr>
                <w:lang w:val="fr-CH"/>
              </w:rPr>
              <w:t>Colegio de Artes Plásticas “La Pila”</w:t>
            </w:r>
          </w:p>
        </w:tc>
        <w:tc>
          <w:tcPr>
            <w:tcW w:w="791" w:type="pct"/>
          </w:tcPr>
          <w:p w:rsidR="00000000" w:rsidRDefault="00567B15">
            <w:pPr>
              <w:bidi w:val="0"/>
              <w:spacing w:before="0" w:after="0"/>
              <w:jc w:val="left"/>
            </w:pPr>
            <w:r>
              <w:t>Manabí</w:t>
            </w:r>
          </w:p>
        </w:tc>
        <w:tc>
          <w:tcPr>
            <w:tcW w:w="810" w:type="pct"/>
          </w:tcPr>
          <w:p w:rsidR="00000000" w:rsidRDefault="00567B15">
            <w:pPr>
              <w:bidi w:val="0"/>
              <w:spacing w:before="0" w:after="0"/>
              <w:jc w:val="left"/>
            </w:pPr>
            <w:r>
              <w:t>Montecristi</w:t>
            </w:r>
          </w:p>
        </w:tc>
      </w:tr>
      <w:tr w:rsidR="00000000">
        <w:tblPrEx>
          <w:tblCellMar>
            <w:top w:w="0" w:type="dxa"/>
            <w:bottom w:w="0" w:type="dxa"/>
          </w:tblCellMar>
        </w:tblPrEx>
        <w:tc>
          <w:tcPr>
            <w:tcW w:w="3399" w:type="pct"/>
          </w:tcPr>
          <w:p w:rsidR="00000000" w:rsidRDefault="00567B15">
            <w:pPr>
              <w:bidi w:val="0"/>
              <w:spacing w:before="0" w:after="0"/>
              <w:jc w:val="left"/>
            </w:pPr>
            <w:r>
              <w:t>Colegio “Ciudad de Portovelo”</w:t>
            </w:r>
          </w:p>
        </w:tc>
        <w:tc>
          <w:tcPr>
            <w:tcW w:w="791" w:type="pct"/>
          </w:tcPr>
          <w:p w:rsidR="00000000" w:rsidRDefault="00567B15">
            <w:pPr>
              <w:bidi w:val="0"/>
              <w:spacing w:before="0" w:after="0"/>
              <w:jc w:val="left"/>
            </w:pPr>
            <w:r>
              <w:t>El Oro</w:t>
            </w:r>
          </w:p>
        </w:tc>
        <w:tc>
          <w:tcPr>
            <w:tcW w:w="810" w:type="pct"/>
          </w:tcPr>
          <w:p w:rsidR="00000000" w:rsidRDefault="00567B15">
            <w:pPr>
              <w:bidi w:val="0"/>
              <w:spacing w:before="0" w:after="0"/>
              <w:jc w:val="left"/>
            </w:pPr>
            <w:r>
              <w:t>Portovelo</w:t>
            </w:r>
          </w:p>
        </w:tc>
      </w:tr>
      <w:tr w:rsidR="00000000">
        <w:tblPrEx>
          <w:tblCellMar>
            <w:top w:w="0" w:type="dxa"/>
            <w:bottom w:w="0" w:type="dxa"/>
          </w:tblCellMar>
        </w:tblPrEx>
        <w:tc>
          <w:tcPr>
            <w:tcW w:w="3399" w:type="pct"/>
          </w:tcPr>
          <w:p w:rsidR="00000000" w:rsidRDefault="00567B15">
            <w:pPr>
              <w:bidi w:val="0"/>
              <w:spacing w:before="0" w:after="0"/>
              <w:jc w:val="left"/>
            </w:pPr>
            <w:r>
              <w:t>Colegio “Miguel Ángel León Pontón”</w:t>
            </w:r>
          </w:p>
        </w:tc>
        <w:tc>
          <w:tcPr>
            <w:tcW w:w="791" w:type="pct"/>
          </w:tcPr>
          <w:p w:rsidR="00000000" w:rsidRDefault="00567B15">
            <w:pPr>
              <w:bidi w:val="0"/>
              <w:spacing w:before="0" w:after="0"/>
              <w:jc w:val="left"/>
            </w:pPr>
            <w:r>
              <w:t>Chimborazo</w:t>
            </w:r>
          </w:p>
        </w:tc>
        <w:tc>
          <w:tcPr>
            <w:tcW w:w="810" w:type="pct"/>
          </w:tcPr>
          <w:p w:rsidR="00000000" w:rsidRDefault="00567B15">
            <w:pPr>
              <w:bidi w:val="0"/>
              <w:spacing w:before="0" w:after="0"/>
              <w:jc w:val="left"/>
              <w:rPr>
                <w:lang w:val="fr-CH"/>
              </w:rPr>
            </w:pPr>
            <w:r>
              <w:rPr>
                <w:lang w:val="fr-CH"/>
              </w:rPr>
              <w:t>Riobamba</w:t>
            </w:r>
          </w:p>
        </w:tc>
      </w:tr>
      <w:tr w:rsidR="00000000">
        <w:tblPrEx>
          <w:tblCellMar>
            <w:top w:w="0" w:type="dxa"/>
            <w:bottom w:w="0" w:type="dxa"/>
          </w:tblCellMar>
        </w:tblPrEx>
        <w:tc>
          <w:tcPr>
            <w:tcW w:w="3399" w:type="pct"/>
          </w:tcPr>
          <w:p w:rsidR="00000000" w:rsidRDefault="00567B15">
            <w:pPr>
              <w:bidi w:val="0"/>
              <w:spacing w:before="0" w:after="0"/>
              <w:jc w:val="left"/>
              <w:rPr>
                <w:lang w:val="fr-CH"/>
              </w:rPr>
            </w:pPr>
            <w:r>
              <w:rPr>
                <w:lang w:val="fr-CH"/>
              </w:rPr>
              <w:t>Colegio Casa de la</w:t>
            </w:r>
            <w:r>
              <w:rPr>
                <w:lang w:val="fr-CH"/>
              </w:rPr>
              <w:t xml:space="preserve"> Cultura</w:t>
            </w:r>
          </w:p>
        </w:tc>
        <w:tc>
          <w:tcPr>
            <w:tcW w:w="791" w:type="pct"/>
          </w:tcPr>
          <w:p w:rsidR="00000000" w:rsidRDefault="00567B15">
            <w:pPr>
              <w:bidi w:val="0"/>
              <w:spacing w:before="0" w:after="0"/>
              <w:jc w:val="left"/>
            </w:pPr>
            <w:r>
              <w:t>Los Ríos</w:t>
            </w:r>
          </w:p>
        </w:tc>
        <w:tc>
          <w:tcPr>
            <w:tcW w:w="810" w:type="pct"/>
          </w:tcPr>
          <w:p w:rsidR="00000000" w:rsidRDefault="00567B15">
            <w:pPr>
              <w:bidi w:val="0"/>
              <w:spacing w:before="0" w:after="0"/>
              <w:jc w:val="left"/>
            </w:pPr>
            <w:r>
              <w:t>Babahoyo</w:t>
            </w:r>
          </w:p>
        </w:tc>
      </w:tr>
      <w:tr w:rsidR="00000000">
        <w:tblPrEx>
          <w:tblCellMar>
            <w:top w:w="0" w:type="dxa"/>
            <w:bottom w:w="0" w:type="dxa"/>
          </w:tblCellMar>
        </w:tblPrEx>
        <w:tc>
          <w:tcPr>
            <w:tcW w:w="3399" w:type="pct"/>
          </w:tcPr>
          <w:p w:rsidR="00000000" w:rsidRDefault="00567B15">
            <w:pPr>
              <w:bidi w:val="0"/>
              <w:spacing w:before="0" w:after="0"/>
              <w:jc w:val="left"/>
            </w:pPr>
            <w:r>
              <w:t>Colegio “José Peralta”</w:t>
            </w:r>
          </w:p>
        </w:tc>
        <w:tc>
          <w:tcPr>
            <w:tcW w:w="791" w:type="pct"/>
          </w:tcPr>
          <w:p w:rsidR="00000000" w:rsidRDefault="00567B15">
            <w:pPr>
              <w:bidi w:val="0"/>
              <w:spacing w:before="0" w:after="0"/>
              <w:jc w:val="left"/>
              <w:rPr>
                <w:lang w:val="fr-CH"/>
              </w:rPr>
            </w:pPr>
            <w:r>
              <w:rPr>
                <w:lang w:val="fr-CH"/>
              </w:rPr>
              <w:t>Cañar</w:t>
            </w:r>
          </w:p>
        </w:tc>
        <w:tc>
          <w:tcPr>
            <w:tcW w:w="810" w:type="pct"/>
          </w:tcPr>
          <w:p w:rsidR="00000000" w:rsidRDefault="00567B15">
            <w:pPr>
              <w:bidi w:val="0"/>
              <w:spacing w:before="0" w:after="0"/>
              <w:jc w:val="left"/>
              <w:rPr>
                <w:lang w:val="fr-CH"/>
              </w:rPr>
            </w:pPr>
            <w:r>
              <w:rPr>
                <w:lang w:val="fr-CH"/>
              </w:rPr>
              <w:t>Azogues</w:t>
            </w:r>
          </w:p>
        </w:tc>
      </w:tr>
      <w:tr w:rsidR="00000000">
        <w:tblPrEx>
          <w:tblCellMar>
            <w:top w:w="0" w:type="dxa"/>
            <w:bottom w:w="0" w:type="dxa"/>
          </w:tblCellMar>
        </w:tblPrEx>
        <w:tc>
          <w:tcPr>
            <w:tcW w:w="3399" w:type="pct"/>
          </w:tcPr>
          <w:p w:rsidR="00000000" w:rsidRDefault="00567B15">
            <w:pPr>
              <w:bidi w:val="0"/>
              <w:spacing w:before="0" w:after="0"/>
              <w:jc w:val="left"/>
              <w:rPr>
                <w:lang w:val="fr-CH"/>
              </w:rPr>
            </w:pPr>
            <w:r>
              <w:rPr>
                <w:lang w:val="fr-CH"/>
              </w:rPr>
              <w:t>Colegio “Virgilio Abarca Montesinos”</w:t>
            </w:r>
          </w:p>
        </w:tc>
        <w:tc>
          <w:tcPr>
            <w:tcW w:w="791" w:type="pct"/>
          </w:tcPr>
          <w:p w:rsidR="00000000" w:rsidRDefault="00567B15">
            <w:pPr>
              <w:bidi w:val="0"/>
              <w:spacing w:before="0" w:after="0"/>
              <w:jc w:val="left"/>
              <w:rPr>
                <w:lang w:val="fr-CH"/>
              </w:rPr>
            </w:pPr>
            <w:r>
              <w:rPr>
                <w:lang w:val="fr-CH"/>
              </w:rPr>
              <w:t>Loja</w:t>
            </w:r>
          </w:p>
        </w:tc>
        <w:tc>
          <w:tcPr>
            <w:tcW w:w="810" w:type="pct"/>
          </w:tcPr>
          <w:p w:rsidR="00000000" w:rsidRDefault="00567B15">
            <w:pPr>
              <w:bidi w:val="0"/>
              <w:spacing w:before="0" w:after="0"/>
              <w:jc w:val="left"/>
              <w:rPr>
                <w:lang w:val="fr-CH"/>
              </w:rPr>
            </w:pPr>
            <w:r>
              <w:rPr>
                <w:lang w:val="fr-CH"/>
              </w:rPr>
              <w:t>Saraguro</w:t>
            </w:r>
          </w:p>
        </w:tc>
      </w:tr>
      <w:tr w:rsidR="00000000">
        <w:tblPrEx>
          <w:tblCellMar>
            <w:top w:w="0" w:type="dxa"/>
            <w:bottom w:w="0" w:type="dxa"/>
          </w:tblCellMar>
        </w:tblPrEx>
        <w:tc>
          <w:tcPr>
            <w:tcW w:w="3399" w:type="pct"/>
          </w:tcPr>
          <w:p w:rsidR="00000000" w:rsidRDefault="00567B15">
            <w:pPr>
              <w:bidi w:val="0"/>
              <w:spacing w:before="0" w:after="0"/>
              <w:jc w:val="left"/>
              <w:rPr>
                <w:lang w:val="fr-CH"/>
              </w:rPr>
            </w:pPr>
            <w:r>
              <w:rPr>
                <w:lang w:val="fr-CH"/>
              </w:rPr>
              <w:t>Colegio de Bellas Artes</w:t>
            </w:r>
          </w:p>
        </w:tc>
        <w:tc>
          <w:tcPr>
            <w:tcW w:w="791" w:type="pct"/>
          </w:tcPr>
          <w:p w:rsidR="00000000" w:rsidRDefault="00567B15">
            <w:pPr>
              <w:bidi w:val="0"/>
              <w:spacing w:before="0" w:after="0"/>
              <w:jc w:val="left"/>
              <w:rPr>
                <w:lang w:val="fr-CH"/>
              </w:rPr>
            </w:pPr>
            <w:r>
              <w:rPr>
                <w:lang w:val="fr-CH"/>
              </w:rPr>
              <w:t>Esmeraldas</w:t>
            </w:r>
          </w:p>
        </w:tc>
        <w:tc>
          <w:tcPr>
            <w:tcW w:w="810" w:type="pct"/>
          </w:tcPr>
          <w:p w:rsidR="00000000" w:rsidRDefault="00567B15">
            <w:pPr>
              <w:bidi w:val="0"/>
              <w:spacing w:before="0" w:after="0"/>
              <w:jc w:val="left"/>
              <w:rPr>
                <w:lang w:val="fr-CH"/>
              </w:rPr>
            </w:pPr>
            <w:r>
              <w:rPr>
                <w:lang w:val="fr-CH"/>
              </w:rPr>
              <w:t>Esmeraldas</w:t>
            </w:r>
          </w:p>
        </w:tc>
      </w:tr>
      <w:tr w:rsidR="00000000">
        <w:tblPrEx>
          <w:tblCellMar>
            <w:top w:w="0" w:type="dxa"/>
            <w:bottom w:w="0" w:type="dxa"/>
          </w:tblCellMar>
        </w:tblPrEx>
        <w:tc>
          <w:tcPr>
            <w:tcW w:w="3399" w:type="pct"/>
          </w:tcPr>
          <w:p w:rsidR="00000000" w:rsidRDefault="00567B15">
            <w:pPr>
              <w:bidi w:val="0"/>
              <w:spacing w:before="0" w:after="0"/>
              <w:jc w:val="left"/>
              <w:rPr>
                <w:lang w:val="fr-CH"/>
              </w:rPr>
            </w:pPr>
            <w:r>
              <w:rPr>
                <w:lang w:val="fr-CH"/>
              </w:rPr>
              <w:t xml:space="preserve">Colegio de Artes Plásticas de la Universidad </w:t>
            </w:r>
            <w:r>
              <w:rPr>
                <w:lang w:val="fr-CH"/>
              </w:rPr>
              <w:br/>
              <w:t>Central del Ecuador</w:t>
            </w:r>
          </w:p>
        </w:tc>
        <w:tc>
          <w:tcPr>
            <w:tcW w:w="791" w:type="pct"/>
          </w:tcPr>
          <w:p w:rsidR="00000000" w:rsidRDefault="00567B15">
            <w:pPr>
              <w:bidi w:val="0"/>
              <w:spacing w:before="0" w:after="0"/>
              <w:jc w:val="left"/>
              <w:rPr>
                <w:lang w:val="fr-CH"/>
              </w:rPr>
            </w:pPr>
            <w:r>
              <w:rPr>
                <w:lang w:val="fr-CH"/>
              </w:rPr>
              <w:t>Pichincha</w:t>
            </w:r>
          </w:p>
        </w:tc>
        <w:tc>
          <w:tcPr>
            <w:tcW w:w="810" w:type="pct"/>
          </w:tcPr>
          <w:p w:rsidR="00000000" w:rsidRDefault="00567B15">
            <w:pPr>
              <w:bidi w:val="0"/>
              <w:spacing w:before="0" w:after="0"/>
              <w:jc w:val="left"/>
              <w:rPr>
                <w:lang w:val="fr-CH"/>
              </w:rPr>
            </w:pPr>
            <w:r>
              <w:rPr>
                <w:lang w:val="fr-CH"/>
              </w:rPr>
              <w:t>Quito</w:t>
            </w:r>
          </w:p>
        </w:tc>
      </w:tr>
      <w:tr w:rsidR="00000000">
        <w:tblPrEx>
          <w:tblCellMar>
            <w:top w:w="0" w:type="dxa"/>
            <w:bottom w:w="0" w:type="dxa"/>
          </w:tblCellMar>
        </w:tblPrEx>
        <w:tc>
          <w:tcPr>
            <w:tcW w:w="3399" w:type="pct"/>
          </w:tcPr>
          <w:p w:rsidR="00000000" w:rsidRDefault="00567B15">
            <w:pPr>
              <w:bidi w:val="0"/>
              <w:spacing w:before="0" w:after="0"/>
              <w:jc w:val="left"/>
              <w:rPr>
                <w:lang w:val="fr-CH"/>
              </w:rPr>
            </w:pPr>
            <w:r>
              <w:rPr>
                <w:lang w:val="fr-CH"/>
              </w:rPr>
              <w:t xml:space="preserve">Colegio </w:t>
            </w:r>
            <w:r>
              <w:rPr>
                <w:lang w:val="fr-CH"/>
              </w:rPr>
              <w:t>“Matilde Hidalgo de Prócel”</w:t>
            </w:r>
          </w:p>
        </w:tc>
        <w:tc>
          <w:tcPr>
            <w:tcW w:w="791" w:type="pct"/>
          </w:tcPr>
          <w:p w:rsidR="00000000" w:rsidRDefault="00567B15">
            <w:pPr>
              <w:bidi w:val="0"/>
              <w:spacing w:before="0" w:after="0"/>
              <w:jc w:val="left"/>
              <w:rPr>
                <w:lang w:val="fr-CH"/>
              </w:rPr>
            </w:pPr>
            <w:r>
              <w:rPr>
                <w:lang w:val="fr-CH"/>
              </w:rPr>
              <w:t>El Oro</w:t>
            </w:r>
          </w:p>
        </w:tc>
        <w:tc>
          <w:tcPr>
            <w:tcW w:w="810" w:type="pct"/>
          </w:tcPr>
          <w:p w:rsidR="00000000" w:rsidRDefault="00567B15">
            <w:pPr>
              <w:bidi w:val="0"/>
              <w:spacing w:before="0" w:after="0"/>
              <w:jc w:val="left"/>
            </w:pPr>
            <w:r>
              <w:t>Machala</w:t>
            </w:r>
          </w:p>
        </w:tc>
      </w:tr>
    </w:tbl>
    <w:p w:rsidR="00000000" w:rsidRDefault="00567B15">
      <w:pPr>
        <w:spacing w:line="380" w:lineRule="exact"/>
        <w:jc w:val="both"/>
        <w:rPr>
          <w:rFonts w:hint="cs"/>
          <w:rtl/>
        </w:rPr>
      </w:pPr>
      <w:r>
        <w:rPr>
          <w:rFonts w:hint="cs"/>
          <w:rtl/>
        </w:rPr>
        <w:t>576-</w:t>
      </w:r>
      <w:r>
        <w:rPr>
          <w:rFonts w:hint="cs"/>
          <w:rtl/>
        </w:rPr>
        <w:tab/>
        <w:t>أما البرنامج الوطني المعروف باسم "الاتجاه الثقافي الجديد" (1996) فهو هيئة تابعة للقطاع العام ومكلفة بمهمة الإسهام في إعادة تأكيد الهوية الثقافية الوطنية بالاعتراف بالتنوع الثقافي وبإيلاء الاهتمام إلى مختلف أ</w:t>
      </w:r>
      <w:r>
        <w:rPr>
          <w:rFonts w:hint="cs"/>
          <w:rtl/>
        </w:rPr>
        <w:t>ساليب التعبير عن الثقافة الشعبية وبتعزيز تلك الأساليب. وتنطوي إحدى مهامها الرئيسية على إنجاز مشاريع التنمية الثقافية في القطاعات الحضرية والريفية المهمشة في البلد، فضلاً عن الاضطلاع بأنشطة ميدانية لترويج الثقافة  بمشاركة تلاميذ المدارس الثانوية والمجتمع مش</w:t>
      </w:r>
      <w:r>
        <w:rPr>
          <w:rFonts w:hint="cs"/>
          <w:rtl/>
        </w:rPr>
        <w:t>اركة نشطة.</w:t>
      </w:r>
    </w:p>
    <w:p w:rsidR="00000000" w:rsidRDefault="00567B15">
      <w:pPr>
        <w:spacing w:line="380" w:lineRule="exact"/>
        <w:jc w:val="both"/>
        <w:rPr>
          <w:rtl/>
        </w:rPr>
      </w:pPr>
      <w:r>
        <w:rPr>
          <w:rFonts w:hint="cs"/>
          <w:rtl/>
        </w:rPr>
        <w:t>577-</w:t>
      </w:r>
      <w:r>
        <w:rPr>
          <w:rFonts w:hint="cs"/>
          <w:rtl/>
        </w:rPr>
        <w:tab/>
        <w:t xml:space="preserve">ولقد تم إعداد المشاريع التالية لتعزيز التعبير الفني وتدعيم الإنجاز الثقافي على مستوى المجتمع: </w:t>
      </w:r>
      <w:r>
        <w:rPr>
          <w:rFonts w:hint="cs"/>
          <w:i/>
          <w:iCs/>
          <w:rtl/>
        </w:rPr>
        <w:t xml:space="preserve">مركز </w:t>
      </w:r>
      <w:r>
        <w:rPr>
          <w:rFonts w:hint="cs"/>
          <w:i/>
          <w:iCs/>
          <w:spacing w:val="0"/>
          <w:rtl/>
        </w:rPr>
        <w:t>الذاكرة</w:t>
      </w:r>
      <w:r>
        <w:rPr>
          <w:rFonts w:hint="cs"/>
          <w:spacing w:val="0"/>
          <w:rtl/>
        </w:rPr>
        <w:t xml:space="preserve"> </w:t>
      </w:r>
      <w:r>
        <w:rPr>
          <w:spacing w:val="0"/>
        </w:rPr>
        <w:t>(Centro de Memoria)</w:t>
      </w:r>
      <w:r>
        <w:rPr>
          <w:rFonts w:hint="cs"/>
          <w:spacing w:val="0"/>
          <w:rtl/>
        </w:rPr>
        <w:t xml:space="preserve">، </w:t>
      </w:r>
      <w:r>
        <w:rPr>
          <w:rFonts w:hint="cs"/>
          <w:i/>
          <w:iCs/>
          <w:spacing w:val="0"/>
          <w:rtl/>
        </w:rPr>
        <w:t>وجذور إكوادور</w:t>
      </w:r>
      <w:r>
        <w:rPr>
          <w:rFonts w:hint="cs"/>
          <w:spacing w:val="0"/>
          <w:rtl/>
        </w:rPr>
        <w:t xml:space="preserve"> </w:t>
      </w:r>
      <w:r>
        <w:rPr>
          <w:spacing w:val="0"/>
        </w:rPr>
        <w:t>(Ecuador Profundo)</w:t>
      </w:r>
      <w:r>
        <w:rPr>
          <w:rFonts w:hint="cs"/>
          <w:spacing w:val="0"/>
          <w:rtl/>
        </w:rPr>
        <w:t xml:space="preserve">، </w:t>
      </w:r>
      <w:r>
        <w:rPr>
          <w:rFonts w:hint="cs"/>
          <w:i/>
          <w:iCs/>
          <w:spacing w:val="0"/>
          <w:rtl/>
        </w:rPr>
        <w:t>ومغارس الفن</w:t>
      </w:r>
      <w:r>
        <w:rPr>
          <w:rFonts w:hint="cs"/>
          <w:spacing w:val="0"/>
          <w:rtl/>
        </w:rPr>
        <w:t xml:space="preserve"> </w:t>
      </w:r>
      <w:r>
        <w:rPr>
          <w:spacing w:val="0"/>
        </w:rPr>
        <w:t xml:space="preserve">(Semilleros de </w:t>
      </w:r>
      <w:r>
        <w:t>Arte)</w:t>
      </w:r>
      <w:r>
        <w:rPr>
          <w:rFonts w:hint="cs"/>
          <w:rtl/>
        </w:rPr>
        <w:t xml:space="preserve">، </w:t>
      </w:r>
      <w:r>
        <w:rPr>
          <w:rFonts w:hint="cs"/>
          <w:i/>
          <w:iCs/>
          <w:rtl/>
        </w:rPr>
        <w:t>وثروة الهجين</w:t>
      </w:r>
      <w:r>
        <w:rPr>
          <w:rFonts w:hint="cs"/>
          <w:rtl/>
        </w:rPr>
        <w:t xml:space="preserve"> </w:t>
      </w:r>
      <w:r>
        <w:t>(Riqueza Mestiza)</w:t>
      </w:r>
      <w:r>
        <w:rPr>
          <w:rFonts w:hint="cs"/>
          <w:rtl/>
        </w:rPr>
        <w:t xml:space="preserve"> وإنتاج أشرطة </w:t>
      </w:r>
      <w:r>
        <w:rPr>
          <w:rFonts w:hint="cs"/>
          <w:rtl/>
        </w:rPr>
        <w:t>الفيديو الثقافية والتربوية.</w:t>
      </w:r>
    </w:p>
    <w:p w:rsidR="00000000" w:rsidRDefault="00567B15">
      <w:pPr>
        <w:spacing w:line="380" w:lineRule="exact"/>
        <w:jc w:val="both"/>
        <w:rPr>
          <w:rtl/>
        </w:rPr>
      </w:pPr>
      <w:r>
        <w:rPr>
          <w:rFonts w:hint="cs"/>
          <w:rtl/>
        </w:rPr>
        <w:t>578-</w:t>
      </w:r>
      <w:r>
        <w:rPr>
          <w:rFonts w:hint="cs"/>
          <w:rtl/>
        </w:rPr>
        <w:tab/>
        <w:t>وفيما يتعلق بتخصص وتدرب العاملين في القطاع الثقافي، توجد خطط لوضع مشروع خاص بإنشاء مركز تدريبي واستشاري للثقافة والفنون.</w:t>
      </w:r>
    </w:p>
    <w:p w:rsidR="00000000" w:rsidRDefault="00567B15">
      <w:pPr>
        <w:spacing w:line="380" w:lineRule="exact"/>
        <w:jc w:val="both"/>
        <w:rPr>
          <w:rFonts w:hint="cs"/>
          <w:rtl/>
        </w:rPr>
      </w:pPr>
      <w:r>
        <w:rPr>
          <w:rFonts w:hint="cs"/>
          <w:rtl/>
        </w:rPr>
        <w:t>579-</w:t>
      </w:r>
      <w:r>
        <w:rPr>
          <w:rFonts w:hint="cs"/>
          <w:rtl/>
        </w:rPr>
        <w:tab/>
        <w:t>وتأتي في المادة 5 من قانون المسنين المنشور في عدد الجريدة الرسمية رقم 806، الإشارة إلى المعاملة ا</w:t>
      </w:r>
      <w:r>
        <w:rPr>
          <w:rFonts w:hint="cs"/>
          <w:rtl/>
        </w:rPr>
        <w:t>لتي ينبغي للمجتمع وللدولة أن يعاملا بها الأشخاص المسنين، بما مفاده أنه: "يتعين على مؤسسات القطاعين العام والخاص أن توفر مرافق للأشخاص المسنين الذين يودون الاشتراك في الأنشطة الاجتماعية والثقافية والاقتصادية والرياضية والفنية والعلمية".</w:t>
      </w:r>
    </w:p>
    <w:p w:rsidR="00000000" w:rsidRDefault="00567B15">
      <w:pPr>
        <w:spacing w:line="380" w:lineRule="exact"/>
        <w:jc w:val="both"/>
        <w:rPr>
          <w:rFonts w:hint="cs"/>
          <w:rtl/>
        </w:rPr>
      </w:pPr>
      <w:r>
        <w:rPr>
          <w:rFonts w:hint="cs"/>
          <w:rtl/>
        </w:rPr>
        <w:t>580-</w:t>
      </w:r>
      <w:r>
        <w:rPr>
          <w:rFonts w:hint="cs"/>
          <w:rtl/>
        </w:rPr>
        <w:tab/>
        <w:t>وتشمل أحكام قان</w:t>
      </w:r>
      <w:r>
        <w:rPr>
          <w:rFonts w:hint="cs"/>
          <w:rtl/>
        </w:rPr>
        <w:t>ون المعوقين الحقوق الأساسية للمعوقين كما تبين الدور الذي يُطلب إليهم تأديته في المجتمع وتنص على وجوب تكافؤ الفرص في مجالات الإنتاج والإبداع الفنيين والعلميين والثقافيين.</w:t>
      </w:r>
    </w:p>
    <w:p w:rsidR="00000000" w:rsidRDefault="00567B15">
      <w:pPr>
        <w:spacing w:line="380" w:lineRule="exact"/>
        <w:jc w:val="both"/>
        <w:rPr>
          <w:rFonts w:hint="cs"/>
          <w:rtl/>
        </w:rPr>
      </w:pPr>
      <w:r>
        <w:rPr>
          <w:rFonts w:hint="cs"/>
          <w:rtl/>
        </w:rPr>
        <w:t>581-</w:t>
      </w:r>
      <w:r>
        <w:rPr>
          <w:rFonts w:hint="cs"/>
          <w:rtl/>
        </w:rPr>
        <w:tab/>
        <w:t>وبعد تعريف الثقافة بوصفها تراث الشعب وجوهر هويته في المادتين 62 و63 اللتين تناولت</w:t>
      </w:r>
      <w:r>
        <w:rPr>
          <w:rFonts w:hint="cs"/>
          <w:rtl/>
        </w:rPr>
        <w:t>ا موضوع الثقافة في الفرع 7 من الدستور، جاءت الإشارة فيهما بوضوح إلى ضرورة وضع سياسات تحمي جميع القيم ومختلف أساليب التعبير التي تساعد على تكوين الهوية الوطنية المتعددة الثقافات والإثنيات بمراعاة مبدأي العدل والمساواة بين الثقافات الوطنية.</w:t>
      </w:r>
    </w:p>
    <w:p w:rsidR="00000000" w:rsidRDefault="00567B15">
      <w:pPr>
        <w:spacing w:line="380" w:lineRule="exact"/>
        <w:jc w:val="both"/>
        <w:rPr>
          <w:rFonts w:hint="cs"/>
          <w:i/>
          <w:iCs/>
          <w:rtl/>
        </w:rPr>
      </w:pPr>
      <w:r>
        <w:rPr>
          <w:rFonts w:hint="cs"/>
          <w:i/>
          <w:iCs/>
          <w:rtl/>
        </w:rPr>
        <w:t>العلم والتكنولوجي</w:t>
      </w:r>
      <w:r>
        <w:rPr>
          <w:rFonts w:hint="cs"/>
          <w:i/>
          <w:iCs/>
          <w:rtl/>
        </w:rPr>
        <w:t>ا</w:t>
      </w:r>
    </w:p>
    <w:p w:rsidR="00000000" w:rsidRDefault="00567B15">
      <w:pPr>
        <w:spacing w:line="380" w:lineRule="exact"/>
        <w:jc w:val="both"/>
        <w:rPr>
          <w:rFonts w:hint="cs"/>
          <w:rtl/>
        </w:rPr>
      </w:pPr>
      <w:r>
        <w:rPr>
          <w:rFonts w:hint="cs"/>
          <w:rtl/>
        </w:rPr>
        <w:t>582-</w:t>
      </w:r>
      <w:r>
        <w:rPr>
          <w:rFonts w:hint="cs"/>
          <w:rtl/>
        </w:rPr>
        <w:tab/>
        <w:t>تتناول المادة 80 من دستور إكوادور موضوع العلم والتكنولوجيا وتفيد بأن: "على الدولة أن تشجع العلم والتكنولوجيا، ولا سيما في مجال التعليم بكافة مستوياته، بغية تحسين الإنتاجية، وضمان إدارة الموارد الطبيعية إدارة مستدامة، وتلبية احتياجات السكان الأساسية.</w:t>
      </w:r>
      <w:r>
        <w:rPr>
          <w:rFonts w:hint="cs"/>
          <w:rtl/>
        </w:rPr>
        <w:t xml:space="preserve"> كما على الدولة أن تضمن حرية الاضطلاع بالأنشطة العلمية والتكنولوجية وتوفِّر الحماية القانونية لما تسفر عنه من نتائج، بالإضافة إلى المعارف الجماعية المتوارثة عن الأجداد. ويجب أن تُجرى البحوث العلمية في الجامعات والمدارس المتعددة الفنون والمعاهد العليا الفني</w:t>
      </w:r>
      <w:r>
        <w:rPr>
          <w:rFonts w:hint="cs"/>
          <w:rtl/>
        </w:rPr>
        <w:t>ة والتكنولوجية ومراكز البحث العلمي، وذلك بالتنسيق مع القطاعات الإنتاجية كلما اقتضى الأمر ذلك، ومع الهيئات العامة التي قد تُنشأ بموجب القانون؛ كما ينبغي أن يضبط القانون مركز الباحث العلمي".</w:t>
      </w:r>
    </w:p>
    <w:p w:rsidR="00000000" w:rsidRDefault="00567B15">
      <w:pPr>
        <w:spacing w:line="380" w:lineRule="exact"/>
        <w:jc w:val="both"/>
        <w:rPr>
          <w:rFonts w:hint="cs"/>
          <w:rtl/>
        </w:rPr>
      </w:pPr>
      <w:r>
        <w:rPr>
          <w:rFonts w:hint="cs"/>
          <w:rtl/>
        </w:rPr>
        <w:t>583-</w:t>
      </w:r>
      <w:r>
        <w:rPr>
          <w:rFonts w:hint="cs"/>
          <w:rtl/>
        </w:rPr>
        <w:tab/>
        <w:t xml:space="preserve">وعملاً بالمرسـوم التنفيذي رقم 1605 المنشور في عدد </w:t>
      </w:r>
      <w:r>
        <w:rPr>
          <w:rFonts w:hint="cs"/>
          <w:i/>
          <w:iCs/>
          <w:rtl/>
        </w:rPr>
        <w:t>الجريدة الرس</w:t>
      </w:r>
      <w:r>
        <w:rPr>
          <w:rFonts w:hint="cs"/>
          <w:i/>
          <w:iCs/>
          <w:rtl/>
        </w:rPr>
        <w:t>مية</w:t>
      </w:r>
      <w:r>
        <w:rPr>
          <w:rFonts w:hint="cs"/>
          <w:rtl/>
        </w:rPr>
        <w:t xml:space="preserve"> رقم 416 الصادر في 8 نيسان/أبريل 1994 والذي أنشئت بموجبه مؤسسة العلم والتكنولوجيا، يجري تحديد مهام هذه المؤسسة ووصف مجالات اختصاصها من حيث إنتاج ونشر المعارف وتطبيقاتها العلمية.</w:t>
      </w:r>
    </w:p>
    <w:p w:rsidR="00000000" w:rsidRDefault="00567B15">
      <w:pPr>
        <w:spacing w:line="380" w:lineRule="exact"/>
        <w:jc w:val="both"/>
        <w:rPr>
          <w:rFonts w:hint="cs"/>
          <w:rtl/>
        </w:rPr>
      </w:pPr>
      <w:r>
        <w:rPr>
          <w:rFonts w:hint="cs"/>
          <w:rtl/>
        </w:rPr>
        <w:t>584-</w:t>
      </w:r>
      <w:r>
        <w:rPr>
          <w:rFonts w:hint="cs"/>
          <w:rtl/>
        </w:rPr>
        <w:tab/>
        <w:t xml:space="preserve">ويشكل الإطار القانوني للدفاع عن البيئة وحمايتها مسألة من المسائل التي </w:t>
      </w:r>
      <w:r>
        <w:rPr>
          <w:rFonts w:hint="cs"/>
          <w:rtl/>
        </w:rPr>
        <w:t>تثير قلق حكومة إكوادور البالغ. فقد اعتمدت الحكومة في عام 1979 قانون حماية البيئة، وأنشأت في عام 1996 وزارة البيئة لتحل اللجنة الاستشارية البيئية المنشأة في عام 1988 الملحقة بديوان رئيس الجمهورية.</w:t>
      </w:r>
    </w:p>
    <w:p w:rsidR="00000000" w:rsidRDefault="00567B15">
      <w:pPr>
        <w:spacing w:line="380" w:lineRule="exact"/>
        <w:jc w:val="both"/>
        <w:rPr>
          <w:rFonts w:hint="cs"/>
          <w:spacing w:val="2"/>
          <w:rtl/>
        </w:rPr>
      </w:pPr>
      <w:r>
        <w:rPr>
          <w:rFonts w:hint="cs"/>
          <w:spacing w:val="2"/>
          <w:rtl/>
        </w:rPr>
        <w:t>585-</w:t>
      </w:r>
      <w:r>
        <w:rPr>
          <w:rFonts w:hint="cs"/>
          <w:spacing w:val="2"/>
          <w:rtl/>
        </w:rPr>
        <w:tab/>
        <w:t>وبعد إنشاء مؤسسة العلم والتكنولوجيا، أنشئ النظام الوطني</w:t>
      </w:r>
      <w:r>
        <w:rPr>
          <w:rFonts w:hint="cs"/>
          <w:spacing w:val="2"/>
          <w:rtl/>
        </w:rPr>
        <w:t xml:space="preserve"> للعلم والتكنولوجيا. وللنظام روابط تصله بالجامعات والمدارس المتعددة الفنون التي هي جزء من المجلس الوطني للجامعات والمدارس المتعددة الفنون وهيئات أخرى من القطاع الخاص تعمل لتلبية احتياجات قطاعات المشاريع في البلد من البحوث عملاً بالمراسيم ذات الصلة. </w:t>
      </w:r>
    </w:p>
    <w:p w:rsidR="00000000" w:rsidRDefault="00567B15">
      <w:pPr>
        <w:spacing w:line="380" w:lineRule="exact"/>
        <w:jc w:val="both"/>
        <w:rPr>
          <w:rFonts w:hint="cs"/>
          <w:rtl/>
        </w:rPr>
      </w:pPr>
      <w:r>
        <w:rPr>
          <w:rFonts w:hint="cs"/>
          <w:rtl/>
        </w:rPr>
        <w:t>586-</w:t>
      </w:r>
      <w:r>
        <w:rPr>
          <w:rFonts w:hint="cs"/>
          <w:rtl/>
        </w:rPr>
        <w:tab/>
        <w:t>و</w:t>
      </w:r>
      <w:r>
        <w:rPr>
          <w:rFonts w:hint="cs"/>
          <w:rtl/>
        </w:rPr>
        <w:t xml:space="preserve">ينص المرسوم التنفيذي رقم 1603 المنشور في عدد </w:t>
      </w:r>
      <w:r>
        <w:rPr>
          <w:rFonts w:hint="cs"/>
          <w:i/>
          <w:iCs/>
          <w:rtl/>
        </w:rPr>
        <w:t>الجريدة الرسمية</w:t>
      </w:r>
      <w:r>
        <w:rPr>
          <w:rFonts w:hint="cs"/>
          <w:rtl/>
        </w:rPr>
        <w:t xml:space="preserve"> رقم 413 الصادر في 5 نيسان/أبريل 1994، على إعادة تنظيم النظام الوطني للعلم والتكنولوجيا وإنشاء الأمانة الوطنية للعلم والتكنولوجيا في إطار مكتب نائب رئيس الجمهورية بصفته الهيئة السياسية المعنية بإد</w:t>
      </w:r>
      <w:r>
        <w:rPr>
          <w:rFonts w:hint="cs"/>
          <w:rtl/>
        </w:rPr>
        <w:t>ارة النظام الوطني للعلم والتكنولوجيا، وسيرأسها الأمين الوطني للعلم والتكنولوجيا الذي يعينه رئيس الجمهورية.</w:t>
      </w:r>
    </w:p>
    <w:p w:rsidR="00000000" w:rsidRDefault="00567B15">
      <w:pPr>
        <w:spacing w:line="380" w:lineRule="exact"/>
        <w:jc w:val="both"/>
        <w:rPr>
          <w:rFonts w:hint="cs"/>
          <w:rtl/>
        </w:rPr>
      </w:pPr>
      <w:r>
        <w:rPr>
          <w:rFonts w:hint="cs"/>
          <w:rtl/>
        </w:rPr>
        <w:t>587-</w:t>
      </w:r>
      <w:r>
        <w:rPr>
          <w:rFonts w:hint="cs"/>
          <w:rtl/>
        </w:rPr>
        <w:tab/>
        <w:t>وتجدر الإحاطة علماً بما ينجزه مكتب التنسيق العلمي التابع للجامعة المركزية من أعمال لتنمية مشاريع البحوث الخاصة بالقطاعات الإنتاجية في مختلف الإد</w:t>
      </w:r>
      <w:r>
        <w:rPr>
          <w:rFonts w:hint="cs"/>
          <w:rtl/>
        </w:rPr>
        <w:t xml:space="preserve">ارات والمدارس والمعاهد العليا، وكذلك بما تنجزه معاهد البحوث من أعمال في مجالات مثل الزراعة بفضل المعهد الوطني لبحوث الثروة الحيوانية، الذي يسعى عن طريق خطة العمل لأن يكون أداة فعالة في عملية تحويل القطاع الصناعي الزراعي في البلد، وتجدر الإحاطة علماً أيضاً </w:t>
      </w:r>
      <w:r>
        <w:rPr>
          <w:rFonts w:hint="cs"/>
          <w:rtl/>
        </w:rPr>
        <w:t>بالأعمال التي ينجزها معهد البحرية الأوقيانوغرافي الذي يضطلع ببحوث في مجال تربية الأسماك.</w:t>
      </w:r>
    </w:p>
    <w:p w:rsidR="00000000" w:rsidRDefault="00567B15">
      <w:pPr>
        <w:spacing w:line="380" w:lineRule="exact"/>
        <w:jc w:val="both"/>
        <w:rPr>
          <w:rFonts w:hint="cs"/>
          <w:rtl/>
        </w:rPr>
      </w:pPr>
      <w:r>
        <w:rPr>
          <w:rFonts w:hint="cs"/>
          <w:rtl/>
        </w:rPr>
        <w:t>588-</w:t>
      </w:r>
      <w:r>
        <w:rPr>
          <w:rFonts w:hint="cs"/>
          <w:rtl/>
        </w:rPr>
        <w:tab/>
        <w:t>ويقوم كل مركز ومعهد من المراكز والمعاهد المذكورة بنشر المعلومات الخاصة بالتقدم العلمي المحرز عبر مختلف وسائط الإعلام: فتصدر مؤسسة العلم والتكنولوجيا منشوراً دوريا</w:t>
      </w:r>
      <w:r>
        <w:rPr>
          <w:rFonts w:hint="cs"/>
          <w:rtl/>
        </w:rPr>
        <w:t xml:space="preserve">ً مخصصاً للمجتمع العلمي الوطني والدولي كما لها موقع على شبكة الويب. والأمر سيان فيما يتعلق بكافة مراكز البحوث الأخرى. وتصدر الجامعة المركزية منشورها </w:t>
      </w:r>
      <w:r>
        <w:rPr>
          <w:i/>
          <w:iCs/>
        </w:rPr>
        <w:t>Anales</w:t>
      </w:r>
      <w:r>
        <w:rPr>
          <w:rFonts w:hint="cs"/>
          <w:rtl/>
        </w:rPr>
        <w:t xml:space="preserve"> منذ قرن واحد وهو أحد أهم المنشورات العلمية في البلد.</w:t>
      </w:r>
    </w:p>
    <w:p w:rsidR="00000000" w:rsidRDefault="00567B15">
      <w:pPr>
        <w:spacing w:line="380" w:lineRule="exact"/>
        <w:jc w:val="both"/>
        <w:rPr>
          <w:i/>
          <w:iCs/>
          <w:rtl/>
        </w:rPr>
      </w:pPr>
      <w:r>
        <w:rPr>
          <w:rFonts w:hint="cs"/>
          <w:i/>
          <w:iCs/>
          <w:rtl/>
        </w:rPr>
        <w:t>الملكية الفكرية</w:t>
      </w:r>
    </w:p>
    <w:p w:rsidR="00000000" w:rsidRDefault="00567B15">
      <w:pPr>
        <w:spacing w:line="380" w:lineRule="exact"/>
        <w:jc w:val="both"/>
        <w:rPr>
          <w:rFonts w:hint="cs"/>
          <w:rtl/>
        </w:rPr>
      </w:pPr>
      <w:r>
        <w:rPr>
          <w:rFonts w:hint="cs"/>
          <w:rtl/>
        </w:rPr>
        <w:t>589-</w:t>
      </w:r>
      <w:r>
        <w:rPr>
          <w:rFonts w:hint="cs"/>
          <w:rtl/>
        </w:rPr>
        <w:tab/>
        <w:t>تنطوي المهام الرئيسية المن</w:t>
      </w:r>
      <w:r>
        <w:rPr>
          <w:rFonts w:hint="cs"/>
          <w:rtl/>
        </w:rPr>
        <w:t>وطة بالجامعات والمدارس المتعددة الفنون، عملاً بالمادة 75 من الدستور، على "دراسة مشاكل البلد واقتراح حلول لها". ويفترض ذلك سلفاً زيادة المعارف بنشر النتائج المتوصل إليها وتعميمها عن طريق وسائط الإعلام الاعتيادية. وينبغي أن تساعد تلك المعارف على تحسين ظروف م</w:t>
      </w:r>
      <w:r>
        <w:rPr>
          <w:rFonts w:hint="cs"/>
          <w:rtl/>
        </w:rPr>
        <w:t>عيشة الإكوادوريين عندما تطبق لتنمية منتجات أو عمليات جديدة. وتضمن المادة 80 من الدستور حماية قانونية للنتائج التي تسفر عنها البحوث كما تضمن حرية الاضطلاع بالأنشطة العلمية والتكنولوجية.</w:t>
      </w:r>
    </w:p>
    <w:p w:rsidR="00000000" w:rsidRDefault="00567B15">
      <w:pPr>
        <w:spacing w:line="380" w:lineRule="exact"/>
        <w:jc w:val="both"/>
        <w:rPr>
          <w:rFonts w:hint="cs"/>
          <w:rtl/>
        </w:rPr>
      </w:pPr>
    </w:p>
    <w:p w:rsidR="00000000" w:rsidRDefault="00567B15">
      <w:pPr>
        <w:spacing w:line="380" w:lineRule="exact"/>
        <w:jc w:val="both"/>
        <w:rPr>
          <w:rFonts w:hint="cs"/>
          <w:i/>
          <w:iCs/>
          <w:rtl/>
        </w:rPr>
      </w:pPr>
      <w:r>
        <w:rPr>
          <w:rFonts w:hint="cs"/>
          <w:i/>
          <w:iCs/>
          <w:rtl/>
        </w:rPr>
        <w:t>نشر العلم والثقافة</w:t>
      </w:r>
    </w:p>
    <w:p w:rsidR="00000000" w:rsidRDefault="00567B15">
      <w:pPr>
        <w:spacing w:line="380" w:lineRule="exact"/>
        <w:jc w:val="both"/>
        <w:rPr>
          <w:rFonts w:hint="cs"/>
          <w:rtl/>
        </w:rPr>
      </w:pPr>
      <w:r>
        <w:rPr>
          <w:rFonts w:hint="cs"/>
          <w:rtl/>
        </w:rPr>
        <w:t>590-</w:t>
      </w:r>
      <w:r>
        <w:rPr>
          <w:rFonts w:hint="cs"/>
          <w:rtl/>
        </w:rPr>
        <w:tab/>
        <w:t>يشمل دستور إكوادور أحكاماً هامة تتعلق بالعلم و</w:t>
      </w:r>
      <w:r>
        <w:rPr>
          <w:rFonts w:hint="cs"/>
          <w:rtl/>
        </w:rPr>
        <w:t>التكنولوجيا والمواضيع ذات الصلة. وهو، في الواقع، الدستور الأول الذي يتضمن جزءاً خاصاً مكرساً للعلم والتكنولوجيا. أما الأحكام المشار إليها أعلاه فهي:</w:t>
      </w:r>
    </w:p>
    <w:p w:rsidR="00000000" w:rsidRDefault="00567B15">
      <w:pPr>
        <w:spacing w:line="380" w:lineRule="exact"/>
        <w:jc w:val="both"/>
        <w:rPr>
          <w:rFonts w:hint="cs"/>
          <w:rtl/>
        </w:rPr>
      </w:pPr>
      <w:r>
        <w:rPr>
          <w:rFonts w:hint="cs"/>
          <w:rtl/>
        </w:rPr>
        <w:t>591-</w:t>
      </w:r>
      <w:r>
        <w:rPr>
          <w:rFonts w:hint="cs"/>
          <w:rtl/>
        </w:rPr>
        <w:tab/>
        <w:t xml:space="preserve">المادة 23 المدرجة في الفصل الثاني (الحقوق المدنية) من الباب الثالث (الحقوق والضمانات والواجبات) والتي </w:t>
      </w:r>
      <w:r>
        <w:rPr>
          <w:rFonts w:hint="cs"/>
          <w:rtl/>
        </w:rPr>
        <w:t>تنص على أنه: "يجب على الدولة، دون المساس بالحقوق المكرسة في هذا الدستور وفي الصكوك الدولية المعمول بها حالياً، أن تعترف للأفراد وتضمن لهم ما يلي: [...] السلامة الشخصية. وعدم التعرض للتعذيب وغيره من ضروب المعاملة أو العقوبة القاسية أو اللاإنسانية أو المهينة</w:t>
      </w:r>
      <w:r>
        <w:rPr>
          <w:rFonts w:hint="cs"/>
          <w:rtl/>
        </w:rPr>
        <w:t xml:space="preserve"> أو التي تنطوي على ممارسة عنف بدني أو نفسي أو جنسي أو ممارسة الإكراه المعنوي وإساءة استعمال المواد الجينية البشرية. [...] والحق في العيش في بيئة نظيفة ومتوازنة إيكولوجياً وغير ملوثة على أن يحدد القانون شروط تقييد ممارسة بعض الحقوق والحريات حمايةً للبيئة. [</w:t>
      </w:r>
      <w:r>
        <w:rPr>
          <w:rFonts w:hint="cs"/>
          <w:rtl/>
        </w:rPr>
        <w:t>...] والحق في التمتع بمستوى معيشي يضمن توافر الصحة والطعام والتغذية ومياه الشرب والمرافق الصحية البيئية والتعليم والعمل والعمالة والاستجمام والسكن والملبس وغير ذلك من الخدمات الاجتماعية الضرورية".</w:t>
      </w:r>
    </w:p>
    <w:p w:rsidR="00000000" w:rsidRDefault="00567B15">
      <w:pPr>
        <w:spacing w:line="380" w:lineRule="exact"/>
        <w:jc w:val="both"/>
        <w:rPr>
          <w:rFonts w:hint="cs"/>
          <w:rtl/>
        </w:rPr>
      </w:pPr>
      <w:r>
        <w:rPr>
          <w:rFonts w:hint="cs"/>
          <w:rtl/>
        </w:rPr>
        <w:t>592-</w:t>
      </w:r>
      <w:r>
        <w:rPr>
          <w:rFonts w:hint="cs"/>
          <w:rtl/>
        </w:rPr>
        <w:tab/>
        <w:t>المادة 30 المدرجة في الجزء الأول (الملكية) من الفصل ال</w:t>
      </w:r>
      <w:r>
        <w:rPr>
          <w:rFonts w:hint="cs"/>
          <w:rtl/>
        </w:rPr>
        <w:t>رابع (الحقوق الاقتصادية والاجتماعية والثقافية) والتي تنص على أنه: "يجب الاعتراف بالملكية الفكرية وضمانها عملاً بأحكام القانون وتمشياً مع الاتفاقات والمعاهدات النافذة حالياً".</w:t>
      </w:r>
    </w:p>
    <w:p w:rsidR="00000000" w:rsidRDefault="00567B15">
      <w:pPr>
        <w:spacing w:line="380" w:lineRule="exact"/>
        <w:jc w:val="both"/>
        <w:rPr>
          <w:rFonts w:hint="cs"/>
          <w:rtl/>
        </w:rPr>
      </w:pPr>
      <w:r>
        <w:rPr>
          <w:rFonts w:hint="cs"/>
          <w:rtl/>
        </w:rPr>
        <w:t>593-</w:t>
      </w:r>
      <w:r>
        <w:rPr>
          <w:rFonts w:hint="cs"/>
          <w:rtl/>
        </w:rPr>
        <w:tab/>
        <w:t>المادة 44 المدرجة في الجزء الرابع (الصحة) والتي تنص على أن: "تضع الدولة سياس</w:t>
      </w:r>
      <w:r>
        <w:rPr>
          <w:rFonts w:hint="cs"/>
          <w:rtl/>
        </w:rPr>
        <w:t>ة الصحة الوطنية وتضمن تطبيقها؛ كما ترصد العمليات التي تضطلع بها الهيئات في هذا القطاع؛ وتعترف، أيضاً، بالطب التقليدي والطب البديل وتراعيهما وتشجع على تطويرهما، كم يجب أن تضبط ممارستهما بموجب القانون، وتشجع التقدم العلمي والتكنولوجي في ميدان الصحة وتخضعه لم</w:t>
      </w:r>
      <w:r>
        <w:rPr>
          <w:rFonts w:hint="cs"/>
          <w:rtl/>
        </w:rPr>
        <w:t>بادئ الأخلاقيات البيولوجية".</w:t>
      </w:r>
    </w:p>
    <w:p w:rsidR="00000000" w:rsidRDefault="00567B15">
      <w:pPr>
        <w:spacing w:line="380" w:lineRule="exact"/>
        <w:jc w:val="both"/>
        <w:rPr>
          <w:rFonts w:hint="cs"/>
          <w:spacing w:val="0"/>
          <w:rtl/>
        </w:rPr>
      </w:pPr>
      <w:r>
        <w:rPr>
          <w:rFonts w:hint="cs"/>
          <w:spacing w:val="0"/>
          <w:rtl/>
        </w:rPr>
        <w:t>594-</w:t>
      </w:r>
      <w:r>
        <w:rPr>
          <w:rFonts w:hint="cs"/>
          <w:spacing w:val="0"/>
          <w:rtl/>
        </w:rPr>
        <w:tab/>
        <w:t>المادة 62 المدرجة في الجزء السابع "الثقافة" والتي تنص على أن: "الثقافة هي تراث الشعب وتشكل عنصراً أساسياً من عناصر هويته. وتعزز الدولة وتشجع الثقافة والإبداع والتدريب على الفنون والبحوث العلمية".</w:t>
      </w:r>
    </w:p>
    <w:p w:rsidR="00000000" w:rsidRDefault="00567B15">
      <w:pPr>
        <w:spacing w:line="380" w:lineRule="exact"/>
        <w:jc w:val="both"/>
        <w:rPr>
          <w:rFonts w:hint="cs"/>
          <w:spacing w:val="2"/>
          <w:rtl/>
        </w:rPr>
      </w:pPr>
      <w:r>
        <w:rPr>
          <w:rFonts w:hint="cs"/>
          <w:spacing w:val="2"/>
          <w:rtl/>
        </w:rPr>
        <w:t>595-</w:t>
      </w:r>
      <w:r>
        <w:rPr>
          <w:rFonts w:hint="cs"/>
          <w:spacing w:val="2"/>
          <w:rtl/>
        </w:rPr>
        <w:tab/>
        <w:t xml:space="preserve">المادة 66 المدرجة في </w:t>
      </w:r>
      <w:r>
        <w:rPr>
          <w:rFonts w:hint="cs"/>
          <w:spacing w:val="2"/>
          <w:rtl/>
        </w:rPr>
        <w:t>الجزء الثامن "التعليم" والتي تنص على أن: "التعليم حق غير قابل للتصرف، وواجب محتم على الدولة والمجتمع والأسرة؛ ومجال يُمنح الأولوية في الاستثمارات العامة، كشرط لتحقيق التنمية الوطنية وضمان العدالة الاجتماعية. وتقع على عاتق الدولة مسؤولية تحديد وتطبيق السياس</w:t>
      </w:r>
      <w:r>
        <w:rPr>
          <w:rFonts w:hint="cs"/>
          <w:spacing w:val="2"/>
          <w:rtl/>
        </w:rPr>
        <w:t>ات التي تمكن من بلوغ تلك الأهداف. فالتعليم القائم على مبادئ أخلاقية وديمقراطية وإنسانية وعلمية وعلى مناصرة التعددية، يعزز مراعاة حقوق الإنسان وينمي الروح الانتقادية ويشجع الشعور الوطني؛ كما يوفر المهارات اللازمة لضمان عمالة وإنتاج فعالين؛ ويحفز على الإبداع</w:t>
      </w:r>
      <w:r>
        <w:rPr>
          <w:rFonts w:hint="cs"/>
          <w:spacing w:val="2"/>
          <w:rtl/>
        </w:rPr>
        <w:t>، وتنمية شخصية الفرد وإمكاناته بالكامل؛ ويشجع على تعددية الثقافات والتضامن والسلم".</w:t>
      </w:r>
    </w:p>
    <w:p w:rsidR="00000000" w:rsidRDefault="00567B15">
      <w:pPr>
        <w:spacing w:line="380" w:lineRule="exact"/>
        <w:jc w:val="both"/>
        <w:rPr>
          <w:rFonts w:hint="cs"/>
          <w:rtl/>
        </w:rPr>
      </w:pPr>
      <w:r>
        <w:rPr>
          <w:rFonts w:hint="cs"/>
          <w:rtl/>
        </w:rPr>
        <w:t>596-</w:t>
      </w:r>
      <w:r>
        <w:rPr>
          <w:rFonts w:hint="cs"/>
          <w:rtl/>
        </w:rPr>
        <w:tab/>
        <w:t>المادة 72 التي تنص على أنه: "يجب تمكين الأشخاص الطبيعيين والقانونيين من الإسهام اقتصادياً في الهيكل الأساسي، بما يشمل توفير الأثاث والمواد التعليمية لقطاع التربية، على</w:t>
      </w:r>
      <w:r>
        <w:rPr>
          <w:rFonts w:hint="cs"/>
          <w:rtl/>
        </w:rPr>
        <w:t xml:space="preserve"> أن تُحسم هذه المبالغ من الالتزامات الضريبية المستحقة، عملاً بأحكام القانون".</w:t>
      </w:r>
    </w:p>
    <w:p w:rsidR="00000000" w:rsidRDefault="00567B15">
      <w:pPr>
        <w:spacing w:line="380" w:lineRule="exact"/>
        <w:jc w:val="both"/>
        <w:rPr>
          <w:rStyle w:val="FootnoteReference"/>
          <w:rFonts w:hint="cs"/>
          <w:bCs w:val="0"/>
          <w:vertAlign w:val="baseline"/>
          <w:rtl/>
        </w:rPr>
      </w:pPr>
      <w:r>
        <w:rPr>
          <w:rFonts w:hint="cs"/>
          <w:rtl/>
        </w:rPr>
        <w:t>597-</w:t>
      </w:r>
      <w:r>
        <w:rPr>
          <w:rFonts w:hint="cs"/>
          <w:rtl/>
        </w:rPr>
        <w:tab/>
        <w:t>المادة 75 التي تنص على أن: "البحوث العلمية والتدريب المهني والفني وتنمية الثقافة الوطنية وتطويرها ونشرها بين الناس، بالإضافة إلى دراسة المشاكل التي يواجهها البلد واقتراح الح</w:t>
      </w:r>
      <w:r>
        <w:rPr>
          <w:rFonts w:hint="cs"/>
          <w:rtl/>
        </w:rPr>
        <w:t>لول لتسويتها، يجب أن تكون المهام الرئيسية للجامعات والمدارس المتعددة الفنون بغية الإسهام في إنشاء مجتمع إكوادوري جديد يتسم بدرجة أكبر من الإنصاف على أن تستخدم أساليب ومبادئ توجيهية معينة في تحقيق هذه الأهداف.</w:t>
      </w:r>
    </w:p>
    <w:p w:rsidR="00000000" w:rsidRDefault="00567B15">
      <w:pPr>
        <w:spacing w:line="380" w:lineRule="exact"/>
        <w:jc w:val="both"/>
        <w:rPr>
          <w:rFonts w:hint="cs"/>
          <w:spacing w:val="2"/>
          <w:rtl/>
        </w:rPr>
      </w:pPr>
      <w:r>
        <w:rPr>
          <w:rFonts w:hint="cs"/>
          <w:spacing w:val="2"/>
          <w:rtl/>
        </w:rPr>
        <w:t>598-</w:t>
      </w:r>
      <w:r>
        <w:rPr>
          <w:rFonts w:hint="cs"/>
          <w:spacing w:val="2"/>
          <w:rtl/>
        </w:rPr>
        <w:tab/>
        <w:t>المادة 80 المدرجة في الجزء التاسع (العلم و</w:t>
      </w:r>
      <w:r>
        <w:rPr>
          <w:rFonts w:hint="cs"/>
          <w:spacing w:val="2"/>
          <w:rtl/>
        </w:rPr>
        <w:t>التكنولوجيا) والتي تنص على أنه: "يجب على الدولة أن تشجع العلم والتكنولوجيا، ولا سيما على جميع مستويات التعليم، بغية تحسين الإنتاجية والقدرة التنافسية والتدبير المستدام للموارد الطبيعية، وتلبية احتياجات السكان الأساسية. كما يجب أن تضمن حرية الاضطلاع بالأنشط</w:t>
      </w:r>
      <w:r>
        <w:rPr>
          <w:rFonts w:hint="cs"/>
          <w:spacing w:val="2"/>
          <w:rtl/>
        </w:rPr>
        <w:t>ة العلمية والتكنولوجية وتوفير الحماية القانونية لما تسفر عنه من نتائج، بالإضافة إلى المعارف الجماعية المتوارثة عن الأجداد".</w:t>
      </w:r>
    </w:p>
    <w:p w:rsidR="00000000" w:rsidRDefault="00567B15">
      <w:pPr>
        <w:spacing w:line="380" w:lineRule="exact"/>
        <w:jc w:val="both"/>
        <w:rPr>
          <w:rFonts w:hint="cs"/>
          <w:rtl/>
        </w:rPr>
      </w:pPr>
      <w:r>
        <w:rPr>
          <w:rFonts w:hint="cs"/>
          <w:rtl/>
        </w:rPr>
        <w:t>599-</w:t>
      </w:r>
      <w:r>
        <w:rPr>
          <w:rFonts w:hint="cs"/>
          <w:rtl/>
        </w:rPr>
        <w:tab/>
        <w:t>المادة 84 المدرجة في الفصل 5 (الحقوق الجماعية) من الجزء الأول (السكان الأصليون والسكان السود أو الإكوادوريون المنحدرون من أصل أ</w:t>
      </w:r>
      <w:r>
        <w:rPr>
          <w:rFonts w:hint="cs"/>
          <w:rtl/>
        </w:rPr>
        <w:t>فريقي) والتي تنص على أنه يجب على الدولة أن تعترف وتضمن للسكان الأصليين، عملاً بأحكام الدستور والقانون وكذلك مراعاةً للقانون والنظام وحقوق الإنسان، الحقوق الجماعية التالية: [...] حقوقهم في الملكية الفكرية الجماعية للمعارف المتوارثة عن الأجداد؛ وفي تقديرها و</w:t>
      </w:r>
      <w:r>
        <w:rPr>
          <w:rFonts w:hint="cs"/>
          <w:rtl/>
        </w:rPr>
        <w:t>استخدامها وتنميتها عملاً بالقانون؛ وحقوقهم في استخدام نظمهم ومعارفهم وممارستهم للطب التقليدي، بما في ذلك حقهم في حماية طقوسهم الدينية وأماكنهم المقدسة وصون الأعشاب والحيوانات والمعادن والنظم الإيكولوجية التي تتسم بأهمية حيوية من هذا المنطلق".</w:t>
      </w:r>
    </w:p>
    <w:p w:rsidR="00000000" w:rsidRDefault="00567B15">
      <w:pPr>
        <w:spacing w:line="380" w:lineRule="exact"/>
        <w:jc w:val="both"/>
        <w:rPr>
          <w:rFonts w:hint="cs"/>
          <w:rtl/>
        </w:rPr>
      </w:pPr>
      <w:r>
        <w:rPr>
          <w:rFonts w:hint="cs"/>
          <w:rtl/>
        </w:rPr>
        <w:t>600-</w:t>
      </w:r>
      <w:r>
        <w:rPr>
          <w:rFonts w:hint="cs"/>
          <w:rtl/>
        </w:rPr>
        <w:tab/>
        <w:t>المادة 8</w:t>
      </w:r>
      <w:r>
        <w:rPr>
          <w:rFonts w:hint="cs"/>
          <w:rtl/>
        </w:rPr>
        <w:t>6 المدرجة في الجزء الثاني (البيئة) والتي تنص على أن: "على الدولة أن تحمي حق السكان في العيش في بيئة نظيفة ومتوازنة إيكولوجياً تضمن التنمية المستدامة. كما يجب عليها أن تضمن عدم المساس بهذا الحق وتتأكد من صون الطبيعة. وقد أُعلنت البنود التالية بنوداً ذات أهم</w:t>
      </w:r>
      <w:r>
        <w:rPr>
          <w:rFonts w:hint="cs"/>
          <w:rtl/>
        </w:rPr>
        <w:t>ية عامة ينبغي أن تضبط بموجب القانون: صون البيئة، وحفظ النظم الإيكولوجية، والتنوع البيولوجي، [و] سلامة التراث الجيني للبلد. ويجب تحقيقاً لتلك الأغراض فرض الشروط التالية على الأنشطة العامة والخاصة: منع التلوث البيئي، وإعادة تأهيل المناطق الطبيعية المتضررة، و</w:t>
      </w:r>
      <w:r>
        <w:rPr>
          <w:rFonts w:hint="cs"/>
          <w:rtl/>
        </w:rPr>
        <w:t>تحقيق التنمية المستدامة للموارد الطبيعية".</w:t>
      </w:r>
    </w:p>
    <w:p w:rsidR="00000000" w:rsidRDefault="00567B15">
      <w:pPr>
        <w:spacing w:line="380" w:lineRule="exact"/>
        <w:jc w:val="both"/>
        <w:rPr>
          <w:rFonts w:hint="cs"/>
          <w:rtl/>
        </w:rPr>
      </w:pPr>
      <w:r>
        <w:rPr>
          <w:rFonts w:hint="cs"/>
          <w:rtl/>
        </w:rPr>
        <w:t>601-</w:t>
      </w:r>
      <w:r>
        <w:rPr>
          <w:rFonts w:hint="cs"/>
          <w:rtl/>
        </w:rPr>
        <w:tab/>
        <w:t>وتنص المادة 89 على أن تتخذ الدولة التدابير اللازمة لتحقيق الأهداف التالية: "تشجيع القطاعين العام والخاص على استخدام تكنولوجيات نظيفة بيئياً واستخدام موارد الطاقة البديلة غير الملوثة. والقيام، عملاً بمعايير ال</w:t>
      </w:r>
      <w:r>
        <w:rPr>
          <w:rFonts w:hint="cs"/>
          <w:rtl/>
        </w:rPr>
        <w:t>أمن البيولوجي الصارمة، بضبط انتشار الكائنات الدقيقة المحورة وراثياً في البيئة وضبط تجاربها واستخدامها وتسويقها واستيرادها".</w:t>
      </w:r>
    </w:p>
    <w:p w:rsidR="00000000" w:rsidRDefault="00567B15">
      <w:pPr>
        <w:spacing w:line="380" w:lineRule="exact"/>
        <w:jc w:val="both"/>
        <w:rPr>
          <w:rFonts w:hint="cs"/>
          <w:rtl/>
        </w:rPr>
      </w:pPr>
      <w:r>
        <w:rPr>
          <w:rFonts w:hint="cs"/>
          <w:rtl/>
        </w:rPr>
        <w:t>602-</w:t>
      </w:r>
      <w:r>
        <w:rPr>
          <w:rFonts w:hint="cs"/>
          <w:rtl/>
        </w:rPr>
        <w:tab/>
        <w:t>المادة 244 المدرجة في الفصل الأول (المبادئ العامة) من الباب الثاني عشر (النظام الاقتصادي)، والتي تنص على أن تقوم الدولة في إطار</w:t>
      </w:r>
      <w:r>
        <w:rPr>
          <w:rFonts w:hint="cs"/>
          <w:rtl/>
        </w:rPr>
        <w:t xml:space="preserve"> الاقتصاد السوقي الذي يراعي الاعتبارات الاجتماعية: "بإنشاء الهيكل الأساسي المادي والعلمي والتكنولوجي؛ وتوفير الخدمات الأساسية لتحقيق التنمية".</w:t>
      </w:r>
    </w:p>
    <w:p w:rsidR="00000000" w:rsidRDefault="00567B15">
      <w:pPr>
        <w:spacing w:line="380" w:lineRule="exact"/>
        <w:jc w:val="both"/>
        <w:rPr>
          <w:rFonts w:hint="cs"/>
          <w:rtl/>
        </w:rPr>
      </w:pPr>
      <w:r>
        <w:rPr>
          <w:rFonts w:hint="cs"/>
          <w:rtl/>
        </w:rPr>
        <w:t>603-</w:t>
      </w:r>
      <w:r>
        <w:rPr>
          <w:rFonts w:hint="cs"/>
          <w:rtl/>
        </w:rPr>
        <w:tab/>
        <w:t>المادة 248 التي تنص على: " أن تمارس الدولة سيادتها في مجالات التنوع البيولوجي والمحميات الطبيعية والمناطق وا</w:t>
      </w:r>
      <w:r>
        <w:rPr>
          <w:rFonts w:hint="cs"/>
          <w:rtl/>
        </w:rPr>
        <w:t>لمتنزهات الطبيعية الوطنية المحمية".</w:t>
      </w:r>
    </w:p>
    <w:p w:rsidR="00000000" w:rsidRDefault="00567B15">
      <w:pPr>
        <w:spacing w:line="380" w:lineRule="exact"/>
        <w:jc w:val="both"/>
        <w:rPr>
          <w:rFonts w:hint="cs"/>
          <w:rtl/>
        </w:rPr>
      </w:pPr>
      <w:r>
        <w:rPr>
          <w:rFonts w:hint="cs"/>
          <w:rtl/>
        </w:rPr>
        <w:t>604-</w:t>
      </w:r>
      <w:r>
        <w:rPr>
          <w:rFonts w:hint="cs"/>
          <w:rtl/>
        </w:rPr>
        <w:tab/>
        <w:t>المادة 266 المدرجة في الفصل السادس (النظام الزراعي) والتي تنص على أن: "تكون التنمية المتكاملة والمستديمة ذات الأولوية العالية للأنشطة الزراعية والأنشطة المتصلة بالثروة الحيوانية وتربية الأحياء المائية وصيد الأسماك و</w:t>
      </w:r>
      <w:r>
        <w:rPr>
          <w:rFonts w:hint="cs"/>
          <w:rtl/>
        </w:rPr>
        <w:t>الأنشطة الزراعية الصناعية التي توفر منتجات عالية الجودة للأسواق المحلية والأجنبية، إلى جانب توفير الهياكل الأساسية، والتحديث واستصلاح الأراضي، والبحوث العلمية ونقل التكنولوجيا هي الأهداف الدائمة لسياسات الدولة".</w:t>
      </w:r>
    </w:p>
    <w:p w:rsidR="00000000" w:rsidRDefault="00567B15">
      <w:pPr>
        <w:spacing w:line="380" w:lineRule="exact"/>
        <w:jc w:val="both"/>
        <w:rPr>
          <w:rFonts w:hint="cs"/>
          <w:spacing w:val="0"/>
          <w:rtl/>
        </w:rPr>
      </w:pPr>
      <w:r>
        <w:rPr>
          <w:rFonts w:hint="cs"/>
          <w:spacing w:val="0"/>
          <w:rtl/>
        </w:rPr>
        <w:t>605-</w:t>
      </w:r>
      <w:r>
        <w:rPr>
          <w:rFonts w:hint="cs"/>
          <w:spacing w:val="0"/>
          <w:rtl/>
        </w:rPr>
        <w:tab/>
        <w:t>المادة 270 التي تنص على: "أن تولي الدول</w:t>
      </w:r>
      <w:r>
        <w:rPr>
          <w:rFonts w:hint="cs"/>
          <w:spacing w:val="0"/>
          <w:rtl/>
        </w:rPr>
        <w:t>ة الأولوية للبحوث في مجال الزراعة، وأن تعترف بالأنشطة الزراعية على أنها الأساس الضروري للتغذية والأمن الغذائي للسكان ولتنمية قدرة البلد على التنافس على الصعيد الدولي".</w:t>
      </w:r>
    </w:p>
    <w:p w:rsidR="00000000" w:rsidRDefault="00567B15">
      <w:pPr>
        <w:spacing w:line="380" w:lineRule="exact"/>
        <w:jc w:val="both"/>
        <w:rPr>
          <w:rFonts w:hint="cs"/>
          <w:i/>
          <w:iCs/>
          <w:rtl/>
        </w:rPr>
      </w:pPr>
      <w:r>
        <w:rPr>
          <w:rFonts w:hint="cs"/>
          <w:i/>
          <w:iCs/>
          <w:rtl/>
        </w:rPr>
        <w:t>نظام العلم والتكنولوجيا</w:t>
      </w:r>
    </w:p>
    <w:p w:rsidR="00000000" w:rsidRDefault="00567B15">
      <w:pPr>
        <w:spacing w:line="380" w:lineRule="exact"/>
        <w:jc w:val="both"/>
        <w:rPr>
          <w:rFonts w:hint="cs"/>
          <w:rtl/>
        </w:rPr>
      </w:pPr>
      <w:r>
        <w:rPr>
          <w:rFonts w:hint="cs"/>
          <w:rtl/>
        </w:rPr>
        <w:t>606-</w:t>
      </w:r>
      <w:r>
        <w:rPr>
          <w:rFonts w:hint="cs"/>
          <w:rtl/>
        </w:rPr>
        <w:tab/>
        <w:t>يقوم الإطار القانوني لتعزيز العلم والتكنولوجيا على أساس الق</w:t>
      </w:r>
      <w:r>
        <w:rPr>
          <w:rFonts w:hint="cs"/>
          <w:rtl/>
        </w:rPr>
        <w:t>انون الوطني لنظام العلم والتكنولوجيا (أعيد تنظيم هذا النظام بموجب المرسوم التنفيذي رقم 1603).</w:t>
      </w:r>
    </w:p>
    <w:p w:rsidR="00000000" w:rsidRDefault="00567B15">
      <w:pPr>
        <w:spacing w:line="380" w:lineRule="exact"/>
        <w:jc w:val="both"/>
        <w:rPr>
          <w:rFonts w:hint="cs"/>
          <w:rtl/>
        </w:rPr>
      </w:pPr>
      <w:r>
        <w:rPr>
          <w:rFonts w:hint="cs"/>
          <w:rtl/>
        </w:rPr>
        <w:t>607-</w:t>
      </w:r>
      <w:r>
        <w:rPr>
          <w:rFonts w:hint="cs"/>
          <w:rtl/>
        </w:rPr>
        <w:tab/>
        <w:t>ويوفر قانون المشتريات العامة (المادتان 117 و118) مصدراً هاماً لتمويل الأنشطة العلمية والتكنولوجية في إكوادور: إذ تخضع جميع العقود المشار إليها في القانون وال</w:t>
      </w:r>
      <w:r>
        <w:rPr>
          <w:rFonts w:hint="cs"/>
          <w:rtl/>
        </w:rPr>
        <w:t>تي تساوي أو تتجاوز 500 1 وحدة من الحد الأدنى المعيشي للأجر العام، لضريبة قدرها 0.25 في المائة من مبلغ العقد، بالإضافة إلى ضريبة تساوي 0.125 في المائة من جداول معادلة الأسعار الخاصة بتلك العقود. وتسدد الضريبة للأمانة الوطنية للعلم والتكنولوجيا لتمويل الأنشط</w:t>
      </w:r>
      <w:r>
        <w:rPr>
          <w:rFonts w:hint="cs"/>
          <w:rtl/>
        </w:rPr>
        <w:t>ة العلمية والتكنولوجية عن طريق مؤسسة العلم والتكنولوجيا.</w:t>
      </w:r>
    </w:p>
    <w:p w:rsidR="00000000" w:rsidRDefault="00567B15">
      <w:pPr>
        <w:spacing w:line="380" w:lineRule="exact"/>
        <w:jc w:val="both"/>
        <w:rPr>
          <w:rFonts w:hint="cs"/>
          <w:spacing w:val="2"/>
          <w:rtl/>
        </w:rPr>
      </w:pPr>
      <w:r>
        <w:rPr>
          <w:rFonts w:hint="cs"/>
          <w:spacing w:val="2"/>
          <w:rtl/>
        </w:rPr>
        <w:t>608-</w:t>
      </w:r>
      <w:r>
        <w:rPr>
          <w:rFonts w:hint="cs"/>
          <w:spacing w:val="2"/>
          <w:rtl/>
        </w:rPr>
        <w:tab/>
        <w:t>ويجري الآن بحث موضوع الملكية الفكرية وموضوع الملكية الأدبية والفنية في إكوادور. وتشمل الملكية الفكرية مجالين أو فرعين رئيسيين هما: الملكية الصناعية، ولا سيما الاختراعات أو العلامات التجارية؛ وال</w:t>
      </w:r>
      <w:r>
        <w:rPr>
          <w:rFonts w:hint="cs"/>
          <w:spacing w:val="2"/>
          <w:rtl/>
        </w:rPr>
        <w:t>رسوم أو النماذج الصناعية وحقوق التأليف والنشر، خاصة فيما يتعلق بالأعمال الأدبية والموسيقية والفنية والفونوغرافية والسمعية البصرية.</w:t>
      </w:r>
    </w:p>
    <w:p w:rsidR="00000000" w:rsidRDefault="00567B15">
      <w:pPr>
        <w:spacing w:line="380" w:lineRule="exact"/>
        <w:jc w:val="both"/>
        <w:rPr>
          <w:rFonts w:hint="cs"/>
          <w:rtl/>
        </w:rPr>
      </w:pPr>
      <w:r>
        <w:rPr>
          <w:rFonts w:hint="cs"/>
          <w:rtl/>
        </w:rPr>
        <w:t>609-</w:t>
      </w:r>
      <w:r>
        <w:rPr>
          <w:rFonts w:hint="cs"/>
          <w:rtl/>
        </w:rPr>
        <w:tab/>
        <w:t>أما المعايير الدولية الأساسية المتصلة بالملكية الفكرية والتي لها حكم القانون في إكوادور فهي: اتفاقية باريس لحماية الملكي</w:t>
      </w:r>
      <w:r>
        <w:rPr>
          <w:rFonts w:hint="cs"/>
          <w:rtl/>
        </w:rPr>
        <w:t>ة الصناعية المبرمة في 20 آذار/مارس 1883، وقد عُدِّلت آخر مرة في عام 1979؛ واتفاق مدريد بشأن قمع بيانات مصدر السلع الزائفة أو المضللة المبرم في 14 نيسان/أبريل 1891؛ ومعاهدة قانون البراءات المبرمة في 19 تموز/يوليه 1970 والتي تم تعديلها آخر مرة في عام 1984؛ و</w:t>
      </w:r>
      <w:r>
        <w:rPr>
          <w:rFonts w:hint="cs"/>
          <w:rtl/>
        </w:rPr>
        <w:t>معاهدة بودابست بشأن الاعتراف الدولي بإيداع الكائنات الدقيقة لأغراض الإجراءات الخاصة بالبراءات، المبرمة في 28 نيسان/أبريل 1977. وفيما يتعلق بالعلامات فقد [وقَّعت] إكوادور على اتفاق مدريد بشأن التسجيل الدولي للعلامات المبرم في 14 نيسان/أبريل 1891، وعلى اتفاق</w:t>
      </w:r>
      <w:r>
        <w:rPr>
          <w:rFonts w:hint="cs"/>
          <w:rtl/>
        </w:rPr>
        <w:t xml:space="preserve"> لشبونة بشأن حماية تسميات المنشأ وتسجيلها على الصعيد الدولي، المبرم في 31 تشرين الأول/أكتوبر 1958 والمعدل في عام 1979.</w:t>
      </w:r>
    </w:p>
    <w:p w:rsidR="00000000" w:rsidRDefault="00567B15">
      <w:pPr>
        <w:spacing w:line="380" w:lineRule="exact"/>
        <w:jc w:val="both"/>
        <w:rPr>
          <w:rFonts w:hint="cs"/>
          <w:rtl/>
        </w:rPr>
      </w:pPr>
      <w:r>
        <w:rPr>
          <w:rFonts w:hint="cs"/>
          <w:rtl/>
        </w:rPr>
        <w:t>610-</w:t>
      </w:r>
      <w:r>
        <w:rPr>
          <w:rFonts w:hint="cs"/>
          <w:rtl/>
        </w:rPr>
        <w:tab/>
        <w:t>وفيما يتعلق بالرسوم والنماذج الصناعية، ثمة اتفاق لاهاي بشأن الإيداع الدولي للرسوم والنماذج الصناعية، المبرم في 6 تشرين الثاني/نوفمبر</w:t>
      </w:r>
      <w:r>
        <w:rPr>
          <w:rFonts w:hint="cs"/>
          <w:rtl/>
        </w:rPr>
        <w:t xml:space="preserve"> 1925 والذي تم تعديله في عام 1979؛ واتفاق ستراسبورغ بشأن التصنيف الدولي للبراءات، المبرم في 24 آذار/مارس 1971 والمعدل في عام 1979؛ واتفاق نيس بشأن التصنيف الدولي للسلع والخدمات لأغراض تسجيل العلامات، المبرم في 15 حزيران/يونيه 1957، وقد عُدِّل آخر مرة في عا</w:t>
      </w:r>
      <w:r>
        <w:rPr>
          <w:rFonts w:hint="cs"/>
          <w:rtl/>
        </w:rPr>
        <w:t>م 1979. ويوجد أيضاً اتفاق لوكارنو بشأن وضع تصنيف دولي للرسوم والنماذج الصناعية، المبرم في 8 تشرين الأول/أكتوبر 1968 والمعدل في عام 1979؛ واتفاق فيينا الذي وضع بموجبه تصنيف دولي للعناصر التصويرية للعلامات، وقد أبرم في 12 حزيران/يونيه 1973؛ والاتفاقية الدولي</w:t>
      </w:r>
      <w:r>
        <w:rPr>
          <w:rFonts w:hint="cs"/>
          <w:rtl/>
        </w:rPr>
        <w:t>ة لوقاية الأ</w:t>
      </w:r>
      <w:r>
        <w:rPr>
          <w:rFonts w:hint="cs"/>
          <w:rtl/>
        </w:rPr>
        <w:t>نواع الجديدة من النباتات، باريس 1961، وجنيف 1978؛ واتفاق منظمة التجارة العالمية بشأن الملكية الفكرية.</w:t>
      </w:r>
    </w:p>
    <w:p w:rsidR="00000000" w:rsidRDefault="00567B15">
      <w:pPr>
        <w:spacing w:line="380" w:lineRule="exact"/>
        <w:jc w:val="both"/>
        <w:rPr>
          <w:rFonts w:hint="cs"/>
          <w:rtl/>
        </w:rPr>
      </w:pPr>
      <w:r>
        <w:rPr>
          <w:rFonts w:hint="cs"/>
          <w:rtl/>
        </w:rPr>
        <w:t>611-</w:t>
      </w:r>
      <w:r>
        <w:rPr>
          <w:rFonts w:hint="cs"/>
          <w:rtl/>
        </w:rPr>
        <w:tab/>
        <w:t>وتعترف إكوادور، فيما يتعلق بالممتلكات الأدبية والفنية، بأحد المبادئ الرئيسية لقانون حقوق التأليف والنشر وهو: المبدأ القانوني الذي يقضي بأ</w:t>
      </w:r>
      <w:r>
        <w:rPr>
          <w:rFonts w:hint="cs"/>
          <w:rtl/>
        </w:rPr>
        <w:t>ن امتلاك ما يبدعه العقل هو أكثر الممتلكات مشروعية وهو يرجع إلى القول إن للمؤلفين بمن فيهم الأدباء حق امتلاك ما يؤلفونه من أعمال. ويُعترف لهم بحق الحماية من الاستخدام غير المصرح به لأعمالهم والحصول على جزء من العوائد المحصلة نتيجة الاستخدام المشاع لتلك الأع</w:t>
      </w:r>
      <w:r>
        <w:rPr>
          <w:rFonts w:hint="cs"/>
          <w:rtl/>
        </w:rPr>
        <w:t>مال وهم يتمتعون بهذا الحق. وتحمي حقوق التأليف والنشر عدداً من الجوانب الأساسية أيضاً كالاعتراف بحقوق مؤلف العمل ومراعاة وحدة العمل كإبداع فكري.</w:t>
      </w:r>
    </w:p>
    <w:p w:rsidR="00000000" w:rsidRDefault="00567B15">
      <w:pPr>
        <w:spacing w:line="380" w:lineRule="exact"/>
        <w:jc w:val="both"/>
        <w:rPr>
          <w:rFonts w:hint="cs"/>
          <w:b/>
          <w:bCs/>
          <w:rtl/>
        </w:rPr>
      </w:pPr>
      <w:r>
        <w:rPr>
          <w:rFonts w:hint="cs"/>
          <w:b/>
          <w:bCs/>
          <w:rtl/>
        </w:rPr>
        <w:t>البحوث العلمية والإطار القانوني</w:t>
      </w:r>
    </w:p>
    <w:p w:rsidR="00000000" w:rsidRDefault="00567B15">
      <w:pPr>
        <w:spacing w:line="380" w:lineRule="exact"/>
        <w:jc w:val="both"/>
        <w:rPr>
          <w:rFonts w:hint="cs"/>
          <w:spacing w:val="2"/>
          <w:rtl/>
        </w:rPr>
      </w:pPr>
      <w:r>
        <w:rPr>
          <w:rFonts w:hint="cs"/>
          <w:spacing w:val="2"/>
          <w:rtl/>
        </w:rPr>
        <w:t>612-</w:t>
      </w:r>
      <w:r>
        <w:rPr>
          <w:rFonts w:hint="cs"/>
          <w:spacing w:val="2"/>
          <w:rtl/>
        </w:rPr>
        <w:tab/>
        <w:t xml:space="preserve">يضمن الدستور حرية الاضطلاع بأنشطة علمية وتكنولوجية. فتنص المادة 80 على أن: </w:t>
      </w:r>
      <w:r>
        <w:rPr>
          <w:rFonts w:hint="cs"/>
          <w:spacing w:val="2"/>
          <w:rtl/>
        </w:rPr>
        <w:t>"تشجع الدولة العلوم والتكنولوجيا، ولا سيما على جميع مستويات التعليم، بغية تحسين الإنتاجية، والقدرة التنافسية، والإدارة المستدامة للموارد الطبيعية، وتلبية احتياجات السكان الأساسية. وتضمن حرية الاضطلاع بالأنشطة العلمية والتكنولوجية وتوفير الحماية القانونية ل</w:t>
      </w:r>
      <w:r>
        <w:rPr>
          <w:rFonts w:hint="cs"/>
          <w:spacing w:val="2"/>
          <w:rtl/>
        </w:rPr>
        <w:t>ما تسفر عنه من نتائج، بالإضافة إلى المعارف الجماعية المتوارثة عن الأجداد".</w:t>
      </w:r>
    </w:p>
    <w:p w:rsidR="00000000" w:rsidRDefault="00567B15">
      <w:pPr>
        <w:spacing w:line="380" w:lineRule="exact"/>
        <w:jc w:val="both"/>
        <w:rPr>
          <w:rFonts w:hint="cs"/>
          <w:spacing w:val="2"/>
          <w:rtl/>
        </w:rPr>
      </w:pPr>
      <w:r>
        <w:rPr>
          <w:rFonts w:hint="cs"/>
          <w:spacing w:val="2"/>
          <w:rtl/>
        </w:rPr>
        <w:t>613-</w:t>
      </w:r>
      <w:r>
        <w:rPr>
          <w:rFonts w:hint="cs"/>
          <w:spacing w:val="2"/>
          <w:rtl/>
        </w:rPr>
        <w:tab/>
        <w:t>ولقد تأسست الجماعة العلمية الإكوادورية بصورة قانونية في أيار/مايو 1895 وهي تجمع بين الباحثين العلميين في البلد بصورة منظمة وعلى الصعيد الوطني. وأصبحت هذه الجماعة في عام 1996 ال</w:t>
      </w:r>
      <w:r>
        <w:rPr>
          <w:rFonts w:hint="cs"/>
          <w:spacing w:val="2"/>
          <w:rtl/>
        </w:rPr>
        <w:t>مجمع العلمي الوطني وأضافت أعضاء كاملي العضوية إلى أعضائها بحكم المنصب وأعضائها الفخريين. ويتألف المجمع من أقسام، وترفع طلبات العضوية إلى رئيس المجمع مرفقة بالسيرة الذاتية وبنسخة من مشروع البحث، وتقدم في تاريخ ومكان يحددهما المجمع. ويعتبر أي مشروع مقدم في أ</w:t>
      </w:r>
      <w:r>
        <w:rPr>
          <w:rFonts w:hint="cs"/>
          <w:spacing w:val="2"/>
          <w:rtl/>
        </w:rPr>
        <w:t>حد المؤتمرات العلمية التي تنظمها المؤسسة مرتين في السنة صالحاً لقبول طلب العضوية. وللمجمع فروع في المقاطعات مثل فروع كيتو وكوينكا وغواياكيل ولوخا، ويجري الآن إنشاء فروع أخرى.</w:t>
      </w:r>
    </w:p>
    <w:p w:rsidR="00000000" w:rsidRDefault="00567B15">
      <w:pPr>
        <w:spacing w:line="380" w:lineRule="exact"/>
        <w:jc w:val="both"/>
        <w:rPr>
          <w:rFonts w:hint="cs"/>
          <w:i/>
          <w:iCs/>
          <w:rtl/>
        </w:rPr>
      </w:pPr>
      <w:r>
        <w:rPr>
          <w:rFonts w:hint="cs"/>
          <w:i/>
          <w:iCs/>
          <w:rtl/>
        </w:rPr>
        <w:t>التعاون الدولي في مجال الثقافة</w:t>
      </w:r>
    </w:p>
    <w:p w:rsidR="00000000" w:rsidRDefault="00567B15">
      <w:pPr>
        <w:spacing w:line="380" w:lineRule="exact"/>
        <w:jc w:val="both"/>
        <w:rPr>
          <w:rFonts w:hint="cs"/>
          <w:rtl/>
        </w:rPr>
      </w:pPr>
      <w:r>
        <w:rPr>
          <w:rFonts w:hint="cs"/>
          <w:rtl/>
        </w:rPr>
        <w:t>614-</w:t>
      </w:r>
      <w:r>
        <w:rPr>
          <w:rFonts w:hint="cs"/>
          <w:rtl/>
        </w:rPr>
        <w:tab/>
        <w:t>أبرمت إكوادور اتفاقات مع بلدان ومؤسسات لتبادل</w:t>
      </w:r>
      <w:r>
        <w:rPr>
          <w:rFonts w:hint="cs"/>
          <w:rtl/>
        </w:rPr>
        <w:t xml:space="preserve"> المعلومات العلمية والثقافية. وتتيح أحكام تلك الاتفاقات فرصاً يمكن لإكوادور أن تستفيد منها، ولكن تلك الاتفاقات لا تستغل في حالات كثيرة استغلالاً كاملاً بسبب صعوبة نشر المعلومات والافتقار إلى اتصالات مباشرة مع القطاعات التي يمكن أن تستفيد منها و/أو بسبب الا</w:t>
      </w:r>
      <w:r>
        <w:rPr>
          <w:rFonts w:hint="cs"/>
          <w:rtl/>
        </w:rPr>
        <w:t>فتقار إلى الدعم الذي يسمح باتخاذ تدابير عملية لترويج العلم والتكنولوجيا والثقافة والفنون.</w:t>
      </w:r>
    </w:p>
    <w:p w:rsidR="00000000" w:rsidRDefault="00567B15">
      <w:pPr>
        <w:spacing w:before="180" w:after="180" w:line="380" w:lineRule="exact"/>
        <w:ind w:left="720"/>
        <w:jc w:val="both"/>
        <w:rPr>
          <w:rFonts w:hint="cs"/>
          <w:rtl/>
        </w:rPr>
      </w:pPr>
      <w:r>
        <w:rPr>
          <w:rFonts w:hint="cs"/>
          <w:rtl/>
        </w:rPr>
        <w:t>مشروع لصون التراث الثقافي الإكوادوري وترويجه.</w:t>
      </w:r>
    </w:p>
    <w:p w:rsidR="00000000" w:rsidRDefault="00567B15">
      <w:pPr>
        <w:spacing w:before="180" w:after="180" w:line="380" w:lineRule="exact"/>
        <w:ind w:left="720"/>
        <w:jc w:val="both"/>
        <w:rPr>
          <w:rFonts w:hint="cs"/>
          <w:rtl/>
        </w:rPr>
      </w:pPr>
      <w:r>
        <w:rPr>
          <w:rFonts w:hint="cs"/>
          <w:rtl/>
        </w:rPr>
        <w:t>خطة عمل لدراسة الثقافات المشتركة مع البلدان المتاخمة في العصور السالفة لاكتشاف أمريكا.</w:t>
      </w:r>
    </w:p>
    <w:p w:rsidR="00000000" w:rsidRDefault="00567B15">
      <w:pPr>
        <w:spacing w:before="180" w:after="180" w:line="380" w:lineRule="exact"/>
        <w:ind w:left="720"/>
        <w:jc w:val="both"/>
        <w:rPr>
          <w:rFonts w:hint="cs"/>
          <w:rtl/>
        </w:rPr>
      </w:pPr>
      <w:r>
        <w:rPr>
          <w:rFonts w:hint="cs"/>
          <w:rtl/>
        </w:rPr>
        <w:t xml:space="preserve">برنامج التبادل الثقافي بين حكومة </w:t>
      </w:r>
      <w:r>
        <w:rPr>
          <w:rFonts w:hint="cs"/>
          <w:rtl/>
        </w:rPr>
        <w:t>إكوادور وحكومة الصين.</w:t>
      </w:r>
    </w:p>
    <w:p w:rsidR="00000000" w:rsidRDefault="00567B15">
      <w:pPr>
        <w:spacing w:before="180" w:after="180" w:line="380" w:lineRule="exact"/>
        <w:ind w:left="720"/>
        <w:jc w:val="both"/>
        <w:rPr>
          <w:rFonts w:hint="cs"/>
          <w:spacing w:val="0"/>
          <w:rtl/>
        </w:rPr>
      </w:pPr>
      <w:r>
        <w:rPr>
          <w:rFonts w:hint="cs"/>
          <w:spacing w:val="0"/>
          <w:rtl/>
        </w:rPr>
        <w:t>اتفاق جزئي بشأن التعاون وتبادل المواضيع في المجالات الثقافية والتربوية والعلمية (بروتوكول انضمام كوبا).</w:t>
      </w:r>
    </w:p>
    <w:p w:rsidR="00000000" w:rsidRDefault="00567B15">
      <w:pPr>
        <w:spacing w:before="180" w:after="180" w:line="380" w:lineRule="exact"/>
        <w:ind w:left="720"/>
        <w:jc w:val="both"/>
        <w:rPr>
          <w:rFonts w:hint="cs"/>
          <w:spacing w:val="0"/>
          <w:rtl/>
        </w:rPr>
      </w:pPr>
      <w:r>
        <w:rPr>
          <w:rFonts w:hint="cs"/>
          <w:spacing w:val="0"/>
          <w:rtl/>
        </w:rPr>
        <w:t>اتفاق جزئي بشأن التعاون وتبادل المواضيع في مجالات الثقافة والتربية والعلوم (بروتوكول انضمام شيلي).</w:t>
      </w:r>
    </w:p>
    <w:p w:rsidR="00000000" w:rsidRDefault="00567B15">
      <w:pPr>
        <w:spacing w:before="180" w:after="180" w:line="380" w:lineRule="exact"/>
        <w:ind w:left="720"/>
        <w:jc w:val="both"/>
        <w:rPr>
          <w:rFonts w:hint="cs"/>
          <w:rtl/>
        </w:rPr>
      </w:pPr>
      <w:r>
        <w:rPr>
          <w:rFonts w:hint="cs"/>
          <w:rtl/>
        </w:rPr>
        <w:t>اتفاق بشأن ضبط معاهدة أندريس بي</w:t>
      </w:r>
      <w:r>
        <w:rPr>
          <w:rFonts w:hint="cs"/>
          <w:rtl/>
        </w:rPr>
        <w:t xml:space="preserve">لّو لتطبيقها على مجالات التربية والعلم والتكنولوجيا والثقافة. </w:t>
      </w:r>
    </w:p>
    <w:p w:rsidR="00000000" w:rsidRDefault="00567B15">
      <w:pPr>
        <w:spacing w:before="180" w:after="180" w:line="380" w:lineRule="exact"/>
        <w:ind w:left="720"/>
        <w:jc w:val="both"/>
        <w:rPr>
          <w:rFonts w:hint="cs"/>
          <w:rtl/>
        </w:rPr>
      </w:pPr>
      <w:r>
        <w:rPr>
          <w:rFonts w:hint="cs"/>
          <w:rtl/>
        </w:rPr>
        <w:t>اتفاق بشأن تبرع اليابان بمنحة قدرها 47 مليون ين لترميم وصيانة كافة الأعمال الفنية وآثار التراث الثقافي الإكوادوري.</w:t>
      </w:r>
    </w:p>
    <w:p w:rsidR="00000000" w:rsidRDefault="00567B15">
      <w:pPr>
        <w:spacing w:before="180" w:after="180" w:line="380" w:lineRule="exact"/>
        <w:ind w:left="720"/>
        <w:jc w:val="both"/>
        <w:rPr>
          <w:rFonts w:hint="cs"/>
          <w:rtl/>
        </w:rPr>
      </w:pPr>
      <w:r>
        <w:rPr>
          <w:rFonts w:hint="cs"/>
          <w:rtl/>
        </w:rPr>
        <w:t>برنامج التعاون والتبادل الثقافي والعلمي بين إكوادور والاتحاد الروسي.</w:t>
      </w:r>
    </w:p>
    <w:p w:rsidR="00000000" w:rsidRDefault="00567B15">
      <w:pPr>
        <w:spacing w:before="180" w:after="180" w:line="380" w:lineRule="exact"/>
        <w:ind w:left="720"/>
        <w:jc w:val="both"/>
        <w:rPr>
          <w:rFonts w:hint="cs"/>
          <w:rtl/>
        </w:rPr>
      </w:pPr>
      <w:r>
        <w:rPr>
          <w:rFonts w:hint="cs"/>
          <w:rtl/>
        </w:rPr>
        <w:t>برنامج ال</w:t>
      </w:r>
      <w:r>
        <w:rPr>
          <w:rFonts w:hint="cs"/>
          <w:rtl/>
        </w:rPr>
        <w:t>تبادل الثقافي بين إكوادور وباراغواي.</w:t>
      </w:r>
    </w:p>
    <w:p w:rsidR="00000000" w:rsidRDefault="00567B15">
      <w:pPr>
        <w:spacing w:before="180" w:after="180" w:line="380" w:lineRule="exact"/>
        <w:ind w:left="720"/>
        <w:jc w:val="both"/>
        <w:rPr>
          <w:rFonts w:hint="cs"/>
          <w:rtl/>
        </w:rPr>
      </w:pPr>
      <w:r>
        <w:rPr>
          <w:rFonts w:hint="cs"/>
          <w:rtl/>
        </w:rPr>
        <w:t>اتفاق ثقافي بين حكومة إكوادور وحكومة مصر.</w:t>
      </w:r>
    </w:p>
    <w:p w:rsidR="00000000" w:rsidRDefault="00567B15">
      <w:pPr>
        <w:spacing w:before="180" w:after="180" w:line="380" w:lineRule="exact"/>
        <w:ind w:left="720"/>
        <w:jc w:val="both"/>
        <w:rPr>
          <w:rFonts w:hint="cs"/>
          <w:rtl/>
        </w:rPr>
      </w:pPr>
      <w:r>
        <w:rPr>
          <w:rFonts w:hint="cs"/>
          <w:rtl/>
        </w:rPr>
        <w:t>اتفاق بشأن الخدمات الإدارية بين برنامج الأمم المتحدة الإنمائي وحكومة إكوادور.</w:t>
      </w:r>
    </w:p>
    <w:p w:rsidR="00000000" w:rsidRDefault="00567B15">
      <w:pPr>
        <w:spacing w:before="180" w:after="180" w:line="380" w:lineRule="exact"/>
        <w:ind w:left="720"/>
        <w:jc w:val="both"/>
        <w:rPr>
          <w:rFonts w:hint="cs"/>
          <w:rtl/>
        </w:rPr>
      </w:pPr>
      <w:r>
        <w:rPr>
          <w:rFonts w:hint="cs"/>
          <w:rtl/>
        </w:rPr>
        <w:t>اتفاق بشأن التعاون الثقافي في مجال الفنون العسكرية بين الصين والجيش الإكوادوري.</w:t>
      </w:r>
    </w:p>
    <w:p w:rsidR="00000000" w:rsidRDefault="00567B15">
      <w:pPr>
        <w:spacing w:before="180" w:after="180" w:line="380" w:lineRule="exact"/>
        <w:ind w:left="720"/>
        <w:jc w:val="both"/>
        <w:rPr>
          <w:rFonts w:hint="cs"/>
          <w:rtl/>
        </w:rPr>
      </w:pPr>
      <w:r>
        <w:rPr>
          <w:rFonts w:hint="cs"/>
          <w:rtl/>
        </w:rPr>
        <w:t xml:space="preserve">مذكرة تفاهم إدارية </w:t>
      </w:r>
      <w:r>
        <w:rPr>
          <w:rFonts w:hint="cs"/>
          <w:rtl/>
        </w:rPr>
        <w:t>مبرمة بين وزارة التعليم والثقافة الإكوادورية ووزارة الخارجية الفرنسية بشأن مؤسسة ومدرسة "</w:t>
      </w:r>
      <w:r>
        <w:t>La Condamine</w:t>
      </w:r>
      <w:r>
        <w:rPr>
          <w:rFonts w:hint="cs"/>
          <w:rtl/>
        </w:rPr>
        <w:t>" الثقافية.</w:t>
      </w:r>
    </w:p>
    <w:p w:rsidR="00000000" w:rsidRDefault="00567B15">
      <w:pPr>
        <w:spacing w:before="180" w:after="180" w:line="380" w:lineRule="exact"/>
        <w:ind w:left="720"/>
        <w:jc w:val="both"/>
        <w:rPr>
          <w:rFonts w:hint="cs"/>
          <w:rtl/>
        </w:rPr>
      </w:pPr>
      <w:r>
        <w:rPr>
          <w:rFonts w:hint="cs"/>
          <w:rtl/>
        </w:rPr>
        <w:t>اتفاق تعاون مبرم مع حكومة اليابان بشأن توفير أجهزة المايكروفيلم لمكتبة أوخينيو إسبيخو الوطنية التابعة لدار الثقافة.</w:t>
      </w:r>
    </w:p>
    <w:p w:rsidR="00000000" w:rsidRDefault="00567B15">
      <w:pPr>
        <w:spacing w:before="180" w:after="180" w:line="380" w:lineRule="exact"/>
        <w:ind w:left="720"/>
        <w:jc w:val="both"/>
        <w:rPr>
          <w:rFonts w:hint="cs"/>
          <w:rtl/>
        </w:rPr>
      </w:pPr>
      <w:r>
        <w:rPr>
          <w:rFonts w:hint="cs"/>
          <w:rtl/>
        </w:rPr>
        <w:t>اتفاق التعاون الثقافي الأسا</w:t>
      </w:r>
      <w:r>
        <w:rPr>
          <w:rFonts w:hint="cs"/>
          <w:rtl/>
        </w:rPr>
        <w:t>سي المبرم بين إكوادور والسلفادور.</w:t>
      </w:r>
    </w:p>
    <w:p w:rsidR="00000000" w:rsidRDefault="00567B15">
      <w:pPr>
        <w:spacing w:before="180" w:after="180" w:line="380" w:lineRule="exact"/>
        <w:ind w:left="720"/>
        <w:jc w:val="both"/>
        <w:rPr>
          <w:rFonts w:hint="cs"/>
          <w:rtl/>
        </w:rPr>
      </w:pPr>
      <w:r>
        <w:rPr>
          <w:rFonts w:hint="cs"/>
          <w:rtl/>
        </w:rPr>
        <w:t>اتفاق تعاون مبرم في مجال السياحة بين وزارة التجارة والسياحة الإسبانية ووزارة السياحة الإكوادورية.</w:t>
      </w:r>
    </w:p>
    <w:p w:rsidR="00000000" w:rsidRDefault="00567B15">
      <w:pPr>
        <w:spacing w:before="180" w:after="180" w:line="380" w:lineRule="exact"/>
        <w:ind w:left="720"/>
        <w:jc w:val="both"/>
        <w:rPr>
          <w:rFonts w:hint="cs"/>
          <w:rtl/>
        </w:rPr>
      </w:pPr>
      <w:r>
        <w:rPr>
          <w:rFonts w:hint="cs"/>
          <w:rtl/>
        </w:rPr>
        <w:t>اتفاق بشأن تبادل المعلومات العلمية والثقافية والتكنولوجية مبرم بين وزارة التعليم العالي في كوبا والمجلس الوطني للمدارس المتع</w:t>
      </w:r>
      <w:r>
        <w:rPr>
          <w:rFonts w:hint="cs"/>
          <w:rtl/>
        </w:rPr>
        <w:t>ددة الفنون في إكوادور.</w:t>
      </w:r>
    </w:p>
    <w:p w:rsidR="00000000" w:rsidRDefault="00567B15">
      <w:pPr>
        <w:spacing w:before="180" w:after="180" w:line="380" w:lineRule="exact"/>
        <w:ind w:left="720"/>
        <w:jc w:val="both"/>
        <w:rPr>
          <w:rFonts w:hint="cs"/>
          <w:rtl/>
        </w:rPr>
      </w:pPr>
      <w:r>
        <w:rPr>
          <w:rFonts w:hint="cs"/>
          <w:rtl/>
        </w:rPr>
        <w:t>تبادل مذكرات بين حكومتي إكوادور واليابان بشأن منحة ثقافية لتجهيز أوركسترا إكوادور السمفونية.</w:t>
      </w:r>
    </w:p>
    <w:p w:rsidR="00000000" w:rsidRDefault="00567B15">
      <w:pPr>
        <w:spacing w:before="180" w:after="180" w:line="380" w:lineRule="exact"/>
        <w:ind w:left="720"/>
        <w:jc w:val="both"/>
        <w:rPr>
          <w:rFonts w:hint="cs"/>
          <w:rtl/>
        </w:rPr>
      </w:pPr>
      <w:r>
        <w:rPr>
          <w:rFonts w:hint="cs"/>
          <w:rtl/>
        </w:rPr>
        <w:t>تبادل مذكرات بين إكوادور وبلجيكا بشأن التبرع بمعدات للمعهد الوطني للتراث الثقافي.</w:t>
      </w:r>
    </w:p>
    <w:p w:rsidR="00000000" w:rsidRDefault="00567B15">
      <w:pPr>
        <w:spacing w:before="180" w:after="180" w:line="380" w:lineRule="exact"/>
        <w:ind w:left="720"/>
        <w:jc w:val="both"/>
        <w:rPr>
          <w:rFonts w:hint="cs"/>
          <w:rtl/>
        </w:rPr>
      </w:pPr>
      <w:r>
        <w:rPr>
          <w:rFonts w:hint="cs"/>
          <w:rtl/>
        </w:rPr>
        <w:t xml:space="preserve">اتفاق تعاون ثقافي وعلمي وتكنولوجي مبرم بين حكومتي إكوادور </w:t>
      </w:r>
      <w:r>
        <w:rPr>
          <w:rFonts w:hint="cs"/>
          <w:rtl/>
        </w:rPr>
        <w:t>وإيطاليا.</w:t>
      </w:r>
    </w:p>
    <w:p w:rsidR="00000000" w:rsidRDefault="00567B15">
      <w:pPr>
        <w:spacing w:before="180" w:after="180" w:line="380" w:lineRule="exact"/>
        <w:ind w:left="720"/>
        <w:jc w:val="both"/>
        <w:rPr>
          <w:rFonts w:hint="cs"/>
          <w:rtl/>
        </w:rPr>
      </w:pPr>
      <w:r>
        <w:rPr>
          <w:rFonts w:hint="cs"/>
          <w:rtl/>
        </w:rPr>
        <w:t>اتفاق تعاون مبرم بين وزارة الخارجية ومكتب منظمة الأمم المتحدة للتربية والعلم والثقافة (اليونيسكو) في إكوادور.</w:t>
      </w:r>
    </w:p>
    <w:p w:rsidR="00000000" w:rsidRDefault="00567B15">
      <w:pPr>
        <w:spacing w:before="180" w:after="180" w:line="380" w:lineRule="exact"/>
        <w:ind w:left="720"/>
        <w:jc w:val="both"/>
        <w:rPr>
          <w:rFonts w:hint="cs"/>
          <w:rtl/>
        </w:rPr>
      </w:pPr>
      <w:r>
        <w:rPr>
          <w:rFonts w:hint="cs"/>
          <w:rtl/>
        </w:rPr>
        <w:t>اتفاق مبرم بين وزارة الشؤون الخارجية ومركز مؤسسة الدراسات المشتركة بين البلدان الأمريكية.</w:t>
      </w:r>
    </w:p>
    <w:p w:rsidR="00000000" w:rsidRDefault="00567B15">
      <w:pPr>
        <w:spacing w:line="380" w:lineRule="exact"/>
        <w:jc w:val="both"/>
        <w:rPr>
          <w:rFonts w:hint="cs"/>
          <w:i/>
          <w:iCs/>
          <w:rtl/>
        </w:rPr>
      </w:pPr>
      <w:r>
        <w:rPr>
          <w:rFonts w:hint="cs"/>
          <w:i/>
          <w:iCs/>
          <w:rtl/>
        </w:rPr>
        <w:t>المساعدة الدولية</w:t>
      </w:r>
    </w:p>
    <w:p w:rsidR="00000000" w:rsidRDefault="00567B15">
      <w:pPr>
        <w:spacing w:line="380" w:lineRule="exact"/>
        <w:jc w:val="both"/>
        <w:rPr>
          <w:rFonts w:hint="cs"/>
          <w:rtl/>
        </w:rPr>
      </w:pPr>
      <w:r>
        <w:rPr>
          <w:rFonts w:hint="cs"/>
          <w:rtl/>
        </w:rPr>
        <w:t>615-</w:t>
      </w:r>
      <w:r>
        <w:rPr>
          <w:rFonts w:hint="cs"/>
          <w:rtl/>
        </w:rPr>
        <w:tab/>
        <w:t>لم تكن سيرة السياسات الح</w:t>
      </w:r>
      <w:r>
        <w:rPr>
          <w:rFonts w:hint="cs"/>
          <w:rtl/>
        </w:rPr>
        <w:t>كومية الموضوعة لدعم الابتكارات التكنولوجية على صعيد المجتمع الوطني متكافئةً. لذا تهدف المساعدة الدولية إلى تعزيز قدرات إكوادور في مجال الابتكارات التكنولوجية بغية استغلال إمكاناتها لتحقيق التنمية الاقتصادية والاجتماعية وتدعيم القطاعات الإنتاجية في مجالات ا</w:t>
      </w:r>
      <w:r>
        <w:rPr>
          <w:rFonts w:hint="cs"/>
          <w:rtl/>
        </w:rPr>
        <w:t xml:space="preserve">لموارد البشرية وإدارة التكنولوجيا والابتكارات المشاريعية والمالية والعلمية في ميادين الزراعة والصناعة والخدمات تلبيةً لاحتياجات البلد الاجتماعية الرئيسية وللتشجيع على نقل المعارف والنتائج التي تسفر عنها البحوث. ولقد وضعت هذه السياسة لتوسيع القاعدة العلمية </w:t>
      </w:r>
      <w:r>
        <w:rPr>
          <w:rFonts w:hint="cs"/>
          <w:rtl/>
        </w:rPr>
        <w:t>والتكنولوجية والاستفادة إلى أقصى حد ممكن من قدرة المجتمع الدولي على إنشاء وتعزيز أفرقة البحوث والتنمية في المجالات ذات الأولوية في إكوادور وذلك بالتنسيق الوثيق فيما بين البلدان، وبوضع المخططات لتوفير هيكل للنظم الوطنية للعلم والتكنولوجيا والابتكار وتحسين ت</w:t>
      </w:r>
      <w:r>
        <w:rPr>
          <w:rFonts w:hint="cs"/>
          <w:rtl/>
        </w:rPr>
        <w:t xml:space="preserve">لك النُظم وفي نفس الوقت ترويج الثقافة وتعزيز حقوق الشعوب والجمع بين تلك الشعوب للاستفادة من منافع السلم. </w:t>
      </w:r>
    </w:p>
    <w:p w:rsidR="00000000" w:rsidRDefault="00567B15">
      <w:pPr>
        <w:jc w:val="center"/>
        <w:rPr>
          <w:rFonts w:hint="cs"/>
          <w:rtl/>
        </w:rPr>
      </w:pPr>
      <w:r>
        <w:rPr>
          <w:rFonts w:hint="cs"/>
          <w:rtl/>
        </w:rPr>
        <w:t>الحواشي</w:t>
      </w:r>
    </w:p>
    <w:p w:rsidR="00000000" w:rsidRDefault="00567B15">
      <w:pPr>
        <w:spacing w:before="180" w:after="180" w:line="380" w:lineRule="exact"/>
        <w:jc w:val="both"/>
        <w:rPr>
          <w:rFonts w:hint="cs"/>
          <w:rtl/>
        </w:rPr>
      </w:pPr>
      <w:r>
        <w:rPr>
          <w:rFonts w:hint="cs"/>
          <w:rtl/>
        </w:rPr>
        <w:tab/>
        <w:t>(1)</w:t>
      </w:r>
      <w:r>
        <w:rPr>
          <w:rFonts w:hint="cs"/>
          <w:rtl/>
        </w:rPr>
        <w:tab/>
        <w:t xml:space="preserve">قُدمت التقارير الثانية وفقاً لقرار المجلس الاقتصادي والاجتماعي 1988(د-60) بشأن الحقوق المشمولة بالمواد 6 إلى 9. </w:t>
      </w:r>
      <w:r>
        <w:t>E/1984/WG.1/SR.22-</w:t>
      </w:r>
      <w:r>
        <w:rPr>
          <w:rFonts w:hint="cs"/>
          <w:rtl/>
        </w:rPr>
        <w:t xml:space="preserve"> تقارير</w:t>
      </w:r>
      <w:r>
        <w:rPr>
          <w:rFonts w:hint="cs"/>
          <w:rtl/>
        </w:rPr>
        <w:t xml:space="preserve"> الدول الأطراف المقدمة وفقاً للمادتين 16 و17 من </w:t>
      </w:r>
      <w:r>
        <w:rPr>
          <w:rFonts w:hint="cs"/>
          <w:spacing w:val="0"/>
          <w:rtl/>
        </w:rPr>
        <w:t>العهد، و</w:t>
      </w:r>
      <w:r>
        <w:rPr>
          <w:spacing w:val="0"/>
        </w:rPr>
        <w:t>E/C.12/1990/SR.37</w:t>
      </w:r>
      <w:r>
        <w:rPr>
          <w:rFonts w:hint="cs"/>
          <w:spacing w:val="0"/>
          <w:rtl/>
        </w:rPr>
        <w:t xml:space="preserve"> (المواد 10-12)، و</w:t>
      </w:r>
      <w:r>
        <w:rPr>
          <w:spacing w:val="0"/>
        </w:rPr>
        <w:t>E/C.12/1990/SR.38</w:t>
      </w:r>
      <w:r>
        <w:rPr>
          <w:rFonts w:hint="cs"/>
          <w:spacing w:val="0"/>
          <w:rtl/>
        </w:rPr>
        <w:t xml:space="preserve"> (المواد 13-15)، و</w:t>
      </w:r>
      <w:r>
        <w:rPr>
          <w:spacing w:val="0"/>
        </w:rPr>
        <w:t>E/C.12/1990/SR.39</w:t>
      </w:r>
      <w:r>
        <w:rPr>
          <w:rFonts w:hint="cs"/>
          <w:spacing w:val="0"/>
          <w:rtl/>
        </w:rPr>
        <w:t>،</w:t>
      </w:r>
      <w:r>
        <w:rPr>
          <w:rFonts w:hint="cs"/>
          <w:rtl/>
        </w:rPr>
        <w:t xml:space="preserve"> و</w:t>
      </w:r>
      <w:r>
        <w:t>E/C.12/1990/SR.42</w:t>
      </w:r>
      <w:r>
        <w:rPr>
          <w:rFonts w:hint="cs"/>
          <w:rtl/>
        </w:rPr>
        <w:t xml:space="preserve"> (نيسان/أبريل 1991).</w:t>
      </w:r>
    </w:p>
    <w:p w:rsidR="00000000" w:rsidRDefault="00567B15">
      <w:pPr>
        <w:spacing w:before="180" w:after="180" w:line="380" w:lineRule="exact"/>
        <w:jc w:val="both"/>
        <w:rPr>
          <w:rFonts w:hint="cs"/>
          <w:rtl/>
        </w:rPr>
      </w:pPr>
      <w:r>
        <w:rPr>
          <w:rFonts w:hint="cs"/>
          <w:rtl/>
        </w:rPr>
        <w:tab/>
        <w:t>(2)</w:t>
      </w:r>
      <w:r>
        <w:rPr>
          <w:rFonts w:hint="cs"/>
          <w:rtl/>
        </w:rPr>
        <w:tab/>
        <w:t>تستند المعلومات الواردة في هذا التقرير أساساً إلى إحصاءات قام بها ا</w:t>
      </w:r>
      <w:r>
        <w:rPr>
          <w:rFonts w:hint="cs"/>
          <w:rtl/>
        </w:rPr>
        <w:t>لمعهد الوطني للإحصاء وتعداد السكان في إكوادور، الذي يمثل المصدر الرسمي للمعلومات الإحصائية في إكوادور. واتُخذ كأساس لهذا التقرير التعداد الوطني للسكان لعام 1990، والدراسة الاستقصائية الوطنية للمناطق الحضرية: العمالة والبطالة والعمالة الناقصة، الجولة الثاني</w:t>
      </w:r>
      <w:r>
        <w:rPr>
          <w:rFonts w:hint="cs"/>
          <w:rtl/>
        </w:rPr>
        <w:t>ة، التي أجريت في تشرين الثاني/نوفمبر 1990 و1995 و1998. ولمّا كانت المعلومات الوحيدة المتاحة عن القطاع الريفي في إكوادور ترجع إلى عام 1990، أجرى المعهد الوطني للإحصاء وتعداد السكان الإحصاء الوطني للقطاع الزراعي في عام 2001.</w:t>
      </w:r>
    </w:p>
    <w:p w:rsidR="00000000" w:rsidRDefault="00567B15">
      <w:pPr>
        <w:spacing w:before="180" w:after="180" w:line="380" w:lineRule="exact"/>
        <w:jc w:val="both"/>
        <w:rPr>
          <w:rFonts w:hint="cs"/>
          <w:rtl/>
          <w:lang w:val="fr-CH"/>
        </w:rPr>
      </w:pPr>
      <w:r>
        <w:rPr>
          <w:rFonts w:hint="cs"/>
          <w:rtl/>
        </w:rPr>
        <w:tab/>
      </w:r>
      <w:r>
        <w:rPr>
          <w:rFonts w:hint="cs"/>
          <w:rtl/>
          <w:lang w:val="fr-CH"/>
        </w:rPr>
        <w:t>(3)</w:t>
      </w:r>
      <w:r>
        <w:rPr>
          <w:rFonts w:hint="cs"/>
          <w:rtl/>
          <w:lang w:val="fr-CH"/>
        </w:rPr>
        <w:tab/>
      </w:r>
      <w:r>
        <w:rPr>
          <w:i/>
          <w:iCs/>
          <w:lang w:val="fr-CH"/>
        </w:rPr>
        <w:t>Retrato de mujeres. Indicado</w:t>
      </w:r>
      <w:r>
        <w:rPr>
          <w:i/>
          <w:iCs/>
          <w:lang w:val="fr-CH"/>
        </w:rPr>
        <w:t>res sociales sobre la situaci</w:t>
      </w:r>
      <w:r>
        <w:rPr>
          <w:rFonts w:cs="Times New Roman"/>
          <w:i/>
          <w:iCs/>
        </w:rPr>
        <w:t>ó</w:t>
      </w:r>
      <w:r>
        <w:rPr>
          <w:i/>
          <w:iCs/>
          <w:lang w:val="fr-CH"/>
        </w:rPr>
        <w:t>n de las campesinas e indigenas del Ecuador rural</w:t>
      </w:r>
      <w:r>
        <w:rPr>
          <w:rFonts w:hint="cs"/>
          <w:rtl/>
          <w:lang w:val="fr-CH"/>
        </w:rPr>
        <w:t xml:space="preserve">، [صورة للمرأة. مؤشرات اجتماعية عن حالة المرأة القروية والأصلية في ريف إكوادور]، </w:t>
      </w:r>
      <w:r>
        <w:rPr>
          <w:rFonts w:hint="cs"/>
          <w:u w:val="single"/>
          <w:rtl/>
          <w:lang w:val="fr-CH"/>
        </w:rPr>
        <w:t>التنمية الاجتماعية في إكوادور 2</w:t>
      </w:r>
      <w:r>
        <w:rPr>
          <w:rFonts w:hint="cs"/>
          <w:rtl/>
          <w:lang w:val="fr-CH"/>
        </w:rPr>
        <w:t>، كيتو، الأمانة الفنية للجبهة الاجتماعية، صندوق الأمم المتحدة الإ</w:t>
      </w:r>
      <w:r>
        <w:rPr>
          <w:rFonts w:hint="cs"/>
          <w:rtl/>
          <w:lang w:val="fr-CH"/>
        </w:rPr>
        <w:t>نمائي للمرأة والبرنامج العالمي بشأن الإيدز، 1998.</w:t>
      </w:r>
    </w:p>
    <w:p w:rsidR="00000000" w:rsidRDefault="00567B15">
      <w:pPr>
        <w:spacing w:before="180" w:after="180" w:line="380" w:lineRule="exact"/>
        <w:jc w:val="both"/>
        <w:rPr>
          <w:rFonts w:hint="cs"/>
          <w:rtl/>
          <w:lang w:val="fr-CH"/>
        </w:rPr>
      </w:pPr>
      <w:r>
        <w:rPr>
          <w:rFonts w:hint="cs"/>
          <w:rtl/>
          <w:lang w:val="fr-CH"/>
        </w:rPr>
        <w:tab/>
        <w:t>(4)</w:t>
      </w:r>
      <w:r>
        <w:rPr>
          <w:rFonts w:hint="cs"/>
          <w:rtl/>
          <w:lang w:val="fr-CH"/>
        </w:rPr>
        <w:tab/>
        <w:t xml:space="preserve">مركز الدراسات السكانية والتنمية الاجتماعية، </w:t>
      </w:r>
      <w:r>
        <w:rPr>
          <w:rFonts w:hint="cs"/>
          <w:u w:val="single"/>
          <w:rtl/>
          <w:lang w:val="fr-CH"/>
        </w:rPr>
        <w:t>التقرير الأولي</w:t>
      </w:r>
      <w:r>
        <w:rPr>
          <w:rFonts w:hint="cs"/>
          <w:rtl/>
          <w:lang w:val="fr-CH"/>
        </w:rPr>
        <w:t>، دراسة بشأن السكان وصحة الأم والطفل، 1999.</w:t>
      </w:r>
    </w:p>
    <w:p w:rsidR="00000000" w:rsidRDefault="00567B15">
      <w:pPr>
        <w:spacing w:before="180" w:after="180" w:line="380" w:lineRule="exact"/>
        <w:jc w:val="both"/>
        <w:rPr>
          <w:rFonts w:hint="cs"/>
          <w:rtl/>
          <w:lang w:val="fr-CH"/>
        </w:rPr>
      </w:pPr>
    </w:p>
    <w:p w:rsidR="00000000" w:rsidRDefault="00567B15">
      <w:pPr>
        <w:spacing w:before="180" w:after="180" w:line="380" w:lineRule="exact"/>
        <w:jc w:val="both"/>
        <w:rPr>
          <w:rFonts w:hint="cs"/>
          <w:rtl/>
          <w:lang w:val="fr-CH"/>
        </w:rPr>
      </w:pPr>
    </w:p>
    <w:p w:rsidR="00000000" w:rsidRDefault="00567B15">
      <w:pPr>
        <w:spacing w:before="180" w:after="180" w:line="380" w:lineRule="exact"/>
        <w:jc w:val="center"/>
        <w:rPr>
          <w:rtl/>
          <w:lang w:val="fr-CH"/>
        </w:rPr>
      </w:pPr>
      <w:r>
        <w:rPr>
          <w:rFonts w:hint="cs"/>
          <w:rtl/>
          <w:lang w:val="fr-CH"/>
        </w:rPr>
        <w:t>الحواشي (</w:t>
      </w:r>
      <w:r>
        <w:rPr>
          <w:rFonts w:hint="cs"/>
          <w:u w:val="single"/>
          <w:rtl/>
          <w:lang w:val="fr-CH"/>
        </w:rPr>
        <w:t>تابع</w:t>
      </w:r>
      <w:r>
        <w:rPr>
          <w:rFonts w:hint="cs"/>
          <w:rtl/>
          <w:lang w:val="fr-CH"/>
        </w:rPr>
        <w:t>)</w:t>
      </w:r>
    </w:p>
    <w:p w:rsidR="00000000" w:rsidRDefault="00567B15">
      <w:pPr>
        <w:spacing w:before="180" w:after="180" w:line="380" w:lineRule="exact"/>
        <w:jc w:val="both"/>
        <w:rPr>
          <w:rFonts w:hint="cs"/>
          <w:rtl/>
          <w:lang w:val="fr-CH"/>
        </w:rPr>
      </w:pPr>
      <w:r>
        <w:rPr>
          <w:rFonts w:hint="cs"/>
          <w:rtl/>
          <w:lang w:val="fr-CH"/>
        </w:rPr>
        <w:tab/>
        <w:t>(5)</w:t>
      </w:r>
      <w:r>
        <w:rPr>
          <w:rFonts w:hint="cs"/>
          <w:rtl/>
          <w:lang w:val="fr-CH"/>
        </w:rPr>
        <w:tab/>
      </w:r>
      <w:r>
        <w:rPr>
          <w:i/>
          <w:iCs/>
          <w:lang w:val="fr-CH"/>
        </w:rPr>
        <w:t>Retrato de mujeres. Indicadores sociales sobre la situaci</w:t>
      </w:r>
      <w:r>
        <w:rPr>
          <w:rFonts w:cs="Times New Roman"/>
          <w:i/>
          <w:iCs/>
        </w:rPr>
        <w:t>ó</w:t>
      </w:r>
      <w:r>
        <w:rPr>
          <w:i/>
          <w:iCs/>
          <w:lang w:val="fr-CH"/>
        </w:rPr>
        <w:t>n de las campesinas</w:t>
      </w:r>
      <w:r>
        <w:rPr>
          <w:i/>
          <w:iCs/>
          <w:lang w:val="fr-CH"/>
        </w:rPr>
        <w:t xml:space="preserve"> e indigenas del Ecuador rural</w:t>
      </w:r>
      <w:r>
        <w:rPr>
          <w:rFonts w:hint="cs"/>
          <w:rtl/>
          <w:lang w:val="fr-CH"/>
        </w:rPr>
        <w:t xml:space="preserve">، [صورة للمرأة. مؤشرات اجتماعية عن حالة المرأة القروية والأصلية في ريف إكوادور]، </w:t>
      </w:r>
      <w:r>
        <w:rPr>
          <w:rFonts w:hint="cs"/>
          <w:u w:val="single"/>
          <w:rtl/>
          <w:lang w:val="fr-CH"/>
        </w:rPr>
        <w:t>التنمية الاجتماعية في إكوادور 2</w:t>
      </w:r>
      <w:r>
        <w:rPr>
          <w:rFonts w:hint="cs"/>
          <w:rtl/>
          <w:lang w:val="fr-CH"/>
        </w:rPr>
        <w:t>، كيتو، الأمانة الفنية للجبهة الاجتماعية، صندوق الأمم المتحدة الإنمائي للمرأة والبرنامج العالمي بشأن الإيدز، 1998،</w:t>
      </w:r>
      <w:r>
        <w:rPr>
          <w:rFonts w:hint="cs"/>
          <w:rtl/>
          <w:lang w:val="fr-CH"/>
        </w:rPr>
        <w:t xml:space="preserve"> الصفحة 118.</w:t>
      </w:r>
    </w:p>
    <w:p w:rsidR="00000000" w:rsidRDefault="00567B15">
      <w:pPr>
        <w:spacing w:before="180" w:after="180" w:line="380" w:lineRule="exact"/>
        <w:jc w:val="both"/>
        <w:rPr>
          <w:rFonts w:hint="cs"/>
          <w:rtl/>
          <w:lang w:val="fr-CH"/>
        </w:rPr>
      </w:pPr>
      <w:r>
        <w:rPr>
          <w:rFonts w:hint="cs"/>
          <w:rtl/>
          <w:lang w:val="fr-CH"/>
        </w:rPr>
        <w:tab/>
        <w:t>(6)</w:t>
      </w:r>
      <w:r>
        <w:rPr>
          <w:rFonts w:hint="cs"/>
          <w:rtl/>
          <w:lang w:val="fr-CH"/>
        </w:rPr>
        <w:tab/>
        <w:t>المجلس الوطني للمرأة، مؤشرات جنسانية.</w:t>
      </w:r>
    </w:p>
    <w:p w:rsidR="00000000" w:rsidRDefault="00567B15">
      <w:pPr>
        <w:spacing w:before="180" w:after="180" w:line="380" w:lineRule="exact"/>
        <w:jc w:val="both"/>
        <w:rPr>
          <w:rFonts w:hint="cs"/>
          <w:rtl/>
          <w:lang w:val="fr-CH"/>
        </w:rPr>
      </w:pPr>
      <w:r>
        <w:rPr>
          <w:rFonts w:hint="cs"/>
          <w:rtl/>
          <w:lang w:val="fr-CH"/>
        </w:rPr>
        <w:tab/>
        <w:t>(7)</w:t>
      </w:r>
      <w:r>
        <w:rPr>
          <w:rFonts w:hint="cs"/>
          <w:rtl/>
          <w:lang w:val="fr-CH"/>
        </w:rPr>
        <w:tab/>
        <w:t>المرجع نفسه.</w:t>
      </w:r>
    </w:p>
    <w:p w:rsidR="00000000" w:rsidRDefault="00567B15">
      <w:pPr>
        <w:spacing w:before="180" w:after="180" w:line="380" w:lineRule="exact"/>
        <w:jc w:val="both"/>
        <w:rPr>
          <w:rFonts w:hint="cs"/>
          <w:rtl/>
          <w:lang w:val="fr-CH"/>
        </w:rPr>
      </w:pPr>
      <w:r>
        <w:rPr>
          <w:rFonts w:hint="cs"/>
          <w:rtl/>
          <w:lang w:val="fr-CH"/>
        </w:rPr>
        <w:tab/>
        <w:t>(8)</w:t>
      </w:r>
      <w:r>
        <w:rPr>
          <w:rFonts w:hint="cs"/>
          <w:rtl/>
          <w:lang w:val="fr-CH"/>
        </w:rPr>
        <w:tab/>
        <w:t>الدستور (المادة 93).</w:t>
      </w:r>
    </w:p>
    <w:p w:rsidR="00000000" w:rsidRDefault="00567B15">
      <w:pPr>
        <w:spacing w:before="180" w:after="180" w:line="380" w:lineRule="exact"/>
        <w:jc w:val="both"/>
        <w:rPr>
          <w:rFonts w:hint="cs"/>
          <w:rtl/>
          <w:lang w:val="fr-CH"/>
        </w:rPr>
      </w:pPr>
      <w:r>
        <w:rPr>
          <w:rFonts w:hint="cs"/>
          <w:rtl/>
          <w:lang w:val="fr-CH"/>
        </w:rPr>
        <w:tab/>
        <w:t>(9)</w:t>
      </w:r>
      <w:r>
        <w:rPr>
          <w:rFonts w:hint="cs"/>
          <w:rtl/>
          <w:lang w:val="fr-CH"/>
        </w:rPr>
        <w:tab/>
        <w:t>المرجع نفسه (المادة 94).</w:t>
      </w:r>
    </w:p>
    <w:p w:rsidR="00000000" w:rsidRDefault="00567B15">
      <w:pPr>
        <w:spacing w:before="180" w:after="180" w:line="380" w:lineRule="exact"/>
        <w:jc w:val="both"/>
        <w:rPr>
          <w:rFonts w:hint="cs"/>
          <w:rtl/>
          <w:lang w:val="fr-CH"/>
        </w:rPr>
      </w:pPr>
      <w:r>
        <w:rPr>
          <w:rFonts w:hint="cs"/>
          <w:rtl/>
          <w:lang w:val="fr-CH"/>
        </w:rPr>
        <w:tab/>
        <w:t>(10)</w:t>
      </w:r>
      <w:r>
        <w:rPr>
          <w:rFonts w:hint="cs"/>
          <w:rtl/>
          <w:lang w:val="fr-CH"/>
        </w:rPr>
        <w:tab/>
        <w:t>المرجع نفسه (المادة 95)</w:t>
      </w:r>
    </w:p>
    <w:p w:rsidR="00000000" w:rsidRDefault="00567B15">
      <w:pPr>
        <w:spacing w:before="180" w:after="180" w:line="380" w:lineRule="exact"/>
        <w:jc w:val="both"/>
        <w:rPr>
          <w:rFonts w:hint="cs"/>
          <w:rtl/>
          <w:lang w:val="fr-CH"/>
        </w:rPr>
      </w:pPr>
      <w:r>
        <w:rPr>
          <w:rFonts w:hint="cs"/>
          <w:rtl/>
          <w:lang w:val="fr-CH"/>
        </w:rPr>
        <w:tab/>
        <w:t>(11)</w:t>
      </w:r>
      <w:r>
        <w:rPr>
          <w:rFonts w:hint="cs"/>
          <w:rtl/>
          <w:lang w:val="fr-CH"/>
        </w:rPr>
        <w:tab/>
        <w:t>المرجع نفسه (المادة 96).</w:t>
      </w:r>
    </w:p>
    <w:p w:rsidR="00000000" w:rsidRDefault="00567B15">
      <w:pPr>
        <w:spacing w:before="180" w:after="180" w:line="380" w:lineRule="exact"/>
        <w:jc w:val="both"/>
        <w:rPr>
          <w:rFonts w:hint="cs"/>
          <w:rtl/>
          <w:lang w:val="fr-CH"/>
        </w:rPr>
      </w:pPr>
      <w:r>
        <w:rPr>
          <w:rFonts w:hint="cs"/>
          <w:rtl/>
          <w:lang w:val="fr-CH"/>
        </w:rPr>
        <w:tab/>
        <w:t>(12)</w:t>
      </w:r>
      <w:r>
        <w:rPr>
          <w:rFonts w:hint="cs"/>
          <w:rtl/>
          <w:lang w:val="fr-CH"/>
        </w:rPr>
        <w:tab/>
        <w:t>مكتب أمين المظالم (تشرين الأول/أكتوبر 1999).</w:t>
      </w:r>
    </w:p>
    <w:p w:rsidR="00000000" w:rsidRDefault="00567B15">
      <w:pPr>
        <w:spacing w:before="180" w:after="180" w:line="380" w:lineRule="exact"/>
        <w:jc w:val="both"/>
        <w:rPr>
          <w:rFonts w:hint="cs"/>
          <w:rtl/>
          <w:lang w:val="fr-CH"/>
        </w:rPr>
      </w:pPr>
      <w:r>
        <w:rPr>
          <w:rFonts w:hint="cs"/>
          <w:rtl/>
          <w:lang w:val="fr-CH"/>
        </w:rPr>
        <w:tab/>
        <w:t>(13)</w:t>
      </w:r>
      <w:r>
        <w:rPr>
          <w:rFonts w:hint="cs"/>
          <w:rtl/>
          <w:lang w:val="fr-CH"/>
        </w:rPr>
        <w:tab/>
        <w:t xml:space="preserve">جغرافيا </w:t>
      </w:r>
      <w:r>
        <w:rPr>
          <w:rFonts w:hint="cs"/>
          <w:rtl/>
          <w:lang w:val="fr-CH"/>
        </w:rPr>
        <w:t>الفقر في إكوادور، كيتو، الأمانة الفنية للجبهة الاجتماعية وبرنامج الأمم المتحدة الإنمائي، 1996.</w:t>
      </w:r>
    </w:p>
    <w:p w:rsidR="00000000" w:rsidRDefault="00567B15">
      <w:pPr>
        <w:spacing w:before="180" w:after="180" w:line="380" w:lineRule="exact"/>
        <w:jc w:val="both"/>
        <w:rPr>
          <w:rFonts w:hint="cs"/>
          <w:rtl/>
          <w:lang w:val="fr-CH"/>
        </w:rPr>
      </w:pPr>
      <w:r>
        <w:rPr>
          <w:rFonts w:hint="cs"/>
          <w:rtl/>
          <w:lang w:val="fr-CH"/>
        </w:rPr>
        <w:tab/>
        <w:t>(14)</w:t>
      </w:r>
      <w:r>
        <w:rPr>
          <w:rFonts w:hint="cs"/>
          <w:rtl/>
          <w:lang w:val="fr-CH"/>
        </w:rPr>
        <w:tab/>
        <w:t>انظر الحاشية 3 أعلاه.</w:t>
      </w:r>
    </w:p>
    <w:p w:rsidR="00000000" w:rsidRDefault="00567B15">
      <w:pPr>
        <w:spacing w:before="180" w:after="180" w:line="380" w:lineRule="exact"/>
        <w:jc w:val="both"/>
        <w:rPr>
          <w:rFonts w:hint="cs"/>
          <w:rtl/>
          <w:lang w:val="fr-CH"/>
        </w:rPr>
      </w:pPr>
      <w:r>
        <w:rPr>
          <w:rFonts w:hint="cs"/>
          <w:rtl/>
          <w:lang w:val="fr-CH"/>
        </w:rPr>
        <w:tab/>
        <w:t>(15)</w:t>
      </w:r>
      <w:r>
        <w:rPr>
          <w:rFonts w:hint="cs"/>
          <w:rtl/>
          <w:lang w:val="fr-CH"/>
        </w:rPr>
        <w:tab/>
        <w:t>"حالة المعوقين في إكوادور"، المجلس الوطني المعني بالعجز.</w:t>
      </w:r>
    </w:p>
    <w:p w:rsidR="00000000" w:rsidRDefault="00567B15">
      <w:pPr>
        <w:spacing w:before="180" w:after="180" w:line="380" w:lineRule="exact"/>
        <w:jc w:val="both"/>
        <w:rPr>
          <w:rFonts w:hint="cs"/>
          <w:rtl/>
          <w:lang w:val="fr-CH"/>
        </w:rPr>
      </w:pPr>
      <w:r>
        <w:rPr>
          <w:rFonts w:hint="cs"/>
          <w:rtl/>
          <w:lang w:val="fr-CH"/>
        </w:rPr>
        <w:tab/>
        <w:t>(16)</w:t>
      </w:r>
      <w:r>
        <w:rPr>
          <w:rFonts w:hint="cs"/>
          <w:rtl/>
          <w:lang w:val="fr-CH"/>
        </w:rPr>
        <w:tab/>
        <w:t>الدستور، المادة 3.</w:t>
      </w:r>
    </w:p>
    <w:p w:rsidR="00000000" w:rsidRDefault="00567B15">
      <w:pPr>
        <w:spacing w:before="180" w:after="180" w:line="380" w:lineRule="exact"/>
        <w:jc w:val="both"/>
        <w:rPr>
          <w:rFonts w:hint="cs"/>
          <w:rtl/>
          <w:lang w:val="fr-CH"/>
        </w:rPr>
      </w:pPr>
      <w:r>
        <w:rPr>
          <w:rFonts w:hint="cs"/>
          <w:rtl/>
          <w:lang w:val="fr-CH"/>
        </w:rPr>
        <w:tab/>
        <w:t>(17)</w:t>
      </w:r>
      <w:r>
        <w:rPr>
          <w:rFonts w:hint="cs"/>
          <w:rtl/>
          <w:lang w:val="fr-CH"/>
        </w:rPr>
        <w:tab/>
        <w:t>المرجع نفسه، المادة 23</w:t>
      </w:r>
    </w:p>
    <w:p w:rsidR="00000000" w:rsidRDefault="00567B15">
      <w:pPr>
        <w:spacing w:before="180" w:after="180" w:line="380" w:lineRule="exact"/>
        <w:jc w:val="both"/>
        <w:rPr>
          <w:rFonts w:hint="cs"/>
          <w:rtl/>
          <w:lang w:val="fr-CH"/>
        </w:rPr>
      </w:pPr>
      <w:r>
        <w:rPr>
          <w:rFonts w:hint="cs"/>
          <w:rtl/>
          <w:lang w:val="fr-CH"/>
        </w:rPr>
        <w:tab/>
        <w:t>(18)</w:t>
      </w:r>
      <w:r>
        <w:rPr>
          <w:rFonts w:hint="cs"/>
          <w:rtl/>
          <w:lang w:val="fr-CH"/>
        </w:rPr>
        <w:tab/>
        <w:t>المرجع نفس</w:t>
      </w:r>
      <w:r>
        <w:rPr>
          <w:rFonts w:hint="cs"/>
          <w:rtl/>
          <w:lang w:val="fr-CH"/>
        </w:rPr>
        <w:t>ه، المادة 35.</w:t>
      </w:r>
    </w:p>
    <w:p w:rsidR="00000000" w:rsidRDefault="00567B15">
      <w:pPr>
        <w:spacing w:before="180" w:after="180" w:line="380" w:lineRule="exact"/>
        <w:jc w:val="both"/>
        <w:rPr>
          <w:rFonts w:hint="cs"/>
          <w:rtl/>
          <w:lang w:val="fr-CH"/>
        </w:rPr>
      </w:pPr>
      <w:r>
        <w:rPr>
          <w:rFonts w:hint="cs"/>
          <w:rtl/>
          <w:lang w:val="fr-CH"/>
        </w:rPr>
        <w:tab/>
        <w:t>(19)</w:t>
      </w:r>
      <w:r>
        <w:rPr>
          <w:rFonts w:hint="cs"/>
          <w:rtl/>
          <w:lang w:val="fr-CH"/>
        </w:rPr>
        <w:tab/>
        <w:t>المرجع نفسه، المادة 36.</w:t>
      </w:r>
    </w:p>
    <w:p w:rsidR="00000000" w:rsidRDefault="00567B15">
      <w:pPr>
        <w:spacing w:before="180" w:after="180" w:line="380" w:lineRule="exact"/>
        <w:jc w:val="both"/>
        <w:rPr>
          <w:rFonts w:hint="cs"/>
          <w:rtl/>
          <w:lang w:val="fr-CH"/>
        </w:rPr>
      </w:pPr>
      <w:r>
        <w:rPr>
          <w:rFonts w:hint="cs"/>
          <w:rtl/>
          <w:lang w:val="fr-CH"/>
        </w:rPr>
        <w:tab/>
        <w:t>(20)</w:t>
      </w:r>
      <w:r>
        <w:rPr>
          <w:rFonts w:hint="cs"/>
          <w:rtl/>
          <w:lang w:val="fr-CH"/>
        </w:rPr>
        <w:tab/>
        <w:t>قانون العمل، المادة 3.</w:t>
      </w:r>
    </w:p>
    <w:p w:rsidR="00000000" w:rsidRDefault="00567B15">
      <w:pPr>
        <w:spacing w:before="180" w:after="180" w:line="380" w:lineRule="exact"/>
        <w:jc w:val="both"/>
        <w:rPr>
          <w:rFonts w:hint="cs"/>
          <w:rtl/>
          <w:lang w:val="fr-CH"/>
        </w:rPr>
      </w:pPr>
      <w:r>
        <w:rPr>
          <w:rFonts w:hint="cs"/>
          <w:rtl/>
          <w:lang w:val="fr-CH"/>
        </w:rPr>
        <w:tab/>
        <w:t>(21)</w:t>
      </w:r>
      <w:r>
        <w:rPr>
          <w:rFonts w:hint="cs"/>
          <w:rtl/>
          <w:lang w:val="fr-CH"/>
        </w:rPr>
        <w:tab/>
        <w:t>المرجع نفسه، المادة 50.</w:t>
      </w:r>
    </w:p>
    <w:p w:rsidR="00000000" w:rsidRDefault="00567B15">
      <w:pPr>
        <w:spacing w:before="180" w:after="180" w:line="380" w:lineRule="exact"/>
        <w:jc w:val="both"/>
        <w:rPr>
          <w:rFonts w:hint="cs"/>
          <w:rtl/>
          <w:lang w:val="fr-CH"/>
        </w:rPr>
      </w:pPr>
      <w:r>
        <w:rPr>
          <w:rFonts w:hint="cs"/>
          <w:rtl/>
          <w:lang w:val="fr-CH"/>
        </w:rPr>
        <w:tab/>
        <w:t>(22)</w:t>
      </w:r>
      <w:r>
        <w:rPr>
          <w:rFonts w:hint="cs"/>
          <w:rtl/>
          <w:lang w:val="fr-CH"/>
        </w:rPr>
        <w:tab/>
        <w:t>المرجع نفسه، المادة 53.</w:t>
      </w:r>
    </w:p>
    <w:p w:rsidR="00000000" w:rsidRDefault="00567B15">
      <w:pPr>
        <w:spacing w:before="180" w:after="180" w:line="380" w:lineRule="exact"/>
        <w:jc w:val="both"/>
        <w:rPr>
          <w:rFonts w:hint="cs"/>
          <w:rtl/>
          <w:lang w:val="fr-CH"/>
        </w:rPr>
      </w:pPr>
      <w:r>
        <w:rPr>
          <w:rFonts w:hint="cs"/>
          <w:rtl/>
          <w:lang w:val="fr-CH"/>
        </w:rPr>
        <w:tab/>
        <w:t>(23)</w:t>
      </w:r>
      <w:r>
        <w:rPr>
          <w:rFonts w:hint="cs"/>
          <w:rtl/>
          <w:lang w:val="fr-CH"/>
        </w:rPr>
        <w:tab/>
        <w:t>مذكرة تقنية لإصلاح نظام الضمان الاجتماعي الإلزامي.</w:t>
      </w:r>
    </w:p>
    <w:p w:rsidR="00000000" w:rsidRDefault="00567B15">
      <w:pPr>
        <w:spacing w:before="180" w:after="180" w:line="380" w:lineRule="exact"/>
        <w:jc w:val="both"/>
        <w:rPr>
          <w:rFonts w:hint="cs"/>
          <w:rtl/>
          <w:lang w:val="fr-CH"/>
        </w:rPr>
      </w:pPr>
      <w:r>
        <w:rPr>
          <w:rFonts w:hint="cs"/>
          <w:rtl/>
          <w:lang w:val="fr-CH"/>
        </w:rPr>
        <w:tab/>
        <w:t>(24)</w:t>
      </w:r>
      <w:r>
        <w:rPr>
          <w:rFonts w:hint="cs"/>
          <w:rtl/>
          <w:lang w:val="fr-CH"/>
        </w:rPr>
        <w:tab/>
        <w:t>الدستور (المادة 37).</w:t>
      </w:r>
    </w:p>
    <w:p w:rsidR="00000000" w:rsidRDefault="00567B15">
      <w:pPr>
        <w:spacing w:before="180" w:after="180" w:line="380" w:lineRule="exact"/>
        <w:jc w:val="center"/>
        <w:rPr>
          <w:rFonts w:hint="cs"/>
          <w:rtl/>
          <w:lang w:val="fr-CH"/>
        </w:rPr>
      </w:pPr>
      <w:r>
        <w:rPr>
          <w:rFonts w:hint="cs"/>
          <w:rtl/>
          <w:lang w:val="fr-CH"/>
        </w:rPr>
        <w:t>الحواشي (</w:t>
      </w:r>
      <w:r>
        <w:rPr>
          <w:rFonts w:hint="cs"/>
          <w:u w:val="single"/>
          <w:rtl/>
          <w:lang w:val="fr-CH"/>
        </w:rPr>
        <w:t>تابع</w:t>
      </w:r>
      <w:r>
        <w:rPr>
          <w:rFonts w:hint="cs"/>
          <w:rtl/>
          <w:lang w:val="fr-CH"/>
        </w:rPr>
        <w:t>)</w:t>
      </w:r>
    </w:p>
    <w:p w:rsidR="00000000" w:rsidRDefault="00567B15">
      <w:pPr>
        <w:spacing w:before="180" w:after="180" w:line="380" w:lineRule="exact"/>
        <w:jc w:val="both"/>
        <w:rPr>
          <w:rtl/>
          <w:lang w:val="fr-CH"/>
        </w:rPr>
      </w:pPr>
      <w:r>
        <w:rPr>
          <w:rFonts w:hint="cs"/>
          <w:rtl/>
          <w:lang w:val="fr-CH"/>
        </w:rPr>
        <w:tab/>
        <w:t>(25)</w:t>
      </w:r>
      <w:r>
        <w:rPr>
          <w:rFonts w:hint="cs"/>
          <w:rtl/>
          <w:lang w:val="fr-CH"/>
        </w:rPr>
        <w:tab/>
        <w:t>المرجع نفسه (الماد</w:t>
      </w:r>
      <w:r>
        <w:rPr>
          <w:rFonts w:hint="cs"/>
          <w:rtl/>
          <w:lang w:val="fr-CH"/>
        </w:rPr>
        <w:t>ة 39).</w:t>
      </w:r>
    </w:p>
    <w:p w:rsidR="00000000" w:rsidRDefault="00567B15">
      <w:pPr>
        <w:spacing w:before="180" w:after="180" w:line="380" w:lineRule="exact"/>
        <w:jc w:val="both"/>
        <w:rPr>
          <w:rtl/>
        </w:rPr>
      </w:pPr>
      <w:r>
        <w:rPr>
          <w:rFonts w:hint="cs"/>
          <w:rtl/>
          <w:lang w:val="fr-CH"/>
        </w:rPr>
        <w:tab/>
        <w:t>(26)</w:t>
      </w:r>
      <w:r>
        <w:rPr>
          <w:rFonts w:hint="cs"/>
          <w:rtl/>
          <w:lang w:val="fr-CH"/>
        </w:rPr>
        <w:tab/>
        <w:t xml:space="preserve">انظر </w:t>
      </w:r>
      <w:r>
        <w:rPr>
          <w:u w:val="single"/>
        </w:rPr>
        <w:t>Los ni</w:t>
      </w:r>
      <w:r>
        <w:rPr>
          <w:rFonts w:cs="Times New Roman"/>
          <w:u w:val="single"/>
        </w:rPr>
        <w:t>ñ</w:t>
      </w:r>
      <w:r>
        <w:rPr>
          <w:u w:val="single"/>
        </w:rPr>
        <w:t>os y ni</w:t>
      </w:r>
      <w:r>
        <w:rPr>
          <w:rFonts w:cs="Times New Roman"/>
          <w:u w:val="single"/>
        </w:rPr>
        <w:t>ñ</w:t>
      </w:r>
      <w:r>
        <w:rPr>
          <w:u w:val="single"/>
        </w:rPr>
        <w:t>as del Ecuador a los diez a</w:t>
      </w:r>
      <w:r>
        <w:rPr>
          <w:rFonts w:cs="Times New Roman"/>
          <w:u w:val="single"/>
        </w:rPr>
        <w:t>ñ</w:t>
      </w:r>
      <w:r>
        <w:rPr>
          <w:u w:val="single"/>
        </w:rPr>
        <w:t>os de la Convenci</w:t>
      </w:r>
      <w:r>
        <w:rPr>
          <w:rFonts w:cs="Times New Roman"/>
          <w:u w:val="single"/>
        </w:rPr>
        <w:t>ó</w:t>
      </w:r>
      <w:r>
        <w:rPr>
          <w:u w:val="single"/>
        </w:rPr>
        <w:t>n sobre los Derechos de la Ni</w:t>
      </w:r>
      <w:r>
        <w:rPr>
          <w:rFonts w:cs="Times New Roman"/>
          <w:u w:val="single"/>
        </w:rPr>
        <w:t>ñ</w:t>
      </w:r>
      <w:r>
        <w:rPr>
          <w:u w:val="single"/>
        </w:rPr>
        <w:t>ez</w:t>
      </w:r>
      <w:r>
        <w:t xml:space="preserve"> (Quito, INNFA - Department of Human Development - SINI</w:t>
      </w:r>
      <w:r>
        <w:rPr>
          <w:rFonts w:cs="Times New Roman"/>
        </w:rPr>
        <w:t>Ñ</w:t>
      </w:r>
      <w:r>
        <w:t>EZ - Integrated (System of Social Indicators (SIISE), 1999</w:t>
      </w:r>
      <w:r>
        <w:rPr>
          <w:rFonts w:hint="cs"/>
          <w:rtl/>
        </w:rPr>
        <w:t>.</w:t>
      </w:r>
    </w:p>
    <w:p w:rsidR="00000000" w:rsidRDefault="00567B15">
      <w:pPr>
        <w:spacing w:before="180" w:after="180" w:line="380" w:lineRule="exact"/>
        <w:jc w:val="both"/>
        <w:rPr>
          <w:rFonts w:hint="cs"/>
          <w:rtl/>
        </w:rPr>
      </w:pPr>
      <w:r>
        <w:rPr>
          <w:rFonts w:hint="cs"/>
          <w:rtl/>
        </w:rPr>
        <w:tab/>
        <w:t>(27)</w:t>
      </w:r>
      <w:r>
        <w:rPr>
          <w:rFonts w:hint="cs"/>
          <w:rtl/>
        </w:rPr>
        <w:tab/>
        <w:t>المرجع نفسه.</w:t>
      </w:r>
    </w:p>
    <w:p w:rsidR="00000000" w:rsidRDefault="00567B15">
      <w:pPr>
        <w:spacing w:before="180" w:after="180" w:line="380" w:lineRule="exact"/>
        <w:jc w:val="both"/>
        <w:rPr>
          <w:rFonts w:hint="cs"/>
          <w:rtl/>
        </w:rPr>
      </w:pPr>
      <w:r>
        <w:rPr>
          <w:rFonts w:hint="cs"/>
          <w:rtl/>
        </w:rPr>
        <w:tab/>
        <w:t>(28)</w:t>
      </w:r>
      <w:r>
        <w:rPr>
          <w:rFonts w:hint="cs"/>
          <w:rtl/>
        </w:rPr>
        <w:tab/>
        <w:t>المر</w:t>
      </w:r>
      <w:r>
        <w:rPr>
          <w:rFonts w:hint="cs"/>
          <w:rtl/>
        </w:rPr>
        <w:t>جع نفسه.</w:t>
      </w:r>
    </w:p>
    <w:p w:rsidR="00000000" w:rsidRDefault="00567B15">
      <w:pPr>
        <w:spacing w:before="180" w:after="180" w:line="380" w:lineRule="exact"/>
        <w:jc w:val="both"/>
        <w:rPr>
          <w:rFonts w:hint="cs"/>
          <w:rtl/>
        </w:rPr>
      </w:pPr>
      <w:r>
        <w:rPr>
          <w:rFonts w:hint="cs"/>
          <w:rtl/>
        </w:rPr>
        <w:tab/>
        <w:t>(29)</w:t>
      </w:r>
      <w:r>
        <w:rPr>
          <w:rFonts w:hint="cs"/>
          <w:rtl/>
        </w:rPr>
        <w:tab/>
        <w:t xml:space="preserve">النظام المتكامل للمؤشرات الاجتماعية </w:t>
      </w:r>
      <w:r>
        <w:t>SIISE-SINI</w:t>
      </w:r>
      <w:r>
        <w:rPr>
          <w:rFonts w:cs="Times New Roman"/>
        </w:rPr>
        <w:t>Ñ</w:t>
      </w:r>
      <w:r>
        <w:t>EZ</w:t>
      </w:r>
      <w:r>
        <w:rPr>
          <w:rFonts w:hint="cs"/>
          <w:rtl/>
        </w:rPr>
        <w:t>، 1999.</w:t>
      </w:r>
    </w:p>
    <w:p w:rsidR="00000000" w:rsidRDefault="00567B15">
      <w:pPr>
        <w:spacing w:before="180" w:after="180" w:line="380" w:lineRule="exact"/>
        <w:jc w:val="both"/>
        <w:rPr>
          <w:rFonts w:hint="cs"/>
          <w:rtl/>
        </w:rPr>
      </w:pPr>
      <w:r>
        <w:rPr>
          <w:rFonts w:hint="cs"/>
          <w:rtl/>
        </w:rPr>
        <w:tab/>
        <w:t>(30)</w:t>
      </w:r>
      <w:r>
        <w:rPr>
          <w:rFonts w:hint="cs"/>
          <w:rtl/>
        </w:rPr>
        <w:tab/>
        <w:t>قانون الطفل (المادة 92).</w:t>
      </w:r>
    </w:p>
    <w:p w:rsidR="00000000" w:rsidRDefault="00567B15">
      <w:pPr>
        <w:spacing w:before="180" w:after="180" w:line="380" w:lineRule="exact"/>
        <w:jc w:val="both"/>
        <w:rPr>
          <w:rFonts w:hint="cs"/>
          <w:rtl/>
        </w:rPr>
      </w:pPr>
      <w:r>
        <w:rPr>
          <w:rFonts w:hint="cs"/>
          <w:rtl/>
        </w:rPr>
        <w:tab/>
        <w:t>(31)</w:t>
      </w:r>
      <w:r>
        <w:rPr>
          <w:rFonts w:hint="cs"/>
          <w:rtl/>
        </w:rPr>
        <w:tab/>
        <w:t>المعهد الوطني للطفل والأسرة.</w:t>
      </w:r>
    </w:p>
    <w:p w:rsidR="00000000" w:rsidRDefault="00567B15">
      <w:pPr>
        <w:spacing w:before="180" w:after="180" w:line="380" w:lineRule="exact"/>
        <w:jc w:val="both"/>
        <w:rPr>
          <w:rFonts w:hint="cs"/>
          <w:rtl/>
        </w:rPr>
      </w:pPr>
      <w:r>
        <w:rPr>
          <w:rFonts w:hint="cs"/>
          <w:rtl/>
        </w:rPr>
        <w:tab/>
        <w:t>(32)</w:t>
      </w:r>
      <w:r>
        <w:rPr>
          <w:rFonts w:hint="cs"/>
          <w:rtl/>
        </w:rPr>
        <w:tab/>
        <w:t>المعهد الوطني للإحصاء وتعداد السكان، شباط/فبراير 2000. وغُير عدد أفراد الأسرة المعيشية من خمسة إلى أربعة لعام 20</w:t>
      </w:r>
      <w:r>
        <w:rPr>
          <w:rFonts w:hint="cs"/>
          <w:rtl/>
        </w:rPr>
        <w:t>02.</w:t>
      </w:r>
    </w:p>
    <w:p w:rsidR="00000000" w:rsidRDefault="00567B15">
      <w:pPr>
        <w:spacing w:before="180" w:after="180" w:line="380" w:lineRule="exact"/>
        <w:jc w:val="both"/>
        <w:rPr>
          <w:rFonts w:hint="cs"/>
          <w:rtl/>
        </w:rPr>
      </w:pPr>
      <w:r>
        <w:rPr>
          <w:rFonts w:hint="cs"/>
          <w:rtl/>
        </w:rPr>
        <w:tab/>
        <w:t>(33)</w:t>
      </w:r>
      <w:r>
        <w:rPr>
          <w:rFonts w:hint="cs"/>
          <w:rtl/>
        </w:rPr>
        <w:tab/>
        <w:t xml:space="preserve">دراسات </w:t>
      </w:r>
      <w:r>
        <w:t>CEDATOS</w:t>
      </w:r>
      <w:r>
        <w:rPr>
          <w:rFonts w:hint="cs"/>
          <w:rtl/>
        </w:rPr>
        <w:t>: إكوادور تحت المنظار، تشرين الثاني/نوفمبر 1999.</w:t>
      </w:r>
    </w:p>
    <w:p w:rsidR="00000000" w:rsidRDefault="00567B15">
      <w:pPr>
        <w:spacing w:before="180" w:after="180" w:line="380" w:lineRule="exact"/>
        <w:jc w:val="both"/>
        <w:rPr>
          <w:rFonts w:hint="cs"/>
          <w:rtl/>
        </w:rPr>
      </w:pPr>
      <w:r>
        <w:rPr>
          <w:rFonts w:hint="cs"/>
          <w:rtl/>
        </w:rPr>
        <w:tab/>
        <w:t>(34)</w:t>
      </w:r>
      <w:r>
        <w:rPr>
          <w:rFonts w:hint="cs"/>
          <w:rtl/>
        </w:rPr>
        <w:tab/>
        <w:t>السلة الأساسية لأسرة معيشية عادية مؤلفة من خمسة أفراد هي مجموعة الأصناف الأكثر تمثيلاً التي استهلكوها أو استخدموها. وتشير سلة عتبة الفقر أساساً إلى المواد الغذائية.</w:t>
      </w:r>
    </w:p>
    <w:p w:rsidR="00000000" w:rsidRDefault="00567B15">
      <w:pPr>
        <w:spacing w:before="180" w:after="180" w:line="380" w:lineRule="exact"/>
        <w:jc w:val="both"/>
        <w:rPr>
          <w:rFonts w:hint="cs"/>
          <w:rtl/>
        </w:rPr>
      </w:pPr>
      <w:r>
        <w:rPr>
          <w:rFonts w:hint="cs"/>
          <w:rtl/>
        </w:rPr>
        <w:tab/>
        <w:t>(35)</w:t>
      </w:r>
      <w:r>
        <w:rPr>
          <w:rFonts w:hint="cs"/>
          <w:rtl/>
        </w:rPr>
        <w:tab/>
        <w:t>المعهد</w:t>
      </w:r>
      <w:r>
        <w:rPr>
          <w:rFonts w:hint="cs"/>
          <w:rtl/>
        </w:rPr>
        <w:t xml:space="preserve"> الوطني للإحصاء وتعداد السكان، شباط/فبراير 2000.</w:t>
      </w:r>
    </w:p>
    <w:p w:rsidR="00000000" w:rsidRDefault="00567B15">
      <w:pPr>
        <w:spacing w:before="180" w:after="180" w:line="380" w:lineRule="exact"/>
        <w:jc w:val="both"/>
        <w:rPr>
          <w:rFonts w:hint="cs"/>
          <w:rtl/>
        </w:rPr>
      </w:pPr>
      <w:r>
        <w:rPr>
          <w:rFonts w:hint="cs"/>
          <w:rtl/>
        </w:rPr>
        <w:tab/>
        <w:t>(36)</w:t>
      </w:r>
      <w:r>
        <w:rPr>
          <w:rFonts w:hint="cs"/>
          <w:rtl/>
        </w:rPr>
        <w:tab/>
        <w:t>النظام المتكامل للمؤشرات الاجتماعية.</w:t>
      </w:r>
    </w:p>
    <w:p w:rsidR="00000000" w:rsidRDefault="00567B15">
      <w:pPr>
        <w:spacing w:before="180" w:after="180" w:line="380" w:lineRule="exact"/>
        <w:jc w:val="both"/>
        <w:rPr>
          <w:rFonts w:hint="cs"/>
          <w:rtl/>
        </w:rPr>
      </w:pPr>
      <w:r>
        <w:rPr>
          <w:rFonts w:hint="cs"/>
          <w:rtl/>
        </w:rPr>
        <w:tab/>
        <w:t>(37)</w:t>
      </w:r>
      <w:r>
        <w:rPr>
          <w:rFonts w:hint="cs"/>
          <w:rtl/>
        </w:rPr>
        <w:tab/>
        <w:t>إكوادور - مصرف التنمية للبلدان الأمريكية. تحليل برامج تغذية الأم والطفل، 1999.</w:t>
      </w:r>
    </w:p>
    <w:p w:rsidR="00000000" w:rsidRDefault="00567B15">
      <w:pPr>
        <w:spacing w:before="180" w:after="180" w:line="380" w:lineRule="exact"/>
        <w:jc w:val="both"/>
        <w:rPr>
          <w:rFonts w:hint="cs"/>
          <w:rtl/>
        </w:rPr>
      </w:pPr>
      <w:r>
        <w:rPr>
          <w:rFonts w:hint="cs"/>
          <w:rtl/>
        </w:rPr>
        <w:tab/>
        <w:t>(38)</w:t>
      </w:r>
      <w:r>
        <w:rPr>
          <w:rFonts w:hint="cs"/>
          <w:rtl/>
        </w:rPr>
        <w:tab/>
        <w:t>وزارة الزراعة والثروة الحيوانية، الميزانيات العمومية للأغذية.</w:t>
      </w:r>
    </w:p>
    <w:p w:rsidR="00000000" w:rsidRDefault="00567B15">
      <w:pPr>
        <w:spacing w:before="180" w:after="180" w:line="380" w:lineRule="exact"/>
        <w:jc w:val="both"/>
        <w:rPr>
          <w:rFonts w:hint="cs"/>
          <w:rtl/>
        </w:rPr>
      </w:pPr>
      <w:r>
        <w:rPr>
          <w:rFonts w:hint="cs"/>
          <w:rtl/>
        </w:rPr>
        <w:tab/>
        <w:t>(39)</w:t>
      </w:r>
      <w:r>
        <w:rPr>
          <w:rFonts w:hint="cs"/>
          <w:rtl/>
        </w:rPr>
        <w:tab/>
        <w:t>بيانا</w:t>
      </w:r>
      <w:r>
        <w:rPr>
          <w:rFonts w:hint="cs"/>
          <w:rtl/>
        </w:rPr>
        <w:t>ت أولية، 2002.</w:t>
      </w:r>
    </w:p>
    <w:p w:rsidR="00000000" w:rsidRDefault="00567B15">
      <w:pPr>
        <w:spacing w:before="180" w:after="180" w:line="380" w:lineRule="exact"/>
        <w:jc w:val="both"/>
        <w:rPr>
          <w:rFonts w:hint="cs"/>
          <w:rtl/>
        </w:rPr>
      </w:pPr>
      <w:r>
        <w:rPr>
          <w:rFonts w:hint="cs"/>
          <w:rtl/>
        </w:rPr>
        <w:tab/>
        <w:t>(40)</w:t>
      </w:r>
      <w:r>
        <w:rPr>
          <w:rFonts w:hint="cs"/>
          <w:rtl/>
        </w:rPr>
        <w:tab/>
        <w:t>قيم الهيموغلوبين لدى سكان إكوادور، النشرة الإعلامية رقم 3، المعهد الوطني للعلم والتكنولوجيا من أجل الصحة، وزارة الصحة العامة.</w:t>
      </w:r>
    </w:p>
    <w:p w:rsidR="00000000" w:rsidRDefault="00567B15">
      <w:pPr>
        <w:spacing w:before="180" w:after="180" w:line="380" w:lineRule="exact"/>
        <w:jc w:val="both"/>
        <w:rPr>
          <w:rFonts w:hint="cs"/>
          <w:rtl/>
        </w:rPr>
      </w:pPr>
      <w:r>
        <w:rPr>
          <w:rFonts w:hint="cs"/>
          <w:rtl/>
        </w:rPr>
        <w:tab/>
        <w:t>(41)</w:t>
      </w:r>
      <w:r>
        <w:rPr>
          <w:rFonts w:hint="cs"/>
          <w:rtl/>
        </w:rPr>
        <w:tab/>
        <w:t>التشخيص الأكثر استخداماً لسوء التغذية هو انحراف الوزن بدرجتين معياريتين دون المتوسط المرجعي لعمر الشخص.</w:t>
      </w:r>
    </w:p>
    <w:p w:rsidR="00000000" w:rsidRDefault="00567B15">
      <w:pPr>
        <w:spacing w:before="180" w:after="180" w:line="380" w:lineRule="exact"/>
        <w:jc w:val="both"/>
        <w:rPr>
          <w:rFonts w:hint="cs"/>
          <w:rtl/>
        </w:rPr>
      </w:pPr>
      <w:r>
        <w:rPr>
          <w:rFonts w:hint="cs"/>
          <w:rtl/>
        </w:rPr>
        <w:tab/>
        <w:t>(42)</w:t>
      </w:r>
      <w:r>
        <w:rPr>
          <w:rFonts w:hint="cs"/>
          <w:rtl/>
        </w:rPr>
        <w:tab/>
        <w:t>إكوادور: تحليل برامج تغذية الأم والطفل. عطا الله س.، مصرف التنمية للبلدان الأمريكية، كانون الأول/ديسمبر 1999.</w:t>
      </w:r>
    </w:p>
    <w:p w:rsidR="00000000" w:rsidRDefault="00567B15">
      <w:pPr>
        <w:spacing w:before="180" w:after="180" w:line="380" w:lineRule="exact"/>
        <w:jc w:val="center"/>
        <w:rPr>
          <w:rFonts w:hint="cs"/>
          <w:rtl/>
          <w:lang w:val="fr-CH"/>
        </w:rPr>
      </w:pPr>
      <w:r>
        <w:rPr>
          <w:rFonts w:hint="cs"/>
          <w:rtl/>
          <w:lang w:val="fr-CH"/>
        </w:rPr>
        <w:t>الحواشي (</w:t>
      </w:r>
      <w:r>
        <w:rPr>
          <w:rFonts w:hint="cs"/>
          <w:u w:val="single"/>
          <w:rtl/>
          <w:lang w:val="fr-CH"/>
        </w:rPr>
        <w:t>تابع</w:t>
      </w:r>
      <w:r>
        <w:rPr>
          <w:rFonts w:hint="cs"/>
          <w:rtl/>
          <w:lang w:val="fr-CH"/>
        </w:rPr>
        <w:t>)</w:t>
      </w:r>
    </w:p>
    <w:p w:rsidR="00000000" w:rsidRDefault="00567B15">
      <w:pPr>
        <w:spacing w:before="180" w:after="180" w:line="380" w:lineRule="exact"/>
        <w:jc w:val="both"/>
        <w:rPr>
          <w:rFonts w:hint="cs"/>
          <w:rtl/>
        </w:rPr>
      </w:pPr>
      <w:r>
        <w:rPr>
          <w:rFonts w:hint="cs"/>
          <w:rtl/>
        </w:rPr>
        <w:tab/>
        <w:t>(43)</w:t>
      </w:r>
      <w:r>
        <w:rPr>
          <w:rFonts w:hint="cs"/>
          <w:rtl/>
        </w:rPr>
        <w:tab/>
        <w:t>المرجع نفسه.</w:t>
      </w:r>
    </w:p>
    <w:p w:rsidR="00000000" w:rsidRDefault="00567B15">
      <w:pPr>
        <w:spacing w:before="180" w:after="180" w:line="380" w:lineRule="exact"/>
        <w:jc w:val="both"/>
        <w:rPr>
          <w:rFonts w:hint="cs"/>
          <w:rtl/>
        </w:rPr>
      </w:pPr>
      <w:r>
        <w:rPr>
          <w:rFonts w:hint="cs"/>
          <w:rtl/>
        </w:rPr>
        <w:tab/>
        <w:t>(44)</w:t>
      </w:r>
      <w:r>
        <w:rPr>
          <w:rFonts w:hint="cs"/>
          <w:rtl/>
        </w:rPr>
        <w:tab/>
        <w:t>المعهد الوطني للبحوث الزراعية، الخطة الاستراتيجية. تكنولوجيات للتنمية الزراعية.</w:t>
      </w:r>
    </w:p>
    <w:p w:rsidR="00000000" w:rsidRDefault="00567B15">
      <w:pPr>
        <w:spacing w:before="180" w:after="180" w:line="380" w:lineRule="exact"/>
        <w:jc w:val="both"/>
        <w:rPr>
          <w:rFonts w:hint="cs"/>
          <w:rtl/>
        </w:rPr>
      </w:pPr>
      <w:r>
        <w:rPr>
          <w:rFonts w:hint="cs"/>
          <w:rtl/>
        </w:rPr>
        <w:tab/>
        <w:t>(45)</w:t>
      </w:r>
      <w:r>
        <w:rPr>
          <w:rFonts w:hint="cs"/>
          <w:rtl/>
        </w:rPr>
        <w:tab/>
        <w:t>"التقييم الزر</w:t>
      </w:r>
      <w:r>
        <w:rPr>
          <w:rFonts w:hint="cs"/>
          <w:rtl/>
        </w:rPr>
        <w:t>اعي الإقليمي الإكوادوري 1963-1964"، موجز التقرير العام، وزارة الزراعة والثروة الحيوانية - وكالة التخطيط الوطني - معهد الإصلاح الزراعي والاستيطان، 1977.</w:t>
      </w:r>
    </w:p>
    <w:p w:rsidR="00000000" w:rsidRDefault="00567B15">
      <w:pPr>
        <w:spacing w:before="180" w:after="180" w:line="380" w:lineRule="exact"/>
        <w:jc w:val="both"/>
        <w:rPr>
          <w:rFonts w:hint="cs"/>
          <w:rtl/>
        </w:rPr>
      </w:pPr>
      <w:r>
        <w:rPr>
          <w:rFonts w:hint="cs"/>
          <w:rtl/>
        </w:rPr>
        <w:tab/>
        <w:t>(46)</w:t>
      </w:r>
      <w:r>
        <w:rPr>
          <w:rFonts w:hint="cs"/>
          <w:rtl/>
        </w:rPr>
        <w:tab/>
        <w:t>البرنامج الوطني لتدريب المزارعين، وزارة الزراعة والثروة الحيوانية - المعهد الوطني لتدريب المزارعين</w:t>
      </w:r>
      <w:r>
        <w:rPr>
          <w:rFonts w:hint="cs"/>
          <w:rtl/>
        </w:rPr>
        <w:t>، 1998.</w:t>
      </w:r>
    </w:p>
    <w:p w:rsidR="00000000" w:rsidRDefault="00567B15">
      <w:pPr>
        <w:spacing w:before="180" w:after="180" w:line="380" w:lineRule="exact"/>
        <w:jc w:val="both"/>
        <w:rPr>
          <w:rFonts w:hint="cs"/>
          <w:rtl/>
        </w:rPr>
      </w:pPr>
      <w:r>
        <w:rPr>
          <w:rFonts w:hint="cs"/>
          <w:rtl/>
        </w:rPr>
        <w:tab/>
        <w:t>(47)</w:t>
      </w:r>
      <w:r>
        <w:rPr>
          <w:rFonts w:hint="cs"/>
          <w:rtl/>
        </w:rPr>
        <w:tab/>
        <w:t>المجلس الوطني المعني بالعجز.</w:t>
      </w:r>
    </w:p>
    <w:p w:rsidR="00000000" w:rsidRDefault="00567B15">
      <w:pPr>
        <w:spacing w:before="180" w:after="180" w:line="380" w:lineRule="exact"/>
        <w:jc w:val="both"/>
        <w:rPr>
          <w:rFonts w:hint="cs"/>
          <w:rtl/>
        </w:rPr>
      </w:pPr>
      <w:r>
        <w:rPr>
          <w:rFonts w:hint="cs"/>
          <w:rtl/>
        </w:rPr>
        <w:tab/>
        <w:t>(48)</w:t>
      </w:r>
      <w:r>
        <w:rPr>
          <w:rFonts w:hint="cs"/>
          <w:rtl/>
        </w:rPr>
        <w:tab/>
        <w:t>كما أفاد مصرف إكوادور المركزي في 31 كانون الأول/ديسمبر 1999.</w:t>
      </w:r>
    </w:p>
    <w:p w:rsidR="00000000" w:rsidRDefault="00567B15">
      <w:pPr>
        <w:spacing w:before="180" w:after="180" w:line="380" w:lineRule="exact"/>
        <w:jc w:val="both"/>
        <w:rPr>
          <w:rFonts w:hint="cs"/>
          <w:rtl/>
        </w:rPr>
      </w:pPr>
      <w:r>
        <w:rPr>
          <w:rFonts w:hint="cs"/>
          <w:rtl/>
        </w:rPr>
        <w:tab/>
        <w:t>(49)</w:t>
      </w:r>
      <w:r>
        <w:rPr>
          <w:rFonts w:hint="cs"/>
          <w:rtl/>
        </w:rPr>
        <w:tab/>
      </w:r>
      <w:r>
        <w:t xml:space="preserve">PUCE ISP base document, </w:t>
      </w:r>
      <w:r>
        <w:rPr>
          <w:i/>
          <w:iCs/>
        </w:rPr>
        <w:t>Boletin APS No. 2</w:t>
      </w:r>
      <w:r>
        <w:rPr>
          <w:rFonts w:hint="cs"/>
          <w:rtl/>
        </w:rPr>
        <w:t>، وزارة الصحة العامة، كانون الأول/ديسمبر 1998</w:t>
      </w:r>
    </w:p>
    <w:p w:rsidR="00000000" w:rsidRDefault="00567B15">
      <w:pPr>
        <w:spacing w:before="180" w:after="180" w:line="380" w:lineRule="exact"/>
        <w:jc w:val="both"/>
        <w:rPr>
          <w:rtl/>
        </w:rPr>
      </w:pPr>
      <w:r>
        <w:rPr>
          <w:rFonts w:hint="cs"/>
          <w:rtl/>
        </w:rPr>
        <w:tab/>
        <w:t>(50)</w:t>
      </w:r>
      <w:r>
        <w:rPr>
          <w:rFonts w:hint="cs"/>
          <w:rtl/>
        </w:rPr>
        <w:tab/>
        <w:t>وزارة الصحة العامة، الخطة الوطنية للصحة العقلية</w:t>
      </w:r>
      <w:r>
        <w:rPr>
          <w:rFonts w:hint="cs"/>
          <w:rtl/>
        </w:rPr>
        <w:t>، 1999.</w:t>
      </w:r>
    </w:p>
    <w:p w:rsidR="00000000" w:rsidRDefault="00567B15">
      <w:pPr>
        <w:spacing w:before="180" w:after="180" w:line="380" w:lineRule="exact"/>
        <w:jc w:val="both"/>
        <w:rPr>
          <w:rFonts w:hint="cs"/>
          <w:rtl/>
        </w:rPr>
      </w:pPr>
      <w:r>
        <w:rPr>
          <w:rFonts w:hint="cs"/>
          <w:rtl/>
        </w:rPr>
        <w:tab/>
        <w:t>(51)</w:t>
      </w:r>
      <w:r>
        <w:rPr>
          <w:rFonts w:hint="cs"/>
          <w:rtl/>
        </w:rPr>
        <w:tab/>
        <w:t xml:space="preserve">مركز الدراسات السكانية والتنمية الاجتماعية، </w:t>
      </w:r>
      <w:r>
        <w:rPr>
          <w:i/>
          <w:iCs/>
        </w:rPr>
        <w:t>Correo Poblacional y de la Salud 1997</w:t>
      </w:r>
      <w:r>
        <w:rPr>
          <w:rFonts w:hint="cs"/>
          <w:rtl/>
        </w:rPr>
        <w:t>.</w:t>
      </w:r>
    </w:p>
    <w:p w:rsidR="00000000" w:rsidRDefault="00567B15">
      <w:pPr>
        <w:spacing w:before="180" w:after="180" w:line="380" w:lineRule="exact"/>
        <w:jc w:val="both"/>
        <w:rPr>
          <w:rFonts w:hint="cs"/>
          <w:rtl/>
        </w:rPr>
      </w:pPr>
      <w:r>
        <w:rPr>
          <w:rFonts w:hint="cs"/>
          <w:rtl/>
        </w:rPr>
        <w:tab/>
        <w:t>(52)</w:t>
      </w:r>
      <w:r>
        <w:rPr>
          <w:rFonts w:hint="cs"/>
          <w:rtl/>
        </w:rPr>
        <w:tab/>
        <w:t>أمانة الجبهة الاجتماعية، النظام المتكامل للمؤشرات الاجتماعية.</w:t>
      </w:r>
    </w:p>
    <w:p w:rsidR="00000000" w:rsidRDefault="00567B15">
      <w:pPr>
        <w:spacing w:before="180" w:after="180" w:line="380" w:lineRule="exact"/>
        <w:jc w:val="both"/>
        <w:rPr>
          <w:rFonts w:hint="cs"/>
          <w:rtl/>
        </w:rPr>
      </w:pPr>
      <w:r>
        <w:rPr>
          <w:rFonts w:hint="cs"/>
          <w:rtl/>
        </w:rPr>
        <w:tab/>
        <w:t>(53)</w:t>
      </w:r>
      <w:r>
        <w:rPr>
          <w:rFonts w:hint="cs"/>
          <w:rtl/>
        </w:rPr>
        <w:tab/>
        <w:t>انظر الحاشية 50 أعلاه.</w:t>
      </w:r>
    </w:p>
    <w:p w:rsidR="00000000" w:rsidRDefault="00567B15">
      <w:pPr>
        <w:spacing w:before="180" w:after="180" w:line="380" w:lineRule="exact"/>
        <w:jc w:val="both"/>
        <w:rPr>
          <w:rFonts w:hint="cs"/>
          <w:rtl/>
        </w:rPr>
      </w:pPr>
      <w:r>
        <w:rPr>
          <w:rFonts w:hint="cs"/>
          <w:rtl/>
        </w:rPr>
        <w:tab/>
        <w:t>(54)</w:t>
      </w:r>
      <w:r>
        <w:rPr>
          <w:rFonts w:hint="cs"/>
          <w:rtl/>
        </w:rPr>
        <w:tab/>
        <w:t>دراسة بشأن السكان وصحة الأم والطفل، 1994.</w:t>
      </w:r>
    </w:p>
    <w:p w:rsidR="00000000" w:rsidRDefault="00567B15">
      <w:pPr>
        <w:spacing w:before="180" w:after="180" w:line="380" w:lineRule="exact"/>
        <w:jc w:val="both"/>
        <w:rPr>
          <w:rFonts w:hint="cs"/>
          <w:rtl/>
        </w:rPr>
      </w:pPr>
      <w:r>
        <w:rPr>
          <w:rFonts w:hint="cs"/>
          <w:rtl/>
        </w:rPr>
        <w:tab/>
        <w:t>(55)</w:t>
      </w:r>
      <w:r>
        <w:rPr>
          <w:rFonts w:hint="cs"/>
          <w:rtl/>
        </w:rPr>
        <w:tab/>
        <w:t>دراسة بش</w:t>
      </w:r>
      <w:r>
        <w:rPr>
          <w:rFonts w:hint="cs"/>
          <w:rtl/>
        </w:rPr>
        <w:t>أن السكان وصحة الأم والطفل، 1999، التقرير الأولي.</w:t>
      </w:r>
    </w:p>
    <w:p w:rsidR="00000000" w:rsidRDefault="00567B15">
      <w:pPr>
        <w:spacing w:before="180" w:after="180" w:line="380" w:lineRule="exact"/>
        <w:jc w:val="both"/>
        <w:rPr>
          <w:rFonts w:hint="cs"/>
          <w:rtl/>
        </w:rPr>
      </w:pPr>
      <w:r>
        <w:rPr>
          <w:rFonts w:hint="cs"/>
          <w:rtl/>
        </w:rPr>
        <w:tab/>
        <w:t>(56)</w:t>
      </w:r>
      <w:r>
        <w:rPr>
          <w:rFonts w:hint="cs"/>
          <w:rtl/>
        </w:rPr>
        <w:tab/>
        <w:t>المرجع نفسه.</w:t>
      </w:r>
    </w:p>
    <w:p w:rsidR="00000000" w:rsidRDefault="00567B15">
      <w:pPr>
        <w:spacing w:before="180" w:after="180" w:line="380" w:lineRule="exact"/>
        <w:jc w:val="both"/>
        <w:rPr>
          <w:rFonts w:hint="cs"/>
          <w:spacing w:val="0"/>
          <w:rtl/>
        </w:rPr>
      </w:pPr>
      <w:r>
        <w:rPr>
          <w:rFonts w:hint="cs"/>
          <w:spacing w:val="0"/>
          <w:rtl/>
        </w:rPr>
        <w:tab/>
        <w:t>(57)</w:t>
      </w:r>
      <w:r>
        <w:rPr>
          <w:rFonts w:hint="cs"/>
          <w:spacing w:val="0"/>
          <w:rtl/>
        </w:rPr>
        <w:tab/>
        <w:t>المعهد الوطني للإحصاء وتعداد السكان، دراسة استقصائية عن الظروف المعيشية، 1994-1999.</w:t>
      </w:r>
    </w:p>
    <w:p w:rsidR="00000000" w:rsidRDefault="00567B15">
      <w:pPr>
        <w:spacing w:before="180" w:after="180" w:line="380" w:lineRule="exact"/>
        <w:jc w:val="both"/>
        <w:rPr>
          <w:rFonts w:hint="cs"/>
          <w:rtl/>
        </w:rPr>
      </w:pPr>
      <w:r>
        <w:rPr>
          <w:rFonts w:hint="cs"/>
          <w:rtl/>
        </w:rPr>
        <w:tab/>
        <w:t>(58)</w:t>
      </w:r>
      <w:r>
        <w:rPr>
          <w:rFonts w:hint="cs"/>
          <w:rtl/>
        </w:rPr>
        <w:tab/>
        <w:t>البرنامج الوطني للصحة الإنجابية، وزارة الصحة العامة، 1999.</w:t>
      </w:r>
    </w:p>
    <w:p w:rsidR="00000000" w:rsidRDefault="00567B15">
      <w:pPr>
        <w:spacing w:before="180" w:after="180" w:line="380" w:lineRule="exact"/>
        <w:jc w:val="both"/>
        <w:rPr>
          <w:rFonts w:hint="cs"/>
          <w:rtl/>
        </w:rPr>
      </w:pPr>
      <w:r>
        <w:rPr>
          <w:rFonts w:hint="cs"/>
          <w:rtl/>
        </w:rPr>
        <w:tab/>
        <w:t>(59)</w:t>
      </w:r>
      <w:r>
        <w:rPr>
          <w:rFonts w:hint="cs"/>
          <w:rtl/>
        </w:rPr>
        <w:tab/>
        <w:t>المعهد الوطني للإحصاء وتعد</w:t>
      </w:r>
      <w:r>
        <w:rPr>
          <w:rFonts w:hint="cs"/>
          <w:rtl/>
        </w:rPr>
        <w:t>اد السكان، إحصاءات أساسية، 1997.</w:t>
      </w:r>
    </w:p>
    <w:p w:rsidR="00000000" w:rsidRDefault="00567B15">
      <w:pPr>
        <w:spacing w:before="180" w:after="180" w:line="380" w:lineRule="exact"/>
        <w:jc w:val="both"/>
        <w:rPr>
          <w:rFonts w:hint="cs"/>
          <w:rtl/>
        </w:rPr>
      </w:pPr>
      <w:r>
        <w:rPr>
          <w:rFonts w:hint="cs"/>
          <w:rtl/>
        </w:rPr>
        <w:tab/>
        <w:t>(60)</w:t>
      </w:r>
      <w:r>
        <w:rPr>
          <w:rFonts w:hint="cs"/>
          <w:rtl/>
        </w:rPr>
        <w:tab/>
        <w:t>وزارة الصحة العامة، شعبة الإحصاء، الخدمات المقدمة.</w:t>
      </w:r>
    </w:p>
    <w:p w:rsidR="00000000" w:rsidRDefault="00567B15">
      <w:pPr>
        <w:spacing w:before="180" w:after="180" w:line="380" w:lineRule="exact"/>
        <w:jc w:val="both"/>
        <w:rPr>
          <w:rFonts w:hint="cs"/>
          <w:rtl/>
        </w:rPr>
      </w:pPr>
      <w:r>
        <w:rPr>
          <w:rFonts w:hint="cs"/>
          <w:rtl/>
        </w:rPr>
        <w:tab/>
        <w:t>(61)</w:t>
      </w:r>
      <w:r>
        <w:rPr>
          <w:rFonts w:hint="cs"/>
          <w:rtl/>
        </w:rPr>
        <w:tab/>
        <w:t>دراسة بشأن السكان وصحة الأم والطفل، 1999، التقرير الأولي.</w:t>
      </w:r>
    </w:p>
    <w:p w:rsidR="00000000" w:rsidRDefault="00567B15">
      <w:pPr>
        <w:spacing w:before="180" w:after="180" w:line="380" w:lineRule="exact"/>
        <w:jc w:val="both"/>
        <w:rPr>
          <w:rtl/>
        </w:rPr>
      </w:pPr>
      <w:r>
        <w:rPr>
          <w:rFonts w:hint="cs"/>
          <w:rtl/>
        </w:rPr>
        <w:tab/>
        <w:t>(62)</w:t>
      </w:r>
      <w:r>
        <w:rPr>
          <w:rFonts w:hint="cs"/>
          <w:rtl/>
        </w:rPr>
        <w:tab/>
      </w:r>
      <w:r>
        <w:rPr>
          <w:rFonts w:hint="cs"/>
          <w:spacing w:val="0"/>
          <w:rtl/>
        </w:rPr>
        <w:t xml:space="preserve">انظر </w:t>
      </w:r>
      <w:r>
        <w:rPr>
          <w:spacing w:val="0"/>
        </w:rPr>
        <w:t xml:space="preserve">A. Azbala B., </w:t>
      </w:r>
      <w:r>
        <w:rPr>
          <w:i/>
          <w:iCs/>
          <w:spacing w:val="0"/>
        </w:rPr>
        <w:t>Salud Mental entre la Crisis y la Esperanza - Salud Mental Indigena</w:t>
      </w:r>
      <w:r>
        <w:rPr>
          <w:rFonts w:hint="cs"/>
          <w:spacing w:val="0"/>
          <w:rtl/>
        </w:rPr>
        <w:t>،</w:t>
      </w:r>
      <w:r>
        <w:rPr>
          <w:rFonts w:hint="cs"/>
          <w:rtl/>
        </w:rPr>
        <w:t xml:space="preserve"> وزارة ال</w:t>
      </w:r>
      <w:r>
        <w:rPr>
          <w:rFonts w:hint="cs"/>
          <w:rtl/>
        </w:rPr>
        <w:t>صحة العامة.</w:t>
      </w:r>
    </w:p>
    <w:p w:rsidR="00000000" w:rsidRDefault="00567B15">
      <w:pPr>
        <w:spacing w:before="180" w:after="180" w:line="380" w:lineRule="exact"/>
        <w:jc w:val="center"/>
        <w:rPr>
          <w:rFonts w:hint="cs"/>
          <w:rtl/>
          <w:lang w:val="fr-CH"/>
        </w:rPr>
      </w:pPr>
      <w:r>
        <w:rPr>
          <w:rFonts w:hint="cs"/>
          <w:b/>
          <w:bCs/>
          <w:rtl/>
          <w:lang w:val="fr-CH"/>
        </w:rPr>
        <w:t>الحواشي</w:t>
      </w:r>
      <w:r>
        <w:rPr>
          <w:rFonts w:hint="cs"/>
          <w:rtl/>
          <w:lang w:val="fr-CH"/>
        </w:rPr>
        <w:t xml:space="preserve"> (</w:t>
      </w:r>
      <w:r>
        <w:rPr>
          <w:rFonts w:hint="cs"/>
          <w:u w:val="single"/>
          <w:rtl/>
          <w:lang w:val="fr-CH"/>
        </w:rPr>
        <w:t>تابع</w:t>
      </w:r>
      <w:r>
        <w:rPr>
          <w:rFonts w:hint="cs"/>
          <w:rtl/>
          <w:lang w:val="fr-CH"/>
        </w:rPr>
        <w:t>)</w:t>
      </w:r>
    </w:p>
    <w:p w:rsidR="00000000" w:rsidRDefault="00567B15">
      <w:pPr>
        <w:spacing w:before="180" w:after="180" w:line="380" w:lineRule="exact"/>
        <w:jc w:val="both"/>
        <w:rPr>
          <w:rFonts w:hint="cs"/>
          <w:rtl/>
        </w:rPr>
      </w:pPr>
      <w:r>
        <w:rPr>
          <w:rFonts w:hint="cs"/>
          <w:rtl/>
        </w:rPr>
        <w:tab/>
        <w:t>(63)</w:t>
      </w:r>
      <w:r>
        <w:rPr>
          <w:rFonts w:hint="cs"/>
          <w:rtl/>
        </w:rPr>
        <w:tab/>
        <w:t>المرجع نفسه.</w:t>
      </w:r>
    </w:p>
    <w:p w:rsidR="00000000" w:rsidRDefault="00567B15">
      <w:pPr>
        <w:spacing w:before="180" w:after="180" w:line="380" w:lineRule="exact"/>
        <w:jc w:val="both"/>
        <w:rPr>
          <w:rFonts w:hint="cs"/>
          <w:rtl/>
        </w:rPr>
      </w:pPr>
      <w:r>
        <w:rPr>
          <w:rFonts w:hint="cs"/>
          <w:rtl/>
        </w:rPr>
        <w:tab/>
        <w:t>(64)</w:t>
      </w:r>
      <w:r>
        <w:rPr>
          <w:rFonts w:hint="cs"/>
          <w:rtl/>
        </w:rPr>
        <w:tab/>
        <w:t>وزارة الصحة العامة، "سجل الدولة وسياسات الصحة الوطنية والإصلاح الدستوري".</w:t>
      </w:r>
    </w:p>
    <w:p w:rsidR="00000000" w:rsidRDefault="00567B15">
      <w:pPr>
        <w:spacing w:before="180" w:after="180" w:line="380" w:lineRule="exact"/>
        <w:jc w:val="both"/>
        <w:rPr>
          <w:rtl/>
        </w:rPr>
      </w:pPr>
      <w:r>
        <w:rPr>
          <w:rFonts w:hint="cs"/>
          <w:rtl/>
        </w:rPr>
        <w:tab/>
        <w:t>(65)</w:t>
      </w:r>
      <w:r>
        <w:rPr>
          <w:rFonts w:hint="cs"/>
          <w:rtl/>
        </w:rPr>
        <w:tab/>
      </w:r>
      <w:r>
        <w:rPr>
          <w:rFonts w:hint="cs"/>
          <w:spacing w:val="2"/>
          <w:rtl/>
        </w:rPr>
        <w:t xml:space="preserve">انظر </w:t>
      </w:r>
      <w:r>
        <w:rPr>
          <w:spacing w:val="2"/>
        </w:rPr>
        <w:t>J. Su</w:t>
      </w:r>
      <w:r>
        <w:rPr>
          <w:rFonts w:cs="Times New Roman"/>
          <w:spacing w:val="2"/>
        </w:rPr>
        <w:t>á</w:t>
      </w:r>
      <w:r>
        <w:rPr>
          <w:spacing w:val="2"/>
        </w:rPr>
        <w:t>rez, "Los proyectos locales de Promoci</w:t>
      </w:r>
      <w:r>
        <w:rPr>
          <w:rFonts w:cs="Times New Roman"/>
          <w:spacing w:val="2"/>
        </w:rPr>
        <w:t>ó</w:t>
      </w:r>
      <w:r>
        <w:rPr>
          <w:spacing w:val="2"/>
        </w:rPr>
        <w:t xml:space="preserve">n de la Salud", </w:t>
      </w:r>
      <w:r>
        <w:rPr>
          <w:i/>
          <w:iCs/>
          <w:spacing w:val="2"/>
        </w:rPr>
        <w:t>Boletin APS No. 3</w:t>
      </w:r>
      <w:r>
        <w:rPr>
          <w:rFonts w:hint="cs"/>
          <w:spacing w:val="2"/>
          <w:rtl/>
        </w:rPr>
        <w:t xml:space="preserve">، </w:t>
      </w:r>
      <w:r>
        <w:rPr>
          <w:rFonts w:hint="cs"/>
          <w:rtl/>
        </w:rPr>
        <w:t>وزارة الصحة العامة.</w:t>
      </w:r>
    </w:p>
    <w:p w:rsidR="00000000" w:rsidRDefault="00567B15">
      <w:pPr>
        <w:spacing w:before="180" w:after="180" w:line="380" w:lineRule="exact"/>
        <w:jc w:val="both"/>
        <w:rPr>
          <w:rFonts w:hint="cs"/>
          <w:rtl/>
        </w:rPr>
      </w:pPr>
      <w:r>
        <w:rPr>
          <w:rFonts w:hint="cs"/>
          <w:rtl/>
        </w:rPr>
        <w:tab/>
        <w:t>(66)</w:t>
      </w:r>
      <w:r>
        <w:rPr>
          <w:rFonts w:hint="cs"/>
          <w:rtl/>
        </w:rPr>
        <w:tab/>
        <w:t xml:space="preserve">انظر الحاشية </w:t>
      </w:r>
      <w:r>
        <w:rPr>
          <w:rFonts w:hint="cs"/>
          <w:rtl/>
        </w:rPr>
        <w:t>4 أعلاه.</w:t>
      </w:r>
    </w:p>
    <w:p w:rsidR="00000000" w:rsidRDefault="00567B15">
      <w:pPr>
        <w:spacing w:before="180" w:after="180" w:line="380" w:lineRule="exact"/>
        <w:jc w:val="both"/>
        <w:rPr>
          <w:rFonts w:hint="cs"/>
          <w:rtl/>
        </w:rPr>
      </w:pPr>
      <w:r>
        <w:rPr>
          <w:rFonts w:hint="cs"/>
          <w:rtl/>
        </w:rPr>
        <w:tab/>
        <w:t>(67)</w:t>
      </w:r>
      <w:r>
        <w:rPr>
          <w:rFonts w:hint="cs"/>
          <w:rtl/>
        </w:rPr>
        <w:tab/>
        <w:t>وزارة الصحة العامة، خطة الصحة الوطنية 2000-2005.</w:t>
      </w:r>
    </w:p>
    <w:p w:rsidR="00000000" w:rsidRDefault="00567B15">
      <w:pPr>
        <w:spacing w:before="180" w:after="180" w:line="380" w:lineRule="exact"/>
        <w:jc w:val="both"/>
        <w:rPr>
          <w:rFonts w:hint="cs"/>
          <w:rtl/>
        </w:rPr>
      </w:pPr>
      <w:r>
        <w:rPr>
          <w:rFonts w:hint="cs"/>
          <w:rtl/>
        </w:rPr>
        <w:tab/>
        <w:t>(68)</w:t>
      </w:r>
      <w:r>
        <w:rPr>
          <w:rFonts w:hint="cs"/>
          <w:rtl/>
        </w:rPr>
        <w:tab/>
        <w:t>الدستور (المادة 66).</w:t>
      </w:r>
    </w:p>
    <w:p w:rsidR="00000000" w:rsidRDefault="00567B15">
      <w:pPr>
        <w:spacing w:before="180" w:after="180" w:line="380" w:lineRule="exact"/>
        <w:jc w:val="both"/>
        <w:rPr>
          <w:rFonts w:hint="cs"/>
          <w:rtl/>
        </w:rPr>
      </w:pPr>
      <w:r>
        <w:rPr>
          <w:rFonts w:hint="cs"/>
          <w:rtl/>
        </w:rPr>
        <w:tab/>
        <w:t>(69)</w:t>
      </w:r>
      <w:r>
        <w:rPr>
          <w:rFonts w:hint="cs"/>
          <w:rtl/>
        </w:rPr>
        <w:tab/>
        <w:t>المعهد الوطني للإحصاء وتعداد السكان، دراسة استقصائية عن الظروف المعيشية، السلسلة الإحصائية، 1994-1999.</w:t>
      </w:r>
    </w:p>
    <w:p w:rsidR="00000000" w:rsidRDefault="00567B15">
      <w:pPr>
        <w:spacing w:before="180" w:after="180" w:line="380" w:lineRule="exact"/>
        <w:jc w:val="both"/>
        <w:rPr>
          <w:rFonts w:hint="cs"/>
          <w:rtl/>
        </w:rPr>
      </w:pPr>
      <w:r>
        <w:rPr>
          <w:rFonts w:hint="cs"/>
          <w:rtl/>
        </w:rPr>
        <w:tab/>
        <w:t>(70)</w:t>
      </w:r>
      <w:r>
        <w:rPr>
          <w:rFonts w:hint="cs"/>
          <w:rtl/>
        </w:rPr>
        <w:tab/>
        <w:t>المرجع نفسه.</w:t>
      </w:r>
    </w:p>
    <w:p w:rsidR="00000000" w:rsidRDefault="00567B15">
      <w:pPr>
        <w:spacing w:before="180" w:after="180" w:line="380" w:lineRule="exact"/>
        <w:jc w:val="both"/>
        <w:rPr>
          <w:rFonts w:hint="cs"/>
          <w:rtl/>
        </w:rPr>
      </w:pPr>
      <w:r>
        <w:rPr>
          <w:rFonts w:hint="cs"/>
          <w:rtl/>
        </w:rPr>
        <w:tab/>
        <w:t>(71)</w:t>
      </w:r>
      <w:r>
        <w:rPr>
          <w:rFonts w:hint="cs"/>
          <w:rtl/>
        </w:rPr>
        <w:tab/>
        <w:t>وزارة التربية والثقافة - برنامج</w:t>
      </w:r>
      <w:r>
        <w:rPr>
          <w:rFonts w:hint="cs"/>
          <w:rtl/>
        </w:rPr>
        <w:t xml:space="preserve"> الشبكات السهلة الاستخدام.</w:t>
      </w:r>
    </w:p>
    <w:p w:rsidR="00000000" w:rsidRDefault="00567B15">
      <w:pPr>
        <w:spacing w:before="180" w:after="180" w:line="380" w:lineRule="exact"/>
        <w:jc w:val="both"/>
        <w:rPr>
          <w:rFonts w:hint="cs"/>
          <w:rtl/>
        </w:rPr>
      </w:pPr>
      <w:r>
        <w:rPr>
          <w:rFonts w:hint="cs"/>
          <w:rtl/>
        </w:rPr>
        <w:tab/>
        <w:t>(72)</w:t>
      </w:r>
      <w:r>
        <w:rPr>
          <w:rFonts w:hint="cs"/>
          <w:rtl/>
        </w:rPr>
        <w:tab/>
        <w:t>التعداد الوطني للسكان، 21 تشرين الثاني/نوفمبر 2001.</w:t>
      </w:r>
    </w:p>
    <w:p w:rsidR="00000000" w:rsidRDefault="00567B15">
      <w:pPr>
        <w:spacing w:before="180" w:after="180" w:line="380" w:lineRule="exact"/>
        <w:jc w:val="both"/>
        <w:rPr>
          <w:rFonts w:hint="cs"/>
          <w:rtl/>
        </w:rPr>
      </w:pPr>
      <w:r>
        <w:rPr>
          <w:rFonts w:hint="cs"/>
          <w:rtl/>
        </w:rPr>
        <w:tab/>
        <w:t>(73)</w:t>
      </w:r>
      <w:r>
        <w:rPr>
          <w:rFonts w:hint="cs"/>
          <w:rtl/>
        </w:rPr>
        <w:tab/>
        <w:t>خطة التنمية الاجتماعية الوطنية الإكوادورية، 1996-2005، أمانة الجبهة الاجتماعية.</w:t>
      </w:r>
    </w:p>
    <w:p w:rsidR="00000000" w:rsidRDefault="00567B15">
      <w:pPr>
        <w:spacing w:before="180" w:after="180" w:line="380" w:lineRule="exact"/>
        <w:jc w:val="both"/>
        <w:rPr>
          <w:rtl/>
        </w:rPr>
      </w:pPr>
      <w:r>
        <w:rPr>
          <w:rFonts w:hint="cs"/>
          <w:spacing w:val="2"/>
          <w:rtl/>
        </w:rPr>
        <w:tab/>
        <w:t>(74)</w:t>
      </w:r>
      <w:r>
        <w:rPr>
          <w:rFonts w:hint="cs"/>
          <w:spacing w:val="2"/>
          <w:rtl/>
        </w:rPr>
        <w:tab/>
        <w:t xml:space="preserve">انظر </w:t>
      </w:r>
      <w:r>
        <w:rPr>
          <w:i/>
          <w:iCs/>
          <w:spacing w:val="2"/>
        </w:rPr>
        <w:t>Intercultural Bilingual Education Statistical Yearbook</w:t>
      </w:r>
      <w:r>
        <w:rPr>
          <w:spacing w:val="2"/>
        </w:rPr>
        <w:t>, 1989-1998 school y</w:t>
      </w:r>
      <w:r>
        <w:rPr>
          <w:spacing w:val="2"/>
        </w:rPr>
        <w:t xml:space="preserve">ears </w:t>
      </w:r>
      <w:r>
        <w:rPr>
          <w:rFonts w:hint="cs"/>
          <w:spacing w:val="2"/>
          <w:rtl/>
        </w:rPr>
        <w:t>،</w:t>
      </w:r>
      <w:r>
        <w:rPr>
          <w:rFonts w:hint="cs"/>
          <w:rtl/>
        </w:rPr>
        <w:t xml:space="preserve"> مشروع وزارة التربية والثقافة، </w:t>
      </w:r>
      <w:r>
        <w:t>EBI/GTC DINEIB</w:t>
      </w:r>
      <w:r>
        <w:rPr>
          <w:rFonts w:hint="cs"/>
          <w:rtl/>
        </w:rPr>
        <w:t>.</w:t>
      </w:r>
    </w:p>
    <w:p w:rsidR="00000000" w:rsidRDefault="00567B15">
      <w:pPr>
        <w:spacing w:before="180" w:after="180" w:line="380" w:lineRule="exact"/>
        <w:jc w:val="both"/>
        <w:rPr>
          <w:rFonts w:hint="cs"/>
          <w:rtl/>
        </w:rPr>
      </w:pPr>
      <w:r>
        <w:rPr>
          <w:rFonts w:hint="cs"/>
          <w:rtl/>
        </w:rPr>
        <w:tab/>
        <w:t>(75)</w:t>
      </w:r>
      <w:r>
        <w:rPr>
          <w:rFonts w:hint="cs"/>
          <w:rtl/>
        </w:rPr>
        <w:tab/>
        <w:t>المرجع نفسه.</w:t>
      </w:r>
    </w:p>
    <w:p w:rsidR="00000000" w:rsidRDefault="00567B15">
      <w:pPr>
        <w:spacing w:before="180" w:after="180" w:line="380" w:lineRule="exact"/>
        <w:jc w:val="both"/>
        <w:rPr>
          <w:rFonts w:hint="cs"/>
          <w:rtl/>
        </w:rPr>
      </w:pPr>
      <w:r>
        <w:rPr>
          <w:rFonts w:hint="cs"/>
          <w:rtl/>
        </w:rPr>
        <w:tab/>
        <w:t>(76)</w:t>
      </w:r>
      <w:r>
        <w:rPr>
          <w:rFonts w:hint="cs"/>
          <w:rtl/>
        </w:rPr>
        <w:tab/>
        <w:t>انظر الحاشية 73 أعلاه.</w:t>
      </w:r>
    </w:p>
    <w:p w:rsidR="00000000" w:rsidRDefault="00567B15">
      <w:pPr>
        <w:spacing w:before="180" w:after="180" w:line="380" w:lineRule="exact"/>
        <w:jc w:val="center"/>
        <w:rPr>
          <w:rFonts w:hint="cs"/>
          <w:rtl/>
        </w:rPr>
      </w:pPr>
      <w:r>
        <w:rPr>
          <w:rFonts w:hint="cs"/>
          <w:rtl/>
        </w:rPr>
        <w:t>ـ ـ ـ ـ ـ</w:t>
      </w:r>
    </w:p>
    <w:p w:rsidR="00000000" w:rsidRDefault="00567B15">
      <w:pPr>
        <w:spacing w:before="180" w:after="180" w:line="380" w:lineRule="exact"/>
        <w:jc w:val="both"/>
        <w:rPr>
          <w:rFonts w:hint="cs"/>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B15">
    <w:pPr>
      <w:pStyle w:val="Footer"/>
      <w:bidi w:val="0"/>
      <w:jc w:val="right"/>
      <w:rPr>
        <w:rtl/>
        <w:lang w:eastAsia="en-US"/>
      </w:rPr>
    </w:pPr>
    <w:r>
      <w:rPr>
        <w:szCs w:val="22"/>
        <w:lang w:eastAsia="en-US"/>
      </w:rPr>
      <w:t>(A)     GE</w:t>
    </w:r>
    <w:r>
      <w:rPr>
        <w:szCs w:val="22"/>
        <w:lang w:eastAsia="en-US"/>
      </w:rPr>
      <w:t>.02-46408    200503    160603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567B15" w:rsidTr="00567B15">
      <w:tblPrEx>
        <w:tblCellMar>
          <w:top w:w="0" w:type="dxa"/>
          <w:bottom w:w="0" w:type="dxa"/>
        </w:tblCellMar>
      </w:tblPrEx>
      <w:tc>
        <w:tcPr>
          <w:tcW w:w="1934" w:type="dxa"/>
        </w:tcPr>
        <w:p w:rsidR="00000000" w:rsidRDefault="00567B15">
          <w:pPr>
            <w:pStyle w:val="Header"/>
            <w:bidi w:val="0"/>
            <w:rPr>
              <w:lang w:val="fr-CH"/>
            </w:rPr>
          </w:pPr>
          <w:r>
            <w:rPr>
              <w:lang w:val="fr-CH"/>
            </w:rPr>
            <w:t>E/1990/6/Add.36</w:t>
          </w:r>
        </w:p>
        <w:p w:rsidR="00000000" w:rsidRDefault="00567B15">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96</w:t>
          </w:r>
          <w:r>
            <w:fldChar w:fldCharType="end"/>
          </w:r>
        </w:p>
      </w:tc>
    </w:tr>
  </w:tbl>
  <w:p w:rsidR="00000000" w:rsidRDefault="00567B15">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B15">
    <w:pPr>
      <w:pStyle w:val="Header"/>
      <w:bidi w:val="0"/>
      <w:rPr>
        <w:lang w:val="fr-CH"/>
      </w:rPr>
    </w:pPr>
    <w:r>
      <w:rPr>
        <w:lang w:val="fr-CH"/>
      </w:rPr>
      <w:t>E/1990/6/Add.36</w:t>
    </w:r>
  </w:p>
  <w:p w:rsidR="00000000" w:rsidRDefault="00567B15">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97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B1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67B15">
    <w:pPr>
      <w:pBdr>
        <w:bottom w:val="single" w:sz="6" w:space="1" w:color="auto"/>
      </w:pBdr>
      <w:bidi w:val="0"/>
      <w:spacing w:before="0" w:after="0"/>
      <w:rPr>
        <w:rFonts w:cs="Times New Roman"/>
        <w:szCs w:val="22"/>
        <w:lang w:eastAsia="en-US"/>
      </w:rPr>
    </w:pPr>
  </w:p>
  <w:p w:rsidR="00000000" w:rsidRDefault="00567B1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68448" r:id="rId2"/>
      </w:pict>
    </w:r>
  </w:p>
  <w:p w:rsidR="00000000" w:rsidRDefault="00567B1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67B1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67B15">
    <w:pPr>
      <w:pStyle w:val="Header"/>
      <w:bidi w:val="0"/>
      <w:rPr>
        <w:szCs w:val="22"/>
        <w:lang w:eastAsia="en-US"/>
      </w:rPr>
    </w:pPr>
  </w:p>
  <w:p w:rsidR="00000000" w:rsidRDefault="00567B15">
    <w:pPr>
      <w:pStyle w:val="Header"/>
      <w:bidi w:val="0"/>
      <w:rPr>
        <w:szCs w:val="22"/>
        <w:lang w:eastAsia="en-US"/>
      </w:rPr>
    </w:pPr>
  </w:p>
  <w:p w:rsidR="00000000" w:rsidRDefault="00567B15">
    <w:pPr>
      <w:pStyle w:val="Header"/>
      <w:bidi w:val="0"/>
      <w:rPr>
        <w:szCs w:val="22"/>
        <w:lang w:eastAsia="en-US"/>
      </w:rPr>
    </w:pPr>
  </w:p>
  <w:p w:rsidR="00000000" w:rsidRDefault="00567B15">
    <w:pPr>
      <w:pStyle w:val="Header"/>
      <w:bidi w:val="0"/>
      <w:rPr>
        <w:szCs w:val="22"/>
        <w:lang w:eastAsia="en-US"/>
      </w:rPr>
    </w:pPr>
  </w:p>
  <w:p w:rsidR="00000000" w:rsidRDefault="00567B15">
    <w:pPr>
      <w:pStyle w:val="Header"/>
      <w:bidi w:val="0"/>
      <w:rPr>
        <w:rtl/>
        <w:lang w:eastAsia="en-US"/>
      </w:rPr>
    </w:pPr>
  </w:p>
  <w:p w:rsidR="00000000" w:rsidRDefault="00567B15">
    <w:pPr>
      <w:pStyle w:val="Header"/>
      <w:bidi w:val="0"/>
      <w:rPr>
        <w:rtl/>
        <w:lang w:eastAsia="en-US"/>
      </w:rPr>
    </w:pPr>
  </w:p>
  <w:p w:rsidR="00000000" w:rsidRDefault="00567B1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right="1492" w:hanging="360"/>
      </w:pPr>
    </w:lvl>
  </w:abstractNum>
  <w:abstractNum w:abstractNumId="1">
    <w:nsid w:val="FFFFFF7D"/>
    <w:multiLevelType w:val="singleLevel"/>
    <w:tmpl w:val="049C31D0"/>
    <w:lvl w:ilvl="0">
      <w:start w:val="1"/>
      <w:numFmt w:val="decimal"/>
      <w:lvlText w:val="%1."/>
      <w:lvlJc w:val="left"/>
      <w:pPr>
        <w:tabs>
          <w:tab w:val="num" w:pos="1209"/>
        </w:tabs>
        <w:ind w:left="1209" w:right="1209" w:hanging="360"/>
      </w:pPr>
    </w:lvl>
  </w:abstractNum>
  <w:abstractNum w:abstractNumId="2">
    <w:nsid w:val="FFFFFF7E"/>
    <w:multiLevelType w:val="singleLevel"/>
    <w:tmpl w:val="A886D17A"/>
    <w:lvl w:ilvl="0">
      <w:start w:val="1"/>
      <w:numFmt w:val="decimal"/>
      <w:lvlText w:val="%1."/>
      <w:lvlJc w:val="left"/>
      <w:pPr>
        <w:tabs>
          <w:tab w:val="num" w:pos="926"/>
        </w:tabs>
        <w:ind w:left="926" w:right="926" w:hanging="360"/>
      </w:pPr>
    </w:lvl>
  </w:abstractNum>
  <w:abstractNum w:abstractNumId="3">
    <w:nsid w:val="FFFFFF7F"/>
    <w:multiLevelType w:val="singleLevel"/>
    <w:tmpl w:val="71BEECD4"/>
    <w:lvl w:ilvl="0">
      <w:start w:val="1"/>
      <w:numFmt w:val="decimal"/>
      <w:lvlText w:val="%1."/>
      <w:lvlJc w:val="left"/>
      <w:pPr>
        <w:tabs>
          <w:tab w:val="num" w:pos="643"/>
        </w:tabs>
        <w:ind w:left="643" w:right="643" w:hanging="360"/>
      </w:pPr>
    </w:lvl>
  </w:abstractNum>
  <w:abstractNum w:abstractNumId="4">
    <w:nsid w:val="FFFFFF80"/>
    <w:multiLevelType w:val="singleLevel"/>
    <w:tmpl w:val="923CA320"/>
    <w:lvl w:ilvl="0">
      <w:start w:val="1"/>
      <w:numFmt w:val="bullet"/>
      <w:lvlText w:val=""/>
      <w:lvlJc w:val="left"/>
      <w:pPr>
        <w:tabs>
          <w:tab w:val="num" w:pos="1492"/>
        </w:tabs>
        <w:ind w:left="1492" w:righ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righ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righ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right="643" w:hanging="360"/>
      </w:pPr>
      <w:rPr>
        <w:rFonts w:ascii="Symbol" w:hAnsi="Symbol" w:hint="default"/>
      </w:rPr>
    </w:lvl>
  </w:abstractNum>
  <w:abstractNum w:abstractNumId="8">
    <w:nsid w:val="FFFFFF88"/>
    <w:multiLevelType w:val="singleLevel"/>
    <w:tmpl w:val="A156D032"/>
    <w:lvl w:ilvl="0">
      <w:start w:val="1"/>
      <w:numFmt w:val="decimal"/>
      <w:lvlText w:val="%1."/>
      <w:lvlJc w:val="left"/>
      <w:pPr>
        <w:tabs>
          <w:tab w:val="num" w:pos="360"/>
        </w:tabs>
        <w:ind w:left="360" w:righ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0C22DF6"/>
    <w:multiLevelType w:val="hybridMultilevel"/>
    <w:tmpl w:val="0360D4D8"/>
    <w:lvl w:ilvl="0" w:tplc="65328E8C">
      <w:start w:val="1"/>
      <w:numFmt w:val="bullet"/>
      <w:lvlText w:val=""/>
      <w:lvlJc w:val="left"/>
      <w:pPr>
        <w:tabs>
          <w:tab w:val="num" w:pos="1800"/>
        </w:tabs>
        <w:ind w:left="1797" w:right="1797" w:hanging="357"/>
      </w:pPr>
      <w:rPr>
        <w:rFonts w:ascii="Symbol" w:hAnsi="Symbol" w:hint="default"/>
      </w:rPr>
    </w:lvl>
    <w:lvl w:ilvl="1" w:tplc="04090003" w:tentative="1">
      <w:start w:val="1"/>
      <w:numFmt w:val="bullet"/>
      <w:lvlText w:val="o"/>
      <w:lvlJc w:val="left"/>
      <w:pPr>
        <w:tabs>
          <w:tab w:val="num" w:pos="2880"/>
        </w:tabs>
        <w:ind w:left="2880" w:right="2880" w:hanging="360"/>
      </w:pPr>
      <w:rPr>
        <w:rFonts w:ascii="Courier New" w:hAnsi="Courier New" w:hint="default"/>
      </w:rPr>
    </w:lvl>
    <w:lvl w:ilvl="2" w:tplc="04090005" w:tentative="1">
      <w:start w:val="1"/>
      <w:numFmt w:val="bullet"/>
      <w:lvlText w:val=""/>
      <w:lvlJc w:val="left"/>
      <w:pPr>
        <w:tabs>
          <w:tab w:val="num" w:pos="3600"/>
        </w:tabs>
        <w:ind w:left="3600" w:right="3600" w:hanging="360"/>
      </w:pPr>
      <w:rPr>
        <w:rFonts w:ascii="Wingdings" w:hAnsi="Wingdings" w:hint="default"/>
      </w:rPr>
    </w:lvl>
    <w:lvl w:ilvl="3" w:tplc="04090001" w:tentative="1">
      <w:start w:val="1"/>
      <w:numFmt w:val="bullet"/>
      <w:lvlText w:val=""/>
      <w:lvlJc w:val="left"/>
      <w:pPr>
        <w:tabs>
          <w:tab w:val="num" w:pos="4320"/>
        </w:tabs>
        <w:ind w:left="4320" w:right="4320" w:hanging="360"/>
      </w:pPr>
      <w:rPr>
        <w:rFonts w:ascii="Symbol" w:hAnsi="Symbol" w:hint="default"/>
      </w:rPr>
    </w:lvl>
    <w:lvl w:ilvl="4" w:tplc="04090003" w:tentative="1">
      <w:start w:val="1"/>
      <w:numFmt w:val="bullet"/>
      <w:lvlText w:val="o"/>
      <w:lvlJc w:val="left"/>
      <w:pPr>
        <w:tabs>
          <w:tab w:val="num" w:pos="5040"/>
        </w:tabs>
        <w:ind w:left="5040" w:right="5040" w:hanging="360"/>
      </w:pPr>
      <w:rPr>
        <w:rFonts w:ascii="Courier New" w:hAnsi="Courier New" w:hint="default"/>
      </w:rPr>
    </w:lvl>
    <w:lvl w:ilvl="5" w:tplc="04090005" w:tentative="1">
      <w:start w:val="1"/>
      <w:numFmt w:val="bullet"/>
      <w:lvlText w:val=""/>
      <w:lvlJc w:val="left"/>
      <w:pPr>
        <w:tabs>
          <w:tab w:val="num" w:pos="5760"/>
        </w:tabs>
        <w:ind w:left="5760" w:right="5760" w:hanging="360"/>
      </w:pPr>
      <w:rPr>
        <w:rFonts w:ascii="Wingdings" w:hAnsi="Wingdings" w:hint="default"/>
      </w:rPr>
    </w:lvl>
    <w:lvl w:ilvl="6" w:tplc="04090001" w:tentative="1">
      <w:start w:val="1"/>
      <w:numFmt w:val="bullet"/>
      <w:lvlText w:val=""/>
      <w:lvlJc w:val="left"/>
      <w:pPr>
        <w:tabs>
          <w:tab w:val="num" w:pos="6480"/>
        </w:tabs>
        <w:ind w:left="6480" w:right="6480" w:hanging="360"/>
      </w:pPr>
      <w:rPr>
        <w:rFonts w:ascii="Symbol" w:hAnsi="Symbol" w:hint="default"/>
      </w:rPr>
    </w:lvl>
    <w:lvl w:ilvl="7" w:tplc="04090003" w:tentative="1">
      <w:start w:val="1"/>
      <w:numFmt w:val="bullet"/>
      <w:lvlText w:val="o"/>
      <w:lvlJc w:val="left"/>
      <w:pPr>
        <w:tabs>
          <w:tab w:val="num" w:pos="7200"/>
        </w:tabs>
        <w:ind w:left="7200" w:right="7200" w:hanging="360"/>
      </w:pPr>
      <w:rPr>
        <w:rFonts w:ascii="Courier New" w:hAnsi="Courier New" w:hint="default"/>
      </w:rPr>
    </w:lvl>
    <w:lvl w:ilvl="8" w:tplc="04090005" w:tentative="1">
      <w:start w:val="1"/>
      <w:numFmt w:val="bullet"/>
      <w:lvlText w:val=""/>
      <w:lvlJc w:val="left"/>
      <w:pPr>
        <w:tabs>
          <w:tab w:val="num" w:pos="7920"/>
        </w:tabs>
        <w:ind w:left="7920" w:right="792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right="1440" w:hanging="720"/>
      </w:pPr>
    </w:lvl>
  </w:abstractNum>
  <w:abstractNum w:abstractNumId="1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08CE72D2"/>
    <w:multiLevelType w:val="singleLevel"/>
    <w:tmpl w:val="0409000F"/>
    <w:lvl w:ilvl="0">
      <w:start w:val="1"/>
      <w:numFmt w:val="decimal"/>
      <w:lvlText w:val="%1."/>
      <w:lvlJc w:val="left"/>
      <w:pPr>
        <w:tabs>
          <w:tab w:val="num" w:pos="360"/>
        </w:tabs>
        <w:ind w:left="360" w:right="360" w:hanging="360"/>
      </w:pPr>
    </w:lvl>
  </w:abstractNum>
  <w:abstractNum w:abstractNumId="14">
    <w:nsid w:val="0AC26C62"/>
    <w:multiLevelType w:val="singleLevel"/>
    <w:tmpl w:val="561E0F3E"/>
    <w:lvl w:ilvl="0">
      <w:start w:val="1"/>
      <w:numFmt w:val="decimal"/>
      <w:lvlText w:val="%1."/>
      <w:lvlJc w:val="left"/>
      <w:pPr>
        <w:tabs>
          <w:tab w:val="num" w:pos="720"/>
        </w:tabs>
        <w:ind w:left="720" w:right="720" w:hanging="720"/>
      </w:pPr>
    </w:lvl>
  </w:abstractNum>
  <w:abstractNum w:abstractNumId="15">
    <w:nsid w:val="0BDD47E1"/>
    <w:multiLevelType w:val="hybridMultilevel"/>
    <w:tmpl w:val="688C5826"/>
    <w:lvl w:ilvl="0" w:tplc="5C8E4FF6">
      <w:start w:val="1"/>
      <w:numFmt w:val="arabicAbjad"/>
      <w:lvlText w:val="(%1)"/>
      <w:lvlJc w:val="left"/>
      <w:pPr>
        <w:tabs>
          <w:tab w:val="num" w:pos="360"/>
        </w:tabs>
        <w:ind w:left="0" w:right="0" w:firstLine="0"/>
      </w:pPr>
    </w:lvl>
    <w:lvl w:ilvl="1" w:tplc="04010019">
      <w:start w:val="1"/>
      <w:numFmt w:val="decimal"/>
      <w:lvlText w:val="%2."/>
      <w:lvlJc w:val="left"/>
      <w:pPr>
        <w:tabs>
          <w:tab w:val="num" w:pos="1440"/>
        </w:tabs>
        <w:ind w:left="1440" w:right="1440" w:hanging="360"/>
      </w:pPr>
    </w:lvl>
    <w:lvl w:ilvl="2" w:tplc="0401001B">
      <w:start w:val="1"/>
      <w:numFmt w:val="decimal"/>
      <w:lvlText w:val="%3."/>
      <w:lvlJc w:val="left"/>
      <w:pPr>
        <w:tabs>
          <w:tab w:val="num" w:pos="2160"/>
        </w:tabs>
        <w:ind w:left="2160" w:right="2160" w:hanging="360"/>
      </w:pPr>
    </w:lvl>
    <w:lvl w:ilvl="3" w:tplc="0401000F">
      <w:start w:val="1"/>
      <w:numFmt w:val="decimal"/>
      <w:lvlText w:val="%4."/>
      <w:lvlJc w:val="left"/>
      <w:pPr>
        <w:tabs>
          <w:tab w:val="num" w:pos="2880"/>
        </w:tabs>
        <w:ind w:left="2880" w:right="2880" w:hanging="360"/>
      </w:pPr>
    </w:lvl>
    <w:lvl w:ilvl="4" w:tplc="04010019">
      <w:start w:val="1"/>
      <w:numFmt w:val="decimal"/>
      <w:lvlText w:val="%5."/>
      <w:lvlJc w:val="left"/>
      <w:pPr>
        <w:tabs>
          <w:tab w:val="num" w:pos="3600"/>
        </w:tabs>
        <w:ind w:left="3600" w:right="3600" w:hanging="360"/>
      </w:pPr>
    </w:lvl>
    <w:lvl w:ilvl="5" w:tplc="0401001B">
      <w:start w:val="1"/>
      <w:numFmt w:val="decimal"/>
      <w:lvlText w:val="%6."/>
      <w:lvlJc w:val="left"/>
      <w:pPr>
        <w:tabs>
          <w:tab w:val="num" w:pos="4320"/>
        </w:tabs>
        <w:ind w:left="4320" w:right="4320" w:hanging="360"/>
      </w:pPr>
    </w:lvl>
    <w:lvl w:ilvl="6" w:tplc="0401000F">
      <w:start w:val="1"/>
      <w:numFmt w:val="decimal"/>
      <w:lvlText w:val="%7."/>
      <w:lvlJc w:val="left"/>
      <w:pPr>
        <w:tabs>
          <w:tab w:val="num" w:pos="5040"/>
        </w:tabs>
        <w:ind w:left="5040" w:right="5040" w:hanging="360"/>
      </w:pPr>
    </w:lvl>
    <w:lvl w:ilvl="7" w:tplc="04010019">
      <w:start w:val="1"/>
      <w:numFmt w:val="decimal"/>
      <w:lvlText w:val="%8."/>
      <w:lvlJc w:val="left"/>
      <w:pPr>
        <w:tabs>
          <w:tab w:val="num" w:pos="5760"/>
        </w:tabs>
        <w:ind w:left="5760" w:right="5760" w:hanging="360"/>
      </w:pPr>
    </w:lvl>
    <w:lvl w:ilvl="8" w:tplc="0401001B">
      <w:start w:val="1"/>
      <w:numFmt w:val="decimal"/>
      <w:lvlText w:val="%9."/>
      <w:lvlJc w:val="left"/>
      <w:pPr>
        <w:tabs>
          <w:tab w:val="num" w:pos="6480"/>
        </w:tabs>
        <w:ind w:left="6480" w:right="6480" w:hanging="360"/>
      </w:pPr>
    </w:lvl>
  </w:abstractNum>
  <w:abstractNum w:abstractNumId="16">
    <w:nsid w:val="0C2069F6"/>
    <w:multiLevelType w:val="hybridMultilevel"/>
    <w:tmpl w:val="AD0A083E"/>
    <w:lvl w:ilvl="0" w:tplc="50A07FE0">
      <w:start w:val="1"/>
      <w:numFmt w:val="bullet"/>
      <w:lvlText w:val=""/>
      <w:lvlJc w:val="left"/>
      <w:pPr>
        <w:tabs>
          <w:tab w:val="num" w:pos="360"/>
        </w:tabs>
        <w:ind w:left="357" w:right="35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right="720" w:hanging="720"/>
      </w:pPr>
    </w:lvl>
  </w:abstractNum>
  <w:abstractNum w:abstractNumId="18">
    <w:nsid w:val="1F426513"/>
    <w:multiLevelType w:val="hybridMultilevel"/>
    <w:tmpl w:val="C2F267DA"/>
    <w:lvl w:ilvl="0" w:tplc="138412C4">
      <w:start w:val="1"/>
      <w:numFmt w:val="bullet"/>
      <w:lvlText w:val=""/>
      <w:lvlJc w:val="left"/>
      <w:pPr>
        <w:tabs>
          <w:tab w:val="num" w:pos="1794"/>
        </w:tabs>
        <w:ind w:left="1791" w:right="1791" w:hanging="357"/>
      </w:pPr>
      <w:rPr>
        <w:rFonts w:ascii="Symbol" w:hAnsi="Symbol" w:hint="default"/>
      </w:rPr>
    </w:lvl>
    <w:lvl w:ilvl="1" w:tplc="04090003" w:tentative="1">
      <w:start w:val="1"/>
      <w:numFmt w:val="bullet"/>
      <w:lvlText w:val="o"/>
      <w:lvlJc w:val="left"/>
      <w:pPr>
        <w:tabs>
          <w:tab w:val="num" w:pos="2874"/>
        </w:tabs>
        <w:ind w:left="2874" w:right="2874" w:hanging="360"/>
      </w:pPr>
      <w:rPr>
        <w:rFonts w:ascii="Courier New" w:hAnsi="Courier New" w:hint="default"/>
      </w:rPr>
    </w:lvl>
    <w:lvl w:ilvl="2" w:tplc="04090005" w:tentative="1">
      <w:start w:val="1"/>
      <w:numFmt w:val="bullet"/>
      <w:lvlText w:val=""/>
      <w:lvlJc w:val="left"/>
      <w:pPr>
        <w:tabs>
          <w:tab w:val="num" w:pos="3594"/>
        </w:tabs>
        <w:ind w:left="3594" w:right="3594" w:hanging="360"/>
      </w:pPr>
      <w:rPr>
        <w:rFonts w:ascii="Wingdings" w:hAnsi="Wingdings" w:hint="default"/>
      </w:rPr>
    </w:lvl>
    <w:lvl w:ilvl="3" w:tplc="04090001" w:tentative="1">
      <w:start w:val="1"/>
      <w:numFmt w:val="bullet"/>
      <w:lvlText w:val=""/>
      <w:lvlJc w:val="left"/>
      <w:pPr>
        <w:tabs>
          <w:tab w:val="num" w:pos="4314"/>
        </w:tabs>
        <w:ind w:left="4314" w:right="4314" w:hanging="360"/>
      </w:pPr>
      <w:rPr>
        <w:rFonts w:ascii="Symbol" w:hAnsi="Symbol" w:hint="default"/>
      </w:rPr>
    </w:lvl>
    <w:lvl w:ilvl="4" w:tplc="04090003" w:tentative="1">
      <w:start w:val="1"/>
      <w:numFmt w:val="bullet"/>
      <w:lvlText w:val="o"/>
      <w:lvlJc w:val="left"/>
      <w:pPr>
        <w:tabs>
          <w:tab w:val="num" w:pos="5034"/>
        </w:tabs>
        <w:ind w:left="5034" w:right="5034" w:hanging="360"/>
      </w:pPr>
      <w:rPr>
        <w:rFonts w:ascii="Courier New" w:hAnsi="Courier New" w:hint="default"/>
      </w:rPr>
    </w:lvl>
    <w:lvl w:ilvl="5" w:tplc="04090005" w:tentative="1">
      <w:start w:val="1"/>
      <w:numFmt w:val="bullet"/>
      <w:lvlText w:val=""/>
      <w:lvlJc w:val="left"/>
      <w:pPr>
        <w:tabs>
          <w:tab w:val="num" w:pos="5754"/>
        </w:tabs>
        <w:ind w:left="5754" w:right="5754" w:hanging="360"/>
      </w:pPr>
      <w:rPr>
        <w:rFonts w:ascii="Wingdings" w:hAnsi="Wingdings" w:hint="default"/>
      </w:rPr>
    </w:lvl>
    <w:lvl w:ilvl="6" w:tplc="04090001" w:tentative="1">
      <w:start w:val="1"/>
      <w:numFmt w:val="bullet"/>
      <w:lvlText w:val=""/>
      <w:lvlJc w:val="left"/>
      <w:pPr>
        <w:tabs>
          <w:tab w:val="num" w:pos="6474"/>
        </w:tabs>
        <w:ind w:left="6474" w:right="6474" w:hanging="360"/>
      </w:pPr>
      <w:rPr>
        <w:rFonts w:ascii="Symbol" w:hAnsi="Symbol" w:hint="default"/>
      </w:rPr>
    </w:lvl>
    <w:lvl w:ilvl="7" w:tplc="04090003" w:tentative="1">
      <w:start w:val="1"/>
      <w:numFmt w:val="bullet"/>
      <w:lvlText w:val="o"/>
      <w:lvlJc w:val="left"/>
      <w:pPr>
        <w:tabs>
          <w:tab w:val="num" w:pos="7194"/>
        </w:tabs>
        <w:ind w:left="7194" w:right="7194" w:hanging="360"/>
      </w:pPr>
      <w:rPr>
        <w:rFonts w:ascii="Courier New" w:hAnsi="Courier New" w:hint="default"/>
      </w:rPr>
    </w:lvl>
    <w:lvl w:ilvl="8" w:tplc="04090005" w:tentative="1">
      <w:start w:val="1"/>
      <w:numFmt w:val="bullet"/>
      <w:lvlText w:val=""/>
      <w:lvlJc w:val="left"/>
      <w:pPr>
        <w:tabs>
          <w:tab w:val="num" w:pos="7914"/>
        </w:tabs>
        <w:ind w:left="7914" w:right="7914" w:hanging="360"/>
      </w:pPr>
      <w:rPr>
        <w:rFonts w:ascii="Wingdings" w:hAnsi="Wingdings" w:hint="default"/>
      </w:rPr>
    </w:lvl>
  </w:abstractNum>
  <w:abstractNum w:abstractNumId="19">
    <w:nsid w:val="1F652D3C"/>
    <w:multiLevelType w:val="hybridMultilevel"/>
    <w:tmpl w:val="2A72C208"/>
    <w:lvl w:ilvl="0" w:tplc="138412C4">
      <w:start w:val="1"/>
      <w:numFmt w:val="bullet"/>
      <w:lvlText w:val=""/>
      <w:lvlJc w:val="left"/>
      <w:pPr>
        <w:tabs>
          <w:tab w:val="num" w:pos="360"/>
        </w:tabs>
        <w:ind w:left="357" w:right="35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28CD6D78"/>
    <w:multiLevelType w:val="hybridMultilevel"/>
    <w:tmpl w:val="E620F7D4"/>
    <w:lvl w:ilvl="0" w:tplc="F022FB68">
      <w:start w:val="1"/>
      <w:numFmt w:val="decimal"/>
      <w:lvlText w:val="(%1)"/>
      <w:lvlJc w:val="left"/>
      <w:pPr>
        <w:tabs>
          <w:tab w:val="num" w:pos="1080"/>
        </w:tabs>
        <w:ind w:left="0" w:right="0" w:firstLine="7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22">
    <w:nsid w:val="2B3F49C6"/>
    <w:multiLevelType w:val="singleLevel"/>
    <w:tmpl w:val="993C2E68"/>
    <w:lvl w:ilvl="0">
      <w:start w:val="1"/>
      <w:numFmt w:val="lowerRoman"/>
      <w:lvlText w:val="(%1)"/>
      <w:lvlJc w:val="right"/>
      <w:pPr>
        <w:tabs>
          <w:tab w:val="num" w:pos="2160"/>
        </w:tabs>
        <w:ind w:left="2160" w:right="2160" w:hanging="516"/>
      </w:pPr>
      <w:rPr>
        <w:rFonts w:hint="default"/>
        <w:b w:val="0"/>
        <w:i w:val="0"/>
      </w:rPr>
    </w:lvl>
  </w:abstractNum>
  <w:abstractNum w:abstractNumId="23">
    <w:nsid w:val="302A75A7"/>
    <w:multiLevelType w:val="singleLevel"/>
    <w:tmpl w:val="3496DD40"/>
    <w:lvl w:ilvl="0">
      <w:start w:val="1"/>
      <w:numFmt w:val="decimal"/>
      <w:lvlText w:val="(%1)"/>
      <w:lvlJc w:val="left"/>
      <w:pPr>
        <w:tabs>
          <w:tab w:val="num" w:pos="1440"/>
        </w:tabs>
        <w:ind w:left="1440" w:right="1440" w:hanging="720"/>
      </w:pPr>
    </w:lvl>
  </w:abstractNum>
  <w:abstractNum w:abstractNumId="24">
    <w:nsid w:val="32680629"/>
    <w:multiLevelType w:val="hybridMultilevel"/>
    <w:tmpl w:val="F4D2C09E"/>
    <w:lvl w:ilvl="0" w:tplc="F76EEBCA">
      <w:start w:val="1"/>
      <w:numFmt w:val="decimal"/>
      <w:lvlText w:val="(%1)"/>
      <w:lvlJc w:val="left"/>
      <w:pPr>
        <w:tabs>
          <w:tab w:val="num" w:pos="530"/>
        </w:tabs>
        <w:ind w:left="0" w:right="0" w:firstLine="170"/>
      </w:pPr>
    </w:lvl>
    <w:lvl w:ilvl="1" w:tplc="04010019">
      <w:start w:val="1"/>
      <w:numFmt w:val="decimal"/>
      <w:lvlText w:val="%2."/>
      <w:lvlJc w:val="left"/>
      <w:pPr>
        <w:tabs>
          <w:tab w:val="num" w:pos="1440"/>
        </w:tabs>
        <w:ind w:left="1440" w:right="1440" w:hanging="360"/>
      </w:pPr>
    </w:lvl>
    <w:lvl w:ilvl="2" w:tplc="0401001B">
      <w:start w:val="1"/>
      <w:numFmt w:val="decimal"/>
      <w:lvlText w:val="%3."/>
      <w:lvlJc w:val="left"/>
      <w:pPr>
        <w:tabs>
          <w:tab w:val="num" w:pos="2160"/>
        </w:tabs>
        <w:ind w:left="2160" w:right="2160" w:hanging="360"/>
      </w:pPr>
    </w:lvl>
    <w:lvl w:ilvl="3" w:tplc="0401000F">
      <w:start w:val="1"/>
      <w:numFmt w:val="decimal"/>
      <w:lvlText w:val="%4."/>
      <w:lvlJc w:val="left"/>
      <w:pPr>
        <w:tabs>
          <w:tab w:val="num" w:pos="2880"/>
        </w:tabs>
        <w:ind w:left="2880" w:right="2880" w:hanging="360"/>
      </w:pPr>
    </w:lvl>
    <w:lvl w:ilvl="4" w:tplc="04010019">
      <w:start w:val="1"/>
      <w:numFmt w:val="decimal"/>
      <w:lvlText w:val="%5."/>
      <w:lvlJc w:val="left"/>
      <w:pPr>
        <w:tabs>
          <w:tab w:val="num" w:pos="3600"/>
        </w:tabs>
        <w:ind w:left="3600" w:right="3600" w:hanging="360"/>
      </w:pPr>
    </w:lvl>
    <w:lvl w:ilvl="5" w:tplc="0401001B">
      <w:start w:val="1"/>
      <w:numFmt w:val="decimal"/>
      <w:lvlText w:val="%6."/>
      <w:lvlJc w:val="left"/>
      <w:pPr>
        <w:tabs>
          <w:tab w:val="num" w:pos="4320"/>
        </w:tabs>
        <w:ind w:left="4320" w:right="4320" w:hanging="360"/>
      </w:pPr>
    </w:lvl>
    <w:lvl w:ilvl="6" w:tplc="0401000F">
      <w:start w:val="1"/>
      <w:numFmt w:val="decimal"/>
      <w:lvlText w:val="%7."/>
      <w:lvlJc w:val="left"/>
      <w:pPr>
        <w:tabs>
          <w:tab w:val="num" w:pos="5040"/>
        </w:tabs>
        <w:ind w:left="5040" w:right="5040" w:hanging="360"/>
      </w:pPr>
    </w:lvl>
    <w:lvl w:ilvl="7" w:tplc="04010019">
      <w:start w:val="1"/>
      <w:numFmt w:val="decimal"/>
      <w:lvlText w:val="%8."/>
      <w:lvlJc w:val="left"/>
      <w:pPr>
        <w:tabs>
          <w:tab w:val="num" w:pos="5760"/>
        </w:tabs>
        <w:ind w:left="5760" w:right="5760" w:hanging="360"/>
      </w:pPr>
    </w:lvl>
    <w:lvl w:ilvl="8" w:tplc="0401001B">
      <w:start w:val="1"/>
      <w:numFmt w:val="decimal"/>
      <w:lvlText w:val="%9."/>
      <w:lvlJc w:val="left"/>
      <w:pPr>
        <w:tabs>
          <w:tab w:val="num" w:pos="6480"/>
        </w:tabs>
        <w:ind w:left="6480" w:right="6480" w:hanging="360"/>
      </w:pPr>
    </w:lvl>
  </w:abstractNum>
  <w:abstractNum w:abstractNumId="2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36255761"/>
    <w:multiLevelType w:val="singleLevel"/>
    <w:tmpl w:val="0409000F"/>
    <w:lvl w:ilvl="0">
      <w:start w:val="1"/>
      <w:numFmt w:val="decimal"/>
      <w:lvlText w:val="%1."/>
      <w:lvlJc w:val="left"/>
      <w:pPr>
        <w:tabs>
          <w:tab w:val="num" w:pos="360"/>
        </w:tabs>
        <w:ind w:left="360" w:right="360" w:hanging="360"/>
      </w:pPr>
    </w:lvl>
  </w:abstractNum>
  <w:abstractNum w:abstractNumId="2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3A313326"/>
    <w:multiLevelType w:val="hybridMultilevel"/>
    <w:tmpl w:val="E3DE7900"/>
    <w:lvl w:ilvl="0" w:tplc="7A3844DA">
      <w:start w:val="1"/>
      <w:numFmt w:val="arabicAbjad"/>
      <w:lvlText w:val="(%1)"/>
      <w:lvlJc w:val="left"/>
      <w:pPr>
        <w:tabs>
          <w:tab w:val="num" w:pos="680"/>
        </w:tabs>
        <w:ind w:left="680" w:right="680" w:hanging="680"/>
      </w:pPr>
    </w:lvl>
    <w:lvl w:ilvl="1" w:tplc="CC7E77A0">
      <w:start w:val="1"/>
      <w:numFmt w:val="arabicAbjad"/>
      <w:lvlText w:val="(%2)"/>
      <w:lvlJc w:val="left"/>
      <w:pPr>
        <w:tabs>
          <w:tab w:val="num" w:pos="1440"/>
        </w:tabs>
        <w:ind w:left="1080" w:right="1080" w:firstLine="0"/>
      </w:pPr>
    </w:lvl>
    <w:lvl w:ilvl="2" w:tplc="0401001B">
      <w:start w:val="1"/>
      <w:numFmt w:val="decimal"/>
      <w:lvlText w:val="%3."/>
      <w:lvlJc w:val="left"/>
      <w:pPr>
        <w:tabs>
          <w:tab w:val="num" w:pos="2160"/>
        </w:tabs>
        <w:ind w:left="2160" w:right="2160" w:hanging="360"/>
      </w:pPr>
    </w:lvl>
    <w:lvl w:ilvl="3" w:tplc="0401000F">
      <w:start w:val="1"/>
      <w:numFmt w:val="decimal"/>
      <w:lvlText w:val="%4."/>
      <w:lvlJc w:val="left"/>
      <w:pPr>
        <w:tabs>
          <w:tab w:val="num" w:pos="2880"/>
        </w:tabs>
        <w:ind w:left="2880" w:right="2880" w:hanging="360"/>
      </w:pPr>
    </w:lvl>
    <w:lvl w:ilvl="4" w:tplc="04010019">
      <w:start w:val="1"/>
      <w:numFmt w:val="decimal"/>
      <w:lvlText w:val="%5."/>
      <w:lvlJc w:val="left"/>
      <w:pPr>
        <w:tabs>
          <w:tab w:val="num" w:pos="3600"/>
        </w:tabs>
        <w:ind w:left="3600" w:right="3600" w:hanging="360"/>
      </w:pPr>
    </w:lvl>
    <w:lvl w:ilvl="5" w:tplc="0401001B">
      <w:start w:val="1"/>
      <w:numFmt w:val="decimal"/>
      <w:lvlText w:val="%6."/>
      <w:lvlJc w:val="left"/>
      <w:pPr>
        <w:tabs>
          <w:tab w:val="num" w:pos="4320"/>
        </w:tabs>
        <w:ind w:left="4320" w:right="4320" w:hanging="360"/>
      </w:pPr>
    </w:lvl>
    <w:lvl w:ilvl="6" w:tplc="0401000F">
      <w:start w:val="1"/>
      <w:numFmt w:val="decimal"/>
      <w:lvlText w:val="%7."/>
      <w:lvlJc w:val="left"/>
      <w:pPr>
        <w:tabs>
          <w:tab w:val="num" w:pos="5040"/>
        </w:tabs>
        <w:ind w:left="5040" w:right="5040" w:hanging="360"/>
      </w:pPr>
    </w:lvl>
    <w:lvl w:ilvl="7" w:tplc="04010019">
      <w:start w:val="1"/>
      <w:numFmt w:val="decimal"/>
      <w:lvlText w:val="%8."/>
      <w:lvlJc w:val="left"/>
      <w:pPr>
        <w:tabs>
          <w:tab w:val="num" w:pos="5760"/>
        </w:tabs>
        <w:ind w:left="5760" w:right="5760" w:hanging="360"/>
      </w:pPr>
    </w:lvl>
    <w:lvl w:ilvl="8" w:tplc="0401001B">
      <w:start w:val="1"/>
      <w:numFmt w:val="decimal"/>
      <w:lvlText w:val="%9."/>
      <w:lvlJc w:val="left"/>
      <w:pPr>
        <w:tabs>
          <w:tab w:val="num" w:pos="6480"/>
        </w:tabs>
        <w:ind w:left="6480" w:right="6480" w:hanging="360"/>
      </w:pPr>
    </w:lvl>
  </w:abstractNum>
  <w:abstractNum w:abstractNumId="29">
    <w:nsid w:val="3CB061AB"/>
    <w:multiLevelType w:val="singleLevel"/>
    <w:tmpl w:val="66CAD4CC"/>
    <w:lvl w:ilvl="0">
      <w:start w:val="1"/>
      <w:numFmt w:val="decimal"/>
      <w:lvlText w:val="%1."/>
      <w:lvlJc w:val="left"/>
      <w:pPr>
        <w:tabs>
          <w:tab w:val="num" w:pos="360"/>
        </w:tabs>
        <w:ind w:left="-1" w:right="-1" w:firstLine="1"/>
      </w:pPr>
      <w:rPr>
        <w:rFonts w:hint="default"/>
      </w:rPr>
    </w:lvl>
  </w:abstractNum>
  <w:abstractNum w:abstractNumId="3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40221049"/>
    <w:multiLevelType w:val="singleLevel"/>
    <w:tmpl w:val="04D4B0C4"/>
    <w:lvl w:ilvl="0">
      <w:start w:val="1"/>
      <w:numFmt w:val="decimal"/>
      <w:lvlText w:val="%1."/>
      <w:lvlJc w:val="left"/>
      <w:pPr>
        <w:tabs>
          <w:tab w:val="num" w:pos="360"/>
        </w:tabs>
        <w:ind w:left="360" w:right="360" w:hanging="360"/>
      </w:pPr>
    </w:lvl>
  </w:abstractNum>
  <w:abstractNum w:abstractNumId="33">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452D144C"/>
    <w:multiLevelType w:val="singleLevel"/>
    <w:tmpl w:val="7C4C0A7C"/>
    <w:lvl w:ilvl="0">
      <w:start w:val="1"/>
      <w:numFmt w:val="decimal"/>
      <w:lvlText w:val="(%1)"/>
      <w:lvlJc w:val="left"/>
      <w:pPr>
        <w:tabs>
          <w:tab w:val="num" w:pos="720"/>
        </w:tabs>
        <w:ind w:left="720" w:right="720" w:hanging="720"/>
      </w:pPr>
    </w:lvl>
  </w:abstractNum>
  <w:abstractNum w:abstractNumId="35">
    <w:nsid w:val="48995335"/>
    <w:multiLevelType w:val="hybridMultilevel"/>
    <w:tmpl w:val="529CBF68"/>
    <w:lvl w:ilvl="0" w:tplc="07CA15F8">
      <w:start w:val="1"/>
      <w:numFmt w:val="bullet"/>
      <w:lvlText w:val=""/>
      <w:lvlJc w:val="left"/>
      <w:pPr>
        <w:tabs>
          <w:tab w:val="num" w:pos="1215"/>
        </w:tabs>
        <w:ind w:left="1215" w:right="1215" w:hanging="855"/>
      </w:pPr>
      <w:rPr>
        <w:rFonts w:ascii="Symbol" w:eastAsia="Times New Roman" w:hAnsi="Symbol" w:cs="Traditional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6">
    <w:nsid w:val="489F3657"/>
    <w:multiLevelType w:val="singleLevel"/>
    <w:tmpl w:val="2AB2508E"/>
    <w:lvl w:ilvl="0">
      <w:start w:val="1"/>
      <w:numFmt w:val="decimal"/>
      <w:lvlText w:val="%1."/>
      <w:lvlJc w:val="left"/>
      <w:pPr>
        <w:tabs>
          <w:tab w:val="num" w:pos="360"/>
        </w:tabs>
        <w:ind w:left="-1" w:right="-1" w:firstLine="1"/>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right="360" w:hanging="360"/>
      </w:pPr>
    </w:lvl>
  </w:abstractNum>
  <w:abstractNum w:abstractNumId="38">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59F37B58"/>
    <w:multiLevelType w:val="hybridMultilevel"/>
    <w:tmpl w:val="44FABB6A"/>
    <w:lvl w:ilvl="0" w:tplc="DB98FACA">
      <w:start w:val="1"/>
      <w:numFmt w:val="bullet"/>
      <w:lvlText w:val=""/>
      <w:lvlJc w:val="left"/>
      <w:pPr>
        <w:tabs>
          <w:tab w:val="num" w:pos="360"/>
        </w:tabs>
        <w:ind w:left="357" w:right="35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
    <w:nsid w:val="5B15788D"/>
    <w:multiLevelType w:val="singleLevel"/>
    <w:tmpl w:val="9ECEEF0E"/>
    <w:lvl w:ilvl="0">
      <w:start w:val="1"/>
      <w:numFmt w:val="bullet"/>
      <w:lvlText w:val="-"/>
      <w:lvlJc w:val="left"/>
      <w:pPr>
        <w:tabs>
          <w:tab w:val="num" w:pos="360"/>
        </w:tabs>
        <w:ind w:left="360" w:right="360" w:hanging="360"/>
      </w:pPr>
      <w:rPr>
        <w:rFonts w:ascii="Times New Roman" w:hAnsi="Times New Roman" w:hint="default"/>
        <w:sz w:val="24"/>
      </w:rPr>
    </w:lvl>
  </w:abstractNum>
  <w:abstractNum w:abstractNumId="41">
    <w:nsid w:val="65A12192"/>
    <w:multiLevelType w:val="multilevel"/>
    <w:tmpl w:val="407A0E30"/>
    <w:lvl w:ilvl="0">
      <w:start w:val="1"/>
      <w:numFmt w:val="upperRoman"/>
      <w:lvlText w:val="%1."/>
      <w:lvlJc w:val="left"/>
      <w:pPr>
        <w:tabs>
          <w:tab w:val="num" w:pos="-720"/>
        </w:tabs>
        <w:ind w:left="-1440" w:right="-1440" w:firstLine="0"/>
      </w:pPr>
      <w:rPr>
        <w:rFonts w:hint="default"/>
      </w:rPr>
    </w:lvl>
    <w:lvl w:ilvl="1">
      <w:start w:val="1"/>
      <w:numFmt w:val="none"/>
      <w:lvlText w:val="%2"/>
      <w:lvlJc w:val="left"/>
      <w:pPr>
        <w:tabs>
          <w:tab w:val="num" w:pos="-360"/>
        </w:tabs>
        <w:ind w:left="-720" w:right="-720" w:firstLine="0"/>
      </w:pPr>
      <w:rPr>
        <w:rFonts w:hint="default"/>
      </w:rPr>
    </w:lvl>
    <w:lvl w:ilvl="2">
      <w:start w:val="1"/>
      <w:numFmt w:val="decimal"/>
      <w:lvlText w:val="%3."/>
      <w:lvlJc w:val="left"/>
      <w:pPr>
        <w:tabs>
          <w:tab w:val="num" w:pos="360"/>
        </w:tabs>
        <w:ind w:left="0" w:right="0" w:firstLine="0"/>
      </w:pPr>
      <w:rPr>
        <w:rFonts w:hint="default"/>
      </w:rPr>
    </w:lvl>
    <w:lvl w:ilvl="3">
      <w:start w:val="1"/>
      <w:numFmt w:val="lowerLetter"/>
      <w:lvlRestart w:val="1"/>
      <w:lvlText w:val="(%4)"/>
      <w:lvlJc w:val="left"/>
      <w:pPr>
        <w:tabs>
          <w:tab w:val="num" w:pos="1080"/>
        </w:tabs>
        <w:ind w:left="720" w:right="720" w:firstLine="0"/>
      </w:pPr>
      <w:rPr>
        <w:rFonts w:hint="default"/>
      </w:rPr>
    </w:lvl>
    <w:lvl w:ilvl="4">
      <w:start w:val="1"/>
      <w:numFmt w:val="decimal"/>
      <w:lvlText w:val="(%5)"/>
      <w:lvlJc w:val="left"/>
      <w:pPr>
        <w:tabs>
          <w:tab w:val="num" w:pos="1800"/>
        </w:tabs>
        <w:ind w:left="1440" w:right="1440" w:firstLine="0"/>
      </w:pPr>
      <w:rPr>
        <w:rFonts w:hint="default"/>
      </w:rPr>
    </w:lvl>
    <w:lvl w:ilvl="5">
      <w:start w:val="1"/>
      <w:numFmt w:val="lowerLetter"/>
      <w:lvlText w:val="(%6)"/>
      <w:lvlJc w:val="left"/>
      <w:pPr>
        <w:tabs>
          <w:tab w:val="num" w:pos="2520"/>
        </w:tabs>
        <w:ind w:left="2160" w:right="2160" w:firstLine="0"/>
      </w:pPr>
      <w:rPr>
        <w:rFonts w:hint="default"/>
      </w:rPr>
    </w:lvl>
    <w:lvl w:ilvl="6">
      <w:start w:val="1"/>
      <w:numFmt w:val="lowerRoman"/>
      <w:lvlText w:val="(%7)"/>
      <w:lvlJc w:val="left"/>
      <w:pPr>
        <w:tabs>
          <w:tab w:val="num" w:pos="3240"/>
        </w:tabs>
        <w:ind w:left="2880" w:right="2880" w:firstLine="0"/>
      </w:pPr>
      <w:rPr>
        <w:rFonts w:hint="default"/>
      </w:rPr>
    </w:lvl>
    <w:lvl w:ilvl="7">
      <w:start w:val="1"/>
      <w:numFmt w:val="lowerLetter"/>
      <w:lvlText w:val="(%8)"/>
      <w:lvlJc w:val="left"/>
      <w:pPr>
        <w:tabs>
          <w:tab w:val="num" w:pos="3960"/>
        </w:tabs>
        <w:ind w:left="3600" w:right="3600" w:firstLine="0"/>
      </w:pPr>
      <w:rPr>
        <w:rFonts w:hint="default"/>
      </w:rPr>
    </w:lvl>
    <w:lvl w:ilvl="8">
      <w:start w:val="1"/>
      <w:numFmt w:val="lowerRoman"/>
      <w:lvlText w:val="(%9)"/>
      <w:lvlJc w:val="left"/>
      <w:pPr>
        <w:tabs>
          <w:tab w:val="num" w:pos="4680"/>
        </w:tabs>
        <w:ind w:left="4320" w:right="4320" w:firstLine="0"/>
      </w:pPr>
      <w:rPr>
        <w:rFonts w:hint="default"/>
      </w:rPr>
    </w:lvl>
  </w:abstractNum>
  <w:abstractNum w:abstractNumId="42">
    <w:nsid w:val="65D15DFE"/>
    <w:multiLevelType w:val="singleLevel"/>
    <w:tmpl w:val="475E6D3C"/>
    <w:lvl w:ilvl="0">
      <w:start w:val="1"/>
      <w:numFmt w:val="decimal"/>
      <w:lvlText w:val="%1."/>
      <w:lvlJc w:val="left"/>
      <w:pPr>
        <w:tabs>
          <w:tab w:val="num" w:pos="360"/>
        </w:tabs>
        <w:ind w:left="360" w:right="360" w:hanging="360"/>
      </w:pPr>
    </w:lvl>
  </w:abstractNum>
  <w:abstractNum w:abstractNumId="4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6B4F7F89"/>
    <w:multiLevelType w:val="multilevel"/>
    <w:tmpl w:val="D7347498"/>
    <w:lvl w:ilvl="0">
      <w:start w:val="1"/>
      <w:numFmt w:val="none"/>
      <w:lvlText w:val=""/>
      <w:lvlJc w:val="left"/>
      <w:pPr>
        <w:tabs>
          <w:tab w:val="num" w:pos="-1080"/>
        </w:tabs>
        <w:ind w:left="-1440" w:right="-1440" w:firstLine="0"/>
      </w:pPr>
      <w:rPr>
        <w:rFonts w:hint="default"/>
      </w:rPr>
    </w:lvl>
    <w:lvl w:ilvl="1">
      <w:start w:val="1"/>
      <w:numFmt w:val="none"/>
      <w:lvlRestart w:val="0"/>
      <w:suff w:val="space"/>
      <w:lvlText w:val=""/>
      <w:lvlJc w:val="left"/>
      <w:pPr>
        <w:ind w:left="-720" w:right="-720" w:firstLine="0"/>
      </w:pPr>
      <w:rPr>
        <w:rFonts w:hint="default"/>
      </w:rPr>
    </w:lvl>
    <w:lvl w:ilvl="2">
      <w:start w:val="1"/>
      <w:numFmt w:val="decimal"/>
      <w:lvlText w:val="%3."/>
      <w:lvlJc w:val="left"/>
      <w:pPr>
        <w:tabs>
          <w:tab w:val="num" w:pos="360"/>
        </w:tabs>
        <w:ind w:left="0" w:right="0" w:firstLine="0"/>
      </w:pPr>
      <w:rPr>
        <w:rFonts w:hint="default"/>
      </w:rPr>
    </w:lvl>
    <w:lvl w:ilvl="3">
      <w:start w:val="1"/>
      <w:numFmt w:val="lowerLetter"/>
      <w:lvlRestart w:val="1"/>
      <w:lvlText w:val="(%4)"/>
      <w:lvlJc w:val="left"/>
      <w:pPr>
        <w:tabs>
          <w:tab w:val="num" w:pos="1080"/>
        </w:tabs>
        <w:ind w:left="720" w:right="720" w:firstLine="0"/>
      </w:pPr>
      <w:rPr>
        <w:rFonts w:hint="default"/>
      </w:rPr>
    </w:lvl>
    <w:lvl w:ilvl="4">
      <w:start w:val="1"/>
      <w:numFmt w:val="decimal"/>
      <w:lvlText w:val="(%5)"/>
      <w:lvlJc w:val="left"/>
      <w:pPr>
        <w:tabs>
          <w:tab w:val="num" w:pos="1800"/>
        </w:tabs>
        <w:ind w:left="1440" w:right="1440" w:firstLine="0"/>
      </w:pPr>
      <w:rPr>
        <w:rFonts w:hint="default"/>
      </w:rPr>
    </w:lvl>
    <w:lvl w:ilvl="5">
      <w:start w:val="1"/>
      <w:numFmt w:val="lowerLetter"/>
      <w:lvlText w:val="(%6)"/>
      <w:lvlJc w:val="left"/>
      <w:pPr>
        <w:tabs>
          <w:tab w:val="num" w:pos="2520"/>
        </w:tabs>
        <w:ind w:left="2160" w:right="2160" w:firstLine="0"/>
      </w:pPr>
      <w:rPr>
        <w:rFonts w:hint="default"/>
      </w:rPr>
    </w:lvl>
    <w:lvl w:ilvl="6">
      <w:start w:val="1"/>
      <w:numFmt w:val="lowerRoman"/>
      <w:lvlText w:val="(%7)"/>
      <w:lvlJc w:val="left"/>
      <w:pPr>
        <w:tabs>
          <w:tab w:val="num" w:pos="3240"/>
        </w:tabs>
        <w:ind w:left="2880" w:right="2880" w:firstLine="0"/>
      </w:pPr>
      <w:rPr>
        <w:rFonts w:hint="default"/>
      </w:rPr>
    </w:lvl>
    <w:lvl w:ilvl="7">
      <w:start w:val="1"/>
      <w:numFmt w:val="lowerLetter"/>
      <w:lvlText w:val="(%8)"/>
      <w:lvlJc w:val="left"/>
      <w:pPr>
        <w:tabs>
          <w:tab w:val="num" w:pos="3960"/>
        </w:tabs>
        <w:ind w:left="3600" w:right="3600" w:firstLine="0"/>
      </w:pPr>
      <w:rPr>
        <w:rFonts w:hint="default"/>
      </w:rPr>
    </w:lvl>
    <w:lvl w:ilvl="8">
      <w:start w:val="1"/>
      <w:numFmt w:val="lowerRoman"/>
      <w:lvlText w:val="(%9)"/>
      <w:lvlJc w:val="left"/>
      <w:pPr>
        <w:tabs>
          <w:tab w:val="num" w:pos="4680"/>
        </w:tabs>
        <w:ind w:left="4320" w:right="4320" w:firstLine="0"/>
      </w:pPr>
      <w:rPr>
        <w:rFonts w:hint="default"/>
      </w:rPr>
    </w:lvl>
  </w:abstractNum>
  <w:abstractNum w:abstractNumId="45">
    <w:nsid w:val="707877CF"/>
    <w:multiLevelType w:val="hybridMultilevel"/>
    <w:tmpl w:val="0100C7AE"/>
    <w:lvl w:ilvl="0" w:tplc="82B032C8">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7">
    <w:nsid w:val="7ACA643D"/>
    <w:multiLevelType w:val="singleLevel"/>
    <w:tmpl w:val="0409000F"/>
    <w:lvl w:ilvl="0">
      <w:start w:val="1"/>
      <w:numFmt w:val="decimal"/>
      <w:lvlText w:val="%1."/>
      <w:lvlJc w:val="left"/>
      <w:pPr>
        <w:tabs>
          <w:tab w:val="num" w:pos="360"/>
        </w:tabs>
        <w:ind w:left="360" w:right="360" w:hanging="360"/>
      </w:pPr>
    </w:lvl>
  </w:abstractNum>
  <w:abstractNum w:abstractNumId="48">
    <w:nsid w:val="7CF349BD"/>
    <w:multiLevelType w:val="singleLevel"/>
    <w:tmpl w:val="51D4BF5A"/>
    <w:lvl w:ilvl="0">
      <w:start w:val="1"/>
      <w:numFmt w:val="lowerRoman"/>
      <w:lvlText w:val="(%1)"/>
      <w:lvlJc w:val="right"/>
      <w:pPr>
        <w:tabs>
          <w:tab w:val="num" w:pos="1440"/>
        </w:tabs>
        <w:ind w:left="1440" w:right="1440" w:hanging="589"/>
      </w:pPr>
      <w:rPr>
        <w:rFonts w:hint="default"/>
      </w:rPr>
    </w:lvl>
  </w:abstractNum>
  <w:abstractNum w:abstractNumId="49">
    <w:nsid w:val="7D836CBF"/>
    <w:multiLevelType w:val="hybridMultilevel"/>
    <w:tmpl w:val="0100C7AE"/>
    <w:lvl w:ilvl="0" w:tplc="861C770C">
      <w:start w:val="1"/>
      <w:numFmt w:val="bullet"/>
      <w:lvlText w:val=""/>
      <w:lvlJc w:val="left"/>
      <w:pPr>
        <w:tabs>
          <w:tab w:val="num" w:pos="1077"/>
        </w:tabs>
        <w:ind w:left="1074" w:right="1074" w:hanging="357"/>
      </w:pPr>
      <w:rPr>
        <w:rFonts w:ascii="Symbol" w:hAnsi="Symbol" w:hint="default"/>
      </w:rPr>
    </w:lvl>
    <w:lvl w:ilvl="1" w:tplc="04090003" w:tentative="1">
      <w:start w:val="1"/>
      <w:numFmt w:val="bullet"/>
      <w:lvlText w:val="o"/>
      <w:lvlJc w:val="left"/>
      <w:pPr>
        <w:tabs>
          <w:tab w:val="num" w:pos="1797"/>
        </w:tabs>
        <w:ind w:left="1797" w:right="1797" w:hanging="360"/>
      </w:pPr>
      <w:rPr>
        <w:rFonts w:ascii="Courier New" w:hAnsi="Courier New" w:hint="default"/>
      </w:rPr>
    </w:lvl>
    <w:lvl w:ilvl="2" w:tplc="04090005" w:tentative="1">
      <w:start w:val="1"/>
      <w:numFmt w:val="bullet"/>
      <w:lvlText w:val=""/>
      <w:lvlJc w:val="left"/>
      <w:pPr>
        <w:tabs>
          <w:tab w:val="num" w:pos="2517"/>
        </w:tabs>
        <w:ind w:left="2517" w:right="2517" w:hanging="360"/>
      </w:pPr>
      <w:rPr>
        <w:rFonts w:ascii="Wingdings" w:hAnsi="Wingdings" w:hint="default"/>
      </w:rPr>
    </w:lvl>
    <w:lvl w:ilvl="3" w:tplc="04090001" w:tentative="1">
      <w:start w:val="1"/>
      <w:numFmt w:val="bullet"/>
      <w:lvlText w:val=""/>
      <w:lvlJc w:val="left"/>
      <w:pPr>
        <w:tabs>
          <w:tab w:val="num" w:pos="3237"/>
        </w:tabs>
        <w:ind w:left="3237" w:right="3237" w:hanging="360"/>
      </w:pPr>
      <w:rPr>
        <w:rFonts w:ascii="Symbol" w:hAnsi="Symbol" w:hint="default"/>
      </w:rPr>
    </w:lvl>
    <w:lvl w:ilvl="4" w:tplc="04090003" w:tentative="1">
      <w:start w:val="1"/>
      <w:numFmt w:val="bullet"/>
      <w:lvlText w:val="o"/>
      <w:lvlJc w:val="left"/>
      <w:pPr>
        <w:tabs>
          <w:tab w:val="num" w:pos="3957"/>
        </w:tabs>
        <w:ind w:left="3957" w:right="3957" w:hanging="360"/>
      </w:pPr>
      <w:rPr>
        <w:rFonts w:ascii="Courier New" w:hAnsi="Courier New" w:hint="default"/>
      </w:rPr>
    </w:lvl>
    <w:lvl w:ilvl="5" w:tplc="04090005" w:tentative="1">
      <w:start w:val="1"/>
      <w:numFmt w:val="bullet"/>
      <w:lvlText w:val=""/>
      <w:lvlJc w:val="left"/>
      <w:pPr>
        <w:tabs>
          <w:tab w:val="num" w:pos="4677"/>
        </w:tabs>
        <w:ind w:left="4677" w:right="4677" w:hanging="360"/>
      </w:pPr>
      <w:rPr>
        <w:rFonts w:ascii="Wingdings" w:hAnsi="Wingdings" w:hint="default"/>
      </w:rPr>
    </w:lvl>
    <w:lvl w:ilvl="6" w:tplc="04090001" w:tentative="1">
      <w:start w:val="1"/>
      <w:numFmt w:val="bullet"/>
      <w:lvlText w:val=""/>
      <w:lvlJc w:val="left"/>
      <w:pPr>
        <w:tabs>
          <w:tab w:val="num" w:pos="5397"/>
        </w:tabs>
        <w:ind w:left="5397" w:right="5397" w:hanging="360"/>
      </w:pPr>
      <w:rPr>
        <w:rFonts w:ascii="Symbol" w:hAnsi="Symbol" w:hint="default"/>
      </w:rPr>
    </w:lvl>
    <w:lvl w:ilvl="7" w:tplc="04090003" w:tentative="1">
      <w:start w:val="1"/>
      <w:numFmt w:val="bullet"/>
      <w:lvlText w:val="o"/>
      <w:lvlJc w:val="left"/>
      <w:pPr>
        <w:tabs>
          <w:tab w:val="num" w:pos="6117"/>
        </w:tabs>
        <w:ind w:left="6117" w:right="6117" w:hanging="360"/>
      </w:pPr>
      <w:rPr>
        <w:rFonts w:ascii="Courier New" w:hAnsi="Courier New" w:hint="default"/>
      </w:rPr>
    </w:lvl>
    <w:lvl w:ilvl="8" w:tplc="04090005" w:tentative="1">
      <w:start w:val="1"/>
      <w:numFmt w:val="bullet"/>
      <w:lvlText w:val=""/>
      <w:lvlJc w:val="left"/>
      <w:pPr>
        <w:tabs>
          <w:tab w:val="num" w:pos="6837"/>
        </w:tabs>
        <w:ind w:left="6837" w:right="6837" w:hanging="360"/>
      </w:pPr>
      <w:rPr>
        <w:rFonts w:ascii="Wingdings" w:hAnsi="Wingdings" w:hint="default"/>
      </w:rPr>
    </w:lvl>
  </w:abstractNum>
  <w:abstractNum w:abstractNumId="50">
    <w:nsid w:val="7DBF6B58"/>
    <w:multiLevelType w:val="singleLevel"/>
    <w:tmpl w:val="0409000F"/>
    <w:lvl w:ilvl="0">
      <w:start w:val="1"/>
      <w:numFmt w:val="decimal"/>
      <w:lvlText w:val="%1."/>
      <w:lvlJc w:val="left"/>
      <w:pPr>
        <w:tabs>
          <w:tab w:val="num" w:pos="360"/>
        </w:tabs>
        <w:ind w:left="360" w:right="360" w:hanging="360"/>
      </w:pPr>
    </w:lvl>
  </w:abstractNum>
  <w:abstractNum w:abstractNumId="51">
    <w:nsid w:val="7DC37C52"/>
    <w:multiLevelType w:val="singleLevel"/>
    <w:tmpl w:val="5874D1CC"/>
    <w:lvl w:ilvl="0">
      <w:start w:val="1"/>
      <w:numFmt w:val="decimal"/>
      <w:lvlText w:val="%1."/>
      <w:lvlJc w:val="left"/>
      <w:pPr>
        <w:tabs>
          <w:tab w:val="num" w:pos="188"/>
        </w:tabs>
        <w:ind w:left="188" w:right="188" w:hanging="360"/>
      </w:pPr>
    </w:lvl>
  </w:abstractNum>
  <w:num w:numId="1">
    <w:abstractNumId w:val="8"/>
  </w:num>
  <w:num w:numId="2">
    <w:abstractNumId w:val="3"/>
  </w:num>
  <w:num w:numId="3">
    <w:abstractNumId w:val="2"/>
  </w:num>
  <w:num w:numId="4">
    <w:abstractNumId w:val="20"/>
  </w:num>
  <w:num w:numId="5">
    <w:abstractNumId w:val="43"/>
  </w:num>
  <w:num w:numId="6">
    <w:abstractNumId w:val="46"/>
  </w:num>
  <w:num w:numId="7">
    <w:abstractNumId w:val="12"/>
  </w:num>
  <w:num w:numId="8">
    <w:abstractNumId w:val="12"/>
  </w:num>
  <w:num w:numId="9">
    <w:abstractNumId w:val="12"/>
  </w:num>
  <w:num w:numId="10">
    <w:abstractNumId w:val="33"/>
  </w:num>
  <w:num w:numId="11">
    <w:abstractNumId w:val="33"/>
  </w:num>
  <w:num w:numId="12">
    <w:abstractNumId w:val="33"/>
  </w:num>
  <w:num w:numId="13">
    <w:abstractNumId w:val="33"/>
  </w:num>
  <w:num w:numId="14">
    <w:abstractNumId w:val="33"/>
  </w:num>
  <w:num w:numId="15">
    <w:abstractNumId w:val="33"/>
  </w:num>
  <w:num w:numId="16">
    <w:abstractNumId w:val="33"/>
  </w:num>
  <w:num w:numId="17">
    <w:abstractNumId w:val="33"/>
  </w:num>
  <w:num w:numId="18">
    <w:abstractNumId w:val="33"/>
  </w:num>
  <w:num w:numId="19">
    <w:abstractNumId w:val="33"/>
  </w:num>
  <w:num w:numId="20">
    <w:abstractNumId w:val="33"/>
  </w:num>
  <w:num w:numId="21">
    <w:abstractNumId w:val="33"/>
  </w:num>
  <w:num w:numId="22">
    <w:abstractNumId w:val="33"/>
  </w:num>
  <w:num w:numId="23">
    <w:abstractNumId w:val="33"/>
  </w:num>
  <w:num w:numId="24">
    <w:abstractNumId w:val="33"/>
  </w:num>
  <w:num w:numId="25">
    <w:abstractNumId w:val="33"/>
  </w:num>
  <w:num w:numId="26">
    <w:abstractNumId w:val="33"/>
  </w:num>
  <w:num w:numId="27">
    <w:abstractNumId w:val="33"/>
  </w:num>
  <w:num w:numId="28">
    <w:abstractNumId w:val="33"/>
  </w:num>
  <w:num w:numId="29">
    <w:abstractNumId w:val="33"/>
  </w:num>
  <w:num w:numId="30">
    <w:abstractNumId w:val="33"/>
  </w:num>
  <w:num w:numId="31">
    <w:abstractNumId w:val="33"/>
  </w:num>
  <w:num w:numId="32">
    <w:abstractNumId w:val="33"/>
  </w:num>
  <w:num w:numId="33">
    <w:abstractNumId w:val="33"/>
  </w:num>
  <w:num w:numId="34">
    <w:abstractNumId w:val="30"/>
  </w:num>
  <w:num w:numId="35">
    <w:abstractNumId w:val="30"/>
  </w:num>
  <w:num w:numId="36">
    <w:abstractNumId w:val="30"/>
  </w:num>
  <w:num w:numId="37">
    <w:abstractNumId w:val="30"/>
  </w:num>
  <w:num w:numId="38">
    <w:abstractNumId w:val="30"/>
  </w:num>
  <w:num w:numId="39">
    <w:abstractNumId w:val="30"/>
  </w:num>
  <w:num w:numId="40">
    <w:abstractNumId w:val="30"/>
  </w:num>
  <w:num w:numId="41">
    <w:abstractNumId w:val="30"/>
  </w:num>
  <w:num w:numId="42">
    <w:abstractNumId w:val="30"/>
  </w:num>
  <w:num w:numId="43">
    <w:abstractNumId w:val="30"/>
  </w:num>
  <w:num w:numId="44">
    <w:abstractNumId w:val="30"/>
  </w:num>
  <w:num w:numId="45">
    <w:abstractNumId w:val="30"/>
  </w:num>
  <w:num w:numId="46">
    <w:abstractNumId w:val="30"/>
  </w:num>
  <w:num w:numId="47">
    <w:abstractNumId w:val="30"/>
  </w:num>
  <w:num w:numId="48">
    <w:abstractNumId w:val="30"/>
  </w:num>
  <w:num w:numId="49">
    <w:abstractNumId w:val="9"/>
  </w:num>
  <w:num w:numId="50">
    <w:abstractNumId w:val="9"/>
  </w:num>
  <w:num w:numId="51">
    <w:abstractNumId w:val="9"/>
  </w:num>
  <w:num w:numId="52">
    <w:abstractNumId w:val="30"/>
  </w:num>
  <w:num w:numId="53">
    <w:abstractNumId w:val="30"/>
  </w:num>
  <w:num w:numId="54">
    <w:abstractNumId w:val="27"/>
  </w:num>
  <w:num w:numId="55">
    <w:abstractNumId w:val="38"/>
  </w:num>
  <w:num w:numId="56">
    <w:abstractNumId w:val="38"/>
  </w:num>
  <w:num w:numId="57">
    <w:abstractNumId w:val="38"/>
  </w:num>
  <w:num w:numId="58">
    <w:abstractNumId w:val="9"/>
  </w:num>
  <w:num w:numId="59">
    <w:abstractNumId w:val="25"/>
  </w:num>
  <w:num w:numId="60">
    <w:abstractNumId w:val="25"/>
  </w:num>
  <w:num w:numId="61">
    <w:abstractNumId w:val="31"/>
  </w:num>
  <w:num w:numId="62">
    <w:abstractNumId w:val="31"/>
  </w:num>
  <w:num w:numId="63">
    <w:abstractNumId w:val="31"/>
  </w:num>
  <w:num w:numId="64">
    <w:abstractNumId w:val="38"/>
  </w:num>
  <w:num w:numId="65">
    <w:abstractNumId w:val="21"/>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5"/>
  </w:num>
  <w:num w:numId="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3"/>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num>
  <w:num w:numId="71">
    <w:abstractNumId w:val="51"/>
    <w:lvlOverride w:ilvl="0">
      <w:startOverride w:val="1"/>
    </w:lvlOverride>
  </w:num>
  <w:num w:numId="72">
    <w:abstractNumId w:val="28"/>
  </w:num>
  <w:num w:numId="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4"/>
  </w:num>
  <w:num w:numId="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5"/>
  </w:num>
  <w:num w:numId="7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8"/>
  </w:num>
  <w:num w:numId="80">
    <w:abstractNumId w:val="22"/>
  </w:num>
  <w:num w:numId="81">
    <w:abstractNumId w:val="13"/>
  </w:num>
  <w:num w:numId="82">
    <w:abstractNumId w:val="26"/>
  </w:num>
  <w:num w:numId="83">
    <w:abstractNumId w:val="32"/>
  </w:num>
  <w:num w:numId="84">
    <w:abstractNumId w:val="47"/>
  </w:num>
  <w:num w:numId="85">
    <w:abstractNumId w:val="37"/>
  </w:num>
  <w:num w:numId="86">
    <w:abstractNumId w:val="50"/>
  </w:num>
  <w:num w:numId="87">
    <w:abstractNumId w:val="36"/>
  </w:num>
  <w:num w:numId="88">
    <w:abstractNumId w:val="42"/>
  </w:num>
  <w:num w:numId="89">
    <w:abstractNumId w:val="29"/>
  </w:num>
  <w:num w:numId="90">
    <w:abstractNumId w:val="1"/>
  </w:num>
  <w:num w:numId="91">
    <w:abstractNumId w:val="0"/>
  </w:num>
  <w:num w:numId="92">
    <w:abstractNumId w:val="23"/>
  </w:num>
  <w:num w:numId="93">
    <w:abstractNumId w:val="11"/>
  </w:num>
  <w:num w:numId="94">
    <w:abstractNumId w:val="17"/>
  </w:num>
  <w:num w:numId="95">
    <w:abstractNumId w:val="14"/>
  </w:num>
  <w:num w:numId="96">
    <w:abstractNumId w:val="34"/>
  </w:num>
  <w:num w:numId="97">
    <w:abstractNumId w:val="40"/>
  </w:num>
  <w:num w:numId="98">
    <w:abstractNumId w:val="7"/>
  </w:num>
  <w:num w:numId="99">
    <w:abstractNumId w:val="6"/>
  </w:num>
  <w:num w:numId="100">
    <w:abstractNumId w:val="5"/>
  </w:num>
  <w:num w:numId="101">
    <w:abstractNumId w:val="4"/>
  </w:num>
  <w:num w:numId="102">
    <w:abstractNumId w:val="16"/>
  </w:num>
  <w:num w:numId="103">
    <w:abstractNumId w:val="39"/>
  </w:num>
  <w:num w:numId="104">
    <w:abstractNumId w:val="10"/>
  </w:num>
  <w:num w:numId="105">
    <w:abstractNumId w:val="19"/>
  </w:num>
  <w:num w:numId="106">
    <w:abstractNumId w:val="41"/>
  </w:num>
  <w:num w:numId="107">
    <w:abstractNumId w:val="44"/>
  </w:num>
  <w:num w:numId="108">
    <w:abstractNumId w:val="45"/>
  </w:num>
  <w:num w:numId="109">
    <w:abstractNumId w:val="49"/>
  </w:num>
  <w:num w:numId="110">
    <w:abstractNumId w:val="18"/>
  </w:num>
  <w:num w:numId="111">
    <w:abstractNumId w:val="2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98</Pages>
  <Words>41414</Words>
  <Characters>236061</Characters>
  <Application>Microsoft Office Word</Application>
  <DocSecurity>4</DocSecurity>
  <Lines>1967</Lines>
  <Paragraphs>472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289899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2003-06-16T07:27:00Z</cp:lastPrinted>
  <dcterms:created xsi:type="dcterms:W3CDTF">2003-06-16T07:31:00Z</dcterms:created>
  <dcterms:modified xsi:type="dcterms:W3CDTF">2003-06-16T07:31:00Z</dcterms:modified>
</cp:coreProperties>
</file>