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2F17D3" w14:textId="77777777" w:rsidTr="004D749D">
        <w:trPr>
          <w:trHeight w:hRule="exact" w:val="851"/>
        </w:trPr>
        <w:tc>
          <w:tcPr>
            <w:tcW w:w="1276" w:type="dxa"/>
            <w:tcBorders>
              <w:bottom w:val="single" w:sz="4" w:space="0" w:color="auto"/>
            </w:tcBorders>
          </w:tcPr>
          <w:p w14:paraId="20F2A83E" w14:textId="77777777" w:rsidR="002D5AAC" w:rsidRDefault="002D5AAC" w:rsidP="00AB4CD8">
            <w:pPr>
              <w:kinsoku w:val="0"/>
              <w:overflowPunct w:val="0"/>
              <w:autoSpaceDE w:val="0"/>
              <w:autoSpaceDN w:val="0"/>
              <w:adjustRightInd w:val="0"/>
              <w:snapToGrid w:val="0"/>
            </w:pPr>
          </w:p>
        </w:tc>
        <w:tc>
          <w:tcPr>
            <w:tcW w:w="2268" w:type="dxa"/>
            <w:tcBorders>
              <w:bottom w:val="single" w:sz="4" w:space="0" w:color="auto"/>
            </w:tcBorders>
            <w:vAlign w:val="bottom"/>
          </w:tcPr>
          <w:p w14:paraId="182D03FB"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1FE632B" w14:textId="060B24EF" w:rsidR="002D5AAC" w:rsidRDefault="00AB4CD8" w:rsidP="00AB4CD8">
            <w:pPr>
              <w:jc w:val="right"/>
            </w:pPr>
            <w:r w:rsidRPr="00AB4CD8">
              <w:rPr>
                <w:sz w:val="40"/>
              </w:rPr>
              <w:t>CMW</w:t>
            </w:r>
            <w:r>
              <w:t>/C/42/1</w:t>
            </w:r>
          </w:p>
        </w:tc>
      </w:tr>
      <w:tr w:rsidR="002D5AAC" w14:paraId="3FE85A13" w14:textId="77777777" w:rsidTr="004D749D">
        <w:trPr>
          <w:trHeight w:hRule="exact" w:val="2835"/>
        </w:trPr>
        <w:tc>
          <w:tcPr>
            <w:tcW w:w="1276" w:type="dxa"/>
            <w:tcBorders>
              <w:top w:val="single" w:sz="4" w:space="0" w:color="auto"/>
              <w:bottom w:val="single" w:sz="12" w:space="0" w:color="auto"/>
            </w:tcBorders>
          </w:tcPr>
          <w:p w14:paraId="14B1E421" w14:textId="77777777" w:rsidR="002D5AAC" w:rsidRDefault="00EE7DF4" w:rsidP="004D749D">
            <w:pPr>
              <w:spacing w:before="120"/>
              <w:jc w:val="center"/>
            </w:pPr>
            <w:r>
              <w:rPr>
                <w:noProof/>
              </w:rPr>
              <w:drawing>
                <wp:inline distT="0" distB="0" distL="0" distR="0" wp14:anchorId="239F4DE3" wp14:editId="317BB1D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897DBD"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5B01C5D7" w14:textId="77777777" w:rsidR="002D5AAC" w:rsidRDefault="00AB4CD8" w:rsidP="004D749D">
            <w:pPr>
              <w:spacing w:before="240"/>
            </w:pPr>
            <w:r>
              <w:t>Distr. general</w:t>
            </w:r>
          </w:p>
          <w:p w14:paraId="214B5FA1" w14:textId="77777777" w:rsidR="00AB4CD8" w:rsidRDefault="00AB4CD8" w:rsidP="00AB4CD8">
            <w:pPr>
              <w:spacing w:line="240" w:lineRule="exact"/>
            </w:pPr>
            <w:r>
              <w:t>27 de marzo de 2026</w:t>
            </w:r>
          </w:p>
          <w:p w14:paraId="6304838F" w14:textId="77777777" w:rsidR="00AB4CD8" w:rsidRDefault="00AB4CD8" w:rsidP="00AB4CD8">
            <w:pPr>
              <w:spacing w:line="240" w:lineRule="exact"/>
            </w:pPr>
            <w:r>
              <w:t>Español</w:t>
            </w:r>
          </w:p>
          <w:p w14:paraId="7A4D5E47" w14:textId="77777777" w:rsidR="00AB4CD8" w:rsidRDefault="00AB4CD8" w:rsidP="00AB4CD8">
            <w:pPr>
              <w:spacing w:line="240" w:lineRule="exact"/>
            </w:pPr>
            <w:r>
              <w:t>Original: inglés</w:t>
            </w:r>
          </w:p>
          <w:p w14:paraId="40A97488" w14:textId="181A7EB7" w:rsidR="00AB4CD8" w:rsidRDefault="00AB4CD8" w:rsidP="00AB4CD8">
            <w:pPr>
              <w:spacing w:line="240" w:lineRule="exact"/>
            </w:pPr>
            <w:r>
              <w:t>Español, francés e inglés únicamente</w:t>
            </w:r>
          </w:p>
        </w:tc>
      </w:tr>
    </w:tbl>
    <w:p w14:paraId="485A855B" w14:textId="10DEC863" w:rsidR="00AB4CD8" w:rsidRPr="00AB4CD8" w:rsidRDefault="00AB4CD8" w:rsidP="00AB4CD8">
      <w:pPr>
        <w:spacing w:before="120" w:line="240" w:lineRule="auto"/>
        <w:rPr>
          <w:b/>
          <w:bCs/>
          <w:sz w:val="24"/>
          <w:szCs w:val="24"/>
        </w:rPr>
      </w:pPr>
      <w:r w:rsidRPr="00AB4CD8">
        <w:rPr>
          <w:b/>
          <w:bCs/>
          <w:sz w:val="24"/>
          <w:szCs w:val="24"/>
        </w:rPr>
        <w:t xml:space="preserve">Comité de Protección de los Derechos de Todos los </w:t>
      </w:r>
      <w:r>
        <w:rPr>
          <w:b/>
          <w:bCs/>
          <w:sz w:val="24"/>
          <w:szCs w:val="24"/>
        </w:rPr>
        <w:br/>
      </w:r>
      <w:r w:rsidRPr="00AB4CD8">
        <w:rPr>
          <w:b/>
          <w:bCs/>
          <w:sz w:val="24"/>
          <w:szCs w:val="24"/>
        </w:rPr>
        <w:t>Trabajadores Migratorios y de Sus Familiares</w:t>
      </w:r>
    </w:p>
    <w:p w14:paraId="53BADB50" w14:textId="77777777" w:rsidR="00AB4CD8" w:rsidRPr="00AB4CD8" w:rsidRDefault="00AB4CD8" w:rsidP="00AB4CD8">
      <w:pPr>
        <w:spacing w:line="240" w:lineRule="auto"/>
        <w:rPr>
          <w:b/>
          <w:bCs/>
        </w:rPr>
      </w:pPr>
      <w:r w:rsidRPr="00AB4CD8">
        <w:rPr>
          <w:b/>
          <w:bCs/>
        </w:rPr>
        <w:t>42º período de sesiones</w:t>
      </w:r>
    </w:p>
    <w:p w14:paraId="427C6215" w14:textId="77777777" w:rsidR="00AB4CD8" w:rsidRPr="00AB4CD8" w:rsidRDefault="00AB4CD8" w:rsidP="00AB4CD8">
      <w:pPr>
        <w:spacing w:line="240" w:lineRule="auto"/>
      </w:pPr>
      <w:r w:rsidRPr="00AB4CD8">
        <w:t>Ginebra, 28 de mayo a 12 de junio de 2026</w:t>
      </w:r>
    </w:p>
    <w:p w14:paraId="38CB8730" w14:textId="77777777" w:rsidR="00AB4CD8" w:rsidRPr="00AB4CD8" w:rsidRDefault="00AB4CD8" w:rsidP="00AB4CD8">
      <w:pPr>
        <w:spacing w:line="240" w:lineRule="auto"/>
      </w:pPr>
      <w:r w:rsidRPr="00AB4CD8">
        <w:t>Tema 4 del programa provisional</w:t>
      </w:r>
    </w:p>
    <w:p w14:paraId="730E01D1" w14:textId="77777777" w:rsidR="00AB4CD8" w:rsidRPr="00AB4CD8" w:rsidRDefault="00AB4CD8" w:rsidP="00AB4CD8">
      <w:pPr>
        <w:spacing w:line="240" w:lineRule="auto"/>
        <w:rPr>
          <w:b/>
          <w:bCs/>
        </w:rPr>
      </w:pPr>
      <w:r w:rsidRPr="00AB4CD8">
        <w:rPr>
          <w:b/>
          <w:bCs/>
        </w:rPr>
        <w:t>Aprobación del programa</w:t>
      </w:r>
    </w:p>
    <w:p w14:paraId="7B68B6C4" w14:textId="4DBA4226" w:rsidR="00AB4CD8" w:rsidRPr="00AB4CD8" w:rsidRDefault="00AB4CD8" w:rsidP="00AB4CD8">
      <w:pPr>
        <w:pStyle w:val="HChG"/>
      </w:pPr>
      <w:r>
        <w:tab/>
      </w:r>
      <w:r w:rsidRPr="00AB4CD8">
        <w:tab/>
        <w:t>Programa provisional anotado</w:t>
      </w:r>
    </w:p>
    <w:p w14:paraId="7B38898A" w14:textId="7D8890E1" w:rsidR="00AB4CD8" w:rsidRPr="00AB4CD8" w:rsidRDefault="00AB4CD8" w:rsidP="00AB4CD8">
      <w:pPr>
        <w:pStyle w:val="H1G"/>
      </w:pPr>
      <w:r>
        <w:tab/>
      </w:r>
      <w:r w:rsidRPr="00AB4CD8">
        <w:tab/>
        <w:t>Programa provisional</w:t>
      </w:r>
    </w:p>
    <w:p w14:paraId="43017B94" w14:textId="77777777" w:rsidR="00AB4CD8" w:rsidRPr="00AB4CD8" w:rsidRDefault="00AB4CD8" w:rsidP="00AB4CD8">
      <w:pPr>
        <w:pStyle w:val="SingleTxtG"/>
        <w:ind w:left="1701" w:hanging="567"/>
      </w:pPr>
      <w:r w:rsidRPr="00AB4CD8">
        <w:t>1.</w:t>
      </w:r>
      <w:r w:rsidRPr="00AB4CD8">
        <w:tab/>
        <w:t>Apertura del período de sesiones.</w:t>
      </w:r>
    </w:p>
    <w:p w14:paraId="2AEEADC4" w14:textId="77777777" w:rsidR="00AB4CD8" w:rsidRPr="00AB4CD8" w:rsidRDefault="00AB4CD8" w:rsidP="00AB4CD8">
      <w:pPr>
        <w:pStyle w:val="SingleTxtG"/>
        <w:ind w:left="1701" w:hanging="567"/>
      </w:pPr>
      <w:r w:rsidRPr="00AB4CD8">
        <w:t>2.</w:t>
      </w:r>
      <w:r w:rsidRPr="00AB4CD8">
        <w:tab/>
        <w:t>Declaración solemne de los miembros recientemente elegidos del Comité, de conformidad con el artículo 11 del reglamento.</w:t>
      </w:r>
    </w:p>
    <w:p w14:paraId="218CF93E" w14:textId="77777777" w:rsidR="00AB4CD8" w:rsidRPr="00AB4CD8" w:rsidRDefault="00AB4CD8" w:rsidP="00AB4CD8">
      <w:pPr>
        <w:pStyle w:val="SingleTxtG"/>
        <w:ind w:left="1701" w:hanging="567"/>
      </w:pPr>
      <w:r w:rsidRPr="00AB4CD8">
        <w:t>3.</w:t>
      </w:r>
      <w:r w:rsidRPr="00AB4CD8">
        <w:tab/>
        <w:t>Elección de la Mesa, de conformidad con los artículos 13 a 15 del reglamento.</w:t>
      </w:r>
    </w:p>
    <w:p w14:paraId="38428C7A" w14:textId="77777777" w:rsidR="00AB4CD8" w:rsidRPr="00AB4CD8" w:rsidRDefault="00AB4CD8" w:rsidP="00AB4CD8">
      <w:pPr>
        <w:pStyle w:val="SingleTxtG"/>
        <w:ind w:left="1701" w:hanging="567"/>
      </w:pPr>
      <w:r w:rsidRPr="00AB4CD8">
        <w:t>4.</w:t>
      </w:r>
      <w:r w:rsidRPr="00AB4CD8">
        <w:tab/>
        <w:t>Aprobación del programa.</w:t>
      </w:r>
    </w:p>
    <w:p w14:paraId="6C13ECB3" w14:textId="77777777" w:rsidR="00AB4CD8" w:rsidRPr="00AB4CD8" w:rsidRDefault="00AB4CD8" w:rsidP="00AB4CD8">
      <w:pPr>
        <w:pStyle w:val="SingleTxtG"/>
        <w:ind w:left="1701" w:hanging="567"/>
      </w:pPr>
      <w:r w:rsidRPr="00AB4CD8">
        <w:t>5.</w:t>
      </w:r>
      <w:r w:rsidRPr="00AB4CD8">
        <w:tab/>
        <w:t>Cuestiones de organización.</w:t>
      </w:r>
    </w:p>
    <w:p w14:paraId="536C7AB3" w14:textId="77777777" w:rsidR="00AB4CD8" w:rsidRPr="00AB4CD8" w:rsidRDefault="00AB4CD8" w:rsidP="00AB4CD8">
      <w:pPr>
        <w:pStyle w:val="SingleTxtG"/>
        <w:ind w:left="1701" w:hanging="567"/>
      </w:pPr>
      <w:r w:rsidRPr="00AB4CD8">
        <w:t>6.</w:t>
      </w:r>
      <w:r w:rsidRPr="00AB4CD8">
        <w:tab/>
        <w:t>Presentación de informes por los Estados Partes.</w:t>
      </w:r>
    </w:p>
    <w:p w14:paraId="03ABFF9F" w14:textId="77777777" w:rsidR="00AB4CD8" w:rsidRPr="00AB4CD8" w:rsidRDefault="00AB4CD8" w:rsidP="00AB4CD8">
      <w:pPr>
        <w:pStyle w:val="SingleTxtG"/>
        <w:ind w:left="1701" w:hanging="567"/>
      </w:pPr>
      <w:r w:rsidRPr="00AB4CD8">
        <w:t>7.</w:t>
      </w:r>
      <w:r w:rsidRPr="00AB4CD8">
        <w:tab/>
        <w:t>Examen de los informes presentados por los Estados Partes en virtud del artículo 73 de la Convención.</w:t>
      </w:r>
    </w:p>
    <w:p w14:paraId="787A1B06" w14:textId="77777777" w:rsidR="00AB4CD8" w:rsidRPr="00AB4CD8" w:rsidRDefault="00AB4CD8" w:rsidP="00AB4CD8">
      <w:pPr>
        <w:pStyle w:val="SingleTxtG"/>
        <w:ind w:left="1701" w:hanging="567"/>
      </w:pPr>
      <w:r w:rsidRPr="00AB4CD8">
        <w:t>8.</w:t>
      </w:r>
      <w:r w:rsidRPr="00AB4CD8">
        <w:tab/>
        <w:t>Métodos de trabajo del Comité.</w:t>
      </w:r>
    </w:p>
    <w:p w14:paraId="7F6BB215" w14:textId="77777777" w:rsidR="00AB4CD8" w:rsidRPr="00AB4CD8" w:rsidRDefault="00AB4CD8" w:rsidP="00AB4CD8">
      <w:pPr>
        <w:pStyle w:val="SingleTxtG"/>
        <w:ind w:left="1701" w:hanging="567"/>
      </w:pPr>
      <w:r w:rsidRPr="00AB4CD8">
        <w:t>9.</w:t>
      </w:r>
      <w:r w:rsidRPr="00AB4CD8">
        <w:tab/>
        <w:t>Promoción de la Convención.</w:t>
      </w:r>
    </w:p>
    <w:p w14:paraId="619BC809" w14:textId="77FAB1EC" w:rsidR="00AB4CD8" w:rsidRPr="00AB4CD8" w:rsidRDefault="00AB4CD8" w:rsidP="00AB4CD8">
      <w:pPr>
        <w:pStyle w:val="SingleTxtG"/>
        <w:ind w:left="1701" w:hanging="567"/>
      </w:pPr>
      <w:r w:rsidRPr="00AB4CD8">
        <w:t>10.</w:t>
      </w:r>
      <w:r w:rsidRPr="00AB4CD8">
        <w:tab/>
        <w:t>Aprobación del informe anual.</w:t>
      </w:r>
    </w:p>
    <w:p w14:paraId="3055FD94" w14:textId="6558198A" w:rsidR="00AB4CD8" w:rsidRPr="00AB4CD8" w:rsidRDefault="00AB4CD8" w:rsidP="00AB4CD8">
      <w:pPr>
        <w:pStyle w:val="H1G"/>
      </w:pPr>
      <w:r>
        <w:tab/>
      </w:r>
      <w:r w:rsidRPr="00AB4CD8">
        <w:tab/>
        <w:t>Anotaciones</w:t>
      </w:r>
    </w:p>
    <w:p w14:paraId="6DEDD75A" w14:textId="77777777" w:rsidR="00AB4CD8" w:rsidRPr="00AB4CD8" w:rsidRDefault="00AB4CD8" w:rsidP="00AB4CD8">
      <w:pPr>
        <w:pStyle w:val="H23G"/>
      </w:pPr>
      <w:r w:rsidRPr="00AB4CD8">
        <w:tab/>
        <w:t>1.</w:t>
      </w:r>
      <w:r w:rsidRPr="00AB4CD8">
        <w:tab/>
        <w:t>Apertura del período de sesiones</w:t>
      </w:r>
    </w:p>
    <w:p w14:paraId="586B8790" w14:textId="7FD8B88B" w:rsidR="00AB4CD8" w:rsidRPr="00AB4CD8" w:rsidRDefault="00AB4CD8" w:rsidP="00AB4CD8">
      <w:pPr>
        <w:pStyle w:val="SingleTxtG"/>
      </w:pPr>
      <w:r>
        <w:tab/>
      </w:r>
      <w:r w:rsidRPr="00AB4CD8">
        <w:t>El representante del Secretario General declarará abierto el 42º período de sesiones del Comité.</w:t>
      </w:r>
    </w:p>
    <w:p w14:paraId="303C807F" w14:textId="5AFEDED2" w:rsidR="00AB4CD8" w:rsidRPr="00AB4CD8" w:rsidRDefault="00AB4CD8" w:rsidP="00AB4CD8">
      <w:pPr>
        <w:pStyle w:val="H23G"/>
      </w:pPr>
      <w:r w:rsidRPr="00AB4CD8">
        <w:tab/>
        <w:t>2.</w:t>
      </w:r>
      <w:r w:rsidRPr="00AB4CD8">
        <w:tab/>
        <w:t>Declaración solemne de los miembros recientemente elegidos del Comité, de</w:t>
      </w:r>
      <w:r>
        <w:t> </w:t>
      </w:r>
      <w:r w:rsidRPr="00AB4CD8">
        <w:t>conformidad con el artículo 11 del reglamento</w:t>
      </w:r>
    </w:p>
    <w:p w14:paraId="1C1A522B" w14:textId="382C9E8A" w:rsidR="00AB4CD8" w:rsidRPr="00AB4CD8" w:rsidRDefault="00AB4CD8" w:rsidP="00AB4CD8">
      <w:pPr>
        <w:pStyle w:val="SingleTxtG"/>
      </w:pPr>
      <w:r>
        <w:tab/>
      </w:r>
      <w:r w:rsidRPr="00AB4CD8">
        <w:t>De conformidad con el artículo 11 del reglamento, los nuevos miembros del Comité elegidos en la 12ª reunión de los Estados Partes en la Convención, celebrada el 24 de junio de 2025, harán la siguiente declaración solemne antes de asumir sus funciones: “Declaro solemnemente que desempeñaré mis funciones y ejerceré mis atribuciones como miembro del Comité de Protección de los Derechos de Todos los Trabajadores Migratorios y de Sus Familiares en forma honesta, fiel, imparcial y concienzuda”.</w:t>
      </w:r>
    </w:p>
    <w:p w14:paraId="38CF00C8" w14:textId="77777777" w:rsidR="00AB4CD8" w:rsidRPr="00AB4CD8" w:rsidRDefault="00AB4CD8" w:rsidP="00AB4CD8">
      <w:pPr>
        <w:pStyle w:val="H23G"/>
      </w:pPr>
      <w:r w:rsidRPr="00AB4CD8">
        <w:lastRenderedPageBreak/>
        <w:tab/>
        <w:t>3.</w:t>
      </w:r>
      <w:r w:rsidRPr="00AB4CD8">
        <w:tab/>
        <w:t>Elección de la Mesa, de conformidad con los artículos 13 a 15 del reglamento</w:t>
      </w:r>
    </w:p>
    <w:p w14:paraId="785DC53B" w14:textId="5A905258" w:rsidR="00AB4CD8" w:rsidRPr="00AB4CD8" w:rsidRDefault="00AB4CD8" w:rsidP="00AB4CD8">
      <w:pPr>
        <w:pStyle w:val="SingleTxtG"/>
      </w:pPr>
      <w:r>
        <w:tab/>
      </w:r>
      <w:r w:rsidRPr="00AB4CD8">
        <w:t>De conformidad con el artículo 75, párrafo 2, de la Convención y el artículo 15, párrafo 1, del reglamento, el Comité elegirá su Mesa por un período de dos años. De conformidad con los artículos 13 y 14 del reglamento, el Comité elegirá entre sus miembros a cinco personas para que asuman, respectivamente, la Presidencia, tres Vicepresidencias y la Relatoría.</w:t>
      </w:r>
    </w:p>
    <w:p w14:paraId="40645AB3" w14:textId="6DB3E6A6" w:rsidR="00AB4CD8" w:rsidRPr="00AB4CD8" w:rsidRDefault="00AB4CD8" w:rsidP="00AB4CD8">
      <w:pPr>
        <w:pStyle w:val="SingleTxtG"/>
      </w:pPr>
      <w:r>
        <w:tab/>
      </w:r>
      <w:r w:rsidRPr="00AB4CD8">
        <w:t>En virtud del artículo 14 del reglamento, cuando haya un solo candidato para la elección de un miembro de la Mesa, el Comité podrá decidir que se elija a esa persona por aclamación. Cuando haya dos o más candidatos para la elección de un miembro de la Mesa o cuando el Comité decida por otra razón proceder a votación, resultará elegida la persona que obtenga una mayoría simple de los votos emitidos. La elección se hará en votación secreta.</w:t>
      </w:r>
    </w:p>
    <w:p w14:paraId="64F85F04" w14:textId="77777777" w:rsidR="00AB4CD8" w:rsidRPr="00AB4CD8" w:rsidRDefault="00AB4CD8" w:rsidP="00AB4CD8">
      <w:pPr>
        <w:pStyle w:val="H23G"/>
      </w:pPr>
      <w:r w:rsidRPr="00AB4CD8">
        <w:tab/>
        <w:t>4.</w:t>
      </w:r>
      <w:r w:rsidRPr="00AB4CD8">
        <w:tab/>
        <w:t>Aprobación del programa</w:t>
      </w:r>
    </w:p>
    <w:p w14:paraId="2761FC10" w14:textId="29A46D62" w:rsidR="00AB4CD8" w:rsidRPr="00AB4CD8" w:rsidRDefault="00AB4CD8" w:rsidP="00AB4CD8">
      <w:pPr>
        <w:pStyle w:val="SingleTxtG"/>
      </w:pPr>
      <w:r>
        <w:tab/>
      </w:r>
      <w:r w:rsidRPr="00AB4CD8">
        <w:t>De conformidad con el artículo 5 del reglamento del Comité, el Secretario General ha preparado el presente programa provisional anotado en consulta con la Presidencia del Comité.</w:t>
      </w:r>
    </w:p>
    <w:p w14:paraId="750FC2F5" w14:textId="240524D7" w:rsidR="00AB4CD8" w:rsidRPr="00AB4CD8" w:rsidRDefault="00AB4CD8" w:rsidP="00AB4CD8">
      <w:pPr>
        <w:pStyle w:val="SingleTxtG"/>
      </w:pPr>
      <w:r>
        <w:tab/>
      </w:r>
      <w:r w:rsidRPr="00AB4CD8">
        <w:t>De conformidad con el artículo 6 del reglamento, el primer tema del programa provisional de cada período de sesiones será la aprobación del programa, excepto cuando, en virtud del artículo 13, deban elegirse los miembros de la Mesa. De conformidad con el artículo 7, durante el período de sesiones el Comité podrá revisar el programa y, según corresponda, podrá aplazar o suprimir temas.</w:t>
      </w:r>
    </w:p>
    <w:p w14:paraId="78B72657" w14:textId="77777777" w:rsidR="00AB4CD8" w:rsidRPr="00AB4CD8" w:rsidRDefault="00AB4CD8" w:rsidP="00AB4CD8">
      <w:pPr>
        <w:pStyle w:val="H23G"/>
      </w:pPr>
      <w:r w:rsidRPr="00AB4CD8">
        <w:tab/>
        <w:t>5.</w:t>
      </w:r>
      <w:r w:rsidRPr="00AB4CD8">
        <w:tab/>
        <w:t>Cuestiones de organización</w:t>
      </w:r>
    </w:p>
    <w:p w14:paraId="2546C2D4" w14:textId="74631695" w:rsidR="00AB4CD8" w:rsidRPr="00AB4CD8" w:rsidRDefault="00AB4CD8" w:rsidP="00AB4CD8">
      <w:pPr>
        <w:pStyle w:val="SingleTxtG"/>
      </w:pPr>
      <w:r>
        <w:tab/>
      </w:r>
      <w:r w:rsidRPr="00AB4CD8">
        <w:t>El 42º período de sesiones del Comité se celebrará en el Palais Wilson del 28 de mayo al 12 de junio de 2026. La primera sesión tendrá lugar el jueves 28 de mayo a las 10.00 horas.</w:t>
      </w:r>
    </w:p>
    <w:p w14:paraId="26AD1629" w14:textId="2D0E92FB" w:rsidR="00AB4CD8" w:rsidRPr="00AB4CD8" w:rsidRDefault="00AB4CD8" w:rsidP="00AB4CD8">
      <w:pPr>
        <w:pStyle w:val="SingleTxtG"/>
      </w:pPr>
      <w:r>
        <w:tab/>
      </w:r>
      <w:r w:rsidRPr="00AB4CD8">
        <w:t>El Comité examinará su programa de trabajo y asuntos relacionados con sus actividades, incluidas las fechas de futuros períodos de sesiones. El programa de trabajo podrá consultarse en la página web del Comité</w:t>
      </w:r>
      <w:r>
        <w:rPr>
          <w:rStyle w:val="Refdenotaalpie"/>
        </w:rPr>
        <w:footnoteReference w:id="1"/>
      </w:r>
      <w:r w:rsidRPr="00AB4CD8">
        <w:t>.</w:t>
      </w:r>
    </w:p>
    <w:p w14:paraId="5937DFE3" w14:textId="77777777" w:rsidR="00AB4CD8" w:rsidRPr="00AB4CD8" w:rsidRDefault="00AB4CD8" w:rsidP="00AB4CD8">
      <w:pPr>
        <w:pStyle w:val="H23G"/>
      </w:pPr>
      <w:r w:rsidRPr="00AB4CD8">
        <w:tab/>
        <w:t>6.</w:t>
      </w:r>
      <w:r w:rsidRPr="00AB4CD8">
        <w:tab/>
        <w:t>Presentación de informes por los Estados Partes</w:t>
      </w:r>
    </w:p>
    <w:p w14:paraId="4F94DBC2" w14:textId="23298093" w:rsidR="00AB4CD8" w:rsidRPr="00AB4CD8" w:rsidRDefault="00AB4CD8" w:rsidP="00AB4CD8">
      <w:pPr>
        <w:pStyle w:val="SingleTxtG"/>
      </w:pPr>
      <w:r>
        <w:tab/>
      </w:r>
      <w:r w:rsidRPr="00AB4CD8">
        <w:t>Durante su 34ª reunión, las Presidencias de los órganos creados en virtud de tratados de derechos humanos decidieron que el procedimiento simplificado de presentación de informes pasaría a ser el procedimiento que utilizarían por defecto todos los Comités, con la posibilidad de que los Estados Partes optaran por que no se les aplicara. En su 35ª reunión, las Presidencias reafirmaron esa decisión, aclarando que el procedimiento simplificado debía utilizarse tanto en los informes iniciales como en los periódicos. De conformidad con dichas decisiones, y en función de los recursos humanos de que disponga, el Comité aprobará listas de cuestiones previas a la presentación de informes para los Estados Partes que no se hayan acogido a la posibilidad de que no se les aplique el procedimiento simplificado.</w:t>
      </w:r>
    </w:p>
    <w:p w14:paraId="1CBF8895" w14:textId="0A3655A2" w:rsidR="00AB4CD8" w:rsidRPr="00AB4CD8" w:rsidRDefault="00AB4CD8" w:rsidP="00AB4CD8">
      <w:pPr>
        <w:pStyle w:val="SingleTxtG"/>
      </w:pPr>
      <w:r>
        <w:tab/>
      </w:r>
      <w:r w:rsidRPr="00AB4CD8">
        <w:t>Los Estados Partes que figuran a continuación todavía no han presentado sus informes iniciales y periódicos, ya que su presentación está supeditada a la publicación de la lista de cuestiones previa a la presentación de informes: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835"/>
        <w:gridCol w:w="2410"/>
        <w:gridCol w:w="2125"/>
      </w:tblGrid>
      <w:tr w:rsidR="00AB4CD8" w:rsidRPr="00AB4CD8" w14:paraId="63203AE1" w14:textId="77777777" w:rsidTr="00AB4CD8">
        <w:trPr>
          <w:trHeight w:val="240"/>
          <w:tblHeader/>
        </w:trPr>
        <w:tc>
          <w:tcPr>
            <w:tcW w:w="2835" w:type="dxa"/>
            <w:tcBorders>
              <w:top w:val="single" w:sz="4" w:space="0" w:color="auto"/>
              <w:bottom w:val="single" w:sz="12" w:space="0" w:color="auto"/>
            </w:tcBorders>
            <w:shd w:val="clear" w:color="auto" w:fill="auto"/>
            <w:vAlign w:val="bottom"/>
          </w:tcPr>
          <w:p w14:paraId="7AE76D34" w14:textId="77777777" w:rsidR="00AB4CD8" w:rsidRPr="00AB4CD8" w:rsidRDefault="00AB4CD8" w:rsidP="00AB4CD8">
            <w:pPr>
              <w:spacing w:before="80" w:after="80" w:line="200" w:lineRule="exact"/>
              <w:rPr>
                <w:i/>
                <w:sz w:val="16"/>
              </w:rPr>
            </w:pPr>
            <w:r w:rsidRPr="00AB4CD8">
              <w:rPr>
                <w:i/>
                <w:iCs/>
                <w:sz w:val="16"/>
              </w:rPr>
              <w:t>Estado Parte</w:t>
            </w:r>
          </w:p>
        </w:tc>
        <w:tc>
          <w:tcPr>
            <w:tcW w:w="2410" w:type="dxa"/>
            <w:tcBorders>
              <w:top w:val="single" w:sz="4" w:space="0" w:color="auto"/>
              <w:bottom w:val="single" w:sz="12" w:space="0" w:color="auto"/>
            </w:tcBorders>
            <w:shd w:val="clear" w:color="auto" w:fill="auto"/>
            <w:vAlign w:val="bottom"/>
          </w:tcPr>
          <w:p w14:paraId="1B55631F" w14:textId="77777777" w:rsidR="00AB4CD8" w:rsidRPr="00AB4CD8" w:rsidRDefault="00AB4CD8" w:rsidP="00AB4CD8">
            <w:pPr>
              <w:spacing w:before="80" w:after="80" w:line="200" w:lineRule="exact"/>
              <w:rPr>
                <w:i/>
                <w:sz w:val="16"/>
              </w:rPr>
            </w:pPr>
            <w:r w:rsidRPr="00AB4CD8">
              <w:rPr>
                <w:i/>
                <w:iCs/>
                <w:sz w:val="16"/>
              </w:rPr>
              <w:t>Informe inicial/periódico</w:t>
            </w:r>
          </w:p>
        </w:tc>
        <w:tc>
          <w:tcPr>
            <w:tcW w:w="2125" w:type="dxa"/>
            <w:tcBorders>
              <w:top w:val="single" w:sz="4" w:space="0" w:color="auto"/>
              <w:bottom w:val="single" w:sz="12" w:space="0" w:color="auto"/>
            </w:tcBorders>
            <w:shd w:val="clear" w:color="auto" w:fill="auto"/>
            <w:vAlign w:val="bottom"/>
          </w:tcPr>
          <w:p w14:paraId="35C86039" w14:textId="77777777" w:rsidR="00AB4CD8" w:rsidRPr="00AB4CD8" w:rsidRDefault="00AB4CD8" w:rsidP="00AB4CD8">
            <w:pPr>
              <w:spacing w:before="80" w:after="80" w:line="200" w:lineRule="exact"/>
              <w:rPr>
                <w:i/>
                <w:sz w:val="16"/>
              </w:rPr>
            </w:pPr>
            <w:r w:rsidRPr="00AB4CD8">
              <w:rPr>
                <w:i/>
                <w:iCs/>
                <w:sz w:val="16"/>
              </w:rPr>
              <w:t>Plazo inicial de presentación</w:t>
            </w:r>
          </w:p>
        </w:tc>
      </w:tr>
      <w:tr w:rsidR="00AB4CD8" w:rsidRPr="00AB4CD8" w14:paraId="29B41265" w14:textId="77777777" w:rsidTr="00AB4CD8">
        <w:trPr>
          <w:trHeight w:hRule="exact" w:val="113"/>
          <w:tblHeader/>
        </w:trPr>
        <w:tc>
          <w:tcPr>
            <w:tcW w:w="2835" w:type="dxa"/>
            <w:tcBorders>
              <w:top w:val="single" w:sz="12" w:space="0" w:color="auto"/>
            </w:tcBorders>
            <w:shd w:val="clear" w:color="auto" w:fill="auto"/>
          </w:tcPr>
          <w:p w14:paraId="667FB136" w14:textId="77777777" w:rsidR="00AB4CD8" w:rsidRPr="00AB4CD8" w:rsidRDefault="00AB4CD8" w:rsidP="00AB4CD8">
            <w:pPr>
              <w:spacing w:before="40" w:after="120"/>
            </w:pPr>
          </w:p>
        </w:tc>
        <w:tc>
          <w:tcPr>
            <w:tcW w:w="2410" w:type="dxa"/>
            <w:tcBorders>
              <w:top w:val="single" w:sz="12" w:space="0" w:color="auto"/>
            </w:tcBorders>
            <w:shd w:val="clear" w:color="auto" w:fill="auto"/>
          </w:tcPr>
          <w:p w14:paraId="4BBE5EE6" w14:textId="77777777" w:rsidR="00AB4CD8" w:rsidRPr="00AB4CD8" w:rsidRDefault="00AB4CD8" w:rsidP="00AB4CD8">
            <w:pPr>
              <w:spacing w:before="40" w:after="120"/>
            </w:pPr>
          </w:p>
        </w:tc>
        <w:tc>
          <w:tcPr>
            <w:tcW w:w="2125" w:type="dxa"/>
            <w:tcBorders>
              <w:top w:val="single" w:sz="12" w:space="0" w:color="auto"/>
            </w:tcBorders>
            <w:shd w:val="clear" w:color="auto" w:fill="auto"/>
          </w:tcPr>
          <w:p w14:paraId="614B882D" w14:textId="77777777" w:rsidR="00AB4CD8" w:rsidRPr="00AB4CD8" w:rsidRDefault="00AB4CD8" w:rsidP="00AB4CD8">
            <w:pPr>
              <w:spacing w:before="40" w:after="120"/>
            </w:pPr>
          </w:p>
        </w:tc>
      </w:tr>
      <w:tr w:rsidR="00AB4CD8" w:rsidRPr="00AB4CD8" w14:paraId="0108348E" w14:textId="77777777" w:rsidTr="00AB4CD8">
        <w:trPr>
          <w:trHeight w:val="240"/>
        </w:trPr>
        <w:tc>
          <w:tcPr>
            <w:tcW w:w="2835" w:type="dxa"/>
            <w:shd w:val="clear" w:color="auto" w:fill="auto"/>
          </w:tcPr>
          <w:p w14:paraId="7C3283AE" w14:textId="77777777" w:rsidR="00AB4CD8" w:rsidRPr="00AB4CD8" w:rsidRDefault="00AB4CD8" w:rsidP="00AB4CD8">
            <w:pPr>
              <w:spacing w:before="40" w:after="120"/>
            </w:pPr>
            <w:r w:rsidRPr="00AB4CD8">
              <w:t>Argentina</w:t>
            </w:r>
          </w:p>
        </w:tc>
        <w:tc>
          <w:tcPr>
            <w:tcW w:w="2410" w:type="dxa"/>
            <w:shd w:val="clear" w:color="auto" w:fill="auto"/>
          </w:tcPr>
          <w:p w14:paraId="38F2A5FE" w14:textId="77777777" w:rsidR="00AB4CD8" w:rsidRPr="00AB4CD8" w:rsidRDefault="00AB4CD8" w:rsidP="00AB4CD8">
            <w:pPr>
              <w:spacing w:before="40" w:after="120"/>
            </w:pPr>
            <w:r w:rsidRPr="00AB4CD8">
              <w:t>Tercero</w:t>
            </w:r>
          </w:p>
        </w:tc>
        <w:tc>
          <w:tcPr>
            <w:tcW w:w="2125" w:type="dxa"/>
            <w:shd w:val="clear" w:color="auto" w:fill="auto"/>
          </w:tcPr>
          <w:p w14:paraId="4FD6DDCF" w14:textId="77777777" w:rsidR="00AB4CD8" w:rsidRPr="00AB4CD8" w:rsidRDefault="00AB4CD8" w:rsidP="00AB4CD8">
            <w:pPr>
              <w:spacing w:before="40" w:after="120"/>
            </w:pPr>
            <w:r w:rsidRPr="00AB4CD8">
              <w:t>1 de octubre de 2024</w:t>
            </w:r>
          </w:p>
        </w:tc>
      </w:tr>
      <w:tr w:rsidR="00AB4CD8" w:rsidRPr="00AB4CD8" w14:paraId="0AFEBFA3" w14:textId="77777777" w:rsidTr="00AB4CD8">
        <w:trPr>
          <w:trHeight w:val="240"/>
        </w:trPr>
        <w:tc>
          <w:tcPr>
            <w:tcW w:w="2835" w:type="dxa"/>
            <w:shd w:val="clear" w:color="auto" w:fill="auto"/>
          </w:tcPr>
          <w:p w14:paraId="32D4E3B5" w14:textId="77777777" w:rsidR="00AB4CD8" w:rsidRPr="00AB4CD8" w:rsidRDefault="00AB4CD8" w:rsidP="00AB4CD8">
            <w:pPr>
              <w:spacing w:before="40" w:after="120"/>
            </w:pPr>
            <w:r w:rsidRPr="00AB4CD8">
              <w:t>Guatemala</w:t>
            </w:r>
            <w:r w:rsidRPr="00AB4CD8">
              <w:rPr>
                <w:i/>
                <w:iCs/>
                <w:sz w:val="18"/>
                <w:szCs w:val="18"/>
                <w:vertAlign w:val="superscript"/>
              </w:rPr>
              <w:t>a</w:t>
            </w:r>
          </w:p>
        </w:tc>
        <w:tc>
          <w:tcPr>
            <w:tcW w:w="2410" w:type="dxa"/>
            <w:shd w:val="clear" w:color="auto" w:fill="auto"/>
          </w:tcPr>
          <w:p w14:paraId="2C307278" w14:textId="77777777" w:rsidR="00AB4CD8" w:rsidRPr="00AB4CD8" w:rsidRDefault="00AB4CD8" w:rsidP="00AB4CD8">
            <w:pPr>
              <w:spacing w:before="40" w:after="120"/>
            </w:pPr>
            <w:r w:rsidRPr="00AB4CD8">
              <w:t>Tercero</w:t>
            </w:r>
          </w:p>
        </w:tc>
        <w:tc>
          <w:tcPr>
            <w:tcW w:w="2125" w:type="dxa"/>
            <w:shd w:val="clear" w:color="auto" w:fill="auto"/>
          </w:tcPr>
          <w:p w14:paraId="59A43128" w14:textId="77777777" w:rsidR="00AB4CD8" w:rsidRPr="00AB4CD8" w:rsidRDefault="00AB4CD8" w:rsidP="00AB4CD8">
            <w:pPr>
              <w:spacing w:before="40" w:after="120"/>
            </w:pPr>
            <w:r w:rsidRPr="00AB4CD8">
              <w:t>1 de mayo de 2024</w:t>
            </w:r>
          </w:p>
        </w:tc>
      </w:tr>
      <w:tr w:rsidR="00AB4CD8" w:rsidRPr="00AB4CD8" w14:paraId="23B340FD" w14:textId="77777777" w:rsidTr="00AB4CD8">
        <w:trPr>
          <w:trHeight w:val="240"/>
        </w:trPr>
        <w:tc>
          <w:tcPr>
            <w:tcW w:w="2835" w:type="dxa"/>
            <w:shd w:val="clear" w:color="auto" w:fill="auto"/>
          </w:tcPr>
          <w:p w14:paraId="6A0A81D1" w14:textId="77777777" w:rsidR="00AB4CD8" w:rsidRPr="00AB4CD8" w:rsidRDefault="00AB4CD8" w:rsidP="00AB4CD8">
            <w:pPr>
              <w:spacing w:before="40" w:after="120"/>
            </w:pPr>
            <w:r w:rsidRPr="00AB4CD8">
              <w:t>Guinea-Bissau</w:t>
            </w:r>
          </w:p>
        </w:tc>
        <w:tc>
          <w:tcPr>
            <w:tcW w:w="2410" w:type="dxa"/>
            <w:shd w:val="clear" w:color="auto" w:fill="auto"/>
          </w:tcPr>
          <w:p w14:paraId="30231235" w14:textId="77777777" w:rsidR="00AB4CD8" w:rsidRPr="00AB4CD8" w:rsidRDefault="00AB4CD8" w:rsidP="00AB4CD8">
            <w:pPr>
              <w:spacing w:before="40" w:after="120"/>
            </w:pPr>
            <w:r w:rsidRPr="00AB4CD8">
              <w:t>Inicial</w:t>
            </w:r>
          </w:p>
        </w:tc>
        <w:tc>
          <w:tcPr>
            <w:tcW w:w="2125" w:type="dxa"/>
            <w:shd w:val="clear" w:color="auto" w:fill="auto"/>
          </w:tcPr>
          <w:p w14:paraId="4C7E4894" w14:textId="77777777" w:rsidR="00AB4CD8" w:rsidRPr="00AB4CD8" w:rsidRDefault="00AB4CD8" w:rsidP="00AB4CD8">
            <w:pPr>
              <w:spacing w:before="40" w:after="120"/>
            </w:pPr>
            <w:r w:rsidRPr="00AB4CD8">
              <w:t>1 de febrero de 2020</w:t>
            </w:r>
          </w:p>
        </w:tc>
      </w:tr>
      <w:tr w:rsidR="00AB4CD8" w:rsidRPr="00AB4CD8" w14:paraId="2868B6D9" w14:textId="77777777" w:rsidTr="00AB4CD8">
        <w:trPr>
          <w:trHeight w:val="240"/>
        </w:trPr>
        <w:tc>
          <w:tcPr>
            <w:tcW w:w="2835" w:type="dxa"/>
            <w:shd w:val="clear" w:color="auto" w:fill="auto"/>
          </w:tcPr>
          <w:p w14:paraId="2ED100FA" w14:textId="77777777" w:rsidR="00AB4CD8" w:rsidRPr="00AB4CD8" w:rsidRDefault="00AB4CD8" w:rsidP="00AB4CD8">
            <w:pPr>
              <w:spacing w:before="40" w:after="120"/>
            </w:pPr>
            <w:r w:rsidRPr="00AB4CD8">
              <w:t>Guyana</w:t>
            </w:r>
            <w:r w:rsidRPr="00AB4CD8">
              <w:rPr>
                <w:i/>
                <w:iCs/>
                <w:sz w:val="18"/>
                <w:szCs w:val="18"/>
                <w:vertAlign w:val="superscript"/>
              </w:rPr>
              <w:t>a</w:t>
            </w:r>
          </w:p>
        </w:tc>
        <w:tc>
          <w:tcPr>
            <w:tcW w:w="2410" w:type="dxa"/>
            <w:shd w:val="clear" w:color="auto" w:fill="auto"/>
          </w:tcPr>
          <w:p w14:paraId="231F5336" w14:textId="77777777" w:rsidR="00AB4CD8" w:rsidRPr="00AB4CD8" w:rsidRDefault="00AB4CD8" w:rsidP="00AB4CD8">
            <w:pPr>
              <w:spacing w:before="40" w:after="120"/>
            </w:pPr>
            <w:r w:rsidRPr="00AB4CD8">
              <w:t>Segundo</w:t>
            </w:r>
          </w:p>
        </w:tc>
        <w:tc>
          <w:tcPr>
            <w:tcW w:w="2125" w:type="dxa"/>
            <w:shd w:val="clear" w:color="auto" w:fill="auto"/>
          </w:tcPr>
          <w:p w14:paraId="03C7F0AC" w14:textId="77777777" w:rsidR="00AB4CD8" w:rsidRPr="00AB4CD8" w:rsidRDefault="00AB4CD8" w:rsidP="00AB4CD8">
            <w:pPr>
              <w:spacing w:before="40" w:after="120"/>
            </w:pPr>
            <w:r w:rsidRPr="00AB4CD8">
              <w:t>1 de mayo de 2023</w:t>
            </w:r>
          </w:p>
        </w:tc>
      </w:tr>
      <w:tr w:rsidR="00AB4CD8" w:rsidRPr="00AB4CD8" w14:paraId="77F9BDFF" w14:textId="77777777" w:rsidTr="00AB4CD8">
        <w:trPr>
          <w:trHeight w:val="240"/>
        </w:trPr>
        <w:tc>
          <w:tcPr>
            <w:tcW w:w="2835" w:type="dxa"/>
            <w:shd w:val="clear" w:color="auto" w:fill="auto"/>
          </w:tcPr>
          <w:p w14:paraId="543B7DCB" w14:textId="77777777" w:rsidR="00AB4CD8" w:rsidRPr="00AB4CD8" w:rsidRDefault="00AB4CD8" w:rsidP="00AB4CD8">
            <w:pPr>
              <w:spacing w:before="40" w:after="120"/>
            </w:pPr>
            <w:r w:rsidRPr="00AB4CD8">
              <w:lastRenderedPageBreak/>
              <w:t>Libia</w:t>
            </w:r>
          </w:p>
        </w:tc>
        <w:tc>
          <w:tcPr>
            <w:tcW w:w="2410" w:type="dxa"/>
            <w:shd w:val="clear" w:color="auto" w:fill="auto"/>
          </w:tcPr>
          <w:p w14:paraId="0955C238" w14:textId="77777777" w:rsidR="00AB4CD8" w:rsidRPr="00AB4CD8" w:rsidRDefault="00AB4CD8" w:rsidP="00AB4CD8">
            <w:pPr>
              <w:spacing w:before="40" w:after="120"/>
            </w:pPr>
            <w:r w:rsidRPr="00AB4CD8">
              <w:t>Segundo</w:t>
            </w:r>
          </w:p>
        </w:tc>
        <w:tc>
          <w:tcPr>
            <w:tcW w:w="2125" w:type="dxa"/>
            <w:shd w:val="clear" w:color="auto" w:fill="auto"/>
          </w:tcPr>
          <w:p w14:paraId="3A08A048" w14:textId="77777777" w:rsidR="00AB4CD8" w:rsidRPr="00AB4CD8" w:rsidRDefault="00AB4CD8" w:rsidP="00AB4CD8">
            <w:pPr>
              <w:spacing w:before="40" w:after="120"/>
            </w:pPr>
            <w:r w:rsidRPr="00AB4CD8">
              <w:t>1 de mayo de 2024</w:t>
            </w:r>
          </w:p>
        </w:tc>
      </w:tr>
      <w:tr w:rsidR="00AB4CD8" w:rsidRPr="00AB4CD8" w14:paraId="42C27125" w14:textId="77777777" w:rsidTr="00AB4CD8">
        <w:trPr>
          <w:trHeight w:val="240"/>
        </w:trPr>
        <w:tc>
          <w:tcPr>
            <w:tcW w:w="2835" w:type="dxa"/>
            <w:shd w:val="clear" w:color="auto" w:fill="auto"/>
          </w:tcPr>
          <w:p w14:paraId="42FAE9A8" w14:textId="77777777" w:rsidR="00AB4CD8" w:rsidRPr="00AB4CD8" w:rsidRDefault="00AB4CD8" w:rsidP="00AB4CD8">
            <w:pPr>
              <w:spacing w:before="40" w:after="120"/>
            </w:pPr>
            <w:r w:rsidRPr="00AB4CD8">
              <w:t>Madagascar</w:t>
            </w:r>
          </w:p>
        </w:tc>
        <w:tc>
          <w:tcPr>
            <w:tcW w:w="2410" w:type="dxa"/>
            <w:shd w:val="clear" w:color="auto" w:fill="auto"/>
          </w:tcPr>
          <w:p w14:paraId="2EE29BFD" w14:textId="77777777" w:rsidR="00AB4CD8" w:rsidRPr="00AB4CD8" w:rsidRDefault="00AB4CD8" w:rsidP="00AB4CD8">
            <w:pPr>
              <w:spacing w:before="40" w:after="120"/>
            </w:pPr>
            <w:r w:rsidRPr="00AB4CD8">
              <w:t>Segundo</w:t>
            </w:r>
          </w:p>
        </w:tc>
        <w:tc>
          <w:tcPr>
            <w:tcW w:w="2125" w:type="dxa"/>
            <w:shd w:val="clear" w:color="auto" w:fill="auto"/>
          </w:tcPr>
          <w:p w14:paraId="4686F71A" w14:textId="77777777" w:rsidR="00AB4CD8" w:rsidRPr="00AB4CD8" w:rsidRDefault="00AB4CD8" w:rsidP="00AB4CD8">
            <w:pPr>
              <w:spacing w:before="40" w:after="120"/>
            </w:pPr>
            <w:r w:rsidRPr="00AB4CD8">
              <w:t>1 de octubre de 2023</w:t>
            </w:r>
          </w:p>
        </w:tc>
      </w:tr>
      <w:tr w:rsidR="00AB4CD8" w:rsidRPr="00AB4CD8" w14:paraId="7D46E06D" w14:textId="77777777" w:rsidTr="00AB4CD8">
        <w:trPr>
          <w:trHeight w:val="240"/>
        </w:trPr>
        <w:tc>
          <w:tcPr>
            <w:tcW w:w="2835" w:type="dxa"/>
            <w:shd w:val="clear" w:color="auto" w:fill="auto"/>
          </w:tcPr>
          <w:p w14:paraId="387B63F8" w14:textId="77777777" w:rsidR="00AB4CD8" w:rsidRPr="00AB4CD8" w:rsidRDefault="00AB4CD8" w:rsidP="00AB4CD8">
            <w:pPr>
              <w:spacing w:before="40" w:after="120"/>
            </w:pPr>
            <w:r w:rsidRPr="00AB4CD8">
              <w:t>Malawi</w:t>
            </w:r>
          </w:p>
        </w:tc>
        <w:tc>
          <w:tcPr>
            <w:tcW w:w="2410" w:type="dxa"/>
            <w:shd w:val="clear" w:color="auto" w:fill="auto"/>
          </w:tcPr>
          <w:p w14:paraId="70B6FE87" w14:textId="77777777" w:rsidR="00AB4CD8" w:rsidRPr="00AB4CD8" w:rsidRDefault="00AB4CD8" w:rsidP="00AB4CD8">
            <w:pPr>
              <w:spacing w:before="40" w:after="120"/>
            </w:pPr>
            <w:r w:rsidRPr="00AB4CD8">
              <w:t>Inicial</w:t>
            </w:r>
          </w:p>
        </w:tc>
        <w:tc>
          <w:tcPr>
            <w:tcW w:w="2125" w:type="dxa"/>
            <w:shd w:val="clear" w:color="auto" w:fill="auto"/>
          </w:tcPr>
          <w:p w14:paraId="374F6E4A" w14:textId="77777777" w:rsidR="00AB4CD8" w:rsidRPr="00AB4CD8" w:rsidRDefault="00AB4CD8" w:rsidP="00AB4CD8">
            <w:pPr>
              <w:spacing w:before="40" w:after="120"/>
            </w:pPr>
            <w:r w:rsidRPr="00AB4CD8">
              <w:t>1 de enero de 2024</w:t>
            </w:r>
          </w:p>
        </w:tc>
      </w:tr>
      <w:tr w:rsidR="00AB4CD8" w:rsidRPr="00AB4CD8" w14:paraId="29714385" w14:textId="77777777" w:rsidTr="00AB4CD8">
        <w:trPr>
          <w:trHeight w:val="240"/>
        </w:trPr>
        <w:tc>
          <w:tcPr>
            <w:tcW w:w="2835" w:type="dxa"/>
            <w:shd w:val="clear" w:color="auto" w:fill="auto"/>
          </w:tcPr>
          <w:p w14:paraId="231CA3BF" w14:textId="77777777" w:rsidR="00AB4CD8" w:rsidRPr="00AB4CD8" w:rsidRDefault="00AB4CD8" w:rsidP="00AB4CD8">
            <w:pPr>
              <w:spacing w:before="40" w:after="120"/>
            </w:pPr>
            <w:r w:rsidRPr="00AB4CD8">
              <w:t>Mozambique</w:t>
            </w:r>
          </w:p>
        </w:tc>
        <w:tc>
          <w:tcPr>
            <w:tcW w:w="2410" w:type="dxa"/>
            <w:shd w:val="clear" w:color="auto" w:fill="auto"/>
          </w:tcPr>
          <w:p w14:paraId="1CC28A77" w14:textId="77777777" w:rsidR="00AB4CD8" w:rsidRPr="00AB4CD8" w:rsidRDefault="00AB4CD8" w:rsidP="00AB4CD8">
            <w:pPr>
              <w:spacing w:before="40" w:after="120"/>
            </w:pPr>
            <w:r w:rsidRPr="00AB4CD8">
              <w:t>Segundo</w:t>
            </w:r>
          </w:p>
        </w:tc>
        <w:tc>
          <w:tcPr>
            <w:tcW w:w="2125" w:type="dxa"/>
            <w:shd w:val="clear" w:color="auto" w:fill="auto"/>
          </w:tcPr>
          <w:p w14:paraId="6E46B3EB" w14:textId="77777777" w:rsidR="00AB4CD8" w:rsidRPr="00AB4CD8" w:rsidRDefault="00AB4CD8" w:rsidP="00AB4CD8">
            <w:pPr>
              <w:spacing w:before="40" w:after="120"/>
            </w:pPr>
            <w:r w:rsidRPr="00AB4CD8">
              <w:t>1 de octubre de 2023</w:t>
            </w:r>
          </w:p>
        </w:tc>
      </w:tr>
      <w:tr w:rsidR="00AB4CD8" w:rsidRPr="00AB4CD8" w14:paraId="22996058" w14:textId="77777777" w:rsidTr="00AB4CD8">
        <w:trPr>
          <w:trHeight w:val="240"/>
        </w:trPr>
        <w:tc>
          <w:tcPr>
            <w:tcW w:w="2835" w:type="dxa"/>
            <w:shd w:val="clear" w:color="auto" w:fill="auto"/>
          </w:tcPr>
          <w:p w14:paraId="7938169C" w14:textId="77777777" w:rsidR="00AB4CD8" w:rsidRPr="00AB4CD8" w:rsidRDefault="00AB4CD8" w:rsidP="00AB4CD8">
            <w:pPr>
              <w:spacing w:before="40" w:after="120"/>
            </w:pPr>
            <w:r w:rsidRPr="00AB4CD8">
              <w:t>Nicaragua</w:t>
            </w:r>
          </w:p>
        </w:tc>
        <w:tc>
          <w:tcPr>
            <w:tcW w:w="2410" w:type="dxa"/>
            <w:shd w:val="clear" w:color="auto" w:fill="auto"/>
          </w:tcPr>
          <w:p w14:paraId="77C861F1" w14:textId="03027CF6" w:rsidR="00AB4CD8" w:rsidRPr="00AB4CD8" w:rsidRDefault="00AB4CD8" w:rsidP="00AB4CD8">
            <w:pPr>
              <w:spacing w:before="40" w:after="120"/>
            </w:pPr>
            <w:r w:rsidRPr="00AB4CD8">
              <w:t>Segundo</w:t>
            </w:r>
          </w:p>
        </w:tc>
        <w:tc>
          <w:tcPr>
            <w:tcW w:w="2125" w:type="dxa"/>
            <w:shd w:val="clear" w:color="auto" w:fill="auto"/>
          </w:tcPr>
          <w:p w14:paraId="5D6263BE" w14:textId="77777777" w:rsidR="00AB4CD8" w:rsidRPr="00AB4CD8" w:rsidRDefault="00AB4CD8" w:rsidP="00AB4CD8">
            <w:pPr>
              <w:spacing w:before="40" w:after="120"/>
            </w:pPr>
            <w:r w:rsidRPr="00AB4CD8">
              <w:t>1 de octubre de 2021</w:t>
            </w:r>
          </w:p>
        </w:tc>
      </w:tr>
      <w:tr w:rsidR="00AB4CD8" w:rsidRPr="00AB4CD8" w14:paraId="32D0C9B2" w14:textId="77777777" w:rsidTr="00AB4CD8">
        <w:trPr>
          <w:trHeight w:val="240"/>
        </w:trPr>
        <w:tc>
          <w:tcPr>
            <w:tcW w:w="2835" w:type="dxa"/>
            <w:shd w:val="clear" w:color="auto" w:fill="auto"/>
          </w:tcPr>
          <w:p w14:paraId="7111CE28" w14:textId="04FFBC3D" w:rsidR="00AB4CD8" w:rsidRPr="00AB4CD8" w:rsidRDefault="00AB4CD8" w:rsidP="00AB4CD8">
            <w:pPr>
              <w:spacing w:before="40" w:after="120"/>
            </w:pPr>
            <w:r w:rsidRPr="00AB4CD8">
              <w:t>San Vicente y las Granadinas</w:t>
            </w:r>
            <w:r w:rsidRPr="00AB4CD8">
              <w:rPr>
                <w:i/>
                <w:iCs/>
                <w:sz w:val="18"/>
                <w:szCs w:val="18"/>
                <w:vertAlign w:val="superscript"/>
              </w:rPr>
              <w:t>b</w:t>
            </w:r>
          </w:p>
        </w:tc>
        <w:tc>
          <w:tcPr>
            <w:tcW w:w="2410" w:type="dxa"/>
            <w:shd w:val="clear" w:color="auto" w:fill="auto"/>
          </w:tcPr>
          <w:p w14:paraId="531ECB97" w14:textId="77777777" w:rsidR="00AB4CD8" w:rsidRPr="00AB4CD8" w:rsidRDefault="00AB4CD8" w:rsidP="00AB4CD8">
            <w:pPr>
              <w:spacing w:before="40" w:after="120"/>
            </w:pPr>
            <w:r w:rsidRPr="00AB4CD8">
              <w:t>Inicial y segundo combinados</w:t>
            </w:r>
          </w:p>
        </w:tc>
        <w:tc>
          <w:tcPr>
            <w:tcW w:w="2125" w:type="dxa"/>
            <w:shd w:val="clear" w:color="auto" w:fill="auto"/>
          </w:tcPr>
          <w:p w14:paraId="5F7551D2" w14:textId="77777777" w:rsidR="00AB4CD8" w:rsidRPr="00AB4CD8" w:rsidRDefault="00AB4CD8" w:rsidP="00AB4CD8">
            <w:pPr>
              <w:spacing w:before="40" w:after="120"/>
            </w:pPr>
            <w:r w:rsidRPr="00AB4CD8">
              <w:t>1 de mayo de 2019</w:t>
            </w:r>
          </w:p>
        </w:tc>
      </w:tr>
      <w:tr w:rsidR="00AB4CD8" w:rsidRPr="00AB4CD8" w14:paraId="4CDD3EAB" w14:textId="77777777" w:rsidTr="00AB4CD8">
        <w:trPr>
          <w:trHeight w:val="240"/>
        </w:trPr>
        <w:tc>
          <w:tcPr>
            <w:tcW w:w="2835" w:type="dxa"/>
            <w:shd w:val="clear" w:color="auto" w:fill="auto"/>
          </w:tcPr>
          <w:p w14:paraId="0ED6746E" w14:textId="77777777" w:rsidR="00AB4CD8" w:rsidRPr="00AB4CD8" w:rsidRDefault="00AB4CD8" w:rsidP="00AB4CD8">
            <w:pPr>
              <w:spacing w:before="40" w:after="120"/>
            </w:pPr>
            <w:r w:rsidRPr="00AB4CD8">
              <w:t>Togo</w:t>
            </w:r>
          </w:p>
        </w:tc>
        <w:tc>
          <w:tcPr>
            <w:tcW w:w="2410" w:type="dxa"/>
            <w:shd w:val="clear" w:color="auto" w:fill="auto"/>
          </w:tcPr>
          <w:p w14:paraId="543D4D5E" w14:textId="77777777" w:rsidR="00AB4CD8" w:rsidRPr="00AB4CD8" w:rsidRDefault="00AB4CD8" w:rsidP="00AB4CD8">
            <w:pPr>
              <w:spacing w:before="40" w:after="120"/>
            </w:pPr>
            <w:r w:rsidRPr="00AB4CD8">
              <w:t>Inicial</w:t>
            </w:r>
          </w:p>
        </w:tc>
        <w:tc>
          <w:tcPr>
            <w:tcW w:w="2125" w:type="dxa"/>
            <w:shd w:val="clear" w:color="auto" w:fill="auto"/>
          </w:tcPr>
          <w:p w14:paraId="4ECDEBD6" w14:textId="77777777" w:rsidR="00AB4CD8" w:rsidRPr="00AB4CD8" w:rsidRDefault="00AB4CD8" w:rsidP="00AB4CD8">
            <w:pPr>
              <w:spacing w:before="40" w:after="120"/>
            </w:pPr>
            <w:r w:rsidRPr="00AB4CD8">
              <w:t>1 de abril de 2022</w:t>
            </w:r>
          </w:p>
        </w:tc>
      </w:tr>
      <w:tr w:rsidR="00AB4CD8" w:rsidRPr="00AB4CD8" w14:paraId="613A61AC" w14:textId="77777777" w:rsidTr="00AB4CD8">
        <w:trPr>
          <w:trHeight w:val="240"/>
        </w:trPr>
        <w:tc>
          <w:tcPr>
            <w:tcW w:w="2835" w:type="dxa"/>
            <w:tcBorders>
              <w:bottom w:val="single" w:sz="12" w:space="0" w:color="auto"/>
            </w:tcBorders>
            <w:shd w:val="clear" w:color="auto" w:fill="auto"/>
          </w:tcPr>
          <w:p w14:paraId="5EB9FC5D" w14:textId="77777777" w:rsidR="00AB4CD8" w:rsidRPr="00AB4CD8" w:rsidRDefault="00AB4CD8" w:rsidP="00AB4CD8">
            <w:pPr>
              <w:spacing w:before="40" w:after="120"/>
            </w:pPr>
            <w:r w:rsidRPr="00AB4CD8">
              <w:t>Zimbabwe</w:t>
            </w:r>
          </w:p>
        </w:tc>
        <w:tc>
          <w:tcPr>
            <w:tcW w:w="2410" w:type="dxa"/>
            <w:tcBorders>
              <w:bottom w:val="single" w:sz="12" w:space="0" w:color="auto"/>
            </w:tcBorders>
            <w:shd w:val="clear" w:color="auto" w:fill="auto"/>
          </w:tcPr>
          <w:p w14:paraId="20135840" w14:textId="77777777" w:rsidR="00AB4CD8" w:rsidRPr="00AB4CD8" w:rsidRDefault="00AB4CD8" w:rsidP="00AB4CD8">
            <w:pPr>
              <w:spacing w:before="40" w:after="120"/>
            </w:pPr>
            <w:r w:rsidRPr="00AB4CD8">
              <w:t>Inicial</w:t>
            </w:r>
          </w:p>
        </w:tc>
        <w:tc>
          <w:tcPr>
            <w:tcW w:w="2125" w:type="dxa"/>
            <w:tcBorders>
              <w:bottom w:val="single" w:sz="12" w:space="0" w:color="auto"/>
            </w:tcBorders>
            <w:shd w:val="clear" w:color="auto" w:fill="auto"/>
          </w:tcPr>
          <w:p w14:paraId="212D4846" w14:textId="77777777" w:rsidR="00AB4CD8" w:rsidRPr="00AB4CD8" w:rsidRDefault="00AB4CD8" w:rsidP="00AB4CD8">
            <w:pPr>
              <w:spacing w:before="40" w:after="120"/>
            </w:pPr>
            <w:r w:rsidRPr="00AB4CD8">
              <w:t>1 de marzo de 2026</w:t>
            </w:r>
          </w:p>
        </w:tc>
      </w:tr>
    </w:tbl>
    <w:p w14:paraId="17C1DED3" w14:textId="688D61B5" w:rsidR="00AB4CD8" w:rsidRPr="00AB4CD8" w:rsidRDefault="00AB4CD8" w:rsidP="00FA796F">
      <w:pPr>
        <w:pStyle w:val="SingleTxtG"/>
        <w:spacing w:before="120" w:after="0"/>
        <w:ind w:firstLine="170"/>
        <w:jc w:val="left"/>
        <w:rPr>
          <w:sz w:val="18"/>
          <w:szCs w:val="18"/>
        </w:rPr>
      </w:pPr>
      <w:r w:rsidRPr="00AB4CD8">
        <w:rPr>
          <w:i/>
          <w:sz w:val="18"/>
          <w:szCs w:val="18"/>
          <w:vertAlign w:val="superscript"/>
        </w:rPr>
        <w:t>a</w:t>
      </w:r>
      <w:r w:rsidRPr="00AB4CD8">
        <w:rPr>
          <w:sz w:val="18"/>
          <w:szCs w:val="18"/>
        </w:rPr>
        <w:t xml:space="preserve"> </w:t>
      </w:r>
      <w:r w:rsidR="00306058">
        <w:rPr>
          <w:sz w:val="18"/>
          <w:szCs w:val="18"/>
        </w:rPr>
        <w:t xml:space="preserve"> </w:t>
      </w:r>
      <w:r w:rsidRPr="00AB4CD8">
        <w:rPr>
          <w:sz w:val="18"/>
          <w:szCs w:val="18"/>
        </w:rPr>
        <w:t>En su 42º período de sesiones, el Comité tendrá ante sí, para su aprobación, la lista de cuestiones previa a la presentación del informe.</w:t>
      </w:r>
    </w:p>
    <w:p w14:paraId="038E083E" w14:textId="12EA5372" w:rsidR="00AB4CD8" w:rsidRPr="00AB4CD8" w:rsidRDefault="00AB4CD8" w:rsidP="00FA796F">
      <w:pPr>
        <w:pStyle w:val="SingleTxtG"/>
        <w:spacing w:after="240"/>
        <w:ind w:firstLine="170"/>
        <w:jc w:val="left"/>
        <w:rPr>
          <w:sz w:val="18"/>
          <w:szCs w:val="18"/>
        </w:rPr>
      </w:pPr>
      <w:r w:rsidRPr="00AB4CD8">
        <w:rPr>
          <w:i/>
          <w:sz w:val="18"/>
          <w:szCs w:val="18"/>
          <w:vertAlign w:val="superscript"/>
        </w:rPr>
        <w:t>b</w:t>
      </w:r>
      <w:r w:rsidRPr="00AB4CD8">
        <w:rPr>
          <w:sz w:val="18"/>
          <w:szCs w:val="18"/>
        </w:rPr>
        <w:t xml:space="preserve"> </w:t>
      </w:r>
      <w:r w:rsidR="00306058">
        <w:rPr>
          <w:sz w:val="18"/>
          <w:szCs w:val="18"/>
        </w:rPr>
        <w:t xml:space="preserve"> </w:t>
      </w:r>
      <w:r w:rsidRPr="00AB4CD8">
        <w:rPr>
          <w:sz w:val="18"/>
          <w:szCs w:val="18"/>
        </w:rPr>
        <w:t>El Estado Parte fue examinado en ausencia de un informe durante el 28º período de sesiones del Comité. En el mismo período de sesiones, se pidió a San Vicente y las Granadinas que presentara su informe inicial y segundo informe periódico combinados.</w:t>
      </w:r>
    </w:p>
    <w:p w14:paraId="7ADEDFDA" w14:textId="4F906A0B" w:rsidR="00AB4CD8" w:rsidRPr="00AB4CD8" w:rsidRDefault="00AB4CD8" w:rsidP="00AB4CD8">
      <w:pPr>
        <w:pStyle w:val="SingleTxtG"/>
      </w:pPr>
      <w:r>
        <w:tab/>
      </w:r>
      <w:r w:rsidRPr="00AB4CD8">
        <w:t>El Comité recibió el cuarto informe periódico del Ecuador el 26 de enero de 2026, el segundo informe periódico de Ghana el 3 de marzo de 2026 y el informe inicial de Gambia el 19 de marzo de 2026.</w:t>
      </w:r>
    </w:p>
    <w:p w14:paraId="533EAA47" w14:textId="7240FA90" w:rsidR="00AB4CD8" w:rsidRPr="00AB4CD8" w:rsidRDefault="00AB4CD8" w:rsidP="00AB4CD8">
      <w:pPr>
        <w:pStyle w:val="SingleTxtG"/>
      </w:pPr>
      <w:r>
        <w:tab/>
      </w:r>
      <w:r w:rsidRPr="00AB4CD8">
        <w:t>Al 23 de marzo de 2026, no se habían presentado aún los informes de los siguientes Estados Partes, que debían haberse sometido a la consideración del Comité.</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1260"/>
        <w:gridCol w:w="1890"/>
        <w:gridCol w:w="2085"/>
        <w:gridCol w:w="2135"/>
      </w:tblGrid>
      <w:tr w:rsidR="00AB4CD8" w:rsidRPr="00AB4CD8" w14:paraId="57D1F194" w14:textId="77777777" w:rsidTr="00F11DE9">
        <w:trPr>
          <w:trHeight w:val="240"/>
          <w:tblHeader/>
        </w:trPr>
        <w:tc>
          <w:tcPr>
            <w:tcW w:w="1260" w:type="dxa"/>
            <w:tcBorders>
              <w:top w:val="single" w:sz="4" w:space="0" w:color="auto"/>
              <w:bottom w:val="single" w:sz="12" w:space="0" w:color="auto"/>
            </w:tcBorders>
            <w:shd w:val="clear" w:color="auto" w:fill="auto"/>
            <w:vAlign w:val="bottom"/>
          </w:tcPr>
          <w:p w14:paraId="261737D7" w14:textId="77777777" w:rsidR="00AB4CD8" w:rsidRPr="00AB4CD8" w:rsidRDefault="00AB4CD8" w:rsidP="00AB4CD8">
            <w:pPr>
              <w:spacing w:before="80" w:after="80" w:line="200" w:lineRule="exact"/>
              <w:rPr>
                <w:i/>
                <w:sz w:val="16"/>
              </w:rPr>
            </w:pPr>
            <w:r w:rsidRPr="00AB4CD8">
              <w:rPr>
                <w:i/>
                <w:iCs/>
                <w:sz w:val="16"/>
              </w:rPr>
              <w:t>Estado Parte</w:t>
            </w:r>
          </w:p>
        </w:tc>
        <w:tc>
          <w:tcPr>
            <w:tcW w:w="1890" w:type="dxa"/>
            <w:tcBorders>
              <w:top w:val="single" w:sz="4" w:space="0" w:color="auto"/>
              <w:bottom w:val="single" w:sz="12" w:space="0" w:color="auto"/>
            </w:tcBorders>
            <w:shd w:val="clear" w:color="auto" w:fill="auto"/>
            <w:vAlign w:val="bottom"/>
          </w:tcPr>
          <w:p w14:paraId="63C608F9" w14:textId="77777777" w:rsidR="00AB4CD8" w:rsidRPr="00AB4CD8" w:rsidRDefault="00AB4CD8" w:rsidP="00AB4CD8">
            <w:pPr>
              <w:spacing w:before="80" w:after="80" w:line="200" w:lineRule="exact"/>
              <w:rPr>
                <w:i/>
                <w:sz w:val="16"/>
              </w:rPr>
            </w:pPr>
            <w:r w:rsidRPr="00AB4CD8">
              <w:rPr>
                <w:i/>
                <w:iCs/>
                <w:sz w:val="16"/>
              </w:rPr>
              <w:t>Informe inicial/periódico</w:t>
            </w:r>
          </w:p>
        </w:tc>
        <w:tc>
          <w:tcPr>
            <w:tcW w:w="2085" w:type="dxa"/>
            <w:tcBorders>
              <w:top w:val="single" w:sz="4" w:space="0" w:color="auto"/>
              <w:bottom w:val="single" w:sz="12" w:space="0" w:color="auto"/>
            </w:tcBorders>
            <w:shd w:val="clear" w:color="auto" w:fill="auto"/>
            <w:vAlign w:val="bottom"/>
          </w:tcPr>
          <w:p w14:paraId="3F531871" w14:textId="77777777" w:rsidR="00AB4CD8" w:rsidRPr="00AB4CD8" w:rsidRDefault="00AB4CD8" w:rsidP="00AB4CD8">
            <w:pPr>
              <w:spacing w:before="80" w:after="80" w:line="200" w:lineRule="exact"/>
              <w:rPr>
                <w:i/>
                <w:sz w:val="16"/>
              </w:rPr>
            </w:pPr>
            <w:r w:rsidRPr="00AB4CD8">
              <w:rPr>
                <w:i/>
                <w:iCs/>
                <w:sz w:val="16"/>
              </w:rPr>
              <w:t>Plazo inicial de presentación</w:t>
            </w:r>
          </w:p>
        </w:tc>
        <w:tc>
          <w:tcPr>
            <w:tcW w:w="2135" w:type="dxa"/>
            <w:tcBorders>
              <w:top w:val="single" w:sz="4" w:space="0" w:color="auto"/>
              <w:bottom w:val="single" w:sz="12" w:space="0" w:color="auto"/>
            </w:tcBorders>
            <w:shd w:val="clear" w:color="auto" w:fill="auto"/>
            <w:vAlign w:val="bottom"/>
          </w:tcPr>
          <w:p w14:paraId="71DD74AC" w14:textId="77777777" w:rsidR="00AB4CD8" w:rsidRPr="00AB4CD8" w:rsidRDefault="00AB4CD8" w:rsidP="00AB4CD8">
            <w:pPr>
              <w:spacing w:before="80" w:after="80" w:line="200" w:lineRule="exact"/>
              <w:rPr>
                <w:i/>
                <w:sz w:val="16"/>
              </w:rPr>
            </w:pPr>
            <w:r w:rsidRPr="00AB4CD8">
              <w:rPr>
                <w:i/>
                <w:iCs/>
                <w:sz w:val="16"/>
              </w:rPr>
              <w:t>Fecha límite para la presentación de las respuestas a la lista de cuestiones previa a la presentación del informe</w:t>
            </w:r>
          </w:p>
        </w:tc>
      </w:tr>
      <w:tr w:rsidR="00F11DE9" w:rsidRPr="00AB4CD8" w14:paraId="120F3C94" w14:textId="77777777" w:rsidTr="00F11DE9">
        <w:trPr>
          <w:trHeight w:hRule="exact" w:val="113"/>
        </w:trPr>
        <w:tc>
          <w:tcPr>
            <w:tcW w:w="1260" w:type="dxa"/>
            <w:tcBorders>
              <w:top w:val="single" w:sz="12" w:space="0" w:color="auto"/>
            </w:tcBorders>
            <w:shd w:val="clear" w:color="auto" w:fill="auto"/>
          </w:tcPr>
          <w:p w14:paraId="2C2DA7CA" w14:textId="77777777" w:rsidR="00AB4CD8" w:rsidRPr="00AB4CD8" w:rsidRDefault="00AB4CD8" w:rsidP="00AB4CD8">
            <w:pPr>
              <w:spacing w:before="40" w:after="120"/>
            </w:pPr>
          </w:p>
        </w:tc>
        <w:tc>
          <w:tcPr>
            <w:tcW w:w="1890" w:type="dxa"/>
            <w:tcBorders>
              <w:top w:val="single" w:sz="12" w:space="0" w:color="auto"/>
            </w:tcBorders>
            <w:shd w:val="clear" w:color="auto" w:fill="auto"/>
          </w:tcPr>
          <w:p w14:paraId="6E8AAEDF" w14:textId="77777777" w:rsidR="00AB4CD8" w:rsidRPr="00AB4CD8" w:rsidRDefault="00AB4CD8" w:rsidP="00AB4CD8">
            <w:pPr>
              <w:spacing w:before="40" w:after="120"/>
            </w:pPr>
          </w:p>
        </w:tc>
        <w:tc>
          <w:tcPr>
            <w:tcW w:w="2085" w:type="dxa"/>
            <w:tcBorders>
              <w:top w:val="single" w:sz="12" w:space="0" w:color="auto"/>
            </w:tcBorders>
            <w:shd w:val="clear" w:color="auto" w:fill="auto"/>
          </w:tcPr>
          <w:p w14:paraId="59638D95" w14:textId="77777777" w:rsidR="00AB4CD8" w:rsidRPr="00AB4CD8" w:rsidRDefault="00AB4CD8" w:rsidP="00AB4CD8">
            <w:pPr>
              <w:spacing w:before="40" w:after="120"/>
            </w:pPr>
          </w:p>
        </w:tc>
        <w:tc>
          <w:tcPr>
            <w:tcW w:w="2135" w:type="dxa"/>
            <w:tcBorders>
              <w:top w:val="single" w:sz="12" w:space="0" w:color="auto"/>
            </w:tcBorders>
            <w:shd w:val="clear" w:color="auto" w:fill="auto"/>
          </w:tcPr>
          <w:p w14:paraId="5B3B6E9C" w14:textId="77777777" w:rsidR="00AB4CD8" w:rsidRPr="00AB4CD8" w:rsidRDefault="00AB4CD8" w:rsidP="00AB4CD8">
            <w:pPr>
              <w:spacing w:before="40" w:after="120"/>
            </w:pPr>
          </w:p>
        </w:tc>
      </w:tr>
      <w:tr w:rsidR="00F11DE9" w:rsidRPr="00AB4CD8" w14:paraId="5DF2FA00" w14:textId="77777777" w:rsidTr="00F11DE9">
        <w:trPr>
          <w:trHeight w:val="240"/>
        </w:trPr>
        <w:tc>
          <w:tcPr>
            <w:tcW w:w="1260" w:type="dxa"/>
            <w:shd w:val="clear" w:color="auto" w:fill="auto"/>
          </w:tcPr>
          <w:p w14:paraId="6D93AE70" w14:textId="77777777" w:rsidR="00AB4CD8" w:rsidRPr="00AB4CD8" w:rsidRDefault="00AB4CD8" w:rsidP="00AB4CD8">
            <w:pPr>
              <w:spacing w:before="40" w:after="120"/>
            </w:pPr>
            <w:r w:rsidRPr="00AB4CD8">
              <w:t>Argelia</w:t>
            </w:r>
            <w:r w:rsidRPr="00AB4CD8">
              <w:rPr>
                <w:i/>
                <w:iCs/>
                <w:sz w:val="18"/>
                <w:szCs w:val="18"/>
                <w:vertAlign w:val="superscript"/>
              </w:rPr>
              <w:t>a</w:t>
            </w:r>
          </w:p>
        </w:tc>
        <w:tc>
          <w:tcPr>
            <w:tcW w:w="1890" w:type="dxa"/>
            <w:shd w:val="clear" w:color="auto" w:fill="auto"/>
          </w:tcPr>
          <w:p w14:paraId="5597F320" w14:textId="77777777" w:rsidR="00AB4CD8" w:rsidRPr="00AB4CD8" w:rsidRDefault="00AB4CD8" w:rsidP="00AB4CD8">
            <w:pPr>
              <w:spacing w:before="40" w:after="120"/>
            </w:pPr>
            <w:r w:rsidRPr="00AB4CD8">
              <w:t>Tercero</w:t>
            </w:r>
          </w:p>
        </w:tc>
        <w:tc>
          <w:tcPr>
            <w:tcW w:w="2085" w:type="dxa"/>
            <w:shd w:val="clear" w:color="auto" w:fill="auto"/>
          </w:tcPr>
          <w:p w14:paraId="4156F6F4" w14:textId="77777777" w:rsidR="00AB4CD8" w:rsidRPr="00AB4CD8" w:rsidRDefault="00AB4CD8" w:rsidP="00AB4CD8">
            <w:pPr>
              <w:spacing w:before="40" w:after="120"/>
            </w:pPr>
            <w:r w:rsidRPr="00AB4CD8">
              <w:t>1 de mayo de 2023</w:t>
            </w:r>
          </w:p>
        </w:tc>
        <w:tc>
          <w:tcPr>
            <w:tcW w:w="2135" w:type="dxa"/>
            <w:shd w:val="clear" w:color="auto" w:fill="auto"/>
          </w:tcPr>
          <w:p w14:paraId="404CD0CC" w14:textId="77777777" w:rsidR="00AB4CD8" w:rsidRPr="00AB4CD8" w:rsidRDefault="00AB4CD8" w:rsidP="00AB4CD8">
            <w:pPr>
              <w:spacing w:before="40" w:after="120"/>
            </w:pPr>
          </w:p>
        </w:tc>
      </w:tr>
      <w:tr w:rsidR="00F11DE9" w:rsidRPr="00AB4CD8" w14:paraId="601CDD66" w14:textId="77777777" w:rsidTr="00F11DE9">
        <w:trPr>
          <w:trHeight w:val="240"/>
        </w:trPr>
        <w:tc>
          <w:tcPr>
            <w:tcW w:w="1260" w:type="dxa"/>
            <w:shd w:val="clear" w:color="auto" w:fill="auto"/>
          </w:tcPr>
          <w:p w14:paraId="4D6DAE50" w14:textId="77777777" w:rsidR="00AB4CD8" w:rsidRPr="00AB4CD8" w:rsidRDefault="00AB4CD8" w:rsidP="00AB4CD8">
            <w:pPr>
              <w:spacing w:before="40" w:after="120"/>
            </w:pPr>
            <w:r w:rsidRPr="00AB4CD8">
              <w:t>Bangladesh</w:t>
            </w:r>
            <w:r w:rsidRPr="00AB4CD8">
              <w:rPr>
                <w:i/>
                <w:iCs/>
                <w:sz w:val="18"/>
                <w:szCs w:val="18"/>
                <w:vertAlign w:val="superscript"/>
              </w:rPr>
              <w:t>b</w:t>
            </w:r>
          </w:p>
        </w:tc>
        <w:tc>
          <w:tcPr>
            <w:tcW w:w="1890" w:type="dxa"/>
            <w:shd w:val="clear" w:color="auto" w:fill="auto"/>
          </w:tcPr>
          <w:p w14:paraId="03C50483" w14:textId="77777777" w:rsidR="00AB4CD8" w:rsidRPr="00AB4CD8" w:rsidRDefault="00AB4CD8" w:rsidP="00AB4CD8">
            <w:pPr>
              <w:spacing w:before="40" w:after="120"/>
            </w:pPr>
            <w:r w:rsidRPr="00AB4CD8">
              <w:t>Segundo</w:t>
            </w:r>
          </w:p>
        </w:tc>
        <w:tc>
          <w:tcPr>
            <w:tcW w:w="2085" w:type="dxa"/>
            <w:shd w:val="clear" w:color="auto" w:fill="auto"/>
          </w:tcPr>
          <w:p w14:paraId="384ADA13" w14:textId="77777777" w:rsidR="00AB4CD8" w:rsidRPr="00AB4CD8" w:rsidRDefault="00AB4CD8" w:rsidP="00AB4CD8">
            <w:pPr>
              <w:spacing w:before="40" w:after="120"/>
            </w:pPr>
            <w:r w:rsidRPr="00AB4CD8">
              <w:t>1 de mayo de 2022</w:t>
            </w:r>
          </w:p>
        </w:tc>
        <w:tc>
          <w:tcPr>
            <w:tcW w:w="2135" w:type="dxa"/>
            <w:shd w:val="clear" w:color="auto" w:fill="auto"/>
          </w:tcPr>
          <w:p w14:paraId="2A9CE57E" w14:textId="77777777" w:rsidR="00AB4CD8" w:rsidRPr="00AB4CD8" w:rsidRDefault="00AB4CD8" w:rsidP="00AB4CD8">
            <w:pPr>
              <w:spacing w:before="40" w:after="120"/>
            </w:pPr>
          </w:p>
        </w:tc>
      </w:tr>
      <w:tr w:rsidR="00F11DE9" w:rsidRPr="00AB4CD8" w14:paraId="5C854058" w14:textId="77777777" w:rsidTr="00F11DE9">
        <w:trPr>
          <w:trHeight w:val="240"/>
        </w:trPr>
        <w:tc>
          <w:tcPr>
            <w:tcW w:w="1260" w:type="dxa"/>
            <w:shd w:val="clear" w:color="auto" w:fill="auto"/>
          </w:tcPr>
          <w:p w14:paraId="4E668EF6" w14:textId="77777777" w:rsidR="00AB4CD8" w:rsidRPr="00AB4CD8" w:rsidRDefault="00AB4CD8" w:rsidP="00AB4CD8">
            <w:pPr>
              <w:spacing w:before="40" w:after="120"/>
            </w:pPr>
            <w:r w:rsidRPr="00AB4CD8">
              <w:t>Belice</w:t>
            </w:r>
            <w:r w:rsidRPr="00AB4CD8">
              <w:rPr>
                <w:i/>
                <w:iCs/>
                <w:sz w:val="18"/>
                <w:szCs w:val="18"/>
                <w:vertAlign w:val="superscript"/>
              </w:rPr>
              <w:t>c</w:t>
            </w:r>
          </w:p>
        </w:tc>
        <w:tc>
          <w:tcPr>
            <w:tcW w:w="1890" w:type="dxa"/>
            <w:shd w:val="clear" w:color="auto" w:fill="auto"/>
          </w:tcPr>
          <w:p w14:paraId="4F874557" w14:textId="77777777" w:rsidR="00AB4CD8" w:rsidRPr="00AB4CD8" w:rsidRDefault="00AB4CD8" w:rsidP="00AB4CD8">
            <w:pPr>
              <w:spacing w:before="40" w:after="120"/>
            </w:pPr>
            <w:r w:rsidRPr="00AB4CD8">
              <w:t>Inicial y segundo y tercero combinados</w:t>
            </w:r>
          </w:p>
        </w:tc>
        <w:tc>
          <w:tcPr>
            <w:tcW w:w="2085" w:type="dxa"/>
            <w:shd w:val="clear" w:color="auto" w:fill="auto"/>
          </w:tcPr>
          <w:p w14:paraId="137BE982" w14:textId="77777777" w:rsidR="00AB4CD8" w:rsidRPr="00AB4CD8" w:rsidRDefault="00AB4CD8" w:rsidP="00AB4CD8">
            <w:pPr>
              <w:spacing w:before="40" w:after="120"/>
            </w:pPr>
            <w:r w:rsidRPr="00AB4CD8">
              <w:t>5 de septiembre de 2016</w:t>
            </w:r>
          </w:p>
        </w:tc>
        <w:tc>
          <w:tcPr>
            <w:tcW w:w="2135" w:type="dxa"/>
            <w:shd w:val="clear" w:color="auto" w:fill="auto"/>
          </w:tcPr>
          <w:p w14:paraId="13B9DDF8" w14:textId="77777777" w:rsidR="00AB4CD8" w:rsidRPr="00AB4CD8" w:rsidRDefault="00AB4CD8" w:rsidP="00AB4CD8">
            <w:pPr>
              <w:spacing w:before="40" w:after="120"/>
            </w:pPr>
            <w:r w:rsidRPr="00AB4CD8">
              <w:t>1 de noviembre de 2020</w:t>
            </w:r>
          </w:p>
        </w:tc>
      </w:tr>
      <w:tr w:rsidR="00F11DE9" w:rsidRPr="00AB4CD8" w14:paraId="4DE033E0" w14:textId="77777777" w:rsidTr="00F11DE9">
        <w:trPr>
          <w:trHeight w:val="240"/>
        </w:trPr>
        <w:tc>
          <w:tcPr>
            <w:tcW w:w="1260" w:type="dxa"/>
            <w:shd w:val="clear" w:color="auto" w:fill="auto"/>
          </w:tcPr>
          <w:p w14:paraId="7F025438" w14:textId="77777777" w:rsidR="00AB4CD8" w:rsidRPr="00AB4CD8" w:rsidRDefault="00AB4CD8" w:rsidP="00AB4CD8">
            <w:pPr>
              <w:spacing w:before="40" w:after="120"/>
            </w:pPr>
            <w:r w:rsidRPr="00AB4CD8">
              <w:t>Guinea</w:t>
            </w:r>
            <w:r w:rsidRPr="00AB4CD8">
              <w:rPr>
                <w:i/>
                <w:iCs/>
                <w:sz w:val="18"/>
                <w:szCs w:val="18"/>
                <w:vertAlign w:val="superscript"/>
              </w:rPr>
              <w:t>d</w:t>
            </w:r>
          </w:p>
        </w:tc>
        <w:tc>
          <w:tcPr>
            <w:tcW w:w="1890" w:type="dxa"/>
            <w:shd w:val="clear" w:color="auto" w:fill="auto"/>
          </w:tcPr>
          <w:p w14:paraId="1765E9E6" w14:textId="77777777" w:rsidR="00AB4CD8" w:rsidRPr="00AB4CD8" w:rsidRDefault="00AB4CD8" w:rsidP="00AB4CD8">
            <w:pPr>
              <w:spacing w:before="40" w:after="120"/>
            </w:pPr>
            <w:r w:rsidRPr="00AB4CD8">
              <w:t>Segundo</w:t>
            </w:r>
          </w:p>
        </w:tc>
        <w:tc>
          <w:tcPr>
            <w:tcW w:w="2085" w:type="dxa"/>
            <w:shd w:val="clear" w:color="auto" w:fill="auto"/>
          </w:tcPr>
          <w:p w14:paraId="3BCAD247" w14:textId="77777777" w:rsidR="00AB4CD8" w:rsidRPr="00AB4CD8" w:rsidRDefault="00AB4CD8" w:rsidP="00AB4CD8">
            <w:pPr>
              <w:spacing w:before="40" w:after="120"/>
            </w:pPr>
            <w:r w:rsidRPr="00AB4CD8">
              <w:t>9 de septiembre de 2020</w:t>
            </w:r>
          </w:p>
        </w:tc>
        <w:tc>
          <w:tcPr>
            <w:tcW w:w="2135" w:type="dxa"/>
            <w:shd w:val="clear" w:color="auto" w:fill="auto"/>
          </w:tcPr>
          <w:p w14:paraId="6EF1D0B2" w14:textId="77777777" w:rsidR="00AB4CD8" w:rsidRPr="00AB4CD8" w:rsidRDefault="00AB4CD8" w:rsidP="00AB4CD8">
            <w:pPr>
              <w:spacing w:before="40" w:after="120"/>
            </w:pPr>
            <w:r w:rsidRPr="00AB4CD8">
              <w:t>12 de enero de 2026</w:t>
            </w:r>
          </w:p>
        </w:tc>
      </w:tr>
      <w:tr w:rsidR="00F11DE9" w:rsidRPr="00AB4CD8" w14:paraId="763CD11F" w14:textId="77777777" w:rsidTr="00F11DE9">
        <w:trPr>
          <w:trHeight w:val="240"/>
        </w:trPr>
        <w:tc>
          <w:tcPr>
            <w:tcW w:w="1260" w:type="dxa"/>
            <w:shd w:val="clear" w:color="auto" w:fill="auto"/>
          </w:tcPr>
          <w:p w14:paraId="2D32F1EA" w14:textId="77777777" w:rsidR="00AB4CD8" w:rsidRPr="00AB4CD8" w:rsidRDefault="00AB4CD8" w:rsidP="00AB4CD8">
            <w:pPr>
              <w:spacing w:before="40" w:after="120"/>
            </w:pPr>
            <w:r w:rsidRPr="00AB4CD8">
              <w:t>Malí</w:t>
            </w:r>
            <w:r w:rsidRPr="00AB4CD8">
              <w:rPr>
                <w:i/>
                <w:iCs/>
                <w:sz w:val="18"/>
                <w:szCs w:val="18"/>
                <w:vertAlign w:val="superscript"/>
              </w:rPr>
              <w:t>e</w:t>
            </w:r>
          </w:p>
        </w:tc>
        <w:tc>
          <w:tcPr>
            <w:tcW w:w="1890" w:type="dxa"/>
            <w:shd w:val="clear" w:color="auto" w:fill="auto"/>
          </w:tcPr>
          <w:p w14:paraId="16777A2C" w14:textId="77777777" w:rsidR="00AB4CD8" w:rsidRPr="00AB4CD8" w:rsidRDefault="00AB4CD8" w:rsidP="00AB4CD8">
            <w:pPr>
              <w:spacing w:before="40" w:after="120"/>
            </w:pPr>
            <w:r w:rsidRPr="00AB4CD8">
              <w:t>Tercero</w:t>
            </w:r>
          </w:p>
        </w:tc>
        <w:tc>
          <w:tcPr>
            <w:tcW w:w="2085" w:type="dxa"/>
            <w:shd w:val="clear" w:color="auto" w:fill="auto"/>
          </w:tcPr>
          <w:p w14:paraId="0096AD80" w14:textId="77777777" w:rsidR="00AB4CD8" w:rsidRPr="00AB4CD8" w:rsidRDefault="00AB4CD8" w:rsidP="00AB4CD8">
            <w:pPr>
              <w:spacing w:before="40" w:after="120"/>
            </w:pPr>
            <w:r w:rsidRPr="00AB4CD8">
              <w:t>1 de mayo de 2019</w:t>
            </w:r>
          </w:p>
        </w:tc>
        <w:tc>
          <w:tcPr>
            <w:tcW w:w="2135" w:type="dxa"/>
            <w:shd w:val="clear" w:color="auto" w:fill="auto"/>
          </w:tcPr>
          <w:p w14:paraId="2F8AADDD" w14:textId="77777777" w:rsidR="00AB4CD8" w:rsidRPr="00AB4CD8" w:rsidRDefault="00AB4CD8" w:rsidP="00AB4CD8">
            <w:pPr>
              <w:spacing w:before="40" w:after="120"/>
            </w:pPr>
            <w:r w:rsidRPr="00AB4CD8">
              <w:t>31 de julio de 2025</w:t>
            </w:r>
          </w:p>
        </w:tc>
      </w:tr>
      <w:tr w:rsidR="00F11DE9" w:rsidRPr="00AB4CD8" w14:paraId="7C145ADE" w14:textId="77777777" w:rsidTr="00F11DE9">
        <w:trPr>
          <w:trHeight w:val="240"/>
        </w:trPr>
        <w:tc>
          <w:tcPr>
            <w:tcW w:w="1260" w:type="dxa"/>
            <w:shd w:val="clear" w:color="auto" w:fill="auto"/>
          </w:tcPr>
          <w:p w14:paraId="162F95CD" w14:textId="77777777" w:rsidR="00AB4CD8" w:rsidRPr="00AB4CD8" w:rsidRDefault="00AB4CD8" w:rsidP="00AB4CD8">
            <w:pPr>
              <w:spacing w:before="40" w:after="120"/>
            </w:pPr>
            <w:r w:rsidRPr="00AB4CD8">
              <w:t>Sri Lanka</w:t>
            </w:r>
            <w:r w:rsidRPr="00AB4CD8">
              <w:rPr>
                <w:i/>
                <w:iCs/>
                <w:sz w:val="18"/>
                <w:szCs w:val="18"/>
                <w:vertAlign w:val="superscript"/>
              </w:rPr>
              <w:t>f</w:t>
            </w:r>
          </w:p>
        </w:tc>
        <w:tc>
          <w:tcPr>
            <w:tcW w:w="1890" w:type="dxa"/>
            <w:shd w:val="clear" w:color="auto" w:fill="auto"/>
          </w:tcPr>
          <w:p w14:paraId="3A929B2F" w14:textId="77777777" w:rsidR="00AB4CD8" w:rsidRPr="00AB4CD8" w:rsidRDefault="00AB4CD8" w:rsidP="00AB4CD8">
            <w:pPr>
              <w:spacing w:before="40" w:after="120"/>
            </w:pPr>
            <w:r w:rsidRPr="00AB4CD8">
              <w:t>Tercero</w:t>
            </w:r>
          </w:p>
        </w:tc>
        <w:tc>
          <w:tcPr>
            <w:tcW w:w="2085" w:type="dxa"/>
            <w:shd w:val="clear" w:color="auto" w:fill="auto"/>
          </w:tcPr>
          <w:p w14:paraId="25583F61" w14:textId="77777777" w:rsidR="00AB4CD8" w:rsidRPr="00AB4CD8" w:rsidRDefault="00AB4CD8" w:rsidP="00AB4CD8">
            <w:pPr>
              <w:spacing w:before="40" w:after="120"/>
            </w:pPr>
            <w:r w:rsidRPr="00AB4CD8">
              <w:t>1 de octubre de 2021</w:t>
            </w:r>
          </w:p>
        </w:tc>
        <w:tc>
          <w:tcPr>
            <w:tcW w:w="2135" w:type="dxa"/>
            <w:shd w:val="clear" w:color="auto" w:fill="auto"/>
          </w:tcPr>
          <w:p w14:paraId="458435E5" w14:textId="77777777" w:rsidR="00AB4CD8" w:rsidRPr="00AB4CD8" w:rsidRDefault="00AB4CD8" w:rsidP="00AB4CD8">
            <w:pPr>
              <w:spacing w:before="40" w:after="120"/>
            </w:pPr>
          </w:p>
        </w:tc>
      </w:tr>
      <w:tr w:rsidR="00AB4CD8" w:rsidRPr="00AB4CD8" w14:paraId="70DC4F09" w14:textId="77777777" w:rsidTr="00F11DE9">
        <w:trPr>
          <w:trHeight w:val="240"/>
        </w:trPr>
        <w:tc>
          <w:tcPr>
            <w:tcW w:w="1260" w:type="dxa"/>
            <w:tcBorders>
              <w:bottom w:val="single" w:sz="12" w:space="0" w:color="auto"/>
            </w:tcBorders>
            <w:shd w:val="clear" w:color="auto" w:fill="auto"/>
          </w:tcPr>
          <w:p w14:paraId="33EEFE32" w14:textId="77777777" w:rsidR="00AB4CD8" w:rsidRPr="00AB4CD8" w:rsidRDefault="00AB4CD8" w:rsidP="00AB4CD8">
            <w:pPr>
              <w:spacing w:before="40" w:after="120"/>
            </w:pPr>
            <w:r w:rsidRPr="00AB4CD8">
              <w:t>Timor-Leste</w:t>
            </w:r>
            <w:r w:rsidRPr="00AB4CD8">
              <w:rPr>
                <w:i/>
                <w:iCs/>
                <w:sz w:val="18"/>
                <w:szCs w:val="18"/>
                <w:vertAlign w:val="superscript"/>
              </w:rPr>
              <w:t>g</w:t>
            </w:r>
          </w:p>
        </w:tc>
        <w:tc>
          <w:tcPr>
            <w:tcW w:w="1890" w:type="dxa"/>
            <w:tcBorders>
              <w:bottom w:val="single" w:sz="12" w:space="0" w:color="auto"/>
            </w:tcBorders>
            <w:shd w:val="clear" w:color="auto" w:fill="auto"/>
          </w:tcPr>
          <w:p w14:paraId="729A8E44" w14:textId="77777777" w:rsidR="00AB4CD8" w:rsidRPr="00AB4CD8" w:rsidRDefault="00AB4CD8" w:rsidP="00AB4CD8">
            <w:pPr>
              <w:spacing w:before="40" w:after="120"/>
            </w:pPr>
            <w:r w:rsidRPr="00AB4CD8">
              <w:t>Segundo</w:t>
            </w:r>
          </w:p>
        </w:tc>
        <w:tc>
          <w:tcPr>
            <w:tcW w:w="2085" w:type="dxa"/>
            <w:tcBorders>
              <w:bottom w:val="single" w:sz="12" w:space="0" w:color="auto"/>
            </w:tcBorders>
            <w:shd w:val="clear" w:color="auto" w:fill="auto"/>
          </w:tcPr>
          <w:p w14:paraId="2E50B932" w14:textId="77777777" w:rsidR="00AB4CD8" w:rsidRPr="00AB4CD8" w:rsidRDefault="00AB4CD8" w:rsidP="00AB4CD8">
            <w:pPr>
              <w:spacing w:before="40" w:after="120"/>
            </w:pPr>
            <w:r w:rsidRPr="00AB4CD8">
              <w:t>9 de septiembre de 2020</w:t>
            </w:r>
          </w:p>
        </w:tc>
        <w:tc>
          <w:tcPr>
            <w:tcW w:w="2135" w:type="dxa"/>
            <w:tcBorders>
              <w:bottom w:val="single" w:sz="12" w:space="0" w:color="auto"/>
            </w:tcBorders>
            <w:shd w:val="clear" w:color="auto" w:fill="auto"/>
          </w:tcPr>
          <w:p w14:paraId="69DD7B9E" w14:textId="77777777" w:rsidR="00AB4CD8" w:rsidRPr="00AB4CD8" w:rsidRDefault="00AB4CD8" w:rsidP="00AB4CD8">
            <w:pPr>
              <w:spacing w:before="40" w:after="120"/>
            </w:pPr>
            <w:r w:rsidRPr="00AB4CD8">
              <w:t>31 de julio de 2025</w:t>
            </w:r>
          </w:p>
        </w:tc>
      </w:tr>
    </w:tbl>
    <w:p w14:paraId="4ED10906" w14:textId="1F71EFA9" w:rsidR="00AB4CD8" w:rsidRPr="00AB4CD8" w:rsidRDefault="00AB4CD8" w:rsidP="00FA796F">
      <w:pPr>
        <w:pStyle w:val="SingleTxtG"/>
        <w:spacing w:before="120" w:after="0"/>
        <w:ind w:firstLine="170"/>
        <w:jc w:val="left"/>
        <w:rPr>
          <w:sz w:val="18"/>
          <w:szCs w:val="18"/>
        </w:rPr>
      </w:pPr>
      <w:r w:rsidRPr="00AB4CD8">
        <w:rPr>
          <w:i/>
          <w:sz w:val="18"/>
          <w:szCs w:val="18"/>
          <w:vertAlign w:val="superscript"/>
        </w:rPr>
        <w:t>a</w:t>
      </w:r>
      <w:r w:rsidRPr="00AB4CD8">
        <w:rPr>
          <w:sz w:val="18"/>
          <w:szCs w:val="18"/>
        </w:rPr>
        <w:t xml:space="preserve"> </w:t>
      </w:r>
      <w:r>
        <w:rPr>
          <w:sz w:val="18"/>
          <w:szCs w:val="18"/>
        </w:rPr>
        <w:t xml:space="preserve">  </w:t>
      </w:r>
      <w:r w:rsidRPr="00AB4CD8">
        <w:rPr>
          <w:sz w:val="18"/>
          <w:szCs w:val="18"/>
        </w:rPr>
        <w:t>El 31 de marzo de 2023, el Estado Parte decidió no acogerse al procedimiento simplificado de presentación de informes, por lo que presentará su informe con arreglo al procedimiento tradicional.</w:t>
      </w:r>
    </w:p>
    <w:p w14:paraId="445415A7" w14:textId="3F50F273" w:rsidR="00AB4CD8" w:rsidRPr="00AB4CD8" w:rsidRDefault="00AB4CD8" w:rsidP="00FA796F">
      <w:pPr>
        <w:pStyle w:val="SingleTxtG"/>
        <w:spacing w:after="0"/>
        <w:ind w:firstLine="170"/>
        <w:jc w:val="left"/>
        <w:rPr>
          <w:sz w:val="18"/>
          <w:szCs w:val="18"/>
        </w:rPr>
      </w:pPr>
      <w:r w:rsidRPr="00AB4CD8">
        <w:rPr>
          <w:i/>
          <w:sz w:val="18"/>
          <w:szCs w:val="18"/>
          <w:vertAlign w:val="superscript"/>
        </w:rPr>
        <w:t>b</w:t>
      </w:r>
      <w:r w:rsidRPr="00AB4CD8">
        <w:rPr>
          <w:sz w:val="18"/>
          <w:szCs w:val="18"/>
        </w:rPr>
        <w:t xml:space="preserve"> </w:t>
      </w:r>
      <w:r>
        <w:rPr>
          <w:sz w:val="18"/>
          <w:szCs w:val="18"/>
        </w:rPr>
        <w:t xml:space="preserve"> </w:t>
      </w:r>
      <w:r w:rsidRPr="00AB4CD8">
        <w:rPr>
          <w:sz w:val="18"/>
          <w:szCs w:val="18"/>
        </w:rPr>
        <w:t>El 28 de marzo de 2023, el Estado Parte decidió no acogerse al procedimiento simplificado de presentación de informes, por lo que presentará su informe con arreglo al procedimiento tradicional.</w:t>
      </w:r>
    </w:p>
    <w:p w14:paraId="68CF85C7" w14:textId="418E2E75" w:rsidR="00AB4CD8" w:rsidRPr="00AB4CD8" w:rsidRDefault="00AB4CD8" w:rsidP="00FA796F">
      <w:pPr>
        <w:pStyle w:val="SingleTxtG"/>
        <w:spacing w:after="0"/>
        <w:ind w:firstLine="170"/>
        <w:jc w:val="left"/>
        <w:rPr>
          <w:sz w:val="18"/>
          <w:szCs w:val="18"/>
        </w:rPr>
      </w:pPr>
      <w:r w:rsidRPr="00AB4CD8">
        <w:rPr>
          <w:i/>
          <w:sz w:val="18"/>
          <w:szCs w:val="18"/>
          <w:vertAlign w:val="superscript"/>
        </w:rPr>
        <w:t>c</w:t>
      </w:r>
      <w:r w:rsidRPr="00AB4CD8">
        <w:rPr>
          <w:sz w:val="18"/>
          <w:szCs w:val="18"/>
        </w:rPr>
        <w:t xml:space="preserve"> </w:t>
      </w:r>
      <w:r>
        <w:rPr>
          <w:sz w:val="18"/>
          <w:szCs w:val="18"/>
        </w:rPr>
        <w:t xml:space="preserve"> </w:t>
      </w:r>
      <w:r w:rsidRPr="00AB4CD8">
        <w:rPr>
          <w:sz w:val="18"/>
          <w:szCs w:val="18"/>
        </w:rPr>
        <w:t>El Estado Parte fue examinado en ausencia de un informe durante el 21</w:t>
      </w:r>
      <w:r w:rsidRPr="00204346">
        <w:rPr>
          <w:sz w:val="18"/>
          <w:szCs w:val="18"/>
          <w:vertAlign w:val="superscript"/>
        </w:rPr>
        <w:t>er</w:t>
      </w:r>
      <w:r w:rsidRPr="00AB4CD8">
        <w:rPr>
          <w:sz w:val="18"/>
          <w:szCs w:val="18"/>
        </w:rPr>
        <w:t xml:space="preserve"> período de sesiones del Comité. En el mismo período de sesiones, se pidió a Belice que presentara su informe inicial e informes periódicos segundo y tercero combinados. La lista de cuestiones previa a la presentación del informe (</w:t>
      </w:r>
      <w:hyperlink r:id="rId8" w:history="1">
        <w:r w:rsidRPr="00AB4CD8">
          <w:rPr>
            <w:rStyle w:val="Hipervnculo"/>
            <w:sz w:val="18"/>
            <w:szCs w:val="18"/>
          </w:rPr>
          <w:t>CMW/C/BLZ/QPR/1-3</w:t>
        </w:r>
      </w:hyperlink>
      <w:r w:rsidRPr="00AB4CD8">
        <w:rPr>
          <w:sz w:val="18"/>
          <w:szCs w:val="18"/>
        </w:rPr>
        <w:t>) fue aprobada por el Comité en su 31</w:t>
      </w:r>
      <w:r w:rsidRPr="00AB4CD8">
        <w:rPr>
          <w:sz w:val="18"/>
          <w:szCs w:val="18"/>
          <w:vertAlign w:val="superscript"/>
        </w:rPr>
        <w:t>er</w:t>
      </w:r>
      <w:r w:rsidRPr="00AB4CD8">
        <w:rPr>
          <w:sz w:val="18"/>
          <w:szCs w:val="18"/>
        </w:rPr>
        <w:t xml:space="preserve"> período de sesiones.</w:t>
      </w:r>
      <w:hyperlink r:id="rId9" w:history="1"/>
    </w:p>
    <w:p w14:paraId="7C4C0286" w14:textId="372772DA" w:rsidR="00AB4CD8" w:rsidRPr="00AB4CD8" w:rsidRDefault="00AB4CD8" w:rsidP="00FA796F">
      <w:pPr>
        <w:pStyle w:val="SingleTxtG"/>
        <w:spacing w:after="0"/>
        <w:ind w:firstLine="170"/>
        <w:jc w:val="left"/>
        <w:rPr>
          <w:sz w:val="18"/>
          <w:szCs w:val="18"/>
        </w:rPr>
      </w:pPr>
      <w:r w:rsidRPr="00AB4CD8">
        <w:rPr>
          <w:i/>
          <w:sz w:val="18"/>
          <w:szCs w:val="18"/>
          <w:vertAlign w:val="superscript"/>
        </w:rPr>
        <w:t>d</w:t>
      </w:r>
      <w:r w:rsidRPr="00AB4CD8">
        <w:rPr>
          <w:sz w:val="18"/>
          <w:szCs w:val="18"/>
        </w:rPr>
        <w:t xml:space="preserve"> </w:t>
      </w:r>
      <w:r>
        <w:rPr>
          <w:sz w:val="18"/>
          <w:szCs w:val="18"/>
        </w:rPr>
        <w:t xml:space="preserve"> </w:t>
      </w:r>
      <w:r w:rsidRPr="00AB4CD8">
        <w:rPr>
          <w:sz w:val="18"/>
          <w:szCs w:val="18"/>
        </w:rPr>
        <w:t>La lista de cuestiones previa a la presentación del informe (</w:t>
      </w:r>
      <w:hyperlink r:id="rId10" w:history="1">
        <w:r w:rsidRPr="00AB4CD8">
          <w:rPr>
            <w:rStyle w:val="Hipervnculo"/>
            <w:sz w:val="18"/>
            <w:szCs w:val="18"/>
          </w:rPr>
          <w:t>CMW/C/GIN/QPR/2</w:t>
        </w:r>
      </w:hyperlink>
      <w:r w:rsidRPr="00AB4CD8">
        <w:rPr>
          <w:sz w:val="18"/>
          <w:szCs w:val="18"/>
        </w:rPr>
        <w:t xml:space="preserve">) fue aprobada por el Comité en su 40º período de sesiones. </w:t>
      </w:r>
      <w:hyperlink r:id="rId11" w:history="1"/>
    </w:p>
    <w:p w14:paraId="0B09C9B7" w14:textId="537D30FD" w:rsidR="00AB4CD8" w:rsidRPr="00AB4CD8" w:rsidRDefault="00AB4CD8" w:rsidP="00FA796F">
      <w:pPr>
        <w:pStyle w:val="SingleTxtG"/>
        <w:spacing w:after="0"/>
        <w:ind w:firstLine="170"/>
        <w:jc w:val="left"/>
        <w:rPr>
          <w:sz w:val="18"/>
          <w:szCs w:val="18"/>
        </w:rPr>
      </w:pPr>
      <w:r w:rsidRPr="00AB4CD8">
        <w:rPr>
          <w:i/>
          <w:sz w:val="18"/>
          <w:szCs w:val="18"/>
          <w:vertAlign w:val="superscript"/>
        </w:rPr>
        <w:t>e</w:t>
      </w:r>
      <w:r w:rsidRPr="00AB4CD8">
        <w:rPr>
          <w:sz w:val="18"/>
          <w:szCs w:val="18"/>
        </w:rPr>
        <w:t xml:space="preserve"> </w:t>
      </w:r>
      <w:r>
        <w:rPr>
          <w:sz w:val="18"/>
          <w:szCs w:val="18"/>
        </w:rPr>
        <w:t xml:space="preserve"> </w:t>
      </w:r>
      <w:r w:rsidRPr="00AB4CD8">
        <w:rPr>
          <w:sz w:val="18"/>
          <w:szCs w:val="18"/>
        </w:rPr>
        <w:t>La lista de cuestiones previa a la presentación del informe (</w:t>
      </w:r>
      <w:hyperlink r:id="rId12" w:history="1">
        <w:r w:rsidRPr="00AB4CD8">
          <w:rPr>
            <w:rStyle w:val="Hipervnculo"/>
            <w:sz w:val="18"/>
            <w:szCs w:val="18"/>
          </w:rPr>
          <w:t>CMW/C/MLI/QPR/3</w:t>
        </w:r>
      </w:hyperlink>
      <w:r w:rsidRPr="00AB4CD8">
        <w:rPr>
          <w:sz w:val="18"/>
          <w:szCs w:val="18"/>
        </w:rPr>
        <w:t>) fue aprobada por el Comité en su 39º período de sesiones.</w:t>
      </w:r>
      <w:hyperlink r:id="rId13" w:history="1"/>
    </w:p>
    <w:p w14:paraId="118C2EDA" w14:textId="71E14A07" w:rsidR="00AB4CD8" w:rsidRPr="00AB4CD8" w:rsidRDefault="00AB4CD8" w:rsidP="00FA796F">
      <w:pPr>
        <w:pStyle w:val="SingleTxtG"/>
        <w:spacing w:after="0"/>
        <w:ind w:firstLine="170"/>
        <w:jc w:val="left"/>
        <w:rPr>
          <w:sz w:val="18"/>
          <w:szCs w:val="18"/>
        </w:rPr>
      </w:pPr>
      <w:r w:rsidRPr="00AB4CD8">
        <w:rPr>
          <w:i/>
          <w:sz w:val="18"/>
          <w:szCs w:val="18"/>
          <w:vertAlign w:val="superscript"/>
        </w:rPr>
        <w:lastRenderedPageBreak/>
        <w:t>f</w:t>
      </w:r>
      <w:r w:rsidRPr="00AB4CD8">
        <w:rPr>
          <w:sz w:val="18"/>
          <w:szCs w:val="18"/>
        </w:rPr>
        <w:t xml:space="preserve"> </w:t>
      </w:r>
      <w:r>
        <w:rPr>
          <w:sz w:val="18"/>
          <w:szCs w:val="18"/>
        </w:rPr>
        <w:t xml:space="preserve"> </w:t>
      </w:r>
      <w:r w:rsidRPr="00AB4CD8">
        <w:rPr>
          <w:sz w:val="18"/>
          <w:szCs w:val="18"/>
        </w:rPr>
        <w:t>El 16 de mayo de 2023, el Estado Parte decidió no acogerse al procedimiento simplificado de presentación de informes, por lo que presentará su informe con arreglo al procedimiento tradicional.</w:t>
      </w:r>
    </w:p>
    <w:p w14:paraId="49EE0B9B" w14:textId="06BB1029" w:rsidR="00AB4CD8" w:rsidRPr="00AB4CD8" w:rsidRDefault="00AB4CD8" w:rsidP="00FA796F">
      <w:pPr>
        <w:pStyle w:val="SingleTxtG"/>
        <w:spacing w:after="240"/>
        <w:ind w:firstLine="170"/>
        <w:jc w:val="left"/>
      </w:pPr>
      <w:r w:rsidRPr="00AB4CD8">
        <w:rPr>
          <w:i/>
          <w:sz w:val="18"/>
          <w:szCs w:val="18"/>
          <w:vertAlign w:val="superscript"/>
        </w:rPr>
        <w:t>g</w:t>
      </w:r>
      <w:r w:rsidRPr="00AB4CD8">
        <w:rPr>
          <w:sz w:val="18"/>
          <w:szCs w:val="18"/>
        </w:rPr>
        <w:t xml:space="preserve"> </w:t>
      </w:r>
      <w:r>
        <w:rPr>
          <w:sz w:val="18"/>
          <w:szCs w:val="18"/>
        </w:rPr>
        <w:t xml:space="preserve"> </w:t>
      </w:r>
      <w:r w:rsidRPr="00AB4CD8">
        <w:rPr>
          <w:sz w:val="18"/>
          <w:szCs w:val="18"/>
        </w:rPr>
        <w:t>La lista de cuestiones previa a la presentación del informe (</w:t>
      </w:r>
      <w:hyperlink r:id="rId14" w:history="1">
        <w:r w:rsidRPr="00AB4CD8">
          <w:rPr>
            <w:rStyle w:val="Hipervnculo"/>
            <w:sz w:val="18"/>
            <w:szCs w:val="18"/>
          </w:rPr>
          <w:t>CMW/C/TLS/QPR/2</w:t>
        </w:r>
      </w:hyperlink>
      <w:r w:rsidRPr="00AB4CD8">
        <w:rPr>
          <w:sz w:val="18"/>
          <w:szCs w:val="18"/>
        </w:rPr>
        <w:t>) fue aprobada por el Comité en su 39º período de sesiones.</w:t>
      </w:r>
      <w:hyperlink r:id="rId15" w:history="1"/>
    </w:p>
    <w:p w14:paraId="4C400BCE" w14:textId="38E6C80B" w:rsidR="00AB4CD8" w:rsidRPr="00AB4CD8" w:rsidRDefault="00AB4CD8" w:rsidP="00AB4CD8">
      <w:pPr>
        <w:pStyle w:val="H23G"/>
      </w:pPr>
      <w:r w:rsidRPr="00AB4CD8">
        <w:tab/>
        <w:t>7.</w:t>
      </w:r>
      <w:r w:rsidRPr="00AB4CD8">
        <w:tab/>
        <w:t>Examen de los informes presentados por los Estados Partes en virtud del</w:t>
      </w:r>
      <w:r>
        <w:t> </w:t>
      </w:r>
      <w:r w:rsidRPr="00AB4CD8">
        <w:t>artículo</w:t>
      </w:r>
      <w:r>
        <w:t> </w:t>
      </w:r>
      <w:r w:rsidRPr="00AB4CD8">
        <w:t>73</w:t>
      </w:r>
      <w:r>
        <w:t> </w:t>
      </w:r>
      <w:r w:rsidRPr="00AB4CD8">
        <w:t>de la Convención</w:t>
      </w:r>
    </w:p>
    <w:p w14:paraId="5011B726" w14:textId="0D4AD412" w:rsidR="00AB4CD8" w:rsidRPr="00AB4CD8" w:rsidRDefault="00AB4CD8" w:rsidP="00AB4CD8">
      <w:pPr>
        <w:pStyle w:val="SingleTxtG"/>
      </w:pPr>
      <w:r>
        <w:tab/>
      </w:r>
      <w:r w:rsidRPr="00AB4CD8">
        <w:t>En su 42º período de sesiones, el Comité examinará el cuarto informe periódico del Ecuador (</w:t>
      </w:r>
      <w:hyperlink r:id="rId16" w:history="1">
        <w:r w:rsidRPr="00AB4CD8">
          <w:rPr>
            <w:rStyle w:val="Hipervnculo"/>
          </w:rPr>
          <w:t>CMW/C/ECU/4</w:t>
        </w:r>
      </w:hyperlink>
      <w:r w:rsidRPr="00AB4CD8">
        <w:t>), el segundo informe periódico de Ghana (</w:t>
      </w:r>
      <w:hyperlink r:id="rId17" w:history="1">
        <w:r w:rsidRPr="00AB4CD8">
          <w:rPr>
            <w:rStyle w:val="Hipervnculo"/>
          </w:rPr>
          <w:t>CMW/C/GHA/2</w:t>
        </w:r>
      </w:hyperlink>
      <w:r w:rsidRPr="00AB4CD8">
        <w:t>) y el informe inicial de Gambia (</w:t>
      </w:r>
      <w:hyperlink r:id="rId18" w:history="1">
        <w:r w:rsidRPr="00AB4CD8">
          <w:rPr>
            <w:rStyle w:val="Hipervnculo"/>
          </w:rPr>
          <w:t>CMW/C/GMB/1</w:t>
        </w:r>
      </w:hyperlink>
      <w:r w:rsidRPr="00AB4CD8">
        <w:t>). Asimismo, aprobará observaciones finales sobre los informes.</w:t>
      </w:r>
      <w:hyperlink r:id="rId19" w:history="1"/>
      <w:hyperlink r:id="rId20" w:history="1"/>
      <w:hyperlink r:id="rId21" w:history="1"/>
    </w:p>
    <w:p w14:paraId="52AC1A6D" w14:textId="08950DEA" w:rsidR="00AB4CD8" w:rsidRPr="00AB4CD8" w:rsidRDefault="00AB4CD8" w:rsidP="00AB4CD8">
      <w:pPr>
        <w:pStyle w:val="SingleTxtG"/>
      </w:pPr>
      <w:r>
        <w:tab/>
      </w:r>
      <w:r w:rsidRPr="00AB4CD8">
        <w:t>El Secretario General ha comunicado a los Estados Partes pertinentes las fechas en las que está previsto que el Comité examine sus respectivos informes, de conformidad con el programa de trabajo provisional.</w:t>
      </w:r>
    </w:p>
    <w:p w14:paraId="2F7E9779" w14:textId="59437B29" w:rsidR="00AB4CD8" w:rsidRPr="00AB4CD8" w:rsidRDefault="00AB4CD8" w:rsidP="00AB4CD8">
      <w:pPr>
        <w:pStyle w:val="SingleTxtG"/>
      </w:pPr>
      <w:r>
        <w:tab/>
      </w:r>
      <w:r w:rsidRPr="00AB4CD8">
        <w:t>En su 14º período de sesiones, el Comité estableció un procedimiento simplificado de presentación de informes, consistente en la preparación y aprobación de una lista de cuestiones y su transmisión al Estado Parte interesado antes de que presente su informe. Las respuestas a esta lista de cuestiones constituirán el informe que el Estado Parte debe presentar en virtud del artículo 73, párrafo 1, de la Convención. A fin de promover el uso del procedimiento simplificado de presentación de informes entre los Estados Partes, el Comité decidió, en su 34º período de sesiones, que este se aplicaría según el principio de exclusión voluntaria y no de aceptación voluntaria, de manera que, en adelante, el procedimiento simplificado previsto en el artículo 33, párrafo 2, de su reglamento sería el procedimiento por defecto y el procedimiento tradicional constituiría la excepción. Por consiguiente, una vez que los Estados Partes hayan sido debidamente informados de esta decisión, el Comité aprobará una lista de cuestiones previa a la presentación del informe para todo Estado Parte en la Convención que no haya solicitado explícitamente acogerse al procedimiento tradicional. En su 42º período de sesiones, el Comité aprobará listas de cuestiones previas a la presentación de informes para Guatemala y Guyana, y una lista de cuestiones relativa al segundo informe periódico de Lesotho. Asimismo, examinará el informe de seguimiento de Burkina Faso relativo a las recomendaciones prioritarias formuladas en las observaciones finales sobre su segundo informe periódico y aprobará el correspondiente informe de evaluación dirigido al Estado Parte.</w:t>
      </w:r>
    </w:p>
    <w:p w14:paraId="2685C890" w14:textId="77777777" w:rsidR="00AB4CD8" w:rsidRPr="00AB4CD8" w:rsidRDefault="00AB4CD8" w:rsidP="00AB4CD8">
      <w:pPr>
        <w:pStyle w:val="H23G"/>
      </w:pPr>
      <w:r w:rsidRPr="00AB4CD8">
        <w:tab/>
        <w:t>8.</w:t>
      </w:r>
      <w:r w:rsidRPr="00AB4CD8">
        <w:tab/>
        <w:t>Métodos de trabajo del Comité</w:t>
      </w:r>
    </w:p>
    <w:p w14:paraId="756BFA5A" w14:textId="2672D8EE" w:rsidR="00AB4CD8" w:rsidRPr="00AB4CD8" w:rsidRDefault="00AB4CD8" w:rsidP="00AB4CD8">
      <w:pPr>
        <w:pStyle w:val="SingleTxtG"/>
      </w:pPr>
      <w:r>
        <w:tab/>
      </w:r>
      <w:r w:rsidRPr="00AB4CD8">
        <w:t>El Comité seguirá examinando sus métodos de trabajo, la armonización de los métodos de trabajo de los órganos de tratados y otras cuestiones derivadas de la resolución</w:t>
      </w:r>
      <w:r w:rsidR="005C0CA1">
        <w:t> </w:t>
      </w:r>
      <w:r w:rsidRPr="00AB4CD8">
        <w:t>68/268 de la Asamblea General, relativa al fortalecimiento y mejora del funcionamiento eficaz del sistema de órganos creados en virtud de tratados de derechos humanos, así como de las resoluciones posteriores de la Asamblea General relativas al sistema de órganos creados en virtud de tratados de derechos humanos.</w:t>
      </w:r>
    </w:p>
    <w:p w14:paraId="4A7037D2" w14:textId="77777777" w:rsidR="00AB4CD8" w:rsidRPr="00AB4CD8" w:rsidRDefault="00AB4CD8" w:rsidP="00AB4CD8">
      <w:pPr>
        <w:pStyle w:val="H23G"/>
      </w:pPr>
      <w:r w:rsidRPr="00AB4CD8">
        <w:tab/>
        <w:t>9.</w:t>
      </w:r>
      <w:r w:rsidRPr="00AB4CD8">
        <w:tab/>
        <w:t>Promoción de la Convención</w:t>
      </w:r>
    </w:p>
    <w:p w14:paraId="4E1A4722" w14:textId="1397E6EC" w:rsidR="00AB4CD8" w:rsidRPr="00AB4CD8" w:rsidRDefault="00AB4CD8" w:rsidP="00AB4CD8">
      <w:pPr>
        <w:pStyle w:val="SingleTxtG"/>
      </w:pPr>
      <w:r>
        <w:tab/>
      </w:r>
      <w:r w:rsidRPr="00AB4CD8">
        <w:t>El Comité deliberará sobre su participación en los distintos actos e iniciativas organizados para promover la Convención, así como su apoyo a esas actividades, entre las que figuran las reuniones con las partes interesadas, los días de debate general y la elaboración de observaciones generales.</w:t>
      </w:r>
    </w:p>
    <w:p w14:paraId="6127C701" w14:textId="19500043" w:rsidR="00AB4CD8" w:rsidRPr="00AB4CD8" w:rsidRDefault="00AB4CD8" w:rsidP="00AB4CD8">
      <w:pPr>
        <w:pStyle w:val="H23G"/>
      </w:pPr>
      <w:r w:rsidRPr="00AB4CD8">
        <w:tab/>
        <w:t>10.</w:t>
      </w:r>
      <w:r w:rsidRPr="00AB4CD8">
        <w:tab/>
        <w:t>Aprobación del informe anual</w:t>
      </w:r>
    </w:p>
    <w:p w14:paraId="4E0A6188" w14:textId="2D26C768" w:rsidR="00AB4CD8" w:rsidRPr="00AB4CD8" w:rsidRDefault="00AB4CD8" w:rsidP="00AB4CD8">
      <w:pPr>
        <w:pStyle w:val="SingleTxtG"/>
      </w:pPr>
      <w:r>
        <w:tab/>
      </w:r>
      <w:r w:rsidRPr="00AB4CD8">
        <w:t>De conformidad con el artículo 74, párrafo 7, de la Convención, el Comité presentará un informe anual a la Asamblea General sobre la aplicación de la Convención.</w:t>
      </w:r>
    </w:p>
    <w:p w14:paraId="22CFC2D8" w14:textId="3E2B7769" w:rsidR="00AB4CD8" w:rsidRDefault="00AB4CD8" w:rsidP="00AB4CD8">
      <w:pPr>
        <w:pStyle w:val="SingleTxtG"/>
      </w:pPr>
      <w:r>
        <w:tab/>
      </w:r>
      <w:r w:rsidRPr="003667FB">
        <w:t>El Comité tendrá ante sí, para su aprobación, un informe sobre sus períodos de sesiones 41º y 42º.</w:t>
      </w:r>
    </w:p>
    <w:p w14:paraId="78686A51" w14:textId="2490D9AD" w:rsidR="00381C24" w:rsidRPr="00AB4CD8" w:rsidRDefault="00AB4CD8" w:rsidP="00AB4CD8">
      <w:pPr>
        <w:pStyle w:val="SingleTxtG"/>
        <w:suppressAutoHyphens/>
        <w:spacing w:before="240" w:after="0"/>
        <w:jc w:val="center"/>
        <w:rPr>
          <w:u w:val="single"/>
        </w:rPr>
      </w:pPr>
      <w:r>
        <w:rPr>
          <w:u w:val="single"/>
        </w:rPr>
        <w:tab/>
      </w:r>
      <w:r>
        <w:rPr>
          <w:u w:val="single"/>
        </w:rPr>
        <w:tab/>
      </w:r>
      <w:r>
        <w:rPr>
          <w:u w:val="single"/>
        </w:rPr>
        <w:tab/>
      </w:r>
    </w:p>
    <w:sectPr w:rsidR="00381C24" w:rsidRPr="00AB4CD8" w:rsidSect="00AB4CD8">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571D6" w14:textId="77777777" w:rsidR="00BE3BBE" w:rsidRPr="00FE2321" w:rsidRDefault="00BE3BBE" w:rsidP="00FE2321">
      <w:pPr>
        <w:pStyle w:val="Piedepgina"/>
      </w:pPr>
    </w:p>
  </w:endnote>
  <w:endnote w:type="continuationSeparator" w:id="0">
    <w:p w14:paraId="09AA6C7A" w14:textId="77777777" w:rsidR="00BE3BBE" w:rsidRPr="00FE2321" w:rsidRDefault="00BE3BBE"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819AC" w14:textId="4AD53A77" w:rsidR="00AB4CD8" w:rsidRPr="00AB4CD8" w:rsidRDefault="00AB4CD8" w:rsidP="00AB4CD8">
    <w:pPr>
      <w:pStyle w:val="Piedepgina"/>
      <w:tabs>
        <w:tab w:val="right" w:pos="9638"/>
      </w:tabs>
    </w:pPr>
    <w:r w:rsidRPr="00AB4CD8">
      <w:rPr>
        <w:b/>
        <w:sz w:val="18"/>
      </w:rPr>
      <w:fldChar w:fldCharType="begin"/>
    </w:r>
    <w:r w:rsidRPr="00AB4CD8">
      <w:rPr>
        <w:b/>
        <w:sz w:val="18"/>
      </w:rPr>
      <w:instrText xml:space="preserve"> PAGE  \* MERGEFORMAT </w:instrText>
    </w:r>
    <w:r w:rsidRPr="00AB4CD8">
      <w:rPr>
        <w:b/>
        <w:sz w:val="18"/>
      </w:rPr>
      <w:fldChar w:fldCharType="separate"/>
    </w:r>
    <w:r w:rsidRPr="00AB4CD8">
      <w:rPr>
        <w:b/>
        <w:noProof/>
        <w:sz w:val="18"/>
      </w:rPr>
      <w:t>2</w:t>
    </w:r>
    <w:r w:rsidRPr="00AB4CD8">
      <w:rPr>
        <w:b/>
        <w:sz w:val="18"/>
      </w:rPr>
      <w:fldChar w:fldCharType="end"/>
    </w:r>
    <w:r>
      <w:rPr>
        <w:b/>
        <w:sz w:val="18"/>
      </w:rPr>
      <w:tab/>
    </w:r>
    <w:r>
      <w:t>GE.26-04173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233BA" w14:textId="2413D379" w:rsidR="00AB4CD8" w:rsidRPr="00AB4CD8" w:rsidRDefault="00AB4CD8" w:rsidP="00AB4CD8">
    <w:pPr>
      <w:pStyle w:val="Piedepgina"/>
      <w:tabs>
        <w:tab w:val="right" w:pos="9638"/>
      </w:tabs>
      <w:rPr>
        <w:b/>
        <w:sz w:val="18"/>
      </w:rPr>
    </w:pPr>
    <w:r>
      <w:t>GE.26-04173</w:t>
    </w:r>
    <w:r>
      <w:tab/>
    </w:r>
    <w:r w:rsidRPr="00AB4CD8">
      <w:rPr>
        <w:b/>
        <w:sz w:val="18"/>
      </w:rPr>
      <w:fldChar w:fldCharType="begin"/>
    </w:r>
    <w:r w:rsidRPr="00AB4CD8">
      <w:rPr>
        <w:b/>
        <w:sz w:val="18"/>
      </w:rPr>
      <w:instrText xml:space="preserve"> PAGE  \* MERGEFORMAT </w:instrText>
    </w:r>
    <w:r w:rsidRPr="00AB4CD8">
      <w:rPr>
        <w:b/>
        <w:sz w:val="18"/>
      </w:rPr>
      <w:fldChar w:fldCharType="separate"/>
    </w:r>
    <w:r w:rsidRPr="00AB4CD8">
      <w:rPr>
        <w:b/>
        <w:noProof/>
        <w:sz w:val="18"/>
      </w:rPr>
      <w:t>3</w:t>
    </w:r>
    <w:r w:rsidRPr="00AB4C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379AF" w14:textId="08CA78FE" w:rsidR="00986C75" w:rsidRPr="00AB4CD8" w:rsidRDefault="00AB4CD8" w:rsidP="00AB4CD8">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5AD5F37E" wp14:editId="1EDF0AB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26-04173  (S)</w:t>
    </w:r>
    <w:r>
      <w:rPr>
        <w:noProof/>
        <w:sz w:val="20"/>
      </w:rPr>
      <w:drawing>
        <wp:anchor distT="0" distB="0" distL="114300" distR="114300" simplePos="0" relativeHeight="251658752" behindDoc="0" locked="0" layoutInCell="1" allowOverlap="1" wp14:anchorId="56CFF82B" wp14:editId="52616D17">
          <wp:simplePos x="0" y="0"/>
          <wp:positionH relativeFrom="margin">
            <wp:posOffset>5489575</wp:posOffset>
          </wp:positionH>
          <wp:positionV relativeFrom="margin">
            <wp:posOffset>8891905</wp:posOffset>
          </wp:positionV>
          <wp:extent cx="628650" cy="628650"/>
          <wp:effectExtent l="0" t="0" r="0" b="0"/>
          <wp:wrapNone/>
          <wp:docPr id="967107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160426    160426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05DC8" w14:textId="77777777" w:rsidR="00BE3BBE" w:rsidRPr="001075E9" w:rsidRDefault="00BE3BBE" w:rsidP="001075E9">
      <w:pPr>
        <w:tabs>
          <w:tab w:val="right" w:pos="2155"/>
        </w:tabs>
        <w:spacing w:after="80" w:line="240" w:lineRule="auto"/>
        <w:ind w:left="680"/>
        <w:rPr>
          <w:u w:val="single"/>
        </w:rPr>
      </w:pPr>
      <w:r>
        <w:rPr>
          <w:u w:val="single"/>
        </w:rPr>
        <w:tab/>
      </w:r>
    </w:p>
  </w:footnote>
  <w:footnote w:type="continuationSeparator" w:id="0">
    <w:p w14:paraId="48ADB2C0" w14:textId="77777777" w:rsidR="00BE3BBE" w:rsidRDefault="00BE3BBE" w:rsidP="00FE2321">
      <w:pPr>
        <w:tabs>
          <w:tab w:val="right" w:pos="2155"/>
        </w:tabs>
        <w:spacing w:after="80" w:line="240" w:lineRule="auto"/>
        <w:ind w:left="680"/>
        <w:rPr>
          <w:u w:val="single"/>
        </w:rPr>
      </w:pPr>
      <w:r>
        <w:rPr>
          <w:u w:val="single"/>
        </w:rPr>
        <w:tab/>
      </w:r>
    </w:p>
  </w:footnote>
  <w:footnote w:id="1">
    <w:p w14:paraId="0C1EAFA2" w14:textId="459BCC77" w:rsidR="00AB4CD8" w:rsidRDefault="00AB4CD8" w:rsidP="00AB4CD8">
      <w:pPr>
        <w:pStyle w:val="Textonotapie"/>
        <w:widowControl w:val="0"/>
        <w:tabs>
          <w:tab w:val="clear" w:pos="1021"/>
          <w:tab w:val="right" w:pos="1020"/>
        </w:tabs>
        <w:suppressAutoHyphens/>
      </w:pPr>
      <w:r>
        <w:tab/>
      </w:r>
      <w:r>
        <w:rPr>
          <w:rStyle w:val="Refdenotaalpie"/>
        </w:rPr>
        <w:footnoteRef/>
      </w:r>
      <w:r>
        <w:tab/>
      </w:r>
      <w:r w:rsidRPr="00AB4CD8">
        <w:rPr>
          <w:lang w:val="fr-CH"/>
        </w:rPr>
        <w:t xml:space="preserve">Véase </w:t>
      </w:r>
      <w:hyperlink r:id="rId1" w:history="1">
        <w:r w:rsidRPr="00AB4CD8">
          <w:rPr>
            <w:rStyle w:val="Hipervnculo"/>
            <w:lang w:val="fr-CH"/>
          </w:rPr>
          <w:t>https://tbinternet.ohchr.org/_layouts/15/TreatyBodyExternal/SessionsList.aspx?Lang=es</w:t>
        </w:r>
      </w:hyperlink>
      <w:r w:rsidRPr="00AB4CD8">
        <w:rPr>
          <w:lang w:val="fr-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0D3D0" w14:textId="31956D0D" w:rsidR="00AB4CD8" w:rsidRPr="00AB4CD8" w:rsidRDefault="00AB4CD8">
    <w:pPr>
      <w:pStyle w:val="Encabezado"/>
    </w:pPr>
    <w:fldSimple w:instr=" TITLE  \* MERGEFORMAT ">
      <w:r w:rsidR="002A6EE4">
        <w:t>CMW/C/42/1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364C9" w14:textId="3468190E" w:rsidR="00AB4CD8" w:rsidRPr="00AB4CD8" w:rsidRDefault="00AB4CD8" w:rsidP="00AB4CD8">
    <w:pPr>
      <w:pStyle w:val="Encabezado"/>
      <w:jc w:val="right"/>
    </w:pPr>
    <w:fldSimple w:instr=" TITLE  \* MERGEFORMAT ">
      <w:r w:rsidR="002A6EE4">
        <w:t>CMW/C/42/1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64696373">
    <w:abstractNumId w:val="14"/>
  </w:num>
  <w:num w:numId="2" w16cid:durableId="1849103309">
    <w:abstractNumId w:val="11"/>
  </w:num>
  <w:num w:numId="3" w16cid:durableId="1318221800">
    <w:abstractNumId w:val="16"/>
  </w:num>
  <w:num w:numId="4" w16cid:durableId="1391466630">
    <w:abstractNumId w:val="15"/>
  </w:num>
  <w:num w:numId="5" w16cid:durableId="1461848041">
    <w:abstractNumId w:val="13"/>
  </w:num>
  <w:num w:numId="6" w16cid:durableId="1066296931">
    <w:abstractNumId w:val="8"/>
  </w:num>
  <w:num w:numId="7" w16cid:durableId="39675941">
    <w:abstractNumId w:val="3"/>
  </w:num>
  <w:num w:numId="8" w16cid:durableId="1713456340">
    <w:abstractNumId w:val="2"/>
  </w:num>
  <w:num w:numId="9" w16cid:durableId="1533764313">
    <w:abstractNumId w:val="1"/>
  </w:num>
  <w:num w:numId="10" w16cid:durableId="1446585139">
    <w:abstractNumId w:val="0"/>
  </w:num>
  <w:num w:numId="11" w16cid:durableId="1537153363">
    <w:abstractNumId w:val="9"/>
  </w:num>
  <w:num w:numId="12" w16cid:durableId="1117409225">
    <w:abstractNumId w:val="7"/>
  </w:num>
  <w:num w:numId="13" w16cid:durableId="1139685609">
    <w:abstractNumId w:val="6"/>
  </w:num>
  <w:num w:numId="14" w16cid:durableId="248123306">
    <w:abstractNumId w:val="5"/>
  </w:num>
  <w:num w:numId="15" w16cid:durableId="26151046">
    <w:abstractNumId w:val="4"/>
  </w:num>
  <w:num w:numId="16" w16cid:durableId="2055347678">
    <w:abstractNumId w:val="10"/>
  </w:num>
  <w:num w:numId="17" w16cid:durableId="756558960">
    <w:abstractNumId w:val="14"/>
  </w:num>
  <w:num w:numId="18" w16cid:durableId="899169691">
    <w:abstractNumId w:val="11"/>
  </w:num>
  <w:num w:numId="19" w16cid:durableId="948392509">
    <w:abstractNumId w:val="10"/>
  </w:num>
  <w:num w:numId="20" w16cid:durableId="1388456839">
    <w:abstractNumId w:val="16"/>
  </w:num>
  <w:num w:numId="21" w16cid:durableId="1700276111">
    <w:abstractNumId w:val="15"/>
  </w:num>
  <w:num w:numId="22" w16cid:durableId="916473793">
    <w:abstractNumId w:val="12"/>
  </w:num>
  <w:num w:numId="23" w16cid:durableId="952130421">
    <w:abstractNumId w:val="12"/>
  </w:num>
  <w:num w:numId="24" w16cid:durableId="66272733">
    <w:abstractNumId w:val="13"/>
  </w:num>
  <w:num w:numId="25" w16cid:durableId="510947099">
    <w:abstractNumId w:val="9"/>
  </w:num>
  <w:num w:numId="26" w16cid:durableId="1082606121">
    <w:abstractNumId w:val="7"/>
  </w:num>
  <w:num w:numId="27" w16cid:durableId="741760655">
    <w:abstractNumId w:val="6"/>
  </w:num>
  <w:num w:numId="28" w16cid:durableId="2135949958">
    <w:abstractNumId w:val="5"/>
  </w:num>
  <w:num w:numId="29" w16cid:durableId="1494949973">
    <w:abstractNumId w:val="4"/>
  </w:num>
  <w:num w:numId="30" w16cid:durableId="131334667">
    <w:abstractNumId w:val="8"/>
  </w:num>
  <w:num w:numId="31" w16cid:durableId="1485002964">
    <w:abstractNumId w:val="3"/>
  </w:num>
  <w:num w:numId="32" w16cid:durableId="1150945362">
    <w:abstractNumId w:val="2"/>
  </w:num>
  <w:num w:numId="33" w16cid:durableId="981081722">
    <w:abstractNumId w:val="1"/>
  </w:num>
  <w:num w:numId="34" w16cid:durableId="154475134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BBE"/>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B4C34"/>
    <w:rsid w:val="001C7A89"/>
    <w:rsid w:val="001E79AD"/>
    <w:rsid w:val="001F50AA"/>
    <w:rsid w:val="00204346"/>
    <w:rsid w:val="00260FCC"/>
    <w:rsid w:val="00280518"/>
    <w:rsid w:val="002A2EFC"/>
    <w:rsid w:val="002A6EE4"/>
    <w:rsid w:val="002C0E18"/>
    <w:rsid w:val="002D5AAC"/>
    <w:rsid w:val="00301299"/>
    <w:rsid w:val="00306058"/>
    <w:rsid w:val="00322004"/>
    <w:rsid w:val="0032324A"/>
    <w:rsid w:val="003402C2"/>
    <w:rsid w:val="00350361"/>
    <w:rsid w:val="003703B7"/>
    <w:rsid w:val="00376B8E"/>
    <w:rsid w:val="00381C24"/>
    <w:rsid w:val="003958D0"/>
    <w:rsid w:val="003A3492"/>
    <w:rsid w:val="003B00E5"/>
    <w:rsid w:val="003B4647"/>
    <w:rsid w:val="003B7CD6"/>
    <w:rsid w:val="003D56DC"/>
    <w:rsid w:val="0040007F"/>
    <w:rsid w:val="00414A16"/>
    <w:rsid w:val="00427F10"/>
    <w:rsid w:val="00454E07"/>
    <w:rsid w:val="004D45DB"/>
    <w:rsid w:val="004D749D"/>
    <w:rsid w:val="004E0B0A"/>
    <w:rsid w:val="0050108D"/>
    <w:rsid w:val="005445FE"/>
    <w:rsid w:val="0055389D"/>
    <w:rsid w:val="00561F04"/>
    <w:rsid w:val="00572E19"/>
    <w:rsid w:val="005C0CA1"/>
    <w:rsid w:val="005C43E4"/>
    <w:rsid w:val="005E551C"/>
    <w:rsid w:val="005F0B42"/>
    <w:rsid w:val="00662AD0"/>
    <w:rsid w:val="006B06C0"/>
    <w:rsid w:val="006C3C92"/>
    <w:rsid w:val="006D4245"/>
    <w:rsid w:val="006F35EE"/>
    <w:rsid w:val="007021FF"/>
    <w:rsid w:val="0071490D"/>
    <w:rsid w:val="00714F14"/>
    <w:rsid w:val="00757357"/>
    <w:rsid w:val="007972A8"/>
    <w:rsid w:val="007E5F21"/>
    <w:rsid w:val="00834B71"/>
    <w:rsid w:val="008353A9"/>
    <w:rsid w:val="008461FE"/>
    <w:rsid w:val="0086445C"/>
    <w:rsid w:val="00867447"/>
    <w:rsid w:val="00884AAC"/>
    <w:rsid w:val="0089454A"/>
    <w:rsid w:val="008A08D7"/>
    <w:rsid w:val="00906890"/>
    <w:rsid w:val="00951972"/>
    <w:rsid w:val="00972A64"/>
    <w:rsid w:val="00986C75"/>
    <w:rsid w:val="00A12750"/>
    <w:rsid w:val="00A6263F"/>
    <w:rsid w:val="00A917B3"/>
    <w:rsid w:val="00AB4B51"/>
    <w:rsid w:val="00AB4CD8"/>
    <w:rsid w:val="00B10CC7"/>
    <w:rsid w:val="00B62458"/>
    <w:rsid w:val="00B9514C"/>
    <w:rsid w:val="00BC14FA"/>
    <w:rsid w:val="00BC6277"/>
    <w:rsid w:val="00BD33EE"/>
    <w:rsid w:val="00BE3BBE"/>
    <w:rsid w:val="00C24742"/>
    <w:rsid w:val="00C60F0C"/>
    <w:rsid w:val="00C805C9"/>
    <w:rsid w:val="00C96C06"/>
    <w:rsid w:val="00CA1679"/>
    <w:rsid w:val="00CA355E"/>
    <w:rsid w:val="00CA7207"/>
    <w:rsid w:val="00CB5CCE"/>
    <w:rsid w:val="00D33D63"/>
    <w:rsid w:val="00D40788"/>
    <w:rsid w:val="00D667CE"/>
    <w:rsid w:val="00D90138"/>
    <w:rsid w:val="00DB6076"/>
    <w:rsid w:val="00DD56E3"/>
    <w:rsid w:val="00DE58C4"/>
    <w:rsid w:val="00E20056"/>
    <w:rsid w:val="00E271D4"/>
    <w:rsid w:val="00E3069D"/>
    <w:rsid w:val="00E73F76"/>
    <w:rsid w:val="00EA23EC"/>
    <w:rsid w:val="00EE7DF4"/>
    <w:rsid w:val="00EF1360"/>
    <w:rsid w:val="00EF3220"/>
    <w:rsid w:val="00F11DE9"/>
    <w:rsid w:val="00F46290"/>
    <w:rsid w:val="00F61A88"/>
    <w:rsid w:val="00F721F6"/>
    <w:rsid w:val="00F80811"/>
    <w:rsid w:val="00F94155"/>
    <w:rsid w:val="00FA796F"/>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069F07"/>
  <w15:docId w15:val="{6150AFA3-586B-400B-9D9A-9876D70BE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AB4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MW/C/BLZ/QPR/1-3" TargetMode="External"/><Relationship Id="rId13" Type="http://schemas.openxmlformats.org/officeDocument/2006/relationships/hyperlink" Target="https://docs.un.org/en/CMW/C/MLI/QPR/3" TargetMode="External"/><Relationship Id="rId18" Type="http://schemas.openxmlformats.org/officeDocument/2006/relationships/hyperlink" Target="https://undocs.org/es/CMW/C/GMB/1"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docs.un.org/en/CMW/C/GMB/1" TargetMode="External"/><Relationship Id="rId7" Type="http://schemas.openxmlformats.org/officeDocument/2006/relationships/image" Target="media/image1.wmf"/><Relationship Id="rId12" Type="http://schemas.openxmlformats.org/officeDocument/2006/relationships/hyperlink" Target="https://undocs.org/es/CMW/C/MLI/QPR/3" TargetMode="External"/><Relationship Id="rId17" Type="http://schemas.openxmlformats.org/officeDocument/2006/relationships/hyperlink" Target="https://undocs.org/es/CMW/C/GHA/2"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undocs.org/es/CMW/C/ECU/4" TargetMode="External"/><Relationship Id="rId20" Type="http://schemas.openxmlformats.org/officeDocument/2006/relationships/hyperlink" Target="https://docs.un.org/en/CMW/C/GHA/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n/CMW/C/GIN/QPR/2"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cs.un.org/en/CMW/C/TLS/QPR/2"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undocs.org/es/CMW/C/GIN/QPR/2" TargetMode="External"/><Relationship Id="rId19" Type="http://schemas.openxmlformats.org/officeDocument/2006/relationships/hyperlink" Target="https://docs.un.org/en/CMW/C/ECU/4" TargetMode="External"/><Relationship Id="rId4" Type="http://schemas.openxmlformats.org/officeDocument/2006/relationships/webSettings" Target="webSettings.xml"/><Relationship Id="rId9" Type="http://schemas.openxmlformats.org/officeDocument/2006/relationships/hyperlink" Target="https://docs.un.org/en/CMW/C/BLZ/QPR/1-3" TargetMode="External"/><Relationship Id="rId14" Type="http://schemas.openxmlformats.org/officeDocument/2006/relationships/hyperlink" Target="https://undocs.org/es/CMW/C/TLS/QPR/2"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binternet.ohchr.org/_layouts/15/TreatyBodyExternal/SessionsList.aspx?Lang=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4</Pages>
  <Words>1724</Words>
  <Characters>10520</Characters>
  <Application>Microsoft Office Word</Application>
  <DocSecurity>0</DocSecurity>
  <Lines>876</Lines>
  <Paragraphs>207</Paragraphs>
  <ScaleCrop>false</ScaleCrop>
  <HeadingPairs>
    <vt:vector size="2" baseType="variant">
      <vt:variant>
        <vt:lpstr>Título</vt:lpstr>
      </vt:variant>
      <vt:variant>
        <vt:i4>1</vt:i4>
      </vt:variant>
    </vt:vector>
  </HeadingPairs>
  <TitlesOfParts>
    <vt:vector size="1" baseType="lpstr">
      <vt:lpstr>CMW/C/42/1</vt:lpstr>
    </vt:vector>
  </TitlesOfParts>
  <Company/>
  <LinksUpToDate>false</LinksUpToDate>
  <CharactersWithSpaces>12037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CMW/C/42/1</dc:title>
  <dc:subject/>
  <dc:creator>Luz Urquizu Marroquin</dc:creator>
  <cp:keywords/>
  <cp:lastModifiedBy>Luz Urquizu Marroquin</cp:lastModifiedBy>
  <cp:revision>3</cp:revision>
  <cp:lastPrinted>2026-04-16T12:19:00Z</cp:lastPrinted>
  <dcterms:created xsi:type="dcterms:W3CDTF">2026-04-16T12:19:00Z</dcterms:created>
  <dcterms:modified xsi:type="dcterms:W3CDTF">2026-04-16T12:19:00Z</dcterms:modified>
</cp:coreProperties>
</file>