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9A96BDA" w14:textId="77777777" w:rsidTr="00DC18BF">
        <w:trPr>
          <w:trHeight w:hRule="exact" w:val="851"/>
        </w:trPr>
        <w:tc>
          <w:tcPr>
            <w:tcW w:w="1280" w:type="dxa"/>
            <w:tcBorders>
              <w:bottom w:val="single" w:sz="4" w:space="0" w:color="auto"/>
            </w:tcBorders>
          </w:tcPr>
          <w:p w14:paraId="54888D3B" w14:textId="77777777" w:rsidR="00494EB8" w:rsidRPr="00F124C6" w:rsidRDefault="00494EB8" w:rsidP="007D7A4A">
            <w:pPr>
              <w:pStyle w:val="H23GC"/>
            </w:pPr>
          </w:p>
        </w:tc>
        <w:tc>
          <w:tcPr>
            <w:tcW w:w="2273" w:type="dxa"/>
            <w:tcBorders>
              <w:bottom w:val="single" w:sz="4" w:space="0" w:color="auto"/>
            </w:tcBorders>
            <w:vAlign w:val="bottom"/>
          </w:tcPr>
          <w:p w14:paraId="159EE628"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BF03838" w14:textId="77777777" w:rsidR="00494EB8" w:rsidRPr="001B614A" w:rsidRDefault="001B614A" w:rsidP="00DC18BF">
            <w:pPr>
              <w:spacing w:line="240" w:lineRule="atLeast"/>
              <w:jc w:val="right"/>
              <w:rPr>
                <w:sz w:val="20"/>
                <w:szCs w:val="21"/>
              </w:rPr>
            </w:pPr>
            <w:r w:rsidRPr="001B614A">
              <w:rPr>
                <w:sz w:val="40"/>
                <w:szCs w:val="21"/>
              </w:rPr>
              <w:t>CAT</w:t>
            </w:r>
            <w:r>
              <w:rPr>
                <w:sz w:val="20"/>
                <w:szCs w:val="21"/>
              </w:rPr>
              <w:t>/C/AUT/CO/7</w:t>
            </w:r>
          </w:p>
        </w:tc>
      </w:tr>
      <w:tr w:rsidR="00494EB8" w:rsidRPr="00F124C6" w14:paraId="548F9938" w14:textId="77777777" w:rsidTr="00DC18BF">
        <w:trPr>
          <w:trHeight w:hRule="exact" w:val="2835"/>
        </w:trPr>
        <w:tc>
          <w:tcPr>
            <w:tcW w:w="1280" w:type="dxa"/>
            <w:tcBorders>
              <w:top w:val="single" w:sz="4" w:space="0" w:color="auto"/>
              <w:bottom w:val="single" w:sz="12" w:space="0" w:color="auto"/>
            </w:tcBorders>
          </w:tcPr>
          <w:p w14:paraId="139B43D1" w14:textId="77777777" w:rsidR="00494EB8" w:rsidRPr="00F124C6" w:rsidRDefault="00494EB8" w:rsidP="00DC18BF">
            <w:pPr>
              <w:spacing w:line="120" w:lineRule="atLeast"/>
              <w:rPr>
                <w:sz w:val="10"/>
                <w:szCs w:val="10"/>
              </w:rPr>
            </w:pPr>
          </w:p>
          <w:p w14:paraId="4685768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2BD29FCC" wp14:editId="4A490D6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21DFF5"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3998095"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62E6D860" w14:textId="614342EC" w:rsidR="00494EB8" w:rsidRPr="0004600B" w:rsidRDefault="00494EB8" w:rsidP="00DC18BF">
            <w:pPr>
              <w:spacing w:before="240" w:line="240" w:lineRule="atLeast"/>
              <w:rPr>
                <w:sz w:val="20"/>
              </w:rPr>
            </w:pPr>
            <w:r w:rsidRPr="00F124C6">
              <w:rPr>
                <w:sz w:val="20"/>
              </w:rPr>
              <w:t xml:space="preserve">Distr.: </w:t>
            </w:r>
            <w:r w:rsidR="001B614A" w:rsidRPr="001B614A">
              <w:rPr>
                <w:sz w:val="20"/>
              </w:rPr>
              <w:t>General</w:t>
            </w:r>
          </w:p>
          <w:p w14:paraId="4D07CBA4" w14:textId="4C5986F1" w:rsidR="00494EB8" w:rsidRPr="00F124C6" w:rsidRDefault="001B614A" w:rsidP="00DC18BF">
            <w:pPr>
              <w:spacing w:line="240" w:lineRule="atLeast"/>
              <w:rPr>
                <w:sz w:val="20"/>
              </w:rPr>
            </w:pPr>
            <w:r>
              <w:rPr>
                <w:sz w:val="20"/>
              </w:rPr>
              <w:t xml:space="preserve">12 </w:t>
            </w:r>
            <w:r w:rsidRPr="001B614A">
              <w:rPr>
                <w:sz w:val="20"/>
              </w:rPr>
              <w:t>June</w:t>
            </w:r>
            <w:r w:rsidR="005505A1">
              <w:rPr>
                <w:sz w:val="20"/>
              </w:rPr>
              <w:t xml:space="preserve"> 20</w:t>
            </w:r>
            <w:r w:rsidR="00597013">
              <w:rPr>
                <w:sz w:val="20"/>
              </w:rPr>
              <w:t>2</w:t>
            </w:r>
            <w:r w:rsidR="00155102">
              <w:rPr>
                <w:sz w:val="20"/>
              </w:rPr>
              <w:t>4</w:t>
            </w:r>
          </w:p>
          <w:p w14:paraId="3F1C3A94" w14:textId="77777777" w:rsidR="00494EB8" w:rsidRPr="00F124C6" w:rsidRDefault="00494EB8" w:rsidP="00DC18BF">
            <w:pPr>
              <w:spacing w:line="240" w:lineRule="atLeast"/>
              <w:rPr>
                <w:sz w:val="20"/>
              </w:rPr>
            </w:pPr>
            <w:r w:rsidRPr="00F124C6">
              <w:rPr>
                <w:sz w:val="20"/>
              </w:rPr>
              <w:t xml:space="preserve">Chinese </w:t>
            </w:r>
          </w:p>
          <w:p w14:paraId="39001E1A" w14:textId="77777777" w:rsidR="00494EB8" w:rsidRPr="00F124C6" w:rsidRDefault="00494EB8" w:rsidP="00DC18BF">
            <w:pPr>
              <w:spacing w:line="240" w:lineRule="atLeast"/>
            </w:pPr>
            <w:r w:rsidRPr="00F124C6">
              <w:rPr>
                <w:sz w:val="20"/>
              </w:rPr>
              <w:t>Original: English</w:t>
            </w:r>
          </w:p>
        </w:tc>
      </w:tr>
    </w:tbl>
    <w:p w14:paraId="6F9440DB" w14:textId="77777777" w:rsidR="00D231C7" w:rsidRPr="003C4D13" w:rsidRDefault="00D231C7" w:rsidP="003C4D13">
      <w:pPr>
        <w:spacing w:before="120"/>
        <w:rPr>
          <w:rFonts w:ascii="Time New Roman" w:eastAsia="黑体" w:hAnsi="Time New Roman" w:hint="eastAsia"/>
          <w:sz w:val="24"/>
        </w:rPr>
      </w:pPr>
      <w:bookmarkStart w:id="0" w:name="_Hlk170998471"/>
      <w:r w:rsidRPr="003C4D13">
        <w:rPr>
          <w:rFonts w:ascii="Time New Roman" w:eastAsia="黑体" w:hAnsi="Time New Roman" w:hint="eastAsia"/>
          <w:sz w:val="24"/>
        </w:rPr>
        <w:t>禁止酷刑委员会</w:t>
      </w:r>
    </w:p>
    <w:p w14:paraId="25890759" w14:textId="77777777" w:rsidR="00D231C7" w:rsidRPr="00CC4C24" w:rsidRDefault="00D231C7" w:rsidP="003C4D13">
      <w:pPr>
        <w:pStyle w:val="HChGC"/>
      </w:pPr>
      <w:r w:rsidRPr="00CC4C24">
        <w:tab/>
      </w:r>
      <w:r w:rsidRPr="00CC4C24">
        <w:tab/>
      </w:r>
      <w:r w:rsidRPr="00CC4C24">
        <w:t>关于</w:t>
      </w:r>
      <w:r w:rsidRPr="00CC4C24">
        <w:rPr>
          <w:rFonts w:hint="eastAsia"/>
        </w:rPr>
        <w:t>奥地利</w:t>
      </w:r>
      <w:r w:rsidRPr="00CC4C24">
        <w:t>第</w:t>
      </w:r>
      <w:r w:rsidRPr="00CC4C24">
        <w:rPr>
          <w:rFonts w:hint="eastAsia"/>
        </w:rPr>
        <w:t>七</w:t>
      </w:r>
      <w:r w:rsidRPr="00CC4C24">
        <w:t>次定期报告的结论性意见</w:t>
      </w:r>
      <w:r w:rsidRPr="003C4D13">
        <w:rPr>
          <w:snapToGrid w:val="0"/>
        </w:rPr>
        <w:footnoteReference w:customMarkFollows="1" w:id="2"/>
        <w:t>*</w:t>
      </w:r>
    </w:p>
    <w:p w14:paraId="14EBA97E" w14:textId="77777777" w:rsidR="00D231C7" w:rsidRPr="00CC4C24" w:rsidRDefault="00D231C7" w:rsidP="00D231C7">
      <w:pPr>
        <w:pStyle w:val="SingleTxtGC"/>
      </w:pPr>
      <w:r w:rsidRPr="00CC4C24">
        <w:t>1.</w:t>
      </w:r>
      <w:r w:rsidRPr="00CC4C24">
        <w:tab/>
      </w:r>
      <w:r w:rsidRPr="00CC4C24">
        <w:rPr>
          <w:rFonts w:hint="eastAsia"/>
        </w:rPr>
        <w:t>禁止酷刑委员会在</w:t>
      </w:r>
      <w:r w:rsidRPr="00CC4C24">
        <w:t>2024</w:t>
      </w:r>
      <w:r w:rsidRPr="00CC4C24">
        <w:rPr>
          <w:rFonts w:hint="eastAsia"/>
        </w:rPr>
        <w:t>年</w:t>
      </w:r>
      <w:r w:rsidRPr="00CC4C24">
        <w:t>4</w:t>
      </w:r>
      <w:r w:rsidRPr="00CC4C24">
        <w:rPr>
          <w:rFonts w:hint="eastAsia"/>
        </w:rPr>
        <w:t>月</w:t>
      </w:r>
      <w:r w:rsidRPr="00CC4C24">
        <w:t>16</w:t>
      </w:r>
      <w:r w:rsidRPr="00CC4C24">
        <w:rPr>
          <w:rFonts w:hint="eastAsia"/>
        </w:rPr>
        <w:t>日和</w:t>
      </w:r>
      <w:r w:rsidRPr="00CC4C24">
        <w:t>17</w:t>
      </w:r>
      <w:r w:rsidRPr="00CC4C24">
        <w:rPr>
          <w:rFonts w:hint="eastAsia"/>
        </w:rPr>
        <w:t>日举行的第</w:t>
      </w:r>
      <w:r w:rsidRPr="00CC4C24">
        <w:t>2074</w:t>
      </w:r>
      <w:r w:rsidRPr="00CC4C24">
        <w:rPr>
          <w:rFonts w:hint="eastAsia"/>
        </w:rPr>
        <w:t>和第</w:t>
      </w:r>
      <w:r w:rsidRPr="00CC4C24">
        <w:t>2077</w:t>
      </w:r>
      <w:r w:rsidRPr="00CC4C24">
        <w:rPr>
          <w:rFonts w:hint="eastAsia"/>
        </w:rPr>
        <w:t>次会议</w:t>
      </w:r>
      <w:r w:rsidRPr="00CC4C24">
        <w:rPr>
          <w:rStyle w:val="a8"/>
          <w:rFonts w:eastAsia="宋体"/>
        </w:rPr>
        <w:footnoteReference w:id="3"/>
      </w:r>
      <w:r w:rsidRPr="00344FA0">
        <w:rPr>
          <w:rStyle w:val="SingleTxtGCChar"/>
        </w:rPr>
        <w:t xml:space="preserve"> </w:t>
      </w:r>
      <w:r w:rsidRPr="00CC4C24">
        <w:rPr>
          <w:rFonts w:hint="eastAsia"/>
        </w:rPr>
        <w:t>上审议了奥地利的第七次定期报告，</w:t>
      </w:r>
      <w:r w:rsidRPr="00CC4C24">
        <w:rPr>
          <w:rStyle w:val="a8"/>
          <w:rFonts w:eastAsia="宋体"/>
        </w:rPr>
        <w:footnoteReference w:id="4"/>
      </w:r>
      <w:r w:rsidRPr="00344FA0">
        <w:rPr>
          <w:rStyle w:val="SingleTxtGCChar"/>
        </w:rPr>
        <w:t xml:space="preserve"> </w:t>
      </w:r>
      <w:r w:rsidRPr="00CC4C24">
        <w:rPr>
          <w:rFonts w:hint="eastAsia"/>
        </w:rPr>
        <w:t>并在</w:t>
      </w:r>
      <w:r w:rsidRPr="00CC4C24">
        <w:t>2024</w:t>
      </w:r>
      <w:r w:rsidRPr="00CC4C24">
        <w:rPr>
          <w:rFonts w:hint="eastAsia"/>
        </w:rPr>
        <w:t>年</w:t>
      </w:r>
      <w:r w:rsidRPr="00CC4C24">
        <w:t>5</w:t>
      </w:r>
      <w:r w:rsidRPr="00CC4C24">
        <w:rPr>
          <w:rFonts w:hint="eastAsia"/>
        </w:rPr>
        <w:t>月</w:t>
      </w:r>
      <w:r w:rsidRPr="00CC4C24">
        <w:t>1</w:t>
      </w:r>
      <w:r w:rsidRPr="00CC4C24">
        <w:rPr>
          <w:rFonts w:hint="eastAsia"/>
        </w:rPr>
        <w:t>日举行的第</w:t>
      </w:r>
      <w:r w:rsidRPr="00CC4C24">
        <w:t>2096</w:t>
      </w:r>
      <w:r w:rsidRPr="00CC4C24">
        <w:rPr>
          <w:rFonts w:hint="eastAsia"/>
        </w:rPr>
        <w:t>次会议上通过了本结论性意见。</w:t>
      </w:r>
    </w:p>
    <w:p w14:paraId="2FD1F72E" w14:textId="77777777" w:rsidR="00D231C7" w:rsidRPr="00CC4C24" w:rsidRDefault="00D231C7" w:rsidP="00AA238A">
      <w:pPr>
        <w:pStyle w:val="H1GC"/>
      </w:pPr>
      <w:r w:rsidRPr="00CC4C24">
        <w:tab/>
        <w:t>A.</w:t>
      </w:r>
      <w:r w:rsidRPr="00CC4C24">
        <w:tab/>
      </w:r>
      <w:r w:rsidRPr="00CC4C24">
        <w:rPr>
          <w:rFonts w:cs="LANTINGHEI SC DEMIBOLD"/>
        </w:rPr>
        <w:t>导言</w:t>
      </w:r>
    </w:p>
    <w:p w14:paraId="2504603A" w14:textId="77777777" w:rsidR="00D231C7" w:rsidRPr="00CC4C24" w:rsidRDefault="00D231C7" w:rsidP="00D231C7">
      <w:pPr>
        <w:pStyle w:val="SingleTxtGC"/>
      </w:pPr>
      <w:r w:rsidRPr="00CC4C24">
        <w:t>2.</w:t>
      </w:r>
      <w:r w:rsidRPr="00CC4C24">
        <w:tab/>
      </w:r>
      <w:r w:rsidRPr="00CC4C24">
        <w:rPr>
          <w:rFonts w:hint="eastAsia"/>
        </w:rPr>
        <w:t>委员会对缔约国接受简化报告程序并根据该程序提交定期报告表示赞赏，这样做改善了缔约国与委员会之间的合作，并将审查报告和与代表团开展对话作为重点。</w:t>
      </w:r>
    </w:p>
    <w:p w14:paraId="33EC539C" w14:textId="77777777" w:rsidR="00D231C7" w:rsidRPr="00CC4C24" w:rsidRDefault="00D231C7" w:rsidP="00D231C7">
      <w:pPr>
        <w:pStyle w:val="SingleTxtGC"/>
      </w:pPr>
      <w:r w:rsidRPr="00CC4C24">
        <w:t>3.</w:t>
      </w:r>
      <w:r w:rsidRPr="00CC4C24">
        <w:tab/>
      </w:r>
      <w:r w:rsidRPr="00CC4C24">
        <w:rPr>
          <w:rFonts w:hint="eastAsia"/>
        </w:rPr>
        <w:t>委员会赞赏有机会与缔约国代表团进行建设性对话，并感谢代表团就审议定期报告期间提出的问题与关注作出回复。</w:t>
      </w:r>
    </w:p>
    <w:p w14:paraId="0C50468A" w14:textId="77777777" w:rsidR="00D231C7" w:rsidRPr="00CC4C24" w:rsidRDefault="00D231C7" w:rsidP="00AA238A">
      <w:pPr>
        <w:pStyle w:val="H1GC"/>
      </w:pPr>
      <w:r w:rsidRPr="00CC4C24">
        <w:tab/>
        <w:t>B.</w:t>
      </w:r>
      <w:r w:rsidRPr="00CC4C24">
        <w:tab/>
      </w:r>
      <w:r w:rsidRPr="00CC4C24">
        <w:rPr>
          <w:rFonts w:cs="LANTINGHEI SC DEMIBOLD"/>
        </w:rPr>
        <w:t>积极方面</w:t>
      </w:r>
    </w:p>
    <w:p w14:paraId="7EAEDED1" w14:textId="77777777" w:rsidR="00D231C7" w:rsidRPr="00CC4C24" w:rsidRDefault="00D231C7" w:rsidP="00D231C7">
      <w:pPr>
        <w:pStyle w:val="SingleTxtGC"/>
      </w:pPr>
      <w:r w:rsidRPr="00CC4C24">
        <w:t>4.</w:t>
      </w:r>
      <w:r w:rsidRPr="00CC4C24">
        <w:tab/>
      </w:r>
      <w:bookmarkStart w:id="1" w:name="_Hlk120625680"/>
      <w:r w:rsidRPr="00CC4C24">
        <w:rPr>
          <w:rFonts w:hint="eastAsia"/>
        </w:rPr>
        <w:t>委员会欢迎缔约国于</w:t>
      </w:r>
      <w:r w:rsidRPr="00CC4C24">
        <w:t>2019</w:t>
      </w:r>
      <w:r w:rsidRPr="00CC4C24">
        <w:rPr>
          <w:rFonts w:hint="eastAsia"/>
        </w:rPr>
        <w:t>年</w:t>
      </w:r>
      <w:r w:rsidRPr="00CC4C24">
        <w:t>9</w:t>
      </w:r>
      <w:r w:rsidRPr="00CC4C24">
        <w:rPr>
          <w:rFonts w:hint="eastAsia"/>
        </w:rPr>
        <w:t>月</w:t>
      </w:r>
      <w:r w:rsidRPr="00CC4C24">
        <w:t>12</w:t>
      </w:r>
      <w:r w:rsidRPr="00CC4C24">
        <w:rPr>
          <w:rFonts w:hint="eastAsia"/>
        </w:rPr>
        <w:t>日批准国际劳工组织《〈</w:t>
      </w:r>
      <w:r w:rsidRPr="00CC4C24">
        <w:t>1930</w:t>
      </w:r>
      <w:r w:rsidRPr="00CC4C24">
        <w:rPr>
          <w:rFonts w:hint="eastAsia"/>
        </w:rPr>
        <w:t>年强迫劳动公约〉</w:t>
      </w:r>
      <w:r w:rsidRPr="00CC4C24">
        <w:t>(</w:t>
      </w:r>
      <w:r w:rsidRPr="00CC4C24">
        <w:rPr>
          <w:rFonts w:hint="eastAsia"/>
        </w:rPr>
        <w:t>第</w:t>
      </w:r>
      <w:r w:rsidRPr="00CC4C24">
        <w:t>29</w:t>
      </w:r>
      <w:r w:rsidRPr="00CC4C24">
        <w:rPr>
          <w:rFonts w:hint="eastAsia"/>
        </w:rPr>
        <w:t>号</w:t>
      </w:r>
      <w:r w:rsidRPr="00CC4C24">
        <w:t>)2014</w:t>
      </w:r>
      <w:r w:rsidRPr="00CC4C24">
        <w:rPr>
          <w:rFonts w:hint="eastAsia"/>
        </w:rPr>
        <w:t>年议定书》。</w:t>
      </w:r>
    </w:p>
    <w:p w14:paraId="15A6EB18" w14:textId="77777777" w:rsidR="00D231C7" w:rsidRPr="00CC4C24" w:rsidRDefault="00D231C7" w:rsidP="00D231C7">
      <w:pPr>
        <w:pStyle w:val="SingleTxtGC"/>
      </w:pPr>
      <w:r w:rsidRPr="00CC4C24">
        <w:t>5.</w:t>
      </w:r>
      <w:r w:rsidRPr="00CC4C24">
        <w:tab/>
      </w:r>
      <w:r w:rsidRPr="00CC4C24">
        <w:rPr>
          <w:rFonts w:hint="eastAsia"/>
        </w:rPr>
        <w:t>委员会还欢迎缔约国采取举措修订和出台《公约》相关领域的法律，包括通过了：</w:t>
      </w:r>
    </w:p>
    <w:p w14:paraId="3F95B23D" w14:textId="77777777" w:rsidR="00D231C7" w:rsidRPr="00CC4C24" w:rsidRDefault="00D231C7" w:rsidP="00D231C7">
      <w:pPr>
        <w:pStyle w:val="SingleTxtGC"/>
      </w:pPr>
      <w:r w:rsidRPr="00CC4C24">
        <w:tab/>
        <w:t>(a)</w:t>
      </w:r>
      <w:r w:rsidRPr="00CC4C24">
        <w:tab/>
        <w:t>2020</w:t>
      </w:r>
      <w:r w:rsidRPr="00CC4C24">
        <w:rPr>
          <w:rFonts w:hint="eastAsia"/>
        </w:rPr>
        <w:t>年《刑法与欧洲联盟法律一致法》，该法扩大了向被警方拘留的贫困者提供的随叫随到法律服务；</w:t>
      </w:r>
    </w:p>
    <w:p w14:paraId="6CE3A2AD" w14:textId="77777777" w:rsidR="00D231C7" w:rsidRPr="00CC4C24" w:rsidRDefault="00D231C7" w:rsidP="00D231C7">
      <w:pPr>
        <w:pStyle w:val="SingleTxtGC"/>
      </w:pPr>
      <w:r w:rsidRPr="00CC4C24">
        <w:tab/>
        <w:t>(b)</w:t>
      </w:r>
      <w:r w:rsidRPr="00CC4C24">
        <w:tab/>
        <w:t>2019</w:t>
      </w:r>
      <w:r w:rsidRPr="00CC4C24">
        <w:rPr>
          <w:rFonts w:hint="eastAsia"/>
        </w:rPr>
        <w:t>年《防止暴力法》；</w:t>
      </w:r>
    </w:p>
    <w:p w14:paraId="73E4C2DA" w14:textId="77777777" w:rsidR="00D231C7" w:rsidRPr="00CC4C24" w:rsidRDefault="00D231C7" w:rsidP="00D231C7">
      <w:pPr>
        <w:pStyle w:val="SingleTxtGC"/>
      </w:pPr>
      <w:r w:rsidRPr="00CC4C24">
        <w:tab/>
        <w:t>(c)</w:t>
      </w:r>
      <w:r w:rsidRPr="00CC4C24">
        <w:tab/>
        <w:t>2017</w:t>
      </w:r>
      <w:r w:rsidRPr="00CC4C24">
        <w:rPr>
          <w:rFonts w:hint="eastAsia"/>
        </w:rPr>
        <w:t>年《基本培训条例》，该条例旨在确保执法人员的各级培训均以人权为基础；</w:t>
      </w:r>
    </w:p>
    <w:p w14:paraId="2A1416B7" w14:textId="77777777" w:rsidR="00D231C7" w:rsidRPr="00CC4C24" w:rsidRDefault="00D231C7" w:rsidP="00D231C7">
      <w:pPr>
        <w:pStyle w:val="SingleTxtGC"/>
      </w:pPr>
      <w:r w:rsidRPr="00CC4C24">
        <w:lastRenderedPageBreak/>
        <w:tab/>
        <w:t>(d)</w:t>
      </w:r>
      <w:r w:rsidRPr="00CC4C24">
        <w:tab/>
        <w:t>2016</w:t>
      </w:r>
      <w:r w:rsidRPr="00CC4C24">
        <w:rPr>
          <w:rFonts w:hint="eastAsia"/>
        </w:rPr>
        <w:t>年《刑事诉讼法》修正案，该修正案旨在加强刑事诉讼中高度弱势受害者的权利。</w:t>
      </w:r>
    </w:p>
    <w:p w14:paraId="5FB82526" w14:textId="77777777" w:rsidR="00D231C7" w:rsidRPr="00CC4C24" w:rsidRDefault="00D231C7" w:rsidP="00D231C7">
      <w:pPr>
        <w:pStyle w:val="SingleTxtGC"/>
      </w:pPr>
      <w:r w:rsidRPr="00CC4C24">
        <w:t>6.</w:t>
      </w:r>
      <w:r w:rsidRPr="00CC4C24">
        <w:tab/>
      </w:r>
      <w:bookmarkEnd w:id="1"/>
      <w:r w:rsidRPr="00CC4C24">
        <w:rPr>
          <w:lang w:val="zh-CN"/>
        </w:rPr>
        <w:t>委员会还欢迎缔约国采取举措修订《公约》相关领域的政策和程序，确保更好地保护人权，特别是：</w:t>
      </w:r>
    </w:p>
    <w:p w14:paraId="36760543" w14:textId="77777777" w:rsidR="00D231C7" w:rsidRPr="00CC4C24" w:rsidRDefault="00D231C7" w:rsidP="00D231C7">
      <w:pPr>
        <w:pStyle w:val="SingleTxtGC"/>
      </w:pPr>
      <w:r w:rsidRPr="00CC4C24">
        <w:rPr>
          <w:lang w:val="zh-CN"/>
        </w:rPr>
        <w:tab/>
        <w:t>(a)</w:t>
      </w:r>
      <w:r w:rsidRPr="00CC4C24">
        <w:rPr>
          <w:lang w:val="zh-CN"/>
        </w:rPr>
        <w:tab/>
        <w:t>2022</w:t>
      </w:r>
      <w:r w:rsidRPr="00CC4C24">
        <w:rPr>
          <w:lang w:val="zh-CN"/>
        </w:rPr>
        <w:t>年通过的《</w:t>
      </w:r>
      <w:r w:rsidRPr="00CC4C24">
        <w:rPr>
          <w:lang w:val="zh-CN"/>
        </w:rPr>
        <w:t>2022-2030</w:t>
      </w:r>
      <w:r w:rsidRPr="00CC4C24">
        <w:rPr>
          <w:lang w:val="zh-CN"/>
        </w:rPr>
        <w:t>年国家残疾人行动计划》；</w:t>
      </w:r>
    </w:p>
    <w:p w14:paraId="68B4A8BD" w14:textId="77777777" w:rsidR="00D231C7" w:rsidRPr="00CC4C24" w:rsidRDefault="00D231C7" w:rsidP="00D231C7">
      <w:pPr>
        <w:pStyle w:val="SingleTxtGC"/>
      </w:pPr>
      <w:r w:rsidRPr="00CC4C24">
        <w:rPr>
          <w:lang w:val="zh-CN"/>
        </w:rPr>
        <w:tab/>
        <w:t>(b)</w:t>
      </w:r>
      <w:r w:rsidRPr="00CC4C24">
        <w:rPr>
          <w:lang w:val="zh-CN"/>
        </w:rPr>
        <w:tab/>
        <w:t>2021</w:t>
      </w:r>
      <w:r w:rsidRPr="00CC4C24">
        <w:rPr>
          <w:lang w:val="zh-CN"/>
        </w:rPr>
        <w:t>年通过的《</w:t>
      </w:r>
      <w:r w:rsidRPr="00CC4C24">
        <w:rPr>
          <w:lang w:val="zh-CN"/>
        </w:rPr>
        <w:t>2021-2023</w:t>
      </w:r>
      <w:r w:rsidRPr="00CC4C24">
        <w:rPr>
          <w:lang w:val="zh-CN"/>
        </w:rPr>
        <w:t>年国家打击人口贩运行动计划》；</w:t>
      </w:r>
    </w:p>
    <w:p w14:paraId="75BA4CD9" w14:textId="77777777" w:rsidR="00D231C7" w:rsidRPr="00CC4C24" w:rsidRDefault="00D231C7" w:rsidP="00D231C7">
      <w:pPr>
        <w:pStyle w:val="SingleTxtGC"/>
      </w:pPr>
      <w:r w:rsidRPr="00CC4C24">
        <w:rPr>
          <w:lang w:val="zh-CN"/>
        </w:rPr>
        <w:tab/>
        <w:t>(c)</w:t>
      </w:r>
      <w:r w:rsidRPr="00CC4C24">
        <w:rPr>
          <w:lang w:val="zh-CN"/>
        </w:rPr>
        <w:tab/>
        <w:t>2017</w:t>
      </w:r>
      <w:r w:rsidRPr="00CC4C24">
        <w:rPr>
          <w:lang w:val="zh-CN"/>
        </w:rPr>
        <w:t>年建立的防止极端主义和去激进化国家网络，以及</w:t>
      </w:r>
      <w:r w:rsidRPr="00CC4C24">
        <w:rPr>
          <w:lang w:val="zh-CN"/>
        </w:rPr>
        <w:t>2020</w:t>
      </w:r>
      <w:r w:rsidRPr="00CC4C24">
        <w:rPr>
          <w:lang w:val="zh-CN"/>
        </w:rPr>
        <w:t>年通过的《奥地利防止极端主义和去激进化战略》；</w:t>
      </w:r>
    </w:p>
    <w:p w14:paraId="07231A25" w14:textId="77777777" w:rsidR="00D231C7" w:rsidRPr="00CC4C24" w:rsidRDefault="00D231C7" w:rsidP="00D231C7">
      <w:pPr>
        <w:pStyle w:val="SingleTxtGC"/>
      </w:pPr>
      <w:r w:rsidRPr="00CC4C24">
        <w:rPr>
          <w:lang w:val="zh-CN"/>
        </w:rPr>
        <w:tab/>
        <w:t>(d)</w:t>
      </w:r>
      <w:r w:rsidRPr="00CC4C24">
        <w:rPr>
          <w:lang w:val="zh-CN"/>
        </w:rPr>
        <w:tab/>
        <w:t>2016</w:t>
      </w:r>
      <w:r w:rsidRPr="00CC4C24">
        <w:rPr>
          <w:lang w:val="zh-CN"/>
        </w:rPr>
        <w:t>年建立的识别儿童贩运潜在受害者并</w:t>
      </w:r>
      <w:r w:rsidRPr="00CC4C24">
        <w:rPr>
          <w:rFonts w:hint="eastAsia"/>
          <w:lang w:val="zh-CN"/>
        </w:rPr>
        <w:t>开展相关工作</w:t>
      </w:r>
      <w:r w:rsidRPr="00CC4C24">
        <w:rPr>
          <w:lang w:val="zh-CN"/>
        </w:rPr>
        <w:t>的国家转介机制。</w:t>
      </w:r>
    </w:p>
    <w:p w14:paraId="68AEB3EA" w14:textId="77777777" w:rsidR="00D231C7" w:rsidRPr="00CC4C24" w:rsidRDefault="00D231C7" w:rsidP="00AA238A">
      <w:pPr>
        <w:pStyle w:val="H1GC"/>
      </w:pPr>
      <w:r w:rsidRPr="00CC4C24">
        <w:tab/>
        <w:t>C.</w:t>
      </w:r>
      <w:r w:rsidRPr="00CC4C24">
        <w:tab/>
      </w:r>
      <w:r w:rsidRPr="00CC4C24">
        <w:t>关注的主要问题及建议</w:t>
      </w:r>
    </w:p>
    <w:p w14:paraId="1138F3E0" w14:textId="77777777" w:rsidR="00D231C7" w:rsidRPr="00CC4C24" w:rsidRDefault="00D231C7" w:rsidP="00AA238A">
      <w:pPr>
        <w:pStyle w:val="H23GC"/>
      </w:pPr>
      <w:r w:rsidRPr="00CC4C24">
        <w:tab/>
      </w:r>
      <w:r w:rsidRPr="00CC4C24">
        <w:tab/>
      </w:r>
      <w:r w:rsidRPr="00CC4C24">
        <w:t>上一报告周期遗留的后续行动问题</w:t>
      </w:r>
    </w:p>
    <w:p w14:paraId="50F08003" w14:textId="77777777" w:rsidR="00D231C7" w:rsidRPr="00CC4C24" w:rsidRDefault="00D231C7" w:rsidP="00D231C7">
      <w:pPr>
        <w:pStyle w:val="SingleTxtGC"/>
      </w:pPr>
      <w:r w:rsidRPr="00CC4C24">
        <w:t>7.</w:t>
      </w:r>
      <w:r w:rsidRPr="00CC4C24">
        <w:tab/>
      </w:r>
      <w:r w:rsidRPr="00CC4C24">
        <w:rPr>
          <w:lang w:val="zh-CN"/>
        </w:rPr>
        <w:t>委员会在先前的结论性意见中请缔约国提供资料，说明委员会以下建议的落实情况：警方审讯时有律师在场；建立独立机制，对执法人员实施酷刑和虐待的指控进行调查；驱逐出境前的拘留；在监狱中使用</w:t>
      </w:r>
      <w:r w:rsidRPr="00CC4C24">
        <w:rPr>
          <w:rFonts w:hint="eastAsia"/>
          <w:lang w:val="zh-CN"/>
        </w:rPr>
        <w:t>放</w:t>
      </w:r>
      <w:r w:rsidRPr="00CC4C24">
        <w:rPr>
          <w:lang w:val="zh-CN"/>
        </w:rPr>
        <w:t>电武器；对所有酷刑或虐待行为的指控进行</w:t>
      </w:r>
      <w:r w:rsidRPr="00CC4C24">
        <w:rPr>
          <w:rFonts w:hint="eastAsia"/>
          <w:lang w:val="zh-CN"/>
        </w:rPr>
        <w:t>迅速</w:t>
      </w:r>
      <w:r w:rsidRPr="00CC4C24">
        <w:rPr>
          <w:lang w:val="zh-CN"/>
        </w:rPr>
        <w:t>、彻底和公正的调查。</w:t>
      </w:r>
      <w:r w:rsidRPr="00CC4C24">
        <w:rPr>
          <w:rStyle w:val="a8"/>
          <w:rFonts w:eastAsia="宋体"/>
        </w:rPr>
        <w:footnoteReference w:id="5"/>
      </w:r>
      <w:r w:rsidRPr="00344FA0">
        <w:rPr>
          <w:rStyle w:val="SingleTxtGCChar"/>
        </w:rPr>
        <w:t xml:space="preserve"> </w:t>
      </w:r>
      <w:r w:rsidRPr="00CC4C24">
        <w:rPr>
          <w:lang w:val="zh-CN"/>
        </w:rPr>
        <w:t>根据缔约国</w:t>
      </w:r>
      <w:r w:rsidRPr="00CC4C24">
        <w:t>2016</w:t>
      </w:r>
      <w:r w:rsidRPr="00CC4C24">
        <w:rPr>
          <w:lang w:val="zh-CN"/>
        </w:rPr>
        <w:t>年</w:t>
      </w:r>
      <w:r w:rsidRPr="00CC4C24">
        <w:t>12</w:t>
      </w:r>
      <w:r w:rsidRPr="00CC4C24">
        <w:rPr>
          <w:lang w:val="zh-CN"/>
        </w:rPr>
        <w:t>月</w:t>
      </w:r>
      <w:r w:rsidRPr="00CC4C24">
        <w:t>9</w:t>
      </w:r>
      <w:r w:rsidRPr="00CC4C24">
        <w:rPr>
          <w:lang w:val="zh-CN"/>
        </w:rPr>
        <w:t>日提供的关于这些结论性意见后续行动的资料、</w:t>
      </w:r>
      <w:r w:rsidRPr="00CC4C24">
        <w:rPr>
          <w:rStyle w:val="a8"/>
          <w:rFonts w:eastAsia="宋体"/>
        </w:rPr>
        <w:footnoteReference w:id="6"/>
      </w:r>
      <w:r w:rsidRPr="00344FA0">
        <w:rPr>
          <w:rStyle w:val="SingleTxtGCChar"/>
        </w:rPr>
        <w:t xml:space="preserve"> </w:t>
      </w:r>
      <w:r w:rsidRPr="00CC4C24">
        <w:rPr>
          <w:lang w:val="zh-CN"/>
        </w:rPr>
        <w:t>缔约国第七次定期报告所载资料和代表团在对话期间提供的补充资料，委员会认为，第</w:t>
      </w:r>
      <w:r w:rsidRPr="00CC4C24">
        <w:rPr>
          <w:lang w:val="zh-CN"/>
        </w:rPr>
        <w:t>9(a)</w:t>
      </w:r>
      <w:r w:rsidRPr="00CC4C24">
        <w:rPr>
          <w:lang w:val="zh-CN"/>
        </w:rPr>
        <w:t>段提出的建议已得到落实，第</w:t>
      </w:r>
      <w:r w:rsidRPr="00CC4C24">
        <w:rPr>
          <w:lang w:val="zh-CN"/>
        </w:rPr>
        <w:t>37</w:t>
      </w:r>
      <w:r w:rsidRPr="00CC4C24">
        <w:rPr>
          <w:lang w:val="zh-CN"/>
        </w:rPr>
        <w:t>段所载建议已得到部分落实，第</w:t>
      </w:r>
      <w:r w:rsidRPr="00CC4C24">
        <w:rPr>
          <w:lang w:val="zh-CN"/>
        </w:rPr>
        <w:t>9(b)</w:t>
      </w:r>
      <w:r w:rsidRPr="00CC4C24">
        <w:rPr>
          <w:lang w:val="zh-CN"/>
        </w:rPr>
        <w:t>、第</w:t>
      </w:r>
      <w:r w:rsidRPr="00CC4C24">
        <w:rPr>
          <w:lang w:val="zh-CN"/>
        </w:rPr>
        <w:t>23</w:t>
      </w:r>
      <w:r w:rsidRPr="00CC4C24">
        <w:rPr>
          <w:lang w:val="zh-CN"/>
        </w:rPr>
        <w:t>和第</w:t>
      </w:r>
      <w:r w:rsidRPr="00CC4C24">
        <w:rPr>
          <w:lang w:val="zh-CN"/>
        </w:rPr>
        <w:t>31</w:t>
      </w:r>
      <w:r w:rsidRPr="00CC4C24">
        <w:rPr>
          <w:lang w:val="zh-CN"/>
        </w:rPr>
        <w:t>段所载建议尚未落实。本结论性意见第</w:t>
      </w:r>
      <w:r w:rsidRPr="00CC4C24">
        <w:rPr>
          <w:lang w:val="zh-CN"/>
        </w:rPr>
        <w:t>15</w:t>
      </w:r>
      <w:r w:rsidRPr="00CC4C24">
        <w:rPr>
          <w:lang w:val="zh-CN"/>
        </w:rPr>
        <w:t>、第</w:t>
      </w:r>
      <w:r w:rsidRPr="00CC4C24">
        <w:rPr>
          <w:lang w:val="zh-CN"/>
        </w:rPr>
        <w:t>31</w:t>
      </w:r>
      <w:r w:rsidRPr="00CC4C24">
        <w:rPr>
          <w:lang w:val="zh-CN"/>
        </w:rPr>
        <w:t>、第</w:t>
      </w:r>
      <w:r w:rsidRPr="00CC4C24">
        <w:rPr>
          <w:lang w:val="zh-CN"/>
        </w:rPr>
        <w:t>35</w:t>
      </w:r>
      <w:r w:rsidRPr="00CC4C24">
        <w:rPr>
          <w:lang w:val="zh-CN"/>
        </w:rPr>
        <w:t>和第</w:t>
      </w:r>
      <w:r w:rsidRPr="00CC4C24">
        <w:rPr>
          <w:lang w:val="zh-CN"/>
        </w:rPr>
        <w:t>41</w:t>
      </w:r>
      <w:r w:rsidRPr="00CC4C24">
        <w:rPr>
          <w:lang w:val="zh-CN"/>
        </w:rPr>
        <w:t>段述及这些问题。</w:t>
      </w:r>
    </w:p>
    <w:p w14:paraId="356BD04D" w14:textId="77777777" w:rsidR="00D231C7" w:rsidRPr="00CC4C24" w:rsidRDefault="00D231C7" w:rsidP="00AA238A">
      <w:pPr>
        <w:pStyle w:val="H23GC"/>
      </w:pPr>
      <w:r w:rsidRPr="00CC4C24">
        <w:tab/>
      </w:r>
      <w:r w:rsidRPr="00CC4C24">
        <w:tab/>
      </w:r>
      <w:r w:rsidRPr="00CC4C24">
        <w:rPr>
          <w:rFonts w:hint="eastAsia"/>
        </w:rPr>
        <w:t>《公约》的法律地位</w:t>
      </w:r>
    </w:p>
    <w:p w14:paraId="0422F251" w14:textId="77777777" w:rsidR="00D231C7" w:rsidRPr="00CC4C24" w:rsidRDefault="00D231C7" w:rsidP="00D231C7">
      <w:pPr>
        <w:pStyle w:val="SingleTxtGC"/>
      </w:pPr>
      <w:r w:rsidRPr="00CC4C24">
        <w:t>8.</w:t>
      </w:r>
      <w:r w:rsidRPr="00CC4C24">
        <w:tab/>
      </w:r>
      <w:r w:rsidRPr="00CC4C24">
        <w:rPr>
          <w:rFonts w:hint="eastAsia"/>
        </w:rPr>
        <w:t>委员会注意到缔约国的联邦结构以及为加强协调《公约》执行工作所作的努力，特别是在州和市两级所作的努力，但感到关切的是，在各州专属责任的领域，《公约》的适用并不一致。委员会指出，联邦政府主要负责确保《公约》的执行以及在这方面领导各州政府。虽然委员会注意到代表团在对话期间提供资料称，《保护人权与基本自由公约》</w:t>
      </w:r>
      <w:r w:rsidRPr="00CC4C24">
        <w:t>(</w:t>
      </w:r>
      <w:r w:rsidRPr="00CC4C24">
        <w:rPr>
          <w:rFonts w:hint="eastAsia"/>
        </w:rPr>
        <w:t>《欧洲人权公约》</w:t>
      </w:r>
      <w:r w:rsidRPr="00CC4C24">
        <w:t>)</w:t>
      </w:r>
      <w:r w:rsidRPr="00CC4C24">
        <w:rPr>
          <w:rFonts w:hint="eastAsia"/>
        </w:rPr>
        <w:t>、《欧洲联盟基本权利宪章》、《消除一切形式种族歧视国际公约》的若干条款和《儿童权利公约》的基本内容已作为在缔约国可直接适用的宪法性法律得到执行，所有其他人权条约通过立法得到执行，但委员会感到关切的是，《公约》尚未完全纳入国内法律秩序。委员会感到遗憾的是，没有资料说明如何解决国内法与《公约》之间的潜在冲突</w:t>
      </w:r>
      <w:r w:rsidRPr="00CC4C24">
        <w:t>(</w:t>
      </w:r>
      <w:r w:rsidRPr="00CC4C24">
        <w:rPr>
          <w:rFonts w:hint="eastAsia"/>
        </w:rPr>
        <w:t>第</w:t>
      </w:r>
      <w:r w:rsidRPr="00CC4C24">
        <w:rPr>
          <w:rFonts w:hint="eastAsia"/>
        </w:rPr>
        <w:t>2</w:t>
      </w:r>
      <w:r w:rsidRPr="00CC4C24">
        <w:rPr>
          <w:rFonts w:hint="eastAsia"/>
        </w:rPr>
        <w:t>条</w:t>
      </w:r>
      <w:r w:rsidRPr="00CC4C24">
        <w:t>)</w:t>
      </w:r>
      <w:r w:rsidRPr="00CC4C24">
        <w:rPr>
          <w:rFonts w:hint="eastAsia"/>
        </w:rPr>
        <w:t>。</w:t>
      </w:r>
    </w:p>
    <w:p w14:paraId="4BB6C6D2" w14:textId="77777777" w:rsidR="00D231C7" w:rsidRPr="00CC4C24" w:rsidRDefault="00D231C7" w:rsidP="00D231C7">
      <w:pPr>
        <w:pStyle w:val="SingleTxtGC"/>
        <w:rPr>
          <w:rFonts w:eastAsia="黑体"/>
        </w:rPr>
      </w:pPr>
      <w:r w:rsidRPr="00CC4C24">
        <w:t>9.</w:t>
      </w:r>
      <w:r w:rsidRPr="00CC4C24">
        <w:tab/>
      </w:r>
      <w:r w:rsidRPr="00CC4C24">
        <w:rPr>
          <w:rFonts w:eastAsia="黑体" w:cs="LANTINGHEI SC DEMIBOLD" w:hint="eastAsia"/>
        </w:rPr>
        <w:t>鉴于联邦政府对确保《公约》执行负有主要责任，缔约国应加强在联邦政府与各州之间进行协调的机构体制，以确保在所有司法管辖区有效和一致地执行《公约》。缔约国应加紧努力将《公约》纳入国内法，确保《公约》保护的所有</w:t>
      </w:r>
      <w:r w:rsidRPr="00CC4C24">
        <w:rPr>
          <w:rFonts w:eastAsia="黑体" w:cs="LANTINGHEI SC DEMIBOLD" w:hint="eastAsia"/>
        </w:rPr>
        <w:lastRenderedPageBreak/>
        <w:t>权利在国内法中得到充分落实。此外，缔约国应确保国内法的解释和适用符合《公约》规定的义务。</w:t>
      </w:r>
    </w:p>
    <w:p w14:paraId="3DF64560" w14:textId="77777777" w:rsidR="00D231C7" w:rsidRPr="00CC4C24" w:rsidRDefault="00D231C7" w:rsidP="00AA238A">
      <w:pPr>
        <w:pStyle w:val="H23GC"/>
      </w:pPr>
      <w:r w:rsidRPr="00CC4C24">
        <w:tab/>
      </w:r>
      <w:r w:rsidRPr="00CC4C24">
        <w:tab/>
      </w:r>
      <w:r w:rsidRPr="00CC4C24">
        <w:t>酷刑定义和刑罪化</w:t>
      </w:r>
    </w:p>
    <w:p w14:paraId="2BD03A9C" w14:textId="77777777" w:rsidR="00D231C7" w:rsidRPr="00CC4C24" w:rsidRDefault="00D231C7" w:rsidP="00D231C7">
      <w:pPr>
        <w:pStyle w:val="SingleTxtGC"/>
      </w:pPr>
      <w:r w:rsidRPr="00CC4C24">
        <w:t>10.</w:t>
      </w:r>
      <w:r w:rsidRPr="00CC4C24">
        <w:tab/>
      </w:r>
      <w:r w:rsidRPr="00CC4C24">
        <w:rPr>
          <w:rFonts w:hint="eastAsia"/>
        </w:rPr>
        <w:t>委员会认为《刑法》第</w:t>
      </w:r>
      <w:r w:rsidRPr="00CC4C24">
        <w:t>312</w:t>
      </w:r>
      <w:r w:rsidRPr="00CC4C24">
        <w:rPr>
          <w:rFonts w:hint="eastAsia"/>
        </w:rPr>
        <w:t>a</w:t>
      </w:r>
      <w:r w:rsidRPr="00CC4C24">
        <w:rPr>
          <w:rFonts w:hint="eastAsia"/>
        </w:rPr>
        <w:t>条所载的酷刑罪定义大致符合《公约》第</w:t>
      </w:r>
      <w:r w:rsidRPr="00CC4C24">
        <w:rPr>
          <w:rFonts w:hint="eastAsia"/>
        </w:rPr>
        <w:t>1</w:t>
      </w:r>
      <w:r w:rsidRPr="00CC4C24">
        <w:rPr>
          <w:rFonts w:hint="eastAsia"/>
        </w:rPr>
        <w:t>条的规定，并注意到缔约国就酷刑罪的处罚与《刑法》所列其他罪行的处罚相比是否适当所作的解释，但仍感关切的是，《刑法》第</w:t>
      </w:r>
      <w:r w:rsidRPr="00CC4C24">
        <w:rPr>
          <w:rFonts w:hint="eastAsia"/>
        </w:rPr>
        <w:t>3</w:t>
      </w:r>
      <w:r w:rsidRPr="00CC4C24">
        <w:t>12</w:t>
      </w:r>
      <w:r w:rsidRPr="00CC4C24">
        <w:rPr>
          <w:rFonts w:hint="eastAsia"/>
        </w:rPr>
        <w:t>a</w:t>
      </w:r>
      <w:r w:rsidRPr="00CC4C24">
        <w:rPr>
          <w:rFonts w:hint="eastAsia"/>
        </w:rPr>
        <w:t>条第</w:t>
      </w:r>
      <w:r w:rsidRPr="00CC4C24">
        <w:t>(1)</w:t>
      </w:r>
      <w:r w:rsidRPr="00CC4C24">
        <w:rPr>
          <w:rFonts w:hint="eastAsia"/>
        </w:rPr>
        <w:t>款规定对基本的酷刑罪处以一至十年监禁，委员会认为，最低一年监禁不是考虑到这一罪行严重性的适当处罚</w:t>
      </w:r>
      <w:r w:rsidRPr="00CC4C24">
        <w:t>(</w:t>
      </w:r>
      <w:r w:rsidRPr="00CC4C24">
        <w:rPr>
          <w:rFonts w:hint="eastAsia"/>
        </w:rPr>
        <w:t>第</w:t>
      </w:r>
      <w:r w:rsidRPr="00CC4C24">
        <w:rPr>
          <w:rFonts w:hint="eastAsia"/>
        </w:rPr>
        <w:t>1</w:t>
      </w:r>
      <w:r w:rsidRPr="00CC4C24">
        <w:rPr>
          <w:rFonts w:hint="eastAsia"/>
        </w:rPr>
        <w:t>、第</w:t>
      </w:r>
      <w:r w:rsidRPr="00CC4C24">
        <w:rPr>
          <w:rFonts w:hint="eastAsia"/>
        </w:rPr>
        <w:t>2</w:t>
      </w:r>
      <w:r w:rsidRPr="00CC4C24">
        <w:rPr>
          <w:rFonts w:hint="eastAsia"/>
        </w:rPr>
        <w:t>和第</w:t>
      </w:r>
      <w:r w:rsidRPr="00CC4C24">
        <w:rPr>
          <w:rFonts w:hint="eastAsia"/>
        </w:rPr>
        <w:t>4</w:t>
      </w:r>
      <w:r w:rsidRPr="00CC4C24">
        <w:rPr>
          <w:rFonts w:hint="eastAsia"/>
        </w:rPr>
        <w:t>条</w:t>
      </w:r>
      <w:r w:rsidRPr="00CC4C24">
        <w:rPr>
          <w:rFonts w:hint="eastAsia"/>
        </w:rPr>
        <w:t>)</w:t>
      </w:r>
      <w:r w:rsidRPr="00CC4C24">
        <w:rPr>
          <w:rFonts w:hint="eastAsia"/>
        </w:rPr>
        <w:t>。</w:t>
      </w:r>
    </w:p>
    <w:p w14:paraId="6E653821" w14:textId="77777777" w:rsidR="00D231C7" w:rsidRPr="00CC4C24" w:rsidRDefault="00D231C7" w:rsidP="00D231C7">
      <w:pPr>
        <w:pStyle w:val="SingleTxtGC"/>
        <w:rPr>
          <w:rFonts w:eastAsia="黑体"/>
        </w:rPr>
      </w:pPr>
      <w:r w:rsidRPr="00CC4C24">
        <w:t>11.</w:t>
      </w:r>
      <w:r w:rsidRPr="00CC4C24">
        <w:tab/>
      </w:r>
      <w:r w:rsidRPr="00CC4C24">
        <w:rPr>
          <w:rFonts w:eastAsia="黑体"/>
        </w:rPr>
        <w:t>委员会鼓励缔约国考虑修订《刑法》第</w:t>
      </w:r>
      <w:r w:rsidRPr="00CC4C24">
        <w:rPr>
          <w:rFonts w:eastAsia="黑体"/>
        </w:rPr>
        <w:t>312a</w:t>
      </w:r>
      <w:r w:rsidRPr="00CC4C24">
        <w:rPr>
          <w:rFonts w:eastAsia="黑体" w:hint="eastAsia"/>
        </w:rPr>
        <w:t>条第</w:t>
      </w:r>
      <w:r w:rsidRPr="00CC4C24">
        <w:rPr>
          <w:rFonts w:eastAsia="黑体"/>
        </w:rPr>
        <w:t>(1)</w:t>
      </w:r>
      <w:r w:rsidRPr="00CC4C24">
        <w:rPr>
          <w:rFonts w:eastAsia="黑体" w:hint="eastAsia"/>
        </w:rPr>
        <w:t>款</w:t>
      </w:r>
      <w:r w:rsidRPr="00CC4C24">
        <w:rPr>
          <w:rFonts w:eastAsia="黑体"/>
        </w:rPr>
        <w:t>，按照《公约》第</w:t>
      </w:r>
      <w:r w:rsidRPr="00CC4C24">
        <w:rPr>
          <w:rFonts w:eastAsia="黑体"/>
        </w:rPr>
        <w:t>4</w:t>
      </w:r>
      <w:r w:rsidRPr="00CC4C24">
        <w:rPr>
          <w:rFonts w:eastAsia="黑体"/>
        </w:rPr>
        <w:t>条第</w:t>
      </w:r>
      <w:r w:rsidRPr="00CC4C24">
        <w:rPr>
          <w:rFonts w:eastAsia="黑体"/>
        </w:rPr>
        <w:t>2</w:t>
      </w:r>
      <w:r w:rsidRPr="00CC4C24">
        <w:rPr>
          <w:rFonts w:eastAsia="黑体"/>
        </w:rPr>
        <w:t>款的规定，确保对所有酷刑行为</w:t>
      </w:r>
      <w:r w:rsidRPr="00CC4C24">
        <w:rPr>
          <w:rFonts w:eastAsia="黑体" w:hint="eastAsia"/>
        </w:rPr>
        <w:t>处以</w:t>
      </w:r>
      <w:r w:rsidRPr="00CC4C24">
        <w:rPr>
          <w:rFonts w:eastAsia="黑体"/>
        </w:rPr>
        <w:t>考虑到其严重性的适当处罚。</w:t>
      </w:r>
    </w:p>
    <w:p w14:paraId="3C273270" w14:textId="77777777" w:rsidR="00D231C7" w:rsidRPr="00CC4C24" w:rsidRDefault="00D231C7" w:rsidP="00AA238A">
      <w:pPr>
        <w:pStyle w:val="H23GC"/>
      </w:pPr>
      <w:r w:rsidRPr="00CC4C24">
        <w:tab/>
      </w:r>
      <w:r w:rsidRPr="00CC4C24">
        <w:tab/>
      </w:r>
      <w:r w:rsidRPr="00CC4C24">
        <w:rPr>
          <w:rFonts w:hint="eastAsia"/>
        </w:rPr>
        <w:t>诉讼时效</w:t>
      </w:r>
    </w:p>
    <w:p w14:paraId="46C6D49E" w14:textId="77777777" w:rsidR="00D231C7" w:rsidRPr="00CC4C24" w:rsidRDefault="00D231C7" w:rsidP="00D231C7">
      <w:pPr>
        <w:pStyle w:val="SingleTxtGC"/>
      </w:pPr>
      <w:r w:rsidRPr="00CC4C24">
        <w:t>12.</w:t>
      </w:r>
      <w:r w:rsidRPr="00CC4C24">
        <w:tab/>
      </w:r>
      <w:r w:rsidRPr="00CC4C24">
        <w:rPr>
          <w:rFonts w:hint="eastAsia"/>
        </w:rPr>
        <w:t>委员会感到关切的是，《刑法》没有规定酷刑罪不受诉讼时效限制。</w:t>
      </w:r>
    </w:p>
    <w:p w14:paraId="54D79ABF" w14:textId="77777777" w:rsidR="00D231C7" w:rsidRPr="00CC4C24" w:rsidRDefault="00D231C7" w:rsidP="00D231C7">
      <w:pPr>
        <w:pStyle w:val="SingleTxtGC"/>
        <w:rPr>
          <w:rFonts w:eastAsia="黑体" w:cs="LANTINGHEI SC DEMIBOLD"/>
        </w:rPr>
      </w:pPr>
      <w:r w:rsidRPr="00CC4C24">
        <w:t>13.</w:t>
      </w:r>
      <w:r w:rsidRPr="00CC4C24">
        <w:tab/>
      </w:r>
      <w:r w:rsidRPr="00CC4C24">
        <w:rPr>
          <w:rFonts w:eastAsia="黑体" w:cs="LANTINGHEI SC DEMIBOLD" w:hint="eastAsia"/>
        </w:rPr>
        <w:t>缔约国应确保酷刑罪不受任何时效限制，以避免在调查酷刑行为以及起诉和惩处施害者方面存在任何有罪不罚的风险。</w:t>
      </w:r>
    </w:p>
    <w:p w14:paraId="6E587A0F" w14:textId="77777777" w:rsidR="00D231C7" w:rsidRPr="00CC4C24" w:rsidRDefault="00D231C7" w:rsidP="00AA238A">
      <w:pPr>
        <w:pStyle w:val="H23GC"/>
      </w:pPr>
      <w:r w:rsidRPr="00CC4C24">
        <w:tab/>
      </w:r>
      <w:r w:rsidRPr="00CC4C24">
        <w:tab/>
      </w:r>
      <w:r w:rsidRPr="00CC4C24">
        <w:t>基本法律保障</w:t>
      </w:r>
    </w:p>
    <w:p w14:paraId="534F8823" w14:textId="77777777" w:rsidR="00D231C7" w:rsidRPr="00CC4C24" w:rsidRDefault="00D231C7" w:rsidP="00D231C7">
      <w:pPr>
        <w:pStyle w:val="SingleTxtGC"/>
      </w:pPr>
      <w:r w:rsidRPr="00CC4C24">
        <w:t>14.</w:t>
      </w:r>
      <w:r w:rsidRPr="00CC4C24">
        <w:tab/>
      </w:r>
      <w:r w:rsidRPr="00CC4C24">
        <w:rPr>
          <w:rFonts w:hint="eastAsia"/>
        </w:rPr>
        <w:t>委员会考虑到国内法规定的程序性保障以及经修订的联邦内政部关于行政和业务事项、刑事调查及随叫随到法律服务的内部指示</w:t>
      </w:r>
      <w:r w:rsidRPr="00CC4C24">
        <w:t>(</w:t>
      </w:r>
      <w:r w:rsidRPr="00CC4C24">
        <w:rPr>
          <w:rFonts w:hint="eastAsia"/>
        </w:rPr>
        <w:t>该指示规定警方有义务推迟审讯，以便嫌疑人的律师能够到达审讯地点</w:t>
      </w:r>
      <w:r w:rsidRPr="00CC4C24">
        <w:rPr>
          <w:rFonts w:hint="eastAsia"/>
        </w:rPr>
        <w:t>)</w:t>
      </w:r>
      <w:r w:rsidRPr="00CC4C24">
        <w:rPr>
          <w:rFonts w:hint="eastAsia"/>
        </w:rPr>
        <w:t>，但感到关切的是，有报告称，在实践中仍未向所有无法自行承担律师费用的被拘留成年人提供在警方审讯时有律师到场的免费服务</w:t>
      </w:r>
      <w:r w:rsidRPr="00CC4C24">
        <w:t>(</w:t>
      </w:r>
      <w:r w:rsidRPr="00CC4C24">
        <w:rPr>
          <w:rFonts w:hint="eastAsia"/>
        </w:rPr>
        <w:t>第</w:t>
      </w:r>
      <w:r w:rsidRPr="00CC4C24">
        <w:rPr>
          <w:rFonts w:hint="eastAsia"/>
        </w:rPr>
        <w:t>2</w:t>
      </w:r>
      <w:r w:rsidRPr="00CC4C24">
        <w:rPr>
          <w:rFonts w:hint="eastAsia"/>
        </w:rPr>
        <w:t>条</w:t>
      </w:r>
      <w:r w:rsidRPr="00CC4C24">
        <w:t>)</w:t>
      </w:r>
      <w:r w:rsidRPr="00CC4C24">
        <w:rPr>
          <w:rFonts w:hint="eastAsia"/>
        </w:rPr>
        <w:t>。</w:t>
      </w:r>
    </w:p>
    <w:p w14:paraId="2D2675C4" w14:textId="77777777" w:rsidR="00D231C7" w:rsidRPr="00CC4C24" w:rsidRDefault="00D231C7" w:rsidP="00D231C7">
      <w:pPr>
        <w:pStyle w:val="SingleTxtGC"/>
        <w:rPr>
          <w:rFonts w:eastAsia="黑体"/>
        </w:rPr>
      </w:pPr>
      <w:r w:rsidRPr="00CC4C24">
        <w:t>15.</w:t>
      </w:r>
      <w:r w:rsidRPr="00CC4C24">
        <w:tab/>
      </w:r>
      <w:r w:rsidRPr="00CC4C24">
        <w:rPr>
          <w:rFonts w:eastAsia="黑体" w:cs="LANTINGHEI SC DEMIBOLD" w:hint="eastAsia"/>
        </w:rPr>
        <w:t>缔约国应在实践中确保所有被拘留者自被剥夺自由之时起就获得所有基本法律保障，特别是获得律师协助的权利，包括在审讯之前和审讯期间获得律师协助，以及在适用情况下获得免费法律援助的权利。缔约国应继续向参与拘留活动的人员提供关于法律保障的适当定期培训，监测法律保障的执行情况，并对执行不力的官员予以处罚。</w:t>
      </w:r>
    </w:p>
    <w:p w14:paraId="3780ABE2" w14:textId="77777777" w:rsidR="00D231C7" w:rsidRPr="00CC4C24" w:rsidRDefault="00D231C7" w:rsidP="00AA238A">
      <w:pPr>
        <w:pStyle w:val="H23GC"/>
      </w:pPr>
      <w:r w:rsidRPr="00CC4C24">
        <w:tab/>
      </w:r>
      <w:r w:rsidRPr="00CC4C24">
        <w:tab/>
      </w:r>
      <w:r w:rsidRPr="00CC4C24">
        <w:rPr>
          <w:rFonts w:hint="eastAsia"/>
        </w:rPr>
        <w:t>奥地利监察员委员会</w:t>
      </w:r>
    </w:p>
    <w:p w14:paraId="5E4EC21C" w14:textId="77777777" w:rsidR="00D231C7" w:rsidRPr="00CC4C24" w:rsidRDefault="00D231C7" w:rsidP="00D231C7">
      <w:pPr>
        <w:pStyle w:val="SingleTxtGC"/>
        <w:rPr>
          <w:rFonts w:eastAsia="Calibri"/>
        </w:rPr>
      </w:pPr>
      <w:r w:rsidRPr="00CC4C24">
        <w:rPr>
          <w:rFonts w:eastAsia="Calibri"/>
        </w:rPr>
        <w:t>16.</w:t>
      </w:r>
      <w:r w:rsidRPr="00CC4C24">
        <w:rPr>
          <w:rFonts w:eastAsia="Calibri"/>
        </w:rPr>
        <w:tab/>
      </w:r>
      <w:r w:rsidRPr="00CC4C24">
        <w:rPr>
          <w:rFonts w:hint="eastAsia"/>
        </w:rPr>
        <w:t>委员会赞赏地注意到，奥地利监察员委员会</w:t>
      </w:r>
      <w:r w:rsidRPr="00CC4C24">
        <w:rPr>
          <w:rFonts w:hint="eastAsia"/>
        </w:rPr>
        <w:t>2</w:t>
      </w:r>
      <w:r w:rsidRPr="00CC4C24">
        <w:t>022</w:t>
      </w:r>
      <w:r w:rsidRPr="00CC4C24">
        <w:rPr>
          <w:rFonts w:hint="eastAsia"/>
        </w:rPr>
        <w:t>年获得了国家人权机构全球联盟资格认证小组委员会授予的</w:t>
      </w:r>
      <w:r w:rsidRPr="00CC4C24">
        <w:rPr>
          <w:rFonts w:hint="eastAsia"/>
        </w:rPr>
        <w:t>A</w:t>
      </w:r>
      <w:r w:rsidRPr="00CC4C24">
        <w:rPr>
          <w:rFonts w:hint="eastAsia"/>
        </w:rPr>
        <w:t>级地位，但委员会注意到有报告称，议会三个主要政党对该委员会委员的遴选和任命不够包容和透明，也没有与民间社会进行正式公开磋商并允许其切实参与</w:t>
      </w:r>
      <w:r w:rsidRPr="00CC4C24">
        <w:t>(</w:t>
      </w:r>
      <w:r w:rsidRPr="00CC4C24">
        <w:rPr>
          <w:rFonts w:hint="eastAsia"/>
        </w:rPr>
        <w:t>第</w:t>
      </w:r>
      <w:r w:rsidRPr="00CC4C24">
        <w:rPr>
          <w:rFonts w:hint="eastAsia"/>
        </w:rPr>
        <w:t>2</w:t>
      </w:r>
      <w:r w:rsidRPr="00CC4C24">
        <w:rPr>
          <w:rFonts w:hint="eastAsia"/>
        </w:rPr>
        <w:t>条第</w:t>
      </w:r>
      <w:r w:rsidRPr="00CC4C24">
        <w:rPr>
          <w:rFonts w:hint="eastAsia"/>
        </w:rPr>
        <w:t>1</w:t>
      </w:r>
      <w:r w:rsidRPr="00CC4C24">
        <w:rPr>
          <w:rFonts w:hint="eastAsia"/>
        </w:rPr>
        <w:t>款</w:t>
      </w:r>
      <w:r w:rsidRPr="00CC4C24">
        <w:t>)</w:t>
      </w:r>
      <w:r w:rsidRPr="00CC4C24">
        <w:rPr>
          <w:rFonts w:hint="eastAsia"/>
        </w:rPr>
        <w:t>。</w:t>
      </w:r>
    </w:p>
    <w:p w14:paraId="0E79912E" w14:textId="77777777" w:rsidR="00D231C7" w:rsidRPr="00CC4C24" w:rsidRDefault="00D231C7" w:rsidP="00D231C7">
      <w:pPr>
        <w:pStyle w:val="SingleTxtGC"/>
        <w:rPr>
          <w:rFonts w:eastAsia="黑体"/>
        </w:rPr>
      </w:pPr>
      <w:r w:rsidRPr="00CC4C24">
        <w:rPr>
          <w:rFonts w:eastAsia="Calibri"/>
        </w:rPr>
        <w:t>17.</w:t>
      </w:r>
      <w:r w:rsidRPr="00CC4C24">
        <w:rPr>
          <w:rFonts w:eastAsia="Calibri"/>
        </w:rPr>
        <w:tab/>
      </w:r>
      <w:r w:rsidRPr="00CC4C24">
        <w:rPr>
          <w:rFonts w:eastAsia="黑体" w:cs="LANTINGHEI SC DEMIBOLD" w:hint="eastAsia"/>
        </w:rPr>
        <w:t>缔约国应审查奥地利监察员委员会委员的遴选和任命程序，以确保该委员会充分透明和政治独立。</w:t>
      </w:r>
    </w:p>
    <w:p w14:paraId="68C33F7D" w14:textId="77777777" w:rsidR="00D231C7" w:rsidRPr="00CC4C24" w:rsidRDefault="00D231C7" w:rsidP="00AA238A">
      <w:pPr>
        <w:pStyle w:val="H23GC"/>
      </w:pPr>
      <w:r w:rsidRPr="00CC4C24">
        <w:tab/>
      </w:r>
      <w:r w:rsidRPr="00CC4C24">
        <w:tab/>
      </w:r>
      <w:r w:rsidRPr="00CC4C24">
        <w:rPr>
          <w:rFonts w:hint="eastAsia"/>
        </w:rPr>
        <w:t>监督拘留设施</w:t>
      </w:r>
    </w:p>
    <w:p w14:paraId="25679DF1" w14:textId="77777777" w:rsidR="00D231C7" w:rsidRPr="00CC4C24" w:rsidRDefault="00D231C7" w:rsidP="00D231C7">
      <w:pPr>
        <w:pStyle w:val="SingleTxtGC"/>
      </w:pPr>
      <w:r w:rsidRPr="00CC4C24">
        <w:t>18.</w:t>
      </w:r>
      <w:r w:rsidRPr="00CC4C24">
        <w:tab/>
      </w:r>
      <w:r w:rsidRPr="00CC4C24">
        <w:rPr>
          <w:rFonts w:hint="eastAsia"/>
        </w:rPr>
        <w:t>委员会欢迎奥地利监察员委员会及其独立专家委员会作为《公约任择议定书》规定的国家防范机制所开展的工作，但感到关切的是，有报告称，缔约国没有采取系统措施确保有效落实该委员会的建议</w:t>
      </w:r>
      <w:r w:rsidRPr="00CC4C24">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1322DFE0" w14:textId="77777777" w:rsidR="00D231C7" w:rsidRPr="00CC4C24" w:rsidRDefault="00D231C7" w:rsidP="00D231C7">
      <w:pPr>
        <w:pStyle w:val="SingleTxtGC"/>
        <w:rPr>
          <w:rFonts w:eastAsia="黑体"/>
        </w:rPr>
      </w:pPr>
      <w:r w:rsidRPr="00CC4C24">
        <w:lastRenderedPageBreak/>
        <w:t>19.</w:t>
      </w:r>
      <w:r w:rsidRPr="00CC4C24">
        <w:tab/>
      </w:r>
      <w:r w:rsidRPr="00CC4C24">
        <w:rPr>
          <w:rFonts w:eastAsia="黑体" w:cs="LANTINGHEI SC DEMIBOLD" w:hint="eastAsia"/>
        </w:rPr>
        <w:t>缔约国应采取一切必要措施，确保根据防范酷刑和其他残忍、不人道或有辱人格待遇或处罚小组委员会通过的国家防范机制准则，</w:t>
      </w:r>
      <w:r w:rsidRPr="00CC4C24">
        <w:rPr>
          <w:rStyle w:val="a8"/>
          <w:rFonts w:eastAsia="宋体"/>
        </w:rPr>
        <w:footnoteReference w:id="7"/>
      </w:r>
      <w:r w:rsidRPr="00344FA0">
        <w:rPr>
          <w:rStyle w:val="SingleTxtGCChar"/>
        </w:rPr>
        <w:t xml:space="preserve"> </w:t>
      </w:r>
      <w:r w:rsidRPr="00CC4C24">
        <w:rPr>
          <w:rFonts w:eastAsia="黑体" w:cs="LANTINGHEI SC DEMIBOLD" w:hint="eastAsia"/>
        </w:rPr>
        <w:t>有效跟进和执行奥地利监察员委员会作为其监测活动的一部分而提出的建议。缔约国应鼓励国家防范机制与民间社会组织加强合作，包括通过人权咨询委员会这样做。</w:t>
      </w:r>
    </w:p>
    <w:p w14:paraId="3BF34621" w14:textId="77777777" w:rsidR="00D231C7" w:rsidRPr="00CC4C24" w:rsidRDefault="00D231C7" w:rsidP="00AA238A">
      <w:pPr>
        <w:pStyle w:val="H23GC"/>
      </w:pPr>
      <w:r w:rsidRPr="00CC4C24">
        <w:tab/>
      </w:r>
      <w:r w:rsidRPr="00CC4C24">
        <w:tab/>
      </w:r>
      <w:r w:rsidRPr="00CC4C24">
        <w:rPr>
          <w:rFonts w:hint="eastAsia"/>
        </w:rPr>
        <w:t>庇护和不推回</w:t>
      </w:r>
    </w:p>
    <w:p w14:paraId="7ED62AD7" w14:textId="77777777" w:rsidR="00D231C7" w:rsidRPr="00CC4C24" w:rsidRDefault="00D231C7" w:rsidP="00D231C7">
      <w:pPr>
        <w:pStyle w:val="SingleTxtGC"/>
      </w:pPr>
      <w:r w:rsidRPr="00CC4C24">
        <w:t>20.</w:t>
      </w:r>
      <w:r w:rsidRPr="00CC4C24">
        <w:tab/>
      </w:r>
      <w:r w:rsidRPr="00CC4C24">
        <w:rPr>
          <w:rFonts w:hint="eastAsia"/>
        </w:rPr>
        <w:t>委员会满意地注意到缔约国为应对涌入该国境内的大批寻求庇护者和非正常移民所作的努力，但感到关切的是有报告称，在本报告所述期间，缔约国在某些情况下违反了不推回原则。委员会尤其感到关切的是：</w:t>
      </w:r>
    </w:p>
    <w:p w14:paraId="7936658D" w14:textId="77777777" w:rsidR="00D231C7" w:rsidRPr="00CC4C24" w:rsidRDefault="00D231C7" w:rsidP="00D231C7">
      <w:pPr>
        <w:pStyle w:val="SingleTxtGC"/>
      </w:pPr>
      <w:r w:rsidRPr="00CC4C24">
        <w:tab/>
        <w:t>(a)</w:t>
      </w:r>
      <w:r w:rsidRPr="00CC4C24">
        <w:tab/>
      </w:r>
      <w:r w:rsidRPr="00CC4C24">
        <w:rPr>
          <w:rFonts w:hint="eastAsia"/>
        </w:rPr>
        <w:t>缺乏一项正式国家机制，在酷刑、贩运和性别暴力受害者等弱势寻求庇护者到达接待中心时对其进行识别，记录支持其主张的证据，并向其提供支助服务；</w:t>
      </w:r>
    </w:p>
    <w:p w14:paraId="36E2BE58" w14:textId="77777777" w:rsidR="00D231C7" w:rsidRPr="00CC4C24" w:rsidRDefault="00D231C7" w:rsidP="00D231C7">
      <w:pPr>
        <w:pStyle w:val="SingleTxtGC"/>
      </w:pPr>
      <w:r w:rsidRPr="00CC4C24">
        <w:tab/>
        <w:t>(b)</w:t>
      </w:r>
      <w:r w:rsidRPr="00CC4C24">
        <w:tab/>
      </w:r>
      <w:r w:rsidRPr="00CC4C24">
        <w:rPr>
          <w:rFonts w:hint="eastAsia"/>
        </w:rPr>
        <w:t>联邦移民和庇护局人手不足，导致无法迅速处理日益增加的庇护申请；</w:t>
      </w:r>
    </w:p>
    <w:p w14:paraId="33AD1401" w14:textId="77777777" w:rsidR="00D231C7" w:rsidRPr="00CC4C24" w:rsidRDefault="00D231C7" w:rsidP="00D231C7">
      <w:pPr>
        <w:pStyle w:val="SingleTxtGC"/>
      </w:pPr>
      <w:r w:rsidRPr="00CC4C24">
        <w:tab/>
        <w:t>(c)</w:t>
      </w:r>
      <w:r w:rsidRPr="00CC4C24">
        <w:tab/>
      </w:r>
      <w:r w:rsidRPr="00CC4C24">
        <w:rPr>
          <w:rFonts w:hint="eastAsia"/>
        </w:rPr>
        <w:t>根据奥地利宪法法院</w:t>
      </w:r>
      <w:r w:rsidRPr="00CC4C24">
        <w:rPr>
          <w:rFonts w:hint="eastAsia"/>
        </w:rPr>
        <w:t>2</w:t>
      </w:r>
      <w:r w:rsidRPr="00CC4C24">
        <w:t>023</w:t>
      </w:r>
      <w:r w:rsidRPr="00CC4C24">
        <w:rPr>
          <w:rFonts w:hint="eastAsia"/>
        </w:rPr>
        <w:t>年</w:t>
      </w:r>
      <w:r w:rsidRPr="00CC4C24">
        <w:rPr>
          <w:rFonts w:hint="eastAsia"/>
        </w:rPr>
        <w:t>1</w:t>
      </w:r>
      <w:r w:rsidRPr="00CC4C24">
        <w:t>2</w:t>
      </w:r>
      <w:r w:rsidRPr="00CC4C24">
        <w:rPr>
          <w:rFonts w:hint="eastAsia"/>
        </w:rPr>
        <w:t>月</w:t>
      </w:r>
      <w:r w:rsidRPr="00CC4C24">
        <w:rPr>
          <w:rFonts w:hint="eastAsia"/>
        </w:rPr>
        <w:t>1</w:t>
      </w:r>
      <w:r w:rsidRPr="00CC4C24">
        <w:t>4</w:t>
      </w:r>
      <w:r w:rsidRPr="00CC4C24">
        <w:rPr>
          <w:rFonts w:hint="eastAsia"/>
        </w:rPr>
        <w:t>日第</w:t>
      </w:r>
      <w:r w:rsidRPr="00CC4C24">
        <w:t>G 328/2022</w:t>
      </w:r>
      <w:r w:rsidRPr="00CC4C24">
        <w:rPr>
          <w:rFonts w:hint="eastAsia"/>
        </w:rPr>
        <w:t>号裁决，联邦接待和支助服务机构向寻求庇护者提供的法律援助和代理不够独立；</w:t>
      </w:r>
      <w:r w:rsidRPr="00CC4C24">
        <w:rPr>
          <w:rStyle w:val="a8"/>
          <w:rFonts w:eastAsia="宋体"/>
        </w:rPr>
        <w:footnoteReference w:id="8"/>
      </w:r>
    </w:p>
    <w:p w14:paraId="11E542A2" w14:textId="77777777" w:rsidR="00D231C7" w:rsidRPr="00CC4C24" w:rsidRDefault="00D231C7" w:rsidP="00D231C7">
      <w:pPr>
        <w:pStyle w:val="SingleTxtGC"/>
      </w:pPr>
      <w:r w:rsidRPr="00CC4C24">
        <w:tab/>
        <w:t>(d)</w:t>
      </w:r>
      <w:r w:rsidRPr="00CC4C24">
        <w:tab/>
      </w:r>
      <w:r w:rsidRPr="00CC4C24">
        <w:rPr>
          <w:rFonts w:hint="eastAsia"/>
        </w:rPr>
        <w:t>在初审程序中无法获得律师；</w:t>
      </w:r>
    </w:p>
    <w:p w14:paraId="2339F348" w14:textId="77777777" w:rsidR="00D231C7" w:rsidRPr="00CC4C24" w:rsidRDefault="00D231C7" w:rsidP="00D231C7">
      <w:pPr>
        <w:pStyle w:val="SingleTxtGC"/>
      </w:pPr>
      <w:r w:rsidRPr="00CC4C24">
        <w:tab/>
        <w:t>(e)</w:t>
      </w:r>
      <w:r w:rsidRPr="00CC4C24">
        <w:tab/>
      </w:r>
      <w:r w:rsidRPr="00CC4C24">
        <w:rPr>
          <w:rFonts w:hint="eastAsia"/>
        </w:rPr>
        <w:t>只有在寻求庇护的</w:t>
      </w:r>
      <w:r w:rsidRPr="00CC4C24">
        <w:t>14</w:t>
      </w:r>
      <w:r w:rsidRPr="00CC4C24">
        <w:rPr>
          <w:rFonts w:hint="eastAsia"/>
        </w:rPr>
        <w:t>至</w:t>
      </w:r>
      <w:r w:rsidRPr="00CC4C24">
        <w:rPr>
          <w:rFonts w:hint="eastAsia"/>
        </w:rPr>
        <w:t>1</w:t>
      </w:r>
      <w:r w:rsidRPr="00CC4C24">
        <w:t>8</w:t>
      </w:r>
      <w:r w:rsidRPr="00CC4C24">
        <w:rPr>
          <w:rFonts w:hint="eastAsia"/>
        </w:rPr>
        <w:t>岁孤身或离散儿童被分配到某一州运营的接待设施后，才为其指定法定监护人，由于年龄评估程序，转移至该设施可能需要时间；</w:t>
      </w:r>
    </w:p>
    <w:p w14:paraId="0136CE01" w14:textId="77777777" w:rsidR="00D231C7" w:rsidRPr="00CC4C24" w:rsidRDefault="00D231C7" w:rsidP="00D231C7">
      <w:pPr>
        <w:pStyle w:val="SingleTxtGC"/>
      </w:pPr>
      <w:r w:rsidRPr="00CC4C24">
        <w:tab/>
        <w:t>(f)</w:t>
      </w:r>
      <w:r w:rsidRPr="00CC4C24">
        <w:tab/>
      </w:r>
      <w:r w:rsidRPr="00CC4C24">
        <w:rPr>
          <w:rFonts w:hint="eastAsia"/>
        </w:rPr>
        <w:t>有报告称，一些面向寻求庇护者的过境接待设施居住条件较差，包括过度拥挤，获得医疗和适当卫生设施的机会有限；</w:t>
      </w:r>
    </w:p>
    <w:p w14:paraId="2E899C5C" w14:textId="77777777" w:rsidR="00D231C7" w:rsidRPr="00CC4C24" w:rsidRDefault="00D231C7" w:rsidP="00D231C7">
      <w:pPr>
        <w:pStyle w:val="SingleTxtGC"/>
      </w:pPr>
      <w:r w:rsidRPr="00CC4C24">
        <w:tab/>
        <w:t>(g)</w:t>
      </w:r>
      <w:r w:rsidRPr="00CC4C24">
        <w:tab/>
      </w:r>
      <w:r w:rsidRPr="00CC4C24">
        <w:rPr>
          <w:rFonts w:hint="eastAsia"/>
        </w:rPr>
        <w:t>根据《庇护法》</w:t>
      </w:r>
      <w:r w:rsidRPr="00CC4C24">
        <w:t>(2005</w:t>
      </w:r>
      <w:r w:rsidRPr="00CC4C24">
        <w:rPr>
          <w:rFonts w:hint="eastAsia"/>
        </w:rPr>
        <w:t>年</w:t>
      </w:r>
      <w:r w:rsidRPr="00CC4C24">
        <w:t>)</w:t>
      </w:r>
      <w:r w:rsidRPr="00CC4C24">
        <w:rPr>
          <w:rFonts w:hint="eastAsia"/>
        </w:rPr>
        <w:t>，在寻求庇护者涌入的情况下，联邦政府有权通过紧急法令，从而可采用边境快速庇护程序等特别程序来维持公共秩序，这可能会阻碍寻求国际保护者获得公平有效的庇护程序；</w:t>
      </w:r>
    </w:p>
    <w:p w14:paraId="70403E67" w14:textId="77777777" w:rsidR="00D231C7" w:rsidRPr="00CC4C24" w:rsidRDefault="00D231C7" w:rsidP="00D231C7">
      <w:pPr>
        <w:pStyle w:val="SingleTxtGC"/>
      </w:pPr>
      <w:r w:rsidRPr="00CC4C24">
        <w:tab/>
        <w:t>(h)</w:t>
      </w:r>
      <w:r w:rsidRPr="00CC4C24">
        <w:tab/>
      </w:r>
      <w:r w:rsidRPr="00CC4C24">
        <w:rPr>
          <w:rFonts w:hint="eastAsia"/>
        </w:rPr>
        <w:t>联邦移民和庇护局可剥夺来源国被认为是安全国家的人员所提上诉的暂停执行效力，而联邦行政法院仅有一周时间来审查剥夺这种剥夺暂停效力的做法</w:t>
      </w:r>
      <w:r w:rsidRPr="00CC4C24">
        <w:t>(</w:t>
      </w:r>
      <w:r w:rsidRPr="00CC4C24">
        <w:rPr>
          <w:rFonts w:hint="eastAsia"/>
        </w:rPr>
        <w:t>第</w:t>
      </w:r>
      <w:r w:rsidRPr="00CC4C24">
        <w:rPr>
          <w:rFonts w:hint="eastAsia"/>
        </w:rPr>
        <w:t>3</w:t>
      </w:r>
      <w:r w:rsidRPr="00CC4C24">
        <w:rPr>
          <w:rFonts w:hint="eastAsia"/>
        </w:rPr>
        <w:t>条</w:t>
      </w:r>
      <w:r w:rsidRPr="00CC4C24">
        <w:t>)</w:t>
      </w:r>
      <w:r w:rsidRPr="00CC4C24">
        <w:rPr>
          <w:rFonts w:hint="eastAsia"/>
        </w:rPr>
        <w:t>。</w:t>
      </w:r>
      <w:r w:rsidRPr="00CC4C24">
        <w:rPr>
          <w:rStyle w:val="a8"/>
          <w:rFonts w:eastAsia="宋体" w:hint="eastAsia"/>
        </w:rPr>
        <w:footnoteReference w:id="9"/>
      </w:r>
    </w:p>
    <w:p w14:paraId="6BA6D79C" w14:textId="77777777" w:rsidR="00D231C7" w:rsidRPr="00CC4C24" w:rsidRDefault="00D231C7" w:rsidP="00D231C7">
      <w:pPr>
        <w:pStyle w:val="SingleTxtGC"/>
        <w:rPr>
          <w:rFonts w:eastAsia="黑体"/>
        </w:rPr>
      </w:pPr>
      <w:r w:rsidRPr="00CC4C24">
        <w:t>21.</w:t>
      </w:r>
      <w:r w:rsidRPr="00CC4C24">
        <w:tab/>
      </w:r>
      <w:r w:rsidRPr="00CC4C24">
        <w:rPr>
          <w:rFonts w:eastAsia="黑体" w:cs="LANTINGHEI SC DEMIBOLD" w:hint="eastAsia"/>
        </w:rPr>
        <w:t>缔约国应：</w:t>
      </w:r>
    </w:p>
    <w:p w14:paraId="7AAA6A56" w14:textId="77777777" w:rsidR="00D231C7" w:rsidRPr="00CC4C24" w:rsidRDefault="00D231C7" w:rsidP="00D231C7">
      <w:pPr>
        <w:pStyle w:val="SingleTxtGC"/>
        <w:rPr>
          <w:rFonts w:eastAsia="黑体"/>
        </w:rPr>
      </w:pPr>
      <w:r w:rsidRPr="00CC4C24">
        <w:tab/>
        <w:t>(a)</w:t>
      </w:r>
      <w:r w:rsidRPr="00CC4C24">
        <w:tab/>
      </w:r>
      <w:r w:rsidRPr="00CC4C24">
        <w:rPr>
          <w:rFonts w:eastAsia="黑体"/>
        </w:rPr>
        <w:t>确保不将任何人驱逐、遣返或引渡到有充分理由相信所涉个人可能遭受酷刑的另一国；</w:t>
      </w:r>
    </w:p>
    <w:p w14:paraId="76BE7062"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确保所有抵达或试图抵达缔约国的寻求庇护者和其他需要国际保护的人</w:t>
      </w:r>
      <w:r w:rsidRPr="00CC4C24">
        <w:rPr>
          <w:rFonts w:eastAsia="黑体" w:hint="eastAsia"/>
        </w:rPr>
        <w:t>员</w:t>
      </w:r>
      <w:r w:rsidRPr="00CC4C24">
        <w:rPr>
          <w:rFonts w:eastAsia="黑体"/>
        </w:rPr>
        <w:t>，无论其法律身份和抵达方式如何，均能享有公正有效的难民身份确定程序，而不被推回；</w:t>
      </w:r>
    </w:p>
    <w:p w14:paraId="02EA4549" w14:textId="77777777" w:rsidR="00D231C7" w:rsidRPr="00CC4C24" w:rsidRDefault="00D231C7" w:rsidP="00D231C7">
      <w:pPr>
        <w:pStyle w:val="SingleTxtGC"/>
        <w:rPr>
          <w:rFonts w:eastAsia="黑体"/>
        </w:rPr>
      </w:pPr>
      <w:r w:rsidRPr="00CC4C24">
        <w:rPr>
          <w:rFonts w:eastAsia="黑体"/>
        </w:rPr>
        <w:lastRenderedPageBreak/>
        <w:tab/>
        <w:t>(c)</w:t>
      </w:r>
      <w:r w:rsidRPr="00CC4C24">
        <w:rPr>
          <w:rFonts w:eastAsia="黑体"/>
        </w:rPr>
        <w:tab/>
      </w:r>
      <w:r w:rsidRPr="00CC4C24">
        <w:rPr>
          <w:rFonts w:eastAsia="黑体"/>
        </w:rPr>
        <w:t>制定和实施一项正式国家机制，在寻求庇护者和其他需要国际保护的人员中尽早识别酷刑、贩运和性别暴力受害者，让</w:t>
      </w:r>
      <w:r w:rsidRPr="00CC4C24">
        <w:rPr>
          <w:rFonts w:eastAsia="黑体" w:hint="eastAsia"/>
        </w:rPr>
        <w:t>他们</w:t>
      </w:r>
      <w:r w:rsidRPr="00CC4C24">
        <w:rPr>
          <w:rFonts w:eastAsia="黑体"/>
        </w:rPr>
        <w:t>优先进入难民身份确定程序，并就需要紧急治疗的健康状况</w:t>
      </w:r>
      <w:r w:rsidRPr="00CC4C24">
        <w:rPr>
          <w:rFonts w:eastAsia="黑体" w:hint="eastAsia"/>
        </w:rPr>
        <w:t>接受</w:t>
      </w:r>
      <w:r w:rsidRPr="00CC4C24">
        <w:rPr>
          <w:rFonts w:eastAsia="黑体"/>
        </w:rPr>
        <w:t>治疗；</w:t>
      </w:r>
    </w:p>
    <w:p w14:paraId="7070A15D" w14:textId="77777777" w:rsidR="00D231C7" w:rsidRPr="00CC4C24" w:rsidRDefault="00D231C7" w:rsidP="00D231C7">
      <w:pPr>
        <w:pStyle w:val="SingleTxtGC"/>
        <w:rPr>
          <w:rFonts w:eastAsia="黑体"/>
        </w:rPr>
      </w:pPr>
      <w:r w:rsidRPr="00CC4C24">
        <w:rPr>
          <w:rFonts w:eastAsia="黑体"/>
        </w:rPr>
        <w:tab/>
        <w:t>(d)</w:t>
      </w:r>
      <w:r w:rsidRPr="00CC4C24">
        <w:rPr>
          <w:rFonts w:eastAsia="黑体"/>
        </w:rPr>
        <w:tab/>
      </w:r>
      <w:r w:rsidRPr="00CC4C24">
        <w:rPr>
          <w:rFonts w:eastAsia="黑体"/>
        </w:rPr>
        <w:t>加强联邦移民和庇护局处理该国</w:t>
      </w:r>
      <w:r w:rsidRPr="00CC4C24">
        <w:rPr>
          <w:rFonts w:eastAsia="黑体" w:hint="eastAsia"/>
        </w:rPr>
        <w:t>境内</w:t>
      </w:r>
      <w:r w:rsidRPr="00CC4C24">
        <w:rPr>
          <w:rFonts w:eastAsia="黑体"/>
        </w:rPr>
        <w:t>寻求庇护者难民申请的能力；</w:t>
      </w:r>
    </w:p>
    <w:p w14:paraId="2BEB4E32" w14:textId="77777777" w:rsidR="00D231C7" w:rsidRPr="00CC4C24" w:rsidRDefault="00D231C7" w:rsidP="00D231C7">
      <w:pPr>
        <w:pStyle w:val="SingleTxtGC"/>
        <w:rPr>
          <w:rFonts w:eastAsia="黑体"/>
        </w:rPr>
      </w:pPr>
      <w:r w:rsidRPr="00CC4C24">
        <w:rPr>
          <w:rFonts w:eastAsia="黑体"/>
        </w:rPr>
        <w:tab/>
        <w:t>(e)</w:t>
      </w:r>
      <w:r w:rsidRPr="00CC4C24">
        <w:rPr>
          <w:rFonts w:eastAsia="黑体"/>
        </w:rPr>
        <w:tab/>
      </w:r>
      <w:r w:rsidRPr="00CC4C24">
        <w:rPr>
          <w:rFonts w:eastAsia="黑体"/>
        </w:rPr>
        <w:t>根据奥地利宪法法院</w:t>
      </w:r>
      <w:r w:rsidRPr="00CC4C24">
        <w:rPr>
          <w:rFonts w:eastAsia="黑体"/>
        </w:rPr>
        <w:t>2023</w:t>
      </w:r>
      <w:r w:rsidRPr="00CC4C24">
        <w:rPr>
          <w:rFonts w:eastAsia="黑体"/>
        </w:rPr>
        <w:t>年</w:t>
      </w:r>
      <w:r w:rsidRPr="00CC4C24">
        <w:rPr>
          <w:rFonts w:eastAsia="黑体"/>
        </w:rPr>
        <w:t>12</w:t>
      </w:r>
      <w:r w:rsidRPr="00CC4C24">
        <w:rPr>
          <w:rFonts w:eastAsia="黑体"/>
        </w:rPr>
        <w:t>月</w:t>
      </w:r>
      <w:r w:rsidRPr="00CC4C24">
        <w:rPr>
          <w:rFonts w:eastAsia="黑体"/>
        </w:rPr>
        <w:t>14</w:t>
      </w:r>
      <w:r w:rsidRPr="00CC4C24">
        <w:rPr>
          <w:rFonts w:eastAsia="黑体"/>
        </w:rPr>
        <w:t>日第</w:t>
      </w:r>
      <w:r w:rsidRPr="00CC4C24">
        <w:rPr>
          <w:rFonts w:eastAsia="黑体"/>
        </w:rPr>
        <w:t>G 328/2022</w:t>
      </w:r>
      <w:r w:rsidRPr="00CC4C24">
        <w:rPr>
          <w:rFonts w:eastAsia="黑体"/>
        </w:rPr>
        <w:t>号裁决，考虑修订《联邦接待和支助服务机构设立法》和《联邦移民和庇护局程序法》，以保障联邦接待和支助服务机构向寻求庇护者提供的法律援助和代理的充分独立性；</w:t>
      </w:r>
      <w:bookmarkStart w:id="3" w:name="_Hlk165631111"/>
      <w:bookmarkEnd w:id="3"/>
    </w:p>
    <w:p w14:paraId="7D23A3CF" w14:textId="77777777" w:rsidR="00D231C7" w:rsidRPr="00CC4C24" w:rsidRDefault="00D231C7" w:rsidP="00D231C7">
      <w:pPr>
        <w:pStyle w:val="SingleTxtGC"/>
        <w:rPr>
          <w:rFonts w:eastAsia="黑体"/>
        </w:rPr>
      </w:pPr>
      <w:r w:rsidRPr="00CC4C24">
        <w:rPr>
          <w:rFonts w:eastAsia="黑体"/>
        </w:rPr>
        <w:tab/>
        <w:t>(f)</w:t>
      </w:r>
      <w:r w:rsidRPr="00CC4C24">
        <w:rPr>
          <w:rFonts w:eastAsia="黑体"/>
        </w:rPr>
        <w:tab/>
      </w:r>
      <w:r w:rsidRPr="00CC4C24">
        <w:rPr>
          <w:rFonts w:eastAsia="黑体"/>
        </w:rPr>
        <w:t>确保寻求庇护者在整个庇护程序期间获得合格和独立的法律援助和代理；</w:t>
      </w:r>
    </w:p>
    <w:p w14:paraId="5B503F9F" w14:textId="77777777" w:rsidR="00D231C7" w:rsidRPr="00CC4C24" w:rsidRDefault="00D231C7" w:rsidP="00D231C7">
      <w:pPr>
        <w:pStyle w:val="SingleTxtGC"/>
        <w:rPr>
          <w:rFonts w:eastAsia="黑体"/>
        </w:rPr>
      </w:pPr>
      <w:r w:rsidRPr="00CC4C24">
        <w:rPr>
          <w:rFonts w:eastAsia="黑体"/>
        </w:rPr>
        <w:tab/>
        <w:t>(g)</w:t>
      </w:r>
      <w:r w:rsidRPr="00CC4C24">
        <w:rPr>
          <w:rFonts w:eastAsia="黑体"/>
        </w:rPr>
        <w:tab/>
      </w:r>
      <w:r w:rsidRPr="00CC4C24">
        <w:rPr>
          <w:rFonts w:eastAsia="黑体"/>
        </w:rPr>
        <w:t>确保从一开始就系统和</w:t>
      </w:r>
      <w:r w:rsidRPr="00CC4C24">
        <w:rPr>
          <w:rFonts w:eastAsia="黑体" w:hint="eastAsia"/>
        </w:rPr>
        <w:t>不作无故</w:t>
      </w:r>
      <w:r w:rsidRPr="00CC4C24">
        <w:rPr>
          <w:rFonts w:eastAsia="黑体"/>
        </w:rPr>
        <w:t>拖延地为所有寻求庇护的孤身或离散儿童指定一名受过儿童咨询培训的监护人，并贯穿其在缔约国停留的整个期间；</w:t>
      </w:r>
    </w:p>
    <w:p w14:paraId="30A5A7AE" w14:textId="77777777" w:rsidR="00D231C7" w:rsidRPr="00CC4C24" w:rsidRDefault="00D231C7" w:rsidP="00D231C7">
      <w:pPr>
        <w:pStyle w:val="SingleTxtGC"/>
        <w:rPr>
          <w:rFonts w:eastAsia="黑体"/>
        </w:rPr>
      </w:pPr>
      <w:r w:rsidRPr="00CC4C24">
        <w:rPr>
          <w:rFonts w:eastAsia="黑体"/>
        </w:rPr>
        <w:tab/>
        <w:t>(h)</w:t>
      </w:r>
      <w:r w:rsidRPr="00CC4C24">
        <w:rPr>
          <w:rFonts w:eastAsia="黑体"/>
        </w:rPr>
        <w:tab/>
      </w:r>
      <w:r w:rsidRPr="00CC4C24">
        <w:rPr>
          <w:rFonts w:eastAsia="黑体"/>
        </w:rPr>
        <w:t>采取必要措施，确保面向寻求庇护者的过境接待设施具备适当接待条件，并为寻求庇护的孤身或离散儿童提供寄养；</w:t>
      </w:r>
    </w:p>
    <w:p w14:paraId="5E1E8DC9" w14:textId="77777777" w:rsidR="00D231C7" w:rsidRPr="00CC4C24" w:rsidRDefault="00D231C7" w:rsidP="00D231C7">
      <w:pPr>
        <w:pStyle w:val="SingleTxtGC"/>
        <w:rPr>
          <w:rFonts w:eastAsia="黑体"/>
        </w:rPr>
      </w:pPr>
      <w:r w:rsidRPr="00CC4C24">
        <w:rPr>
          <w:rFonts w:eastAsia="黑体"/>
        </w:rPr>
        <w:tab/>
        <w:t>(i)</w:t>
      </w:r>
      <w:r w:rsidRPr="00CC4C24">
        <w:rPr>
          <w:rFonts w:eastAsia="黑体"/>
        </w:rPr>
        <w:tab/>
      </w:r>
      <w:r w:rsidRPr="00CC4C24">
        <w:rPr>
          <w:rFonts w:eastAsia="黑体"/>
        </w:rPr>
        <w:t>考虑废除《庇护法》</w:t>
      </w:r>
      <w:r w:rsidRPr="00CC4C24">
        <w:rPr>
          <w:rFonts w:eastAsia="黑体"/>
        </w:rPr>
        <w:t>(2005</w:t>
      </w:r>
      <w:r w:rsidRPr="00CC4C24">
        <w:rPr>
          <w:rFonts w:eastAsia="黑体"/>
        </w:rPr>
        <w:t>年</w:t>
      </w:r>
      <w:r w:rsidRPr="00CC4C24">
        <w:rPr>
          <w:rFonts w:eastAsia="黑体"/>
        </w:rPr>
        <w:t>)</w:t>
      </w:r>
      <w:r w:rsidRPr="00CC4C24">
        <w:rPr>
          <w:rFonts w:eastAsia="黑体"/>
        </w:rPr>
        <w:t>中允许颁布紧急法令的规定，该法令可能会限制获得公正有效的庇护程序；</w:t>
      </w:r>
    </w:p>
    <w:p w14:paraId="55322E1C" w14:textId="77777777" w:rsidR="00D231C7" w:rsidRPr="00CC4C24" w:rsidRDefault="00D231C7" w:rsidP="00D231C7">
      <w:pPr>
        <w:pStyle w:val="SingleTxtGC"/>
        <w:rPr>
          <w:rFonts w:eastAsia="黑体"/>
        </w:rPr>
      </w:pPr>
      <w:r w:rsidRPr="00CC4C24">
        <w:rPr>
          <w:rFonts w:eastAsia="黑体"/>
        </w:rPr>
        <w:tab/>
        <w:t>(j)</w:t>
      </w:r>
      <w:r w:rsidRPr="00CC4C24">
        <w:rPr>
          <w:rFonts w:eastAsia="黑体"/>
        </w:rPr>
        <w:tab/>
      </w:r>
      <w:r w:rsidRPr="00CC4C24">
        <w:rPr>
          <w:rFonts w:eastAsia="黑体"/>
        </w:rPr>
        <w:t>确保对驱逐、遣返、移交或引渡决定提出的上诉具有暂停效力。</w:t>
      </w:r>
    </w:p>
    <w:p w14:paraId="011FDD10" w14:textId="77777777" w:rsidR="00D231C7" w:rsidRPr="00CC4C24" w:rsidRDefault="00D231C7" w:rsidP="00A3564A">
      <w:pPr>
        <w:pStyle w:val="H23GC"/>
      </w:pPr>
      <w:r w:rsidRPr="00CC4C24">
        <w:tab/>
      </w:r>
      <w:r w:rsidRPr="00CC4C24">
        <w:tab/>
      </w:r>
      <w:r w:rsidRPr="00CC4C24">
        <w:rPr>
          <w:rFonts w:hint="eastAsia"/>
        </w:rPr>
        <w:t>外交保证</w:t>
      </w:r>
    </w:p>
    <w:p w14:paraId="3E707013" w14:textId="77777777" w:rsidR="00D231C7" w:rsidRPr="00CC4C24" w:rsidRDefault="00D231C7" w:rsidP="00D231C7">
      <w:pPr>
        <w:pStyle w:val="SingleTxtGC"/>
      </w:pPr>
      <w:r w:rsidRPr="00CC4C24">
        <w:t>22.</w:t>
      </w:r>
      <w:r w:rsidRPr="00CC4C24">
        <w:tab/>
      </w:r>
      <w:r w:rsidRPr="00CC4C24">
        <w:rPr>
          <w:rFonts w:hint="eastAsia"/>
        </w:rPr>
        <w:t>委员会感到关切的是，据称缔约国以外交保证为由将寻求庇护者遣返或引渡至有充分理由相信他们有可能遭受酷刑或其他残忍、不人道或有辱人格的待遇或处罚的国家。委员会回顾，正如其关于参照《公约》第</w:t>
      </w:r>
      <w:r w:rsidRPr="00CC4C24">
        <w:t>22</w:t>
      </w:r>
      <w:r w:rsidRPr="00CC4C24">
        <w:rPr>
          <w:rFonts w:hint="eastAsia"/>
        </w:rPr>
        <w:t>条执行第</w:t>
      </w:r>
      <w:r w:rsidRPr="00CC4C24">
        <w:t>3</w:t>
      </w:r>
      <w:r w:rsidRPr="00CC4C24">
        <w:rPr>
          <w:rFonts w:hint="eastAsia"/>
        </w:rPr>
        <w:t>条的第</w:t>
      </w:r>
      <w:r w:rsidRPr="00CC4C24">
        <w:rPr>
          <w:rFonts w:hint="eastAsia"/>
        </w:rPr>
        <w:t>4</w:t>
      </w:r>
      <w:r w:rsidRPr="00CC4C24">
        <w:rPr>
          <w:rFonts w:hint="eastAsia"/>
        </w:rPr>
        <w:t>号一般性意见</w:t>
      </w:r>
      <w:r w:rsidRPr="00CC4C24">
        <w:t>(2017</w:t>
      </w:r>
      <w:r w:rsidRPr="00CC4C24">
        <w:rPr>
          <w:rFonts w:hint="eastAsia"/>
        </w:rPr>
        <w:t>年</w:t>
      </w:r>
      <w:r w:rsidRPr="00CC4C24">
        <w:t>)</w:t>
      </w:r>
      <w:r w:rsidRPr="00CC4C24">
        <w:rPr>
          <w:rFonts w:hint="eastAsia"/>
        </w:rPr>
        <w:t>第</w:t>
      </w:r>
      <w:r w:rsidRPr="00CC4C24">
        <w:rPr>
          <w:rFonts w:hint="eastAsia"/>
        </w:rPr>
        <w:t>2</w:t>
      </w:r>
      <w:r w:rsidRPr="00CC4C24">
        <w:t>0</w:t>
      </w:r>
      <w:r w:rsidRPr="00CC4C24">
        <w:rPr>
          <w:rFonts w:hint="eastAsia"/>
        </w:rPr>
        <w:t>段所述，不得以外交保证为借口，损害《公约》第</w:t>
      </w:r>
      <w:r w:rsidRPr="00CC4C24">
        <w:rPr>
          <w:rFonts w:hint="eastAsia"/>
        </w:rPr>
        <w:t>3</w:t>
      </w:r>
      <w:r w:rsidRPr="00CC4C24">
        <w:rPr>
          <w:rFonts w:hint="eastAsia"/>
        </w:rPr>
        <w:t>条规定的不推回原则</w:t>
      </w:r>
      <w:r w:rsidRPr="00CC4C24">
        <w:t>(</w:t>
      </w:r>
      <w:r w:rsidRPr="00CC4C24">
        <w:rPr>
          <w:rFonts w:hint="eastAsia"/>
        </w:rPr>
        <w:t>第</w:t>
      </w:r>
      <w:r w:rsidRPr="00CC4C24">
        <w:rPr>
          <w:rFonts w:hint="eastAsia"/>
        </w:rPr>
        <w:t>3</w:t>
      </w:r>
      <w:r w:rsidRPr="00CC4C24">
        <w:rPr>
          <w:rFonts w:hint="eastAsia"/>
        </w:rPr>
        <w:t>条</w:t>
      </w:r>
      <w:r w:rsidRPr="00CC4C24">
        <w:t>)</w:t>
      </w:r>
      <w:r w:rsidRPr="00CC4C24">
        <w:rPr>
          <w:rFonts w:hint="eastAsia"/>
        </w:rPr>
        <w:t>。</w:t>
      </w:r>
    </w:p>
    <w:p w14:paraId="7A886AC2" w14:textId="77777777" w:rsidR="00D231C7" w:rsidRPr="00CC4C24" w:rsidRDefault="00D231C7" w:rsidP="00D231C7">
      <w:pPr>
        <w:pStyle w:val="SingleTxtGC"/>
        <w:rPr>
          <w:rFonts w:eastAsia="黑体"/>
        </w:rPr>
      </w:pPr>
      <w:r w:rsidRPr="00CC4C24">
        <w:t>23.</w:t>
      </w:r>
      <w:r w:rsidRPr="00CC4C24">
        <w:tab/>
      </w:r>
      <w:r w:rsidRPr="00CC4C24">
        <w:rPr>
          <w:rFonts w:eastAsia="黑体" w:cs="LANTINGHEI SC DEMIBOLD" w:hint="eastAsia"/>
        </w:rPr>
        <w:t>就引渡和驱逐而言，缔约国如果有充分理由相信某人返回某国后有可能遭受酷刑或虐待，则应避免寻求和接受此类国家的外交保证。缔约国应对每个案件的情况进行彻底评估，包括遣返国或引渡国的总体酷刑情况。缔约国应确保在根据外交保证进行遣返或引渡的同时，对有关人员在接收国的情况进行持续和广泛的监测。</w:t>
      </w:r>
    </w:p>
    <w:p w14:paraId="5E748252" w14:textId="77777777" w:rsidR="00D231C7" w:rsidRPr="00CC4C24" w:rsidRDefault="00D231C7" w:rsidP="00A3564A">
      <w:pPr>
        <w:pStyle w:val="H23GC"/>
      </w:pPr>
      <w:r w:rsidRPr="00CC4C24">
        <w:tab/>
      </w:r>
      <w:r w:rsidRPr="00CC4C24">
        <w:tab/>
      </w:r>
      <w:r w:rsidRPr="00CC4C24">
        <w:t>拘留条件</w:t>
      </w:r>
    </w:p>
    <w:p w14:paraId="36B868B8" w14:textId="77777777" w:rsidR="00D231C7" w:rsidRPr="00CC4C24" w:rsidRDefault="00D231C7" w:rsidP="00D231C7">
      <w:pPr>
        <w:pStyle w:val="SingleTxtGC"/>
      </w:pPr>
      <w:r w:rsidRPr="00CC4C24">
        <w:t>24.</w:t>
      </w:r>
      <w:r w:rsidRPr="00CC4C24">
        <w:tab/>
      </w:r>
      <w:r w:rsidRPr="00CC4C24">
        <w:rPr>
          <w:rFonts w:hint="eastAsia"/>
        </w:rPr>
        <w:t>委员会赞赏缔约国努力避免监狱过度拥挤，包括建造新的惩教设施和使用替代性非监禁措施，并改善向囚犯提供的心理健康服务，但委员会仍感关切的是，有报告称，许多拘留场所仍然存在工作人员短缺的问题，这导致了被拘留者，特别是被审前拘留者被长时间关押，参加促进重返社会的娱乐和教育活动的机会有限。委员会感到关切的是，有报告称，由于保健工作人员和提供的适当培训不足，向有智力和</w:t>
      </w:r>
      <w:r w:rsidRPr="00CC4C24">
        <w:t>/</w:t>
      </w:r>
      <w:r w:rsidRPr="00CC4C24">
        <w:rPr>
          <w:rFonts w:hint="eastAsia"/>
        </w:rPr>
        <w:t>或社会心理残疾的被拘留者提供的保健服务，特别是心理健康服务不足，导致出现忽视情况。委员会还感到关切的是，存在让监狱官员参与履行保健职责的做法，这可能会破坏医疗保密性，损害对监狱保健工作人员专业独立性的看法。此外，委员会感到关切的是，对成年和青少年被拘留者继续使用单独监禁，并且在某些情况下长期使用此类做法</w:t>
      </w:r>
      <w:r w:rsidRPr="00CC4C24">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5B962805" w14:textId="77777777" w:rsidR="00D231C7" w:rsidRPr="00CC4C24" w:rsidRDefault="00D231C7" w:rsidP="00A3564A">
      <w:pPr>
        <w:pStyle w:val="SingleTxtGC"/>
        <w:keepNext/>
        <w:rPr>
          <w:rFonts w:eastAsia="黑体"/>
        </w:rPr>
      </w:pPr>
      <w:r w:rsidRPr="00CC4C24">
        <w:lastRenderedPageBreak/>
        <w:t>25.</w:t>
      </w:r>
      <w:r w:rsidRPr="00CC4C24">
        <w:tab/>
      </w:r>
      <w:r w:rsidRPr="00CC4C24">
        <w:rPr>
          <w:rFonts w:eastAsia="黑体" w:cs="LANTINGHEI SC DEMIBOLD" w:hint="eastAsia"/>
        </w:rPr>
        <w:t>缔约国应：</w:t>
      </w:r>
    </w:p>
    <w:p w14:paraId="2A8A251B" w14:textId="77777777" w:rsidR="00D231C7" w:rsidRPr="00CC4C24" w:rsidRDefault="00D231C7" w:rsidP="00D231C7">
      <w:pPr>
        <w:pStyle w:val="SingleTxtGC"/>
        <w:rPr>
          <w:rFonts w:eastAsia="黑体"/>
        </w:rPr>
      </w:pPr>
      <w:r w:rsidRPr="00CC4C24">
        <w:tab/>
      </w:r>
      <w:bookmarkStart w:id="4" w:name="_Hlk141352827"/>
      <w:r w:rsidRPr="00CC4C24">
        <w:t>(a)</w:t>
      </w:r>
      <w:r w:rsidRPr="00CC4C24">
        <w:tab/>
      </w:r>
      <w:bookmarkEnd w:id="4"/>
      <w:r w:rsidRPr="00CC4C24">
        <w:rPr>
          <w:rFonts w:eastAsia="黑体"/>
        </w:rPr>
        <w:t>继续努力改善所有剥夺自由场所的拘留条件，防止监狱机构和其他拘留设施过度拥挤，包括</w:t>
      </w:r>
      <w:r w:rsidRPr="00CC4C24">
        <w:rPr>
          <w:rFonts w:eastAsia="黑体" w:hint="eastAsia"/>
        </w:rPr>
        <w:t>更广泛地</w:t>
      </w:r>
      <w:r w:rsidRPr="00CC4C24">
        <w:rPr>
          <w:rFonts w:eastAsia="黑体"/>
        </w:rPr>
        <w:t>采用非监禁措施。在这方面，委员会提请缔约国注意《联合国囚犯待遇最低限度标准规则》</w:t>
      </w:r>
      <w:r w:rsidRPr="00CC4C24">
        <w:rPr>
          <w:rFonts w:eastAsia="黑体"/>
        </w:rPr>
        <w:t>(</w:t>
      </w:r>
      <w:r w:rsidRPr="00CC4C24">
        <w:rPr>
          <w:rFonts w:eastAsia="黑体"/>
        </w:rPr>
        <w:t>《纳尔逊</w:t>
      </w:r>
      <w:r w:rsidRPr="00DE732E">
        <w:rPr>
          <w:rFonts w:ascii="黑体" w:eastAsia="黑体" w:hAnsi="黑体" w:cs="黑体" w:hint="eastAsia"/>
        </w:rPr>
        <w:t>·</w:t>
      </w:r>
      <w:r w:rsidRPr="00CC4C24">
        <w:rPr>
          <w:rFonts w:eastAsia="黑体"/>
        </w:rPr>
        <w:t>曼德拉规则》</w:t>
      </w:r>
      <w:r w:rsidRPr="00CC4C24">
        <w:rPr>
          <w:rFonts w:eastAsia="黑体"/>
        </w:rPr>
        <w:t>)</w:t>
      </w:r>
      <w:r w:rsidRPr="00CC4C24">
        <w:rPr>
          <w:rFonts w:eastAsia="黑体"/>
        </w:rPr>
        <w:t>、《联合国非拘禁措施最低限度标准规则》</w:t>
      </w:r>
      <w:r w:rsidRPr="00CC4C24">
        <w:rPr>
          <w:rFonts w:eastAsia="黑体"/>
        </w:rPr>
        <w:t>(</w:t>
      </w:r>
      <w:r w:rsidRPr="00CC4C24">
        <w:rPr>
          <w:rFonts w:eastAsia="黑体"/>
        </w:rPr>
        <w:t>《东京规则》</w:t>
      </w:r>
      <w:r w:rsidRPr="00CC4C24">
        <w:rPr>
          <w:rFonts w:eastAsia="黑体"/>
        </w:rPr>
        <w:t>)</w:t>
      </w:r>
      <w:r w:rsidRPr="00CC4C24">
        <w:rPr>
          <w:rFonts w:eastAsia="黑体"/>
        </w:rPr>
        <w:t>和《联合国女性囚犯待遇和女性罪犯非监禁措施规则》</w:t>
      </w:r>
      <w:r w:rsidRPr="00CC4C24">
        <w:rPr>
          <w:rFonts w:eastAsia="黑体"/>
        </w:rPr>
        <w:t>(</w:t>
      </w:r>
      <w:r w:rsidRPr="00CC4C24">
        <w:rPr>
          <w:rFonts w:eastAsia="黑体"/>
        </w:rPr>
        <w:t>《曼谷规则》</w:t>
      </w:r>
      <w:r w:rsidRPr="00CC4C24">
        <w:rPr>
          <w:rFonts w:eastAsia="黑体"/>
        </w:rPr>
        <w:t>)</w:t>
      </w:r>
      <w:r w:rsidRPr="00CC4C24">
        <w:rPr>
          <w:rFonts w:eastAsia="黑体"/>
        </w:rPr>
        <w:t>；</w:t>
      </w:r>
    </w:p>
    <w:p w14:paraId="10BE35C2"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增加训练有素和合格的监狱工作人员，包括医务人员的人数；</w:t>
      </w:r>
    </w:p>
    <w:p w14:paraId="6C2108C0"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更好地为所有被剥夺自由者，特别是有智力和</w:t>
      </w:r>
      <w:r w:rsidRPr="00CC4C24">
        <w:rPr>
          <w:rFonts w:eastAsia="黑体"/>
        </w:rPr>
        <w:t>/</w:t>
      </w:r>
      <w:r w:rsidRPr="00CC4C24">
        <w:rPr>
          <w:rFonts w:eastAsia="黑体"/>
        </w:rPr>
        <w:t>或社会心理残疾的被剥夺自由者提供适合其性别和年龄</w:t>
      </w:r>
      <w:r w:rsidRPr="00CC4C24">
        <w:rPr>
          <w:rFonts w:eastAsia="黑体" w:hint="eastAsia"/>
        </w:rPr>
        <w:t>并</w:t>
      </w:r>
      <w:r w:rsidRPr="00CC4C24">
        <w:rPr>
          <w:rFonts w:eastAsia="黑体"/>
        </w:rPr>
        <w:t>符合其文化习俗的医疗服务，包括心理健康服务；</w:t>
      </w:r>
    </w:p>
    <w:p w14:paraId="4A598D35" w14:textId="77777777" w:rsidR="00D231C7" w:rsidRPr="00CC4C24" w:rsidRDefault="00D231C7" w:rsidP="00D231C7">
      <w:pPr>
        <w:pStyle w:val="SingleTxtGC"/>
        <w:rPr>
          <w:rFonts w:eastAsia="黑体"/>
        </w:rPr>
      </w:pPr>
      <w:r w:rsidRPr="00CC4C24">
        <w:rPr>
          <w:rFonts w:eastAsia="黑体"/>
        </w:rPr>
        <w:tab/>
        <w:t>(d)</w:t>
      </w:r>
      <w:r w:rsidRPr="00CC4C24">
        <w:rPr>
          <w:rFonts w:eastAsia="黑体"/>
        </w:rPr>
        <w:tab/>
      </w:r>
      <w:r w:rsidRPr="00CC4C24">
        <w:rPr>
          <w:rFonts w:eastAsia="黑体"/>
        </w:rPr>
        <w:t>保障囚犯医疗信息的隐私和保密性，特别是确保由合格的保健专业人员履行保健职责，对囚犯进行体检时没有监狱官员在场，除非医生提出这一要求；</w:t>
      </w:r>
    </w:p>
    <w:p w14:paraId="688B13FA" w14:textId="77777777" w:rsidR="00D231C7" w:rsidRPr="00CC4C24" w:rsidRDefault="00D231C7" w:rsidP="00D231C7">
      <w:pPr>
        <w:pStyle w:val="SingleTxtGC"/>
        <w:rPr>
          <w:rFonts w:eastAsia="黑体"/>
        </w:rPr>
      </w:pPr>
      <w:r w:rsidRPr="00CC4C24">
        <w:rPr>
          <w:rFonts w:eastAsia="黑体"/>
        </w:rPr>
        <w:tab/>
        <w:t>(e)</w:t>
      </w:r>
      <w:r w:rsidRPr="00CC4C24">
        <w:rPr>
          <w:rFonts w:eastAsia="黑体"/>
        </w:rPr>
        <w:tab/>
      </w:r>
      <w:r w:rsidRPr="00CC4C24">
        <w:rPr>
          <w:rFonts w:eastAsia="黑体"/>
        </w:rPr>
        <w:t>采取切实措施，改善缺乏有意义的娱乐和教育活动的情况，促进被拘留者，特别是被审前拘留者重返社会；</w:t>
      </w:r>
    </w:p>
    <w:p w14:paraId="3A8A42F9" w14:textId="77777777" w:rsidR="00D231C7" w:rsidRPr="00CC4C24" w:rsidRDefault="00D231C7" w:rsidP="00D231C7">
      <w:pPr>
        <w:pStyle w:val="SingleTxtGC"/>
        <w:rPr>
          <w:rFonts w:eastAsia="黑体"/>
        </w:rPr>
      </w:pPr>
      <w:r w:rsidRPr="00CC4C24">
        <w:rPr>
          <w:rFonts w:eastAsia="黑体"/>
        </w:rPr>
        <w:tab/>
        <w:t>(f)</w:t>
      </w:r>
      <w:r w:rsidRPr="00CC4C24">
        <w:rPr>
          <w:rFonts w:eastAsia="黑体"/>
        </w:rPr>
        <w:tab/>
      </w:r>
      <w:r w:rsidRPr="00CC4C24">
        <w:rPr>
          <w:rFonts w:eastAsia="黑体"/>
        </w:rPr>
        <w:t>根据《纳尔逊</w:t>
      </w:r>
      <w:r w:rsidRPr="00A3564A">
        <w:rPr>
          <w:rFonts w:ascii="黑体" w:eastAsia="黑体" w:hAnsi="黑体" w:cs="黑体" w:hint="eastAsia"/>
        </w:rPr>
        <w:t>·</w:t>
      </w:r>
      <w:r w:rsidRPr="00CC4C24">
        <w:rPr>
          <w:rFonts w:eastAsia="黑体"/>
        </w:rPr>
        <w:t>曼德拉规则》</w:t>
      </w:r>
      <w:r w:rsidRPr="00CC4C24">
        <w:rPr>
          <w:rFonts w:eastAsia="黑体" w:hint="eastAsia"/>
        </w:rPr>
        <w:t>规则</w:t>
      </w:r>
      <w:r w:rsidRPr="00CC4C24">
        <w:rPr>
          <w:rFonts w:eastAsia="黑体"/>
        </w:rPr>
        <w:t>45(1)</w:t>
      </w:r>
      <w:r w:rsidRPr="00CC4C24">
        <w:rPr>
          <w:rFonts w:eastAsia="黑体"/>
        </w:rPr>
        <w:t>，确保单独监禁仅在特殊情况下作为最后手段使用，时间尽可能短</w:t>
      </w:r>
      <w:r w:rsidRPr="00CC4C24">
        <w:rPr>
          <w:rFonts w:eastAsia="黑体"/>
        </w:rPr>
        <w:t>(</w:t>
      </w:r>
      <w:r w:rsidRPr="00CC4C24">
        <w:rPr>
          <w:rFonts w:eastAsia="黑体"/>
        </w:rPr>
        <w:t>在任何情况下不得将成年人连续单独监禁超过</w:t>
      </w:r>
      <w:r w:rsidRPr="00CC4C24">
        <w:rPr>
          <w:rFonts w:eastAsia="黑体"/>
        </w:rPr>
        <w:t>15</w:t>
      </w:r>
      <w:r w:rsidRPr="00CC4C24">
        <w:rPr>
          <w:rFonts w:eastAsia="黑体"/>
        </w:rPr>
        <w:t>天</w:t>
      </w:r>
      <w:r w:rsidRPr="00CC4C24">
        <w:rPr>
          <w:rFonts w:eastAsia="黑体"/>
        </w:rPr>
        <w:t>)</w:t>
      </w:r>
      <w:r w:rsidRPr="00CC4C24">
        <w:rPr>
          <w:rFonts w:eastAsia="黑体"/>
        </w:rPr>
        <w:t>，接受独立审查，且应得到主管部门授权。缔约国还应确保单独监禁的情况</w:t>
      </w:r>
      <w:r w:rsidRPr="00CC4C24">
        <w:rPr>
          <w:rFonts w:eastAsia="黑体" w:hint="eastAsia"/>
        </w:rPr>
        <w:t>得到</w:t>
      </w:r>
      <w:r w:rsidRPr="00CC4C24">
        <w:rPr>
          <w:rFonts w:eastAsia="黑体"/>
        </w:rPr>
        <w:t>适当登记和记录。委员会希望提请缔约国注意《纳尔逊</w:t>
      </w:r>
      <w:r w:rsidRPr="00DE732E">
        <w:rPr>
          <w:rFonts w:ascii="黑体" w:eastAsia="黑体" w:hAnsi="黑体" w:cs="黑体" w:hint="eastAsia"/>
        </w:rPr>
        <w:t>·</w:t>
      </w:r>
      <w:r w:rsidRPr="00CC4C24">
        <w:rPr>
          <w:rFonts w:eastAsia="黑体"/>
        </w:rPr>
        <w:t>曼德拉规则》</w:t>
      </w:r>
      <w:r w:rsidRPr="00CC4C24">
        <w:rPr>
          <w:rFonts w:eastAsia="黑体" w:hint="eastAsia"/>
        </w:rPr>
        <w:t>规则</w:t>
      </w:r>
      <w:r w:rsidRPr="00CC4C24">
        <w:rPr>
          <w:rFonts w:eastAsia="黑体"/>
        </w:rPr>
        <w:t>45</w:t>
      </w:r>
      <w:r w:rsidRPr="00CC4C24">
        <w:rPr>
          <w:rFonts w:eastAsia="黑体" w:hint="eastAsia"/>
        </w:rPr>
        <w:t>(</w:t>
      </w:r>
      <w:r w:rsidRPr="00CC4C24">
        <w:rPr>
          <w:rFonts w:eastAsia="黑体"/>
        </w:rPr>
        <w:t>2)</w:t>
      </w:r>
      <w:r w:rsidRPr="00CC4C24">
        <w:rPr>
          <w:rFonts w:eastAsia="黑体"/>
        </w:rPr>
        <w:t>，该条规定，如果有智力和</w:t>
      </w:r>
      <w:r w:rsidRPr="00CC4C24">
        <w:rPr>
          <w:rFonts w:eastAsia="黑体"/>
        </w:rPr>
        <w:t>/</w:t>
      </w:r>
      <w:r w:rsidRPr="00CC4C24">
        <w:rPr>
          <w:rFonts w:eastAsia="黑体"/>
        </w:rPr>
        <w:t>或社会心理或身体残疾的囚犯的状况</w:t>
      </w:r>
      <w:r w:rsidRPr="00CC4C24">
        <w:rPr>
          <w:rFonts w:eastAsia="黑体" w:hint="eastAsia"/>
        </w:rPr>
        <w:t>可能因单独监禁而</w:t>
      </w:r>
      <w:r w:rsidRPr="00CC4C24">
        <w:rPr>
          <w:rFonts w:eastAsia="黑体"/>
        </w:rPr>
        <w:t>恶化，则应禁止</w:t>
      </w:r>
      <w:r w:rsidRPr="00CC4C24">
        <w:rPr>
          <w:rFonts w:eastAsia="黑体" w:hint="eastAsia"/>
        </w:rPr>
        <w:t>采取此类措施</w:t>
      </w:r>
      <w:r w:rsidRPr="00CC4C24">
        <w:rPr>
          <w:rFonts w:eastAsia="黑体"/>
        </w:rPr>
        <w:t>。此外，《纳尔逊</w:t>
      </w:r>
      <w:r w:rsidRPr="00DE732E">
        <w:rPr>
          <w:rFonts w:ascii="黑体" w:eastAsia="黑体" w:hAnsi="黑体" w:cs="黑体" w:hint="eastAsia"/>
        </w:rPr>
        <w:t>·</w:t>
      </w:r>
      <w:r w:rsidRPr="00CC4C24">
        <w:rPr>
          <w:rFonts w:eastAsia="黑体"/>
        </w:rPr>
        <w:t>曼德拉规则》</w:t>
      </w:r>
      <w:r w:rsidRPr="00CC4C24">
        <w:rPr>
          <w:rFonts w:eastAsia="黑体" w:hint="eastAsia"/>
        </w:rPr>
        <w:t>规则</w:t>
      </w:r>
      <w:r w:rsidRPr="00CC4C24">
        <w:rPr>
          <w:rFonts w:eastAsia="黑体"/>
        </w:rPr>
        <w:t>43</w:t>
      </w:r>
      <w:r w:rsidRPr="00CC4C24">
        <w:rPr>
          <w:rFonts w:eastAsia="黑体" w:hint="eastAsia"/>
        </w:rPr>
        <w:t>(</w:t>
      </w:r>
      <w:r w:rsidRPr="00CC4C24">
        <w:rPr>
          <w:rFonts w:eastAsia="黑体"/>
        </w:rPr>
        <w:t>3)</w:t>
      </w:r>
      <w:r w:rsidRPr="00CC4C24">
        <w:rPr>
          <w:rFonts w:eastAsia="黑体"/>
        </w:rPr>
        <w:t>规定，纪律处罚或限制措施不得包括禁止与家人</w:t>
      </w:r>
      <w:r w:rsidRPr="00CC4C24">
        <w:rPr>
          <w:rFonts w:eastAsia="黑体" w:hint="eastAsia"/>
        </w:rPr>
        <w:t>联系</w:t>
      </w:r>
      <w:r w:rsidRPr="00CC4C24">
        <w:rPr>
          <w:rFonts w:eastAsia="黑体"/>
        </w:rPr>
        <w:t>，只能严格出于维护安全和秩序的必要，在有限时间内</w:t>
      </w:r>
      <w:r w:rsidRPr="00CC4C24">
        <w:rPr>
          <w:rFonts w:eastAsia="黑体" w:hint="eastAsia"/>
        </w:rPr>
        <w:t>限制与</w:t>
      </w:r>
      <w:r w:rsidRPr="00CC4C24">
        <w:rPr>
          <w:rFonts w:eastAsia="黑体"/>
        </w:rPr>
        <w:t>家人</w:t>
      </w:r>
      <w:r w:rsidRPr="00CC4C24">
        <w:rPr>
          <w:rFonts w:eastAsia="黑体" w:hint="eastAsia"/>
        </w:rPr>
        <w:t>联系的方式</w:t>
      </w:r>
      <w:r w:rsidRPr="00CC4C24">
        <w:rPr>
          <w:rFonts w:eastAsia="黑体"/>
        </w:rPr>
        <w:t>。</w:t>
      </w:r>
    </w:p>
    <w:p w14:paraId="65382C89" w14:textId="77777777" w:rsidR="00D231C7" w:rsidRPr="00CC4C24" w:rsidRDefault="00D231C7" w:rsidP="00A3564A">
      <w:pPr>
        <w:pStyle w:val="H23GC"/>
      </w:pPr>
      <w:r w:rsidRPr="00CC4C24">
        <w:tab/>
      </w:r>
      <w:r w:rsidRPr="00CC4C24">
        <w:tab/>
      </w:r>
      <w:r w:rsidRPr="00CC4C24">
        <w:rPr>
          <w:rFonts w:hint="eastAsia"/>
        </w:rPr>
        <w:t>羁</w:t>
      </w:r>
      <w:r w:rsidRPr="00CC4C24">
        <w:t>押</w:t>
      </w:r>
      <w:r w:rsidRPr="00CC4C24">
        <w:rPr>
          <w:rFonts w:hint="eastAsia"/>
        </w:rPr>
        <w:t>期间</w:t>
      </w:r>
      <w:r w:rsidRPr="00CC4C24">
        <w:t>死亡</w:t>
      </w:r>
    </w:p>
    <w:p w14:paraId="37117B0E" w14:textId="77777777" w:rsidR="00D231C7" w:rsidRPr="00CC4C24" w:rsidRDefault="00D231C7" w:rsidP="00D231C7">
      <w:pPr>
        <w:pStyle w:val="SingleTxtGC"/>
      </w:pPr>
      <w:r w:rsidRPr="00CC4C24">
        <w:t>26.</w:t>
      </w:r>
      <w:r w:rsidRPr="00CC4C24">
        <w:tab/>
      </w:r>
      <w:r w:rsidRPr="00CC4C24">
        <w:rPr>
          <w:rFonts w:hint="eastAsia"/>
        </w:rPr>
        <w:t>委员会注意到，缔约国提供的资料介绍了为有吸毒或用药紊乱症的被剥夺自由者提供的护理方案以及预防自杀方案，但委员会感到关切的是，奥地利监狱中的自杀和其他突然死亡的人数最近有所增加，据报告，这是因为缺乏适当的医疗援助和治疗，特别是缺乏面向有心理健康问题者的此类服务</w:t>
      </w:r>
      <w:r w:rsidRPr="00CC4C24">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rPr>
          <w:rFonts w:hint="eastAsia"/>
        </w:rPr>
        <w:t>)</w:t>
      </w:r>
      <w:r w:rsidRPr="00CC4C24">
        <w:rPr>
          <w:rFonts w:hint="eastAsia"/>
        </w:rPr>
        <w:t>。</w:t>
      </w:r>
    </w:p>
    <w:p w14:paraId="34AAA885" w14:textId="77777777" w:rsidR="00D231C7" w:rsidRPr="00CC4C24" w:rsidRDefault="00D231C7" w:rsidP="00D231C7">
      <w:pPr>
        <w:pStyle w:val="SingleTxtGC"/>
        <w:rPr>
          <w:rFonts w:eastAsia="黑体"/>
        </w:rPr>
      </w:pPr>
      <w:r w:rsidRPr="00CC4C24">
        <w:t>27.</w:t>
      </w:r>
      <w:r w:rsidRPr="00CC4C24">
        <w:tab/>
      </w:r>
      <w:r w:rsidRPr="00CC4C24">
        <w:rPr>
          <w:rFonts w:eastAsia="黑体" w:cs="LANTINGHEI SC DEMIBOLD" w:hint="eastAsia"/>
        </w:rPr>
        <w:t>缔约国应：</w:t>
      </w:r>
    </w:p>
    <w:p w14:paraId="120FC764" w14:textId="77777777" w:rsidR="00D231C7" w:rsidRPr="00CC4C24" w:rsidRDefault="00D231C7" w:rsidP="00D231C7">
      <w:pPr>
        <w:pStyle w:val="SingleTxtGC"/>
        <w:rPr>
          <w:rFonts w:eastAsia="黑体"/>
        </w:rPr>
      </w:pPr>
      <w:r w:rsidRPr="00CC4C24">
        <w:tab/>
        <w:t>(a)</w:t>
      </w:r>
      <w:r w:rsidRPr="00CC4C24">
        <w:tab/>
      </w:r>
      <w:r w:rsidRPr="00CC4C24">
        <w:rPr>
          <w:rFonts w:eastAsia="黑体"/>
        </w:rPr>
        <w:t>确保由独立实体对所有羁押期间死亡事件进行迅速、有效和公正的调查，包括根据《关于调查潜在非法死亡的明尼苏达规程》进行独立的法医检查，酌情</w:t>
      </w:r>
      <w:r w:rsidRPr="00CC4C24">
        <w:rPr>
          <w:rFonts w:eastAsia="黑体" w:hint="eastAsia"/>
        </w:rPr>
        <w:t>予以相应</w:t>
      </w:r>
      <w:r w:rsidRPr="00CC4C24">
        <w:rPr>
          <w:rFonts w:eastAsia="黑体"/>
        </w:rPr>
        <w:t>处罚，并向家属提供公平和充分的赔偿；</w:t>
      </w:r>
    </w:p>
    <w:p w14:paraId="02610F57"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根据《纳尔逊</w:t>
      </w:r>
      <w:r w:rsidRPr="002678F8">
        <w:rPr>
          <w:rFonts w:ascii="黑体" w:eastAsia="黑体" w:hAnsi="黑体" w:cs="黑体" w:hint="eastAsia"/>
        </w:rPr>
        <w:t>·</w:t>
      </w:r>
      <w:r w:rsidRPr="00CC4C24">
        <w:rPr>
          <w:rFonts w:eastAsia="黑体"/>
        </w:rPr>
        <w:t>曼德拉规则》</w:t>
      </w:r>
      <w:r w:rsidRPr="00CC4C24">
        <w:rPr>
          <w:rFonts w:eastAsia="黑体" w:hint="eastAsia"/>
        </w:rPr>
        <w:t>规则</w:t>
      </w:r>
      <w:r w:rsidRPr="00CC4C24">
        <w:rPr>
          <w:rFonts w:eastAsia="黑体"/>
        </w:rPr>
        <w:t>24</w:t>
      </w:r>
      <w:r w:rsidRPr="00CC4C24">
        <w:rPr>
          <w:rFonts w:eastAsia="黑体"/>
        </w:rPr>
        <w:t>至</w:t>
      </w:r>
      <w:r w:rsidRPr="00CC4C24">
        <w:rPr>
          <w:rFonts w:eastAsia="黑体"/>
        </w:rPr>
        <w:t>35,</w:t>
      </w:r>
      <w:r>
        <w:rPr>
          <w:rFonts w:eastAsia="黑体"/>
        </w:rPr>
        <w:t xml:space="preserve"> </w:t>
      </w:r>
      <w:r w:rsidRPr="00CC4C24">
        <w:rPr>
          <w:rFonts w:eastAsia="黑体"/>
        </w:rPr>
        <w:t>确保为监狱分配必要的人力和物力资源，为囚犯提供适当保健，包括精神保健，评估和评价预防、发现和治疗监狱中慢性、退行性和传染性疾病的现有预防、监测和治疗方案，并重新评估预防自杀和自残战略的有效性；</w:t>
      </w:r>
    </w:p>
    <w:p w14:paraId="60961F12"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汇编所有拘留场所死亡事件</w:t>
      </w:r>
      <w:r w:rsidRPr="00CC4C24">
        <w:rPr>
          <w:rFonts w:eastAsia="黑体" w:hint="eastAsia"/>
        </w:rPr>
        <w:t>及其</w:t>
      </w:r>
      <w:r w:rsidRPr="00CC4C24">
        <w:rPr>
          <w:rFonts w:eastAsia="黑体"/>
        </w:rPr>
        <w:t>原因和调查结果的详细资料。</w:t>
      </w:r>
    </w:p>
    <w:p w14:paraId="7A32E4A8" w14:textId="6FE280A2" w:rsidR="00D231C7" w:rsidRPr="00CC4C24" w:rsidRDefault="00D231C7" w:rsidP="00A3564A">
      <w:pPr>
        <w:pStyle w:val="H23GC"/>
      </w:pPr>
      <w:r w:rsidRPr="00CC4C24">
        <w:lastRenderedPageBreak/>
        <w:tab/>
      </w:r>
      <w:r w:rsidRPr="00CC4C24">
        <w:tab/>
      </w:r>
      <w:r w:rsidRPr="00CC4C24">
        <w:rPr>
          <w:rFonts w:cs="LANTINGHEI SC DEMIBOLD"/>
        </w:rPr>
        <w:t>少年司法</w:t>
      </w:r>
    </w:p>
    <w:p w14:paraId="0D7B0030" w14:textId="77777777" w:rsidR="00D231C7" w:rsidRPr="00CC4C24" w:rsidRDefault="00D231C7" w:rsidP="00D231C7">
      <w:pPr>
        <w:pStyle w:val="SingleTxtGC"/>
      </w:pPr>
      <w:r w:rsidRPr="00CC4C24">
        <w:t>28.</w:t>
      </w:r>
      <w:r w:rsidRPr="00CC4C24">
        <w:tab/>
      </w:r>
      <w:r w:rsidRPr="00CC4C24">
        <w:rPr>
          <w:rFonts w:hint="eastAsia"/>
        </w:rPr>
        <w:t>委员会注意到缔约国采取了各种措施改善违法儿童的状况，但仍感关切的是，有报告称缔约国的少年司法制度存在缺陷。委员会尤感关切的是，被拘留儿童有时受到具有潜在危险的约束，并被单独监禁。委员会还感到关切的是，在实践中没有对青少年充分采用审前拘留替代办法</w:t>
      </w:r>
      <w:r w:rsidRPr="00CC4C24">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42C2EE5B" w14:textId="77777777" w:rsidR="00D231C7" w:rsidRPr="00CC4C24" w:rsidRDefault="00D231C7" w:rsidP="00D231C7">
      <w:pPr>
        <w:pStyle w:val="SingleTxtGC"/>
        <w:rPr>
          <w:rFonts w:eastAsia="黑体"/>
        </w:rPr>
      </w:pPr>
      <w:r w:rsidRPr="00CC4C24">
        <w:t>29.</w:t>
      </w:r>
      <w:r w:rsidRPr="00CC4C24">
        <w:tab/>
      </w:r>
      <w:r w:rsidRPr="00CC4C24">
        <w:rPr>
          <w:rFonts w:eastAsia="黑体"/>
        </w:rPr>
        <w:t>缔约国应使其少年司法制度完全符合《联合国保护被剥夺自由少年规则》和《联合国少年司法最低限度标准规则》</w:t>
      </w:r>
      <w:r w:rsidRPr="00CC4C24">
        <w:rPr>
          <w:rFonts w:eastAsia="黑体"/>
        </w:rPr>
        <w:t>(</w:t>
      </w:r>
      <w:r w:rsidRPr="00CC4C24">
        <w:rPr>
          <w:rFonts w:eastAsia="黑体"/>
        </w:rPr>
        <w:t>《北京规则》</w:t>
      </w:r>
      <w:r w:rsidRPr="00CC4C24">
        <w:rPr>
          <w:rFonts w:eastAsia="黑体"/>
        </w:rPr>
        <w:t>)</w:t>
      </w:r>
      <w:r w:rsidRPr="00CC4C24">
        <w:rPr>
          <w:rFonts w:eastAsia="黑体"/>
        </w:rPr>
        <w:t>。具体而言，缔约国应：</w:t>
      </w:r>
    </w:p>
    <w:p w14:paraId="4B3EE662" w14:textId="77777777" w:rsidR="00D231C7" w:rsidRPr="00CC4C24" w:rsidRDefault="00D231C7" w:rsidP="00D231C7">
      <w:pPr>
        <w:pStyle w:val="SingleTxtGC"/>
        <w:rPr>
          <w:rFonts w:eastAsia="黑体"/>
        </w:rPr>
      </w:pPr>
      <w:r w:rsidRPr="00CC4C24">
        <w:rPr>
          <w:rFonts w:eastAsia="黑体"/>
        </w:rPr>
        <w:tab/>
        <w:t>(a)</w:t>
      </w:r>
      <w:r w:rsidRPr="00CC4C24">
        <w:rPr>
          <w:rFonts w:eastAsia="黑体"/>
        </w:rPr>
        <w:tab/>
      </w:r>
      <w:r w:rsidRPr="00CC4C24">
        <w:rPr>
          <w:rFonts w:eastAsia="黑体"/>
        </w:rPr>
        <w:t>继续促进对被控犯有刑事罪的儿童</w:t>
      </w:r>
      <w:r w:rsidRPr="00CC4C24">
        <w:rPr>
          <w:rFonts w:eastAsia="黑体" w:hint="eastAsia"/>
        </w:rPr>
        <w:t>采用</w:t>
      </w:r>
      <w:r w:rsidRPr="00CC4C24">
        <w:rPr>
          <w:rFonts w:eastAsia="黑体"/>
        </w:rPr>
        <w:t>非司法措施，如转送和调解，并尽可能</w:t>
      </w:r>
      <w:r w:rsidRPr="00CC4C24">
        <w:rPr>
          <w:rFonts w:eastAsia="黑体" w:hint="eastAsia"/>
        </w:rPr>
        <w:t>采用</w:t>
      </w:r>
      <w:r w:rsidRPr="00CC4C24">
        <w:rPr>
          <w:rFonts w:eastAsia="黑体"/>
        </w:rPr>
        <w:t>非监禁措施，如缓刑或社区服务；</w:t>
      </w:r>
    </w:p>
    <w:p w14:paraId="471928D3"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确保儿童的拘留条件符合国际标准，特别是确保包括人身</w:t>
      </w:r>
      <w:r w:rsidRPr="00CC4C24">
        <w:rPr>
          <w:rFonts w:eastAsia="黑体" w:hint="eastAsia"/>
        </w:rPr>
        <w:t>约束</w:t>
      </w:r>
      <w:r w:rsidRPr="00CC4C24">
        <w:rPr>
          <w:rFonts w:eastAsia="黑体"/>
        </w:rPr>
        <w:t>在内的</w:t>
      </w:r>
      <w:r w:rsidRPr="00CC4C24">
        <w:rPr>
          <w:rFonts w:eastAsia="黑体" w:hint="eastAsia"/>
        </w:rPr>
        <w:t>强制手段</w:t>
      </w:r>
      <w:r w:rsidRPr="00CC4C24">
        <w:rPr>
          <w:rFonts w:eastAsia="黑体"/>
        </w:rPr>
        <w:t>仅在绝对必要和相称的情况下作为最后手段使用，立即停止单独监禁做法，迅速调查所有凌辱和虐待案件，并适当制裁施害者；</w:t>
      </w:r>
    </w:p>
    <w:p w14:paraId="2B3FFDB8"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确保</w:t>
      </w:r>
      <w:r w:rsidRPr="00CC4C24">
        <w:rPr>
          <w:rFonts w:eastAsia="黑体" w:hint="eastAsia"/>
        </w:rPr>
        <w:t>审前拘留仅在根据个人情况确定绝对必要和相称的条件下</w:t>
      </w:r>
      <w:r w:rsidRPr="00CC4C24">
        <w:rPr>
          <w:rFonts w:eastAsia="黑体"/>
        </w:rPr>
        <w:t>作为最后手段使用，</w:t>
      </w:r>
      <w:r w:rsidRPr="00CC4C24">
        <w:rPr>
          <w:rFonts w:eastAsia="黑体" w:hint="eastAsia"/>
        </w:rPr>
        <w:t>时间</w:t>
      </w:r>
      <w:r w:rsidRPr="00CC4C24">
        <w:rPr>
          <w:rFonts w:eastAsia="黑体"/>
        </w:rPr>
        <w:t>尽可能短，并对此类拘留进行定期审查，以期撤销。</w:t>
      </w:r>
    </w:p>
    <w:p w14:paraId="50F5583B" w14:textId="77777777" w:rsidR="00D231C7" w:rsidRPr="00CC4C24" w:rsidRDefault="00D231C7" w:rsidP="00A3564A">
      <w:pPr>
        <w:pStyle w:val="H23GC"/>
      </w:pPr>
      <w:r w:rsidRPr="00CC4C24">
        <w:tab/>
      </w:r>
      <w:r w:rsidRPr="00CC4C24">
        <w:tab/>
      </w:r>
      <w:r w:rsidRPr="00CC4C24">
        <w:rPr>
          <w:rFonts w:hint="eastAsia"/>
        </w:rPr>
        <w:t>驱逐出境前的拘留</w:t>
      </w:r>
    </w:p>
    <w:p w14:paraId="6F46A7D9" w14:textId="77777777" w:rsidR="00D231C7" w:rsidRPr="00CC4C24" w:rsidRDefault="00D231C7" w:rsidP="00D231C7">
      <w:pPr>
        <w:pStyle w:val="SingleTxtGC"/>
      </w:pPr>
      <w:r w:rsidRPr="00CC4C24">
        <w:t>30.</w:t>
      </w:r>
      <w:r w:rsidRPr="00CC4C24">
        <w:tab/>
      </w:r>
      <w:r w:rsidRPr="00CC4C24">
        <w:rPr>
          <w:rFonts w:hint="eastAsia"/>
        </w:rPr>
        <w:t>委员会欢迎缔约国对驱逐出境前的拘留实行“开放性管理”制度，但感到关切的是，有报告称，一些设施内的拘留物质条件恶劣，并且由于长期人手不足，无法获得适当的保健服务，包括心理健康服务。委员会还感到关切的是，有报告称，有心理健康问题的人被长期关押在所谓的安全牢房，据报告，他们被剥夺了有意义的人际接触，很少有机会到户外活动</w:t>
      </w:r>
      <w:r w:rsidRPr="00CC4C24">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04A21690" w14:textId="77777777" w:rsidR="00D231C7" w:rsidRPr="00CC4C24" w:rsidRDefault="00D231C7" w:rsidP="00D231C7">
      <w:pPr>
        <w:pStyle w:val="SingleTxtGC"/>
        <w:rPr>
          <w:rFonts w:eastAsia="黑体"/>
        </w:rPr>
      </w:pPr>
      <w:r w:rsidRPr="00CC4C24">
        <w:t>31.</w:t>
      </w:r>
      <w:r w:rsidRPr="00CC4C24">
        <w:tab/>
      </w:r>
      <w:r w:rsidRPr="00CC4C24">
        <w:rPr>
          <w:rFonts w:eastAsia="黑体" w:cs="LANTINGHEI SC DEMIBOLD" w:hint="eastAsia"/>
        </w:rPr>
        <w:t>缔约国应采取必要措施：</w:t>
      </w:r>
    </w:p>
    <w:p w14:paraId="594846FC" w14:textId="77777777" w:rsidR="00D231C7" w:rsidRPr="00CC4C24" w:rsidRDefault="00D231C7" w:rsidP="00D231C7">
      <w:pPr>
        <w:pStyle w:val="SingleTxtGC"/>
        <w:rPr>
          <w:rFonts w:eastAsia="黑体"/>
        </w:rPr>
      </w:pPr>
      <w:r w:rsidRPr="00CC4C24">
        <w:tab/>
        <w:t>(a)</w:t>
      </w:r>
      <w:r w:rsidRPr="00CC4C24">
        <w:tab/>
      </w:r>
      <w:r w:rsidRPr="00CC4C24">
        <w:rPr>
          <w:rFonts w:eastAsia="黑体"/>
        </w:rPr>
        <w:t>确保驱逐出境前的拘留</w:t>
      </w:r>
      <w:r w:rsidRPr="00CC4C24">
        <w:rPr>
          <w:rFonts w:eastAsia="黑体" w:hint="eastAsia"/>
        </w:rPr>
        <w:t>仅在根据个人情况确定绝对必要和相称的条件下</w:t>
      </w:r>
      <w:r w:rsidRPr="00CC4C24">
        <w:rPr>
          <w:rFonts w:eastAsia="黑体"/>
        </w:rPr>
        <w:t>作为最后手段使用，时间尽可能短，并加紧努力扩大非监禁措施的适用范围；</w:t>
      </w:r>
    </w:p>
    <w:p w14:paraId="44D825FC"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在拘留必要且相称的情况下，改善拘留驱逐中心的居住条件，包括保障获得适当社会、教育和身心健康服务的机会；</w:t>
      </w:r>
    </w:p>
    <w:p w14:paraId="333618BA"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确保</w:t>
      </w:r>
      <w:r w:rsidRPr="00CC4C24">
        <w:rPr>
          <w:rFonts w:eastAsia="黑体" w:hint="eastAsia"/>
        </w:rPr>
        <w:t>关押在</w:t>
      </w:r>
      <w:r w:rsidRPr="00CC4C24">
        <w:rPr>
          <w:rFonts w:eastAsia="黑体"/>
        </w:rPr>
        <w:t>所谓的安全牢房仅在特殊情况下作为最后手段使用，时间尽可能短，</w:t>
      </w:r>
      <w:r w:rsidRPr="00CC4C24">
        <w:rPr>
          <w:rFonts w:eastAsia="黑体" w:hint="eastAsia"/>
        </w:rPr>
        <w:t>如果</w:t>
      </w:r>
      <w:r w:rsidRPr="00CC4C24">
        <w:rPr>
          <w:rFonts w:eastAsia="黑体"/>
        </w:rPr>
        <w:t>有心理健康问题</w:t>
      </w:r>
      <w:r w:rsidRPr="00CC4C24">
        <w:rPr>
          <w:rFonts w:eastAsia="黑体" w:hint="eastAsia"/>
        </w:rPr>
        <w:t>者的状况可能因被关押</w:t>
      </w:r>
      <w:r w:rsidRPr="00CC4C24">
        <w:rPr>
          <w:rFonts w:eastAsia="黑体"/>
        </w:rPr>
        <w:t>在安全牢房</w:t>
      </w:r>
      <w:r w:rsidRPr="00CC4C24">
        <w:rPr>
          <w:rFonts w:eastAsia="黑体" w:hint="eastAsia"/>
        </w:rPr>
        <w:t>而恶化</w:t>
      </w:r>
      <w:r w:rsidRPr="00CC4C24">
        <w:rPr>
          <w:rFonts w:eastAsia="黑体"/>
        </w:rPr>
        <w:t>，</w:t>
      </w:r>
      <w:r w:rsidRPr="00CC4C24">
        <w:rPr>
          <w:rFonts w:eastAsia="黑体" w:hint="eastAsia"/>
        </w:rPr>
        <w:t>则应立即停止此类做法</w:t>
      </w:r>
      <w:r w:rsidRPr="00CC4C24">
        <w:rPr>
          <w:rFonts w:eastAsia="黑体"/>
        </w:rPr>
        <w:t>。</w:t>
      </w:r>
    </w:p>
    <w:p w14:paraId="3D5F6BCA" w14:textId="77777777" w:rsidR="00D231C7" w:rsidRPr="00CC4C24" w:rsidRDefault="00D231C7" w:rsidP="00A3564A">
      <w:pPr>
        <w:pStyle w:val="H23GC"/>
      </w:pPr>
      <w:r w:rsidRPr="00CC4C24">
        <w:tab/>
      </w:r>
      <w:r w:rsidRPr="00CC4C24">
        <w:tab/>
      </w:r>
      <w:r w:rsidRPr="00CC4C24">
        <w:rPr>
          <w:rFonts w:hint="eastAsia"/>
        </w:rPr>
        <w:t>法医精神病设施</w:t>
      </w:r>
    </w:p>
    <w:p w14:paraId="10B70485" w14:textId="77777777" w:rsidR="00D231C7" w:rsidRPr="00CC4C24" w:rsidRDefault="00D231C7" w:rsidP="00D231C7">
      <w:pPr>
        <w:pStyle w:val="SingleTxtGC"/>
      </w:pPr>
      <w:r w:rsidRPr="00CC4C24">
        <w:t>32.</w:t>
      </w:r>
      <w:r w:rsidRPr="00CC4C24">
        <w:tab/>
      </w:r>
      <w:r w:rsidRPr="00CC4C24">
        <w:rPr>
          <w:rFonts w:hint="eastAsia"/>
        </w:rPr>
        <w:t>委员会注意到，缔约国采取措施改善被拘留在法医精神病设施的残疾人的状况，包括禁止使用精神病重症监护床</w:t>
      </w:r>
      <w:r w:rsidRPr="00CC4C24">
        <w:t>(</w:t>
      </w:r>
      <w:r w:rsidRPr="00CC4C24">
        <w:rPr>
          <w:rFonts w:hint="eastAsia"/>
        </w:rPr>
        <w:t>网床</w:t>
      </w:r>
      <w:r w:rsidRPr="00CC4C24">
        <w:t>)</w:t>
      </w:r>
      <w:r w:rsidRPr="00CC4C24">
        <w:rPr>
          <w:rFonts w:hint="eastAsia"/>
        </w:rPr>
        <w:t>和其他笼式床，但委员会感到关切的是，法律允许以身心缺陷为由进行非自愿拘留和强制治疗，包括关于将精神病人非自愿关押在医院的</w:t>
      </w:r>
      <w:r w:rsidRPr="00CC4C24">
        <w:rPr>
          <w:rFonts w:hint="eastAsia"/>
        </w:rPr>
        <w:t>1</w:t>
      </w:r>
      <w:r w:rsidRPr="00CC4C24">
        <w:t>990</w:t>
      </w:r>
      <w:r w:rsidRPr="00CC4C24">
        <w:rPr>
          <w:rFonts w:hint="eastAsia"/>
        </w:rPr>
        <w:t>年</w:t>
      </w:r>
      <w:r w:rsidRPr="00CC4C24">
        <w:rPr>
          <w:rFonts w:hint="eastAsia"/>
        </w:rPr>
        <w:t>3</w:t>
      </w:r>
      <w:r w:rsidRPr="00CC4C24">
        <w:rPr>
          <w:rFonts w:hint="eastAsia"/>
        </w:rPr>
        <w:t>月</w:t>
      </w:r>
      <w:r w:rsidRPr="00CC4C24">
        <w:rPr>
          <w:rFonts w:hint="eastAsia"/>
        </w:rPr>
        <w:t>1</w:t>
      </w:r>
      <w:r w:rsidRPr="00CC4C24">
        <w:rPr>
          <w:rFonts w:hint="eastAsia"/>
        </w:rPr>
        <w:t>日第</w:t>
      </w:r>
      <w:r w:rsidRPr="00CC4C24">
        <w:rPr>
          <w:rFonts w:hint="eastAsia"/>
        </w:rPr>
        <w:t>1</w:t>
      </w:r>
      <w:r w:rsidRPr="00CC4C24">
        <w:t>55/1990</w:t>
      </w:r>
      <w:r w:rsidRPr="00CC4C24">
        <w:rPr>
          <w:rFonts w:hint="eastAsia"/>
        </w:rPr>
        <w:t>号法。委员会还感到关切的是，法律允许并且继续在拘留场所对残疾人，特别是智力和</w:t>
      </w:r>
      <w:r w:rsidRPr="00CC4C24">
        <w:t>/</w:t>
      </w:r>
      <w:r w:rsidRPr="00CC4C24">
        <w:rPr>
          <w:rFonts w:hint="eastAsia"/>
        </w:rPr>
        <w:t>或社会心理残疾者，包括残疾儿童使用单独监禁、隔离、人身和化学约束手段以及其他限制性做法，并且在某些情况下长期使用此类做法</w:t>
      </w:r>
      <w:r w:rsidRPr="00CC4C24">
        <w:rPr>
          <w:rFonts w:hint="eastAsia"/>
        </w:rPr>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r w:rsidRPr="00CC4C24">
        <w:rPr>
          <w:rStyle w:val="a8"/>
          <w:rFonts w:eastAsia="宋体"/>
        </w:rPr>
        <w:footnoteReference w:id="10"/>
      </w:r>
    </w:p>
    <w:p w14:paraId="58351784" w14:textId="77777777" w:rsidR="00D231C7" w:rsidRPr="00CC4C24" w:rsidRDefault="00D231C7" w:rsidP="00D231C7">
      <w:pPr>
        <w:pStyle w:val="SingleTxtGC"/>
        <w:rPr>
          <w:rFonts w:eastAsia="黑体"/>
        </w:rPr>
      </w:pPr>
      <w:r w:rsidRPr="00CC4C24">
        <w:lastRenderedPageBreak/>
        <w:t>33.</w:t>
      </w:r>
      <w:r w:rsidRPr="00CC4C24">
        <w:tab/>
      </w:r>
      <w:r w:rsidRPr="00CC4C24">
        <w:rPr>
          <w:rFonts w:eastAsia="黑体" w:cs="LANTINGHEI SC DEMIBOLD" w:hint="eastAsia"/>
        </w:rPr>
        <w:t>缔约国应：</w:t>
      </w:r>
    </w:p>
    <w:p w14:paraId="07D3FB72" w14:textId="77777777" w:rsidR="00D231C7" w:rsidRPr="00CC4C24" w:rsidRDefault="00D231C7" w:rsidP="00D231C7">
      <w:pPr>
        <w:pStyle w:val="SingleTxtGC"/>
        <w:rPr>
          <w:rFonts w:eastAsia="黑体"/>
        </w:rPr>
      </w:pPr>
      <w:r w:rsidRPr="00CC4C24">
        <w:tab/>
        <w:t>(a)</w:t>
      </w:r>
      <w:r w:rsidRPr="00CC4C24">
        <w:tab/>
      </w:r>
      <w:r w:rsidRPr="00CC4C24">
        <w:rPr>
          <w:rFonts w:eastAsia="黑体" w:hint="eastAsia"/>
        </w:rPr>
        <w:t>考虑审查包括第</w:t>
      </w:r>
      <w:r w:rsidRPr="00CC4C24">
        <w:rPr>
          <w:rFonts w:eastAsia="黑体" w:hint="eastAsia"/>
        </w:rPr>
        <w:t>1</w:t>
      </w:r>
      <w:r w:rsidRPr="00CC4C24">
        <w:rPr>
          <w:rFonts w:eastAsia="黑体"/>
        </w:rPr>
        <w:t>55/1990</w:t>
      </w:r>
      <w:r w:rsidRPr="00CC4C24">
        <w:rPr>
          <w:rFonts w:eastAsia="黑体" w:hint="eastAsia"/>
        </w:rPr>
        <w:t>号法在内的一切允许以人身缺陷为由对残疾人，特别是智力和</w:t>
      </w:r>
      <w:r w:rsidRPr="00CC4C24">
        <w:rPr>
          <w:rFonts w:eastAsia="黑体"/>
        </w:rPr>
        <w:t>/</w:t>
      </w:r>
      <w:r w:rsidRPr="00CC4C24">
        <w:rPr>
          <w:rFonts w:eastAsia="黑体" w:hint="eastAsia"/>
        </w:rPr>
        <w:t>或社会心理残疾者剥夺自由和进行强制医疗干预的法律；</w:t>
      </w:r>
    </w:p>
    <w:p w14:paraId="6A620BBE"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hint="eastAsia"/>
        </w:rPr>
        <w:t>如果</w:t>
      </w:r>
      <w:r w:rsidRPr="00CC4C24">
        <w:rPr>
          <w:rFonts w:eastAsia="黑体"/>
        </w:rPr>
        <w:t>单独监禁会使包括儿童在内的社会心理和</w:t>
      </w:r>
      <w:r w:rsidRPr="00CC4C24">
        <w:rPr>
          <w:rFonts w:eastAsia="黑体"/>
        </w:rPr>
        <w:t>/</w:t>
      </w:r>
      <w:r w:rsidRPr="00CC4C24">
        <w:rPr>
          <w:rFonts w:eastAsia="黑体"/>
        </w:rPr>
        <w:t>或智力残疾者的状况恶化，</w:t>
      </w:r>
      <w:r w:rsidRPr="00CC4C24">
        <w:rPr>
          <w:rFonts w:eastAsia="黑体" w:hint="eastAsia"/>
        </w:rPr>
        <w:t>则</w:t>
      </w:r>
      <w:r w:rsidRPr="00CC4C24">
        <w:rPr>
          <w:rFonts w:eastAsia="黑体"/>
        </w:rPr>
        <w:t>禁止对其使用此类措施，确保</w:t>
      </w:r>
      <w:r w:rsidRPr="00CC4C24">
        <w:rPr>
          <w:rFonts w:eastAsia="黑体" w:hint="eastAsia"/>
        </w:rPr>
        <w:t>在适当</w:t>
      </w:r>
      <w:r w:rsidRPr="00CC4C24">
        <w:rPr>
          <w:rFonts w:eastAsia="黑体"/>
        </w:rPr>
        <w:t>监督</w:t>
      </w:r>
      <w:r w:rsidRPr="00CC4C24">
        <w:rPr>
          <w:rFonts w:eastAsia="黑体" w:hint="eastAsia"/>
        </w:rPr>
        <w:t>下</w:t>
      </w:r>
      <w:r w:rsidRPr="00CC4C24">
        <w:rPr>
          <w:rFonts w:eastAsia="黑体"/>
        </w:rPr>
        <w:t>依法使用约束和强制手段</w:t>
      </w:r>
      <w:r w:rsidRPr="00CC4C24">
        <w:rPr>
          <w:rFonts w:eastAsia="黑体" w:hint="eastAsia"/>
        </w:rPr>
        <w:t>，时间应尽</w:t>
      </w:r>
      <w:r w:rsidRPr="00CC4C24">
        <w:rPr>
          <w:rFonts w:eastAsia="黑体"/>
        </w:rPr>
        <w:t>可能短</w:t>
      </w:r>
      <w:r w:rsidRPr="00CC4C24">
        <w:rPr>
          <w:rFonts w:eastAsia="黑体" w:hint="eastAsia"/>
        </w:rPr>
        <w:t>，并且仅限于</w:t>
      </w:r>
      <w:r w:rsidRPr="00CC4C24">
        <w:rPr>
          <w:rFonts w:eastAsia="黑体"/>
        </w:rPr>
        <w:t>绝对必要和相称的情况；</w:t>
      </w:r>
      <w:bookmarkStart w:id="5" w:name="_Hlk165629850"/>
      <w:bookmarkStart w:id="6" w:name="_Hlk141267733"/>
      <w:bookmarkStart w:id="7" w:name="_Hlk165575230"/>
      <w:bookmarkEnd w:id="5"/>
      <w:bookmarkEnd w:id="6"/>
      <w:bookmarkEnd w:id="7"/>
    </w:p>
    <w:p w14:paraId="4E69753A"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对公共和私营医疗机构中所有虐待行为的指控进行迅速、公正和彻底的调查，起诉涉嫌实施虐待者，确保根据行为严重程度对被判有罪者予以处罚，并向受害者提供有效补救和补偿；</w:t>
      </w:r>
    </w:p>
    <w:p w14:paraId="3EC31FEA" w14:textId="77777777" w:rsidR="00D231C7" w:rsidRPr="00CC4C24" w:rsidRDefault="00D231C7" w:rsidP="00D231C7">
      <w:pPr>
        <w:pStyle w:val="SingleTxtGC"/>
        <w:rPr>
          <w:rFonts w:eastAsia="黑体"/>
        </w:rPr>
      </w:pPr>
      <w:r w:rsidRPr="00CC4C24">
        <w:rPr>
          <w:rFonts w:eastAsia="黑体"/>
        </w:rPr>
        <w:tab/>
        <w:t>(d)</w:t>
      </w:r>
      <w:r w:rsidRPr="00CC4C24">
        <w:rPr>
          <w:rFonts w:eastAsia="黑体"/>
        </w:rPr>
        <w:tab/>
      </w:r>
      <w:r w:rsidRPr="00CC4C24">
        <w:rPr>
          <w:rFonts w:eastAsia="黑体"/>
        </w:rPr>
        <w:t>向所有医务和非医务人员，包括安全人员，提供关于残疾人，特别是智力和</w:t>
      </w:r>
      <w:r w:rsidRPr="00CC4C24">
        <w:rPr>
          <w:rFonts w:eastAsia="黑体"/>
        </w:rPr>
        <w:t>/</w:t>
      </w:r>
      <w:r w:rsidRPr="00CC4C24">
        <w:rPr>
          <w:rFonts w:eastAsia="黑体"/>
        </w:rPr>
        <w:t>或社会心理残疾者护理标准和方法的定期培训；</w:t>
      </w:r>
    </w:p>
    <w:p w14:paraId="5EAC38C9" w14:textId="77777777" w:rsidR="00D231C7" w:rsidRPr="00CC4C24" w:rsidRDefault="00D231C7" w:rsidP="00D231C7">
      <w:pPr>
        <w:pStyle w:val="SingleTxtGC"/>
        <w:rPr>
          <w:rFonts w:eastAsia="黑体"/>
        </w:rPr>
      </w:pPr>
      <w:r w:rsidRPr="00CC4C24">
        <w:rPr>
          <w:rFonts w:eastAsia="黑体"/>
        </w:rPr>
        <w:tab/>
        <w:t>(e)</w:t>
      </w:r>
      <w:r w:rsidRPr="00CC4C24">
        <w:rPr>
          <w:rFonts w:eastAsia="黑体"/>
        </w:rPr>
        <w:tab/>
      </w:r>
      <w:r w:rsidRPr="00CC4C24">
        <w:rPr>
          <w:rFonts w:eastAsia="黑体"/>
        </w:rPr>
        <w:t>确保对法医精神病设施进行适当监测，并制定有效的保障措施，防止在这些设施中</w:t>
      </w:r>
      <w:r w:rsidRPr="00CC4C24">
        <w:rPr>
          <w:rFonts w:eastAsia="黑体" w:hint="eastAsia"/>
        </w:rPr>
        <w:t>实施</w:t>
      </w:r>
      <w:r w:rsidRPr="00CC4C24">
        <w:rPr>
          <w:rFonts w:eastAsia="黑体"/>
        </w:rPr>
        <w:t>酷刑或虐待。</w:t>
      </w:r>
    </w:p>
    <w:p w14:paraId="100B5CA0" w14:textId="77777777" w:rsidR="00D231C7" w:rsidRPr="00CC4C24" w:rsidRDefault="00D231C7" w:rsidP="00A3564A">
      <w:pPr>
        <w:pStyle w:val="H23GC"/>
      </w:pPr>
      <w:r w:rsidRPr="00CC4C24">
        <w:tab/>
      </w:r>
      <w:r w:rsidRPr="00CC4C24">
        <w:tab/>
      </w:r>
      <w:r w:rsidRPr="00CC4C24">
        <w:rPr>
          <w:rFonts w:hint="eastAsia"/>
        </w:rPr>
        <w:t>调查酷刑和虐待指控，起诉和惩处犯罪者</w:t>
      </w:r>
    </w:p>
    <w:p w14:paraId="1EED254B" w14:textId="77777777" w:rsidR="00D231C7" w:rsidRPr="00CC4C24" w:rsidRDefault="00D231C7" w:rsidP="00D231C7">
      <w:pPr>
        <w:pStyle w:val="SingleTxtGC"/>
      </w:pPr>
      <w:r w:rsidRPr="00CC4C24">
        <w:t>34.</w:t>
      </w:r>
      <w:r w:rsidRPr="00CC4C24">
        <w:tab/>
      </w:r>
      <w:r w:rsidRPr="00CC4C24">
        <w:rPr>
          <w:rFonts w:hint="eastAsia"/>
        </w:rPr>
        <w:t>委员会注意到联邦司法部关于处理执法人员和监狱官员实施虐待指控的内部指示，但感到关切的是，尽管有关公职人员虐待被拘留者的指控数量相对较多，但因此类指控而起诉和定罪的数量仍然很少。在这方面，委员会感到遗憾的是，缔约国没有提供全面资料说明在本报告所述期间对官员进行调查和起诉或采取纪律措施的案件数量，也没有说明对被判实施虐待行为者给予的处罚和纪律措施。委员会注意到缔约国新设立了警察虐待指控调查和申诉办公室，但感到关切的是，尽管制定了法律保障，设立了负责监督该办公室行动的独立咨询委员会，但该办公室正式隶属于联邦内政部。此外，委员会感到遗憾的是，没有资料说明因涉嫌犯有酷刑或虐待罪而受到刑事或纪律调查的公职人员是否被立即停职，并在整个相应调查期间保持停职状态</w:t>
      </w:r>
      <w:r w:rsidRPr="00CC4C24">
        <w:rPr>
          <w:rFonts w:hint="eastAsia"/>
        </w:rPr>
        <w:t>(</w:t>
      </w:r>
      <w:r w:rsidRPr="00CC4C24">
        <w:rPr>
          <w:rFonts w:hint="eastAsia"/>
        </w:rPr>
        <w:t>第</w:t>
      </w:r>
      <w:r w:rsidRPr="00CC4C24">
        <w:rPr>
          <w:rFonts w:hint="eastAsia"/>
        </w:rPr>
        <w:t>2</w:t>
      </w:r>
      <w:r w:rsidRPr="00CC4C24">
        <w:rPr>
          <w:rFonts w:hint="eastAsia"/>
        </w:rPr>
        <w:t>、第</w:t>
      </w:r>
      <w:r w:rsidRPr="00CC4C24">
        <w:rPr>
          <w:rFonts w:hint="eastAsia"/>
        </w:rPr>
        <w:t>1</w:t>
      </w:r>
      <w:r w:rsidRPr="00CC4C24">
        <w:t>2</w:t>
      </w:r>
      <w:r w:rsidRPr="00CC4C24">
        <w:rPr>
          <w:rFonts w:hint="eastAsia"/>
        </w:rPr>
        <w:t>、第</w:t>
      </w:r>
      <w:r w:rsidRPr="00CC4C24">
        <w:rPr>
          <w:rFonts w:hint="eastAsia"/>
        </w:rPr>
        <w:t>1</w:t>
      </w:r>
      <w:r w:rsidRPr="00CC4C24">
        <w:t>3</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0ABC6672" w14:textId="77777777" w:rsidR="00D231C7" w:rsidRPr="00CC4C24" w:rsidRDefault="00D231C7" w:rsidP="00D231C7">
      <w:pPr>
        <w:pStyle w:val="SingleTxtGC"/>
        <w:rPr>
          <w:rFonts w:eastAsia="黑体"/>
        </w:rPr>
      </w:pPr>
      <w:r w:rsidRPr="00CC4C24">
        <w:t>35.</w:t>
      </w:r>
      <w:r w:rsidRPr="00CC4C24">
        <w:tab/>
      </w:r>
      <w:r w:rsidRPr="00CC4C24">
        <w:rPr>
          <w:rFonts w:eastAsia="黑体" w:cs="LANTINGHEI SC DEMIBOLD" w:hint="eastAsia"/>
        </w:rPr>
        <w:t>缔约国应：</w:t>
      </w:r>
    </w:p>
    <w:p w14:paraId="78B2DFBA" w14:textId="77777777" w:rsidR="00D231C7" w:rsidRPr="00CC4C24" w:rsidRDefault="00D231C7" w:rsidP="00D231C7">
      <w:pPr>
        <w:pStyle w:val="SingleTxtGC"/>
        <w:rPr>
          <w:rFonts w:eastAsia="黑体"/>
        </w:rPr>
      </w:pPr>
      <w:r w:rsidRPr="00CC4C24">
        <w:tab/>
        <w:t>(a)</w:t>
      </w:r>
      <w:r w:rsidRPr="00CC4C24">
        <w:tab/>
      </w:r>
      <w:r w:rsidRPr="00CC4C24">
        <w:rPr>
          <w:rFonts w:eastAsia="黑体"/>
        </w:rPr>
        <w:t>确保由独立机构对所有酷刑和虐待投诉进行迅速和公正的调查，并确保该机构的调查人员与此类行为的涉嫌犯罪者之间不存在机构关系或上下级关系；</w:t>
      </w:r>
    </w:p>
    <w:p w14:paraId="013DEB3E"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确保凡有合理理由相信发生了酷刑或虐待行为时，政府应依职权启动调查；</w:t>
      </w:r>
    </w:p>
    <w:p w14:paraId="3F7668FD"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确保在调查期间，立即暂停涉嫌实施酷刑或虐待者的职务，特别是在</w:t>
      </w:r>
      <w:r w:rsidRPr="00CC4C24">
        <w:rPr>
          <w:rFonts w:eastAsia="黑体" w:hint="eastAsia"/>
        </w:rPr>
        <w:t>其</w:t>
      </w:r>
      <w:r w:rsidRPr="00CC4C24">
        <w:rPr>
          <w:rFonts w:eastAsia="黑体"/>
        </w:rPr>
        <w:t>不停职便有可能再犯所控行为、报复据称受害者或阻碍调查的情况下；</w:t>
      </w:r>
    </w:p>
    <w:p w14:paraId="3CA685FB" w14:textId="77777777" w:rsidR="00D231C7" w:rsidRPr="00CC4C24" w:rsidRDefault="00D231C7" w:rsidP="00D231C7">
      <w:pPr>
        <w:pStyle w:val="SingleTxtGC"/>
        <w:rPr>
          <w:rFonts w:eastAsia="黑体"/>
        </w:rPr>
      </w:pPr>
      <w:r w:rsidRPr="00CC4C24">
        <w:rPr>
          <w:rFonts w:eastAsia="黑体"/>
        </w:rPr>
        <w:tab/>
        <w:t>(d)</w:t>
      </w:r>
      <w:r w:rsidRPr="00CC4C24">
        <w:rPr>
          <w:rFonts w:eastAsia="黑体"/>
        </w:rPr>
        <w:tab/>
      </w:r>
      <w:r w:rsidRPr="00CC4C24">
        <w:rPr>
          <w:rFonts w:eastAsia="黑体"/>
        </w:rPr>
        <w:t>确保涉嫌实施酷刑和虐待者以及负责下令或容忍这些行为的上级官员依法接受审判，对被判有罪者处以与其行为严重程度相称的处罚，并向受害者提供有效补救；</w:t>
      </w:r>
    </w:p>
    <w:p w14:paraId="5B6ECBD8" w14:textId="77777777" w:rsidR="00D231C7" w:rsidRPr="00CC4C24" w:rsidRDefault="00D231C7" w:rsidP="00D231C7">
      <w:pPr>
        <w:pStyle w:val="SingleTxtGC"/>
        <w:rPr>
          <w:rFonts w:eastAsia="黑体"/>
        </w:rPr>
      </w:pPr>
      <w:r w:rsidRPr="00CC4C24">
        <w:rPr>
          <w:rFonts w:eastAsia="黑体"/>
        </w:rPr>
        <w:tab/>
        <w:t>(e)</w:t>
      </w:r>
      <w:r w:rsidRPr="00CC4C24">
        <w:rPr>
          <w:rFonts w:eastAsia="黑体"/>
        </w:rPr>
        <w:tab/>
      </w:r>
      <w:r w:rsidRPr="00CC4C24">
        <w:rPr>
          <w:rFonts w:eastAsia="黑体"/>
        </w:rPr>
        <w:t>汇编并公布对酷刑或虐待案件进行调查、起诉、定罪和处罚的统计数据。</w:t>
      </w:r>
    </w:p>
    <w:p w14:paraId="448EF942" w14:textId="77777777" w:rsidR="00D231C7" w:rsidRPr="00CC4C24" w:rsidRDefault="00D231C7" w:rsidP="00A3564A">
      <w:pPr>
        <w:pStyle w:val="H23GC"/>
      </w:pPr>
      <w:r w:rsidRPr="00CC4C24">
        <w:lastRenderedPageBreak/>
        <w:tab/>
      </w:r>
      <w:r w:rsidRPr="00CC4C24">
        <w:tab/>
      </w:r>
      <w:r w:rsidRPr="00CC4C24">
        <w:rPr>
          <w:rFonts w:hint="eastAsia"/>
        </w:rPr>
        <w:t>普遍管辖权</w:t>
      </w:r>
    </w:p>
    <w:p w14:paraId="3BFD2002" w14:textId="77777777" w:rsidR="00D231C7" w:rsidRPr="00CC4C24" w:rsidRDefault="00D231C7" w:rsidP="00D231C7">
      <w:pPr>
        <w:pStyle w:val="SingleTxtGC"/>
      </w:pPr>
      <w:r w:rsidRPr="00CC4C24">
        <w:t>36.</w:t>
      </w:r>
      <w:r w:rsidRPr="00CC4C24">
        <w:tab/>
      </w:r>
      <w:r w:rsidRPr="00CC4C24">
        <w:rPr>
          <w:rFonts w:hint="eastAsia"/>
        </w:rPr>
        <w:t>委员会注意到奥地利《刑法》使缔约国能够确立对酷刑罪的普遍管辖权，但感到遗憾的是，没有资料说明缔约国在多大程度上根据《公约》第</w:t>
      </w:r>
      <w:r w:rsidRPr="00CC4C24">
        <w:rPr>
          <w:rFonts w:hint="eastAsia"/>
        </w:rPr>
        <w:t>5</w:t>
      </w:r>
      <w:r w:rsidRPr="00CC4C24">
        <w:rPr>
          <w:rFonts w:hint="eastAsia"/>
        </w:rPr>
        <w:t>条对该国境内的酷刑实施者实际行使了普遍管辖权</w:t>
      </w:r>
      <w:r w:rsidRPr="00CC4C24">
        <w:t>(</w:t>
      </w:r>
      <w:r w:rsidRPr="00CC4C24">
        <w:rPr>
          <w:rFonts w:hint="eastAsia"/>
        </w:rPr>
        <w:t>第</w:t>
      </w:r>
      <w:r w:rsidRPr="00CC4C24">
        <w:t>5</w:t>
      </w:r>
      <w:r w:rsidRPr="00CC4C24">
        <w:rPr>
          <w:rFonts w:hint="eastAsia"/>
        </w:rPr>
        <w:t>条</w:t>
      </w:r>
      <w:r w:rsidRPr="00CC4C24">
        <w:t>)</w:t>
      </w:r>
      <w:r w:rsidRPr="00CC4C24">
        <w:rPr>
          <w:rFonts w:hint="eastAsia"/>
        </w:rPr>
        <w:t>。</w:t>
      </w:r>
    </w:p>
    <w:p w14:paraId="78C1CE0E" w14:textId="77777777" w:rsidR="00D231C7" w:rsidRPr="00CC4C24" w:rsidRDefault="00D231C7" w:rsidP="00D231C7">
      <w:pPr>
        <w:pStyle w:val="SingleTxtGC"/>
        <w:rPr>
          <w:rFonts w:eastAsia="黑体"/>
        </w:rPr>
      </w:pPr>
      <w:r w:rsidRPr="00CC4C24">
        <w:t>37.</w:t>
      </w:r>
      <w:r w:rsidRPr="00CC4C24">
        <w:tab/>
      </w:r>
      <w:r w:rsidRPr="00CC4C24">
        <w:rPr>
          <w:rFonts w:eastAsia="黑体" w:hint="eastAsia"/>
        </w:rPr>
        <w:t>缔约国如果没有按照《公约》第</w:t>
      </w:r>
      <w:r w:rsidRPr="00CC4C24">
        <w:rPr>
          <w:rFonts w:eastAsia="黑体" w:hint="eastAsia"/>
        </w:rPr>
        <w:t>8</w:t>
      </w:r>
      <w:r w:rsidRPr="00CC4C24">
        <w:rPr>
          <w:rFonts w:eastAsia="黑体" w:hint="eastAsia"/>
        </w:rPr>
        <w:t>条将该国境内据称对酷刑行为负责者引渡到另一国，则应采取一切必要措施，对其有效行使普遍管辖权。缔约国应向委员会提供资料，说明根据《公约》第</w:t>
      </w:r>
      <w:r w:rsidRPr="00CC4C24">
        <w:rPr>
          <w:rFonts w:eastAsia="黑体" w:hint="eastAsia"/>
        </w:rPr>
        <w:t>5</w:t>
      </w:r>
      <w:r w:rsidRPr="00CC4C24">
        <w:rPr>
          <w:rFonts w:eastAsia="黑体" w:hint="eastAsia"/>
        </w:rPr>
        <w:t>条在关于引渡和普遍管辖权的司法判决中援引《公约》的情况。</w:t>
      </w:r>
    </w:p>
    <w:p w14:paraId="3E0AED6A" w14:textId="77777777" w:rsidR="00D231C7" w:rsidRPr="00CC4C24" w:rsidRDefault="00D231C7" w:rsidP="00A3564A">
      <w:pPr>
        <w:pStyle w:val="H23GC"/>
      </w:pPr>
      <w:r w:rsidRPr="00CC4C24">
        <w:tab/>
      </w:r>
      <w:r w:rsidRPr="00CC4C24">
        <w:tab/>
        <w:t>1982</w:t>
      </w:r>
      <w:r w:rsidRPr="00CC4C24">
        <w:rPr>
          <w:rFonts w:hint="eastAsia"/>
        </w:rPr>
        <w:t>年奥地利与列支敦士登条约</w:t>
      </w:r>
    </w:p>
    <w:p w14:paraId="4442DEF0" w14:textId="77777777" w:rsidR="00D231C7" w:rsidRPr="00CC4C24" w:rsidRDefault="00D231C7" w:rsidP="00D231C7">
      <w:pPr>
        <w:pStyle w:val="SingleTxtGC"/>
      </w:pPr>
      <w:r w:rsidRPr="00CC4C24">
        <w:t>38.</w:t>
      </w:r>
      <w:r w:rsidRPr="00CC4C24">
        <w:tab/>
      </w:r>
      <w:r w:rsidRPr="00CC4C24">
        <w:rPr>
          <w:rFonts w:hint="eastAsia"/>
        </w:rPr>
        <w:t>委员会注意到</w:t>
      </w:r>
      <w:r w:rsidRPr="00CC4C24">
        <w:rPr>
          <w:lang w:val="zh-CN"/>
        </w:rPr>
        <w:t>1982</w:t>
      </w:r>
      <w:r w:rsidRPr="00CC4C24">
        <w:rPr>
          <w:lang w:val="zh-CN"/>
        </w:rPr>
        <w:t>年奥地利与列支敦士登之间关于囚犯安置的双边条约，根据该条约，列支敦士登国民在奥地利服刑。委员会注意到奥地利法律适用于</w:t>
      </w:r>
      <w:r w:rsidRPr="00CC4C24">
        <w:rPr>
          <w:rFonts w:hint="eastAsia"/>
          <w:lang w:val="zh-CN"/>
        </w:rPr>
        <w:t>此</w:t>
      </w:r>
      <w:r w:rsidRPr="00CC4C24">
        <w:rPr>
          <w:lang w:val="zh-CN"/>
        </w:rPr>
        <w:t>类被拘留者，但感到关切的是，该条约不包含任何防止酷刑和其他形式虐待的明确保障。此外，委员会感到关切的是，没有资料说明设立了哪些程序或机制，以便在执行条约</w:t>
      </w:r>
      <w:r w:rsidRPr="00CC4C24">
        <w:rPr>
          <w:rFonts w:hint="eastAsia"/>
          <w:lang w:val="zh-CN"/>
        </w:rPr>
        <w:t>时</w:t>
      </w:r>
      <w:r w:rsidRPr="00CC4C24">
        <w:rPr>
          <w:lang w:val="zh-CN"/>
        </w:rPr>
        <w:t>确保被拘留在奥地利的列支敦士登国民的权利得到维护</w:t>
      </w:r>
      <w:r w:rsidRPr="00CC4C24">
        <w:t>(</w:t>
      </w:r>
      <w:r w:rsidRPr="00CC4C24">
        <w:rPr>
          <w:rFonts w:hint="eastAsia"/>
        </w:rPr>
        <w:t>第</w:t>
      </w:r>
      <w:r w:rsidRPr="00CC4C24">
        <w:rPr>
          <w:rFonts w:hint="eastAsia"/>
        </w:rPr>
        <w:t>2</w:t>
      </w:r>
      <w:r w:rsidRPr="00CC4C24">
        <w:rPr>
          <w:rFonts w:hint="eastAsia"/>
        </w:rPr>
        <w:t>、第</w:t>
      </w:r>
      <w:r w:rsidRPr="00CC4C24">
        <w:rPr>
          <w:rFonts w:hint="eastAsia"/>
        </w:rPr>
        <w:t>5</w:t>
      </w:r>
      <w:r w:rsidRPr="00CC4C24">
        <w:rPr>
          <w:rFonts w:hint="eastAsia"/>
        </w:rPr>
        <w:t>、第</w:t>
      </w:r>
      <w:r w:rsidRPr="00CC4C24">
        <w:rPr>
          <w:rFonts w:hint="eastAsia"/>
        </w:rPr>
        <w:t>1</w:t>
      </w:r>
      <w:r w:rsidRPr="00CC4C24">
        <w:t>2</w:t>
      </w:r>
      <w:r w:rsidRPr="00CC4C24">
        <w:rPr>
          <w:rFonts w:hint="eastAsia"/>
        </w:rPr>
        <w:t>、第</w:t>
      </w:r>
      <w:r w:rsidRPr="00CC4C24">
        <w:rPr>
          <w:rFonts w:hint="eastAsia"/>
        </w:rPr>
        <w:t>1</w:t>
      </w:r>
      <w:r w:rsidRPr="00CC4C24">
        <w:t>3</w:t>
      </w:r>
      <w:r w:rsidRPr="00CC4C24">
        <w:rPr>
          <w:rFonts w:hint="eastAsia"/>
        </w:rPr>
        <w:t>和第</w:t>
      </w:r>
      <w:r w:rsidRPr="00CC4C24">
        <w:rPr>
          <w:rFonts w:hint="eastAsia"/>
        </w:rPr>
        <w:t>1</w:t>
      </w:r>
      <w:r w:rsidRPr="00CC4C24">
        <w:t>4</w:t>
      </w:r>
      <w:r w:rsidRPr="00CC4C24">
        <w:rPr>
          <w:rFonts w:hint="eastAsia"/>
        </w:rPr>
        <w:t>条</w:t>
      </w:r>
      <w:r w:rsidRPr="00CC4C24">
        <w:t>)</w:t>
      </w:r>
      <w:r w:rsidRPr="00CC4C24">
        <w:rPr>
          <w:rFonts w:hint="eastAsia"/>
        </w:rPr>
        <w:t>。</w:t>
      </w:r>
    </w:p>
    <w:p w14:paraId="546F7873" w14:textId="77777777" w:rsidR="00D231C7" w:rsidRPr="00CC4C24" w:rsidRDefault="00D231C7" w:rsidP="00D231C7">
      <w:pPr>
        <w:pStyle w:val="SingleTxtGC"/>
        <w:rPr>
          <w:rFonts w:eastAsia="黑体"/>
        </w:rPr>
      </w:pPr>
      <w:r w:rsidRPr="00CC4C24">
        <w:t>39.</w:t>
      </w:r>
      <w:r w:rsidRPr="00CC4C24">
        <w:tab/>
      </w:r>
      <w:r w:rsidRPr="00CC4C24">
        <w:rPr>
          <w:rFonts w:eastAsia="黑体"/>
        </w:rPr>
        <w:t>缔约国应审查</w:t>
      </w:r>
      <w:r w:rsidRPr="00CC4C24">
        <w:rPr>
          <w:rFonts w:eastAsia="黑体"/>
        </w:rPr>
        <w:t>1982</w:t>
      </w:r>
      <w:r w:rsidRPr="00CC4C24">
        <w:rPr>
          <w:rFonts w:eastAsia="黑体"/>
        </w:rPr>
        <w:t>年关于囚犯安置的双边条约之下的安排，以确保这些安排包括防止酷刑和其他形式虐待的必要保障，并设立有效的程序和机制，确保被拘留在奥地利的列支敦士登国民根据《公约》</w:t>
      </w:r>
      <w:r w:rsidRPr="00CC4C24">
        <w:rPr>
          <w:rFonts w:eastAsia="黑体" w:hint="eastAsia"/>
        </w:rPr>
        <w:t>享有</w:t>
      </w:r>
      <w:r w:rsidRPr="00CC4C24">
        <w:rPr>
          <w:rFonts w:eastAsia="黑体"/>
        </w:rPr>
        <w:t>的权利得到保障。缔约国应确保被拘留在奥地利的列支敦士登国民有权就监狱官员实施的酷刑和虐待向独立机构提出申诉，对其申诉进行迅速、公正和彻底的调查，并在其酷刑或虐待申诉有充分根据的情况下向其提供适当补救。</w:t>
      </w:r>
    </w:p>
    <w:p w14:paraId="536CB6C2" w14:textId="77777777" w:rsidR="00D231C7" w:rsidRPr="00CC4C24" w:rsidRDefault="00D231C7" w:rsidP="00A3564A">
      <w:pPr>
        <w:pStyle w:val="H23GC"/>
      </w:pPr>
      <w:r w:rsidRPr="00CC4C24">
        <w:tab/>
      </w:r>
      <w:r w:rsidRPr="00CC4C24">
        <w:tab/>
      </w:r>
      <w:r w:rsidRPr="00CC4C24">
        <w:rPr>
          <w:rFonts w:hint="eastAsia"/>
        </w:rPr>
        <w:t>放电武器</w:t>
      </w:r>
    </w:p>
    <w:p w14:paraId="0CAC084C" w14:textId="77777777" w:rsidR="00D231C7" w:rsidRPr="00CC4C24" w:rsidRDefault="00D231C7" w:rsidP="00D231C7">
      <w:pPr>
        <w:pStyle w:val="SingleTxtGC"/>
      </w:pPr>
      <w:r w:rsidRPr="00CC4C24">
        <w:t>40.</w:t>
      </w:r>
      <w:r w:rsidRPr="00CC4C24">
        <w:tab/>
      </w:r>
      <w:r w:rsidRPr="00CC4C24">
        <w:rPr>
          <w:rFonts w:hint="eastAsia"/>
        </w:rPr>
        <w:t>委员会赞赏缔约国提供资料说明关于使用放电武器</w:t>
      </w:r>
      <w:r w:rsidRPr="00CC4C24">
        <w:t>(</w:t>
      </w:r>
      <w:r w:rsidRPr="00CC4C24">
        <w:rPr>
          <w:rFonts w:hint="eastAsia"/>
        </w:rPr>
        <w:t>泰瑟枪</w:t>
      </w:r>
      <w:r w:rsidRPr="00CC4C24">
        <w:t>)</w:t>
      </w:r>
      <w:r w:rsidRPr="00CC4C24">
        <w:rPr>
          <w:rFonts w:hint="eastAsia"/>
        </w:rPr>
        <w:t>的严格规定和执法人员的相关培训，但仍感关切的是，此类武器在监狱环境中继续使用，虽然并不常见。委员会感到遗憾的是，没有资料说明执法人员可能滥用此类装置的相关事件，也没有资料说明此类案件的调查结果。委员会认为，不应将放电武器</w:t>
      </w:r>
      <w:r w:rsidRPr="00CC4C24">
        <w:t>(</w:t>
      </w:r>
      <w:r w:rsidRPr="00CC4C24">
        <w:rPr>
          <w:rFonts w:hint="eastAsia"/>
        </w:rPr>
        <w:t>泰瑟枪</w:t>
      </w:r>
      <w:r w:rsidRPr="00CC4C24">
        <w:t>)</w:t>
      </w:r>
      <w:r w:rsidRPr="00CC4C24">
        <w:rPr>
          <w:rFonts w:hint="eastAsia"/>
        </w:rPr>
        <w:t>作为监狱或任何其他剥夺自由场所的看守人员的常规装备</w:t>
      </w:r>
      <w:r w:rsidRPr="00CC4C24">
        <w:rPr>
          <w:rFonts w:hint="eastAsia"/>
        </w:rPr>
        <w:t>(</w:t>
      </w:r>
      <w:r w:rsidRPr="00CC4C24">
        <w:rPr>
          <w:rFonts w:hint="eastAsia"/>
        </w:rPr>
        <w:t>第</w:t>
      </w:r>
      <w:r w:rsidRPr="00CC4C24">
        <w:rPr>
          <w:rFonts w:hint="eastAsia"/>
        </w:rPr>
        <w:t>2</w:t>
      </w:r>
      <w:r w:rsidRPr="00CC4C24">
        <w:rPr>
          <w:rFonts w:hint="eastAsia"/>
        </w:rPr>
        <w:t>、第</w:t>
      </w:r>
      <w:r w:rsidRPr="00CC4C24">
        <w:rPr>
          <w:rFonts w:hint="eastAsia"/>
        </w:rPr>
        <w:t>1</w:t>
      </w:r>
      <w:r w:rsidRPr="00CC4C24">
        <w:t>2</w:t>
      </w:r>
      <w:r w:rsidRPr="00CC4C24">
        <w:rPr>
          <w:rFonts w:hint="eastAsia"/>
        </w:rPr>
        <w:t>、第</w:t>
      </w:r>
      <w:r w:rsidRPr="00CC4C24">
        <w:rPr>
          <w:rFonts w:hint="eastAsia"/>
        </w:rPr>
        <w:t>1</w:t>
      </w:r>
      <w:r w:rsidRPr="00CC4C24">
        <w:t>3</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3EC6FA97" w14:textId="77777777" w:rsidR="00D231C7" w:rsidRPr="00CC4C24" w:rsidRDefault="00D231C7" w:rsidP="00D231C7">
      <w:pPr>
        <w:pStyle w:val="SingleTxtGC"/>
        <w:rPr>
          <w:rFonts w:eastAsia="黑体"/>
        </w:rPr>
      </w:pPr>
      <w:r w:rsidRPr="00CC4C24">
        <w:t>41.</w:t>
      </w:r>
      <w:r w:rsidRPr="00CC4C24">
        <w:tab/>
      </w:r>
      <w:r w:rsidRPr="00CC4C24">
        <w:rPr>
          <w:rFonts w:eastAsia="黑体" w:cs="LANTINGHEI SC DEMIBOLD" w:hint="eastAsia"/>
        </w:rPr>
        <w:t>缔约国应采取一切必要措施，有效确保放电武器</w:t>
      </w:r>
      <w:r w:rsidRPr="00CC4C24">
        <w:rPr>
          <w:rFonts w:eastAsia="黑体" w:cs="LANTINGHEI SC DEMIBOLD"/>
        </w:rPr>
        <w:t>(</w:t>
      </w:r>
      <w:r w:rsidRPr="00CC4C24">
        <w:rPr>
          <w:rFonts w:eastAsia="黑体" w:cs="LANTINGHEI SC DEMIBOLD" w:hint="eastAsia"/>
        </w:rPr>
        <w:t>泰瑟枪</w:t>
      </w:r>
      <w:r w:rsidRPr="00CC4C24">
        <w:rPr>
          <w:rFonts w:eastAsia="黑体" w:cs="LANTINGHEI SC DEMIBOLD"/>
        </w:rPr>
        <w:t>)</w:t>
      </w:r>
      <w:r w:rsidRPr="00CC4C24">
        <w:rPr>
          <w:rFonts w:eastAsia="黑体" w:cs="LANTINGHEI SC DEMIBOLD" w:hint="eastAsia"/>
        </w:rPr>
        <w:t>的使用严格遵守必要性、辅助性、相称性、事先警告</w:t>
      </w:r>
      <w:r w:rsidRPr="00CC4C24">
        <w:rPr>
          <w:rFonts w:eastAsia="黑体" w:cs="LANTINGHEI SC DEMIBOLD"/>
        </w:rPr>
        <w:t>(</w:t>
      </w:r>
      <w:r w:rsidRPr="00CC4C24">
        <w:rPr>
          <w:rFonts w:eastAsia="黑体" w:cs="LANTINGHEI SC DEMIBOLD" w:hint="eastAsia"/>
        </w:rPr>
        <w:t>在可行情况下</w:t>
      </w:r>
      <w:r w:rsidRPr="00CC4C24">
        <w:rPr>
          <w:rFonts w:eastAsia="黑体" w:cs="LANTINGHEI SC DEMIBOLD"/>
        </w:rPr>
        <w:t>)</w:t>
      </w:r>
      <w:r w:rsidRPr="00CC4C24">
        <w:rPr>
          <w:rFonts w:eastAsia="黑体" w:cs="LANTINGHEI SC DEMIBOLD" w:hint="eastAsia"/>
        </w:rPr>
        <w:t>和谨慎原则，并且仅在极端和有限的情况下，即面临真实和迫在眉睫的生命威胁或严重伤害风险的情况下，由训练有素的执法人员作为致命武器的替代品使用。缔约国应确保对关于过度或不当使用此类武器的一切指控进行迅速、公正和彻底的调查。</w:t>
      </w:r>
    </w:p>
    <w:p w14:paraId="7288486C" w14:textId="77777777" w:rsidR="00D231C7" w:rsidRPr="00CC4C24" w:rsidRDefault="00D231C7" w:rsidP="00A3564A">
      <w:pPr>
        <w:pStyle w:val="H23GC"/>
      </w:pPr>
      <w:r w:rsidRPr="00CC4C24">
        <w:tab/>
      </w:r>
      <w:r w:rsidRPr="00CC4C24">
        <w:tab/>
      </w:r>
      <w:r w:rsidRPr="00CC4C24">
        <w:rPr>
          <w:rFonts w:cs="LANTINGHEI SC DEMIBOLD" w:hint="eastAsia"/>
        </w:rPr>
        <w:t>间性者</w:t>
      </w:r>
    </w:p>
    <w:p w14:paraId="714F41B4" w14:textId="77777777" w:rsidR="00D231C7" w:rsidRPr="00344FA0" w:rsidRDefault="00D231C7" w:rsidP="00D231C7">
      <w:pPr>
        <w:pStyle w:val="SingleTxtGC"/>
        <w:rPr>
          <w:rStyle w:val="SingleTxtGCChar"/>
        </w:rPr>
      </w:pPr>
      <w:r w:rsidRPr="00CC4C24">
        <w:t>42.</w:t>
      </w:r>
      <w:r w:rsidRPr="00CC4C24">
        <w:tab/>
      </w:r>
      <w:r w:rsidRPr="00CC4C24">
        <w:rPr>
          <w:rFonts w:hint="eastAsia"/>
        </w:rPr>
        <w:t>委员会赞赏代表团保证仅在必要情况下并根据医学和心理学意见对间性儿童进行手术，但委员会感到关切的是，有报告称，有间性儿童在达到能够表示自</w:t>
      </w:r>
      <w:r w:rsidRPr="00CC4C24">
        <w:rPr>
          <w:rFonts w:hint="eastAsia"/>
        </w:rPr>
        <w:lastRenderedPageBreak/>
        <w:t>由、事先和知情同意的年龄之前接受了不必要和不可逆转的手术和其他医学治疗，造成了终身影响，包括剧烈疼痛和痛苦</w:t>
      </w:r>
      <w:r w:rsidRPr="00CC4C24">
        <w:t>(</w:t>
      </w:r>
      <w:r w:rsidRPr="00CC4C24">
        <w:rPr>
          <w:rFonts w:hint="eastAsia"/>
        </w:rPr>
        <w:t>第</w:t>
      </w:r>
      <w:r w:rsidRPr="00CC4C24">
        <w:rPr>
          <w:rFonts w:hint="eastAsia"/>
        </w:rPr>
        <w:t>2</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r w:rsidRPr="00CC4C24">
        <w:rPr>
          <w:rStyle w:val="a8"/>
          <w:rFonts w:eastAsia="宋体"/>
        </w:rPr>
        <w:footnoteReference w:id="11"/>
      </w:r>
    </w:p>
    <w:p w14:paraId="08989AF1" w14:textId="77777777" w:rsidR="00D231C7" w:rsidRPr="00CC4C24" w:rsidRDefault="00D231C7" w:rsidP="00D231C7">
      <w:pPr>
        <w:pStyle w:val="SingleTxtGC"/>
        <w:rPr>
          <w:rFonts w:eastAsia="黑体"/>
        </w:rPr>
      </w:pPr>
      <w:r w:rsidRPr="00CC4C24">
        <w:t>43.</w:t>
      </w:r>
      <w:r w:rsidRPr="00CC4C24">
        <w:tab/>
      </w:r>
      <w:r w:rsidRPr="00CC4C24">
        <w:rPr>
          <w:rFonts w:eastAsia="黑体" w:cs="LANTINGHEI SC DEMIBOLD" w:hint="eastAsia"/>
        </w:rPr>
        <w:t>缔约国应：</w:t>
      </w:r>
    </w:p>
    <w:p w14:paraId="617CCF77" w14:textId="77777777" w:rsidR="00D231C7" w:rsidRPr="00CC4C24" w:rsidRDefault="00D231C7" w:rsidP="00D231C7">
      <w:pPr>
        <w:pStyle w:val="SingleTxtGC"/>
        <w:rPr>
          <w:rFonts w:eastAsia="黑体"/>
        </w:rPr>
      </w:pPr>
      <w:r w:rsidRPr="00CC4C24">
        <w:tab/>
        <w:t>(a)</w:t>
      </w:r>
      <w:r w:rsidRPr="00CC4C24">
        <w:tab/>
      </w:r>
      <w:r w:rsidRPr="00CC4C24">
        <w:rPr>
          <w:rFonts w:eastAsia="黑体"/>
        </w:rPr>
        <w:t>考虑通过法律规定，在间性儿童达到既定年龄或足够成熟，能够自行决定并表示自由、事先和知情同意前，明确禁止对其进行非紧急和非必要的治疗或手术；</w:t>
      </w:r>
    </w:p>
    <w:p w14:paraId="0C2FDFC0"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确保对决策过程进行独立监督，以保证具有间性特征、无法表示同意的儿童接受的医学治疗是必要、紧急且创伤最小的方案；</w:t>
      </w:r>
    </w:p>
    <w:p w14:paraId="23A78239"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向非紧急和非必要治疗的受害者提供补救，包括提供适当的赔偿和康复，并确保所有间性儿童和青少年及其家庭获得专业的咨询服务以及心理和社会支持。</w:t>
      </w:r>
    </w:p>
    <w:p w14:paraId="6C3B8465" w14:textId="77777777" w:rsidR="00D231C7" w:rsidRPr="00CC4C24" w:rsidRDefault="00D231C7" w:rsidP="00A3564A">
      <w:pPr>
        <w:pStyle w:val="H23GC"/>
      </w:pPr>
      <w:r w:rsidRPr="00CC4C24">
        <w:tab/>
      </w:r>
      <w:r w:rsidRPr="00CC4C24">
        <w:tab/>
      </w:r>
      <w:r w:rsidRPr="00CC4C24">
        <w:rPr>
          <w:rFonts w:hint="eastAsia"/>
        </w:rPr>
        <w:t>反恐措施</w:t>
      </w:r>
    </w:p>
    <w:p w14:paraId="4252FFAB" w14:textId="77777777" w:rsidR="00D231C7" w:rsidRPr="00CC4C24" w:rsidRDefault="00D231C7" w:rsidP="00D231C7">
      <w:pPr>
        <w:pStyle w:val="SingleTxtGC"/>
      </w:pPr>
      <w:r w:rsidRPr="00CC4C24">
        <w:t>44.</w:t>
      </w:r>
      <w:r w:rsidRPr="00CC4C24">
        <w:tab/>
      </w:r>
      <w:r w:rsidRPr="00CC4C24">
        <w:rPr>
          <w:rFonts w:hint="eastAsia"/>
        </w:rPr>
        <w:t>委员会承认缔约国需要采取措施应对恐怖主义风险，包括执行《奥地利防止极端主义和去激进化战略》，但委员会感到关切的是，缔约国的反恐法仍然对涉嫌或被控参与恐怖主义行为者的权利，包括人身自由和安全权以及正当程序和公正审判权，规定了可能过度的限制，特别是《反恐法》修正案，该修正案将“具有宗教动机的极端主义团体”作为刑事定罪的依据，并规定对假释者实行新的电子监视制度。</w:t>
      </w:r>
      <w:r w:rsidRPr="00CC4C24">
        <w:rPr>
          <w:rStyle w:val="a8"/>
          <w:rFonts w:eastAsia="宋体"/>
        </w:rPr>
        <w:footnoteReference w:id="12"/>
      </w:r>
      <w:r w:rsidRPr="00344FA0">
        <w:rPr>
          <w:rStyle w:val="SingleTxtGCChar"/>
        </w:rPr>
        <w:t xml:space="preserve"> </w:t>
      </w:r>
      <w:r w:rsidRPr="00CC4C24">
        <w:rPr>
          <w:rFonts w:hint="eastAsia"/>
        </w:rPr>
        <w:t>委员会感到遗憾的是，没有资料说明根据反恐法规被定罪者的情况，在法律和实践中受反恐措施制裁者可获得的法律保障和补救，以及是否有关于在这方面未遵守国际标准的申诉，如果有的话，其结果如何</w:t>
      </w:r>
      <w:r w:rsidRPr="00CC4C24">
        <w:rPr>
          <w:rFonts w:hint="eastAsia"/>
        </w:rPr>
        <w:t>(</w:t>
      </w:r>
      <w:r w:rsidRPr="00CC4C24">
        <w:rPr>
          <w:rFonts w:hint="eastAsia"/>
        </w:rPr>
        <w:t>第</w:t>
      </w:r>
      <w:r w:rsidRPr="00CC4C24">
        <w:rPr>
          <w:rFonts w:hint="eastAsia"/>
        </w:rPr>
        <w:t>2</w:t>
      </w:r>
      <w:r w:rsidRPr="00CC4C24">
        <w:rPr>
          <w:rFonts w:hint="eastAsia"/>
        </w:rPr>
        <w:t>、第</w:t>
      </w:r>
      <w:r w:rsidRPr="00CC4C24">
        <w:rPr>
          <w:rFonts w:hint="eastAsia"/>
        </w:rPr>
        <w:t>1</w:t>
      </w:r>
      <w:r w:rsidRPr="00CC4C24">
        <w:t>1</w:t>
      </w:r>
      <w:r w:rsidRPr="00CC4C24">
        <w:rPr>
          <w:rFonts w:hint="eastAsia"/>
        </w:rPr>
        <w:t>、第</w:t>
      </w:r>
      <w:r w:rsidRPr="00CC4C24">
        <w:rPr>
          <w:rFonts w:hint="eastAsia"/>
        </w:rPr>
        <w:t>1</w:t>
      </w:r>
      <w:r w:rsidRPr="00CC4C24">
        <w:t>2</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05270908" w14:textId="77777777" w:rsidR="00D231C7" w:rsidRPr="00CC4C24" w:rsidRDefault="00D231C7" w:rsidP="00D231C7">
      <w:pPr>
        <w:pStyle w:val="SingleTxtGC"/>
        <w:rPr>
          <w:rFonts w:eastAsia="黑体"/>
        </w:rPr>
      </w:pPr>
      <w:r w:rsidRPr="00CC4C24">
        <w:t>45.</w:t>
      </w:r>
      <w:r w:rsidRPr="00CC4C24">
        <w:tab/>
      </w:r>
      <w:r w:rsidRPr="00CC4C24">
        <w:rPr>
          <w:rFonts w:eastAsia="黑体" w:cs="LANTINGHEI SC DEMIBOLD" w:hint="eastAsia"/>
        </w:rPr>
        <w:t>缔约国应采取一切必要措施，确保其反恐和国家安全法律、政策和做法完全符合《公约》，并针对酷刑、虐待和任意拘留制定适当和有效的法律保障。此外，缔约国应对一切在反恐行动中侵犯人权的指控，包括酷刑和虐待行为的指控进行迅速、公正和有效的调查，起诉和惩处责任人，并确保受害者能够获得有效补救和充分赔偿。</w:t>
      </w:r>
    </w:p>
    <w:p w14:paraId="45923D71" w14:textId="77777777" w:rsidR="00D231C7" w:rsidRPr="00CC4C24" w:rsidRDefault="00D231C7" w:rsidP="00A3564A">
      <w:pPr>
        <w:pStyle w:val="H23GC"/>
      </w:pPr>
      <w:r w:rsidRPr="00CC4C24">
        <w:tab/>
      </w:r>
      <w:r w:rsidRPr="00CC4C24">
        <w:tab/>
      </w:r>
      <w:r w:rsidRPr="00CC4C24">
        <w:t>性别暴力</w:t>
      </w:r>
    </w:p>
    <w:p w14:paraId="164BE11C" w14:textId="77777777" w:rsidR="00D231C7" w:rsidRPr="00CC4C24" w:rsidRDefault="00D231C7" w:rsidP="00D231C7">
      <w:pPr>
        <w:pStyle w:val="SingleTxtGC"/>
      </w:pPr>
      <w:r w:rsidRPr="00CC4C24">
        <w:t>46.</w:t>
      </w:r>
      <w:r w:rsidRPr="00CC4C24">
        <w:tab/>
      </w:r>
      <w:r w:rsidRPr="00CC4C24">
        <w:rPr>
          <w:rFonts w:hint="eastAsia"/>
        </w:rPr>
        <w:t>委员会注意到缔约国采取了各种措施应对性别暴力问题，包括通过了《防止暴力法》，设立了保护妇女免遭暴力部际工作组，以及通过了家庭暴力领域刑事起诉准则，但委员会感到关切的是，有报告称：</w:t>
      </w:r>
    </w:p>
    <w:p w14:paraId="7807A677" w14:textId="77777777" w:rsidR="00D231C7" w:rsidRPr="00CC4C24" w:rsidRDefault="00D231C7" w:rsidP="00D231C7">
      <w:pPr>
        <w:pStyle w:val="SingleTxtGC"/>
      </w:pPr>
      <w:r w:rsidRPr="00CC4C24">
        <w:tab/>
        <w:t>(a)</w:t>
      </w:r>
      <w:r w:rsidRPr="00CC4C24">
        <w:tab/>
      </w:r>
      <w:r w:rsidRPr="00CC4C24">
        <w:rPr>
          <w:rFonts w:hint="eastAsia"/>
        </w:rPr>
        <w:t>缔约国内暴力侵害妇女和女童行为，包括杀害妇女行为持续高发；</w:t>
      </w:r>
    </w:p>
    <w:p w14:paraId="588A2561" w14:textId="77777777" w:rsidR="00D231C7" w:rsidRPr="00CC4C24" w:rsidRDefault="00D231C7" w:rsidP="00D231C7">
      <w:pPr>
        <w:pStyle w:val="SingleTxtGC"/>
      </w:pPr>
      <w:r w:rsidRPr="00CC4C24">
        <w:tab/>
        <w:t>(b)</w:t>
      </w:r>
      <w:r w:rsidRPr="00CC4C24">
        <w:tab/>
      </w:r>
      <w:r w:rsidRPr="00CC4C24">
        <w:rPr>
          <w:rFonts w:hint="eastAsia"/>
        </w:rPr>
        <w:t>对暴力侵害妇女行为的举报不足，起诉和定罪率低，导致施害者不受惩罚</w:t>
      </w:r>
      <w:r w:rsidRPr="00CC4C24">
        <w:t>(</w:t>
      </w:r>
      <w:r w:rsidRPr="00CC4C24">
        <w:rPr>
          <w:rFonts w:hint="eastAsia"/>
        </w:rPr>
        <w:t>第</w:t>
      </w:r>
      <w:r w:rsidRPr="00CC4C24">
        <w:rPr>
          <w:rFonts w:hint="eastAsia"/>
        </w:rPr>
        <w:t>2</w:t>
      </w:r>
      <w:r w:rsidRPr="00CC4C24">
        <w:rPr>
          <w:rFonts w:hint="eastAsia"/>
        </w:rPr>
        <w:t>和第</w:t>
      </w:r>
      <w:r w:rsidRPr="00CC4C24">
        <w:rPr>
          <w:rFonts w:hint="eastAsia"/>
        </w:rPr>
        <w:t>1</w:t>
      </w:r>
      <w:r w:rsidRPr="00CC4C24">
        <w:t>6</w:t>
      </w:r>
      <w:r w:rsidRPr="00CC4C24">
        <w:rPr>
          <w:rFonts w:hint="eastAsia"/>
        </w:rPr>
        <w:t>条</w:t>
      </w:r>
      <w:r w:rsidRPr="00CC4C24">
        <w:t>)</w:t>
      </w:r>
      <w:r w:rsidRPr="00CC4C24">
        <w:rPr>
          <w:rFonts w:hint="eastAsia"/>
        </w:rPr>
        <w:t>。</w:t>
      </w:r>
    </w:p>
    <w:p w14:paraId="46C8E7B5" w14:textId="77777777" w:rsidR="00D231C7" w:rsidRPr="00CC4C24" w:rsidRDefault="00D231C7" w:rsidP="00D231C7">
      <w:pPr>
        <w:pStyle w:val="SingleTxtGC"/>
        <w:rPr>
          <w:rFonts w:eastAsia="黑体"/>
        </w:rPr>
      </w:pPr>
      <w:r w:rsidRPr="00CC4C24">
        <w:lastRenderedPageBreak/>
        <w:t>47.</w:t>
      </w:r>
      <w:r w:rsidRPr="00CC4C24">
        <w:tab/>
      </w:r>
      <w:r w:rsidRPr="00CC4C24">
        <w:rPr>
          <w:rFonts w:eastAsia="黑体" w:cs="LANTINGHEI SC DEMIBOLD" w:hint="eastAsia"/>
        </w:rPr>
        <w:t>根据消除对妇女歧视委员会的建议，</w:t>
      </w:r>
      <w:r w:rsidRPr="00CC4C24">
        <w:rPr>
          <w:rStyle w:val="a8"/>
          <w:rFonts w:eastAsia="宋体"/>
        </w:rPr>
        <w:footnoteReference w:id="13"/>
      </w:r>
      <w:r w:rsidRPr="00344FA0">
        <w:rPr>
          <w:rStyle w:val="SingleTxtGCChar"/>
        </w:rPr>
        <w:t xml:space="preserve"> </w:t>
      </w:r>
      <w:r w:rsidRPr="00CC4C24">
        <w:rPr>
          <w:rFonts w:eastAsia="黑体" w:cs="LANTINGHEI SC DEMIBOLD" w:hint="eastAsia"/>
        </w:rPr>
        <w:t>缔约国应：</w:t>
      </w:r>
    </w:p>
    <w:p w14:paraId="246DF30E" w14:textId="741E0224" w:rsidR="00D231C7" w:rsidRPr="00CC4C24" w:rsidRDefault="00D231C7" w:rsidP="00D231C7">
      <w:pPr>
        <w:pStyle w:val="SingleTxtGC"/>
        <w:rPr>
          <w:rFonts w:eastAsia="黑体"/>
        </w:rPr>
      </w:pPr>
      <w:r w:rsidRPr="00CC4C24">
        <w:tab/>
        <w:t>(a)</w:t>
      </w:r>
      <w:r w:rsidRPr="00CC4C24">
        <w:tab/>
      </w:r>
      <w:r w:rsidRPr="00CC4C24">
        <w:rPr>
          <w:rFonts w:eastAsia="黑体" w:hint="eastAsia"/>
        </w:rPr>
        <w:t>确保彻底调查所有针对妇女的性别暴力案件，特别是涉及国家机关或其他实体的作为或不作为致使缔约国根据《公约》承担国际责任的案件，起诉被控施害者，如认定有罪则处以适当刑罚，并确保受害者获得补救，包括适当赔偿；</w:t>
      </w:r>
    </w:p>
    <w:p w14:paraId="291233EF"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hint="eastAsia"/>
        </w:rPr>
        <w:t>采取必要措施，鼓励和便利受害者提出申诉，并有效消除可能妨碍妇女报告所受暴力行为的障碍；</w:t>
      </w:r>
    </w:p>
    <w:p w14:paraId="3A5F151E"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hint="eastAsia"/>
        </w:rPr>
        <w:t>考虑进一步加强向为遭受性别暴力行为的妇女提供庇护和康复服务的非政府组织提供资金支持并与之合作。</w:t>
      </w:r>
    </w:p>
    <w:p w14:paraId="6CB9E9B3" w14:textId="77777777" w:rsidR="00D231C7" w:rsidRPr="00CC4C24" w:rsidRDefault="00D231C7" w:rsidP="009B15A2">
      <w:pPr>
        <w:pStyle w:val="H23GC"/>
      </w:pPr>
      <w:r w:rsidRPr="00CC4C24">
        <w:tab/>
      </w:r>
      <w:r w:rsidRPr="00CC4C24">
        <w:tab/>
      </w:r>
      <w:r w:rsidRPr="00CC4C24">
        <w:rPr>
          <w:rFonts w:cs="LANTINGHEI SC DEMIBOLD"/>
        </w:rPr>
        <w:t>培训</w:t>
      </w:r>
    </w:p>
    <w:p w14:paraId="33477502" w14:textId="77777777" w:rsidR="00D231C7" w:rsidRPr="00CC4C24" w:rsidRDefault="00D231C7" w:rsidP="00D231C7">
      <w:pPr>
        <w:pStyle w:val="SingleTxtGC"/>
      </w:pPr>
      <w:r w:rsidRPr="00CC4C24">
        <w:t>48.</w:t>
      </w:r>
      <w:r w:rsidRPr="00CC4C24">
        <w:tab/>
      </w:r>
      <w:r w:rsidRPr="00CC4C24">
        <w:rPr>
          <w:rFonts w:hint="eastAsia"/>
        </w:rPr>
        <w:t>委员会承认缔约国努力为执法人员、监狱工作人员、法官、检察官和移民官员编制和实施关于人权，包括关于《公约》和绝对禁止酷刑的教育和培训内容。然而，委员会感到遗憾的是，缺乏关于经修订的《酷刑和其他残忍、不人道或有辱人格的待遇或处罚的有效调查和文件记录手册》</w:t>
      </w:r>
      <w:r w:rsidRPr="00CC4C24">
        <w:t>(</w:t>
      </w:r>
      <w:r w:rsidRPr="00CC4C24">
        <w:rPr>
          <w:rFonts w:hint="eastAsia"/>
        </w:rPr>
        <w:t>《伊斯坦布尔规程》</w:t>
      </w:r>
      <w:r w:rsidRPr="00CC4C24">
        <w:t>)</w:t>
      </w:r>
      <w:r w:rsidRPr="00CC4C24">
        <w:rPr>
          <w:rFonts w:hint="eastAsia"/>
        </w:rPr>
        <w:t>内容的培训。委员会还感到遗憾的是，关于为情报机构工作人员、法医和相关医务人员提供定期专门培训以及培训方案有效性评估机制的资料有限</w:t>
      </w:r>
      <w:r w:rsidRPr="00CC4C24">
        <w:t>(</w:t>
      </w:r>
      <w:r w:rsidRPr="00CC4C24">
        <w:rPr>
          <w:rFonts w:hint="eastAsia"/>
        </w:rPr>
        <w:t>第</w:t>
      </w:r>
      <w:r w:rsidRPr="00CC4C24">
        <w:t>10</w:t>
      </w:r>
      <w:r w:rsidRPr="00CC4C24">
        <w:rPr>
          <w:rFonts w:hint="eastAsia"/>
        </w:rPr>
        <w:t>条</w:t>
      </w:r>
      <w:r w:rsidRPr="00CC4C24">
        <w:t>)</w:t>
      </w:r>
      <w:r w:rsidRPr="00CC4C24">
        <w:rPr>
          <w:rFonts w:hint="eastAsia"/>
        </w:rPr>
        <w:t>。</w:t>
      </w:r>
    </w:p>
    <w:p w14:paraId="5760A6AA" w14:textId="77777777" w:rsidR="00D231C7" w:rsidRPr="00CC4C24" w:rsidRDefault="00D231C7" w:rsidP="00D231C7">
      <w:pPr>
        <w:pStyle w:val="SingleTxtGC"/>
        <w:rPr>
          <w:rFonts w:eastAsia="黑体"/>
        </w:rPr>
      </w:pPr>
      <w:r w:rsidRPr="00CC4C24">
        <w:t>49.</w:t>
      </w:r>
      <w:r w:rsidRPr="00CC4C24">
        <w:tab/>
      </w:r>
      <w:r w:rsidRPr="00CC4C24">
        <w:rPr>
          <w:rFonts w:eastAsia="黑体" w:cs="LANTINGHEI SC DEMIBOLD" w:hint="eastAsia"/>
        </w:rPr>
        <w:t>缔约国应：</w:t>
      </w:r>
    </w:p>
    <w:p w14:paraId="31E6B8E7" w14:textId="77777777" w:rsidR="00D231C7" w:rsidRPr="00CC4C24" w:rsidRDefault="00D231C7" w:rsidP="00D231C7">
      <w:pPr>
        <w:pStyle w:val="SingleTxtGC"/>
        <w:rPr>
          <w:rFonts w:eastAsia="黑体"/>
        </w:rPr>
      </w:pPr>
      <w:r w:rsidRPr="00CC4C24">
        <w:tab/>
        <w:t>(a)</w:t>
      </w:r>
      <w:r w:rsidRPr="00CC4C24">
        <w:tab/>
      </w:r>
      <w:r w:rsidRPr="00CC4C24">
        <w:rPr>
          <w:rFonts w:eastAsia="黑体"/>
        </w:rPr>
        <w:t>进一步制定强制性的入职和在职培训方案，</w:t>
      </w:r>
      <w:r w:rsidRPr="00CC4C24">
        <w:rPr>
          <w:rFonts w:eastAsia="黑体" w:hint="eastAsia"/>
        </w:rPr>
        <w:t>以</w:t>
      </w:r>
      <w:r w:rsidRPr="00CC4C24">
        <w:rPr>
          <w:rFonts w:eastAsia="黑体"/>
        </w:rPr>
        <w:t>确保所有公职人员，特别是执法人员、监狱工作人员、移民官员</w:t>
      </w:r>
      <w:r w:rsidRPr="00CC4C24">
        <w:rPr>
          <w:rFonts w:eastAsia="黑体" w:hint="eastAsia"/>
        </w:rPr>
        <w:t>以及</w:t>
      </w:r>
      <w:r w:rsidRPr="00CC4C24">
        <w:rPr>
          <w:rFonts w:eastAsia="黑体"/>
        </w:rPr>
        <w:t>监狱和精神病机构雇用的医务人员熟知《公约》各项规定，特别是绝对禁止酷刑的规定，并充分认识到违反规定的行为不会被容忍并将受到调查，责任人将被起诉，如</w:t>
      </w:r>
      <w:r w:rsidRPr="00CC4C24">
        <w:rPr>
          <w:rFonts w:eastAsia="黑体" w:hint="eastAsia"/>
        </w:rPr>
        <w:t>被定罪</w:t>
      </w:r>
      <w:r w:rsidRPr="00CC4C24">
        <w:rPr>
          <w:rFonts w:eastAsia="黑体"/>
        </w:rPr>
        <w:t>将受到适当惩处；</w:t>
      </w:r>
    </w:p>
    <w:p w14:paraId="7B503408" w14:textId="77777777" w:rsidR="00D231C7" w:rsidRPr="00CC4C24" w:rsidRDefault="00D231C7" w:rsidP="00D231C7">
      <w:pPr>
        <w:pStyle w:val="SingleTxtGC"/>
        <w:rPr>
          <w:rFonts w:eastAsia="黑体"/>
        </w:rPr>
      </w:pPr>
      <w:r w:rsidRPr="00CC4C24">
        <w:rPr>
          <w:rFonts w:eastAsia="黑体"/>
        </w:rPr>
        <w:tab/>
        <w:t>(b)</w:t>
      </w:r>
      <w:r w:rsidRPr="00CC4C24">
        <w:rPr>
          <w:rFonts w:eastAsia="黑体"/>
        </w:rPr>
        <w:tab/>
      </w:r>
      <w:r w:rsidRPr="00CC4C24">
        <w:rPr>
          <w:rFonts w:eastAsia="黑体"/>
        </w:rPr>
        <w:t>确保所有相关工作人员，特别是法官、检察官和包括法医专家在内的医务人员接受专门培训，以便按照经修订的《伊斯坦布尔规程》识别和记录酷刑和虐待案件，并将此类案件移交给主管调查机构；</w:t>
      </w:r>
    </w:p>
    <w:p w14:paraId="4EE90700" w14:textId="77777777" w:rsidR="00D231C7" w:rsidRPr="00CC4C24" w:rsidRDefault="00D231C7" w:rsidP="00D231C7">
      <w:pPr>
        <w:pStyle w:val="SingleTxtGC"/>
        <w:rPr>
          <w:rFonts w:eastAsia="黑体"/>
        </w:rPr>
      </w:pPr>
      <w:r w:rsidRPr="00CC4C24">
        <w:rPr>
          <w:rFonts w:eastAsia="黑体"/>
        </w:rPr>
        <w:tab/>
        <w:t>(c)</w:t>
      </w:r>
      <w:r w:rsidRPr="00CC4C24">
        <w:rPr>
          <w:rFonts w:eastAsia="黑体"/>
        </w:rPr>
        <w:tab/>
      </w:r>
      <w:r w:rsidRPr="00CC4C24">
        <w:rPr>
          <w:rFonts w:eastAsia="黑体"/>
        </w:rPr>
        <w:t>制定并实施方法</w:t>
      </w:r>
      <w:r w:rsidRPr="00CC4C24">
        <w:rPr>
          <w:rFonts w:eastAsia="黑体" w:hint="eastAsia"/>
        </w:rPr>
        <w:t>，以</w:t>
      </w:r>
      <w:r w:rsidRPr="00CC4C24">
        <w:rPr>
          <w:rFonts w:eastAsia="黑体"/>
        </w:rPr>
        <w:t>评估教育和培训方案在减少酷刑和虐待案件数量以及确保识别、记录和调查此类行为及起诉责任人方面的有效性。</w:t>
      </w:r>
    </w:p>
    <w:p w14:paraId="5CBE5AA6" w14:textId="77777777" w:rsidR="00D231C7" w:rsidRPr="00CC4C24" w:rsidRDefault="00D231C7" w:rsidP="009B15A2">
      <w:pPr>
        <w:pStyle w:val="H23GC"/>
      </w:pPr>
      <w:r w:rsidRPr="00CC4C24">
        <w:tab/>
      </w:r>
      <w:r w:rsidRPr="00CC4C24">
        <w:tab/>
      </w:r>
      <w:r w:rsidRPr="00CC4C24">
        <w:t>后续程序</w:t>
      </w:r>
    </w:p>
    <w:p w14:paraId="0DA86F5E" w14:textId="77777777" w:rsidR="00D231C7" w:rsidRPr="00CC4C24" w:rsidRDefault="00D231C7" w:rsidP="00D231C7">
      <w:pPr>
        <w:pStyle w:val="SingleTxtGC"/>
        <w:rPr>
          <w:rFonts w:eastAsia="黑体"/>
        </w:rPr>
      </w:pPr>
      <w:r w:rsidRPr="00CC4C24">
        <w:t>50.</w:t>
      </w:r>
      <w:r w:rsidRPr="00CC4C24">
        <w:tab/>
      </w:r>
      <w:r w:rsidRPr="00CC4C24">
        <w:rPr>
          <w:rFonts w:eastAsia="黑体" w:hint="eastAsia"/>
        </w:rPr>
        <w:t>委员会请缔约国在</w:t>
      </w:r>
      <w:r w:rsidRPr="00CC4C24">
        <w:rPr>
          <w:rFonts w:eastAsia="黑体"/>
        </w:rPr>
        <w:t>2025</w:t>
      </w:r>
      <w:r w:rsidRPr="00CC4C24">
        <w:rPr>
          <w:rFonts w:eastAsia="黑体" w:hint="eastAsia"/>
        </w:rPr>
        <w:t>年</w:t>
      </w:r>
      <w:r w:rsidRPr="00CC4C24">
        <w:rPr>
          <w:rFonts w:eastAsia="黑体"/>
        </w:rPr>
        <w:t>5</w:t>
      </w:r>
      <w:r w:rsidRPr="00CC4C24">
        <w:rPr>
          <w:rFonts w:eastAsia="黑体" w:hint="eastAsia"/>
        </w:rPr>
        <w:t>月</w:t>
      </w:r>
      <w:r w:rsidRPr="00CC4C24">
        <w:rPr>
          <w:rFonts w:eastAsia="黑体"/>
        </w:rPr>
        <w:t>10</w:t>
      </w:r>
      <w:r w:rsidRPr="00CC4C24">
        <w:rPr>
          <w:rFonts w:eastAsia="黑体" w:hint="eastAsia"/>
        </w:rPr>
        <w:t>日前提供资料，说明就委员会关于监督拘留设施、拘留条件以及</w:t>
      </w:r>
      <w:r w:rsidRPr="00CC4C24">
        <w:rPr>
          <w:rFonts w:eastAsia="黑体"/>
        </w:rPr>
        <w:t>1982</w:t>
      </w:r>
      <w:r w:rsidRPr="00CC4C24">
        <w:rPr>
          <w:rFonts w:eastAsia="黑体" w:hint="eastAsia"/>
        </w:rPr>
        <w:t>年奥地利与列支敦士登条约所提建议的后续工作</w:t>
      </w:r>
      <w:r w:rsidRPr="00CC4C24">
        <w:rPr>
          <w:rFonts w:eastAsia="黑体"/>
        </w:rPr>
        <w:t>(</w:t>
      </w:r>
      <w:r w:rsidRPr="00CC4C24">
        <w:rPr>
          <w:rFonts w:eastAsia="黑体" w:hint="eastAsia"/>
        </w:rPr>
        <w:t>见上文第</w:t>
      </w:r>
      <w:r w:rsidRPr="00CC4C24">
        <w:rPr>
          <w:rFonts w:eastAsia="黑体"/>
        </w:rPr>
        <w:t>19</w:t>
      </w:r>
      <w:r w:rsidRPr="00CC4C24">
        <w:rPr>
          <w:rFonts w:eastAsia="黑体" w:hint="eastAsia"/>
        </w:rPr>
        <w:t>、第</w:t>
      </w:r>
      <w:r w:rsidRPr="00CC4C24">
        <w:rPr>
          <w:rFonts w:eastAsia="黑体"/>
        </w:rPr>
        <w:t>25(a)</w:t>
      </w:r>
      <w:r w:rsidRPr="00CC4C24">
        <w:rPr>
          <w:rFonts w:eastAsia="黑体" w:hint="eastAsia"/>
        </w:rPr>
        <w:t>和第</w:t>
      </w:r>
      <w:r w:rsidRPr="00CC4C24">
        <w:rPr>
          <w:rFonts w:eastAsia="黑体"/>
        </w:rPr>
        <w:t>39</w:t>
      </w:r>
      <w:r w:rsidRPr="00CC4C24">
        <w:rPr>
          <w:rFonts w:eastAsia="黑体" w:hint="eastAsia"/>
        </w:rPr>
        <w:t>段</w:t>
      </w:r>
      <w:r w:rsidRPr="00CC4C24">
        <w:rPr>
          <w:rFonts w:eastAsia="黑体"/>
        </w:rPr>
        <w:t>)</w:t>
      </w:r>
      <w:r w:rsidRPr="00CC4C24">
        <w:rPr>
          <w:rFonts w:eastAsia="黑体" w:hint="eastAsia"/>
        </w:rPr>
        <w:t>。在这方面，还请缔约国向委员会通报计划在下一报告周期内如何落实本结论性意见中的其余建议。</w:t>
      </w:r>
    </w:p>
    <w:p w14:paraId="11C5338E" w14:textId="77777777" w:rsidR="00D231C7" w:rsidRPr="00CC4C24" w:rsidRDefault="00D231C7" w:rsidP="009B15A2">
      <w:pPr>
        <w:pStyle w:val="H23GC"/>
      </w:pPr>
      <w:r w:rsidRPr="00CC4C24">
        <w:tab/>
      </w:r>
      <w:r w:rsidRPr="00CC4C24">
        <w:tab/>
      </w:r>
      <w:r w:rsidRPr="00CC4C24">
        <w:t>其他问题</w:t>
      </w:r>
    </w:p>
    <w:p w14:paraId="55579039" w14:textId="77777777" w:rsidR="00D231C7" w:rsidRPr="00CC4C24" w:rsidRDefault="00D231C7" w:rsidP="00D231C7">
      <w:pPr>
        <w:pStyle w:val="SingleTxtGC"/>
        <w:rPr>
          <w:rFonts w:eastAsia="黑体"/>
        </w:rPr>
      </w:pPr>
      <w:r w:rsidRPr="00CC4C24">
        <w:t>51.</w:t>
      </w:r>
      <w:r w:rsidRPr="00CC4C24">
        <w:tab/>
      </w:r>
      <w:r w:rsidRPr="00CC4C24">
        <w:rPr>
          <w:rFonts w:eastAsia="黑体" w:hint="eastAsia"/>
        </w:rPr>
        <w:t>委员会请缔约国通过官方网站、媒体和非政府组织，以相关语言广泛传播提交委员会的报告和本结论性意见，并向委员会通报传播活动的情况。</w:t>
      </w:r>
    </w:p>
    <w:p w14:paraId="1B44B90B" w14:textId="77777777" w:rsidR="00D231C7" w:rsidRPr="00CC4C24" w:rsidRDefault="00D231C7" w:rsidP="00D231C7">
      <w:pPr>
        <w:pStyle w:val="SingleTxtGC"/>
        <w:rPr>
          <w:rFonts w:eastAsia="黑体"/>
        </w:rPr>
      </w:pPr>
      <w:r w:rsidRPr="00CC4C24">
        <w:rPr>
          <w:rFonts w:eastAsia="黑体"/>
        </w:rPr>
        <w:t>52.</w:t>
      </w:r>
      <w:r w:rsidRPr="00CC4C24">
        <w:rPr>
          <w:rFonts w:eastAsia="黑体"/>
        </w:rPr>
        <w:tab/>
      </w:r>
      <w:r w:rsidRPr="00CC4C24">
        <w:rPr>
          <w:rFonts w:eastAsia="黑体" w:hint="eastAsia"/>
        </w:rPr>
        <w:t>委员会请缔约国在</w:t>
      </w:r>
      <w:r w:rsidRPr="00CC4C24">
        <w:rPr>
          <w:rFonts w:eastAsia="黑体"/>
        </w:rPr>
        <w:t>2028</w:t>
      </w:r>
      <w:r w:rsidRPr="00CC4C24">
        <w:rPr>
          <w:rFonts w:eastAsia="黑体" w:hint="eastAsia"/>
        </w:rPr>
        <w:t>年</w:t>
      </w:r>
      <w:r w:rsidRPr="00CC4C24">
        <w:rPr>
          <w:rFonts w:eastAsia="黑体"/>
        </w:rPr>
        <w:t>5</w:t>
      </w:r>
      <w:r w:rsidRPr="00CC4C24">
        <w:rPr>
          <w:rFonts w:eastAsia="黑体" w:hint="eastAsia"/>
        </w:rPr>
        <w:t>月</w:t>
      </w:r>
      <w:r w:rsidRPr="00CC4C24">
        <w:rPr>
          <w:rFonts w:eastAsia="黑体"/>
        </w:rPr>
        <w:t>10</w:t>
      </w:r>
      <w:r w:rsidRPr="00CC4C24">
        <w:rPr>
          <w:rFonts w:eastAsia="黑体" w:hint="eastAsia"/>
        </w:rPr>
        <w:t>日前提交下一次定期报告，即第八次定期报告。为此，并考虑到缔约国已同意按照简化报告程序向委员会提交报告，委员</w:t>
      </w:r>
      <w:r w:rsidRPr="00CC4C24">
        <w:rPr>
          <w:rFonts w:eastAsia="黑体" w:hint="eastAsia"/>
        </w:rPr>
        <w:lastRenderedPageBreak/>
        <w:t>会将在适当时候向缔约国发送报告前问题清单。缔约国对问题清单的答复将构成其根据《公约》第</w:t>
      </w:r>
      <w:r w:rsidRPr="00CC4C24">
        <w:rPr>
          <w:rFonts w:eastAsia="黑体"/>
        </w:rPr>
        <w:t>19</w:t>
      </w:r>
      <w:r w:rsidRPr="00CC4C24">
        <w:rPr>
          <w:rFonts w:eastAsia="黑体" w:hint="eastAsia"/>
        </w:rPr>
        <w:t>条提交的第八次定期报告。</w:t>
      </w:r>
    </w:p>
    <w:bookmarkEnd w:id="0"/>
    <w:p w14:paraId="23F5E804" w14:textId="77777777" w:rsidR="001B614A" w:rsidRDefault="001B614A" w:rsidP="001B614A">
      <w:pPr>
        <w:pStyle w:val="SingleTxtGC"/>
        <w:rPr>
          <w:lang w:val="en-GB"/>
        </w:rPr>
      </w:pPr>
    </w:p>
    <w:p w14:paraId="0C5F78ED" w14:textId="10E0AD64" w:rsidR="00D231C7" w:rsidRPr="00D231C7" w:rsidRDefault="00D231C7" w:rsidP="00D231C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231C7" w:rsidRPr="00D231C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1623A" w14:textId="77777777" w:rsidR="00B067DB" w:rsidRPr="000D319F" w:rsidRDefault="00B067DB" w:rsidP="000D319F">
      <w:pPr>
        <w:pStyle w:val="af0"/>
        <w:spacing w:after="240"/>
        <w:ind w:left="907"/>
        <w:rPr>
          <w:rFonts w:asciiTheme="majorBidi" w:eastAsia="宋体" w:hAnsiTheme="majorBidi" w:cstheme="majorBidi"/>
          <w:sz w:val="21"/>
          <w:szCs w:val="21"/>
          <w:lang w:val="en-US"/>
        </w:rPr>
      </w:pPr>
    </w:p>
    <w:p w14:paraId="5C022A9A" w14:textId="77777777" w:rsidR="00B067DB" w:rsidRPr="000D319F" w:rsidRDefault="00B067D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C81FC81" w14:textId="77777777" w:rsidR="00B067DB" w:rsidRPr="000D319F" w:rsidRDefault="00B067DB" w:rsidP="000D319F">
      <w:pPr>
        <w:pStyle w:val="af0"/>
      </w:pPr>
    </w:p>
  </w:endnote>
  <w:endnote w:type="continuationNotice" w:id="1">
    <w:p w14:paraId="7C4E1FF6" w14:textId="77777777" w:rsidR="00B067DB" w:rsidRDefault="00B067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LANTINGHEI SC DEMIBOLD">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5B49B" w14:textId="77777777" w:rsidR="00DD1D12" w:rsidRPr="001B614A" w:rsidRDefault="001B614A" w:rsidP="001B614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B614A">
      <w:rPr>
        <w:rStyle w:val="af2"/>
        <w:b w:val="0"/>
        <w:snapToGrid w:val="0"/>
        <w:sz w:val="16"/>
      </w:rPr>
      <w:t>GE.24-08504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895D8" w14:textId="77777777" w:rsidR="00DD1D12" w:rsidRPr="001B614A" w:rsidRDefault="001B614A" w:rsidP="001B614A">
    <w:pPr>
      <w:pStyle w:val="af0"/>
      <w:tabs>
        <w:tab w:val="clear" w:pos="431"/>
        <w:tab w:val="right" w:pos="9638"/>
      </w:tabs>
      <w:rPr>
        <w:rStyle w:val="af2"/>
      </w:rPr>
    </w:pPr>
    <w:r>
      <w:t>GE.24-08504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74F37" w14:textId="0A8D4AE8" w:rsidR="00DD1D12" w:rsidRPr="00487939" w:rsidRDefault="001B614A"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93C824" wp14:editId="5871FFF1">
          <wp:simplePos x="0" y="0"/>
          <wp:positionH relativeFrom="column">
            <wp:align>right</wp:align>
          </wp:positionH>
          <wp:positionV relativeFrom="paragraph">
            <wp:posOffset>-69850</wp:posOffset>
          </wp:positionV>
          <wp:extent cx="571500" cy="571500"/>
          <wp:effectExtent l="0" t="0" r="0" b="0"/>
          <wp:wrapNone/>
          <wp:docPr id="15568431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GE.24-08504</w:t>
    </w:r>
    <w:r w:rsidR="00731A42" w:rsidRPr="00EE277A">
      <w:rPr>
        <w:sz w:val="20"/>
        <w:lang w:eastAsia="zh-CN"/>
      </w:rPr>
      <w:t xml:space="preserve"> (C)</w:t>
    </w:r>
    <w:r w:rsidR="005505A1">
      <w:rPr>
        <w:sz w:val="20"/>
        <w:lang w:eastAsia="zh-CN"/>
      </w:rPr>
      <w:tab/>
    </w:r>
    <w:r>
      <w:rPr>
        <w:rFonts w:eastAsiaTheme="minorEastAsia" w:hint="eastAsia"/>
        <w:sz w:val="20"/>
        <w:lang w:eastAsia="zh-CN"/>
      </w:rPr>
      <w:t>2806</w:t>
    </w:r>
    <w:r w:rsidR="00597013">
      <w:rPr>
        <w:sz w:val="20"/>
        <w:lang w:eastAsia="zh-CN"/>
      </w:rPr>
      <w:t>2</w:t>
    </w:r>
    <w:r w:rsidR="00155102">
      <w:rPr>
        <w:sz w:val="20"/>
        <w:lang w:eastAsia="zh-CN"/>
      </w:rPr>
      <w:t>4</w:t>
    </w:r>
    <w:r w:rsidR="00731A42">
      <w:rPr>
        <w:sz w:val="20"/>
        <w:lang w:eastAsia="zh-CN"/>
      </w:rPr>
      <w:tab/>
    </w:r>
    <w:r>
      <w:rPr>
        <w:rFonts w:eastAsiaTheme="minorEastAsia" w:hint="eastAsia"/>
        <w:sz w:val="20"/>
        <w:lang w:eastAsia="zh-CN"/>
      </w:rPr>
      <w:t>0</w:t>
    </w:r>
    <w:r w:rsidR="00320C5F">
      <w:rPr>
        <w:rFonts w:eastAsiaTheme="minorEastAsia" w:hint="eastAsia"/>
        <w:sz w:val="20"/>
        <w:lang w:eastAsia="zh-CN"/>
      </w:rPr>
      <w:t>5</w:t>
    </w:r>
    <w:r>
      <w:rPr>
        <w:rFonts w:eastAsiaTheme="minorEastAsia" w:hint="eastAsia"/>
        <w:sz w:val="20"/>
        <w:lang w:eastAsia="zh-CN"/>
      </w:rPr>
      <w:t>07</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2874ABED" wp14:editId="1EF461B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1A6E5" w14:textId="77777777" w:rsidR="00B067DB" w:rsidRPr="000157B1" w:rsidRDefault="00B067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A46A169" w14:textId="77777777" w:rsidR="00B067DB" w:rsidRPr="000157B1" w:rsidRDefault="00B067D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8715A4E" w14:textId="77777777" w:rsidR="00B067DB" w:rsidRDefault="00B067DB"/>
  </w:footnote>
  <w:footnote w:id="2">
    <w:p w14:paraId="30D8EE80" w14:textId="4965341C" w:rsidR="00D231C7" w:rsidRPr="004B37C5" w:rsidRDefault="00D231C7" w:rsidP="00D231C7">
      <w:pPr>
        <w:pStyle w:val="a6"/>
      </w:pPr>
      <w:r w:rsidRPr="00D231C7">
        <w:rPr>
          <w:rStyle w:val="a8"/>
          <w:rFonts w:eastAsia="宋体"/>
          <w:vertAlign w:val="baseline"/>
        </w:rPr>
        <w:tab/>
      </w:r>
      <w:r w:rsidRPr="00AA238A">
        <w:rPr>
          <w:rStyle w:val="a8"/>
          <w:rFonts w:eastAsia="宋体"/>
          <w:vertAlign w:val="baseline"/>
        </w:rPr>
        <w:t>*</w:t>
      </w:r>
      <w:r w:rsidRPr="00D231C7">
        <w:rPr>
          <w:rStyle w:val="a8"/>
          <w:rFonts w:eastAsia="宋体"/>
          <w:sz w:val="20"/>
          <w:vertAlign w:val="baseline"/>
        </w:rPr>
        <w:tab/>
      </w:r>
      <w:r w:rsidRPr="00462100">
        <w:rPr>
          <w:rFonts w:hint="eastAsia"/>
        </w:rPr>
        <w:t>委员会第七十九届会议</w:t>
      </w:r>
      <w:r>
        <w:t>(2</w:t>
      </w:r>
      <w:r w:rsidRPr="00462100">
        <w:t>0</w:t>
      </w:r>
      <w:r>
        <w:t>24</w:t>
      </w:r>
      <w:r w:rsidRPr="00462100">
        <w:rPr>
          <w:rFonts w:hint="eastAsia"/>
        </w:rPr>
        <w:t>年</w:t>
      </w:r>
      <w:r>
        <w:t>4</w:t>
      </w:r>
      <w:r w:rsidRPr="00462100">
        <w:rPr>
          <w:rFonts w:hint="eastAsia"/>
        </w:rPr>
        <w:t>月</w:t>
      </w:r>
      <w:r>
        <w:t>15</w:t>
      </w:r>
      <w:r w:rsidRPr="00462100">
        <w:rPr>
          <w:rFonts w:hint="eastAsia"/>
        </w:rPr>
        <w:t>日至</w:t>
      </w:r>
      <w:r>
        <w:t>5</w:t>
      </w:r>
      <w:r w:rsidRPr="00462100">
        <w:rPr>
          <w:rFonts w:hint="eastAsia"/>
        </w:rPr>
        <w:t>月</w:t>
      </w:r>
      <w:r>
        <w:t>1</w:t>
      </w:r>
      <w:r w:rsidRPr="00462100">
        <w:t>0</w:t>
      </w:r>
      <w:r w:rsidRPr="00462100">
        <w:rPr>
          <w:rFonts w:hint="eastAsia"/>
        </w:rPr>
        <w:t>日</w:t>
      </w:r>
      <w:r>
        <w:t>)</w:t>
      </w:r>
      <w:r w:rsidRPr="00462100">
        <w:rPr>
          <w:rFonts w:hint="eastAsia"/>
        </w:rPr>
        <w:t>通过。</w:t>
      </w:r>
    </w:p>
  </w:footnote>
  <w:footnote w:id="3">
    <w:p w14:paraId="0D428323" w14:textId="7F5F207B"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r>
        <w:rPr>
          <w:rFonts w:hint="eastAsia"/>
        </w:rPr>
        <w:t>见</w:t>
      </w:r>
      <w:r w:rsidRPr="001139C6">
        <w:t>CAT/C/SR.2074</w:t>
      </w:r>
      <w:r>
        <w:rPr>
          <w:rFonts w:hint="eastAsia"/>
        </w:rPr>
        <w:t>和</w:t>
      </w:r>
      <w:r w:rsidRPr="001139C6">
        <w:t>CAT/C/SR.2077</w:t>
      </w:r>
      <w:r>
        <w:rPr>
          <w:rFonts w:hint="eastAsia"/>
        </w:rPr>
        <w:t>。</w:t>
      </w:r>
    </w:p>
  </w:footnote>
  <w:footnote w:id="4">
    <w:p w14:paraId="4BAD9900" w14:textId="75DA63DD"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r w:rsidRPr="001139C6">
        <w:t>CAT/C/AUT/7</w:t>
      </w:r>
      <w:r>
        <w:rPr>
          <w:rFonts w:hint="eastAsia"/>
        </w:rPr>
        <w:t>。</w:t>
      </w:r>
    </w:p>
  </w:footnote>
  <w:footnote w:id="5">
    <w:p w14:paraId="5DD3732F" w14:textId="42424BE0"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bookmarkStart w:id="2" w:name="_Hlk140967644"/>
      <w:r w:rsidR="001139C6" w:rsidRPr="001139C6">
        <w:rPr>
          <w:color w:val="0000FF"/>
        </w:rPr>
        <w:fldChar w:fldCharType="begin"/>
      </w:r>
      <w:r w:rsidR="001139C6" w:rsidRPr="001139C6">
        <w:rPr>
          <w:color w:val="0000FF"/>
        </w:rPr>
        <w:instrText>HYPERLINK "http://undocs.org/ch/CAT/C/AUT/CO/6"</w:instrText>
      </w:r>
      <w:r w:rsidR="001139C6" w:rsidRPr="001139C6">
        <w:rPr>
          <w:color w:val="0000FF"/>
        </w:rPr>
      </w:r>
      <w:r w:rsidR="001139C6" w:rsidRPr="001139C6">
        <w:rPr>
          <w:color w:val="0000FF"/>
        </w:rPr>
        <w:fldChar w:fldCharType="separate"/>
      </w:r>
      <w:r w:rsidRPr="001139C6">
        <w:rPr>
          <w:rStyle w:val="af5"/>
        </w:rPr>
        <w:t>CAT/C/AUT/CO/</w:t>
      </w:r>
      <w:bookmarkEnd w:id="2"/>
      <w:r w:rsidRPr="001139C6">
        <w:rPr>
          <w:rStyle w:val="af5"/>
        </w:rPr>
        <w:t>6</w:t>
      </w:r>
      <w:r w:rsidR="001139C6" w:rsidRPr="001139C6">
        <w:rPr>
          <w:color w:val="0000FF"/>
        </w:rPr>
        <w:fldChar w:fldCharType="end"/>
      </w:r>
      <w:r w:rsidRPr="00AA238A">
        <w:t>,</w:t>
      </w:r>
      <w:r>
        <w:rPr>
          <w:color w:val="0000FF"/>
        </w:rPr>
        <w:t xml:space="preserve"> </w:t>
      </w:r>
      <w:r w:rsidRPr="00ED290E">
        <w:rPr>
          <w:rFonts w:hint="eastAsia"/>
        </w:rPr>
        <w:t>第</w:t>
      </w:r>
      <w:r>
        <w:t>9(a)</w:t>
      </w:r>
      <w:r w:rsidRPr="00ED290E">
        <w:rPr>
          <w:rFonts w:hint="eastAsia"/>
        </w:rPr>
        <w:t>和</w:t>
      </w:r>
      <w:r>
        <w:t>(b)</w:t>
      </w:r>
      <w:r w:rsidRPr="00ED290E">
        <w:rPr>
          <w:rFonts w:hint="eastAsia"/>
        </w:rPr>
        <w:t>、第</w:t>
      </w:r>
      <w:r>
        <w:t>23</w:t>
      </w:r>
      <w:r w:rsidRPr="00ED290E">
        <w:rPr>
          <w:rFonts w:hint="eastAsia"/>
        </w:rPr>
        <w:t>、第</w:t>
      </w:r>
      <w:r>
        <w:t>31</w:t>
      </w:r>
      <w:r w:rsidRPr="00ED290E">
        <w:rPr>
          <w:rFonts w:hint="eastAsia"/>
        </w:rPr>
        <w:t>和第</w:t>
      </w:r>
      <w:r>
        <w:t>37</w:t>
      </w:r>
      <w:r w:rsidRPr="00ED290E">
        <w:rPr>
          <w:rFonts w:hint="eastAsia"/>
        </w:rPr>
        <w:t>段。</w:t>
      </w:r>
    </w:p>
  </w:footnote>
  <w:footnote w:id="6">
    <w:p w14:paraId="13F6B848" w14:textId="5832D4A3"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r w:rsidRPr="001139C6">
        <w:t>CAT/C/AUT/CO/6/Add.1</w:t>
      </w:r>
      <w:r>
        <w:rPr>
          <w:rFonts w:hint="eastAsia"/>
        </w:rPr>
        <w:t>。</w:t>
      </w:r>
    </w:p>
  </w:footnote>
  <w:footnote w:id="7">
    <w:p w14:paraId="7B084C56" w14:textId="1FE01EB3"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hyperlink r:id="rId1" w:history="1">
        <w:r w:rsidRPr="001139C6">
          <w:rPr>
            <w:rStyle w:val="af5"/>
          </w:rPr>
          <w:t>CAT/OP/12/5</w:t>
        </w:r>
      </w:hyperlink>
      <w:r w:rsidRPr="00AA238A">
        <w:t>,</w:t>
      </w:r>
      <w:r>
        <w:rPr>
          <w:color w:val="0000FF"/>
        </w:rPr>
        <w:t xml:space="preserve"> </w:t>
      </w:r>
      <w:r>
        <w:rPr>
          <w:rFonts w:hint="eastAsia"/>
        </w:rPr>
        <w:t>第</w:t>
      </w:r>
      <w:r>
        <w:rPr>
          <w:rFonts w:hint="eastAsia"/>
        </w:rPr>
        <w:t>1</w:t>
      </w:r>
      <w:r>
        <w:t>3</w:t>
      </w:r>
      <w:r>
        <w:rPr>
          <w:rFonts w:hint="eastAsia"/>
        </w:rPr>
        <w:t>和第</w:t>
      </w:r>
      <w:r>
        <w:rPr>
          <w:rFonts w:hint="eastAsia"/>
        </w:rPr>
        <w:t>3</w:t>
      </w:r>
      <w:r>
        <w:t>8</w:t>
      </w:r>
      <w:r>
        <w:rPr>
          <w:rFonts w:hint="eastAsia"/>
        </w:rPr>
        <w:t>段。</w:t>
      </w:r>
    </w:p>
  </w:footnote>
  <w:footnote w:id="8">
    <w:p w14:paraId="08658990" w14:textId="5769AA3E"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r>
        <w:rPr>
          <w:rFonts w:hint="eastAsia"/>
        </w:rPr>
        <w:t>见</w:t>
      </w:r>
      <w:hyperlink r:id="rId2" w:history="1">
        <w:r w:rsidR="00AA238A" w:rsidRPr="003A5EB9">
          <w:rPr>
            <w:rStyle w:val="af5"/>
          </w:rPr>
          <w:t>https:</w:t>
        </w:r>
        <w:r w:rsidR="00AA238A" w:rsidRPr="003A5EB9">
          <w:rPr>
            <w:rStyle w:val="af5"/>
            <w:rFonts w:hint="eastAsia"/>
          </w:rPr>
          <w:t>//</w:t>
        </w:r>
        <w:r w:rsidR="00AA238A" w:rsidRPr="003A5EB9">
          <w:rPr>
            <w:rStyle w:val="af5"/>
          </w:rPr>
          <w:t>caselaw.euaa.europa.eu/pages/viewcaselaw.aspx?CaseLawID=3917&amp;returnurl=/pages/searchresults.aspx</w:t>
        </w:r>
      </w:hyperlink>
      <w:r>
        <w:rPr>
          <w:rFonts w:hint="eastAsia"/>
        </w:rPr>
        <w:t>。</w:t>
      </w:r>
    </w:p>
  </w:footnote>
  <w:footnote w:id="9">
    <w:p w14:paraId="3A5B18C7" w14:textId="786E6173"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hyperlink r:id="rId3" w:history="1">
        <w:r w:rsidRPr="001139C6">
          <w:rPr>
            <w:rStyle w:val="af5"/>
          </w:rPr>
          <w:t>CED/C/AUT/CO/1</w:t>
        </w:r>
      </w:hyperlink>
      <w:r w:rsidRPr="00AA238A">
        <w:t>,</w:t>
      </w:r>
      <w:r>
        <w:rPr>
          <w:color w:val="0000FF"/>
        </w:rPr>
        <w:t xml:space="preserve"> </w:t>
      </w:r>
      <w:r>
        <w:rPr>
          <w:rFonts w:hint="eastAsia"/>
        </w:rPr>
        <w:t>第</w:t>
      </w:r>
      <w:r>
        <w:rPr>
          <w:rFonts w:hint="eastAsia"/>
        </w:rPr>
        <w:t>2</w:t>
      </w:r>
      <w:r>
        <w:t>0</w:t>
      </w:r>
      <w:r>
        <w:rPr>
          <w:rFonts w:hint="eastAsia"/>
        </w:rPr>
        <w:t>和第</w:t>
      </w:r>
      <w:r>
        <w:t>21</w:t>
      </w:r>
      <w:r>
        <w:rPr>
          <w:rFonts w:hint="eastAsia"/>
        </w:rPr>
        <w:t>段</w:t>
      </w:r>
      <w:r>
        <w:rPr>
          <w:rFonts w:ascii="宋体" w:hAnsi="宋体" w:cs="宋体" w:hint="eastAsia"/>
        </w:rPr>
        <w:t>；</w:t>
      </w:r>
      <w:hyperlink r:id="rId4" w:history="1">
        <w:r w:rsidRPr="001139C6">
          <w:rPr>
            <w:rStyle w:val="af5"/>
          </w:rPr>
          <w:t>CRC/C/AUT/CO/5-6</w:t>
        </w:r>
      </w:hyperlink>
      <w:r w:rsidRPr="00AA238A">
        <w:t>,</w:t>
      </w:r>
      <w:r>
        <w:rPr>
          <w:color w:val="0000FF"/>
        </w:rPr>
        <w:t xml:space="preserve"> </w:t>
      </w:r>
      <w:r>
        <w:rPr>
          <w:rFonts w:hint="eastAsia"/>
        </w:rPr>
        <w:t>第</w:t>
      </w:r>
      <w:r>
        <w:t>39</w:t>
      </w:r>
      <w:r>
        <w:rPr>
          <w:rFonts w:hint="eastAsia"/>
        </w:rPr>
        <w:t>和第</w:t>
      </w:r>
      <w:r>
        <w:rPr>
          <w:rFonts w:hint="eastAsia"/>
        </w:rPr>
        <w:t>4</w:t>
      </w:r>
      <w:r>
        <w:t>0</w:t>
      </w:r>
      <w:r>
        <w:rPr>
          <w:rFonts w:hint="eastAsia"/>
        </w:rPr>
        <w:t>段。</w:t>
      </w:r>
    </w:p>
  </w:footnote>
  <w:footnote w:id="10">
    <w:p w14:paraId="53D25E5D" w14:textId="0D26A770"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hyperlink r:id="rId5" w:history="1">
        <w:r w:rsidRPr="001139C6">
          <w:rPr>
            <w:rStyle w:val="af5"/>
          </w:rPr>
          <w:t>CRPD/C/AUT/CO/2-3</w:t>
        </w:r>
      </w:hyperlink>
      <w:r>
        <w:rPr>
          <w:rFonts w:hint="eastAsia"/>
        </w:rPr>
        <w:t>和</w:t>
      </w:r>
      <w:hyperlink r:id="rId6" w:history="1">
        <w:r w:rsidRPr="001139C6">
          <w:rPr>
            <w:rStyle w:val="af5"/>
          </w:rPr>
          <w:t>CRPD/C/AUT/CO/2-3/Corr.1</w:t>
        </w:r>
      </w:hyperlink>
      <w:r>
        <w:t xml:space="preserve">, </w:t>
      </w:r>
      <w:r>
        <w:rPr>
          <w:rFonts w:hint="eastAsia"/>
        </w:rPr>
        <w:t>第</w:t>
      </w:r>
      <w:r>
        <w:t>35</w:t>
      </w:r>
      <w:r w:rsidR="00877A41">
        <w:t>-</w:t>
      </w:r>
      <w:r>
        <w:t>38</w:t>
      </w:r>
      <w:r>
        <w:rPr>
          <w:rFonts w:hint="eastAsia"/>
        </w:rPr>
        <w:t>段。</w:t>
      </w:r>
    </w:p>
  </w:footnote>
  <w:footnote w:id="11">
    <w:p w14:paraId="487AE7FB" w14:textId="41CDE8BE" w:rsidR="00D231C7" w:rsidRPr="00596927" w:rsidRDefault="00D231C7" w:rsidP="00D231C7">
      <w:pPr>
        <w:pStyle w:val="a6"/>
      </w:pPr>
      <w:r w:rsidRPr="00596927">
        <w:tab/>
      </w:r>
      <w:r w:rsidRPr="001501C5">
        <w:rPr>
          <w:rStyle w:val="a8"/>
          <w:rFonts w:eastAsia="宋体"/>
        </w:rPr>
        <w:footnoteRef/>
      </w:r>
      <w:r w:rsidRPr="00D231C7">
        <w:rPr>
          <w:rStyle w:val="a8"/>
          <w:rFonts w:eastAsia="宋体"/>
          <w:vertAlign w:val="baseline"/>
        </w:rPr>
        <w:tab/>
      </w:r>
      <w:r>
        <w:rPr>
          <w:rFonts w:hint="eastAsia"/>
        </w:rPr>
        <w:t>另见</w:t>
      </w:r>
      <w:hyperlink r:id="rId7" w:history="1">
        <w:r w:rsidRPr="001139C6">
          <w:rPr>
            <w:rStyle w:val="af5"/>
          </w:rPr>
          <w:t>CRPD/C/AUT/CO/2-3</w:t>
        </w:r>
      </w:hyperlink>
      <w:r>
        <w:rPr>
          <w:rFonts w:hint="eastAsia"/>
        </w:rPr>
        <w:t>和</w:t>
      </w:r>
      <w:hyperlink r:id="rId8" w:history="1">
        <w:r w:rsidRPr="001139C6">
          <w:rPr>
            <w:rStyle w:val="af5"/>
          </w:rPr>
          <w:t>CRPD/C/AUT/CO/2-3/Corr.1</w:t>
        </w:r>
      </w:hyperlink>
      <w:r>
        <w:t xml:space="preserve">, </w:t>
      </w:r>
      <w:r>
        <w:rPr>
          <w:rFonts w:hint="eastAsia"/>
        </w:rPr>
        <w:t>第</w:t>
      </w:r>
      <w:r>
        <w:t>39</w:t>
      </w:r>
      <w:r>
        <w:rPr>
          <w:rFonts w:hint="eastAsia"/>
        </w:rPr>
        <w:t>和第</w:t>
      </w:r>
      <w:r>
        <w:t>4</w:t>
      </w:r>
      <w:r w:rsidRPr="00596927">
        <w:t>0</w:t>
      </w:r>
      <w:r>
        <w:rPr>
          <w:rFonts w:hint="eastAsia"/>
        </w:rPr>
        <w:t>段</w:t>
      </w:r>
      <w:r>
        <w:rPr>
          <w:rFonts w:ascii="宋体" w:hAnsi="宋体" w:cs="宋体" w:hint="eastAsia"/>
        </w:rPr>
        <w:t>；</w:t>
      </w:r>
      <w:hyperlink r:id="rId9" w:history="1">
        <w:r w:rsidRPr="001139C6">
          <w:rPr>
            <w:rStyle w:val="af5"/>
          </w:rPr>
          <w:t>CRC/C/AUT/CO/5-6</w:t>
        </w:r>
      </w:hyperlink>
      <w:r w:rsidRPr="00A3564A">
        <w:t>,</w:t>
      </w:r>
      <w:r>
        <w:rPr>
          <w:color w:val="0000FF"/>
        </w:rPr>
        <w:t xml:space="preserve"> </w:t>
      </w:r>
      <w:r>
        <w:rPr>
          <w:rFonts w:hint="eastAsia"/>
        </w:rPr>
        <w:t>第</w:t>
      </w:r>
      <w:r>
        <w:t>27(a)</w:t>
      </w:r>
      <w:r>
        <w:rPr>
          <w:rFonts w:hint="eastAsia"/>
        </w:rPr>
        <w:t>和</w:t>
      </w:r>
      <w:r>
        <w:t>(b)</w:t>
      </w:r>
      <w:r>
        <w:rPr>
          <w:rFonts w:hint="eastAsia"/>
        </w:rPr>
        <w:t>段</w:t>
      </w:r>
      <w:r>
        <w:rPr>
          <w:rFonts w:ascii="宋体" w:hAnsi="宋体" w:cs="宋体" w:hint="eastAsia"/>
        </w:rPr>
        <w:t>；</w:t>
      </w:r>
      <w:hyperlink r:id="rId10" w:history="1">
        <w:r w:rsidRPr="001139C6">
          <w:rPr>
            <w:rStyle w:val="af5"/>
          </w:rPr>
          <w:t>CEDAW/C/AUT/CO/9</w:t>
        </w:r>
      </w:hyperlink>
      <w:r>
        <w:rPr>
          <w:rFonts w:hint="eastAsia"/>
        </w:rPr>
        <w:t>和</w:t>
      </w:r>
      <w:hyperlink r:id="rId11" w:history="1">
        <w:r w:rsidRPr="001139C6">
          <w:rPr>
            <w:rStyle w:val="af5"/>
          </w:rPr>
          <w:t>CEDAW/C/AUT/CO/9/Corr.1</w:t>
        </w:r>
      </w:hyperlink>
      <w:r>
        <w:t xml:space="preserve">, </w:t>
      </w:r>
      <w:r>
        <w:rPr>
          <w:rFonts w:hint="eastAsia"/>
        </w:rPr>
        <w:t>第</w:t>
      </w:r>
      <w:r>
        <w:t>34(h)</w:t>
      </w:r>
      <w:r>
        <w:rPr>
          <w:rFonts w:hint="eastAsia"/>
        </w:rPr>
        <w:t>和第</w:t>
      </w:r>
      <w:r>
        <w:t>35(h)</w:t>
      </w:r>
      <w:r>
        <w:rPr>
          <w:rFonts w:hint="eastAsia"/>
        </w:rPr>
        <w:t>段。</w:t>
      </w:r>
    </w:p>
  </w:footnote>
  <w:footnote w:id="12">
    <w:p w14:paraId="2E226BFD" w14:textId="63384DA7" w:rsidR="00D231C7" w:rsidRPr="00596927" w:rsidRDefault="00D231C7" w:rsidP="009B15A2">
      <w:pPr>
        <w:pStyle w:val="a6"/>
        <w:jc w:val="left"/>
      </w:pPr>
      <w:r w:rsidRPr="00596927">
        <w:tab/>
      </w:r>
      <w:r w:rsidRPr="001501C5">
        <w:rPr>
          <w:rStyle w:val="a8"/>
          <w:rFonts w:eastAsia="宋体"/>
        </w:rPr>
        <w:footnoteRef/>
      </w:r>
      <w:r w:rsidRPr="00D231C7">
        <w:rPr>
          <w:rStyle w:val="a8"/>
          <w:rFonts w:eastAsia="宋体"/>
          <w:vertAlign w:val="baseline"/>
        </w:rPr>
        <w:tab/>
      </w:r>
      <w:r>
        <w:rPr>
          <w:rFonts w:hint="eastAsia"/>
        </w:rPr>
        <w:t>见</w:t>
      </w:r>
      <w:r>
        <w:t>AUT</w:t>
      </w:r>
      <w:r w:rsidRPr="00596927">
        <w:t xml:space="preserve"> </w:t>
      </w:r>
      <w:r>
        <w:t>2/2</w:t>
      </w:r>
      <w:r w:rsidRPr="00596927">
        <w:t>0</w:t>
      </w:r>
      <w:r>
        <w:t>21</w:t>
      </w:r>
      <w:r>
        <w:rPr>
          <w:rFonts w:hint="eastAsia"/>
        </w:rPr>
        <w:t>号来文</w:t>
      </w:r>
      <w:r>
        <w:rPr>
          <w:rFonts w:ascii="宋体" w:hAnsi="宋体" w:cs="宋体" w:hint="eastAsia"/>
        </w:rPr>
        <w:t>，</w:t>
      </w:r>
      <w:r>
        <w:rPr>
          <w:rFonts w:hint="eastAsia"/>
        </w:rPr>
        <w:t>可查阅</w:t>
      </w:r>
      <w:r>
        <w:rPr>
          <w:rFonts w:ascii="宋体" w:hAnsi="宋体" w:cs="宋体" w:hint="eastAsia"/>
        </w:rPr>
        <w:t>：</w:t>
      </w:r>
      <w:hyperlink r:id="rId12" w:history="1">
        <w:r w:rsidR="009B15A2" w:rsidRPr="003A5EB9">
          <w:rPr>
            <w:rStyle w:val="af5"/>
          </w:rPr>
          <w:t>https:</w:t>
        </w:r>
        <w:r w:rsidR="009B15A2" w:rsidRPr="003A5EB9">
          <w:rPr>
            <w:rStyle w:val="af5"/>
            <w:rFonts w:hint="eastAsia"/>
          </w:rPr>
          <w:t>//</w:t>
        </w:r>
        <w:r w:rsidR="009B15A2" w:rsidRPr="003A5EB9">
          <w:rPr>
            <w:rStyle w:val="af5"/>
          </w:rPr>
          <w:t>spcommreports.ohchr.org/TMResultsBase/DownLoadPublicCommunicationFile?gId=26590</w:t>
        </w:r>
      </w:hyperlink>
      <w:r>
        <w:rPr>
          <w:rFonts w:hint="eastAsia"/>
        </w:rPr>
        <w:t>。</w:t>
      </w:r>
    </w:p>
  </w:footnote>
  <w:footnote w:id="13">
    <w:p w14:paraId="7995A0A6" w14:textId="15BD3E15" w:rsidR="00D231C7" w:rsidRDefault="00D231C7" w:rsidP="00D231C7">
      <w:pPr>
        <w:pStyle w:val="a6"/>
      </w:pPr>
      <w:r w:rsidRPr="00596927">
        <w:tab/>
      </w:r>
      <w:r w:rsidRPr="001501C5">
        <w:rPr>
          <w:rStyle w:val="a8"/>
          <w:rFonts w:eastAsia="宋体"/>
        </w:rPr>
        <w:footnoteRef/>
      </w:r>
      <w:r w:rsidRPr="00D231C7">
        <w:rPr>
          <w:rStyle w:val="a8"/>
          <w:rFonts w:eastAsia="宋体"/>
          <w:vertAlign w:val="baseline"/>
        </w:rPr>
        <w:tab/>
      </w:r>
      <w:hyperlink r:id="rId13" w:history="1">
        <w:r w:rsidRPr="001139C6">
          <w:rPr>
            <w:rStyle w:val="af5"/>
          </w:rPr>
          <w:t>CEDAW/C/AUT/CO/9</w:t>
        </w:r>
      </w:hyperlink>
      <w:r>
        <w:rPr>
          <w:rFonts w:ascii="宋体" w:hAnsi="宋体" w:cs="宋体" w:hint="eastAsia"/>
        </w:rPr>
        <w:t>和</w:t>
      </w:r>
      <w:hyperlink r:id="rId14" w:history="1">
        <w:r w:rsidRPr="001139C6">
          <w:rPr>
            <w:rStyle w:val="af5"/>
          </w:rPr>
          <w:t>CEDAW/C/AUT/CO/9/Corr.1</w:t>
        </w:r>
      </w:hyperlink>
      <w:r w:rsidRPr="009B15A2">
        <w:t>,</w:t>
      </w:r>
      <w:r>
        <w:t xml:space="preserve"> </w:t>
      </w:r>
      <w:r>
        <w:rPr>
          <w:rFonts w:ascii="宋体" w:hAnsi="宋体" w:cs="宋体" w:hint="eastAsia"/>
        </w:rPr>
        <w:t>第</w:t>
      </w:r>
      <w:r>
        <w:rPr>
          <w:rFonts w:hint="eastAsia"/>
        </w:rPr>
        <w:t>2</w:t>
      </w:r>
      <w:r>
        <w:t>3</w:t>
      </w:r>
      <w:r>
        <w:rPr>
          <w:rFonts w:ascii="宋体" w:hAnsi="宋体" w:cs="宋体"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BFEE3" w14:textId="77777777" w:rsidR="00DD1D12" w:rsidRDefault="001B614A" w:rsidP="001B614A">
    <w:pPr>
      <w:pStyle w:val="af3"/>
    </w:pPr>
    <w:r>
      <w:t>CAT/C/AUT/CO/7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A9F60" w14:textId="77777777" w:rsidR="00DD1D12" w:rsidRPr="00202A30" w:rsidRDefault="001B614A" w:rsidP="001B614A">
    <w:pPr>
      <w:pStyle w:val="af3"/>
      <w:jc w:val="right"/>
    </w:pPr>
    <w:r>
      <w:t>CAT/C/AUT/CO/7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3BB36A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3BD1A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1"/>
  </w:num>
  <w:num w:numId="2" w16cid:durableId="761141428">
    <w:abstractNumId w:val="23"/>
  </w:num>
  <w:num w:numId="3" w16cid:durableId="121465882">
    <w:abstractNumId w:val="12"/>
  </w:num>
  <w:num w:numId="4" w16cid:durableId="78404621">
    <w:abstractNumId w:val="8"/>
  </w:num>
  <w:num w:numId="5" w16cid:durableId="1119957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3"/>
  </w:num>
  <w:num w:numId="8" w16cid:durableId="481503494">
    <w:abstractNumId w:val="17"/>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5"/>
  </w:num>
  <w:num w:numId="19" w16cid:durableId="1311061048">
    <w:abstractNumId w:val="20"/>
  </w:num>
  <w:num w:numId="20" w16cid:durableId="1745831463">
    <w:abstractNumId w:val="18"/>
  </w:num>
  <w:num w:numId="21" w16cid:durableId="2120637798">
    <w:abstractNumId w:val="16"/>
  </w:num>
  <w:num w:numId="22" w16cid:durableId="920219069">
    <w:abstractNumId w:val="10"/>
  </w:num>
  <w:num w:numId="23" w16cid:durableId="1391346324">
    <w:abstractNumId w:val="19"/>
  </w:num>
  <w:num w:numId="24" w16cid:durableId="1122190800">
    <w:abstractNumId w:val="21"/>
  </w:num>
  <w:num w:numId="25" w16cid:durableId="2074884598">
    <w:abstractNumId w:val="22"/>
  </w:num>
  <w:num w:numId="26" w16cid:durableId="19579048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7DB"/>
    <w:rsid w:val="00005AA7"/>
    <w:rsid w:val="00011483"/>
    <w:rsid w:val="0003324B"/>
    <w:rsid w:val="00073D63"/>
    <w:rsid w:val="00080803"/>
    <w:rsid w:val="000A0B81"/>
    <w:rsid w:val="000B0E35"/>
    <w:rsid w:val="000D319F"/>
    <w:rsid w:val="000E4D0E"/>
    <w:rsid w:val="001139C6"/>
    <w:rsid w:val="00121B4A"/>
    <w:rsid w:val="0012578E"/>
    <w:rsid w:val="00144B69"/>
    <w:rsid w:val="00153E86"/>
    <w:rsid w:val="00155102"/>
    <w:rsid w:val="00182977"/>
    <w:rsid w:val="00192831"/>
    <w:rsid w:val="001B1BD1"/>
    <w:rsid w:val="001B614A"/>
    <w:rsid w:val="001C3EF2"/>
    <w:rsid w:val="001D17F6"/>
    <w:rsid w:val="00204B42"/>
    <w:rsid w:val="00206268"/>
    <w:rsid w:val="002231C3"/>
    <w:rsid w:val="00241057"/>
    <w:rsid w:val="0024417F"/>
    <w:rsid w:val="00250F8D"/>
    <w:rsid w:val="00256EC7"/>
    <w:rsid w:val="002678F8"/>
    <w:rsid w:val="002D14FC"/>
    <w:rsid w:val="002E1C97"/>
    <w:rsid w:val="002F0F24"/>
    <w:rsid w:val="002F5834"/>
    <w:rsid w:val="003006AB"/>
    <w:rsid w:val="00316A64"/>
    <w:rsid w:val="00320C5F"/>
    <w:rsid w:val="00326EBF"/>
    <w:rsid w:val="00327FE4"/>
    <w:rsid w:val="00335E8A"/>
    <w:rsid w:val="00352798"/>
    <w:rsid w:val="003C4D13"/>
    <w:rsid w:val="003D5189"/>
    <w:rsid w:val="00427F63"/>
    <w:rsid w:val="00434D38"/>
    <w:rsid w:val="00494EB8"/>
    <w:rsid w:val="004A34AA"/>
    <w:rsid w:val="004C4A0A"/>
    <w:rsid w:val="004E5055"/>
    <w:rsid w:val="00501220"/>
    <w:rsid w:val="005505A1"/>
    <w:rsid w:val="00597013"/>
    <w:rsid w:val="005A48BF"/>
    <w:rsid w:val="005B4286"/>
    <w:rsid w:val="005B5D35"/>
    <w:rsid w:val="005D337E"/>
    <w:rsid w:val="005E403A"/>
    <w:rsid w:val="00616915"/>
    <w:rsid w:val="00631320"/>
    <w:rsid w:val="00680656"/>
    <w:rsid w:val="006B07B3"/>
    <w:rsid w:val="006B1119"/>
    <w:rsid w:val="006C70CF"/>
    <w:rsid w:val="006E3E46"/>
    <w:rsid w:val="006E71B1"/>
    <w:rsid w:val="0070593B"/>
    <w:rsid w:val="00705D89"/>
    <w:rsid w:val="00731A42"/>
    <w:rsid w:val="00767E69"/>
    <w:rsid w:val="0077079A"/>
    <w:rsid w:val="007861F2"/>
    <w:rsid w:val="007A5599"/>
    <w:rsid w:val="007C4DC6"/>
    <w:rsid w:val="007D7A4A"/>
    <w:rsid w:val="008318ED"/>
    <w:rsid w:val="00831F30"/>
    <w:rsid w:val="00856233"/>
    <w:rsid w:val="00860F27"/>
    <w:rsid w:val="00877A41"/>
    <w:rsid w:val="00892E66"/>
    <w:rsid w:val="008B0560"/>
    <w:rsid w:val="008B2BFA"/>
    <w:rsid w:val="008D149F"/>
    <w:rsid w:val="008E6A3F"/>
    <w:rsid w:val="008F3787"/>
    <w:rsid w:val="0092380A"/>
    <w:rsid w:val="00931C3D"/>
    <w:rsid w:val="00936F03"/>
    <w:rsid w:val="00943B69"/>
    <w:rsid w:val="00944CB3"/>
    <w:rsid w:val="00945B28"/>
    <w:rsid w:val="00951B31"/>
    <w:rsid w:val="00964BB3"/>
    <w:rsid w:val="009B09D7"/>
    <w:rsid w:val="009B15A2"/>
    <w:rsid w:val="009D35ED"/>
    <w:rsid w:val="009D4CBC"/>
    <w:rsid w:val="009E489E"/>
    <w:rsid w:val="00A03CB6"/>
    <w:rsid w:val="00A1364C"/>
    <w:rsid w:val="00A21076"/>
    <w:rsid w:val="00A3564A"/>
    <w:rsid w:val="00A3739A"/>
    <w:rsid w:val="00A4516F"/>
    <w:rsid w:val="00A52DAF"/>
    <w:rsid w:val="00A84072"/>
    <w:rsid w:val="00AA238A"/>
    <w:rsid w:val="00AB5964"/>
    <w:rsid w:val="00B067DB"/>
    <w:rsid w:val="00B16570"/>
    <w:rsid w:val="00B23B03"/>
    <w:rsid w:val="00B43EB7"/>
    <w:rsid w:val="00B445D1"/>
    <w:rsid w:val="00B53320"/>
    <w:rsid w:val="00B71DC1"/>
    <w:rsid w:val="00B92376"/>
    <w:rsid w:val="00BC6522"/>
    <w:rsid w:val="00BE03FD"/>
    <w:rsid w:val="00C121D5"/>
    <w:rsid w:val="00C17349"/>
    <w:rsid w:val="00C351AA"/>
    <w:rsid w:val="00C7253F"/>
    <w:rsid w:val="00C859B3"/>
    <w:rsid w:val="00C95189"/>
    <w:rsid w:val="00D231C7"/>
    <w:rsid w:val="00D26A05"/>
    <w:rsid w:val="00D97B98"/>
    <w:rsid w:val="00DC18BF"/>
    <w:rsid w:val="00DC671F"/>
    <w:rsid w:val="00DD1D12"/>
    <w:rsid w:val="00DE4DA7"/>
    <w:rsid w:val="00DE732E"/>
    <w:rsid w:val="00E245ED"/>
    <w:rsid w:val="00E33B38"/>
    <w:rsid w:val="00E47FE5"/>
    <w:rsid w:val="00E572EF"/>
    <w:rsid w:val="00E574AF"/>
    <w:rsid w:val="00EF40DA"/>
    <w:rsid w:val="00F1588D"/>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972AE"/>
  <w15:docId w15:val="{3071A518-FAA0-4F2E-B9ED-38C3F61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rsid w:val="00D231C7"/>
    <w:rPr>
      <w:color w:val="0000FF"/>
      <w:u w:val="none"/>
    </w:rPr>
  </w:style>
  <w:style w:type="character" w:styleId="af6">
    <w:name w:val="FollowedHyperlink"/>
    <w:basedOn w:val="a0"/>
    <w:uiPriority w:val="99"/>
    <w:semiHidden/>
    <w:rsid w:val="00D231C7"/>
    <w:rPr>
      <w:color w:val="0000FF"/>
      <w:u w:val="none"/>
    </w:rPr>
  </w:style>
  <w:style w:type="paragraph" w:styleId="af7">
    <w:name w:val="macro"/>
    <w:link w:val="af8"/>
    <w:semiHidden/>
    <w:rsid w:val="00D231C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D231C7"/>
    <w:rPr>
      <w:kern w:val="24"/>
      <w:sz w:val="24"/>
      <w:szCs w:val="24"/>
    </w:rPr>
  </w:style>
  <w:style w:type="paragraph" w:styleId="af9">
    <w:name w:val="Subtitle"/>
    <w:basedOn w:val="a"/>
    <w:next w:val="a"/>
    <w:link w:val="afa"/>
    <w:uiPriority w:val="11"/>
    <w:semiHidden/>
    <w:rsid w:val="00D231C7"/>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D231C7"/>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D231C7"/>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D231C7"/>
    <w:rPr>
      <w:i/>
      <w:iCs/>
      <w:color w:val="404040" w:themeColor="text1" w:themeTint="BF"/>
      <w:sz w:val="21"/>
      <w:szCs w:val="21"/>
    </w:rPr>
  </w:style>
  <w:style w:type="paragraph" w:styleId="afd">
    <w:name w:val="List Paragraph"/>
    <w:basedOn w:val="a"/>
    <w:uiPriority w:val="34"/>
    <w:rsid w:val="00D231C7"/>
    <w:pPr>
      <w:ind w:left="720"/>
      <w:contextualSpacing/>
    </w:pPr>
    <w:rPr>
      <w:snapToGrid/>
      <w:szCs w:val="21"/>
    </w:rPr>
  </w:style>
  <w:style w:type="character" w:styleId="afe">
    <w:name w:val="Intense Emphasis"/>
    <w:basedOn w:val="a0"/>
    <w:uiPriority w:val="21"/>
    <w:rsid w:val="00D231C7"/>
    <w:rPr>
      <w:i/>
      <w:iCs/>
      <w:color w:val="365F91" w:themeColor="accent1" w:themeShade="BF"/>
    </w:rPr>
  </w:style>
  <w:style w:type="paragraph" w:styleId="aff">
    <w:name w:val="Intense Quote"/>
    <w:basedOn w:val="a"/>
    <w:next w:val="a"/>
    <w:link w:val="aff0"/>
    <w:uiPriority w:val="30"/>
    <w:rsid w:val="00D231C7"/>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D231C7"/>
    <w:rPr>
      <w:i/>
      <w:iCs/>
      <w:color w:val="365F91" w:themeColor="accent1" w:themeShade="BF"/>
      <w:sz w:val="21"/>
      <w:szCs w:val="21"/>
    </w:rPr>
  </w:style>
  <w:style w:type="character" w:styleId="aff1">
    <w:name w:val="Intense Reference"/>
    <w:basedOn w:val="a0"/>
    <w:uiPriority w:val="32"/>
    <w:rsid w:val="00D231C7"/>
    <w:rPr>
      <w:b/>
      <w:bCs/>
      <w:smallCaps/>
      <w:color w:val="365F91" w:themeColor="accent1" w:themeShade="BF"/>
      <w:spacing w:val="5"/>
    </w:rPr>
  </w:style>
  <w:style w:type="character" w:styleId="aff2">
    <w:name w:val="Book Title"/>
    <w:basedOn w:val="a0"/>
    <w:uiPriority w:val="33"/>
    <w:rsid w:val="00D231C7"/>
    <w:rPr>
      <w:b/>
      <w:bCs/>
      <w:smallCaps/>
      <w:spacing w:val="5"/>
    </w:rPr>
  </w:style>
  <w:style w:type="table" w:styleId="aff3">
    <w:name w:val="Table Grid"/>
    <w:basedOn w:val="a1"/>
    <w:rsid w:val="00D231C7"/>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Balloon Text"/>
    <w:basedOn w:val="a"/>
    <w:link w:val="aff5"/>
    <w:uiPriority w:val="99"/>
    <w:semiHidden/>
    <w:unhideWhenUsed/>
    <w:rsid w:val="00D231C7"/>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D231C7"/>
    <w:rPr>
      <w:rFonts w:ascii="Tahoma" w:hAnsi="Tahoma" w:cs="Tahoma"/>
      <w:sz w:val="16"/>
      <w:szCs w:val="16"/>
    </w:rPr>
  </w:style>
  <w:style w:type="character" w:styleId="aff6">
    <w:name w:val="Unresolved Mention"/>
    <w:basedOn w:val="a0"/>
    <w:uiPriority w:val="99"/>
    <w:semiHidden/>
    <w:unhideWhenUsed/>
    <w:rsid w:val="00D231C7"/>
    <w:rPr>
      <w:color w:val="605E5C"/>
      <w:shd w:val="clear" w:color="auto" w:fill="E1DFDD"/>
    </w:rPr>
  </w:style>
  <w:style w:type="paragraph" w:styleId="aff7">
    <w:name w:val="Revision"/>
    <w:hidden/>
    <w:uiPriority w:val="99"/>
    <w:semiHidden/>
    <w:rsid w:val="00D231C7"/>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AUT/CO/2-3/Corr.1" TargetMode="External"/><Relationship Id="rId13" Type="http://schemas.openxmlformats.org/officeDocument/2006/relationships/hyperlink" Target="http://undocs.org/ch/CEDAW/C/AUT/CO/9" TargetMode="External"/><Relationship Id="rId3" Type="http://schemas.openxmlformats.org/officeDocument/2006/relationships/hyperlink" Target="http://undocs.org/ch/CED/C/AUT/CO/1" TargetMode="External"/><Relationship Id="rId7" Type="http://schemas.openxmlformats.org/officeDocument/2006/relationships/hyperlink" Target="http://undocs.org/ch/CRPD/C/AUT/CO/2-3" TargetMode="External"/><Relationship Id="rId12" Type="http://schemas.openxmlformats.org/officeDocument/2006/relationships/hyperlink" Target="https://spcommreports.ohchr.org/TMResultsBase/DownLoadPublicCommunicationFile?gId=26590" TargetMode="External"/><Relationship Id="rId2" Type="http://schemas.openxmlformats.org/officeDocument/2006/relationships/hyperlink" Target="https://caselaw.euaa.europa.eu/pages/viewcaselaw.aspx?CaseLawID=3917&amp;returnurl=/pages/searchresults.aspx" TargetMode="External"/><Relationship Id="rId1" Type="http://schemas.openxmlformats.org/officeDocument/2006/relationships/hyperlink" Target="http://undocs.org/ch/CAT/OP/12/5" TargetMode="External"/><Relationship Id="rId6" Type="http://schemas.openxmlformats.org/officeDocument/2006/relationships/hyperlink" Target="http://undocs.org/ch/CRPD/C/AUT/CO/2-3/Corr.1" TargetMode="External"/><Relationship Id="rId11" Type="http://schemas.openxmlformats.org/officeDocument/2006/relationships/hyperlink" Target="http://undocs.org/ch/CEDAW/C/AUT/CO/9/Corr.1" TargetMode="External"/><Relationship Id="rId5" Type="http://schemas.openxmlformats.org/officeDocument/2006/relationships/hyperlink" Target="http://undocs.org/ch/CRPD/C/AUT/CO/2-3" TargetMode="External"/><Relationship Id="rId10" Type="http://schemas.openxmlformats.org/officeDocument/2006/relationships/hyperlink" Target="http://undocs.org/ch/CEDAW/C/AUT/CO/9" TargetMode="External"/><Relationship Id="rId4" Type="http://schemas.openxmlformats.org/officeDocument/2006/relationships/hyperlink" Target="http://undocs.org/ch/CRC/C/AUT/CO/5-6" TargetMode="External"/><Relationship Id="rId9" Type="http://schemas.openxmlformats.org/officeDocument/2006/relationships/hyperlink" Target="http://undocs.org/ch/CRC/C/AUT/CO/5-6" TargetMode="External"/><Relationship Id="rId14" Type="http://schemas.openxmlformats.org/officeDocument/2006/relationships/hyperlink" Target="http://undocs.org/ch/CEDAW/C/AUT/CO/9/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10165</Words>
  <Characters>10682</Characters>
  <Application>Microsoft Office Word</Application>
  <DocSecurity>0</DocSecurity>
  <Lines>393</Lines>
  <Paragraphs>151</Paragraphs>
  <ScaleCrop>false</ScaleCrop>
  <Company>DCM</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CAT/C/AUT/CO/7</dc:title>
  <dc:subject>2408504</dc:subject>
  <dc:creator>tang</dc:creator>
  <cp:keywords/>
  <dc:description/>
  <cp:lastModifiedBy>Ting TANG</cp:lastModifiedBy>
  <cp:revision>2</cp:revision>
  <cp:lastPrinted>2014-05-09T11:28:00Z</cp:lastPrinted>
  <dcterms:created xsi:type="dcterms:W3CDTF">2024-07-05T07:40:00Z</dcterms:created>
  <dcterms:modified xsi:type="dcterms:W3CDTF">2024-07-05T07:40:00Z</dcterms:modified>
</cp:coreProperties>
</file>