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41.75pt;height:15.25pt;z-index:1;mso-position-horizontal-relative:page" stroked="f">
            <v:textbox style="mso-next-textbox:#_x0000_s1029" inset="0,0,0,0">
              <w:txbxContent>
                <w:p w:rsidR="00000000" w:rsidRDefault="00000000">
                  <w:pPr>
                    <w:rPr>
                      <w:lang w:val="en-US"/>
                    </w:rPr>
                  </w:pPr>
                  <w:r>
                    <w:rPr>
                      <w:lang w:val="en-US"/>
                    </w:rPr>
                    <w:t>GE.01-40333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 xml:space="preserve">   (R)</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r>
              <w:rPr>
                <w:sz w:val="22"/>
                <w:lang w:val="en-US"/>
              </w:rPr>
              <w:instrText xml:space="preserve"> FORMDROPDOWN </w:instrText>
            </w:r>
            <w:r>
              <w:rPr>
                <w:sz w:val="22"/>
                <w:lang w:val="en-US"/>
              </w:rPr>
            </w:r>
            <w:r>
              <w:rPr>
                <w:sz w:val="22"/>
                <w:lang w:val="en-US"/>
              </w:rPr>
              <w:fldChar w:fldCharType="end"/>
            </w:r>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CERD/C/369/Add.1</w:t>
            </w:r>
            <w:r>
              <w:rPr>
                <w:lang w:val="en-US"/>
              </w:rPr>
              <w:fldChar w:fldCharType="end"/>
            </w:r>
            <w:r>
              <w:rPr>
                <w:sz w:val="22"/>
                <w:lang w:val="en-US"/>
              </w:rPr>
              <w:fldChar w:fldCharType="begin"/>
            </w:r>
            <w:r>
              <w:rPr>
                <w:sz w:val="22"/>
                <w:lang w:val="en-US"/>
              </w:rPr>
              <w:instrText xml:space="preserve"> FILLIN  "Введите символ документа" \* MERGEFORMAT </w:instrText>
            </w:r>
            <w:r>
              <w:rPr>
                <w:sz w:val="22"/>
                <w:lang w:val="en-US"/>
              </w:rPr>
              <w:fldChar w:fldCharType="end"/>
            </w:r>
          </w:p>
          <w:p w:rsidR="00000000" w:rsidRDefault="00000000">
            <w:pPr>
              <w:spacing w:line="216" w:lineRule="auto"/>
              <w:rPr>
                <w:sz w:val="22"/>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 February 2001</w:t>
            </w:r>
            <w:r>
              <w:rPr>
                <w:lang w:val="en-US"/>
              </w:rPr>
              <w:fldChar w:fldCharType="end"/>
            </w:r>
            <w:r>
              <w:rPr>
                <w:sz w:val="22"/>
                <w:lang w:val="en-US"/>
              </w:rPr>
              <w:fldChar w:fldCharType="begin"/>
            </w:r>
            <w:r>
              <w:rPr>
                <w:sz w:val="22"/>
                <w:lang w:val="en-US"/>
              </w:rPr>
              <w:instrText xml:space="preserve"> FILLIN  "Введите дату документа" \* MERGEFORMAT </w:instrTex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r>
              <w:rPr>
                <w:sz w:val="22"/>
                <w:lang w:val="en-US"/>
              </w:rPr>
              <w:instrText xml:space="preserve"> FORMDROPDOWN </w:instrText>
            </w:r>
            <w:r>
              <w:rPr>
                <w:sz w:val="22"/>
                <w:lang w:val="en-US"/>
              </w:rPr>
            </w:r>
            <w:r>
              <w:rPr>
                <w:sz w:val="22"/>
                <w:lang w:val="en-US"/>
              </w:rPr>
              <w:fldChar w:fldCharType="end"/>
            </w:r>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pPr>
      <w:r>
        <w:t>КОМИТЕТ ПО ЛИКВИДАЦИИ 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pStyle w:val="16"/>
        <w:tabs>
          <w:tab w:val="left" w:pos="0"/>
        </w:tabs>
        <w:suppressAutoHyphens/>
      </w:pPr>
      <w:r>
        <w:t xml:space="preserve">ДОКЛАДЫ, ПРЕДСТАВЛЯЕМЫЕ ГОСУДАРСТВАМИ-УЧАСТНИКАМИ </w:t>
      </w:r>
    </w:p>
    <w:p w:rsidR="00000000" w:rsidRDefault="00000000">
      <w:pPr>
        <w:pStyle w:val="16"/>
        <w:tabs>
          <w:tab w:val="left" w:pos="0"/>
        </w:tabs>
        <w:suppressAutoHyphens/>
      </w:pPr>
      <w:r>
        <w:t>В СООТВЕТСТВИИ СО СТАТЬЕЙ 9 КОНВЕНЦИИ</w:t>
      </w:r>
    </w:p>
    <w:p w:rsidR="00000000" w:rsidRDefault="00000000">
      <w:pPr>
        <w:pStyle w:val="16"/>
        <w:tabs>
          <w:tab w:val="left" w:pos="0"/>
        </w:tabs>
        <w:suppressAutoHyphens/>
      </w:pPr>
    </w:p>
    <w:p w:rsidR="00000000" w:rsidRDefault="00000000">
      <w:pPr>
        <w:pStyle w:val="16"/>
        <w:tabs>
          <w:tab w:val="left" w:pos="0"/>
        </w:tabs>
        <w:suppressAutoHyphens/>
        <w:rPr>
          <w:u w:val="single"/>
        </w:rPr>
      </w:pPr>
      <w:r>
        <w:rPr>
          <w:u w:val="single"/>
        </w:rPr>
        <w:t>Первоначальные доклады государств-участников, подлежащие</w:t>
      </w:r>
    </w:p>
    <w:p w:rsidR="00000000" w:rsidRDefault="00000000">
      <w:pPr>
        <w:pStyle w:val="16"/>
        <w:tabs>
          <w:tab w:val="left" w:pos="0"/>
        </w:tabs>
        <w:suppressAutoHyphens/>
        <w:rPr>
          <w:u w:val="single"/>
        </w:rPr>
      </w:pPr>
      <w:r>
        <w:rPr>
          <w:u w:val="single"/>
        </w:rPr>
        <w:t>представлению в 2000 году</w:t>
      </w:r>
    </w:p>
    <w:p w:rsidR="00000000" w:rsidRDefault="00000000">
      <w:pPr>
        <w:pStyle w:val="16"/>
        <w:tabs>
          <w:tab w:val="left" w:pos="0"/>
        </w:tabs>
        <w:suppressAutoHyphens/>
        <w:rPr>
          <w:u w:val="single"/>
        </w:rPr>
      </w:pPr>
    </w:p>
    <w:p w:rsidR="00000000" w:rsidRDefault="00000000">
      <w:pPr>
        <w:pStyle w:val="16"/>
        <w:tabs>
          <w:tab w:val="left" w:pos="0"/>
        </w:tabs>
        <w:suppressAutoHyphens/>
        <w:rPr>
          <w:u w:val="single"/>
        </w:rPr>
      </w:pPr>
      <w:r>
        <w:rPr>
          <w:u w:val="single"/>
        </w:rPr>
        <w:t>Добавление</w:t>
      </w:r>
    </w:p>
    <w:p w:rsidR="00000000" w:rsidRDefault="00000000">
      <w:pPr>
        <w:pStyle w:val="16"/>
        <w:tabs>
          <w:tab w:val="left" w:pos="0"/>
        </w:tabs>
        <w:suppressAutoHyphens/>
        <w:rPr>
          <w:u w:val="single"/>
        </w:rPr>
      </w:pPr>
    </w:p>
    <w:p w:rsidR="00000000" w:rsidRDefault="00000000">
      <w:pPr>
        <w:pStyle w:val="16"/>
        <w:tabs>
          <w:tab w:val="left" w:pos="0"/>
        </w:tabs>
        <w:suppressAutoHyphens/>
      </w:pPr>
      <w:r>
        <w:rPr>
          <w:u w:val="single"/>
        </w:rPr>
        <w:t>Грузия</w:t>
      </w:r>
      <w:r>
        <w:t>*</w:t>
      </w:r>
    </w:p>
    <w:p w:rsidR="00000000" w:rsidRDefault="00000000">
      <w:pPr>
        <w:pStyle w:val="16"/>
        <w:tabs>
          <w:tab w:val="left" w:pos="0"/>
        </w:tabs>
        <w:suppressAutoHyphens/>
      </w:pPr>
    </w:p>
    <w:p w:rsidR="00000000" w:rsidRDefault="00000000">
      <w:pPr>
        <w:pStyle w:val="16"/>
        <w:tabs>
          <w:tab w:val="left" w:pos="0"/>
        </w:tabs>
        <w:suppressAutoHyphens/>
        <w:jc w:val="right"/>
        <w:rPr>
          <w:lang w:val="en-US"/>
        </w:rPr>
      </w:pPr>
      <w:r>
        <w:rPr>
          <w:lang w:val="en-US"/>
        </w:rPr>
        <w:t>[</w:t>
      </w:r>
      <w:r>
        <w:t>24 мая 2000 года</w:t>
      </w:r>
      <w:r>
        <w:rPr>
          <w:lang w:val="en-US"/>
        </w:rPr>
        <w:t>]</w:t>
      </w:r>
    </w:p>
    <w:p w:rsidR="00000000" w:rsidRDefault="00000000">
      <w:pPr>
        <w:pStyle w:val="16"/>
        <w:tabs>
          <w:tab w:val="left" w:pos="0"/>
        </w:tabs>
        <w:suppressAutoHyphens/>
        <w:jc w:val="left"/>
        <w:rPr>
          <w:lang w:val="en-US"/>
        </w:rPr>
      </w:pPr>
    </w:p>
    <w:p w:rsidR="00000000" w:rsidRDefault="00000000">
      <w:pPr>
        <w:pStyle w:val="16"/>
        <w:tabs>
          <w:tab w:val="left" w:pos="0"/>
        </w:tabs>
        <w:suppressAutoHyphens/>
        <w:jc w:val="left"/>
        <w:rPr>
          <w:lang w:val="en-US"/>
        </w:rPr>
      </w:pPr>
    </w:p>
    <w:p w:rsidR="00000000" w:rsidRDefault="00000000">
      <w:pPr>
        <w:pStyle w:val="16"/>
        <w:tabs>
          <w:tab w:val="left" w:pos="0"/>
        </w:tabs>
        <w:suppressAutoHyphens/>
        <w:jc w:val="left"/>
        <w:rPr>
          <w:lang w:val="en-US"/>
        </w:rPr>
      </w:pPr>
      <w:r>
        <w:rPr>
          <w:lang w:val="en-US"/>
        </w:rPr>
        <w:t>_________________</w:t>
      </w:r>
    </w:p>
    <w:p w:rsidR="00000000" w:rsidRDefault="00000000">
      <w:pPr>
        <w:pStyle w:val="16"/>
        <w:tabs>
          <w:tab w:val="left" w:pos="0"/>
        </w:tabs>
        <w:suppressAutoHyphens/>
        <w:spacing w:line="240" w:lineRule="auto"/>
        <w:jc w:val="left"/>
      </w:pPr>
    </w:p>
    <w:p w:rsidR="00000000" w:rsidRDefault="00000000">
      <w:pPr>
        <w:pStyle w:val="16"/>
        <w:tabs>
          <w:tab w:val="left" w:pos="0"/>
        </w:tabs>
        <w:suppressAutoHyphens/>
        <w:spacing w:line="240" w:lineRule="auto"/>
        <w:jc w:val="left"/>
      </w:pPr>
      <w:r>
        <w:t>*</w:t>
      </w:r>
      <w:r>
        <w:tab/>
        <w:t>Настоящий документ содержит первоначальный доклад Грузии, подлежавший представлению 2 июля 2000 года.</w:t>
      </w:r>
    </w:p>
    <w:p w:rsidR="00000000" w:rsidRDefault="00000000">
      <w:pPr>
        <w:pStyle w:val="16"/>
        <w:tabs>
          <w:tab w:val="left" w:pos="0"/>
        </w:tabs>
        <w:suppressAutoHyphens/>
        <w:spacing w:line="240" w:lineRule="auto"/>
        <w:jc w:val="left"/>
      </w:pPr>
    </w:p>
    <w:p w:rsidR="00000000" w:rsidRDefault="00000000">
      <w:pPr>
        <w:pStyle w:val="16"/>
        <w:tabs>
          <w:tab w:val="left" w:pos="0"/>
        </w:tabs>
        <w:suppressAutoHyphens/>
        <w:spacing w:line="240" w:lineRule="auto"/>
        <w:jc w:val="left"/>
      </w:pPr>
      <w:r>
        <w:tab/>
        <w:t>С приложениями к докладу, представленному правительством Грузии, можно ознакомиться в архиве Секретариата.</w:t>
      </w:r>
    </w:p>
    <w:p w:rsidR="00000000" w:rsidRDefault="00000000">
      <w:pPr>
        <w:pStyle w:val="16"/>
        <w:tabs>
          <w:tab w:val="left" w:pos="0"/>
        </w:tabs>
        <w:suppressAutoHyphens/>
        <w:spacing w:line="240" w:lineRule="auto"/>
        <w:jc w:val="left"/>
      </w:pPr>
    </w:p>
    <w:p w:rsidR="00000000" w:rsidRDefault="00000000">
      <w:pPr>
        <w:pStyle w:val="16"/>
        <w:tabs>
          <w:tab w:val="left" w:pos="0"/>
        </w:tabs>
        <w:suppressAutoHyphens/>
        <w:spacing w:line="240" w:lineRule="auto"/>
        <w:jc w:val="left"/>
        <w:rPr>
          <w:lang w:val="en-US"/>
        </w:rPr>
      </w:pPr>
      <w:r>
        <w:tab/>
        <w:t xml:space="preserve">Информация, представленная Грузией в соответствии со сводными руководящими принципами, касающимися первой части докладов государств-участников, содержится в документе </w:t>
      </w:r>
      <w:r>
        <w:rPr>
          <w:lang w:val="en-US"/>
        </w:rPr>
        <w:t>HRI/CORE/1/Add.90.</w:t>
      </w:r>
    </w:p>
    <w:p w:rsidR="00000000" w:rsidRDefault="00000000">
      <w:pPr>
        <w:pStyle w:val="16"/>
        <w:tabs>
          <w:tab w:val="left" w:pos="0"/>
        </w:tabs>
        <w:suppressAutoHyphens/>
      </w:pPr>
    </w:p>
    <w:p w:rsidR="00000000" w:rsidRDefault="00000000">
      <w:pPr>
        <w:tabs>
          <w:tab w:val="left" w:pos="0"/>
        </w:tabs>
        <w:suppressAutoHyphens/>
      </w:pPr>
      <w:r>
        <w:br w:type="page"/>
      </w:r>
    </w:p>
    <w:p w:rsidR="00000000" w:rsidRDefault="00000000">
      <w:pPr>
        <w:pStyle w:val="Heading1"/>
        <w:jc w:val="center"/>
        <w:rPr>
          <w:b w:val="0"/>
          <w:bCs/>
        </w:rPr>
      </w:pPr>
      <w:r>
        <w:rPr>
          <w:b w:val="0"/>
          <w:bCs/>
        </w:rPr>
        <w:t>СОДЕРЖАНИЕ</w:t>
      </w:r>
    </w:p>
    <w:p w:rsidR="00000000" w:rsidRDefault="00000000"/>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r>
        <w:t xml:space="preserve">Введение </w:t>
      </w:r>
      <w:r>
        <w:tab/>
      </w:r>
      <w:r>
        <w:tab/>
        <w:t xml:space="preserve"> 1 - 8</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t>I</w:t>
      </w:r>
      <w:r>
        <w:t>.</w:t>
      </w:r>
      <w:r>
        <w:tab/>
      </w:r>
      <w:r>
        <w:rPr>
          <w:caps/>
        </w:rPr>
        <w:t>Общая информация</w:t>
      </w:r>
      <w:r>
        <w:t xml:space="preserve"> </w:t>
      </w:r>
      <w:r>
        <w:tab/>
      </w:r>
      <w:r>
        <w:tab/>
        <w:t xml:space="preserve"> 9 - 18</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Этнический состав населения</w:t>
      </w:r>
      <w:r>
        <w:tab/>
      </w:r>
      <w:r>
        <w:tab/>
        <w:t>19 - 22</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B</w:t>
      </w:r>
      <w:r>
        <w:t>.</w:t>
      </w:r>
      <w:r>
        <w:tab/>
        <w:t>Положение женщин</w:t>
      </w:r>
      <w:r>
        <w:tab/>
      </w:r>
      <w:r>
        <w:tab/>
        <w:t>23 - 26</w:t>
      </w:r>
      <w:r>
        <w:tab/>
        <w:t>8</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С.</w:t>
      </w:r>
      <w:r>
        <w:tab/>
        <w:t xml:space="preserve">Международные обязательства Грузии </w:t>
      </w:r>
      <w:r>
        <w:tab/>
      </w:r>
      <w:r>
        <w:tab/>
        <w:t>27 - 33</w:t>
      </w:r>
      <w: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t>II</w:t>
      </w:r>
      <w:r>
        <w:t>.</w:t>
      </w:r>
      <w:r>
        <w:tab/>
      </w:r>
      <w:r>
        <w:rPr>
          <w:caps/>
        </w:rPr>
        <w:t>Информация по статьям Конвенции</w:t>
      </w:r>
      <w:r>
        <w:t xml:space="preserve"> </w:t>
      </w:r>
      <w:r>
        <w:tab/>
      </w:r>
      <w:r>
        <w:tab/>
        <w:t xml:space="preserve"> 34 - 322</w:t>
      </w:r>
      <w:r>
        <w:tab/>
        <w:t>12</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 xml:space="preserve">Статья 2 </w:t>
      </w:r>
      <w:r>
        <w:tab/>
      </w:r>
      <w:r>
        <w:tab/>
        <w:t>34 - 50</w:t>
      </w:r>
      <w:r>
        <w:tab/>
        <w:t>12</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 xml:space="preserve">Статья 3 </w:t>
      </w:r>
      <w:r>
        <w:tab/>
      </w:r>
      <w:r>
        <w:tab/>
        <w:t>51 - 55</w:t>
      </w:r>
      <w:r>
        <w:tab/>
        <w:t>16</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4 </w:t>
      </w:r>
      <w:r>
        <w:tab/>
      </w:r>
      <w:r>
        <w:tab/>
        <w:t>56 - 63</w:t>
      </w:r>
      <w:r>
        <w:tab/>
        <w:t>17</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 xml:space="preserve">Статья 5 </w:t>
      </w:r>
      <w:r>
        <w:tab/>
      </w:r>
      <w:r>
        <w:tab/>
        <w:t xml:space="preserve"> 64 - 282 </w:t>
      </w:r>
      <w:r>
        <w:tab/>
        <w:t>18</w:t>
      </w:r>
    </w:p>
    <w:p w:rsidR="00000000" w:rsidRDefault="00000000">
      <w:pPr>
        <w:pStyle w:val="FootnoteText"/>
        <w:tabs>
          <w:tab w:val="clear" w:pos="6237"/>
          <w:tab w:val="decimal" w:pos="567"/>
          <w:tab w:val="left" w:pos="1134"/>
          <w:tab w:val="left" w:pos="1701"/>
          <w:tab w:val="left" w:pos="2268"/>
          <w:tab w:val="left" w:pos="2835"/>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left" w:pos="2835"/>
          <w:tab w:val="right" w:leader="dot" w:pos="7172"/>
          <w:tab w:val="center" w:pos="8039"/>
          <w:tab w:val="center" w:pos="9122"/>
        </w:tabs>
        <w:spacing w:line="288" w:lineRule="auto"/>
      </w:pPr>
      <w:r>
        <w:tab/>
      </w:r>
      <w:r>
        <w:tab/>
      </w:r>
      <w:r>
        <w:tab/>
        <w:t>а)</w:t>
      </w:r>
      <w:r>
        <w:tab/>
        <w:t xml:space="preserve">Право на равенство перед судами </w:t>
      </w:r>
      <w:r>
        <w:tab/>
      </w:r>
      <w:r>
        <w:tab/>
        <w:t>64 - 70</w:t>
      </w:r>
      <w:r>
        <w:tab/>
        <w:t>18</w:t>
      </w:r>
    </w:p>
    <w:p w:rsidR="00000000" w:rsidRDefault="00000000">
      <w:pPr>
        <w:tabs>
          <w:tab w:val="clear" w:pos="6237"/>
          <w:tab w:val="decimal" w:pos="567"/>
          <w:tab w:val="left" w:pos="1134"/>
          <w:tab w:val="left" w:pos="1701"/>
          <w:tab w:val="left" w:pos="2268"/>
          <w:tab w:val="left" w:pos="2835"/>
          <w:tab w:val="right" w:leader="dot" w:pos="7172"/>
          <w:tab w:val="center" w:pos="8039"/>
          <w:tab w:val="center" w:pos="9122"/>
        </w:tabs>
        <w:rPr>
          <w:lang w:val="en-US"/>
        </w:rPr>
      </w:pPr>
      <w:r>
        <w:tab/>
      </w:r>
      <w:r>
        <w:tab/>
      </w:r>
      <w:r>
        <w:tab/>
      </w:r>
      <w:r>
        <w:rPr>
          <w:lang w:val="en-US"/>
        </w:rPr>
        <w:t>b)</w:t>
      </w:r>
      <w:r>
        <w:rPr>
          <w:lang w:val="en-US"/>
        </w:rPr>
        <w:tab/>
      </w:r>
      <w:r>
        <w:t>Право на личную безопасность</w:t>
      </w:r>
      <w:r>
        <w:rPr>
          <w:lang w:val="en-US"/>
        </w:rPr>
        <w:t xml:space="preserve"> </w:t>
      </w:r>
      <w:r>
        <w:rPr>
          <w:lang w:val="en-US"/>
        </w:rPr>
        <w:tab/>
      </w:r>
      <w:r>
        <w:rPr>
          <w:lang w:val="en-US"/>
        </w:rPr>
        <w:tab/>
      </w:r>
      <w:r>
        <w:t>71 - 82</w:t>
      </w:r>
      <w:r>
        <w:rPr>
          <w:lang w:val="en-US"/>
        </w:rPr>
        <w:tab/>
        <w:t>20</w:t>
      </w:r>
    </w:p>
    <w:p w:rsidR="00000000" w:rsidRDefault="00000000">
      <w:pPr>
        <w:tabs>
          <w:tab w:val="clear" w:pos="6237"/>
          <w:tab w:val="decimal" w:pos="567"/>
          <w:tab w:val="left" w:pos="1134"/>
          <w:tab w:val="left" w:pos="1701"/>
          <w:tab w:val="left" w:pos="2268"/>
          <w:tab w:val="left" w:pos="2835"/>
          <w:tab w:val="right" w:leader="dot" w:pos="7172"/>
          <w:tab w:val="center" w:pos="8039"/>
          <w:tab w:val="center" w:pos="9122"/>
        </w:tabs>
      </w:pPr>
      <w:r>
        <w:rPr>
          <w:lang w:val="en-US"/>
        </w:rPr>
        <w:tab/>
      </w:r>
      <w:r>
        <w:rPr>
          <w:lang w:val="en-US"/>
        </w:rPr>
        <w:tab/>
      </w:r>
      <w:r>
        <w:rPr>
          <w:lang w:val="en-US"/>
        </w:rPr>
        <w:tab/>
        <w:t>c</w:t>
      </w:r>
      <w:r>
        <w:t>)</w:t>
      </w:r>
      <w:r>
        <w:rPr>
          <w:lang w:val="en-US"/>
        </w:rPr>
        <w:tab/>
      </w:r>
      <w:r>
        <w:t>Право на участие в выборах на основе</w:t>
      </w:r>
    </w:p>
    <w:p w:rsidR="00000000" w:rsidRDefault="00000000">
      <w:pPr>
        <w:tabs>
          <w:tab w:val="clear" w:pos="6237"/>
          <w:tab w:val="decimal" w:pos="567"/>
          <w:tab w:val="left" w:pos="1134"/>
          <w:tab w:val="left" w:pos="1701"/>
          <w:tab w:val="left" w:pos="2268"/>
          <w:tab w:val="left" w:pos="2835"/>
          <w:tab w:val="right" w:leader="dot" w:pos="7172"/>
          <w:tab w:val="center" w:pos="8039"/>
          <w:tab w:val="center" w:pos="9122"/>
        </w:tabs>
      </w:pPr>
      <w:r>
        <w:tab/>
      </w:r>
      <w:r>
        <w:tab/>
      </w:r>
      <w:r>
        <w:tab/>
      </w:r>
      <w:r>
        <w:tab/>
        <w:t>всеобщего и равного избирательного</w:t>
      </w:r>
    </w:p>
    <w:p w:rsidR="00000000" w:rsidRDefault="00000000">
      <w:pPr>
        <w:tabs>
          <w:tab w:val="clear" w:pos="6237"/>
          <w:tab w:val="decimal" w:pos="567"/>
          <w:tab w:val="left" w:pos="1134"/>
          <w:tab w:val="left" w:pos="1701"/>
          <w:tab w:val="left" w:pos="2268"/>
          <w:tab w:val="left" w:pos="2835"/>
          <w:tab w:val="right" w:leader="dot" w:pos="7172"/>
          <w:tab w:val="center" w:pos="8039"/>
          <w:tab w:val="center" w:pos="9122"/>
        </w:tabs>
      </w:pPr>
      <w:r>
        <w:tab/>
      </w:r>
      <w:r>
        <w:tab/>
      </w:r>
      <w:r>
        <w:tab/>
      </w:r>
      <w:r>
        <w:tab/>
        <w:t xml:space="preserve">права и управление страной </w:t>
      </w:r>
      <w:r>
        <w:tab/>
      </w:r>
      <w:r>
        <w:tab/>
        <w:t xml:space="preserve"> 83 - 104 </w:t>
      </w:r>
      <w:r>
        <w:tab/>
        <w:t>22</w:t>
      </w:r>
    </w:p>
    <w:p w:rsidR="00000000" w:rsidRDefault="00000000">
      <w:pPr>
        <w:tabs>
          <w:tab w:val="clear" w:pos="6237"/>
          <w:tab w:val="decimal" w:pos="567"/>
          <w:tab w:val="left" w:pos="1134"/>
          <w:tab w:val="left" w:pos="1701"/>
          <w:tab w:val="left" w:pos="2268"/>
          <w:tab w:val="left" w:pos="2835"/>
          <w:tab w:val="right" w:leader="dot" w:pos="7172"/>
          <w:tab w:val="center" w:pos="8039"/>
          <w:tab w:val="center" w:pos="9122"/>
        </w:tabs>
      </w:pPr>
      <w:r>
        <w:tab/>
      </w:r>
      <w:r>
        <w:tab/>
      </w:r>
      <w:r>
        <w:tab/>
      </w:r>
      <w:r>
        <w:rPr>
          <w:lang w:val="en-US"/>
        </w:rPr>
        <w:t>d)</w:t>
      </w:r>
      <w:r>
        <w:rPr>
          <w:lang w:val="en-US"/>
        </w:rPr>
        <w:tab/>
      </w:r>
      <w:r>
        <w:t xml:space="preserve">Другие гражданские права </w:t>
      </w:r>
      <w:r>
        <w:tab/>
      </w:r>
      <w:r>
        <w:tab/>
        <w:t>105 - 189</w:t>
      </w:r>
      <w:r>
        <w:tab/>
        <w:t>27</w:t>
      </w:r>
    </w:p>
    <w:p w:rsidR="00000000" w:rsidRDefault="00000000">
      <w:pPr>
        <w:tabs>
          <w:tab w:val="clear" w:pos="6237"/>
          <w:tab w:val="decimal" w:pos="567"/>
          <w:tab w:val="left" w:pos="1134"/>
          <w:tab w:val="left" w:pos="1701"/>
          <w:tab w:val="left" w:pos="2268"/>
          <w:tab w:val="left" w:pos="2835"/>
          <w:tab w:val="right" w:leader="dot" w:pos="7172"/>
          <w:tab w:val="center" w:pos="8039"/>
          <w:tab w:val="center" w:pos="9122"/>
        </w:tabs>
      </w:pPr>
      <w:r>
        <w:tab/>
      </w:r>
      <w:r>
        <w:tab/>
      </w:r>
      <w:r>
        <w:tab/>
        <w:t>е)</w:t>
      </w:r>
      <w:r>
        <w:tab/>
        <w:t xml:space="preserve">Права в экономической, социальной и </w:t>
      </w:r>
    </w:p>
    <w:p w:rsidR="00000000" w:rsidRDefault="00000000">
      <w:pPr>
        <w:tabs>
          <w:tab w:val="clear" w:pos="6237"/>
          <w:tab w:val="decimal" w:pos="567"/>
          <w:tab w:val="left" w:pos="1134"/>
          <w:tab w:val="left" w:pos="1701"/>
          <w:tab w:val="left" w:pos="2268"/>
          <w:tab w:val="left" w:pos="2835"/>
          <w:tab w:val="right" w:leader="dot" w:pos="7172"/>
          <w:tab w:val="center" w:pos="8039"/>
          <w:tab w:val="center" w:pos="9122"/>
        </w:tabs>
      </w:pPr>
      <w:r>
        <w:tab/>
      </w:r>
      <w:r>
        <w:tab/>
      </w:r>
      <w:r>
        <w:tab/>
      </w:r>
      <w:r>
        <w:tab/>
        <w:t xml:space="preserve">культурной областях </w:t>
      </w:r>
      <w:r>
        <w:tab/>
      </w:r>
      <w:r>
        <w:tab/>
        <w:t>190 - 282</w:t>
      </w:r>
      <w:r>
        <w:tab/>
        <w:t>46</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6 </w:t>
      </w:r>
      <w:r>
        <w:tab/>
      </w:r>
      <w:r>
        <w:tab/>
        <w:t>283 - 306</w:t>
      </w:r>
      <w:r>
        <w:tab/>
        <w:t>68</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7 </w:t>
      </w:r>
      <w:r>
        <w:tab/>
      </w:r>
      <w:r>
        <w:tab/>
        <w:t>307 - 324</w:t>
      </w:r>
      <w:r>
        <w:tab/>
        <w:t>74</w:t>
      </w:r>
    </w:p>
    <w:p w:rsidR="00000000" w:rsidRDefault="00000000">
      <w:pPr>
        <w:pStyle w:val="Heading8"/>
        <w:rPr>
          <w:sz w:val="24"/>
        </w:rPr>
      </w:pPr>
    </w:p>
    <w:p w:rsidR="00000000" w:rsidRDefault="00000000">
      <w:pPr>
        <w:pStyle w:val="Heading8"/>
        <w:tabs>
          <w:tab w:val="clear" w:pos="2268"/>
        </w:tabs>
        <w:rPr>
          <w:i w:val="0"/>
          <w:iCs w:val="0"/>
          <w:sz w:val="24"/>
        </w:rPr>
      </w:pPr>
      <w:r>
        <w:rPr>
          <w:i w:val="0"/>
          <w:iCs w:val="0"/>
          <w:sz w:val="24"/>
        </w:rPr>
        <w:t xml:space="preserve">Список приложений </w:t>
      </w:r>
      <w:r>
        <w:rPr>
          <w:i w:val="0"/>
          <w:iCs w:val="0"/>
          <w:sz w:val="24"/>
        </w:rPr>
        <w:tab/>
      </w:r>
      <w:r>
        <w:rPr>
          <w:i w:val="0"/>
          <w:iCs w:val="0"/>
          <w:sz w:val="24"/>
        </w:rPr>
        <w:tab/>
      </w:r>
      <w:r>
        <w:rPr>
          <w:i w:val="0"/>
          <w:iCs w:val="0"/>
          <w:sz w:val="24"/>
        </w:rPr>
        <w:tab/>
        <w:t>79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rPr>
          <w:u w:val="single"/>
        </w:rPr>
      </w:pPr>
      <w:r>
        <w:br w:type="page"/>
      </w:r>
      <w:r>
        <w:rPr>
          <w:u w:val="single"/>
        </w:rPr>
        <w:t>Введение</w:t>
      </w:r>
    </w:p>
    <w:p w:rsidR="00000000" w:rsidRDefault="00000000"/>
    <w:p w:rsidR="00000000" w:rsidRDefault="00000000">
      <w:r>
        <w:t>1.</w:t>
      </w:r>
      <w:r>
        <w:tab/>
        <w:t>Согласно пункту 1 статьи 9 Международной конвенции о ликвидации всех форм расовой дискриминации настоящий первоначальный доклад Грузии представляется в соответствии с общими руководящими принципами, принятыми Комитетом по ликвидации расовой дискриминации 9 апреля 1980 года и пересмотренными на 984</w:t>
      </w:r>
      <w:r>
        <w:noBreakHyphen/>
        <w:t>м заседании 19 марта 1993 года (</w:t>
      </w:r>
      <w:r>
        <w:rPr>
          <w:lang w:val="en-US"/>
        </w:rPr>
        <w:t>CERD</w:t>
      </w:r>
      <w:r>
        <w:t>\</w:t>
      </w:r>
      <w:r>
        <w:rPr>
          <w:lang w:val="en-US"/>
        </w:rPr>
        <w:t>C</w:t>
      </w:r>
      <w:r>
        <w:t>\70\</w:t>
      </w:r>
      <w:r>
        <w:rPr>
          <w:lang w:val="en-US"/>
        </w:rPr>
        <w:t>Rev</w:t>
      </w:r>
      <w:r>
        <w:t>.3) и 1354-м заседании 16 августа 1999 года (</w:t>
      </w:r>
      <w:r>
        <w:rPr>
          <w:lang w:val="en-US"/>
        </w:rPr>
        <w:t>CERD</w:t>
      </w:r>
      <w:r>
        <w:t>\</w:t>
      </w:r>
      <w:r>
        <w:rPr>
          <w:lang w:val="en-US"/>
        </w:rPr>
        <w:t>C</w:t>
      </w:r>
      <w:r>
        <w:t>\70\</w:t>
      </w:r>
      <w:r>
        <w:rPr>
          <w:lang w:val="en-US"/>
        </w:rPr>
        <w:t>Rev</w:t>
      </w:r>
      <w:r>
        <w:t>.4).</w:t>
      </w:r>
    </w:p>
    <w:p w:rsidR="00000000" w:rsidRDefault="00000000"/>
    <w:p w:rsidR="00000000" w:rsidRDefault="00000000">
      <w:r>
        <w:t>2.</w:t>
      </w:r>
      <w:r>
        <w:tab/>
        <w:t>Документ о присоединении к Конвенции был сдан Грузией на хранение Генеральному секретарю Организации Объединенных Наций 2 июня 1999 года.  В соответствии с пунктом 2 статьи 19 для Грузии Конвенция вступила в силу 2 июля 1999 года.</w:t>
      </w:r>
    </w:p>
    <w:p w:rsidR="00000000" w:rsidRDefault="00000000"/>
    <w:p w:rsidR="00000000" w:rsidRDefault="00000000">
      <w:r>
        <w:t>3.</w:t>
      </w:r>
      <w:r>
        <w:tab/>
        <w:t>Доклад подготовлен службой заместителя секретаря Совета национальной безопасности Грузии по вопросам защиты прав человека.  С января 2000 года на эту службу возложена обязанность  по составлению государственных докладов, представляемых договорным органам Организации Объединенных Наций.  Совет национальной безопасности является конституционным совещательным органом, возглавляемым Президентом страны.  При подготовке доклада  использовались материалы, предоставленные различными органами исполнительной власти, а также статистическая и иная информация.</w:t>
      </w:r>
    </w:p>
    <w:p w:rsidR="00000000" w:rsidRDefault="00000000"/>
    <w:p w:rsidR="00000000" w:rsidRDefault="00000000">
      <w:r>
        <w:t>4.</w:t>
      </w:r>
      <w:r>
        <w:tab/>
        <w:t>К докладу прилагается базовый документ (HRI\CORE\1\Add.90), подготовленный в соответствии со сводными руководящими принципами, касающимися первой части докладов государств-участников, представляемыми в соответствии с различными международными договорами по правам человека.</w:t>
      </w:r>
    </w:p>
    <w:p w:rsidR="00000000" w:rsidRDefault="00000000"/>
    <w:p w:rsidR="00000000" w:rsidRDefault="00000000">
      <w:r>
        <w:t>5.</w:t>
      </w:r>
      <w:r>
        <w:tab/>
        <w:t>После обретения Грузией независимости и потрясших страну внутренних конфликтов, правительство страны, возглавляемое главой государства, а затем Президентом Эдуардом Шеварднадзе, взяло курс на активную интеграцию страны в международные и европейские структуры.</w:t>
      </w:r>
    </w:p>
    <w:p w:rsidR="00000000" w:rsidRDefault="00000000"/>
    <w:p w:rsidR="00000000" w:rsidRDefault="00000000">
      <w:r>
        <w:t>6.</w:t>
      </w:r>
      <w:r>
        <w:tab/>
        <w:t>24 марта 1992 года Грузия стала членом Совета (ныне – Организации) по безопасности и сотрудничеству в Европе.  В июле 1992 года нашей страной был подписан Хельсинкский Заключительный акт 1975 года, а 21 января 1994 года - Парижская хартия 1990 года.</w:t>
      </w:r>
    </w:p>
    <w:p w:rsidR="00000000" w:rsidRDefault="00000000"/>
    <w:p w:rsidR="00000000" w:rsidRDefault="00000000">
      <w:r>
        <w:t>7.</w:t>
      </w:r>
      <w:r>
        <w:tab/>
        <w:t>27 апреля 1999 года Грузия стала полноправным членом Совета Европы.</w:t>
      </w:r>
    </w:p>
    <w:p w:rsidR="00000000" w:rsidRDefault="00000000"/>
    <w:p w:rsidR="00000000" w:rsidRDefault="00000000">
      <w:r>
        <w:t>8.</w:t>
      </w:r>
      <w:r>
        <w:tab/>
        <w:t>6 октября 1999 года Государственный министр Грузии подписал протокол о присоединении к Марракешскому договору о создании Всемирной торговой организации. После ратификации Парламентом этого протокола Грузия официально станет полноправным членом Всемирной торговой организации.</w:t>
      </w:r>
    </w:p>
    <w:p w:rsidR="00000000" w:rsidRDefault="00000000"/>
    <w:p w:rsidR="00000000" w:rsidRDefault="00000000">
      <w:pPr>
        <w:jc w:val="center"/>
        <w:rPr>
          <w:caps/>
        </w:rPr>
      </w:pPr>
      <w:r>
        <w:rPr>
          <w:caps/>
          <w:lang w:val="en-US"/>
        </w:rPr>
        <w:t>I.</w:t>
      </w:r>
      <w:r>
        <w:rPr>
          <w:caps/>
          <w:lang w:val="en-US"/>
        </w:rPr>
        <w:tab/>
      </w:r>
      <w:r>
        <w:rPr>
          <w:caps/>
        </w:rPr>
        <w:t>Общая информация</w:t>
      </w:r>
    </w:p>
    <w:p w:rsidR="00000000" w:rsidRDefault="00000000"/>
    <w:p w:rsidR="00000000" w:rsidRDefault="00000000">
      <w:r>
        <w:t>9.</w:t>
      </w:r>
      <w:r>
        <w:tab/>
        <w:t>Согласно статье 14 Конституции Грузии все люди от рождения свободны и равны перед законом независимо от расы, цвета кожи, языка, пола, религии, политических и иных взглядов, национальной, этнической и социальной принадлежности, происхождения, имущественного и сословного положения или места жительства.</w:t>
      </w:r>
    </w:p>
    <w:p w:rsidR="00000000" w:rsidRDefault="00000000"/>
    <w:p w:rsidR="00000000" w:rsidRDefault="00000000">
      <w:r>
        <w:t>10.</w:t>
      </w:r>
      <w:r>
        <w:tab/>
        <w:t>Статья 38 Конституции гласит:</w:t>
      </w:r>
    </w:p>
    <w:p w:rsidR="00000000" w:rsidRDefault="00000000"/>
    <w:p w:rsidR="00000000" w:rsidRDefault="00000000">
      <w:pPr>
        <w:ind w:left="567"/>
      </w:pPr>
      <w:r>
        <w:t>"1.</w:t>
      </w:r>
      <w:r>
        <w:tab/>
        <w:t>Граждане Грузии равноправны в социальной, экономической, культурной и политической жизни независимо от их языка, национальной, этнической и религиозной принадлежности.  В соответствии с общепризнанными принципами и нормами международного права они вправе свободно, без какой-либо дискриминации и вмешательства, развивать собственную культуру и пользоваться родным языком в личной жизни и публично.</w:t>
      </w:r>
    </w:p>
    <w:p w:rsidR="00000000" w:rsidRDefault="00000000">
      <w:pPr>
        <w:ind w:left="567"/>
      </w:pPr>
    </w:p>
    <w:p w:rsidR="00000000" w:rsidRDefault="00000000">
      <w:pPr>
        <w:ind w:left="567"/>
      </w:pPr>
      <w:r>
        <w:t>2.</w:t>
      </w:r>
      <w:r>
        <w:tab/>
        <w:t>В соответствии с общепризнанными принципами и нормами международного права осуществление прав меньшинств не должно противоречить суверенитету, государственному устройству, территориальной целостности и политической независимости Грузии".</w:t>
      </w:r>
    </w:p>
    <w:p w:rsidR="00000000" w:rsidRDefault="00000000"/>
    <w:p w:rsidR="00000000" w:rsidRDefault="00000000">
      <w:r>
        <w:t>11.</w:t>
      </w:r>
      <w:r>
        <w:tab/>
        <w:t>В соответствии с пунктом 2 статьи 85 Конституции, в районах, где население не владеет государственным языком, обеспечивается решение вопросов, связанных с изучением государственного языка и судопроизводством, а лицу, не владеющему языком судопроизводства, предоставляется переводчик.</w:t>
      </w:r>
    </w:p>
    <w:p w:rsidR="00000000" w:rsidRDefault="00000000"/>
    <w:p w:rsidR="00000000" w:rsidRDefault="00000000">
      <w:r>
        <w:t>12.</w:t>
      </w:r>
      <w:r>
        <w:tab/>
        <w:t>Что касается положения иностранцев, то следует процитировать следующие законодательные тексты.</w:t>
      </w:r>
    </w:p>
    <w:p w:rsidR="00000000" w:rsidRDefault="00000000"/>
    <w:p w:rsidR="00000000" w:rsidRDefault="00000000">
      <w:pPr>
        <w:keepNext/>
      </w:pPr>
      <w:r>
        <w:tab/>
        <w:t>Конституция, статья 47:</w:t>
      </w:r>
    </w:p>
    <w:p w:rsidR="00000000" w:rsidRDefault="00000000">
      <w:pPr>
        <w:keepNext/>
      </w:pPr>
    </w:p>
    <w:p w:rsidR="00000000" w:rsidRDefault="00000000">
      <w:pPr>
        <w:ind w:left="567"/>
      </w:pPr>
      <w:r>
        <w:t>"1.</w:t>
      </w:r>
      <w:r>
        <w:tab/>
        <w:t>Иностранные граждане и лица без гражданства, проживающие в Грузии, имеют равные с гражданами Грузии права и обязанности, кроме случаев, предусмотренных Конституцией и законом.</w:t>
      </w:r>
    </w:p>
    <w:p w:rsidR="00000000" w:rsidRDefault="00000000">
      <w:pPr>
        <w:ind w:left="567"/>
      </w:pPr>
    </w:p>
    <w:p w:rsidR="00000000" w:rsidRDefault="00000000">
      <w:pPr>
        <w:ind w:left="567"/>
      </w:pPr>
      <w:r>
        <w:t>2.</w:t>
      </w:r>
      <w:r>
        <w:tab/>
        <w:t>В соответствии с общепризнанными нормами международного права, в установленном законом порядке Грузия предоставляет убежище иностранцам и лицам без гражданства.</w:t>
      </w:r>
    </w:p>
    <w:p w:rsidR="00000000" w:rsidRDefault="00000000">
      <w:pPr>
        <w:pStyle w:val="BodyTextIndent2"/>
      </w:pPr>
    </w:p>
    <w:p w:rsidR="00000000" w:rsidRDefault="00000000">
      <w:pPr>
        <w:pStyle w:val="BodyTextIndent2"/>
      </w:pPr>
      <w:r>
        <w:t>3.</w:t>
      </w:r>
      <w:r>
        <w:tab/>
        <w:t>Запрещается выдача другому государству беженцев, преследуемых за политические убеждения или за деяние, которое в соответствии с законодательством Грузии преступлением не считается".</w:t>
      </w:r>
    </w:p>
    <w:p w:rsidR="00000000" w:rsidRDefault="00000000">
      <w:pPr>
        <w:ind w:left="567"/>
      </w:pPr>
    </w:p>
    <w:p w:rsidR="00000000" w:rsidRDefault="00000000">
      <w:pPr>
        <w:ind w:left="567"/>
      </w:pPr>
      <w:r>
        <w:t>Конституция, статья 27:</w:t>
      </w:r>
    </w:p>
    <w:p w:rsidR="00000000" w:rsidRDefault="00000000">
      <w:pPr>
        <w:ind w:left="567"/>
      </w:pPr>
    </w:p>
    <w:p w:rsidR="00000000" w:rsidRDefault="00000000">
      <w:pPr>
        <w:ind w:left="567"/>
      </w:pPr>
      <w:r>
        <w:t>"Государство правомочно установить ограничения политической деятельности иностранцев и лиц без гражданства".</w:t>
      </w:r>
    </w:p>
    <w:p w:rsidR="00000000" w:rsidRDefault="00000000"/>
    <w:p w:rsidR="00000000" w:rsidRDefault="00000000">
      <w:r>
        <w:t>13.</w:t>
      </w:r>
      <w:r>
        <w:tab/>
        <w:t>Закон о гражданстве, статья 8:  "(Гражданам другого государства и лицам без гражданства) гарантированы права и свободы, предусмотренные нормами международного права и законодательством Грузии, в том числе право обращаться  в суд и другие государственные органы для защиты их личных, имущественных и других прав…".</w:t>
      </w:r>
    </w:p>
    <w:p w:rsidR="00000000" w:rsidRDefault="00000000"/>
    <w:p w:rsidR="00000000" w:rsidRDefault="00000000">
      <w:r>
        <w:t>14.</w:t>
      </w:r>
      <w:r>
        <w:tab/>
        <w:t>Закон о правовом положении иностранцев, статья 3:  "Иностранцы в Грузии пользуются теми же правами и свободами и несут те же обязанности, что и граждане Грузии…  Иностранцы в Грузии равны перед законом независимо от происхождения, социального и имущественного положения, расы, национальной принадлежности, пола, образования, языка, религиозных, политических и других взглядов…  Грузия охраняет жизнь, личную неприкосновенность, права и свободы иностранцев, находящихся на ее территории…  Наравне со своими гражданами Грузия охраняет права и законные интересы лиц без гражданства, постоянно проживающих в Грузии, (но) временно находящихся за ее пределами…".</w:t>
      </w:r>
    </w:p>
    <w:p w:rsidR="00000000" w:rsidRDefault="00000000"/>
    <w:p w:rsidR="00000000" w:rsidRDefault="00000000">
      <w:r>
        <w:t>15.</w:t>
      </w:r>
      <w:r>
        <w:tab/>
        <w:t>Антидискриминационные положения Конституции получили  развитие еще в целом ряде нормативных актов.  Так, статья 4 Закона о гражданстве постулирует равенство всех граждан Грузии перед законом без любого различия дискриминационного характера. Согласно Общему административного кодексу Грузии, все равны перед законом и административными органами (статья 4).  "Не допускается ограничение или создание помех в осуществлении законных прав и свобод, законных интересов любой стороны, участвующей в административно-правовых отношениях, а также предоставление ей (стороне) каких-либо не предусмотренных законом преимуществ либо принятие по отношению к ней каких-либо дискриминационных мер.  В случае идентичности обстоятельств дела не допускается принятие различных решений к разным лицам" (там же, пункты 2 и 3).  В соответствии с Законом "Об образовании", все имеют право на получение образования (статья 3, пункт 1), а государство обязано обеспечить равные условия для получения образования на всей территории страны (статья 39, пункт 2).</w:t>
      </w:r>
    </w:p>
    <w:p w:rsidR="00000000" w:rsidRDefault="00000000"/>
    <w:p w:rsidR="00000000" w:rsidRDefault="00000000">
      <w:r>
        <w:t>16.</w:t>
      </w:r>
      <w:r>
        <w:tab/>
        <w:t>Положения, обеспечивающие неукоснительное соблюдение принципов недискриминации, содержатся  и в других действующих в Грузии законодательных актах.</w:t>
      </w:r>
    </w:p>
    <w:p w:rsidR="00000000" w:rsidRDefault="00000000"/>
    <w:p w:rsidR="00000000" w:rsidRDefault="00000000">
      <w:r>
        <w:t>17.</w:t>
      </w:r>
      <w:r>
        <w:tab/>
        <w:t xml:space="preserve">В новом Уголовном кодексе, вступившем в силу с июня 2000 года, содержится статья 142 – "Нарушение равноправия людей", – которая гласит: </w:t>
      </w:r>
    </w:p>
    <w:p w:rsidR="00000000" w:rsidRDefault="00000000"/>
    <w:p w:rsidR="00000000" w:rsidRDefault="00000000">
      <w:pPr>
        <w:pStyle w:val="BodyTextIndent2"/>
      </w:pPr>
      <w:r>
        <w:t>"1.</w:t>
      </w:r>
      <w:r>
        <w:tab/>
        <w:t>Нарушение равноправия людей в связи с их расой, цветом кожи, языком, полом, отношением к религии, вероисповеданием, политическими или иными взглядами, национальной, этнической, социальной, сословной принадлежностью, членством в общественном объединении, происхождением, местом жительства или имущественным положением, вследствие чего по существу пострадали права человека, наказывается штрафом или  исправительными работами сроком до 1 года, или лишением свободы сроком до 2 лет.</w:t>
      </w:r>
    </w:p>
    <w:p w:rsidR="00000000" w:rsidRDefault="00000000">
      <w:pPr>
        <w:ind w:left="567"/>
      </w:pPr>
    </w:p>
    <w:p w:rsidR="00000000" w:rsidRDefault="00000000">
      <w:pPr>
        <w:ind w:left="567"/>
      </w:pPr>
      <w:r>
        <w:t>2.</w:t>
      </w:r>
      <w:r>
        <w:tab/>
        <w:t>То же деяние, совершенное с использованием служебного положения или повлекшее за собой тяжкие последствия, наказывается штрафом либо лишением свободы сроком до 3 лет…".</w:t>
      </w:r>
    </w:p>
    <w:p w:rsidR="00000000" w:rsidRDefault="00000000"/>
    <w:p w:rsidR="00000000" w:rsidRDefault="00000000">
      <w:r>
        <w:t>18.</w:t>
      </w:r>
      <w:r>
        <w:tab/>
        <w:t>В положениях еще нескольких статей  Уголовного кодекса (109 – "Умышленное убийство при отягчающих обстоятельствах", 117 – "Умышленное тяжкое повреждение здоровья", 126 – "Пытка", 258 – "Неуважение к покойному", 407 – "Геноцид", 411 – "Умышленное нарушение норм международного гуманитарного права во время вооруженного конфликта") наличие  при совершении преступления мотива "расовой, религиозной, национальной либо этнической нетерпимости" признается отягчающим обстоятельством и влечет за собой более серьезные санкции.</w:t>
      </w:r>
    </w:p>
    <w:p w:rsidR="00000000" w:rsidRDefault="00000000"/>
    <w:p w:rsidR="00000000" w:rsidRDefault="00000000">
      <w:pPr>
        <w:keepNext/>
        <w:jc w:val="center"/>
        <w:rPr>
          <w:u w:val="single"/>
        </w:rPr>
      </w:pPr>
      <w:r>
        <w:t>А.</w:t>
      </w:r>
      <w:r>
        <w:tab/>
      </w:r>
      <w:r>
        <w:rPr>
          <w:u w:val="single"/>
        </w:rPr>
        <w:t>Этнический состав населения Грузии</w:t>
      </w:r>
    </w:p>
    <w:p w:rsidR="00000000" w:rsidRDefault="00000000">
      <w:pPr>
        <w:keepNext/>
      </w:pPr>
    </w:p>
    <w:p w:rsidR="00000000" w:rsidRDefault="00000000">
      <w:r>
        <w:t>19.</w:t>
      </w:r>
      <w:r>
        <w:tab/>
        <w:t>Краткие сведения об этническом составе населения Грузии содержатся в базовом документе (пункты 24 и 25).  Следует отметить, что этнические меньшинства живут в Грузии веками.  Наша страна всегда славилась толерантностью в этническом или религиозном плане, благодаря чему на ее территории находили убежище и второй дом представители многих десятков национальностей.</w:t>
      </w:r>
    </w:p>
    <w:p w:rsidR="00000000" w:rsidRDefault="00000000"/>
    <w:p w:rsidR="00000000" w:rsidRDefault="00000000">
      <w:r>
        <w:t>20.</w:t>
      </w:r>
      <w:r>
        <w:tab/>
        <w:t>Ниже приводится таблица, демонстрирующая этнический состав населения Грузии согласно переписям, последняя из которых проведена в 1989 году.  Сегодня абсолютно точными эти данные назвать нельзя вследствие интенсивных миграционных процессов последних лет, из-за которых Грузию покинули десятки тысяч ее граждан, в частности, и из числа меньшинств.  В переписях учтено также население Абхазии и бывшей Южной Осетии.  В настоящее время в связи с имевшими место на территории этих регионов конфликтов де-факто юрисдикция Грузии на них не распространяется.  В результате мы располагаем лишь приблизительными оценками численности оставшегося в самопровозглашенных республиках населения.  В таких условиях сложно судить и об его этническом составе.</w:t>
      </w:r>
    </w:p>
    <w:p w:rsidR="00000000" w:rsidRDefault="00000000"/>
    <w:p w:rsidR="00000000" w:rsidRDefault="00000000">
      <w:r>
        <w:t>21.</w:t>
      </w:r>
      <w:r>
        <w:tab/>
        <w:t xml:space="preserve">Согласно правилам проведения переписей национальность респондента определяется его самоидентифтикацией, а не паспортными данными.  Национальность несовершеннолетних детей определяется их родителями. </w:t>
      </w:r>
    </w:p>
    <w:p w:rsidR="00000000" w:rsidRDefault="00000000"/>
    <w:p w:rsidR="00000000" w:rsidRDefault="00000000">
      <w:pPr>
        <w:jc w:val="center"/>
        <w:rPr>
          <w:u w:val="single"/>
        </w:rPr>
      </w:pPr>
      <w:r>
        <w:rPr>
          <w:u w:val="single"/>
        </w:rPr>
        <w:t>Этнический состав населения</w:t>
      </w:r>
    </w:p>
    <w:p w:rsidR="00000000" w:rsidRDefault="00000000">
      <w:pPr>
        <w:pStyle w:val="Heading4"/>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134"/>
        <w:gridCol w:w="1134"/>
        <w:gridCol w:w="1134"/>
        <w:gridCol w:w="1134"/>
        <w:gridCol w:w="993"/>
        <w:gridCol w:w="950"/>
      </w:tblGrid>
      <w:tr w:rsidR="00000000">
        <w:tblPrEx>
          <w:tblCellMar>
            <w:top w:w="0" w:type="dxa"/>
            <w:bottom w:w="0" w:type="dxa"/>
          </w:tblCellMar>
        </w:tblPrEx>
        <w:trPr>
          <w:cantSplit/>
        </w:trPr>
        <w:tc>
          <w:tcPr>
            <w:tcW w:w="2376" w:type="dxa"/>
          </w:tcPr>
          <w:p w:rsidR="00000000" w:rsidRDefault="00000000">
            <w:pPr>
              <w:spacing w:line="240" w:lineRule="auto"/>
              <w:jc w:val="both"/>
            </w:pPr>
          </w:p>
        </w:tc>
        <w:tc>
          <w:tcPr>
            <w:tcW w:w="3402" w:type="dxa"/>
            <w:gridSpan w:val="3"/>
            <w:vAlign w:val="center"/>
          </w:tcPr>
          <w:p w:rsidR="00000000" w:rsidRDefault="00000000">
            <w:pPr>
              <w:pStyle w:val="16"/>
              <w:spacing w:line="240" w:lineRule="auto"/>
            </w:pPr>
            <w:r>
              <w:t>Тысяч человек</w:t>
            </w:r>
          </w:p>
        </w:tc>
        <w:tc>
          <w:tcPr>
            <w:tcW w:w="3077" w:type="dxa"/>
            <w:gridSpan w:val="3"/>
          </w:tcPr>
          <w:p w:rsidR="00000000" w:rsidRDefault="00000000">
            <w:pPr>
              <w:pStyle w:val="16"/>
              <w:spacing w:line="240" w:lineRule="auto"/>
            </w:pPr>
            <w:r>
              <w:t>В процентах к населению в целом</w:t>
            </w:r>
          </w:p>
        </w:tc>
      </w:tr>
      <w:tr w:rsidR="00000000">
        <w:tblPrEx>
          <w:tblCellMar>
            <w:top w:w="0" w:type="dxa"/>
            <w:bottom w:w="0" w:type="dxa"/>
          </w:tblCellMar>
        </w:tblPrEx>
        <w:tc>
          <w:tcPr>
            <w:tcW w:w="2376" w:type="dxa"/>
          </w:tcPr>
          <w:p w:rsidR="00000000" w:rsidRDefault="00000000">
            <w:pPr>
              <w:spacing w:line="240" w:lineRule="auto"/>
              <w:jc w:val="both"/>
            </w:pPr>
          </w:p>
        </w:tc>
        <w:tc>
          <w:tcPr>
            <w:tcW w:w="1134" w:type="dxa"/>
          </w:tcPr>
          <w:p w:rsidR="00000000" w:rsidRDefault="00000000">
            <w:pPr>
              <w:pStyle w:val="16"/>
              <w:spacing w:line="240" w:lineRule="auto"/>
            </w:pPr>
            <w:r>
              <w:t>1959</w:t>
            </w:r>
          </w:p>
        </w:tc>
        <w:tc>
          <w:tcPr>
            <w:tcW w:w="1134" w:type="dxa"/>
          </w:tcPr>
          <w:p w:rsidR="00000000" w:rsidRDefault="00000000">
            <w:pPr>
              <w:pStyle w:val="16"/>
              <w:spacing w:line="240" w:lineRule="auto"/>
            </w:pPr>
            <w:r>
              <w:t>1979</w:t>
            </w:r>
          </w:p>
        </w:tc>
        <w:tc>
          <w:tcPr>
            <w:tcW w:w="1134" w:type="dxa"/>
          </w:tcPr>
          <w:p w:rsidR="00000000" w:rsidRDefault="00000000">
            <w:pPr>
              <w:pStyle w:val="16"/>
              <w:spacing w:line="240" w:lineRule="auto"/>
            </w:pPr>
            <w:r>
              <w:t>1989</w:t>
            </w:r>
          </w:p>
        </w:tc>
        <w:tc>
          <w:tcPr>
            <w:tcW w:w="1134" w:type="dxa"/>
          </w:tcPr>
          <w:p w:rsidR="00000000" w:rsidRDefault="00000000">
            <w:pPr>
              <w:pStyle w:val="16"/>
              <w:spacing w:line="240" w:lineRule="auto"/>
            </w:pPr>
            <w:r>
              <w:t>1959</w:t>
            </w:r>
          </w:p>
        </w:tc>
        <w:tc>
          <w:tcPr>
            <w:tcW w:w="993" w:type="dxa"/>
          </w:tcPr>
          <w:p w:rsidR="00000000" w:rsidRDefault="00000000">
            <w:pPr>
              <w:pStyle w:val="16"/>
              <w:spacing w:line="240" w:lineRule="auto"/>
            </w:pPr>
            <w:r>
              <w:t>1979</w:t>
            </w:r>
          </w:p>
        </w:tc>
        <w:tc>
          <w:tcPr>
            <w:tcW w:w="950" w:type="dxa"/>
          </w:tcPr>
          <w:p w:rsidR="00000000" w:rsidRDefault="00000000">
            <w:pPr>
              <w:pStyle w:val="16"/>
              <w:spacing w:line="240" w:lineRule="auto"/>
            </w:pPr>
            <w:r>
              <w:t>1989</w:t>
            </w:r>
          </w:p>
        </w:tc>
      </w:tr>
      <w:tr w:rsidR="00000000">
        <w:tblPrEx>
          <w:tblCellMar>
            <w:top w:w="0" w:type="dxa"/>
            <w:bottom w:w="0" w:type="dxa"/>
          </w:tblCellMar>
        </w:tblPrEx>
        <w:tc>
          <w:tcPr>
            <w:tcW w:w="2376" w:type="dxa"/>
          </w:tcPr>
          <w:p w:rsidR="00000000" w:rsidRDefault="00000000">
            <w:pPr>
              <w:pStyle w:val="16"/>
              <w:spacing w:line="240" w:lineRule="auto"/>
            </w:pPr>
            <w:r>
              <w:t>Население в целом</w:t>
            </w:r>
          </w:p>
        </w:tc>
        <w:tc>
          <w:tcPr>
            <w:tcW w:w="1134" w:type="dxa"/>
          </w:tcPr>
          <w:p w:rsidR="00000000" w:rsidRDefault="00000000">
            <w:pPr>
              <w:spacing w:line="240" w:lineRule="auto"/>
              <w:jc w:val="right"/>
            </w:pPr>
            <w:r>
              <w:t>4044,0</w:t>
            </w:r>
          </w:p>
        </w:tc>
        <w:tc>
          <w:tcPr>
            <w:tcW w:w="1134" w:type="dxa"/>
          </w:tcPr>
          <w:p w:rsidR="00000000" w:rsidRDefault="00000000">
            <w:pPr>
              <w:spacing w:line="240" w:lineRule="auto"/>
              <w:jc w:val="right"/>
            </w:pPr>
            <w:r>
              <w:t>4993,2</w:t>
            </w:r>
          </w:p>
        </w:tc>
        <w:tc>
          <w:tcPr>
            <w:tcW w:w="1134" w:type="dxa"/>
          </w:tcPr>
          <w:p w:rsidR="00000000" w:rsidRDefault="00000000">
            <w:pPr>
              <w:spacing w:line="240" w:lineRule="auto"/>
              <w:jc w:val="right"/>
            </w:pPr>
            <w:r>
              <w:t>5400,8</w:t>
            </w:r>
          </w:p>
        </w:tc>
        <w:tc>
          <w:tcPr>
            <w:tcW w:w="1134" w:type="dxa"/>
          </w:tcPr>
          <w:p w:rsidR="00000000" w:rsidRDefault="00000000">
            <w:pPr>
              <w:spacing w:line="240" w:lineRule="auto"/>
              <w:jc w:val="center"/>
            </w:pPr>
            <w:r>
              <w:t xml:space="preserve">    100</w:t>
            </w:r>
          </w:p>
        </w:tc>
        <w:tc>
          <w:tcPr>
            <w:tcW w:w="993" w:type="dxa"/>
          </w:tcPr>
          <w:p w:rsidR="00000000" w:rsidRDefault="00000000">
            <w:pPr>
              <w:spacing w:line="240" w:lineRule="auto"/>
              <w:jc w:val="center"/>
            </w:pPr>
            <w:r>
              <w:t xml:space="preserve"> 100</w:t>
            </w:r>
          </w:p>
        </w:tc>
        <w:tc>
          <w:tcPr>
            <w:tcW w:w="950" w:type="dxa"/>
          </w:tcPr>
          <w:p w:rsidR="00000000" w:rsidRDefault="00000000">
            <w:pPr>
              <w:spacing w:line="240" w:lineRule="auto"/>
              <w:jc w:val="both"/>
            </w:pPr>
            <w:r>
              <w:t xml:space="preserve">   100</w:t>
            </w:r>
          </w:p>
        </w:tc>
      </w:tr>
      <w:tr w:rsidR="00000000">
        <w:tblPrEx>
          <w:tblCellMar>
            <w:top w:w="0" w:type="dxa"/>
            <w:bottom w:w="0" w:type="dxa"/>
          </w:tblCellMar>
        </w:tblPrEx>
        <w:tc>
          <w:tcPr>
            <w:tcW w:w="2376" w:type="dxa"/>
          </w:tcPr>
          <w:p w:rsidR="00000000" w:rsidRDefault="00000000">
            <w:pPr>
              <w:spacing w:line="240" w:lineRule="auto"/>
              <w:jc w:val="both"/>
            </w:pPr>
            <w:r>
              <w:t>Грузины</w:t>
            </w:r>
          </w:p>
        </w:tc>
        <w:tc>
          <w:tcPr>
            <w:tcW w:w="1134" w:type="dxa"/>
          </w:tcPr>
          <w:p w:rsidR="00000000" w:rsidRDefault="00000000">
            <w:pPr>
              <w:spacing w:line="240" w:lineRule="auto"/>
              <w:jc w:val="right"/>
            </w:pPr>
            <w:r>
              <w:t>2600,6</w:t>
            </w:r>
          </w:p>
        </w:tc>
        <w:tc>
          <w:tcPr>
            <w:tcW w:w="1134" w:type="dxa"/>
          </w:tcPr>
          <w:p w:rsidR="00000000" w:rsidRDefault="00000000">
            <w:pPr>
              <w:spacing w:line="240" w:lineRule="auto"/>
              <w:jc w:val="right"/>
            </w:pPr>
            <w:r>
              <w:t>3433,0</w:t>
            </w:r>
          </w:p>
        </w:tc>
        <w:tc>
          <w:tcPr>
            <w:tcW w:w="1134" w:type="dxa"/>
          </w:tcPr>
          <w:p w:rsidR="00000000" w:rsidRDefault="00000000">
            <w:pPr>
              <w:spacing w:line="240" w:lineRule="auto"/>
              <w:jc w:val="right"/>
            </w:pPr>
            <w:r>
              <w:t>3787,4</w:t>
            </w:r>
          </w:p>
        </w:tc>
        <w:tc>
          <w:tcPr>
            <w:tcW w:w="1134" w:type="dxa"/>
          </w:tcPr>
          <w:p w:rsidR="00000000" w:rsidRDefault="00000000">
            <w:pPr>
              <w:spacing w:line="240" w:lineRule="auto"/>
              <w:jc w:val="right"/>
            </w:pPr>
            <w:r>
              <w:t>64,3</w:t>
            </w:r>
          </w:p>
        </w:tc>
        <w:tc>
          <w:tcPr>
            <w:tcW w:w="993" w:type="dxa"/>
          </w:tcPr>
          <w:p w:rsidR="00000000" w:rsidRDefault="00000000">
            <w:pPr>
              <w:spacing w:line="240" w:lineRule="auto"/>
              <w:jc w:val="right"/>
            </w:pPr>
            <w:r>
              <w:t>68,8</w:t>
            </w:r>
          </w:p>
        </w:tc>
        <w:tc>
          <w:tcPr>
            <w:tcW w:w="950" w:type="dxa"/>
          </w:tcPr>
          <w:p w:rsidR="00000000" w:rsidRDefault="00000000">
            <w:pPr>
              <w:spacing w:line="240" w:lineRule="auto"/>
              <w:jc w:val="right"/>
            </w:pPr>
            <w:r>
              <w:t>70,1</w:t>
            </w:r>
          </w:p>
        </w:tc>
      </w:tr>
      <w:tr w:rsidR="00000000">
        <w:tblPrEx>
          <w:tblCellMar>
            <w:top w:w="0" w:type="dxa"/>
            <w:bottom w:w="0" w:type="dxa"/>
          </w:tblCellMar>
        </w:tblPrEx>
        <w:tc>
          <w:tcPr>
            <w:tcW w:w="2376" w:type="dxa"/>
          </w:tcPr>
          <w:p w:rsidR="00000000" w:rsidRDefault="00000000">
            <w:pPr>
              <w:spacing w:line="240" w:lineRule="auto"/>
              <w:jc w:val="both"/>
            </w:pPr>
            <w:r>
              <w:t>Абхазы</w:t>
            </w:r>
          </w:p>
        </w:tc>
        <w:tc>
          <w:tcPr>
            <w:tcW w:w="1134" w:type="dxa"/>
          </w:tcPr>
          <w:p w:rsidR="00000000" w:rsidRDefault="00000000">
            <w:pPr>
              <w:spacing w:line="240" w:lineRule="auto"/>
              <w:jc w:val="right"/>
            </w:pPr>
            <w:r>
              <w:t>62,9</w:t>
            </w:r>
          </w:p>
        </w:tc>
        <w:tc>
          <w:tcPr>
            <w:tcW w:w="1134" w:type="dxa"/>
          </w:tcPr>
          <w:p w:rsidR="00000000" w:rsidRDefault="00000000">
            <w:pPr>
              <w:spacing w:line="240" w:lineRule="auto"/>
              <w:jc w:val="right"/>
            </w:pPr>
            <w:r>
              <w:t>85,3</w:t>
            </w:r>
          </w:p>
        </w:tc>
        <w:tc>
          <w:tcPr>
            <w:tcW w:w="1134" w:type="dxa"/>
          </w:tcPr>
          <w:p w:rsidR="00000000" w:rsidRDefault="00000000">
            <w:pPr>
              <w:spacing w:line="240" w:lineRule="auto"/>
              <w:jc w:val="right"/>
            </w:pPr>
            <w:r>
              <w:t>95,9</w:t>
            </w:r>
          </w:p>
        </w:tc>
        <w:tc>
          <w:tcPr>
            <w:tcW w:w="1134" w:type="dxa"/>
          </w:tcPr>
          <w:p w:rsidR="00000000" w:rsidRDefault="00000000">
            <w:pPr>
              <w:spacing w:line="240" w:lineRule="auto"/>
              <w:jc w:val="right"/>
            </w:pPr>
            <w:r>
              <w:t>1,6</w:t>
            </w:r>
          </w:p>
        </w:tc>
        <w:tc>
          <w:tcPr>
            <w:tcW w:w="993" w:type="dxa"/>
          </w:tcPr>
          <w:p w:rsidR="00000000" w:rsidRDefault="00000000">
            <w:pPr>
              <w:spacing w:line="240" w:lineRule="auto"/>
              <w:jc w:val="right"/>
            </w:pPr>
            <w:r>
              <w:t>1,7</w:t>
            </w:r>
          </w:p>
        </w:tc>
        <w:tc>
          <w:tcPr>
            <w:tcW w:w="950" w:type="dxa"/>
          </w:tcPr>
          <w:p w:rsidR="00000000" w:rsidRDefault="00000000">
            <w:pPr>
              <w:spacing w:line="240" w:lineRule="auto"/>
              <w:jc w:val="right"/>
            </w:pPr>
            <w:r>
              <w:t>1,8</w:t>
            </w:r>
          </w:p>
        </w:tc>
      </w:tr>
      <w:tr w:rsidR="00000000">
        <w:tblPrEx>
          <w:tblCellMar>
            <w:top w:w="0" w:type="dxa"/>
            <w:bottom w:w="0" w:type="dxa"/>
          </w:tblCellMar>
        </w:tblPrEx>
        <w:tc>
          <w:tcPr>
            <w:tcW w:w="2376" w:type="dxa"/>
          </w:tcPr>
          <w:p w:rsidR="00000000" w:rsidRDefault="00000000">
            <w:pPr>
              <w:spacing w:line="240" w:lineRule="auto"/>
              <w:jc w:val="both"/>
            </w:pPr>
            <w:r>
              <w:t>Осетины</w:t>
            </w:r>
          </w:p>
        </w:tc>
        <w:tc>
          <w:tcPr>
            <w:tcW w:w="1134" w:type="dxa"/>
          </w:tcPr>
          <w:p w:rsidR="00000000" w:rsidRDefault="00000000">
            <w:pPr>
              <w:spacing w:line="240" w:lineRule="auto"/>
              <w:jc w:val="right"/>
            </w:pPr>
            <w:r>
              <w:t>141,2</w:t>
            </w:r>
          </w:p>
        </w:tc>
        <w:tc>
          <w:tcPr>
            <w:tcW w:w="1134" w:type="dxa"/>
          </w:tcPr>
          <w:p w:rsidR="00000000" w:rsidRDefault="00000000">
            <w:pPr>
              <w:spacing w:line="240" w:lineRule="auto"/>
              <w:jc w:val="right"/>
            </w:pPr>
            <w:r>
              <w:t>160,5</w:t>
            </w:r>
          </w:p>
        </w:tc>
        <w:tc>
          <w:tcPr>
            <w:tcW w:w="1134" w:type="dxa"/>
          </w:tcPr>
          <w:p w:rsidR="00000000" w:rsidRDefault="00000000">
            <w:pPr>
              <w:spacing w:line="240" w:lineRule="auto"/>
              <w:jc w:val="right"/>
            </w:pPr>
            <w:r>
              <w:t>164,1</w:t>
            </w:r>
          </w:p>
        </w:tc>
        <w:tc>
          <w:tcPr>
            <w:tcW w:w="1134" w:type="dxa"/>
          </w:tcPr>
          <w:p w:rsidR="00000000" w:rsidRDefault="00000000">
            <w:pPr>
              <w:spacing w:line="240" w:lineRule="auto"/>
              <w:jc w:val="right"/>
            </w:pPr>
            <w:r>
              <w:t>3,5</w:t>
            </w:r>
          </w:p>
        </w:tc>
        <w:tc>
          <w:tcPr>
            <w:tcW w:w="993" w:type="dxa"/>
          </w:tcPr>
          <w:p w:rsidR="00000000" w:rsidRDefault="00000000">
            <w:pPr>
              <w:spacing w:line="240" w:lineRule="auto"/>
              <w:jc w:val="right"/>
            </w:pPr>
            <w:r>
              <w:t>3,2</w:t>
            </w:r>
          </w:p>
        </w:tc>
        <w:tc>
          <w:tcPr>
            <w:tcW w:w="950" w:type="dxa"/>
          </w:tcPr>
          <w:p w:rsidR="00000000" w:rsidRDefault="00000000">
            <w:pPr>
              <w:spacing w:line="240" w:lineRule="auto"/>
              <w:jc w:val="right"/>
            </w:pPr>
            <w:r>
              <w:t>3,0</w:t>
            </w:r>
          </w:p>
        </w:tc>
      </w:tr>
      <w:tr w:rsidR="00000000">
        <w:tblPrEx>
          <w:tblCellMar>
            <w:top w:w="0" w:type="dxa"/>
            <w:bottom w:w="0" w:type="dxa"/>
          </w:tblCellMar>
        </w:tblPrEx>
        <w:tc>
          <w:tcPr>
            <w:tcW w:w="2376" w:type="dxa"/>
          </w:tcPr>
          <w:p w:rsidR="00000000" w:rsidRDefault="00000000">
            <w:pPr>
              <w:spacing w:line="240" w:lineRule="auto"/>
              <w:jc w:val="both"/>
            </w:pPr>
            <w:r>
              <w:t>Русские</w:t>
            </w:r>
          </w:p>
        </w:tc>
        <w:tc>
          <w:tcPr>
            <w:tcW w:w="1134" w:type="dxa"/>
          </w:tcPr>
          <w:p w:rsidR="00000000" w:rsidRDefault="00000000">
            <w:pPr>
              <w:spacing w:line="240" w:lineRule="auto"/>
              <w:jc w:val="right"/>
            </w:pPr>
            <w:r>
              <w:t>407,9</w:t>
            </w:r>
          </w:p>
        </w:tc>
        <w:tc>
          <w:tcPr>
            <w:tcW w:w="1134" w:type="dxa"/>
          </w:tcPr>
          <w:p w:rsidR="00000000" w:rsidRDefault="00000000">
            <w:pPr>
              <w:spacing w:line="240" w:lineRule="auto"/>
              <w:jc w:val="right"/>
            </w:pPr>
            <w:r>
              <w:t>371,6</w:t>
            </w:r>
          </w:p>
        </w:tc>
        <w:tc>
          <w:tcPr>
            <w:tcW w:w="1134" w:type="dxa"/>
          </w:tcPr>
          <w:p w:rsidR="00000000" w:rsidRDefault="00000000">
            <w:pPr>
              <w:spacing w:line="240" w:lineRule="auto"/>
              <w:jc w:val="right"/>
            </w:pPr>
            <w:r>
              <w:t>341,2</w:t>
            </w:r>
          </w:p>
        </w:tc>
        <w:tc>
          <w:tcPr>
            <w:tcW w:w="1134" w:type="dxa"/>
          </w:tcPr>
          <w:p w:rsidR="00000000" w:rsidRDefault="00000000">
            <w:pPr>
              <w:spacing w:line="240" w:lineRule="auto"/>
              <w:jc w:val="right"/>
            </w:pPr>
            <w:r>
              <w:t>10,1</w:t>
            </w:r>
          </w:p>
        </w:tc>
        <w:tc>
          <w:tcPr>
            <w:tcW w:w="993" w:type="dxa"/>
          </w:tcPr>
          <w:p w:rsidR="00000000" w:rsidRDefault="00000000">
            <w:pPr>
              <w:spacing w:line="240" w:lineRule="auto"/>
              <w:jc w:val="right"/>
            </w:pPr>
            <w:r>
              <w:t>7,4</w:t>
            </w:r>
          </w:p>
        </w:tc>
        <w:tc>
          <w:tcPr>
            <w:tcW w:w="950" w:type="dxa"/>
          </w:tcPr>
          <w:p w:rsidR="00000000" w:rsidRDefault="00000000">
            <w:pPr>
              <w:spacing w:line="240" w:lineRule="auto"/>
              <w:jc w:val="right"/>
            </w:pPr>
            <w:r>
              <w:t>6,3</w:t>
            </w:r>
          </w:p>
        </w:tc>
      </w:tr>
      <w:tr w:rsidR="00000000">
        <w:tblPrEx>
          <w:tblCellMar>
            <w:top w:w="0" w:type="dxa"/>
            <w:bottom w:w="0" w:type="dxa"/>
          </w:tblCellMar>
        </w:tblPrEx>
        <w:tc>
          <w:tcPr>
            <w:tcW w:w="2376" w:type="dxa"/>
          </w:tcPr>
          <w:p w:rsidR="00000000" w:rsidRDefault="00000000">
            <w:pPr>
              <w:spacing w:line="240" w:lineRule="auto"/>
              <w:jc w:val="both"/>
            </w:pPr>
            <w:r>
              <w:t>Украинцы</w:t>
            </w:r>
          </w:p>
        </w:tc>
        <w:tc>
          <w:tcPr>
            <w:tcW w:w="1134" w:type="dxa"/>
          </w:tcPr>
          <w:p w:rsidR="00000000" w:rsidRDefault="00000000">
            <w:pPr>
              <w:spacing w:line="240" w:lineRule="auto"/>
              <w:jc w:val="right"/>
            </w:pPr>
            <w:r>
              <w:t>52,2</w:t>
            </w:r>
          </w:p>
        </w:tc>
        <w:tc>
          <w:tcPr>
            <w:tcW w:w="1134" w:type="dxa"/>
          </w:tcPr>
          <w:p w:rsidR="00000000" w:rsidRDefault="00000000">
            <w:pPr>
              <w:spacing w:line="240" w:lineRule="auto"/>
              <w:jc w:val="right"/>
            </w:pPr>
            <w:r>
              <w:t>45,0</w:t>
            </w:r>
          </w:p>
        </w:tc>
        <w:tc>
          <w:tcPr>
            <w:tcW w:w="1134" w:type="dxa"/>
          </w:tcPr>
          <w:p w:rsidR="00000000" w:rsidRDefault="00000000">
            <w:pPr>
              <w:spacing w:line="240" w:lineRule="auto"/>
              <w:jc w:val="right"/>
            </w:pPr>
            <w:r>
              <w:t>52,4</w:t>
            </w:r>
          </w:p>
        </w:tc>
        <w:tc>
          <w:tcPr>
            <w:tcW w:w="1134" w:type="dxa"/>
          </w:tcPr>
          <w:p w:rsidR="00000000" w:rsidRDefault="00000000">
            <w:pPr>
              <w:spacing w:line="240" w:lineRule="auto"/>
              <w:jc w:val="right"/>
            </w:pPr>
            <w:r>
              <w:t>1,8</w:t>
            </w:r>
          </w:p>
        </w:tc>
        <w:tc>
          <w:tcPr>
            <w:tcW w:w="993" w:type="dxa"/>
          </w:tcPr>
          <w:p w:rsidR="00000000" w:rsidRDefault="00000000">
            <w:pPr>
              <w:spacing w:line="240" w:lineRule="auto"/>
              <w:jc w:val="right"/>
            </w:pPr>
            <w:r>
              <w:t>0,9</w:t>
            </w:r>
          </w:p>
        </w:tc>
        <w:tc>
          <w:tcPr>
            <w:tcW w:w="950" w:type="dxa"/>
          </w:tcPr>
          <w:p w:rsidR="00000000" w:rsidRDefault="00000000">
            <w:pPr>
              <w:spacing w:line="240" w:lineRule="auto"/>
              <w:jc w:val="right"/>
            </w:pPr>
            <w:r>
              <w:t>1,0</w:t>
            </w:r>
          </w:p>
        </w:tc>
      </w:tr>
      <w:tr w:rsidR="00000000">
        <w:tblPrEx>
          <w:tblCellMar>
            <w:top w:w="0" w:type="dxa"/>
            <w:bottom w:w="0" w:type="dxa"/>
          </w:tblCellMar>
        </w:tblPrEx>
        <w:tc>
          <w:tcPr>
            <w:tcW w:w="2376" w:type="dxa"/>
          </w:tcPr>
          <w:p w:rsidR="00000000" w:rsidRDefault="00000000">
            <w:pPr>
              <w:spacing w:line="240" w:lineRule="auto"/>
              <w:jc w:val="both"/>
            </w:pPr>
            <w:r>
              <w:t>Азербайджанцы</w:t>
            </w:r>
          </w:p>
        </w:tc>
        <w:tc>
          <w:tcPr>
            <w:tcW w:w="1134" w:type="dxa"/>
          </w:tcPr>
          <w:p w:rsidR="00000000" w:rsidRDefault="00000000">
            <w:pPr>
              <w:spacing w:line="240" w:lineRule="auto"/>
              <w:jc w:val="right"/>
            </w:pPr>
            <w:r>
              <w:t>153,6</w:t>
            </w:r>
          </w:p>
        </w:tc>
        <w:tc>
          <w:tcPr>
            <w:tcW w:w="1134" w:type="dxa"/>
          </w:tcPr>
          <w:p w:rsidR="00000000" w:rsidRDefault="00000000">
            <w:pPr>
              <w:spacing w:line="240" w:lineRule="auto"/>
              <w:jc w:val="right"/>
            </w:pPr>
            <w:r>
              <w:t>255,7</w:t>
            </w:r>
          </w:p>
        </w:tc>
        <w:tc>
          <w:tcPr>
            <w:tcW w:w="1134" w:type="dxa"/>
          </w:tcPr>
          <w:p w:rsidR="00000000" w:rsidRDefault="00000000">
            <w:pPr>
              <w:spacing w:line="240" w:lineRule="auto"/>
              <w:jc w:val="right"/>
            </w:pPr>
            <w:r>
              <w:t>307,6</w:t>
            </w:r>
          </w:p>
        </w:tc>
        <w:tc>
          <w:tcPr>
            <w:tcW w:w="1134" w:type="dxa"/>
          </w:tcPr>
          <w:p w:rsidR="00000000" w:rsidRDefault="00000000">
            <w:pPr>
              <w:spacing w:line="240" w:lineRule="auto"/>
              <w:jc w:val="right"/>
            </w:pPr>
            <w:r>
              <w:t>3,8</w:t>
            </w:r>
          </w:p>
        </w:tc>
        <w:tc>
          <w:tcPr>
            <w:tcW w:w="993" w:type="dxa"/>
          </w:tcPr>
          <w:p w:rsidR="00000000" w:rsidRDefault="00000000">
            <w:pPr>
              <w:spacing w:line="240" w:lineRule="auto"/>
              <w:jc w:val="right"/>
            </w:pPr>
            <w:r>
              <w:t>5,1</w:t>
            </w:r>
          </w:p>
        </w:tc>
        <w:tc>
          <w:tcPr>
            <w:tcW w:w="950" w:type="dxa"/>
          </w:tcPr>
          <w:p w:rsidR="00000000" w:rsidRDefault="00000000">
            <w:pPr>
              <w:spacing w:line="240" w:lineRule="auto"/>
              <w:jc w:val="right"/>
            </w:pPr>
            <w:r>
              <w:t>5,7</w:t>
            </w:r>
          </w:p>
        </w:tc>
      </w:tr>
      <w:tr w:rsidR="00000000">
        <w:tblPrEx>
          <w:tblCellMar>
            <w:top w:w="0" w:type="dxa"/>
            <w:bottom w:w="0" w:type="dxa"/>
          </w:tblCellMar>
        </w:tblPrEx>
        <w:tc>
          <w:tcPr>
            <w:tcW w:w="2376" w:type="dxa"/>
          </w:tcPr>
          <w:p w:rsidR="00000000" w:rsidRDefault="00000000">
            <w:pPr>
              <w:spacing w:line="240" w:lineRule="auto"/>
              <w:jc w:val="both"/>
            </w:pPr>
            <w:r>
              <w:t>Армяне</w:t>
            </w:r>
          </w:p>
        </w:tc>
        <w:tc>
          <w:tcPr>
            <w:tcW w:w="1134" w:type="dxa"/>
          </w:tcPr>
          <w:p w:rsidR="00000000" w:rsidRDefault="00000000">
            <w:pPr>
              <w:spacing w:line="240" w:lineRule="auto"/>
              <w:jc w:val="right"/>
            </w:pPr>
            <w:r>
              <w:t>442,9</w:t>
            </w:r>
          </w:p>
        </w:tc>
        <w:tc>
          <w:tcPr>
            <w:tcW w:w="1134" w:type="dxa"/>
          </w:tcPr>
          <w:p w:rsidR="00000000" w:rsidRDefault="00000000">
            <w:pPr>
              <w:spacing w:line="240" w:lineRule="auto"/>
              <w:jc w:val="right"/>
            </w:pPr>
            <w:r>
              <w:t>448,0</w:t>
            </w:r>
          </w:p>
        </w:tc>
        <w:tc>
          <w:tcPr>
            <w:tcW w:w="1134" w:type="dxa"/>
          </w:tcPr>
          <w:p w:rsidR="00000000" w:rsidRDefault="00000000">
            <w:pPr>
              <w:spacing w:line="240" w:lineRule="auto"/>
              <w:jc w:val="right"/>
            </w:pPr>
            <w:r>
              <w:t>437,2</w:t>
            </w:r>
          </w:p>
        </w:tc>
        <w:tc>
          <w:tcPr>
            <w:tcW w:w="1134" w:type="dxa"/>
          </w:tcPr>
          <w:p w:rsidR="00000000" w:rsidRDefault="00000000">
            <w:pPr>
              <w:spacing w:line="240" w:lineRule="auto"/>
              <w:jc w:val="right"/>
            </w:pPr>
            <w:r>
              <w:t>11,0</w:t>
            </w:r>
          </w:p>
        </w:tc>
        <w:tc>
          <w:tcPr>
            <w:tcW w:w="993" w:type="dxa"/>
          </w:tcPr>
          <w:p w:rsidR="00000000" w:rsidRDefault="00000000">
            <w:pPr>
              <w:spacing w:line="240" w:lineRule="auto"/>
              <w:jc w:val="right"/>
            </w:pPr>
            <w:r>
              <w:t>9,0</w:t>
            </w:r>
          </w:p>
        </w:tc>
        <w:tc>
          <w:tcPr>
            <w:tcW w:w="950" w:type="dxa"/>
          </w:tcPr>
          <w:p w:rsidR="00000000" w:rsidRDefault="00000000">
            <w:pPr>
              <w:spacing w:line="240" w:lineRule="auto"/>
              <w:jc w:val="right"/>
            </w:pPr>
            <w:r>
              <w:t>8,1</w:t>
            </w:r>
          </w:p>
        </w:tc>
      </w:tr>
      <w:tr w:rsidR="00000000">
        <w:tblPrEx>
          <w:tblCellMar>
            <w:top w:w="0" w:type="dxa"/>
            <w:bottom w:w="0" w:type="dxa"/>
          </w:tblCellMar>
        </w:tblPrEx>
        <w:tc>
          <w:tcPr>
            <w:tcW w:w="2376" w:type="dxa"/>
          </w:tcPr>
          <w:p w:rsidR="00000000" w:rsidRDefault="00000000">
            <w:pPr>
              <w:spacing w:line="240" w:lineRule="auto"/>
              <w:jc w:val="both"/>
            </w:pPr>
            <w:r>
              <w:t>Евреи</w:t>
            </w:r>
          </w:p>
        </w:tc>
        <w:tc>
          <w:tcPr>
            <w:tcW w:w="1134" w:type="dxa"/>
          </w:tcPr>
          <w:p w:rsidR="00000000" w:rsidRDefault="00000000">
            <w:pPr>
              <w:spacing w:line="240" w:lineRule="auto"/>
              <w:jc w:val="right"/>
            </w:pPr>
            <w:r>
              <w:t>51,6</w:t>
            </w:r>
          </w:p>
        </w:tc>
        <w:tc>
          <w:tcPr>
            <w:tcW w:w="1134" w:type="dxa"/>
          </w:tcPr>
          <w:p w:rsidR="00000000" w:rsidRDefault="00000000">
            <w:pPr>
              <w:spacing w:line="240" w:lineRule="auto"/>
              <w:jc w:val="right"/>
            </w:pPr>
            <w:r>
              <w:t>28,3</w:t>
            </w:r>
          </w:p>
        </w:tc>
        <w:tc>
          <w:tcPr>
            <w:tcW w:w="1134" w:type="dxa"/>
          </w:tcPr>
          <w:p w:rsidR="00000000" w:rsidRDefault="00000000">
            <w:pPr>
              <w:spacing w:line="240" w:lineRule="auto"/>
              <w:jc w:val="right"/>
            </w:pPr>
            <w:r>
              <w:t>24,8</w:t>
            </w:r>
          </w:p>
        </w:tc>
        <w:tc>
          <w:tcPr>
            <w:tcW w:w="1134" w:type="dxa"/>
          </w:tcPr>
          <w:p w:rsidR="00000000" w:rsidRDefault="00000000">
            <w:pPr>
              <w:spacing w:line="240" w:lineRule="auto"/>
              <w:jc w:val="right"/>
            </w:pPr>
            <w:r>
              <w:t>1,3</w:t>
            </w:r>
          </w:p>
        </w:tc>
        <w:tc>
          <w:tcPr>
            <w:tcW w:w="993" w:type="dxa"/>
          </w:tcPr>
          <w:p w:rsidR="00000000" w:rsidRDefault="00000000">
            <w:pPr>
              <w:spacing w:line="240" w:lineRule="auto"/>
              <w:jc w:val="right"/>
            </w:pPr>
            <w:r>
              <w:t>0,6</w:t>
            </w:r>
          </w:p>
        </w:tc>
        <w:tc>
          <w:tcPr>
            <w:tcW w:w="950" w:type="dxa"/>
          </w:tcPr>
          <w:p w:rsidR="00000000" w:rsidRDefault="00000000">
            <w:pPr>
              <w:spacing w:line="240" w:lineRule="auto"/>
              <w:jc w:val="right"/>
            </w:pPr>
            <w:r>
              <w:t>0,5</w:t>
            </w:r>
          </w:p>
        </w:tc>
      </w:tr>
      <w:tr w:rsidR="00000000">
        <w:tblPrEx>
          <w:tblCellMar>
            <w:top w:w="0" w:type="dxa"/>
            <w:bottom w:w="0" w:type="dxa"/>
          </w:tblCellMar>
        </w:tblPrEx>
        <w:tc>
          <w:tcPr>
            <w:tcW w:w="2376" w:type="dxa"/>
          </w:tcPr>
          <w:p w:rsidR="00000000" w:rsidRDefault="00000000">
            <w:pPr>
              <w:spacing w:line="240" w:lineRule="auto"/>
              <w:jc w:val="both"/>
            </w:pPr>
            <w:r>
              <w:t>Ассирийцы</w:t>
            </w:r>
          </w:p>
        </w:tc>
        <w:tc>
          <w:tcPr>
            <w:tcW w:w="1134" w:type="dxa"/>
          </w:tcPr>
          <w:p w:rsidR="00000000" w:rsidRDefault="00000000">
            <w:pPr>
              <w:spacing w:line="240" w:lineRule="auto"/>
              <w:jc w:val="right"/>
            </w:pPr>
            <w:r>
              <w:t>-</w:t>
            </w:r>
          </w:p>
        </w:tc>
        <w:tc>
          <w:tcPr>
            <w:tcW w:w="1134" w:type="dxa"/>
          </w:tcPr>
          <w:p w:rsidR="00000000" w:rsidRDefault="00000000">
            <w:pPr>
              <w:spacing w:line="240" w:lineRule="auto"/>
              <w:jc w:val="right"/>
            </w:pPr>
            <w:r>
              <w:t>5,3</w:t>
            </w:r>
          </w:p>
        </w:tc>
        <w:tc>
          <w:tcPr>
            <w:tcW w:w="1134" w:type="dxa"/>
          </w:tcPr>
          <w:p w:rsidR="00000000" w:rsidRDefault="00000000">
            <w:pPr>
              <w:spacing w:line="240" w:lineRule="auto"/>
              <w:jc w:val="right"/>
            </w:pPr>
            <w:r>
              <w:t>6,2</w:t>
            </w:r>
          </w:p>
        </w:tc>
        <w:tc>
          <w:tcPr>
            <w:tcW w:w="1134" w:type="dxa"/>
          </w:tcPr>
          <w:p w:rsidR="00000000" w:rsidRDefault="00000000">
            <w:pPr>
              <w:spacing w:line="240" w:lineRule="auto"/>
              <w:jc w:val="right"/>
            </w:pPr>
            <w:r>
              <w:t>-</w:t>
            </w:r>
          </w:p>
        </w:tc>
        <w:tc>
          <w:tcPr>
            <w:tcW w:w="993" w:type="dxa"/>
          </w:tcPr>
          <w:p w:rsidR="00000000" w:rsidRDefault="00000000">
            <w:pPr>
              <w:spacing w:line="240" w:lineRule="auto"/>
              <w:jc w:val="right"/>
            </w:pPr>
            <w:r>
              <w:t>0,1</w:t>
            </w:r>
          </w:p>
        </w:tc>
        <w:tc>
          <w:tcPr>
            <w:tcW w:w="950" w:type="dxa"/>
          </w:tcPr>
          <w:p w:rsidR="00000000" w:rsidRDefault="00000000">
            <w:pPr>
              <w:spacing w:line="240" w:lineRule="auto"/>
              <w:jc w:val="right"/>
            </w:pPr>
            <w:r>
              <w:t>0,1</w:t>
            </w:r>
          </w:p>
        </w:tc>
      </w:tr>
      <w:tr w:rsidR="00000000">
        <w:tblPrEx>
          <w:tblCellMar>
            <w:top w:w="0" w:type="dxa"/>
            <w:bottom w:w="0" w:type="dxa"/>
          </w:tblCellMar>
        </w:tblPrEx>
        <w:tc>
          <w:tcPr>
            <w:tcW w:w="2376" w:type="dxa"/>
          </w:tcPr>
          <w:p w:rsidR="00000000" w:rsidRDefault="00000000">
            <w:pPr>
              <w:spacing w:line="240" w:lineRule="auto"/>
              <w:jc w:val="both"/>
            </w:pPr>
            <w:r>
              <w:t>Греки</w:t>
            </w:r>
          </w:p>
        </w:tc>
        <w:tc>
          <w:tcPr>
            <w:tcW w:w="1134" w:type="dxa"/>
          </w:tcPr>
          <w:p w:rsidR="00000000" w:rsidRDefault="00000000">
            <w:pPr>
              <w:spacing w:line="240" w:lineRule="auto"/>
              <w:jc w:val="right"/>
            </w:pPr>
            <w:r>
              <w:t>72,9</w:t>
            </w:r>
          </w:p>
        </w:tc>
        <w:tc>
          <w:tcPr>
            <w:tcW w:w="1134" w:type="dxa"/>
          </w:tcPr>
          <w:p w:rsidR="00000000" w:rsidRDefault="00000000">
            <w:pPr>
              <w:spacing w:line="240" w:lineRule="auto"/>
              <w:jc w:val="right"/>
            </w:pPr>
            <w:r>
              <w:t>95,1</w:t>
            </w:r>
          </w:p>
        </w:tc>
        <w:tc>
          <w:tcPr>
            <w:tcW w:w="1134" w:type="dxa"/>
          </w:tcPr>
          <w:p w:rsidR="00000000" w:rsidRDefault="00000000">
            <w:pPr>
              <w:spacing w:line="240" w:lineRule="auto"/>
              <w:jc w:val="right"/>
            </w:pPr>
            <w:r>
              <w:t>100,3</w:t>
            </w:r>
          </w:p>
        </w:tc>
        <w:tc>
          <w:tcPr>
            <w:tcW w:w="1134" w:type="dxa"/>
          </w:tcPr>
          <w:p w:rsidR="00000000" w:rsidRDefault="00000000">
            <w:pPr>
              <w:spacing w:line="240" w:lineRule="auto"/>
              <w:jc w:val="right"/>
            </w:pPr>
            <w:r>
              <w:t>1,8</w:t>
            </w:r>
          </w:p>
        </w:tc>
        <w:tc>
          <w:tcPr>
            <w:tcW w:w="993" w:type="dxa"/>
          </w:tcPr>
          <w:p w:rsidR="00000000" w:rsidRDefault="00000000">
            <w:pPr>
              <w:spacing w:line="240" w:lineRule="auto"/>
              <w:jc w:val="right"/>
            </w:pPr>
            <w:r>
              <w:t>1,9</w:t>
            </w:r>
          </w:p>
        </w:tc>
        <w:tc>
          <w:tcPr>
            <w:tcW w:w="950" w:type="dxa"/>
          </w:tcPr>
          <w:p w:rsidR="00000000" w:rsidRDefault="00000000">
            <w:pPr>
              <w:spacing w:line="240" w:lineRule="auto"/>
              <w:jc w:val="right"/>
            </w:pPr>
            <w:r>
              <w:t>1,9</w:t>
            </w:r>
          </w:p>
        </w:tc>
      </w:tr>
      <w:tr w:rsidR="00000000">
        <w:tblPrEx>
          <w:tblCellMar>
            <w:top w:w="0" w:type="dxa"/>
            <w:bottom w:w="0" w:type="dxa"/>
          </w:tblCellMar>
        </w:tblPrEx>
        <w:tc>
          <w:tcPr>
            <w:tcW w:w="2376" w:type="dxa"/>
          </w:tcPr>
          <w:p w:rsidR="00000000" w:rsidRDefault="00000000">
            <w:pPr>
              <w:spacing w:line="240" w:lineRule="auto"/>
              <w:jc w:val="both"/>
            </w:pPr>
            <w:r>
              <w:t>Курды</w:t>
            </w:r>
          </w:p>
        </w:tc>
        <w:tc>
          <w:tcPr>
            <w:tcW w:w="1134" w:type="dxa"/>
          </w:tcPr>
          <w:p w:rsidR="00000000" w:rsidRDefault="00000000">
            <w:pPr>
              <w:spacing w:line="240" w:lineRule="auto"/>
              <w:jc w:val="right"/>
            </w:pPr>
            <w:r>
              <w:t>16,2</w:t>
            </w:r>
          </w:p>
        </w:tc>
        <w:tc>
          <w:tcPr>
            <w:tcW w:w="1134" w:type="dxa"/>
          </w:tcPr>
          <w:p w:rsidR="00000000" w:rsidRDefault="00000000">
            <w:pPr>
              <w:spacing w:line="240" w:lineRule="auto"/>
              <w:jc w:val="right"/>
            </w:pPr>
            <w:r>
              <w:t>25,7</w:t>
            </w:r>
          </w:p>
        </w:tc>
        <w:tc>
          <w:tcPr>
            <w:tcW w:w="1134" w:type="dxa"/>
          </w:tcPr>
          <w:p w:rsidR="00000000" w:rsidRDefault="00000000">
            <w:pPr>
              <w:spacing w:line="240" w:lineRule="auto"/>
              <w:jc w:val="right"/>
            </w:pPr>
            <w:r>
              <w:t>33,3</w:t>
            </w:r>
          </w:p>
        </w:tc>
        <w:tc>
          <w:tcPr>
            <w:tcW w:w="1134" w:type="dxa"/>
          </w:tcPr>
          <w:p w:rsidR="00000000" w:rsidRDefault="00000000">
            <w:pPr>
              <w:spacing w:line="240" w:lineRule="auto"/>
              <w:jc w:val="right"/>
            </w:pPr>
            <w:r>
              <w:t>0,4</w:t>
            </w:r>
          </w:p>
        </w:tc>
        <w:tc>
          <w:tcPr>
            <w:tcW w:w="993" w:type="dxa"/>
          </w:tcPr>
          <w:p w:rsidR="00000000" w:rsidRDefault="00000000">
            <w:pPr>
              <w:spacing w:line="240" w:lineRule="auto"/>
              <w:jc w:val="right"/>
            </w:pPr>
            <w:r>
              <w:t>0,5</w:t>
            </w:r>
          </w:p>
        </w:tc>
        <w:tc>
          <w:tcPr>
            <w:tcW w:w="950" w:type="dxa"/>
          </w:tcPr>
          <w:p w:rsidR="00000000" w:rsidRDefault="00000000">
            <w:pPr>
              <w:spacing w:line="240" w:lineRule="auto"/>
              <w:jc w:val="right"/>
            </w:pPr>
            <w:r>
              <w:t>0,6</w:t>
            </w:r>
          </w:p>
        </w:tc>
      </w:tr>
    </w:tbl>
    <w:p w:rsidR="00000000" w:rsidRDefault="00000000">
      <w:pPr>
        <w:jc w:val="both"/>
      </w:pPr>
    </w:p>
    <w:p w:rsidR="00000000" w:rsidRDefault="00000000"/>
    <w:p w:rsidR="00000000" w:rsidRDefault="00000000">
      <w:pPr>
        <w:pStyle w:val="BodyText"/>
        <w:jc w:val="left"/>
      </w:pPr>
      <w:r>
        <w:t>22.</w:t>
      </w:r>
      <w:r>
        <w:tab/>
        <w:t>Ни в советское время, ни в последующий период в Грузии не отмечалось признаков антисемитизма, столь часто становившегося основой для нарушений прав человека в СССР. Так, половина всех синагог, существовавших в Советском Союзе, была построена и функционирует в нашей стране. Примечательно, что в 70-е годы Грузия была единственной советской республикой, позволившей десяткам тысяч грузинских евреев эмигрировать в Израиль. В 1999 году грузинская общественность торжественно отметила 2600-летие поселения евреев в Грузии.</w:t>
      </w:r>
    </w:p>
    <w:p w:rsidR="00000000" w:rsidRDefault="00000000">
      <w:pPr>
        <w:jc w:val="both"/>
      </w:pPr>
    </w:p>
    <w:p w:rsidR="00000000" w:rsidRDefault="00000000">
      <w:pPr>
        <w:pStyle w:val="Heading6"/>
        <w:jc w:val="center"/>
        <w:rPr>
          <w:b w:val="0"/>
          <w:bCs/>
        </w:rPr>
      </w:pPr>
      <w:r>
        <w:rPr>
          <w:b w:val="0"/>
          <w:bCs/>
          <w:u w:val="none"/>
          <w:lang w:val="en-US"/>
        </w:rPr>
        <w:t>B</w:t>
      </w:r>
      <w:r>
        <w:rPr>
          <w:b w:val="0"/>
          <w:bCs/>
          <w:u w:val="none"/>
        </w:rPr>
        <w:t>.</w:t>
      </w:r>
      <w:r>
        <w:rPr>
          <w:b w:val="0"/>
          <w:bCs/>
          <w:u w:val="none"/>
        </w:rPr>
        <w:tab/>
      </w:r>
      <w:r>
        <w:rPr>
          <w:b w:val="0"/>
          <w:bCs/>
        </w:rPr>
        <w:t>Положение женщин</w:t>
      </w:r>
    </w:p>
    <w:p w:rsidR="00000000" w:rsidRDefault="00000000">
      <w:pPr>
        <w:jc w:val="both"/>
        <w:rPr>
          <w:bCs/>
        </w:rPr>
      </w:pPr>
    </w:p>
    <w:p w:rsidR="00000000" w:rsidRDefault="00000000">
      <w:r>
        <w:t>23.</w:t>
      </w:r>
      <w:r>
        <w:tab/>
        <w:t>22 сентября 1994 года Грузия присоединилась к Конвенции о ликвидации всех форм дискриминации женщин, тем самым взяв на себя обязательство выполнять ее положения и периодически представлять доклады соответствующему договорному органу Организации Объединенных Наций.  В 1998 году наша страна представила первоначальный доклад Комитету по ликвидации дискриминации в отношении женщин.  Доклад был рассмотрен Комитетом в июне 1999 года на его двадцать первой сессии.  Наряду с позитивной оценкой предпринятых Грузией мер по осуществлению Конвенции, Комитет представил ряд рекомендаций по вопросам, вызвавшим его озабоченность.  На основе этих рекомендаций Государственная комиссия по разработке политики в области развития женщин, созданная в феврале 1998 года, подготовила проект Указа Президента Грузии "О мерах по усилению защиты прав женщин в Грузии".  Проект был обсужден на заседании Правительства Грузии и подписан Президентом.  Согласно Указу, вышеупомянутой Государственной комиссии поручено осуществлять перманентный мониторинг "Национального плана действий по улучшению положения женщин" (принят в июне 1998 года согласно Распоряжению Президента страны), а также разработать "Национальную программу по борьбе с насилием против женщин, включая бытовое насилие".  Программа была разработана и в феврале 2000 года Президент Грузии издал Указ "Об утверждении плана борьбы против насилия в отношении женщин на 2000</w:t>
      </w:r>
      <w:r>
        <w:noBreakHyphen/>
        <w:t>2002 годы".</w:t>
      </w:r>
    </w:p>
    <w:p w:rsidR="00000000" w:rsidRDefault="00000000">
      <w:pPr>
        <w:jc w:val="both"/>
      </w:pPr>
    </w:p>
    <w:p w:rsidR="00000000" w:rsidRDefault="00000000">
      <w:pPr>
        <w:pStyle w:val="BodyText"/>
        <w:jc w:val="left"/>
      </w:pPr>
      <w:r>
        <w:t>24.</w:t>
      </w:r>
      <w:r>
        <w:tab/>
        <w:t>С 1997 года осуществляется совместный проект Правительства Грузии и Программы развития Организации Объединенных Наций "Женщины в развитии".  На первом этапе проекта (1998-1999 годы.) основное внимание было уделено вопросам преодоления стереотипных подходов к гендерной  проблематике, ознакомлению общества с самой сутью этих проблем и обеспечению более активного вовлечения женщин в социально-экономическую и политическую жизнь страны.  Реализация проекта содействовала росту в обществе интереса к проблемам женщин, учреждению Государственной комиссии по разработке политики в области развития женщин и ее деятельности и осуществлению "Национального плана действий…".  Несмотря на финансовые трудности, в бюджете на 2000 год предусмотрено долевое участие государства в этой программе (60 000 лари), что указывает на интерес государства к гендерной проблематике.</w:t>
      </w:r>
    </w:p>
    <w:p w:rsidR="00000000" w:rsidRDefault="00000000">
      <w:pPr>
        <w:jc w:val="both"/>
      </w:pPr>
    </w:p>
    <w:p w:rsidR="00000000" w:rsidRDefault="00000000">
      <w:pPr>
        <w:pStyle w:val="BodyText"/>
        <w:jc w:val="left"/>
      </w:pPr>
      <w:r>
        <w:t>25.</w:t>
      </w:r>
      <w:r>
        <w:tab/>
        <w:t>Основными проблемами, влияющими на осуществление прав женщин в Грузии, являются:</w:t>
      </w:r>
    </w:p>
    <w:p w:rsidR="00000000" w:rsidRDefault="00000000">
      <w:pPr>
        <w:pStyle w:val="BodyText"/>
        <w:jc w:val="left"/>
      </w:pPr>
    </w:p>
    <w:p w:rsidR="00000000" w:rsidRDefault="00000000">
      <w:pPr>
        <w:ind w:left="567"/>
        <w:jc w:val="both"/>
      </w:pPr>
      <w:r>
        <w:t>неадекватная представленность на уровне принятия решений, в структурах законодательной и исполнительной власти в центре и на местах (в судебной системе ситуация иная – около половины судейского корпуса составляют женщины);</w:t>
      </w:r>
    </w:p>
    <w:p w:rsidR="00000000" w:rsidRDefault="00000000">
      <w:pPr>
        <w:ind w:left="567"/>
        <w:jc w:val="both"/>
      </w:pPr>
    </w:p>
    <w:p w:rsidR="00000000" w:rsidRDefault="00000000">
      <w:pPr>
        <w:pStyle w:val="BodyTextIndent2"/>
      </w:pPr>
      <w:r>
        <w:t>возросший уровень бедности в переходный период, особенно среди лиц с фиксированным доходом – работников бюджетной сферы и пенсионеров – что, в частности, связано с кризисными явлениями в финансовой и бюджетной областях и многомесячной задолженностью государства по выплатам заработной платы и пенсий;</w:t>
      </w:r>
    </w:p>
    <w:p w:rsidR="00000000" w:rsidRDefault="00000000">
      <w:pPr>
        <w:pStyle w:val="BodyTextIndent2"/>
      </w:pPr>
    </w:p>
    <w:p w:rsidR="00000000" w:rsidRDefault="00000000">
      <w:pPr>
        <w:pStyle w:val="BodyTextIndent2"/>
      </w:pPr>
      <w:r>
        <w:t>более высокий уровень безработицы, чем у мужчин, наряду с практической невозможностью найти работу специалистам с высшим образованием (на рынке труда превалируют профессии сферы услуг и торговли, не требующие высокой квалификации);</w:t>
      </w:r>
    </w:p>
    <w:p w:rsidR="00000000" w:rsidRDefault="00000000">
      <w:pPr>
        <w:ind w:left="567"/>
        <w:jc w:val="both"/>
      </w:pPr>
    </w:p>
    <w:p w:rsidR="00000000" w:rsidRDefault="00000000">
      <w:pPr>
        <w:ind w:left="567"/>
        <w:jc w:val="both"/>
      </w:pPr>
      <w:r>
        <w:t>последствия внутренних конфликтов, в результате которых тысячи женщин оказались на положении перемещенных лиц;</w:t>
      </w:r>
    </w:p>
    <w:p w:rsidR="00000000" w:rsidRDefault="00000000">
      <w:pPr>
        <w:ind w:left="567"/>
        <w:jc w:val="both"/>
      </w:pPr>
    </w:p>
    <w:p w:rsidR="00000000" w:rsidRDefault="00000000">
      <w:pPr>
        <w:pStyle w:val="BodyTextIndent"/>
        <w:ind w:left="567" w:firstLine="0"/>
        <w:rPr>
          <w:sz w:val="24"/>
        </w:rPr>
      </w:pPr>
      <w:r>
        <w:rPr>
          <w:sz w:val="24"/>
        </w:rPr>
        <w:t>недостаточная осведомленность о своих правах и свободах и способах их защиты, правовая неграмотность в целом (что характерно и для мужчин).</w:t>
      </w:r>
    </w:p>
    <w:p w:rsidR="00000000" w:rsidRDefault="00000000">
      <w:pPr>
        <w:pStyle w:val="BodyTextIndent"/>
        <w:ind w:firstLine="0"/>
        <w:rPr>
          <w:sz w:val="24"/>
        </w:rPr>
      </w:pPr>
    </w:p>
    <w:p w:rsidR="00000000" w:rsidRDefault="00000000">
      <w:pPr>
        <w:pStyle w:val="BodyTextIndent"/>
        <w:spacing w:line="288" w:lineRule="auto"/>
        <w:ind w:firstLine="0"/>
        <w:jc w:val="left"/>
        <w:rPr>
          <w:sz w:val="24"/>
        </w:rPr>
      </w:pPr>
      <w:r>
        <w:rPr>
          <w:sz w:val="24"/>
        </w:rPr>
        <w:t>26.</w:t>
      </w:r>
      <w:r>
        <w:rPr>
          <w:sz w:val="24"/>
        </w:rPr>
        <w:tab/>
        <w:t>Подробная информация относительно недискриминационности грузинского законодательства, в том числе по признаку пола, положения дел с его реализацией на практике, деятельности учреждений, занимающихся проблемами женщин, о проблемах гендерного равенства и развития женщин в целом содержится в первоначальном докладе по Конвенции о ликвидации всех форм дискриминации в отношении женщин, а также в предварительном выступлении грузинской делегации при рассмотрении первоначального доклада в Комитете по ликвидации дискриминации в отношении женщин.  К настоящему докладу прилагаются оригиналы данных документов на русском языке.</w:t>
      </w:r>
    </w:p>
    <w:p w:rsidR="00000000" w:rsidRDefault="00000000">
      <w:pPr>
        <w:jc w:val="both"/>
      </w:pPr>
    </w:p>
    <w:p w:rsidR="00000000" w:rsidRDefault="00000000">
      <w:pPr>
        <w:jc w:val="center"/>
      </w:pPr>
      <w:r>
        <w:t>С.</w:t>
      </w:r>
      <w:r>
        <w:tab/>
      </w:r>
      <w:r>
        <w:rPr>
          <w:u w:val="single"/>
        </w:rPr>
        <w:t>Международные обязательства Грузии</w:t>
      </w:r>
    </w:p>
    <w:p w:rsidR="00000000" w:rsidRDefault="00000000"/>
    <w:p w:rsidR="00000000" w:rsidRDefault="00000000">
      <w:r>
        <w:t>27.</w:t>
      </w:r>
      <w:r>
        <w:tab/>
        <w:t>В соответствии со статьей 6 Конституции Грузии не противоречащие Основному закону международные договоры или соглашения Грузии "имеют преобладающую юридическую силу в отношении внутригосударственных нормативных актов" (пункт 2).  Данная конституционная норма установила как возможность непосредственного применения международного договора, так и определила место такого рода документа в иерархии действующих в Грузии правовых норм.</w:t>
      </w:r>
    </w:p>
    <w:p w:rsidR="00000000" w:rsidRDefault="00000000">
      <w:pPr>
        <w:jc w:val="both"/>
      </w:pPr>
    </w:p>
    <w:p w:rsidR="00000000" w:rsidRDefault="00000000">
      <w:r>
        <w:t>28.</w:t>
      </w:r>
      <w:r>
        <w:tab/>
        <w:t>Упомянутое положение Конституции было конкретизировано в законе "О нормативных актах", который признает международный договор Грузии ее нормативным актом.  Это означает, что международный договор нашей страны должен применяться, в частности судами, так же, как и внутригосударственный нормативный акт.  Подобно большинству европейских стран, в Грузии международный договор стоит на второй, после Конституции, ступени иерархии.</w:t>
      </w:r>
    </w:p>
    <w:p w:rsidR="00000000" w:rsidRDefault="00000000">
      <w:pPr>
        <w:jc w:val="both"/>
      </w:pPr>
    </w:p>
    <w:p w:rsidR="00000000" w:rsidRDefault="00000000">
      <w:r>
        <w:t>29.</w:t>
      </w:r>
      <w:r>
        <w:tab/>
        <w:t>Согласно закону "О международных договорах Грузии", международные договоры нашего государства после их подписания (ратификации) становятся частью внутреннего законодательства и в таком качестве могут применяться непосредственно, в случае, если не требуется  применения специальных мер по их осуществлению (статья 6, пункты 1 и 3).</w:t>
      </w:r>
    </w:p>
    <w:p w:rsidR="00000000" w:rsidRDefault="00000000">
      <w:pPr>
        <w:jc w:val="both"/>
      </w:pPr>
    </w:p>
    <w:p w:rsidR="00000000" w:rsidRDefault="00000000">
      <w:r>
        <w:t>30.</w:t>
      </w:r>
      <w:r>
        <w:tab/>
        <w:t>Таким образом, в случае коллизии между Конституцией Грузии и международным договором, преимущественную силу имеет Конституция.  Если возникает противоречие между международным договором Грузии и внутренним нормативным актом, приоритет будет отдан международному договору.</w:t>
      </w:r>
    </w:p>
    <w:p w:rsidR="00000000" w:rsidRDefault="00000000"/>
    <w:p w:rsidR="00000000" w:rsidRDefault="00000000">
      <w:pPr>
        <w:pStyle w:val="BodyText"/>
        <w:jc w:val="left"/>
      </w:pPr>
      <w:r>
        <w:t>31.</w:t>
      </w:r>
      <w:r>
        <w:tab/>
        <w:t>Грузия является участником следующих соответствующих международных договоров:</w:t>
      </w:r>
    </w:p>
    <w:p w:rsidR="00000000" w:rsidRDefault="00000000">
      <w:pPr>
        <w:pStyle w:val="BodyText"/>
        <w:jc w:val="left"/>
      </w:pPr>
    </w:p>
    <w:p w:rsidR="00000000" w:rsidRDefault="00000000">
      <w:pPr>
        <w:pStyle w:val="BodyTextIndent2"/>
        <w:tabs>
          <w:tab w:val="clear" w:pos="567"/>
          <w:tab w:val="left" w:pos="561"/>
        </w:tabs>
        <w:ind w:left="0" w:firstLine="567"/>
      </w:pPr>
      <w:r>
        <w:rPr>
          <w:lang w:val="en-US"/>
        </w:rPr>
        <w:t>a</w:t>
      </w:r>
      <w:r>
        <w:t>)</w:t>
      </w:r>
      <w:r>
        <w:tab/>
        <w:t>Конвенции о предупреждении преступления геноцида и наказании за него (вступившей в силу 11 октября 1993 года);</w:t>
      </w:r>
    </w:p>
    <w:p w:rsidR="00000000" w:rsidRDefault="00000000">
      <w:pPr>
        <w:pStyle w:val="BodyTextIndent2"/>
        <w:tabs>
          <w:tab w:val="clear" w:pos="567"/>
          <w:tab w:val="left" w:pos="561"/>
        </w:tabs>
        <w:ind w:left="1134" w:hanging="567"/>
      </w:pPr>
    </w:p>
    <w:p w:rsidR="00000000" w:rsidRDefault="00000000">
      <w:pPr>
        <w:pStyle w:val="BodyTextIndent2"/>
        <w:tabs>
          <w:tab w:val="clear" w:pos="567"/>
          <w:tab w:val="left" w:pos="561"/>
        </w:tabs>
        <w:ind w:left="0" w:firstLine="567"/>
      </w:pPr>
      <w:r>
        <w:rPr>
          <w:lang w:val="en-US"/>
        </w:rPr>
        <w:t>b</w:t>
      </w:r>
      <w:r>
        <w:t>)</w:t>
      </w:r>
      <w:r>
        <w:tab/>
        <w:t>Женевских конвенций от 12 августа 1949 года и Дополнительных протоколов к ним (вступивших в силу 14 марта 1994 года);</w:t>
      </w:r>
    </w:p>
    <w:p w:rsidR="00000000" w:rsidRDefault="00000000">
      <w:pPr>
        <w:pStyle w:val="BodyTextIndent2"/>
        <w:tabs>
          <w:tab w:val="clear" w:pos="567"/>
          <w:tab w:val="left" w:pos="561"/>
        </w:tabs>
        <w:ind w:left="1134" w:hanging="567"/>
      </w:pPr>
    </w:p>
    <w:p w:rsidR="00000000" w:rsidRDefault="00000000">
      <w:pPr>
        <w:tabs>
          <w:tab w:val="clear" w:pos="567"/>
          <w:tab w:val="left" w:pos="561"/>
        </w:tabs>
        <w:ind w:left="1134" w:hanging="567"/>
      </w:pPr>
      <w:r>
        <w:rPr>
          <w:lang w:val="en-US"/>
        </w:rPr>
        <w:t>c</w:t>
      </w:r>
      <w:r>
        <w:t>)</w:t>
      </w:r>
      <w:r>
        <w:tab/>
        <w:t>Конвенции о правах ребенка (вступившей в силу 2 июля 1994 года);</w:t>
      </w:r>
    </w:p>
    <w:p w:rsidR="00000000" w:rsidRDefault="00000000">
      <w:pPr>
        <w:tabs>
          <w:tab w:val="clear" w:pos="567"/>
          <w:tab w:val="left" w:pos="561"/>
        </w:tabs>
        <w:ind w:left="1134" w:hanging="567"/>
      </w:pPr>
    </w:p>
    <w:p w:rsidR="00000000" w:rsidRDefault="00000000">
      <w:pPr>
        <w:pStyle w:val="BodyText"/>
        <w:tabs>
          <w:tab w:val="clear" w:pos="567"/>
          <w:tab w:val="left" w:pos="561"/>
        </w:tabs>
        <w:ind w:firstLine="567"/>
        <w:jc w:val="left"/>
      </w:pPr>
      <w:r>
        <w:rPr>
          <w:lang w:val="en-US"/>
        </w:rPr>
        <w:t>d</w:t>
      </w:r>
      <w:r>
        <w:t>)</w:t>
      </w:r>
      <w:r>
        <w:tab/>
        <w:t>Международного пакта об экономических, социальных и культурных правах (вступившего в силу 3 августа 1994 года);</w:t>
      </w:r>
    </w:p>
    <w:p w:rsidR="00000000" w:rsidRDefault="00000000">
      <w:pPr>
        <w:pStyle w:val="BodyText"/>
        <w:tabs>
          <w:tab w:val="clear" w:pos="567"/>
          <w:tab w:val="left" w:pos="561"/>
        </w:tabs>
        <w:ind w:left="1134" w:hanging="567"/>
        <w:jc w:val="left"/>
      </w:pPr>
    </w:p>
    <w:p w:rsidR="00000000" w:rsidRDefault="00000000">
      <w:pPr>
        <w:pStyle w:val="BodyText"/>
        <w:tabs>
          <w:tab w:val="clear" w:pos="567"/>
          <w:tab w:val="left" w:pos="561"/>
        </w:tabs>
        <w:ind w:firstLine="567"/>
        <w:jc w:val="left"/>
      </w:pPr>
      <w:r>
        <w:rPr>
          <w:lang w:val="en-US"/>
        </w:rPr>
        <w:t>e</w:t>
      </w:r>
      <w:r>
        <w:t>)</w:t>
      </w:r>
      <w:r>
        <w:tab/>
        <w:t>Международного пакта о гражданских и политических правах (вступившего в силу 3 августа 1994 года);</w:t>
      </w:r>
    </w:p>
    <w:p w:rsidR="00000000" w:rsidRDefault="00000000">
      <w:pPr>
        <w:pStyle w:val="BodyText"/>
        <w:tabs>
          <w:tab w:val="clear" w:pos="567"/>
          <w:tab w:val="left" w:pos="561"/>
        </w:tabs>
        <w:ind w:left="1134" w:hanging="567"/>
        <w:jc w:val="left"/>
      </w:pPr>
    </w:p>
    <w:p w:rsidR="00000000" w:rsidRDefault="00000000">
      <w:pPr>
        <w:pStyle w:val="BodyText"/>
        <w:tabs>
          <w:tab w:val="clear" w:pos="567"/>
          <w:tab w:val="left" w:pos="561"/>
        </w:tabs>
        <w:ind w:firstLine="567"/>
        <w:jc w:val="left"/>
      </w:pPr>
      <w:r>
        <w:rPr>
          <w:lang w:val="en-US"/>
        </w:rPr>
        <w:t>f</w:t>
      </w:r>
      <w:r>
        <w:t>)</w:t>
      </w:r>
      <w:r>
        <w:tab/>
        <w:t>Факультативного протокола к Международному пакту о гражданских и политических правах (вступившего в силу 3 августа 1994 года);</w:t>
      </w:r>
    </w:p>
    <w:p w:rsidR="00000000" w:rsidRDefault="00000000">
      <w:pPr>
        <w:pStyle w:val="BodyText"/>
        <w:tabs>
          <w:tab w:val="clear" w:pos="567"/>
          <w:tab w:val="left" w:pos="561"/>
        </w:tabs>
        <w:ind w:left="1134" w:hanging="567"/>
        <w:jc w:val="left"/>
      </w:pPr>
    </w:p>
    <w:p w:rsidR="00000000" w:rsidRDefault="00000000">
      <w:pPr>
        <w:pStyle w:val="BodyText"/>
        <w:tabs>
          <w:tab w:val="clear" w:pos="567"/>
          <w:tab w:val="left" w:pos="561"/>
        </w:tabs>
        <w:ind w:firstLine="567"/>
        <w:jc w:val="left"/>
      </w:pPr>
      <w:r>
        <w:rPr>
          <w:lang w:val="en-US"/>
        </w:rPr>
        <w:t>g</w:t>
      </w:r>
      <w:r>
        <w:t>)</w:t>
      </w:r>
      <w:r>
        <w:tab/>
        <w:t>Второго факультативного протокола к Международному пакту о гражданских и политических правах (вступившего в силу 22 июня 1999 года);</w:t>
      </w:r>
    </w:p>
    <w:p w:rsidR="00000000" w:rsidRDefault="00000000">
      <w:pPr>
        <w:pStyle w:val="BodyText"/>
        <w:tabs>
          <w:tab w:val="clear" w:pos="567"/>
          <w:tab w:val="left" w:pos="561"/>
        </w:tabs>
        <w:ind w:left="1134" w:hanging="567"/>
        <w:jc w:val="left"/>
      </w:pPr>
    </w:p>
    <w:p w:rsidR="00000000" w:rsidRDefault="00000000">
      <w:pPr>
        <w:pStyle w:val="BodyText"/>
        <w:tabs>
          <w:tab w:val="clear" w:pos="567"/>
          <w:tab w:val="left" w:pos="561"/>
        </w:tabs>
        <w:ind w:firstLine="567"/>
        <w:jc w:val="left"/>
      </w:pPr>
      <w:r>
        <w:rPr>
          <w:lang w:val="en-US"/>
        </w:rPr>
        <w:t>h</w:t>
      </w:r>
      <w:r>
        <w:t>)</w:t>
      </w:r>
      <w:r>
        <w:tab/>
        <w:t>Конвенции о ликвидации всех форм дискриминации в отношении женщин (вступившей в силу 25 ноября 1994 года);</w:t>
      </w:r>
    </w:p>
    <w:p w:rsidR="00000000" w:rsidRDefault="00000000">
      <w:pPr>
        <w:pStyle w:val="BodyText"/>
        <w:tabs>
          <w:tab w:val="clear" w:pos="567"/>
          <w:tab w:val="left" w:pos="561"/>
        </w:tabs>
        <w:ind w:left="1134" w:hanging="567"/>
        <w:jc w:val="left"/>
      </w:pPr>
    </w:p>
    <w:p w:rsidR="00000000" w:rsidRDefault="00000000">
      <w:pPr>
        <w:pStyle w:val="BodyText"/>
        <w:tabs>
          <w:tab w:val="clear" w:pos="567"/>
          <w:tab w:val="left" w:pos="561"/>
        </w:tabs>
        <w:ind w:firstLine="567"/>
        <w:jc w:val="left"/>
      </w:pPr>
      <w:r>
        <w:rPr>
          <w:lang w:val="en-US"/>
        </w:rPr>
        <w:t>i</w:t>
      </w:r>
      <w:r>
        <w:t>)</w:t>
      </w:r>
      <w:r>
        <w:tab/>
        <w:t>Конвенции против пыток и других жестоких, бесчеловечных или унижающих достоинство видов обращения и наказания (вступившей в силу 25 ноября 1994 года);</w:t>
      </w:r>
    </w:p>
    <w:p w:rsidR="00000000" w:rsidRDefault="00000000">
      <w:pPr>
        <w:pStyle w:val="BodyText"/>
        <w:tabs>
          <w:tab w:val="clear" w:pos="567"/>
          <w:tab w:val="left" w:pos="561"/>
        </w:tabs>
        <w:ind w:left="1134" w:hanging="567"/>
        <w:jc w:val="left"/>
      </w:pPr>
    </w:p>
    <w:p w:rsidR="00000000" w:rsidRDefault="00000000">
      <w:pPr>
        <w:pStyle w:val="BodyText"/>
        <w:tabs>
          <w:tab w:val="clear" w:pos="567"/>
          <w:tab w:val="left" w:pos="561"/>
        </w:tabs>
        <w:ind w:firstLine="567"/>
        <w:jc w:val="left"/>
      </w:pPr>
      <w:r>
        <w:rPr>
          <w:lang w:val="en-US"/>
        </w:rPr>
        <w:t>j</w:t>
      </w:r>
      <w:r>
        <w:t>)</w:t>
      </w:r>
      <w:r>
        <w:tab/>
        <w:t>Конвенции о неприменимости срока давности к военным преступлениям и преступлениям против человечества (вступившей в силу 29 июня 1995 года);</w:t>
      </w:r>
    </w:p>
    <w:p w:rsidR="00000000" w:rsidRDefault="00000000">
      <w:pPr>
        <w:pStyle w:val="BodyText"/>
        <w:tabs>
          <w:tab w:val="clear" w:pos="567"/>
          <w:tab w:val="left" w:pos="561"/>
        </w:tabs>
        <w:ind w:left="1134" w:hanging="567"/>
        <w:jc w:val="left"/>
      </w:pPr>
    </w:p>
    <w:p w:rsidR="00000000" w:rsidRDefault="00000000">
      <w:pPr>
        <w:tabs>
          <w:tab w:val="clear" w:pos="567"/>
          <w:tab w:val="left" w:pos="561"/>
        </w:tabs>
        <w:ind w:firstLine="567"/>
      </w:pPr>
      <w:r>
        <w:rPr>
          <w:lang w:val="en-US"/>
        </w:rPr>
        <w:t>k</w:t>
      </w:r>
      <w:r>
        <w:t>)</w:t>
      </w:r>
      <w:r>
        <w:tab/>
        <w:t>Конвенции о статусе беженцев и Протокола, касающегося статуса беженцев (вступившей в силу 30 мая 1999 года);</w:t>
      </w:r>
    </w:p>
    <w:p w:rsidR="00000000" w:rsidRDefault="00000000">
      <w:pPr>
        <w:tabs>
          <w:tab w:val="clear" w:pos="567"/>
          <w:tab w:val="left" w:pos="561"/>
        </w:tabs>
        <w:ind w:left="1134" w:hanging="567"/>
      </w:pPr>
    </w:p>
    <w:p w:rsidR="00000000" w:rsidRDefault="00000000">
      <w:pPr>
        <w:tabs>
          <w:tab w:val="clear" w:pos="567"/>
          <w:tab w:val="left" w:pos="561"/>
        </w:tabs>
        <w:ind w:firstLine="567"/>
      </w:pPr>
      <w:r>
        <w:rPr>
          <w:lang w:val="en-US"/>
        </w:rPr>
        <w:t>l</w:t>
      </w:r>
      <w:r>
        <w:t>)</w:t>
      </w:r>
      <w:r>
        <w:tab/>
        <w:t>Конвенции о защите прав человека и основных свобод и Протоколов к ней № 2, 4, 6, 7 и 11 (вступивших в силу 20 мая 1999 года);</w:t>
      </w:r>
    </w:p>
    <w:p w:rsidR="00000000" w:rsidRDefault="00000000">
      <w:pPr>
        <w:tabs>
          <w:tab w:val="clear" w:pos="567"/>
          <w:tab w:val="left" w:pos="561"/>
        </w:tabs>
        <w:ind w:left="1134" w:hanging="567"/>
      </w:pPr>
    </w:p>
    <w:p w:rsidR="00000000" w:rsidRDefault="00000000">
      <w:pPr>
        <w:tabs>
          <w:tab w:val="clear" w:pos="567"/>
          <w:tab w:val="left" w:pos="561"/>
        </w:tabs>
        <w:ind w:left="1134" w:hanging="567"/>
      </w:pPr>
      <w:r>
        <w:rPr>
          <w:lang w:val="en-US"/>
        </w:rPr>
        <w:t>m</w:t>
      </w:r>
      <w:r>
        <w:t>)</w:t>
      </w:r>
      <w:r>
        <w:tab/>
        <w:t>Европейской культурной конвенции (вступившей в силу 25 апреля 1997 года);</w:t>
      </w:r>
    </w:p>
    <w:p w:rsidR="00000000" w:rsidRDefault="00000000">
      <w:pPr>
        <w:tabs>
          <w:tab w:val="clear" w:pos="567"/>
          <w:tab w:val="left" w:pos="561"/>
        </w:tabs>
        <w:ind w:left="1134" w:hanging="567"/>
      </w:pPr>
    </w:p>
    <w:p w:rsidR="00000000" w:rsidRDefault="00000000">
      <w:pPr>
        <w:pStyle w:val="BodyText"/>
        <w:tabs>
          <w:tab w:val="clear" w:pos="567"/>
          <w:tab w:val="left" w:pos="561"/>
        </w:tabs>
        <w:ind w:firstLine="567"/>
        <w:jc w:val="left"/>
      </w:pPr>
      <w:r>
        <w:rPr>
          <w:lang w:val="en-US"/>
        </w:rPr>
        <w:t>n</w:t>
      </w:r>
      <w:r>
        <w:t>)</w:t>
      </w:r>
      <w:r>
        <w:tab/>
        <w:t>Европейской конвенции о взаимной помощи по уголовным делам (вступившей в силу 11 января 2000 года).</w:t>
      </w:r>
    </w:p>
    <w:p w:rsidR="00000000" w:rsidRDefault="00000000"/>
    <w:p w:rsidR="00000000" w:rsidRDefault="00000000">
      <w:r>
        <w:t>32.</w:t>
      </w:r>
      <w:r>
        <w:tab/>
        <w:t>В качестве полноправного члена Совета Европы Грузия приняла на себя обязательство присоединиться также к следующим региональным договорам, затрагивающим сферу прав человека:</w:t>
      </w:r>
    </w:p>
    <w:p w:rsidR="00000000" w:rsidRDefault="00000000"/>
    <w:p w:rsidR="00000000" w:rsidRDefault="00000000">
      <w:r>
        <w:tab/>
      </w:r>
      <w:r>
        <w:rPr>
          <w:lang w:val="en-US"/>
        </w:rPr>
        <w:t>a</w:t>
      </w:r>
      <w:r>
        <w:t>)</w:t>
      </w:r>
      <w:r>
        <w:tab/>
        <w:t>Европейской конвенции по предупреждению пыток и бесчеловечных или унижающих достоинство видов обращения и наказания и Протоколам к ней (в течение одного года после вступления в Совет Европы);</w:t>
      </w:r>
    </w:p>
    <w:p w:rsidR="00000000" w:rsidRDefault="00000000"/>
    <w:p w:rsidR="00000000" w:rsidRDefault="00000000">
      <w:pPr>
        <w:pStyle w:val="BodyTextIndent"/>
        <w:tabs>
          <w:tab w:val="left" w:pos="1122"/>
        </w:tabs>
        <w:spacing w:line="288" w:lineRule="auto"/>
        <w:ind w:firstLine="567"/>
        <w:jc w:val="left"/>
        <w:rPr>
          <w:sz w:val="24"/>
        </w:rPr>
      </w:pPr>
      <w:r>
        <w:rPr>
          <w:sz w:val="24"/>
          <w:lang w:val="en-US"/>
        </w:rPr>
        <w:t>b</w:t>
      </w:r>
      <w:r>
        <w:rPr>
          <w:sz w:val="24"/>
        </w:rPr>
        <w:t>)</w:t>
      </w:r>
      <w:r>
        <w:rPr>
          <w:sz w:val="24"/>
        </w:rPr>
        <w:tab/>
        <w:t>Рамочной конвенции о защите национальных меньшинств (в течение одного года после вступления в Совет Европы).  Конвенция была подписана 21 января 2000 года и должна быть ратифицирована Парламентом;</w:t>
      </w:r>
    </w:p>
    <w:p w:rsidR="00000000" w:rsidRDefault="00000000">
      <w:pPr>
        <w:pStyle w:val="BodyTextIndent"/>
        <w:tabs>
          <w:tab w:val="left" w:pos="1122"/>
        </w:tabs>
        <w:spacing w:line="288" w:lineRule="auto"/>
        <w:ind w:firstLine="567"/>
        <w:jc w:val="left"/>
        <w:rPr>
          <w:sz w:val="24"/>
        </w:rPr>
      </w:pPr>
    </w:p>
    <w:p w:rsidR="00000000" w:rsidRDefault="00000000">
      <w:pPr>
        <w:pStyle w:val="BodyText"/>
        <w:jc w:val="left"/>
      </w:pPr>
      <w:r>
        <w:tab/>
      </w:r>
      <w:r>
        <w:rPr>
          <w:lang w:val="en-US"/>
        </w:rPr>
        <w:t>c</w:t>
      </w:r>
      <w:r>
        <w:t>)</w:t>
      </w:r>
      <w:r>
        <w:tab/>
        <w:t>Европейской хартии региональных языков или языков меньшинств (в течение одного года после вступления в Совет Европы);</w:t>
      </w:r>
    </w:p>
    <w:p w:rsidR="00000000" w:rsidRDefault="00000000">
      <w:pPr>
        <w:pStyle w:val="BodyText"/>
        <w:jc w:val="left"/>
      </w:pPr>
    </w:p>
    <w:p w:rsidR="00000000" w:rsidRDefault="00000000">
      <w:r>
        <w:tab/>
      </w:r>
      <w:r>
        <w:rPr>
          <w:lang w:val="en-US"/>
        </w:rPr>
        <w:t>d</w:t>
      </w:r>
      <w:r>
        <w:t>)</w:t>
      </w:r>
      <w:r>
        <w:tab/>
        <w:t>Европейской социальной хартии (пересмотренной) (в течение трех лет после вступления в Совет Европы).</w:t>
      </w:r>
    </w:p>
    <w:p w:rsidR="00000000" w:rsidRDefault="00000000">
      <w:pPr>
        <w:ind w:firstLine="720"/>
        <w:jc w:val="both"/>
      </w:pPr>
    </w:p>
    <w:p w:rsidR="00000000" w:rsidRDefault="00000000">
      <w:r>
        <w:t>33.</w:t>
      </w:r>
      <w:r>
        <w:tab/>
        <w:t>В связи с перспективой присоединения ко всем вышеупомянутым договорам начато осуществление соответствующих внутригосударственных процедур.</w:t>
      </w:r>
    </w:p>
    <w:p w:rsidR="00000000" w:rsidRDefault="00000000">
      <w:pPr>
        <w:ind w:firstLine="720"/>
        <w:jc w:val="both"/>
      </w:pPr>
    </w:p>
    <w:p w:rsidR="00000000" w:rsidRDefault="00000000">
      <w:pPr>
        <w:pStyle w:val="Heading7"/>
        <w:tabs>
          <w:tab w:val="left" w:pos="561"/>
        </w:tabs>
        <w:ind w:left="0" w:firstLine="0"/>
        <w:jc w:val="center"/>
        <w:rPr>
          <w:sz w:val="24"/>
          <w:u w:val="none"/>
        </w:rPr>
      </w:pPr>
      <w:r>
        <w:rPr>
          <w:sz w:val="24"/>
          <w:u w:val="none"/>
        </w:rPr>
        <w:t>ИНФОРМАЦИЯ ПО СТАТЬЯМ КОНВЕНЦИИ</w:t>
      </w:r>
    </w:p>
    <w:p w:rsidR="00000000" w:rsidRDefault="00000000">
      <w:pPr>
        <w:pStyle w:val="Heading1"/>
      </w:pPr>
    </w:p>
    <w:p w:rsidR="00000000" w:rsidRDefault="00000000">
      <w:pPr>
        <w:pStyle w:val="Heading1"/>
        <w:jc w:val="center"/>
        <w:rPr>
          <w:b w:val="0"/>
          <w:bCs/>
          <w:u w:val="single"/>
        </w:rPr>
      </w:pPr>
      <w:r>
        <w:rPr>
          <w:b w:val="0"/>
          <w:bCs/>
          <w:u w:val="single"/>
        </w:rPr>
        <w:t>Статья 2, пункт 1</w:t>
      </w:r>
    </w:p>
    <w:p w:rsidR="00000000" w:rsidRDefault="00000000">
      <w:pPr>
        <w:jc w:val="both"/>
      </w:pPr>
    </w:p>
    <w:p w:rsidR="00000000" w:rsidRDefault="00000000">
      <w:r>
        <w:t>34.</w:t>
      </w:r>
      <w:r>
        <w:tab/>
        <w:t>Основные права и свободы человека закреплены в главе II Конституции Грузии.  Согласно статье 7 Основного закона, Грузия признает и соблюдает основные права и свободы человека как непреходящие и высшие человеческие ценности.  При осуществлении власти народ и государство ограничены этими правами и свободами как непосредственно действующим правом.  Конституция Грузии не отвергает других общепризнанных прав, свобод и гарантий человека и гражданина, которые в ней не упомянуты, но сами по себе вытекают из принципов настоящей Конституции (статья 39).</w:t>
      </w:r>
    </w:p>
    <w:p w:rsidR="00000000" w:rsidRDefault="00000000">
      <w:pPr>
        <w:jc w:val="both"/>
      </w:pPr>
    </w:p>
    <w:p w:rsidR="00000000" w:rsidRDefault="00000000">
      <w:r>
        <w:t>35.</w:t>
      </w:r>
      <w:r>
        <w:tab/>
        <w:t>Статья 26 Конституции гласит, что "Все имеют право создавать общественные организации, … и объединяться в них" (пункт 1), "в соответствии с органическим законом граждане Грузии имеют право создавать политические партии, иные политические объединения и принимать участие в их деятельности" (пункт 2).</w:t>
      </w:r>
    </w:p>
    <w:p w:rsidR="00000000" w:rsidRDefault="00000000">
      <w:pPr>
        <w:jc w:val="both"/>
      </w:pPr>
    </w:p>
    <w:p w:rsidR="00000000" w:rsidRDefault="00000000">
      <w:r>
        <w:t>36.</w:t>
      </w:r>
      <w:r>
        <w:tab/>
        <w:t>Статья 26 Конституции особо оговаривает, что "не допускается создание и деятельность общественных и политических объединений, (…) разжигающих национальную, местническую, религиозную или социальную рознь" (пункт 3).  Приостановление или запрещение деятельности общественных и политических объединений возможно только по решению суда в случаях и порядке, установленных  законом (там же, пункт 6).</w:t>
      </w:r>
    </w:p>
    <w:p w:rsidR="00000000" w:rsidRDefault="00000000">
      <w:pPr>
        <w:jc w:val="both"/>
      </w:pPr>
    </w:p>
    <w:p w:rsidR="00000000" w:rsidRDefault="00000000">
      <w:r>
        <w:t>37.</w:t>
      </w:r>
      <w:r>
        <w:tab/>
        <w:t>В соответствии с Конституцией, во время чрезвычайного и военного положения Президент Грузии вправе ограничить в стране или в какой-либо ее части некоторые права и свободы, а именно:</w:t>
      </w:r>
    </w:p>
    <w:p w:rsidR="00000000" w:rsidRDefault="00000000">
      <w:pPr>
        <w:pStyle w:val="FootnoteText"/>
        <w:spacing w:line="288" w:lineRule="auto"/>
      </w:pPr>
    </w:p>
    <w:p w:rsidR="00000000" w:rsidRDefault="00000000">
      <w:pPr>
        <w:jc w:val="both"/>
      </w:pPr>
      <w:r>
        <w:tab/>
        <w:t>неприкосновенность личной свободы человека (статья 18);</w:t>
      </w:r>
    </w:p>
    <w:p w:rsidR="00000000" w:rsidRDefault="00000000">
      <w:pPr>
        <w:jc w:val="both"/>
      </w:pPr>
    </w:p>
    <w:p w:rsidR="00000000" w:rsidRDefault="00000000">
      <w:pPr>
        <w:jc w:val="both"/>
      </w:pPr>
      <w:r>
        <w:tab/>
        <w:t>неприкосновенность личной жизни (статья 20);</w:t>
      </w:r>
    </w:p>
    <w:p w:rsidR="00000000" w:rsidRDefault="00000000">
      <w:pPr>
        <w:jc w:val="both"/>
      </w:pPr>
    </w:p>
    <w:p w:rsidR="00000000" w:rsidRDefault="00000000">
      <w:pPr>
        <w:jc w:val="both"/>
      </w:pPr>
      <w:r>
        <w:tab/>
        <w:t>право собственности (статья 21);</w:t>
      </w:r>
    </w:p>
    <w:p w:rsidR="00000000" w:rsidRDefault="00000000">
      <w:pPr>
        <w:jc w:val="both"/>
      </w:pPr>
    </w:p>
    <w:p w:rsidR="00000000" w:rsidRDefault="00000000">
      <w:pPr>
        <w:jc w:val="both"/>
      </w:pPr>
      <w:r>
        <w:tab/>
        <w:t>свободу передвижения (статья 22);</w:t>
      </w:r>
    </w:p>
    <w:p w:rsidR="00000000" w:rsidRDefault="00000000">
      <w:pPr>
        <w:jc w:val="both"/>
      </w:pPr>
    </w:p>
    <w:p w:rsidR="00000000" w:rsidRDefault="00000000">
      <w:pPr>
        <w:jc w:val="both"/>
      </w:pPr>
      <w:r>
        <w:tab/>
        <w:t>свободу информации (статья 24);</w:t>
      </w:r>
    </w:p>
    <w:p w:rsidR="00000000" w:rsidRDefault="00000000">
      <w:pPr>
        <w:jc w:val="both"/>
      </w:pPr>
    </w:p>
    <w:p w:rsidR="00000000" w:rsidRDefault="00000000">
      <w:pPr>
        <w:jc w:val="both"/>
      </w:pPr>
      <w:r>
        <w:tab/>
        <w:t>свободу собраний (статья 25);</w:t>
      </w:r>
    </w:p>
    <w:p w:rsidR="00000000" w:rsidRDefault="00000000">
      <w:pPr>
        <w:jc w:val="both"/>
      </w:pPr>
    </w:p>
    <w:p w:rsidR="00000000" w:rsidRDefault="00000000">
      <w:pPr>
        <w:jc w:val="both"/>
      </w:pPr>
      <w:r>
        <w:tab/>
        <w:t>свободу труда (статья 30);</w:t>
      </w:r>
    </w:p>
    <w:p w:rsidR="00000000" w:rsidRDefault="00000000">
      <w:pPr>
        <w:jc w:val="both"/>
      </w:pPr>
    </w:p>
    <w:p w:rsidR="00000000" w:rsidRDefault="00000000">
      <w:pPr>
        <w:jc w:val="both"/>
      </w:pPr>
      <w:r>
        <w:tab/>
        <w:t>право на забастовку (статья 33);</w:t>
      </w:r>
    </w:p>
    <w:p w:rsidR="00000000" w:rsidRDefault="00000000">
      <w:pPr>
        <w:pStyle w:val="BodyTextIndent2"/>
        <w:ind w:left="0"/>
      </w:pPr>
    </w:p>
    <w:p w:rsidR="00000000" w:rsidRDefault="00000000">
      <w:pPr>
        <w:pStyle w:val="BodyTextIndent2"/>
        <w:ind w:left="0"/>
      </w:pPr>
      <w:r>
        <w:tab/>
        <w:t>право на доступ к имеющейся в официальных учреждениях информации (статья 41).</w:t>
      </w:r>
    </w:p>
    <w:p w:rsidR="00000000" w:rsidRDefault="00000000">
      <w:pPr>
        <w:pStyle w:val="BodyTextIndent2"/>
      </w:pPr>
    </w:p>
    <w:p w:rsidR="00000000" w:rsidRDefault="00000000">
      <w:pPr>
        <w:pStyle w:val="BodyText"/>
        <w:jc w:val="left"/>
      </w:pPr>
      <w:r>
        <w:t>При этом Президент обязан не позднее 48 часов внести это решение на утверждение Парламента (статья 46, пункт 1).  Осуществление любых иных прав и свобод, предусмотренных Конституцией, не может быть прекращено или ограничено ни при каких условиях.</w:t>
      </w:r>
    </w:p>
    <w:p w:rsidR="00000000" w:rsidRDefault="00000000">
      <w:pPr>
        <w:jc w:val="both"/>
      </w:pPr>
    </w:p>
    <w:p w:rsidR="00000000" w:rsidRDefault="00000000">
      <w:pPr>
        <w:pStyle w:val="BodyText"/>
        <w:jc w:val="left"/>
      </w:pPr>
      <w:r>
        <w:t>38.</w:t>
      </w:r>
      <w:r>
        <w:tab/>
        <w:t>Принципы равенства перед законом и равноправия, зафиксированные в статьях 14 и 38.  Конституции, находят четкое отражение в целом ряде других законодательных актов, которые более подробно обсуждаются в разделе настоящего доклада, посвященном статье 5.  Их обеспечение является обязанностью законодательной, исполнительной и судебной ветвей власти, а также местного самоуправления.</w:t>
      </w:r>
    </w:p>
    <w:p w:rsidR="00000000" w:rsidRDefault="00000000">
      <w:pPr>
        <w:jc w:val="both"/>
      </w:pPr>
    </w:p>
    <w:p w:rsidR="00000000" w:rsidRDefault="00000000">
      <w:r>
        <w:t>39.</w:t>
      </w:r>
      <w:r>
        <w:tab/>
        <w:t>Гражданский кодекс, формулируя общие принципы регистрации юридического лица, указывает, что цели этого последнего не должны "противоречить действующему праву, признанным нравственным нормам или конституционно-правовым принципам Грузии" (статья 31, пункт 2).  Лишь при соблюдении этого условия возможна регистрация юридического лица судом или министерством юстиции (в зависимости от организационной формы объединения - союза или фонда).</w:t>
      </w:r>
    </w:p>
    <w:p w:rsidR="00000000" w:rsidRDefault="00000000">
      <w:pPr>
        <w:jc w:val="both"/>
      </w:pPr>
    </w:p>
    <w:p w:rsidR="00000000" w:rsidRDefault="00000000">
      <w:r>
        <w:t>40.</w:t>
      </w:r>
      <w:r>
        <w:tab/>
        <w:t>Вопросы создания и деятельности политических партий регламентируются органическим законом Грузии "О политических объединениях граждан".  Согласно статье 5 (пункт 2) настоящего закона, не допускается создание и деятельность таких партий, целью которых, в частности, является "разжигание национальной, местнической, религиозной или социальной розни".  Не допускается создание партий по региональному или территориальному признаку (статья 6).</w:t>
      </w:r>
    </w:p>
    <w:p w:rsidR="00000000" w:rsidRDefault="00000000"/>
    <w:p w:rsidR="00000000" w:rsidRDefault="00000000">
      <w:r>
        <w:t>41.</w:t>
      </w:r>
      <w:r>
        <w:tab/>
        <w:t>Законом предусматривается порядок запрещения политической партии.  В соответствии со статьей 36 решение о запрещении партии может быть принято только Конституционным Судом Грузии.  Основанием для такого решения Конституционного Суда может, в частности, послужить деятельность партии, разжигающей национальную, местническую или социальную рознь (статья 36).</w:t>
      </w:r>
    </w:p>
    <w:p w:rsidR="00000000" w:rsidRDefault="00000000"/>
    <w:p w:rsidR="00000000" w:rsidRDefault="00000000">
      <w:r>
        <w:t>42.</w:t>
      </w:r>
      <w:r>
        <w:tab/>
        <w:t>В новом Уголовном кодексе Грузии содержится статья 252 –"Создание незаконного объединения, руководство (таким объединением) или участие в нем", – которая гласит:</w:t>
      </w:r>
    </w:p>
    <w:p w:rsidR="00000000" w:rsidRDefault="00000000"/>
    <w:p w:rsidR="00000000" w:rsidRDefault="00000000">
      <w:pPr>
        <w:pStyle w:val="BodyTextIndent3"/>
      </w:pPr>
      <w:r>
        <w:t>"1.</w:t>
      </w:r>
      <w:r>
        <w:tab/>
        <w:t>Создание такого религиозного, политического или общественного объединения, деятельность которого сопровождается насилием по отношению к человеку, или руководство таким объединением, наказывается штрафом или лишением свободы сроком до трех лет.</w:t>
      </w:r>
    </w:p>
    <w:p w:rsidR="00000000" w:rsidRDefault="00000000">
      <w:pPr>
        <w:pStyle w:val="BodyTextIndent3"/>
      </w:pPr>
    </w:p>
    <w:p w:rsidR="00000000" w:rsidRDefault="00000000">
      <w:pPr>
        <w:pStyle w:val="BodyTextIndent3"/>
      </w:pPr>
      <w:r>
        <w:t>2.</w:t>
      </w:r>
      <w:r>
        <w:tab/>
        <w:t>Участие в предусмотренном в первой части настоящей статьи объединении, - наказывается штрафом или лишением свободы сроком до двух лет".</w:t>
      </w:r>
    </w:p>
    <w:p w:rsidR="00000000" w:rsidRDefault="00000000">
      <w:pPr>
        <w:pStyle w:val="Heading6"/>
        <w:jc w:val="both"/>
      </w:pPr>
    </w:p>
    <w:p w:rsidR="00000000" w:rsidRDefault="00000000">
      <w:pPr>
        <w:pStyle w:val="Heading6"/>
        <w:jc w:val="center"/>
        <w:rPr>
          <w:b w:val="0"/>
          <w:bCs/>
        </w:rPr>
      </w:pPr>
      <w:r>
        <w:rPr>
          <w:b w:val="0"/>
          <w:bCs/>
        </w:rPr>
        <w:t>Статья 2, пункт 2</w:t>
      </w:r>
    </w:p>
    <w:p w:rsidR="00000000" w:rsidRDefault="00000000">
      <w:pPr>
        <w:pStyle w:val="FootnoteText"/>
        <w:spacing w:line="288" w:lineRule="auto"/>
        <w:rPr>
          <w:bCs/>
        </w:rPr>
      </w:pPr>
    </w:p>
    <w:p w:rsidR="00000000" w:rsidRDefault="00000000">
      <w:r>
        <w:t>43.</w:t>
      </w:r>
      <w:r>
        <w:tab/>
        <w:t>Положения, обеспечивающие адекватное развитие и защиту групп меньшинств, с целью гарантирования им полного и равного пользования правами человека и основными свободами, содержатся в Конституции.  Согласно статье 31 государство заботится о равномерном социально-экономическом развитии всей территории страны.  Законом установлены льготы, обеспечивающие социально-экономический прогресс высокогорных регионов.  В соответствии со статьей 34, государство способствует развитию культуры, создает условия для неограниченного участия граждан в культурной жизни, содействует проявлению и обогащению культурной самобытности, признанию национальных и общечеловеческих ценностей (пункт 1).</w:t>
      </w:r>
    </w:p>
    <w:p w:rsidR="00000000" w:rsidRDefault="00000000"/>
    <w:p w:rsidR="00000000" w:rsidRDefault="00000000">
      <w:r>
        <w:t>44.</w:t>
      </w:r>
      <w:r>
        <w:tab/>
        <w:t>В связи с положениями пункта 2 статьи 2 Конвенции следует сослаться также на статью 38 Конституции, приведенную в настоящем докладе выше (пункт 10).</w:t>
      </w:r>
    </w:p>
    <w:p w:rsidR="00000000" w:rsidRDefault="00000000"/>
    <w:p w:rsidR="00000000" w:rsidRDefault="00000000">
      <w:r>
        <w:t>45.</w:t>
      </w:r>
      <w:r>
        <w:tab/>
        <w:t>В течение нескольких лет в Грузии интенсивно дебатировался вопрос о принятии специального закона о национальных меньшинствах.  Соответствующий законопроект был подготовлен Комитетом по защите прав человека и межнациональным отношениям совместно с Центром по изучению межнациональных отношений Академии наук Грузии при участии представителей обществ меньшинств, и внесен на рассмотрение Парламента в 1994 году.  Однако вследствие расхождения мнений о необходимости и целесообразности принятия такого закона проект не получил одобрения законодателей.</w:t>
      </w:r>
    </w:p>
    <w:p w:rsidR="00000000" w:rsidRDefault="00000000"/>
    <w:p w:rsidR="00000000" w:rsidRDefault="00000000">
      <w:r>
        <w:t>46.</w:t>
      </w:r>
      <w:r>
        <w:tab/>
        <w:t>Став полноправным членом Совета Европы, Грузия поставила свою подпись  под Рамочной конвенцией о защите национальных меньшинств.  Наряду с иными обязательствами, это влечет за собой необходимость принятия в течение двух лет соответствующего внутригосударственного нормативного акта с учетом принципов Парламентской ассамблеи Совета Европы 1993 года.</w:t>
      </w:r>
    </w:p>
    <w:p w:rsidR="00000000" w:rsidRDefault="00000000"/>
    <w:p w:rsidR="00000000" w:rsidRDefault="00000000">
      <w:r>
        <w:t>47.</w:t>
      </w:r>
      <w:r>
        <w:tab/>
        <w:t>В структуре Парламента Грузии, работавшего в период 1995-1999 годов, функционировал Комитет по правам человека и вопросам национальных меньшинств.  Осознание важности той роли, которую призваны играть в жизни государства и общества национальные меньшинства, и необходимости более активно вовлекать эти группы в строительство подлинно демократической страны послужило отправной точкой для учреждения в высшем законодательном органе  новой для Грузии структуры – Комитета по гражданской интеграции.  Именно на него возлагается ответственность за обеспечение законодательного фона, на котором более активно будут развиваться интеграционные процессы в грузинском обществе и укрепятся предпосылки формирования гражданского общества.  Немаловажное значение имеет также  содействие более эффективному выполнению государством своих международных обязательств в сфере прав человека.</w:t>
      </w:r>
    </w:p>
    <w:p w:rsidR="00000000" w:rsidRDefault="00000000"/>
    <w:p w:rsidR="00000000" w:rsidRDefault="00000000">
      <w:r>
        <w:t>48.</w:t>
      </w:r>
      <w:r>
        <w:tab/>
        <w:t>После состоявшихся в ноябре 1998 года впервые в истории независимой Грузии выборов в местные органы власти во многих сакребуло (выборных органах на местах) были созданы комиссии по правам человека.</w:t>
      </w:r>
    </w:p>
    <w:p w:rsidR="00000000" w:rsidRDefault="00000000"/>
    <w:p w:rsidR="00000000" w:rsidRDefault="00000000">
      <w:r>
        <w:t>49.</w:t>
      </w:r>
      <w:r>
        <w:tab/>
        <w:t>В 1998 году решением Президента Грузии был учрежден пост помощника главы государства по вопросам межнациональных отношений.  Его занял известный в нашей стране ученый, профессор, этнический русский.  В рабочий аппарат помощника Президента вошли представители национальных меньшинств – армяне, азербайджанцы, русские – в том числе известные деятели культуры, бывшие члены Парламента.  В функции помощника Президента Грузии по вопросам межнациональных отношений в основном входит работа с общественными объединениями меньшинств и диаспорами в целом и поддержание контактов с грузинскими общинами за рубежом.  При отделе по вопросам межнациональных отношений администрации Президента создан сататбиро (совет) представителей национальных общин и общественных формирований, в котором объединились около 60 неправительственных организаций меньшинств.  За истекший период под эгидой помощника Президента прошел целый ряд встреч и "круглых столов" с представителями действующих в Грузии общественных объединений меньшинств, посвященных, в частности, вопросу о законе о защите национальных меньшинств.  Периодически организуется мониторинг ситуации, сложившейся в местах компактного расселения нетитульных этнических групп.</w:t>
      </w:r>
    </w:p>
    <w:p w:rsidR="00000000" w:rsidRDefault="00000000"/>
    <w:p w:rsidR="00000000" w:rsidRDefault="00000000">
      <w:r>
        <w:t>50.</w:t>
      </w:r>
      <w:r>
        <w:tab/>
        <w:t>Информация относительно других структур, в той или иной мере занимающихся проблемами меньшинств, содержится в разделе "Система защиты прав человека" Базового документа (пункты 114-121, 123).</w:t>
      </w:r>
    </w:p>
    <w:p w:rsidR="00000000" w:rsidRDefault="00000000"/>
    <w:p w:rsidR="00000000" w:rsidRDefault="00000000">
      <w:pPr>
        <w:pStyle w:val="Heading6"/>
        <w:jc w:val="center"/>
        <w:rPr>
          <w:b w:val="0"/>
          <w:bCs/>
        </w:rPr>
      </w:pPr>
      <w:r>
        <w:rPr>
          <w:b w:val="0"/>
          <w:bCs/>
        </w:rPr>
        <w:t>Статья 3</w:t>
      </w:r>
    </w:p>
    <w:p w:rsidR="00000000" w:rsidRDefault="00000000">
      <w:pPr>
        <w:rPr>
          <w:u w:val="single"/>
        </w:rPr>
      </w:pPr>
    </w:p>
    <w:p w:rsidR="00000000" w:rsidRDefault="00000000">
      <w:r>
        <w:t>51.</w:t>
      </w:r>
      <w:r>
        <w:tab/>
        <w:t xml:space="preserve"> Апартеид и расовая сегрегация, упомянутые в статье 3, абсолютно неизвестны в Грузии.  Здесь не существовало каких-либо законодательных норм или практики такого рода в прошлом, не существует и в настоящее время.  Исходя из исторических традиций грузинского народа, можно утверждать, что апартеид, расовая сегрегация или иные феномены подобного рода в нашей стране невозможны в принципе.</w:t>
      </w:r>
    </w:p>
    <w:p w:rsidR="00000000" w:rsidRDefault="00000000"/>
    <w:p w:rsidR="00000000" w:rsidRDefault="00000000">
      <w:r>
        <w:t>52.</w:t>
      </w:r>
      <w:r>
        <w:tab/>
        <w:t>Грузия осуждает расовую дискриминацию в любых ее формах и проявлениях.  Как отмечалось выше, внутреннее законодательство Грузии четко постулирует принципы равноправия и равенства перед законом граждан во всех сферах жизни, независимо от этнических или расовых корней и принадлежности.</w:t>
      </w:r>
    </w:p>
    <w:p w:rsidR="00000000" w:rsidRDefault="00000000"/>
    <w:p w:rsidR="00000000" w:rsidRDefault="00000000">
      <w:r>
        <w:t>53.</w:t>
      </w:r>
      <w:r>
        <w:tab/>
        <w:t>В соответствии с целями внешней политики Грузии, направленной на развитие взаимоотношений с зарубежными странами в интересах укрепления сотрудничества, доверия и взаимопонимания, а также принимая во внимание радикальные изменения в политической жизни Южно-Африканской Республики, Грузия признала это государство и установила с ней дипломатические отношения 23 апреля 1999 года на уровне посольств.</w:t>
      </w:r>
    </w:p>
    <w:p w:rsidR="00000000" w:rsidRDefault="00000000"/>
    <w:p w:rsidR="00000000" w:rsidRDefault="00000000">
      <w:r>
        <w:t>54.</w:t>
      </w:r>
      <w:r>
        <w:tab/>
        <w:t>Южно-Африканская Республика входит в число тех более чем ста государств, с которыми Грузия наладила внешнеэкономические связи.  Правда, интенсивными они не были – за период 1995-1998 годов общий объем товаров, импортированных в Грузию из Южно-Африканской Республики, составил в денежном выражении 34 000 долл. США.  В 1999 году этот показатель значительно возрос и составил 141 600 долларов.</w:t>
      </w:r>
    </w:p>
    <w:p w:rsidR="00000000" w:rsidRDefault="00000000"/>
    <w:p w:rsidR="00000000" w:rsidRDefault="00000000">
      <w:r>
        <w:t>55.</w:t>
      </w:r>
      <w:r>
        <w:tab/>
        <w:t>Грузия безусловно осуждает политику, идеологию и практику, влекущие за собой расовую ненависть или любую форму "этнической чистки", подобной той, что имела место в Абхазском регионе Грузии вследствие вооруженного конфликта 1992-1993 годов.  Сотни тысяч перемещенных лиц, значительное большинство которых составляют женщины, старики и дети, лишились крова и средств к существованию, превратились в изгнанников в собственной стране – таков итог осуществленной властями самопровозглашенной "республики Абхазии" политики "очищения" региона от грузин, а во многих случаях – и от представителей других национальностей.  Грузия однозначно полагает, что политика, в основе которой лежит расовая ненависть, посягает на сами основы прав человека и должна быть безусловно запрещена, осуждена и искоренена.</w:t>
      </w:r>
    </w:p>
    <w:p w:rsidR="00000000" w:rsidRDefault="00000000"/>
    <w:p w:rsidR="00000000" w:rsidRDefault="00000000">
      <w:pPr>
        <w:pStyle w:val="Heading6"/>
        <w:jc w:val="center"/>
        <w:rPr>
          <w:b w:val="0"/>
          <w:bCs/>
        </w:rPr>
      </w:pPr>
      <w:r>
        <w:rPr>
          <w:b w:val="0"/>
          <w:bCs/>
        </w:rPr>
        <w:t>Статья 4</w:t>
      </w:r>
    </w:p>
    <w:p w:rsidR="00000000" w:rsidRDefault="00000000"/>
    <w:p w:rsidR="00000000" w:rsidRDefault="00000000">
      <w:r>
        <w:t>56.</w:t>
      </w:r>
      <w:r>
        <w:tab/>
        <w:t>Как упоминалось выше, действия, направленные на нарушение равноправия людей вследствие расовой дискриминации, является уголовно наказуемым преступлением (статья 142 Уголовного кодекса).  В связи с положениями статьи 4 представляется целесообразным процитировать еще несколько статей Уголовного кодекса Грузии.  Здесь же отметим, что формулировки аналогичного содержания, но не полностью отвечающие требованиям Конвенции, присутствовали и в предыдущем уголовном законодательстве страны.</w:t>
      </w:r>
    </w:p>
    <w:p w:rsidR="00000000" w:rsidRDefault="00000000"/>
    <w:p w:rsidR="00000000" w:rsidRDefault="00000000">
      <w:r>
        <w:t>57.</w:t>
      </w:r>
      <w:r>
        <w:tab/>
        <w:t>Статья 408 Уголовного кодекса, касающаяся преступлений против человечности, устанавливает наказание в виде лишения свободы сроком  от восьми до двадцати лет или пожизненного заключения за совершение деяний, совершенных в рамках широкомасштабного или систематического нападения на гражданское население или отдельных лиц и осуществленных в форме убийств, массового уничтожения людей, депортации или иных бесчеловечных действий, наносящих серьезный ущерб физическому или психическому состоянию человека.</w:t>
      </w:r>
    </w:p>
    <w:p w:rsidR="00000000" w:rsidRDefault="00000000"/>
    <w:p w:rsidR="00000000" w:rsidRDefault="00000000">
      <w:r>
        <w:t>58.</w:t>
      </w:r>
      <w:r>
        <w:tab/>
        <w:t>В соответствии со статьей 407 Кодекса такие же санкции применяются в отношении лица или лиц, совершивших преступление геноцида, то есть "деяние, совершенное по согласованному плану с целью полного или частичного уничтожения какой-либо группы, объединенной по национальному, этническому, расовому, религиозному или иному признаку, в форме убийства членов группы, тяжкого повреждения их здоровья, умышленного создания тяжелых условий жизни, насильственного сокращения рождаемости или принудительной передачи ребенка из одной этнической группы в другую".</w:t>
      </w:r>
    </w:p>
    <w:p w:rsidR="00000000" w:rsidRDefault="00000000"/>
    <w:p w:rsidR="00000000" w:rsidRDefault="00000000">
      <w:r>
        <w:t>59.</w:t>
      </w:r>
      <w:r>
        <w:tab/>
        <w:t xml:space="preserve">В статье 411 Кодекса, посвященной умышленному нарушению норм международного гуманитарного права, в качестве одного из наказуемых деяний рассматривается "апартеид или иное основанное на расовой дискриминации действие, которое унижает человеческое достоинство" (пункт 1 </w:t>
      </w:r>
      <w:r>
        <w:rPr>
          <w:lang w:val="en-US"/>
        </w:rPr>
        <w:t>i)</w:t>
      </w:r>
      <w:r>
        <w:t>).  В этом случае предусматривается наказание в виде лишения свободы сроком от 10 до 15 лет.</w:t>
      </w:r>
    </w:p>
    <w:p w:rsidR="00000000" w:rsidRDefault="00000000"/>
    <w:p w:rsidR="00000000" w:rsidRDefault="00000000">
      <w:r>
        <w:t>60.</w:t>
      </w:r>
      <w:r>
        <w:tab/>
        <w:t>Выше в настоящем докладе подробно рассматривались соответствующие положения нормативных актов, направленных на предотвращение создания или деятельности общественных или политических  объединений, разжигающих расовую или иную подпадающую под определение пункта 1 статьи 1 Конвенции рознь.  В том же разделе доклада были обсуждены и механизмы прекращения и/или запрещения их деятельности.</w:t>
      </w:r>
    </w:p>
    <w:p w:rsidR="00000000" w:rsidRDefault="00000000"/>
    <w:p w:rsidR="00000000" w:rsidRDefault="00000000">
      <w:r>
        <w:t>61.</w:t>
      </w:r>
      <w:r>
        <w:tab/>
        <w:t>Судебная практика в связи с применением статей Уголовного кодекса, так или иначе охватывающих преступления на расовой почве, весьма ограничена, что объясняется традициями толерантности в грузинском обществе, о чем уже говорилось выше.  Тем не менее, один факт расистского выпада все же имел место и произвел шокирующее впечатление на всю общественность страны, единодушно осудившую его.</w:t>
      </w:r>
    </w:p>
    <w:p w:rsidR="00000000" w:rsidRDefault="00000000"/>
    <w:p w:rsidR="00000000" w:rsidRDefault="00000000">
      <w:r>
        <w:t>62.</w:t>
      </w:r>
      <w:r>
        <w:tab/>
        <w:t>В 1996 году в одной из малоизвестных грузинских газет была опубликована  по сути антисемитская и оскорбительная для грузинских евреев статья.  Немедленно после этого автор публикации г</w:t>
      </w:r>
      <w:r>
        <w:noBreakHyphen/>
        <w:t>н Г. Алазниспирели был привлечен к уголовной ответственности по статье 75 действовавшего тогда Кодекса ("за разжигание  национальной, этнической… розни").  Суд приговорил виновного к двум годам лишения свободы.</w:t>
      </w:r>
    </w:p>
    <w:p w:rsidR="00000000" w:rsidRDefault="00000000"/>
    <w:p w:rsidR="00000000" w:rsidRDefault="00000000">
      <w:r>
        <w:t>63.</w:t>
      </w:r>
      <w:r>
        <w:tab/>
        <w:t>По сведениям министерства внутренних дел, в 1998-1999 годах в Грузии не было возбуждено ни одного уголовного дела, связанного с совершением  преступления на расовой почве по смыслу положений Конвенции.</w:t>
      </w:r>
    </w:p>
    <w:p w:rsidR="00000000" w:rsidRDefault="00000000"/>
    <w:p w:rsidR="00000000" w:rsidRDefault="00000000">
      <w:pPr>
        <w:pStyle w:val="Heading6"/>
        <w:jc w:val="center"/>
        <w:rPr>
          <w:b w:val="0"/>
          <w:bCs/>
        </w:rPr>
      </w:pPr>
      <w:r>
        <w:rPr>
          <w:b w:val="0"/>
          <w:bCs/>
        </w:rPr>
        <w:t>Статья 5</w:t>
      </w:r>
    </w:p>
    <w:p w:rsidR="00000000" w:rsidRDefault="00000000"/>
    <w:p w:rsidR="00000000" w:rsidRDefault="00000000">
      <w:pPr>
        <w:ind w:left="567" w:hanging="567"/>
        <w:rPr>
          <w:u w:val="single"/>
        </w:rPr>
      </w:pPr>
      <w:r>
        <w:t>а)</w:t>
      </w:r>
      <w:r>
        <w:tab/>
      </w:r>
      <w:r>
        <w:rPr>
          <w:u w:val="single"/>
        </w:rPr>
        <w:t>Право на равенство перед судами и всеми другими органами, отправляющими правосудие</w:t>
      </w:r>
    </w:p>
    <w:p w:rsidR="00000000" w:rsidRDefault="00000000"/>
    <w:p w:rsidR="00000000" w:rsidRDefault="00000000">
      <w:r>
        <w:t>64.</w:t>
      </w:r>
      <w:r>
        <w:tab/>
        <w:t xml:space="preserve">Статья 42 Конституции Грузии гласит, в частности, следующее:  </w:t>
      </w:r>
    </w:p>
    <w:p w:rsidR="00000000" w:rsidRDefault="00000000"/>
    <w:p w:rsidR="00000000" w:rsidRDefault="00000000">
      <w:pPr>
        <w:ind w:left="567" w:hanging="567"/>
      </w:pPr>
      <w:r>
        <w:tab/>
        <w:t>"1.</w:t>
      </w:r>
      <w:r>
        <w:tab/>
        <w:t>Каждый человек имеет право обратиться в суд за защитой своих прав и свобод. (…)</w:t>
      </w:r>
    </w:p>
    <w:p w:rsidR="00000000" w:rsidRDefault="00000000"/>
    <w:p w:rsidR="00000000" w:rsidRDefault="00000000">
      <w:pPr>
        <w:ind w:left="567" w:hanging="567"/>
      </w:pPr>
      <w:r>
        <w:tab/>
        <w:t>9.</w:t>
      </w:r>
      <w:r>
        <w:tab/>
        <w:t xml:space="preserve">За счет государственных средств в судебном порядке всем гарантируется полное возмещение ущерба, незаконно нанесенного государственными органами, органами самоуправления, а также их служащими".  </w:t>
      </w:r>
    </w:p>
    <w:p w:rsidR="00000000" w:rsidRDefault="00000000">
      <w:pPr>
        <w:ind w:left="567" w:hanging="567"/>
      </w:pPr>
    </w:p>
    <w:p w:rsidR="00000000" w:rsidRDefault="00000000">
      <w:r>
        <w:t>Данное право входит в перечень норм Конституции, не подлежащих ограничению ни при каких условиях.</w:t>
      </w:r>
    </w:p>
    <w:p w:rsidR="00000000" w:rsidRDefault="00000000"/>
    <w:p w:rsidR="00000000" w:rsidRDefault="00000000">
      <w:r>
        <w:t>65.</w:t>
      </w:r>
      <w:r>
        <w:tab/>
        <w:t>Согласно закону "Об общих судах" "каждый человек вправе для защиты своих прав и свобод лично или через представителей прямо обращаться в суд" (статья 3, пункт 1), а "правосудие осуществляется на основе равенства перед законом и судом всех участвующих в деле лиц; судопроизводство осуществляется на основе равноправия и состязательности сторон" (статья 6, пункты 1 и 2).  Верховный Суд Грузии – суд высшей и последней инстанции по осуществлению правосудия на всей территории страны – реализует свои полномочия  на принципах равенства и состязательности сторон (закон "О Верховном Суде Грузии", статья  2).</w:t>
      </w:r>
    </w:p>
    <w:p w:rsidR="00000000" w:rsidRDefault="00000000"/>
    <w:p w:rsidR="00000000" w:rsidRDefault="00000000">
      <w:r>
        <w:t>66.</w:t>
      </w:r>
      <w:r>
        <w:tab/>
        <w:t>В соответствии с законом "О Конституционном Суде Грузии" физические лица Грузии и других государств, если они считают, что нарушены права и свободы, признанные главой II Конституции Грузии, правомочны подать в Конституционный Суд конституционный иск о конституционности нормативных актов или их отдельных норм, вступающих в противоречие с вышеупомянутой  главой Основного закона (статья 39, пункт 1).</w:t>
      </w:r>
    </w:p>
    <w:p w:rsidR="00000000" w:rsidRDefault="00000000">
      <w:pPr>
        <w:pStyle w:val="FootnoteText"/>
        <w:spacing w:line="288" w:lineRule="auto"/>
      </w:pPr>
    </w:p>
    <w:p w:rsidR="00000000" w:rsidRDefault="00000000">
      <w:r>
        <w:t>67.</w:t>
      </w:r>
      <w:r>
        <w:tab/>
        <w:t>Гражданский процессуальный кодекс предусматривает, в частности, следующее:</w:t>
      </w:r>
    </w:p>
    <w:p w:rsidR="00000000" w:rsidRDefault="00000000"/>
    <w:p w:rsidR="00000000" w:rsidRDefault="00000000">
      <w:pPr>
        <w:ind w:left="567"/>
      </w:pPr>
      <w:r>
        <w:t>любому лицу обеспечивается защита его прав в судебном порядке.  К рассмотрению дела суд приступает по заявлению лица, обратившемуся к нему за защитой своего права или предусмотренных законом интересов (статья 2, пункт 1);</w:t>
      </w:r>
    </w:p>
    <w:p w:rsidR="00000000" w:rsidRDefault="00000000">
      <w:pPr>
        <w:pStyle w:val="BodyTextIndent"/>
        <w:ind w:left="567" w:firstLine="0"/>
        <w:jc w:val="left"/>
        <w:rPr>
          <w:sz w:val="24"/>
        </w:rPr>
      </w:pPr>
    </w:p>
    <w:p w:rsidR="00000000" w:rsidRDefault="00000000">
      <w:pPr>
        <w:pStyle w:val="BodyTextIndent"/>
        <w:spacing w:line="288" w:lineRule="auto"/>
        <w:ind w:left="567" w:firstLine="0"/>
        <w:jc w:val="left"/>
        <w:rPr>
          <w:sz w:val="24"/>
        </w:rPr>
      </w:pPr>
      <w:r>
        <w:rPr>
          <w:sz w:val="24"/>
        </w:rPr>
        <w:t>правосудие по гражданским делам осуществляется только судом на основе принципа равенства всех лиц перед законом и судом (статья 5).</w:t>
      </w:r>
    </w:p>
    <w:p w:rsidR="00000000" w:rsidRDefault="00000000"/>
    <w:p w:rsidR="00000000" w:rsidRDefault="00000000">
      <w:r>
        <w:t>68.</w:t>
      </w:r>
      <w:r>
        <w:tab/>
        <w:t>В статье 9 (пункт 1) Уголовно-процессуального кодекса подчеркивается, что "все равны перед законом и судом, независимо  от расы, национальности, языка, пола, социального происхождения, имущественного и должностного положения, места жительства, отношения к религии, вероисповедания, а также иных обстоятельств".  Рассмотрение уголовных дел во всех судах открытое (там же, статья 16, пункт 1).</w:t>
      </w:r>
    </w:p>
    <w:p w:rsidR="00000000" w:rsidRDefault="00000000"/>
    <w:p w:rsidR="00000000" w:rsidRDefault="00000000">
      <w:r>
        <w:t>69.</w:t>
      </w:r>
      <w:r>
        <w:tab/>
        <w:t>И в уголовном, и в гражданском судопроизводстве Грузии используется грузинский язык, а в Абхазии – также абхазский.  Вместе с тем как Уголовный, так и Гражданский процессуальный кодекс предусматривают для лица, не владеющего языком судопроизводства, возможность пользоваться услугами переводчика (статья 17 Уголовно-процессуального кодекса, статья 9 Гражданского процессуального кодекса).  В уголовном процессе, помимо сказанного, участнику процесса или обвиняемому все полагаемые по закону судебные или следственные документы должны быть переданы в переводе на родной язык или язык, которым он владеет.</w:t>
      </w:r>
    </w:p>
    <w:p w:rsidR="00000000" w:rsidRDefault="00000000"/>
    <w:p w:rsidR="00000000" w:rsidRDefault="00000000">
      <w:r>
        <w:t>70.</w:t>
      </w:r>
      <w:r>
        <w:tab/>
        <w:t>В области гражданского права имеют место случаи, когда гражданин оказывается не в состоянии реализовать свое право на доступ к суду ввиду невозможности нести судебные издержки.  Хотя суды имеют процессуальное право освобождать наиболее нуждающихся граждан от уплаты государственной пошлины, а также, в случае необходимости, нанимать за счет государства адвоката (Гражданский процессуальный кодекс, статья 47, пункты 1 и 2), на практике это происходит весьма редко.  Интересно отметить, что несколько неправительственных организаций осуществляют программы по предоставлению бесплатной правовой помощи социально незащищенным лицам.  В рамках программы "Адвокат города" в столице Грузии организованы круглосуточные дежурства профессиональных адвокатов в отделениях полиции с целью оперативного оказания задержанным и арестованным правовой помощи, а также соблюдения их прав.  Работа этих адвокатов оплачивается из городского бюджета.</w:t>
      </w:r>
    </w:p>
    <w:p w:rsidR="00000000" w:rsidRDefault="00000000"/>
    <w:p w:rsidR="00000000" w:rsidRDefault="00000000">
      <w:pPr>
        <w:ind w:left="567" w:hanging="567"/>
        <w:rPr>
          <w:u w:val="single"/>
        </w:rPr>
      </w:pPr>
      <w:r>
        <w:rPr>
          <w:lang w:val="en-US"/>
        </w:rPr>
        <w:t>b</w:t>
      </w:r>
      <w:r>
        <w:t>)</w:t>
      </w:r>
      <w:r>
        <w:tab/>
      </w:r>
      <w:r>
        <w:rPr>
          <w:u w:val="single"/>
        </w:rPr>
        <w:t>Право на личную безопасность и защиту со стороны государства от насилия или телесных повреждений</w:t>
      </w:r>
    </w:p>
    <w:p w:rsidR="00000000" w:rsidRDefault="00000000"/>
    <w:p w:rsidR="00000000" w:rsidRDefault="00000000">
      <w:r>
        <w:t>71.</w:t>
      </w:r>
      <w:r>
        <w:tab/>
        <w:t>В соответствии со статьей 13 Конституции Грузия обеспечивает защиту своим гражданам независимо от их местопребывания.</w:t>
      </w:r>
    </w:p>
    <w:p w:rsidR="00000000" w:rsidRDefault="00000000"/>
    <w:p w:rsidR="00000000" w:rsidRDefault="00000000">
      <w:r>
        <w:t>72.</w:t>
      </w:r>
      <w:r>
        <w:tab/>
        <w:t>Статья 18 Конституции закрепляет право каждого человека на свободу и личную неприкосновенность.  Не допускается лишение или иное ограничение личной свободы без решения суда.  Нарушение требований данной статьи карается по закону, а незаконно задержанное или арестованное лицо имеет право на компенсацию.</w:t>
      </w:r>
    </w:p>
    <w:p w:rsidR="00000000" w:rsidRDefault="00000000"/>
    <w:p w:rsidR="00000000" w:rsidRDefault="00000000">
      <w:r>
        <w:t>73.</w:t>
      </w:r>
      <w:r>
        <w:tab/>
        <w:t>В Конституции особо оговаривается, что "жизнь – неприкосновенное право человека, и оно защищено законом" (статья 15, пункт 1).  Запрещается пытка человека, негуманное, жестокое, унижающее его достоинство обращение или наказание (статья 17, пункт 2).</w:t>
      </w:r>
    </w:p>
    <w:p w:rsidR="00000000" w:rsidRDefault="00000000"/>
    <w:p w:rsidR="00000000" w:rsidRDefault="00000000">
      <w:r>
        <w:t>74.</w:t>
      </w:r>
      <w:r>
        <w:tab/>
        <w:t>Обязательство соблюдать право на личную безопасность и защиту человека от насилия государство осуществляет также в рамках своих международных обязательств в сфере прав человека как участник Международного пакта о гражданских и политических правах, Конвенции против пыток и Европейской конвенции о защите прав человека и основных свобод.</w:t>
      </w:r>
    </w:p>
    <w:p w:rsidR="00000000" w:rsidRDefault="00000000"/>
    <w:p w:rsidR="00000000" w:rsidRDefault="00000000">
      <w:r>
        <w:t>75.</w:t>
      </w:r>
      <w:r>
        <w:tab/>
        <w:t xml:space="preserve">11 ноября 1997 года в Грузии была официально отменена смертная казнь.  В последний раз она была приведена в исполнение в феврале 1995 года.  Действующий Уголовный кодекс предусматривает в качестве высшей меры наказания пожизненное заключение (статья 40, пункт </w:t>
      </w:r>
      <w:r>
        <w:rPr>
          <w:lang w:val="en-US"/>
        </w:rPr>
        <w:t>k</w:t>
      </w:r>
      <w:r>
        <w:t>));  для несовершеннолетних в возрасте до 16 лет – лишение свободы сроком до 10 лет;  в возрасте 16-18 лет за совершение особо тяжкого преступления – свыше 10, но не более 15 лет лишения свободы (там же, статья 88, пункты 1 и 2).</w:t>
      </w:r>
    </w:p>
    <w:p w:rsidR="00000000" w:rsidRDefault="00000000"/>
    <w:p w:rsidR="00000000" w:rsidRDefault="00000000">
      <w:r>
        <w:t>76.</w:t>
      </w:r>
      <w:r>
        <w:tab/>
        <w:t>В Уголовном кодексе содержится раздел "Преступления против человека", состоящий из следующих глав:  "Преступления против жизни" (статьи 108-116), "Преступления против здоровья" (статьи 117-126), "Создание угрозы для жизни и здоровья человека" (статьи 127-136).  Кодекс признает уголовно наказуемым деянием насильственные действия в отношении человеческой личности, предусматривая за них соответствующие санкции.  К числу наиболее тяжких преступлений относятся убийство, совершенное умышленно или при отягчающих обстоятельствах, умышленное нанесение тяжких или менее тяжких телесных повреждений, групповое изнасилование или изнасилование несовершеннолетнего лица.  Наказание за совершение насильственных преступлений варьируется в пределах от трех лет лишения свободы (за умышленное нанесение менее тяжких телесных повреждений) до пожизненного заключения (за умышленное убийство при отягчающих обстоятельствах).</w:t>
      </w:r>
    </w:p>
    <w:p w:rsidR="00000000" w:rsidRDefault="00000000"/>
    <w:p w:rsidR="00000000" w:rsidRDefault="00000000">
      <w:r>
        <w:t>77.</w:t>
      </w:r>
      <w:r>
        <w:tab/>
        <w:t>Согласно принципам грузинского законодательства началом жизни человека считается тот момент процесса родов, когда происходит отделение ребенка от материнского чрева.  Поэтому об убийстве человека можно говорить лишь с того момента, когда плод хотя бы частично отделяется от чрева матери, даже если он еще не дышит. Соответственно законодательство Грузии не предусматривает какой-либо ответственности за искусственное прерывание беременности при соблюдении предусмотренных законом условий.  В то же время статья 133 Уголовного кодекса предусматривает санкции, в том числе в виде лишения свободы, за осуществление незаконного аборта.</w:t>
      </w:r>
    </w:p>
    <w:p w:rsidR="00000000" w:rsidRDefault="00000000"/>
    <w:p w:rsidR="00000000" w:rsidRDefault="00000000">
      <w:r>
        <w:t>78.</w:t>
      </w:r>
      <w:r>
        <w:tab/>
        <w:t>В Грузии убийство не допускается даже по желанию жертвы.  Согласно статье 110 Уголовного кодекса, озаглавленной "Убийство по просьбе жертвы", эвтаназия приравнивается к убийству и карается лишением свободы сроком до трех лет.</w:t>
      </w:r>
    </w:p>
    <w:p w:rsidR="00000000" w:rsidRDefault="00000000"/>
    <w:p w:rsidR="00000000" w:rsidRDefault="00000000">
      <w:r>
        <w:t>79.</w:t>
      </w:r>
      <w:r>
        <w:tab/>
        <w:t>Даже при наличии внешних признаков преступления против личности не считается противоправным действие, совершенное в пределах необходимой обороны (статья 28 Уголовного кодекса).  В то же время караемыми по закону преступлениями признаются совершенные при превышении пределов необходимой обороны убийство и нанесение тяжких или менее тяжких телесных повреждений (статьи 113 и 122).</w:t>
      </w:r>
    </w:p>
    <w:p w:rsidR="00000000" w:rsidRDefault="00000000"/>
    <w:p w:rsidR="00000000" w:rsidRDefault="00000000">
      <w:r>
        <w:t>80.</w:t>
      </w:r>
      <w:r>
        <w:tab/>
        <w:t>Вопросы применения в случае необходимости оружия работниками правоохранительных органов регламентируются статьей 13 закона Грузии "О полиции".  Уголовный кодекс (статья 29, пункт 1) не признает противоправным действие, направленное на захват преступника без превышения пределов принуждения, требуемого для передачи его органам власти.  Вместе с тем к числу уголовно наказуемых деяний отнесены совершенные при захвате преступника убийство либо нанесение тяжких или менее тяжких телесных повреждений в случае превышения пределов применения силы (статьи 114 и 123).</w:t>
      </w:r>
    </w:p>
    <w:p w:rsidR="00000000" w:rsidRDefault="00000000"/>
    <w:p w:rsidR="00000000" w:rsidRDefault="00000000">
      <w:r>
        <w:t>81.</w:t>
      </w:r>
      <w:r>
        <w:tab/>
        <w:t>За период 1988-1998 годов в результате применения оружия полицией (милицией) погибло 26 человек.  Расследование показало, что в трех случаях были превышены пределы применения силы, необходимой для задержания преступника.  Всего за этот период полиция применяла огнестрельное оружие 63 раза; в 18 случаях применение оружия было признано неправомерным.</w:t>
      </w:r>
    </w:p>
    <w:p w:rsidR="00000000" w:rsidRDefault="00000000"/>
    <w:p w:rsidR="00000000" w:rsidRDefault="00000000">
      <w:pPr>
        <w:pStyle w:val="BodyTextIndent"/>
        <w:spacing w:line="288" w:lineRule="auto"/>
        <w:ind w:firstLine="0"/>
        <w:jc w:val="left"/>
        <w:rPr>
          <w:sz w:val="24"/>
        </w:rPr>
      </w:pPr>
      <w:r>
        <w:rPr>
          <w:sz w:val="24"/>
        </w:rPr>
        <w:t>82.</w:t>
      </w:r>
      <w:r>
        <w:rPr>
          <w:sz w:val="24"/>
        </w:rPr>
        <w:tab/>
        <w:t>В контексте данной статьи Конвенции особое внимание следует уделить положению в связи с проблемой Абхазии.  После завершения вооруженного конфликта 1992</w:t>
      </w:r>
      <w:r>
        <w:rPr>
          <w:sz w:val="24"/>
        </w:rPr>
        <w:noBreakHyphen/>
        <w:t>1993 годов руководство самопровозглашенной республики продолжает осуществлять политику насилия в отношении оставшегося в регионе грузинского населения, в частности, в Гальском районе.  Постоянной практикой сепаратистских властей являются немотивированные убийства, избиения и издевательства над грузинами, живущими на свой страх и риск в Абхазии или возвратившимися туда в свои дома.  Ввиду политической неурегулированности конфликта грузинское государство не в состоянии обеспечить защиту этой категории своих граждан от преступных посягательств.</w:t>
      </w:r>
    </w:p>
    <w:p w:rsidR="00000000" w:rsidRDefault="00000000"/>
    <w:p w:rsidR="00000000" w:rsidRDefault="00000000">
      <w:pPr>
        <w:ind w:left="567" w:hanging="567"/>
        <w:rPr>
          <w:u w:val="single"/>
        </w:rPr>
      </w:pPr>
      <w:r>
        <w:t>с)</w:t>
      </w:r>
      <w:r>
        <w:tab/>
      </w:r>
      <w:r>
        <w:rPr>
          <w:u w:val="single"/>
        </w:rPr>
        <w:t>Право участвовать в выборах на основе всеобщего и равного избирательного права</w:t>
      </w:r>
    </w:p>
    <w:p w:rsidR="00000000" w:rsidRDefault="00000000"/>
    <w:p w:rsidR="00000000" w:rsidRDefault="00000000">
      <w:r>
        <w:t>83.</w:t>
      </w:r>
      <w:r>
        <w:tab/>
        <w:t>В соответствии со статьей 28 Конституции Грузии каждый гражданин страны, достигший 18 лет, имеет право участвовать в референдумах и выборах государственных органов и органов местного самоуправления.  Обеспечивается свобода волеизъявления избирателей (пункт 1).  В выборах и референдумах не участвуют лица, признанные судом недееспособными или по приговору суда отбывающие наказание в местах лишения свободы (там же, пункт 2).</w:t>
      </w:r>
    </w:p>
    <w:p w:rsidR="00000000" w:rsidRDefault="00000000"/>
    <w:p w:rsidR="00000000" w:rsidRDefault="00000000">
      <w:r>
        <w:t>84.</w:t>
      </w:r>
      <w:r>
        <w:tab/>
        <w:t>Статья 74 Конституции, касающаяся вопроса о референдумах, предусматривает, что они проводятся по инициативе Президента страны, по требованию Парламента или не менее чем 200 000 избирателей и организуются в течение 30 дней со дня получения этого требования.  Не допускается проведение референдума для принятия или отмены закона, по вопросам амнистии или помилования, ратификации или денонсации международных договоров и соглашений, а также по вопросам, ущемляющим основные права и свободы человека.</w:t>
      </w:r>
    </w:p>
    <w:p w:rsidR="00000000" w:rsidRDefault="00000000"/>
    <w:p w:rsidR="00000000" w:rsidRDefault="00000000">
      <w:r>
        <w:t>85.</w:t>
      </w:r>
      <w:r>
        <w:tab/>
        <w:t>Органом, уполномоченным рассматривать споры, связанные с конституционностью референдумов и выборов, является Конституционный Суд.  Данная процедура может быть возбуждена на основании иска или представления Президента Грузии, не менее одной пятой членов Парламента, суда, высших представительных органов Аджарии и Абхазии, Народного защитника и граждан (Конституция, статья 89, пункт 1).</w:t>
      </w:r>
    </w:p>
    <w:p w:rsidR="00000000" w:rsidRDefault="00000000"/>
    <w:p w:rsidR="00000000" w:rsidRDefault="00000000">
      <w:pPr>
        <w:pStyle w:val="Heading6"/>
        <w:rPr>
          <w:b w:val="0"/>
          <w:bCs/>
        </w:rPr>
      </w:pPr>
      <w:r>
        <w:rPr>
          <w:b w:val="0"/>
          <w:bCs/>
        </w:rPr>
        <w:t>Выборы в Парламент</w:t>
      </w:r>
    </w:p>
    <w:p w:rsidR="00000000" w:rsidRDefault="00000000"/>
    <w:p w:rsidR="00000000" w:rsidRDefault="00000000">
      <w:r>
        <w:t>86.</w:t>
      </w:r>
      <w:r>
        <w:tab/>
        <w:t>Согласно Конституции Парламент избирается на основе всеобщего, равного и прямого избирательного права при тайном голосовании (статья 49, пункт 1).  Право баллотироваться на выборах предоставляется зарегистрированным в установленном законом порядке политическим объединениям граждан, каждое из которых должно быть поддержано подписями не менее 50 000 избирателей или должно иметь к моменту выборов своего представителя в Парламенте.  В ходе выборов по мажоритарной системе это право предоставляется лицу, чья кандидатура поддержана подписями не менее 1 000 граждан, или лицу, которое по итогам последних выборов является членом Парламента (статья 50, пункт 1).</w:t>
      </w:r>
    </w:p>
    <w:p w:rsidR="00000000" w:rsidRDefault="00000000"/>
    <w:p w:rsidR="00000000" w:rsidRDefault="00000000">
      <w:r>
        <w:t>87.</w:t>
      </w:r>
      <w:r>
        <w:tab/>
        <w:t>Более подробная информация о Парламенте Грузии содержится в базовом документе, пункты 70-73.</w:t>
      </w:r>
    </w:p>
    <w:p w:rsidR="00000000" w:rsidRDefault="00000000"/>
    <w:p w:rsidR="00000000" w:rsidRDefault="00000000">
      <w:r>
        <w:t>88.</w:t>
      </w:r>
      <w:r>
        <w:tab/>
        <w:t>Членом Парламента может быть избран гражданин Грузии, достигший 25-летнего возраста и имеющий право голоса (Конституция, статья 49, пункт 2).  Это конституционное положение конкретизируется законом "О выборах Парламента Грузии", в котором указывается, что парламентарием может стать любой гражданин страны, отвечающий упомянутому возрастному критерию, постоянно проживавший в Грузии в течение не менее десяти лет, независимо от языка, расы, пола, вероисповедания, образования, политических взглядов, национальной, этнической и социальной принадлежности, происхождения, имущественного или сословного положения (статья 2).</w:t>
      </w:r>
    </w:p>
    <w:p w:rsidR="00000000" w:rsidRDefault="00000000"/>
    <w:p w:rsidR="00000000" w:rsidRDefault="00000000">
      <w:r>
        <w:t>89.</w:t>
      </w:r>
      <w:r>
        <w:tab/>
        <w:t>В Парламент прошлого и нынешнего созывов избраны как женщины, так и представители национальных меньшинств.  В числе депутатов высшего законодательного органа, функционировавшего в 1995-1999 годах, было 16 женщин и 17 представителей меньшинств – русских, армян и азербайджанцев.  Ситуация с представительством упомянутых категорий депутатов не изменилась к лучшему и в нынешнем составе Парламента.  Следует отметить, что большинство женщин и представителей национальных меньшинств прошли в Парламент по партийным спискам.  Из 85 мажоритарных депутатов лишь 1 женщина и 2 представителя меньшинств были избраны от районов их компактного расселения.  Всего во  вновь избранном Парламенте насчитывается 17 женщин и 10 представителей  национальных меньшинств.</w:t>
      </w:r>
    </w:p>
    <w:p w:rsidR="00000000" w:rsidRDefault="00000000"/>
    <w:p w:rsidR="00000000" w:rsidRDefault="00000000">
      <w:pPr>
        <w:rPr>
          <w:u w:val="single"/>
        </w:rPr>
      </w:pPr>
      <w:r>
        <w:rPr>
          <w:u w:val="single"/>
        </w:rPr>
        <w:t>Выборы в местные органы власти</w:t>
      </w:r>
    </w:p>
    <w:p w:rsidR="00000000" w:rsidRDefault="00000000">
      <w:pPr>
        <w:rPr>
          <w:u w:val="single"/>
        </w:rPr>
      </w:pPr>
    </w:p>
    <w:p w:rsidR="00000000" w:rsidRDefault="00000000">
      <w:pPr>
        <w:pStyle w:val="BodyTextIndent"/>
        <w:spacing w:line="288" w:lineRule="auto"/>
        <w:ind w:firstLine="0"/>
        <w:jc w:val="left"/>
        <w:rPr>
          <w:sz w:val="24"/>
        </w:rPr>
      </w:pPr>
      <w:r>
        <w:rPr>
          <w:sz w:val="24"/>
        </w:rPr>
        <w:t>90.</w:t>
      </w:r>
      <w:r>
        <w:rPr>
          <w:sz w:val="24"/>
        </w:rPr>
        <w:tab/>
        <w:t>Порядок создания и деятельности органов власти на местах регламентируется законом "О местном самоуправлении и управлении".  Согласно пункту 2 статьи 2 этого закона граждане Грузии могут избирать и быть избранными в органы местного самоуправления независимо от расы, цвета кожи, языка, пола, вероисповедания, политических и иных взглядов, национальной, этнической и социальной принадлежности, происхождения, имущественного или сословного положения.  Выборы проводятся на основе конституционных принципов, о которых упоминалось в разделе "Выборы в Парламент".</w:t>
      </w:r>
    </w:p>
    <w:p w:rsidR="00000000" w:rsidRDefault="00000000"/>
    <w:p w:rsidR="00000000" w:rsidRDefault="00000000">
      <w:r>
        <w:t>91.</w:t>
      </w:r>
      <w:r>
        <w:tab/>
        <w:t>Представительным органом власти на местах – от села до города включительно – является сакребуло.  В зависимости от числа избирателей – менее или более 2 000 человек – выборы в сакребуло проводятся соответственно по мажоритарной или пропорциональной системе в многомандатных избирательных округах.  Депутатом сакребуло может быть избран гражданин  Грузии, которому ко дню выборов исполнился 21 год, проживший в стране не менее 5 лет.  Никакие ограничения, основанные на расе, цвете кожи, языке, поле, национальной, этнической и социальной принадлежности, происхождении, взглядах, имущественном или сословном положении, не допускаются.</w:t>
      </w:r>
    </w:p>
    <w:p w:rsidR="00000000" w:rsidRDefault="00000000"/>
    <w:p w:rsidR="00000000" w:rsidRDefault="00000000">
      <w:r>
        <w:t>92.</w:t>
      </w:r>
      <w:r>
        <w:tab/>
        <w:t>К числу оговоренных Конституцией лиц, не участвующих в выборах местных органов власти и управления, относятся также граждане Грузии, которые ко дню выборов временно или постоянно проживают за рубежом.</w:t>
      </w:r>
    </w:p>
    <w:p w:rsidR="00000000" w:rsidRDefault="00000000"/>
    <w:p w:rsidR="00000000" w:rsidRDefault="00000000">
      <w:r>
        <w:t>93.</w:t>
      </w:r>
      <w:r>
        <w:tab/>
        <w:t>В октябре 1998 года состоялись первые в истории независимой Грузии выборы в местные органы власти, в ходе которых было избрано около 11 000 депутатов, среди которых 1 342 депутата (12,5%) составили женщины.</w:t>
      </w:r>
    </w:p>
    <w:p w:rsidR="00000000" w:rsidRDefault="00000000">
      <w:pPr>
        <w:rPr>
          <w:bCs/>
        </w:rPr>
      </w:pPr>
    </w:p>
    <w:p w:rsidR="00000000" w:rsidRDefault="00000000">
      <w:pPr>
        <w:pStyle w:val="Heading6"/>
        <w:rPr>
          <w:b w:val="0"/>
          <w:bCs/>
        </w:rPr>
      </w:pPr>
      <w:r>
        <w:rPr>
          <w:b w:val="0"/>
          <w:bCs/>
        </w:rPr>
        <w:t>Выборы Президента Грузии</w:t>
      </w:r>
    </w:p>
    <w:p w:rsidR="00000000" w:rsidRDefault="00000000">
      <w:pPr>
        <w:pStyle w:val="FootnoteText"/>
        <w:spacing w:line="288" w:lineRule="auto"/>
      </w:pPr>
    </w:p>
    <w:p w:rsidR="00000000" w:rsidRDefault="00000000">
      <w:r>
        <w:t>94.</w:t>
      </w:r>
      <w:r>
        <w:tab/>
        <w:t>Согласно Конституции Президентом может быть избран обладающий избирательным правом гражданин Грузии по рождению, достигший 35 лет, проживший в Грузии не менее 15 лет и проживающий в Грузии на день проведения выборов.  Право выдвижения кандидатур в Президенты имеют политические объединения или инициативные группы.  Выдвижение кандидатуры должно быть подтверждено подписями не менее 50 000 избирателей (статья 70, пункты 2 и 3).</w:t>
      </w:r>
    </w:p>
    <w:p w:rsidR="00000000" w:rsidRDefault="00000000"/>
    <w:p w:rsidR="00000000" w:rsidRDefault="00000000">
      <w:r>
        <w:t>95.</w:t>
      </w:r>
      <w:r>
        <w:tab/>
        <w:t>Согласно закону "О президентских выборах" (статья 3, пункт 1) избирать Президента вправе каждый гражданин Грузии, имеющий избирательное право, независимо от расы, цвета кожи, языка, пола, вероисповедания, политических и иных взглядов, национальной, этнической или социальной  принадлежности, происхождения, имущественного или сословного положения.</w:t>
      </w:r>
    </w:p>
    <w:p w:rsidR="00000000" w:rsidRDefault="00000000"/>
    <w:p w:rsidR="00000000" w:rsidRDefault="00000000">
      <w:r>
        <w:t>96.</w:t>
      </w:r>
      <w:r>
        <w:tab/>
        <w:t>Уголовным  кодексом Грузии признаны уголовно наказуемыми преступлениями такие действия, как препятствование волеизъявлению на выборах, референдуме или плебисците (статья 162), препятствование работе комиссии по проведению выборов или референдума (статья 163), нарушение тайны голосования, неверный подсчет голосов или неверное подведение итогов выборов (статья 164).  Совершение упомянутых преступлений карается санкциями, варьирующимися от штрафа до лишения свободы сроком до четырех лет.</w:t>
      </w:r>
    </w:p>
    <w:p w:rsidR="00000000" w:rsidRDefault="00000000"/>
    <w:p w:rsidR="00000000" w:rsidRDefault="00000000">
      <w:r>
        <w:t>97.</w:t>
      </w:r>
      <w:r>
        <w:tab/>
        <w:t>Выборы в местные органы власти и последние выборы в Парламент выявили заслуживающую упоминания тенденцию – число принимающих участие в выборах граждан страны негрузинской национальности значительно превышает количество активных избирателей в грузинском электорате.  Так, на состоявшихся 31 октября 1999 года парламентских выборах количество избирателей из числа меньшинств достигало по регионам их компактного проживания 80-90%, в то время как в других районах этот показатель не превышал 50-60%.</w:t>
      </w:r>
    </w:p>
    <w:p w:rsidR="00000000" w:rsidRDefault="00000000"/>
    <w:p w:rsidR="00000000" w:rsidRDefault="00000000">
      <w:pPr>
        <w:pStyle w:val="Heading6"/>
        <w:rPr>
          <w:b w:val="0"/>
          <w:bCs/>
        </w:rPr>
      </w:pPr>
      <w:r>
        <w:rPr>
          <w:b w:val="0"/>
          <w:bCs/>
        </w:rPr>
        <w:t>Право на равный доступ к государственной службе</w:t>
      </w:r>
    </w:p>
    <w:p w:rsidR="00000000" w:rsidRDefault="00000000"/>
    <w:p w:rsidR="00000000" w:rsidRDefault="00000000">
      <w:r>
        <w:t>98.</w:t>
      </w:r>
      <w:r>
        <w:tab/>
        <w:t>Статья 29 Конституции гласит:</w:t>
      </w:r>
    </w:p>
    <w:p w:rsidR="00000000" w:rsidRDefault="00000000"/>
    <w:p w:rsidR="00000000" w:rsidRDefault="00000000">
      <w:pPr>
        <w:pStyle w:val="BodyTextIndent3"/>
      </w:pPr>
      <w:r>
        <w:t>"1.</w:t>
      </w:r>
      <w:r>
        <w:tab/>
        <w:t>Каждый гражданин Грузии имеет право занимать любую государственную должность, если он соответствует требованиям, установленным законодательством.</w:t>
      </w:r>
    </w:p>
    <w:p w:rsidR="00000000" w:rsidRDefault="00000000">
      <w:pPr>
        <w:pStyle w:val="FootnoteText"/>
        <w:spacing w:line="288" w:lineRule="auto"/>
      </w:pPr>
    </w:p>
    <w:p w:rsidR="00000000" w:rsidRDefault="00000000">
      <w:pPr>
        <w:ind w:firstLine="720"/>
      </w:pPr>
      <w:r>
        <w:t>2.</w:t>
      </w:r>
      <w:r>
        <w:tab/>
        <w:t>Условия государственной службы определяются законом".</w:t>
      </w:r>
    </w:p>
    <w:p w:rsidR="00000000" w:rsidRDefault="00000000"/>
    <w:p w:rsidR="00000000" w:rsidRDefault="00000000">
      <w:r>
        <w:t>99.</w:t>
      </w:r>
      <w:r>
        <w:tab/>
        <w:t xml:space="preserve">Правовые основы организации государственной службы и связанные с ее осуществлением отношения, а также правовое положение государственного служащего регулируются законом "О публичной службе".  В соответствии с данным законом публичной службой считается деятельность в казенных (бюджетных) учреждениях государства и местного самоуправления – органах публичной власти (статья 1, пункт 1).  К основным принципам публичной службы, в частности, относятся: уважение к правам, свободам и достоинству человека и гражданина; равная доступность публичной службы для всех граждан Грузии в соответствии с их способностями и профессиональной подготовкой (статья 13, пункты с) и </w:t>
      </w:r>
      <w:r>
        <w:rPr>
          <w:lang w:val="en-US"/>
        </w:rPr>
        <w:t>d</w:t>
      </w:r>
      <w:r>
        <w:t>)).</w:t>
      </w:r>
    </w:p>
    <w:p w:rsidR="00000000" w:rsidRDefault="00000000"/>
    <w:p w:rsidR="00000000" w:rsidRDefault="00000000">
      <w:r>
        <w:t>100.</w:t>
      </w:r>
      <w:r>
        <w:tab/>
        <w:t>Согласно статье 15 закона "О публичной службе" на государственную службу может быть принят дееспособный гражданин Грузии, имеющий надлежащие знания и опыт, достигший возраста 21 года и владеющий государственным языком Грузии.  В соответствии со статьей 16 данного закона на службу в орган местного самоуправления может быть принят дееспособный гражданин Грузии, достигший возраста 18 лет, имеющий по крайней мере среднее образование и владеющий государственным языком Грузии.</w:t>
      </w:r>
    </w:p>
    <w:p w:rsidR="00000000" w:rsidRDefault="00000000"/>
    <w:p w:rsidR="00000000" w:rsidRDefault="00000000">
      <w:r>
        <w:t>101.</w:t>
      </w:r>
      <w:r>
        <w:tab/>
        <w:t xml:space="preserve">На публичную службу не принимается лицо, которое:  а)  имеет неснятую судимость за совершение умышленного преступления;  </w:t>
      </w:r>
      <w:r>
        <w:rPr>
          <w:lang w:val="en-US"/>
        </w:rPr>
        <w:t>b</w:t>
      </w:r>
      <w:r>
        <w:t xml:space="preserve">)  находится под следствием или арестом;  с)  решением суда признано недееспособным или ограниченно дееспособным;  </w:t>
      </w:r>
      <w:r>
        <w:rPr>
          <w:lang w:val="en-US"/>
        </w:rPr>
        <w:t>d</w:t>
      </w:r>
      <w:r>
        <w:t xml:space="preserve">)  лишено судом права занимать соответствующую должность;  е)  по состоянию здоровья не удовлетворяет, согласно медицинскому заключению, предъявляемым для занятия данной должности требованиям;  </w:t>
      </w:r>
      <w:r>
        <w:rPr>
          <w:lang w:val="en-US"/>
        </w:rPr>
        <w:t>f</w:t>
      </w:r>
      <w:r>
        <w:t xml:space="preserve">)  в результате занятия должности оказывается связанным непосредственным служебным надзором с родителями, супругой, ребенком или сестрой, братом, родителями жены;  </w:t>
      </w:r>
      <w:r>
        <w:rPr>
          <w:lang w:val="en-US"/>
        </w:rPr>
        <w:t>g</w:t>
      </w:r>
      <w:r>
        <w:t>)  является претендентом на гражданство иностранного государства, кроме предусмотренных законом или международным договором исключений (закон "О публичной службе", статья 17).</w:t>
      </w:r>
    </w:p>
    <w:p w:rsidR="00000000" w:rsidRDefault="00000000"/>
    <w:p w:rsidR="00000000" w:rsidRDefault="00000000">
      <w:r>
        <w:t>102.</w:t>
      </w:r>
      <w:r>
        <w:tab/>
        <w:t>Различные требования, регламентирующие принятие на публичную службу, устанавливаются законом или на его основании.  Дополнительные квалификационные требования могут быть введены руководителем организации или вышестоящим начальником.  Лицо, имеющее право принять служащего на работу, правомочно использовать при назначении испытательный срок не более чем шесть месяцев.  Назначение на должность может быть осуществлено по результатам конкурса (закон "О публичной службе", статьи 19, 24 (пункт 1) и 29 (пункт 1)).</w:t>
      </w:r>
    </w:p>
    <w:p w:rsidR="00000000" w:rsidRDefault="00000000"/>
    <w:p w:rsidR="00000000" w:rsidRDefault="00000000">
      <w:r>
        <w:t>103.</w:t>
      </w:r>
      <w:r>
        <w:tab/>
        <w:t>Согласно статье 98 закона "О публичной службе", озаглавленной "Освобождение от работы ввиду несоответствия занимаемой должности", одним из оснований для увольнения служащего является "неудовлетворительное знание государственного языка и невозможность нормального общения" (пункт 1</w:t>
      </w:r>
      <w:r>
        <w:rPr>
          <w:lang w:val="en-US"/>
        </w:rPr>
        <w:t xml:space="preserve"> d</w:t>
      </w:r>
      <w:r>
        <w:t>)), однако лишь в том случае, если служащий не желает перейти на другую соответствующую должность (пункт 2).</w:t>
      </w:r>
    </w:p>
    <w:p w:rsidR="00000000" w:rsidRDefault="00000000"/>
    <w:p w:rsidR="00000000" w:rsidRDefault="00000000">
      <w:pPr>
        <w:pStyle w:val="BodyTextIndent"/>
        <w:spacing w:line="288" w:lineRule="auto"/>
        <w:ind w:firstLine="0"/>
        <w:jc w:val="left"/>
        <w:rPr>
          <w:sz w:val="24"/>
        </w:rPr>
      </w:pPr>
      <w:r>
        <w:rPr>
          <w:sz w:val="24"/>
        </w:rPr>
        <w:t>104.</w:t>
      </w:r>
      <w:r>
        <w:rPr>
          <w:sz w:val="24"/>
        </w:rPr>
        <w:tab/>
        <w:t>Меньшинства представлены в органах исполнительной власти на местах в регионах компактного расселения.  Так, в Марнеульском и близлежащих районах в местных управах ведущие посты занимают 38 азербайджанцев, в Тетрицкаройском районе – 12 греков, в регионах Самцхе-Джавахети – 58 армян.  Что касается данных о национальном происхождении публичных служащих того или иного уровня в органах государственной власти, то такого рода статистика не ведется.  Можно, однако, утверждать, что представители меньшинств с успехом выполняют свои обязанности во многих  министерствах и ведомствах, аппарате Парламента и Государственной канцелярии Грузии.  Основной проблемой граждан Грузии негрузинской национальности в плане доступа к публичной службе является доставшееся в наследство от советского периода незнание или слабое владение государственным (грузинским) языком. Правительство принимает меры для исправления сложившегося положения, в частности, путем разработки закона "О языке".  В местах компактного расселения этнических  меньшинств осуществляется "Государственная программа по изучению грузинского языка".</w:t>
      </w:r>
    </w:p>
    <w:p w:rsidR="00000000" w:rsidRDefault="00000000"/>
    <w:p w:rsidR="00000000" w:rsidRDefault="00000000">
      <w:pPr>
        <w:rPr>
          <w:u w:val="single"/>
        </w:rPr>
      </w:pPr>
      <w:r>
        <w:rPr>
          <w:lang w:val="en-US"/>
        </w:rPr>
        <w:t>d</w:t>
      </w:r>
      <w:r>
        <w:t>)</w:t>
      </w:r>
      <w:r>
        <w:tab/>
      </w:r>
      <w:r>
        <w:rPr>
          <w:u w:val="single"/>
        </w:rPr>
        <w:t>Другие гражданские права</w:t>
      </w:r>
    </w:p>
    <w:p w:rsidR="00000000" w:rsidRDefault="00000000">
      <w:pPr>
        <w:rPr>
          <w:u w:val="single"/>
        </w:rPr>
      </w:pPr>
    </w:p>
    <w:p w:rsidR="00000000" w:rsidRDefault="00000000">
      <w:pPr>
        <w:rPr>
          <w:u w:val="single"/>
        </w:rPr>
      </w:pPr>
      <w:r>
        <w:rPr>
          <w:u w:val="single"/>
        </w:rPr>
        <w:t>Право на свободу передвижения и проживания в пределах государства</w:t>
      </w:r>
    </w:p>
    <w:p w:rsidR="00000000" w:rsidRDefault="00000000"/>
    <w:p w:rsidR="00000000" w:rsidRDefault="00000000">
      <w:r>
        <w:t>105.</w:t>
      </w:r>
      <w:r>
        <w:tab/>
        <w:t>Статья 22 (пункт 1) Конституции предусматривает, что каждый, кто законно находится в Грузии, имеет право на свободное передвижение по всей ее территории и свободный выбор места жительства.  Ограничение этого права допускается только в соответствии с законом в целях обеспечения необходимой для существования демократического общества государственной или общественной безопасности, охраны здоровья, предотвращения преступности или осуществления правосудия (там же, пункт 3).  В Конституции оговаривается, что данное право может подвергаться ограничению в условиях чрезвычайного или военного положения (статья 46, пункт 1).</w:t>
      </w:r>
    </w:p>
    <w:p w:rsidR="00000000" w:rsidRDefault="00000000"/>
    <w:p w:rsidR="00000000" w:rsidRDefault="00000000">
      <w:r>
        <w:t>106.</w:t>
      </w:r>
      <w:r>
        <w:tab/>
        <w:t>Практические аспекты реализации зафиксированного в Конституции права регламентируются законом "О порядке удостоверения личности и регистрации граждан Грузии и проживающих в Грузии иностранцев".  Изложенный в законе порядок регистрации, так же, как и правила удостоверения личности, кардинально отличаются от действовавшего до этого времени советского паспортного режима, который на деле ограничивал право свободного выбора места жительства.  Упомянутый закон был принят в июне 1996 года.</w:t>
      </w:r>
    </w:p>
    <w:p w:rsidR="00000000" w:rsidRDefault="00000000"/>
    <w:p w:rsidR="00000000" w:rsidRDefault="00000000">
      <w:r>
        <w:t>107.</w:t>
      </w:r>
      <w:r>
        <w:tab/>
        <w:t>Согласно закону целью регистрации граждан Грузии и постоянно проживающих в стране иностранцев (в том числе лиц без гражданства) является установление данных о них, а также осуществление их прав и обязанностей.  При этом наличие или отсутствие  регистрации не может быть основанием для ограничения конституционных прав и свобод как граждан страны, так и иностранцев, равно как и условием их осуществления, за исключением случаев, предусмотренных законодательством о выборах (статья 2, пункты 1 и 3).</w:t>
      </w:r>
    </w:p>
    <w:p w:rsidR="00000000" w:rsidRDefault="00000000"/>
    <w:p w:rsidR="00000000" w:rsidRDefault="00000000">
      <w:r>
        <w:t>108.</w:t>
      </w:r>
      <w:r>
        <w:tab/>
        <w:t>Граждане Грузии и постоянно проживающие в Грузии иностранцы обязаны зарегистрироваться по месту жительства, каковым считается то место, которое лицо выбирает само.  Лица в возрасте до 16 лет, а также лица, находящиеся под опекой или попечением, регистрируются вместе со своими родителями, опекунами, попечителями или иными законными представителями.  Независимая регистрация лиц этой категории допускается лишь с письменного согласия родителей, опекунов и т.д. (статья 3, пункты 1</w:t>
      </w:r>
      <w:r>
        <w:noBreakHyphen/>
        <w:t>3).</w:t>
      </w:r>
    </w:p>
    <w:p w:rsidR="00000000" w:rsidRDefault="00000000"/>
    <w:p w:rsidR="00000000" w:rsidRDefault="00000000">
      <w:r>
        <w:t>109.</w:t>
      </w:r>
      <w:r>
        <w:tab/>
        <w:t>При смене места жительства на срок свыше трех месяцев лицо обязано в течение десяти дней сообщить об этом на новом месте соответствующему государственному органу, который в течение пяти дней осуществит его регистрацию.  Это положение не распространяется на лиц, находящихся в предварительном заключении, отбывающих наказание или исполняющих служебные обязанности (статья 4, пункты 1 и 3).</w:t>
      </w:r>
    </w:p>
    <w:p w:rsidR="00000000" w:rsidRDefault="00000000"/>
    <w:p w:rsidR="00000000" w:rsidRDefault="00000000">
      <w:r>
        <w:t>110.</w:t>
      </w:r>
      <w:r>
        <w:tab/>
        <w:t>Лица, не имеющие места жительства, регистрируются без указания адреса в том населенном пункте, в котором они находятся.  Во всех случаях регистрация производится на основании выданного в установленном законом порядке удостоверения личности или (для иностранцев) вида на жительство (статья 5, пункты 1 и 2).</w:t>
      </w:r>
    </w:p>
    <w:p w:rsidR="00000000" w:rsidRDefault="00000000"/>
    <w:p w:rsidR="00000000" w:rsidRDefault="00000000">
      <w:r>
        <w:t>111.</w:t>
      </w:r>
      <w:r>
        <w:tab/>
        <w:t>В соответствии с законом "О правовом положении иностранцев" иностранцы пользуются правом свободного передвижения по территории Грузии и выбора места жительства в соответствии с порядком, установленным законодательством.  Передвижение иностранцев и выбор ими места жительства могут быть ограничены, когда это необходимо для обеспечения государственной безопасности, охраны общественного порядка, здоровья населения, защиты прав и законных интересов граждан Грузии и других лиц (статья 18).</w:t>
      </w:r>
    </w:p>
    <w:p w:rsidR="00000000" w:rsidRDefault="00000000"/>
    <w:p w:rsidR="00000000" w:rsidRDefault="00000000">
      <w:r>
        <w:t>112.</w:t>
      </w:r>
      <w:r>
        <w:tab/>
        <w:t>Уголовный кодекс Грузии предусматривает санкции в виде штрафа, исправительных работ сроком до шести месяцев или лишения свободы сроком до одного года за препятствование законно находящемуся в стране лицу свободно перемещаться по всей ее территории, свободно выбирать себе место жительства или свободно покидать Грузию, а в случае гражданина Грузии – свободно въезжать в нее.  Те же действия, совершенные с применением насилия, угрозы насилия или с использованием служебного положения, могут караться лишением свободы сроком до двух лет, штрафом или исправительными работами сроком до одного года с лишением права занимать должность сроком до трех лет (статья 142, пункты 1 и 2).</w:t>
      </w:r>
    </w:p>
    <w:p w:rsidR="00000000" w:rsidRDefault="00000000"/>
    <w:p w:rsidR="00000000" w:rsidRDefault="00000000">
      <w:r>
        <w:t>113.</w:t>
      </w:r>
      <w:r>
        <w:tab/>
        <w:t>Согласно сведениям министерства юстиции в 1998-1999 годах статус иммигранта приобрели 350 совершеннолетних иностранцев.  Статус постоянно проживающих в Грузии лиц получили 205 человек.</w:t>
      </w:r>
    </w:p>
    <w:p w:rsidR="00000000" w:rsidRDefault="00000000"/>
    <w:p w:rsidR="00000000" w:rsidRDefault="00000000">
      <w:r>
        <w:t>114.</w:t>
      </w:r>
      <w:r>
        <w:tab/>
        <w:t>За тот же период времени с целью получения статуса беженца в министерство по беженцам и расселению обратилось 25 лиц, включая 8 граждан Пакистана, 3 </w:t>
      </w:r>
      <w:r>
        <w:noBreakHyphen/>
        <w:t xml:space="preserve"> Ирака, по 2 – Нигерии, Ирана, Судана, Иордании, Азербайджана, Афганистана, по 1 – Украины и Турции.  22 претендентам было отказано, поскольку они не подпадали под действие положений закона "О беженцах".  Кроме того, за период с сентября по декабрь 1999 года вследствие военных действий на юге Российской Федерации в Грузию вошла большая группа лиц из Чечни. Свыше 5 000 из них уже получили статус беженца.</w:t>
      </w:r>
    </w:p>
    <w:p w:rsidR="00000000" w:rsidRDefault="00000000"/>
    <w:p w:rsidR="00000000" w:rsidRDefault="00000000">
      <w:r>
        <w:t>115.</w:t>
      </w:r>
      <w:r>
        <w:tab/>
        <w:t>По данным министерства внутренних дел в 1998-1999 годах было выдано следующее число видов на жительство: гражданам иностранных государств – 547, лицам без гражданства – 249.</w:t>
      </w:r>
    </w:p>
    <w:p w:rsidR="00000000" w:rsidRDefault="00000000"/>
    <w:p w:rsidR="00000000" w:rsidRDefault="00000000">
      <w:pPr>
        <w:pStyle w:val="BodyTextIndent2"/>
        <w:ind w:left="0"/>
        <w:rPr>
          <w:u w:val="single"/>
        </w:rPr>
      </w:pPr>
      <w:r>
        <w:rPr>
          <w:u w:val="single"/>
        </w:rPr>
        <w:t>Право покидать любую страну, включая свою собственную, и возвращаться в свою страну</w:t>
      </w:r>
    </w:p>
    <w:p w:rsidR="00000000" w:rsidRDefault="00000000"/>
    <w:p w:rsidR="00000000" w:rsidRDefault="00000000">
      <w:r>
        <w:t>116.</w:t>
      </w:r>
      <w:r>
        <w:tab/>
        <w:t>Данное право нашло отражение в пункте 2 статьи 22 Конституции, который гласит: "Каждый, кто законно находится в Грузии, может свободно выезжать из Грузии. Гражданин Грузии вправе свободно въезжать в Грузию".  Как и в случае со свободой передвижения и выбором места жительства, это право не абсолютное и может быть ограничено в установленном законом порядке в условиях чрезвычайного или военного положения, как об этом говорится в пункте 1 статьи 46 Конституции.  Основным законом запрещается выдворение из Грузии ее гражданина либо выдача гражданина страны другому государству, кроме случаев, предусмотренных международными договорами. Решение о выдаче гражданина Грузии может быть обжаловано в суде (статья 13, пункты 3 и 4).</w:t>
      </w:r>
    </w:p>
    <w:p w:rsidR="00000000" w:rsidRDefault="00000000"/>
    <w:p w:rsidR="00000000" w:rsidRDefault="00000000">
      <w:r>
        <w:t>117.</w:t>
      </w:r>
      <w:r>
        <w:tab/>
        <w:t>Осуществление конституционных гарантий обеспечивается рядом принятых нормативных актов:  законами "О порядке временного выезда из Грузии и въезда в Грузию граждан Грузии", "Об эмиграции", "О правовом положении иностранцев", "О временном въезде, пребывании и выезде иностранцев из Грузии", "Об инспектировании мигрантов".</w:t>
      </w:r>
    </w:p>
    <w:p w:rsidR="00000000" w:rsidRDefault="00000000"/>
    <w:p w:rsidR="00000000" w:rsidRDefault="00000000">
      <w:r>
        <w:t>118.</w:t>
      </w:r>
      <w:r>
        <w:tab/>
        <w:t>Согласно закону "О порядке временного выезда из Грузии и въезда в Грузию граждан Грузии" временный выезд и въезд в страну ее граждан осуществляется по паспорту, выдаваемому органами министерства внутренних дел, или заменяющему его документу (статья 5).  Право на возбуждение ходатайства о выдаче паспорта для временного выезда имеют совершеннолетние и дееспособные граждане, для чего они должны представить удостоверение личности гражданина Грузии и уплатить государственную пошлину (статья 7).  Статьи 7 и 8 настоящего закона регламентируют также порядок выезда вместе со взрослыми несовершеннолетних детей, а также самостоятельного выезда несовершеннолетних и недееспособных лиц.</w:t>
      </w:r>
    </w:p>
    <w:p w:rsidR="00000000" w:rsidRDefault="00000000"/>
    <w:p w:rsidR="00000000" w:rsidRDefault="00000000">
      <w:r>
        <w:t>119.</w:t>
      </w:r>
      <w:r>
        <w:tab/>
        <w:t>Основаниями для ограничения временного выезда из страны гражданина Грузии могут быть следующие обстоятельства:</w:t>
      </w:r>
    </w:p>
    <w:p w:rsidR="00000000" w:rsidRDefault="00000000">
      <w:pPr>
        <w:ind w:left="567" w:hanging="567"/>
      </w:pPr>
    </w:p>
    <w:p w:rsidR="00000000" w:rsidRDefault="00000000">
      <w:pPr>
        <w:ind w:left="567" w:hanging="567"/>
      </w:pPr>
      <w:r>
        <w:tab/>
        <w:t>возбуждение против гражданина уголовного дела;</w:t>
      </w:r>
    </w:p>
    <w:p w:rsidR="00000000" w:rsidRDefault="00000000">
      <w:pPr>
        <w:ind w:left="567" w:hanging="567"/>
      </w:pPr>
    </w:p>
    <w:p w:rsidR="00000000" w:rsidRDefault="00000000">
      <w:pPr>
        <w:ind w:left="567" w:hanging="567"/>
      </w:pPr>
      <w:r>
        <w:tab/>
        <w:t>неотбытое согласно судебному приговору наказание;</w:t>
      </w:r>
    </w:p>
    <w:p w:rsidR="00000000" w:rsidRDefault="00000000">
      <w:pPr>
        <w:ind w:left="567" w:hanging="567"/>
      </w:pPr>
    </w:p>
    <w:p w:rsidR="00000000" w:rsidRDefault="00000000">
      <w:pPr>
        <w:ind w:left="567" w:hanging="567"/>
      </w:pPr>
      <w:r>
        <w:tab/>
        <w:t>возбуждение против гражданина гражданского иска;</w:t>
      </w:r>
    </w:p>
    <w:p w:rsidR="00000000" w:rsidRDefault="00000000">
      <w:pPr>
        <w:ind w:left="567" w:hanging="567"/>
      </w:pPr>
    </w:p>
    <w:p w:rsidR="00000000" w:rsidRDefault="00000000">
      <w:pPr>
        <w:ind w:left="567" w:hanging="567"/>
      </w:pPr>
      <w:r>
        <w:tab/>
        <w:t>невыполнение обязательства, возложенного решением суда;</w:t>
      </w:r>
    </w:p>
    <w:p w:rsidR="00000000" w:rsidRDefault="00000000">
      <w:pPr>
        <w:ind w:left="567" w:hanging="567"/>
      </w:pPr>
    </w:p>
    <w:p w:rsidR="00000000" w:rsidRDefault="00000000">
      <w:pPr>
        <w:ind w:left="567" w:hanging="567"/>
      </w:pPr>
      <w:r>
        <w:tab/>
        <w:t>представление подложных или не имеющих законной силы документов;</w:t>
      </w:r>
    </w:p>
    <w:p w:rsidR="00000000" w:rsidRDefault="00000000">
      <w:pPr>
        <w:ind w:left="567" w:hanging="567"/>
      </w:pPr>
    </w:p>
    <w:p w:rsidR="00000000" w:rsidRDefault="00000000">
      <w:pPr>
        <w:ind w:left="567" w:hanging="567"/>
      </w:pPr>
      <w:r>
        <w:tab/>
        <w:t>иные предусмотренные законодательством Грузии случаи (статья 10).</w:t>
      </w:r>
    </w:p>
    <w:p w:rsidR="00000000" w:rsidRDefault="00000000">
      <w:pPr>
        <w:pStyle w:val="BodyTextIndent"/>
        <w:spacing w:line="288" w:lineRule="auto"/>
        <w:ind w:left="567" w:hanging="567"/>
        <w:jc w:val="left"/>
        <w:rPr>
          <w:sz w:val="24"/>
        </w:rPr>
      </w:pPr>
    </w:p>
    <w:p w:rsidR="00000000" w:rsidRDefault="00000000">
      <w:pPr>
        <w:pStyle w:val="BodyTextIndent"/>
        <w:spacing w:line="288" w:lineRule="auto"/>
        <w:ind w:firstLine="0"/>
        <w:jc w:val="left"/>
        <w:rPr>
          <w:sz w:val="24"/>
        </w:rPr>
      </w:pPr>
      <w:r>
        <w:rPr>
          <w:sz w:val="24"/>
        </w:rPr>
        <w:t>120.</w:t>
      </w:r>
      <w:r>
        <w:rPr>
          <w:sz w:val="24"/>
        </w:rPr>
        <w:tab/>
        <w:t>При временном выезде из Грузии гражданин страны должен иметь визу на выезд в страну непосредственного назначения.  На основании международных договоров Грузии временный выезд из Грузии возможен и без визы (статья 15).  Гражданин Грузии имеет право вернуться в Грузию в любое время, на что не требуется разрешения (статья 16).</w:t>
      </w:r>
    </w:p>
    <w:p w:rsidR="00000000" w:rsidRDefault="00000000"/>
    <w:p w:rsidR="00000000" w:rsidRDefault="00000000">
      <w:r>
        <w:t>121.</w:t>
      </w:r>
      <w:r>
        <w:tab/>
        <w:t>В законе оговариваются также условия временного ограничения выезда граждан Грузии в ту или иную страну в целях обеспечения их безопасности при наличии в государстве назначения чрезвычайной ситуации (статья 17), а также порядок выезда из Грузии военнослужащих (статья 18).  Ни одно из положений настоящего закона не носит дискриминационного характера по смыслу Конвенции.</w:t>
      </w:r>
    </w:p>
    <w:p w:rsidR="00000000" w:rsidRDefault="00000000"/>
    <w:p w:rsidR="00000000" w:rsidRDefault="00000000">
      <w:pPr>
        <w:pStyle w:val="BodyText"/>
      </w:pPr>
      <w:r>
        <w:t>122.</w:t>
      </w:r>
      <w:r>
        <w:tab/>
        <w:t>Согласно закону "Об инспектировании мигрантов" все въезжающие в Грузию и выезжающие из страны мигранты (включая граждан Грузии и постоянно проживающих в Грузии иностранцев) обязаны заполнить и иметь при себе карточку мигранта.  Целью данной меры является осуществление контроля и управления иммиграционно-эмиграционными процессами, учет и регистрация мигрантов, выявление незаконной миграции.  Порядок выдачи карточек мигранта определяет министерство по беженцам и расселению Грузии.</w:t>
      </w:r>
    </w:p>
    <w:p w:rsidR="00000000" w:rsidRDefault="00000000">
      <w:pPr>
        <w:pStyle w:val="BodyText"/>
      </w:pPr>
    </w:p>
    <w:p w:rsidR="00000000" w:rsidRDefault="00000000">
      <w:r>
        <w:t>123.</w:t>
      </w:r>
      <w:r>
        <w:tab/>
        <w:t>В Грузии действуют три вида заграничных паспортов:  общегражданский, выдаваемый министерством внутренних дел, а также дипломатический и служебный, выдаваемые министерством иностранных дел.  Общегражданский паспорт выдается после уплаты государственной пошлины.  Что касается дипломатического и служебного паспортов, то ими обеспечиваются определенные категории должностных лиц без уплаты пошлины.  Порядок выдачи этих паспортов регулируется специальным положением, принятым на основе закона "О структуре и порядке деятельности исполнительной власти".</w:t>
      </w:r>
    </w:p>
    <w:p w:rsidR="00000000" w:rsidRDefault="00000000"/>
    <w:p w:rsidR="00000000" w:rsidRDefault="00000000">
      <w:r>
        <w:t>124.</w:t>
      </w:r>
      <w:r>
        <w:tab/>
        <w:t>Получение общегражданского заграничного паспорта обходится в 35 лари.  Согласно закону "О государственной пошлине" от уплаты этой суммы освобождаются выезжающие за рубеж на лечение инвалиды I и II группы, участники второй мировой войны и лица, получившие инвалидность в боях за независимость и территориальную целостность Грузии.  50-процентной скидкой пользуются ветераны вооруженных сил и перемещенные лица.  Постоянно проживающие в Грузии иностранцы освобождаются от уплаты пошлины, если это предусмотрено международными договорами нашей страны.</w:t>
      </w:r>
    </w:p>
    <w:p w:rsidR="00000000" w:rsidRDefault="00000000"/>
    <w:p w:rsidR="00000000" w:rsidRDefault="00000000">
      <w:r>
        <w:t>125.</w:t>
      </w:r>
      <w:r>
        <w:tab/>
        <w:t>Выезжающие из Грузии иностранцы должны представить действительный заграничный паспорт или другой заменяющий его документ, а также карточку мигранта.  Иностранцы, постоянно проживающие в Грузии, при выезде из страны должны представить в компетентный орган действительный заграничный паспорт или другой заменяющий его документ и получить выездную визу или разрешение на выезд из Грузии, а также карточку мигранта.</w:t>
      </w:r>
    </w:p>
    <w:p w:rsidR="00000000" w:rsidRDefault="00000000"/>
    <w:p w:rsidR="00000000" w:rsidRDefault="00000000">
      <w:r>
        <w:t>126.</w:t>
      </w:r>
      <w:r>
        <w:tab/>
        <w:t>Выезд из Грузии иностранному гражданину может быть запрещен:</w:t>
      </w:r>
    </w:p>
    <w:p w:rsidR="00000000" w:rsidRDefault="00000000"/>
    <w:p w:rsidR="00000000" w:rsidRDefault="00000000">
      <w:pPr>
        <w:ind w:left="567" w:hanging="567"/>
      </w:pPr>
      <w:r>
        <w:tab/>
        <w:t>если его выезд противоречит интересам обеспечения государственной безопасности – до прекращения действия этих обстоятельств;</w:t>
      </w:r>
    </w:p>
    <w:p w:rsidR="00000000" w:rsidRDefault="00000000">
      <w:pPr>
        <w:ind w:left="567" w:hanging="567"/>
      </w:pPr>
    </w:p>
    <w:p w:rsidR="00000000" w:rsidRDefault="00000000">
      <w:pPr>
        <w:ind w:left="567" w:hanging="567"/>
      </w:pPr>
      <w:r>
        <w:tab/>
        <w:t>если он подозревается или обвиняется в совершении преступления – до окончания производства по делу;</w:t>
      </w:r>
    </w:p>
    <w:p w:rsidR="00000000" w:rsidRDefault="00000000"/>
    <w:p w:rsidR="00000000" w:rsidRDefault="00000000">
      <w:pPr>
        <w:ind w:left="567" w:hanging="567"/>
      </w:pPr>
      <w:r>
        <w:tab/>
        <w:t>если он осужден за совершение преступления – до отбытия наказания или освобождения от него;</w:t>
      </w:r>
    </w:p>
    <w:p w:rsidR="00000000" w:rsidRDefault="00000000">
      <w:pPr>
        <w:ind w:left="567" w:hanging="567"/>
      </w:pPr>
    </w:p>
    <w:p w:rsidR="00000000" w:rsidRDefault="00000000">
      <w:r>
        <w:tab/>
        <w:t>в других случаях, предусмотренных законодательством Грузии.</w:t>
      </w:r>
    </w:p>
    <w:p w:rsidR="00000000" w:rsidRDefault="00000000"/>
    <w:p w:rsidR="00000000" w:rsidRDefault="00000000">
      <w:r>
        <w:t>Выезд из Грузии иностранца (лица без гражданства) может быть отложен до исполнения им гражданско-правовых обязательств.  Иностранцы могут обжаловать отказ в выезде из Грузии в 10</w:t>
      </w:r>
      <w:r>
        <w:noBreakHyphen/>
        <w:t>дневный срок в судебном порядке (закон "О правовом положении иностранцев", статьи 24, 26).</w:t>
      </w:r>
    </w:p>
    <w:p w:rsidR="00000000" w:rsidRDefault="00000000"/>
    <w:p w:rsidR="00000000" w:rsidRDefault="00000000">
      <w:pPr>
        <w:pStyle w:val="BodyTextIndent"/>
        <w:spacing w:line="288" w:lineRule="auto"/>
        <w:ind w:firstLine="0"/>
        <w:jc w:val="left"/>
        <w:rPr>
          <w:sz w:val="24"/>
        </w:rPr>
      </w:pPr>
      <w:r>
        <w:rPr>
          <w:sz w:val="24"/>
        </w:rPr>
        <w:t>127.</w:t>
      </w:r>
      <w:r>
        <w:rPr>
          <w:sz w:val="24"/>
        </w:rPr>
        <w:tab/>
        <w:t>Об уголовных санкциях за препятствование свободному выезду из Грузии, а в случае гражданина страны – также за препятствование свободному возвращению в нее приводится информация в предыдущем разделе настоящего доклада.</w:t>
      </w:r>
    </w:p>
    <w:p w:rsidR="00000000" w:rsidRDefault="00000000"/>
    <w:p w:rsidR="00000000" w:rsidRDefault="00000000">
      <w:pPr>
        <w:rPr>
          <w:u w:val="single"/>
        </w:rPr>
      </w:pPr>
      <w:r>
        <w:rPr>
          <w:u w:val="single"/>
        </w:rPr>
        <w:t>Право на гражданство</w:t>
      </w:r>
    </w:p>
    <w:p w:rsidR="00000000" w:rsidRDefault="00000000">
      <w:pPr>
        <w:rPr>
          <w:u w:val="single"/>
        </w:rPr>
      </w:pPr>
    </w:p>
    <w:p w:rsidR="00000000" w:rsidRDefault="00000000">
      <w:r>
        <w:t>128.</w:t>
      </w:r>
      <w:r>
        <w:tab/>
        <w:t>Статья 12 Конституции гласит:  "Гражданство Грузии приобретается по рождению и путем натурализации.  Гражданин Грузии не может одновременно являться гражданином другого государства.  Порядок приобретения и утраты гражданства Грузии определяется органическим законом".  Согласно статье 12 Основного закона лишение гражданства не допускается.</w:t>
      </w:r>
    </w:p>
    <w:p w:rsidR="00000000" w:rsidRDefault="00000000"/>
    <w:p w:rsidR="00000000" w:rsidRDefault="00000000">
      <w:r>
        <w:t>129.</w:t>
      </w:r>
      <w:r>
        <w:tab/>
        <w:t>Закон "О гражданстве" был принят в марте 1993 года.  С тех пор в него неоднократно вносились изменения и дополнения, никак, однако, не повлиявшие на основные принципы, которые будут подробно рассмотрены в настоящем разделе.</w:t>
      </w:r>
    </w:p>
    <w:p w:rsidR="00000000" w:rsidRDefault="00000000"/>
    <w:p w:rsidR="00000000" w:rsidRDefault="00000000">
      <w:r>
        <w:t>130.</w:t>
      </w:r>
      <w:r>
        <w:tab/>
        <w:t>Положения статей 1 и 2 закона "О гражданстве" текстуально отражают принципы, получившие затем закрепление в приведенных выше статьях Конституции.  Кроме того, в статье 2 закона оговаривается, что "никто не может быть ограничен в праве на изменение гражданства, кроме случаев, предусмотренных настоящим законом".</w:t>
      </w:r>
    </w:p>
    <w:p w:rsidR="00000000" w:rsidRDefault="00000000"/>
    <w:p w:rsidR="00000000" w:rsidRDefault="00000000">
      <w:r>
        <w:t>131.</w:t>
      </w:r>
      <w:r>
        <w:tab/>
        <w:t xml:space="preserve">В соответствии со статьей 3 закона "О гражданстве" гражданином Грузии считается: а)  лицо, постоянно проживавшее в Грузии не менее пяти лет и проживающее в ней на момент введения в действие настоящего закона, в течение предыдущих трех месяцев не отказавшееся в письменной форме от гражданства Грузии и в четырехмесячный срок получившее документы, подтверждающие его гражданство;  </w:t>
      </w:r>
      <w:r>
        <w:rPr>
          <w:lang w:val="en-US"/>
        </w:rPr>
        <w:t>b</w:t>
      </w:r>
      <w:r>
        <w:t>)  лицо, приобретшее  гражданство Грузии в соответствии с настоящим законом.</w:t>
      </w:r>
    </w:p>
    <w:p w:rsidR="00000000" w:rsidRDefault="00000000"/>
    <w:p w:rsidR="00000000" w:rsidRDefault="00000000">
      <w:r>
        <w:t>132.</w:t>
      </w:r>
      <w:r>
        <w:tab/>
        <w:t>Формулировка пункта а) статьи 3 обусловлена необходимостью выработки критериев гражданства постоянного населения Грузии после распада СССР. Содержащиеся в тексте данной статьи минимальные требования позволили населению страны на абсолютно недискриминационной основе зафиксировать свою юридическую связь с государством, обретшим независимость.</w:t>
      </w:r>
    </w:p>
    <w:p w:rsidR="00000000" w:rsidRDefault="00000000"/>
    <w:p w:rsidR="00000000" w:rsidRDefault="00000000">
      <w:r>
        <w:t>133.</w:t>
      </w:r>
      <w:r>
        <w:tab/>
        <w:t>Согласно статье 10 закона "О гражданстве" гражданство Грузии приобретается по рождению, путем натурализации или по иным основаниям, предусмотренным международными договорами государства и настоящим законом.  Ребенок, оба родителя которого на момент его рождения являются гражданами Грузии, считается гражданином Грузии независимо от места рождения (статья 11).  Статьи 12-18 упомянутого закона регламентируют вопросы гражданства ребенка в зависимости от наличия, отсутствия или изменения гражданства его родителей или одного из них.  Во всех случаях четко соблюдаются принципы антидискриминационности и исключается любое неравенство в обращении по расовым мотивам.</w:t>
      </w:r>
    </w:p>
    <w:p w:rsidR="00000000" w:rsidRDefault="00000000"/>
    <w:p w:rsidR="00000000" w:rsidRDefault="00000000">
      <w:r>
        <w:t>134.</w:t>
      </w:r>
      <w:r>
        <w:tab/>
        <w:t>Законом предусматриваются условия натурализации иностранцев, согласно которым гражданином Грузии может стать совершеннолетнее лицо, которое:</w:t>
      </w:r>
    </w:p>
    <w:p w:rsidR="00000000" w:rsidRDefault="00000000"/>
    <w:p w:rsidR="00000000" w:rsidRDefault="00000000">
      <w:r>
        <w:tab/>
        <w:t>постоянно проживает на территории Грузии в течение последних 10 лет;</w:t>
      </w:r>
    </w:p>
    <w:p w:rsidR="00000000" w:rsidRDefault="00000000"/>
    <w:p w:rsidR="00000000" w:rsidRDefault="00000000">
      <w:r>
        <w:tab/>
        <w:t>владеет в пределах установленного минимума грузинским или абхазским языком;</w:t>
      </w:r>
    </w:p>
    <w:p w:rsidR="00000000" w:rsidRDefault="00000000"/>
    <w:p w:rsidR="00000000" w:rsidRDefault="00000000">
      <w:r>
        <w:tab/>
        <w:t>знает в пределах установленного минимума историю и Конституцию Грузии;</w:t>
      </w:r>
    </w:p>
    <w:p w:rsidR="00000000" w:rsidRDefault="00000000"/>
    <w:p w:rsidR="00000000" w:rsidRDefault="00000000">
      <w:r>
        <w:tab/>
        <w:t>имеет в Грузии работу или какое-либо недвижимое имущество.</w:t>
      </w:r>
    </w:p>
    <w:p w:rsidR="00000000" w:rsidRDefault="00000000"/>
    <w:p w:rsidR="00000000" w:rsidRDefault="00000000">
      <w:r>
        <w:t>Иностранец, вступивший в брак с гражданином Грузии, может стать гражданином страны при условии проживания на ее территории в течение последних трех лет.  При этом требования относительно  знания языка, истории и Конституции остаются в силе (статьи 26 и 28).</w:t>
      </w:r>
    </w:p>
    <w:p w:rsidR="00000000" w:rsidRDefault="00000000"/>
    <w:p w:rsidR="00000000" w:rsidRDefault="00000000">
      <w:r>
        <w:t>135.</w:t>
      </w:r>
      <w:r>
        <w:tab/>
        <w:t xml:space="preserve">Основаниями для прекращения гражданства Грузии являются:  а)  выход из гражданства;  </w:t>
      </w:r>
      <w:r>
        <w:rPr>
          <w:lang w:val="en-US"/>
        </w:rPr>
        <w:t>b</w:t>
      </w:r>
      <w:r>
        <w:t xml:space="preserve">)  утрата гражданства;  с)   иные случаи, предусмотренные международными договорами Грузии и данным законом (статья 30). </w:t>
      </w:r>
    </w:p>
    <w:p w:rsidR="00000000" w:rsidRDefault="00000000"/>
    <w:p w:rsidR="00000000" w:rsidRDefault="00000000">
      <w:r>
        <w:t>136.</w:t>
      </w:r>
      <w:r>
        <w:tab/>
        <w:t>Лицо утрачивает гражданство Грузии, если оно:</w:t>
      </w:r>
    </w:p>
    <w:p w:rsidR="00000000" w:rsidRDefault="00000000"/>
    <w:p w:rsidR="00000000" w:rsidRDefault="00000000">
      <w:pPr>
        <w:ind w:left="567" w:hanging="567"/>
      </w:pPr>
      <w:r>
        <w:tab/>
        <w:t>без разрешения компетентных органов Грузии поступит на военную службу, в полицию, органы юстиции и другие органы управления или государственной власти иностранного государства;</w:t>
      </w:r>
    </w:p>
    <w:p w:rsidR="00000000" w:rsidRDefault="00000000">
      <w:pPr>
        <w:ind w:left="567" w:hanging="567"/>
      </w:pPr>
      <w:r>
        <w:tab/>
      </w:r>
    </w:p>
    <w:p w:rsidR="00000000" w:rsidRDefault="00000000">
      <w:pPr>
        <w:ind w:left="567" w:hanging="567"/>
      </w:pPr>
      <w:r>
        <w:tab/>
        <w:t>постоянно проживает в другом  государстве и по неуважительной причине не встало на консульский учет в течение двух лет;</w:t>
      </w:r>
    </w:p>
    <w:p w:rsidR="00000000" w:rsidRDefault="00000000">
      <w:pPr>
        <w:ind w:left="567" w:hanging="567"/>
      </w:pPr>
    </w:p>
    <w:p w:rsidR="00000000" w:rsidRDefault="00000000">
      <w:r>
        <w:tab/>
        <w:t>приобрело гражданство Грузии путем представления фальшивых документов;</w:t>
      </w:r>
    </w:p>
    <w:p w:rsidR="00000000" w:rsidRDefault="00000000"/>
    <w:p w:rsidR="00000000" w:rsidRDefault="00000000">
      <w:r>
        <w:tab/>
        <w:t>приняло гражданство другого государства (статья 32).</w:t>
      </w:r>
    </w:p>
    <w:p w:rsidR="00000000" w:rsidRDefault="00000000"/>
    <w:p w:rsidR="00000000" w:rsidRDefault="00000000">
      <w:r>
        <w:t>137.</w:t>
      </w:r>
      <w:r>
        <w:tab/>
        <w:t>По данным министерства юстиции в 1998-1999 годах гражданство Грузии путем натурализации приобрели 127 человек, из которых 72 составили этнические грузины. Из 55 негрузин 20 человек представляли Азербайджан, 19 – Узбекистан, 11 – Российскую Федерацию, 2 – Украину, по одному  – Армению, Беларусь и Молдову.  За этот период в получении гражданства было отказано одному лицу (в 1999 году).</w:t>
      </w:r>
    </w:p>
    <w:p w:rsidR="00000000" w:rsidRDefault="00000000"/>
    <w:p w:rsidR="00000000" w:rsidRDefault="00000000">
      <w:pPr>
        <w:pStyle w:val="Heading6"/>
        <w:rPr>
          <w:b w:val="0"/>
        </w:rPr>
      </w:pPr>
      <w:r>
        <w:rPr>
          <w:b w:val="0"/>
        </w:rPr>
        <w:t>Право на вступление в брак и выбор супруга</w:t>
      </w:r>
    </w:p>
    <w:p w:rsidR="00000000" w:rsidRDefault="00000000"/>
    <w:p w:rsidR="00000000" w:rsidRDefault="00000000">
      <w:pPr>
        <w:pStyle w:val="BodyTextIndent"/>
        <w:ind w:firstLine="0"/>
        <w:jc w:val="left"/>
        <w:rPr>
          <w:sz w:val="24"/>
        </w:rPr>
      </w:pPr>
      <w:r>
        <w:rPr>
          <w:sz w:val="24"/>
        </w:rPr>
        <w:t>138.</w:t>
      </w:r>
      <w:r>
        <w:rPr>
          <w:sz w:val="24"/>
        </w:rPr>
        <w:tab/>
        <w:t>По Конституции (статья 36) брак как добровольный союз основывается на равноправии супругов;  государство содействует благосостоянию семьи.</w:t>
      </w:r>
    </w:p>
    <w:p w:rsidR="00000000" w:rsidRDefault="00000000">
      <w:r>
        <w:tab/>
      </w:r>
    </w:p>
    <w:p w:rsidR="00000000" w:rsidRDefault="00000000">
      <w:r>
        <w:t>139.</w:t>
      </w:r>
      <w:r>
        <w:tab/>
        <w:t>В соответствии с Гражданским кодексом брак является добровольным союзом мужчины и женщины с целью создания семьи, который зарегистрирован в государственном органе регистрации гражданского состояния (статья 1106).  Условиями, необходимыми для вступления в брак, являются достижение брачного возраста и согласие брачующихся (статья 1107).  Вступать в брак могут лица, достигшие 18-летнего возраста. В исключительных случаях допускается вступление в брак с 16-летнего возраста, при наличии письменного согласия родителей или других законных представителей.  Если родители (законные представители) отказываются дать такое согласие, то при наличии уважительных причин и на основании заявления брачующихся разрешение на брак может быть дано судом (статья 1108).</w:t>
      </w:r>
    </w:p>
    <w:p w:rsidR="00000000" w:rsidRDefault="00000000"/>
    <w:p w:rsidR="00000000" w:rsidRDefault="00000000">
      <w:r>
        <w:t>140.</w:t>
      </w:r>
      <w:r>
        <w:tab/>
        <w:t>В Грузии для вступления в брак иностранцев необходимо наличие выданной соответствующими органами их страны справки о том, что не существует обстоятельств, препятствующих этому браку.  Этот порядок, однако, не применяется к лицам без гражданства или гражданам тех государств, где подобные справки не выдаются (статья 1118).</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141.</w:t>
      </w:r>
      <w:r>
        <w:rPr>
          <w:sz w:val="24"/>
        </w:rPr>
        <w:tab/>
        <w:t>Брак не может заключаться:</w:t>
      </w:r>
    </w:p>
    <w:p w:rsidR="00000000" w:rsidRDefault="00000000"/>
    <w:p w:rsidR="00000000" w:rsidRDefault="00000000">
      <w:r>
        <w:tab/>
        <w:t>между  лицами, из которых по крайней мере одно состоит в браке;</w:t>
      </w:r>
    </w:p>
    <w:p w:rsidR="00000000" w:rsidRDefault="00000000"/>
    <w:p w:rsidR="00000000" w:rsidRDefault="00000000">
      <w:r>
        <w:tab/>
        <w:t>между прямыми родственниками по восходящей и нисходящей линии;</w:t>
      </w:r>
    </w:p>
    <w:p w:rsidR="00000000" w:rsidRDefault="00000000"/>
    <w:p w:rsidR="00000000" w:rsidRDefault="00000000">
      <w:r>
        <w:tab/>
        <w:t>между родными и неродными братьями и сестрами;</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left="567" w:firstLine="0"/>
        <w:jc w:val="left"/>
        <w:rPr>
          <w:sz w:val="24"/>
        </w:rPr>
      </w:pPr>
      <w:r>
        <w:rPr>
          <w:sz w:val="24"/>
        </w:rPr>
        <w:t>между лицами, по крайней мере одно из которых объявлено  судом недееспособным (статья 1120).</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142.</w:t>
      </w:r>
      <w:r>
        <w:rPr>
          <w:sz w:val="24"/>
        </w:rPr>
        <w:tab/>
        <w:t xml:space="preserve">Основаниями для прекращения брака являются:  а)  смерть одного из супругов;  </w:t>
      </w:r>
      <w:r>
        <w:rPr>
          <w:sz w:val="24"/>
          <w:lang w:val="en-US"/>
        </w:rPr>
        <w:t>b</w:t>
      </w:r>
      <w:r>
        <w:rPr>
          <w:sz w:val="24"/>
        </w:rPr>
        <w:t>)  объявление в установленном законом порядке одного из супругов умершим;  с)  развод.  При наличии обоюдного согласия супругов, не имеющих несовершеннолетних детей, или по заявлению одного из супругов, в случаях, когда второй супруг признан без вести пропавшим, недееспособным по душевной болезни или отбывает наказание сроком не менее трех лет, развод осуществляется органом регистрации гражданского состояния (статьи 1124, 1125).  Во всех иных случаях брак прекращается в судебном порядке.</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143.</w:t>
      </w:r>
      <w:r>
        <w:rPr>
          <w:sz w:val="24"/>
        </w:rPr>
        <w:tab/>
        <w:t>В период беременности жены и в течение одного года после рождения ребенка муж не имеет права возбуждать дело о разводе без согласия жены (статья 1123).</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144.</w:t>
      </w:r>
      <w:r>
        <w:rPr>
          <w:sz w:val="24"/>
        </w:rPr>
        <w:tab/>
        <w:t>Никакой статистики по бракам и разводам в разбивке по национальной принадлежности не ведется. Общие статистические данные по этой сфере приведены в следующей таблице.</w:t>
      </w:r>
    </w:p>
    <w:p w:rsidR="00000000" w:rsidRDefault="00000000">
      <w:pPr>
        <w:pStyle w:val="BodyTextIndent"/>
        <w:spacing w:line="288" w:lineRule="auto"/>
        <w:ind w:firstLine="0"/>
        <w:jc w:val="left"/>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992"/>
        <w:gridCol w:w="1276"/>
        <w:gridCol w:w="2693"/>
        <w:gridCol w:w="2935"/>
      </w:tblGrid>
      <w:tr w:rsidR="00000000">
        <w:tblPrEx>
          <w:tblCellMar>
            <w:top w:w="0" w:type="dxa"/>
            <w:bottom w:w="0" w:type="dxa"/>
          </w:tblCellMar>
        </w:tblPrEx>
        <w:tc>
          <w:tcPr>
            <w:tcW w:w="959" w:type="dxa"/>
            <w:tcBorders>
              <w:bottom w:val="single" w:sz="4" w:space="0" w:color="auto"/>
            </w:tcBorders>
          </w:tcPr>
          <w:p w:rsidR="00000000" w:rsidRDefault="00000000">
            <w:pPr>
              <w:pStyle w:val="BodyTextIndent"/>
              <w:spacing w:line="288" w:lineRule="auto"/>
              <w:ind w:firstLine="0"/>
              <w:jc w:val="center"/>
              <w:rPr>
                <w:sz w:val="24"/>
              </w:rPr>
            </w:pPr>
            <w:r>
              <w:rPr>
                <w:sz w:val="24"/>
              </w:rPr>
              <w:t>Годы</w:t>
            </w:r>
          </w:p>
        </w:tc>
        <w:tc>
          <w:tcPr>
            <w:tcW w:w="992" w:type="dxa"/>
            <w:tcBorders>
              <w:bottom w:val="single" w:sz="4" w:space="0" w:color="auto"/>
            </w:tcBorders>
          </w:tcPr>
          <w:p w:rsidR="00000000" w:rsidRDefault="00000000">
            <w:pPr>
              <w:pStyle w:val="BodyTextIndent"/>
              <w:spacing w:line="288" w:lineRule="auto"/>
              <w:ind w:firstLine="0"/>
              <w:jc w:val="center"/>
              <w:rPr>
                <w:sz w:val="24"/>
              </w:rPr>
            </w:pPr>
            <w:r>
              <w:rPr>
                <w:sz w:val="24"/>
              </w:rPr>
              <w:t>Браки</w:t>
            </w:r>
          </w:p>
        </w:tc>
        <w:tc>
          <w:tcPr>
            <w:tcW w:w="1276" w:type="dxa"/>
            <w:tcBorders>
              <w:bottom w:val="single" w:sz="4" w:space="0" w:color="auto"/>
            </w:tcBorders>
          </w:tcPr>
          <w:p w:rsidR="00000000" w:rsidRDefault="00000000">
            <w:pPr>
              <w:pStyle w:val="BodyTextIndent"/>
              <w:spacing w:line="288" w:lineRule="auto"/>
              <w:ind w:firstLine="0"/>
              <w:jc w:val="center"/>
              <w:rPr>
                <w:sz w:val="24"/>
              </w:rPr>
            </w:pPr>
            <w:r>
              <w:rPr>
                <w:sz w:val="24"/>
              </w:rPr>
              <w:t>Разводы</w:t>
            </w:r>
          </w:p>
        </w:tc>
        <w:tc>
          <w:tcPr>
            <w:tcW w:w="2693" w:type="dxa"/>
            <w:tcBorders>
              <w:bottom w:val="single" w:sz="4" w:space="0" w:color="auto"/>
            </w:tcBorders>
          </w:tcPr>
          <w:p w:rsidR="00000000" w:rsidRDefault="00000000">
            <w:pPr>
              <w:pStyle w:val="BodyTextIndent"/>
              <w:spacing w:line="288" w:lineRule="auto"/>
              <w:ind w:firstLine="0"/>
              <w:jc w:val="center"/>
              <w:rPr>
                <w:sz w:val="24"/>
              </w:rPr>
            </w:pPr>
            <w:r>
              <w:rPr>
                <w:sz w:val="24"/>
              </w:rPr>
              <w:t>Браки (на 1 000 чел.)</w:t>
            </w:r>
          </w:p>
        </w:tc>
        <w:tc>
          <w:tcPr>
            <w:tcW w:w="2935" w:type="dxa"/>
            <w:tcBorders>
              <w:bottom w:val="single" w:sz="4" w:space="0" w:color="auto"/>
            </w:tcBorders>
          </w:tcPr>
          <w:p w:rsidR="00000000" w:rsidRDefault="00000000">
            <w:pPr>
              <w:pStyle w:val="BodyTextIndent"/>
              <w:spacing w:line="288" w:lineRule="auto"/>
              <w:ind w:firstLine="0"/>
              <w:jc w:val="center"/>
              <w:rPr>
                <w:sz w:val="24"/>
              </w:rPr>
            </w:pPr>
            <w:r>
              <w:rPr>
                <w:sz w:val="24"/>
              </w:rPr>
              <w:t>Разводы (на 1 000 чел.)</w:t>
            </w:r>
          </w:p>
        </w:tc>
      </w:tr>
      <w:tr w:rsidR="00000000">
        <w:tblPrEx>
          <w:tblCellMar>
            <w:top w:w="0" w:type="dxa"/>
            <w:bottom w:w="0" w:type="dxa"/>
          </w:tblCellMar>
        </w:tblPrEx>
        <w:tc>
          <w:tcPr>
            <w:tcW w:w="959" w:type="dxa"/>
            <w:tcBorders>
              <w:bottom w:val="nil"/>
            </w:tcBorders>
          </w:tcPr>
          <w:p w:rsidR="00000000" w:rsidRDefault="00000000">
            <w:pPr>
              <w:pStyle w:val="BodyTextIndent"/>
              <w:spacing w:line="288" w:lineRule="auto"/>
              <w:ind w:firstLine="0"/>
              <w:jc w:val="left"/>
              <w:rPr>
                <w:sz w:val="24"/>
              </w:rPr>
            </w:pPr>
            <w:r>
              <w:rPr>
                <w:sz w:val="24"/>
              </w:rPr>
              <w:t>1990</w:t>
            </w:r>
          </w:p>
        </w:tc>
        <w:tc>
          <w:tcPr>
            <w:tcW w:w="992" w:type="dxa"/>
            <w:tcBorders>
              <w:bottom w:val="nil"/>
            </w:tcBorders>
          </w:tcPr>
          <w:p w:rsidR="00000000" w:rsidRDefault="00000000">
            <w:pPr>
              <w:pStyle w:val="BodyTextIndent"/>
              <w:spacing w:line="288" w:lineRule="auto"/>
              <w:ind w:firstLine="0"/>
              <w:jc w:val="center"/>
              <w:rPr>
                <w:sz w:val="24"/>
              </w:rPr>
            </w:pPr>
            <w:r>
              <w:rPr>
                <w:sz w:val="24"/>
              </w:rPr>
              <w:t>36 800</w:t>
            </w:r>
          </w:p>
        </w:tc>
        <w:tc>
          <w:tcPr>
            <w:tcW w:w="1276" w:type="dxa"/>
            <w:tcBorders>
              <w:bottom w:val="nil"/>
            </w:tcBorders>
          </w:tcPr>
          <w:p w:rsidR="00000000" w:rsidRDefault="00000000">
            <w:pPr>
              <w:pStyle w:val="BodyTextIndent"/>
              <w:spacing w:line="288" w:lineRule="auto"/>
              <w:ind w:firstLine="0"/>
              <w:jc w:val="center"/>
              <w:rPr>
                <w:sz w:val="24"/>
              </w:rPr>
            </w:pPr>
            <w:r>
              <w:rPr>
                <w:sz w:val="24"/>
              </w:rPr>
              <w:t>7 800</w:t>
            </w:r>
          </w:p>
        </w:tc>
        <w:tc>
          <w:tcPr>
            <w:tcW w:w="2693" w:type="dxa"/>
            <w:tcBorders>
              <w:bottom w:val="nil"/>
            </w:tcBorders>
          </w:tcPr>
          <w:p w:rsidR="00000000" w:rsidRDefault="00000000">
            <w:pPr>
              <w:pStyle w:val="BodyTextIndent"/>
              <w:spacing w:line="288" w:lineRule="auto"/>
              <w:ind w:firstLine="0"/>
              <w:jc w:val="center"/>
              <w:rPr>
                <w:sz w:val="24"/>
              </w:rPr>
            </w:pPr>
            <w:r>
              <w:rPr>
                <w:sz w:val="24"/>
              </w:rPr>
              <w:t>6,7</w:t>
            </w:r>
          </w:p>
        </w:tc>
        <w:tc>
          <w:tcPr>
            <w:tcW w:w="2935" w:type="dxa"/>
            <w:tcBorders>
              <w:bottom w:val="nil"/>
            </w:tcBorders>
          </w:tcPr>
          <w:p w:rsidR="00000000" w:rsidRDefault="00000000">
            <w:pPr>
              <w:pStyle w:val="BodyTextIndent"/>
              <w:spacing w:line="288" w:lineRule="auto"/>
              <w:ind w:firstLine="0"/>
              <w:jc w:val="center"/>
              <w:rPr>
                <w:sz w:val="24"/>
              </w:rPr>
            </w:pPr>
            <w:r>
              <w:rPr>
                <w:sz w:val="24"/>
              </w:rPr>
              <w:t>1,4</w:t>
            </w:r>
          </w:p>
        </w:tc>
      </w:tr>
      <w:tr w:rsidR="00000000">
        <w:tblPrEx>
          <w:tblCellMar>
            <w:top w:w="0" w:type="dxa"/>
            <w:bottom w:w="0" w:type="dxa"/>
          </w:tblCellMar>
        </w:tblPrEx>
        <w:tc>
          <w:tcPr>
            <w:tcW w:w="959" w:type="dxa"/>
            <w:tcBorders>
              <w:top w:val="nil"/>
              <w:left w:val="nil"/>
              <w:bottom w:val="nil"/>
            </w:tcBorders>
          </w:tcPr>
          <w:p w:rsidR="00000000" w:rsidRDefault="00000000">
            <w:pPr>
              <w:pStyle w:val="BodyTextIndent"/>
              <w:spacing w:line="288" w:lineRule="auto"/>
              <w:ind w:firstLine="0"/>
              <w:jc w:val="left"/>
              <w:rPr>
                <w:sz w:val="24"/>
              </w:rPr>
            </w:pPr>
            <w:r>
              <w:rPr>
                <w:sz w:val="24"/>
              </w:rPr>
              <w:t>1991</w:t>
            </w:r>
          </w:p>
        </w:tc>
        <w:tc>
          <w:tcPr>
            <w:tcW w:w="992" w:type="dxa"/>
            <w:tcBorders>
              <w:top w:val="nil"/>
              <w:bottom w:val="nil"/>
            </w:tcBorders>
          </w:tcPr>
          <w:p w:rsidR="00000000" w:rsidRDefault="00000000">
            <w:pPr>
              <w:pStyle w:val="BodyTextIndent"/>
              <w:spacing w:line="288" w:lineRule="auto"/>
              <w:ind w:firstLine="0"/>
              <w:jc w:val="center"/>
              <w:rPr>
                <w:sz w:val="24"/>
              </w:rPr>
            </w:pPr>
            <w:r>
              <w:rPr>
                <w:sz w:val="24"/>
              </w:rPr>
              <w:t>38 100</w:t>
            </w:r>
          </w:p>
        </w:tc>
        <w:tc>
          <w:tcPr>
            <w:tcW w:w="1276" w:type="dxa"/>
            <w:tcBorders>
              <w:top w:val="nil"/>
              <w:bottom w:val="nil"/>
            </w:tcBorders>
          </w:tcPr>
          <w:p w:rsidR="00000000" w:rsidRDefault="00000000">
            <w:pPr>
              <w:pStyle w:val="BodyTextIndent"/>
              <w:spacing w:line="288" w:lineRule="auto"/>
              <w:ind w:firstLine="0"/>
              <w:jc w:val="center"/>
              <w:rPr>
                <w:sz w:val="24"/>
              </w:rPr>
            </w:pPr>
            <w:r>
              <w:rPr>
                <w:sz w:val="24"/>
              </w:rPr>
              <w:t>7 400</w:t>
            </w:r>
          </w:p>
        </w:tc>
        <w:tc>
          <w:tcPr>
            <w:tcW w:w="2693" w:type="dxa"/>
            <w:tcBorders>
              <w:top w:val="nil"/>
              <w:bottom w:val="nil"/>
            </w:tcBorders>
          </w:tcPr>
          <w:p w:rsidR="00000000" w:rsidRDefault="00000000">
            <w:pPr>
              <w:pStyle w:val="BodyTextIndent"/>
              <w:spacing w:line="288" w:lineRule="auto"/>
              <w:ind w:firstLine="0"/>
              <w:jc w:val="center"/>
              <w:rPr>
                <w:sz w:val="24"/>
              </w:rPr>
            </w:pPr>
            <w:r>
              <w:rPr>
                <w:sz w:val="24"/>
              </w:rPr>
              <w:t>7,1</w:t>
            </w:r>
          </w:p>
        </w:tc>
        <w:tc>
          <w:tcPr>
            <w:tcW w:w="2935" w:type="dxa"/>
            <w:tcBorders>
              <w:top w:val="nil"/>
              <w:bottom w:val="nil"/>
              <w:right w:val="nil"/>
            </w:tcBorders>
          </w:tcPr>
          <w:p w:rsidR="00000000" w:rsidRDefault="00000000">
            <w:pPr>
              <w:pStyle w:val="BodyTextIndent"/>
              <w:spacing w:line="288" w:lineRule="auto"/>
              <w:ind w:firstLine="0"/>
              <w:jc w:val="center"/>
              <w:rPr>
                <w:sz w:val="24"/>
              </w:rPr>
            </w:pPr>
            <w:r>
              <w:rPr>
                <w:sz w:val="24"/>
              </w:rPr>
              <w:t>1,4</w:t>
            </w:r>
          </w:p>
        </w:tc>
      </w:tr>
      <w:tr w:rsidR="00000000">
        <w:tblPrEx>
          <w:tblCellMar>
            <w:top w:w="0" w:type="dxa"/>
            <w:bottom w:w="0" w:type="dxa"/>
          </w:tblCellMar>
        </w:tblPrEx>
        <w:tc>
          <w:tcPr>
            <w:tcW w:w="959" w:type="dxa"/>
            <w:tcBorders>
              <w:top w:val="nil"/>
              <w:bottom w:val="nil"/>
            </w:tcBorders>
          </w:tcPr>
          <w:p w:rsidR="00000000" w:rsidRDefault="00000000">
            <w:pPr>
              <w:pStyle w:val="BodyTextIndent"/>
              <w:spacing w:line="288" w:lineRule="auto"/>
              <w:ind w:firstLine="0"/>
              <w:jc w:val="left"/>
              <w:rPr>
                <w:sz w:val="24"/>
              </w:rPr>
            </w:pPr>
            <w:r>
              <w:rPr>
                <w:sz w:val="24"/>
              </w:rPr>
              <w:t>1992</w:t>
            </w:r>
          </w:p>
        </w:tc>
        <w:tc>
          <w:tcPr>
            <w:tcW w:w="992" w:type="dxa"/>
            <w:tcBorders>
              <w:top w:val="nil"/>
              <w:bottom w:val="nil"/>
            </w:tcBorders>
          </w:tcPr>
          <w:p w:rsidR="00000000" w:rsidRDefault="00000000">
            <w:pPr>
              <w:pStyle w:val="BodyTextIndent"/>
              <w:spacing w:line="288" w:lineRule="auto"/>
              <w:ind w:firstLine="0"/>
              <w:jc w:val="center"/>
              <w:rPr>
                <w:sz w:val="24"/>
              </w:rPr>
            </w:pPr>
            <w:r>
              <w:rPr>
                <w:sz w:val="24"/>
              </w:rPr>
              <w:t>26 900</w:t>
            </w:r>
          </w:p>
        </w:tc>
        <w:tc>
          <w:tcPr>
            <w:tcW w:w="1276" w:type="dxa"/>
            <w:tcBorders>
              <w:top w:val="nil"/>
              <w:bottom w:val="nil"/>
            </w:tcBorders>
          </w:tcPr>
          <w:p w:rsidR="00000000" w:rsidRDefault="00000000">
            <w:pPr>
              <w:pStyle w:val="BodyTextIndent"/>
              <w:spacing w:line="288" w:lineRule="auto"/>
              <w:ind w:firstLine="0"/>
              <w:jc w:val="center"/>
              <w:rPr>
                <w:sz w:val="24"/>
              </w:rPr>
            </w:pPr>
            <w:r>
              <w:rPr>
                <w:sz w:val="24"/>
              </w:rPr>
              <w:t>4 900</w:t>
            </w:r>
          </w:p>
        </w:tc>
        <w:tc>
          <w:tcPr>
            <w:tcW w:w="2693" w:type="dxa"/>
            <w:tcBorders>
              <w:top w:val="nil"/>
              <w:bottom w:val="nil"/>
            </w:tcBorders>
          </w:tcPr>
          <w:p w:rsidR="00000000" w:rsidRDefault="00000000">
            <w:pPr>
              <w:pStyle w:val="BodyTextIndent"/>
              <w:spacing w:line="288" w:lineRule="auto"/>
              <w:ind w:firstLine="0"/>
              <w:jc w:val="center"/>
              <w:rPr>
                <w:sz w:val="24"/>
              </w:rPr>
            </w:pPr>
            <w:r>
              <w:rPr>
                <w:sz w:val="24"/>
              </w:rPr>
              <w:t>5,5</w:t>
            </w:r>
          </w:p>
        </w:tc>
        <w:tc>
          <w:tcPr>
            <w:tcW w:w="2935" w:type="dxa"/>
            <w:tcBorders>
              <w:top w:val="nil"/>
              <w:bottom w:val="nil"/>
            </w:tcBorders>
          </w:tcPr>
          <w:p w:rsidR="00000000" w:rsidRDefault="00000000">
            <w:pPr>
              <w:pStyle w:val="BodyTextIndent"/>
              <w:spacing w:line="288" w:lineRule="auto"/>
              <w:ind w:firstLine="0"/>
              <w:jc w:val="center"/>
              <w:rPr>
                <w:sz w:val="24"/>
              </w:rPr>
            </w:pPr>
            <w:r>
              <w:rPr>
                <w:sz w:val="24"/>
              </w:rPr>
              <w:t>1,0</w:t>
            </w:r>
          </w:p>
        </w:tc>
      </w:tr>
      <w:tr w:rsidR="00000000">
        <w:tblPrEx>
          <w:tblCellMar>
            <w:top w:w="0" w:type="dxa"/>
            <w:bottom w:w="0" w:type="dxa"/>
          </w:tblCellMar>
        </w:tblPrEx>
        <w:tc>
          <w:tcPr>
            <w:tcW w:w="959" w:type="dxa"/>
            <w:tcBorders>
              <w:top w:val="nil"/>
              <w:bottom w:val="nil"/>
            </w:tcBorders>
          </w:tcPr>
          <w:p w:rsidR="00000000" w:rsidRDefault="00000000">
            <w:pPr>
              <w:pStyle w:val="BodyTextIndent"/>
              <w:spacing w:line="288" w:lineRule="auto"/>
              <w:ind w:firstLine="0"/>
              <w:jc w:val="left"/>
              <w:rPr>
                <w:sz w:val="24"/>
              </w:rPr>
            </w:pPr>
            <w:r>
              <w:rPr>
                <w:sz w:val="24"/>
              </w:rPr>
              <w:t>1993</w:t>
            </w:r>
          </w:p>
        </w:tc>
        <w:tc>
          <w:tcPr>
            <w:tcW w:w="992" w:type="dxa"/>
            <w:tcBorders>
              <w:top w:val="nil"/>
              <w:bottom w:val="nil"/>
            </w:tcBorders>
          </w:tcPr>
          <w:p w:rsidR="00000000" w:rsidRDefault="00000000">
            <w:pPr>
              <w:pStyle w:val="BodyTextIndent"/>
              <w:spacing w:line="288" w:lineRule="auto"/>
              <w:ind w:firstLine="0"/>
              <w:jc w:val="center"/>
              <w:rPr>
                <w:sz w:val="24"/>
              </w:rPr>
            </w:pPr>
            <w:r>
              <w:rPr>
                <w:sz w:val="24"/>
              </w:rPr>
              <w:t>24 100</w:t>
            </w:r>
          </w:p>
        </w:tc>
        <w:tc>
          <w:tcPr>
            <w:tcW w:w="1276" w:type="dxa"/>
            <w:tcBorders>
              <w:top w:val="nil"/>
              <w:bottom w:val="nil"/>
            </w:tcBorders>
          </w:tcPr>
          <w:p w:rsidR="00000000" w:rsidRDefault="00000000">
            <w:pPr>
              <w:pStyle w:val="BodyTextIndent"/>
              <w:spacing w:line="288" w:lineRule="auto"/>
              <w:ind w:firstLine="0"/>
              <w:jc w:val="center"/>
              <w:rPr>
                <w:sz w:val="24"/>
              </w:rPr>
            </w:pPr>
            <w:r>
              <w:rPr>
                <w:sz w:val="24"/>
              </w:rPr>
              <w:t>3 200</w:t>
            </w:r>
          </w:p>
        </w:tc>
        <w:tc>
          <w:tcPr>
            <w:tcW w:w="2693" w:type="dxa"/>
            <w:tcBorders>
              <w:top w:val="nil"/>
              <w:bottom w:val="nil"/>
            </w:tcBorders>
          </w:tcPr>
          <w:p w:rsidR="00000000" w:rsidRDefault="00000000">
            <w:pPr>
              <w:pStyle w:val="BodyTextIndent"/>
              <w:spacing w:line="288" w:lineRule="auto"/>
              <w:ind w:firstLine="0"/>
              <w:jc w:val="center"/>
              <w:rPr>
                <w:sz w:val="24"/>
              </w:rPr>
            </w:pPr>
            <w:r>
              <w:rPr>
                <w:sz w:val="24"/>
              </w:rPr>
              <w:t>4,9</w:t>
            </w:r>
          </w:p>
        </w:tc>
        <w:tc>
          <w:tcPr>
            <w:tcW w:w="2935" w:type="dxa"/>
            <w:tcBorders>
              <w:top w:val="nil"/>
              <w:bottom w:val="nil"/>
            </w:tcBorders>
          </w:tcPr>
          <w:p w:rsidR="00000000" w:rsidRDefault="00000000">
            <w:pPr>
              <w:pStyle w:val="BodyTextIndent"/>
              <w:spacing w:line="288" w:lineRule="auto"/>
              <w:ind w:firstLine="0"/>
              <w:jc w:val="center"/>
              <w:rPr>
                <w:sz w:val="24"/>
              </w:rPr>
            </w:pPr>
            <w:r>
              <w:rPr>
                <w:sz w:val="24"/>
              </w:rPr>
              <w:t>0,7</w:t>
            </w:r>
          </w:p>
        </w:tc>
      </w:tr>
      <w:tr w:rsidR="00000000">
        <w:tblPrEx>
          <w:tblCellMar>
            <w:top w:w="0" w:type="dxa"/>
            <w:bottom w:w="0" w:type="dxa"/>
          </w:tblCellMar>
        </w:tblPrEx>
        <w:tc>
          <w:tcPr>
            <w:tcW w:w="959" w:type="dxa"/>
            <w:tcBorders>
              <w:top w:val="nil"/>
              <w:bottom w:val="nil"/>
            </w:tcBorders>
          </w:tcPr>
          <w:p w:rsidR="00000000" w:rsidRDefault="00000000">
            <w:pPr>
              <w:pStyle w:val="BodyTextIndent"/>
              <w:spacing w:line="288" w:lineRule="auto"/>
              <w:ind w:firstLine="0"/>
              <w:jc w:val="left"/>
              <w:rPr>
                <w:sz w:val="24"/>
              </w:rPr>
            </w:pPr>
            <w:r>
              <w:rPr>
                <w:sz w:val="24"/>
              </w:rPr>
              <w:t>1994</w:t>
            </w:r>
          </w:p>
        </w:tc>
        <w:tc>
          <w:tcPr>
            <w:tcW w:w="992" w:type="dxa"/>
            <w:tcBorders>
              <w:top w:val="nil"/>
              <w:bottom w:val="nil"/>
            </w:tcBorders>
          </w:tcPr>
          <w:p w:rsidR="00000000" w:rsidRDefault="00000000">
            <w:pPr>
              <w:pStyle w:val="BodyTextIndent"/>
              <w:spacing w:line="288" w:lineRule="auto"/>
              <w:ind w:firstLine="0"/>
              <w:jc w:val="center"/>
              <w:rPr>
                <w:sz w:val="24"/>
              </w:rPr>
            </w:pPr>
            <w:r>
              <w:rPr>
                <w:sz w:val="24"/>
              </w:rPr>
              <w:t>21 900</w:t>
            </w:r>
          </w:p>
        </w:tc>
        <w:tc>
          <w:tcPr>
            <w:tcW w:w="1276" w:type="dxa"/>
            <w:tcBorders>
              <w:top w:val="nil"/>
              <w:bottom w:val="nil"/>
            </w:tcBorders>
          </w:tcPr>
          <w:p w:rsidR="00000000" w:rsidRDefault="00000000">
            <w:pPr>
              <w:pStyle w:val="BodyTextIndent"/>
              <w:spacing w:line="288" w:lineRule="auto"/>
              <w:ind w:firstLine="0"/>
              <w:jc w:val="center"/>
              <w:rPr>
                <w:sz w:val="24"/>
              </w:rPr>
            </w:pPr>
            <w:r>
              <w:rPr>
                <w:sz w:val="24"/>
              </w:rPr>
              <w:t>3 100</w:t>
            </w:r>
          </w:p>
        </w:tc>
        <w:tc>
          <w:tcPr>
            <w:tcW w:w="2693" w:type="dxa"/>
            <w:tcBorders>
              <w:top w:val="nil"/>
              <w:bottom w:val="nil"/>
            </w:tcBorders>
          </w:tcPr>
          <w:p w:rsidR="00000000" w:rsidRDefault="00000000">
            <w:pPr>
              <w:pStyle w:val="BodyTextIndent"/>
              <w:spacing w:line="288" w:lineRule="auto"/>
              <w:ind w:firstLine="0"/>
              <w:jc w:val="center"/>
              <w:rPr>
                <w:sz w:val="24"/>
              </w:rPr>
            </w:pPr>
            <w:r>
              <w:rPr>
                <w:sz w:val="24"/>
              </w:rPr>
              <w:t>4,5</w:t>
            </w:r>
          </w:p>
        </w:tc>
        <w:tc>
          <w:tcPr>
            <w:tcW w:w="2935" w:type="dxa"/>
            <w:tcBorders>
              <w:top w:val="nil"/>
              <w:bottom w:val="nil"/>
            </w:tcBorders>
          </w:tcPr>
          <w:p w:rsidR="00000000" w:rsidRDefault="00000000">
            <w:pPr>
              <w:pStyle w:val="BodyTextIndent"/>
              <w:spacing w:line="288" w:lineRule="auto"/>
              <w:ind w:firstLine="0"/>
              <w:jc w:val="center"/>
              <w:rPr>
                <w:sz w:val="24"/>
              </w:rPr>
            </w:pPr>
            <w:r>
              <w:rPr>
                <w:sz w:val="24"/>
              </w:rPr>
              <w:t>0,6</w:t>
            </w:r>
          </w:p>
        </w:tc>
      </w:tr>
      <w:tr w:rsidR="00000000">
        <w:tblPrEx>
          <w:tblCellMar>
            <w:top w:w="0" w:type="dxa"/>
            <w:bottom w:w="0" w:type="dxa"/>
          </w:tblCellMar>
        </w:tblPrEx>
        <w:tc>
          <w:tcPr>
            <w:tcW w:w="959" w:type="dxa"/>
            <w:tcBorders>
              <w:top w:val="nil"/>
              <w:bottom w:val="nil"/>
            </w:tcBorders>
          </w:tcPr>
          <w:p w:rsidR="00000000" w:rsidRDefault="00000000">
            <w:pPr>
              <w:pStyle w:val="BodyTextIndent"/>
              <w:spacing w:line="288" w:lineRule="auto"/>
              <w:ind w:firstLine="0"/>
              <w:jc w:val="left"/>
              <w:rPr>
                <w:sz w:val="24"/>
              </w:rPr>
            </w:pPr>
            <w:r>
              <w:rPr>
                <w:sz w:val="24"/>
              </w:rPr>
              <w:t>1995</w:t>
            </w:r>
          </w:p>
        </w:tc>
        <w:tc>
          <w:tcPr>
            <w:tcW w:w="992" w:type="dxa"/>
            <w:tcBorders>
              <w:top w:val="nil"/>
              <w:bottom w:val="nil"/>
            </w:tcBorders>
          </w:tcPr>
          <w:p w:rsidR="00000000" w:rsidRDefault="00000000">
            <w:pPr>
              <w:pStyle w:val="BodyTextIndent"/>
              <w:spacing w:line="288" w:lineRule="auto"/>
              <w:ind w:firstLine="0"/>
              <w:jc w:val="center"/>
              <w:rPr>
                <w:sz w:val="24"/>
              </w:rPr>
            </w:pPr>
            <w:r>
              <w:rPr>
                <w:sz w:val="24"/>
              </w:rPr>
              <w:t>21 500</w:t>
            </w:r>
          </w:p>
        </w:tc>
        <w:tc>
          <w:tcPr>
            <w:tcW w:w="1276" w:type="dxa"/>
            <w:tcBorders>
              <w:top w:val="nil"/>
              <w:bottom w:val="nil"/>
            </w:tcBorders>
          </w:tcPr>
          <w:p w:rsidR="00000000" w:rsidRDefault="00000000">
            <w:pPr>
              <w:pStyle w:val="BodyTextIndent"/>
              <w:spacing w:line="288" w:lineRule="auto"/>
              <w:ind w:firstLine="0"/>
              <w:jc w:val="center"/>
              <w:rPr>
                <w:sz w:val="24"/>
              </w:rPr>
            </w:pPr>
            <w:r>
              <w:rPr>
                <w:sz w:val="24"/>
              </w:rPr>
              <w:t>2 700</w:t>
            </w:r>
          </w:p>
        </w:tc>
        <w:tc>
          <w:tcPr>
            <w:tcW w:w="2693" w:type="dxa"/>
            <w:tcBorders>
              <w:top w:val="nil"/>
              <w:bottom w:val="nil"/>
            </w:tcBorders>
          </w:tcPr>
          <w:p w:rsidR="00000000" w:rsidRDefault="00000000">
            <w:pPr>
              <w:pStyle w:val="BodyTextIndent"/>
              <w:spacing w:line="288" w:lineRule="auto"/>
              <w:ind w:firstLine="0"/>
              <w:jc w:val="center"/>
              <w:rPr>
                <w:sz w:val="24"/>
              </w:rPr>
            </w:pPr>
            <w:r>
              <w:rPr>
                <w:sz w:val="24"/>
              </w:rPr>
              <w:t>4,4</w:t>
            </w:r>
          </w:p>
        </w:tc>
        <w:tc>
          <w:tcPr>
            <w:tcW w:w="2935" w:type="dxa"/>
            <w:tcBorders>
              <w:top w:val="nil"/>
              <w:bottom w:val="nil"/>
            </w:tcBorders>
          </w:tcPr>
          <w:p w:rsidR="00000000" w:rsidRDefault="00000000">
            <w:pPr>
              <w:pStyle w:val="BodyTextIndent"/>
              <w:spacing w:line="288" w:lineRule="auto"/>
              <w:ind w:firstLine="0"/>
              <w:jc w:val="center"/>
              <w:rPr>
                <w:sz w:val="24"/>
              </w:rPr>
            </w:pPr>
            <w:r>
              <w:rPr>
                <w:sz w:val="24"/>
              </w:rPr>
              <w:t>0,6</w:t>
            </w:r>
          </w:p>
        </w:tc>
      </w:tr>
      <w:tr w:rsidR="00000000">
        <w:tblPrEx>
          <w:tblCellMar>
            <w:top w:w="0" w:type="dxa"/>
            <w:bottom w:w="0" w:type="dxa"/>
          </w:tblCellMar>
        </w:tblPrEx>
        <w:tc>
          <w:tcPr>
            <w:tcW w:w="959" w:type="dxa"/>
            <w:tcBorders>
              <w:top w:val="nil"/>
              <w:bottom w:val="nil"/>
            </w:tcBorders>
          </w:tcPr>
          <w:p w:rsidR="00000000" w:rsidRDefault="00000000">
            <w:pPr>
              <w:pStyle w:val="BodyTextIndent"/>
              <w:spacing w:line="288" w:lineRule="auto"/>
              <w:ind w:firstLine="0"/>
              <w:jc w:val="left"/>
              <w:rPr>
                <w:sz w:val="24"/>
              </w:rPr>
            </w:pPr>
            <w:r>
              <w:rPr>
                <w:sz w:val="24"/>
              </w:rPr>
              <w:t>1996</w:t>
            </w:r>
          </w:p>
        </w:tc>
        <w:tc>
          <w:tcPr>
            <w:tcW w:w="992" w:type="dxa"/>
            <w:tcBorders>
              <w:top w:val="nil"/>
              <w:bottom w:val="nil"/>
            </w:tcBorders>
          </w:tcPr>
          <w:p w:rsidR="00000000" w:rsidRDefault="00000000">
            <w:pPr>
              <w:pStyle w:val="BodyTextIndent"/>
              <w:spacing w:line="288" w:lineRule="auto"/>
              <w:ind w:firstLine="0"/>
              <w:jc w:val="center"/>
              <w:rPr>
                <w:sz w:val="24"/>
              </w:rPr>
            </w:pPr>
            <w:r>
              <w:rPr>
                <w:sz w:val="24"/>
              </w:rPr>
              <w:t>19 300</w:t>
            </w:r>
          </w:p>
        </w:tc>
        <w:tc>
          <w:tcPr>
            <w:tcW w:w="1276" w:type="dxa"/>
            <w:tcBorders>
              <w:top w:val="nil"/>
              <w:bottom w:val="nil"/>
            </w:tcBorders>
          </w:tcPr>
          <w:p w:rsidR="00000000" w:rsidRDefault="00000000">
            <w:pPr>
              <w:pStyle w:val="BodyTextIndent"/>
              <w:spacing w:line="288" w:lineRule="auto"/>
              <w:ind w:firstLine="0"/>
              <w:jc w:val="center"/>
              <w:rPr>
                <w:sz w:val="24"/>
              </w:rPr>
            </w:pPr>
            <w:r>
              <w:rPr>
                <w:sz w:val="24"/>
              </w:rPr>
              <w:t>2 300</w:t>
            </w:r>
          </w:p>
        </w:tc>
        <w:tc>
          <w:tcPr>
            <w:tcW w:w="2693" w:type="dxa"/>
            <w:tcBorders>
              <w:top w:val="nil"/>
              <w:bottom w:val="nil"/>
            </w:tcBorders>
          </w:tcPr>
          <w:p w:rsidR="00000000" w:rsidRDefault="00000000">
            <w:pPr>
              <w:pStyle w:val="BodyTextIndent"/>
              <w:spacing w:line="288" w:lineRule="auto"/>
              <w:ind w:firstLine="0"/>
              <w:jc w:val="center"/>
              <w:rPr>
                <w:sz w:val="24"/>
              </w:rPr>
            </w:pPr>
            <w:r>
              <w:rPr>
                <w:sz w:val="24"/>
              </w:rPr>
              <w:t>4,0</w:t>
            </w:r>
          </w:p>
        </w:tc>
        <w:tc>
          <w:tcPr>
            <w:tcW w:w="2935" w:type="dxa"/>
            <w:tcBorders>
              <w:top w:val="nil"/>
              <w:bottom w:val="nil"/>
            </w:tcBorders>
          </w:tcPr>
          <w:p w:rsidR="00000000" w:rsidRDefault="00000000">
            <w:pPr>
              <w:pStyle w:val="BodyTextIndent"/>
              <w:spacing w:line="288" w:lineRule="auto"/>
              <w:ind w:firstLine="0"/>
              <w:jc w:val="center"/>
              <w:rPr>
                <w:sz w:val="24"/>
              </w:rPr>
            </w:pPr>
            <w:r>
              <w:rPr>
                <w:sz w:val="24"/>
              </w:rPr>
              <w:t>0,5</w:t>
            </w:r>
          </w:p>
        </w:tc>
      </w:tr>
      <w:tr w:rsidR="00000000">
        <w:tblPrEx>
          <w:tblCellMar>
            <w:top w:w="0" w:type="dxa"/>
            <w:bottom w:w="0" w:type="dxa"/>
          </w:tblCellMar>
        </w:tblPrEx>
        <w:tc>
          <w:tcPr>
            <w:tcW w:w="959" w:type="dxa"/>
            <w:tcBorders>
              <w:top w:val="nil"/>
              <w:bottom w:val="nil"/>
            </w:tcBorders>
          </w:tcPr>
          <w:p w:rsidR="00000000" w:rsidRDefault="00000000">
            <w:pPr>
              <w:pStyle w:val="BodyTextIndent"/>
              <w:spacing w:line="288" w:lineRule="auto"/>
              <w:ind w:firstLine="0"/>
              <w:jc w:val="left"/>
              <w:rPr>
                <w:sz w:val="24"/>
              </w:rPr>
            </w:pPr>
            <w:r>
              <w:rPr>
                <w:sz w:val="24"/>
              </w:rPr>
              <w:t>1997</w:t>
            </w:r>
          </w:p>
        </w:tc>
        <w:tc>
          <w:tcPr>
            <w:tcW w:w="992" w:type="dxa"/>
            <w:tcBorders>
              <w:top w:val="nil"/>
              <w:bottom w:val="nil"/>
            </w:tcBorders>
          </w:tcPr>
          <w:p w:rsidR="00000000" w:rsidRDefault="00000000">
            <w:pPr>
              <w:pStyle w:val="BodyTextIndent"/>
              <w:spacing w:line="288" w:lineRule="auto"/>
              <w:ind w:firstLine="0"/>
              <w:jc w:val="center"/>
              <w:rPr>
                <w:sz w:val="24"/>
              </w:rPr>
            </w:pPr>
            <w:r>
              <w:rPr>
                <w:sz w:val="24"/>
              </w:rPr>
              <w:t>17 100</w:t>
            </w:r>
          </w:p>
        </w:tc>
        <w:tc>
          <w:tcPr>
            <w:tcW w:w="1276" w:type="dxa"/>
            <w:tcBorders>
              <w:top w:val="nil"/>
              <w:bottom w:val="nil"/>
            </w:tcBorders>
          </w:tcPr>
          <w:p w:rsidR="00000000" w:rsidRDefault="00000000">
            <w:pPr>
              <w:pStyle w:val="BodyTextIndent"/>
              <w:spacing w:line="288" w:lineRule="auto"/>
              <w:ind w:firstLine="0"/>
              <w:jc w:val="center"/>
              <w:rPr>
                <w:sz w:val="24"/>
              </w:rPr>
            </w:pPr>
            <w:r>
              <w:rPr>
                <w:sz w:val="24"/>
              </w:rPr>
              <w:t>2 300</w:t>
            </w:r>
          </w:p>
        </w:tc>
        <w:tc>
          <w:tcPr>
            <w:tcW w:w="2693" w:type="dxa"/>
            <w:tcBorders>
              <w:top w:val="nil"/>
              <w:bottom w:val="nil"/>
            </w:tcBorders>
          </w:tcPr>
          <w:p w:rsidR="00000000" w:rsidRDefault="00000000">
            <w:pPr>
              <w:pStyle w:val="BodyTextIndent"/>
              <w:spacing w:line="288" w:lineRule="auto"/>
              <w:ind w:firstLine="0"/>
              <w:jc w:val="center"/>
              <w:rPr>
                <w:sz w:val="24"/>
              </w:rPr>
            </w:pPr>
            <w:r>
              <w:rPr>
                <w:sz w:val="24"/>
              </w:rPr>
              <w:t>3,5</w:t>
            </w:r>
          </w:p>
        </w:tc>
        <w:tc>
          <w:tcPr>
            <w:tcW w:w="2935" w:type="dxa"/>
            <w:tcBorders>
              <w:top w:val="nil"/>
              <w:bottom w:val="nil"/>
            </w:tcBorders>
          </w:tcPr>
          <w:p w:rsidR="00000000" w:rsidRDefault="00000000">
            <w:pPr>
              <w:pStyle w:val="BodyTextIndent"/>
              <w:spacing w:line="288" w:lineRule="auto"/>
              <w:ind w:firstLine="0"/>
              <w:jc w:val="center"/>
              <w:rPr>
                <w:sz w:val="24"/>
              </w:rPr>
            </w:pPr>
            <w:r>
              <w:rPr>
                <w:sz w:val="24"/>
              </w:rPr>
              <w:t>0,5</w:t>
            </w:r>
          </w:p>
        </w:tc>
      </w:tr>
      <w:tr w:rsidR="00000000">
        <w:tblPrEx>
          <w:tblCellMar>
            <w:top w:w="0" w:type="dxa"/>
            <w:bottom w:w="0" w:type="dxa"/>
          </w:tblCellMar>
        </w:tblPrEx>
        <w:tc>
          <w:tcPr>
            <w:tcW w:w="959" w:type="dxa"/>
            <w:tcBorders>
              <w:top w:val="nil"/>
            </w:tcBorders>
          </w:tcPr>
          <w:p w:rsidR="00000000" w:rsidRDefault="00000000">
            <w:pPr>
              <w:pStyle w:val="BodyTextIndent"/>
              <w:spacing w:line="288" w:lineRule="auto"/>
              <w:ind w:firstLine="0"/>
              <w:jc w:val="left"/>
              <w:rPr>
                <w:sz w:val="24"/>
              </w:rPr>
            </w:pPr>
            <w:r>
              <w:rPr>
                <w:sz w:val="24"/>
              </w:rPr>
              <w:t>1998</w:t>
            </w:r>
          </w:p>
        </w:tc>
        <w:tc>
          <w:tcPr>
            <w:tcW w:w="992" w:type="dxa"/>
            <w:tcBorders>
              <w:top w:val="nil"/>
            </w:tcBorders>
          </w:tcPr>
          <w:p w:rsidR="00000000" w:rsidRDefault="00000000">
            <w:pPr>
              <w:pStyle w:val="BodyTextIndent"/>
              <w:spacing w:line="288" w:lineRule="auto"/>
              <w:ind w:firstLine="0"/>
              <w:jc w:val="center"/>
              <w:rPr>
                <w:sz w:val="24"/>
              </w:rPr>
            </w:pPr>
            <w:r>
              <w:rPr>
                <w:sz w:val="24"/>
              </w:rPr>
              <w:t>15 300</w:t>
            </w:r>
          </w:p>
        </w:tc>
        <w:tc>
          <w:tcPr>
            <w:tcW w:w="1276" w:type="dxa"/>
            <w:tcBorders>
              <w:top w:val="nil"/>
            </w:tcBorders>
          </w:tcPr>
          <w:p w:rsidR="00000000" w:rsidRDefault="00000000">
            <w:pPr>
              <w:pStyle w:val="BodyTextIndent"/>
              <w:spacing w:line="288" w:lineRule="auto"/>
              <w:ind w:firstLine="0"/>
              <w:jc w:val="center"/>
              <w:rPr>
                <w:sz w:val="24"/>
              </w:rPr>
            </w:pPr>
            <w:r>
              <w:rPr>
                <w:sz w:val="24"/>
              </w:rPr>
              <w:t>1 800</w:t>
            </w:r>
          </w:p>
        </w:tc>
        <w:tc>
          <w:tcPr>
            <w:tcW w:w="2693" w:type="dxa"/>
            <w:tcBorders>
              <w:top w:val="nil"/>
            </w:tcBorders>
          </w:tcPr>
          <w:p w:rsidR="00000000" w:rsidRDefault="00000000">
            <w:pPr>
              <w:pStyle w:val="BodyTextIndent"/>
              <w:spacing w:line="288" w:lineRule="auto"/>
              <w:ind w:firstLine="0"/>
              <w:jc w:val="center"/>
              <w:rPr>
                <w:sz w:val="24"/>
              </w:rPr>
            </w:pPr>
            <w:r>
              <w:rPr>
                <w:sz w:val="24"/>
              </w:rPr>
              <w:t>3,0</w:t>
            </w:r>
          </w:p>
        </w:tc>
        <w:tc>
          <w:tcPr>
            <w:tcW w:w="2935" w:type="dxa"/>
            <w:tcBorders>
              <w:top w:val="nil"/>
            </w:tcBorders>
          </w:tcPr>
          <w:p w:rsidR="00000000" w:rsidRDefault="00000000">
            <w:pPr>
              <w:pStyle w:val="BodyTextIndent"/>
              <w:spacing w:line="288" w:lineRule="auto"/>
              <w:ind w:firstLine="0"/>
              <w:jc w:val="center"/>
              <w:rPr>
                <w:sz w:val="24"/>
              </w:rPr>
            </w:pPr>
            <w:r>
              <w:rPr>
                <w:sz w:val="24"/>
              </w:rPr>
              <w:t>0,3</w:t>
            </w:r>
          </w:p>
        </w:tc>
      </w:tr>
    </w:tbl>
    <w:p w:rsidR="00000000" w:rsidRDefault="00000000">
      <w:pPr>
        <w:pStyle w:val="BodyTextIndent2"/>
        <w:ind w:left="0"/>
        <w:jc w:val="both"/>
        <w:rPr>
          <w:u w:val="single"/>
        </w:rPr>
      </w:pPr>
    </w:p>
    <w:p w:rsidR="00000000" w:rsidRDefault="00000000">
      <w:pPr>
        <w:pStyle w:val="BodyTextIndent2"/>
        <w:ind w:left="0"/>
        <w:jc w:val="both"/>
        <w:rPr>
          <w:u w:val="single"/>
        </w:rPr>
      </w:pPr>
      <w:r>
        <w:rPr>
          <w:u w:val="single"/>
        </w:rPr>
        <w:t>Право на владение имуществом как единолично, так и совместно с другими</w:t>
      </w:r>
    </w:p>
    <w:p w:rsidR="00000000" w:rsidRDefault="00000000">
      <w:pPr>
        <w:jc w:val="right"/>
      </w:pPr>
    </w:p>
    <w:p w:rsidR="00000000" w:rsidRDefault="00000000">
      <w:r>
        <w:t>145.</w:t>
      </w:r>
      <w:r>
        <w:tab/>
        <w:t>Согласно статье 21 Конституции собственность и право наследования признаются и гарантируются. Запрещается отмена всеобщего права на приобретение, отчуждение или наследование собственности.  В определенных законом случаях и в установленном порядке для необходимых общественных нужд допускается ограничение вышеуказанных прав.  Лишение собственности для необходимых общественных нужд допускается лишь в непосредственно предусмотренных законом случаях, по решению суда или при возникновении неотложной необходимости, установленной органическим законом, и только при соответствующем вознаграждении.</w:t>
      </w:r>
    </w:p>
    <w:p w:rsidR="00000000" w:rsidRDefault="00000000"/>
    <w:p w:rsidR="00000000" w:rsidRDefault="00000000">
      <w:r>
        <w:t>146.</w:t>
      </w:r>
      <w:r>
        <w:tab/>
        <w:t>Конституция оговаривает, что во время чрезвычайного или военного положения по решению Президента Грузии, утвержденному Парламентом (статья 46, пункт 1),  допускается ограничение в стране или ее части права собственности.</w:t>
      </w:r>
    </w:p>
    <w:p w:rsidR="00000000" w:rsidRDefault="00000000"/>
    <w:p w:rsidR="00000000" w:rsidRDefault="00000000">
      <w:r>
        <w:t>147.</w:t>
      </w:r>
      <w:r>
        <w:tab/>
        <w:t>Осуществление права на владение имуществом регламентируется Гражданским кодексом (Книга вторая – "Вещественное (имущественное) право"), в котором "имущество" определяется как всякая вещь и нематериальное имущественное благо, владеть, пользоваться и распоряжаться которым могут физические и юридические лица и приобретать которое можно без каких-либо ограничений, если это не ограничено законом или не противоречит нравственным нормам (статья 147).  В соответствующих статьях Кодекса не содержится положений дискриминационного характера, обусловливающих осуществление права на владение имуществом.  Сказанное относится как к недвижимому имуществу, так и к движимому.</w:t>
      </w:r>
    </w:p>
    <w:p w:rsidR="00000000" w:rsidRDefault="00000000"/>
    <w:p w:rsidR="00000000" w:rsidRDefault="00000000">
      <w:r>
        <w:t>148.</w:t>
      </w:r>
      <w:r>
        <w:tab/>
        <w:t>Исключение в этом смысле составляет право собственности на землю. Так, в законе "Об объявлении частной собственности земли несельскохозяйственного назначения, находящейся в пользовании у физических лиц и юридических лиц в рамках частного права", оговаривается, что "право частной собственности на землю несельскохозяйственного назначения предоставляется гражданину Грузии. /…/ На эти участки земли распространяются предусмотренные для недвижимого имущества Гражданским кодексом правила" (статья 3, пункт 1).  Согласно закону "О собственности на землю сельскохозяйственного назначения" земля сельскохозяйственного назначения может быть передана в собственность только гражданину Грузии. Лицам, не имеющим гражданства Грузии, и гражданам иностранных государств земля сельскохозяйственного назначения может быть передана только в аренду (статья 5, пункт 2).</w:t>
      </w:r>
    </w:p>
    <w:p w:rsidR="00000000" w:rsidRDefault="00000000"/>
    <w:p w:rsidR="00000000" w:rsidRDefault="00000000">
      <w:r>
        <w:t>149.</w:t>
      </w:r>
      <w:r>
        <w:tab/>
        <w:t>В соответствии с положениями  Гражданского кодекса право собственности на недвижимое имущество и другие вещественные права подлежат внесению в публичный реестр, который доступен для  ознакомления любому заинтересованному лицу (статья 312).</w:t>
      </w:r>
    </w:p>
    <w:p w:rsidR="00000000" w:rsidRDefault="00000000"/>
    <w:p w:rsidR="00000000" w:rsidRDefault="00000000">
      <w:r>
        <w:t>150.</w:t>
      </w:r>
      <w:r>
        <w:tab/>
        <w:t>В рамках проводимой в Грузии земельной реформы во исполнение закона "О собственности на землю сельскохозяйственного назначения" 984 000 граждан Грузии получили регистрационные свидетельства о безвозмездной передаче им земельных участков.  Земельные участки распределялись дифференцированно, на основе инвентаризации земельного фонда, решением созданных на местах комиссий по земельной реформе.</w:t>
      </w:r>
    </w:p>
    <w:p w:rsidR="00000000" w:rsidRDefault="00000000"/>
    <w:p w:rsidR="00000000" w:rsidRDefault="00000000">
      <w:r>
        <w:t>151.</w:t>
      </w:r>
      <w:r>
        <w:tab/>
        <w:t>В целом законодательство Грузии, по признанию международных экспертов, достаточно эффективно защищает имущественные права, защищая их от незаконных посягательств, предусматривая средства для восстановления нарушенных прав и возлагая  соответствующую ответственность на виновного в нанесении ущерба.  Уголовным кодексом Грузии предусматриваются серьезные санкции за преступления против собственности, в том числе и такие, как уничтожение и повреждение вещи (статья 187), приобретение или продажа заведомо преступным путем добытой вещи (статья 186) и др.</w:t>
      </w:r>
    </w:p>
    <w:p w:rsidR="00000000" w:rsidRDefault="00000000"/>
    <w:p w:rsidR="00000000" w:rsidRDefault="00000000">
      <w:pPr>
        <w:pStyle w:val="Heading6"/>
        <w:rPr>
          <w:b w:val="0"/>
          <w:bCs/>
        </w:rPr>
      </w:pPr>
      <w:r>
        <w:rPr>
          <w:b w:val="0"/>
          <w:bCs/>
        </w:rPr>
        <w:t>Право наследования</w:t>
      </w:r>
    </w:p>
    <w:p w:rsidR="00000000" w:rsidRDefault="00000000"/>
    <w:p w:rsidR="00000000" w:rsidRDefault="00000000">
      <w:r>
        <w:t>152.</w:t>
      </w:r>
      <w:r>
        <w:tab/>
        <w:t>Право на наследование обеспечивается статьей 21 Конституции.  Конкретные аспекты реализации этого права регламентируются Гражданским кодексом в главе "Наследственное право". В  соответствии с Кодексом переход имущества от скончавшегося лица (наследодателя) к иным лицам (наследникам) осуществляется по закону или по завещанию либо на обоих основаниях.  Наследование по закону – переход имущества покойного к указанным законом лицам – действует в случае, если наследодатель не оставил завещания, или если завещание предусматривает часть наследства, или если завещание полностью или частично признано недействительным.</w:t>
      </w:r>
    </w:p>
    <w:p w:rsidR="00000000" w:rsidRDefault="00000000"/>
    <w:p w:rsidR="00000000" w:rsidRDefault="00000000">
      <w:r>
        <w:t>153.</w:t>
      </w:r>
      <w:r>
        <w:tab/>
        <w:t>Наследниками по закону могут быть лица, являющиеся живыми на момент смерти наследодателя, а также дети наследодателя, родившиеся живыми после его смерти. Наследниками по завещанию могут быть лица, являющиеся живыми на момент смерти наследодателя, а также те, которые были зачаты при его жизни и родились после его смерти, независимо от того, являются ли они детьми наследодателя.  Наследниками по завещанию могут быть юридические лица, созданные до момента открытия наследства.</w:t>
      </w:r>
    </w:p>
    <w:p w:rsidR="00000000" w:rsidRDefault="00000000"/>
    <w:p w:rsidR="00000000" w:rsidRDefault="00000000">
      <w:r>
        <w:t>154.</w:t>
      </w:r>
      <w:r>
        <w:tab/>
        <w:t>Ни по закону, ни по завещанию не может быть наследником лицо, которое умышленно препятствовало наследодателю в осуществлении его поcледней воли и тем самым способствовало включению себя или своих близких в число наследников или увеличению их доли в наследстве либо совершило умышленное преступление или иной аморальный поступок против высказанной завещателем в завещании последний воли, если эти обстоятельства будут удоcтоверены судом (недостойный наследник).  Вместе с тем недостойный наследник может быть допущен к наследству, если завещатель в явной форме прощает его в своем завещании.</w:t>
      </w:r>
    </w:p>
    <w:p w:rsidR="00000000" w:rsidRDefault="00000000"/>
    <w:p w:rsidR="00000000" w:rsidRDefault="00000000">
      <w:r>
        <w:t>155.</w:t>
      </w:r>
      <w:r>
        <w:tab/>
        <w:t>Наследниками детей по закону не могут быть родители, лишенные к моменту открытия наследства родительских прав, а также лица, злостно уклоняющиеся от возложенной на них обязанности содержать наследодателя, если это обстоятельство удостоверено судом.</w:t>
      </w:r>
    </w:p>
    <w:p w:rsidR="00000000" w:rsidRDefault="00000000"/>
    <w:p w:rsidR="00000000" w:rsidRDefault="00000000">
      <w:r>
        <w:t>156.</w:t>
      </w:r>
      <w:r>
        <w:tab/>
        <w:t>Если не существует наследников ни по закону, ни по завещанию, наследуемое имущество передается казне.  В случае если наследодатель содержался в учреждении иституционального ухода, наследство переходит в пользу этого учреждения.</w:t>
      </w:r>
    </w:p>
    <w:p w:rsidR="00000000" w:rsidRDefault="00000000"/>
    <w:p w:rsidR="00000000" w:rsidRDefault="00000000">
      <w:r>
        <w:t>157.</w:t>
      </w:r>
      <w:r>
        <w:tab/>
        <w:t>Любой наследник имеет право принять наследство или отказаться от него полностью.  Принять наследство может дееспособное лицо.  Недееспособные или ограниченно дееспособные лица принимают наследство посредством своих законных представителей.</w:t>
      </w:r>
    </w:p>
    <w:p w:rsidR="00000000" w:rsidRDefault="00000000"/>
    <w:p w:rsidR="00000000" w:rsidRDefault="00000000">
      <w:r>
        <w:t>158.</w:t>
      </w:r>
      <w:r>
        <w:tab/>
        <w:t>В Грузии не существует никаких ограничений права на наследование на основе гражданства.  Исключение составляет вопрос о передаче по наследству земли.  Согласно закону "О собственности на землю сельскохозяйственного назначения", если соответствующий земельный участок получает в наследство иностранец или лицо без гражданства, следует осуществить отчуждение участка в установленном законном порядке.  Закон, устанавливающий частную собственность на землю  несельскохозяйственного назначения, распространяет это право только на граждан Грузии.</w:t>
      </w:r>
    </w:p>
    <w:p w:rsidR="00000000" w:rsidRDefault="00000000">
      <w:pPr>
        <w:pStyle w:val="FootnoteText"/>
        <w:spacing w:line="288" w:lineRule="auto"/>
      </w:pPr>
    </w:p>
    <w:p w:rsidR="00000000" w:rsidRDefault="00000000">
      <w:pPr>
        <w:pStyle w:val="Heading6"/>
        <w:tabs>
          <w:tab w:val="clear" w:pos="6237"/>
          <w:tab w:val="left" w:pos="6358"/>
        </w:tabs>
        <w:rPr>
          <w:b w:val="0"/>
        </w:rPr>
      </w:pPr>
      <w:r>
        <w:rPr>
          <w:b w:val="0"/>
        </w:rPr>
        <w:t>Право на свободу мысли, совести  и религии</w:t>
      </w:r>
    </w:p>
    <w:p w:rsidR="00000000" w:rsidRDefault="00000000"/>
    <w:p w:rsidR="00000000" w:rsidRDefault="00000000">
      <w:pPr>
        <w:pStyle w:val="BodyText"/>
        <w:jc w:val="left"/>
      </w:pPr>
      <w:r>
        <w:t>159.</w:t>
      </w:r>
      <w:r>
        <w:tab/>
        <w:t>Конституция Грузии признает особую роль грузинской православной церкви в истории страны и вместе с тем провозглашает полную свободу религиозных убеждений и вероисповедания, независимость церкви от государства (статья 9).  Статья 19 Конституции гласит, что "каждому человеку гарантируется свобода … мнения, совести, вероисповедания…  Запрещается преследование лица в связи с использованием им свободы мнений, совести, вероисповедания.., а также принуждение человека высказать свое мнение по поводу этих свобод".  Ограничение вышеупомянутых свобод запрещается, если их проявление не ущемляет прав и свобод других лиц.</w:t>
      </w:r>
    </w:p>
    <w:p w:rsidR="00000000" w:rsidRDefault="00000000"/>
    <w:p w:rsidR="00000000" w:rsidRDefault="00000000">
      <w:pPr>
        <w:pStyle w:val="BodyText"/>
        <w:jc w:val="left"/>
      </w:pPr>
      <w:r>
        <w:t>160.</w:t>
      </w:r>
      <w:r>
        <w:tab/>
        <w:t>В Уголовном кодексе содержатся положения, обеспечивающие защиту вышеупомянутых прав.  Статья 155 предусматривает санкции в виде штрафа, исправительных работ или лишения свободы сроком до 5 лет за незаконное воспрепятствование богослужению или иному отправлению религиозных обрядов или ритуалов путем насилия или угрозы насилием, либо сопровождавшееся оскорблением религиозных чувств верующих или священнослужителя.  Статья 156 предусматривает санкции в виде штрафа, исправительных работ или лишения свободы сроком до трех лет за преследование того или иного лица по мотивам совести, вероисповедания или убеждений, а также за религиозную деятельность.</w:t>
      </w:r>
    </w:p>
    <w:p w:rsidR="00000000" w:rsidRDefault="00000000"/>
    <w:p w:rsidR="00000000" w:rsidRDefault="00000000">
      <w:r>
        <w:t>161.</w:t>
      </w:r>
      <w:r>
        <w:tab/>
        <w:t>На протяжении своей многовековой истории Грузия славилась своей  веротерпимостью.   Здесь никогда не было и нет такого явления, как антисемитизм, религиозная рознь или ненависть.  Примером практического применения принципа религиозной терпимости в нашей стране на практике, может служить исторический район столицы, где в непосредственной близости расположились грузинский храм, армянская церковь, синагога и мечеть, а также русская церковь и католический храм.  Всего же в Грузии функционируют 15 синагог, 14 мечетей, 11 армяно-грузинских церквей, 8 русских церквей, 3 армянские церкви и кафедральный собор, и один католический храм.  Особо следует сказать о положении в Грузии евреев.  Так называемые грузинские евреи стали неотъемлемой частью грузинского общества.  Двери синагог всегда были распахнуты для верующих, даже в наихудшие для евреев времена в СССР.  Иудаизм относится к числу конфессий, безусловно признаваемых государством.</w:t>
      </w:r>
    </w:p>
    <w:p w:rsidR="00000000" w:rsidRDefault="00000000"/>
    <w:p w:rsidR="00000000" w:rsidRDefault="00000000">
      <w:r>
        <w:t>162.</w:t>
      </w:r>
      <w:r>
        <w:tab/>
        <w:t>Общепризнанно, что христианство внесло огромный вклад в сохранение и развитие грузинской государственности и всегда занимало в жизни страны особое место.  Историческим и социальным наследием для Грузии являются такие традиционные религии, как ислам, иудаизм, католицизм и григорианство.  Вместе с тем в последние годы, после достижения независимости, в стране стали действовать нетрадиционные религиозные организации.  Их появление вызывает в обществе и среди духовенства весьма неоднозначную оценку.  Так, лидер одной из политических партий обратился в суд с требованием аннулировать регистрацию печатного издания организации "Свидетели Иеговы".  Ранее он же пытался воспрепятствовать ввозу в Грузию партии иеговистской литературы.  Суд отклонил иск, подтвердив конституционные права религиозной группы.  В октябре 1999 года группой радикальных христиан, возглавляемых отлученным от церкви священнослужителем, было разгромлено собрание "Свидетелей Иеговы", нанесены телесные повреждения его участникам.  Возбуждено уголовное дело, проводится расследование.  На этот факт счел необходимым отреагировать Президент Грузии, однозначно его осудивший.  Многие неправительственные организации приняли резолюции протеста против подобных неприемлемых, варварских актов.</w:t>
      </w:r>
    </w:p>
    <w:p w:rsidR="00000000" w:rsidRDefault="00000000"/>
    <w:p w:rsidR="00000000" w:rsidRDefault="00000000">
      <w:r>
        <w:t>163.</w:t>
      </w:r>
      <w:r>
        <w:tab/>
        <w:t>Необходимость создания правовых рамок для деятельности всего спектра религиозных организаций стала предпосылкой для разработки законопроекта "О свободе совести и религиозных организациях".  Законопроект был подготовлен и прошел  апробацию в возглавляемой министром юстиции специальной комиссии по изучению соответствия законодательства Грузии требованиям Европейской конвенции о защите  прав человека и основных свобод.  Проект признан отвечающим принципам Конституции и международным обязательствам государства.</w:t>
      </w:r>
    </w:p>
    <w:p w:rsidR="00000000" w:rsidRDefault="00000000"/>
    <w:p w:rsidR="00000000" w:rsidRDefault="00000000">
      <w:pPr>
        <w:pStyle w:val="Heading6"/>
        <w:rPr>
          <w:b w:val="0"/>
          <w:bCs/>
        </w:rPr>
      </w:pPr>
      <w:r>
        <w:rPr>
          <w:b w:val="0"/>
          <w:bCs/>
        </w:rPr>
        <w:t xml:space="preserve">Право на свободу убеждений и на их свободное выражение </w:t>
      </w:r>
    </w:p>
    <w:p w:rsidR="00000000" w:rsidRDefault="00000000">
      <w:pPr>
        <w:rPr>
          <w:u w:val="single"/>
        </w:rPr>
      </w:pPr>
    </w:p>
    <w:p w:rsidR="00000000" w:rsidRDefault="00000000">
      <w:r>
        <w:t>164.</w:t>
      </w:r>
      <w:r>
        <w:tab/>
        <w:t>В соответствии со статьей 24 Конституции, каждый человек вправе свободно получать и распространять информацию, высказывать и распространять свои мнения в устной, письменной или иной форме.  Государство или отдельные лица не вправе монополизировать средства массовой информации или средства распространения информации.  Цензура запрещается.  Осуществление положений, касающихся свободы мнений и информации, может ограничиваться законом условиями, необходимыми в демократическом обществе для обеспечения государственной или общественной безопасности, территориальной целостности, предотвращения преступности, защиты прав и достоинства других лиц, предотвращения распространения информации, признанной конфиденциальной, или для обеспечения независимости и беспристрастности правосудия.</w:t>
      </w:r>
    </w:p>
    <w:p w:rsidR="00000000" w:rsidRDefault="00000000"/>
    <w:p w:rsidR="00000000" w:rsidRDefault="00000000">
      <w:r>
        <w:t>165.</w:t>
      </w:r>
      <w:r>
        <w:tab/>
        <w:t>Статья 19 Конституции провозглашает, в частности, свободу убеждений, запрещает ограничение этой свободы, если только ее проявление не ущемляет прав и свобод других лиц, а также запрещает преследование лица в связи с использованием данной свободы.</w:t>
      </w:r>
    </w:p>
    <w:p w:rsidR="00000000" w:rsidRDefault="00000000"/>
    <w:p w:rsidR="00000000" w:rsidRDefault="00000000">
      <w:r>
        <w:t>166.</w:t>
      </w:r>
      <w:r>
        <w:tab/>
        <w:t>Статья 41 Конституции предоставляет каждому гражданину Грузии право в установленном законом порядке знакомиться с имеющейся о нем в государственных учреждениях информацией, а также официальными документами, не содержащими государственной, профессиональной или коммерческой тайны.  Вместе с тем никому не должна быть доступна имеющаяся в официальных учреждениях информация, касающаяся здоровья человека, его финансов и иных частных вопросов, без согласия самого лица, за исключением случаев, установленных законом, для обеспечения государственной или общественной безопасности, охраны здоровья или соблюдения иных прав и свобод других лиц.</w:t>
      </w:r>
    </w:p>
    <w:p w:rsidR="00000000" w:rsidRDefault="00000000"/>
    <w:p w:rsidR="00000000" w:rsidRDefault="00000000">
      <w:r>
        <w:t>167.</w:t>
      </w:r>
      <w:r>
        <w:tab/>
        <w:t>Конституция закрепляет за каждым лицом свободу выражения своего мнения, и в этой связи не может быть никакой дискриминации между гражданами и негражданами.  Имеющиеся ограничения вводятся лишь на основании закона.</w:t>
      </w:r>
    </w:p>
    <w:p w:rsidR="00000000" w:rsidRDefault="00000000"/>
    <w:p w:rsidR="00000000" w:rsidRDefault="00000000">
      <w:r>
        <w:t>168.</w:t>
      </w:r>
      <w:r>
        <w:tab/>
        <w:t>В Общем административном кодексе Грузии содержится глава "Свобода информации", регламентирующая порядок предоставления  административным органом публичной информации заинтересованной в ее получении стороне.  Согласно Кодексу, каждый человек имеет право ознакомиться с имеющейся у административного органа публичной информацией, получить ее копии, если только она не содержит государственной, профессиональной, коммерческой или личной тайны.  Публичная информация носит открытый характер, если  только ее открытость не наносит явного и очевидного вреда национальной безопасности или интересам расследования уголовного дела.  Решение о засекречивании публичной информации может быть принято лишь в случае, если этого прямо требует закон, и на срок не более 5 лет.  Лицу не может быть отказано в предоставлении публичной информации,  позволяющей идентифицировать его личность;  кроме того, такая информация согласно Кодексу не может быть доступной для других лиц.  Лицо имеет право ознакомиться с содержащимися о нем в публичном учреждении персональными данными.  Персональные данные, кроме персональных данных должностных лиц, не должны быть доступны никому даже в случае согласия  самого лица.  Лицо может обратиться в суд с требованием о возмещении имущественного или неимущественного ущерба, в частности, в случае незаконного сбора, обработки, хранения или распространения персональных данных, а также их  передачи  иному лицу или публичному учреждению.</w:t>
      </w:r>
    </w:p>
    <w:p w:rsidR="00000000" w:rsidRDefault="00000000"/>
    <w:p w:rsidR="00000000" w:rsidRDefault="00000000">
      <w:r>
        <w:t>169.</w:t>
      </w:r>
      <w:r>
        <w:tab/>
        <w:t>Действие Кодекса не распространяется на деятельность органов  исполнительной власти, связанную с уголовным  преследованием и оперативно-розыскными мероприятиями, исполнением судебных решений, военными вопросами, внешней политикой и реализацией международных договоров Грузии.</w:t>
      </w:r>
    </w:p>
    <w:p w:rsidR="00000000" w:rsidRDefault="00000000"/>
    <w:p w:rsidR="00000000" w:rsidRDefault="00000000">
      <w:r>
        <w:t>170.</w:t>
      </w:r>
      <w:r>
        <w:tab/>
        <w:t>Конституция провозглашает, что средства массовой информации свободы.  Их деятельность регламентируется законом "О прессе и средствах массовой информации", отражающем право человека и, в частности, журналиста на получение, хранение и распространение информации.  Право создавать средства массовой информации закон предоставляет органам государственной власти, политическим партиям, общественным организациям, зарегистрированным в установленном законом порядке, а также гражданам Грузии старше 18 лет.  Деятельность средства массовой информации может быть приостановлена или прекращена в случае нарушения закона, которое создает угрозу государственной безопасности, территориальной целостности или общественной безопасности.  Приостановить деятельность печатного органа может зарегистрировавшаяся его структура, а решение о полном ее прекращении выносится только судом.</w:t>
      </w:r>
    </w:p>
    <w:p w:rsidR="00000000" w:rsidRDefault="00000000"/>
    <w:p w:rsidR="00000000" w:rsidRDefault="00000000">
      <w:r>
        <w:t>171.</w:t>
      </w:r>
      <w:r>
        <w:tab/>
        <w:t>Аналогичный порядок создания и деятельности распространяется, согласно закону, на книжные издательства, теле- и радиовещательные компании.</w:t>
      </w:r>
    </w:p>
    <w:p w:rsidR="00000000" w:rsidRDefault="00000000"/>
    <w:p w:rsidR="00000000" w:rsidRDefault="00000000">
      <w:r>
        <w:t>172.</w:t>
      </w:r>
      <w:r>
        <w:tab/>
        <w:t>Ограничение свободы выражения своего мнения в связи с запрещением дискриминации оговаривается в законе "О рекламе", запрещающем ненадлежащую рекламу.  К этой категории относится, в частности, неэтичная реклама с использованием оскорбительных слов и сравнений в адрес национальности, расы, социального происхождения, возраста, пола, языка или религии физических лиц, нарушающая общепризнанные моральные и нравственные нормы.  Реклама не должна подталкивать людей к насилию или призывать к совершению действий, способных нанести ущерб безопасности человека.</w:t>
      </w:r>
    </w:p>
    <w:p w:rsidR="00000000" w:rsidRDefault="00000000"/>
    <w:p w:rsidR="00000000" w:rsidRDefault="00000000">
      <w:r>
        <w:t>173.</w:t>
      </w:r>
      <w:r>
        <w:tab/>
        <w:t>Уголовным кодексом Грузии предусматривается наказание за противозаконное умаление прав, охватываемых настоящим разделом статьи 5 Конвенции.  Согласно закону к уголовным преступлениям относятся посягательства на свободу слова, незаконное воспрепятствование получению или распространению информации, повлекшее за собой значительный ущерб (статья 153), незаконное препятствование профессиональной деятельности журналиста (статья 154), незаконный отказ в предоставлении лицу официальной информации о нем, его правах и свободах, а также предоставление неполной или искаженной информации, повлекшие за собой значительный ущерб (статья 167).  Степень наказания за них варьируется от штрафа до лишения свободы сроком на два года.</w:t>
      </w:r>
    </w:p>
    <w:p w:rsidR="00000000" w:rsidRDefault="00000000"/>
    <w:p w:rsidR="00000000" w:rsidRDefault="00000000">
      <w:r>
        <w:t>174.</w:t>
      </w:r>
      <w:r>
        <w:tab/>
        <w:t>Ниже приводятся статистические данные об издании в Грузии книг, журналов и газет.  Помимо этого, в стране беспрепятственно распространяются издания зарубежных стран, в основном российские.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850"/>
        <w:gridCol w:w="992"/>
        <w:gridCol w:w="851"/>
        <w:gridCol w:w="850"/>
        <w:gridCol w:w="810"/>
      </w:tblGrid>
      <w:tr w:rsidR="00000000">
        <w:tblPrEx>
          <w:tblCellMar>
            <w:top w:w="0" w:type="dxa"/>
            <w:bottom w:w="0" w:type="dxa"/>
          </w:tblCellMar>
        </w:tblPrEx>
        <w:tc>
          <w:tcPr>
            <w:tcW w:w="4503" w:type="dxa"/>
          </w:tcPr>
          <w:p w:rsidR="00000000" w:rsidRDefault="00000000"/>
        </w:tc>
        <w:tc>
          <w:tcPr>
            <w:tcW w:w="850" w:type="dxa"/>
          </w:tcPr>
          <w:p w:rsidR="00000000" w:rsidRDefault="00000000">
            <w:r>
              <w:t>1990</w:t>
            </w:r>
          </w:p>
        </w:tc>
        <w:tc>
          <w:tcPr>
            <w:tcW w:w="992" w:type="dxa"/>
          </w:tcPr>
          <w:p w:rsidR="00000000" w:rsidRDefault="00000000">
            <w:r>
              <w:t>1995</w:t>
            </w:r>
          </w:p>
        </w:tc>
        <w:tc>
          <w:tcPr>
            <w:tcW w:w="851" w:type="dxa"/>
          </w:tcPr>
          <w:p w:rsidR="00000000" w:rsidRDefault="00000000">
            <w:r>
              <w:t>1996</w:t>
            </w:r>
          </w:p>
        </w:tc>
        <w:tc>
          <w:tcPr>
            <w:tcW w:w="850" w:type="dxa"/>
          </w:tcPr>
          <w:p w:rsidR="00000000" w:rsidRDefault="00000000">
            <w:r>
              <w:t>1997</w:t>
            </w:r>
          </w:p>
        </w:tc>
        <w:tc>
          <w:tcPr>
            <w:tcW w:w="810" w:type="dxa"/>
          </w:tcPr>
          <w:p w:rsidR="00000000" w:rsidRDefault="00000000">
            <w:r>
              <w:t>1998</w:t>
            </w:r>
          </w:p>
        </w:tc>
      </w:tr>
      <w:tr w:rsidR="00000000">
        <w:tblPrEx>
          <w:tblCellMar>
            <w:top w:w="0" w:type="dxa"/>
            <w:bottom w:w="0" w:type="dxa"/>
          </w:tblCellMar>
        </w:tblPrEx>
        <w:tc>
          <w:tcPr>
            <w:tcW w:w="4503" w:type="dxa"/>
          </w:tcPr>
          <w:p w:rsidR="00000000" w:rsidRDefault="00000000">
            <w:r>
              <w:t>Тираж книг и брошюр, млн.  экз.</w:t>
            </w:r>
          </w:p>
        </w:tc>
        <w:tc>
          <w:tcPr>
            <w:tcW w:w="850" w:type="dxa"/>
          </w:tcPr>
          <w:p w:rsidR="00000000" w:rsidRDefault="00000000">
            <w:r>
              <w:t>20,1</w:t>
            </w:r>
          </w:p>
        </w:tc>
        <w:tc>
          <w:tcPr>
            <w:tcW w:w="992" w:type="dxa"/>
          </w:tcPr>
          <w:p w:rsidR="00000000" w:rsidRDefault="00000000">
            <w:r>
              <w:t>0,8</w:t>
            </w:r>
          </w:p>
        </w:tc>
        <w:tc>
          <w:tcPr>
            <w:tcW w:w="851" w:type="dxa"/>
          </w:tcPr>
          <w:p w:rsidR="00000000" w:rsidRDefault="00000000">
            <w:r>
              <w:t>0,8</w:t>
            </w:r>
          </w:p>
        </w:tc>
        <w:tc>
          <w:tcPr>
            <w:tcW w:w="850" w:type="dxa"/>
          </w:tcPr>
          <w:p w:rsidR="00000000" w:rsidRDefault="00000000">
            <w:r>
              <w:t>0,8</w:t>
            </w:r>
          </w:p>
        </w:tc>
        <w:tc>
          <w:tcPr>
            <w:tcW w:w="810" w:type="dxa"/>
          </w:tcPr>
          <w:p w:rsidR="00000000" w:rsidRDefault="00000000">
            <w:r>
              <w:t>0,6</w:t>
            </w:r>
          </w:p>
        </w:tc>
      </w:tr>
      <w:tr w:rsidR="00000000">
        <w:tblPrEx>
          <w:tblCellMar>
            <w:top w:w="0" w:type="dxa"/>
            <w:bottom w:w="0" w:type="dxa"/>
          </w:tblCellMar>
        </w:tblPrEx>
        <w:tc>
          <w:tcPr>
            <w:tcW w:w="4503" w:type="dxa"/>
          </w:tcPr>
          <w:p w:rsidR="00000000" w:rsidRDefault="00000000">
            <w:r>
              <w:t>Годовой тираж журналов и других периодических изданий (млн.  экз.)</w:t>
            </w:r>
          </w:p>
        </w:tc>
        <w:tc>
          <w:tcPr>
            <w:tcW w:w="850" w:type="dxa"/>
          </w:tcPr>
          <w:p w:rsidR="00000000" w:rsidRDefault="00000000">
            <w:r>
              <w:t>27,3</w:t>
            </w:r>
          </w:p>
        </w:tc>
        <w:tc>
          <w:tcPr>
            <w:tcW w:w="992" w:type="dxa"/>
          </w:tcPr>
          <w:p w:rsidR="00000000" w:rsidRDefault="00000000">
            <w:r>
              <w:t>0,4</w:t>
            </w:r>
          </w:p>
        </w:tc>
        <w:tc>
          <w:tcPr>
            <w:tcW w:w="851" w:type="dxa"/>
          </w:tcPr>
          <w:p w:rsidR="00000000" w:rsidRDefault="00000000">
            <w:r>
              <w:t>0,2</w:t>
            </w:r>
          </w:p>
        </w:tc>
        <w:tc>
          <w:tcPr>
            <w:tcW w:w="850" w:type="dxa"/>
          </w:tcPr>
          <w:p w:rsidR="00000000" w:rsidRDefault="00000000">
            <w:r>
              <w:t>0,2</w:t>
            </w:r>
          </w:p>
        </w:tc>
        <w:tc>
          <w:tcPr>
            <w:tcW w:w="810" w:type="dxa"/>
          </w:tcPr>
          <w:p w:rsidR="00000000" w:rsidRDefault="00000000">
            <w:r>
              <w:t>0,2</w:t>
            </w:r>
          </w:p>
        </w:tc>
      </w:tr>
      <w:tr w:rsidR="00000000">
        <w:tblPrEx>
          <w:tblCellMar>
            <w:top w:w="0" w:type="dxa"/>
            <w:bottom w:w="0" w:type="dxa"/>
          </w:tblCellMar>
        </w:tblPrEx>
        <w:tc>
          <w:tcPr>
            <w:tcW w:w="4503" w:type="dxa"/>
          </w:tcPr>
          <w:p w:rsidR="00000000" w:rsidRDefault="00000000">
            <w:r>
              <w:t>Количество газет</w:t>
            </w:r>
          </w:p>
        </w:tc>
        <w:tc>
          <w:tcPr>
            <w:tcW w:w="850" w:type="dxa"/>
          </w:tcPr>
          <w:p w:rsidR="00000000" w:rsidRDefault="00000000">
            <w:r>
              <w:t>171</w:t>
            </w:r>
          </w:p>
        </w:tc>
        <w:tc>
          <w:tcPr>
            <w:tcW w:w="992" w:type="dxa"/>
          </w:tcPr>
          <w:p w:rsidR="00000000" w:rsidRDefault="00000000">
            <w:r>
              <w:t>127</w:t>
            </w:r>
          </w:p>
        </w:tc>
        <w:tc>
          <w:tcPr>
            <w:tcW w:w="851" w:type="dxa"/>
          </w:tcPr>
          <w:p w:rsidR="00000000" w:rsidRDefault="00000000">
            <w:r>
              <w:t>123</w:t>
            </w:r>
          </w:p>
        </w:tc>
        <w:tc>
          <w:tcPr>
            <w:tcW w:w="850" w:type="dxa"/>
          </w:tcPr>
          <w:p w:rsidR="00000000" w:rsidRDefault="00000000">
            <w:r>
              <w:t>161</w:t>
            </w:r>
          </w:p>
        </w:tc>
        <w:tc>
          <w:tcPr>
            <w:tcW w:w="810" w:type="dxa"/>
          </w:tcPr>
          <w:p w:rsidR="00000000" w:rsidRDefault="00000000">
            <w:r>
              <w:t>243</w:t>
            </w:r>
          </w:p>
        </w:tc>
      </w:tr>
      <w:tr w:rsidR="00000000">
        <w:tblPrEx>
          <w:tblCellMar>
            <w:top w:w="0" w:type="dxa"/>
            <w:bottom w:w="0" w:type="dxa"/>
          </w:tblCellMar>
        </w:tblPrEx>
        <w:tc>
          <w:tcPr>
            <w:tcW w:w="4503" w:type="dxa"/>
          </w:tcPr>
          <w:p w:rsidR="00000000" w:rsidRDefault="00000000">
            <w:r>
              <w:t>Одноразовый тираж газет (млн.  экз.)</w:t>
            </w:r>
          </w:p>
        </w:tc>
        <w:tc>
          <w:tcPr>
            <w:tcW w:w="850" w:type="dxa"/>
          </w:tcPr>
          <w:p w:rsidR="00000000" w:rsidRDefault="00000000">
            <w:r>
              <w:t>4,9</w:t>
            </w:r>
          </w:p>
        </w:tc>
        <w:tc>
          <w:tcPr>
            <w:tcW w:w="992" w:type="dxa"/>
          </w:tcPr>
          <w:p w:rsidR="00000000" w:rsidRDefault="00000000">
            <w:r>
              <w:t>0,3</w:t>
            </w:r>
          </w:p>
        </w:tc>
        <w:tc>
          <w:tcPr>
            <w:tcW w:w="851" w:type="dxa"/>
          </w:tcPr>
          <w:p w:rsidR="00000000" w:rsidRDefault="00000000">
            <w:r>
              <w:t>0,2</w:t>
            </w:r>
          </w:p>
        </w:tc>
        <w:tc>
          <w:tcPr>
            <w:tcW w:w="850" w:type="dxa"/>
          </w:tcPr>
          <w:p w:rsidR="00000000" w:rsidRDefault="00000000">
            <w:r>
              <w:t>0,3</w:t>
            </w:r>
          </w:p>
        </w:tc>
        <w:tc>
          <w:tcPr>
            <w:tcW w:w="810" w:type="dxa"/>
          </w:tcPr>
          <w:p w:rsidR="00000000" w:rsidRDefault="00000000">
            <w:r>
              <w:t>0,4</w:t>
            </w:r>
          </w:p>
        </w:tc>
      </w:tr>
      <w:tr w:rsidR="00000000">
        <w:tblPrEx>
          <w:tblCellMar>
            <w:top w:w="0" w:type="dxa"/>
            <w:bottom w:w="0" w:type="dxa"/>
          </w:tblCellMar>
        </w:tblPrEx>
        <w:tc>
          <w:tcPr>
            <w:tcW w:w="4503" w:type="dxa"/>
          </w:tcPr>
          <w:p w:rsidR="00000000" w:rsidRDefault="00000000">
            <w:r>
              <w:t>Годовой тираж газет (млн.  экз.)</w:t>
            </w:r>
          </w:p>
        </w:tc>
        <w:tc>
          <w:tcPr>
            <w:tcW w:w="850" w:type="dxa"/>
          </w:tcPr>
          <w:p w:rsidR="00000000" w:rsidRDefault="00000000">
            <w:r>
              <w:t>716,3</w:t>
            </w:r>
          </w:p>
        </w:tc>
        <w:tc>
          <w:tcPr>
            <w:tcW w:w="992" w:type="dxa"/>
          </w:tcPr>
          <w:p w:rsidR="00000000" w:rsidRDefault="00000000">
            <w:r>
              <w:t>6,6</w:t>
            </w:r>
          </w:p>
        </w:tc>
        <w:tc>
          <w:tcPr>
            <w:tcW w:w="851" w:type="dxa"/>
          </w:tcPr>
          <w:p w:rsidR="00000000" w:rsidRDefault="00000000">
            <w:r>
              <w:t>13,3</w:t>
            </w:r>
          </w:p>
        </w:tc>
        <w:tc>
          <w:tcPr>
            <w:tcW w:w="850" w:type="dxa"/>
          </w:tcPr>
          <w:p w:rsidR="00000000" w:rsidRDefault="00000000">
            <w:r>
              <w:t>12,3</w:t>
            </w:r>
          </w:p>
        </w:tc>
        <w:tc>
          <w:tcPr>
            <w:tcW w:w="810" w:type="dxa"/>
          </w:tcPr>
          <w:p w:rsidR="00000000" w:rsidRDefault="00000000">
            <w:r>
              <w:t>15,9</w:t>
            </w:r>
          </w:p>
        </w:tc>
      </w:tr>
    </w:tbl>
    <w:p w:rsidR="00000000" w:rsidRDefault="00000000"/>
    <w:p w:rsidR="00000000" w:rsidRDefault="00000000">
      <w:r>
        <w:t>175.</w:t>
      </w:r>
      <w:r>
        <w:tab/>
        <w:t>Кроме того, в Грузии функционируют наряду с государственной телерадиокорпорацией десятки негосударственных теле-и радиокомпаний, вещающих на всю страну или отдельные регионы.  Следует отметить, что многие из них пользуются  большей популярностью и имеют более высокий рейтинг по сравнению с государственными телеканалами и радиовещанием.</w:t>
      </w:r>
    </w:p>
    <w:p w:rsidR="00000000" w:rsidRDefault="00000000"/>
    <w:p w:rsidR="00000000" w:rsidRDefault="00000000">
      <w:r>
        <w:t>176.</w:t>
      </w:r>
      <w:r>
        <w:tab/>
        <w:t>В структуре государственной телерадиокорпорации функционируют две редакции:    телевидения (на русском языке) и радиовещания (на русском, армянском и азербайджанском языках).   Государство оказывает финансовую поддержку газетам, издаваемым на русском, армянском и азербайджанском языках.  Кроме того, издаются основанные национальными общественными организациями греческие, еврейские и курдские газеты.  В целом, в Грузии издается:    на русском языке – 7 газет и 3 журнала, на армянском языке – 4 газеты, из которых 3 – региональные, в том числе одна грузино-армянская, на азербайджанском языке – 3 газеты, из которых 2 – региональные грузино-азербайджанские, на греческом языке – 3 газеты, на курдском – 1 газета.  Из трех издаваемых еврейских газет одна выходит на грузинском, а две – на русском языке.</w:t>
      </w:r>
    </w:p>
    <w:p w:rsidR="00000000" w:rsidRDefault="00000000"/>
    <w:p w:rsidR="00000000" w:rsidRDefault="00000000">
      <w:r>
        <w:t>177.</w:t>
      </w:r>
      <w:r>
        <w:tab/>
        <w:t>В Грузии не существует закона о защите персональных данных.  Как уже упоминалось, эти вопросы регулируются Общим административным кодексом на основе положений, зафиксированных в Конституции.</w:t>
      </w:r>
    </w:p>
    <w:p w:rsidR="00000000" w:rsidRDefault="00000000"/>
    <w:p w:rsidR="00000000" w:rsidRDefault="00000000">
      <w:pPr>
        <w:rPr>
          <w:u w:val="single"/>
        </w:rPr>
      </w:pPr>
      <w:r>
        <w:rPr>
          <w:u w:val="single"/>
        </w:rPr>
        <w:t>Право на свободу мирных собраний и ассоциаций</w:t>
      </w:r>
    </w:p>
    <w:p w:rsidR="00000000" w:rsidRDefault="00000000">
      <w:pPr>
        <w:rPr>
          <w:u w:val="single"/>
        </w:rPr>
      </w:pPr>
    </w:p>
    <w:p w:rsidR="00000000" w:rsidRDefault="00000000">
      <w:pPr>
        <w:pStyle w:val="Heading2"/>
      </w:pPr>
      <w:r>
        <w:rPr>
          <w:u w:val="none"/>
        </w:rPr>
        <w:tab/>
      </w:r>
      <w:r>
        <w:t>Свобода собраний</w:t>
      </w:r>
    </w:p>
    <w:p w:rsidR="00000000" w:rsidRDefault="00000000">
      <w:pPr>
        <w:rPr>
          <w:u w:val="single"/>
        </w:rPr>
      </w:pPr>
    </w:p>
    <w:p w:rsidR="00000000" w:rsidRDefault="00000000">
      <w:r>
        <w:t>178.</w:t>
      </w:r>
      <w:r>
        <w:tab/>
        <w:t>Право на собрания предусматривается статьей 25 Конституции, которая гласит:    "Все, кроме лиц, находящихся на службе в вооруженных силах, полиции и службы безопасности, имеют право без предварительного разрешения собираться публично и без оружия как в помещениях, так и под открытым небом.  Законом может быть установлено требование предварительного уведомления властей, если  собрание или манифестация проводятся в местах движения транспорта или людей.  Власти могут прервать собрание или манифестацию только в случае, если они принимают противозаконный характер".</w:t>
      </w:r>
    </w:p>
    <w:p w:rsidR="00000000" w:rsidRDefault="00000000"/>
    <w:p w:rsidR="00000000" w:rsidRDefault="00000000">
      <w:r>
        <w:t>179.</w:t>
      </w:r>
      <w:r>
        <w:tab/>
        <w:t>Согласно закону "О собраниях и манифестациях"  при организации и проведении собрания или манифестации не допускается использование призывов, разжигающих национальную, местническую, религиозную или социальную рознь (статья 4).  В случае массового нарушения требований данной статьи закона, собрание или манифестация должны быть прекращены немедленно по требованию уполномоченного лица органа местного самоуправления.  Решение о прекращении собрания или манифестации может быть обжаловано в суде, который в течение трех рабочих дней рассматривает вопрос законности упомянутого решения (статья 13).</w:t>
      </w:r>
    </w:p>
    <w:p w:rsidR="00000000" w:rsidRDefault="00000000"/>
    <w:p w:rsidR="00000000" w:rsidRDefault="00000000">
      <w:r>
        <w:t>180.</w:t>
      </w:r>
      <w:r>
        <w:tab/>
        <w:t>Закон о собраниях и манифестациях предусматривает необходимость предварительного уведомления властей, если собрание или манифестация проводятся в местах движения людей или транспорта.  Уведомление органу власти по месту проведения мероприятия вносят лица, ответственные за организацию и проведение собрания или манифестации.  Такими лицами могут быть лишь граждане Грузии старше 18 лет (статья 5).</w:t>
      </w:r>
    </w:p>
    <w:p w:rsidR="00000000" w:rsidRDefault="00000000"/>
    <w:p w:rsidR="00000000" w:rsidRDefault="00000000">
      <w:r>
        <w:t>181</w:t>
      </w:r>
      <w:r>
        <w:tab/>
        <w:t>Уголовный кодекс относит к числу наказуемых деяний посягательства на право собраний и манифестаций, выражающиеся в насильственных действиях или угрозе насилия (статья 161).  Вместе с тем Кодексом предусмотрены санкции в виде штрафа, исправительных работ сроком до одного года или ограничения свободы сроком до двух лет за нарушение организаторами акций порядка проведения собрания или манифестации, по неосторожности повлекшие за собой тяжкие последствия (статья 347).</w:t>
      </w:r>
    </w:p>
    <w:p w:rsidR="00000000" w:rsidRDefault="00000000">
      <w:r>
        <w:tab/>
      </w:r>
    </w:p>
    <w:p w:rsidR="00000000" w:rsidRDefault="00000000">
      <w:pPr>
        <w:rPr>
          <w:u w:val="single"/>
        </w:rPr>
      </w:pPr>
      <w:r>
        <w:tab/>
      </w:r>
      <w:r>
        <w:rPr>
          <w:u w:val="single"/>
        </w:rPr>
        <w:t>Свобода ассоциаций</w:t>
      </w:r>
    </w:p>
    <w:p w:rsidR="00000000" w:rsidRDefault="00000000">
      <w:pPr>
        <w:pStyle w:val="FootnoteText"/>
        <w:spacing w:line="288" w:lineRule="auto"/>
      </w:pPr>
    </w:p>
    <w:p w:rsidR="00000000" w:rsidRDefault="00000000">
      <w:r>
        <w:t>182.</w:t>
      </w:r>
      <w:r>
        <w:tab/>
        <w:t>В соответствии со статьей 26 Конституции все имеют право создавать общественные организации и объединяться в них.  Граждане Грузии имеют право создавать политические партии или другие политические объединения и принимать участие в их деятельности.  Зачисление в состав вооруженных сил, службы государственной безопасности или органов внутренних дел, назначение (избрание) судьей или прокурором влечет за собой прекращение членства в политических объединениях.</w:t>
      </w:r>
    </w:p>
    <w:p w:rsidR="00000000" w:rsidRDefault="00000000"/>
    <w:p w:rsidR="00000000" w:rsidRDefault="00000000">
      <w:r>
        <w:t>183.</w:t>
      </w:r>
      <w:r>
        <w:tab/>
        <w:t>Согласно Гражданскому кодексу в Грузии могут создаваться юридические лица в рамках публичного права и юридические лица в рамках частного права.  Для целей настоящего раздела отметим, что к юридическим лицам в рамках публичного права относятся, в частности, созданные для достижения публичных целей на основе законодательства негосударственные организации, в том числе политические партии и религиозные объединения.  К юридическим лицам в рамках частного права относятся все иные некоммерческие и коммерческие объединения.</w:t>
      </w:r>
    </w:p>
    <w:p w:rsidR="00000000" w:rsidRDefault="00000000"/>
    <w:p w:rsidR="00000000" w:rsidRDefault="00000000">
      <w:r>
        <w:t>184.</w:t>
      </w:r>
      <w:r>
        <w:tab/>
        <w:t>Юридическое лицо, целью которого не является предпринимательская деятельность, может существовать в организационно-правовой форме союза (ассоциации) или фонда.   Союз является юридическим лицом, объединяющим несколько имеющих общую цель лиц, существование которого не зависит от изменения состава его членов.  Фонд является юридическим лицом, один или несколько основателей которого для достижения общественно полезной цели передают специальное имущество независимому субъекту, не имеющему членов.  Регистрация союза осуществляется судом, а фонда - министерством юстиции.  Регистрация допускается в том случае, если цели юридического лица не противоречат действующему законодательству, признанным нравственным нормам или конституционно-правовым принципам Грузии.  Отказ в регистрации может быть обжалован в судебном порядке.  Регистрационный орган обязан аннулировать регистрацию союза или фонда, если выполнение предусмотренных их уставом целей становится невозможным.   Аннулирование регистрации влечет за собой ликвидацию юридического лица.</w:t>
      </w:r>
    </w:p>
    <w:p w:rsidR="00000000" w:rsidRDefault="00000000"/>
    <w:p w:rsidR="00000000" w:rsidRDefault="00000000">
      <w:r>
        <w:t>185.</w:t>
      </w:r>
      <w:r>
        <w:tab/>
        <w:t xml:space="preserve">Гражданский кодекс (статья 45) допускает и существование незарегистрированных союзов, которые в этом случае не являются юридическими лицами.  В суде или в несудебных отношениях незарегистрированный союз может быть представлен своими членами или уполномоченным на это лицом.  </w:t>
      </w:r>
    </w:p>
    <w:p w:rsidR="00000000" w:rsidRDefault="00000000"/>
    <w:p w:rsidR="00000000" w:rsidRDefault="00000000">
      <w:r>
        <w:t>186.</w:t>
      </w:r>
      <w:r>
        <w:tab/>
        <w:t>Следует отметить, что до вступления в силу Гражданского кодекса вопросы создания и деятельности неправительственных организаций регламентировались законом "Об общественных объединениях граждан", который прямо запрещал деятельность объединений, направленную на разжигание религиозной или национальной розни.  После вступления в силу упомянутого Кодекса все ранее существовавшие некоммерческие юридические лица подлежали повторной регистрации, уклонение от которой влекло за собой прекращение их деятельности.  Таким образом, все ныне действующие в Грузии союзы и фонды функционируют в полном соответствии с требованиями законодательства.</w:t>
      </w:r>
    </w:p>
    <w:p w:rsidR="00000000" w:rsidRDefault="00000000"/>
    <w:p w:rsidR="00000000" w:rsidRDefault="00000000">
      <w:r>
        <w:t>187.</w:t>
      </w:r>
      <w:r>
        <w:tab/>
        <w:t>В настоящее время в стране зарегистрировано несколько сотен неправительственных организаций, в том числе занимающихся различными аспектами прав человека.  Многие неправительственные организации создали крупные объединения для более эффективной реализации общих целей.  Проживающие в Грузии меньшинства имеют свои культурные и культурно-благотворительные общества, как по всей стране, так и в отдельных регионах.</w:t>
      </w:r>
    </w:p>
    <w:p w:rsidR="00000000" w:rsidRDefault="00000000"/>
    <w:p w:rsidR="00000000" w:rsidRDefault="00000000">
      <w:r>
        <w:t>188.</w:t>
      </w:r>
      <w:r>
        <w:tab/>
        <w:t>Что касается коммерческих юридических лиц в рамках частного права, то согласно Гражданскому кодексу они могут иметь следующие организационно-правовые формы:  общество с солидарной ответственностью;  коммандитное общество;  общество с ограниченной ответственностью;  акционерное общество;  кооператив;  казенное предприятие.  Деятельность этих юридических лиц регулируется законом о предпринимательстве.  В законе не предусматривается каких-либо существенных ограничений в отношении учредителей или членов таких ассоциаций.</w:t>
      </w:r>
    </w:p>
    <w:p w:rsidR="00000000" w:rsidRDefault="00000000"/>
    <w:p w:rsidR="00000000" w:rsidRDefault="00000000">
      <w:r>
        <w:t>189.</w:t>
      </w:r>
      <w:r>
        <w:tab/>
        <w:t>Нормы законодательства не предусматривают каких-либо препятствий в реализации права на объединение в ассоциацию неполитического характера по расовому признаку или запретов дискриминационного характера.  Развивающийся "третий сектор" играет все более значительную роль в деле защиты и поощрения прав человека и общественной жизни страны в целом.</w:t>
      </w:r>
    </w:p>
    <w:p w:rsidR="00000000" w:rsidRDefault="00000000">
      <w:pPr>
        <w:rPr>
          <w:u w:val="single"/>
        </w:rPr>
      </w:pPr>
    </w:p>
    <w:p w:rsidR="00000000" w:rsidRDefault="00000000">
      <w:pPr>
        <w:keepNext/>
        <w:rPr>
          <w:u w:val="single"/>
        </w:rPr>
      </w:pPr>
      <w:r>
        <w:t>е)</w:t>
      </w:r>
      <w:r>
        <w:tab/>
      </w:r>
      <w:r>
        <w:rPr>
          <w:u w:val="single"/>
        </w:rPr>
        <w:t>Экономические, социальные и культурные права</w:t>
      </w:r>
    </w:p>
    <w:p w:rsidR="00000000" w:rsidRDefault="00000000">
      <w:pPr>
        <w:keepNext/>
        <w:rPr>
          <w:u w:val="single"/>
        </w:rPr>
      </w:pPr>
    </w:p>
    <w:p w:rsidR="00000000" w:rsidRDefault="00000000">
      <w:pPr>
        <w:keepNext/>
        <w:rPr>
          <w:u w:val="single"/>
        </w:rPr>
      </w:pPr>
      <w:r>
        <w:rPr>
          <w:u w:val="single"/>
        </w:rPr>
        <w:t>Право на труд и свободный выбор работы</w:t>
      </w:r>
    </w:p>
    <w:p w:rsidR="00000000" w:rsidRDefault="00000000">
      <w:pPr>
        <w:keepNext/>
      </w:pPr>
    </w:p>
    <w:p w:rsidR="00000000" w:rsidRDefault="00000000">
      <w:r>
        <w:t>190.</w:t>
      </w:r>
      <w:r>
        <w:tab/>
        <w:t>Данные права провозглашаются в Конституции Грузии.  Согласно статье 30, труд свободен.  Защита трудовых прав, справедливая оплата и безопасные, здоровые условия труда, а также условия труда несовершеннолетних и женщин определяются законом.  В соответствии с международными соглашениями по труду государство защищает права граждан Грузии за границей.  Статья 32 констатирует обязательство государства способствовать трудоустройству граждан страны, оставшихся без работы.  Условия обеспечения прожиточным минимумом и статус безработного определяются законом.  В статье 33 признается право на забастовку.</w:t>
      </w:r>
    </w:p>
    <w:p w:rsidR="00000000" w:rsidRDefault="00000000"/>
    <w:p w:rsidR="00000000" w:rsidRDefault="00000000">
      <w:r>
        <w:t>191.</w:t>
      </w:r>
      <w:r>
        <w:tab/>
        <w:t>Сфера трудовых прав регулируется законом "О занятости" и Кодексом законов о труде.  В соответствии с законом "О занятости", правом на труд наделяются все граждане Грузии независимо от их расы, национальности, религиозных убеждений, политических  взглядов и имущественного положения.</w:t>
      </w:r>
    </w:p>
    <w:p w:rsidR="00000000" w:rsidRDefault="00000000"/>
    <w:p w:rsidR="00000000" w:rsidRDefault="00000000">
      <w:r>
        <w:t>192.</w:t>
      </w:r>
      <w:r>
        <w:tab/>
        <w:t>Грузия является государством-участником ряда конвенций Международной организации труда, в том числе о принудительном и обязательном труде (№ 29), об оплачиваемом отпуске (№ 52), о праве на организацию и ведение коллективных переговоров (№ 98), о равном вознаграждении (№ 100), о дискриминации в области труда и занятости (№ 111), о политике в сфере занятости (№ 122).</w:t>
      </w:r>
    </w:p>
    <w:p w:rsidR="00000000" w:rsidRDefault="00000000"/>
    <w:p w:rsidR="00000000" w:rsidRDefault="00000000">
      <w:r>
        <w:t>193.</w:t>
      </w:r>
      <w:r>
        <w:tab/>
        <w:t>Право на трудовую деятельность иностранцев регламентируется законом "О правовом положении иностранцев", согласно статье 7 которого иностранцы и лица без гражданства, постоянно проживающие в Грузии, могут занимать любую должность или заниматься любой трудовой деятельностью, не запрещенной законодательством, за исключением должностей или рода деятельности, для которых согласно закону обязательно наличие гражданства Грузии.  Временно пребывающие в стране иностранцы также могут занимать любые должности или заниматься любой трудовой деятельностью, если  это соответствует целям их пребывания в Грузии или если таковое непосредственно предусмотрено законодательством.</w:t>
      </w:r>
    </w:p>
    <w:p w:rsidR="00000000" w:rsidRDefault="00000000"/>
    <w:p w:rsidR="00000000" w:rsidRDefault="00000000">
      <w:r>
        <w:t>194.</w:t>
      </w:r>
      <w:r>
        <w:tab/>
        <w:t>Политика в сфере занятости в Грузии законодательно и практически никогда не носила дискриминационного характера.  В Кодексе законов о труде содержатся ограничительные положения применительно к женскому труду и труду молодежи, носящие позитивно-дискриминационный характер и не входящие в противоречие с положениями Конвенции.</w:t>
      </w:r>
    </w:p>
    <w:p w:rsidR="00000000" w:rsidRDefault="00000000"/>
    <w:p w:rsidR="00000000" w:rsidRDefault="00000000">
      <w:r>
        <w:t>195.</w:t>
      </w:r>
      <w:r>
        <w:tab/>
        <w:t>Процедуры разрешения трудовых споров между работодателями и наемными работниками регламентируются законом "О порядке урегулирования коллективных трудовых споров".  На первом этапе трудового спора применяются согласительные процедуры при участии согласительной комиссии, в которую входят представители сторон и посредники, или другого арбитража.  Согласительная комиссия принимает решение по договоренности представителей сторон, которое имеет обязательную силу.  В случае, если по трудовому спору не будет достигнуто соглашение, в его разрешение включается трудовой арбитраж, созданный по решению сторон.  Во всех согласительных процедурах принимает участие служба по урегулированию коллективных трудовых споров - структурное подразделение министерства здравоохранения и социальной защиты.  В случае, если согласительные процедуры не дают результата, работники в установленном законом порядке  могут прибегнуть к забастовке, что не освобождает стороны от обязательства  продолжать переговоры по соглашению.  В процессе осуществления согласительных процедур и забастовок запрещается применение локаута.</w:t>
      </w:r>
    </w:p>
    <w:p w:rsidR="00000000" w:rsidRDefault="00000000"/>
    <w:p w:rsidR="00000000" w:rsidRDefault="00000000">
      <w:r>
        <w:t>196.</w:t>
      </w:r>
      <w:r>
        <w:tab/>
        <w:t>Порядок урегулирования индивидуальных трудовых споров регулируется Кодексом законов о труде, согласно которому в этих случаях работник или администрация (работодатель) разрешают спорные вопросы в досудебном органе - комиссии по трудовым спорам по месту работы, с участием профсоюзного комитета, а при отсутствии соглашения – в судебном порядке.  При этом процессуальные сроки рассмотрения дел, связанных с трудовыми отношениями, по сравнению с другими категориями гражданских дел, сокращены и составляют не более 20 дней (Гражданский процессуальный кодекс, статья 59).</w:t>
      </w:r>
    </w:p>
    <w:p w:rsidR="00000000" w:rsidRDefault="00000000"/>
    <w:p w:rsidR="00000000" w:rsidRDefault="00000000">
      <w:r>
        <w:t>197.</w:t>
      </w:r>
      <w:r>
        <w:tab/>
        <w:t>Уголовный кодекс рассматривает как наказуемые деяния посягательство на свободу труда, т.е. препятствование путем насилия или угрозы насилием любой законной трудовой деятельности (статья 168), незаконное увольнение, неисполнение судебного решения о восстановлении на работе или иное существенное нарушение трудового законодательства (статья 169), посягательство на право забастовки, т.е. незаконное, с применением силы или угрозы силой, препятствование ее проведению, либо принуждение лица воздержаться от забастовки (статья 165).</w:t>
      </w:r>
    </w:p>
    <w:p w:rsidR="00000000" w:rsidRDefault="00000000"/>
    <w:p w:rsidR="00000000" w:rsidRDefault="00000000">
      <w:pPr>
        <w:rPr>
          <w:u w:val="single"/>
        </w:rPr>
      </w:pPr>
      <w:r>
        <w:rPr>
          <w:u w:val="single"/>
        </w:rPr>
        <w:t>Право на справедливые и благоприятные условия труда</w:t>
      </w:r>
    </w:p>
    <w:p w:rsidR="00000000" w:rsidRDefault="00000000"/>
    <w:p w:rsidR="00000000" w:rsidRDefault="00000000">
      <w:pPr>
        <w:pStyle w:val="BodyTextIndent"/>
        <w:spacing w:line="288" w:lineRule="auto"/>
        <w:ind w:firstLine="0"/>
        <w:jc w:val="left"/>
        <w:rPr>
          <w:sz w:val="24"/>
        </w:rPr>
      </w:pPr>
      <w:r>
        <w:rPr>
          <w:sz w:val="24"/>
        </w:rPr>
        <w:t>198.</w:t>
      </w:r>
      <w:r>
        <w:rPr>
          <w:sz w:val="24"/>
        </w:rPr>
        <w:tab/>
        <w:t>Необходимость обеспечения справедливых и благоприятных условий труда оговаривается в трудовом законодательстве, и оно в равной степени применимо ко всем грузинским гражданам и  иностранцам, как они определяются законодательством Грузии.</w:t>
      </w:r>
    </w:p>
    <w:p w:rsidR="00000000" w:rsidRDefault="00000000"/>
    <w:p w:rsidR="00000000" w:rsidRDefault="00000000">
      <w:r>
        <w:t>199.</w:t>
      </w:r>
      <w:r>
        <w:tab/>
        <w:t>Согласно  Кодексу законов о труде, нормальная продолжительность рабочего времени не должна превышать 41 час в неделю, а для служащих органов власти и управления, подпадающих под действие закона "О гражданской службе", 40 часов в неделю при двух выходных днях.  Для несовершеннолетних в возрасте 16-18 лет продолжительность рабочего времени не должна превышать 36 часов, а для 14-15-летних, работающих в период каникул, – 24 часа в неделю.  При сменной работе в ночное время продолжительность рабочего времени сокращается на один час.  К ночной работе не допускаются, в частности, беременные женщины, кормящие матери, женщины, имеющие детей в возрасте до одного года, работники, не достигшие 18-летнего возраста.  Сверхурочная работа допускается лишь в предусмотренных законом исключительных случаях и к ней не могут быть привлечены вышеперечисленные категории работников.</w:t>
      </w:r>
    </w:p>
    <w:p w:rsidR="00000000" w:rsidRDefault="00000000"/>
    <w:p w:rsidR="00000000" w:rsidRDefault="00000000">
      <w:r>
        <w:t>200.</w:t>
      </w:r>
      <w:r>
        <w:tab/>
        <w:t>Продолжительность ежегодно оплачиваемого отпуска для рабочих и служащих составляет не менее 15 рабочих дней.  Для лиц моложе 18 лет продолжительность отпуска составляет 30 календарных дней.  Гражданским служащим отпуск предоставляется сроком от 30 до 45 календарных дней, в зависимости от выслуги лет.  Законом предусматривается также предоставление оплачиваемых отпусков по беременности и уходу за ребенком общей продолжительностью в 126 календарных дней, а также неоплачиваемых отпусков по уважительным причинам.</w:t>
      </w:r>
    </w:p>
    <w:p w:rsidR="00000000" w:rsidRDefault="00000000"/>
    <w:p w:rsidR="00000000" w:rsidRDefault="00000000">
      <w:r>
        <w:t>201.</w:t>
      </w:r>
      <w:r>
        <w:tab/>
        <w:t>Кроме того, согласно Кодексу законов  о труде, право на справедливые и благоприятные условия труда обеспечивается повышенными в 1,5-2 раза ставками оплаты за ночную, сверхурочную работу или труд в нерабочие и праздничные дни.  По выбору работника, занятого в нерабочий день, ему может быть предоставлен другой выходной день.</w:t>
      </w:r>
    </w:p>
    <w:p w:rsidR="00000000" w:rsidRDefault="00000000"/>
    <w:p w:rsidR="00000000" w:rsidRDefault="00000000">
      <w:pPr>
        <w:rPr>
          <w:u w:val="single"/>
        </w:rPr>
      </w:pPr>
      <w:r>
        <w:rPr>
          <w:u w:val="single"/>
        </w:rPr>
        <w:t>Право на защиту от безработицы</w:t>
      </w:r>
    </w:p>
    <w:p w:rsidR="00000000" w:rsidRDefault="00000000"/>
    <w:p w:rsidR="00000000" w:rsidRDefault="00000000">
      <w:pPr>
        <w:pStyle w:val="BodyTextIndent"/>
        <w:spacing w:line="288" w:lineRule="auto"/>
        <w:ind w:firstLine="0"/>
        <w:jc w:val="left"/>
        <w:rPr>
          <w:sz w:val="24"/>
        </w:rPr>
      </w:pPr>
      <w:r>
        <w:rPr>
          <w:sz w:val="24"/>
        </w:rPr>
        <w:t>202.</w:t>
      </w:r>
      <w:r>
        <w:rPr>
          <w:sz w:val="24"/>
        </w:rPr>
        <w:tab/>
        <w:t>Данное право обеспечивается статьей 32 Конституции, о чем упоминалось выше.   Закон "О занятости" оговаривает необходимость создания условий для обеспечения максимально полной занятости населения, уменьшения безработицы, а также гарантирует социальную защиту безработных.</w:t>
      </w:r>
    </w:p>
    <w:p w:rsidR="00000000" w:rsidRDefault="00000000"/>
    <w:p w:rsidR="00000000" w:rsidRDefault="00000000">
      <w:r>
        <w:t>203.</w:t>
      </w:r>
      <w:r>
        <w:tab/>
        <w:t>В настоящее время разработан проект Государственной программы по трудоустройству на период до 2000 года, подготовленный министерством здравоохранения и социальной защиты.  Ее утверждение, после осуществления необходимых процедур, состоится в ближайшем будущем.</w:t>
      </w:r>
    </w:p>
    <w:p w:rsidR="00000000" w:rsidRDefault="00000000"/>
    <w:p w:rsidR="00000000" w:rsidRDefault="00000000">
      <w:r>
        <w:t>204.</w:t>
      </w:r>
      <w:r>
        <w:tab/>
        <w:t>В Грузии безработные и лица, ищущие работу, могут воспользоваться услугами как государственных, так и частных служб по трудоустройству.  Государство взяло на себя обеспечение безработных пособием  в течение 6 месяцев в том случае, если они состоят на официальном учете на государственной бирже труда.  Как показывают данные государственных служб по трудоустройству, а также социологические исследования, среди безработных наибольшую долю составляют лица с высшим образованием, которым рынок труда не предлагает адекватных их квалификации и опыту рабочих мест.</w:t>
      </w:r>
    </w:p>
    <w:p w:rsidR="00000000" w:rsidRDefault="00000000">
      <w:pPr>
        <w:ind w:firstLine="720"/>
      </w:pPr>
    </w:p>
    <w:p w:rsidR="00000000" w:rsidRDefault="00000000">
      <w:r>
        <w:rPr>
          <w:u w:val="single"/>
        </w:rPr>
        <w:t>Право на справедливое  вознаграждение</w:t>
      </w:r>
    </w:p>
    <w:p w:rsidR="00000000" w:rsidRDefault="00000000">
      <w:pPr>
        <w:ind w:firstLine="720"/>
      </w:pPr>
    </w:p>
    <w:p w:rsidR="00000000" w:rsidRDefault="00000000">
      <w:pPr>
        <w:pStyle w:val="BodyTextIndent"/>
        <w:tabs>
          <w:tab w:val="left" w:pos="561"/>
          <w:tab w:val="left" w:pos="1122"/>
        </w:tabs>
        <w:spacing w:line="288" w:lineRule="auto"/>
        <w:ind w:firstLine="0"/>
        <w:jc w:val="left"/>
        <w:rPr>
          <w:sz w:val="24"/>
        </w:rPr>
      </w:pPr>
      <w:r>
        <w:rPr>
          <w:sz w:val="24"/>
        </w:rPr>
        <w:t>205.</w:t>
      </w:r>
      <w:r>
        <w:rPr>
          <w:sz w:val="24"/>
        </w:rPr>
        <w:tab/>
        <w:t>Право на справедливую оплату труда гарантируется статьей 30 Конституции.  Кодекс законов о труде провозглашает, что оплата труда рабочих и служащих осуществляется  в зависимости от его количества и качества.  Запрещается какое-либо  сокращение оплаты труда в зависимости от пола, возраста, расы или национальной принадлежности (статья 75).</w:t>
      </w:r>
    </w:p>
    <w:p w:rsidR="00000000" w:rsidRDefault="00000000">
      <w:pPr>
        <w:ind w:firstLine="720"/>
      </w:pPr>
    </w:p>
    <w:p w:rsidR="00000000" w:rsidRDefault="00000000">
      <w:r>
        <w:t>206.</w:t>
      </w:r>
      <w:r>
        <w:tab/>
        <w:t>Уровень минимальной заработной платы, согласно Кодексу законов о труде,  устанавливается Президентом страны.  В соответствии с "Основными направлениями упорядочения оплаты труда в 1996-2000 годах" разработаны мероприятия по совершенствованию оплаты труда работников бюджетной сферы, подготовлены рекомендации по вопросам об оплате труда лиц, занятых во внебюджетной сфере (в секторе бизнеса).  В настоящее время осуществляется работа по формированию единой тарифной сетки для всех категорий работников бюджетной сферы.</w:t>
      </w:r>
    </w:p>
    <w:p w:rsidR="00000000" w:rsidRDefault="00000000">
      <w:pPr>
        <w:ind w:firstLine="720"/>
      </w:pPr>
    </w:p>
    <w:p w:rsidR="00000000" w:rsidRDefault="00000000">
      <w:r>
        <w:t>207.</w:t>
      </w:r>
      <w:r>
        <w:tab/>
        <w:t>Вопросы оплаты труда во внебюджетном секторе решается путем договора между нанимателем и  наемным работником.  В настоящее время готовится законопроект, призванный упорядочить проблему минимальной заработной платы в секторе бизнеса.  Что касается оплаты труда в бюджетной сфере, то, согласно закону, выделяемые из бюджета на эти цели средства проходят по защищенным статьям, т.е. их сокращение не допускается, вне зависимости от любых корректировок расходной части.</w:t>
      </w:r>
    </w:p>
    <w:p w:rsidR="00000000" w:rsidRDefault="00000000">
      <w:pPr>
        <w:ind w:firstLine="720"/>
      </w:pPr>
    </w:p>
    <w:p w:rsidR="00000000" w:rsidRDefault="00000000">
      <w:pPr>
        <w:rPr>
          <w:u w:val="single"/>
        </w:rPr>
      </w:pPr>
      <w:r>
        <w:rPr>
          <w:u w:val="single"/>
        </w:rPr>
        <w:t>Статистические данные</w:t>
      </w:r>
    </w:p>
    <w:p w:rsidR="00000000" w:rsidRDefault="00000000">
      <w:pPr>
        <w:pStyle w:val="Heading1"/>
      </w:pPr>
    </w:p>
    <w:p w:rsidR="00000000" w:rsidRDefault="00000000">
      <w:pPr>
        <w:pStyle w:val="Heading1"/>
        <w:rPr>
          <w:b w:val="0"/>
          <w:bCs/>
          <w:u w:val="single"/>
        </w:rPr>
      </w:pPr>
      <w:r>
        <w:rPr>
          <w:b w:val="0"/>
          <w:bCs/>
        </w:rPr>
        <w:tab/>
      </w:r>
      <w:r>
        <w:rPr>
          <w:b w:val="0"/>
          <w:bCs/>
          <w:u w:val="single"/>
        </w:rPr>
        <w:t>Занятость</w:t>
      </w:r>
    </w:p>
    <w:p w:rsidR="00000000" w:rsidRDefault="00000000">
      <w:pPr>
        <w:ind w:firstLine="720"/>
      </w:pPr>
    </w:p>
    <w:p w:rsidR="00000000" w:rsidRDefault="00000000">
      <w:pPr>
        <w:pStyle w:val="BodyTextIndent"/>
        <w:tabs>
          <w:tab w:val="left" w:pos="561"/>
          <w:tab w:val="left" w:pos="1122"/>
        </w:tabs>
        <w:spacing w:line="288" w:lineRule="auto"/>
        <w:ind w:firstLine="0"/>
        <w:jc w:val="left"/>
        <w:rPr>
          <w:sz w:val="24"/>
        </w:rPr>
      </w:pPr>
      <w:r>
        <w:rPr>
          <w:sz w:val="24"/>
        </w:rPr>
        <w:t>208.</w:t>
      </w:r>
      <w:r>
        <w:rPr>
          <w:sz w:val="24"/>
        </w:rPr>
        <w:tab/>
        <w:t>В качестве точки отсчета для оценки положения в сфере занятости целесообразно принять 1990 год – последний  перед достижением Грузией независимости.  В том году объем экономически актив</w:t>
      </w:r>
      <w:r>
        <w:rPr>
          <w:sz w:val="24"/>
        </w:rPr>
        <w:softHyphen/>
        <w:t>ного населения был наибольшим и совпадал с количеством занятых.  За период 1991-1995 годов неуклонно снижалось как количество экономически активного населения, так и число  занятых.  Самый  низкий показатель занятости, в процентном соотношении с количеством экономически активного населения, был зафиксирован в 1993 году и составил 93,4%.  В абсолютных цифрах самый низкий уровень занятости отмечен в 1995 году.  В последующие годы наметился определенный рост занятости, в основном за счет количества самозанятых.  В 1998 году от общего числа имеющих работу   лиц 36,4% составили наемные работники, а 59,8% - самозанятые, при уровне безработицы в 3,8% (зарегистрированных на бирже труда).  В 1991-1998 годах прослеживается устойчивая тенденция к снижению числа занятых в государственном секторе экономики и увеличение количества работающих в негосударственном секторе. Если в 1991 году соотношение числа занятых в госсекторе и секторе бизнеса составило соответственно 75,1% и  24,9%, то в 1998 году те же показатели достигли 34,7% и 65,3%.  Анализ распределения работающих по отраслям экономики показывает, что в 1997 году доля работников сельского хозяйства составила 58,6%, увеличившись по сравнению с 1990 годом на 33%.</w:t>
      </w:r>
    </w:p>
    <w:p w:rsidR="00000000" w:rsidRDefault="00000000">
      <w:pPr>
        <w:ind w:firstLine="720"/>
      </w:pPr>
    </w:p>
    <w:p w:rsidR="00000000" w:rsidRDefault="00000000">
      <w:r>
        <w:t>209.</w:t>
      </w:r>
      <w:r>
        <w:tab/>
        <w:t>Более половины (50,6%) занятых женщин  работают в сельском хозяйстве.  Доля работающих женщин является значительной в сферах образования (13,5%) и здравоохранения (7,7%) по отношению к общему числу занятых женщин.  Довольно высок процент женщин, занятых в сфере торговли, коммунальных услуг и пищевой промышленности (2-7%).</w:t>
      </w:r>
    </w:p>
    <w:p w:rsidR="00000000" w:rsidRDefault="00000000">
      <w:pPr>
        <w:ind w:firstLine="720"/>
      </w:pPr>
    </w:p>
    <w:p w:rsidR="00000000" w:rsidRDefault="00000000">
      <w:r>
        <w:t>210.</w:t>
      </w:r>
      <w:r>
        <w:tab/>
        <w:t>Статистика по национальному или этническому происхождению занятых не ведется.</w:t>
      </w:r>
    </w:p>
    <w:p w:rsidR="00000000" w:rsidRDefault="00000000">
      <w:pPr>
        <w:pStyle w:val="Heading1"/>
        <w:ind w:firstLine="720"/>
        <w:rPr>
          <w:u w:val="single"/>
        </w:rPr>
      </w:pPr>
    </w:p>
    <w:p w:rsidR="00000000" w:rsidRDefault="00000000">
      <w:pPr>
        <w:pStyle w:val="Heading1"/>
        <w:rPr>
          <w:b w:val="0"/>
          <w:bCs/>
          <w:u w:val="single"/>
        </w:rPr>
      </w:pPr>
      <w:r>
        <w:rPr>
          <w:b w:val="0"/>
          <w:bCs/>
        </w:rPr>
        <w:tab/>
      </w:r>
      <w:r>
        <w:rPr>
          <w:b w:val="0"/>
          <w:bCs/>
          <w:u w:val="single"/>
        </w:rPr>
        <w:t>Безработица</w:t>
      </w:r>
    </w:p>
    <w:p w:rsidR="00000000" w:rsidRDefault="00000000">
      <w:pPr>
        <w:pStyle w:val="FootnoteText"/>
        <w:spacing w:line="288" w:lineRule="auto"/>
      </w:pPr>
    </w:p>
    <w:p w:rsidR="00000000" w:rsidRDefault="00000000">
      <w:pPr>
        <w:pStyle w:val="BodyText"/>
        <w:tabs>
          <w:tab w:val="clear" w:pos="567"/>
          <w:tab w:val="left" w:pos="561"/>
        </w:tabs>
        <w:jc w:val="left"/>
      </w:pPr>
      <w:r>
        <w:t>211.</w:t>
      </w:r>
      <w:r>
        <w:tab/>
        <w:t>Первые шаги по упорядочению  системы учета безработицы в Грузии были сделаны во второй половине 1996 года.  На этот период, в соответствии со стандартами Международной организации труда, количество безработных составило 282 600 человек, из них более  половины (50,6%) были женщины. 219 200 человек принадлежали к возрастной группе старше 25 лет.  В 1997 году число безработных сократилось до 165 000 человек, из которых 49,4% составляли женщины.  Число не имеющих работы лиц в возрасте 25 лет и выше равняется 130 000 человек.  В 1998 году количество безработных  достигло 294 700 человек, в том числе 44,9% женщины. Безработные лица старше 25 лет составили 82%  их общего числа.  В первой половине 1999 года общее число безработных несколько снизилось (до 267 700 человек), как и доля женщин среди них (43%).  Возрос показатель количества безработных в возрастной  группе 25 лет и выше, достигнув 84%.</w:t>
      </w:r>
    </w:p>
    <w:p w:rsidR="00000000" w:rsidRDefault="00000000"/>
    <w:p w:rsidR="00000000" w:rsidRDefault="00000000">
      <w:r>
        <w:t>212.</w:t>
      </w:r>
      <w:r>
        <w:tab/>
        <w:t>Есть основания полагать, что число зарегистрированных в государственных службах по трудоустройству лиц не отражает адекватно реальный уровень безработицы. Объясняется это в основном двумя причинами – непродолжительностью периода получения пособия по безработице и его низким размером (около 10% прожиточного минимума), а также малой вероятностью получить работу с помощью службы по трудоустройству:  в 1995-1997 годах количество претендентов на одно вакантное рабочее место составляло от 40 до 69 человек.  В 1998 году этот показатель сократился до 13 человек на место, однако работу посредством службы по трудоустройству получили лишь 6 400 человек.</w:t>
      </w:r>
    </w:p>
    <w:p w:rsidR="00000000" w:rsidRDefault="00000000"/>
    <w:p w:rsidR="00000000" w:rsidRDefault="00000000">
      <w:r>
        <w:t>213.</w:t>
      </w:r>
      <w:r>
        <w:tab/>
        <w:t>Анализ профессиональной структуры безработицы показывает, что среди квалифицированных  специалистов высшего и среднего уровня, оставшихся без работы, 63-64% составляют женщины.  Женщины составляют более половины (52%) от общего числа безработных, ранее занимавшихся квалифицированным трудом в сфере сельского хозяйства и смежных отраслях.  Что касается средней продолжительности периода поиска работы, то в 1998 году она составила 14,9 месяца в случае женщин и 14,7 месяца в случае мужчин.</w:t>
      </w:r>
    </w:p>
    <w:p w:rsidR="00000000" w:rsidRDefault="00000000"/>
    <w:p w:rsidR="00000000" w:rsidRDefault="00000000">
      <w:pPr>
        <w:rPr>
          <w:u w:val="single"/>
        </w:rPr>
      </w:pPr>
      <w:r>
        <w:tab/>
      </w:r>
      <w:r>
        <w:rPr>
          <w:u w:val="single"/>
        </w:rPr>
        <w:t>Заработная плата и средний доход</w:t>
      </w:r>
    </w:p>
    <w:p w:rsidR="00000000" w:rsidRDefault="00000000"/>
    <w:p w:rsidR="00000000" w:rsidRDefault="00000000">
      <w:pPr>
        <w:pStyle w:val="BodyText"/>
        <w:tabs>
          <w:tab w:val="clear" w:pos="567"/>
          <w:tab w:val="left" w:pos="561"/>
        </w:tabs>
        <w:jc w:val="left"/>
      </w:pPr>
      <w:r>
        <w:t>214.</w:t>
      </w:r>
      <w:r>
        <w:tab/>
        <w:t>В 1998 году средняя заработная плата в государственном секторе составила:  на государственных предприятиях - 47,1 лари в случае женщин и 76,8 лари в случае мужчин, а в бюджетных организациях – соответственно 31,0 и 56,2 лари.  В негосударственном секторе заработная плата была выше, достигая 58,8 лари для женщин и 93,3 лари для мужчин.  Примечательно, что только в иностранных или совместных предприятиях оплата труда женщин превысила заработную плату мужчин: соответственно 257,2 и 147,6 лари. Среднемесячный доход среди самозанятых в 1998 году составил:  в случае женщин - 74,5 лари, в случае мужчин -  139,7 лари.  (</w:t>
      </w:r>
      <w:r>
        <w:rPr>
          <w:u w:val="single"/>
        </w:rPr>
        <w:t>Примечание</w:t>
      </w:r>
      <w:r>
        <w:t xml:space="preserve">:  1 лари = 0,5 </w:t>
      </w:r>
      <w:r>
        <w:rPr>
          <w:lang w:val="en-US"/>
        </w:rPr>
        <w:t>USD</w:t>
      </w:r>
      <w:r>
        <w:t>).</w:t>
      </w:r>
    </w:p>
    <w:p w:rsidR="00000000" w:rsidRDefault="00000000"/>
    <w:p w:rsidR="00000000" w:rsidRDefault="00000000">
      <w:r>
        <w:t>215.</w:t>
      </w:r>
      <w:r>
        <w:tab/>
        <w:t>Статистическая учетность по показателям безработицы, заработной платы и доходов в разбивке по национальному или этническому происхождению осуществляется, но не включается в общие сборники.  На практике упомянутые показатели по меньшинствам  пропорциональны их доле от общего населения Грузии.</w:t>
      </w:r>
    </w:p>
    <w:p w:rsidR="00000000" w:rsidRDefault="00000000"/>
    <w:p w:rsidR="00000000" w:rsidRDefault="00000000">
      <w:pPr>
        <w:rPr>
          <w:u w:val="single"/>
        </w:rPr>
      </w:pPr>
      <w:r>
        <w:rPr>
          <w:u w:val="single"/>
        </w:rPr>
        <w:t>Право создавать профессиональные союзы и вступать в них</w:t>
      </w:r>
    </w:p>
    <w:p w:rsidR="00000000" w:rsidRDefault="00000000">
      <w:pPr>
        <w:rPr>
          <w:u w:val="single"/>
        </w:rPr>
      </w:pPr>
    </w:p>
    <w:p w:rsidR="00000000" w:rsidRDefault="00000000">
      <w:pPr>
        <w:pStyle w:val="BodyText"/>
        <w:jc w:val="left"/>
      </w:pPr>
      <w:r>
        <w:t>216.</w:t>
      </w:r>
      <w:r>
        <w:tab/>
        <w:t>Право на создание профессиональных союзов и объединение в них гарантируется статьей 26 Конституции.  Пользование данным правом не подлежит ограничениям, за исключением случаев, когда профсоюз (в числе других общественных организаций) ставит целью свержение или насильственное изменение конституционного строя,  посягательство на независимость страны, ее территориальную целостность, ведет пропаганду войны или насилия, разжигает национальную, религиозную или иную рознь.  Разумеется, применительно к профсоюзам приведенные положения являются чисто теоретическими.</w:t>
      </w:r>
    </w:p>
    <w:p w:rsidR="00000000" w:rsidRDefault="00000000"/>
    <w:p w:rsidR="00000000" w:rsidRDefault="00000000">
      <w:r>
        <w:t>217.</w:t>
      </w:r>
      <w:r>
        <w:tab/>
        <w:t>Законодательно охватываемое данным разделом право регулируется законами "О профессиональных союзах", "О коллективных договорах и соглашениях" и "О порядке урегулирования коллективных трудовых споров".  Согласно закону "О профессиональных союзах" их целью является защита трудовых и социально-экономических прав трудящихся, содействие занятости населения, проведение коллективных переговоров, заключение коллективных договоров и контроль над их выполнением, участие в разрешении коллективных трудовых споров, контроль за выполнением трудового законодательства и реализация иных предусмотренных законом полномочий.  Правом создания и вступления в профсоюз  пользуется любое лицо, достигшее 15-летнего возраста, занимающееся трудовой деятельностью либо обучающееся в высшем или среднем специальном учебном заведении.  Те же лица могут свободно выйти из профсоюза.  Безработные и пенсионеры сохраняют  право на членство в профсоюзе (статья 2).</w:t>
      </w:r>
    </w:p>
    <w:p w:rsidR="00000000" w:rsidRDefault="00000000"/>
    <w:p w:rsidR="00000000" w:rsidRDefault="00000000">
      <w:r>
        <w:t>218.</w:t>
      </w:r>
      <w:r>
        <w:tab/>
        <w:t>В январе 1999 года вступил в силу Указ Президента Грузии "О содействии осуществлению прав профессиональных союзов", в котором конкретизируются предоставленные профсоюзам законом полномочия:  участие их представителей в работе коллегиальных органов учреждений исполнительной власти в центре и на местах, других государственных структур, привлечение к подготовке законодательных актов в области трудовых и социальных вопросов, общественный контроль за осуществлением трудового законодательства и другие полномочия.</w:t>
      </w:r>
    </w:p>
    <w:p w:rsidR="00000000" w:rsidRDefault="00000000">
      <w:pPr>
        <w:ind w:firstLine="720"/>
      </w:pPr>
    </w:p>
    <w:p w:rsidR="00000000" w:rsidRDefault="00000000">
      <w:r>
        <w:t>219.</w:t>
      </w:r>
      <w:r>
        <w:tab/>
        <w:t>Профсоюзы функционировали в Грузии и в советский период ее истории, однако их деятельность носила чисто формальный характер.  В постсоветский период возникло Объединение профсоюзов Грузии - добровольное объединение отраслевых и территориальных профессиональных союзов, созданное на основе единства интересов и принципов деятельности организаций-участников.  Объединенный профсоюз включает в себя профсоюзные организации Абхазии и Аджарии, а также 32 отраслевых профессиональных союза.  Свои взаимоотношения с органами власти в центре и на местах, работодателями и их объединениями  профсоюзы строят на основе существующего законодательства, руководствуясь принципами социального партнерства.</w:t>
      </w:r>
    </w:p>
    <w:p w:rsidR="00000000" w:rsidRDefault="00000000"/>
    <w:p w:rsidR="00000000" w:rsidRDefault="00000000">
      <w:r>
        <w:t>220.</w:t>
      </w:r>
      <w:r>
        <w:tab/>
        <w:t>Центральным советом Объединения профсоюзов Грузии принято решение о вступлении в Международную конфедерацию свободных профсоюзов.</w:t>
      </w:r>
    </w:p>
    <w:p w:rsidR="00000000" w:rsidRDefault="00000000"/>
    <w:p w:rsidR="00000000" w:rsidRDefault="00000000">
      <w:pPr>
        <w:pStyle w:val="Heading2"/>
      </w:pPr>
      <w:r>
        <w:t>Право на жилище</w:t>
      </w:r>
    </w:p>
    <w:p w:rsidR="00000000" w:rsidRDefault="00000000"/>
    <w:p w:rsidR="00000000" w:rsidRDefault="00000000">
      <w:r>
        <w:t>221.</w:t>
      </w:r>
      <w:r>
        <w:tab/>
        <w:t>В Конституции право на жилище прямо не провозглашается.  Косвенным признанием этого права можно считать предусмотренное в Основном законе право на приобретение, отчуждение и наследование собственности (статья 21, пункт 1).  Кроме того, Конституция не отвергает не упомянутых в ней, но вытекающих из ее принципов прав, свобод и гарантий человека и гражданина (статья 39).</w:t>
      </w:r>
    </w:p>
    <w:p w:rsidR="00000000" w:rsidRDefault="00000000"/>
    <w:p w:rsidR="00000000" w:rsidRDefault="00000000">
      <w:r>
        <w:t>222.</w:t>
      </w:r>
      <w:r>
        <w:tab/>
        <w:t>Первым документом, зафиксировавшим право на владение своим жилищем, был принятый в феврале 1992 году указ Кабинета министров Грузии "О приватизации жилого фонда", согласно которому в собственность граждан передавались государственные квартиры, в которых они фактически проживали и где были прописаны.</w:t>
      </w:r>
    </w:p>
    <w:p w:rsidR="00000000" w:rsidRDefault="00000000"/>
    <w:p w:rsidR="00000000" w:rsidRDefault="00000000">
      <w:r>
        <w:t>223.</w:t>
      </w:r>
      <w:r>
        <w:tab/>
        <w:t>В настоящее время различные аспекты реализации права на жилище регламентируются Гражданским кодексом, вступившим в силу 25 ноября 1997 года.  Как указывается в Кодексе, его действие распространяется лишь на взаимоотношения, возникшие после его вступления в силу.  Применительно к взаимоотношениям, возникшим на основе нормативных актов, утративших силу после принятия кодекса, действуют эти нормативные акты.  В их число входит закон "О праве собственности".  Гражданский кодекс особо оговаривает, что срок приобретения недвижимости ввиду давности отсчитывается с момента вступления в действие вышеупомянутого закона (статья 1507, пункты 1, 3, 4), а именно – с 23 июля 1993 года.</w:t>
      </w:r>
    </w:p>
    <w:p w:rsidR="00000000" w:rsidRDefault="00000000"/>
    <w:p w:rsidR="00000000" w:rsidRDefault="00000000">
      <w:r>
        <w:t>224.</w:t>
      </w:r>
      <w:r>
        <w:tab/>
        <w:t>Гражданский кодекс предусматривает также, что если лицо  внесено в публичный реестр в качестве собственника недвижимого имущества, однако не приобрело на него права собственности, то оно приобретает это право, если регистрация в реестре существовала в течение 15 лет и на протяжении этого времени лицо владело недвижимым имуществом как своим собственным (статья 167).</w:t>
      </w:r>
    </w:p>
    <w:p w:rsidR="00000000" w:rsidRDefault="00000000">
      <w:pPr>
        <w:tabs>
          <w:tab w:val="left" w:pos="720"/>
          <w:tab w:val="center" w:pos="4320"/>
        </w:tabs>
      </w:pPr>
    </w:p>
    <w:p w:rsidR="00000000" w:rsidRDefault="00000000">
      <w:r>
        <w:t>225.</w:t>
      </w:r>
      <w:r>
        <w:tab/>
        <w:t>Согласно  закону "О праве собственности" право собственности признается и охраняется законом.  Собственник вправе владеть, пользоваться и распоряжаться своим имуществом (статья 1).  Объектами права собственности являются, в частности, жилые дома и другое недвижимое имущество (статья 2).  Субъектами права собственности в Грузии являются граждане Грузии, лица без гражданства, юридические лица и государство.  В Грузии может существовать собственность иностранцев, иностранных государств, юридических лиц и международных организаций, на которую распространяется внутреннее законодательство, если международным договором государства не предусмотрено  иное (статья 3).  Иностранцы и иностранные юридические лица вправе в соответствии с действующим законодательством иметь в собственности жилые дома и иные объекты  недвижимости, кроме объектов исключительного права государственной собственности.  То же ограничение распространяется на граждан Грузии и лиц без гражданства (статьи 9 и 19).</w:t>
      </w:r>
    </w:p>
    <w:p w:rsidR="00000000" w:rsidRDefault="00000000"/>
    <w:p w:rsidR="00000000" w:rsidRDefault="00000000">
      <w:r>
        <w:t>226.</w:t>
      </w:r>
      <w:r>
        <w:tab/>
        <w:t>Гражданским кодексом предусматривается, что для приобретения недвижимости необходим нотариально заверенный документ, в котором указывается основание ее приобретения, а также регистрация приобретения в публичном реестре (статья 183). Исходя из интересов приобретателя, отчуждатель считается собственником, если он зарегистрирован в качестве такового в публичном реестре (статья 185).</w:t>
      </w:r>
    </w:p>
    <w:p w:rsidR="00000000" w:rsidRDefault="00000000">
      <w:r>
        <w:t xml:space="preserve"> </w:t>
      </w:r>
    </w:p>
    <w:p w:rsidR="00000000" w:rsidRDefault="00000000">
      <w:r>
        <w:t>227.</w:t>
      </w:r>
      <w:r>
        <w:tab/>
        <w:t>Право собственности на квартиры в многоквартирных домах регулируется соответствующей главой Гражданского кодекса.  Согласно Кодексу в многоквартирном доме существует право собственности на квартиру и ту часть здания, которая не используется в качестве квартиры.  Собственность на квартиру и нежилую площадь считается индивидуальной собственностью (статья 203).  Квартиросъемщик, проживший в квартире более трех лет, имеет преимущественное право на приобретение квартиры (статья 209).  Участок земли, часть здания и сооружения, не являющиеся индивидуальной собственностью, считаются общей собственностью владельцев квартир.  Владелец квартиры в то же время имеет долю в общей собственности.  Отчуждение индивидуальной собственности без учета соответствующей доли общей собственности не допускается (статьи 208 и 214).  Порядок отчуждения и приобретения квартир такой же, как и в случае другого недвижимого имущества, о котором говорилось выше.</w:t>
      </w:r>
    </w:p>
    <w:p w:rsidR="00000000" w:rsidRDefault="00000000"/>
    <w:p w:rsidR="00000000" w:rsidRDefault="00000000">
      <w:r>
        <w:t>228.</w:t>
      </w:r>
      <w:r>
        <w:tab/>
        <w:t>Свое право на жилище лицо может осуществлять посредством заключения договора о найме жилой площади, порядок которого предусмотрен специальной главой Гражданского кодекса.  Договор о найме между собственником и арендатором может быть заключен  на неопределенный срок, с выплатой установленной суммы по его окончании.  Если договор о найме жилой квартиры заключен на определенный срок, арендатор вправе не позднее чем за два месяца до истечения срока договора потребовать продления договора на неопределенное время, если арендодатель изъявит свое согласие (статья 560).</w:t>
      </w:r>
    </w:p>
    <w:p w:rsidR="00000000" w:rsidRDefault="00000000"/>
    <w:p w:rsidR="00000000" w:rsidRDefault="00000000">
      <w:r>
        <w:t>229.</w:t>
      </w:r>
      <w:r>
        <w:tab/>
        <w:t>Арендодатель может прекратить договор о найме жилой квартиры лишь в случае, если:  арендатор умышленно нарушил свои договорные обязательства;  арендодателю требуется жилая площадь непосредственно для себя или близких родственников, арендатор отказывается платить увеличенную арендодателем плату, соответствующую рыночным ценам;  арендатор совершил в отношении арендодателя противоправный или аморальный поступок, делающий невозможным дальнейшее продолжение их взаимоотношений (статья 562).  Арендодатель вправе расторгнуть договор о найме, если арендатор не заплатил установленную сумму в течение трех месяцев (статья 558).</w:t>
      </w:r>
    </w:p>
    <w:p w:rsidR="00000000" w:rsidRDefault="00000000"/>
    <w:p w:rsidR="00000000" w:rsidRDefault="00000000">
      <w:r>
        <w:t>230.</w:t>
      </w:r>
      <w:r>
        <w:tab/>
        <w:t>Закон "О взаимоотношениях, возникших при пользовании жильем" регулирует  взаимоотношения, требующие специального правового упорядочения в связи с имевшей место в советское время практикой приобретения права на жилище посредством выплаты "отступных".  При этом между сторонами мог быть заключен не отвечающий требованиям закона договор о купле-продаже либо заключена сделка о передаче права пользования жилой площадью.  В первом случае покупатель объявляется собственником жилья, а во втором - пользователь продолжает сохранять за собой жилую площадь в порядке и при условиях, предусмотренных настоящим законом.  В этом случае собственник может потребовать освободить жилье лишь при условии предоставления пользователю адекватной жилой площади в том же населенном пункте либо в случае выплаты соответствующей компенсации.</w:t>
      </w:r>
    </w:p>
    <w:p w:rsidR="00000000" w:rsidRDefault="00000000"/>
    <w:p w:rsidR="00000000" w:rsidRDefault="00000000">
      <w:r>
        <w:t>231.</w:t>
      </w:r>
      <w:r>
        <w:tab/>
        <w:t>На конец 1997 года общий объем жилого фонда в Грузии составил 98 млн. кв. м, из них 50,2 млн. – в городе и 47,8 млн. – на селе.  Жилой фонд государственных, общественных и жилищно-строительных кооперативов составил 23,2 млн. кв. м (только в городах), в собственности граждан находилось 74,8 млн. кв. м жилой площади, в том числе 27 млн. – в городе и 47,8 млн. – на селе.  Начиная с 1990 года количество построенных квартир неуклонно снижалось – с 11 500 до 600 в 1997 и 1998 годах.  Начиная с 1994 года большинство квартир строится индивидуальными  застройщиками.</w:t>
      </w:r>
    </w:p>
    <w:p w:rsidR="00000000" w:rsidRDefault="00000000"/>
    <w:p w:rsidR="00000000" w:rsidRDefault="00000000">
      <w:r>
        <w:t>232.</w:t>
      </w:r>
      <w:r>
        <w:tab/>
        <w:t>В условиях, когда муниципальное строительство жилья практически свернуто, возможностей для реализации права на жилище остается две – покупка и аренда.  Рынок жилья в Грузии обширен, при значительном превалировании  предложения над спросом. Никакой дискриминации при купле-продаже или найме жилья не существует.  Вопрос в этих случаях решается в зависимости от платежеспособности заинтересованного в приобретении или аренде недвижимости лица, вне зависимости от его происхождения, вероисповедания или иных расовых соображений.</w:t>
      </w:r>
    </w:p>
    <w:p w:rsidR="00000000" w:rsidRDefault="00000000"/>
    <w:p w:rsidR="00000000" w:rsidRDefault="00000000">
      <w:pPr>
        <w:rPr>
          <w:u w:val="single"/>
        </w:rPr>
      </w:pPr>
      <w:r>
        <w:rPr>
          <w:u w:val="single"/>
        </w:rPr>
        <w:t>Право на здравоохранение, медицинскую помощь, социальное обеспечение и социальное обслуживание</w:t>
      </w:r>
    </w:p>
    <w:p w:rsidR="00000000" w:rsidRDefault="00000000"/>
    <w:p w:rsidR="00000000" w:rsidRDefault="00000000">
      <w:pPr>
        <w:pStyle w:val="BodyText"/>
        <w:jc w:val="left"/>
      </w:pPr>
      <w:r>
        <w:t>233.</w:t>
      </w:r>
      <w:r>
        <w:tab/>
        <w:t>Согласно Конституции каждый вправе пользоваться страхованием здоровья как доступным средством медицинской помощи.  В установленном законом порядке при определенных условиях обеспечивается бесплатная медицинская помощь (статья 37, пункт 1).  Специальные нормы применительно к праву на социальное обеспечение и социальное обслуживание в Конституции не содержатся.  Однако государство берет на себя обязательство содействовать благосостоянию семьи и охранять законом права материнства и детства (статья 36, пункты 2 и 3).</w:t>
      </w:r>
    </w:p>
    <w:p w:rsidR="00000000" w:rsidRDefault="00000000"/>
    <w:p w:rsidR="00000000" w:rsidRDefault="00000000">
      <w:r>
        <w:t>234.</w:t>
      </w:r>
      <w:r>
        <w:tab/>
        <w:t>Право на здравоохранение и медицинскую помощь.  Положение в этой области регламентируется законами "Об охране здоровья" и "О медицинском страховании". Согласно закону "Об охране здоровья" одним из основных принципов государственной политики в области здравоохранения является всеобщая и равная доступность для населения медицинской помощи в рамках взятых на себя государством обязательств в форме соответствующих медицинских программ.  Запрещается дискриминация пациента на основе его расы, цвета кожи, языка, пола, вероисповедания, национального, этнического или социального положения, сексуальной ориентации (статья 6).  Все граждане Грузии имеют право в доступной для себя форме получать исчерпывающую и объективную информацию о состоянии своего здоровья, за исключением случая, когда это наносит пациенту значительный ущерб (статьи 7 и 41).</w:t>
      </w:r>
    </w:p>
    <w:p w:rsidR="00000000" w:rsidRDefault="00000000"/>
    <w:p w:rsidR="00000000" w:rsidRDefault="00000000">
      <w:r>
        <w:t>235.</w:t>
      </w:r>
      <w:r>
        <w:tab/>
        <w:t>В соответствии с законом "О медицинском страховании" государственное обязательное медицинское страхование распространяется на всех граждан Грузии и проживающих в стране лиц без гражданства и осуществляется по соответствующей программе, обеспечивающей лицу покрытие расходов на медицинское обслуживание в рамках государственной медицинской программы (статья 2).  Находящиеся и работающие в Грузии граждане иностранных государств участвуют в системе государственного медицинского страхования, если  иное не предусмотрено международным договором (статья 3, пункт 2).  Все проживающие в Грузии лица имеют право на добровольное медицинское страхование, на выбор врача или медицинского учреждения в рамках страхового договора, на прохождение лечения в полном объеме, возбуждение иска против медицинского учреждения, страхователя или страховщика о возмещении нанесенного ущерба (там же,  пункты  3-5).</w:t>
      </w:r>
    </w:p>
    <w:p w:rsidR="00000000" w:rsidRDefault="00000000"/>
    <w:p w:rsidR="00000000" w:rsidRDefault="00000000">
      <w:r>
        <w:t>236.</w:t>
      </w:r>
      <w:r>
        <w:tab/>
        <w:t>Реорганизация системы здравоохранения в Грузии началась в 1995 году и ставила  целью внедрение преимущественно новых организационных форм охраны здоровья населения, базирующихся на здоровых экономических отношениях, свободных от политических влияний и идеологических ограничений.  На сегодняшний день итогом реформ стало создание качественно новой модели организации и управления здравоохранения, в центре и на местах завершено формирование соответствующих институционных структур.  Более 1 500 медицинских учреждений перешли на хозрасчетные  отношения, осуществлено лицензирование лечебно-профилактических и фармацевтических учреждений.  Переход на программное управление сделал возможным выделение приоритетных проблем и определение объема минимально необходимого медицинского обслуживания населения (базисного пакета), финансируемого государством через центральные и муниципальные программы.  В 1998 году государство финансировало 86 программ, в рамках которых медицинские услуги были предоставлены примерно трем миллионам пациентов.  Посредством лицензирования, сертификации, приватизации и консолидации осуществляется оптимизация количества медицинских учреждений и их персонала.  Приватизация аптечной сети содействовала устранению дефицита лекарств. Согласно закону "О лекарствах и фармацевтической деятельности" предстоит задействовать механизмы государственного регулирования с целью установления предельно допустимых цен на медикаменты и обеспечения их общедоступности.</w:t>
      </w:r>
    </w:p>
    <w:p w:rsidR="00000000" w:rsidRDefault="00000000"/>
    <w:p w:rsidR="00000000" w:rsidRDefault="00000000">
      <w:r>
        <w:t>237.</w:t>
      </w:r>
      <w:r>
        <w:tab/>
        <w:t>Статистические данные по  пациентам различных национальностей не собираются. Основной проблемой, влияющей на осуществление права на медицинскую помощь, является низкая платежеспособность населения и, как следствие, недоступность лечения, не предусмотренного государственными программами.  Ввиду серьезного финансово-бюджетного кризиса в государстве, недостаточно обеспечиваются и сами медицинские программы.</w:t>
      </w:r>
    </w:p>
    <w:p w:rsidR="00000000" w:rsidRDefault="00000000"/>
    <w:p w:rsidR="00000000" w:rsidRDefault="00000000">
      <w:r>
        <w:t>238.</w:t>
      </w:r>
      <w:r>
        <w:tab/>
        <w:t>Говоря о социальном обеспечении и социальном обслуживании, следует отметить, что в Грузии действует государственная пенсионная система, осуществляющая следующие виды социальной помощи: пособия по возрасту, пособия по инвалидности, пособия в связи с производственным травматизмом, пособия для рожениц, пособия для нуждающихся семей и денежные пособия по болезни.</w:t>
      </w:r>
    </w:p>
    <w:p w:rsidR="00000000" w:rsidRDefault="00000000"/>
    <w:p w:rsidR="00000000" w:rsidRDefault="00000000">
      <w:r>
        <w:t>239.</w:t>
      </w:r>
      <w:r>
        <w:tab/>
        <w:t>Пособия для насильственно перемещенных лиц и жертв стихийных бедствий и выделяются из фондов министерства по беженцам и расселению.  Выплаты пособий по безработице осуществляются из Единого государственного фонда занятости.</w:t>
      </w:r>
    </w:p>
    <w:p w:rsidR="00000000" w:rsidRDefault="00000000"/>
    <w:p w:rsidR="00000000" w:rsidRDefault="00000000">
      <w:r>
        <w:t>240.</w:t>
      </w:r>
      <w:r>
        <w:tab/>
        <w:t>С февраля 1996 года пенсионный возраст в Грузии был повышен на 5 лет и составляет 60 лет в случае женщин и 65 лет в случае мужчин.  С учетом  тяжелых и вредных условий труда установлен перечень профессий, на которые распространяются льготные условия, в частности, снижение пенсионного возраста на 5-10 лет.  В 1998 году средний размер пенсий для всех категорий их получателей составил 15 лари (около 16% прожиточного минимума).</w:t>
      </w:r>
    </w:p>
    <w:p w:rsidR="00000000" w:rsidRDefault="00000000"/>
    <w:p w:rsidR="00000000" w:rsidRDefault="00000000">
      <w:r>
        <w:t>241.</w:t>
      </w:r>
      <w:r>
        <w:tab/>
        <w:t>В настоящее время министерство здравоохранения и социальной защиты разрабатывает законопроект "О пенсионном обеспечении граждан".  В нем не содержится пенсионная формула, поскольку ввиду финансово-экономических трудностей государство не располагает средствами для назначения дифференцированных пенсий.  Законопроект, таким образом, регулирует лишь вопросы прав в данной сфере.  До принятия формулы размер пенсий определяется законом "О государственном бюджете Грузии".</w:t>
      </w:r>
    </w:p>
    <w:p w:rsidR="00000000" w:rsidRDefault="00000000"/>
    <w:p w:rsidR="00000000" w:rsidRDefault="00000000">
      <w:r>
        <w:t>242.</w:t>
      </w:r>
      <w:r>
        <w:tab/>
        <w:t>Для пенсионеров и инвалидов предусмотрены выплаты единовременных денежных пособий, льготы при оплате жилья и коммунальных услуг и бесплатный проезд  в наземном городском транспорте.  В соответствии с Указом Президента Грузии "О социальной (семейной) помощи" с 1997 года внедрена новая форма целевой социальной помощи семьям, состоящим из нетрудоспособных пенсионеров и безработных.  В последующий период категория безработных из числа получателей социальной помощи была исключена в связи с нехваткой средств в центральном бюджете.</w:t>
      </w:r>
    </w:p>
    <w:p w:rsidR="00000000" w:rsidRDefault="00000000"/>
    <w:p w:rsidR="00000000" w:rsidRDefault="00000000">
      <w:r>
        <w:t>243.</w:t>
      </w:r>
      <w:r>
        <w:tab/>
        <w:t>Вопросы социального обеспечения отдельных категорий получателей помощи регулируются специальными законами.  С ноября 1996 года действует закон "О пенсионном обеспечении лиц, уволенных в отставку из рядов внутренних сил, органов внутренних дел и государственной безопасности".  Финансовое обеспечение осуществления закона производится за счет бюджетов соответствующих ведомств.  Помимо повышенной, по сравнению с другими категориями, пенсии, законом установлены также определенные  льготы при оплате коммунальных услуг.  Согласно принятому в декабре 1996 года закону "О социальной защите семей лиц, погибших за территориальную целостность, свободу и независимость Грузии, пропавших без вести или скончавшихся от ран", вышеупомянутым семьям предоставлен целый ряд льгот в бытовом, коммунальном и торговом обслуживании, при пользовании всеми видами транспорта, медицинской помощи, в плане трудоустройства и т.д.</w:t>
      </w:r>
    </w:p>
    <w:p w:rsidR="00000000" w:rsidRDefault="00000000"/>
    <w:p w:rsidR="00000000" w:rsidRDefault="00000000">
      <w:r>
        <w:t>244.</w:t>
      </w:r>
      <w:r>
        <w:tab/>
        <w:t>Социальная защита инвалидов осуществляется в соответствии с законом, принятым в 1995 году, и соответствующими требованиями Декларации ООН о правах инвалидов (1975) и резолюции "Стандартные правила обеспечения равных возможностей для инвалидов" (1993).  В 1996 году была утверждена "Государственная программа социальной защиты, медицинской и социальной реабилитации инвалидов на 1997</w:t>
      </w:r>
      <w:r>
        <w:noBreakHyphen/>
        <w:t>2000 годы".  Разработано несколько моделей социальной реабилитации инвалидов.  Так, инвалиды с детства, занятые в государственном секторе или секторе бизнеса, не облагаются подоходным налогом.  Коммунальные услуги за них оплачивает государство.  Лица, получившие инвалидность вследствие производственной травмы, помимо государственной пенсии, получают пособие от того предприятия или организации, где они получили травму.  Объем пособия определяется в соответствии со степенью потерянной трудоспособности, исходя из средней выработки работника.</w:t>
      </w:r>
    </w:p>
    <w:p w:rsidR="00000000" w:rsidRDefault="00000000"/>
    <w:p w:rsidR="00000000" w:rsidRDefault="00000000">
      <w:r>
        <w:t>245.</w:t>
      </w:r>
      <w:r>
        <w:tab/>
        <w:t>Закон "О перемещенных лицах", наряду с иными вопросами, регулирует и сферу социальной защиты этой категории населения.  В частности, перемещенным лицам предоставлено право бесплатного проживания по временному месту жительства и пользования коммунальными услугами, получения бесплатной помощи в государственных медицинских учреждениях, им выдается как регулярное, так и, в случае необходимости, единовременное денежное пособие.  По возвращении на постоянное место жительства государство обеспечивает перемещенному лицу определенные гарантии реабилитации.</w:t>
      </w:r>
    </w:p>
    <w:p w:rsidR="00000000" w:rsidRDefault="00000000"/>
    <w:p w:rsidR="00000000" w:rsidRDefault="00000000">
      <w:r>
        <w:t>246.</w:t>
      </w:r>
      <w:r>
        <w:tab/>
        <w:t>В соответствии с законом "О беженцах", еще до получения соответствующего статуса, но по прохождении регистрации в министерстве по беженцам и расселению, лицо имеет право на получение в установленном размере продуктовой помощи и получение единовременной помощи из государственного бюджета.  Данное лицо может также проживать в месте временного поселения, отдавать своих детей в дошкольное учреждение или общеобразовательную школу.  После получения статуса беженца за лицом в течение шести месяцев сохраняется право проживания на месте временного поселения, а также все вышеуказанные права.  По истечении шести месяцев беженец может поселиться в населенном пункте из числа предложенных министерством по беженцам и расселению и пользоваться всеми правами, предусмотренными законом "О правовом положении иностранцев", в том числе правом на социальное обеспечение. Органы исполнительной власти и местного самоуправления обязаны содействовать беженцу в вопросах трудоустройства, регулярно выплачивать ему денежное пособие и т.д.</w:t>
      </w:r>
    </w:p>
    <w:p w:rsidR="00000000" w:rsidRDefault="00000000"/>
    <w:p w:rsidR="00000000" w:rsidRDefault="00000000">
      <w:r>
        <w:t>247.</w:t>
      </w:r>
      <w:r>
        <w:tab/>
        <w:t>Согласно закону "О правовом положении иностранцев", иностранцы и лица без гражданства, постоянно проживающие в Грузии, имеют право на пособия, пенсии и другие формы социального обеспечения наравне с гражданами Грузии (статья 10).</w:t>
      </w:r>
    </w:p>
    <w:p w:rsidR="00000000" w:rsidRDefault="00000000"/>
    <w:p w:rsidR="00000000" w:rsidRDefault="00000000">
      <w:r>
        <w:t>248.</w:t>
      </w:r>
      <w:r>
        <w:tab/>
        <w:t>В Грузии не существовало системы денежной помощи многодетным семьям.  До 1997 года действовала система пособий для детей в возрасте до 16 лет, а также для матерей-одиночек.  В связи с введением системы социальной целевой помощи, упомянутой выше, пособия на детей были упразднены.  В настоящее время на уровне местных органов власти действует система социальной помощи многодетным семьям.  Матерям, родившим третьего ребенка, выплачивается единовременное денежное пособие.  С 2000 года на каждого ребенка, родившегося в семье перемещенных лиц, выдается единовременное пособие в сумме 100 лари.</w:t>
      </w:r>
    </w:p>
    <w:p w:rsidR="00000000" w:rsidRDefault="00000000"/>
    <w:p w:rsidR="00000000" w:rsidRDefault="00000000">
      <w:r>
        <w:t>249.</w:t>
      </w:r>
      <w:r>
        <w:tab/>
        <w:t>В 1998 году был принят закон "О негосударственном пенсионном страховании и обеспечении", вступление в силу которого обусловлено принятием закона "О рынке ценных бумаг".  Последний закон парламентом пока не принят.  В конце 1999 года на базе двух министерств было образовано единое министерство здравоохранения и социальной защиты, одной из важнейших задач которого будет внедрение наряду с государственными механизмами социального обеспечения негосударственных форм обеспечения.</w:t>
      </w:r>
    </w:p>
    <w:p w:rsidR="00000000" w:rsidRDefault="00000000"/>
    <w:p w:rsidR="00000000" w:rsidRDefault="00000000">
      <w:r>
        <w:t>250.</w:t>
      </w:r>
      <w:r>
        <w:tab/>
        <w:t>Совместно со Всемирным банком и Международным валютным фондом министерством здравоохранения и социальной защиты разрабатывается целевая комплексная программа по преодолению бедности, рассчитанная на 5-7 лет.  В числе других приоритетных задач программа охватывает оказание помощи одиноким пенсионерам, старикам и инвалидам, а также другим незащищенным слоям населения.  Кроме того, особое внимание будет уделено страхованию безработных, установлению семейных и иных льгот, продовольственному обеспечению нуждающихся, охране их здоровья и развитию социальных фондов.</w:t>
      </w:r>
    </w:p>
    <w:p w:rsidR="00000000" w:rsidRDefault="00000000">
      <w:r>
        <w:tab/>
      </w:r>
    </w:p>
    <w:p w:rsidR="00000000" w:rsidRDefault="00000000">
      <w:r>
        <w:t>251.</w:t>
      </w:r>
      <w:r>
        <w:tab/>
        <w:t>Начиная с 1995 года число пенсионеров, состоящих на учете в органах социального обеспечения, постоянно сокращается и к концу 1998 года составило 967 400 человек.  Из них пенсию по старости получало 665 000 человек, по инвалидности – 136 600 человек, социальную пенсию – 71 000 человек, по потере кормильца – 50 800 человек.  В 1998 году количество лиц, которым была назначена пенсия, составило 23 936 человек, из которых 8 376 – женщины.</w:t>
      </w:r>
    </w:p>
    <w:p w:rsidR="00000000" w:rsidRDefault="00000000"/>
    <w:p w:rsidR="00000000" w:rsidRDefault="00000000">
      <w:r>
        <w:t>252.</w:t>
      </w:r>
      <w:r>
        <w:tab/>
        <w:t>Из общего числа инвалидов в специальные учреждения помещены 642 лица пенсионного возраста, из которых 314 – женщины.  В пансионатах для детей-инвалидов находится 235 детей, из них 93 – девочки.  Общее число учреждений по уходу за инвалидами составляет 10 (7 – для взрослых и 3 – для детей).  Следует отметить, что в 1999 году, по сравнению с предыдущим годом, их финансирование из госбюджета существенно сократилось.</w:t>
      </w:r>
    </w:p>
    <w:p w:rsidR="00000000" w:rsidRDefault="00000000"/>
    <w:p w:rsidR="00000000" w:rsidRDefault="00000000">
      <w:r>
        <w:rPr>
          <w:u w:val="single"/>
        </w:rPr>
        <w:t>Право на образование и профессиональную подготовку</w:t>
      </w:r>
    </w:p>
    <w:p w:rsidR="00000000" w:rsidRDefault="00000000"/>
    <w:p w:rsidR="00000000" w:rsidRDefault="00000000">
      <w:r>
        <w:t>253.</w:t>
      </w:r>
      <w:r>
        <w:tab/>
        <w:t>По Конституции все имеют право на получение образования и выбор его формы.  Дошкольное воспитание обеспечивается государством.  Начальное образование обязательно.  Базовое образование обеспечивается за счет государства.  Граждане вправе в определенном законом порядке и в установленных пределах бесплатно получать в государственных учебных заведениях среднее, профессиональное и высшее образование.  Государство в определенном законом порядке поддерживает образовательные учреждения (статья 35).</w:t>
      </w:r>
    </w:p>
    <w:p w:rsidR="00000000" w:rsidRDefault="00000000"/>
    <w:p w:rsidR="00000000" w:rsidRDefault="00000000">
      <w:r>
        <w:t>254.</w:t>
      </w:r>
      <w:r>
        <w:tab/>
        <w:t>С 1995 года в Грузии осуществляется реформа системы образования, предусматривающая следующие виды, этапы и уровни образования:</w:t>
      </w:r>
    </w:p>
    <w:p w:rsidR="00000000" w:rsidRDefault="00000000"/>
    <w:p w:rsidR="00000000" w:rsidRDefault="00000000">
      <w:pPr>
        <w:pStyle w:val="FootnoteText"/>
        <w:spacing w:line="288" w:lineRule="auto"/>
      </w:pPr>
      <w:r>
        <w:tab/>
        <w:t>дошкольное воспитание;</w:t>
      </w:r>
    </w:p>
    <w:p w:rsidR="00000000" w:rsidRDefault="00000000">
      <w:pPr>
        <w:ind w:left="567"/>
      </w:pPr>
    </w:p>
    <w:p w:rsidR="00000000" w:rsidRDefault="00000000">
      <w:pPr>
        <w:pStyle w:val="BodyTextIndent3"/>
        <w:tabs>
          <w:tab w:val="clear" w:pos="567"/>
          <w:tab w:val="left" w:pos="561"/>
        </w:tabs>
        <w:ind w:left="561" w:hanging="561"/>
      </w:pPr>
      <w:r>
        <w:tab/>
        <w:t>базисное образование, включающее:  начальное общее образование (шестилетнее), базовое общее образование (девятилетнее), среднее общее образование (двенадцатилетнее);</w:t>
      </w:r>
    </w:p>
    <w:p w:rsidR="00000000" w:rsidRDefault="00000000"/>
    <w:p w:rsidR="00000000" w:rsidRDefault="00000000">
      <w:pPr>
        <w:ind w:left="567" w:hanging="567"/>
      </w:pPr>
      <w:r>
        <w:tab/>
        <w:t>профессиональное образование, включающее:  ремесленную подготовку, начальное профессиональное образование, среднее профессиональное образование;</w:t>
      </w:r>
    </w:p>
    <w:p w:rsidR="00000000" w:rsidRDefault="00000000"/>
    <w:p w:rsidR="00000000" w:rsidRDefault="00000000">
      <w:r>
        <w:tab/>
        <w:t>высшее образование, включающее подготовку бакалавров и магистров;</w:t>
      </w:r>
    </w:p>
    <w:p w:rsidR="00000000" w:rsidRDefault="00000000"/>
    <w:p w:rsidR="00000000" w:rsidRDefault="00000000">
      <w:r>
        <w:tab/>
        <w:t>аспирантуру.</w:t>
      </w:r>
    </w:p>
    <w:p w:rsidR="00000000" w:rsidRDefault="00000000"/>
    <w:p w:rsidR="00000000" w:rsidRDefault="00000000">
      <w:r>
        <w:t>255.</w:t>
      </w:r>
      <w:r>
        <w:tab/>
        <w:t>Сфера образования в Грузии регулируется принятым в 1997 году законом "Об образовании", в котором получили развитие конституционные принципы общедоступности образования и провозглашается его приоритетность для государства.  Согласно закону, одной из основных задач грузинского законодательства в сфере образования признается обеспечение и защита конституционного права граждан Грузии на его получение (статья 2).  Статья 3 провозглашает, что все имеют равное право получить образование, а создание для этого соответствующей системы и надлежащих социально-экономических условий является обязанностью государства.  Под получением  образования подразумевается достижение определенного образовательного ценза, его утверждение и удостоверение соответствующим государственным сертификатом.  Имеющие подтвержденный сертификатом тот или иной образовательный ценз лица располагают равным правом на продолжение обучения на последующей ступени (этапе) образования.</w:t>
      </w:r>
    </w:p>
    <w:p w:rsidR="00000000" w:rsidRDefault="00000000"/>
    <w:p w:rsidR="00000000" w:rsidRDefault="00000000">
      <w:r>
        <w:t>256.</w:t>
      </w:r>
      <w:r>
        <w:tab/>
        <w:t>Получить образование можно как в государственном, так и в негосударственном образовательном учреждении, а также в форме экстерната.</w:t>
      </w:r>
    </w:p>
    <w:p w:rsidR="00000000" w:rsidRDefault="00000000"/>
    <w:p w:rsidR="00000000" w:rsidRDefault="00000000">
      <w:r>
        <w:t>257.</w:t>
      </w:r>
      <w:r>
        <w:tab/>
        <w:t>Государство за свой счет обеспечивает получение базового образования, а также однократную ремесленную подготовку лиц, получивших лишь начальное образование и не достигших возраста 18 лет.  Свое конституционное обязательство в установленном законом порядке бесплатно дать гражданину среднее и профессиональное (в том числе высшее и послевысшее) образование государство выполняет посредством обеспеченного бюджетным финансированием государственного заказа.  Государственный заказ может быть размещен только в образовательных учреждениях, имеющих государственную аккредитацию.</w:t>
      </w:r>
    </w:p>
    <w:p w:rsidR="00000000" w:rsidRDefault="00000000"/>
    <w:p w:rsidR="00000000" w:rsidRDefault="00000000">
      <w:r>
        <w:t>258.</w:t>
      </w:r>
      <w:r>
        <w:tab/>
        <w:t>Получение в Грузии образования гражданами иностранных государств осуществляется на основе международных договоров и соглашений.  Иностранцам, в том числе лицам без гражданства, предоставлено право на получение образования наравне с гражданами Грузии (закон "О правовом положении иностранцев", статья 12).</w:t>
      </w:r>
    </w:p>
    <w:p w:rsidR="00000000" w:rsidRDefault="00000000"/>
    <w:p w:rsidR="00000000" w:rsidRDefault="00000000">
      <w:r>
        <w:t>259.</w:t>
      </w:r>
      <w:r>
        <w:tab/>
        <w:t>В государственных образовательных учреждениях языком обучения является грузинский, а в Абхазии - также абхазский.  Гражданам Грузии, для которых грузинский язык не является родным, государство по рекомендации органов местного самоуправления создает условия для организации такого базового или общеобразовательного учреждения либо отделения, где обучение ведется на их родном языке.  Вместе с тем, для получения удостоверяющего государственный образовательный ценз сертификата граждане Грузии, как и лица без гражданства, обязаны сдать экзамены по грузинскому языку.  Его изучение обязательно во всех имеющих государственную аккредитацию образовательных учреждениях.</w:t>
      </w:r>
    </w:p>
    <w:p w:rsidR="00000000" w:rsidRDefault="00000000"/>
    <w:p w:rsidR="00000000" w:rsidRDefault="00000000">
      <w:r>
        <w:t>260.</w:t>
      </w:r>
      <w:r>
        <w:tab/>
        <w:t>Лицам с отклонениями от нормального развития государство создает условия для коррекции их развития и социальной адаптации.  С этой целью создаются образовательные учреждения специального и коррекционного характера.  Для инвалидов с детства предусматриваются льготы, касающиеся условий их обучения и воспитания.  Для школьников, характеризующихся неприемлемым для общества или девиантным поведением создаются специальные воспитательно-учебные заведения, в которые в судебном порядке направляются дети старше 11 лет.</w:t>
      </w:r>
    </w:p>
    <w:p w:rsidR="00000000" w:rsidRDefault="00000000"/>
    <w:p w:rsidR="00000000" w:rsidRDefault="00000000">
      <w:r>
        <w:t>261.</w:t>
      </w:r>
      <w:r>
        <w:tab/>
        <w:t>В сфере образования действует государственный стандарт, обязательный для всех лицензированных образовательных учреждений.  Для учащихся с отклонениями от нормального развития устанавливаются специальные государственные образовательные стандарты.  В Грузии осуществляются программы дошкольного воспитания и общего и профессионального образования, каждая из которых включает установленную образовательным стандартом основную часть (обязательный минимум), а также дополнительную часть, выполнение которой обязательно для образовательных учреждений, выполняющих государственный заказ.</w:t>
      </w:r>
    </w:p>
    <w:p w:rsidR="00000000" w:rsidRDefault="00000000"/>
    <w:p w:rsidR="00000000" w:rsidRDefault="00000000">
      <w:r>
        <w:t>262.</w:t>
      </w:r>
      <w:r>
        <w:tab/>
        <w:t>В первый класс осуществляющего начальную общеобразовательную программу образовательного учреждения принимаются дети, которые уже достигли либо достигнут в текущем году шестилетнего возраста.  На базовой ступени общего образования программа завершается в 9-м классе.  Для получения среднего общего образования необходимо продолжить обучение еще в течение двух лет, а с 1 сентября  2001 года - трех лет.  Получение среднего общего образования дает право на продолжение учебы в высших учебных заведениях.</w:t>
      </w:r>
    </w:p>
    <w:p w:rsidR="00000000" w:rsidRDefault="00000000"/>
    <w:p w:rsidR="00000000" w:rsidRDefault="00000000">
      <w:r>
        <w:t>263.</w:t>
      </w:r>
      <w:r>
        <w:tab/>
        <w:t>Лицо, получившее базовое общее образование, может получить начальное профессиональное образование вместе с получением общего среднего образования или без такового.  Начальное профессиональное образование позволяет лицам в возрасте до 18 лет однократно за счет государства овладеть ремеслом для выполнения квалифицированной работы.  Целью средней профессиональной образовательной программы является подготовка специалистов среднего звена.  Осуществляется она также на основе базового образования, с одновременным получением общего среднего образования или без него.  О возможности получения высшего профессионального образования упоминалось выше.</w:t>
      </w:r>
    </w:p>
    <w:p w:rsidR="00000000" w:rsidRDefault="00000000"/>
    <w:p w:rsidR="00000000" w:rsidRDefault="00000000">
      <w:r>
        <w:t>264.</w:t>
      </w:r>
      <w:r>
        <w:tab/>
        <w:t>Законом предусмотрена также возможность осуществления профессиональной переподготовки и повышения квалификации в имеющих государственную аккредитацию образовательных учреждениях в связи с изменением образовательных стандартов, желанием гражданина или изменениями на рынке труда.</w:t>
      </w:r>
    </w:p>
    <w:p w:rsidR="00000000" w:rsidRDefault="00000000"/>
    <w:p w:rsidR="00000000" w:rsidRDefault="00000000">
      <w:r>
        <w:t>265.</w:t>
      </w:r>
      <w:r>
        <w:tab/>
        <w:t>Закон "Об образовании" предусматривает специальные нормы по соблюдению прав и социальной защите студентов (учащихся) всех категорий, меры по социальной защите детей и подростков, нуждающихся в особых условиях воспитания и образования, а также гарантии охраны здоровья воспитанников и учащихся (студентов).  Особо оговариваются права и обязанности родителей (законных представителей) в сфере образования применительно к их детям.  В частности, закон предусматривает возможность свободно выбирать для несовершеннолетнего ребенка форму обучения и образовательное учреждение, требовать защиты прав ребенка.  Вместе с тем родители (законные представители) обязаны заботиться о создании надлежащих условий для учебы ребенка, а в случае семейного образования - выполнять установленные требования.  Родители (законные представители), препятствующие ребенку в получении образования, несут предусмотренную законом ответственность.  Все вышеупомянутые правовые нормы не содержат никаких оговорок дискриминационного характера и в расовом смысле  нейтральны.</w:t>
      </w:r>
    </w:p>
    <w:p w:rsidR="00000000" w:rsidRDefault="00000000">
      <w:pPr>
        <w:rPr>
          <w:u w:val="single"/>
        </w:rPr>
      </w:pPr>
    </w:p>
    <w:p w:rsidR="00000000" w:rsidRDefault="00000000">
      <w:pPr>
        <w:rPr>
          <w:u w:val="single"/>
        </w:rPr>
      </w:pPr>
      <w:r>
        <w:tab/>
      </w:r>
      <w:r>
        <w:rPr>
          <w:u w:val="single"/>
        </w:rPr>
        <w:t xml:space="preserve">Статистическая информация </w:t>
      </w:r>
    </w:p>
    <w:p w:rsidR="00000000" w:rsidRDefault="00000000">
      <w:pPr>
        <w:pStyle w:val="FootnoteText"/>
        <w:spacing w:line="288" w:lineRule="auto"/>
      </w:pPr>
    </w:p>
    <w:p w:rsidR="00000000" w:rsidRDefault="00000000">
      <w:r>
        <w:t>266.</w:t>
      </w:r>
      <w:r>
        <w:tab/>
        <w:t>К началу 1998/99 учебного года количество дневных общеобразовательных школ (без учета школ для детей с умственными и физическими недостатками) в Грузии составило 3 179 с контингентом учащихся 715 800  человек. Среди них:</w:t>
      </w:r>
    </w:p>
    <w:p w:rsidR="00000000" w:rsidRDefault="00000000"/>
    <w:p w:rsidR="00000000" w:rsidRDefault="00000000">
      <w:pPr>
        <w:pStyle w:val="BodyTextIndent2"/>
      </w:pPr>
      <w:r>
        <w:t>87 русских школ и 152 независимых отделений с числом учащихся 43 700 человек;</w:t>
      </w:r>
    </w:p>
    <w:p w:rsidR="00000000" w:rsidRDefault="00000000">
      <w:pPr>
        <w:pStyle w:val="BodyTextIndent2"/>
      </w:pPr>
    </w:p>
    <w:p w:rsidR="00000000" w:rsidRDefault="00000000">
      <w:pPr>
        <w:pStyle w:val="BodyTextIndent2"/>
      </w:pPr>
      <w:r>
        <w:t>141 азербайджанская школа и 8 независимых отделений с числом учащихся 41 000 человек;</w:t>
      </w:r>
    </w:p>
    <w:p w:rsidR="00000000" w:rsidRDefault="00000000">
      <w:pPr>
        <w:ind w:left="567"/>
      </w:pPr>
    </w:p>
    <w:p w:rsidR="00000000" w:rsidRDefault="00000000">
      <w:pPr>
        <w:ind w:left="567"/>
      </w:pPr>
      <w:r>
        <w:t>133 армянские школы и 2 независимых отделения с числом учащихся 27 800 человек;</w:t>
      </w:r>
    </w:p>
    <w:p w:rsidR="00000000" w:rsidRDefault="00000000">
      <w:pPr>
        <w:ind w:left="567"/>
      </w:pPr>
    </w:p>
    <w:p w:rsidR="00000000" w:rsidRDefault="00000000">
      <w:pPr>
        <w:ind w:left="567"/>
      </w:pPr>
      <w:r>
        <w:t>10 независимых осетинских отделений с числом учащихся 200 человек.</w:t>
      </w:r>
    </w:p>
    <w:p w:rsidR="00000000" w:rsidRDefault="00000000">
      <w:pPr>
        <w:ind w:left="567"/>
      </w:pPr>
    </w:p>
    <w:p w:rsidR="00000000" w:rsidRDefault="00000000">
      <w:r>
        <w:tab/>
        <w:t>Следует отметить, что количество учащихся, получающих образование в дневных школах на родном (негрузинском) языке, имеет устойчивую тенденцию к сокращению.  Так, по сравнению с 1990/91 учебным годом число школьников, обучающихся на русском языке, сократилось в 4,1 раза, на азербайджанском  и армянском языках - соответственно на 8,4% и 8,%.  В то же время возросло (на 1,01%) количество учащихся грузинских школ, достигнув цифры 693 100 человек.</w:t>
      </w:r>
    </w:p>
    <w:p w:rsidR="00000000" w:rsidRDefault="00000000"/>
    <w:p w:rsidR="00000000" w:rsidRDefault="00000000">
      <w:r>
        <w:t>267.</w:t>
      </w:r>
      <w:r>
        <w:tab/>
        <w:t>В системе среднего образования функционируют также 37 гимназий и 27 лицеев, в ряде из которых осуществляется интенсивное обучение иностранным языкам, в том числе новогреческому (греческая диаспора в Грузии довольно многочисленна).</w:t>
      </w:r>
    </w:p>
    <w:p w:rsidR="00000000" w:rsidRDefault="00000000"/>
    <w:p w:rsidR="00000000" w:rsidRDefault="00000000">
      <w:r>
        <w:t>268.</w:t>
      </w:r>
      <w:r>
        <w:tab/>
        <w:t>Что касается детских дошкольных учреждений, то к  концу 1998 года их число составило 1 241, из которых:  660 - детские сады, 560 - детские сады-ясли, 14 - ясли, с общим количеством воспитанников 74 200 человек.  По сравнению с 1990 годом число воспитанников детских дошкольных учреждений сократилось в 2,7 раза.</w:t>
      </w:r>
    </w:p>
    <w:p w:rsidR="00000000" w:rsidRDefault="00000000"/>
    <w:p w:rsidR="00000000" w:rsidRDefault="00000000">
      <w:r>
        <w:t>269.</w:t>
      </w:r>
      <w:r>
        <w:tab/>
        <w:t>В стране функционирует 44 учреждения интернатного типа, из них собственно школ-интернатов - 29 с контингентом учащихся в 5 387 человек, а школ-интернатов для детей с умственными и физическими недостатками - 15 с  контингентом учащихся в 1 641 человек.</w:t>
      </w:r>
    </w:p>
    <w:p w:rsidR="00000000" w:rsidRDefault="00000000"/>
    <w:p w:rsidR="00000000" w:rsidRDefault="00000000">
      <w:r>
        <w:t>270.</w:t>
      </w:r>
      <w:r>
        <w:tab/>
        <w:t>Количество начальных профессиональных и ремесленных училищ в 1998 году составило 89, число учащихся - 18 900 человек.  В том же году этими училищами выпущено 8 900 квалифицированных рабочих.  В 83 государственных средних специальных учебных заведениях обучалось 32 406 студентов.  В 58 негосударственных (платных) учебных заведениях этого типа прошли подготовку 7 179 студентов.</w:t>
      </w:r>
    </w:p>
    <w:p w:rsidR="00000000" w:rsidRDefault="00000000"/>
    <w:p w:rsidR="00000000" w:rsidRDefault="00000000">
      <w:r>
        <w:t>271.</w:t>
      </w:r>
      <w:r>
        <w:tab/>
        <w:t>В 1998/99 учебном году в Грузии функционировало 24 государственных высших учебных заведения с количеством студентов 90 199 человек  и 154 негосударственных вуза с числом слушателей 38 300 человек.  В ряде из них студенты могут получить образование не только на грузинском языке.  Так, в Тбилисском государственном университете функционирует 12 отделений с преподаванием на русском языке, в Тбилисском государственном техническом университете - 21 такое отделение, в Тбилисском государственном педагогическом университете - 7, Тбилисском государственном медицинском университете - 1, зооветеринарном институте - 2.  Отделения с обучением на русском языке имеются в вузах городов Батуми и Кутаиси, в экономическом институте в г. Гори и педагогическом институте г. Телави.  Таким образом, только на русском языке молодежь может  получить в государственных высших учебных заведениях свыше 50 специальностей.  Помимо этого, русские отделения имеются во многих негосударственных вузах.  В Тбилисском госуниверситете изучаются армянский, азербайджанский и новогреческий языки, а также языки народов Кавказа.  В Тбилисском государственном педагогическом университете функционируют  факультеты армянского и азербайджанского языка и литературы.  Среди коммерческих вузов следует отметить греческий университет им. Аристотеля.</w:t>
      </w:r>
    </w:p>
    <w:p w:rsidR="00000000" w:rsidRDefault="00000000"/>
    <w:p w:rsidR="00000000" w:rsidRDefault="00000000">
      <w:pPr>
        <w:rPr>
          <w:u w:val="single"/>
        </w:rPr>
      </w:pPr>
      <w:r>
        <w:rPr>
          <w:u w:val="single"/>
        </w:rPr>
        <w:t xml:space="preserve">Право на равное участие в культурной жизни </w:t>
      </w:r>
    </w:p>
    <w:p w:rsidR="00000000" w:rsidRDefault="00000000">
      <w:pPr>
        <w:rPr>
          <w:u w:val="single"/>
        </w:rPr>
      </w:pPr>
    </w:p>
    <w:p w:rsidR="00000000" w:rsidRDefault="00000000">
      <w:r>
        <w:t>272.</w:t>
      </w:r>
      <w:r>
        <w:tab/>
        <w:t>Данное право обеспечивается Конституцией Грузии, в соответствии с которой "государство способствует развитию культуры, создает условия для неограниченного участия граждан в культурной жизни, проявлению и обогащению культурной самобытности…  Каждый  гражданин Грузии обязан заботиться о защите и сохранении культурного  наследия.  Культурное наследие охраняется законом" (статья 34).  Граждане Грузии "вправе свободно, без какой -либо дискриминации и вмешательства развивать собственную культуру…" (статья 38).</w:t>
      </w:r>
    </w:p>
    <w:p w:rsidR="00000000" w:rsidRDefault="00000000"/>
    <w:p w:rsidR="00000000" w:rsidRDefault="00000000">
      <w:r>
        <w:t>273.</w:t>
      </w:r>
      <w:r>
        <w:tab/>
        <w:t>Согласно закону "О культуре", государство обязуется всячески способствовать развитию культуры, неограниченному участию в культурной жизни, обеспечить доступность культурного достояния, а также оказывать всем сферам культуры максимальную финансовую и материально-техническую помощь.  Закон провозглашает равенство граждан Грузии в культурной жизни независимо от их национальной, этнической, религиозной или языковой принадлежности (статья 6), право каждого человека на любой вид творческой деятельности в соответствии с его интересами и способностями (статья 8), недопустимость вмешательства в творческий процесс и цензуры, за исключением случаев, когда, inter alia, имеет место разжигание национальной, этнической, религиозной и расовой розни (статья 9).  Каждый человек имеет право на защиту своей культурной самобытности и выбор художественно-эстетической ориентации (статья 10).</w:t>
      </w:r>
    </w:p>
    <w:p w:rsidR="00000000" w:rsidRDefault="00000000"/>
    <w:p w:rsidR="00000000" w:rsidRDefault="00000000">
      <w:r>
        <w:t>274.</w:t>
      </w:r>
      <w:r>
        <w:tab/>
        <w:t>Закон "О правовом положении иностранцев" предусматривает, что иностранцы в Грузии имеют право на пользование культурными  ценностями наравне с ее гражданами.  Иностранцам в Грузии гарантируется право на пользование родным языком, защиту и развитие национальной культуры и традиций, если это не наносит ущерб государственным интересам страны и законным интересам и правам проживающих в ней лиц (статья 13).  Согласно закону "О культуре" особые условия культурной деятельности иностранных граждан и лиц без гражданства определяются грузинским законодательством (статья 16).</w:t>
      </w:r>
    </w:p>
    <w:p w:rsidR="00000000" w:rsidRDefault="00000000"/>
    <w:p w:rsidR="00000000" w:rsidRDefault="00000000">
      <w:r>
        <w:t>275.</w:t>
      </w:r>
      <w:r>
        <w:tab/>
        <w:t>Закон "О культуре" регламентирует также вопросы международного культурного сотрудничества, целями которого провозглашены "обмен культурным достоянием с другими странами, доступность, в соответствии с международными актами, культурного достояния каждого народа, развитие взаимопонимания между народами в духе мира и дружбы" (статья 32).  Государство содействует независимому участию в диалоге культур частных лиц и культурных организаций, исходя из того, что международное культурное сотрудничество "является правом всех живущих в государстве народов" (статьи 33 и 34).</w:t>
      </w:r>
    </w:p>
    <w:p w:rsidR="00000000" w:rsidRDefault="00000000"/>
    <w:p w:rsidR="00000000" w:rsidRDefault="00000000">
      <w:r>
        <w:t>276.</w:t>
      </w:r>
      <w:r>
        <w:tab/>
        <w:t>Национальные меньшинства в Грузии полноценно реализуют свое право на участие в культурной жизни страны.  Сценическое искусство представляют три русских государственных театра, в том числе театр  юного зрителя, государственный и три народных (самодеятельных) армянских театра, абхазский и осетинский государственные театры, два народных (самодеятельных) азербайджанских театра.  В настоящее время в государственном институте театра и кино обучается целевая группа студентов, которая станет ядром будущего азербайджанского государственного театра в столице страны.  Уже много лет с успехом выступают абхазский, азербайджанский, армянский, ассирийский, греческий, еврейский, литовский, немецкий, осетинский вокальные и хореографические ансамбли.  Особого упоминания заслуживает детский еврейский  хореографический ансамбль "Ионат шел шалом" ("Голубь мира"), ставший лауреатом международного конкурса.</w:t>
      </w:r>
    </w:p>
    <w:p w:rsidR="00000000" w:rsidRDefault="00000000"/>
    <w:p w:rsidR="00000000" w:rsidRDefault="00000000">
      <w:r>
        <w:t>277.</w:t>
      </w:r>
      <w:r>
        <w:tab/>
        <w:t>В составе союза писателей Грузии работают русская, армянская и другие секции меньшинств.  В столице страны создано международное литературное общество им. Пушкина.  Плодотворно работают центры русской культуры, российско-грузинских и азербайджано-грузинских культурных связей, культурный центр "Кавказский дом". Практически во всех библиотеках Грузии представители национальных меньшинств имеют возможность знакомиться с литературой на родном языке.  Недавно в стране с успехом прошел фестиваль "Еврейской книги".</w:t>
      </w:r>
    </w:p>
    <w:p w:rsidR="00000000" w:rsidRDefault="00000000"/>
    <w:p w:rsidR="00000000" w:rsidRDefault="00000000">
      <w:r>
        <w:t>278.</w:t>
      </w:r>
      <w:r>
        <w:tab/>
        <w:t>В Грузии действуют многочисленные дома-музеи выдающихся деятелей культуры, так или иначе связанных с нашей страной и ее историей.  В их числе дома-музеи М. Ф. Ахундова, Д. Гулиа (Сухуми), Мамедкулизаде, В. Маяковского, Н. Нариманова, В. Терьяна, К. Симонова, К. Хетагурова (Цхинвали).  В Тбилиси расположены также мемориальный дом А. Пушкина, библиотека-музей Леси Украинки.</w:t>
      </w:r>
    </w:p>
    <w:p w:rsidR="00000000" w:rsidRDefault="00000000"/>
    <w:p w:rsidR="00000000" w:rsidRDefault="00000000">
      <w:r>
        <w:t>279.</w:t>
      </w:r>
      <w:r>
        <w:tab/>
        <w:t xml:space="preserve">Министерство культуры Грузии активно сотрудничает с ассоциациями национальных меньшинств, их обществами и культурными центрами.  В структуре министерства сформирована специальная служба, занимающаяся конкретными проблемами развития культуры меньшинств.  Имеющиеся экономические трудности негативно сказываются на деятельности культурной инфраструктуры, однако государство по мере возможности изыскивает финансовые средства для поддержания этой сферы.  В 1997-1999 годах на удовлетворение нужд в сфере культуры было выделено 1-1,9% государственного бюджета. </w:t>
      </w:r>
    </w:p>
    <w:p w:rsidR="00000000" w:rsidRDefault="00000000"/>
    <w:p w:rsidR="00000000" w:rsidRDefault="00000000">
      <w:pPr>
        <w:rPr>
          <w:u w:val="single"/>
        </w:rPr>
      </w:pPr>
      <w:r>
        <w:rPr>
          <w:u w:val="single"/>
        </w:rPr>
        <w:t>Право на доступ к любому месту или любому виду обслуживания, предназначенному для общественного пользования</w:t>
      </w:r>
    </w:p>
    <w:p w:rsidR="00000000" w:rsidRDefault="00000000">
      <w:pPr>
        <w:rPr>
          <w:u w:val="single"/>
        </w:rPr>
      </w:pPr>
    </w:p>
    <w:p w:rsidR="00000000" w:rsidRDefault="00000000">
      <w:r>
        <w:t>280.</w:t>
      </w:r>
      <w:r>
        <w:tab/>
        <w:t>Статья 22 Конституции провозглашает право каждого, кто законно находится в Грузии, на свободное передвижение по всей ее территории.  Ограничение этого права допускается только в соответствии с законом в целях обеспечения необходимой для существования демократического общества государственной или общественной безопасности, охраны здоровья, предотвращения преступности или осуществления правосудия.  Нарушение свободы передвижения является уголовно наказуемым деянием.</w:t>
      </w:r>
    </w:p>
    <w:p w:rsidR="00000000" w:rsidRDefault="00000000"/>
    <w:p w:rsidR="00000000" w:rsidRDefault="00000000">
      <w:r>
        <w:t>281.</w:t>
      </w:r>
      <w:r>
        <w:tab/>
        <w:t>Права, охватываемые данным разделом, в законодательстве особо не оговариваются, но сами по себе вытекают из общепризнанных прав и свобод человека, которые Грузией признаются и соблюдаются как "непреходящие и высшие человеческие ценности".  "При осуществлении власти народ и государство ограничены этими правами и свободами как непосредственно действующим правом" (Конституция, статья 7).</w:t>
      </w:r>
    </w:p>
    <w:p w:rsidR="00000000" w:rsidRDefault="00000000"/>
    <w:p w:rsidR="00000000" w:rsidRDefault="00000000">
      <w:r>
        <w:t>282.</w:t>
      </w:r>
      <w:r>
        <w:tab/>
        <w:t>В контексте данного раздела статьи 5 следует также упомянуть закон "О социальной защите инвалидов", в котором особо оговаривается обеспечение инвалидов необходимыми условиями для пользования жилыми, общественными и производственными зданиями, транспортом и транспортными коммуникациями, средствами связи и информации, а также для свободного перемещения (статья 7), свободного  использования культурно-зрелищных учреждений и спортивных сооружений (статья 9).  В последнем случае статья 9 закона гарантирует инвалидам бесплатное или льготное обслуживание.</w:t>
      </w:r>
    </w:p>
    <w:p w:rsidR="00000000" w:rsidRDefault="00000000">
      <w:pPr>
        <w:rPr>
          <w:u w:val="single"/>
        </w:rPr>
      </w:pPr>
    </w:p>
    <w:p w:rsidR="00000000" w:rsidRDefault="00000000">
      <w:pPr>
        <w:pStyle w:val="11"/>
        <w:keepNext/>
      </w:pPr>
      <w:r>
        <w:t>Статья 6</w:t>
      </w:r>
    </w:p>
    <w:p w:rsidR="00000000" w:rsidRDefault="00000000">
      <w:pPr>
        <w:keepNext/>
      </w:pPr>
    </w:p>
    <w:p w:rsidR="00000000" w:rsidRDefault="00000000">
      <w:r>
        <w:t>283.</w:t>
      </w:r>
      <w:r>
        <w:tab/>
        <w:t>Конституция Грузии провозглашает, что государственная власть осуществляется на основе принципа разделения властей (статья 5, пункт 4).  Каждый человек имеет право обратиться в суд за защитой своих прав и свобод.  За счет государственных средств в судебном порядке всем гарантируется полное возмещение ущерба, незаконно нанесенного государственными органами, органами самоуправления, а также их служащими (статья 42, пункты 1 и 9).</w:t>
      </w:r>
    </w:p>
    <w:p w:rsidR="00000000" w:rsidRDefault="00000000"/>
    <w:p w:rsidR="00000000" w:rsidRDefault="00000000">
      <w:r>
        <w:t>284.</w:t>
      </w:r>
      <w:r>
        <w:tab/>
        <w:t>Основы судебной системы устанавливаются главой V Конституции, озаглавленной "Судебная власть".  Согласно статье 82 судебная власть независима и осуществляется только судами посредством конституционного контроля, правосудия и в установленных законом иных формах.  Статья 83 устанавливает, в частности, что правосудие осуществляется общими судами.  Их система и порядок судопроизводства устанавливаются законом.  Судопроизводство осуществляется на основе равноправия и состязательности сторон (статья 85).  Отмена, изменения или приостановление решения суда могут быть осуществлены только судом в установленном законом порядке (статья 84).</w:t>
      </w:r>
      <w:r>
        <w:tab/>
      </w:r>
    </w:p>
    <w:p w:rsidR="00000000" w:rsidRDefault="00000000"/>
    <w:p w:rsidR="00000000" w:rsidRDefault="00000000">
      <w:r>
        <w:t>285.</w:t>
      </w:r>
      <w:r>
        <w:tab/>
        <w:t>Деятельность судебной системы Грузии и осуществление судебных процедур регламентируются законами "Об общих судах", "О Верховном Суде Грузии", "О Конституционном Суде Грузии", Уголовно-процессуальным, Гражданско-процессуальным и Административно-процессуальным кодексами.</w:t>
      </w:r>
    </w:p>
    <w:p w:rsidR="00000000" w:rsidRDefault="00000000"/>
    <w:p w:rsidR="00000000" w:rsidRDefault="00000000">
      <w:r>
        <w:t>286.</w:t>
      </w:r>
      <w:r>
        <w:tab/>
        <w:t>Согласно закону "Об общих судах" судебная система Грузии включает три уровня.  Судами первой инстанции являются районный (городской) суд и окружной суд.  Судом второй инстанции является апелляционный суд, правомочия которого осуществляют верховные суды Абхазской и Аджарской автономных республик, и апелляционные суды г.г. Тбилиси и Кутаиси.  Они в апелляционном порядке рассматривают жалобы на решения районных (городских) и окружных судов.  Верховный Суд Грузии осуществляет надзор за судопроизводством в общих судах, в качестве суда первой инстанции рассматривает категорию дел, определенную законом, осуществляет предусмотренные Конституцией правомочия при задействовании процедур импичмента и назначения трех (из девяти) членов Конституционного Суда.  В соответствии с законом "О Верховном Суде Грузии" на территории Грузии Верховный Суд является судом высшей и последней инстанции по осуществлению правосудия.</w:t>
      </w:r>
    </w:p>
    <w:p w:rsidR="00000000" w:rsidRDefault="00000000"/>
    <w:p w:rsidR="00000000" w:rsidRDefault="00000000">
      <w:r>
        <w:t>287.</w:t>
      </w:r>
      <w:r>
        <w:tab/>
        <w:t>Система общих судов Грузии едина.  Учреждение военных судов допускается только в условиях войны и только в системе общих судов.  Создание чрезвычайных или специальных судов не допускается.</w:t>
      </w:r>
    </w:p>
    <w:p w:rsidR="00000000" w:rsidRDefault="00000000"/>
    <w:p w:rsidR="00000000" w:rsidRDefault="00000000">
      <w:r>
        <w:t>288.</w:t>
      </w:r>
      <w:r>
        <w:tab/>
        <w:t xml:space="preserve">В районном (городском) суде судья рассматривает дело единолично, в окружном суде дела рассматриваются коллегиально, в составе трех судей, в случаях, определенных процессуальным законодательством.  Для этой цели в окружном суде образованы коллегии по уголовным делам и по гражданским делам.  В апелляционном суде функционируют коллегия по гражданским делам, коллегия по административным делам, делам о налогах и делам других категорий.  В пересмотре дел в порядке апелляции также принимают участие трое судей.  Такие же коллегии и то же количество судей при пересмотре дел задействованы в верховных судах Абхазии и Аджарии.  Что касается Верховного Суда Грузии, то здесь сформированы судебная коллегия по уголовным делам и палаты </w:t>
      </w:r>
      <w:r>
        <w:rPr>
          <w:lang w:val="en-US"/>
        </w:rPr>
        <w:noBreakHyphen/>
        <w:t xml:space="preserve"> </w:t>
      </w:r>
      <w:r>
        <w:t xml:space="preserve">по гражданским делам, делам о предпринимательстве и банкротстве, по административным делам и делам других категорий, по уголовным делам, а также надзорная палата.  Судебная коллегия по уголовным делам в качестве суда первой инстанции рассматривает круг дел, подсудных Верховному Суду согласно Уголовно-процессуальному кодексу.  Палаты, за исключением надзорной, являются судами кассационной инстанции, рассматривающими жалобы на решения судов апелляционной инстанции.  Палата надзора рассматривает жалобы сторон в связи с вновь открывшимися и вновь выявленными обстоятельствами.  В Верховном Суде дела рассматриваются в составе трех судей, а в судебной коллегии по уголовным делам </w:t>
      </w:r>
      <w:r>
        <w:rPr>
          <w:lang w:val="en-US"/>
        </w:rPr>
        <w:noBreakHyphen/>
        <w:t xml:space="preserve"> </w:t>
      </w:r>
      <w:r>
        <w:t xml:space="preserve">при участии судьи и двух-шести заместителей. </w:t>
      </w:r>
    </w:p>
    <w:p w:rsidR="00000000" w:rsidRDefault="00000000"/>
    <w:p w:rsidR="00000000" w:rsidRDefault="00000000">
      <w:r>
        <w:t>289.</w:t>
      </w:r>
      <w:r>
        <w:tab/>
        <w:t xml:space="preserve">В целях разработки предложений по проведению осуществляемой в стране судебной реформы, подбора и представления кандидатур на должность судьи, освобождения судей от должности и организации квалификационных экзаменов для кандидатов в судьи при президенте Грузии создан совещательный орган </w:t>
      </w:r>
      <w:r>
        <w:rPr>
          <w:lang w:val="en-US"/>
        </w:rPr>
        <w:noBreakHyphen/>
        <w:t xml:space="preserve"> </w:t>
      </w:r>
      <w:r>
        <w:t xml:space="preserve">Совет юстиции, состоящий из 12 членов.  В состав Совета входят председатель Верховного Суда и председатели верховных судов Абхазии и Аджарии.  Кроме того, четыре члена Совета юстиции назначаются Президентом страны, один </w:t>
      </w:r>
      <w:r>
        <w:rPr>
          <w:lang w:val="en-US"/>
        </w:rPr>
        <w:noBreakHyphen/>
        <w:t xml:space="preserve"> </w:t>
      </w:r>
      <w:r>
        <w:t xml:space="preserve">Верховным Судом, и четверо избираются Парламентом.  В Абхазии и Аджарии высшими представительными органами этих автономий также создаются советы юстиции.  В число полномочий Совета юстиции Грузии входит возбуждение, при наличии соответствующей жалобы, дисциплинарного преследования судьи за нарушение трудовой дисциплины, сроков рассмотрения дела, составления и выдачи судебных актов.  Во всех остальных случаях дисциплинарное преследование осуществляется вышестоящим судебным органом.  Возбуждение дисциплинарного преследования в связи с нарушением закона, допущенным при рассмотрении дел, возможно только при рассмотрении соответствующего дела или при наличии жалобы.  Дисциплинарные дела по существу рассматривает и решает дисциплинарная коллегия судей Грузии. </w:t>
      </w:r>
    </w:p>
    <w:p w:rsidR="00000000" w:rsidRDefault="00000000">
      <w:pPr>
        <w:jc w:val="both"/>
      </w:pPr>
      <w:r>
        <w:tab/>
      </w:r>
    </w:p>
    <w:p w:rsidR="00000000" w:rsidRDefault="00000000">
      <w:pPr>
        <w:pStyle w:val="BodyText"/>
        <w:jc w:val="left"/>
      </w:pPr>
      <w:r>
        <w:t>290.</w:t>
      </w:r>
      <w:r>
        <w:tab/>
        <w:t xml:space="preserve">Закон "Об общих судах" провозглашает, вслед за Конституцией, что "каждый человек вправе для защиты своих прав или свобод … прямо обращаться в суд" (статья 3).  Правосудие осуществляется на основе равенства перед законом и судом всех участвующих в деле лиц.  Судопроизводство осуществляется на основе равноправия и состязательности сторон (статья 6).  Принципы равного доступа к суду и равенства перед законом и судом содержатся в Гражданско-процессуальном (статьи 2 и 5) и Уголовно-процессуальном (статья 9) кодексах.  При осуществлении административного производства, согласно Административно-процессуальному кодексу, применяются положения Гражданско-процессуального кодекса (статья 1).  Как в уголовном, так и в гражданском процессуальном законодательстве соблюдается принцип диспозиционности, направленный на обеспечение права сторон свободно распоряжаться своими материально-правовыми и процессуальными правами.  Кроме того, Уголовно-процессуальным кодексом особо оговаривается, что его действия распространяются также и на находящихся на территории Грузии граждан иностранных государств и лиц без гражданства (статья 5), за исключением лиц, пользующихся дипломатическими привилегиями и иммунитетом, в отношении которых предусмотренные Кодексом процессуальные действия производятся только по их просьбе или с их согласия. </w:t>
      </w:r>
    </w:p>
    <w:p w:rsidR="00000000" w:rsidRDefault="00000000">
      <w:pPr>
        <w:pStyle w:val="BodyText"/>
        <w:jc w:val="left"/>
      </w:pPr>
    </w:p>
    <w:p w:rsidR="00000000" w:rsidRDefault="00000000">
      <w:r>
        <w:t>291.</w:t>
      </w:r>
      <w:r>
        <w:tab/>
        <w:t>Ниже приводится обзорная информация о процедурах судопроизводства согласно существующему законодательству.</w:t>
      </w:r>
    </w:p>
    <w:p w:rsidR="00000000" w:rsidRDefault="00000000">
      <w:pPr>
        <w:ind w:firstLine="720"/>
      </w:pPr>
    </w:p>
    <w:p w:rsidR="00000000" w:rsidRDefault="00000000">
      <w:r>
        <w:t>292.</w:t>
      </w:r>
      <w:r>
        <w:tab/>
        <w:t>Судебная процедура конституционного надзора:  согласно Конституции, Конституционный Суд Грузии как орган конституционного контроля правомочен на основании иска граждан рассматривать конституционность нормативных актов, регулирующих вопросы, предусмотренные главой II Основного закона – "Гражданство Грузии. Основные права и  свободы человека" (статья 89).  Статья 39 закона "О Конституционном Суде Грузии" уточняет, что правом внесения такого иска располагают "физические лица Грузии и других государств, если они считают, что нарушены права и свободы, признанные главой II Конституции".  Ответчиком  в этом случае выступает орган, издавший акт, конституционность которого оспаривается (там же). Согласно упомянутому закону, если при рассмотрении конкретного дела общий суд выносит заключение о наличии достаточных оснований для того, чтобы признать не соответствующим Конституции тот закон или иной нормативный акт, который должен быть использован судом при решении этого дела, он приостанавливает рассмотрение дела и обращается в Конституционный Суд.  Рассмотрение дела возобновляется после решения вопроса Конституционным Судом (статья 20).  Аналогичные положения содержатся в уголовном и гражданском процессуальном законодательстве.</w:t>
      </w:r>
    </w:p>
    <w:p w:rsidR="00000000" w:rsidRDefault="00000000"/>
    <w:p w:rsidR="00000000" w:rsidRDefault="00000000">
      <w:pPr>
        <w:pStyle w:val="BodyText2"/>
        <w:rPr>
          <w:sz w:val="24"/>
        </w:rPr>
      </w:pPr>
      <w:r>
        <w:rPr>
          <w:sz w:val="24"/>
        </w:rPr>
        <w:t>293.</w:t>
      </w:r>
      <w:r>
        <w:rPr>
          <w:sz w:val="24"/>
        </w:rPr>
        <w:tab/>
        <w:t>Удовлетворение конституционного иска влечет за собой признание утратившим силу признанного неконституционным нормативного акта с момента публикации соответствующего решения Конституционного Суда, которое является окончательным и обжалованию не подлежит (закон "О Конституционном суде Грузии", статьи 23 и 43).</w:t>
      </w:r>
    </w:p>
    <w:p w:rsidR="00000000" w:rsidRDefault="00000000">
      <w:pPr>
        <w:ind w:firstLine="720"/>
      </w:pPr>
    </w:p>
    <w:p w:rsidR="00000000" w:rsidRDefault="00000000">
      <w:r>
        <w:t>294.</w:t>
      </w:r>
      <w:r>
        <w:tab/>
        <w:t>Административное судопроизводство:  согласно Административно-процессуальному кодексу рассмотрению в общих судах подлежат тяжбы в связи с правовыми отношениями, вытекающими из административного законодательства, в частности, о соответствии административно-правового акта законодательству, об обязательстве административного органа по поводу возмещения ущерба, а также издании административно-правового акта или любого иного действия (статья 2).  Дела такого рода рассматриваются в районных (городских) судах, за исключением исков, связанных с выяснением законности административно-правовых актов, изданных Президентом страны, высшими государственными органами и органами власти автономных формирований, нормативно-административных актов, принятых мэриями (мэрами) и  представительными органами шести крупнейших городов, а также с вопросами по поводу лицензий (статья 6).  Иск может быть возбужден с требованием о признании административно-правового акта недействительным либо утратившим силу, и считается допустимым, если настоящий акт либо его часть наносит прямой и непосредственный ущерб законным правам и интересам истца либо незаконно ограничивает его права (статья 22).  При соблюдении вышеприведенного критерия о допустимости возможно также внесение иска об издании административного акта либо осуществление действия, не связанного с изданием административного акта (статьи 23 и 24).</w:t>
      </w:r>
    </w:p>
    <w:p w:rsidR="00000000" w:rsidRDefault="00000000">
      <w:r>
        <w:tab/>
      </w:r>
    </w:p>
    <w:p w:rsidR="00000000" w:rsidRDefault="00000000">
      <w:pPr>
        <w:pStyle w:val="BodyText2"/>
        <w:rPr>
          <w:sz w:val="24"/>
        </w:rPr>
      </w:pPr>
      <w:r>
        <w:rPr>
          <w:sz w:val="24"/>
        </w:rPr>
        <w:t>295.</w:t>
      </w:r>
      <w:r>
        <w:rPr>
          <w:sz w:val="24"/>
        </w:rPr>
        <w:tab/>
        <w:t>Если суд признает административный акт незаконным, он выносит решение о признании его недействительным, а если упомянутый акт был исполнен до решения суда, в решении указывается также порядок его аннулирования.  Решение суда об объявлении  нормативно-административного акта недействительным имеет обязательную силу; в предусмотренных Кодексом случаях такой акт может быть признан утратившим силу (статья 32).</w:t>
      </w:r>
    </w:p>
    <w:p w:rsidR="00000000" w:rsidRDefault="00000000">
      <w:r>
        <w:tab/>
      </w:r>
    </w:p>
    <w:p w:rsidR="00000000" w:rsidRDefault="00000000">
      <w:pPr>
        <w:pStyle w:val="BodyText2"/>
        <w:rPr>
          <w:sz w:val="24"/>
        </w:rPr>
      </w:pPr>
      <w:r>
        <w:rPr>
          <w:sz w:val="24"/>
        </w:rPr>
        <w:t>296.</w:t>
      </w:r>
      <w:r>
        <w:rPr>
          <w:sz w:val="24"/>
        </w:rPr>
        <w:tab/>
        <w:t>Порядок обжалования решения суда по административному делу установлен Гражданско-процессуальным кодексом.</w:t>
      </w:r>
    </w:p>
    <w:p w:rsidR="00000000" w:rsidRDefault="00000000">
      <w:r>
        <w:tab/>
      </w:r>
    </w:p>
    <w:p w:rsidR="00000000" w:rsidRDefault="00000000">
      <w:pPr>
        <w:pStyle w:val="BodyText2"/>
        <w:rPr>
          <w:sz w:val="24"/>
        </w:rPr>
      </w:pPr>
      <w:r>
        <w:rPr>
          <w:sz w:val="24"/>
        </w:rPr>
        <w:t>297.</w:t>
      </w:r>
      <w:r>
        <w:rPr>
          <w:sz w:val="24"/>
        </w:rPr>
        <w:tab/>
        <w:t>Гражданское судопроизводство:  в соответствии с Гражданско-процессуальным кодексом всем лицам обеспечена защита их прав в судебном порядке.  К рассмотрению дела суд приступает по заявлению лица, обратившегося к нему за защитой своих прав или предусмотренных законом интересов (статья 2).  Правосудие по гражданским делам осуществляется только судом на началах равенства всех лиц перед законом и судом (статья 5).  Статья 11 настоящего Кодекса  содержит перечень категорий дел, подведомственных суду по гражданским делам, который охватывает и круг вопросов в свете статьи 6 Конвенции. Гражданско-процессуальный кодекс регламентирует процессуальные аспекты процедуры восстановления нарушенных прав;  что же касается общих принципов защиты прав, то они оговариваются Гражданским кодексом.</w:t>
      </w:r>
    </w:p>
    <w:p w:rsidR="00000000" w:rsidRDefault="00000000">
      <w:pPr>
        <w:pStyle w:val="BodyText2"/>
        <w:rPr>
          <w:sz w:val="24"/>
        </w:rPr>
      </w:pPr>
    </w:p>
    <w:p w:rsidR="00000000" w:rsidRDefault="00000000">
      <w:pPr>
        <w:pStyle w:val="BodyText2"/>
        <w:rPr>
          <w:sz w:val="24"/>
        </w:rPr>
      </w:pPr>
      <w:r>
        <w:rPr>
          <w:sz w:val="24"/>
        </w:rPr>
        <w:t>298.</w:t>
      </w:r>
      <w:r>
        <w:rPr>
          <w:sz w:val="24"/>
        </w:rPr>
        <w:tab/>
        <w:t xml:space="preserve">Согласно Гражданскому кодексу предусматриваются следующие меры по защите гражданских прав:  самопомощь - в случае, если помощь компетентных органов запаздывает и без быстрого реагирования существует опасность неосуществления права; требование о возмещении ущерба при нарушении обязательства;  обязанность лица, которому надлежит возместить ущерб, восстановить первоначальное положение; возмещение не только материального, но и неимущественного ущерба;  иные предусмотренные законом средства правовой защиты (статьи 118, 394, 408 и 413).  В этом контексте следует также упомянуть о статье 18 Кодекса, поскольку она посвящена личным неимущественным правам.  Положения данной статьи касаются права лица требовать в судебном порядке опровержения сведений, посягающих на его честь, достоинство, тайну личной жизни, личную неприкосновенность или деловую репутацию.  Если такого рода нарушение вызвано содержащим элементы вины действием, лицо может потребовать и возмещения ущерба, в том числе морального.  </w:t>
      </w:r>
    </w:p>
    <w:p w:rsidR="00000000" w:rsidRDefault="00000000">
      <w:pPr>
        <w:ind w:firstLine="720"/>
      </w:pPr>
    </w:p>
    <w:p w:rsidR="00000000" w:rsidRDefault="00000000">
      <w:r>
        <w:t>299.</w:t>
      </w:r>
      <w:r>
        <w:tab/>
        <w:t>Уголовное судопроизводство:  касаясь статьи 6 Конвенции, очевидно, что особую важность приобретает отправление правосудия в связи с преступлениями, предусмотренными в статье 142 ("Нарушение равноправия людей"), хотя, как отмечалось в соответствующем разделе настоящего доклада, положения еще ряда статей содержат упоминания о возможности расового характера преступления.</w:t>
      </w:r>
    </w:p>
    <w:p w:rsidR="00000000" w:rsidRDefault="00000000">
      <w:r>
        <w:tab/>
      </w:r>
    </w:p>
    <w:p w:rsidR="00000000" w:rsidRDefault="00000000">
      <w:pPr>
        <w:pStyle w:val="BodyText2"/>
        <w:rPr>
          <w:sz w:val="24"/>
        </w:rPr>
      </w:pPr>
      <w:r>
        <w:rPr>
          <w:sz w:val="24"/>
        </w:rPr>
        <w:t>300.</w:t>
      </w:r>
      <w:r>
        <w:rPr>
          <w:sz w:val="24"/>
        </w:rPr>
        <w:tab/>
        <w:t xml:space="preserve">В пункте 2 статьи 24 Уголовно-процессуального кодекса перечисляются основания для возбуждения уголовного преследования, в число которых входят и заявления граждан.  Лица, осуществляющие дознание, следователи и прокуроры обязаны во всех случаях обнаружения признаков преступления возбудить в пределах своей компетенции дело публичного обвинения, принять меры к раскрытию преступления и установлению виновного.  Потерпевший имеет право поддержать сформулированное прокурором государственное обвинение, а в случае отказа прокурора от обвинения или его изменения - поддержать в суде прежнее обвинение.  В этом случае дело не прекращается (статья 25).  </w:t>
      </w:r>
    </w:p>
    <w:p w:rsidR="00000000" w:rsidRDefault="00000000">
      <w:pPr>
        <w:pStyle w:val="BodyText2"/>
        <w:rPr>
          <w:sz w:val="24"/>
        </w:rPr>
      </w:pPr>
    </w:p>
    <w:p w:rsidR="00000000" w:rsidRDefault="00000000">
      <w:pPr>
        <w:pStyle w:val="BodyText2"/>
        <w:rPr>
          <w:sz w:val="24"/>
        </w:rPr>
      </w:pPr>
      <w:r>
        <w:rPr>
          <w:sz w:val="24"/>
        </w:rPr>
        <w:t>301.</w:t>
      </w:r>
      <w:r>
        <w:rPr>
          <w:sz w:val="24"/>
        </w:rPr>
        <w:tab/>
        <w:t>Лицо, понесшее в результате преступления имущественный, физический либо моральный ущерб, имеет право при производстве уголовного дела потребовать возмещения ущерба и представить с этой целью гражданский иск (статья 30).</w:t>
      </w:r>
    </w:p>
    <w:p w:rsidR="00000000" w:rsidRDefault="00000000">
      <w:r>
        <w:tab/>
      </w:r>
    </w:p>
    <w:p w:rsidR="00000000" w:rsidRDefault="00000000">
      <w:pPr>
        <w:pStyle w:val="BodyText2"/>
        <w:rPr>
          <w:sz w:val="24"/>
        </w:rPr>
      </w:pPr>
      <w:r>
        <w:rPr>
          <w:sz w:val="24"/>
        </w:rPr>
        <w:t>302.</w:t>
      </w:r>
      <w:r>
        <w:rPr>
          <w:sz w:val="24"/>
        </w:rPr>
        <w:tab/>
        <w:t>Специальная глава XXX Уголовно-процессуального кодекса (статьи 234-244) регламентирует процедуру внесения жалобы на действия лица, осуществляющего дознание, следователя, прокурора, судьи или суда, а также вынесенные ими решения, причем это право имеют не только участники процесса, но и другие граждане или организации.</w:t>
      </w:r>
    </w:p>
    <w:p w:rsidR="00000000" w:rsidRDefault="00000000">
      <w:r>
        <w:tab/>
      </w:r>
    </w:p>
    <w:p w:rsidR="00000000" w:rsidRDefault="00000000">
      <w:pPr>
        <w:pStyle w:val="BodyText2"/>
        <w:rPr>
          <w:sz w:val="24"/>
        </w:rPr>
      </w:pPr>
      <w:r>
        <w:rPr>
          <w:sz w:val="24"/>
        </w:rPr>
        <w:t>303.</w:t>
      </w:r>
      <w:r>
        <w:rPr>
          <w:sz w:val="24"/>
        </w:rPr>
        <w:tab/>
        <w:t>Уголовно-процессуальным кодексом (глава XXVIII) предусматривается также порядок реабилитации и возмещения ущерба, причиненного незаконными и необоснованными действиями органов, осуществляющих судопроизводство (статьи 213</w:t>
      </w:r>
      <w:r>
        <w:rPr>
          <w:sz w:val="24"/>
          <w:lang w:val="en-US"/>
        </w:rPr>
        <w:noBreakHyphen/>
      </w:r>
      <w:r>
        <w:rPr>
          <w:sz w:val="24"/>
        </w:rPr>
        <w:t>229).</w:t>
      </w:r>
      <w:r>
        <w:rPr>
          <w:sz w:val="24"/>
        </w:rPr>
        <w:tab/>
      </w:r>
    </w:p>
    <w:p w:rsidR="00000000" w:rsidRDefault="00000000">
      <w:r>
        <w:tab/>
      </w:r>
    </w:p>
    <w:p w:rsidR="00000000" w:rsidRDefault="00000000">
      <w:pPr>
        <w:pStyle w:val="BodyText2"/>
        <w:rPr>
          <w:sz w:val="24"/>
        </w:rPr>
      </w:pPr>
      <w:r>
        <w:rPr>
          <w:sz w:val="24"/>
        </w:rPr>
        <w:t>304.</w:t>
      </w:r>
      <w:r>
        <w:rPr>
          <w:sz w:val="24"/>
        </w:rPr>
        <w:tab/>
        <w:t>Согласно статье 9 Кодекса все равны перед законом и судом вне зависимости от расы, национальности, языка, пола, социального происхождения, имущественного и  должностного положения, места жительства, отношения к религии, веры, а также иных обстоятельств.</w:t>
      </w:r>
    </w:p>
    <w:p w:rsidR="00000000" w:rsidRDefault="00000000">
      <w:r>
        <w:tab/>
      </w:r>
    </w:p>
    <w:p w:rsidR="00000000" w:rsidRDefault="00000000">
      <w:r>
        <w:t>305.</w:t>
      </w:r>
      <w:r>
        <w:tab/>
        <w:t>Право обращаться в другие учреждения:  помимо права обращаться в суды и возможности защищать свои права в ходе судебного разбирательства, любое лицо имеет право обратиться с заявлением к административному органу, что служит основанием для начала административного производства.  Полученные заявления подлежат регистрации и, согласно установленному законом порядку, решение по ним должно быть принято в течение 15 дней - одного месяца.  В особых случаях, исходя из характера дела, этот срок может быть продлен, но не более чем до трех месяцев.  Если заявитель не согласен с решением, он правомочен обжаловать его в вышестоящее государственное учреждение или в суде ("Общий  административный кодекс Грузии", статьи 76-79, 100, 177 и 178).</w:t>
      </w:r>
    </w:p>
    <w:p w:rsidR="00000000" w:rsidRDefault="00000000">
      <w:r>
        <w:tab/>
      </w:r>
    </w:p>
    <w:p w:rsidR="00000000" w:rsidRDefault="00000000">
      <w:pPr>
        <w:pStyle w:val="BodyText2"/>
        <w:rPr>
          <w:sz w:val="24"/>
        </w:rPr>
      </w:pPr>
      <w:r>
        <w:rPr>
          <w:sz w:val="24"/>
        </w:rPr>
        <w:t>306.</w:t>
      </w:r>
      <w:r>
        <w:rPr>
          <w:sz w:val="24"/>
        </w:rPr>
        <w:tab/>
        <w:t>Согласно закону "О Народном защитнике Грузии" омбудсмен рассматривает заявления и жалобы граждан Грузии, иностранцев, лиц без гражданства и неправительственных организаций, касающиеся действий органов государственной власти и местного управления, государственных и негосударственных организаций, должностных и юридических лиц в связи с нарушениями прав и свобод человека,  установленных Конституцией и законом, международных договоров и соглашений, стороной которых она является (статья 13).  По итогам проверки Народный защитник правомочен принимать целый ряд предусмотренных законом мер по восстановлению нарушенных прав, вплоть до письменного обращения к Президенту страны или к парламенту, в случае если имеющихся у него средств реагирования оказалось недостаточно (статья 21).</w:t>
      </w:r>
    </w:p>
    <w:p w:rsidR="00000000" w:rsidRDefault="00000000">
      <w:pPr>
        <w:pStyle w:val="Heading9"/>
        <w:rPr>
          <w:sz w:val="24"/>
        </w:rPr>
      </w:pPr>
    </w:p>
    <w:p w:rsidR="00000000" w:rsidRDefault="00000000">
      <w:pPr>
        <w:pStyle w:val="Heading9"/>
        <w:jc w:val="center"/>
        <w:rPr>
          <w:sz w:val="24"/>
        </w:rPr>
      </w:pPr>
      <w:r>
        <w:rPr>
          <w:sz w:val="24"/>
        </w:rPr>
        <w:t>Статья 7</w:t>
      </w:r>
    </w:p>
    <w:p w:rsidR="00000000" w:rsidRDefault="00000000">
      <w:pPr>
        <w:pStyle w:val="Heading9"/>
        <w:rPr>
          <w:sz w:val="24"/>
        </w:rPr>
      </w:pPr>
    </w:p>
    <w:p w:rsidR="00000000" w:rsidRDefault="00000000">
      <w:pPr>
        <w:pStyle w:val="Heading9"/>
        <w:rPr>
          <w:sz w:val="24"/>
        </w:rPr>
      </w:pPr>
      <w:r>
        <w:rPr>
          <w:sz w:val="24"/>
        </w:rPr>
        <w:t>Образование и воспитание</w:t>
      </w:r>
    </w:p>
    <w:p w:rsidR="00000000" w:rsidRDefault="00000000">
      <w:pPr>
        <w:ind w:firstLine="720"/>
        <w:rPr>
          <w:u w:val="single"/>
        </w:rPr>
      </w:pPr>
    </w:p>
    <w:p w:rsidR="00000000" w:rsidRDefault="00000000">
      <w:pPr>
        <w:pStyle w:val="BodyText2"/>
        <w:rPr>
          <w:sz w:val="24"/>
        </w:rPr>
      </w:pPr>
      <w:r>
        <w:rPr>
          <w:sz w:val="24"/>
        </w:rPr>
        <w:t>307.</w:t>
      </w:r>
      <w:r>
        <w:rPr>
          <w:sz w:val="24"/>
        </w:rPr>
        <w:tab/>
        <w:t>В настоящем докладе по разделу "Право на образование и профессиональную подготовку" статьи 5 приводятся данные о системе образования Грузии и ее законодательном  регулировании.  Ниже приводится информация о преподавании прав человека на различных уровнях образования.</w:t>
      </w:r>
    </w:p>
    <w:p w:rsidR="00000000" w:rsidRDefault="00000000">
      <w:pPr>
        <w:ind w:firstLine="720"/>
      </w:pPr>
    </w:p>
    <w:p w:rsidR="00000000" w:rsidRDefault="00000000">
      <w:pPr>
        <w:pStyle w:val="BodyText2"/>
        <w:rPr>
          <w:sz w:val="24"/>
        </w:rPr>
      </w:pPr>
      <w:r>
        <w:rPr>
          <w:sz w:val="24"/>
        </w:rPr>
        <w:t>308.</w:t>
      </w:r>
      <w:r>
        <w:rPr>
          <w:sz w:val="24"/>
        </w:rPr>
        <w:tab/>
        <w:t>В 1993 году в системе общеобразовательной школы, на завершающих ступенях начального (четвертый класс), базового (девятый класс) и среднего образования (одиннадцатый класс) было начато обучение Всеобщей декларации прав человека в виде факультативных занятий объемом один час в неделю.</w:t>
      </w:r>
    </w:p>
    <w:p w:rsidR="00000000" w:rsidRDefault="00000000">
      <w:pPr>
        <w:ind w:firstLine="720"/>
      </w:pPr>
    </w:p>
    <w:p w:rsidR="00000000" w:rsidRDefault="00000000">
      <w:pPr>
        <w:pStyle w:val="BodyText2"/>
        <w:rPr>
          <w:sz w:val="24"/>
        </w:rPr>
      </w:pPr>
      <w:r>
        <w:rPr>
          <w:sz w:val="24"/>
        </w:rPr>
        <w:t>309.</w:t>
      </w:r>
      <w:r>
        <w:rPr>
          <w:sz w:val="24"/>
        </w:rPr>
        <w:tab/>
        <w:t>При содействии ЮНИСЕФ в четвертых классах школ столицы страны начато изучение Конвенции о правах ребенка, для чего подготовлено соответствующее методическое руководство для педагогов.  Министерство образования разработало программу и вспомогательное руководство по изучению Декларации в девятом и одиннадцатом классах. Совместно с советом по беженцам Норвегии, предоставившим пособие  для учителей  "Учим правам человека", организуются специальные курсы, проводятся семинары и совещания для соответствующей категории преподавателей.  Так, в 1999 году переподготовку по правам человека прошли 293 педагога из грузинских и 101 педагог - из негрузинских школ.</w:t>
      </w:r>
    </w:p>
    <w:p w:rsidR="00000000" w:rsidRDefault="00000000">
      <w:pPr>
        <w:ind w:firstLine="720"/>
      </w:pPr>
    </w:p>
    <w:p w:rsidR="00000000" w:rsidRDefault="00000000">
      <w:pPr>
        <w:pStyle w:val="BodyText2"/>
        <w:rPr>
          <w:sz w:val="24"/>
        </w:rPr>
      </w:pPr>
      <w:r>
        <w:rPr>
          <w:sz w:val="24"/>
        </w:rPr>
        <w:t>310.</w:t>
      </w:r>
      <w:r>
        <w:rPr>
          <w:sz w:val="24"/>
        </w:rPr>
        <w:tab/>
        <w:t>Министерством образования и функционирующим при нем координационным советом по обучению правам человека периодически осуществляется проверка положения с обучением этой дисциплине.  При учебе используются интерактивный и интегрированный методы, позволяющие увязать права человека со смежными дисциплинами и расширить общий кругозор школьников.  Особое внимание педагогами уделяется вопросу исторической толерантности грузинского общества, на протяжении веков отрицавшего проявления расизма и розни любого рода, а также необходимости развития этих традиций.</w:t>
      </w:r>
    </w:p>
    <w:p w:rsidR="00000000" w:rsidRDefault="00000000">
      <w:pPr>
        <w:ind w:firstLine="720"/>
      </w:pPr>
    </w:p>
    <w:p w:rsidR="00000000" w:rsidRDefault="00000000">
      <w:pPr>
        <w:pStyle w:val="BodyText2"/>
        <w:rPr>
          <w:sz w:val="24"/>
        </w:rPr>
      </w:pPr>
      <w:r>
        <w:rPr>
          <w:sz w:val="24"/>
        </w:rPr>
        <w:t>311.</w:t>
      </w:r>
      <w:r>
        <w:rPr>
          <w:sz w:val="24"/>
        </w:rPr>
        <w:tab/>
        <w:t>Помимо прав человека, в девятом-одиннадцатом классах общеобразовательных школ изучаются такие дисциплины, как "Основы грузинского государства и права" и "Обществоведение".  В процессе их преподавания также затрагиваются вопросы защиты прав человека в правовом аспекте, особенности культуры различных обществ, в том числе их самобытность и реальная ценность в мировом сообществе.</w:t>
      </w:r>
    </w:p>
    <w:p w:rsidR="00000000" w:rsidRDefault="00000000">
      <w:pPr>
        <w:ind w:firstLine="720"/>
      </w:pPr>
    </w:p>
    <w:p w:rsidR="00000000" w:rsidRDefault="00000000">
      <w:pPr>
        <w:pStyle w:val="BodyText2"/>
        <w:rPr>
          <w:sz w:val="24"/>
        </w:rPr>
      </w:pPr>
      <w:r>
        <w:rPr>
          <w:sz w:val="24"/>
        </w:rPr>
        <w:t>312.</w:t>
      </w:r>
      <w:r>
        <w:rPr>
          <w:sz w:val="24"/>
        </w:rPr>
        <w:tab/>
        <w:t>В Тбилисском государственном университете на факультете международного права студенты изучают специальный курс "Права человека", на юридическом факультете преподается предмет под тем же названием.</w:t>
      </w:r>
    </w:p>
    <w:p w:rsidR="00000000" w:rsidRDefault="00000000">
      <w:pPr>
        <w:ind w:firstLine="720"/>
        <w:rPr>
          <w:u w:val="single"/>
        </w:rPr>
      </w:pPr>
    </w:p>
    <w:p w:rsidR="00000000" w:rsidRDefault="00000000">
      <w:pPr>
        <w:pStyle w:val="Heading9"/>
        <w:rPr>
          <w:sz w:val="24"/>
        </w:rPr>
      </w:pPr>
      <w:r>
        <w:rPr>
          <w:sz w:val="24"/>
        </w:rPr>
        <w:t>Культура</w:t>
      </w:r>
    </w:p>
    <w:p w:rsidR="00000000" w:rsidRDefault="00000000"/>
    <w:p w:rsidR="00000000" w:rsidRDefault="00000000">
      <w:pPr>
        <w:pStyle w:val="BodyText2"/>
        <w:rPr>
          <w:sz w:val="24"/>
        </w:rPr>
      </w:pPr>
      <w:r>
        <w:rPr>
          <w:sz w:val="24"/>
        </w:rPr>
        <w:t>313.</w:t>
      </w:r>
      <w:r>
        <w:rPr>
          <w:sz w:val="24"/>
        </w:rPr>
        <w:tab/>
        <w:t>В разделе  настоящего доклада, посвященном праву на участие в культурной жизни в свете статьи 5 Конвенции, отмечалось, как реализуются в данной сфере права меньшинств и каков характер государственной политики в области культуры в целом, и в особенности с точки зрения соблюдения принципа недискриминации.  В настоящем разделе приводится информация о функционирующих в Грузии общественных объединениях меньшинств, одной из целей которых является сохранение своей самобытности и культуры.</w:t>
      </w:r>
    </w:p>
    <w:p w:rsidR="00000000" w:rsidRDefault="00000000">
      <w:pPr>
        <w:pStyle w:val="BodyText2"/>
        <w:rPr>
          <w:sz w:val="24"/>
        </w:rPr>
      </w:pPr>
    </w:p>
    <w:p w:rsidR="00000000" w:rsidRDefault="00000000">
      <w:pPr>
        <w:pStyle w:val="BodyText2"/>
        <w:rPr>
          <w:sz w:val="24"/>
        </w:rPr>
      </w:pPr>
      <w:r>
        <w:rPr>
          <w:sz w:val="24"/>
        </w:rPr>
        <w:t>314.</w:t>
      </w:r>
      <w:r>
        <w:rPr>
          <w:sz w:val="24"/>
        </w:rPr>
        <w:tab/>
        <w:t>Среди общественных объединений меньшинств русские представлены наиболее широко.  Крупнейшим из них является Русское культурно-просветительное общество, имеющее девять филиалов и объединяющее 16 000 членов.  В числе других крупных объединений следует упомянуть благотворительную ассоциацию "Славянский дом", ассоциацию "Надежда", базирующуюся в Батуми ассоциацию "Дружба", союз казаков Грузии.  Особого внимания заслуживает феномен духоборской общины Грузии, а также молокан и старообрядцев. В 30-х годах XIX века представители этих христианских сект были депортированы из России в Грузию.  Они расселились по всей стране,  в отдельных регионах образовав целые деревни.  Духоборская община поселилась в семи селах Джавахетского региона, где она сохраняет в течение более полутора веков свою культуру, традиции и веру.  В последние годы некоторые представители этой общины выехали в Россию, однако, как показали проведенные в 1992-1995 годах социологические исследования, причиной этого стала не конфессиональная или культурная дискриминация, а тяжелые экономические условия.</w:t>
      </w:r>
    </w:p>
    <w:p w:rsidR="00000000" w:rsidRDefault="00000000">
      <w:pPr>
        <w:ind w:firstLine="720"/>
      </w:pPr>
    </w:p>
    <w:p w:rsidR="00000000" w:rsidRDefault="00000000">
      <w:pPr>
        <w:pStyle w:val="BodyText2"/>
        <w:rPr>
          <w:sz w:val="24"/>
        </w:rPr>
      </w:pPr>
      <w:r>
        <w:rPr>
          <w:sz w:val="24"/>
        </w:rPr>
        <w:t>315.</w:t>
      </w:r>
      <w:r>
        <w:rPr>
          <w:sz w:val="24"/>
        </w:rPr>
        <w:tab/>
        <w:t>Азербайджанское меньшинство представлено Союзом азербайджанцев Грузии,   культурно-благотворительными обществами "Даяги", "Бирлик", "Умид", "Озан" и "Гейрат".  В столице Грузии функционирует азербайджанский культурный центр.  Следует отметить также интернациональное общество азербайджанско-грузинской дружбы и сотрудничества "Сази".</w:t>
      </w:r>
    </w:p>
    <w:p w:rsidR="00000000" w:rsidRDefault="00000000"/>
    <w:p w:rsidR="00000000" w:rsidRDefault="00000000">
      <w:pPr>
        <w:pStyle w:val="BodyText2"/>
        <w:rPr>
          <w:sz w:val="24"/>
        </w:rPr>
      </w:pPr>
      <w:r>
        <w:rPr>
          <w:sz w:val="24"/>
        </w:rPr>
        <w:t>316.</w:t>
      </w:r>
      <w:r>
        <w:rPr>
          <w:sz w:val="24"/>
        </w:rPr>
        <w:tab/>
        <w:t>Армянская община несколько лет назад создала свое культурно-благотворительное общество.  Состоявшийся в 1999 году съезд общества принял решение о преобразовании его в Союз армян Грузии, одним из основных целей которого провозглашено укрепление армяно-грузинской дружбы и развитие связей между Грузией и Арменией.  Среди  армянских общественных организаций в регионах Грузии следует отметить благотворительную ассоциацию "Шарль Азнавур" (г. Ахалцихе) и общество "Вераценунц" (г. Батуми).</w:t>
      </w:r>
    </w:p>
    <w:p w:rsidR="00000000" w:rsidRDefault="00000000"/>
    <w:p w:rsidR="00000000" w:rsidRDefault="00000000">
      <w:pPr>
        <w:pStyle w:val="BodyText2"/>
        <w:rPr>
          <w:sz w:val="24"/>
        </w:rPr>
      </w:pPr>
      <w:r>
        <w:rPr>
          <w:sz w:val="24"/>
        </w:rPr>
        <w:t>317.</w:t>
      </w:r>
      <w:r>
        <w:rPr>
          <w:sz w:val="24"/>
        </w:rPr>
        <w:tab/>
        <w:t>Кроме того, в стране созданы и беспрепятственно работают следующие общественные объединения меньшинств:</w:t>
      </w:r>
    </w:p>
    <w:p w:rsidR="00000000" w:rsidRDefault="00000000">
      <w:pPr>
        <w:pStyle w:val="BodyText2"/>
        <w:rPr>
          <w:sz w:val="24"/>
        </w:rPr>
      </w:pPr>
    </w:p>
    <w:p w:rsidR="00000000" w:rsidRDefault="00000000">
      <w:pPr>
        <w:ind w:left="1134" w:hanging="414"/>
      </w:pPr>
      <w:r>
        <w:t>1.</w:t>
      </w:r>
      <w:r>
        <w:tab/>
        <w:t>Федерация греческих общин, объединяющая 23 общины из всех регионов Грузии.  По инициативе Федерации были созданы центры греческой культуры и греческого образования, воскресные школы, издаются две газеты - в Тбилиси и Батуми.  Федерация поддерживает регулярные контакты с греческими диаспорами за рубежом.</w:t>
      </w:r>
    </w:p>
    <w:p w:rsidR="00000000" w:rsidRDefault="00000000">
      <w:pPr>
        <w:ind w:left="1134" w:hanging="414"/>
      </w:pPr>
    </w:p>
    <w:p w:rsidR="00000000" w:rsidRDefault="00000000">
      <w:pPr>
        <w:ind w:left="1134" w:hanging="414"/>
      </w:pPr>
      <w:r>
        <w:t>2.</w:t>
      </w:r>
      <w:r>
        <w:tab/>
        <w:t>Курдские (езидские) организации, в том числе союз езидов Грузии, общество граждан Грузии курдской национальности, международный курдский информационный центр, четыре женские, молодежные и религиозные организации.  Курдские организации поддерживают связи с национальными культурными центрами и обществами в различных странах мира.</w:t>
      </w:r>
    </w:p>
    <w:p w:rsidR="00000000" w:rsidRDefault="00000000">
      <w:pPr>
        <w:ind w:left="1134" w:hanging="414"/>
      </w:pPr>
    </w:p>
    <w:p w:rsidR="00000000" w:rsidRDefault="00000000">
      <w:pPr>
        <w:ind w:left="1134" w:hanging="414"/>
      </w:pPr>
      <w:r>
        <w:t>3.</w:t>
      </w:r>
      <w:r>
        <w:tab/>
        <w:t>Немецкое общество "Айнунг".  Примечательно, что немецкая община Грузии составляет лишь около 1 500 тысяч человек, две трети которых считают своим родным языком русский.  Общество "Айнунг" стремится удовлетворить культурные потребности немецкой диаспоры, в частности периодически организует выставки художников немецкого происхождения в Тбилиси.</w:t>
      </w:r>
    </w:p>
    <w:p w:rsidR="00000000" w:rsidRDefault="00000000">
      <w:pPr>
        <w:ind w:left="1134" w:hanging="414"/>
      </w:pPr>
    </w:p>
    <w:p w:rsidR="00000000" w:rsidRDefault="00000000">
      <w:pPr>
        <w:ind w:left="1134" w:hanging="414"/>
      </w:pPr>
      <w:r>
        <w:t>4.</w:t>
      </w:r>
      <w:r>
        <w:tab/>
        <w:t>Польское общество "Полония", созданное в 1995 году, объединяет около 800 членов, включая молодежь в возрасте до 18 лет. Возглавляет общество женщина - профессор Тбилисского государственного университета.  Основной целью "Полонии" является культурная и образовательная деятельность.</w:t>
      </w:r>
    </w:p>
    <w:p w:rsidR="00000000" w:rsidRDefault="00000000">
      <w:pPr>
        <w:ind w:firstLine="720"/>
      </w:pPr>
    </w:p>
    <w:p w:rsidR="00000000" w:rsidRDefault="00000000">
      <w:pPr>
        <w:pStyle w:val="BodyText2"/>
        <w:rPr>
          <w:sz w:val="24"/>
        </w:rPr>
      </w:pPr>
      <w:r>
        <w:rPr>
          <w:sz w:val="24"/>
        </w:rPr>
        <w:t>318.</w:t>
      </w:r>
      <w:r>
        <w:rPr>
          <w:sz w:val="24"/>
        </w:rPr>
        <w:tab/>
        <w:t>Помимо этого, в "третьем секторе" представлен еще целый ряд объединений меньшинств - ассирийское,  латышское, литовское, украинское и другие, - целью которых является сохранение самобытности и удовлетворение культурных потребностей.</w:t>
      </w:r>
    </w:p>
    <w:p w:rsidR="00000000" w:rsidRDefault="00000000"/>
    <w:p w:rsidR="00000000" w:rsidRDefault="00000000">
      <w:pPr>
        <w:pStyle w:val="BodyText2"/>
        <w:rPr>
          <w:sz w:val="24"/>
        </w:rPr>
      </w:pPr>
      <w:r>
        <w:rPr>
          <w:sz w:val="24"/>
        </w:rPr>
        <w:t>319.</w:t>
      </w:r>
      <w:r>
        <w:rPr>
          <w:sz w:val="24"/>
        </w:rPr>
        <w:tab/>
        <w:t>Неправительственные организации меньшинств пользуются поддержкой государства.  Одной из важнейших задач помощника Президента Грузии по вопросам межнациональных отношений является поддержание тесного контакта с обществами национальных меньшинств с целью разработки эффективной политики по защите и поощрению их прав и свобод в соответствии с Конституцией и международными обязательствами государства.</w:t>
      </w:r>
    </w:p>
    <w:p w:rsidR="00000000" w:rsidRDefault="00000000"/>
    <w:p w:rsidR="00000000" w:rsidRDefault="00000000">
      <w:pPr>
        <w:pStyle w:val="Heading6"/>
        <w:rPr>
          <w:b w:val="0"/>
          <w:bCs/>
        </w:rPr>
      </w:pPr>
      <w:r>
        <w:rPr>
          <w:b w:val="0"/>
          <w:bCs/>
        </w:rPr>
        <w:t>Информация</w:t>
      </w:r>
    </w:p>
    <w:p w:rsidR="00000000" w:rsidRDefault="00000000"/>
    <w:p w:rsidR="00000000" w:rsidRDefault="00000000">
      <w:r>
        <w:t>320.</w:t>
      </w:r>
      <w:r>
        <w:tab/>
        <w:t>В настоящем докладе по  разделу "Право на свободу убеждений и на свободное выражение их" статьи 5 Конвенции упомянута  статья 24 Конституции, касающаяся свободы информации.  Пункт 2 настоящей статьи гласит, что средства массовой информации свободны;  цензура запрещается.  Статья 24 содержит также перечисление условий, при которых свобода средств массовой информации может быть ограничена.  Среди них, в частности, необходимость защиты прав и достоинства других лиц, предотвращения распространения информации, признанной конфиденциальной.</w:t>
      </w:r>
    </w:p>
    <w:p w:rsidR="00000000" w:rsidRDefault="00000000">
      <w:pPr>
        <w:ind w:firstLine="720"/>
      </w:pPr>
    </w:p>
    <w:p w:rsidR="00000000" w:rsidRDefault="00000000">
      <w:pPr>
        <w:pStyle w:val="BodyText2"/>
        <w:rPr>
          <w:sz w:val="24"/>
        </w:rPr>
      </w:pPr>
      <w:r>
        <w:rPr>
          <w:sz w:val="24"/>
        </w:rPr>
        <w:t>321.</w:t>
      </w:r>
      <w:r>
        <w:rPr>
          <w:sz w:val="24"/>
        </w:rPr>
        <w:tab/>
        <w:t>В соответствии со статьей 1 Закона «О прессе и средствах массовой информации», граждане Грузии имеют право высказывать, распространять и защищать свое мнение при помощи любого средства информации, а также получать информацию по вопросам государственной и общественной жизни.  Кроме того, граждане имеют право на получение информации из зарубежных источников.</w:t>
      </w:r>
    </w:p>
    <w:p w:rsidR="00000000" w:rsidRDefault="00000000"/>
    <w:p w:rsidR="00000000" w:rsidRDefault="00000000">
      <w:pPr>
        <w:pStyle w:val="BodyText2"/>
        <w:rPr>
          <w:sz w:val="24"/>
        </w:rPr>
      </w:pPr>
      <w:r>
        <w:rPr>
          <w:sz w:val="24"/>
        </w:rPr>
        <w:t>322.</w:t>
      </w:r>
      <w:r>
        <w:rPr>
          <w:sz w:val="24"/>
        </w:rPr>
        <w:tab/>
        <w:t>В настоящее время в Грузии выходит 243 газеты, включая как общенациональные, так и местные.  Подавляющее большинство из них являются негосударственными и охватывают самый широкий спектр проблем.  Среди них с течением времени выделилось четыре-пять наиболее значительных периодических изданий широкого профиля, отличающихся серьезностью подхода к подаче информации.  Учитывая специфику рынка, даже эти издания не свободны от налета сенсационности, но и в них, и в остальной прессе в целом материалов дискриминационного или расистского характера никогда не публиковалось.  То же самое можно сказать о негосударственных теле- и радиовещательных компаниях.  Что касается финансируемых государством электронных и печатных средств массовой информации, то в разделе о свободном выражении своего мнения настоящего доклада отражена деятельность негрузиноязычных масс-медиа, имеющих свою аудиторию.  Ни в них, ни в соответствующих грузинских изданиях никогда не было публикаций, противоречащих положениям Конвенции.</w:t>
      </w:r>
    </w:p>
    <w:p w:rsidR="00000000" w:rsidRDefault="00000000"/>
    <w:p w:rsidR="00000000" w:rsidRDefault="00000000">
      <w:r>
        <w:t>323.</w:t>
      </w:r>
      <w:r>
        <w:tab/>
        <w:t xml:space="preserve">Применительно к отражению в средствах массовой информации правозащитной проблематики отметим, что первая программа грузинского радио и одна из негосударственных радиовещательных компаний организовали цикл образовательных передач о правах человека, выходящих в эфир еженедельно.  По инициативе Народного защитника Грузии частная телекомпания в течение значительного времени регулярно готовила программу "Это ваши права", на которую приглашались представители законодательной и исполнительной власти и известные в Грузии эксперты и правозащитники.  Программа выходит и в настоящее время, но ввиду финансовых трудностей </w:t>
      </w:r>
      <w:r>
        <w:rPr>
          <w:lang w:val="en-US"/>
        </w:rPr>
        <w:noBreakHyphen/>
      </w:r>
      <w:r>
        <w:t xml:space="preserve"> несколько реже.</w:t>
      </w:r>
    </w:p>
    <w:p w:rsidR="00000000" w:rsidRDefault="00000000"/>
    <w:p w:rsidR="00000000" w:rsidRDefault="00000000">
      <w:pPr>
        <w:pStyle w:val="BodyText2"/>
        <w:rPr>
          <w:sz w:val="24"/>
        </w:rPr>
      </w:pPr>
      <w:r>
        <w:rPr>
          <w:sz w:val="24"/>
        </w:rPr>
        <w:t>324.</w:t>
      </w:r>
      <w:r>
        <w:rPr>
          <w:sz w:val="24"/>
        </w:rPr>
        <w:tab/>
        <w:t xml:space="preserve"> В грузинской прессе, по радио и телевидению регулярно выступают высокие должностные лица органов законодательной и исполнительной власти, занимающиеся вопросами прав человека, и представители неправительственных организаций, также работающих в этой сфере.  В центре их внимания, как правило, практические аспекты осуществления прав и свобод человека в Грузии.</w:t>
      </w:r>
    </w:p>
    <w:p w:rsidR="00000000" w:rsidRDefault="00000000">
      <w:pPr>
        <w:pStyle w:val="FootnoteText"/>
        <w:spacing w:line="288" w:lineRule="auto"/>
        <w:jc w:val="center"/>
        <w:rPr>
          <w:u w:val="single"/>
        </w:rPr>
      </w:pPr>
      <w:r>
        <w:br w:type="page"/>
      </w:r>
      <w:r>
        <w:rPr>
          <w:u w:val="single"/>
        </w:rPr>
        <w:t>Список приложений</w:t>
      </w:r>
    </w:p>
    <w:p w:rsidR="00000000" w:rsidRDefault="00000000"/>
    <w:p w:rsidR="00000000" w:rsidRDefault="00000000">
      <w:pPr>
        <w:ind w:left="567" w:hanging="567"/>
      </w:pPr>
      <w:r>
        <w:t>1.</w:t>
      </w:r>
      <w:r>
        <w:tab/>
        <w:t>Первоначальный доклад Грузии об осуществлении Конвенции о ликвидации всех форм дискриминации в отношении женщин (февраль 1998 года).</w:t>
      </w:r>
    </w:p>
    <w:p w:rsidR="00000000" w:rsidRDefault="00000000"/>
    <w:p w:rsidR="00000000" w:rsidRDefault="00000000">
      <w:pPr>
        <w:ind w:left="567" w:hanging="567"/>
      </w:pPr>
      <w:r>
        <w:t>2.</w:t>
      </w:r>
      <w:r>
        <w:tab/>
        <w:t>Презентационное выступление делегации Грузии на слушаниях по первоначальному докладу об осуществлении Конвенции о ликвидации всех форм дискриминации в отношении женщин (июнь 1999 года).</w:t>
      </w:r>
    </w:p>
    <w:p w:rsidR="00000000" w:rsidRDefault="00000000"/>
    <w:p w:rsidR="00000000" w:rsidRDefault="00000000">
      <w:r>
        <w:t>3.</w:t>
      </w:r>
      <w:r>
        <w:tab/>
        <w:t>Базовый документ Грузии.</w:t>
      </w:r>
    </w:p>
    <w:p w:rsidR="00000000" w:rsidRDefault="00000000"/>
    <w:p w:rsidR="00000000" w:rsidRDefault="00000000">
      <w:r>
        <w:t>4.</w:t>
      </w:r>
      <w:r>
        <w:tab/>
        <w:t>Конституция Грузии.</w:t>
      </w:r>
    </w:p>
    <w:p w:rsidR="00000000" w:rsidRDefault="00000000"/>
    <w:p w:rsidR="00000000" w:rsidRDefault="00000000">
      <w:pPr>
        <w:ind w:left="1134" w:hanging="1134"/>
      </w:pPr>
      <w:r>
        <w:t>5.</w:t>
      </w:r>
      <w:r>
        <w:tab/>
        <w:t>Национальный план по улучшению положения женщин на 1998-2000 годы.</w:t>
      </w:r>
    </w:p>
    <w:p w:rsidR="00000000" w:rsidRDefault="00000000"/>
    <w:p w:rsidR="00000000" w:rsidRDefault="00000000">
      <w:r>
        <w:t>6.</w:t>
      </w:r>
      <w:r>
        <w:tab/>
        <w:t>Указ Президента Грузии "О мерах по усилению защиты прав женщин в Грузии".</w:t>
      </w:r>
    </w:p>
    <w:p w:rsidR="00000000" w:rsidRDefault="00000000"/>
    <w:p w:rsidR="00000000" w:rsidRDefault="00000000">
      <w:pPr>
        <w:ind w:left="567" w:hanging="567"/>
      </w:pPr>
      <w:r>
        <w:t>7.</w:t>
      </w:r>
      <w:r>
        <w:tab/>
        <w:t xml:space="preserve">Указ Президента Грузии "Об одобрении плана действий по борьбе с насилием против женщин на 2000-2002 годы".  </w:t>
      </w:r>
    </w:p>
    <w:p w:rsidR="00000000" w:rsidRDefault="00000000"/>
    <w:p w:rsidR="00000000" w:rsidRDefault="00000000">
      <w:r>
        <w:t>8.</w:t>
      </w:r>
      <w:r>
        <w:tab/>
        <w:t>National minorities in Georgia.</w:t>
      </w:r>
    </w:p>
    <w:p w:rsidR="00000000" w:rsidRDefault="00000000"/>
    <w:p w:rsidR="00000000" w:rsidRDefault="00000000"/>
    <w:p w:rsidR="00000000" w:rsidRDefault="00000000">
      <w:pPr>
        <w:pStyle w:val="16"/>
      </w:pPr>
      <w:r>
        <w:t>-----</w:t>
      </w:r>
    </w:p>
    <w:p w:rsidR="00000000" w:rsidRDefault="00000000">
      <w:pPr>
        <w:pStyle w:val="FootnoteText"/>
        <w:spacing w:line="288" w:lineRule="auto"/>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CERD/C/369/Add.1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CERD/C/369/Add.1</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3F37D0D"/>
    <w:multiLevelType w:val="singleLevel"/>
    <w:tmpl w:val="58B6A774"/>
    <w:lvl w:ilvl="0">
      <w:start w:val="1"/>
      <w:numFmt w:val="upperRoman"/>
      <w:pStyle w:val="Heading7"/>
      <w:lvlText w:val="%1."/>
      <w:lvlJc w:val="left"/>
      <w:pPr>
        <w:tabs>
          <w:tab w:val="num" w:pos="1440"/>
        </w:tabs>
        <w:ind w:left="1440" w:hanging="72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numPr>
        <w:numId w:val="3"/>
      </w:numPr>
      <w:tabs>
        <w:tab w:val="clear" w:pos="567"/>
        <w:tab w:val="clear" w:pos="1134"/>
        <w:tab w:val="clear" w:pos="1701"/>
        <w:tab w:val="clear" w:pos="2268"/>
        <w:tab w:val="clear" w:pos="6237"/>
      </w:tabs>
      <w:spacing w:line="240" w:lineRule="auto"/>
      <w:jc w:val="both"/>
      <w:outlineLvl w:val="6"/>
    </w:pPr>
    <w:rPr>
      <w:sz w:val="28"/>
      <w:u w:val="single"/>
      <w:lang w:eastAsia="ru-RU"/>
    </w:rPr>
  </w:style>
  <w:style w:type="paragraph" w:styleId="Heading8">
    <w:name w:val="heading 8"/>
    <w:basedOn w:val="Normal"/>
    <w:next w:val="Normal"/>
    <w:qFormat/>
    <w:pPr>
      <w:keepNext/>
      <w:tabs>
        <w:tab w:val="clear" w:pos="6237"/>
        <w:tab w:val="decimal" w:pos="567"/>
        <w:tab w:val="left" w:pos="1134"/>
        <w:tab w:val="left" w:pos="1701"/>
        <w:tab w:val="left" w:pos="2268"/>
        <w:tab w:val="right" w:leader="dot" w:pos="7172"/>
        <w:tab w:val="center" w:pos="8039"/>
        <w:tab w:val="center" w:pos="9122"/>
      </w:tabs>
      <w:outlineLvl w:val="7"/>
    </w:pPr>
    <w:rPr>
      <w:i/>
      <w:iCs/>
      <w:sz w:val="28"/>
    </w:rPr>
  </w:style>
  <w:style w:type="paragraph" w:styleId="Heading9">
    <w:name w:val="heading 9"/>
    <w:basedOn w:val="Normal"/>
    <w:next w:val="Normal"/>
    <w:qFormat/>
    <w:pPr>
      <w:keepNext/>
      <w:outlineLvl w:val="8"/>
    </w:pPr>
    <w:rPr>
      <w:sz w:val="28"/>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720"/>
      <w:jc w:val="both"/>
    </w:pPr>
    <w:rPr>
      <w:sz w:val="28"/>
      <w:lang w:eastAsia="ru-RU"/>
    </w:rPr>
  </w:style>
  <w:style w:type="paragraph" w:styleId="BodyTextIndent2">
    <w:name w:val="Body Text Indent 2"/>
    <w:basedOn w:val="Normal"/>
    <w:semiHidden/>
    <w:pPr>
      <w:ind w:left="567"/>
    </w:pPr>
  </w:style>
  <w:style w:type="paragraph" w:styleId="BodyText2">
    <w:name w:val="Body Text 2"/>
    <w:basedOn w:val="Normal"/>
    <w:semiHidden/>
    <w:rPr>
      <w:sz w:val="28"/>
    </w:rPr>
  </w:style>
  <w:style w:type="paragraph" w:styleId="BodyText">
    <w:name w:val="Body Text"/>
    <w:basedOn w:val="Normal"/>
    <w:semiHidden/>
    <w:pPr>
      <w:jc w:val="both"/>
    </w:pPr>
  </w:style>
  <w:style w:type="paragraph" w:styleId="BodyTextIndent3">
    <w:name w:val="Body Text Indent 3"/>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25850</Words>
  <Characters>147345</Characters>
  <Application>Microsoft Office Word</Application>
  <DocSecurity>4</DocSecurity>
  <Lines>1227</Lines>
  <Paragraphs>294</Paragraphs>
  <ScaleCrop>false</ScaleCrop>
  <HeadingPairs>
    <vt:vector size="2" baseType="variant">
      <vt:variant>
        <vt:lpstr>Название</vt:lpstr>
      </vt:variant>
      <vt:variant>
        <vt:i4>1</vt:i4>
      </vt:variant>
    </vt:vector>
  </HeadingPairs>
  <TitlesOfParts>
    <vt:vector size="1" baseType="lpstr">
      <vt:lpstr>40333.doc</vt:lpstr>
    </vt:vector>
  </TitlesOfParts>
  <Company> </Company>
  <LinksUpToDate>false</LinksUpToDate>
  <CharactersWithSpaces>180950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40333.doc</dc:title>
  <dc:subject/>
  <dc:creator>Smirnova</dc:creator>
  <cp:keywords/>
  <dc:description/>
  <cp:lastModifiedBy>Olga Smirnova</cp:lastModifiedBy>
  <cp:revision>2</cp:revision>
  <cp:lastPrinted>2001-03-01T14:24:00Z</cp:lastPrinted>
  <dcterms:created xsi:type="dcterms:W3CDTF">2001-03-01T14:27:00Z</dcterms:created>
  <dcterms:modified xsi:type="dcterms:W3CDTF">2001-03-01T14:27:00Z</dcterms:modified>
</cp:coreProperties>
</file>