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F41B0" w14:paraId="6C582B25" w14:textId="77777777" w:rsidTr="00660CE8">
        <w:trPr>
          <w:trHeight w:hRule="exact" w:val="851"/>
        </w:trPr>
        <w:tc>
          <w:tcPr>
            <w:tcW w:w="1276" w:type="dxa"/>
            <w:tcBorders>
              <w:bottom w:val="single" w:sz="4" w:space="0" w:color="auto"/>
            </w:tcBorders>
          </w:tcPr>
          <w:p w14:paraId="7F5D44FF" w14:textId="77777777" w:rsidR="002D5AAC" w:rsidRPr="005F41B0" w:rsidRDefault="002D5AAC" w:rsidP="005F782F">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82CE7B1" w14:textId="77777777" w:rsidR="002D5AAC" w:rsidRPr="005F41B0" w:rsidRDefault="00BD33EE" w:rsidP="00660CE8">
            <w:pPr>
              <w:spacing w:after="80" w:line="300" w:lineRule="exact"/>
              <w:rPr>
                <w:sz w:val="28"/>
              </w:rPr>
            </w:pPr>
            <w:r w:rsidRPr="005F41B0">
              <w:rPr>
                <w:sz w:val="28"/>
              </w:rPr>
              <w:t>Naciones Unidas</w:t>
            </w:r>
          </w:p>
        </w:tc>
        <w:tc>
          <w:tcPr>
            <w:tcW w:w="6073" w:type="dxa"/>
            <w:gridSpan w:val="2"/>
            <w:tcBorders>
              <w:bottom w:val="single" w:sz="4" w:space="0" w:color="auto"/>
            </w:tcBorders>
            <w:vAlign w:val="bottom"/>
          </w:tcPr>
          <w:p w14:paraId="2DC15149" w14:textId="6F04F8F1" w:rsidR="002D5AAC" w:rsidRPr="005F41B0" w:rsidRDefault="005F782F" w:rsidP="005F782F">
            <w:pPr>
              <w:jc w:val="right"/>
            </w:pPr>
            <w:r w:rsidRPr="005F41B0">
              <w:rPr>
                <w:sz w:val="40"/>
              </w:rPr>
              <w:t>CCPR</w:t>
            </w:r>
            <w:r w:rsidRPr="005F41B0">
              <w:t>/C/CAN/7</w:t>
            </w:r>
          </w:p>
        </w:tc>
      </w:tr>
      <w:tr w:rsidR="002D5AAC" w:rsidRPr="005F41B0" w14:paraId="01FCCDB5" w14:textId="77777777" w:rsidTr="00660CE8">
        <w:trPr>
          <w:trHeight w:hRule="exact" w:val="2835"/>
        </w:trPr>
        <w:tc>
          <w:tcPr>
            <w:tcW w:w="1276" w:type="dxa"/>
            <w:tcBorders>
              <w:top w:val="single" w:sz="4" w:space="0" w:color="auto"/>
              <w:bottom w:val="single" w:sz="12" w:space="0" w:color="auto"/>
            </w:tcBorders>
          </w:tcPr>
          <w:p w14:paraId="0D7C0B2D" w14:textId="77777777" w:rsidR="002D5AAC" w:rsidRPr="005F41B0" w:rsidRDefault="00411A36" w:rsidP="00660CE8">
            <w:pPr>
              <w:spacing w:before="120"/>
              <w:jc w:val="center"/>
            </w:pPr>
            <w:r w:rsidRPr="005F41B0">
              <w:rPr>
                <w:noProof/>
              </w:rPr>
              <w:drawing>
                <wp:inline distT="0" distB="0" distL="0" distR="0" wp14:anchorId="6445FBCD" wp14:editId="6BD9CB6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C58401" w14:textId="0EF411CC" w:rsidR="002D5AAC" w:rsidRPr="005F41B0" w:rsidRDefault="00963777" w:rsidP="00660CE8">
            <w:pPr>
              <w:spacing w:before="120" w:line="360" w:lineRule="exact"/>
              <w:rPr>
                <w:b/>
                <w:sz w:val="34"/>
                <w:szCs w:val="34"/>
              </w:rPr>
            </w:pPr>
            <w:r w:rsidRPr="005F41B0">
              <w:rPr>
                <w:b/>
                <w:sz w:val="34"/>
                <w:szCs w:val="34"/>
              </w:rPr>
              <w:t>Pacto</w:t>
            </w:r>
            <w:r w:rsidR="0052174C" w:rsidRPr="005F41B0">
              <w:rPr>
                <w:b/>
                <w:sz w:val="34"/>
                <w:szCs w:val="34"/>
              </w:rPr>
              <w:t xml:space="preserve"> </w:t>
            </w:r>
            <w:r w:rsidRPr="005F41B0">
              <w:rPr>
                <w:b/>
                <w:sz w:val="34"/>
                <w:szCs w:val="34"/>
              </w:rPr>
              <w:t>Internacional de Derechos</w:t>
            </w:r>
            <w:r w:rsidRPr="005F41B0">
              <w:rPr>
                <w:b/>
                <w:sz w:val="34"/>
                <w:szCs w:val="34"/>
              </w:rPr>
              <w:br/>
              <w:t>Civiles y Políticos</w:t>
            </w:r>
          </w:p>
        </w:tc>
        <w:tc>
          <w:tcPr>
            <w:tcW w:w="2813" w:type="dxa"/>
            <w:tcBorders>
              <w:top w:val="single" w:sz="4" w:space="0" w:color="auto"/>
              <w:bottom w:val="single" w:sz="12" w:space="0" w:color="auto"/>
            </w:tcBorders>
          </w:tcPr>
          <w:p w14:paraId="6B6D141A" w14:textId="77777777" w:rsidR="002D5AAC" w:rsidRPr="005F41B0" w:rsidRDefault="005F782F" w:rsidP="00660CE8">
            <w:pPr>
              <w:spacing w:before="240"/>
            </w:pPr>
            <w:r w:rsidRPr="005F41B0">
              <w:t>Distr. general</w:t>
            </w:r>
          </w:p>
          <w:p w14:paraId="0F61654D" w14:textId="77777777" w:rsidR="005F782F" w:rsidRPr="005F41B0" w:rsidRDefault="005F782F" w:rsidP="005F782F">
            <w:pPr>
              <w:spacing w:line="240" w:lineRule="exact"/>
            </w:pPr>
            <w:r w:rsidRPr="005F41B0">
              <w:t>30 de abril de 2025</w:t>
            </w:r>
          </w:p>
          <w:p w14:paraId="5ECD63F5" w14:textId="77777777" w:rsidR="005F782F" w:rsidRPr="005F41B0" w:rsidRDefault="005F782F" w:rsidP="005F782F">
            <w:pPr>
              <w:spacing w:line="240" w:lineRule="exact"/>
            </w:pPr>
            <w:r w:rsidRPr="005F41B0">
              <w:t>Español</w:t>
            </w:r>
          </w:p>
          <w:p w14:paraId="7AD32209" w14:textId="77777777" w:rsidR="005F782F" w:rsidRPr="005F41B0" w:rsidRDefault="005F782F" w:rsidP="005F782F">
            <w:pPr>
              <w:spacing w:line="240" w:lineRule="exact"/>
            </w:pPr>
            <w:r w:rsidRPr="005F41B0">
              <w:t>Original: francés e inglés</w:t>
            </w:r>
          </w:p>
          <w:p w14:paraId="3665FF38" w14:textId="517820BD" w:rsidR="005F782F" w:rsidRPr="005F41B0" w:rsidRDefault="005F782F" w:rsidP="005F782F">
            <w:pPr>
              <w:spacing w:line="240" w:lineRule="exact"/>
            </w:pPr>
            <w:r w:rsidRPr="005F41B0">
              <w:t>Español, francés e inglés únicamente</w:t>
            </w:r>
          </w:p>
        </w:tc>
      </w:tr>
    </w:tbl>
    <w:p w14:paraId="5A6C3B5F" w14:textId="77777777" w:rsidR="006F35EE" w:rsidRPr="005F41B0" w:rsidRDefault="00411A36" w:rsidP="0036261E">
      <w:pPr>
        <w:spacing w:before="120"/>
        <w:rPr>
          <w:b/>
          <w:sz w:val="24"/>
          <w:szCs w:val="24"/>
        </w:rPr>
      </w:pPr>
      <w:r w:rsidRPr="005F41B0">
        <w:rPr>
          <w:b/>
          <w:sz w:val="24"/>
          <w:szCs w:val="24"/>
        </w:rPr>
        <w:t>Comité de Derechos Humanos</w:t>
      </w:r>
    </w:p>
    <w:p w14:paraId="052E8236" w14:textId="2239F75A" w:rsidR="005F782F" w:rsidRPr="005F41B0" w:rsidRDefault="005F782F" w:rsidP="005F782F">
      <w:pPr>
        <w:pStyle w:val="HMG"/>
      </w:pPr>
      <w:r w:rsidRPr="005F41B0">
        <w:tab/>
      </w:r>
      <w:r w:rsidRPr="005F41B0">
        <w:tab/>
        <w:t>Séptimo</w:t>
      </w:r>
      <w:r w:rsidR="000D43A4" w:rsidRPr="005F41B0">
        <w:t xml:space="preserve"> </w:t>
      </w:r>
      <w:r w:rsidRPr="005F41B0">
        <w:t>informe periódico</w:t>
      </w:r>
      <w:r w:rsidR="005F41B0">
        <w:t xml:space="preserve"> </w:t>
      </w:r>
      <w:r w:rsidRPr="005F41B0">
        <w:t xml:space="preserve">que el Canadá </w:t>
      </w:r>
      <w:r w:rsidR="00EE0F0B" w:rsidRPr="005F41B0">
        <w:br/>
      </w:r>
      <w:r w:rsidRPr="005F41B0">
        <w:t xml:space="preserve">debía presentar en 2022 en virtud </w:t>
      </w:r>
      <w:r w:rsidR="00EE0F0B" w:rsidRPr="005F41B0">
        <w:br/>
      </w:r>
      <w:r w:rsidRPr="005F41B0">
        <w:t>del artículo 40 del Pacto</w:t>
      </w:r>
      <w:r w:rsidRPr="005F41B0">
        <w:rPr>
          <w:rStyle w:val="Refdenotaalpie"/>
          <w:b w:val="0"/>
          <w:bCs/>
          <w:sz w:val="20"/>
          <w:vertAlign w:val="baseline"/>
        </w:rPr>
        <w:footnoteReference w:customMarkFollows="1" w:id="1"/>
        <w:t>*</w:t>
      </w:r>
      <w:r w:rsidRPr="005F41B0">
        <w:rPr>
          <w:b w:val="0"/>
          <w:bCs/>
          <w:sz w:val="20"/>
        </w:rPr>
        <w:t xml:space="preserve"> </w:t>
      </w:r>
      <w:r w:rsidRPr="005F41B0">
        <w:rPr>
          <w:rStyle w:val="Refdenotaalpie"/>
          <w:b w:val="0"/>
          <w:bCs/>
          <w:sz w:val="20"/>
          <w:vertAlign w:val="baseline"/>
        </w:rPr>
        <w:footnoteReference w:customMarkFollows="1" w:id="2"/>
        <w:t>**</w:t>
      </w:r>
      <w:r w:rsidRPr="005F41B0">
        <w:rPr>
          <w:b w:val="0"/>
          <w:bCs/>
          <w:sz w:val="20"/>
        </w:rPr>
        <w:t xml:space="preserve"> </w:t>
      </w:r>
      <w:r w:rsidRPr="005F41B0">
        <w:rPr>
          <w:rStyle w:val="Refdenotaalpie"/>
          <w:b w:val="0"/>
          <w:bCs/>
          <w:sz w:val="20"/>
          <w:vertAlign w:val="baseline"/>
        </w:rPr>
        <w:footnoteReference w:customMarkFollows="1" w:id="3"/>
        <w:t>***</w:t>
      </w:r>
    </w:p>
    <w:p w14:paraId="6DF0C3AF" w14:textId="51BB3BE9" w:rsidR="005F782F" w:rsidRPr="005F41B0" w:rsidRDefault="005F782F" w:rsidP="005F782F">
      <w:pPr>
        <w:pStyle w:val="SingleTxtG"/>
        <w:jc w:val="right"/>
      </w:pPr>
      <w:r w:rsidRPr="005F41B0">
        <w:t>[Fecha de recepción: 7 de marzo de 2025]</w:t>
      </w:r>
    </w:p>
    <w:p w14:paraId="7935EEB8" w14:textId="47EF73CA" w:rsidR="005F782F" w:rsidRPr="005F41B0" w:rsidRDefault="005F782F">
      <w:pPr>
        <w:spacing w:line="240" w:lineRule="auto"/>
      </w:pPr>
      <w:r w:rsidRPr="005F41B0">
        <w:br w:type="page"/>
      </w:r>
    </w:p>
    <w:p w14:paraId="334AB74F" w14:textId="48318CF3" w:rsidR="005F782F" w:rsidRPr="005F41B0" w:rsidRDefault="005F782F" w:rsidP="005F782F">
      <w:pPr>
        <w:pStyle w:val="HChG"/>
      </w:pPr>
      <w:r w:rsidRPr="005F41B0">
        <w:lastRenderedPageBreak/>
        <w:tab/>
      </w:r>
      <w:r w:rsidRPr="005F41B0">
        <w:tab/>
        <w:t>Introducción</w:t>
      </w:r>
    </w:p>
    <w:p w14:paraId="54671DFA" w14:textId="01AB6396" w:rsidR="005F782F" w:rsidRPr="005F41B0" w:rsidRDefault="005F782F" w:rsidP="005F782F">
      <w:pPr>
        <w:pStyle w:val="SingleTxtG"/>
      </w:pPr>
      <w:r w:rsidRPr="005F41B0">
        <w:t>1.</w:t>
      </w:r>
      <w:r w:rsidRPr="005F41B0">
        <w:tab/>
        <w:t>Al Canadá le complace presentar al Comité de Derechos Humanos su Séptimo Informe</w:t>
      </w:r>
      <w:r w:rsidRPr="005F41B0">
        <w:rPr>
          <w:rStyle w:val="Refdenotaalpie"/>
        </w:rPr>
        <w:footnoteReference w:id="4"/>
      </w:r>
      <w:r w:rsidRPr="005F41B0">
        <w:t xml:space="preserve"> relativo al Pacto Internacional de Derechos Civiles y Políticos. El presente informe se centra en las medidas más importantes que ha adoptado el Canadá con el fin de mejorar la aplicación del Pacto desde la última comparecencia del Canadá ante el Comité en julio de 2015 hasta octubre de 2023; en él se responde a una lista de cuestiones presentada por el Comité</w:t>
      </w:r>
      <w:r w:rsidRPr="005F41B0">
        <w:rPr>
          <w:rStyle w:val="Refdenotaalpie"/>
        </w:rPr>
        <w:footnoteReference w:id="5"/>
      </w:r>
      <w:r w:rsidRPr="005F41B0">
        <w:t>.</w:t>
      </w:r>
      <w:bookmarkStart w:id="0" w:name="_Hlk175049903"/>
      <w:bookmarkEnd w:id="0"/>
    </w:p>
    <w:p w14:paraId="12F5D637" w14:textId="267DF96A" w:rsidR="005F782F" w:rsidRPr="005F41B0" w:rsidRDefault="005F782F" w:rsidP="005F782F">
      <w:pPr>
        <w:pStyle w:val="SingleTxtG"/>
      </w:pPr>
      <w:r w:rsidRPr="005F41B0">
        <w:t>2.</w:t>
      </w:r>
      <w:r w:rsidRPr="005F41B0">
        <w:tab/>
        <w:t>En el informe se responde a las preguntas del Comité respetando el límite de palabras y se remite al Comité a más información que el Canadá había facilitado recientemente a este y otros órganos creados en virtud de un tratado de derechos humanos, así como en el documento básico común del Canadá. Los datos y las estadísticas complementarios correspondientes a las cuestiones 5 a), 6, 8 b) y 17 c) se han consolidado en el anexo A. Las respuestas a las cuestiones relativas a la pandemia de enfermedad por coronavirus (COVID</w:t>
      </w:r>
      <w:r w:rsidR="00EE0F0B" w:rsidRPr="005F41B0">
        <w:noBreakHyphen/>
      </w:r>
      <w:r w:rsidRPr="005F41B0">
        <w:t xml:space="preserve">19) </w:t>
      </w:r>
      <w:r w:rsidR="00222472" w:rsidRPr="005F41B0">
        <w:t>—</w:t>
      </w:r>
      <w:r w:rsidRPr="005F41B0">
        <w:t>7 c), 8 c), 9, 15 c), 18 c), 19 c) y aspectos de las cuestiones 4, 6, 20 y 25</w:t>
      </w:r>
      <w:r w:rsidR="00222472" w:rsidRPr="005F41B0">
        <w:t>—</w:t>
      </w:r>
      <w:r w:rsidRPr="005F41B0">
        <w:t xml:space="preserve"> se han consolidado en el anexo B.</w:t>
      </w:r>
    </w:p>
    <w:p w14:paraId="7C27C003" w14:textId="471D5EF8" w:rsidR="005F782F" w:rsidRPr="005F41B0" w:rsidRDefault="005F782F" w:rsidP="005F782F">
      <w:pPr>
        <w:pStyle w:val="SingleTxtG"/>
      </w:pPr>
      <w:r w:rsidRPr="005F41B0">
        <w:t>3.</w:t>
      </w:r>
      <w:r w:rsidRPr="005F41B0">
        <w:tab/>
        <w:t xml:space="preserve">Este informe se refiere a la aplicación por parte de todos los órdenes de gobierno. Cualquier referencia al </w:t>
      </w:r>
      <w:r w:rsidR="00222472" w:rsidRPr="005F41B0">
        <w:t>“</w:t>
      </w:r>
      <w:r w:rsidRPr="005F41B0">
        <w:t>Gobierno del Canadá</w:t>
      </w:r>
      <w:r w:rsidR="00222472" w:rsidRPr="005F41B0">
        <w:t>”</w:t>
      </w:r>
      <w:r w:rsidRPr="005F41B0">
        <w:t xml:space="preserve"> es una referencia al gobierno federal canadiense, mientras que una referencia a </w:t>
      </w:r>
      <w:r w:rsidR="00222472" w:rsidRPr="005F41B0">
        <w:t>“</w:t>
      </w:r>
      <w:r w:rsidRPr="005F41B0">
        <w:t>el Canadá</w:t>
      </w:r>
      <w:r w:rsidR="00222472" w:rsidRPr="005F41B0">
        <w:t>”</w:t>
      </w:r>
      <w:r w:rsidRPr="005F41B0">
        <w:t xml:space="preserve"> es generalmente una referencia a los gobiernos federal, provinciales y territoriales. Cualquier referencia a una provincia o territorio (por ejemplo, Quebec o el Yukón) se refiere generalmente a su gobierno.</w:t>
      </w:r>
    </w:p>
    <w:p w14:paraId="1BFE3099" w14:textId="68B35E06" w:rsidR="005F782F" w:rsidRPr="005F41B0" w:rsidRDefault="005F782F" w:rsidP="005F782F">
      <w:pPr>
        <w:pStyle w:val="HChG"/>
        <w:rPr>
          <w:spacing w:val="-1"/>
        </w:rPr>
      </w:pPr>
      <w:r w:rsidRPr="005F41B0">
        <w:rPr>
          <w:spacing w:val="-1"/>
        </w:rPr>
        <w:tab/>
      </w:r>
      <w:r w:rsidRPr="005F41B0">
        <w:rPr>
          <w:spacing w:val="-1"/>
        </w:rPr>
        <w:tab/>
        <w:t xml:space="preserve">Respuestas a la lista de cuestiones previa a la presentación </w:t>
      </w:r>
      <w:r w:rsidRPr="005F41B0">
        <w:rPr>
          <w:spacing w:val="-1"/>
        </w:rPr>
        <w:br/>
        <w:t>de informes (CCPR/C/CAN/QPR/7)</w:t>
      </w:r>
    </w:p>
    <w:p w14:paraId="019B1AA7" w14:textId="442AF47B" w:rsidR="005F782F" w:rsidRPr="005F41B0" w:rsidRDefault="005F782F" w:rsidP="005F782F">
      <w:pPr>
        <w:pStyle w:val="H1G"/>
      </w:pPr>
      <w:r w:rsidRPr="005F41B0">
        <w:tab/>
      </w:r>
      <w:r w:rsidRPr="005F41B0">
        <w:tab/>
        <w:t>Respuesta al párrafo 1</w:t>
      </w:r>
    </w:p>
    <w:p w14:paraId="365A2D91" w14:textId="6B4D3A67" w:rsidR="005F782F" w:rsidRPr="005F41B0" w:rsidRDefault="005F782F" w:rsidP="005F782F">
      <w:pPr>
        <w:pStyle w:val="H23G"/>
      </w:pPr>
      <w:r w:rsidRPr="005F41B0">
        <w:tab/>
      </w:r>
      <w:r w:rsidRPr="005F41B0">
        <w:tab/>
        <w:t>Novedades jurídicas e institucionales</w:t>
      </w:r>
    </w:p>
    <w:p w14:paraId="3C92F6A8" w14:textId="77777777" w:rsidR="005F782F" w:rsidRPr="005F41B0" w:rsidRDefault="005F782F" w:rsidP="005F782F">
      <w:pPr>
        <w:pStyle w:val="SingleTxtG"/>
      </w:pPr>
      <w:r w:rsidRPr="005F41B0">
        <w:t>4.</w:t>
      </w:r>
      <w:r w:rsidRPr="005F41B0">
        <w:tab/>
        <w:t>El Canadá cuenta con un marco sólido de leyes y políticas de aplicación del Pacto, en particular las garantías constitucionales establecidas en la Carta Canadiense de Derechos y Libertades (la Carta), así como otras muchas medidas jurídicas y operativas adoptadas por todos los órdenes de gobierno.</w:t>
      </w:r>
    </w:p>
    <w:p w14:paraId="6D0D6E4F" w14:textId="77777777" w:rsidR="005F782F" w:rsidRPr="005F41B0" w:rsidRDefault="005F782F" w:rsidP="005F782F">
      <w:pPr>
        <w:pStyle w:val="SingleTxtG"/>
      </w:pPr>
      <w:r w:rsidRPr="005F41B0">
        <w:t>5.</w:t>
      </w:r>
      <w:r w:rsidRPr="005F41B0">
        <w:tab/>
        <w:t>En el período que abarca el informe se han producido una serie de novedades positivas en los ámbitos jurídico e institucional para promover la aplicación del Pacto, entre las que se incluyen los ejemplos siguientes, algunos de los cuales se tratarán con más detalle a lo largo del informe:</w:t>
      </w:r>
    </w:p>
    <w:p w14:paraId="374DC064" w14:textId="77777777" w:rsidR="005F782F" w:rsidRPr="005F41B0" w:rsidRDefault="005F782F" w:rsidP="005F782F">
      <w:pPr>
        <w:pStyle w:val="H4G"/>
        <w:ind w:left="2835"/>
      </w:pPr>
      <w:r w:rsidRPr="005F41B0">
        <w:t>2016</w:t>
      </w:r>
    </w:p>
    <w:p w14:paraId="3CDA8130" w14:textId="3C155FD3" w:rsidR="005F782F" w:rsidRPr="005F41B0" w:rsidRDefault="005F782F" w:rsidP="005F782F">
      <w:pPr>
        <w:pStyle w:val="Bullet1G"/>
      </w:pPr>
      <w:r w:rsidRPr="005F41B0">
        <w:t>Se promulgó la Ley de Protección de Imágenes Íntimas de Manitoba, por la que se facilitaban medios de apoyo y recursos complementarios a personas cuyas imágenes íntimas se hubiesen distribuido sin su consentimiento.</w:t>
      </w:r>
    </w:p>
    <w:p w14:paraId="259AE582" w14:textId="691EA126" w:rsidR="005F782F" w:rsidRPr="005F41B0" w:rsidRDefault="005F782F" w:rsidP="005F782F">
      <w:pPr>
        <w:pStyle w:val="Bullet1G"/>
      </w:pPr>
      <w:r w:rsidRPr="005F41B0">
        <w:t>Se modificó la Ley contra la Violencia Doméstica y el Hostigamiento Criminal de Manitoba con el fin de mejorar el acceso a la justicia, y en 2021 se volvió a modificar con vistas a velar por un lenguaje neutro en cuanto al género.</w:t>
      </w:r>
    </w:p>
    <w:p w14:paraId="42636240" w14:textId="77777777" w:rsidR="005F782F" w:rsidRPr="005F41B0" w:rsidRDefault="005F782F" w:rsidP="005F782F">
      <w:pPr>
        <w:pStyle w:val="Bullet1G"/>
      </w:pPr>
      <w:r w:rsidRPr="005F41B0">
        <w:t>Se modificó la Ley de Cambio de Nombre de Terranova y Labrador con el propósito de rebajar el requisito de edad para solicitar un cambio de nombre de la mayoría de edad a los 16 años.</w:t>
      </w:r>
    </w:p>
    <w:p w14:paraId="79BD09AA" w14:textId="77777777" w:rsidR="005F782F" w:rsidRPr="005F41B0" w:rsidRDefault="005F782F" w:rsidP="005F782F">
      <w:pPr>
        <w:pStyle w:val="H4G"/>
        <w:ind w:left="2835"/>
      </w:pPr>
      <w:r w:rsidRPr="005F41B0">
        <w:lastRenderedPageBreak/>
        <w:t>2017</w:t>
      </w:r>
    </w:p>
    <w:p w14:paraId="6428A57C" w14:textId="4F74E5C9" w:rsidR="005F782F" w:rsidRPr="005F41B0" w:rsidRDefault="005F782F" w:rsidP="005F782F">
      <w:pPr>
        <w:pStyle w:val="Bullet1G"/>
      </w:pPr>
      <w:r w:rsidRPr="005F41B0">
        <w:t xml:space="preserve">Se añadieron la </w:t>
      </w:r>
      <w:r w:rsidR="00222472" w:rsidRPr="005F41B0">
        <w:t>“</w:t>
      </w:r>
      <w:r w:rsidRPr="005F41B0">
        <w:t>identidad de género</w:t>
      </w:r>
      <w:r w:rsidR="00222472" w:rsidRPr="005F41B0">
        <w:t>”</w:t>
      </w:r>
      <w:r w:rsidRPr="005F41B0">
        <w:t xml:space="preserve"> y la </w:t>
      </w:r>
      <w:r w:rsidR="00222472" w:rsidRPr="005F41B0">
        <w:t>“</w:t>
      </w:r>
      <w:r w:rsidRPr="005F41B0">
        <w:t>expresión de género</w:t>
      </w:r>
      <w:r w:rsidR="00222472" w:rsidRPr="005F41B0">
        <w:t>”</w:t>
      </w:r>
      <w:r w:rsidRPr="005F41B0">
        <w:t xml:space="preserve"> a la lista de motivos protegidos en virtud de la Ley de Derechos Humanos del Canadá y las secciones del Código Penal en que se prohíbe la propaganda de odio.</w:t>
      </w:r>
    </w:p>
    <w:p w14:paraId="06616117" w14:textId="3A1C2FF6" w:rsidR="005F782F" w:rsidRPr="005F41B0" w:rsidRDefault="005F782F" w:rsidP="005F782F">
      <w:pPr>
        <w:pStyle w:val="Bullet1G"/>
      </w:pPr>
      <w:r w:rsidRPr="005F41B0">
        <w:t xml:space="preserve">Nuevo Brunswick añadió la </w:t>
      </w:r>
      <w:r w:rsidR="00222472" w:rsidRPr="005F41B0">
        <w:t>“</w:t>
      </w:r>
      <w:r w:rsidRPr="005F41B0">
        <w:t>situación familiar</w:t>
      </w:r>
      <w:r w:rsidR="00222472" w:rsidRPr="005F41B0">
        <w:t>”</w:t>
      </w:r>
      <w:r w:rsidRPr="005F41B0">
        <w:t xml:space="preserve"> y la </w:t>
      </w:r>
      <w:r w:rsidR="00222472" w:rsidRPr="005F41B0">
        <w:t>“</w:t>
      </w:r>
      <w:r w:rsidRPr="005F41B0">
        <w:t>identidad o expresión de género</w:t>
      </w:r>
      <w:r w:rsidR="00222472" w:rsidRPr="005F41B0">
        <w:t>”</w:t>
      </w:r>
      <w:r w:rsidRPr="005F41B0">
        <w:t xml:space="preserve"> a los motivos prohibidos de discriminación en la Ley de Derechos Humanos.</w:t>
      </w:r>
    </w:p>
    <w:p w14:paraId="60D65711" w14:textId="5FA22A8C" w:rsidR="005F782F" w:rsidRPr="005F41B0" w:rsidRDefault="005F782F" w:rsidP="005F782F">
      <w:pPr>
        <w:pStyle w:val="Bullet1G"/>
      </w:pPr>
      <w:r w:rsidRPr="005F41B0">
        <w:t>Se modificó la Carta de Derechos de las Víctimas de Manitoba con el fin de armonizarla con el Código Penal, para lo que se suprimieron las limitaciones de edad de los testigos que pueden solicitar, o hacer que el fiscal solicite, el uso de asistencia para prestar declaración.</w:t>
      </w:r>
    </w:p>
    <w:p w14:paraId="19D70B5C" w14:textId="20F3E610" w:rsidR="005F782F" w:rsidRPr="005F41B0" w:rsidRDefault="005F782F" w:rsidP="005F782F">
      <w:pPr>
        <w:pStyle w:val="Bullet1G"/>
        <w:rPr>
          <w:bCs/>
          <w:iCs/>
        </w:rPr>
      </w:pPr>
      <w:r w:rsidRPr="005F41B0">
        <w:t>Terranova y Labrador promulgó legislación por la que se creó el Equipo de Respuesta a Incidentes Graves, dirigido por civiles, que se encarga de investigar todos los asuntos que impliquen una muerte, un perjuicio grave, un delito sexual, violencia doméstica y otros asuntos de interés público significativo que se deriven de las actuaciones de un agente de policía en la provincia.</w:t>
      </w:r>
    </w:p>
    <w:p w14:paraId="69DB7647" w14:textId="77777777" w:rsidR="005F782F" w:rsidRPr="005F41B0" w:rsidRDefault="005F782F" w:rsidP="005F782F">
      <w:pPr>
        <w:pStyle w:val="Bullet1G"/>
      </w:pPr>
      <w:r w:rsidRPr="005F41B0">
        <w:t>Quebec promulgó la Ley por la que se modifican la Ley de Protección de la Juventud y otras disposiciones legislativas, con la que se flexibilizan las normas relativas al intercambio de información personal sobre menores entre diversos profesionales que trabajen con jóvenes. En esta ley se especifica que los intereses del menor deben prevalecer siempre sobre cualquier otra consideración.</w:t>
      </w:r>
    </w:p>
    <w:p w14:paraId="235561EE" w14:textId="77777777" w:rsidR="005F782F" w:rsidRPr="005F41B0" w:rsidRDefault="005F782F" w:rsidP="005F782F">
      <w:pPr>
        <w:pStyle w:val="H4G"/>
        <w:ind w:left="2835"/>
      </w:pPr>
      <w:r w:rsidRPr="005F41B0">
        <w:t>2018</w:t>
      </w:r>
    </w:p>
    <w:p w14:paraId="1D9A9CAA" w14:textId="27253E42" w:rsidR="005F782F" w:rsidRPr="005F41B0" w:rsidRDefault="005F782F" w:rsidP="005F782F">
      <w:pPr>
        <w:pStyle w:val="Bullet1G"/>
      </w:pPr>
      <w:r w:rsidRPr="005F41B0">
        <w:t xml:space="preserve">Se modificó la Ley de Derechos Humanos de Alberta para prohibir la discriminación por motivos de edad en los ámbitos protegidos del arrendamiento, los bienes, los servicios, el alojamiento o las instalaciones, y para proteger </w:t>
      </w:r>
      <w:r w:rsidR="00222472" w:rsidRPr="005F41B0">
        <w:t>“</w:t>
      </w:r>
      <w:r w:rsidRPr="005F41B0">
        <w:t>las políticas, los programas y las actividades de mejora</w:t>
      </w:r>
      <w:r w:rsidR="00222472" w:rsidRPr="005F41B0">
        <w:t>”</w:t>
      </w:r>
      <w:r w:rsidRPr="005F41B0">
        <w:t>.</w:t>
      </w:r>
    </w:p>
    <w:p w14:paraId="4F78D7E2" w14:textId="77777777" w:rsidR="005F782F" w:rsidRPr="005F41B0" w:rsidRDefault="005F782F" w:rsidP="005F782F">
      <w:pPr>
        <w:pStyle w:val="Bullet1G"/>
      </w:pPr>
      <w:r w:rsidRPr="005F41B0">
        <w:t>En Nueva Escocia se aprobó la Ley de Protección de la Orientación Sexual y la Identidad de Género con el fin de prohibir el uso de una terapia discriminatoria y perjudicial con que se intente cambiar la orientación sexual o la identidad de género de los jóvenes que se identifiquen como 2SLGBTIQ+.</w:t>
      </w:r>
    </w:p>
    <w:p w14:paraId="69FEE6CB" w14:textId="77777777" w:rsidR="005F782F" w:rsidRPr="005F41B0" w:rsidRDefault="005F782F" w:rsidP="005F782F">
      <w:pPr>
        <w:pStyle w:val="H4G"/>
        <w:ind w:left="2835"/>
      </w:pPr>
      <w:r w:rsidRPr="005F41B0">
        <w:t>2019</w:t>
      </w:r>
    </w:p>
    <w:p w14:paraId="72E8F6F3" w14:textId="44FFD916" w:rsidR="005F782F" w:rsidRPr="005F41B0" w:rsidRDefault="005F782F" w:rsidP="005F782F">
      <w:pPr>
        <w:pStyle w:val="Bullet1G"/>
      </w:pPr>
      <w:r w:rsidRPr="005F41B0">
        <w:t>La Investigación Nacional sobre Mujeres y Niñas Indígenas Desaparecidas y Asesinadas publicó su informe final. En 2021 se inició el Plan de Acción para poner en práctica los llamamientos a la justicia de ese informe.</w:t>
      </w:r>
    </w:p>
    <w:p w14:paraId="6E56B61F" w14:textId="4DACC2E5" w:rsidR="005F782F" w:rsidRPr="005F41B0" w:rsidRDefault="005F782F" w:rsidP="005F782F">
      <w:pPr>
        <w:pStyle w:val="Bullet1G"/>
      </w:pPr>
      <w:r w:rsidRPr="005F41B0">
        <w:t>Se promulgó la Ley Canadiense de Accesibilidad, de ámbito federal.</w:t>
      </w:r>
    </w:p>
    <w:p w14:paraId="0F95A832" w14:textId="71B6ED51" w:rsidR="005F782F" w:rsidRPr="005F41B0" w:rsidRDefault="005F782F" w:rsidP="005F782F">
      <w:pPr>
        <w:pStyle w:val="Bullet1G"/>
      </w:pPr>
      <w:r w:rsidRPr="005F41B0">
        <w:t xml:space="preserve">Columbia Británica aprobó la Ley relativa a la Estrategia de Reducción de la Pobreza y puso en marcha </w:t>
      </w:r>
      <w:r w:rsidR="00222472" w:rsidRPr="005F41B0">
        <w:t>“</w:t>
      </w:r>
      <w:r w:rsidRPr="005F41B0">
        <w:t>TogetherB.C.</w:t>
      </w:r>
      <w:r w:rsidR="00222472" w:rsidRPr="005F41B0">
        <w:t>”</w:t>
      </w:r>
      <w:r w:rsidRPr="005F41B0">
        <w:t>, la primera estrategia de reducción de la pobreza de la provincia.</w:t>
      </w:r>
    </w:p>
    <w:p w14:paraId="7B622D0C" w14:textId="02BBE926" w:rsidR="005F782F" w:rsidRPr="005F41B0" w:rsidRDefault="005F782F" w:rsidP="005F782F">
      <w:pPr>
        <w:pStyle w:val="Bullet1G"/>
        <w:rPr>
          <w:bCs/>
          <w:iCs/>
        </w:rPr>
      </w:pPr>
      <w:r w:rsidRPr="005F41B0">
        <w:t>Columbia Británica promulgó la Ley de Declaración sobre los Derechos de los Pueblos Indígenas, por la que se estableció que la Declaración de las Naciones Unidas sobre los Derechos de los Pueblos Indígenas serviría de marco provincial para la reconciliación con los Pueblos Indígenas.</w:t>
      </w:r>
    </w:p>
    <w:p w14:paraId="00672FFB" w14:textId="60C99B0E" w:rsidR="005F782F" w:rsidRPr="005F41B0" w:rsidRDefault="005F782F" w:rsidP="005F782F">
      <w:pPr>
        <w:pStyle w:val="Bullet1G"/>
      </w:pPr>
      <w:r w:rsidRPr="005F41B0">
        <w:t>Entró en vigor la Ley de Lenguas Indígenas.</w:t>
      </w:r>
    </w:p>
    <w:p w14:paraId="11A86529" w14:textId="2740395A" w:rsidR="005F782F" w:rsidRPr="005F41B0" w:rsidRDefault="005F782F" w:rsidP="005F782F">
      <w:pPr>
        <w:pStyle w:val="Bullet1G"/>
        <w:rPr>
          <w:bCs/>
          <w:iCs/>
        </w:rPr>
      </w:pPr>
      <w:r w:rsidRPr="005F41B0">
        <w:t>Se modificó la Ley de Arrendamientos Residenciales de Manitoba a fin de ampliar las resoluciones anticipadas de contratos de arrendamiento con vistas a facultar al respecto a quienes sufren violencia sexual (además de violencia doméstica y hostigamiento criminal).</w:t>
      </w:r>
    </w:p>
    <w:p w14:paraId="043D997C" w14:textId="1AE7C743" w:rsidR="005F782F" w:rsidRPr="005F41B0" w:rsidRDefault="005F782F" w:rsidP="005F782F">
      <w:pPr>
        <w:pStyle w:val="Bullet1G"/>
      </w:pPr>
      <w:r w:rsidRPr="005F41B0">
        <w:t>Se creó la Oficina de Vigilancia de Actividades en materia de Seguridad Nacional e Inteligencia.</w:t>
      </w:r>
    </w:p>
    <w:p w14:paraId="4A35E5BF" w14:textId="77777777" w:rsidR="005F782F" w:rsidRPr="005F41B0" w:rsidRDefault="005F782F" w:rsidP="005F782F">
      <w:pPr>
        <w:pStyle w:val="Bullet1G"/>
        <w:rPr>
          <w:bCs/>
        </w:rPr>
      </w:pPr>
      <w:r w:rsidRPr="005F41B0">
        <w:t>Con las modificaciones legislativas se puso fin al uso de la segregación administrativa en los centros penitenciarios federales.</w:t>
      </w:r>
    </w:p>
    <w:p w14:paraId="10BBA929" w14:textId="77777777" w:rsidR="005F782F" w:rsidRPr="005F41B0" w:rsidRDefault="005F782F" w:rsidP="005F782F">
      <w:pPr>
        <w:pStyle w:val="H4G"/>
        <w:ind w:left="2835"/>
      </w:pPr>
      <w:r w:rsidRPr="005F41B0">
        <w:lastRenderedPageBreak/>
        <w:t>2020</w:t>
      </w:r>
    </w:p>
    <w:p w14:paraId="0A554E9B" w14:textId="77777777" w:rsidR="005F782F" w:rsidRPr="005F41B0" w:rsidRDefault="005F782F" w:rsidP="005F782F">
      <w:pPr>
        <w:pStyle w:val="Bullet1G"/>
      </w:pPr>
      <w:r w:rsidRPr="005F41B0">
        <w:t>En Quebec se aprobó la ley para proteger a las personas de las terapias de conversión que se ofrecen para cambiar su orientación sexual, su identidad de género o su expresión de género.</w:t>
      </w:r>
    </w:p>
    <w:p w14:paraId="05B55971" w14:textId="77777777" w:rsidR="005F782F" w:rsidRPr="005F41B0" w:rsidRDefault="005F782F" w:rsidP="005F782F">
      <w:pPr>
        <w:pStyle w:val="H4G"/>
        <w:ind w:left="2835"/>
      </w:pPr>
      <w:r w:rsidRPr="005F41B0">
        <w:t>2021</w:t>
      </w:r>
    </w:p>
    <w:p w14:paraId="19350252" w14:textId="2F65DA21" w:rsidR="005F782F" w:rsidRPr="005F41B0" w:rsidRDefault="005F782F" w:rsidP="005F782F">
      <w:pPr>
        <w:pStyle w:val="Bullet1G"/>
      </w:pPr>
      <w:r w:rsidRPr="005F41B0">
        <w:t xml:space="preserve">Terranova y Labrador modificó su Ley de Estadísticas Vitales en 2016, 2017 y 2021, en relación con el cambio de designación del sexo en las inscripciones de nacimientos. Con esas modificaciones se permite la </w:t>
      </w:r>
      <w:r w:rsidR="00222472" w:rsidRPr="005F41B0">
        <w:t>“</w:t>
      </w:r>
      <w:r w:rsidRPr="005F41B0">
        <w:t>X</w:t>
      </w:r>
      <w:r w:rsidR="00222472" w:rsidRPr="005F41B0">
        <w:t>”</w:t>
      </w:r>
      <w:r w:rsidRPr="005F41B0">
        <w:t xml:space="preserve"> como marcador de género en las partidas de nacimiento, los permisos de conducir y las tarjetas del Plan de Atención Médica.</w:t>
      </w:r>
    </w:p>
    <w:p w14:paraId="21A6B518" w14:textId="66FF1A71" w:rsidR="005F782F" w:rsidRPr="005F41B0" w:rsidRDefault="005F782F" w:rsidP="005F782F">
      <w:pPr>
        <w:pStyle w:val="Bullet1G"/>
      </w:pPr>
      <w:r w:rsidRPr="005F41B0">
        <w:t>En Terranova y Labrador entró en vigor la Ley de Accesibilidad.</w:t>
      </w:r>
    </w:p>
    <w:p w14:paraId="137E2121" w14:textId="7E2AAC19" w:rsidR="005F782F" w:rsidRPr="005F41B0" w:rsidRDefault="005F782F" w:rsidP="005F782F">
      <w:pPr>
        <w:pStyle w:val="Bullet1G"/>
      </w:pPr>
      <w:r w:rsidRPr="005F41B0">
        <w:t>Nuevo Brunswick mejoró el proceso democrático para aproximadamente el 30 % de los residentes al aprobar legislación de reforma de la gobernanza local por la que se permitía a todos los residentes elegir representantes a nivel local.</w:t>
      </w:r>
    </w:p>
    <w:p w14:paraId="68C9A66F" w14:textId="4DA5D810" w:rsidR="005F782F" w:rsidRPr="005F41B0" w:rsidRDefault="005F782F" w:rsidP="005F782F">
      <w:pPr>
        <w:pStyle w:val="Bullet1G"/>
      </w:pPr>
      <w:r w:rsidRPr="005F41B0">
        <w:t>La Ley federal de la Declaración de las Naciones Unidas sobre los Derechos de los Pueblos Indígenas entró en vigor.</w:t>
      </w:r>
    </w:p>
    <w:p w14:paraId="1B02DA0D" w14:textId="77777777" w:rsidR="005F782F" w:rsidRPr="005F41B0" w:rsidRDefault="005F782F" w:rsidP="005F782F">
      <w:pPr>
        <w:pStyle w:val="Bullet1G"/>
      </w:pPr>
      <w:r w:rsidRPr="005F41B0">
        <w:t>También entró en vigor la Ley de Equidad de Remuneración.</w:t>
      </w:r>
    </w:p>
    <w:p w14:paraId="5773E383" w14:textId="77777777" w:rsidR="005F782F" w:rsidRPr="005F41B0" w:rsidRDefault="005F782F" w:rsidP="005F782F">
      <w:pPr>
        <w:pStyle w:val="H4G"/>
        <w:ind w:left="2835"/>
      </w:pPr>
      <w:r w:rsidRPr="005F41B0">
        <w:t>2022</w:t>
      </w:r>
    </w:p>
    <w:p w14:paraId="13EBFAAD" w14:textId="0600469C" w:rsidR="005F782F" w:rsidRPr="005F41B0" w:rsidRDefault="005F782F" w:rsidP="005F782F">
      <w:pPr>
        <w:pStyle w:val="Bullet1G"/>
      </w:pPr>
      <w:r w:rsidRPr="005F41B0">
        <w:t>Columbia Británica promulgó la Ley de Datos</w:t>
      </w:r>
      <w:r w:rsidR="00BA07DF">
        <w:t xml:space="preserve"> </w:t>
      </w:r>
      <w:r w:rsidRPr="005F41B0">
        <w:t>contra el Racismo, cuyo objetivo es ayudar a detectar lagunas en los programas y los servicios a fin de satisfacer mejor las necesidades de los ciudadanos de Columbia Británica indígenas, negros y racializados.</w:t>
      </w:r>
    </w:p>
    <w:p w14:paraId="5EFC6968" w14:textId="6D787458" w:rsidR="005F782F" w:rsidRPr="005F41B0" w:rsidRDefault="005F782F" w:rsidP="005F782F">
      <w:pPr>
        <w:pStyle w:val="Bullet1G"/>
      </w:pPr>
      <w:r w:rsidRPr="005F41B0">
        <w:t>En Nueva Escocia se promulgó la Ley de la Lengua Mi</w:t>
      </w:r>
      <w:r w:rsidR="00222472" w:rsidRPr="005F41B0">
        <w:t>’</w:t>
      </w:r>
      <w:r w:rsidRPr="005F41B0">
        <w:t>kmaw, por la que se reconocía el mi</w:t>
      </w:r>
      <w:r w:rsidR="00222472" w:rsidRPr="005F41B0">
        <w:t>’</w:t>
      </w:r>
      <w:r w:rsidRPr="005F41B0">
        <w:t>kmaw como primera lengua de Nueva Escocia y la provincia asumía el compromiso de crear un Comité de la Lengua Mi</w:t>
      </w:r>
      <w:r w:rsidR="00222472" w:rsidRPr="005F41B0">
        <w:t>’</w:t>
      </w:r>
      <w:r w:rsidRPr="005F41B0">
        <w:t>kmaw con el fin de desarrollar una Estrategia de Revitalización de la Lengua Mi</w:t>
      </w:r>
      <w:r w:rsidR="00222472" w:rsidRPr="005F41B0">
        <w:t>’</w:t>
      </w:r>
      <w:r w:rsidRPr="005F41B0">
        <w:t>kmaw que beneficiase a todas las comunidades.</w:t>
      </w:r>
    </w:p>
    <w:p w14:paraId="14649B38" w14:textId="77777777" w:rsidR="005F782F" w:rsidRPr="005F41B0" w:rsidRDefault="005F782F" w:rsidP="005F782F">
      <w:pPr>
        <w:pStyle w:val="Bullet1G"/>
      </w:pPr>
      <w:r w:rsidRPr="005F41B0">
        <w:t>En Quebec se aprobó la Ley relativa a la reforma del derecho de familia en cuanto a la filiación y por la que se modifica el Código Civil en materia de derechos de la personalidad y estado civil. Con esta ley se amplía el acceso a la información sobre los orígenes de las personas adoptadas. Con ella también se permite a las personas no binarias que escriban íntegramente su identidad de género en los documentos del estado civil, como las partidas de nacimiento.</w:t>
      </w:r>
    </w:p>
    <w:p w14:paraId="72A35E0D" w14:textId="77777777" w:rsidR="005F782F" w:rsidRPr="005F41B0" w:rsidRDefault="005F782F" w:rsidP="005F782F">
      <w:pPr>
        <w:pStyle w:val="H4G"/>
        <w:ind w:left="2835"/>
      </w:pPr>
      <w:r w:rsidRPr="005F41B0">
        <w:t>2023</w:t>
      </w:r>
    </w:p>
    <w:p w14:paraId="005C0719" w14:textId="631F6F00" w:rsidR="005F782F" w:rsidRPr="005F41B0" w:rsidRDefault="005F782F" w:rsidP="005F782F">
      <w:pPr>
        <w:pStyle w:val="Bullet1G"/>
      </w:pPr>
      <w:r w:rsidRPr="005F41B0">
        <w:t>Se modificó la Ley de Protección de Imágenes Íntimas de Manitoba con el fin de incluir condiciones nuevas mediante las que se generase una inversión de la carga de la prueba para el demandado en un proceso civil con el objetivo de que demostrase que tenía consentimiento para distribuir la imagen o imágenes de la persona representada en ella o ellas.</w:t>
      </w:r>
    </w:p>
    <w:p w14:paraId="6588EC9F" w14:textId="35CDCACE" w:rsidR="005F782F" w:rsidRPr="005F41B0" w:rsidRDefault="005F782F" w:rsidP="005F782F">
      <w:pPr>
        <w:pStyle w:val="Bullet1G"/>
      </w:pPr>
      <w:r w:rsidRPr="005F41B0">
        <w:t>Columbia Británica promulgó modificaciones a la Ley de Educación a fin de que los Pueblos Indígenas pudiesen participar en mayor medida en la educación de los niños y jóvenes indígenas.</w:t>
      </w:r>
    </w:p>
    <w:p w14:paraId="50EA85D9" w14:textId="77777777" w:rsidR="005F782F" w:rsidRPr="005F41B0" w:rsidRDefault="005F782F" w:rsidP="005F782F">
      <w:pPr>
        <w:pStyle w:val="Bullet1G"/>
      </w:pPr>
      <w:r w:rsidRPr="005F41B0">
        <w:t>Se promulgó la Ley de Prestaciones por Discapacidad del Canadá, por la que se facilitaba el marco para una nueva prestación por discapacidad del Canadá destinada a reducir la pobreza y fomentar la seguridad financiera de las personas con discapacidad en edad de trabajar.</w:t>
      </w:r>
    </w:p>
    <w:p w14:paraId="501DC83F" w14:textId="57192BB6" w:rsidR="005F782F" w:rsidRPr="005F41B0" w:rsidRDefault="005F782F" w:rsidP="005F782F">
      <w:pPr>
        <w:pStyle w:val="H23G"/>
      </w:pPr>
      <w:r w:rsidRPr="005F41B0">
        <w:tab/>
      </w:r>
      <w:r w:rsidRPr="005F41B0">
        <w:tab/>
        <w:t>Seguimiento de los dictámenes del Comité</w:t>
      </w:r>
    </w:p>
    <w:p w14:paraId="219800BD" w14:textId="38809CE5" w:rsidR="005F782F" w:rsidRPr="005F41B0" w:rsidRDefault="005F782F" w:rsidP="005F782F">
      <w:pPr>
        <w:pStyle w:val="SingleTxtG"/>
      </w:pPr>
      <w:r w:rsidRPr="005F41B0">
        <w:t>6.</w:t>
      </w:r>
      <w:r w:rsidRPr="005F41B0">
        <w:tab/>
        <w:t>La cuestión 1 se refiere a una comunicación individual al Comité en virtud del primer Protocolo Facultativo. El Canadá remite al Comité a sus respuestas al respecto (6 de abril de</w:t>
      </w:r>
      <w:r w:rsidR="00222472" w:rsidRPr="005F41B0">
        <w:t> </w:t>
      </w:r>
      <w:r w:rsidRPr="005F41B0">
        <w:t>2022 y 29 de enero de 2019).</w:t>
      </w:r>
    </w:p>
    <w:p w14:paraId="5F61230E" w14:textId="77777777" w:rsidR="005F782F" w:rsidRPr="005F41B0" w:rsidRDefault="005F782F" w:rsidP="005F782F">
      <w:pPr>
        <w:pStyle w:val="SingleTxtG"/>
      </w:pPr>
      <w:r w:rsidRPr="005F41B0">
        <w:lastRenderedPageBreak/>
        <w:t>7.</w:t>
      </w:r>
      <w:r w:rsidRPr="005F41B0">
        <w:tab/>
        <w:t>El Canadá se adhirió al procedimiento de presentación de quejas individuales en 1976, al mismo tiempo que al Pacto. Desde entonces, el Canadá se ha comprometido firmemente a participar de buena fe en este importante procedimiento. Si bien los dictámenes del Comité no son jurídicamente vinculantes en el derecho internacional o interno, el Canadá siempre les presta gran atención. Existen procedimientos establecidos para velar por que los altos funcionarios del gobierno dispongan de toda la información y consideraciones pertinentes antes de adoptar una decisión sobre cómo responder a los dictámenes del Comité en un asunto concreto.</w:t>
      </w:r>
    </w:p>
    <w:p w14:paraId="2C8ACC78" w14:textId="77777777" w:rsidR="005F782F" w:rsidRPr="005F41B0" w:rsidRDefault="005F782F" w:rsidP="005F782F">
      <w:pPr>
        <w:pStyle w:val="SingleTxtG"/>
      </w:pPr>
      <w:r w:rsidRPr="005F41B0">
        <w:t>8.</w:t>
      </w:r>
      <w:r w:rsidRPr="005F41B0">
        <w:tab/>
        <w:t>El Canadá ha aceptado los dictámenes del Comité en la mayoría de las comunicaciones. En ocasiones, el Canadá no ha estado de acuerdo con los dictámenes del Comité. El Canadá asume plenamente el procedimiento de seguimiento del Comité correspondiente a las comunicaciones individuales, de modo que explica al Comité por qué está o no de acuerdo y presenta actualizaciones apropiadas y oportunas sobre las medidas de seguimiento que se han adoptado. El Canadá publica enlaces a los dictámenes de los órganos creados en virtud de un tratado de derechos humanos en un sitio web de acceso público.</w:t>
      </w:r>
    </w:p>
    <w:p w14:paraId="63D2DF26" w14:textId="76DF87E2" w:rsidR="005F782F" w:rsidRPr="005F41B0" w:rsidRDefault="005F782F" w:rsidP="005F782F">
      <w:pPr>
        <w:pStyle w:val="H23G"/>
      </w:pPr>
      <w:bookmarkStart w:id="1" w:name="_Hlk158184787"/>
      <w:r w:rsidRPr="005F41B0">
        <w:tab/>
      </w:r>
      <w:r w:rsidRPr="005F41B0">
        <w:tab/>
        <w:t>Invocación de la Ley de Emergencias</w:t>
      </w:r>
    </w:p>
    <w:p w14:paraId="2BC7A08E" w14:textId="77777777" w:rsidR="005F782F" w:rsidRPr="005F41B0" w:rsidRDefault="005F782F" w:rsidP="005F782F">
      <w:pPr>
        <w:pStyle w:val="SingleTxtG"/>
      </w:pPr>
      <w:r w:rsidRPr="005F41B0">
        <w:t>9.</w:t>
      </w:r>
      <w:r w:rsidRPr="005F41B0">
        <w:tab/>
        <w:t>El 14 de febrero de 2022, el Gobierno federal declaró una emergencia de orden público con arreglo a la Ley de Emergencias, en respuesta a los continuos bloqueos tanto de personas como de vehículos de motor que estaban produciéndose en varios lugares del Canadá, los efectos adversos sobre la economía canadiense y la posibilidad de que aumentase el nivel de disturbios y violencia. Se adoptaron algunas medidas temporales hasta el 23 de febrero de 2022. Conforme a lo indicado en el preámbulo de la Ley, la Carta sigue aplicándose después de esa declaración. Todas las medidas adoptadas durante el período de emergencia se ajustaron a la ley y estuvieron sujetas a examen judicial a fin de determinar su constitucionalidad. También eran consecuentes con las obligaciones del Canadá en virtud del Pacto y, por consiguiente, no equivalían a una derogación del artículo 4. Como exigía la Ley, se llevó a cabo una investigación pública sobre la emergencia, cuyo exhaustivo informe final puede consultarse en línea</w:t>
      </w:r>
      <w:r w:rsidRPr="005F41B0">
        <w:rPr>
          <w:rStyle w:val="Refdenotaalpie"/>
        </w:rPr>
        <w:footnoteReference w:id="6"/>
      </w:r>
      <w:r w:rsidRPr="005F41B0">
        <w:t>. En enero de 2024, el Tribunal Federal del Canadá dictaminó que la declaración de emergencia no era razonable. El Gobierno del Canadá ha recurrido esta decisión ante el Tribunal Federal de Apelación.</w:t>
      </w:r>
    </w:p>
    <w:bookmarkEnd w:id="1"/>
    <w:p w14:paraId="246722B5" w14:textId="786CED46" w:rsidR="005F782F" w:rsidRPr="005F41B0" w:rsidRDefault="005F782F" w:rsidP="005F782F">
      <w:pPr>
        <w:pStyle w:val="H23G"/>
      </w:pPr>
      <w:r w:rsidRPr="005F41B0">
        <w:tab/>
      </w:r>
      <w:r w:rsidRPr="005F41B0">
        <w:tab/>
        <w:t>Consultas</w:t>
      </w:r>
    </w:p>
    <w:p w14:paraId="23AB394C" w14:textId="77777777" w:rsidR="005F782F" w:rsidRPr="005F41B0" w:rsidRDefault="005F782F" w:rsidP="005F782F">
      <w:pPr>
        <w:pStyle w:val="SingleTxtG"/>
      </w:pPr>
      <w:r w:rsidRPr="005F41B0">
        <w:t>10.</w:t>
      </w:r>
      <w:r w:rsidRPr="005F41B0">
        <w:tab/>
        <w:t>En 2016, durante la reunión anual del Comité Permanente de funcionarios de derechos humanos (CCOHR) de los gobiernos federal, provinciales y territoriales, los representantes federales, provinciales y territoriales debatieron las observaciones finales del Comité de Derechos Humanos derivadas de su examen del Canadá en 2015. El CCOHR también se reunió con organizaciones de la sociedad civil y representantes indígenas con el objetivo de debatir, entre otros temas, las recomendaciones recibidas del Comité de Derechos Humanos relacionadas con la detención de inmigrantes, los solicitantes de asilo y la no devolución.</w:t>
      </w:r>
    </w:p>
    <w:p w14:paraId="7AC1CD48" w14:textId="56A8AF79" w:rsidR="005F782F" w:rsidRPr="005F41B0" w:rsidRDefault="005F782F" w:rsidP="005F782F">
      <w:pPr>
        <w:pStyle w:val="H1G"/>
      </w:pPr>
      <w:r w:rsidRPr="005F41B0">
        <w:tab/>
      </w:r>
      <w:r w:rsidRPr="005F41B0">
        <w:tab/>
        <w:t>Respuesta al párrafo 2</w:t>
      </w:r>
    </w:p>
    <w:p w14:paraId="77ED3797" w14:textId="68050F1B" w:rsidR="005F782F" w:rsidRPr="005F41B0" w:rsidRDefault="005F782F" w:rsidP="005F782F">
      <w:pPr>
        <w:pStyle w:val="SingleTxtG"/>
      </w:pPr>
      <w:r w:rsidRPr="005F41B0">
        <w:t>11.</w:t>
      </w:r>
      <w:r w:rsidRPr="005F41B0">
        <w:tab/>
        <w:t>En una decisión de 2020, el Tribunal Supremo del Canadá sostuvo que tres personas de Eritrea podían iniciar una acción civil en el Canadá contra una empresa minera canadiense</w:t>
      </w:r>
      <w:r w:rsidRPr="005F41B0">
        <w:rPr>
          <w:rStyle w:val="Refdenotaalpie"/>
        </w:rPr>
        <w:footnoteReference w:id="7"/>
      </w:r>
      <w:r w:rsidRPr="005F41B0">
        <w:t xml:space="preserve">. Estas tres personas alegaron violaciones en Eritrea de las prohibiciones consuetudinarias de trabajo forzoso, esclavitud, tratos crueles, inhumanos o degradantes y crímenes de lesa humanidad. El Tribunal rechazó una moción preliminar para desestimar la demanda. Ese mismo año, la empresa llegó a un acuerdo </w:t>
      </w:r>
      <w:r w:rsidR="00222472" w:rsidRPr="005F41B0">
        <w:t>—</w:t>
      </w:r>
      <w:r w:rsidRPr="005F41B0">
        <w:t>cuyos términos son confidenciales</w:t>
      </w:r>
      <w:r w:rsidR="00222472" w:rsidRPr="005F41B0">
        <w:t>—</w:t>
      </w:r>
      <w:r w:rsidRPr="005F41B0">
        <w:t xml:space="preserve"> con los demandantes.</w:t>
      </w:r>
    </w:p>
    <w:p w14:paraId="627AA68C" w14:textId="15A9B869" w:rsidR="005F782F" w:rsidRPr="005F41B0" w:rsidRDefault="005F782F" w:rsidP="005F782F">
      <w:pPr>
        <w:pStyle w:val="SingleTxtG"/>
      </w:pPr>
      <w:r w:rsidRPr="005F41B0">
        <w:t>12.</w:t>
      </w:r>
      <w:r w:rsidRPr="005F41B0">
        <w:tab/>
        <w:t>La Estrategia de Conducta Empresarial Responsable del Canadá, puesta en marcha en</w:t>
      </w:r>
      <w:r w:rsidR="00D45BBF" w:rsidRPr="005F41B0">
        <w:t> </w:t>
      </w:r>
      <w:r w:rsidRPr="005F41B0">
        <w:t xml:space="preserve">2022, refuerza el enfoque equilibrado del Canadá respecto a la conducta empresarial responsable, que incluye medidas preventivas, legislación en áreas seleccionadas y acceso a </w:t>
      </w:r>
      <w:r w:rsidRPr="005F41B0">
        <w:lastRenderedPageBreak/>
        <w:t>mecanismos no judiciales de solución de controversias. El Gobierno del Canadá dispone de dos mecanismos no judiciales de solución de controversias: el Punto de Contacto Nacional para la Conducta Empresarial Responsable del Canadá y el Defensor del Pueblo Canadiense para la Empresa Responsable (CORE). El enfoque canadiense de la solución de controversias se basa en mecanismos que reflejan los objetivos de los Principios Rectores sobre las Empresas y los Derechos Humanos de las Naciones Unidas y las Líneas Directrices de la</w:t>
      </w:r>
      <w:r w:rsidR="00222472" w:rsidRPr="005F41B0">
        <w:t> </w:t>
      </w:r>
      <w:r w:rsidRPr="005F41B0">
        <w:t>OCDE para Empresas Multinacionales sobre Conducta Empresarial Responsable, y prevé una solución de controversias accesible, económica y constructiva. Los mecanismos de solución de controversias del Canadá complementan el sistema judicial del país al ofrecer vías alternativas para que los demandantes busquen reparación y resuelvan sus problemas.</w:t>
      </w:r>
      <w:bookmarkStart w:id="2" w:name="_Hlk184800357"/>
      <w:bookmarkEnd w:id="2"/>
    </w:p>
    <w:p w14:paraId="16542B18" w14:textId="1AEAE281" w:rsidR="005F782F" w:rsidRPr="005F41B0" w:rsidRDefault="005F782F" w:rsidP="005F782F">
      <w:pPr>
        <w:pStyle w:val="SingleTxtG"/>
      </w:pPr>
      <w:r w:rsidRPr="005F41B0">
        <w:t>13.</w:t>
      </w:r>
      <w:r w:rsidR="009C3575" w:rsidRPr="005F41B0">
        <w:tab/>
      </w:r>
      <w:r w:rsidRPr="005F41B0">
        <w:t>En 2018</w:t>
      </w:r>
      <w:r w:rsidR="00421224" w:rsidRPr="005F41B0">
        <w:t>,</w:t>
      </w:r>
      <w:r w:rsidRPr="005F41B0">
        <w:t xml:space="preserve"> el Gobierno del Canadá anunció la creación del CORE tras haber mantenido consultas con organizaciones de la sociedad civil y la industria. El CORE es un mecanismo independiente y no judicial de solución de controversias y tiene el mandato de examinar presuntos abusos contra los derechos humanos derivados de las operaciones de empresas canadienses activas en el extranjero en los sectores de la confección, la minería o el petróleo y el gas. Además de su función de promoción y asesoramiento, el CORE cuenta con un mecanismo de denuncia, por medio del cual las personas, los trabajadores y las comunidades afectados y quienes los representan pueden plantear posibles abusos de los derechos humanos derivados de las operaciones en el extranjero de empresas canadienses en los tres sectores de interés. Si la denuncia no puede resolverse de forma consensuada (por ejemplo, mediante resolución anticipada o mediación), el CORE puede llevar a cabo una investigación conjunta o independiente de los hechos. En el marco del examen, el CORE puede formular recomendaciones a las empresas canadienses sobre cómo remediar los daños, cómo evitar que se produzcan en el futuro y también puede recomendar cambios en las políticas y operaciones de las empresas. Si una empresa no ha actuado de buena fe durante el transcurso o el seguimiento del proceso de examen del CORE, este puede formular recomendaciones al Ministro de Promoción de las Exportaciones, Comercio Internacional y Desarrollo Económico sobre las medidas comerciales que podrían adoptarse contra la empresa.</w:t>
      </w:r>
    </w:p>
    <w:p w14:paraId="3605F037" w14:textId="77777777" w:rsidR="005F782F" w:rsidRPr="005F41B0" w:rsidRDefault="005F782F" w:rsidP="005F782F">
      <w:pPr>
        <w:pStyle w:val="SingleTxtG"/>
      </w:pPr>
      <w:r w:rsidRPr="005F41B0">
        <w:t>14.</w:t>
      </w:r>
      <w:r w:rsidRPr="005F41B0">
        <w:tab/>
        <w:t>La primera Defensora del Pueblo Canadiense para la Empresa Responsable fue nombrada en abril de 2019. En febrero de 2023, la CORE publicó un estudio sobre el respeto de los derechos del niño y el riesgo de presencia de mano de obra infantil en las operaciones y las cadenas de suministro mundiales de las empresas canadienses de confección. En septiembre de 2023, la CORE había recibido un total de 32 denuncias, de las que 20 estaban activas en ese momento. De esos 20 casos, la CORE publicó ocho informes de evaluación iniciales y puso en marcha una determinación de los hechos independiente en 7 casos. Un caso se encontraba en la fase de seguimiento.</w:t>
      </w:r>
    </w:p>
    <w:p w14:paraId="1CDD462C" w14:textId="43DC3B9B" w:rsidR="005F782F" w:rsidRPr="005F41B0" w:rsidRDefault="005F782F" w:rsidP="005F782F">
      <w:pPr>
        <w:pStyle w:val="H1G"/>
      </w:pPr>
      <w:r w:rsidRPr="005F41B0">
        <w:tab/>
      </w:r>
      <w:r w:rsidRPr="005F41B0">
        <w:tab/>
        <w:t>Respuesta al párrafo 3</w:t>
      </w:r>
    </w:p>
    <w:p w14:paraId="6FD9D7CE" w14:textId="3DE49A14" w:rsidR="005F782F" w:rsidRPr="005F41B0" w:rsidRDefault="005F782F" w:rsidP="005F782F">
      <w:pPr>
        <w:pStyle w:val="SingleTxtG"/>
      </w:pPr>
      <w:r w:rsidRPr="005F41B0">
        <w:t>15.</w:t>
      </w:r>
      <w:r w:rsidRPr="005F41B0">
        <w:tab/>
        <w:t>La Ley de la Declaración de las Naciones Unidas (antiguo proyecto de ley C</w:t>
      </w:r>
      <w:r w:rsidR="00D94448" w:rsidRPr="005F41B0">
        <w:noBreakHyphen/>
      </w:r>
      <w:r w:rsidRPr="005F41B0">
        <w:t>15) entró en vigor en junio de 2021. En ella se exige al Gobierno del Canadá que, en consulta y cooperación con los Pueblos Indígenas, haga lo siguiente: adoptar todas las medidas necesarias para velar por que las leyes federales respeten la Declaración de las Naciones Unidas; preparar y aplicar un Plan de Acción con el fin de alcanzar los objetivos de la Declaración, e informar anualmente de los progresos realizados.</w:t>
      </w:r>
    </w:p>
    <w:p w14:paraId="1338E12A" w14:textId="77777777" w:rsidR="005F782F" w:rsidRPr="005F41B0" w:rsidRDefault="005F782F" w:rsidP="005F782F">
      <w:pPr>
        <w:pStyle w:val="SingleTxtG"/>
      </w:pPr>
      <w:r w:rsidRPr="005F41B0">
        <w:t>16.</w:t>
      </w:r>
      <w:r w:rsidRPr="005F41B0">
        <w:tab/>
        <w:t>El Gobierno del Canadá trabajó en consulta y cooperación con las Primeras Naciones, los inuit y los métis con el fin de elaborar un Plan de Acción para alcanzar los objetivos de la Declaración de las Naciones Unidas, así como con el fin de determinar las medidas necesarias para velar por que las leyes federales respetasen la Declaración de las Naciones Unidas. El 21 de junio de 2023, el Gobierno del Canadá publicó el Plan de Acción de la Declaración de las Naciones Unidas. En él se establecen los compromisos en cuanto a actuaciones y medidas que el Canadá adoptará con los Pueblos Indígenas a fin de aplicar los derechos y los principios consagrados en la Declaración de las Naciones Unidas y avanzar en la reconciliación de forma significativa y tangible. El Plan de Acción incluye 181 medidas específicas para defender y promover los derechos humanos de los Pueblos Indígenas, hacer frente a las injusticias, los prejuicios, la violencia, el racismo sistémico y la discriminación, y supervisar su aplicación.</w:t>
      </w:r>
    </w:p>
    <w:p w14:paraId="0822CE52" w14:textId="492913AF" w:rsidR="005F782F" w:rsidRPr="005F41B0" w:rsidRDefault="005F782F" w:rsidP="005F782F">
      <w:pPr>
        <w:pStyle w:val="H23G"/>
      </w:pPr>
      <w:r w:rsidRPr="005F41B0">
        <w:lastRenderedPageBreak/>
        <w:tab/>
      </w:r>
      <w:r w:rsidRPr="005F41B0">
        <w:tab/>
        <w:t>Respuestas a los llamamientos a la acción</w:t>
      </w:r>
    </w:p>
    <w:p w14:paraId="3A51CCE6" w14:textId="77777777" w:rsidR="005F782F" w:rsidRPr="005F41B0" w:rsidRDefault="005F782F" w:rsidP="005F782F">
      <w:pPr>
        <w:pStyle w:val="SingleTxtG"/>
      </w:pPr>
      <w:r w:rsidRPr="005F41B0">
        <w:t>17.</w:t>
      </w:r>
      <w:r w:rsidRPr="005F41B0">
        <w:tab/>
        <w:t>La Comisión de la Verdad y la Reconciliación de 2015 realizó 94 llamamientos a la acción. 76 llamamientos a la acción se inscriben en la jurisdicción federal o son responsabilidad común de los gobiernos federal, provinciales y territoriales; el 85 % de ellos se han completado o están en curso. Entre los llamamientos a la acción de responsabilidad federal única o común que se aplican plenamente figuran:</w:t>
      </w:r>
    </w:p>
    <w:p w14:paraId="6F2E545D" w14:textId="31E5CB71" w:rsidR="005F782F" w:rsidRPr="005F41B0" w:rsidRDefault="005F782F" w:rsidP="005F782F">
      <w:pPr>
        <w:pStyle w:val="Bullet1G"/>
      </w:pPr>
      <w:r w:rsidRPr="005F41B0">
        <w:t>La promulgación de legislación sobre el bienestar de los niños indígenas.</w:t>
      </w:r>
    </w:p>
    <w:p w14:paraId="5F67788E" w14:textId="28FC3303" w:rsidR="005F782F" w:rsidRPr="005F41B0" w:rsidRDefault="005F782F" w:rsidP="005F782F">
      <w:pPr>
        <w:pStyle w:val="Bullet1G"/>
      </w:pPr>
      <w:r w:rsidRPr="005F41B0">
        <w:t>La eliminación de las divergencias en la financiación federal de la educación dentro y fuera de las reservas.</w:t>
      </w:r>
    </w:p>
    <w:p w14:paraId="1F88DAB2" w14:textId="52602102" w:rsidR="005F782F" w:rsidRPr="005F41B0" w:rsidRDefault="005F782F" w:rsidP="005F782F">
      <w:pPr>
        <w:pStyle w:val="Bullet1G"/>
      </w:pPr>
      <w:r w:rsidRPr="005F41B0">
        <w:t>El reconocimiento de los derechos de las lenguas indígenas.</w:t>
      </w:r>
    </w:p>
    <w:p w14:paraId="603AA2D9" w14:textId="2644D048" w:rsidR="005F782F" w:rsidRPr="005F41B0" w:rsidRDefault="005F782F" w:rsidP="005F782F">
      <w:pPr>
        <w:pStyle w:val="Bullet1G"/>
      </w:pPr>
      <w:r w:rsidRPr="005F41B0">
        <w:t>La promulgación de una Ley de Lenguas Indígenas.</w:t>
      </w:r>
    </w:p>
    <w:p w14:paraId="448643E9" w14:textId="7D05E127" w:rsidR="005F782F" w:rsidRPr="005F41B0" w:rsidRDefault="005F782F" w:rsidP="005F782F">
      <w:pPr>
        <w:pStyle w:val="Bullet1G"/>
      </w:pPr>
      <w:r w:rsidRPr="005F41B0">
        <w:t>El nombramiento de un Comisionado de Lenguas Indígenas.</w:t>
      </w:r>
    </w:p>
    <w:p w14:paraId="6DE81CC1" w14:textId="1BAA3BAD" w:rsidR="005F782F" w:rsidRPr="005F41B0" w:rsidRDefault="005F782F" w:rsidP="005F782F">
      <w:pPr>
        <w:pStyle w:val="Bullet1G"/>
      </w:pPr>
      <w:r w:rsidRPr="005F41B0">
        <w:t>La redacción de una política escrita sobre la independencia de la Real Policía Montada del Canadá (RPMC).</w:t>
      </w:r>
    </w:p>
    <w:p w14:paraId="7CA41384" w14:textId="21DEB4E2" w:rsidR="005F782F" w:rsidRPr="005F41B0" w:rsidRDefault="005F782F" w:rsidP="005F782F">
      <w:pPr>
        <w:pStyle w:val="Bullet1G"/>
      </w:pPr>
      <w:r w:rsidRPr="005F41B0">
        <w:t>La puesta en marcha de la Investigación Nacional sobre Mujeres y Niñas Indígenas Desaparecidas y Asesinadas.</w:t>
      </w:r>
    </w:p>
    <w:p w14:paraId="3D8DB573" w14:textId="35F3A22D" w:rsidR="005F782F" w:rsidRPr="005F41B0" w:rsidRDefault="005F782F" w:rsidP="005F782F">
      <w:pPr>
        <w:pStyle w:val="Bullet1G"/>
      </w:pPr>
      <w:r w:rsidRPr="005F41B0">
        <w:t>La promulgación de la Ley de la Declaración de las Naciones Unidas.</w:t>
      </w:r>
    </w:p>
    <w:p w14:paraId="0076D86B" w14:textId="71CBF6EF" w:rsidR="005F782F" w:rsidRPr="005F41B0" w:rsidRDefault="005F782F" w:rsidP="005F782F">
      <w:pPr>
        <w:pStyle w:val="Bullet1G"/>
      </w:pPr>
      <w:r w:rsidRPr="005F41B0">
        <w:t>La financiación de escuelas indígenas para que utilicen conocimientos y métodos de enseñanza indígenas en las aulas.</w:t>
      </w:r>
    </w:p>
    <w:p w14:paraId="6A5939F7" w14:textId="33722734" w:rsidR="005F782F" w:rsidRPr="005F41B0" w:rsidRDefault="005F782F" w:rsidP="005F782F">
      <w:pPr>
        <w:pStyle w:val="Bullet1G"/>
      </w:pPr>
      <w:r w:rsidRPr="005F41B0">
        <w:t>La financiación de la Asociación de Museos Canadienses.</w:t>
      </w:r>
    </w:p>
    <w:p w14:paraId="7C11A24D" w14:textId="1EA4BDF9" w:rsidR="005F782F" w:rsidRPr="005F41B0" w:rsidRDefault="005F782F" w:rsidP="005F782F">
      <w:pPr>
        <w:pStyle w:val="Bullet1G"/>
      </w:pPr>
      <w:r w:rsidRPr="005F41B0">
        <w:t>La financiación de proyectos sobre reconciliación en el marco del 150</w:t>
      </w:r>
      <w:r w:rsidR="00F079E0" w:rsidRPr="005F41B0">
        <w:t>º</w:t>
      </w:r>
      <w:r w:rsidRPr="005F41B0">
        <w:t xml:space="preserve"> aniversario de la fundación de la Confederación Canadiense.</w:t>
      </w:r>
    </w:p>
    <w:p w14:paraId="4B8C6D04" w14:textId="7564DC8E" w:rsidR="005F782F" w:rsidRPr="005F41B0" w:rsidRDefault="005F782F" w:rsidP="005F782F">
      <w:pPr>
        <w:pStyle w:val="Bullet1G"/>
      </w:pPr>
      <w:r w:rsidRPr="005F41B0">
        <w:t>La financiación de la Asociación de Archiveros Canadienses para que llevase a cabo un examen de las políticas y mejores prácticas archivísticas.</w:t>
      </w:r>
    </w:p>
    <w:p w14:paraId="653F14D5" w14:textId="50A3A223" w:rsidR="005F782F" w:rsidRPr="005F41B0" w:rsidRDefault="005F782F" w:rsidP="005F782F">
      <w:pPr>
        <w:pStyle w:val="Bullet1G"/>
      </w:pPr>
      <w:r w:rsidRPr="005F41B0">
        <w:t>La financiación del Centro Nacional de la Verdad y la Reconciliación.</w:t>
      </w:r>
    </w:p>
    <w:p w14:paraId="400F1C2D" w14:textId="1D1CA5FA" w:rsidR="005F782F" w:rsidRPr="005F41B0" w:rsidRDefault="005F782F" w:rsidP="005F782F">
      <w:pPr>
        <w:pStyle w:val="Bullet1G"/>
      </w:pPr>
      <w:r w:rsidRPr="005F41B0">
        <w:t>La promulgación de legislación para establecer el Día Nacional de la Verdad y la Reconciliación.</w:t>
      </w:r>
    </w:p>
    <w:p w14:paraId="1EB8BA4C" w14:textId="0C43541E" w:rsidR="005F782F" w:rsidRPr="005F41B0" w:rsidRDefault="005F782F" w:rsidP="005F782F">
      <w:pPr>
        <w:pStyle w:val="Bullet1G"/>
      </w:pPr>
      <w:r w:rsidRPr="005F41B0">
        <w:t>La financiación de proyectos sobre reconciliación del Consejo de las Artes del Canadá.</w:t>
      </w:r>
    </w:p>
    <w:p w14:paraId="2FCFC82F" w14:textId="02E32D4E" w:rsidR="005F782F" w:rsidRPr="005F41B0" w:rsidRDefault="005F782F" w:rsidP="005F782F">
      <w:pPr>
        <w:pStyle w:val="Bullet1G"/>
      </w:pPr>
      <w:r w:rsidRPr="005F41B0">
        <w:t>El aumento de la financiación de la Canadian Broadcasting Corporation/Radio Canada.</w:t>
      </w:r>
    </w:p>
    <w:p w14:paraId="513F6CFE" w14:textId="2BD7093C" w:rsidR="005F782F" w:rsidRPr="005F41B0" w:rsidRDefault="005F782F" w:rsidP="005F782F">
      <w:pPr>
        <w:pStyle w:val="Bullet1G"/>
      </w:pPr>
      <w:r w:rsidRPr="005F41B0">
        <w:t>La impartición de educación pública en que se exponga el relato nacional de los atletas indígenas en la historia.</w:t>
      </w:r>
    </w:p>
    <w:p w14:paraId="094535C7" w14:textId="77777777" w:rsidR="005F782F" w:rsidRPr="005F41B0" w:rsidRDefault="005F782F" w:rsidP="005F782F">
      <w:pPr>
        <w:pStyle w:val="Bullet1G"/>
      </w:pPr>
      <w:r w:rsidRPr="005F41B0">
        <w:t>La promulgación de una Ley por la que se modifica el Juramento de Ciudadanía.</w:t>
      </w:r>
    </w:p>
    <w:p w14:paraId="3F2CBD2E" w14:textId="77777777" w:rsidR="005F782F" w:rsidRPr="005F41B0" w:rsidRDefault="005F782F" w:rsidP="005F782F">
      <w:pPr>
        <w:pStyle w:val="SingleTxtG"/>
      </w:pPr>
      <w:r w:rsidRPr="005F41B0">
        <w:t>18.</w:t>
      </w:r>
      <w:r w:rsidRPr="005F41B0">
        <w:tab/>
        <w:t>Las provincias y los territorios también han iniciado o completado trabajos con el fin de cumplir los llamamientos a la acción.</w:t>
      </w:r>
    </w:p>
    <w:p w14:paraId="326255CB" w14:textId="77777777" w:rsidR="005F782F" w:rsidRPr="005F41B0" w:rsidRDefault="005F782F" w:rsidP="005F782F">
      <w:pPr>
        <w:pStyle w:val="SingleTxtG"/>
      </w:pPr>
      <w:r w:rsidRPr="005F41B0">
        <w:t>19.</w:t>
      </w:r>
      <w:r w:rsidRPr="005F41B0">
        <w:tab/>
        <w:t>Entre los ejemplos de medidas adoptadas por Nuevo Brunswick cabe citar:</w:t>
      </w:r>
    </w:p>
    <w:p w14:paraId="01821C8D" w14:textId="791AC01B" w:rsidR="005F782F" w:rsidRPr="005F41B0" w:rsidRDefault="005F782F" w:rsidP="005F782F">
      <w:pPr>
        <w:pStyle w:val="Bullet1G"/>
      </w:pPr>
      <w:r w:rsidRPr="005F41B0">
        <w:t>La colaboración con las Primeras Naciones para encargar un monumento público a los internados.</w:t>
      </w:r>
    </w:p>
    <w:p w14:paraId="778DEB7E" w14:textId="0D8263F2" w:rsidR="005F782F" w:rsidRPr="005F41B0" w:rsidRDefault="005F782F" w:rsidP="005F782F">
      <w:pPr>
        <w:pStyle w:val="Bullet1G"/>
      </w:pPr>
      <w:r w:rsidRPr="005F41B0">
        <w:t>El establecimiento del Día de la Verdad y la Reconciliación como festivo provincial para la administración.</w:t>
      </w:r>
    </w:p>
    <w:p w14:paraId="1A90294D" w14:textId="7A9374AE" w:rsidR="005F782F" w:rsidRPr="005F41B0" w:rsidRDefault="005F782F" w:rsidP="005F782F">
      <w:pPr>
        <w:pStyle w:val="Bullet1G"/>
      </w:pPr>
      <w:r w:rsidRPr="005F41B0">
        <w:t>El establecimiento de acuerdos con todas las Primeras Naciones de elaboración de planes de estudios sobre la historia de los internados, y la preparación de módulos de aprendizaje para los alumnos del sistema educativo de enseñanza preescolar, primaria y secundaria.</w:t>
      </w:r>
    </w:p>
    <w:p w14:paraId="278D3CFA" w14:textId="1A72C137" w:rsidR="005F782F" w:rsidRPr="005F41B0" w:rsidRDefault="005F782F" w:rsidP="005F782F">
      <w:pPr>
        <w:pStyle w:val="Bullet1G"/>
      </w:pPr>
      <w:r w:rsidRPr="005F41B0">
        <w:t>La facilitación de v</w:t>
      </w:r>
      <w:r w:rsidR="00F079E0" w:rsidRPr="005F41B0">
        <w:t>í</w:t>
      </w:r>
      <w:r w:rsidRPr="005F41B0">
        <w:t>deos a las familias de las Primeras Naciones en lenguas indígenas en que se documenten los Servicios de Apoyo a la Educación.</w:t>
      </w:r>
    </w:p>
    <w:p w14:paraId="7068F9AA" w14:textId="3EFA60A7" w:rsidR="005F782F" w:rsidRPr="005F41B0" w:rsidRDefault="005F782F" w:rsidP="005F782F">
      <w:pPr>
        <w:pStyle w:val="Bullet1G"/>
      </w:pPr>
      <w:r w:rsidRPr="005F41B0">
        <w:lastRenderedPageBreak/>
        <w:t>La impartición de formación sobre sensibilización hacia las culturas indígenas a los empleados públicos.</w:t>
      </w:r>
    </w:p>
    <w:p w14:paraId="063EED77" w14:textId="01EE7488" w:rsidR="005F782F" w:rsidRPr="005F41B0" w:rsidRDefault="005F782F" w:rsidP="005F782F">
      <w:pPr>
        <w:pStyle w:val="Bullet1G"/>
      </w:pPr>
      <w:r w:rsidRPr="005F41B0">
        <w:t>El establecimiento de memorandos de entendimiento con las Primeras Naciones sobre desarrollo económico.</w:t>
      </w:r>
    </w:p>
    <w:p w14:paraId="3728A7B4" w14:textId="7CE8122D" w:rsidR="005F782F" w:rsidRPr="005F41B0" w:rsidRDefault="005F782F" w:rsidP="005F782F">
      <w:pPr>
        <w:pStyle w:val="Bullet1G"/>
      </w:pPr>
      <w:r w:rsidRPr="005F41B0">
        <w:t>En las bibliotecas provinciales se imparten programas especializados de Lengua y Cultura Indígenas.</w:t>
      </w:r>
    </w:p>
    <w:p w14:paraId="2DB66415" w14:textId="32FCB240" w:rsidR="005F782F" w:rsidRPr="005F41B0" w:rsidRDefault="005F782F" w:rsidP="005F782F">
      <w:pPr>
        <w:pStyle w:val="Bullet1G"/>
      </w:pPr>
      <w:r w:rsidRPr="005F41B0">
        <w:t>Se ha establecido una norma de datos indígenas con una estructura de gobernanza de los datos sanitarios indígenas a fin de mejorar el seguimiento de la salud de la población.</w:t>
      </w:r>
    </w:p>
    <w:p w14:paraId="492A3C3D" w14:textId="7CB8C7F3" w:rsidR="005F782F" w:rsidRPr="005F41B0" w:rsidRDefault="005F782F" w:rsidP="005F782F">
      <w:pPr>
        <w:pStyle w:val="Bullet1G"/>
      </w:pPr>
      <w:r w:rsidRPr="005F41B0">
        <w:t>La exención de los costos administrativos de los cambios de nombre para los supervivientes de internados y sus familias que reclamen sus nombres de nacimiento.</w:t>
      </w:r>
    </w:p>
    <w:p w14:paraId="7455DC5B" w14:textId="77777777" w:rsidR="005F782F" w:rsidRPr="005F41B0" w:rsidRDefault="005F782F" w:rsidP="005F782F">
      <w:pPr>
        <w:pStyle w:val="Bullet1G"/>
      </w:pPr>
      <w:r w:rsidRPr="005F41B0">
        <w:t>El trabajo con organizaciones deportivas para reconocer a los atletas indígenas y prestar apoyo al deporte indígena tradicional.</w:t>
      </w:r>
    </w:p>
    <w:p w14:paraId="1CF373FD" w14:textId="0A7DC003" w:rsidR="005F782F" w:rsidRPr="005F41B0" w:rsidRDefault="005F782F" w:rsidP="005F782F">
      <w:pPr>
        <w:pStyle w:val="SingleTxtG"/>
      </w:pPr>
      <w:r w:rsidRPr="005F41B0">
        <w:t>20.</w:t>
      </w:r>
      <w:r w:rsidRPr="005F41B0">
        <w:tab/>
        <w:t>El gobierno de Quebec, en colaboración con las partes indígenas implicadas, ha puesto en práctica varias de las recomendaciones de la Comisión de la Verdad y la Reconciliación del Canadá, como la modificación del plan de estudios de secundaria y la sensibilización de los empleados de los servicios públicos ante las realidades indígenas. Además, el Plan de Acción del Gobierno para el Desarrollo Social y Cultural de las Primeras Naciones y los Inuit 2017-2022, y el Plan de Acción del Gobierno para el Bienestar Social y Cultural de las Primeras Naciones y los Inuit 2022</w:t>
      </w:r>
      <w:r w:rsidR="00F079E0" w:rsidRPr="005F41B0">
        <w:t>-</w:t>
      </w:r>
      <w:r w:rsidRPr="005F41B0">
        <w:t>2027 pretenden ser una respuesta a los llamamientos a la acción de la Comisión de la Verdad y la Reconciliación del Canadá dirigidos a las provincias.</w:t>
      </w:r>
    </w:p>
    <w:p w14:paraId="42B57E29" w14:textId="77777777" w:rsidR="005F782F" w:rsidRPr="005F41B0" w:rsidRDefault="005F782F" w:rsidP="005F782F">
      <w:pPr>
        <w:pStyle w:val="SingleTxtG"/>
      </w:pPr>
      <w:r w:rsidRPr="005F41B0">
        <w:t>21.</w:t>
      </w:r>
      <w:r w:rsidRPr="005F41B0">
        <w:tab/>
        <w:t>El gobierno de Alberta anunció que trabajaría con las comunidades de las Primeras Naciones y métis con el fin de instalar un monumento permanente en el recinto de la asamblea legislativa de Alberta en memoria de las víctimas del sistema de internados. Alberta también ha respondido con dos cursos de sensibilización cultural en el marco de su Iniciativa de Aprendizaje Indígena destinada a ayudar a los empleados de los servicios públicos de Alberta a comprender mejor a los pueblos de las Primeras Naciones, métis e inuit de Alberta, así como a comprometerse y trabajar mejor con ellos.</w:t>
      </w:r>
    </w:p>
    <w:p w14:paraId="47B5CF26" w14:textId="77777777" w:rsidR="005F782F" w:rsidRPr="005F41B0" w:rsidRDefault="005F782F" w:rsidP="005F782F">
      <w:pPr>
        <w:pStyle w:val="SingleTxtG"/>
      </w:pPr>
      <w:r w:rsidRPr="005F41B0">
        <w:t>22.</w:t>
      </w:r>
      <w:r w:rsidRPr="005F41B0">
        <w:tab/>
        <w:t>En Columbia Británica, un objetivo clave para el desarrollo de la infancia y la familia que se está impulsando, en particular mediante una amplia labor con asociados indígenas, es el reconocimiento del derecho de las familias y comunidades indígenas a mantener la responsabilidad compartida de la crianza y el bienestar de sus hijos, en consonancia con la Convención sobre los Derechos del Niño, la Declaración de las Naciones Unidas y los llamamientos a la acción de la Comisión de la Verdad y la Reconciliación del Canadá.</w:t>
      </w:r>
    </w:p>
    <w:p w14:paraId="24D8BFFF" w14:textId="5345ADFE" w:rsidR="005F782F" w:rsidRPr="005F41B0" w:rsidRDefault="00EE0F0B" w:rsidP="00EE0F0B">
      <w:pPr>
        <w:pStyle w:val="H23G"/>
      </w:pPr>
      <w:r w:rsidRPr="005F41B0">
        <w:tab/>
      </w:r>
      <w:r w:rsidR="005F782F" w:rsidRPr="005F41B0">
        <w:tab/>
        <w:t>Investigaciones</w:t>
      </w:r>
    </w:p>
    <w:p w14:paraId="2A4A4F49" w14:textId="77777777" w:rsidR="005F782F" w:rsidRPr="005F41B0" w:rsidRDefault="005F782F" w:rsidP="005F782F">
      <w:pPr>
        <w:pStyle w:val="SingleTxtG"/>
      </w:pPr>
      <w:r w:rsidRPr="005F41B0">
        <w:t>23.</w:t>
      </w:r>
      <w:r w:rsidRPr="005F41B0">
        <w:tab/>
        <w:t>El Canadá no puede facilitar información ni estadísticas sobre las investigaciones penales en curso. Los servicios policiales gozan de un grado significativo de independencia operativa respecto a la administración a la hora de llevar a cabo investigaciones penales, y cualquier interferencia en esas investigaciones sería inadecuada, en particular la divulgación de la existencia de cualquier investigación concreta.</w:t>
      </w:r>
    </w:p>
    <w:p w14:paraId="7FD07F74" w14:textId="77777777" w:rsidR="005F782F" w:rsidRPr="005F41B0" w:rsidRDefault="005F782F" w:rsidP="005F782F">
      <w:pPr>
        <w:pStyle w:val="SingleTxtG"/>
      </w:pPr>
      <w:r w:rsidRPr="005F41B0">
        <w:t>24.</w:t>
      </w:r>
      <w:r w:rsidRPr="005F41B0">
        <w:tab/>
        <w:t>En los Archivos Provinciales de Alberta se han estado examinando los registros de los Misioneros Oblatos de María Inmaculada relacionados con los internados administrados por los oblatos. Se han estado rastreando y documentando los nombres de los niños que pasaron por el sistema con el objetivo de saber qué pudo ocurrirles durante esos años.</w:t>
      </w:r>
    </w:p>
    <w:p w14:paraId="7CB68078" w14:textId="7B7F813D" w:rsidR="005F782F" w:rsidRPr="005F41B0" w:rsidRDefault="005F782F" w:rsidP="00EE0F0B">
      <w:pPr>
        <w:pStyle w:val="H23G"/>
      </w:pPr>
      <w:r w:rsidRPr="005F41B0">
        <w:tab/>
      </w:r>
      <w:r w:rsidR="00EE0F0B" w:rsidRPr="005F41B0">
        <w:tab/>
      </w:r>
      <w:r w:rsidRPr="005F41B0">
        <w:t>Compensación y apoyo psicosocial</w:t>
      </w:r>
    </w:p>
    <w:p w14:paraId="006B7B33" w14:textId="77777777" w:rsidR="005F782F" w:rsidRPr="005F41B0" w:rsidRDefault="005F782F" w:rsidP="005F782F">
      <w:pPr>
        <w:pStyle w:val="SingleTxtG"/>
      </w:pPr>
      <w:r w:rsidRPr="005F41B0">
        <w:t>25.</w:t>
      </w:r>
      <w:r w:rsidRPr="005F41B0">
        <w:tab/>
        <w:t xml:space="preserve">En 2006, el Gobierno del Canadá, varias entidades eclesiásticas y diversas organizaciones indígenas acordaron los términos de un acuerdo para resolver las demandas colectivas que estaban teniendo lugar entonces en relación con los internados indios del Canadá. La aplicación del acuerdo comenzó en septiembre de 2007 y constaba de varios componentes, entre ellos un pago en concepto de la experiencia común concedido a los antiguos residentes de los internados indios, una evaluación de reclamaciones judicial conocida como proceso de evaluación independiente para compensar a las personas con </w:t>
      </w:r>
      <w:r w:rsidRPr="005F41B0">
        <w:lastRenderedPageBreak/>
        <w:t>reclamaciones probadas de abusos sexuales o físicos graves derivados del funcionamiento de un internado indio, y la Comisión de la Verdad y la Reconciliación. El Gobierno del Canadá recibió más de 105.000 solicitudes para acogerse al pago en concepto de la experiencia común y pagó 1.600 millones de dólares de los Estados Unidos en indemnizaciones. Se presentaron más de 38.000 solicitudes para el proceso de evaluación independiente y el Gobierno del Canadá pagó 3.180 millones de dólares en indemnizaciones.</w:t>
      </w:r>
    </w:p>
    <w:p w14:paraId="366213E4" w14:textId="77777777" w:rsidR="005F782F" w:rsidRPr="005F41B0" w:rsidRDefault="005F782F" w:rsidP="005F782F">
      <w:pPr>
        <w:pStyle w:val="SingleTxtG"/>
      </w:pPr>
      <w:r w:rsidRPr="005F41B0">
        <w:t>26.</w:t>
      </w:r>
      <w:r w:rsidRPr="005F41B0">
        <w:tab/>
        <w:t>En 2021, Ontario estableció el Programa de Financiación del Mantenimiento de las Sepulturas de los Internados Indígenas, que incluye financiación en materia de salud mental y adicciones para ayudar a los supervivientes, sus familias y sus comunidades. Esta financiación se suministra a los asociados indígenas que participan en investigaciones de enterramientos en curso y en labores de apoyo. En 2023, Ontario amplió la financiación por medio del Fondo de Colaboración Comunitaria de los Internados Indios, que permite financiar a un mayor número de comunidades y organizaciones.</w:t>
      </w:r>
    </w:p>
    <w:p w14:paraId="6BA1ECCA" w14:textId="3A92EF26" w:rsidR="005F782F" w:rsidRPr="005F41B0" w:rsidRDefault="005F782F" w:rsidP="00EE0F0B">
      <w:pPr>
        <w:pStyle w:val="H23G"/>
      </w:pPr>
      <w:r w:rsidRPr="005F41B0">
        <w:tab/>
      </w:r>
      <w:r w:rsidR="00EE0F0B" w:rsidRPr="005F41B0">
        <w:tab/>
      </w:r>
      <w:r w:rsidRPr="005F41B0">
        <w:t>Entierros anónimos</w:t>
      </w:r>
    </w:p>
    <w:p w14:paraId="3E05FA51" w14:textId="77777777" w:rsidR="005F782F" w:rsidRPr="005F41B0" w:rsidRDefault="005F782F" w:rsidP="005F782F">
      <w:pPr>
        <w:pStyle w:val="SingleTxtG"/>
      </w:pPr>
      <w:r w:rsidRPr="005F41B0">
        <w:t>27.</w:t>
      </w:r>
      <w:r w:rsidRPr="005F41B0">
        <w:tab/>
        <w:t>En respuesta a los hallazgos de posibles entierros anónimos asociados a internados indios (de los que se informó en los medios de comunicación a partir de mayo de 2021), el Gobierno del Canadá nombró a Kimberly Murray Interlocutora Especial Independiente para Menores Desaparecidos y Sepulturas y Entierros Anónimos Asociados a Internados Indios en junio de 2022. El mandato de la Interlocutora Especial fue el resultado de la colaboración con organizaciones indígenas nacionales, comunidades afectadas directamente y expertos indígenas. La Interlocutora Especial tiene la tarea de trabajar en colaboración con los gobiernos, las organizaciones, las comunidades, los supervivientes, las familias indígenas y otros, para determinar las medidas necesarias y recomendar un nuevo marco federal con el que velar por un tratamiento respetuoso y adecuado desde el punto de vista cultural de las sepulturas y los entierros anónimos de niños asociados a los antiguos internados indios. En junio de 2023, la Interlocutora Especial dio a conocer su informe provisional simultáneamente al Ministro federal de Justicia y a las comunidades de las Primeras Naciones, métis e inuit, los supervivientes y las familias</w:t>
      </w:r>
      <w:r w:rsidRPr="005F41B0">
        <w:rPr>
          <w:rStyle w:val="Refdenotaalpie"/>
        </w:rPr>
        <w:footnoteReference w:id="8"/>
      </w:r>
      <w:r w:rsidRPr="005F41B0">
        <w:t>. Las recomendaciones definitivas se presentaron al término de su mandato, en junio de 2024.</w:t>
      </w:r>
      <w:bookmarkStart w:id="3" w:name="_Hlk166658054"/>
      <w:bookmarkEnd w:id="3"/>
    </w:p>
    <w:p w14:paraId="0660D5DD" w14:textId="77777777" w:rsidR="005F782F" w:rsidRPr="005F41B0" w:rsidRDefault="005F782F" w:rsidP="005F782F">
      <w:pPr>
        <w:pStyle w:val="SingleTxtG"/>
      </w:pPr>
      <w:r w:rsidRPr="005F41B0">
        <w:t>28.</w:t>
      </w:r>
      <w:r w:rsidRPr="005F41B0">
        <w:tab/>
        <w:t>Ontario ha creado el Programa de Financiación del Mantenimiento de las Sepulturas de los Internados Indígenas y una Dependencia de Internados en el Ministerio de Asuntos Indígenas. Estas medidas servirán de apoyo a las iniciativas dirigidas por los indígenas para detectar, investigar, proteger, mantener y conmemorar los entierros de los internados indios en toda la provincia.</w:t>
      </w:r>
    </w:p>
    <w:p w14:paraId="4BF929FE" w14:textId="77777777" w:rsidR="005F782F" w:rsidRPr="005F41B0" w:rsidRDefault="005F782F" w:rsidP="005F782F">
      <w:pPr>
        <w:pStyle w:val="SingleTxtG"/>
      </w:pPr>
      <w:r w:rsidRPr="005F41B0">
        <w:t>29.</w:t>
      </w:r>
      <w:r w:rsidRPr="005F41B0">
        <w:tab/>
        <w:t>En respuesta al descubrimiento de entierros anónimos en internados de todo el país, Alberta puso en marcha un subsidio puntual de investigación comunitaria sobre internados con el fin de prestar apoyo a las iniciativas de investigación dirigidas por indígenas.</w:t>
      </w:r>
    </w:p>
    <w:p w14:paraId="30CCE3A5" w14:textId="3E7CFA89" w:rsidR="005F782F" w:rsidRPr="005F41B0" w:rsidRDefault="005F782F" w:rsidP="00EE0F0B">
      <w:pPr>
        <w:pStyle w:val="H23G"/>
      </w:pPr>
      <w:r w:rsidRPr="005F41B0">
        <w:tab/>
      </w:r>
      <w:r w:rsidR="00EE0F0B" w:rsidRPr="005F41B0">
        <w:tab/>
      </w:r>
      <w:r w:rsidRPr="005F41B0">
        <w:t>Respuesta al párrafo 4</w:t>
      </w:r>
    </w:p>
    <w:p w14:paraId="3F45F9C6" w14:textId="77777777" w:rsidR="005F782F" w:rsidRPr="005F41B0" w:rsidRDefault="005F782F" w:rsidP="005F782F">
      <w:pPr>
        <w:pStyle w:val="SingleTxtG"/>
      </w:pPr>
      <w:r w:rsidRPr="005F41B0">
        <w:t>30.</w:t>
      </w:r>
      <w:r w:rsidRPr="005F41B0">
        <w:tab/>
        <w:t>Los siguientes son ejemplos de medidas clave adoptadas en el Canadá para luchar contra la discriminación en el período que abarca el informe:</w:t>
      </w:r>
    </w:p>
    <w:p w14:paraId="7A8BE9AF" w14:textId="71304F5B" w:rsidR="005F782F" w:rsidRPr="005F41B0" w:rsidRDefault="005F782F" w:rsidP="00EE0F0B">
      <w:pPr>
        <w:pStyle w:val="Bullet1G"/>
      </w:pPr>
      <w:r w:rsidRPr="005F41B0">
        <w:t xml:space="preserve">En 2017, el Gobierno del Canadá añadió la </w:t>
      </w:r>
      <w:r w:rsidR="00222472" w:rsidRPr="005F41B0">
        <w:t>“</w:t>
      </w:r>
      <w:r w:rsidRPr="005F41B0">
        <w:t>identidad de género</w:t>
      </w:r>
      <w:r w:rsidR="00222472" w:rsidRPr="005F41B0">
        <w:t>”</w:t>
      </w:r>
      <w:r w:rsidRPr="005F41B0">
        <w:t xml:space="preserve"> y la </w:t>
      </w:r>
      <w:r w:rsidR="00222472" w:rsidRPr="005F41B0">
        <w:t>“</w:t>
      </w:r>
      <w:r w:rsidRPr="005F41B0">
        <w:t>expresión de género</w:t>
      </w:r>
      <w:r w:rsidR="00222472" w:rsidRPr="005F41B0">
        <w:t>”</w:t>
      </w:r>
      <w:r w:rsidRPr="005F41B0">
        <w:t xml:space="preserve"> a la lista de motivos protegidos en virtud de la legislación federal sobre igualdad, la Ley de Derechos Humanos canadiense. Además, estos motivos se añadieron a las secciones del Código Penal en que se prohíbe la propaganda del odio y se prevén penas más severas para los delitos motivados por sesgos, prejuicios u odio por las características personales</w:t>
      </w:r>
      <w:r w:rsidR="00EE0F0B" w:rsidRPr="005F41B0">
        <w:t>.</w:t>
      </w:r>
    </w:p>
    <w:p w14:paraId="6490C6B9" w14:textId="0D54481D" w:rsidR="005F782F" w:rsidRPr="005F41B0" w:rsidRDefault="005F782F" w:rsidP="00EE0F0B">
      <w:pPr>
        <w:pStyle w:val="Bullet1G"/>
      </w:pPr>
      <w:r w:rsidRPr="005F41B0">
        <w:t xml:space="preserve">En 2019, el Gobierno del Canadá presentó </w:t>
      </w:r>
      <w:r w:rsidR="00222472" w:rsidRPr="005F41B0">
        <w:t>“</w:t>
      </w:r>
      <w:r w:rsidRPr="005F41B0">
        <w:t>Sentar las bases del cambio: Estrategia Antirracismo del Canadá 2019-2022</w:t>
      </w:r>
      <w:r w:rsidR="00222472" w:rsidRPr="005F41B0">
        <w:t>”</w:t>
      </w:r>
      <w:r w:rsidRPr="005F41B0">
        <w:t xml:space="preserve">. Por medio de esta estrategia, el Gobierno del Canadá adoptó medidas para reconocer y combatir el racismo y la discriminación. La estrategia complementaba los esfuerzos y programas gubernamentales existentes destinados a eliminar las desigualdades al centrarse en tres principios rectores: </w:t>
      </w:r>
      <w:r w:rsidRPr="005F41B0">
        <w:lastRenderedPageBreak/>
        <w:t>demostrar liderazgo federal, capacitar a las comunidades y concienciar y cambiar actitudes. El Gobierno del Canadá renovó la estrategia de lucha contra el racismo (2024) y puso en marcha el primer plan de acción federal de lucha contra el odio (2024)</w:t>
      </w:r>
      <w:r w:rsidR="00EE0F0B" w:rsidRPr="005F41B0">
        <w:t>.</w:t>
      </w:r>
    </w:p>
    <w:p w14:paraId="212493A1" w14:textId="707FB7A6" w:rsidR="005F782F" w:rsidRPr="005F41B0" w:rsidRDefault="005F782F" w:rsidP="00EE0F0B">
      <w:pPr>
        <w:pStyle w:val="Bullet1G"/>
      </w:pPr>
      <w:r w:rsidRPr="005F41B0">
        <w:t>En 2019, el Gobierno del Canadá promulgó la Ley de Accesibilidad del Canadá, en que se prevén la determinación proactiva, la eliminación y la prevención de las barreras a la accesibilidad en siete áreas prioritarias que van desde el empleo hasta el transporte. La ley se aplica a unas 6.500 entidades reguladas, incluidos los departamentos y organismos del Gobierno federal, el Parlamento federal, las Fuerzas Armadas canadienses, las empresas de la Corona y las empresas bajo regulación federal en sectores clave como la banca, el transporte y las telecomunicaciones</w:t>
      </w:r>
      <w:r w:rsidR="00EE0F0B" w:rsidRPr="005F41B0">
        <w:t>.</w:t>
      </w:r>
    </w:p>
    <w:p w14:paraId="13405AF6" w14:textId="4497862D" w:rsidR="005F782F" w:rsidRPr="005F41B0" w:rsidRDefault="005F782F" w:rsidP="00EE0F0B">
      <w:pPr>
        <w:pStyle w:val="Bullet1G"/>
      </w:pPr>
      <w:r w:rsidRPr="005F41B0">
        <w:t>El Groupe d</w:t>
      </w:r>
      <w:r w:rsidR="00222472" w:rsidRPr="005F41B0">
        <w:t>’</w:t>
      </w:r>
      <w:r w:rsidRPr="005F41B0">
        <w:t xml:space="preserve">action contre le racisme (grupo de acción contra el racismo) creado por el gobierno de Quebec en 2019 presentó su informe </w:t>
      </w:r>
      <w:r w:rsidR="00222472" w:rsidRPr="005F41B0">
        <w:t>“</w:t>
      </w:r>
      <w:r w:rsidRPr="005F41B0">
        <w:t>Le racisme au Québec : Tolérance zéro</w:t>
      </w:r>
      <w:r w:rsidR="00222472" w:rsidRPr="005F41B0">
        <w:t>”</w:t>
      </w:r>
      <w:r w:rsidRPr="005F41B0">
        <w:t xml:space="preserve"> (El racismo en Quebec: tolerancia cero). Para dar seguimiento al informe, el gobierno de Quebec puso en marcha varias medidas, entre ellas el nombramiento de un ministro responsable de la lucha contra el racismo; el despliegue de una campaña de sensibilización sobre el racismo; la creación de equipos conjuntos de intervención compuestos por agentes de policía y trabajadores comunitarios; la creación de formación en línea, en particular sobre género, y el aumento de los recursos para los grupos comunitarios indígenas que trabajan en el acceso a la justicia</w:t>
      </w:r>
      <w:r w:rsidR="00EE0F0B" w:rsidRPr="005F41B0">
        <w:t>.</w:t>
      </w:r>
    </w:p>
    <w:p w14:paraId="26EE502F" w14:textId="4FD141BD" w:rsidR="005F782F" w:rsidRPr="005F41B0" w:rsidRDefault="005F782F" w:rsidP="00EE0F0B">
      <w:pPr>
        <w:pStyle w:val="Bullet1G"/>
      </w:pPr>
      <w:r w:rsidRPr="005F41B0">
        <w:t>En 2020, el Primer Ministro nombró al Honorable Irwin Cotler Enviado Especial del Canadá para la Preservación de la Memoria del Holocausto y la Lucha contra el Antisemitismo. Al final del mandato del Sr. Cotler, en 2023, Deborah Lyons fue nombrada nueva Enviada Especial para dirigir los esfuerzos de lucha contra el antisemitismo dentro y fuera del país</w:t>
      </w:r>
      <w:r w:rsidR="00EE0F0B" w:rsidRPr="005F41B0">
        <w:t>.</w:t>
      </w:r>
    </w:p>
    <w:p w14:paraId="1F86D31F" w14:textId="3E55F49E" w:rsidR="005F782F" w:rsidRPr="005F41B0" w:rsidRDefault="005F782F" w:rsidP="00EE0F0B">
      <w:pPr>
        <w:pStyle w:val="Bullet1G"/>
      </w:pPr>
      <w:r w:rsidRPr="005F41B0">
        <w:t xml:space="preserve">En 2022, el Gobierno del Canadá publicó el primer Plan de Acción federal para el colectivo 2SLGBTQI+ con el fin de promover los derechos y la igualdad de las personas de dos espíritus, lesbianas, gays, bisexuales, transgénero, </w:t>
      </w:r>
      <w:r w:rsidRPr="005F41B0">
        <w:rPr>
          <w:i/>
          <w:iCs/>
        </w:rPr>
        <w:t>queer</w:t>
      </w:r>
      <w:r w:rsidRPr="005F41B0">
        <w:t>, intersexuales y con diversidad sexual y de género en el Canadá. Con este plan se pretenden abordar y prevenir la discriminación y la estigmatización por causa de la orientación sexual, las características sexuales y la identidad o expresión de género. En el Plan de Acción se da prioridad a la acción comunitaria y se coordina la labor del Gobierno del Canadá por medio de un enfoque holístico, interseccional y a largo plazo</w:t>
      </w:r>
      <w:r w:rsidR="00EE0F0B" w:rsidRPr="005F41B0">
        <w:t>.</w:t>
      </w:r>
    </w:p>
    <w:p w14:paraId="125E2102" w14:textId="5764450E" w:rsidR="005F782F" w:rsidRPr="005F41B0" w:rsidRDefault="005F782F" w:rsidP="00EE0F0B">
      <w:pPr>
        <w:pStyle w:val="Bullet1G"/>
      </w:pPr>
      <w:r w:rsidRPr="005F41B0">
        <w:t>En 2022, se permitió que los ciudadanos de Columbia Británica cambiasen la designación de su sexo en sus partidas de nacimiento, sus tarjetas de servicios y sus documentos de identidad de Columbia Británica sin la confirmación de un médico o un psicólogo. Columbia Británica redujo aún más las barreras al eliminar la solicitud de una declaración estatutaria en el momento de cambiar de designación de género</w:t>
      </w:r>
      <w:r w:rsidR="00EE0F0B" w:rsidRPr="005F41B0">
        <w:t>.</w:t>
      </w:r>
    </w:p>
    <w:p w14:paraId="40250DE9" w14:textId="46890B88" w:rsidR="005F782F" w:rsidRPr="005F41B0" w:rsidRDefault="005F782F" w:rsidP="00EE0F0B">
      <w:pPr>
        <w:pStyle w:val="Bullet1G"/>
      </w:pPr>
      <w:r w:rsidRPr="005F41B0">
        <w:t>En 2022, el Gobierno del Canadá puso en marcha el Plan de Acción para la Inclusión de la Discapacidad, un proyecto para fomentar los avances en materia de inclusión de la discapacidad en el Canadá. Entre las principales medidas de aplicación figuran una nueva prestación de discapacidad canadiense, una estrategia de empleo para personas con discapacidad y la aplicación oportuna de la Ley de Accesibilidad del Canadá, cuyo objetivo es conseguir que el Canadá esté libre de barreras antes del 1 de enero de 2040</w:t>
      </w:r>
      <w:r w:rsidR="00EE0F0B" w:rsidRPr="005F41B0">
        <w:t>.</w:t>
      </w:r>
      <w:bookmarkStart w:id="4" w:name="_Hlk164178124"/>
      <w:bookmarkEnd w:id="4"/>
    </w:p>
    <w:p w14:paraId="689388B8" w14:textId="77777777" w:rsidR="005F782F" w:rsidRPr="005F41B0" w:rsidRDefault="005F782F" w:rsidP="00EE0F0B">
      <w:pPr>
        <w:pStyle w:val="Bullet1G"/>
      </w:pPr>
      <w:r w:rsidRPr="005F41B0">
        <w:t>En 2023, el Primer Ministro nombró a la primera Representante Especial para la Lucha contra la Islamofobia del Canadá, Amira Elghawaby, que actúa como defensora, asesora, experta y representante ante el Gobierno del Canadá con vistas a potenciar los esfuerzos de lucha contra la islamofobia y promover la concienciación sobre las identidades diversas e interseccionales de los musulmanes en el Canadá.</w:t>
      </w:r>
    </w:p>
    <w:p w14:paraId="7EF0FC51" w14:textId="5941F490" w:rsidR="005F782F" w:rsidRPr="005F41B0" w:rsidRDefault="005F782F" w:rsidP="00EE0F0B">
      <w:pPr>
        <w:pStyle w:val="H1G"/>
      </w:pPr>
      <w:r w:rsidRPr="005F41B0">
        <w:lastRenderedPageBreak/>
        <w:tab/>
      </w:r>
      <w:r w:rsidR="00EE0F0B" w:rsidRPr="005F41B0">
        <w:tab/>
      </w:r>
      <w:r w:rsidRPr="005F41B0">
        <w:t>Respuesta al párrafo 5</w:t>
      </w:r>
    </w:p>
    <w:p w14:paraId="7E0CAAD4" w14:textId="2B122015" w:rsidR="005F782F" w:rsidRPr="005F41B0" w:rsidRDefault="00EE0F0B" w:rsidP="00EE0F0B">
      <w:pPr>
        <w:pStyle w:val="H23G"/>
      </w:pPr>
      <w:r w:rsidRPr="005F41B0">
        <w:tab/>
      </w:r>
      <w:r w:rsidR="005F782F" w:rsidRPr="005F41B0">
        <w:tab/>
        <w:t>Denuncias de casos de uso letal de la fuerza y de muertes durante la detención</w:t>
      </w:r>
    </w:p>
    <w:p w14:paraId="47028D83" w14:textId="77777777" w:rsidR="005F782F" w:rsidRPr="005F41B0" w:rsidRDefault="005F782F" w:rsidP="005F782F">
      <w:pPr>
        <w:pStyle w:val="SingleTxtG"/>
        <w:rPr>
          <w:b/>
        </w:rPr>
      </w:pPr>
      <w:r w:rsidRPr="005F41B0">
        <w:t>31.</w:t>
      </w:r>
      <w:r w:rsidRPr="005F41B0">
        <w:tab/>
        <w:t>En el anexo A pueden consultarse datos e información sobre el uso letal de la fuerza y las muertes durante la detención.</w:t>
      </w:r>
    </w:p>
    <w:p w14:paraId="47FBB63A" w14:textId="71658DB5" w:rsidR="005F782F" w:rsidRPr="005F41B0" w:rsidRDefault="00EE0F0B" w:rsidP="00EE0F0B">
      <w:pPr>
        <w:pStyle w:val="H23G"/>
      </w:pPr>
      <w:r w:rsidRPr="005F41B0">
        <w:tab/>
      </w:r>
      <w:r w:rsidR="005F782F" w:rsidRPr="005F41B0">
        <w:tab/>
        <w:t>Servicios policiales carentes de prejuicios</w:t>
      </w:r>
    </w:p>
    <w:p w14:paraId="1E8AAE88" w14:textId="77777777" w:rsidR="005F782F" w:rsidRPr="005F41B0" w:rsidRDefault="005F782F" w:rsidP="005F782F">
      <w:pPr>
        <w:pStyle w:val="SingleTxtG"/>
      </w:pPr>
      <w:r w:rsidRPr="005F41B0">
        <w:t>32.</w:t>
      </w:r>
      <w:r w:rsidRPr="005F41B0">
        <w:tab/>
        <w:t>La Real Policía Montada del Canadá (RPMC) dispone de formación para fomentar los servicios policiales carentes de prejuicios, que incluye cursos obligatorios de sensibilización cultural y lucha contra el racismo. Esta formación ayuda a enriquecer los conocimientos de los agentes de la RPMC sobre la historia de las cuestiones relativas a la raza y su arraigo en la sociedad canadiense; las diferencias entre la elaboración de perfiles raciales perjudiciales y la elaboración adecuada de perfiles delictivos basados en el comportamiento, y el modo de aplicar perspectivas imparciales en los servicios policiales federales. La RPMC también tiene una política policial libre de prejuicios en que se define la elaboración de perfiles raciales y se prohíbe específicamente esta práctica. En la política de controles en la vía pública de la RPMC se estipula que los controles en la vía pública deben cumplir las directivas de servicios policiales carentes de prejuicios y se establecen más requisitos para velar por que los controles en la vía pública se realicen solo en circunstancias adecuadas, como las interacciones cara a cara con personas de las que conste que están implicadas en actividades delictivas o exista la creencia razonable de que lo están.</w:t>
      </w:r>
    </w:p>
    <w:p w14:paraId="49565A9E" w14:textId="5ACFBD97" w:rsidR="005F782F" w:rsidRPr="005F41B0" w:rsidRDefault="005F782F" w:rsidP="005F782F">
      <w:pPr>
        <w:pStyle w:val="SingleTxtG"/>
      </w:pPr>
      <w:r w:rsidRPr="005F41B0">
        <w:t>33.</w:t>
      </w:r>
      <w:r w:rsidRPr="005F41B0">
        <w:tab/>
        <w:t>Para evitar la elaboración de perfiles raciales, Quebec preparó en el verano de 2020 una práctica policial sobre los controles policiales. En esta práctica se prohíben los controles policiales basados en la raza, el color, el origen étnico o nacional, la religión o la condición social. Se está trabajando para proporcionar a los agentes de policía v</w:t>
      </w:r>
      <w:r w:rsidR="00553B9A" w:rsidRPr="005F41B0">
        <w:t>í</w:t>
      </w:r>
      <w:r w:rsidRPr="005F41B0">
        <w:t>deos de instrucción sobre la elaboración de perfiles raciales y sociales. Quebec también anunció la puesta en marcha de equipos conjuntos de intervención compuestos por agentes de policía y trabajadores comunitarios de la Sûreté du Québec (la policía provincial) para trabajar con indígenas y no indígenas con diversos problemas (por ejemplo, consumo de alcohol y drogas, desorganización social, criminalización excesiva y personas sin hogar). Además, se establecieron medidas para apoyar a las fuerzas policiales en el desarrollo y la puesta a prueba de modelos de intervención innovadores a fin de proveer de las mejores prácticas a los servicios policiales de Quebec.</w:t>
      </w:r>
    </w:p>
    <w:p w14:paraId="10DF369E" w14:textId="77777777" w:rsidR="005F782F" w:rsidRPr="005F41B0" w:rsidRDefault="005F782F" w:rsidP="005F782F">
      <w:pPr>
        <w:pStyle w:val="SingleTxtG"/>
      </w:pPr>
      <w:r w:rsidRPr="005F41B0">
        <w:t>34.</w:t>
      </w:r>
      <w:r w:rsidRPr="005F41B0">
        <w:tab/>
        <w:t>En Columbia Británica, las normas policiales provinciales sobre la promoción de unos servicios policiales carentes de prejuicios se introdujeron en julio de 2021 y entraron en vigor en 2023 a fin de dar tiempo a los organismos policiales para que estableciesen las políticas, los procedimientos y los procesos de auditoría necesarios. Además, en enero de 2020 se establecieron normas policiales provinciales por las que se regulaban los controles policiales y se exigía que en las políticas y los procedimientos de todos los organismos policiales se facilitasen directrices a los agentes de policía dirigidas a salvaguardar los derechos, entre ellas las siguientes: i) que la decisión de parar a una persona no debe basarse en factores de identidad; e ii) que no se debe detener a una persona por el mero hecho de tener en común un factor de identidad, como la raza, con una persona buscada por la policía.</w:t>
      </w:r>
    </w:p>
    <w:p w14:paraId="5E3F0F5B" w14:textId="5F6C9ED9" w:rsidR="005F782F" w:rsidRPr="005F41B0" w:rsidRDefault="00EE0F0B" w:rsidP="00EE0F0B">
      <w:pPr>
        <w:pStyle w:val="H23G"/>
      </w:pPr>
      <w:r w:rsidRPr="005F41B0">
        <w:tab/>
      </w:r>
      <w:r w:rsidR="005F782F" w:rsidRPr="005F41B0">
        <w:tab/>
        <w:t>Medidas contra la sobrerrepresentación en la justicia penal</w:t>
      </w:r>
    </w:p>
    <w:p w14:paraId="343D0C99" w14:textId="77777777" w:rsidR="005F782F" w:rsidRPr="005F41B0" w:rsidRDefault="005F782F" w:rsidP="005F782F">
      <w:pPr>
        <w:pStyle w:val="SingleTxtG"/>
      </w:pPr>
      <w:r w:rsidRPr="005F41B0">
        <w:t>35.</w:t>
      </w:r>
      <w:r w:rsidRPr="005F41B0">
        <w:tab/>
        <w:t>En 2022, el Gobierno del Canadá modificó el Código Penal y la Ley de Drogas y Sustancias Sujetas a Fiscalización con el fin de derogar algunas de las penas mínimas obligatorias y las limitaciones a la posibilidad de imponer condenas basadas en la comunidad que afectaban de forma desproporcionada a indígenas, negros y otras personas racializadas. Con las modificaciones se otorga a los tribunales discrecionalidad judicial para tener plenamente en cuenta las circunstancias de los delincuentes indígenas, negros o racializados a la hora de determinar las penas adecuadas. Por último, ahora la policía y los fiscales están obligados a estudiar alternativas a los cargos penales por simple posesión de drogas. Si bien las personas racializadas y no racializadas consumen sustancias en proporciones similares, existen diferencias en las detenciones por posesión de drogas entre los grupos raciales.</w:t>
      </w:r>
    </w:p>
    <w:p w14:paraId="25190AB2" w14:textId="1AAA6C31" w:rsidR="005F782F" w:rsidRPr="005F41B0" w:rsidRDefault="005F782F" w:rsidP="005F782F">
      <w:pPr>
        <w:pStyle w:val="SingleTxtG"/>
      </w:pPr>
      <w:r w:rsidRPr="005F41B0">
        <w:lastRenderedPageBreak/>
        <w:t>36.</w:t>
      </w:r>
      <w:r w:rsidRPr="005F41B0">
        <w:tab/>
        <w:t>Estas reformas complementan las reformas de 2019 del sistema de libertad bajo fianza. En el anterior proyecto de ley C</w:t>
      </w:r>
      <w:r w:rsidRPr="005F41B0">
        <w:noBreakHyphen/>
        <w:t xml:space="preserve">75 se introdujo un </w:t>
      </w:r>
      <w:r w:rsidR="00222472" w:rsidRPr="005F41B0">
        <w:t>“</w:t>
      </w:r>
      <w:r w:rsidRPr="005F41B0">
        <w:t>principio de moderación</w:t>
      </w:r>
      <w:r w:rsidR="00222472" w:rsidRPr="005F41B0">
        <w:t>”</w:t>
      </w:r>
      <w:r w:rsidRPr="005F41B0">
        <w:t xml:space="preserve"> en la libertad bajo fianza, con lo que se fomentó la puesta en libertad en la primera oportunidad razonable y en las condiciones menos onerosas. El principio de moderación es un principio rector y no dicta un resultado concreto: la detención sigue estando justificada si es necesaria para evitar el riesgo de fuga, para preservar la seguridad pública o para mantener la confianza en la administración de justicia. En el proyecto de ley también se añadió un principio por el que se obligaba a jueces y agentes de policía a tener en cuenta las circunstancias de los acusados indígenas y de los pertenecientes a poblaciones vulnerables, con el fin de remediar los efectos desproporcionados que el sistema de libertad bajo fianza había tenido en esas poblaciones.</w:t>
      </w:r>
    </w:p>
    <w:p w14:paraId="4CBC2295" w14:textId="77777777" w:rsidR="005F782F" w:rsidRPr="005F41B0" w:rsidRDefault="005F782F" w:rsidP="005F782F">
      <w:pPr>
        <w:pStyle w:val="SingleTxtG"/>
      </w:pPr>
      <w:bookmarkStart w:id="5" w:name="_Hlk184799963"/>
      <w:r w:rsidRPr="005F41B0">
        <w:t>37.</w:t>
      </w:r>
      <w:r w:rsidRPr="005F41B0">
        <w:tab/>
        <w:t>El Fondo de Reintegración Comunitaria (FRC) del Servicio Penitenciario del Canadá (CSC) se amplió en 2017 con el fin de aumentar la financiación y crear el Programa de Contribución a la Reintegración de Delincuentes Indígenas. Con el FRC se fomenta la capacidad de las comunidades indígenas de rehabilitar y reintegrar a los delincuentes indígenas con intervenciones y servicios en que se tengan en cuenta los aspectos culturales. Con esta iniciativa se pretende contribuir a invertir la sobrerrepresentación de los Pueblos Indígenas en las instituciones penitenciarias federales del Canadá.</w:t>
      </w:r>
      <w:bookmarkEnd w:id="5"/>
    </w:p>
    <w:p w14:paraId="688798C0" w14:textId="77777777" w:rsidR="005F782F" w:rsidRPr="005F41B0" w:rsidRDefault="005F782F" w:rsidP="005F782F">
      <w:pPr>
        <w:pStyle w:val="SingleTxtG"/>
      </w:pPr>
      <w:bookmarkStart w:id="6" w:name="_Hlk159405457"/>
      <w:bookmarkStart w:id="7" w:name="_Hlk159405360"/>
      <w:r w:rsidRPr="005F41B0">
        <w:t>38.</w:t>
      </w:r>
      <w:r w:rsidRPr="005F41B0">
        <w:tab/>
        <w:t>En 2020, el CSC desarrolló un Marco de Lucha contra el Racismo con el objetivo de eliminar las barreras sistémicas y promover una organización antirracista, diversa, equitativa e integradora. Este marco representa las principales iniciativas corporativas del CSC centradas en los empleados, los delincuentes y los interesados. Una iniciativa del pilar de delincuentes es el Marco de Acción Etnocultural (MAE), cuyo objetivo es responder a las necesidades de los delincuentes etnoculturales. En el MAE se introduce la función de Coordinador de Centros Etnoculturales, que desempeña un empleado del CSC en cada centro penitenciario, y se vela por la presencia de Representantes Etnoculturales de Delincuentes en cada centro. En el MAE también se establecen las medidas relativas a los recursos de desarrollo profesional para los empleados, así como recursos para los delincuentes y sus familias. El CSC también está elaborando una Estrategia relativa a los Delincuentes Negros a fin de colmar las lagunas del sistema.</w:t>
      </w:r>
    </w:p>
    <w:p w14:paraId="34FBE9CC" w14:textId="77777777" w:rsidR="005F782F" w:rsidRPr="005F41B0" w:rsidRDefault="005F782F" w:rsidP="005F782F">
      <w:pPr>
        <w:pStyle w:val="SingleTxtG"/>
      </w:pPr>
      <w:r w:rsidRPr="005F41B0">
        <w:t>39.</w:t>
      </w:r>
      <w:r w:rsidRPr="005F41B0">
        <w:tab/>
        <w:t>El Gobierno del Canadá está desarrollando una Estrategia de Justicia para los Indígenas, en consulta y cooperación con las Primeras Naciones, los inuit y los métis y en colaboración con las provincias y los territorios, con el fin de abordar la discriminación sistémica y la sobrerrepresentación de los Pueblos Indígenas en el sistema de justicia. El Gobierno del Canadá también está trabajando con las comunidades negras, las provincias y los territorios en el desarrollo de la Estrategia de Justicia para los Negros del Canadá con el objetivo de combatir el racismo contra las personas de raza negra y la discriminación sistémica que ha llevado a la sobrerrepresentación de los negros en el sistema de justicia penal, incluso como víctimas de delitos.</w:t>
      </w:r>
      <w:bookmarkEnd w:id="6"/>
    </w:p>
    <w:bookmarkEnd w:id="7"/>
    <w:p w14:paraId="3F450E1A" w14:textId="77777777" w:rsidR="005F782F" w:rsidRPr="005F41B0" w:rsidRDefault="005F782F" w:rsidP="005F782F">
      <w:pPr>
        <w:pStyle w:val="SingleTxtG"/>
      </w:pPr>
      <w:r w:rsidRPr="005F41B0">
        <w:t>40.</w:t>
      </w:r>
      <w:r w:rsidRPr="005F41B0">
        <w:tab/>
        <w:t>La información sobre el uso de alternativas a la privación de libertad puede consultarse en la cuestión 15.</w:t>
      </w:r>
    </w:p>
    <w:p w14:paraId="573AD0DD" w14:textId="1BE850F4" w:rsidR="005F782F" w:rsidRPr="005F41B0" w:rsidRDefault="005F782F" w:rsidP="00EE0F0B">
      <w:pPr>
        <w:pStyle w:val="H1G"/>
      </w:pPr>
      <w:r w:rsidRPr="005F41B0">
        <w:tab/>
      </w:r>
      <w:r w:rsidR="00EE0F0B" w:rsidRPr="005F41B0">
        <w:tab/>
      </w:r>
      <w:r w:rsidRPr="005F41B0">
        <w:t>Respuesta al párrafo 6</w:t>
      </w:r>
    </w:p>
    <w:p w14:paraId="066B8AD3" w14:textId="3A882A54" w:rsidR="005F782F" w:rsidRPr="005F41B0" w:rsidRDefault="00EE0F0B" w:rsidP="00EE0F0B">
      <w:pPr>
        <w:pStyle w:val="H23G"/>
      </w:pPr>
      <w:r w:rsidRPr="005F41B0">
        <w:tab/>
      </w:r>
      <w:r w:rsidR="005F782F" w:rsidRPr="005F41B0">
        <w:tab/>
        <w:t>Delitos de odio</w:t>
      </w:r>
    </w:p>
    <w:p w14:paraId="66B980A4" w14:textId="77777777" w:rsidR="005F782F" w:rsidRPr="005F41B0" w:rsidRDefault="005F782F" w:rsidP="005F782F">
      <w:pPr>
        <w:pStyle w:val="SingleTxtG"/>
        <w:rPr>
          <w:b/>
        </w:rPr>
      </w:pPr>
      <w:r w:rsidRPr="005F41B0">
        <w:t>41.</w:t>
      </w:r>
      <w:r w:rsidRPr="005F41B0">
        <w:tab/>
        <w:t>En el anexo A figuran datos e información sobre los delitos de odio declarados por la policía.</w:t>
      </w:r>
    </w:p>
    <w:p w14:paraId="7588F20F" w14:textId="14CCB295" w:rsidR="005F782F" w:rsidRPr="005F41B0" w:rsidRDefault="00EE0F0B" w:rsidP="00EE0F0B">
      <w:pPr>
        <w:pStyle w:val="H23G"/>
      </w:pPr>
      <w:r w:rsidRPr="005F41B0">
        <w:tab/>
      </w:r>
      <w:r w:rsidR="005F782F" w:rsidRPr="005F41B0">
        <w:tab/>
        <w:t>Medidas legislativas y de otra índole</w:t>
      </w:r>
    </w:p>
    <w:p w14:paraId="21BB2B87" w14:textId="133CC6A1" w:rsidR="005F782F" w:rsidRPr="005F41B0" w:rsidRDefault="005F782F" w:rsidP="005F782F">
      <w:pPr>
        <w:pStyle w:val="SingleTxtG"/>
      </w:pPr>
      <w:r w:rsidRPr="005F41B0">
        <w:t>42.</w:t>
      </w:r>
      <w:r w:rsidRPr="005F41B0">
        <w:tab/>
        <w:t xml:space="preserve">En el Código Penal se tipifican cuatro delitos de propaganda del odio: apología del genocidio; incitación pública al odio; promoción deliberada del odio, y promoción deliberada del antisemitismo. Este último delito entró en vigor en junio de 2022, y se dirige contra el odio por el hecho de negar, aprobar o restar importancia al Holocausto. En 2017, se añadió la </w:t>
      </w:r>
      <w:r w:rsidR="00222472" w:rsidRPr="005F41B0">
        <w:t>“</w:t>
      </w:r>
      <w:r w:rsidRPr="005F41B0">
        <w:t>identidad o expresión de género</w:t>
      </w:r>
      <w:r w:rsidR="00222472" w:rsidRPr="005F41B0">
        <w:t>”</w:t>
      </w:r>
      <w:r w:rsidRPr="005F41B0">
        <w:t xml:space="preserve"> a la definición de </w:t>
      </w:r>
      <w:r w:rsidR="00222472" w:rsidRPr="005F41B0">
        <w:t>“</w:t>
      </w:r>
      <w:r w:rsidRPr="005F41B0">
        <w:t>grupo identificable</w:t>
      </w:r>
      <w:r w:rsidR="00222472" w:rsidRPr="005F41B0">
        <w:t>”</w:t>
      </w:r>
      <w:r w:rsidRPr="005F41B0">
        <w:t xml:space="preserve"> en el Código </w:t>
      </w:r>
      <w:r w:rsidRPr="005F41B0">
        <w:lastRenderedPageBreak/>
        <w:t>Penal, con lo que se ampliaron los delitos de propaganda del odio a circunstancias en que las personas son objeto de ataques por estos motivos.</w:t>
      </w:r>
    </w:p>
    <w:p w14:paraId="24819A1C" w14:textId="77777777" w:rsidR="005F782F" w:rsidRPr="005F41B0" w:rsidRDefault="005F782F" w:rsidP="005F782F">
      <w:pPr>
        <w:pStyle w:val="SingleTxtG"/>
      </w:pPr>
      <w:r w:rsidRPr="005F41B0">
        <w:t>43.</w:t>
      </w:r>
      <w:r w:rsidRPr="005F41B0">
        <w:tab/>
        <w:t>Columbia Británica cuenta con un Equipo Integrado de Delitos de Odio de ámbito provincial que ofrece asesoramiento y orientación a la policía de la provincia que investiga delitos de odio y al Consejo de la Corona y a la Fiscalía de Columbia Británica a la hora de presentar y enjuiciar los cargos correspondientes.</w:t>
      </w:r>
    </w:p>
    <w:p w14:paraId="1B01E344" w14:textId="77777777" w:rsidR="005F782F" w:rsidRPr="005F41B0" w:rsidRDefault="005F782F" w:rsidP="005F782F">
      <w:pPr>
        <w:pStyle w:val="SingleTxtG"/>
      </w:pPr>
      <w:r w:rsidRPr="005F41B0">
        <w:t>44.</w:t>
      </w:r>
      <w:r w:rsidRPr="005F41B0">
        <w:tab/>
        <w:t>Los servicios policiales de Ontario tienen acceso a programas de subvenciones para gestionar cuestiones de seguridad comunitaria locales y provinciales, incluida la ayuda para aumentar su capacidad de investigar y hacer cumplir la ley en materia de delitos de odio. El Grupo de Trabajo sobre Delitos de Odio de Ontario, compuesto por fiscales de la Corona expertos en delitos de odio, asesora a la policía en materia de investigación y garantiza un enfoque coherente de los enjuiciamientos relacionados con el odio en toda la provincia.</w:t>
      </w:r>
    </w:p>
    <w:p w14:paraId="327858EF" w14:textId="1CE9E1E3" w:rsidR="005F782F" w:rsidRPr="005F41B0" w:rsidRDefault="005F782F" w:rsidP="005F782F">
      <w:pPr>
        <w:pStyle w:val="SingleTxtG"/>
      </w:pPr>
      <w:r w:rsidRPr="005F41B0">
        <w:t>45.</w:t>
      </w:r>
      <w:r w:rsidRPr="005F41B0">
        <w:tab/>
        <w:t xml:space="preserve">Quebec ha puesto en marcha un Plan de Acción para luchar contra la radicalización mediante la prevención, la detección y la promoción de la convivencia (título: </w:t>
      </w:r>
      <w:r w:rsidR="00222472" w:rsidRPr="005F41B0">
        <w:t>“</w:t>
      </w:r>
      <w:r w:rsidRPr="005F41B0">
        <w:t>La radicalisation au Québec : agir, prévenir, détecter et vivre ensemble</w:t>
      </w:r>
      <w:r w:rsidR="00222472" w:rsidRPr="005F41B0">
        <w:t>”</w:t>
      </w:r>
      <w:r w:rsidRPr="005F41B0">
        <w:t>). Varias medidas incluidas en el Plan se han convertido en prácticas habituales en Quebec.</w:t>
      </w:r>
    </w:p>
    <w:p w14:paraId="4DF88943" w14:textId="77777777" w:rsidR="005F782F" w:rsidRPr="005F41B0" w:rsidRDefault="005F782F" w:rsidP="005F782F">
      <w:pPr>
        <w:pStyle w:val="SingleTxtG"/>
      </w:pPr>
      <w:r w:rsidRPr="005F41B0">
        <w:t>46.</w:t>
      </w:r>
      <w:r w:rsidRPr="005F41B0">
        <w:tab/>
        <w:t>El Programa de Infraestructuras de Seguridad del Gobierno del Canadá ayuda a proteger a las comunidades en riesgo de sufrir delitos de odio al proveer a las organizaciones que reúnan los requisitos de financiación para que mejoren sus infraestructuras de seguridad. En 2023, el programa se amplió para incluir los refugios que prestan apoyo a las víctimas de violencia de género, incluidos los delitos de odio motivados por el sexo, la orientación sexual o la identidad o expresión de género. Además, se creó una nueva corriente de Asistencia para los Incidentes Graves motivados por el Odio con el fin de dar prioridad a la financiación de organizaciones víctimas de delitos significativos y directos motivados por el odio contra sus instalaciones.</w:t>
      </w:r>
    </w:p>
    <w:p w14:paraId="52B6B145" w14:textId="52133241" w:rsidR="005F782F" w:rsidRPr="005F41B0" w:rsidRDefault="005F782F" w:rsidP="00EE0F0B">
      <w:pPr>
        <w:pStyle w:val="H1G"/>
      </w:pPr>
      <w:r w:rsidRPr="005F41B0">
        <w:tab/>
      </w:r>
      <w:r w:rsidR="00EE0F0B" w:rsidRPr="005F41B0">
        <w:tab/>
      </w:r>
      <w:r w:rsidRPr="005F41B0">
        <w:t>Respuesta al párrafo 7</w:t>
      </w:r>
    </w:p>
    <w:p w14:paraId="45BB8D6A" w14:textId="65C1EA8A" w:rsidR="005F782F" w:rsidRPr="005F41B0" w:rsidRDefault="005F782F" w:rsidP="00EE0F0B">
      <w:pPr>
        <w:pStyle w:val="H23G"/>
      </w:pPr>
      <w:r w:rsidRPr="005F41B0">
        <w:tab/>
      </w:r>
      <w:r w:rsidR="00EE0F0B" w:rsidRPr="005F41B0">
        <w:tab/>
      </w:r>
      <w:r w:rsidRPr="005F41B0">
        <w:t>Disparidad salarial por razón de género</w:t>
      </w:r>
    </w:p>
    <w:p w14:paraId="472D042F" w14:textId="77777777" w:rsidR="005F782F" w:rsidRPr="005F41B0" w:rsidRDefault="005F782F" w:rsidP="005F782F">
      <w:pPr>
        <w:pStyle w:val="SingleTxtG"/>
      </w:pPr>
      <w:r w:rsidRPr="005F41B0">
        <w:t>47.</w:t>
      </w:r>
      <w:r w:rsidRPr="005F41B0">
        <w:tab/>
        <w:t>La Ley de Equidad de Remuneración entró en vigor en 2021 y con ella se estableció un régimen proactivo de equidad de remuneración para aproximadamente 1,32 millones de trabajadores en lugares de trabajo sujetos a reglamentación federal con diez o más empleados. En virtud de esta ley, las empresas deben establecer, examinar de forma periódica y actualizar sus planes de equidad de remuneración con el fin de analizar cualquier diferencia de retribución entre los puestos ocupados en su mayoría por mujeres y los ocupados por hombres que se consideren de igual valor. En los casos en que en el plan se detecten diferencias en la retribución, los empresarios deberán eliminarlas aumentando la retribución de los puestos ocupados en su mayoría por mujeres.</w:t>
      </w:r>
    </w:p>
    <w:p w14:paraId="25064F66" w14:textId="77777777" w:rsidR="005F782F" w:rsidRPr="005F41B0" w:rsidRDefault="005F782F" w:rsidP="005F782F">
      <w:pPr>
        <w:pStyle w:val="SingleTxtG"/>
      </w:pPr>
      <w:r w:rsidRPr="005F41B0">
        <w:t>48.</w:t>
      </w:r>
      <w:r w:rsidRPr="005F41B0">
        <w:tab/>
        <w:t>Además, los cambios en la Ley de Igualdad en el Empleo y las normas correspondientes, en vigor desde 2021, obligan a los lugares de trabajo del sector privado sujetos a reglamentación federal con 100 o más empleados a informar sobre las disparidades salariales que afecten a las mujeres, los Pueblos Indígenas, las personas con discapacidad y los miembros de minorías visibles. Estos cambios impulsarán a las empresas a examinar sus prácticas de recursos humanos y retribución, fomentarán el liderazgo en la reducción de las diferencias salariales y ayudarán a cambiar la cultura y las expectativas empresariales en pos de una igualdad mayor.</w:t>
      </w:r>
    </w:p>
    <w:p w14:paraId="7E20CB1A" w14:textId="77777777" w:rsidR="005F782F" w:rsidRPr="005F41B0" w:rsidRDefault="005F782F" w:rsidP="005F782F">
      <w:pPr>
        <w:pStyle w:val="SingleTxtG"/>
      </w:pPr>
      <w:r w:rsidRPr="005F41B0">
        <w:t>49.</w:t>
      </w:r>
      <w:r w:rsidRPr="005F41B0">
        <w:tab/>
        <w:t>En mayo de 2023, en Columbia Británica se promulgó la Ley de Transparencia Salarial con el fin de terminar con la disparidad salarial por razón de género. La ley impone requisitos nuevos a los empleadores para resolver la discriminación sistémica en el lugar de trabajo, y las empresas por encima de un cierto tamaño deberán cumplimentar y publicar anualmente informes de transparencia salarial.</w:t>
      </w:r>
    </w:p>
    <w:p w14:paraId="4B1C967C" w14:textId="1E5F7A5F" w:rsidR="005F782F" w:rsidRPr="005F41B0" w:rsidRDefault="005F782F" w:rsidP="005F782F">
      <w:pPr>
        <w:pStyle w:val="SingleTxtG"/>
      </w:pPr>
      <w:r w:rsidRPr="005F41B0">
        <w:t>50.</w:t>
      </w:r>
      <w:r w:rsidRPr="005F41B0">
        <w:tab/>
        <w:t xml:space="preserve">El objetivo de la Ley de Equidad de Remuneración de Quebec es reconocer el valor auténtico de las ocupaciones típicamente femeninas. La ley, que lleva en vigor más </w:t>
      </w:r>
      <w:r w:rsidRPr="005F41B0">
        <w:lastRenderedPageBreak/>
        <w:t>de</w:t>
      </w:r>
      <w:r w:rsidR="003C02C3" w:rsidRPr="005F41B0">
        <w:t> </w:t>
      </w:r>
      <w:r w:rsidRPr="005F41B0">
        <w:t>25</w:t>
      </w:r>
      <w:r w:rsidR="003C02C3" w:rsidRPr="005F41B0">
        <w:t> </w:t>
      </w:r>
      <w:r w:rsidRPr="005F41B0">
        <w:t>años, se modificó en 2019 con el objetivo principal de mejorar el proceso de auditoría de la igualdad salarial.</w:t>
      </w:r>
    </w:p>
    <w:p w14:paraId="22C5FE92" w14:textId="5D29C639" w:rsidR="005F782F" w:rsidRPr="005F41B0" w:rsidRDefault="005F782F" w:rsidP="00EE0F0B">
      <w:pPr>
        <w:pStyle w:val="H23G"/>
      </w:pPr>
      <w:r w:rsidRPr="005F41B0">
        <w:tab/>
      </w:r>
      <w:r w:rsidR="00EE0F0B" w:rsidRPr="005F41B0">
        <w:tab/>
      </w:r>
      <w:r w:rsidRPr="005F41B0">
        <w:t>Mujeres en puestos de liderazgo</w:t>
      </w:r>
    </w:p>
    <w:p w14:paraId="20C3F39E" w14:textId="77777777" w:rsidR="005F782F" w:rsidRPr="005F41B0" w:rsidRDefault="005F782F" w:rsidP="005F782F">
      <w:pPr>
        <w:pStyle w:val="SingleTxtG"/>
      </w:pPr>
      <w:r w:rsidRPr="005F41B0">
        <w:t>51.</w:t>
      </w:r>
      <w:r w:rsidRPr="005F41B0">
        <w:tab/>
        <w:t>Los gobiernos federal, provinciales y territoriales se han comprometido a velar por una representación mayor de las mujeres en los puestos de gobierno y de liderazgo del sector privado, como demuestran los ejemplos siguientes:</w:t>
      </w:r>
    </w:p>
    <w:p w14:paraId="1865C04E" w14:textId="4CA92348" w:rsidR="005F782F" w:rsidRPr="005F41B0" w:rsidRDefault="005F782F" w:rsidP="00EE0F0B">
      <w:pPr>
        <w:pStyle w:val="Bullet1G"/>
      </w:pPr>
      <w:bookmarkStart w:id="8" w:name="_Hlk184802311"/>
      <w:r w:rsidRPr="005F41B0">
        <w:t>Más de 2.700 organizaciones han participado en el reto 50</w:t>
      </w:r>
      <w:r w:rsidR="00A43506" w:rsidRPr="005F41B0">
        <w:t>-</w:t>
      </w:r>
      <w:r w:rsidRPr="005F41B0">
        <w:t>30 del Gobierno del Canadá, con el que se anima a las organizaciones participantes a aumentar la representación de grupos diversos y se les pide que aspiren a la paridad de género en las juntas canadienses o en la alta dirección</w:t>
      </w:r>
      <w:r w:rsidR="00EE0F0B" w:rsidRPr="005F41B0">
        <w:t>.</w:t>
      </w:r>
    </w:p>
    <w:bookmarkEnd w:id="8"/>
    <w:p w14:paraId="128F23E4" w14:textId="638204F2" w:rsidR="005F782F" w:rsidRPr="005F41B0" w:rsidRDefault="005F782F" w:rsidP="00EE0F0B">
      <w:pPr>
        <w:pStyle w:val="Bullet1G"/>
      </w:pPr>
      <w:r w:rsidRPr="005F41B0">
        <w:t>Con las modificaciones recientes de la Ley de Sociedades del Canadá se obliga a las empresas a divulgar información sobre la diversidad, lo que permite al Gobierno del Canadá hacer un seguimiento de los progresos en materia de representación</w:t>
      </w:r>
      <w:r w:rsidR="00EE0F0B" w:rsidRPr="005F41B0">
        <w:t>.</w:t>
      </w:r>
    </w:p>
    <w:p w14:paraId="1860941C" w14:textId="6035EC56" w:rsidR="005F782F" w:rsidRPr="005F41B0" w:rsidRDefault="005F782F" w:rsidP="00EE0F0B">
      <w:pPr>
        <w:pStyle w:val="Bullet1G"/>
      </w:pPr>
      <w:r w:rsidRPr="005F41B0">
        <w:t>Para alentar a los partidos políticos de Nuevo Brunswick a que capten más candidatas, a partir de 2017, la financiación que reciben los partidos en función de los resultados electorales es 1,5 veces mayor por los votos emitidos a favor de las mujeres</w:t>
      </w:r>
      <w:r w:rsidR="00EE0F0B" w:rsidRPr="005F41B0">
        <w:t>.</w:t>
      </w:r>
    </w:p>
    <w:p w14:paraId="4C1EA514" w14:textId="77777777" w:rsidR="005F782F" w:rsidRPr="005F41B0" w:rsidRDefault="005F782F" w:rsidP="00EE0F0B">
      <w:pPr>
        <w:pStyle w:val="Bullet1G"/>
      </w:pPr>
      <w:r w:rsidRPr="005F41B0">
        <w:t>El tema prioritario de la Subvención de la Secretaría Interministerial de la Mujer de la Isla del Príncipe Eduardo en 2019, 2020 y 2021 fue Mujeres y niñas en puestos de liderazgo.</w:t>
      </w:r>
    </w:p>
    <w:p w14:paraId="4EAFBEDD" w14:textId="0FB883B9" w:rsidR="005F782F" w:rsidRPr="005F41B0" w:rsidRDefault="005F782F" w:rsidP="00EE0F0B">
      <w:pPr>
        <w:pStyle w:val="H1G"/>
      </w:pPr>
      <w:r w:rsidRPr="005F41B0">
        <w:tab/>
      </w:r>
      <w:r w:rsidR="00EE0F0B" w:rsidRPr="005F41B0">
        <w:tab/>
      </w:r>
      <w:r w:rsidRPr="005F41B0">
        <w:t>Respuesta al párrafo 8</w:t>
      </w:r>
    </w:p>
    <w:p w14:paraId="473A12E1" w14:textId="383B7480" w:rsidR="005F782F" w:rsidRPr="005F41B0" w:rsidRDefault="005F782F" w:rsidP="00EE0F0B">
      <w:pPr>
        <w:pStyle w:val="H23G"/>
      </w:pPr>
      <w:r w:rsidRPr="005F41B0">
        <w:tab/>
      </w:r>
      <w:r w:rsidR="00EE0F0B" w:rsidRPr="005F41B0">
        <w:tab/>
      </w:r>
      <w:r w:rsidRPr="005F41B0">
        <w:t>Plan de acción nacional contra la violencia de género</w:t>
      </w:r>
    </w:p>
    <w:p w14:paraId="19F31F7A" w14:textId="77777777" w:rsidR="005F782F" w:rsidRPr="005F41B0" w:rsidRDefault="005F782F" w:rsidP="005F782F">
      <w:pPr>
        <w:pStyle w:val="SingleTxtG"/>
      </w:pPr>
      <w:r w:rsidRPr="005F41B0">
        <w:t>52.</w:t>
      </w:r>
      <w:r w:rsidRPr="005F41B0">
        <w:tab/>
        <w:t>Sobre la base de los enfoques y estrategias existentes de los gobiernos federal, provinciales y territoriales, en noviembre de 2022 el Canadá puso en marcha el Plan de Acción Nacional para Acabar con la Violencia de Género</w:t>
      </w:r>
      <w:r w:rsidRPr="005F41B0">
        <w:rPr>
          <w:rStyle w:val="Refdenotaalpie"/>
        </w:rPr>
        <w:footnoteReference w:id="9"/>
      </w:r>
      <w:r w:rsidRPr="005F41B0">
        <w:t>, un marco estratégico de 10 años para dar lugar a un Canadá libre de violencia de género. Con el Plan de Acción se pretende prevenir y afrontar todas las formas de violencia de género, incluidos los abusos físicos, económicos, sexuales y emocionales (psicológicos) en todas las jurisdicciones canadienses. El Plan tomó forma gracias a la colaboración con asociados indígenas, víctimas y supervivientes, proveedores de servicios de primera línea, expertos en violencia de género, académicos y la sociedad civil, y las recomendaciones de todos ellos.</w:t>
      </w:r>
    </w:p>
    <w:p w14:paraId="1F0B47B7" w14:textId="49AA3147" w:rsidR="005F782F" w:rsidRPr="005F41B0" w:rsidRDefault="00EE0F0B" w:rsidP="00EE0F0B">
      <w:pPr>
        <w:pStyle w:val="H23G"/>
      </w:pPr>
      <w:r w:rsidRPr="005F41B0">
        <w:tab/>
      </w:r>
      <w:r w:rsidR="005F782F" w:rsidRPr="005F41B0">
        <w:tab/>
        <w:t>Denuncias, investigaciones, enjuiciamientos y condenas</w:t>
      </w:r>
    </w:p>
    <w:p w14:paraId="0ECAFA65" w14:textId="77777777" w:rsidR="005F782F" w:rsidRPr="005F41B0" w:rsidRDefault="005F782F" w:rsidP="005F782F">
      <w:pPr>
        <w:pStyle w:val="SingleTxtG"/>
      </w:pPr>
      <w:r w:rsidRPr="005F41B0">
        <w:t>53.</w:t>
      </w:r>
      <w:r w:rsidRPr="005F41B0">
        <w:tab/>
        <w:t>En 2018, las mujeres eran más propensas que los hombres a declarar haber sufrido agresiones sexuales (3 % frente a 1 %, respectivamente), comportamientos sexuales indeseados mientras estaban en público (32 % frente a 13 %), comportamientos sexuales indeseados en línea (18 % frente a 14 %) y comportamientos sexuales indeseados en el lugar de trabajo (29 % frente a 17 %)</w:t>
      </w:r>
      <w:r w:rsidRPr="005F41B0">
        <w:rPr>
          <w:rStyle w:val="Refdenotaalpie"/>
        </w:rPr>
        <w:footnoteReference w:id="10"/>
      </w:r>
      <w:r w:rsidRPr="005F41B0">
        <w:t>.</w:t>
      </w:r>
    </w:p>
    <w:p w14:paraId="1BF4B00A" w14:textId="77777777" w:rsidR="005F782F" w:rsidRPr="005F41B0" w:rsidRDefault="005F782F" w:rsidP="005F782F">
      <w:pPr>
        <w:pStyle w:val="SingleTxtG"/>
      </w:pPr>
      <w:r w:rsidRPr="005F41B0">
        <w:t>54.</w:t>
      </w:r>
      <w:r w:rsidRPr="005F41B0">
        <w:tab/>
        <w:t>El Gobierno del Canadá recopila datos sobre delitos tipificados en el Código Penal por medio de los servicios policiales y los tribunales de todo el Canadá, lo que ofrece una imagen parcial de la violencia de género en el sistema de justicia penal. Los datos sobre violencia de género pueden consultarse en el anexo A. El Gobierno del Canadá está trabajando con los Pueblos Indígenas y racializados, las organizaciones comunitarias y los servicios policiales para desarrollar un plan de recopilación de datos desglosados</w:t>
      </w:r>
      <w:r w:rsidRPr="005F41B0">
        <w:rPr>
          <w:rStyle w:val="Refdenotaalpie"/>
        </w:rPr>
        <w:footnoteReference w:id="11"/>
      </w:r>
      <w:r w:rsidRPr="005F41B0">
        <w:t>.</w:t>
      </w:r>
    </w:p>
    <w:p w14:paraId="15121DB7" w14:textId="3FC2CD31" w:rsidR="005F782F" w:rsidRPr="005F41B0" w:rsidRDefault="00EE0F0B" w:rsidP="00EE0F0B">
      <w:pPr>
        <w:pStyle w:val="H23G"/>
      </w:pPr>
      <w:bookmarkStart w:id="9" w:name="_Hlk152942074"/>
      <w:r w:rsidRPr="005F41B0">
        <w:lastRenderedPageBreak/>
        <w:tab/>
      </w:r>
      <w:r w:rsidR="005F782F" w:rsidRPr="005F41B0">
        <w:tab/>
        <w:t>Apoyo a las víctimas</w:t>
      </w:r>
    </w:p>
    <w:bookmarkEnd w:id="9"/>
    <w:p w14:paraId="730AC427" w14:textId="20EF09B7" w:rsidR="005F782F" w:rsidRPr="005F41B0" w:rsidRDefault="005F782F" w:rsidP="005F782F">
      <w:pPr>
        <w:pStyle w:val="SingleTxtG"/>
      </w:pPr>
      <w:r w:rsidRPr="005F41B0">
        <w:t>55.</w:t>
      </w:r>
      <w:r w:rsidRPr="005F41B0">
        <w:tab/>
        <w:t>Entre 2022 y 2023, se produjeron 67.430 admisiones en 562 centros residenciales de todo el Canadá cuyo mandato principal era atender a víctimas de malos tratos: el 81 % eran centros de corta estancia con un mandato general de ofrecer alojamiento durante menos de 3</w:t>
      </w:r>
      <w:r w:rsidR="00D36C62" w:rsidRPr="005F41B0">
        <w:t> </w:t>
      </w:r>
      <w:r w:rsidRPr="005F41B0">
        <w:t>meses, mientras que el 19 % eran centros de larga estancia que normalmente podían ofrecer alojamiento durante 3 meses o más</w:t>
      </w:r>
      <w:r w:rsidRPr="005F41B0">
        <w:rPr>
          <w:rStyle w:val="Refdenotaalpie"/>
        </w:rPr>
        <w:footnoteReference w:id="12"/>
      </w:r>
      <w:r w:rsidRPr="005F41B0">
        <w:t>. Todas las provincias y territorios ofrecían servicios tanto de corta como de larga duración, a excepción de Nunavut, donde no había servicios de larga duración. El aumento de la financiación desde abril de 2020 a las organizaciones que atienden a quienes sufren violencia de género, incluidos los refugios para mujeres y los apoyos psicosociales, se expone en el anexo B.</w:t>
      </w:r>
    </w:p>
    <w:p w14:paraId="7F1401BA" w14:textId="2F46A9F8" w:rsidR="005F782F" w:rsidRPr="005F41B0" w:rsidRDefault="00EE0F0B" w:rsidP="00EE0F0B">
      <w:pPr>
        <w:pStyle w:val="H23G"/>
      </w:pPr>
      <w:r w:rsidRPr="005F41B0">
        <w:tab/>
      </w:r>
      <w:r w:rsidR="005F782F" w:rsidRPr="005F41B0">
        <w:tab/>
        <w:t>Medidas complementarias</w:t>
      </w:r>
    </w:p>
    <w:p w14:paraId="3D933CA0" w14:textId="77777777" w:rsidR="005F782F" w:rsidRPr="005F41B0" w:rsidRDefault="005F782F" w:rsidP="005F782F">
      <w:pPr>
        <w:pStyle w:val="SingleTxtG"/>
      </w:pPr>
      <w:r w:rsidRPr="005F41B0">
        <w:t>56.</w:t>
      </w:r>
      <w:r w:rsidRPr="005F41B0">
        <w:tab/>
        <w:t>Con el fin de mejorar el sistema jurídico para las víctimas de violencia de género, se enmendó el Código Penal con el fin de reforzar y clarificar las leyes sobre agresiones sexuales y violencia de pareja. Con las modificaciones de 2018 se reforzó la legislación sobre agresiones sexuales al aclarar cuestiones en torno al consentimiento, las denuncias de las víctimas y la representación y los registros privados. En las modificaciones de 2019 se definió la pareja en el sentido íntimo en el Código Penal y se aclaró que incluye a los cónyuges actuales o anteriores, las parejas de hecho y las parejas de citas. Ahora los tribunales deberán tener en cuenta los cargos anteriores por violencia de pareja a la hora de decidir si dejan en libertad o retienen a un acusado.</w:t>
      </w:r>
    </w:p>
    <w:p w14:paraId="548989EF" w14:textId="47A05AEC" w:rsidR="005F782F" w:rsidRPr="005F41B0" w:rsidRDefault="005F782F" w:rsidP="005F782F">
      <w:pPr>
        <w:pStyle w:val="SingleTxtG"/>
      </w:pPr>
      <w:r w:rsidRPr="005F41B0">
        <w:t>57.</w:t>
      </w:r>
      <w:r w:rsidRPr="005F41B0">
        <w:tab/>
        <w:t>En 2023, el Canadá ratificó el Convenio sobre la Violencia y el Acoso, 2019 (núm.</w:t>
      </w:r>
      <w:r w:rsidR="00EE0F0B" w:rsidRPr="005F41B0">
        <w:t> </w:t>
      </w:r>
      <w:r w:rsidRPr="005F41B0">
        <w:t>190) de la Organización Internacional del Trabajo. En 2021 se modificaron el Código Laboral del Canadá y la Ley de Empleo y Relaciones con el Personal en el Parlamento con el fin de proteger mejor a los empleados frente al acoso y la violencia en los lugares de trabajo federales, incluidos el acoso sexual y la violencia sexual, la discriminación y la violencia familiar. También en 2021, con una normativa nueva se reforzó el marco existente para hacer frente a la violencia y el acoso en los lugares de trabajo federales. El Gobierno del Canadá creó su Fondo para la Prevención del Acoso y la Violencia en el Lugar de Trabajo en 2019.</w:t>
      </w:r>
    </w:p>
    <w:p w14:paraId="3B7D7E6D" w14:textId="6DCCDB69" w:rsidR="005F782F" w:rsidRPr="005F41B0" w:rsidRDefault="005F782F" w:rsidP="00EE0F0B">
      <w:pPr>
        <w:pStyle w:val="H1G"/>
      </w:pPr>
      <w:r w:rsidRPr="005F41B0">
        <w:tab/>
      </w:r>
      <w:r w:rsidR="00EE0F0B" w:rsidRPr="005F41B0">
        <w:tab/>
      </w:r>
      <w:r w:rsidRPr="005F41B0">
        <w:t>Respuesta al párrafo 9</w:t>
      </w:r>
    </w:p>
    <w:p w14:paraId="5867E4F4" w14:textId="77777777" w:rsidR="005F782F" w:rsidRPr="005F41B0" w:rsidRDefault="005F782F" w:rsidP="005F782F">
      <w:pPr>
        <w:pStyle w:val="SingleTxtG"/>
      </w:pPr>
      <w:r w:rsidRPr="005F41B0">
        <w:t>58.</w:t>
      </w:r>
      <w:r w:rsidRPr="005F41B0">
        <w:tab/>
        <w:t>El anexo B contiene información sobre las medidas adoptadas por los gobiernos federal, provinciales y territoriales para responder a la pandemia de enfermedad por coronavirus (COVID</w:t>
      </w:r>
      <w:r w:rsidRPr="005F41B0">
        <w:noBreakHyphen/>
        <w:t>19).</w:t>
      </w:r>
    </w:p>
    <w:p w14:paraId="24C737D0" w14:textId="77777777" w:rsidR="005F782F" w:rsidRPr="005F41B0" w:rsidRDefault="005F782F" w:rsidP="005F782F">
      <w:pPr>
        <w:pStyle w:val="SingleTxtG"/>
      </w:pPr>
      <w:r w:rsidRPr="005F41B0">
        <w:t>59.</w:t>
      </w:r>
      <w:r w:rsidRPr="005F41B0">
        <w:tab/>
        <w:t>Como se explica con más detalle en el anexo, a lo largo de la pandemia el Canadá ha seguido cumpliendo sus obligaciones dimanantes del Pacto, así como las derivadas de otros tratados internacionales de derechos humanos. Así pues, en su respuesta a la pandemia de COVID-19, el Canadá no se ha acogido al derecho de suspensión del artículo 4. La Carta siguió aplicándose a las leyes y políticas relacionadas con la pandemia, al igual que todas las medidas adoptadas por los gobiernos federal, provinciales y territoriales.</w:t>
      </w:r>
    </w:p>
    <w:p w14:paraId="09B4F1DE" w14:textId="1AEF3F0A" w:rsidR="005F782F" w:rsidRPr="005F41B0" w:rsidRDefault="005F782F" w:rsidP="00EE0F0B">
      <w:pPr>
        <w:pStyle w:val="H1G"/>
      </w:pPr>
      <w:r w:rsidRPr="005F41B0">
        <w:tab/>
      </w:r>
      <w:r w:rsidR="00EE0F0B" w:rsidRPr="005F41B0">
        <w:tab/>
      </w:r>
      <w:r w:rsidRPr="005F41B0">
        <w:t>Respuesta al párrafo 10</w:t>
      </w:r>
    </w:p>
    <w:p w14:paraId="7DAF9A2D" w14:textId="77777777" w:rsidR="005F782F" w:rsidRPr="005F41B0" w:rsidRDefault="005F782F" w:rsidP="005F782F">
      <w:pPr>
        <w:pStyle w:val="SingleTxtG"/>
      </w:pPr>
      <w:r w:rsidRPr="005F41B0">
        <w:t>60.</w:t>
      </w:r>
      <w:r w:rsidRPr="005F41B0">
        <w:tab/>
        <w:t>Con la Ley de Seguridad Nacional de 2017, promulgada en junio de 2019, se actualizó ampliamente el marco de seguridad nacional del Canadá. Al tiempo que con esta legislación se mejoró la capacidad del gobierno de proteger la seguridad nacional del Canadá al crear nuevas autoridades, también se reforzaron en gran medida el examen y la supervisión independientes gracias a la creación de la Oficina de Vigilancia de Actividades en materia de Seguridad Nacional e Inteligencia y el Comisionado de Inteligencia.</w:t>
      </w:r>
    </w:p>
    <w:p w14:paraId="54BAA9F5" w14:textId="77777777" w:rsidR="005F782F" w:rsidRPr="005F41B0" w:rsidRDefault="005F782F" w:rsidP="005F782F">
      <w:pPr>
        <w:pStyle w:val="SingleTxtG"/>
      </w:pPr>
      <w:r w:rsidRPr="005F41B0">
        <w:t>61.</w:t>
      </w:r>
      <w:r w:rsidRPr="005F41B0">
        <w:tab/>
        <w:t xml:space="preserve">Las principales organizaciones de recogida de información de inteligencia del gobierno federal son el Servicio Canadiense de Inteligencia de Seguridad (CSIS) y el Centro </w:t>
      </w:r>
      <w:r w:rsidRPr="005F41B0">
        <w:lastRenderedPageBreak/>
        <w:t>de Seguridad de las Comunicaciones (CSE). La RPMC también tiene una serie de mandatos y responsabilidades relacionados con la seguridad nacional. Los organismos de inteligencia y policía del Canadá no llevan a cabo actividades de vigilancia masiva. La interceptación de comunicaciones privadas es una actividad limitada y selectiva, permitida en circunstancias específicas definidas por la ley y sujeta a rigurosas garantías procesales que incluyen la autorización judicial. Las actividades de los organismos de inteligencia se supervisan mediante una serie de métodos y mecanismos sólidos, como el Tribunal Federal y el Comisionado de Inteligencia.</w:t>
      </w:r>
    </w:p>
    <w:p w14:paraId="1816EE5A" w14:textId="77777777" w:rsidR="005F782F" w:rsidRPr="005F41B0" w:rsidRDefault="005F782F" w:rsidP="005F782F">
      <w:pPr>
        <w:pStyle w:val="SingleTxtG"/>
      </w:pPr>
      <w:r w:rsidRPr="005F41B0">
        <w:t>62.</w:t>
      </w:r>
      <w:r w:rsidRPr="005F41B0">
        <w:tab/>
        <w:t>La Oficina de Vigilancia de Actividades en materia de Seguridad Nacional e Inteligencia se creó con el fin de garantizar un examen independiente y continuo de los organismos de seguridad e inteligencia del Canadá. En los exámenes de esta oficina se estudia la licitud de las actividades de seguridad e inteligencia nacionales que llevan a cabo todos los departamentos y organismos del Gobierno del Canadá. Esto se ve facilitado por el acceso a información delicada. La oficina se ocupa también de las denuncias en materia de seguridad nacional contra la RPMC, el CSIS y el CSE, y presenta informes clasificados y no clasificados de sus conclusiones y recomendaciones al público y a los ministros competentes.</w:t>
      </w:r>
    </w:p>
    <w:p w14:paraId="42C2BE13" w14:textId="77777777" w:rsidR="005F782F" w:rsidRPr="005F41B0" w:rsidRDefault="005F782F" w:rsidP="005F782F">
      <w:pPr>
        <w:pStyle w:val="SingleTxtG"/>
      </w:pPr>
      <w:r w:rsidRPr="005F41B0">
        <w:t>63.</w:t>
      </w:r>
      <w:r w:rsidRPr="005F41B0">
        <w:tab/>
        <w:t>La Ley de Seguridad de los Desplazamientos Aéreos (SATA) permite al Ministro federal de Seguridad Pública y Preparación para Emergencias crear una lista de personas si hay motivos razonables para sospechar que podrían constituir una amenaza para la seguridad de la aviación o tienen intención de viajar en avión con el propósito de cometer un acto de terrorismo. El Ministro puede dar instrucciones a las compañías aéreas para que denieguen el embarque a una persona incluida en la lista creada con arreglo a la SATA o realicen más controles. El Ministro debe examinar la lista creada con arreglo a la SATA cada 90 días para determinar si cada persona debe permanecer en ella.</w:t>
      </w:r>
    </w:p>
    <w:p w14:paraId="4402AE67" w14:textId="77777777" w:rsidR="005F782F" w:rsidRPr="005F41B0" w:rsidRDefault="005F782F" w:rsidP="005F782F">
      <w:pPr>
        <w:pStyle w:val="SingleTxtG"/>
      </w:pPr>
      <w:r w:rsidRPr="005F41B0">
        <w:t>64.</w:t>
      </w:r>
      <w:r w:rsidRPr="005F41B0">
        <w:tab/>
        <w:t>Una persona incluida en la lista a la que se le haya denegado el transporte a consecuencia de una instrucción del Ministro puede solicitar un recurso administrativo. Tras recibir una solicitud de ese tipo, el Ministro dispone de 120 días para decidir si sigue habiendo motivos razonables para mantener la inclusión en la lista. Si el Ministro mantiene la inclusión en la lista, el solicitante puede recurrir esa decisión ante el Tribunal Federal. El Tribunal Federal ha dictaminado que esos procesos de examen y apelación administrativos se ajustan a los principios de la justicia natural e incorporan un sustituto sustancial de la información completa y un proceso justo</w:t>
      </w:r>
      <w:r w:rsidRPr="005F41B0">
        <w:rPr>
          <w:rStyle w:val="Refdenotaalpie"/>
        </w:rPr>
        <w:footnoteReference w:id="13"/>
      </w:r>
      <w:r w:rsidRPr="005F41B0">
        <w:t>.</w:t>
      </w:r>
    </w:p>
    <w:p w14:paraId="35E9748B" w14:textId="6FE9A467" w:rsidR="005F782F" w:rsidRPr="005F41B0" w:rsidRDefault="005F782F" w:rsidP="00EE0F0B">
      <w:pPr>
        <w:pStyle w:val="H1G"/>
      </w:pPr>
      <w:r w:rsidRPr="005F41B0">
        <w:tab/>
      </w:r>
      <w:r w:rsidR="00EE0F0B" w:rsidRPr="005F41B0">
        <w:tab/>
      </w:r>
      <w:r w:rsidRPr="005F41B0">
        <w:t>Respuesta al párrafo 11</w:t>
      </w:r>
    </w:p>
    <w:p w14:paraId="5828CB24" w14:textId="6ED6E6E3" w:rsidR="005F782F" w:rsidRPr="005F41B0" w:rsidRDefault="005F782F" w:rsidP="00EE0F0B">
      <w:pPr>
        <w:pStyle w:val="H23G"/>
      </w:pPr>
      <w:r w:rsidRPr="005F41B0">
        <w:tab/>
      </w:r>
      <w:r w:rsidR="00EE0F0B" w:rsidRPr="005F41B0">
        <w:tab/>
      </w:r>
      <w:r w:rsidRPr="005F41B0">
        <w:t>Mujeres y niñas indígenas desaparecidas y asesinadas</w:t>
      </w:r>
    </w:p>
    <w:p w14:paraId="30060B55" w14:textId="73A0FCF1" w:rsidR="005F782F" w:rsidRPr="005F41B0" w:rsidRDefault="005F782F" w:rsidP="005F782F">
      <w:pPr>
        <w:pStyle w:val="SingleTxtG"/>
      </w:pPr>
      <w:r w:rsidRPr="005F41B0">
        <w:t>65.</w:t>
      </w:r>
      <w:r w:rsidRPr="005F41B0">
        <w:tab/>
        <w:t>El 3 de junio de 2021, el Gobierno del Canadá, junto con las familias indígenas, los supervivientes y las organizaciones de mujeres, y las provincias y territorios, publicaron el Plan de Acción Nacional 2021 sobre Mujeres, Niñas y Personas 2SLGBTQQIA+ Indígenas Desaparecidas y Asesinadas</w:t>
      </w:r>
      <w:r w:rsidRPr="005F41B0">
        <w:rPr>
          <w:rStyle w:val="Refdenotaalpie"/>
        </w:rPr>
        <w:footnoteReference w:id="14"/>
      </w:r>
      <w:r w:rsidRPr="005F41B0">
        <w:t xml:space="preserve"> en respuesta al Informe Final de la Investigación Nacional de</w:t>
      </w:r>
      <w:r w:rsidR="00EE0F0B" w:rsidRPr="005F41B0">
        <w:t> </w:t>
      </w:r>
      <w:r w:rsidRPr="005F41B0">
        <w:t>2019.</w:t>
      </w:r>
    </w:p>
    <w:p w14:paraId="72ED7AE4" w14:textId="77777777" w:rsidR="005F782F" w:rsidRPr="005F41B0" w:rsidRDefault="005F782F" w:rsidP="005F782F">
      <w:pPr>
        <w:pStyle w:val="SingleTxtG"/>
      </w:pPr>
      <w:r w:rsidRPr="005F41B0">
        <w:t>66.</w:t>
      </w:r>
      <w:r w:rsidRPr="005F41B0">
        <w:tab/>
        <w:t>En la Vía Federal</w:t>
      </w:r>
      <w:r w:rsidRPr="005F41B0">
        <w:rPr>
          <w:rStyle w:val="Refdenotaalpie"/>
        </w:rPr>
        <w:footnoteReference w:id="15"/>
      </w:r>
      <w:r w:rsidRPr="005F41B0">
        <w:t xml:space="preserve"> se esbozan los compromisos del Gobierno del Canadá en el marco del Plan de Acción Nacional para gestionar las causas profundas de la violencia contra las mujeres, las niñas y las personas 2SLGBTQQIA+ indígenas, en los cuatro temas establecidos en la Investigación Nacional: cultura, salud y bienestar, seguridad humana en todos sus aspectos y justicia. En apoyo de sus compromisos en el marco de la Vía Federal, el Gobierno del Canadá ha efectuado inversiones directas en los ámbitos de la vivienda y las infraestructuras, los refugios y espacios seguros, el empleo, las lenguas indígenas, la educación y los apoyos al bienestar mental. A fin de facilitar la colaboración interjurisdiccional, desde 2023, el Gobierno del Canadá ha convocado dos mesas redondas nacionales con líderes y representantes indígenas y los gobiernos federal, provinciales y </w:t>
      </w:r>
      <w:r w:rsidRPr="005F41B0">
        <w:lastRenderedPageBreak/>
        <w:t>territoriales sobre mujeres, niñas y personas 2SLGBTQI+ indígenas desaparecidas y asesinadas.</w:t>
      </w:r>
    </w:p>
    <w:p w14:paraId="1B9073D1" w14:textId="77777777" w:rsidR="005F782F" w:rsidRPr="005F41B0" w:rsidRDefault="005F782F" w:rsidP="005F782F">
      <w:pPr>
        <w:pStyle w:val="SingleTxtG"/>
      </w:pPr>
      <w:r w:rsidRPr="005F41B0">
        <w:t>67.</w:t>
      </w:r>
      <w:r w:rsidRPr="005F41B0">
        <w:tab/>
        <w:t>En mayo de 2021, para responder a la Investigación Nacional, Ontario puso en marcha Vías hacia la Seguridad: Estrategia de Ontario en respuesta al Informe Final de la Investigación Nacional sobre Mujeres y Niñas Indígenas Desaparecidas y Asesinadas. Esta estrategia quinquenal para todo el gobierno se elaboró en estrecha colaboración con las comunidades y organizaciones indígenas y el Comité Consultivo para la Mujer Indígena. La estrategia se basó en las relaciones y la colaboración en actuaciones para poner fin a la violencia contra las mujeres indígenas, respetando al mismo tiempo la diversidad de los principios rectores de las Primeras Naciones, los inuit y los métis y centrando el trabajo en las mujeres y las personas 2SLGBTQQIA+ indígenas.</w:t>
      </w:r>
    </w:p>
    <w:p w14:paraId="0FB7DD7D" w14:textId="661CEEEF" w:rsidR="005F782F" w:rsidRPr="005F41B0" w:rsidRDefault="005F782F" w:rsidP="005F782F">
      <w:pPr>
        <w:pStyle w:val="SingleTxtG"/>
      </w:pPr>
      <w:r w:rsidRPr="005F41B0">
        <w:t>68.</w:t>
      </w:r>
      <w:r w:rsidRPr="005F41B0">
        <w:tab/>
        <w:t xml:space="preserve">En junio de 2022, el </w:t>
      </w:r>
      <w:r w:rsidR="004B2881" w:rsidRPr="005F41B0">
        <w:t>g</w:t>
      </w:r>
      <w:r w:rsidRPr="005F41B0">
        <w:t>obierno de Alberta respondió al Informe Final de la Investigación Nacional sobre Mujeres y Niñas Indígenas Desaparecidas y Asesinadas con la publicación de una hoja de ruta estratégica de Alberta sobre mujeres y niñas indígenas desaparecidas y asesinadas con el fin de orientar las medidas e iniciativas del gobierno para prevenir la violencia, aumentar la seguridad física y la seguridad económica de las mujeres, las niñas y las personas 2SLGBTQQIA+ indígenas.</w:t>
      </w:r>
    </w:p>
    <w:p w14:paraId="1BB8BF9B" w14:textId="0214AFAD" w:rsidR="005F782F" w:rsidRPr="005F41B0" w:rsidRDefault="005F782F" w:rsidP="00EE0F0B">
      <w:pPr>
        <w:pStyle w:val="H23G"/>
      </w:pPr>
      <w:r w:rsidRPr="005F41B0">
        <w:tab/>
      </w:r>
      <w:r w:rsidR="00EE0F0B" w:rsidRPr="005F41B0">
        <w:tab/>
      </w:r>
      <w:r w:rsidRPr="005F41B0">
        <w:t>Formación en que se tengan en cuenta las cuestiones culturales</w:t>
      </w:r>
    </w:p>
    <w:p w14:paraId="199B63D2" w14:textId="7C427A72" w:rsidR="005F782F" w:rsidRPr="005F41B0" w:rsidRDefault="005F782F" w:rsidP="005F782F">
      <w:pPr>
        <w:pStyle w:val="SingleTxtG"/>
      </w:pPr>
      <w:r w:rsidRPr="005F41B0">
        <w:t>69.</w:t>
      </w:r>
      <w:r w:rsidR="00434FD7" w:rsidRPr="005F41B0">
        <w:tab/>
      </w:r>
      <w:r w:rsidRPr="005F41B0">
        <w:t>El programa de formación en investigación de la RPMC se basa en un enfoque centrado en las víctimas y fundamentado en cuanto a los traumas. El plan de estudios se aprobó en 2019 e incluye formación sobre el reconocimiento de mitos comunes de las agresiones sexuales, la realización de investigaciones de personas desaparecidas y la realización de investigaciones de agresiones sexuales. En la Estrategia de Aprendizaje Intercultural de la RPMC se promueve el cambio sistémico y cultural mediante la formación en sensibilización y humildad cultural, violencia de género, racismo, Primeras Naciones, métis e inuit y reconciliación con los indígenas.</w:t>
      </w:r>
    </w:p>
    <w:p w14:paraId="79511FD7" w14:textId="77777777" w:rsidR="005F782F" w:rsidRPr="005F41B0" w:rsidRDefault="005F782F" w:rsidP="005F782F">
      <w:pPr>
        <w:pStyle w:val="SingleTxtG"/>
      </w:pPr>
      <w:r w:rsidRPr="005F41B0">
        <w:t>70.</w:t>
      </w:r>
      <w:r w:rsidRPr="005F41B0">
        <w:tab/>
        <w:t>A fin de atender las recomendaciones de la Investigación Nacional sobre las Mujeres y Niñas Indígenas Desaparecidas y Asesinadas, la RPMC creó una Oficina Nacional de Normas y Prácticas de Investigación. La oficina supervisa a escala nacional los principios y normas de gestión de casos más importantes y ofrece asistencia a las unidades de investigación de la RPMC que se ocupan de casos, incluidos aquellos en que las víctimas son mujeres indígenas.</w:t>
      </w:r>
    </w:p>
    <w:p w14:paraId="383F6FEB" w14:textId="5671B14A" w:rsidR="005F782F" w:rsidRPr="005F41B0" w:rsidRDefault="005F782F" w:rsidP="005F782F">
      <w:pPr>
        <w:pStyle w:val="SingleTxtG"/>
      </w:pPr>
      <w:r w:rsidRPr="005F41B0">
        <w:t>71.</w:t>
      </w:r>
      <w:r w:rsidRPr="005F41B0">
        <w:tab/>
        <w:t>En Columbia Británica, un examen en 2019 del plan de estudios para la formación de</w:t>
      </w:r>
      <w:r w:rsidR="00164B4F" w:rsidRPr="005F41B0">
        <w:t> </w:t>
      </w:r>
      <w:r w:rsidRPr="005F41B0">
        <w:t>agentes recién incorporados a la policía municipal dio lugar a la elaboración de 20</w:t>
      </w:r>
      <w:r w:rsidR="00164B4F" w:rsidRPr="005F41B0">
        <w:t> </w:t>
      </w:r>
      <w:r w:rsidRPr="005F41B0">
        <w:t>recomendaciones. Una de las áreas de interés es la gestión del aumento de los riesgos para las mujeres indígenas velando por que el plan de estudios refleje con precisión las realidades de las mujeres indígenas. Se han añadido a la formación de agentes recién incorporados contenido y recursos sobre las actuaciones policiales justas e imparciales, sobre el plan de estudios de prácticas fundamentadas en cuanto a los traumas y de carácter indígena.</w:t>
      </w:r>
      <w:bookmarkStart w:id="10" w:name="_Hlk166672801"/>
    </w:p>
    <w:bookmarkEnd w:id="10"/>
    <w:p w14:paraId="74B56B1A" w14:textId="77777777" w:rsidR="005F782F" w:rsidRPr="005F41B0" w:rsidRDefault="005F782F" w:rsidP="005F782F">
      <w:pPr>
        <w:pStyle w:val="SingleTxtG"/>
      </w:pPr>
      <w:r w:rsidRPr="005F41B0">
        <w:t>72.</w:t>
      </w:r>
      <w:r w:rsidRPr="005F41B0">
        <w:tab/>
        <w:t>En Quebec se preparó formación adaptada a la realidad indígena de la violencia conyugal, las agresiones sexuales y la violencia interfamiliar con el fin de mejorar la formación y las prácticas policiales de los agentes de policía indígenas y luchar contra la violencia que sufren las mujeres y niñas indígenas.</w:t>
      </w:r>
    </w:p>
    <w:p w14:paraId="6EDAB163" w14:textId="023A639F" w:rsidR="005F782F" w:rsidRPr="005F41B0" w:rsidRDefault="005F782F" w:rsidP="00EE0F0B">
      <w:pPr>
        <w:pStyle w:val="H23G"/>
      </w:pPr>
      <w:r w:rsidRPr="005F41B0">
        <w:tab/>
      </w:r>
      <w:r w:rsidR="00EE0F0B" w:rsidRPr="005F41B0">
        <w:tab/>
      </w:r>
      <w:r w:rsidRPr="005F41B0">
        <w:t>Denuncias, investigaciones, enjuiciamientos y condenas</w:t>
      </w:r>
    </w:p>
    <w:p w14:paraId="56D4275D" w14:textId="77777777" w:rsidR="005F782F" w:rsidRPr="005F41B0" w:rsidRDefault="005F782F" w:rsidP="005F782F">
      <w:pPr>
        <w:pStyle w:val="SingleTxtG"/>
      </w:pPr>
      <w:r w:rsidRPr="005F41B0">
        <w:t>73.</w:t>
      </w:r>
      <w:r w:rsidRPr="005F41B0">
        <w:tab/>
        <w:t>Las mujeres y las niñas indígenas siguen sufriendo índices de violencia altos. En 2022, el índice de mujeres indígenas víctimas de homicidio declaradas por la policía era unas siete veces superior al de las mujeres no indígenas (5,07 y 0,78 víctimas de homicidio, respectivamente, por cada 100.000 habitantes)</w:t>
      </w:r>
      <w:r w:rsidRPr="005F41B0">
        <w:rPr>
          <w:rStyle w:val="Refdenotaalpie"/>
        </w:rPr>
        <w:footnoteReference w:id="16"/>
      </w:r>
      <w:r w:rsidRPr="005F41B0">
        <w:t xml:space="preserve">. De 2015 a 2022, el número de mujeres indígenas víctimas de homicidio aumentó de 43 a 53 (lo que representa un aumento del 23 %, </w:t>
      </w:r>
      <w:r w:rsidRPr="005F41B0">
        <w:lastRenderedPageBreak/>
        <w:t>en comparación con un aumento del 7 % en las mujeres no indígenas víctimas de homicidio durante el mismo período). No obstante, habida cuenta del crecimiento de la población, el índice de víctimas de homicidio por cada 100.000 habitantes se mantuvo relativamente estable en ambos grupos (0,2 de aumento en el índice de mujeres indígenas víctimas de homicidio frente a ningún cambio en el índice de mujeres no indígenas).</w:t>
      </w:r>
    </w:p>
    <w:p w14:paraId="23F6F321" w14:textId="77777777" w:rsidR="005F782F" w:rsidRPr="005F41B0" w:rsidRDefault="005F782F" w:rsidP="005F782F">
      <w:pPr>
        <w:pStyle w:val="SingleTxtG"/>
      </w:pPr>
      <w:r w:rsidRPr="005F41B0">
        <w:t>74.</w:t>
      </w:r>
      <w:r w:rsidRPr="005F41B0">
        <w:tab/>
        <w:t>De 2015 a 2022, de los 347 homicidios de mujeres indígenas declarados por la policía, el 85 % fue investigado y resuelto por la policía (es decir, la policía identificó a una persona acusada), mientras que el 15 % quedó sin resolver</w:t>
      </w:r>
      <w:r w:rsidRPr="005F41B0">
        <w:rPr>
          <w:rStyle w:val="Refdenotaalpie"/>
        </w:rPr>
        <w:footnoteReference w:id="17"/>
      </w:r>
      <w:r w:rsidRPr="005F41B0">
        <w:t>. En comparación, entre 2015 y 2022 se había resuelto el 89 % de los homicidios de mujeres no indígenas, y el índice de homicidios resueltos de mujeres no indígenas en ese período disminuyó un 8 %.</w:t>
      </w:r>
    </w:p>
    <w:p w14:paraId="53D9F262" w14:textId="77777777" w:rsidR="005F782F" w:rsidRPr="005F41B0" w:rsidRDefault="005F782F" w:rsidP="005F782F">
      <w:pPr>
        <w:pStyle w:val="SingleTxtG"/>
      </w:pPr>
      <w:r w:rsidRPr="005F41B0">
        <w:t>75.</w:t>
      </w:r>
      <w:r w:rsidRPr="005F41B0">
        <w:tab/>
        <w:t>No se dispone de más datos desglosados sobre el número de denuncias, investigaciones, enjuiciamientos penales y condenas por violencia contra mujeres y niñas indígenas. El Gobierno del Canadá trabaja con los servicios policiales, las organizaciones comunitarias y los Pueblos Indígenas y racializados con vistas a mejorar la calidad y disponibilidad de datos desglosados sobre las diversas experiencias de estos grupos, como víctimas y como acusados, en el sistema de justicia penal.</w:t>
      </w:r>
    </w:p>
    <w:p w14:paraId="6B3478AF" w14:textId="45D66F9A" w:rsidR="005F782F" w:rsidRPr="005F41B0" w:rsidRDefault="005F782F" w:rsidP="00EE0F0B">
      <w:pPr>
        <w:pStyle w:val="H23G"/>
      </w:pPr>
      <w:r w:rsidRPr="005F41B0">
        <w:tab/>
      </w:r>
      <w:r w:rsidR="00EE0F0B" w:rsidRPr="005F41B0">
        <w:tab/>
      </w:r>
      <w:r w:rsidRPr="005F41B0">
        <w:t>Medidas complementarias</w:t>
      </w:r>
    </w:p>
    <w:p w14:paraId="5706BEAB" w14:textId="77777777" w:rsidR="005F782F" w:rsidRPr="005F41B0" w:rsidRDefault="005F782F" w:rsidP="005F782F">
      <w:pPr>
        <w:pStyle w:val="SingleTxtG"/>
      </w:pPr>
      <w:r w:rsidRPr="005F41B0">
        <w:t>76.</w:t>
      </w:r>
      <w:r w:rsidRPr="005F41B0">
        <w:tab/>
        <w:t>Las modificaciones del Código Penal de 2019 reforzaron las leyes penales en el contexto de la violencia de pareja y la trata de personas, y garantizaron que las sentencias por delitos de violencia de pareja hacia las personas vulnerables, en particular las mujeres indígenas que la sufrían, se tratasen con mayor seriedad.</w:t>
      </w:r>
    </w:p>
    <w:p w14:paraId="38CD91F2" w14:textId="77777777" w:rsidR="005F782F" w:rsidRPr="005F41B0" w:rsidRDefault="005F782F" w:rsidP="005F782F">
      <w:pPr>
        <w:pStyle w:val="SingleTxtG"/>
      </w:pPr>
      <w:r w:rsidRPr="005F41B0">
        <w:t>77.</w:t>
      </w:r>
      <w:r w:rsidRPr="005F41B0">
        <w:tab/>
        <w:t>Las dependencias de enlace de información a las familias prestan servicios con base cultural para las víctimas con el fin de que las familias de las mujeres, las niñas y las personas 2SLGBTQQIA+ indígenas desaparecidas o asesinadas superen las barreras estructurales y sistémicas con que se encuentran a la hora de acceder a información sobre sus seres queridos, como la distancia geográfica, las experiencias de racismo sistémico e individual y la naturaleza histórica de los acontecimientos. Las familias pueden acceder a información precisa sobre la causa de la muerte, las investigaciones policiales y los resultados de las actuaciones penales. El Canadá también apoya a las organizaciones comunitarias indígenas en la organización de ceremonias culturales y otras actividades con el fin de ayudar a las familias de las mujeres, las niñas y las personas 2SLGBTQQIA+ desaparecidas o asesinadas con el duelo y el trauma de su pérdida.</w:t>
      </w:r>
    </w:p>
    <w:p w14:paraId="4164B300" w14:textId="4E8443B5" w:rsidR="005F782F" w:rsidRPr="005F41B0" w:rsidRDefault="00EE0F0B" w:rsidP="00EE0F0B">
      <w:pPr>
        <w:pStyle w:val="H1G"/>
      </w:pPr>
      <w:r w:rsidRPr="005F41B0">
        <w:tab/>
      </w:r>
      <w:r w:rsidR="005F782F" w:rsidRPr="005F41B0">
        <w:tab/>
        <w:t>Respuesta al párrafo 12</w:t>
      </w:r>
    </w:p>
    <w:p w14:paraId="4F33E8C8" w14:textId="77777777" w:rsidR="005F782F" w:rsidRPr="005F41B0" w:rsidRDefault="005F782F" w:rsidP="005F782F">
      <w:pPr>
        <w:pStyle w:val="SingleTxtG"/>
      </w:pPr>
      <w:bookmarkStart w:id="11" w:name="_Hlk145507391"/>
      <w:r w:rsidRPr="005F41B0">
        <w:t>78.</w:t>
      </w:r>
      <w:r w:rsidRPr="005F41B0">
        <w:tab/>
        <w:t>En un informe de 2021 del Comité Permanente de Salud de la Cámara de los Comunes se recomendaba que el Gobierno del Canadá considerase el aplazamiento de intervenciones quirúrgicas innecesarias desde el punto de vista médico en niños hasta que el niño pudiese tener una participación significativa en la decisión, salvo cuando existiese un riesgo inmediato para la salud del niño y no pudiese retrasarse el tratamiento médico.</w:t>
      </w:r>
    </w:p>
    <w:p w14:paraId="15761C12" w14:textId="77777777" w:rsidR="005F782F" w:rsidRPr="005F41B0" w:rsidRDefault="005F782F" w:rsidP="005F782F">
      <w:pPr>
        <w:pStyle w:val="SingleTxtG"/>
      </w:pPr>
      <w:r w:rsidRPr="005F41B0">
        <w:t>79.</w:t>
      </w:r>
      <w:r w:rsidRPr="005F41B0">
        <w:tab/>
        <w:t>En su respuesta, el Gobierno del Canadá señaló que en la subsección 268(3) del Código Penal se trata la mutilación genital femenina, una forma grave de violencia contra las mujeres, y no las intervenciones quirúrgicas en niños intersexuales. La disposición no permite, ni autoriza de otro modo, las intervenciones quirúrgicas en personas intersexuales.</w:t>
      </w:r>
      <w:bookmarkStart w:id="12" w:name="_Hlk159567066"/>
    </w:p>
    <w:bookmarkEnd w:id="12"/>
    <w:p w14:paraId="6F1FA917" w14:textId="77777777" w:rsidR="005F782F" w:rsidRPr="005F41B0" w:rsidRDefault="005F782F" w:rsidP="005F782F">
      <w:pPr>
        <w:pStyle w:val="SingleTxtG"/>
      </w:pPr>
      <w:r w:rsidRPr="005F41B0">
        <w:t>80.</w:t>
      </w:r>
      <w:r w:rsidRPr="005F41B0">
        <w:tab/>
        <w:t xml:space="preserve">En la respuesta se señalaba además que los padres podían consentir intervenciones quirúrgicas innecesarias desde el punto de vista médico en nombre de sus hijos, en los casos en que esos procedimientos concordasen con la práctica médica habitual, y se reconocía que los interesados habían expresado la opinión de que esas intervenciones quirúrgicas deberían penalizarse, hasta que la persona intersexual fuese lo suficientemente madura como para </w:t>
      </w:r>
      <w:r w:rsidRPr="005F41B0">
        <w:lastRenderedPageBreak/>
        <w:t>consentir y otorgar su consentimiento informado. El Gobierno del Canadá se comprometió a estudiar las preocupaciones de todas las partes afectadas y la mejor manera de resolverlas.</w:t>
      </w:r>
    </w:p>
    <w:bookmarkEnd w:id="11"/>
    <w:p w14:paraId="2CA6CD4B" w14:textId="77777777" w:rsidR="005F782F" w:rsidRPr="005F41B0" w:rsidRDefault="005F782F" w:rsidP="005F782F">
      <w:pPr>
        <w:pStyle w:val="SingleTxtG"/>
      </w:pPr>
      <w:r w:rsidRPr="005F41B0">
        <w:t>81.</w:t>
      </w:r>
      <w:r w:rsidRPr="005F41B0">
        <w:tab/>
        <w:t>Los prestadores de atención de salud de Terranova y Labrador deben cumplir las directrices clínicas éticas establecidas por sus asociaciones profesionales y regidas por sus respectivos colegios. Esto incluye los servicios para niños intersexuales. En caso de que se hubiese sometido a un procedimiento médico a una persona intersexual sin su consentimiento, se dispondría de las medidas habituales de reparación, en particular el Defensor de la Infancia y la Juventud, la Comisión de Derechos Humanos y el Representante de la Ciudadanía.</w:t>
      </w:r>
    </w:p>
    <w:p w14:paraId="161E8C7E" w14:textId="7DC192B3" w:rsidR="005F782F" w:rsidRPr="005F41B0" w:rsidRDefault="00EE0F0B" w:rsidP="00EE0F0B">
      <w:pPr>
        <w:pStyle w:val="H1G"/>
      </w:pPr>
      <w:r w:rsidRPr="005F41B0">
        <w:tab/>
      </w:r>
      <w:r w:rsidR="005F782F" w:rsidRPr="005F41B0">
        <w:tab/>
        <w:t>Respuesta al párrafo 13</w:t>
      </w:r>
    </w:p>
    <w:p w14:paraId="2D0073E0" w14:textId="77777777" w:rsidR="005F782F" w:rsidRPr="005F41B0" w:rsidRDefault="005F782F" w:rsidP="005F782F">
      <w:pPr>
        <w:pStyle w:val="SingleTxtG"/>
      </w:pPr>
      <w:r w:rsidRPr="005F41B0">
        <w:t>82.</w:t>
      </w:r>
      <w:r w:rsidRPr="005F41B0">
        <w:tab/>
        <w:t>Desde 2015 los gobiernos federal, provinciales y territoriales han puesto en marcha numerosas iniciativas para prevenir y mitigar los efectos del cambio climático y la degradación ambiental, entre otras relativas a la seguridad alimentaria de las comunidades indígenas. He aquí algunos ejemplos:</w:t>
      </w:r>
    </w:p>
    <w:p w14:paraId="056A1166" w14:textId="5CB24CEC" w:rsidR="005F782F" w:rsidRPr="005F41B0" w:rsidRDefault="005F782F" w:rsidP="00EE0F0B">
      <w:pPr>
        <w:pStyle w:val="Bullet1G"/>
      </w:pPr>
      <w:r w:rsidRPr="005F41B0">
        <w:t>Desde 2016 el Gobierno del Canadá ha apoyado más de 1.300 proyectos en materia de cambio climático y seguridad alimentaria en comunidades del norte e indígenas. El objetivo de estos proyectos es avanzar en la adaptación al cambio climático; vigilar y evaluar las repercusiones del cambio climático, en particular sobre la seguridad e inocuidad alimentarias; mitigar los efectos del cambio climático sobre la salud y adaptarse a ellos, entre otras en zonas que tradicionalmente han gozado de seguridad e inocuidad alimentarias; compensar el gasóleo con alternativas renovables; dar prioridad a las voces indígenas en la política climática, y apoyar la caza tradicional, la recolección y el reparto de alimentos en las comunidades aisladas del norte</w:t>
      </w:r>
      <w:r w:rsidR="00EE0F0B" w:rsidRPr="005F41B0">
        <w:t>.</w:t>
      </w:r>
    </w:p>
    <w:p w14:paraId="512A324C" w14:textId="42045EE9" w:rsidR="005F782F" w:rsidRPr="005F41B0" w:rsidRDefault="005F782F" w:rsidP="00EE0F0B">
      <w:pPr>
        <w:pStyle w:val="Bullet1G"/>
      </w:pPr>
      <w:r w:rsidRPr="005F41B0">
        <w:t>En 2022 el Gobierno del Canadá publicó el Plan de Reducción de Emisiones 2030 para avanzar en los esfuerzos de mitigación del cambio climático establecidos en la Ley de Responsabilidad por la Neutralidad del Carbono del Canadá. El Plan refleja las aportaciones recibidas de más de 30.000 canadienses, así como de las provincias y territorios, los Pueblos Indígenas, la industria y el organismo asesor independiente Net-Zero Advisory Body</w:t>
      </w:r>
      <w:r w:rsidR="00EE0F0B" w:rsidRPr="005F41B0">
        <w:t>.</w:t>
      </w:r>
    </w:p>
    <w:p w14:paraId="5AD868F2" w14:textId="4385074C" w:rsidR="005F782F" w:rsidRPr="005F41B0" w:rsidRDefault="005F782F" w:rsidP="00EE0F0B">
      <w:pPr>
        <w:pStyle w:val="Bullet1G"/>
      </w:pPr>
      <w:bookmarkStart w:id="13" w:name="_Hlk166745773"/>
      <w:r w:rsidRPr="005F41B0">
        <w:t>El Gobierno del Canadá publicó la primera Estrategia Nacional de Adaptación del Canadá en junio de 2023, tras una amplia colaboración con los gobiernos provinciales y territoriales, los municipios, los asociados indígenas, los principales expertos e interesados y el público en general. La estrategia se sustenta en un conjunto de principios rectores que garantizan que el Canadá alcance sus metas y objetivos de forma justa, inclusiva y equitativa, y faculta a las comunidades, regiones y asociados indígenas para desarrollar medidas adaptadas a sus necesidades</w:t>
      </w:r>
      <w:r w:rsidR="00EE0F0B" w:rsidRPr="005F41B0">
        <w:t>.</w:t>
      </w:r>
    </w:p>
    <w:bookmarkEnd w:id="13"/>
    <w:p w14:paraId="3B3EF5DD" w14:textId="656E948F" w:rsidR="005F782F" w:rsidRPr="005F41B0" w:rsidRDefault="005F782F" w:rsidP="00EE0F0B">
      <w:pPr>
        <w:pStyle w:val="Bullet1G"/>
      </w:pPr>
      <w:r w:rsidRPr="005F41B0">
        <w:t xml:space="preserve">En junio de 2023 el Gobierno del Canadá modificó la Ley Canadiense de Protección del Medio Ambiente de 1999 (CEPA) </w:t>
      </w:r>
      <w:r w:rsidR="00417FB1" w:rsidRPr="005F41B0">
        <w:t>—</w:t>
      </w:r>
      <w:r w:rsidRPr="005F41B0">
        <w:t>principal legislación federal para proteger el medio ambiente y la salud humana de la contaminación</w:t>
      </w:r>
      <w:r w:rsidR="00417FB1" w:rsidRPr="005F41B0">
        <w:t>—</w:t>
      </w:r>
      <w:r w:rsidRPr="005F41B0">
        <w:t xml:space="preserve"> para reconocer, en el preámbulo, que todo individuo en el Canadá tiene derecho a un medio ambiente saludable según lo dispuesto en esa ley. El desarrollo de un marco de aplicación del derecho a un medio ambiente saludable proporcionará una nueva perspectiva para la toma de decisiones en el marco de la CEPA que ayudará a abordar los mayores riesgos para la salud de las poblaciones afectadas de manera desproporcionada y que pueden derivarse de la exposición a sustancias y los efectos acumulativos de una combinación de sustancias</w:t>
      </w:r>
      <w:r w:rsidR="00EE0F0B" w:rsidRPr="005F41B0">
        <w:t>.</w:t>
      </w:r>
      <w:bookmarkStart w:id="14" w:name="_Hlk166746037"/>
      <w:bookmarkEnd w:id="14"/>
    </w:p>
    <w:p w14:paraId="796AF2FA" w14:textId="1659F9ED" w:rsidR="005F782F" w:rsidRPr="005F41B0" w:rsidRDefault="005F782F" w:rsidP="00EE0F0B">
      <w:pPr>
        <w:pStyle w:val="Bullet1G"/>
      </w:pPr>
      <w:r w:rsidRPr="005F41B0">
        <w:t>Columbia Británica publicó y está aplicando el plan de acción climática CleanBC y la Estrategia de Preparación y Adaptación al Clima. El desarrollo de ambas iniciativas se basó en amplias consultas con los Pueblos Indígenas, grupos de la sociedad civil, la industria y el público en general</w:t>
      </w:r>
      <w:r w:rsidR="00EE0F0B" w:rsidRPr="005F41B0">
        <w:t>.</w:t>
      </w:r>
    </w:p>
    <w:p w14:paraId="16F85CE8" w14:textId="64C8CF62" w:rsidR="005F782F" w:rsidRPr="005F41B0" w:rsidRDefault="005F782F" w:rsidP="00EE0F0B">
      <w:pPr>
        <w:pStyle w:val="Bullet1G"/>
      </w:pPr>
      <w:r w:rsidRPr="005F41B0">
        <w:t xml:space="preserve">La Iniciativa de Manitoba para una Alimentación Saludable en el Norte apoya proyectos locales y regionales que contribuyen a la creación de sistemas alimentarios saludables y pertinentes desde el punto de vista cultural que, a la vez, mejoran la salud </w:t>
      </w:r>
      <w:r w:rsidRPr="005F41B0">
        <w:lastRenderedPageBreak/>
        <w:t>y el bienestar. Esta iniciativa, centrada en la producción local de miel, aves de corral y huevos, hortalizas y frutas pequeñas, está diseñada para aumentar los esfuerzos en materia de seguridad alimentaria a nivel comunitario y reforzar el desarrollo dirigido por la comunidad</w:t>
      </w:r>
      <w:r w:rsidR="00EE0F0B" w:rsidRPr="005F41B0">
        <w:t>.</w:t>
      </w:r>
      <w:bookmarkStart w:id="15" w:name="_Hlk166746226"/>
      <w:bookmarkEnd w:id="15"/>
    </w:p>
    <w:p w14:paraId="5110DBF7" w14:textId="5F733B64" w:rsidR="005F782F" w:rsidRPr="005F41B0" w:rsidRDefault="005F782F" w:rsidP="00EE0F0B">
      <w:pPr>
        <w:pStyle w:val="Bullet1G"/>
      </w:pPr>
      <w:r w:rsidRPr="005F41B0">
        <w:t>En 2022 la isla del Príncipe Eduardo publicó su plan de adaptación al clima, que incluye medidas de apoyo a las poblaciones vulnerables, las industrias primarias y el hábitat natural de la provincia. Este plan se elaboró y aplicó con la participación de grupos de la sociedad civil y el público, incluidas mujeres, personas con discapacidad, Pueblos Indígenas y comunidades rurales</w:t>
      </w:r>
      <w:r w:rsidR="00EE0F0B" w:rsidRPr="005F41B0">
        <w:t>.</w:t>
      </w:r>
    </w:p>
    <w:p w14:paraId="0ED3689A" w14:textId="22662CFB" w:rsidR="005F782F" w:rsidRPr="005F41B0" w:rsidRDefault="005F782F" w:rsidP="00EE0F0B">
      <w:pPr>
        <w:pStyle w:val="Bullet1G"/>
      </w:pPr>
      <w:r w:rsidRPr="005F41B0">
        <w:t>Las Primeras Naciones y los inuits colaboran con el gobierno de Quebec en el despliegue del Plan 2030 para una Economía Verde. Esta política marco para la electrificación y la lucha contra el cambio climático está concebida para reforzar el liderazgo de las Primeras Naciones y los inuits en lo que respecta a la transición climática mediante el apoyo de proyectos que respondan a sus necesidades y prioridades. Además, la política contribuye a respaldar las prácticas tradicionales de caza, pesca, captura y recolección a través del desarrollo de conocimientos sobre especies clave y emergentes para la seguridad alimentaria indígena</w:t>
      </w:r>
      <w:r w:rsidR="00EE0F0B" w:rsidRPr="005F41B0">
        <w:t>.</w:t>
      </w:r>
    </w:p>
    <w:p w14:paraId="5F609590" w14:textId="77777777" w:rsidR="005F782F" w:rsidRPr="005F41B0" w:rsidRDefault="005F782F" w:rsidP="00EE0F0B">
      <w:pPr>
        <w:pStyle w:val="Bullet1G"/>
      </w:pPr>
      <w:r w:rsidRPr="005F41B0">
        <w:t>Ontario financia el Programa de Cosechas y Alimentos Tradicionales de la Federación de Centros de Amistad con los Pueblos Indígenas de Ontario, cuyo objetivo es promover la seguridad y la soberanía alimentarias de los Pueblos Indígenas urbanos mediante el desarrollo continuado de los conocimientos y la experiencia de la comunidad en la producción sostenible y basada en la cultura, así como la conservación de los alimentos tradicionales en medio de los desafíos del cambio climático.</w:t>
      </w:r>
    </w:p>
    <w:p w14:paraId="1756A94E" w14:textId="44D85966" w:rsidR="005F782F" w:rsidRPr="005F41B0" w:rsidRDefault="005F782F" w:rsidP="00EE0F0B">
      <w:pPr>
        <w:pStyle w:val="H1G"/>
      </w:pPr>
      <w:r w:rsidRPr="005F41B0">
        <w:tab/>
      </w:r>
      <w:r w:rsidR="00EE0F0B" w:rsidRPr="005F41B0">
        <w:tab/>
      </w:r>
      <w:r w:rsidRPr="005F41B0">
        <w:t>Respuesta al párrafo 14</w:t>
      </w:r>
    </w:p>
    <w:p w14:paraId="72A9CFB4" w14:textId="77777777" w:rsidR="005F782F" w:rsidRPr="005F41B0" w:rsidRDefault="005F782F" w:rsidP="005F782F">
      <w:pPr>
        <w:pStyle w:val="SingleTxtG"/>
      </w:pPr>
      <w:r w:rsidRPr="005F41B0">
        <w:t>83.</w:t>
      </w:r>
      <w:r w:rsidRPr="005F41B0">
        <w:tab/>
        <w:t>El Canadá no posee, utiliza, controla, desarrolla, produce, almacena, transfiere ni alberga armas nucleares.</w:t>
      </w:r>
    </w:p>
    <w:p w14:paraId="77921955" w14:textId="77777777" w:rsidR="005F782F" w:rsidRPr="005F41B0" w:rsidRDefault="005F782F" w:rsidP="005F782F">
      <w:pPr>
        <w:pStyle w:val="SingleTxtG"/>
      </w:pPr>
      <w:r w:rsidRPr="005F41B0">
        <w:t>84.</w:t>
      </w:r>
      <w:r w:rsidRPr="005F41B0">
        <w:tab/>
        <w:t>El objetivo del Canadá es garantizar que las armas nucleares no vuelvan a utilizarse nunca. Perseguimos un enfoque práctico y gradual para detener la proliferación de las armas nucleares, reducir los arsenales y, en última instancia, eliminarlas. Como ejemplos cabe citar el liderazgo en la negociación de un tratado de prohibición de la producción de material fisible, la defensa de la entrada en vigor del Tratado de Prohibición Completa de los Ensayos Nucleares, la colaboración a través de las Naciones Unidas y la Organización del Tratado del Atlántico Norte y la participación en: 1) Iniciativa de Estocolmo sobre el Desarme Nuclear; 2) el Grupo de Expertos Gubernamentales sobre la Verificación del Desarme Nuclear, de las Naciones Unidas, y 3) la Iniciativa de No Proliferación y Desarme.</w:t>
      </w:r>
    </w:p>
    <w:p w14:paraId="3AE2D647" w14:textId="77777777" w:rsidR="005F782F" w:rsidRPr="005F41B0" w:rsidRDefault="005F782F" w:rsidP="005F782F">
      <w:pPr>
        <w:pStyle w:val="SingleTxtG"/>
      </w:pPr>
      <w:r w:rsidRPr="005F41B0">
        <w:t>85.</w:t>
      </w:r>
      <w:r w:rsidRPr="005F41B0">
        <w:tab/>
        <w:t>El Comité se refirió al párrafo 66 de la observación general núm. 36 (2018). El Canadá se remite a sus observaciones de octubre de 2017 en las que se expresó nuestra preocupación con respecto a los pasajes pertinentes (véanse en particular los párrafos 7 y 22).</w:t>
      </w:r>
    </w:p>
    <w:p w14:paraId="2B433A23" w14:textId="6D653EE2" w:rsidR="005F782F" w:rsidRPr="005F41B0" w:rsidRDefault="005F782F" w:rsidP="00EE0F0B">
      <w:pPr>
        <w:pStyle w:val="H1G"/>
      </w:pPr>
      <w:r w:rsidRPr="005F41B0">
        <w:tab/>
      </w:r>
      <w:r w:rsidR="00EE0F0B" w:rsidRPr="005F41B0">
        <w:tab/>
      </w:r>
      <w:r w:rsidRPr="005F41B0">
        <w:t>Respuesta al párrafo 15</w:t>
      </w:r>
    </w:p>
    <w:p w14:paraId="4D1A0A1C" w14:textId="211E0934" w:rsidR="005F782F" w:rsidRPr="005F41B0" w:rsidRDefault="00EE0F0B" w:rsidP="00EE0F0B">
      <w:pPr>
        <w:pStyle w:val="H23G"/>
      </w:pPr>
      <w:r w:rsidRPr="005F41B0">
        <w:tab/>
      </w:r>
      <w:r w:rsidR="005F782F" w:rsidRPr="005F41B0">
        <w:tab/>
        <w:t>Prisión</w:t>
      </w:r>
    </w:p>
    <w:p w14:paraId="7B02B341" w14:textId="77777777" w:rsidR="005F782F" w:rsidRPr="005F41B0" w:rsidRDefault="005F782F" w:rsidP="005F782F">
      <w:pPr>
        <w:pStyle w:val="SingleTxtG"/>
      </w:pPr>
      <w:r w:rsidRPr="005F41B0">
        <w:t>86.</w:t>
      </w:r>
      <w:r w:rsidRPr="005F41B0">
        <w:tab/>
        <w:t>La capacidad operacional total del sistema penitenciario federal, a 9 de abril de 2023, es de 15.619 (14.765 hombres y 854 mujeres). El recuento total de reclusos a esta fecha es de 13.054 (12.409 recluidos en centros de hombres y 645 recluidos en centros de mujeres).</w:t>
      </w:r>
    </w:p>
    <w:p w14:paraId="31A3B1B6" w14:textId="65C1C209" w:rsidR="005F782F" w:rsidRPr="005F41B0" w:rsidRDefault="005F782F" w:rsidP="005F782F">
      <w:pPr>
        <w:pStyle w:val="SingleTxtG"/>
      </w:pPr>
      <w:r w:rsidRPr="005F41B0">
        <w:t>87.</w:t>
      </w:r>
      <w:r w:rsidRPr="005F41B0">
        <w:tab/>
        <w:t>El Código Penal ordena a los tribunales que consideren la posibilidad de imponer sanciones distintas del encarcelamiento cuando proceda, con especial atención a las circunstancias de los delincuentes indígenas. Estas medidas incluyen condenas suspendidas y condenas condicionales. Las condenas condicionales fomentan el uso de principios de justicia restaurativa en la imposición de penas y permiten a un delincuente que cumpla su pena de prisión en la comunidad bajo condiciones estrictas. Véase la respuesta a la pregunta</w:t>
      </w:r>
      <w:r w:rsidR="00EE0F0B" w:rsidRPr="005F41B0">
        <w:t> </w:t>
      </w:r>
      <w:r w:rsidRPr="005F41B0">
        <w:t xml:space="preserve">5 </w:t>
      </w:r>
      <w:r w:rsidRPr="005F41B0">
        <w:lastRenderedPageBreak/>
        <w:t>sobre las medidas adoptadas para abordar la sobrerrepresentación en el sistema de justicia penal.</w:t>
      </w:r>
    </w:p>
    <w:p w14:paraId="6FE55893" w14:textId="155BB971" w:rsidR="005F782F" w:rsidRPr="005F41B0" w:rsidRDefault="005F782F" w:rsidP="005F782F">
      <w:pPr>
        <w:pStyle w:val="SingleTxtG"/>
      </w:pPr>
      <w:r w:rsidRPr="005F41B0">
        <w:t>88.</w:t>
      </w:r>
      <w:r w:rsidRPr="005F41B0">
        <w:tab/>
        <w:t>En Alberta la capacidad operacional total de los centros penitenciarios a 1 de mayo de</w:t>
      </w:r>
      <w:r w:rsidR="00EE0F0B" w:rsidRPr="005F41B0">
        <w:t> </w:t>
      </w:r>
      <w:r w:rsidRPr="005F41B0">
        <w:t>2022 era de 4.518. Hasta esta fecha, había 2.986 personas privadas de libertad (312</w:t>
      </w:r>
      <w:r w:rsidR="000B4316" w:rsidRPr="005F41B0">
        <w:t> </w:t>
      </w:r>
      <w:r w:rsidRPr="005F41B0">
        <w:t>mujeres y 2.674 hombres).</w:t>
      </w:r>
    </w:p>
    <w:p w14:paraId="4C83E7DA" w14:textId="77777777" w:rsidR="005F782F" w:rsidRPr="005F41B0" w:rsidRDefault="005F782F" w:rsidP="005F782F">
      <w:pPr>
        <w:pStyle w:val="SingleTxtG"/>
      </w:pPr>
      <w:r w:rsidRPr="005F41B0">
        <w:t>89.</w:t>
      </w:r>
      <w:r w:rsidRPr="005F41B0">
        <w:tab/>
        <w:t>Alberta ha realizado esfuerzos concertados para desviar y ofrecer medidas alternativas a la condena a personas cuyos delitos están motivados por problemas subyacentes como adicciones, problemas de salud mental y racismo sistémico. Alberta ha creado siete nuevos tribunales especializados en el tratamiento de la drogodependencia, dos nuevos tribunales indígenas y un tribunal de salud mental. Estos programas proporcionan vías alternativas u ofrecen programas a medida para abordar las causas subyacentes de la delincuencia y evitar el encarcelamiento. Alberta está desarrollando un programa de justicia restaurativa que proporcionará vías adicionales para no entrar en el sistema de justicia penal y oportunidades para la reconciliación entre víctimas y delincuentes y la comunidad, a la vez que ofrece programas para abordar los factores causales de la delincuencia.</w:t>
      </w:r>
    </w:p>
    <w:p w14:paraId="7B627820" w14:textId="77777777" w:rsidR="005F782F" w:rsidRPr="005F41B0" w:rsidRDefault="005F782F" w:rsidP="005F782F">
      <w:pPr>
        <w:pStyle w:val="SingleTxtG"/>
      </w:pPr>
      <w:r w:rsidRPr="005F41B0">
        <w:t>90.</w:t>
      </w:r>
      <w:r w:rsidRPr="005F41B0">
        <w:tab/>
        <w:t>A 1 de mayo de 2022 la capacidad total de los Servicios Penitenciarios de Manitoba era de 1924 y la población total de 1622. La capacidad para hombres era de 1640 y la población real era de 1423 reclusos. La capacidad para mujeres era de 284 y la población real era de 189.</w:t>
      </w:r>
    </w:p>
    <w:p w14:paraId="0BA74CFA" w14:textId="77777777" w:rsidR="005F782F" w:rsidRPr="005F41B0" w:rsidRDefault="005F782F" w:rsidP="005F782F">
      <w:pPr>
        <w:pStyle w:val="SingleTxtG"/>
      </w:pPr>
      <w:r w:rsidRPr="005F41B0">
        <w:t>91.</w:t>
      </w:r>
      <w:r w:rsidRPr="005F41B0">
        <w:tab/>
        <w:t>En Manitoba la Ley de Justicia Restaurativa entró en vigor en noviembre de 2015 y promueve el desarrollo y el uso de programas de justicia restaurativa. La Fiscalía de Manitoba tiene un manual de procedimientos y una política de justicia restaurativa que exigen el examen de la justicia restaurativa como una opción para todos los asuntos. Se hace un seguimiento mensual del número de asuntos derivados y se ha reducido el número de jóvenes detenidos. Los abogados de la Corona están disponibles las 24 horas del día para revisar casos de detención, con el fin de evitar detenciones preventivas innecesarias. Manitoba cuenta con un tribunal especializado en el tratamiento de la drogodependencia, un tribunal de salud mental y un tribunal de trastornos del espectro alcohólico fetal. Todos estos tribunales son especializados y, una vez concluido el proceso, ofrecen una condena comunitaria en lugar de una pena de prisión.</w:t>
      </w:r>
    </w:p>
    <w:p w14:paraId="2C40D549" w14:textId="7D56A7AE" w:rsidR="005F782F" w:rsidRPr="005F41B0" w:rsidRDefault="005F782F" w:rsidP="005F782F">
      <w:pPr>
        <w:pStyle w:val="SingleTxtG"/>
      </w:pPr>
      <w:r w:rsidRPr="005F41B0">
        <w:t>92.</w:t>
      </w:r>
      <w:r w:rsidRPr="005F41B0">
        <w:tab/>
        <w:t>A 1 de mayo de 2022, la capacidad penitenciaria operacional total era de 7664 (6490</w:t>
      </w:r>
      <w:r w:rsidR="00B0763A" w:rsidRPr="005F41B0">
        <w:t> </w:t>
      </w:r>
      <w:r w:rsidRPr="005F41B0">
        <w:t>para hombres y 694 para mujeres; 480 camas no estaban asignadas a un género); y el recuento total de reclusos era de 7661 (7063 hombres y 598 mujeres) en Ontario.</w:t>
      </w:r>
    </w:p>
    <w:p w14:paraId="4E43096A" w14:textId="77777777" w:rsidR="005F782F" w:rsidRPr="005F41B0" w:rsidRDefault="005F782F" w:rsidP="005F782F">
      <w:pPr>
        <w:pStyle w:val="SingleTxtG"/>
      </w:pPr>
      <w:r w:rsidRPr="005F41B0">
        <w:t>93.</w:t>
      </w:r>
      <w:r w:rsidRPr="005F41B0">
        <w:tab/>
        <w:t>Ontario está llevando a cabo evaluaciones del impacto de la raza y la cultura, con financiación del Gobierno del Canadá, que son informes previos a la sentencia que ayudan a los jueces que dictan las sentencias a comprender mejor el efecto de la pobreza, la marginación, el racismo y la exclusión social en el delincuente. Ontario también proporcionó apoyo financiero a programas de justicia restaurativa que aumentan el acceso a programas de derivación antes y después de la formulación de cargos y otras opciones de justicia restaurativa para indígenas implicados en el sistema de justicia penal. Estos programas se basan en cosmovisiones indígenas, leyes indígenas y procesos indígenas de solución de controversias, y se centran en la curación y la restauración.</w:t>
      </w:r>
    </w:p>
    <w:p w14:paraId="7CCD14AD" w14:textId="465D07DE" w:rsidR="005F782F" w:rsidRPr="005F41B0" w:rsidRDefault="00EE0F0B" w:rsidP="00EE0F0B">
      <w:pPr>
        <w:pStyle w:val="H23G"/>
      </w:pPr>
      <w:r w:rsidRPr="005F41B0">
        <w:tab/>
      </w:r>
      <w:r w:rsidR="005F782F" w:rsidRPr="005F41B0">
        <w:tab/>
        <w:t>Unidades de Intervención Estructurada</w:t>
      </w:r>
    </w:p>
    <w:p w14:paraId="629F23A3" w14:textId="77777777" w:rsidR="005F782F" w:rsidRPr="005F41B0" w:rsidRDefault="005F782F" w:rsidP="005F782F">
      <w:pPr>
        <w:pStyle w:val="SingleTxtG"/>
      </w:pPr>
      <w:r w:rsidRPr="005F41B0">
        <w:t>94.</w:t>
      </w:r>
      <w:r w:rsidRPr="005F41B0">
        <w:tab/>
        <w:t xml:space="preserve">En 2019 con las enmiendas legislativas se puso fin al uso de la segregación administrativa en los centros penitenciarios federales. Esa legislación creó las Unidades de Intervención Estructurada, un modelo penitenciario que ofrece intervenciones, programas y atención sanitaria específicos. Dichas unidades son para reclusos que no pueden ser tratados de forma segura en régimen de internamiento ordinario. Un recluso podría ser trasladado temporalmente a una Unidad de Intervención Estructurada en los siguientes casos: constituye una amenaza para cualquier persona o para la seguridad de la institución; su seguridad está en peligro, o su reclusión en régimen de internamiento ordinario interfiere con una investigación relacionada con una infracción penal o disciplinaria grave. El traslado a una Unidad de Intervención Estructurada solo se autoriza si no existen alternativas razonables y la ley exige revisiones periódicas para garantizar que el fundamento jurídico del traslado sigue siendo válido. Las Unidades de Intervención Estructurada son una medida temporal </w:t>
      </w:r>
      <w:r w:rsidRPr="005F41B0">
        <w:lastRenderedPageBreak/>
        <w:t>para proporcionar a los reclusos las intervenciones y los programas necesarios para permitir un retorno seguro al régimen de internamiento ordinario. En 2022-2023 la mediana de tiempo que los reclusos permanecieron en estas unidades fue de 14 días. La legislación exige oportunidades diarias para interactuar con otras personas y pasar tiempo fuera de su celda, incluido el acceso continuado a programas, intervenciones y servicios penitenciarios para abordar sus riesgos o comportamientos específicos. Las excepciones a estos derechos están estrictamente definidas y deben registrarse.</w:t>
      </w:r>
    </w:p>
    <w:p w14:paraId="0E27088C" w14:textId="77777777" w:rsidR="005F782F" w:rsidRPr="005F41B0" w:rsidRDefault="005F782F" w:rsidP="005F782F">
      <w:pPr>
        <w:pStyle w:val="SingleTxtG"/>
      </w:pPr>
      <w:r w:rsidRPr="005F41B0">
        <w:t>95.</w:t>
      </w:r>
      <w:r w:rsidRPr="005F41B0">
        <w:tab/>
        <w:t>Las Unidades de Intervención Estructurada están sujetas a supervisión externa. Los responsables de la toma de decisiones externos independientes son los encargados de revisar las condiciones de reclusión de un recluso y la duración de su estancia en la Unidad de Intervención Estructurada en las circunstancias definidas en la Ley de Establecimientos Penitenciarios y Libertad Condicional. A 31 de marzo de 2023 los responsables de la toma de decisiones externos independientes han constatado que los Servicios Penitenciarios del Canadá están tomando todas las medidas razonables para proporcionar a los reclusos oportunidades de pasar tiempo fuera de la celda e interactuar con otras personas en el 80 % de sus revisiones. En las 24 horas siguientes al traslado a una Unidad de Intervención Estructurada, el recluso es remitido a los servicios sanitarios para una evaluación de su salud, incluida la salud mental. La ley exige que los reclusos en Unidades de Intervención Estructurada reciban visitas diarias de un profesional sanitario registrado y que el personal notifique a los servicios sanitarios si cree que la reclusión está teniendo efectos perjudiciales para la salud del recluso. Estas salvaguardias garantizan que los profesionales sanitarios registrados puedan detectar rápidamente la aparición de síntomas relacionados con la salud, entre ellos los problemas de salud mental, y proporcionar el seguimiento clínico y la atención necesarios.</w:t>
      </w:r>
    </w:p>
    <w:p w14:paraId="0A7F9EA8" w14:textId="70675B41" w:rsidR="005F782F" w:rsidRPr="005F41B0" w:rsidRDefault="00EE0F0B" w:rsidP="00EE0F0B">
      <w:pPr>
        <w:pStyle w:val="H23G"/>
      </w:pPr>
      <w:r w:rsidRPr="005F41B0">
        <w:tab/>
      </w:r>
      <w:r w:rsidR="005F782F" w:rsidRPr="005F41B0">
        <w:tab/>
        <w:t>Atención sanitaria</w:t>
      </w:r>
    </w:p>
    <w:p w14:paraId="5CF6448F" w14:textId="77777777" w:rsidR="005F782F" w:rsidRPr="005F41B0" w:rsidRDefault="005F782F" w:rsidP="005F782F">
      <w:pPr>
        <w:pStyle w:val="SingleTxtG"/>
      </w:pPr>
      <w:r w:rsidRPr="005F41B0">
        <w:t>96.</w:t>
      </w:r>
      <w:r w:rsidRPr="005F41B0">
        <w:tab/>
        <w:t>En los centros penitenciarios federales, los Servicios Penitenciarios del Canadá dan prioridad a la prestación de una atención sanitaria profesional, centrada en la persona, integrada, coordinada, independiente desde el punto de vista clínico y que tenga en cuenta los aspectos culturales. Así lo subraya el mandato legislativo de los Servicios Penitenciarios del Canadá de proporcionar asistencia sanitaria esencial y un acceso razonable a la asistencia sanitaria no esencial a las personas encarceladas a nivel federal, de acuerdo con las normas profesionalmente aceptadas. Los servicios sanitarios de los Servicios Penitenciarios del Canadá están acreditados por Accreditation Canada, que es la misma organización que acredita hospitales y otros proveedores de servicios en comunidades de todo el Canadá.</w:t>
      </w:r>
    </w:p>
    <w:p w14:paraId="6EB0FE42" w14:textId="77777777" w:rsidR="005F782F" w:rsidRPr="005F41B0" w:rsidRDefault="005F782F" w:rsidP="005F782F">
      <w:pPr>
        <w:pStyle w:val="SingleTxtG"/>
      </w:pPr>
      <w:r w:rsidRPr="005F41B0">
        <w:t>97.</w:t>
      </w:r>
      <w:r w:rsidRPr="005F41B0">
        <w:tab/>
        <w:t>Los servicios sanitarios de los Servicios Penitenciarios del Canadá son prestados por una serie de profesionales sanitarios registrados, como médicos, enfermeros, farmacéuticos, psiquiatras, psicólogos, terapeutas ocupacionales, trabajadores sociales, dentistas y otros especialistas pertinentes. Sus servicios cumplen las mismas normas profesionales que cualquier proveedor del país. Se han asignado fondos federales para mejorar el apoyo a la salud mental en el sistema penitenciario federal. Las inversiones en salud mental incluyen la mejora de la evaluación y el diagnóstico precoz de las personas, la mejora de la atención primaria y aguda de salud mental, el apoyo a los servicios de defensa del paciente y la atención sanitaria 24 horas al día, 7 días a la semana, en instituciones específicas.</w:t>
      </w:r>
    </w:p>
    <w:p w14:paraId="171721CA" w14:textId="77777777" w:rsidR="005F782F" w:rsidRPr="005F41B0" w:rsidRDefault="005F782F" w:rsidP="005F782F">
      <w:pPr>
        <w:pStyle w:val="SingleTxtG"/>
      </w:pPr>
      <w:r w:rsidRPr="005F41B0">
        <w:t>98.</w:t>
      </w:r>
      <w:r w:rsidRPr="005F41B0">
        <w:tab/>
        <w:t>En los centros penitenciarios de Columbia Británica se hace hincapié en la identificación rápida de los enfermos de gravedad, la prevención de las conductas autolesivas y el suicidio, el tratamiento durante el encarcelamiento y la planificación de la puesta en libertad efectiva. Todas las personas que ingresan en un centro penitenciario provincial son evaluadas por un enfermero y examinadas por un especialista en salud mental en las 24 horas siguientes a su ingreso. A continuación, se asigna a las personas detenidas a unidades de convivencia, teniendo en cuenta los resultados de la evaluación, y son derivadas a profesionales de la salud mental, como un psiquiatra o un psicólogo, según sea necesario. El personal penitenciario colabora estrechamente con la Autoridad Provincial de Servicios Sanitarios, organismo provincial responsable de la prestación de asistencia sanitaria en los centros penitenciarios provinciales, para garantizar que se atienden las complejas necesidades sanitarias y de salud mental de las personas privadas de libertad.</w:t>
      </w:r>
    </w:p>
    <w:p w14:paraId="6D7806F1" w14:textId="77777777" w:rsidR="005F782F" w:rsidRPr="005F41B0" w:rsidRDefault="005F782F" w:rsidP="005F782F">
      <w:pPr>
        <w:pStyle w:val="SingleTxtG"/>
      </w:pPr>
      <w:r w:rsidRPr="005F41B0">
        <w:lastRenderedPageBreak/>
        <w:t>99.</w:t>
      </w:r>
      <w:r w:rsidRPr="005F41B0">
        <w:tab/>
        <w:t>Nueva Brunswick sigue mejorando las condiciones generales de los reclusos mediante una amplia gama de medidas centradas en la atención sanitaria y la salud mental. Por ejemplo, hay tambores de mano y kits de sahumerio indígenas, los reclusos pueden acceder a trabajadores sociales expertos en salud mental y adicciones, se respetan las leyes religiosas en materia de alimentación y hay programas de huertos al aire libre en primavera/verano. Los reclusos de los centros penitenciarios pueden acceder a pruebas de detección estándar a través de la Red contra el Cáncer de Nuevo Brunswick.</w:t>
      </w:r>
    </w:p>
    <w:p w14:paraId="30AF2D1C" w14:textId="77777777" w:rsidR="005F782F" w:rsidRPr="005F41B0" w:rsidRDefault="005F782F" w:rsidP="005F782F">
      <w:pPr>
        <w:pStyle w:val="SingleTxtG"/>
      </w:pPr>
      <w:r w:rsidRPr="005F41B0">
        <w:t>100.</w:t>
      </w:r>
      <w:r w:rsidRPr="005F41B0">
        <w:tab/>
        <w:t>En los centros penitenciarios de la isla del Príncipe Eduardo se aplican numerosas medidas sanitarias para mejorar las condiciones generales de los reclusos, como la presencia de personal de enfermería, la disponibilidad de médicos de guardia, citas psiquiátricas mensuales por videoconferencia y el acceso a servicios de fisioterapia para los reclusos con dolores crónicos.</w:t>
      </w:r>
    </w:p>
    <w:p w14:paraId="4B6251D4" w14:textId="34D696E7" w:rsidR="005F782F" w:rsidRPr="005F41B0" w:rsidRDefault="00EE0F0B" w:rsidP="00EE0F0B">
      <w:pPr>
        <w:pStyle w:val="H1G"/>
      </w:pPr>
      <w:r w:rsidRPr="005F41B0">
        <w:tab/>
      </w:r>
      <w:r w:rsidR="005F782F" w:rsidRPr="005F41B0">
        <w:tab/>
        <w:t>Respuesta al párrafo 16</w:t>
      </w:r>
    </w:p>
    <w:p w14:paraId="15EA16DF" w14:textId="77777777" w:rsidR="005F782F" w:rsidRPr="005F41B0" w:rsidRDefault="005F782F" w:rsidP="005F782F">
      <w:pPr>
        <w:pStyle w:val="SingleTxtG"/>
      </w:pPr>
      <w:r w:rsidRPr="005F41B0">
        <w:t>101.</w:t>
      </w:r>
      <w:r w:rsidRPr="005F41B0">
        <w:tab/>
        <w:t>La capacidad del Canadá para prestar servicios consulares en todo el territorio de Siria es muy limitada. No obstante, los funcionarios consulares siguen de cerca la situación en el noreste de Siria y colaboran con las autoridades kurdas de Siria y las organizaciones internacionales que trabajan sobre el terreno para prestar asistencia consular, como la verificación del paradero y el bienestar de los canadienses; la solicitud de la atención médica disponible, y la defensa del bienestar de todos los canadienses detenidos en el noreste de Siria. El Canadá ha transmitido la expectativa de que los canadienses sean tratados con humanidad y de forma coherente con los principios aplicables del derecho internacional humanitario y de los derechos humanos.</w:t>
      </w:r>
    </w:p>
    <w:p w14:paraId="507C2F38" w14:textId="77777777" w:rsidR="005F782F" w:rsidRPr="005F41B0" w:rsidRDefault="005F782F" w:rsidP="005F782F">
      <w:pPr>
        <w:pStyle w:val="SingleTxtG"/>
      </w:pPr>
      <w:r w:rsidRPr="005F41B0">
        <w:t>102.</w:t>
      </w:r>
      <w:r w:rsidRPr="005F41B0">
        <w:tab/>
        <w:t>En medio de los informes sobre el deterioro de las condiciones en los campos, el Canadá está especialmente preocupado por la salud y el bienestar de los niños y niñas canadienses. Desde octubre de 2020 el país ha repatriado a 8 mujeres y 16 niños canadienses del noreste de Siria en el transcurso de cuatro operaciones. Por motivos de privacidad el Gobierno del Canadá no puede hacer comentarios públicos sobre la prestación de servicios consulares a personas concretas.</w:t>
      </w:r>
    </w:p>
    <w:p w14:paraId="472C58C0" w14:textId="77777777" w:rsidR="005F782F" w:rsidRPr="005F41B0" w:rsidRDefault="005F782F" w:rsidP="005F782F">
      <w:pPr>
        <w:pStyle w:val="SingleTxtG"/>
      </w:pPr>
      <w:r w:rsidRPr="005F41B0">
        <w:t>103.</w:t>
      </w:r>
      <w:r w:rsidRPr="005F41B0">
        <w:tab/>
        <w:t>Una persona nacida fuera del Canadá cuyo padre o madre es ciudadano canadiense es, por lo general, ciudadano canadiense por ascendencia si al menos uno de sus progenitores (progenitor con arreglo a derecho al nacer o progenitor biológico) nació en el Canadá o pasó a ser ciudadano canadiense por naturalización antes de que la persona naciera.</w:t>
      </w:r>
    </w:p>
    <w:p w14:paraId="0B559CB0" w14:textId="2767DC48" w:rsidR="005F782F" w:rsidRPr="005F41B0" w:rsidRDefault="00EE0F0B" w:rsidP="00EE0F0B">
      <w:pPr>
        <w:pStyle w:val="H1G"/>
      </w:pPr>
      <w:r w:rsidRPr="005F41B0">
        <w:tab/>
      </w:r>
      <w:r w:rsidR="005F782F" w:rsidRPr="005F41B0">
        <w:tab/>
        <w:t>Respuesta al párrafo 17</w:t>
      </w:r>
    </w:p>
    <w:p w14:paraId="6E68C4BB" w14:textId="0F5DA57B" w:rsidR="005F782F" w:rsidRPr="005F41B0" w:rsidRDefault="005F782F" w:rsidP="00EE0F0B">
      <w:pPr>
        <w:pStyle w:val="H23G"/>
      </w:pPr>
      <w:r w:rsidRPr="005F41B0">
        <w:tab/>
      </w:r>
      <w:r w:rsidR="00EE0F0B" w:rsidRPr="005F41B0">
        <w:tab/>
      </w:r>
      <w:r w:rsidRPr="005F41B0">
        <w:t>Estrategia Nacional de Lucha contra la Trata de Persona</w:t>
      </w:r>
    </w:p>
    <w:p w14:paraId="44502DFF" w14:textId="77777777" w:rsidR="005F782F" w:rsidRPr="005F41B0" w:rsidRDefault="005F782F" w:rsidP="005F782F">
      <w:pPr>
        <w:pStyle w:val="SingleTxtG"/>
      </w:pPr>
      <w:r w:rsidRPr="005F41B0">
        <w:t>104.</w:t>
      </w:r>
      <w:r w:rsidRPr="005F41B0">
        <w:tab/>
        <w:t>En 2019 el Gobierno del Canadá puso en marcha la Estrategia Nacional de Lucha contra la Trata de Personas. La estrategia pretende reforzar la respuesta del Canadá a la trata de personas y apoyar compromisos más amplios, como prevenir y abordar la violencia de género y velar por la seguridad de los Pueblos Indígenas. Entre las medidas emprendidas en el marco de la estrategia cabe mencionar las siguientes: el aumento de la financiación de proyectos comunitarios de lucha contra la trata de personas y el empoderamiento de víctimas y supervivientes; un teléfono de asistencia nacional contra la trata de personas y una campaña de sensibilización pública; el apoyo continuado a los asociados internacionales para luchar contra la trata de personas mediante ayuda humanitaria, al desarrollo internacional y a la seguridad; iniciativas destinadas a garantizar que las cadenas de suministro de la contratación pública estén libres de explotación laboral, y el proyecto PROTECT, una alianza con el sector privado que aborda la explotación sexual a través del aspecto del blanqueo de dinero de la trata de personas.</w:t>
      </w:r>
    </w:p>
    <w:p w14:paraId="53017769" w14:textId="77777777" w:rsidR="005F782F" w:rsidRPr="005F41B0" w:rsidRDefault="005F782F" w:rsidP="005F782F">
      <w:pPr>
        <w:pStyle w:val="SingleTxtG"/>
      </w:pPr>
      <w:r w:rsidRPr="005F41B0">
        <w:t>105.</w:t>
      </w:r>
      <w:r w:rsidRPr="005F41B0">
        <w:tab/>
        <w:t xml:space="preserve">Existe un curso de formación en línea para agentes del orden, personal de justicia y fiscales sobre el delito de la trata de personas, la legislación pertinente y las directrices generales de asistencia a las víctimas. En la Academia de Policía del Canadá se imparte formación exhaustiva a investigadores policiales y fiscales sobre la trata de personas y la </w:t>
      </w:r>
      <w:r w:rsidRPr="005F41B0">
        <w:lastRenderedPageBreak/>
        <w:t>protección de las víctimas. La formación se centra en la comprensión de los objetivos y el alcance de los delitos, la importancia de fomentar relaciones de confianza entre los agentes del orden y las víctimas, y las estrategias para hacer frente a los retos que plantean la investigación y el enjuiciamiento de estos casos. La formación también aborda mecanismos legislativos específicos de ayuda a las víctimas de la trata y de regularización de su situación. Además de los cursos de formación, se han adoptado nuevos productos para los agentes del orden, entre ellos una guía sobre las entrevistas a víctimas de la trata de personas, un manual para agentes de policía y una presentación aprobada a escala nacional para los servicios generales de policía y tráfico sobre la trata de personas. El manual sobre la trata de personas para los profesionales de la justicia penal abarca temas como los indicadores de explotación sexual y trabajo forzado, el impacto de la trata en las víctimas y el trabajo con víctimas traumatizadas.</w:t>
      </w:r>
    </w:p>
    <w:p w14:paraId="7A4EE6EF" w14:textId="77777777" w:rsidR="005F782F" w:rsidRPr="005F41B0" w:rsidRDefault="005F782F" w:rsidP="005F782F">
      <w:pPr>
        <w:pStyle w:val="SingleTxtG"/>
      </w:pPr>
      <w:r w:rsidRPr="005F41B0">
        <w:t>106.</w:t>
      </w:r>
      <w:r w:rsidRPr="005F41B0">
        <w:tab/>
        <w:t>Los funcionarios de los servicios de fronteras reciben formación sobre cuestiones de trata de personas durante su orientación. Además, se ofrece un curso en línea a todos los empleados de los servicios de fronteras que puedan entrar en contacto con víctimas de la trata de personas o los autores de este delito.</w:t>
      </w:r>
    </w:p>
    <w:p w14:paraId="3FFE5F54" w14:textId="77777777" w:rsidR="005F782F" w:rsidRPr="005F41B0" w:rsidRDefault="005F782F" w:rsidP="005F782F">
      <w:pPr>
        <w:pStyle w:val="SingleTxtG"/>
        <w:rPr>
          <w:i/>
          <w:u w:val="single"/>
        </w:rPr>
      </w:pPr>
      <w:r w:rsidRPr="005F41B0">
        <w:t>107.</w:t>
      </w:r>
      <w:r w:rsidRPr="005F41B0">
        <w:tab/>
        <w:t>Las provincias y territorios han establecido sus propias estrategias y planes de acción locales para hacer frente a la trata de personas en sus jurisdicciones. Por ejemplo, en 2020, Ontario anunció una estrategia para combatir la trata de personas y la explotación sexual infantil, que incluye aportaciones de comunidades y organizaciones indígenas. En 2019 Alberta lanzó el Plan de Acción de Nueve Puntos para Luchar contra la Trata de Personas.</w:t>
      </w:r>
    </w:p>
    <w:p w14:paraId="1C9BE0C6" w14:textId="58CA5586" w:rsidR="005F782F" w:rsidRPr="005F41B0" w:rsidRDefault="005F782F" w:rsidP="00EE0F0B">
      <w:pPr>
        <w:pStyle w:val="H23G"/>
        <w:rPr>
          <w:u w:val="single"/>
        </w:rPr>
      </w:pPr>
      <w:r w:rsidRPr="005F41B0">
        <w:tab/>
      </w:r>
      <w:r w:rsidR="00EE0F0B" w:rsidRPr="005F41B0">
        <w:tab/>
      </w:r>
      <w:r w:rsidRPr="005F41B0">
        <w:t>Protección y rehabilitación</w:t>
      </w:r>
    </w:p>
    <w:p w14:paraId="230ADBCE" w14:textId="7279E75F" w:rsidR="005F782F" w:rsidRPr="005F41B0" w:rsidRDefault="005F782F" w:rsidP="005F782F">
      <w:pPr>
        <w:pStyle w:val="SingleTxtG"/>
      </w:pPr>
      <w:r w:rsidRPr="005F41B0">
        <w:t>108.</w:t>
      </w:r>
      <w:r w:rsidRPr="005F41B0">
        <w:tab/>
        <w:t xml:space="preserve">A partir de 2020 el Gobierno del Canadá ha </w:t>
      </w:r>
      <w:r w:rsidR="001E4064" w:rsidRPr="005F41B0">
        <w:t>proporcionado</w:t>
      </w:r>
      <w:r w:rsidRPr="005F41B0">
        <w:t xml:space="preserve"> financiación a 63</w:t>
      </w:r>
      <w:r w:rsidR="001E4064" w:rsidRPr="005F41B0">
        <w:t> </w:t>
      </w:r>
      <w:r w:rsidRPr="005F41B0">
        <w:t>organizaciones para prevenir la trata de personas y apoyar a las poblaciones en riesgo, las víctimas y los supervivientes. Esto incluye, por ejemplo, proporcionar viviendas de transición y de segunda fase, servicios de salud mental, servicios y ayudas para el empleo, formación y herramientas para lograr la independencia económica, así como proporcionar educación y concienciación a los jóvenes en situación de riesgo.</w:t>
      </w:r>
    </w:p>
    <w:p w14:paraId="729F3970" w14:textId="77777777" w:rsidR="005F782F" w:rsidRPr="005F41B0" w:rsidRDefault="005F782F" w:rsidP="005F782F">
      <w:pPr>
        <w:pStyle w:val="SingleTxtG"/>
      </w:pPr>
      <w:r w:rsidRPr="005F41B0">
        <w:t>109.</w:t>
      </w:r>
      <w:r w:rsidRPr="005F41B0">
        <w:tab/>
        <w:t>El teléfono de asistencia nacional contra la trata de personas, que se puso en marcha en mayo de 2019, es un servicio confidencial y multilingüe, que funciona las 24 horas del día, los 7 días de la semana, para poner en contacto a las víctimas y supervivientes con los servicios sociales, las fuerzas del orden y los servicios de emergencia, así como para recibir información del público. El teléfono ha detectado 1500 casos de trata de personas, entre 251 y 460 al año, y ha prestado apoyo a 2170 víctimas y supervivientes de la trata.</w:t>
      </w:r>
    </w:p>
    <w:p w14:paraId="616B6217" w14:textId="77777777" w:rsidR="005F782F" w:rsidRPr="005F41B0" w:rsidRDefault="005F782F" w:rsidP="005F782F">
      <w:pPr>
        <w:pStyle w:val="SingleTxtG"/>
      </w:pPr>
      <w:r w:rsidRPr="005F41B0">
        <w:t>110.</w:t>
      </w:r>
      <w:r w:rsidRPr="005F41B0">
        <w:tab/>
        <w:t>Desde 2019, a través del Fondo para las Víctimas, el Gobierno del Canadá proporciona financiación a las organizaciones que cumplen los requisitos para proyectos y actividades relacionados con la trata de personas dirigidos a: desarrollar formación para los profesionales de la justicia penal para detectar, investigar y enjuiciar mejor los casos de trata de personas; elaborar planes de acción y servicios para las víctimas de la trata de personas y los organismos que las atienden, y apoyar a las víctimas mediante prácticas que tengan en cuenta el trauma sufrido.</w:t>
      </w:r>
    </w:p>
    <w:p w14:paraId="6F9EF57A" w14:textId="77777777" w:rsidR="005F782F" w:rsidRPr="005F41B0" w:rsidRDefault="005F782F" w:rsidP="005F782F">
      <w:pPr>
        <w:pStyle w:val="SingleTxtG"/>
      </w:pPr>
      <w:r w:rsidRPr="005F41B0">
        <w:t>111.</w:t>
      </w:r>
      <w:r w:rsidRPr="005F41B0">
        <w:tab/>
        <w:t>La protección de las víctimas de la trata de personas es una responsabilidad compartida entre todos los niveles de gobierno. Las provincias y territorios prestan servicios sanitarios y sociales, alojamiento de emergencia y asistencia jurídica a víctimas y supervivientes.</w:t>
      </w:r>
    </w:p>
    <w:p w14:paraId="403C4374" w14:textId="77777777" w:rsidR="005F782F" w:rsidRPr="005F41B0" w:rsidRDefault="005F782F" w:rsidP="005F782F">
      <w:pPr>
        <w:pStyle w:val="SingleTxtG"/>
      </w:pPr>
      <w:r w:rsidRPr="005F41B0">
        <w:t>112.</w:t>
      </w:r>
      <w:r w:rsidRPr="005F41B0">
        <w:tab/>
        <w:t>En Alberta las víctimas de la trata de personas pueden recibir apoyo, incluido alojamiento de emergencia, planificación de la seguridad y derivación a organismos de apoyo especializados. Las víctimas de la trata de personas que han sido explotadas sexualmente pueden recibir apoyo y servicios especializados de los Centros para Víctimas de Agresiones Sexuales.</w:t>
      </w:r>
    </w:p>
    <w:p w14:paraId="62F495FA" w14:textId="77777777" w:rsidR="005F782F" w:rsidRPr="005F41B0" w:rsidRDefault="005F782F" w:rsidP="005F782F">
      <w:pPr>
        <w:pStyle w:val="SingleTxtG"/>
      </w:pPr>
      <w:r w:rsidRPr="005F41B0">
        <w:t>113.</w:t>
      </w:r>
      <w:r w:rsidRPr="005F41B0">
        <w:tab/>
        <w:t>Ontario cuenta con varios programas que ayudan a las víctimas de delitos (incluidas las víctimas de la trata de personas), a sus familiares directos y los testigos, mediante el apoyo en forma de intervención en situaciones de crisis, asistencia financiera, apoyo jurídico gratuito y ayuda para desenvolverse en el proceso penal.</w:t>
      </w:r>
    </w:p>
    <w:p w14:paraId="5C2A73AE" w14:textId="77777777" w:rsidR="005F782F" w:rsidRPr="005F41B0" w:rsidRDefault="005F782F" w:rsidP="005F782F">
      <w:pPr>
        <w:pStyle w:val="SingleTxtG"/>
      </w:pPr>
      <w:r w:rsidRPr="005F41B0">
        <w:lastRenderedPageBreak/>
        <w:t>114.</w:t>
      </w:r>
      <w:r w:rsidRPr="005F41B0">
        <w:tab/>
        <w:t>La guía sobre la trata de personas de 2017 de Nuevo Brunswick ofrece información sobre cómo reconocer, apoyar, proteger y ayudar a una persona que pueda ser víctima de la trata, así como información sobre los servicios provinciales, incluidas las casas de transición, las líneas telefónicas de crisis, el asesoramiento sobre agresiones sexuales y los refugios de emergencia.</w:t>
      </w:r>
    </w:p>
    <w:p w14:paraId="63A4CE93" w14:textId="77777777" w:rsidR="005F782F" w:rsidRPr="005F41B0" w:rsidRDefault="005F782F" w:rsidP="005F782F">
      <w:pPr>
        <w:pStyle w:val="SingleTxtG"/>
      </w:pPr>
      <w:r w:rsidRPr="005F41B0">
        <w:t>115.</w:t>
      </w:r>
      <w:r w:rsidRPr="005F41B0">
        <w:tab/>
        <w:t>En 2020 había un total de 153 refugios de emergencia conocidos en todo el Canadá, con 6559 camas disponibles. Esta cifra incluye los refugios y camas de emergencia para hombres y mujeres.</w:t>
      </w:r>
    </w:p>
    <w:p w14:paraId="4495BA9D" w14:textId="563C7880" w:rsidR="005F782F" w:rsidRPr="005F41B0" w:rsidRDefault="00EE0F0B" w:rsidP="00EE0F0B">
      <w:pPr>
        <w:pStyle w:val="H23G"/>
      </w:pPr>
      <w:r w:rsidRPr="005F41B0">
        <w:tab/>
      </w:r>
      <w:r w:rsidR="005F782F" w:rsidRPr="005F41B0">
        <w:tab/>
        <w:t>Denuncias, investigaciones, enjuiciamientos y condenas</w:t>
      </w:r>
    </w:p>
    <w:p w14:paraId="3F24F160" w14:textId="77777777" w:rsidR="005F782F" w:rsidRPr="005F41B0" w:rsidRDefault="005F782F" w:rsidP="005F782F">
      <w:pPr>
        <w:pStyle w:val="SingleTxtG"/>
      </w:pPr>
      <w:r w:rsidRPr="005F41B0">
        <w:t>116.</w:t>
      </w:r>
      <w:r w:rsidRPr="005F41B0">
        <w:tab/>
        <w:t>Entre 2015 y 2022 se denunciaron a la policía 3589 incidentes de trata de personas. Se presentaron 3071 cargos, 147 de los cuales dieron lugar a declaraciones de culpabilidad. En el anexo A se ofrecen más detalles al respecto.</w:t>
      </w:r>
    </w:p>
    <w:p w14:paraId="074CCFA3" w14:textId="68E7AF3F" w:rsidR="005F782F" w:rsidRPr="005F41B0" w:rsidRDefault="00EE0F0B" w:rsidP="00EE0F0B">
      <w:pPr>
        <w:pStyle w:val="H1G"/>
      </w:pPr>
      <w:r w:rsidRPr="005F41B0">
        <w:tab/>
      </w:r>
      <w:r w:rsidR="005F782F" w:rsidRPr="005F41B0">
        <w:tab/>
        <w:t>Respuesta al párrafo 18</w:t>
      </w:r>
    </w:p>
    <w:p w14:paraId="28C658F0" w14:textId="5B6BB2C5" w:rsidR="005F782F" w:rsidRPr="005F41B0" w:rsidRDefault="00EE0F0B" w:rsidP="00EE0F0B">
      <w:pPr>
        <w:pStyle w:val="H23G"/>
      </w:pPr>
      <w:r w:rsidRPr="005F41B0">
        <w:tab/>
      </w:r>
      <w:r w:rsidR="005F782F" w:rsidRPr="005F41B0">
        <w:tab/>
        <w:t>Detención de inmigrantes</w:t>
      </w:r>
    </w:p>
    <w:p w14:paraId="5C4EB5EB" w14:textId="77777777" w:rsidR="005F782F" w:rsidRPr="005F41B0" w:rsidRDefault="005F782F" w:rsidP="005F782F">
      <w:pPr>
        <w:pStyle w:val="SingleTxtG"/>
      </w:pPr>
      <w:r w:rsidRPr="005F41B0">
        <w:t>117.</w:t>
      </w:r>
      <w:r w:rsidRPr="005F41B0">
        <w:tab/>
        <w:t>El programa de detención de inmigrantes del Gobierno del Canadá se basa en el principio de que la detención solo se utiliza como medida de último recurso, en circunstancias limitadas, y después de que se hayan considerado y determinado inadecuadas o no disponibles todas las alternativas a la privación de libertad. Las políticas y normas de detención están sujetas a revisión continua.</w:t>
      </w:r>
    </w:p>
    <w:p w14:paraId="52A5E431" w14:textId="77777777" w:rsidR="005F782F" w:rsidRPr="005F41B0" w:rsidRDefault="005F782F" w:rsidP="005F782F">
      <w:pPr>
        <w:pStyle w:val="SingleTxtG"/>
      </w:pPr>
      <w:r w:rsidRPr="005F41B0">
        <w:t>118.</w:t>
      </w:r>
      <w:r w:rsidRPr="005F41B0">
        <w:tab/>
        <w:t>Por cada arresto y detención, la política exige que la dirección supervise la necesidad de mantener la detención y si existen opciones para gestionar el riesgo de una persona en la comunidad. La ley exige que toda detención de una persona sea revisada periódicamente (a las 48 horas, los 7 días y cada 30 días a partir de entonces) por la Comisión de Inmigración y Refugiados, un tribunal cuasijudicial e independiente, para determinar la conveniencia de la continuación de la detención o de cualquier alternativa a la privación de libertad. Antes de las revisiones de las detenciones, el Gobierno del Canadá se asegura de que las personas estén informadas sobre su caso y puedan acceder a recursos, incluido el asesoramiento jurídico.</w:t>
      </w:r>
    </w:p>
    <w:p w14:paraId="41301440" w14:textId="77777777" w:rsidR="005F782F" w:rsidRPr="005F41B0" w:rsidRDefault="005F782F" w:rsidP="005F782F">
      <w:pPr>
        <w:pStyle w:val="SingleTxtG"/>
      </w:pPr>
      <w:r w:rsidRPr="005F41B0">
        <w:t>119.</w:t>
      </w:r>
      <w:r w:rsidRPr="005F41B0">
        <w:tab/>
        <w:t>El Gobierno del Canadá amplió sus opciones de liberación disponibles en un programa nacional de alternativas a la privación de libertad puesto en marcha en 2018. Además de los depósitos y garantías disponibles anteriormente, el programa de alternativas a la privación de libertad incluye ahora un programa ampliado de gestión y supervisión comunitaria de casos y un programa nacional de vigilancia electrónica. El Gobierno del Canadá sigue aumentando la capacidad de este programa. El aumento de las opciones de liberación ha disminuido el promedio diario nacional de personas detenidas de 342 en el ejercicio económico 2018-2019 a 248 en 2022-2023. Los días de detención anuales totales para todas las personas en todos los centros de detención también han disminuido de 131.709 en 2018-2019 a 88.378 en 2022-2023.</w:t>
      </w:r>
      <w:bookmarkStart w:id="16" w:name="_Hlk142998929"/>
    </w:p>
    <w:bookmarkEnd w:id="16"/>
    <w:p w14:paraId="6C85BD07" w14:textId="567861CA" w:rsidR="005F782F" w:rsidRPr="005F41B0" w:rsidRDefault="00EE0F0B" w:rsidP="00EE0F0B">
      <w:pPr>
        <w:pStyle w:val="H23G"/>
      </w:pPr>
      <w:r w:rsidRPr="005F41B0">
        <w:tab/>
      </w:r>
      <w:r w:rsidR="005F782F" w:rsidRPr="005F41B0">
        <w:tab/>
        <w:t>Niños privados de libertad</w:t>
      </w:r>
    </w:p>
    <w:p w14:paraId="61B1B751" w14:textId="77777777" w:rsidR="005F782F" w:rsidRPr="005F41B0" w:rsidRDefault="005F782F" w:rsidP="005F782F">
      <w:pPr>
        <w:pStyle w:val="SingleTxtG"/>
      </w:pPr>
      <w:r w:rsidRPr="005F41B0">
        <w:t>120.</w:t>
      </w:r>
      <w:r w:rsidRPr="005F41B0">
        <w:tab/>
        <w:t>En noviembre de 2017 se emitió una Directiva ministerial para mantener a los menores fuera de los centros de detención y a las familias unidas en la medida de lo posible. La Directiva aclara que debe darse una consideración primordial al interés superior del niño. También en 2017 se publicó la Directiva Nacional sobre la Detención o el Alojamiento de Menores de Edad, que proporciona orientación exhaustiva sobre el tratamiento de los menores en el sistema de detención de inmigrantes del Canadá, en reconocimiento de su vulnerabilidad y de los efectos perjudiciales de la detención y la separación familiar en los menores.</w:t>
      </w:r>
    </w:p>
    <w:p w14:paraId="79D28F57" w14:textId="77777777" w:rsidR="005F782F" w:rsidRPr="005F41B0" w:rsidRDefault="005F782F" w:rsidP="005F782F">
      <w:pPr>
        <w:pStyle w:val="SingleTxtG"/>
      </w:pPr>
      <w:r w:rsidRPr="005F41B0">
        <w:t>121.</w:t>
      </w:r>
      <w:r w:rsidRPr="005F41B0">
        <w:tab/>
        <w:t>En junio de 2019 las enmiendas consagraron los principios del interés superior del niño en el Reglamento de Inmigración y Protección de los Refugiados, y ello dio lugar a un conjunto obligatorio de consideraciones para los funcionarios al tomar una decisión sobre una detención que afecta a un niño.</w:t>
      </w:r>
    </w:p>
    <w:p w14:paraId="1DD1F28C" w14:textId="77777777" w:rsidR="005F782F" w:rsidRPr="005F41B0" w:rsidRDefault="005F782F" w:rsidP="005F782F">
      <w:pPr>
        <w:pStyle w:val="SingleTxtG"/>
      </w:pPr>
      <w:r w:rsidRPr="005F41B0">
        <w:lastRenderedPageBreak/>
        <w:t>122.</w:t>
      </w:r>
      <w:r w:rsidRPr="005F41B0">
        <w:tab/>
        <w:t>Estas medidas han limitado el uso de la detención a aquellos casos difíciles en los que existen serias preocupaciones sobre un menor no acompañado, o sobre los padres o el tutor de un menor acompañado, y no existe una alternativa adecuada a la detención. Cuando los progenitores son detenidos, los agentes colaboran con los progenitores y las autoridades de bienestar infantil para evaluar el interés superior del niño. Las estadísticas más recientes están disponibles en línea</w:t>
      </w:r>
      <w:r w:rsidRPr="005F41B0">
        <w:rPr>
          <w:rStyle w:val="Refdenotaalpie"/>
        </w:rPr>
        <w:footnoteReference w:id="18"/>
      </w:r>
      <w:r w:rsidRPr="005F41B0">
        <w:t>.</w:t>
      </w:r>
    </w:p>
    <w:p w14:paraId="1A5294BE" w14:textId="1DF6820C" w:rsidR="005F782F" w:rsidRPr="005F41B0" w:rsidRDefault="005F782F" w:rsidP="00EE0F0B">
      <w:pPr>
        <w:pStyle w:val="H23G"/>
      </w:pPr>
      <w:r w:rsidRPr="005F41B0">
        <w:tab/>
      </w:r>
      <w:r w:rsidR="00EE0F0B" w:rsidRPr="005F41B0">
        <w:tab/>
      </w:r>
      <w:r w:rsidRPr="005F41B0">
        <w:t>Condiciones</w:t>
      </w:r>
    </w:p>
    <w:p w14:paraId="6D20F31F" w14:textId="77777777" w:rsidR="005F782F" w:rsidRPr="005F41B0" w:rsidRDefault="005F782F" w:rsidP="005F782F">
      <w:pPr>
        <w:pStyle w:val="SingleTxtG"/>
      </w:pPr>
      <w:r w:rsidRPr="005F41B0">
        <w:t>123.</w:t>
      </w:r>
      <w:r w:rsidRPr="005F41B0">
        <w:tab/>
        <w:t>El Gobierno del Canadá ha adoptado varias medidas para garantizar mejor un trato digno y compasivo para todas las personas detenidas en aplicación de la legislación sobre inmigración. Desde 2015 el Gobierno del Canadá ha sustituido los centros de retención de inmigrantes de Columbia Británica y Quebec y ha modernizado el centro de retención de inmigrantes existente en Toronto. Estas mejoras han permitido al Gobierno del Canadá reducir el uso de instalaciones provinciales y proporcionar más atención médica y mental a los detenidos.</w:t>
      </w:r>
    </w:p>
    <w:p w14:paraId="241BCBA6" w14:textId="77777777" w:rsidR="005F782F" w:rsidRPr="005F41B0" w:rsidRDefault="005F782F" w:rsidP="005F782F">
      <w:pPr>
        <w:pStyle w:val="SingleTxtG"/>
      </w:pPr>
      <w:bookmarkStart w:id="17" w:name="_Hlk184880424"/>
      <w:r w:rsidRPr="005F41B0">
        <w:t>124.</w:t>
      </w:r>
      <w:r w:rsidRPr="005F41B0">
        <w:tab/>
        <w:t xml:space="preserve">En 2021 el Gobierno del Canadá reforzó las normas nacionales para la detención de inmigrantes para mejorar las condiciones de quienes están bajo su custodia. Las normas establecieron las prácticas esperadas y proporcionan coherencia nacional en la administración del programa de detención, en particular en áreas relacionadas con la seguridad y el cuidado de los detenidos. Las normas también pretenden mejorar el bienestar de los detenidos mediante la reducción al mínimo del aspecto institucional de las instalaciones, la prestación de servicios de traducción y apoyo jurídico, la introducción de espacios para organizaciones no gubernamentales </w:t>
      </w:r>
      <w:r w:rsidRPr="005F41B0">
        <w:rPr>
          <w:i/>
          <w:iCs/>
        </w:rPr>
        <w:t>in situ</w:t>
      </w:r>
      <w:r w:rsidRPr="005F41B0">
        <w:t>, la mayor movilidad de los detenidos dentro del centro sin escolta cuando sea factible, un mejor acceso para los familiares y amigos y más espacio recreativo en el interior y al aire libre.</w:t>
      </w:r>
      <w:bookmarkEnd w:id="17"/>
    </w:p>
    <w:p w14:paraId="59605B9F" w14:textId="77777777" w:rsidR="005F782F" w:rsidRPr="005F41B0" w:rsidRDefault="005F782F" w:rsidP="005F782F">
      <w:pPr>
        <w:pStyle w:val="SingleTxtG"/>
      </w:pPr>
      <w:r w:rsidRPr="005F41B0">
        <w:t>125.</w:t>
      </w:r>
      <w:r w:rsidRPr="005F41B0">
        <w:tab/>
        <w:t>La Cruz Roja Canadiense realiza un seguimiento periódico e independiente de las condiciones de detención y el trato de los detenidos; visita los centros de detención de inmigrantes de todo el Canadá y entrevista a los detenidos. La Cruz Roja Canadiense publica informes anuales que pueden consultarse en el sitio web de la Agencia de Servicios de Fronteras del Canadá</w:t>
      </w:r>
      <w:r w:rsidRPr="005F41B0">
        <w:rPr>
          <w:rStyle w:val="Refdenotaalpie"/>
        </w:rPr>
        <w:footnoteReference w:id="19"/>
      </w:r>
      <w:r w:rsidRPr="005F41B0">
        <w:t>. La Cruz Roja Canadiense y la Agencia de Servicios de Fronteras del Canadá mantienen un diálogo permanente sobre cómo mejorar las condiciones de los centros de retención de inmigrantes.</w:t>
      </w:r>
    </w:p>
    <w:p w14:paraId="60A7C511" w14:textId="7A33E5EA" w:rsidR="005F782F" w:rsidRPr="005F41B0" w:rsidRDefault="005F782F" w:rsidP="005F782F">
      <w:pPr>
        <w:pStyle w:val="SingleTxtG"/>
      </w:pPr>
      <w:r w:rsidRPr="005F41B0">
        <w:t>126.</w:t>
      </w:r>
      <w:r w:rsidRPr="005F41B0">
        <w:tab/>
        <w:t>Todos los inmigrantes detenidos reciben un documento con información sobre su detención, sus derechos y obligaciones,</w:t>
      </w:r>
      <w:r w:rsidR="007C048C" w:rsidRPr="005F41B0">
        <w:t xml:space="preserve"> </w:t>
      </w:r>
      <w:r w:rsidRPr="005F41B0">
        <w:t>y el proceso de revisión de la detención. Está disponible en 16 idiomas diferentes</w:t>
      </w:r>
      <w:r w:rsidRPr="005F41B0">
        <w:rPr>
          <w:rStyle w:val="Refdenotaalpie"/>
        </w:rPr>
        <w:footnoteReference w:id="20"/>
      </w:r>
      <w:r w:rsidRPr="005F41B0">
        <w:t>. También está disponible en 16 idiomas un paquete informativo sobre la detención, con información práctica sobre el funcionamiento del centro y otras cuestiones.</w:t>
      </w:r>
    </w:p>
    <w:p w14:paraId="1F400301" w14:textId="249EC878" w:rsidR="005F782F" w:rsidRPr="005F41B0" w:rsidRDefault="005F782F" w:rsidP="00EE0F0B">
      <w:pPr>
        <w:pStyle w:val="H1G"/>
      </w:pPr>
      <w:r w:rsidRPr="005F41B0">
        <w:tab/>
      </w:r>
      <w:r w:rsidR="00EE0F0B" w:rsidRPr="005F41B0">
        <w:tab/>
      </w:r>
      <w:r w:rsidRPr="005F41B0">
        <w:t>Respuesta al párrafo 19</w:t>
      </w:r>
    </w:p>
    <w:p w14:paraId="75C0116E" w14:textId="0A5E8F42" w:rsidR="005F782F" w:rsidRPr="005F41B0" w:rsidRDefault="005F782F" w:rsidP="00EE0F0B">
      <w:pPr>
        <w:pStyle w:val="H23G"/>
      </w:pPr>
      <w:r w:rsidRPr="005F41B0">
        <w:tab/>
      </w:r>
      <w:r w:rsidR="00EE0F0B" w:rsidRPr="005F41B0">
        <w:tab/>
      </w:r>
      <w:r w:rsidRPr="005F41B0">
        <w:t>Acuerdo de tercer país seguro entre el Canadá y los Estados Unidos</w:t>
      </w:r>
    </w:p>
    <w:p w14:paraId="6469A185" w14:textId="25802BFA" w:rsidR="005F782F" w:rsidRPr="005F41B0" w:rsidRDefault="005F782F" w:rsidP="005F782F">
      <w:pPr>
        <w:pStyle w:val="SingleTxtG"/>
      </w:pPr>
      <w:bookmarkStart w:id="18" w:name="_Hlk184880828"/>
      <w:r w:rsidRPr="005F41B0">
        <w:t>127.</w:t>
      </w:r>
      <w:r w:rsidRPr="005F41B0">
        <w:tab/>
        <w:t>El Acuerdo de tercer país seguro entre el Canadá y los Estados Unidos, en vigor desde</w:t>
      </w:r>
      <w:r w:rsidR="00EE0F0B" w:rsidRPr="005F41B0">
        <w:t> </w:t>
      </w:r>
      <w:r w:rsidRPr="005F41B0">
        <w:t xml:space="preserve">2004, ayuda tanto al Canadá como a los Estados Unidos a gestionar las solicitudes de asilo presentadas por extranjeros que cruzan la frontera terrestre. El acuerdo exige que los solicitantes de asilo busquen protección en el primero de los dos países al que llegan, a menos que puedan acogerse a una excepción o exención. Los ciudadanos canadienses y estadounidenses residentes habituales en cualquiera de los dos países y los </w:t>
      </w:r>
      <w:r w:rsidR="00222472" w:rsidRPr="005F41B0">
        <w:t>“</w:t>
      </w:r>
      <w:r w:rsidRPr="005F41B0">
        <w:t>apátridas</w:t>
      </w:r>
      <w:r w:rsidR="00222472" w:rsidRPr="005F41B0">
        <w:t>”</w:t>
      </w:r>
      <w:r w:rsidRPr="005F41B0">
        <w:t xml:space="preserve"> no están sujetos a las disposiciones del acuerdo. Las excepciones al acuerdo tienen en cuenta la importancia de la unidad familiar, el interés superior de los niños y el interés público.</w:t>
      </w:r>
    </w:p>
    <w:p w14:paraId="43664F32" w14:textId="77777777" w:rsidR="005F782F" w:rsidRPr="005F41B0" w:rsidRDefault="005F782F" w:rsidP="005F782F">
      <w:pPr>
        <w:pStyle w:val="SingleTxtG"/>
      </w:pPr>
      <w:bookmarkStart w:id="19" w:name="_Hlk184881041"/>
      <w:bookmarkEnd w:id="18"/>
      <w:r w:rsidRPr="005F41B0">
        <w:t>128.</w:t>
      </w:r>
      <w:r w:rsidRPr="005F41B0">
        <w:tab/>
        <w:t xml:space="preserve">Aunque en un principio solo se aplicaba a los solicitantes de asilo que pretendían entrar en el Canadá por los puntos de entrada, a partir del 25 de marzo de 2023, el acuerdo </w:t>
      </w:r>
      <w:r w:rsidRPr="005F41B0">
        <w:lastRenderedPageBreak/>
        <w:t>se aplica a los solicitantes de asilo que crucen por cualquier punto de la frontera terrestre entre los Estados Unidos y el Canadá, incluidas las vías de navegación interiores.</w:t>
      </w:r>
    </w:p>
    <w:bookmarkEnd w:id="19"/>
    <w:p w14:paraId="46F90FE0" w14:textId="77777777" w:rsidR="005F782F" w:rsidRPr="005F41B0" w:rsidRDefault="005F782F" w:rsidP="005F782F">
      <w:pPr>
        <w:pStyle w:val="SingleTxtG"/>
      </w:pPr>
      <w:r w:rsidRPr="005F41B0">
        <w:t>129.</w:t>
      </w:r>
      <w:r w:rsidRPr="005F41B0">
        <w:tab/>
        <w:t>En junio de 2023 el Tribunal Supremo del Canadá sostuvo que la designación de los Estados Unidos como tercer país seguro es coherente con el derecho a la vida, a la libertad y a la seguridad de la persona recogido en la Carta. El Tribunal sostuvo que las leyes nacionales incluyen varias soluciones alternativas para garantizar que las personas devueltas a los Estados Unidos no se enfrentan a un riesgo real (no especulativo) de devolución. Un recurso basado en los derechos de igualdad de la Carta fue devuelto al Tribunal Federal para su resolución.</w:t>
      </w:r>
    </w:p>
    <w:p w14:paraId="5BE2CEA1" w14:textId="77777777" w:rsidR="005F782F" w:rsidRPr="005F41B0" w:rsidRDefault="005F782F" w:rsidP="005F782F">
      <w:pPr>
        <w:pStyle w:val="SingleTxtG"/>
      </w:pPr>
      <w:r w:rsidRPr="005F41B0">
        <w:t>130.</w:t>
      </w:r>
      <w:r w:rsidRPr="005F41B0">
        <w:tab/>
        <w:t>En virtud de la legislación nacional, el Canadá debe supervisar continuamente la evolución de la política y las prácticas de asilo de los Estados Unidos, para garantizar que se siguen cumpliendo las condiciones que llevaron a su designación como tercer país seguro.</w:t>
      </w:r>
    </w:p>
    <w:p w14:paraId="271DD08E" w14:textId="743A06A7" w:rsidR="005F782F" w:rsidRPr="005F41B0" w:rsidRDefault="005F782F" w:rsidP="00EE0F0B">
      <w:pPr>
        <w:pStyle w:val="H23G"/>
      </w:pPr>
      <w:r w:rsidRPr="005F41B0">
        <w:tab/>
      </w:r>
      <w:r w:rsidR="00EE0F0B" w:rsidRPr="005F41B0">
        <w:tab/>
      </w:r>
      <w:r w:rsidRPr="005F41B0">
        <w:t>Enmienda legislativa</w:t>
      </w:r>
    </w:p>
    <w:p w14:paraId="3DD697CD" w14:textId="60313E07" w:rsidR="005F782F" w:rsidRPr="005F41B0" w:rsidRDefault="005F782F" w:rsidP="005F782F">
      <w:pPr>
        <w:pStyle w:val="SingleTxtG"/>
      </w:pPr>
      <w:r w:rsidRPr="005F41B0">
        <w:t>131.</w:t>
      </w:r>
      <w:r w:rsidRPr="005F41B0">
        <w:tab/>
        <w:t xml:space="preserve">El artículo 101, párrafo 1, apartado c.1), de la Ley de Inmigración y Protección de los Refugiados se promulgó en 2019. Esta disposición afecta al examen de una solicitud de asilo que se remita a la División de Protección de los Refugiados, si el solicitante presentó previamente una solicitud de asilo en otro país con el que el Canadá tenga un acuerdo pertinente de intercambio de información. Estos solicitantes no tienen derecho a que sus solicitudes se remitan a la División de Protección de los Refugiados, pero sí a una evaluación del riesgo previa a la expulsión para garantizar que no se los expulsa a su país de origen si pueden sufrir persecución, peligro de tortura, su vida corre peligro o existe el riesgo de sufrir tratos o penas crueles e inusuales. La evaluación del riesgo de estas personas tiene en cuenta los mismos motivos de protección de los refugiados que el proceso de la División de Protección de los Refugiados, incluye una audiencia obligatoria y cumple las obligaciones jurídicas internacionales del Canadá en materia de no devolución. Estas personas, si se considera que corren peligro y no son inadmisibles por motivos graves, recibirán la condición de persona protegida en el Canadá. Las personas declaradas inadmisibles en el Canadá por motivos graves podrían acogerse a una evaluación del riesgo previa a la expulsión </w:t>
      </w:r>
      <w:r w:rsidR="00222472" w:rsidRPr="005F41B0">
        <w:t>“</w:t>
      </w:r>
      <w:r w:rsidRPr="005F41B0">
        <w:t>restringida</w:t>
      </w:r>
      <w:r w:rsidR="00222472" w:rsidRPr="005F41B0">
        <w:t>”</w:t>
      </w:r>
      <w:r w:rsidRPr="005F41B0">
        <w:t>, que puede dar lugar a una suspensión revisable de la expulsión, pero no a la condición de persona protegida.</w:t>
      </w:r>
    </w:p>
    <w:p w14:paraId="6C8A607F" w14:textId="77777777" w:rsidR="005F782F" w:rsidRPr="005F41B0" w:rsidRDefault="005F782F" w:rsidP="005F782F">
      <w:pPr>
        <w:pStyle w:val="SingleTxtG"/>
      </w:pPr>
      <w:r w:rsidRPr="005F41B0">
        <w:t>132.</w:t>
      </w:r>
      <w:r w:rsidRPr="005F41B0">
        <w:tab/>
        <w:t>El objetivo de esta disposición es desalentar el uso indebido del sistema de asilo por parte de personas que presentan múltiples solicitudes en distintos países para aumentar sus posibilidades de recibir una decisión positiva. Se trata de una medida de integridad del programa de fronteras y asilo. El Canadá tiene acuerdos de intercambio de información con países que cuentan con sistemas de inmigración y asilo maduros y un alto grado de protección de la privacidad y los datos, incluidas las salvaguardias para los solicitantes y la protección de los datos de los refugiados. Actualmente, esos países son Australia, los Estados Unidos, Nueva Zelandia y el Reino Unido.</w:t>
      </w:r>
    </w:p>
    <w:p w14:paraId="13A4DDDA" w14:textId="711E317F" w:rsidR="005F782F" w:rsidRPr="005F41B0" w:rsidRDefault="00EE0F0B" w:rsidP="00EE0F0B">
      <w:pPr>
        <w:pStyle w:val="H23G"/>
      </w:pPr>
      <w:r w:rsidRPr="005F41B0">
        <w:tab/>
      </w:r>
      <w:r w:rsidR="005F782F" w:rsidRPr="005F41B0">
        <w:tab/>
        <w:t>Apátridas</w:t>
      </w:r>
    </w:p>
    <w:p w14:paraId="36DFB575" w14:textId="77777777" w:rsidR="005F782F" w:rsidRPr="005F41B0" w:rsidRDefault="005F782F" w:rsidP="005F782F">
      <w:pPr>
        <w:pStyle w:val="SingleTxtG"/>
      </w:pPr>
      <w:bookmarkStart w:id="20" w:name="_Hlk184882496"/>
      <w:r w:rsidRPr="005F41B0">
        <w:t>133.</w:t>
      </w:r>
      <w:r w:rsidRPr="005F41B0">
        <w:tab/>
        <w:t>El Canadá es parte de la Convención para Reducir los Casos de Apatridia de 1961, pero actualmente no tiene previsto adherirse a la Convención sobre el Estatuto de los Apátridas de 1954. El Canadá sigue basándose en las medidas existentes en el marco jurídico del país para ofrecer soluciones duraderas a los apátridas y no tiene previsto crear un procedimiento específico de determinación de la situación para los apátridas.</w:t>
      </w:r>
    </w:p>
    <w:bookmarkEnd w:id="20"/>
    <w:p w14:paraId="3F412B5C" w14:textId="77777777" w:rsidR="005F782F" w:rsidRPr="005F41B0" w:rsidRDefault="005F782F" w:rsidP="005F782F">
      <w:pPr>
        <w:pStyle w:val="SingleTxtG"/>
      </w:pPr>
      <w:r w:rsidRPr="005F41B0">
        <w:t>134.</w:t>
      </w:r>
      <w:r w:rsidRPr="005F41B0">
        <w:tab/>
        <w:t>En virtud de la Ley de Inmigración y Protección de los Refugiados y la Ley de Ciudadanía del Canadá, hay varias medidas que bastan para ofrecer a los apátridas una solución duradera: el acceso al programa de reasentamiento del Canadá, el sistema de asilo en el Canadá y la evaluación del riesgo previa a la expulsión</w:t>
      </w:r>
      <w:r w:rsidRPr="005F41B0">
        <w:rPr>
          <w:rStyle w:val="Refdenotaalpie"/>
        </w:rPr>
        <w:footnoteReference w:id="21"/>
      </w:r>
      <w:r w:rsidRPr="005F41B0">
        <w:t xml:space="preserve">, y el proceso de solicitud por </w:t>
      </w:r>
      <w:r w:rsidRPr="005F41B0">
        <w:lastRenderedPageBreak/>
        <w:t>motivos humanitarios</w:t>
      </w:r>
      <w:r w:rsidRPr="005F41B0">
        <w:rPr>
          <w:rStyle w:val="Refdenotaalpie"/>
        </w:rPr>
        <w:footnoteReference w:id="22"/>
      </w:r>
      <w:r w:rsidRPr="005F41B0">
        <w:t>. El Canadá también tiene disposiciones para conceder la nacionalidad a quienes no la adquieren automáticamente, sino que son apátridas. El Canadá apoya firmemente la campaña Yo Pertenezco de la Oficina del Alto Comisionado de las Naciones Unidas para los Refugiados</w:t>
      </w:r>
      <w:r w:rsidRPr="005F41B0">
        <w:rPr>
          <w:rStyle w:val="Refdenotaalpie"/>
        </w:rPr>
        <w:footnoteReference w:id="23"/>
      </w:r>
      <w:r w:rsidRPr="005F41B0">
        <w:t>.</w:t>
      </w:r>
    </w:p>
    <w:p w14:paraId="42294ACE" w14:textId="30723A93" w:rsidR="005F782F" w:rsidRPr="005F41B0" w:rsidRDefault="005F782F" w:rsidP="005F782F">
      <w:pPr>
        <w:pStyle w:val="SingleTxtG"/>
      </w:pPr>
      <w:r w:rsidRPr="005F41B0">
        <w:t>135.</w:t>
      </w:r>
      <w:r w:rsidRPr="005F41B0">
        <w:tab/>
        <w:t xml:space="preserve">Las enmiendas reglamentarias de 2023 promulgaron una definición de </w:t>
      </w:r>
      <w:r w:rsidR="00222472" w:rsidRPr="005F41B0">
        <w:t>“</w:t>
      </w:r>
      <w:r w:rsidRPr="005F41B0">
        <w:t>apátrida</w:t>
      </w:r>
      <w:r w:rsidR="00222472" w:rsidRPr="005F41B0">
        <w:t>”</w:t>
      </w:r>
      <w:r w:rsidRPr="005F41B0">
        <w:t xml:space="preserve"> con respecto a la aplicación de las exenciones del acuerdo de tercer país seguro de modo que hace referencia a </w:t>
      </w:r>
      <w:r w:rsidR="00222472" w:rsidRPr="005F41B0">
        <w:t>“</w:t>
      </w:r>
      <w:r w:rsidRPr="005F41B0">
        <w:t>toda persona que no sea considerada como nacional suyo por ningún Estado, conforme a su legislación</w:t>
      </w:r>
      <w:r w:rsidR="00222472" w:rsidRPr="005F41B0">
        <w:t>”</w:t>
      </w:r>
      <w:r w:rsidRPr="005F41B0">
        <w:t>. Esta definición es una codificación jurídica de la definición que figuraba anteriormente en documentos de políticas y operacionales, aporta claridad y coherencia a efectos del examen de las exenciones del acuerdo de tercer país seguro para los apátridas.</w:t>
      </w:r>
    </w:p>
    <w:p w14:paraId="45278745" w14:textId="04E10984" w:rsidR="005F782F" w:rsidRPr="005F41B0" w:rsidRDefault="005F782F" w:rsidP="00EE0F0B">
      <w:pPr>
        <w:pStyle w:val="H1G"/>
      </w:pPr>
      <w:r w:rsidRPr="005F41B0">
        <w:tab/>
      </w:r>
      <w:r w:rsidR="00EE0F0B" w:rsidRPr="005F41B0">
        <w:tab/>
      </w:r>
      <w:r w:rsidRPr="005F41B0">
        <w:t>Respuesta al párrafo 20</w:t>
      </w:r>
    </w:p>
    <w:p w14:paraId="187D3205" w14:textId="2ECDE3C9" w:rsidR="005F782F" w:rsidRPr="005F41B0" w:rsidRDefault="005F782F" w:rsidP="00EE0F0B">
      <w:pPr>
        <w:pStyle w:val="H23G"/>
      </w:pPr>
      <w:r w:rsidRPr="005F41B0">
        <w:tab/>
      </w:r>
      <w:r w:rsidR="00EE0F0B" w:rsidRPr="005F41B0">
        <w:tab/>
      </w:r>
      <w:r w:rsidRPr="005F41B0">
        <w:t>Marco jurídico de la privacidad</w:t>
      </w:r>
    </w:p>
    <w:p w14:paraId="15F49607" w14:textId="77777777" w:rsidR="005F782F" w:rsidRPr="005F41B0" w:rsidRDefault="005F782F" w:rsidP="005F782F">
      <w:pPr>
        <w:pStyle w:val="SingleTxtG"/>
      </w:pPr>
      <w:r w:rsidRPr="005F41B0">
        <w:t>136.</w:t>
      </w:r>
      <w:r w:rsidRPr="005F41B0">
        <w:tab/>
        <w:t>La legislación canadiense protege los intereses de privacidad de varias maneras. En el plano constitucional, el artículo 8 de la Carta protege la privacidad personal, territorial e informativa mediante el derecho a la seguridad frente a registros o confiscaciones no razonables por parte del gobierno. Cualquier ley que autorice registros u otras intrusiones en la privacidad está sujeta a un escrutinio del respecto de este derecho constitucional. Si la policía u otros funcionarios infringen el artículo 8, los recursos pueden incluir la exclusión de pruebas de los procedimientos judiciales cuando proceda. Además, el Código Penal incluye una serie de delitos que protegen los intereses de privacidad, como el delito de voyerismo.</w:t>
      </w:r>
    </w:p>
    <w:p w14:paraId="632C4476" w14:textId="77777777" w:rsidR="005F782F" w:rsidRPr="005F41B0" w:rsidRDefault="005F782F" w:rsidP="005F782F">
      <w:pPr>
        <w:pStyle w:val="SingleTxtG"/>
      </w:pPr>
      <w:r w:rsidRPr="005F41B0">
        <w:t>137.</w:t>
      </w:r>
      <w:r w:rsidRPr="005F41B0">
        <w:tab/>
        <w:t>La Ley Federal de Protección de la Intimidad rige la recogida, uso, divulgación, conservación y protección de la información personal de que disponga el gobierno federal y las instituciones del sector público. La Ley de Protección de la Información Personal y los Documentos Electrónicos suele aplicarse a las organizaciones del sector privado en todo el Canadá que recogen, usan o divulgan información personal en el transcurso de su actividad comercial. Las provincias del Canadá también pueden promulgar su propias leyes de protección de la información y muchas lo han hecho.</w:t>
      </w:r>
    </w:p>
    <w:p w14:paraId="344B4C5E" w14:textId="77777777" w:rsidR="005F782F" w:rsidRPr="005F41B0" w:rsidRDefault="005F782F" w:rsidP="005F782F">
      <w:pPr>
        <w:pStyle w:val="SingleTxtG"/>
      </w:pPr>
      <w:r w:rsidRPr="005F41B0">
        <w:t>138.</w:t>
      </w:r>
      <w:r w:rsidRPr="005F41B0">
        <w:tab/>
        <w:t>La provincia de Terranova y Labrador promulgó la Ley de Protección de las Imágenes Íntimas en 2018, por la que se ofrecen recursos civiles a las víctimas y se disuade, previene y responde a los daños asociados a la pornografía vengativa y la distribución no consentida de imágenes íntimas. En particular, esta nueva ley permite a las víctimas demandar a una persona ante un tribunal civil para exigirle responsabilidades por distribuir imágenes íntimas sin su consentimiento.</w:t>
      </w:r>
    </w:p>
    <w:p w14:paraId="47BD8266" w14:textId="2BA86751" w:rsidR="005F782F" w:rsidRPr="005F41B0" w:rsidRDefault="005F782F" w:rsidP="00EE0F0B">
      <w:pPr>
        <w:pStyle w:val="H23G"/>
      </w:pPr>
      <w:r w:rsidRPr="005F41B0">
        <w:tab/>
      </w:r>
      <w:r w:rsidR="00EE0F0B" w:rsidRPr="005F41B0">
        <w:tab/>
      </w:r>
      <w:r w:rsidRPr="005F41B0">
        <w:t>Información cifrada</w:t>
      </w:r>
    </w:p>
    <w:p w14:paraId="4C404B23" w14:textId="77777777" w:rsidR="005F782F" w:rsidRPr="005F41B0" w:rsidRDefault="005F782F" w:rsidP="005F782F">
      <w:pPr>
        <w:pStyle w:val="SingleTxtG"/>
      </w:pPr>
      <w:r w:rsidRPr="005F41B0">
        <w:t>139.</w:t>
      </w:r>
      <w:r w:rsidRPr="005F41B0">
        <w:tab/>
        <w:t xml:space="preserve">Un cifrado robusto y ampliamente utilizado es importante para salvaguardar la privacidad, los derechos humanos, la ciberseguridad, las infraestructuras críticas y la economía digital. No pretende socavar la seguridad de los servicios de comunicaciones ni restringir la difusión de las tecnologías de cifrado más demandadas, ni pide a los proveedores de servicios que debiliten voluntariamente sus sistemas de cifrado. El Canadá también reconoce que las tecnologías de cifrado controladas por el usuario plantean problemas de investigación para las fuerzas del orden y los organismos nacionales de seguridad que llevan a cabo investigaciones y acceden a las comunicaciones en virtud de órdenes judiciales. En el Canadá, las fuerzas del orden y los investigadores sobre seguridad nacional solo solicitan acceso a las comunicaciones cifradas en virtud de una orden judicial. Habida cuenta de las </w:t>
      </w:r>
      <w:r w:rsidRPr="005F41B0">
        <w:lastRenderedPageBreak/>
        <w:t>dificultades que plantea el descifrado de las comunicaciones cifradas obtenidas mediante orden judicial, es importante que los gobiernos y los proveedores de servicios colaboren para hacer frente a estos retos, sin dejar de velar por la protección de la ciberseguridad y los derechos constitucionales.</w:t>
      </w:r>
    </w:p>
    <w:p w14:paraId="598F4D83" w14:textId="02E74DC8" w:rsidR="005F782F" w:rsidRPr="005F41B0" w:rsidRDefault="005F782F" w:rsidP="00EE0F0B">
      <w:pPr>
        <w:pStyle w:val="H1G"/>
      </w:pPr>
      <w:bookmarkStart w:id="21" w:name="_Hlk165369805"/>
      <w:r w:rsidRPr="005F41B0">
        <w:tab/>
      </w:r>
      <w:r w:rsidR="00EE0F0B" w:rsidRPr="005F41B0">
        <w:tab/>
      </w:r>
      <w:r w:rsidRPr="005F41B0">
        <w:t>Respuesta al párrafo 21</w:t>
      </w:r>
    </w:p>
    <w:p w14:paraId="699D8596" w14:textId="77777777" w:rsidR="005F782F" w:rsidRPr="005F41B0" w:rsidRDefault="005F782F" w:rsidP="005F782F">
      <w:pPr>
        <w:pStyle w:val="SingleTxtG"/>
      </w:pPr>
      <w:r w:rsidRPr="005F41B0">
        <w:t>140.</w:t>
      </w:r>
      <w:r w:rsidRPr="005F41B0">
        <w:tab/>
        <w:t>Consulte la respuesta del Canadá del 30 de junio de 2020 a la comunicación conjunta de los procedimientos especiales del Consejo de Derechos Humanos en relación con el proyecto de ley 21</w:t>
      </w:r>
      <w:r w:rsidRPr="005F41B0">
        <w:rPr>
          <w:rStyle w:val="Refdenotaalpie"/>
        </w:rPr>
        <w:footnoteReference w:id="24"/>
      </w:r>
      <w:r w:rsidRPr="005F41B0">
        <w:t>.</w:t>
      </w:r>
    </w:p>
    <w:p w14:paraId="5B1AB404" w14:textId="23E99D27" w:rsidR="005F782F" w:rsidRPr="005F41B0" w:rsidRDefault="005F782F" w:rsidP="005F782F">
      <w:pPr>
        <w:pStyle w:val="SingleTxtG"/>
      </w:pPr>
      <w:r w:rsidRPr="005F41B0">
        <w:t>141.</w:t>
      </w:r>
      <w:r w:rsidRPr="005F41B0">
        <w:tab/>
        <w:t xml:space="preserve">Según el </w:t>
      </w:r>
      <w:r w:rsidR="002C49CA" w:rsidRPr="005F41B0">
        <w:t>g</w:t>
      </w:r>
      <w:r w:rsidRPr="005F41B0">
        <w:t>obierno de Quebec:</w:t>
      </w:r>
    </w:p>
    <w:p w14:paraId="2A78E634" w14:textId="2E7E525F" w:rsidR="005F782F" w:rsidRPr="005F41B0" w:rsidRDefault="005F782F" w:rsidP="00EE0F0B">
      <w:pPr>
        <w:pStyle w:val="Bullet1G"/>
      </w:pPr>
      <w:r w:rsidRPr="005F41B0">
        <w:t>La Ley sobre el Respeto de la Laicidad del Estado, resultante de la adopción en 2019 del proyecto de ley 21, sostiene que el Estado de Quebec es laico y que las instituciones del Estado deben respetar, tanto de hecho como en apariencia, los siguientes principios: separación del Estado y de las religiones; la neutralidad religiosa del Estado; igualdad de todos los ciudadanos; libertad de conciencia y libertad de religión</w:t>
      </w:r>
      <w:r w:rsidR="00EE0F0B" w:rsidRPr="005F41B0">
        <w:t>.</w:t>
      </w:r>
    </w:p>
    <w:p w14:paraId="7B24302E" w14:textId="6869CB56" w:rsidR="005F782F" w:rsidRPr="005F41B0" w:rsidRDefault="005F782F" w:rsidP="00EE0F0B">
      <w:pPr>
        <w:pStyle w:val="Bullet1G"/>
      </w:pPr>
      <w:r w:rsidRPr="005F41B0">
        <w:t>La ley establece un marco normativo para el porte de signos religiosos por parte de determinados empleados del Estado en puestos de autoridad, con el fin de respetar la neutralidad religiosa del Estado de hecho y en apariencia. La ley reconoce derechos adquiridos a los empleados del Estado que ya ocupaban su puesto antes de la aprobación de la ley. Este marco refuerza la libertad de conciencia y religión de las personas que interactúan con el Estado</w:t>
      </w:r>
      <w:r w:rsidR="00EE0F0B" w:rsidRPr="005F41B0">
        <w:t>.</w:t>
      </w:r>
    </w:p>
    <w:p w14:paraId="36594601" w14:textId="50B1BFF0" w:rsidR="005F782F" w:rsidRPr="005F41B0" w:rsidRDefault="005F782F" w:rsidP="00EE0F0B">
      <w:pPr>
        <w:pStyle w:val="Bullet1G"/>
      </w:pPr>
      <w:r w:rsidRPr="005F41B0">
        <w:t>La ley tiene en cuenta las características particulares de la nación quebequesa, incluida su tradición de derecho civil, sus valores sociales y su historia específica que la han llevado a desarrollar un apego particular a la laicidad del Estado</w:t>
      </w:r>
      <w:r w:rsidR="00EE0F0B" w:rsidRPr="005F41B0">
        <w:t>.</w:t>
      </w:r>
    </w:p>
    <w:p w14:paraId="19DF606B" w14:textId="52813548" w:rsidR="005F782F" w:rsidRPr="005F41B0" w:rsidRDefault="005F782F" w:rsidP="00EE0F0B">
      <w:pPr>
        <w:pStyle w:val="Bullet1G"/>
      </w:pPr>
      <w:r w:rsidRPr="005F41B0">
        <w:t>En cuanto a los usuarios de servicios públicos, una persona solo debe llevar la cara descubierta cuando sea necesario para verificar su identidad o por razones de seguridad</w:t>
      </w:r>
      <w:r w:rsidR="00EE0F0B" w:rsidRPr="005F41B0">
        <w:t>.</w:t>
      </w:r>
    </w:p>
    <w:p w14:paraId="2982AA5C" w14:textId="77777777" w:rsidR="005F782F" w:rsidRPr="005F41B0" w:rsidRDefault="005F782F" w:rsidP="00EE0F0B">
      <w:pPr>
        <w:pStyle w:val="Bullet1G"/>
      </w:pPr>
      <w:r w:rsidRPr="005F41B0">
        <w:t>Algunos artículos de la ley están siendo impugnados ante los tribunales de Quebec por diversos motivos. Una sentencia del Tribunal Superior de Quebec confirmó la gran mayoría de las disposiciones de la ley.</w:t>
      </w:r>
    </w:p>
    <w:p w14:paraId="14CE5BD3" w14:textId="77777777" w:rsidR="005F782F" w:rsidRPr="005F41B0" w:rsidRDefault="005F782F" w:rsidP="00EE0F0B">
      <w:pPr>
        <w:pStyle w:val="Bullet1G"/>
      </w:pPr>
      <w:r w:rsidRPr="005F41B0">
        <w:t>En febrero de 2024 el Tribunal de Apelación de Quebec confirmó la validez y operatividad de la ley, con la excepción de la disposición que obliga a los miembros de la Asamblea Nacional a ejercer sus funciones a cara descubierta. No obstante, algunos partidos han presentado una solicitud de autorización para apelar ante el Tribunal Supremo del Canadá.</w:t>
      </w:r>
    </w:p>
    <w:bookmarkEnd w:id="21"/>
    <w:p w14:paraId="4BA55D4E" w14:textId="41E5EE70" w:rsidR="005F782F" w:rsidRPr="005F41B0" w:rsidRDefault="00EE0F0B" w:rsidP="00EE0F0B">
      <w:pPr>
        <w:pStyle w:val="H1G"/>
      </w:pPr>
      <w:r w:rsidRPr="005F41B0">
        <w:tab/>
      </w:r>
      <w:r w:rsidR="005F782F" w:rsidRPr="005F41B0">
        <w:tab/>
        <w:t>Respuesta al párrafo 22</w:t>
      </w:r>
    </w:p>
    <w:p w14:paraId="21F96742" w14:textId="77777777" w:rsidR="005F782F" w:rsidRPr="005F41B0" w:rsidRDefault="005F782F" w:rsidP="005F782F">
      <w:pPr>
        <w:pStyle w:val="SingleTxtG"/>
      </w:pPr>
      <w:r w:rsidRPr="005F41B0">
        <w:t>142.</w:t>
      </w:r>
      <w:r w:rsidRPr="005F41B0">
        <w:tab/>
        <w:t>El Canadá goza de medios de comunicación libres y de una sociedad civil dinámica, activa e independiente. En el artículo 2 b) de la Carta se garantiza la libertad de pensamiento, opinión, creencia y expresión, incluida la libertad de prensa y otros medios de comunicación. Este derecho constitucional solo está sujeto a los límites razonables prescritos por la ley que puedan justificarse de forma demostrable en una sociedad libre y democrática. Cualquier ley que limite injustificadamente el artículo 2 b) carece, en la medida de la incoherencia, de fuerza y efecto. Como ocurre con todos los derechos de la Carta, los tribunales tienen una amplia discrecionalidad para conceder una reparación apropiada y justa a aquellos cuyos derechos en virtud del artículo 2 b) hayan sido violados.</w:t>
      </w:r>
    </w:p>
    <w:p w14:paraId="77FB145B" w14:textId="1EC89EB4" w:rsidR="005F782F" w:rsidRPr="005F41B0" w:rsidRDefault="005F782F" w:rsidP="00EE0F0B">
      <w:pPr>
        <w:pStyle w:val="H23G"/>
      </w:pPr>
      <w:r w:rsidRPr="005F41B0">
        <w:lastRenderedPageBreak/>
        <w:tab/>
      </w:r>
      <w:r w:rsidR="00EE0F0B" w:rsidRPr="005F41B0">
        <w:tab/>
      </w:r>
      <w:r w:rsidRPr="005F41B0">
        <w:t>Vigilancia policial</w:t>
      </w:r>
    </w:p>
    <w:p w14:paraId="7648EEE7" w14:textId="77777777" w:rsidR="005F782F" w:rsidRPr="005F41B0" w:rsidRDefault="005F782F" w:rsidP="005F782F">
      <w:pPr>
        <w:pStyle w:val="SingleTxtG"/>
      </w:pPr>
      <w:r w:rsidRPr="005F41B0">
        <w:t>143.</w:t>
      </w:r>
      <w:r w:rsidRPr="005F41B0">
        <w:tab/>
        <w:t>Columbia Británica apoya el derecho a la protesta pacífica dentro de los límites de la ley. Aunque la policía respetará las protestas legítimas, también tendrá en cuenta todas las herramientas y opciones de que dispone para proteger a las personas, preservar la seguridad pública e investigar las conductas ilícitas. Cuando un tribunal dicta un auto, otorga a la policía la facultad discrecional de decidir el momento y la forma de hacer cumplir dicho auto, incluidas la detención y el arresto de las personas sobre las que tengan motivos razonables y probables para creer que lo están infringiendo. El tribunal que dicta una orden judicial conserva la jurisdicción para supervisar el cumplimiento de todos sus términos, incluidos los avances en la aplicación policial.</w:t>
      </w:r>
    </w:p>
    <w:p w14:paraId="6701F9E5" w14:textId="77777777" w:rsidR="005F782F" w:rsidRPr="005F41B0" w:rsidRDefault="005F782F" w:rsidP="005F782F">
      <w:pPr>
        <w:pStyle w:val="SingleTxtG"/>
      </w:pPr>
      <w:r w:rsidRPr="005F41B0">
        <w:t>144.</w:t>
      </w:r>
      <w:r w:rsidRPr="005F41B0">
        <w:tab/>
        <w:t>En todos los contextos, incluida la vigilancia policial de protestas y otras concentraciones públicas, la RPMC velará por que se respeten plenamente los derechos y protecciones legales del personal de los medios de comunicación, con sujeción a las limitaciones razonables que impongan la seguridad pública y la seguridad de los agentes de policía. Teniendo en cuenta las variables únicas que presenta cada operación de aplicación de la ley, la RPMC debe equilibrar los derechos y libertades con la necesidad de mantener la seguridad pública, la paz y el buen orden.</w:t>
      </w:r>
    </w:p>
    <w:p w14:paraId="51DCA846" w14:textId="77777777" w:rsidR="005F782F" w:rsidRPr="005F41B0" w:rsidRDefault="005F782F" w:rsidP="005F782F">
      <w:pPr>
        <w:pStyle w:val="SingleTxtG"/>
      </w:pPr>
      <w:r w:rsidRPr="005F41B0">
        <w:t>145.</w:t>
      </w:r>
      <w:r w:rsidRPr="005F41B0">
        <w:tab/>
        <w:t>En cualquier situación concreta, la RPMC mantendrá informados a los periodistas sobre las cuestiones de seguridad y hará todos los esfuerzos razonables para permitir que el personal de los medios de comunicación esté lo más cerca posible de la zona de la operación policial, sin interferir en las operaciones policiales. Dependiendo del lugar donde se lleven a cabo las operaciones policiales, la RPMC puede establecer un puesto de control del acceso temporal en virtud del derecho anglosajón para proporcionar a la policía un espacio seguro para llevar a cabo las operaciones policiales. El puesto de control permite a los periodistas observar e informar sobre las operaciones en el momento en que se producen. Las restricciones son mínimas y solo consisten en garantizar que los periodistas puedan disponer de un punto de observación seguro desde el que informar.</w:t>
      </w:r>
    </w:p>
    <w:p w14:paraId="1930565B" w14:textId="3D3C11D4" w:rsidR="005F782F" w:rsidRPr="005F41B0" w:rsidRDefault="005F782F" w:rsidP="00EE0F0B">
      <w:pPr>
        <w:pStyle w:val="H23G"/>
      </w:pPr>
      <w:r w:rsidRPr="005F41B0">
        <w:tab/>
      </w:r>
      <w:r w:rsidR="00EE0F0B" w:rsidRPr="005F41B0">
        <w:tab/>
      </w:r>
      <w:r w:rsidRPr="005F41B0">
        <w:t>Libelo difamatorio</w:t>
      </w:r>
    </w:p>
    <w:p w14:paraId="6E6D9B20" w14:textId="1E61D8BD" w:rsidR="005F782F" w:rsidRPr="005F41B0" w:rsidRDefault="005F782F" w:rsidP="005F782F">
      <w:pPr>
        <w:pStyle w:val="SingleTxtG"/>
      </w:pPr>
      <w:r w:rsidRPr="005F41B0">
        <w:t>146.</w:t>
      </w:r>
      <w:r w:rsidRPr="005F41B0">
        <w:tab/>
        <w:t xml:space="preserve">Los artículos 300-301 del Código Penal tipifican como delito la publicación de un libelo difamatorio a sabiendas de su falsedad. En 1998, el Tribunal Supremo del Canadá confirmó este delito como un límite justificable al derecho a la libertad de expresión recogido en la Carta. Sin embargo, el Tribunal emitió un recurso constitucionalidad para restringir la definición de </w:t>
      </w:r>
      <w:r w:rsidR="00222472" w:rsidRPr="005F41B0">
        <w:t>“</w:t>
      </w:r>
      <w:r w:rsidRPr="005F41B0">
        <w:t>publicación</w:t>
      </w:r>
      <w:r w:rsidR="00222472" w:rsidRPr="005F41B0">
        <w:t>”</w:t>
      </w:r>
      <w:r w:rsidRPr="005F41B0">
        <w:t>, de modo que no se produzca si el libelo se envió únicamente a la víctima de la difamación. Se requiere la publicación a un tercero. Las enmiendas legislativas de 2018 incorporaron la orientación del Tribunal Supremo en el Código Penal.</w:t>
      </w:r>
    </w:p>
    <w:p w14:paraId="7DE5120F" w14:textId="05E6140A" w:rsidR="005F782F" w:rsidRPr="005F41B0" w:rsidRDefault="005F782F" w:rsidP="00EE0F0B">
      <w:pPr>
        <w:pStyle w:val="H23G"/>
      </w:pPr>
      <w:r w:rsidRPr="005F41B0">
        <w:tab/>
      </w:r>
      <w:r w:rsidR="00EE0F0B" w:rsidRPr="005F41B0">
        <w:tab/>
      </w:r>
      <w:r w:rsidRPr="005F41B0">
        <w:t>Protección de los denunciantes de irregularidades</w:t>
      </w:r>
    </w:p>
    <w:p w14:paraId="57F2B7F8" w14:textId="707D0048" w:rsidR="005F782F" w:rsidRPr="005F41B0" w:rsidRDefault="005F782F" w:rsidP="005F782F">
      <w:pPr>
        <w:pStyle w:val="SingleTxtG"/>
      </w:pPr>
      <w:r w:rsidRPr="005F41B0">
        <w:t>147.</w:t>
      </w:r>
      <w:r w:rsidRPr="005F41B0">
        <w:tab/>
        <w:t>La Ley de Protección de los Funcionarios Públicos que Denuncian Irregularidades ofrece a los funcionarios federales un proceso seguro y confidencial para denunciar irregularidades graves en el sector público federal y protección contra represalias. A partir de</w:t>
      </w:r>
      <w:r w:rsidR="00EE0F0B" w:rsidRPr="005F41B0">
        <w:t> </w:t>
      </w:r>
      <w:r w:rsidRPr="005F41B0">
        <w:t>2017, el Gobierno del Canadá ha aplicado varios cambios, entre ellos: elaborar orientaciones adicionales sobre su administración; aumentar las actividades de concienciación sobre el régimen de divulgación de información y los derechos de los funcionarios públicos, incluida formación adicional para los funcionarios públicos, e involucrar a una comunidad de práctica a nivel de todo el gobierno para compartir estrategias y mejores prácticas. En 2024 un equipo de tareas destinado a estudiar modificaciones de la ley presentará información al respecto.</w:t>
      </w:r>
    </w:p>
    <w:p w14:paraId="15887BF0" w14:textId="77777777" w:rsidR="005F782F" w:rsidRPr="005F41B0" w:rsidRDefault="005F782F" w:rsidP="005F782F">
      <w:pPr>
        <w:pStyle w:val="SingleTxtG"/>
      </w:pPr>
      <w:r w:rsidRPr="005F41B0">
        <w:t>148.</w:t>
      </w:r>
      <w:r w:rsidRPr="005F41B0">
        <w:tab/>
        <w:t>En 2018 Columbia Británica aprobó una legislación sobre denunciantes de irregularidades. En consonancia con las mejores prácticas internacionales, dicha legislación inicialmente se aplicó solo a los empleados de la función pública y se está extendiendo a todo el sector público mediante un planteamiento de aplicación gradual. A partir de abril de 2022 se implantó en el sector de los tribunales, así como en determinados organismos, juntas y comisiones, y su despliegue continuará en otras organizaciones del sector público en los próximos dos años.</w:t>
      </w:r>
    </w:p>
    <w:p w14:paraId="30076DAC" w14:textId="77777777" w:rsidR="005F782F" w:rsidRPr="005F41B0" w:rsidRDefault="005F782F" w:rsidP="005F782F">
      <w:pPr>
        <w:pStyle w:val="SingleTxtG"/>
      </w:pPr>
      <w:r w:rsidRPr="005F41B0">
        <w:lastRenderedPageBreak/>
        <w:t>149.</w:t>
      </w:r>
      <w:r w:rsidRPr="005F41B0">
        <w:tab/>
        <w:t>En 2017 la isla del Príncipe Eduardo promulgó legislación para ofrecer protección a los denunciantes de irregularidades en la función pública. En 2020 la provincia promulgó una ley para proteger a todos los empleados cuyo empleo esté regulado por la Ley de Normas Laborales, incluidos los empleados cuyas condiciones de trabajo se rijan por un convenio colectivo.</w:t>
      </w:r>
    </w:p>
    <w:p w14:paraId="28071DE7" w14:textId="77777777" w:rsidR="005F782F" w:rsidRPr="005F41B0" w:rsidRDefault="005F782F" w:rsidP="005F782F">
      <w:pPr>
        <w:pStyle w:val="SingleTxtG"/>
      </w:pPr>
      <w:r w:rsidRPr="005F41B0">
        <w:t>150.</w:t>
      </w:r>
      <w:r w:rsidRPr="005F41B0">
        <w:tab/>
        <w:t>En Quebec en 2016 se aprobó la Ley para Facilitar la Divulgación de Irregularidades relacionadas con Organismos Públicos. El objetivo de esta ley es facilitar la divulgación, que sea de interés público, de las irregularidades cometidas o a punto de cometerse en relación con organismos públicos y establecer un régimen general de protección contra las represalias.</w:t>
      </w:r>
    </w:p>
    <w:p w14:paraId="3412E629" w14:textId="0680CDF5" w:rsidR="005F782F" w:rsidRPr="005F41B0" w:rsidRDefault="005F782F" w:rsidP="00EE0F0B">
      <w:pPr>
        <w:pStyle w:val="H1G"/>
      </w:pPr>
      <w:r w:rsidRPr="005F41B0">
        <w:tab/>
      </w:r>
      <w:r w:rsidR="00EE0F0B" w:rsidRPr="005F41B0">
        <w:tab/>
      </w:r>
      <w:r w:rsidRPr="005F41B0">
        <w:t>Respuesta al párrafo 23</w:t>
      </w:r>
    </w:p>
    <w:p w14:paraId="5414720F" w14:textId="00B5E192" w:rsidR="005F782F" w:rsidRPr="005F41B0" w:rsidRDefault="005F782F" w:rsidP="00EE0F0B">
      <w:pPr>
        <w:pStyle w:val="H23G"/>
      </w:pPr>
      <w:r w:rsidRPr="005F41B0">
        <w:tab/>
      </w:r>
      <w:r w:rsidR="00EE0F0B" w:rsidRPr="005F41B0">
        <w:tab/>
      </w:r>
      <w:r w:rsidRPr="005F41B0">
        <w:t>Principio de Jordan</w:t>
      </w:r>
    </w:p>
    <w:p w14:paraId="2F688803" w14:textId="77777777" w:rsidR="005F782F" w:rsidRPr="005F41B0" w:rsidRDefault="005F782F" w:rsidP="005F782F">
      <w:pPr>
        <w:pStyle w:val="SingleTxtG"/>
      </w:pPr>
      <w:r w:rsidRPr="005F41B0">
        <w:t>151.</w:t>
      </w:r>
      <w:r w:rsidRPr="005F41B0">
        <w:tab/>
        <w:t>El enfoque del Principio de Jordan, basado en las solicitudes, ayuda a las familias a acceder a productos y servicios para la infancia y juventud de las Primeras Naciones, con el fin de satisfacer una amplia gama de necesidades sanitarias, sociales y educativas, incluidas las necesidades específicas de los colectivos de personas con discapacidades y la infancia y juventud 2SLGBTQQIA+ de las Primeras Naciones.</w:t>
      </w:r>
    </w:p>
    <w:p w14:paraId="58369768" w14:textId="61F7ABE2" w:rsidR="005F782F" w:rsidRPr="005F41B0" w:rsidRDefault="005F782F" w:rsidP="005F782F">
      <w:pPr>
        <w:pStyle w:val="SingleTxtG"/>
      </w:pPr>
      <w:r w:rsidRPr="005F41B0">
        <w:t>152.</w:t>
      </w:r>
      <w:r w:rsidRPr="005F41B0">
        <w:tab/>
        <w:t>El Principio de Jordan es una obligación jurídica que exige que el Canadá responda a las necesidades insatisfechas de los niños y niñas de las Primeras Naciones. Se trata de una iniciativa que da prioridad a la infancia, basada en el principio de igualdad sustantiva y destinada a prevenir que se nieguen servicios públicos esenciales a los niños y niña</w:t>
      </w:r>
      <w:r w:rsidR="008873B6" w:rsidRPr="005F41B0">
        <w:t>s</w:t>
      </w:r>
      <w:r w:rsidRPr="005F41B0">
        <w:t xml:space="preserve"> de las Primeras Naciones o sufran retrasos en recibirlos.</w:t>
      </w:r>
    </w:p>
    <w:p w14:paraId="415B5316" w14:textId="77777777" w:rsidR="005F782F" w:rsidRPr="005F41B0" w:rsidRDefault="005F782F" w:rsidP="005F782F">
      <w:pPr>
        <w:pStyle w:val="SingleTxtG"/>
      </w:pPr>
      <w:r w:rsidRPr="005F41B0">
        <w:t>153.</w:t>
      </w:r>
      <w:r w:rsidRPr="005F41B0">
        <w:tab/>
        <w:t>En 2016 el Tribunal de Derechos Humanos del Canadá dictaminó que el Programa de Servicios a la Infancia y la Familia de las Primeras Naciones estaba infrafinanciado de modo discriminatorio y ordenó al Gobierno del Canadá que lo reformara. El Tribunal de Derechos Humanos del Canadá también ordenó al Gobierno del país que dejara de aplicar una definición restringida del Principio de Jordan y que aplicara inmediatamente su significado y alcance plenos.</w:t>
      </w:r>
    </w:p>
    <w:p w14:paraId="678F58D1" w14:textId="77777777" w:rsidR="005F782F" w:rsidRPr="005F41B0" w:rsidRDefault="005F782F" w:rsidP="005F782F">
      <w:pPr>
        <w:pStyle w:val="SingleTxtG"/>
      </w:pPr>
      <w:r w:rsidRPr="005F41B0">
        <w:t>154.</w:t>
      </w:r>
      <w:r w:rsidRPr="005F41B0">
        <w:tab/>
        <w:t>El enfoque del Principio de Jordan ha evolucionado en respuesta a las sucesivas órdenes de dicho tribunal. En 2017 todos los niños y niñas de las Primeras Naciones, tanto los que viven dentro como fuera de las reservas, pudieron acogerse al Principio de Jordan. En 2020 el Tribunal de Derechos Humanos del Canadá amplió aún más la elegibilidad para incluir a los niños y niñas que no cumplían los requisitos para obtener la condición de indígena en virtud de la Ley de Asuntos Indios, pero que tenían un progenitor o tutor con dicha condición o que cumplía los requisitos para obtenerla, así como los niños y niñas que eran reconocidos por su Primera Nación a los efectos del Principio de Jordan. El Tribunal de Derechos Humanos del Canadá ha mantenido la supervisión para garantizar el cumplimiento por parte del Gobierno del Canadá y tiene autoridad para emitir nuevas órdenes.</w:t>
      </w:r>
    </w:p>
    <w:p w14:paraId="014F445D" w14:textId="393B1D83" w:rsidR="005F782F" w:rsidRPr="005F41B0" w:rsidRDefault="005F782F" w:rsidP="005F782F">
      <w:pPr>
        <w:pStyle w:val="SingleTxtG"/>
      </w:pPr>
      <w:r w:rsidRPr="005F41B0">
        <w:t>155.</w:t>
      </w:r>
      <w:r w:rsidRPr="005F41B0">
        <w:tab/>
        <w:t xml:space="preserve">Desde 2016 el </w:t>
      </w:r>
      <w:r w:rsidR="002D57A4" w:rsidRPr="005F41B0">
        <w:t>Gobierno</w:t>
      </w:r>
      <w:r w:rsidRPr="005F41B0">
        <w:t xml:space="preserve"> del Canadá ha invertido casi 8.100 millones de dólares para satisfacer las necesidades sanitarias, sociales y educativas de la infancia de las Primeras Naciones a través del Principio de Jordan. Desde el 1 de julio de 2016 hasta el 30 de septiembre de 2024, se aprobaron 7.833.799 productos, servicios y apoyos para la infancia de las Primeras Naciones a través del Principio de Jordan. No hay una lista predefinida de productos y servicios sanitarios, sociales y educativos cubiertos, porque el Gobierno del Canadá está obligado a tener en cuenta las circunstancias particulares de cada niño. Se han contratado coordinadores locales de servicios en comunidades de todo el Canadá, que pueden ayudar a las familias con las preguntas que tengan o con la presentación de solicitudes.</w:t>
      </w:r>
    </w:p>
    <w:p w14:paraId="58FE4F9E" w14:textId="6F5269EA" w:rsidR="005F782F" w:rsidRPr="005F41B0" w:rsidRDefault="00EE0F0B" w:rsidP="00EE0F0B">
      <w:pPr>
        <w:pStyle w:val="H23G"/>
      </w:pPr>
      <w:r w:rsidRPr="005F41B0">
        <w:tab/>
      </w:r>
      <w:r w:rsidR="005F782F" w:rsidRPr="005F41B0">
        <w:tab/>
        <w:t xml:space="preserve">Reforma integral del Programa de Servicios a la Infancia y la Familia </w:t>
      </w:r>
      <w:r w:rsidR="00222472" w:rsidRPr="005F41B0">
        <w:br/>
      </w:r>
      <w:r w:rsidR="005F782F" w:rsidRPr="005F41B0">
        <w:t>de las Primeras Naciones y acuerdo definitivo de indemnización</w:t>
      </w:r>
    </w:p>
    <w:p w14:paraId="2F414435" w14:textId="77777777" w:rsidR="005F782F" w:rsidRPr="005F41B0" w:rsidRDefault="005F782F" w:rsidP="005F782F">
      <w:pPr>
        <w:pStyle w:val="SingleTxtG"/>
      </w:pPr>
      <w:r w:rsidRPr="005F41B0">
        <w:t>156.</w:t>
      </w:r>
      <w:r w:rsidRPr="005F41B0">
        <w:tab/>
        <w:t xml:space="preserve">El Programa de Servicios a la Infancia y la Familia de las Primeras Naciones proporciona recursos y financiación para apoyar la prestación holística y culturalmente apropiada de servicios de prevención y protección para satisfacer las necesidades de la infancia, la juventud y las familias que residen habitualmente en la reserva o en Yukón. El </w:t>
      </w:r>
      <w:r w:rsidRPr="005F41B0">
        <w:lastRenderedPageBreak/>
        <w:t>Gobierno del Canadá ha aceptado las sentencias del Tribunal de Derechos Humanos del país y está trabajando para aplicar plenamente las órdenes relacionadas con el Programa de Servicios a la Infancia y la Familia de las Primeras Naciones. El 1 de abril de 2022 el Gobierno del Canadá comenzó a proporcionar una mayor financiación para los servicios de apoyo posteriores a la mayoría de edad, los servicios representativos de las Primeras Naciones y la prevención en todas las provincias y en Yukón.</w:t>
      </w:r>
    </w:p>
    <w:p w14:paraId="75E26218" w14:textId="77777777" w:rsidR="005F782F" w:rsidRPr="005F41B0" w:rsidRDefault="005F782F" w:rsidP="005F782F">
      <w:pPr>
        <w:pStyle w:val="SingleTxtG"/>
      </w:pPr>
      <w:r w:rsidRPr="005F41B0">
        <w:t>157.</w:t>
      </w:r>
      <w:r w:rsidRPr="005F41B0">
        <w:tab/>
        <w:t>En octubre de 2021 comenzaron las negociaciones entre el Gobierno del Canadá y las partes en la demanda presentada ante el Tribunal de Derechos Humanos del país para resolver todos los litigios relacionados con el Programa de Servicios a la Infancia y la Familia de las Primeras Naciones y el Principio de Jordan.</w:t>
      </w:r>
    </w:p>
    <w:p w14:paraId="08DA1F72" w14:textId="77777777" w:rsidR="005F782F" w:rsidRPr="005F41B0" w:rsidRDefault="005F782F" w:rsidP="005F782F">
      <w:pPr>
        <w:pStyle w:val="SingleTxtG"/>
      </w:pPr>
      <w:r w:rsidRPr="005F41B0">
        <w:t>158.</w:t>
      </w:r>
      <w:r w:rsidRPr="005F41B0">
        <w:tab/>
        <w:t>En abril de 2023 se alcanzó un acuerdo definitivo de indemnización revisado de más de 23.000 millones de dólares, para compensar a los perjudicados por la infrafinanciación discriminatoria del Programa de Servicios a la Infancia y la Familia de las Primeras Naciones y a las personas afectados por la limitada definición del Principio de Jordan por el Gobierno federal. El acuerdo, dirigido y diseñado por las Primeras Naciones, fue alcanzado en colaboración con todas las partes. Está diseñado para cumplir íntegramente las órdenes de indemnización del Tribunal de Derechos Humanos del Canadá y cubre la resolución de las demandas colectivas paralelas de las Primeras Naciones. Consulte más información en línea</w:t>
      </w:r>
      <w:r w:rsidRPr="005F41B0">
        <w:rPr>
          <w:rStyle w:val="Refdenotaalpie"/>
        </w:rPr>
        <w:footnoteReference w:id="25"/>
      </w:r>
      <w:r w:rsidRPr="005F41B0">
        <w:t>.</w:t>
      </w:r>
    </w:p>
    <w:p w14:paraId="32F4FB1B" w14:textId="77777777" w:rsidR="005F782F" w:rsidRPr="005F41B0" w:rsidRDefault="005F782F" w:rsidP="005F782F">
      <w:pPr>
        <w:pStyle w:val="SingleTxtG"/>
      </w:pPr>
      <w:r w:rsidRPr="005F41B0">
        <w:t>159.</w:t>
      </w:r>
      <w:r w:rsidRPr="005F41B0">
        <w:tab/>
        <w:t>En julio de 2023 el Tribunal de Derechos Humanos del Canadá confirmó que el acuerdo cumple plenamente sus órdenes de indemnización. El Tribunal Federal aprobó el acuerdo en octubre de 2023. El Gobierno del Canadá sigue comprometido con la reforma del Programa de Servicios a la Infancia y la Familia de las Primeras Naciones.</w:t>
      </w:r>
    </w:p>
    <w:p w14:paraId="7B521877" w14:textId="3D9045B4" w:rsidR="005F782F" w:rsidRPr="005F41B0" w:rsidRDefault="005F782F" w:rsidP="00EE0F0B">
      <w:pPr>
        <w:pStyle w:val="H23G"/>
      </w:pPr>
      <w:r w:rsidRPr="005F41B0">
        <w:tab/>
      </w:r>
      <w:r w:rsidR="00EE0F0B" w:rsidRPr="005F41B0">
        <w:tab/>
      </w:r>
      <w:r w:rsidRPr="005F41B0">
        <w:t>Medidas provinciales y territoriales</w:t>
      </w:r>
    </w:p>
    <w:p w14:paraId="17818F62" w14:textId="77777777" w:rsidR="005F782F" w:rsidRPr="005F41B0" w:rsidRDefault="005F782F" w:rsidP="005F782F">
      <w:pPr>
        <w:pStyle w:val="SingleTxtG"/>
      </w:pPr>
      <w:r w:rsidRPr="005F41B0">
        <w:t>160.</w:t>
      </w:r>
      <w:r w:rsidRPr="005F41B0">
        <w:tab/>
        <w:t>Los gobiernos provinciales y territoriales también han tomado medidas para garantizar la igualdad de acceso de los niños y niñas indígenas a los servicios. He aquí algunos ejemplos:</w:t>
      </w:r>
    </w:p>
    <w:p w14:paraId="606669B5" w14:textId="201AF346" w:rsidR="005F782F" w:rsidRPr="005F41B0" w:rsidRDefault="005F782F" w:rsidP="00EE0F0B">
      <w:pPr>
        <w:pStyle w:val="Bullet1G"/>
      </w:pPr>
      <w:r w:rsidRPr="005F41B0">
        <w:t>La Estrategia de Alberta en materia de Banda Ancha, que marca el camino para alcanzar el 100 % de conectividad de alta velocidad a finales del ejercicio económico 2026-2027, permitirá a los estudiantes de comunidades rurales, remotas e indígenas acceder a una educación terciaria de calidad sin necesidad de trasladarse. Como parte de la estrategia, más de 120.000 estudiantes tendrán un mejor acceso a la educación a distancia</w:t>
      </w:r>
      <w:r w:rsidR="00EE0F0B" w:rsidRPr="005F41B0">
        <w:t>.</w:t>
      </w:r>
    </w:p>
    <w:p w14:paraId="53F22D0E" w14:textId="4EC6E8DD" w:rsidR="005F782F" w:rsidRPr="005F41B0" w:rsidRDefault="005F782F" w:rsidP="00EE0F0B">
      <w:pPr>
        <w:pStyle w:val="Bullet1G"/>
      </w:pPr>
      <w:r w:rsidRPr="005F41B0">
        <w:t>En 2021 Terranova y Labrador suspendió la práctica de protección infantil de enviar alertas de nacimiento a los hospitales. Se sabe que esta práctica afecta de forma desproporcionada a los futuros padres indígenas y marginados, y contribuye a que sea menos probable que busquen ayuda antes del parto por miedo a que les quiten el bebé</w:t>
      </w:r>
      <w:r w:rsidR="00EE0F0B" w:rsidRPr="005F41B0">
        <w:t>.</w:t>
      </w:r>
    </w:p>
    <w:p w14:paraId="0CB745EF" w14:textId="77777777" w:rsidR="005F782F" w:rsidRPr="005F41B0" w:rsidRDefault="005F782F" w:rsidP="00EE0F0B">
      <w:pPr>
        <w:pStyle w:val="Bullet1G"/>
      </w:pPr>
      <w:r w:rsidRPr="005F41B0">
        <w:t>Los asociados indígenas y Ontario elaboraron un marco estratégico, la Estrategia para la Infancia y Juventud Indígenas de Ontario, un enfoque pangubernamental que apoya todos los programas, políticas y servicios que afectan a la infancia, la juventud y las familias de las Primeras Naciones, inuits y métis.</w:t>
      </w:r>
    </w:p>
    <w:p w14:paraId="6E029F1D" w14:textId="3FE03423" w:rsidR="005F782F" w:rsidRPr="005F41B0" w:rsidRDefault="00EE0F0B" w:rsidP="00EE0F0B">
      <w:pPr>
        <w:pStyle w:val="H23G"/>
      </w:pPr>
      <w:r w:rsidRPr="005F41B0">
        <w:tab/>
      </w:r>
      <w:r w:rsidR="005F782F" w:rsidRPr="005F41B0">
        <w:tab/>
        <w:t>Castigo corporal en la infancia</w:t>
      </w:r>
    </w:p>
    <w:p w14:paraId="759F0BB3" w14:textId="77777777" w:rsidR="005F782F" w:rsidRPr="005F41B0" w:rsidRDefault="005F782F" w:rsidP="005F782F">
      <w:pPr>
        <w:pStyle w:val="SingleTxtG"/>
      </w:pPr>
      <w:r w:rsidRPr="005F41B0">
        <w:t>161.</w:t>
      </w:r>
      <w:r w:rsidRPr="005F41B0">
        <w:tab/>
        <w:t>Para consultar la respuesta del Canadá, véanse los párrafos 68 a 69 de los informes periódicos 5º y 6º del Canadá en virtud de la Convención sobre los Derechos del Niño (marzo de 2020)</w:t>
      </w:r>
      <w:r w:rsidRPr="005F41B0">
        <w:rPr>
          <w:rStyle w:val="Refdenotaalpie"/>
        </w:rPr>
        <w:footnoteReference w:id="26"/>
      </w:r>
      <w:r w:rsidRPr="005F41B0">
        <w:t>.</w:t>
      </w:r>
    </w:p>
    <w:p w14:paraId="7190CF14" w14:textId="680C085B" w:rsidR="005F782F" w:rsidRPr="005F41B0" w:rsidRDefault="005F782F" w:rsidP="00EE0F0B">
      <w:pPr>
        <w:pStyle w:val="H1G"/>
      </w:pPr>
      <w:r w:rsidRPr="005F41B0">
        <w:lastRenderedPageBreak/>
        <w:tab/>
      </w:r>
      <w:r w:rsidR="00EE0F0B" w:rsidRPr="005F41B0">
        <w:tab/>
      </w:r>
      <w:r w:rsidRPr="005F41B0">
        <w:t>Respuesta al párrafo 24</w:t>
      </w:r>
    </w:p>
    <w:p w14:paraId="5B65389C" w14:textId="30A967BF" w:rsidR="005F782F" w:rsidRPr="005F41B0" w:rsidRDefault="00EE0F0B" w:rsidP="00EE0F0B">
      <w:pPr>
        <w:pStyle w:val="H23G"/>
      </w:pPr>
      <w:r w:rsidRPr="005F41B0">
        <w:tab/>
      </w:r>
      <w:r w:rsidR="005F782F" w:rsidRPr="005F41B0">
        <w:tab/>
        <w:t>Participación de los Pueblos Indígenas en la toma de decisiones</w:t>
      </w:r>
    </w:p>
    <w:p w14:paraId="5539ACBC" w14:textId="77777777" w:rsidR="005F782F" w:rsidRPr="005F41B0" w:rsidRDefault="005F782F" w:rsidP="005F782F">
      <w:pPr>
        <w:pStyle w:val="SingleTxtG"/>
      </w:pPr>
      <w:r w:rsidRPr="005F41B0">
        <w:t>162.</w:t>
      </w:r>
      <w:r w:rsidRPr="005F41B0">
        <w:tab/>
        <w:t>La aplicación de la Declaración de la Naciones Unidas por parte del Gobierno del Canadá, incluido el consentimiento libre, previo e informado, se basará en la participación significativa de los asociados indígenas. El Gobierno del Canadá se compromete a garantizar que los derechos e intereses de los Pueblos Indígenas se tengan plenamente en cuenta en la toma de decisiones. Las Directrices para que los funcionarios cumplan la obligación de consultar, de 2011, están siendo revisadas para garantizar que están en consonancia con la Declaración de las Naciones Unidas, incluidas las orientaciones sobre el consentimiento libre, previo e informado en relación con la obligación de consultar. Este proceso se guiará por el compromiso basado en la distinción y las aportaciones de diversos titulares de derechos y organizaciones indígenas.</w:t>
      </w:r>
    </w:p>
    <w:p w14:paraId="20A49000" w14:textId="77777777" w:rsidR="005F782F" w:rsidRPr="005F41B0" w:rsidRDefault="005F782F" w:rsidP="005F782F">
      <w:pPr>
        <w:pStyle w:val="SingleTxtG"/>
      </w:pPr>
      <w:r w:rsidRPr="005F41B0">
        <w:t>163.</w:t>
      </w:r>
      <w:r w:rsidRPr="005F41B0">
        <w:tab/>
        <w:t>El Gobierno del Canadá ha cambiado su enfoque de las negociaciones de tratados para centrarse en vías de avance desarrolladas conjuntamente y en soluciones flexibles. Esto garantiza que los grupos indígenas tengan un sitio en la mesa donde se adoptan las decisiones y políticas que afectan a sus derechos e intereses. Desde 2015 el Gobierno del Canadá ha estado trabajando en colaboración con grupos indígenas de todo el país para desarrollar conjuntamente tratados, acuerdos de autogobierno y otros acuerdos constructivos para explorar formas de avanzar en la aplicación de los derechos e intereses indígenas. Estos debates tocan temas importantes como la propiedad y la gestión de tierras y recursos y la jurisdicción autónoma. Hasta la fecha hay 186 mesas de debate activas con grupos indígenas de todo el Canadá.</w:t>
      </w:r>
    </w:p>
    <w:p w14:paraId="64351276" w14:textId="77777777" w:rsidR="005F782F" w:rsidRPr="005F41B0" w:rsidRDefault="005F782F" w:rsidP="005F782F">
      <w:pPr>
        <w:pStyle w:val="SingleTxtG"/>
        <w:rPr>
          <w:iCs/>
        </w:rPr>
      </w:pPr>
      <w:r w:rsidRPr="005F41B0">
        <w:t>164.</w:t>
      </w:r>
      <w:r w:rsidRPr="005F41B0">
        <w:tab/>
        <w:t>El Programa de Financiación para Participantes del Norte del Gobierno del Canadá apoya a los Pueblos Indígenas y otros habitantes del norte para que participen de forma significativa en los procesos de evaluación de impacto y, en un grado limitado, en determinados procesos normativos de grandes proyectos de desarrollo en los territorios septentrionales del Canadá. La atención que presta el programa a la participación significativa de los Pueblos Indígenas en la gobernanza ambiental relacionada con proyectos de desarrollo en sus tierras o cerca de ellas contribuye a garantizar que los Pueblos Indígenas potencialmente afectados dispongan de recursos financieros para potenciar sus voces y opiniones durante la evaluación de impacto y los procesos normativos. También se dispone de financiación no destinada a proyectos específicos para desarrollar de forma proactiva la capacidad de evaluación del impacto a nivel comunitario o regional. El Gobierno del Canadá ha tomado medidas para apoyar a las mujeres indígenas y otros grupos intersectoriales infrarrepresentados en el desarrollo de su capacidad para participar de forma significativa en estos procesos.</w:t>
      </w:r>
    </w:p>
    <w:p w14:paraId="63121720" w14:textId="77777777" w:rsidR="005F782F" w:rsidRPr="005F41B0" w:rsidRDefault="005F782F" w:rsidP="005F782F">
      <w:pPr>
        <w:pStyle w:val="SingleTxtG"/>
        <w:rPr>
          <w:iCs/>
        </w:rPr>
      </w:pPr>
      <w:r w:rsidRPr="005F41B0">
        <w:t>165.</w:t>
      </w:r>
      <w:r w:rsidRPr="005F41B0">
        <w:tab/>
        <w:t>En diciembre de 2022 se adoptó la Ley del Acuerdo Marco para la Gestión de las Tierras de las Primeras Naciones, que reconoce el Acuerdo Marco para la Gestión de las Tierras de las Primeras Naciones de 1996 (Acuerdo) como elemento central del régimen de gestión de las tierras de las Primeras Naciones. Esta legislación, elaborada conjuntamente con las Primeras Naciones, confiere fuerza de ley al Acuerdo Marco. Mediante el Acuerdo, las Primeras Naciones elaboran códigos territoriales para gobernar y gestionar las tierras, el medio ambiente y los recursos de sus reservas de acuerdo con las necesidades específicas de su comunidad y se apartan de las disposiciones de la Ley de Asuntos Indios relacionadas con las tierras. Hasta la fecha hay 209 Primeras Naciones signatarias del Acuerdo, 113 de las cuales operan plenamente de conformidad con sus leyes territoriales aprobadas por la comunidad, incluidas 4 Primeras Naciones que han pasado a disponer de acuerdos integrales de autogobierno con el Gobierno del Canadá.</w:t>
      </w:r>
    </w:p>
    <w:p w14:paraId="480E13CC" w14:textId="7A33C920" w:rsidR="005F782F" w:rsidRPr="005F41B0" w:rsidRDefault="005F782F" w:rsidP="005F782F">
      <w:pPr>
        <w:pStyle w:val="SingleTxtG"/>
        <w:rPr>
          <w:iCs/>
        </w:rPr>
      </w:pPr>
      <w:r w:rsidRPr="005F41B0">
        <w:t>166.</w:t>
      </w:r>
      <w:r w:rsidRPr="005F41B0">
        <w:tab/>
        <w:t xml:space="preserve">La gestión y el desarrollo por parte de Alberta de los recursos naturales y las tierras de la Corona provincial están sujetos a su obligación jurídica y constitucional de consultar a las Primeras Naciones y, en su caso, tener en cuenta sus intereses cuando las decisiones de la Corona puedan afectar negativamente al ejercicio continuado de sus derechos constitucionales protegidos por tratados y a sus usos tradicionales. Los usos tradicionales de la tierra por parte de las Primeras Naciones incluyen cementerios, lugares de reunión y lugares históricos o ceremoniales, y no se refieren a intereses de propiedad sobre la tierra. </w:t>
      </w:r>
      <w:r w:rsidRPr="005F41B0">
        <w:lastRenderedPageBreak/>
        <w:t>Alberta también consulta a los asentamientos de métis sobre las posibles repercusiones negativas de las decisiones de la Corona en las actividades de recolección y uso tradicional de los miembros de dichos asentamientos.</w:t>
      </w:r>
    </w:p>
    <w:p w14:paraId="5F1A4589" w14:textId="77777777" w:rsidR="005F782F" w:rsidRPr="005F41B0" w:rsidRDefault="005F782F" w:rsidP="005F782F">
      <w:pPr>
        <w:pStyle w:val="SingleTxtG"/>
        <w:rPr>
          <w:iCs/>
        </w:rPr>
      </w:pPr>
      <w:r w:rsidRPr="005F41B0">
        <w:t>167.</w:t>
      </w:r>
      <w:r w:rsidRPr="005F41B0">
        <w:tab/>
        <w:t>Terranova y Labrador revisa todas las solicitudes relativas a tierras de la Corona, remisiones sobre exploraciones mineras, permisos de canteras, inscripciones de evaluaciones ambientales y solicitudes de permisos posteriores a la evaluación ambiental para garantizar que se realizan las consultas indígenas adecuadas. Se asesora sobre las políticas gubernamentales de gestión de recursos sin dejar de velar por que se tengan en cuenta los derechos de los aborígenes.</w:t>
      </w:r>
    </w:p>
    <w:p w14:paraId="0DEA7D1A" w14:textId="27A3AD89" w:rsidR="005F782F" w:rsidRPr="005F41B0" w:rsidRDefault="005F782F" w:rsidP="005F782F">
      <w:pPr>
        <w:pStyle w:val="SingleTxtG"/>
      </w:pPr>
      <w:r w:rsidRPr="005F41B0">
        <w:t>168.</w:t>
      </w:r>
      <w:r w:rsidRPr="005F41B0">
        <w:tab/>
        <w:t xml:space="preserve">El </w:t>
      </w:r>
      <w:r w:rsidR="004B2881" w:rsidRPr="005F41B0">
        <w:t>g</w:t>
      </w:r>
      <w:r w:rsidRPr="005F41B0">
        <w:t>obierno de Quebec se toma muy en serio su obligación constitucional de consultar y dar cabida a las comunidades indígenas, si procede, cuando las medidas previstas puedan resultar perjudiciales para los derechos de dichas comunidades, en particular los proyectos de explotación de tierras o recursos naturales.</w:t>
      </w:r>
    </w:p>
    <w:p w14:paraId="77CE0A3C" w14:textId="720639F0" w:rsidR="005F782F" w:rsidRPr="005F41B0" w:rsidRDefault="005F782F" w:rsidP="005F782F">
      <w:pPr>
        <w:pStyle w:val="SingleTxtG"/>
      </w:pPr>
      <w:r w:rsidRPr="005F41B0">
        <w:t>169.</w:t>
      </w:r>
      <w:r w:rsidRPr="005F41B0">
        <w:tab/>
        <w:t xml:space="preserve">Además, el </w:t>
      </w:r>
      <w:r w:rsidR="004B2881" w:rsidRPr="005F41B0">
        <w:t>g</w:t>
      </w:r>
      <w:r w:rsidRPr="005F41B0">
        <w:t>obierno de Quebec está abierto a firmar acuerdos con las comunidades indígenas con el fin de reforzar las relaciones políticas, encontrar soluciones aceptables para todos para resolver problemas específicos planteados por las comunidades indígenas, armonizar los diversos usos, promover una sana convivencia y apoyarlas en su desarrollo económico, social y comunitario. Existen varias mesas de negociación con comunidades y naciones indígenas.</w:t>
      </w:r>
    </w:p>
    <w:p w14:paraId="366B9E0D" w14:textId="5B554841" w:rsidR="005F782F" w:rsidRPr="005F41B0" w:rsidRDefault="005F782F" w:rsidP="00EE0F0B">
      <w:pPr>
        <w:pStyle w:val="H23G"/>
      </w:pPr>
      <w:r w:rsidRPr="005F41B0">
        <w:tab/>
      </w:r>
      <w:r w:rsidR="00EE0F0B" w:rsidRPr="005F41B0">
        <w:tab/>
      </w:r>
      <w:r w:rsidRPr="005F41B0">
        <w:t>Proyecto del emplazamiento C</w:t>
      </w:r>
    </w:p>
    <w:p w14:paraId="599B351C" w14:textId="77777777" w:rsidR="005F782F" w:rsidRPr="005F41B0" w:rsidRDefault="005F782F" w:rsidP="005F782F">
      <w:pPr>
        <w:pStyle w:val="SingleTxtG"/>
        <w:rPr>
          <w:iCs/>
        </w:rPr>
      </w:pPr>
      <w:r w:rsidRPr="005F41B0">
        <w:t>170.</w:t>
      </w:r>
      <w:r w:rsidRPr="005F41B0">
        <w:tab/>
        <w:t>Columbia Británica se esfuerza por obtener el consentimiento libre, previo e informado cuando se propone tomar medidas que puedan afectar a los derechos de los indígenas, incluidas sus tierras, territorios y recursos. Columbia Británica empezó a consultar a los grupos indígenas sobre el proyecto del emplazamiento C en 2007 y los tribunales han confirmado en siete ocasiones que la consulta se llevó a cabo adecuadamente. El gobierno provincial y muchas de las Primeras Naciones del Tratado 8 de Columbia Británica han firmado seis acuerdos tripartitos sobre la tierra y los beneficios y el impacto. El más reciente se firmó con las Primeras Naciones de West Moberly, en virtud del cual la Nación recibirá (entre otros beneficios) ventajas financieras, oportunidades de contratación y la cesión de tierras de la Corona provincial. Como resultado, el litigio contra el emplazamiento C se ha resuelto y no hay demandas pendientes en los tribunales por parte de las naciones indígenas que se oponen al proyecto del emplazamiento C. Varias naciones del Tratado 8 participan activamente en los servicios de construcción y desarrollo de presas en el marco de empresas conjuntas o acuerdos de contratación directa con BC Hydro.</w:t>
      </w:r>
    </w:p>
    <w:p w14:paraId="32514B97" w14:textId="44B194E4" w:rsidR="005F782F" w:rsidRPr="005F41B0" w:rsidRDefault="005F782F" w:rsidP="00EE0F0B">
      <w:pPr>
        <w:pStyle w:val="H1G"/>
      </w:pPr>
      <w:r w:rsidRPr="005F41B0">
        <w:tab/>
      </w:r>
      <w:r w:rsidR="00EE0F0B" w:rsidRPr="005F41B0">
        <w:tab/>
      </w:r>
      <w:r w:rsidRPr="005F41B0">
        <w:t>Respuesta al párrafo 25</w:t>
      </w:r>
    </w:p>
    <w:p w14:paraId="73CDA037" w14:textId="77712452" w:rsidR="005F782F" w:rsidRPr="005F41B0" w:rsidRDefault="00EE0F0B" w:rsidP="00EE0F0B">
      <w:pPr>
        <w:pStyle w:val="H23G"/>
      </w:pPr>
      <w:r w:rsidRPr="005F41B0">
        <w:tab/>
      </w:r>
      <w:r w:rsidR="005F782F" w:rsidRPr="005F41B0">
        <w:tab/>
        <w:t>Ley de Asuntos Indios</w:t>
      </w:r>
    </w:p>
    <w:p w14:paraId="32885F4F" w14:textId="77777777" w:rsidR="005F782F" w:rsidRPr="005F41B0" w:rsidRDefault="005F782F" w:rsidP="005F782F">
      <w:pPr>
        <w:pStyle w:val="SingleTxtG"/>
      </w:pPr>
      <w:r w:rsidRPr="005F41B0">
        <w:t>171.</w:t>
      </w:r>
      <w:r w:rsidRPr="005F41B0">
        <w:tab/>
        <w:t>En enero de 2011 entró en vigor la Ley de Igualdad de Género en el Proceso de Inscripción en el Registro Indio, que garantizaba que los nietos de mujeres que habían perdido su condición al casarse con hombres no indios tuvieran derecho a inscribirse. Como resultado, entre 2011 y 2017 se registraron más de 37.000 nuevos titulares del derecho gracias a la aplicación del proyecto de ley C-3.</w:t>
      </w:r>
    </w:p>
    <w:p w14:paraId="34BD20F5" w14:textId="77777777" w:rsidR="005F782F" w:rsidRPr="005F41B0" w:rsidRDefault="005F782F" w:rsidP="005F782F">
      <w:pPr>
        <w:pStyle w:val="SingleTxtG"/>
      </w:pPr>
      <w:r w:rsidRPr="005F41B0">
        <w:t>172.</w:t>
      </w:r>
      <w:r w:rsidRPr="005F41B0">
        <w:tab/>
        <w:t xml:space="preserve">El 15 de agosto de 2019, entraron en vigor todas las disposiciones de la Ley por la que se modifica la Ley de Asuntos Indios en respuesta a la decisión del Tribunal Superior de Quebec en </w:t>
      </w:r>
      <w:r w:rsidRPr="005F41B0">
        <w:rPr>
          <w:i/>
          <w:iCs/>
        </w:rPr>
        <w:t>Descheneaux c. el Canadá (Fiscal General)</w:t>
      </w:r>
      <w:r w:rsidRPr="005F41B0">
        <w:t>. Como resultado de estas enmiendas, todos los descendientes de mujeres indígenas que perdieron su condición al contraer matrimonio tienen derecho a inscribirse en igualdad de condiciones que los descendientes de hombres indígenas en las mismas circunstancias desde 1869.</w:t>
      </w:r>
    </w:p>
    <w:p w14:paraId="56A626E0" w14:textId="20CBCA8B" w:rsidR="005F782F" w:rsidRPr="005F41B0" w:rsidRDefault="005F782F" w:rsidP="005F782F">
      <w:pPr>
        <w:pStyle w:val="SingleTxtG"/>
        <w:rPr>
          <w:iCs/>
        </w:rPr>
      </w:pPr>
      <w:r w:rsidRPr="005F41B0">
        <w:t>173.</w:t>
      </w:r>
      <w:r w:rsidRPr="005F41B0">
        <w:tab/>
        <w:t xml:space="preserve">El 14 de diciembre de 2022, se presentó en el Parlamento el proyecto de ley C-38, </w:t>
      </w:r>
      <w:r w:rsidR="00764158" w:rsidRPr="005F41B0">
        <w:t xml:space="preserve">la </w:t>
      </w:r>
      <w:r w:rsidRPr="005F41B0">
        <w:t xml:space="preserve">Ley por la que se modifica la Ley de Asuntos Indios (nuevas disposiciones sobre los derechos), con propuestas de enmienda a cuatro cuestiones con soluciones claras derivadas de consultas. El Gobierno del Canadá codesarrollará y lanzará consultas colaborativas en el </w:t>
      </w:r>
      <w:r w:rsidRPr="005F41B0">
        <w:lastRenderedPageBreak/>
        <w:t>marco del proceso colaborativo sobre la exclusión después de la segunda generación y los umbrales de voto en virtud del artículo 10.</w:t>
      </w:r>
    </w:p>
    <w:p w14:paraId="3F2E5157" w14:textId="77777777" w:rsidR="005F782F" w:rsidRPr="005F41B0" w:rsidRDefault="005F782F" w:rsidP="005F782F">
      <w:pPr>
        <w:pStyle w:val="SingleTxtG"/>
        <w:rPr>
          <w:iCs/>
        </w:rPr>
      </w:pPr>
      <w:r w:rsidRPr="005F41B0">
        <w:t>174.</w:t>
      </w:r>
      <w:r w:rsidRPr="005F41B0">
        <w:tab/>
        <w:t>El Gobierno del Canadá reconoce que la Ley de Asuntos Indios es una ley de la época colonial concebida para ejercer control sobre los asuntos de las Primeras Naciones y, como tal, nunca estará plenamente en consonancia con la Declaración de las Naciones Unidas. Para que las leyes canadienses cumplan la Declaración de las Naciones Unidas, debe derogarse la Ley de Asuntos Indios.</w:t>
      </w:r>
    </w:p>
    <w:p w14:paraId="6EF35B02" w14:textId="77777777" w:rsidR="005F782F" w:rsidRPr="005F41B0" w:rsidRDefault="005F782F" w:rsidP="005F782F">
      <w:pPr>
        <w:pStyle w:val="SingleTxtG"/>
        <w:rPr>
          <w:iCs/>
        </w:rPr>
      </w:pPr>
      <w:r w:rsidRPr="005F41B0">
        <w:t>175.</w:t>
      </w:r>
      <w:r w:rsidRPr="005F41B0">
        <w:tab/>
        <w:t>El proyecto de ley C-38 y las próximas consultas se consideran pasos graduales necesarios para aumentar la armonización de la Ley de Asuntos Indios con la Ley de la Declaración de las Naciones Unidas y preparar su eventual derogación a su debido tiempo.</w:t>
      </w:r>
    </w:p>
    <w:p w14:paraId="08F744DB" w14:textId="4A8B66FC" w:rsidR="005F782F" w:rsidRPr="005F41B0" w:rsidRDefault="00EE0F0B" w:rsidP="00EE0F0B">
      <w:pPr>
        <w:pStyle w:val="H23G"/>
      </w:pPr>
      <w:r w:rsidRPr="005F41B0">
        <w:tab/>
      </w:r>
      <w:r w:rsidR="005F782F" w:rsidRPr="005F41B0">
        <w:tab/>
        <w:t>Tratamiento de las desigualdades sistémicas</w:t>
      </w:r>
    </w:p>
    <w:p w14:paraId="1119330B" w14:textId="77777777" w:rsidR="005F782F" w:rsidRPr="005F41B0" w:rsidRDefault="005F782F" w:rsidP="005F782F">
      <w:pPr>
        <w:pStyle w:val="SingleTxtG"/>
      </w:pPr>
      <w:r w:rsidRPr="005F41B0">
        <w:t>176.</w:t>
      </w:r>
      <w:r w:rsidRPr="005F41B0">
        <w:tab/>
        <w:t>A continuación se presentan ejemplos de la labor que se está realizando en el Canadá para abordar las desigualdades sistémicas en la satisfacción de las necesidades básicas y la prestación de servicios esenciales de apoyo a los Pueblos Indígenas:</w:t>
      </w:r>
    </w:p>
    <w:p w14:paraId="0EC7EA4A" w14:textId="305079CF" w:rsidR="005F782F" w:rsidRPr="005F41B0" w:rsidRDefault="005F782F" w:rsidP="00EE0F0B">
      <w:pPr>
        <w:pStyle w:val="Bullet1G"/>
      </w:pPr>
      <w:r w:rsidRPr="005F41B0">
        <w:t>Entre 2016 y 2018, el Gobierno del Canadá trabajó estrechamente con asociados de las Primeras Naciones para transformar fundamentalmente la educación primaria y secundaria de las Primeras Naciones en las reservas. El 1 de abril de 2019 se implementó el nuevo enfoque de financiación y política codesarrollado para satisfacer mejor las necesidades de los estudiantes que residen normalmente en la reserva. Este planteamiento sustituyó varios programas anticuados basados en propuestas con un mejor acceso a la financiación básica a través de fórmulas provisionales de financiación regional que utilizan como base la comparabilidad provincial y garantizan una financiación estable, flexible, previsible y sostenible. Este planteamiento también incluye inversiones nacionales comunes adicionales, como la programación lingüística y cultural, el jardín de infancia de jornada completa para niños de 4 y 5 años, y la programación preescolar y extraescolar</w:t>
      </w:r>
      <w:r w:rsidR="00EE0F0B" w:rsidRPr="005F41B0">
        <w:t>.</w:t>
      </w:r>
    </w:p>
    <w:p w14:paraId="2673E2B0" w14:textId="1B51C42E" w:rsidR="005F782F" w:rsidRPr="005F41B0" w:rsidRDefault="005F782F" w:rsidP="00EE0F0B">
      <w:pPr>
        <w:pStyle w:val="Bullet1G"/>
      </w:pPr>
      <w:r w:rsidRPr="005F41B0">
        <w:t>En 2016 el Gobierno del Canadá se comprometió a codesarrollar estrategias de vivienda para los indígenas que tuviesen en cuenta las diferencias para las Primeras Naciones, inuits y métis, que fueron respaldadas por los asociados indígenas en 2019. Estas estrategias se ajustan a los principios de la Declaración de las Naciones Unidas y los promueven, y garantizan la realización de consultas y cooperación significativas con los Pueblos Indígenas en el desarrollo de programas y servicios que les afectan. El Gobierno del Canadá sigue colaborando con la Asamblea de las Primeras Naciones para apoyar la aplicación de la Estrategia Nacional en materia de Vivienda e Infraestructuras Conexas de las Primeras Naciones. El Gobierno también apoya a las Primeras Naciones y las instituciones dirigidas por ellas para que construyan y mantengan viviendas e infraestructuras mediante financiación específica y el fomento de iniciativas de transferencia de prestación de servicios</w:t>
      </w:r>
      <w:r w:rsidR="00EE0F0B" w:rsidRPr="005F41B0">
        <w:t>.</w:t>
      </w:r>
    </w:p>
    <w:p w14:paraId="46CC508E" w14:textId="68A0287A" w:rsidR="005F782F" w:rsidRPr="005F41B0" w:rsidRDefault="005F782F" w:rsidP="00EE0F0B">
      <w:pPr>
        <w:pStyle w:val="Bullet1G"/>
      </w:pPr>
      <w:r w:rsidRPr="005F41B0">
        <w:t>En el ámbito de los servicios a la infancia y la familia, el 1 de enero de 2020 entró en vigor una nueva legislación que apoya a los grupos, comunidades o Pueblos Indígenas para que elaboren sus propias leyes y ejerzan su jurisdicción sobre los servicios a la infancia y la familia. La legislación también establece principios nacionales que incluyen el interés superior del niño, la continuidad cultural y la igualdad sustantiva, así como normas mínimas que se aplican a todas las jurisdicciones y están diseñadas para beneficiar a todos los niños indígenas</w:t>
      </w:r>
      <w:r w:rsidR="00EE0F0B" w:rsidRPr="005F41B0">
        <w:t>.</w:t>
      </w:r>
    </w:p>
    <w:p w14:paraId="273B3087" w14:textId="515CD475" w:rsidR="005F782F" w:rsidRPr="005F41B0" w:rsidRDefault="005F782F" w:rsidP="00EE0F0B">
      <w:pPr>
        <w:pStyle w:val="Bullet1G"/>
      </w:pPr>
      <w:r w:rsidRPr="005F41B0">
        <w:t>Nueva Brunswick colabora con las comunidades indígenas para garantizar que los servicios de salud pública se prestan de una manera culturalmente segura y teniendo en cuenta el trauma sufrido. Entre los ejemplos cabe citar las iniciativas destinadas a mejorar el apoyo y los resultados en materia de cáncer para los Pueblos Indígenas y a llegar a poblaciones que no se someten a suficientes pruebas de detección, incluidas las comunidades indígenas, a través de la implicación comunitaria</w:t>
      </w:r>
      <w:r w:rsidR="005D2D87" w:rsidRPr="005F41B0">
        <w:t>.</w:t>
      </w:r>
      <w:r w:rsidRPr="005F41B0">
        <w:t xml:space="preserve"> Además, los equipos móviles de asistencia para situaciones de crisis en materia de adicción y salud mental de Nuevo Brunswick ofrecen una respuesta coordinada a quienes sufren una crisis de salud mental</w:t>
      </w:r>
      <w:r w:rsidR="00EE0F0B" w:rsidRPr="005F41B0">
        <w:t>.</w:t>
      </w:r>
    </w:p>
    <w:p w14:paraId="24C175D3" w14:textId="714F5FE5" w:rsidR="005F782F" w:rsidRPr="005F41B0" w:rsidRDefault="005F782F" w:rsidP="00EE0F0B">
      <w:pPr>
        <w:pStyle w:val="Bullet1G"/>
      </w:pPr>
      <w:r w:rsidRPr="005F41B0">
        <w:lastRenderedPageBreak/>
        <w:t>En Quebec</w:t>
      </w:r>
      <w:r w:rsidR="005D2D87" w:rsidRPr="005F41B0">
        <w:t>,</w:t>
      </w:r>
      <w:r w:rsidRPr="005F41B0">
        <w:t xml:space="preserve"> para apoyar la introducción de la seguridad cultural de las Primeras Naciones y los inuits en la red de servicios sanitarios y sociales, se han anunciado cinco medidas determinantes:</w:t>
      </w:r>
    </w:p>
    <w:p w14:paraId="2CD1DDC5" w14:textId="4AF3312B" w:rsidR="005F782F" w:rsidRPr="005F41B0" w:rsidRDefault="005F782F" w:rsidP="00EE0F0B">
      <w:pPr>
        <w:pStyle w:val="Bullet2G"/>
      </w:pPr>
      <w:r w:rsidRPr="005F41B0">
        <w:t>Diseño y despliegue de una formación continuada adaptada a las realidades locales</w:t>
      </w:r>
      <w:r w:rsidR="00EE0F0B" w:rsidRPr="005F41B0">
        <w:t>.</w:t>
      </w:r>
    </w:p>
    <w:p w14:paraId="0A35984D" w14:textId="44131980" w:rsidR="005F782F" w:rsidRPr="005F41B0" w:rsidRDefault="005F782F" w:rsidP="00EE0F0B">
      <w:pPr>
        <w:pStyle w:val="Bullet2G"/>
      </w:pPr>
      <w:r w:rsidRPr="005F41B0">
        <w:t>Despliegue de agentes de enlace en la red de servicios sanitarios y sociales</w:t>
      </w:r>
      <w:r w:rsidR="00EE0F0B" w:rsidRPr="005F41B0">
        <w:t>.</w:t>
      </w:r>
    </w:p>
    <w:p w14:paraId="45206B42" w14:textId="6B96D64F" w:rsidR="005F782F" w:rsidRPr="005F41B0" w:rsidRDefault="005F782F" w:rsidP="00EE0F0B">
      <w:pPr>
        <w:pStyle w:val="Bullet2G"/>
      </w:pPr>
      <w:r w:rsidRPr="005F41B0">
        <w:t>Despliegue de guías de servicios</w:t>
      </w:r>
      <w:r w:rsidR="00EE0F0B" w:rsidRPr="005F41B0">
        <w:t>.</w:t>
      </w:r>
    </w:p>
    <w:p w14:paraId="07BFA00B" w14:textId="1EDE9C47" w:rsidR="005F782F" w:rsidRPr="005F41B0" w:rsidRDefault="005F782F" w:rsidP="00EE0F0B">
      <w:pPr>
        <w:pStyle w:val="Bullet2G"/>
      </w:pPr>
      <w:r w:rsidRPr="005F41B0">
        <w:t>Apoyo a las mejores prácticas relacionadas con la seguridad cultural</w:t>
      </w:r>
      <w:r w:rsidR="00EE0F0B" w:rsidRPr="005F41B0">
        <w:t>.</w:t>
      </w:r>
    </w:p>
    <w:p w14:paraId="5D6B6A09" w14:textId="77777777" w:rsidR="005F782F" w:rsidRPr="005F41B0" w:rsidRDefault="005F782F" w:rsidP="00EE0F0B">
      <w:pPr>
        <w:pStyle w:val="Bullet2G"/>
      </w:pPr>
      <w:r w:rsidRPr="005F41B0">
        <w:t>Refuerzo de la información, la asistencia y el apoyo a los clientes indígenas en el marco del proceso de examen de las quejas previsto en la Ley de los Servicios de Salud y los Servicios Sociales.</w:t>
      </w:r>
    </w:p>
    <w:p w14:paraId="7CCFC344" w14:textId="18A48E5D" w:rsidR="005F782F" w:rsidRPr="005F41B0" w:rsidRDefault="005F782F" w:rsidP="00EE0F0B">
      <w:pPr>
        <w:pStyle w:val="H23G"/>
      </w:pPr>
      <w:r w:rsidRPr="005F41B0">
        <w:tab/>
      </w:r>
      <w:r w:rsidR="00EE0F0B" w:rsidRPr="005F41B0">
        <w:tab/>
      </w:r>
      <w:r w:rsidRPr="005F41B0">
        <w:t>Preservar las lenguas indígenas</w:t>
      </w:r>
    </w:p>
    <w:p w14:paraId="4839D85C" w14:textId="49830C67" w:rsidR="00411A36" w:rsidRPr="005F41B0" w:rsidRDefault="005F782F" w:rsidP="005F782F">
      <w:pPr>
        <w:pStyle w:val="SingleTxtG"/>
      </w:pPr>
      <w:r w:rsidRPr="005F41B0">
        <w:t>177.</w:t>
      </w:r>
      <w:r w:rsidRPr="005F41B0">
        <w:tab/>
        <w:t>El Gobierno del Canadá trabajó con las Primeras Naciones, los inuits y los métis para desarrollar la Ley de Idiomas Indígenas, que recibió la sanción real en junio de 2019. El Gobierno del Canadá introdujo nueva financiación por un total de 840,1 millones de dólares de 2019-2020 a 2025-2026 y 117,7 millones de dólares en financiación continuada para apoyar los esfuerzos comunitarios de los Pueblos Indígenas para recuperar, revitalizar, mantener y fortalecer las lenguas indígenas. En 2023-2024 el Gobierno del Canadá puso en marcha modelos de financiación basados en distinciones para las lenguas indígenas, desarrollados conjuntamente, que se alejan del enfoque de convocatorias de candidaturas dirigido por los departamentos, que apoya proyectos a corto plazo, para adoptar nuevos modelos que proporcionan un mayor control indígena sobre la financiación de las lenguas indígenas, financiación a largo plazo y una mejor respuesta a las prioridades de las Primeras Naciones, los inuits y los métis.</w:t>
      </w:r>
    </w:p>
    <w:p w14:paraId="697512DC" w14:textId="4B616B32" w:rsidR="005F782F" w:rsidRPr="005F41B0" w:rsidRDefault="005F782F" w:rsidP="005F782F">
      <w:pPr>
        <w:pStyle w:val="SingleTxtG"/>
        <w:suppressAutoHyphens/>
        <w:spacing w:before="240" w:after="0"/>
        <w:jc w:val="center"/>
        <w:rPr>
          <w:u w:val="single"/>
        </w:rPr>
      </w:pPr>
      <w:r w:rsidRPr="005F41B0">
        <w:rPr>
          <w:u w:val="single"/>
        </w:rPr>
        <w:tab/>
      </w:r>
      <w:r w:rsidRPr="005F41B0">
        <w:rPr>
          <w:u w:val="single"/>
        </w:rPr>
        <w:tab/>
      </w:r>
      <w:r w:rsidRPr="005F41B0">
        <w:rPr>
          <w:u w:val="single"/>
        </w:rPr>
        <w:tab/>
      </w:r>
    </w:p>
    <w:sectPr w:rsidR="005F782F" w:rsidRPr="005F41B0" w:rsidSect="005F782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A1547" w14:textId="77777777" w:rsidR="002060D3" w:rsidRDefault="002060D3"/>
  </w:endnote>
  <w:endnote w:type="continuationSeparator" w:id="0">
    <w:p w14:paraId="35FAC699" w14:textId="77777777" w:rsidR="002060D3" w:rsidRDefault="002060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E5592" w14:textId="454462E5" w:rsidR="005F782F" w:rsidRPr="005F782F" w:rsidRDefault="005F782F" w:rsidP="005F782F">
    <w:pPr>
      <w:pStyle w:val="Piedepgina"/>
      <w:tabs>
        <w:tab w:val="right" w:pos="9638"/>
      </w:tabs>
    </w:pPr>
    <w:r w:rsidRPr="005F782F">
      <w:rPr>
        <w:b/>
        <w:sz w:val="18"/>
      </w:rPr>
      <w:fldChar w:fldCharType="begin"/>
    </w:r>
    <w:r w:rsidRPr="005F782F">
      <w:rPr>
        <w:b/>
        <w:sz w:val="18"/>
      </w:rPr>
      <w:instrText xml:space="preserve"> PAGE  \* MERGEFORMAT </w:instrText>
    </w:r>
    <w:r w:rsidRPr="005F782F">
      <w:rPr>
        <w:b/>
        <w:sz w:val="18"/>
      </w:rPr>
      <w:fldChar w:fldCharType="separate"/>
    </w:r>
    <w:r w:rsidRPr="005F782F">
      <w:rPr>
        <w:b/>
        <w:noProof/>
        <w:sz w:val="18"/>
      </w:rPr>
      <w:t>2</w:t>
    </w:r>
    <w:r w:rsidRPr="005F782F">
      <w:rPr>
        <w:b/>
        <w:sz w:val="18"/>
      </w:rPr>
      <w:fldChar w:fldCharType="end"/>
    </w:r>
    <w:r>
      <w:rPr>
        <w:b/>
        <w:sz w:val="18"/>
      </w:rPr>
      <w:tab/>
    </w:r>
    <w:r>
      <w:t>GE.25-06774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16C67" w14:textId="41C23FFD" w:rsidR="005F782F" w:rsidRPr="005F782F" w:rsidRDefault="005F782F" w:rsidP="005F782F">
    <w:pPr>
      <w:pStyle w:val="Piedepgina"/>
      <w:tabs>
        <w:tab w:val="right" w:pos="9638"/>
      </w:tabs>
      <w:rPr>
        <w:b/>
        <w:sz w:val="18"/>
      </w:rPr>
    </w:pPr>
    <w:r>
      <w:t>GE.25-06774</w:t>
    </w:r>
    <w:r>
      <w:tab/>
    </w:r>
    <w:r w:rsidRPr="005F782F">
      <w:rPr>
        <w:b/>
        <w:sz w:val="18"/>
      </w:rPr>
      <w:fldChar w:fldCharType="begin"/>
    </w:r>
    <w:r w:rsidRPr="005F782F">
      <w:rPr>
        <w:b/>
        <w:sz w:val="18"/>
      </w:rPr>
      <w:instrText xml:space="preserve"> PAGE  \* MERGEFORMAT </w:instrText>
    </w:r>
    <w:r w:rsidRPr="005F782F">
      <w:rPr>
        <w:b/>
        <w:sz w:val="18"/>
      </w:rPr>
      <w:fldChar w:fldCharType="separate"/>
    </w:r>
    <w:r w:rsidRPr="005F782F">
      <w:rPr>
        <w:b/>
        <w:noProof/>
        <w:sz w:val="18"/>
      </w:rPr>
      <w:t>3</w:t>
    </w:r>
    <w:r w:rsidRPr="005F78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35A48" w14:textId="12F5AB7B" w:rsidR="00DE44AD" w:rsidRPr="005F782F" w:rsidRDefault="005F782F" w:rsidP="005F782F">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D2FEC89" wp14:editId="4A28F6D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25-06774  (S)</w:t>
    </w:r>
    <w:r>
      <w:rPr>
        <w:noProof/>
        <w:sz w:val="20"/>
      </w:rPr>
      <w:drawing>
        <wp:anchor distT="0" distB="0" distL="114300" distR="114300" simplePos="0" relativeHeight="251658752" behindDoc="0" locked="0" layoutInCell="1" allowOverlap="1" wp14:anchorId="23B8B65B" wp14:editId="45878C84">
          <wp:simplePos x="0" y="0"/>
          <wp:positionH relativeFrom="margin">
            <wp:posOffset>5489575</wp:posOffset>
          </wp:positionH>
          <wp:positionV relativeFrom="margin">
            <wp:posOffset>8891905</wp:posOffset>
          </wp:positionV>
          <wp:extent cx="628650" cy="628650"/>
          <wp:effectExtent l="0" t="0" r="0" b="0"/>
          <wp:wrapNone/>
          <wp:docPr id="15784991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210725    220725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73C00" w14:textId="77777777" w:rsidR="002060D3" w:rsidRPr="001075E9" w:rsidRDefault="002060D3" w:rsidP="001075E9">
      <w:pPr>
        <w:tabs>
          <w:tab w:val="right" w:pos="2155"/>
        </w:tabs>
        <w:spacing w:after="80" w:line="240" w:lineRule="auto"/>
        <w:ind w:left="680"/>
        <w:rPr>
          <w:u w:val="single"/>
        </w:rPr>
      </w:pPr>
      <w:r>
        <w:rPr>
          <w:u w:val="single"/>
        </w:rPr>
        <w:tab/>
      </w:r>
    </w:p>
  </w:footnote>
  <w:footnote w:type="continuationSeparator" w:id="0">
    <w:p w14:paraId="08FA4DB8" w14:textId="77777777" w:rsidR="002060D3" w:rsidRDefault="002060D3" w:rsidP="00AE0E02">
      <w:pPr>
        <w:tabs>
          <w:tab w:val="right" w:pos="2155"/>
        </w:tabs>
        <w:spacing w:after="80" w:line="240" w:lineRule="auto"/>
        <w:ind w:left="680"/>
        <w:rPr>
          <w:u w:val="single"/>
        </w:rPr>
      </w:pPr>
      <w:r>
        <w:rPr>
          <w:u w:val="single"/>
        </w:rPr>
        <w:tab/>
      </w:r>
    </w:p>
  </w:footnote>
  <w:footnote w:id="1">
    <w:p w14:paraId="4C9E2B73" w14:textId="1321C744" w:rsidR="005F782F" w:rsidRPr="005F782F" w:rsidRDefault="005F782F" w:rsidP="005F782F">
      <w:pPr>
        <w:pStyle w:val="Textonotapie"/>
        <w:rPr>
          <w:sz w:val="20"/>
        </w:rPr>
      </w:pPr>
      <w:r w:rsidRPr="005F782F">
        <w:tab/>
      </w:r>
      <w:r w:rsidRPr="005F782F">
        <w:rPr>
          <w:rStyle w:val="Refdenotaalpie"/>
          <w:sz w:val="20"/>
          <w:vertAlign w:val="baseline"/>
        </w:rPr>
        <w:t>*</w:t>
      </w:r>
      <w:r w:rsidRPr="005F782F">
        <w:rPr>
          <w:rStyle w:val="Refdenotaalpie"/>
          <w:vertAlign w:val="baseline"/>
        </w:rPr>
        <w:tab/>
      </w:r>
      <w:r w:rsidRPr="005F782F">
        <w:t>La versión original del presente documento no fue objeto de revisión editorial oficial.</w:t>
      </w:r>
    </w:p>
  </w:footnote>
  <w:footnote w:id="2">
    <w:p w14:paraId="1FF734BE" w14:textId="49FA178A" w:rsidR="005F782F" w:rsidRPr="005F782F" w:rsidRDefault="005F782F" w:rsidP="005F782F">
      <w:pPr>
        <w:pStyle w:val="Textonotapie"/>
        <w:rPr>
          <w:sz w:val="20"/>
        </w:rPr>
      </w:pPr>
      <w:r w:rsidRPr="005F782F">
        <w:tab/>
      </w:r>
      <w:r w:rsidRPr="005F782F">
        <w:rPr>
          <w:rStyle w:val="Refdenotaalpie"/>
          <w:sz w:val="20"/>
          <w:vertAlign w:val="baseline"/>
        </w:rPr>
        <w:t>**</w:t>
      </w:r>
      <w:r w:rsidRPr="005F782F">
        <w:rPr>
          <w:rStyle w:val="Refdenotaalpie"/>
          <w:vertAlign w:val="baseline"/>
        </w:rPr>
        <w:tab/>
      </w:r>
      <w:r w:rsidRPr="005F782F">
        <w:t>Este documento se presentó de conformidad con el procedimiento simplificado de presentación de informes. Contiene las respuestas del Estado parte a la lista de cuestiones previa a la presentación del informe preparada por el Comité (CCPR/C/CAN/QPR/7).</w:t>
      </w:r>
    </w:p>
  </w:footnote>
  <w:footnote w:id="3">
    <w:p w14:paraId="284859BB" w14:textId="444EC268" w:rsidR="005F782F" w:rsidRPr="005F782F" w:rsidRDefault="005F782F" w:rsidP="005F782F">
      <w:pPr>
        <w:pStyle w:val="Textonotapie"/>
        <w:rPr>
          <w:sz w:val="20"/>
        </w:rPr>
      </w:pPr>
      <w:r w:rsidRPr="005F782F">
        <w:tab/>
      </w:r>
      <w:r w:rsidRPr="005F782F">
        <w:rPr>
          <w:rStyle w:val="Refdenotaalpie"/>
          <w:sz w:val="20"/>
          <w:vertAlign w:val="baseline"/>
        </w:rPr>
        <w:t>***</w:t>
      </w:r>
      <w:r w:rsidRPr="005F782F">
        <w:rPr>
          <w:rStyle w:val="Refdenotaalpie"/>
          <w:vertAlign w:val="baseline"/>
        </w:rPr>
        <w:tab/>
      </w:r>
      <w:r w:rsidRPr="005F782F">
        <w:t>Los anexos del presente documento pueden consultarse en la página web del Comité.</w:t>
      </w:r>
    </w:p>
  </w:footnote>
  <w:footnote w:id="4">
    <w:p w14:paraId="437F9945" w14:textId="77777777" w:rsidR="005F782F" w:rsidRPr="005F782F" w:rsidRDefault="005F782F" w:rsidP="005F782F">
      <w:pPr>
        <w:pStyle w:val="Textonotapie"/>
      </w:pPr>
      <w:r w:rsidRPr="005F782F">
        <w:tab/>
      </w:r>
      <w:r w:rsidRPr="005F782F">
        <w:rPr>
          <w:rStyle w:val="Refdenotaalpie"/>
        </w:rPr>
        <w:footnoteRef/>
      </w:r>
      <w:r w:rsidRPr="005F782F">
        <w:tab/>
        <w:t>Presentado por el Departamento del Patrimonio Canadiense en nombre del Canadá, completado en enero de 2025.</w:t>
      </w:r>
    </w:p>
  </w:footnote>
  <w:footnote w:id="5">
    <w:p w14:paraId="1127BB58" w14:textId="77777777" w:rsidR="005F782F" w:rsidRPr="005F782F" w:rsidRDefault="005F782F" w:rsidP="005F782F">
      <w:pPr>
        <w:pStyle w:val="Textonotapie"/>
      </w:pPr>
      <w:r w:rsidRPr="005F782F">
        <w:tab/>
      </w:r>
      <w:r w:rsidRPr="005F782F">
        <w:rPr>
          <w:rStyle w:val="Refdenotaalpie"/>
        </w:rPr>
        <w:footnoteRef/>
      </w:r>
      <w:r w:rsidRPr="005F782F">
        <w:tab/>
        <w:t>CCPR/C/CAN/QPR/7 (con fecha de 3 de agosto de 2021).</w:t>
      </w:r>
    </w:p>
  </w:footnote>
  <w:footnote w:id="6">
    <w:p w14:paraId="3C4AD930" w14:textId="4B38EE93" w:rsidR="005F782F" w:rsidRPr="005F782F" w:rsidRDefault="005F782F" w:rsidP="005F782F">
      <w:pPr>
        <w:pStyle w:val="Textonotapie"/>
      </w:pPr>
      <w:r w:rsidRPr="005F782F">
        <w:tab/>
      </w:r>
      <w:r w:rsidRPr="005F782F">
        <w:rPr>
          <w:rStyle w:val="Refdenotaalpie"/>
        </w:rPr>
        <w:footnoteRef/>
      </w:r>
      <w:r w:rsidRPr="005F782F">
        <w:tab/>
        <w:t xml:space="preserve">Véase </w:t>
      </w:r>
      <w:hyperlink r:id="rId1" w:history="1">
        <w:r w:rsidR="00222472" w:rsidRPr="00A83970">
          <w:rPr>
            <w:rStyle w:val="Hipervnculo"/>
          </w:rPr>
          <w:t>https://publicorderemergencycommission.ca/</w:t>
        </w:r>
      </w:hyperlink>
      <w:r w:rsidRPr="005F782F">
        <w:t>.</w:t>
      </w:r>
    </w:p>
  </w:footnote>
  <w:footnote w:id="7">
    <w:p w14:paraId="1E7AE573" w14:textId="77777777" w:rsidR="005F782F" w:rsidRPr="005F782F" w:rsidRDefault="005F782F" w:rsidP="005F782F">
      <w:pPr>
        <w:pStyle w:val="Textonotapie"/>
      </w:pPr>
      <w:r w:rsidRPr="005F782F">
        <w:tab/>
      </w:r>
      <w:r w:rsidRPr="005F782F">
        <w:rPr>
          <w:rStyle w:val="Refdenotaalpie"/>
        </w:rPr>
        <w:footnoteRef/>
      </w:r>
      <w:r w:rsidRPr="005F782F">
        <w:tab/>
      </w:r>
      <w:r w:rsidRPr="005F782F">
        <w:rPr>
          <w:i/>
          <w:iCs/>
        </w:rPr>
        <w:t>Nevsun Resources Ltd. v. Araya</w:t>
      </w:r>
      <w:r w:rsidRPr="005F782F">
        <w:t>, 2020 SCC 5.</w:t>
      </w:r>
    </w:p>
  </w:footnote>
  <w:footnote w:id="8">
    <w:p w14:paraId="6BC12C8A" w14:textId="1D80791F" w:rsidR="005F782F" w:rsidRPr="005F782F" w:rsidRDefault="005F782F" w:rsidP="005F782F">
      <w:pPr>
        <w:pStyle w:val="Textonotapie"/>
      </w:pPr>
      <w:r w:rsidRPr="005F782F">
        <w:tab/>
      </w:r>
      <w:r w:rsidRPr="005F782F">
        <w:rPr>
          <w:rStyle w:val="Refdenotaalpie"/>
        </w:rPr>
        <w:footnoteRef/>
      </w:r>
      <w:r w:rsidRPr="005F782F">
        <w:tab/>
        <w:t xml:space="preserve">Véase </w:t>
      </w:r>
      <w:hyperlink r:id="rId2" w:history="1">
        <w:r w:rsidR="00222472" w:rsidRPr="00A83970">
          <w:rPr>
            <w:rStyle w:val="Hipervnculo"/>
          </w:rPr>
          <w:t>https://osi-bis.ca/wp-content/uploads/2023/06/OSI_InterimReport_June-2023_WEB.pdf</w:t>
        </w:r>
      </w:hyperlink>
      <w:r w:rsidRPr="005F782F">
        <w:t>.</w:t>
      </w:r>
    </w:p>
  </w:footnote>
  <w:footnote w:id="9">
    <w:p w14:paraId="6CD69A13" w14:textId="0EC60D5C" w:rsidR="005F782F" w:rsidRPr="005F782F" w:rsidRDefault="005F782F" w:rsidP="005F782F">
      <w:pPr>
        <w:pStyle w:val="Textonotapie"/>
      </w:pPr>
      <w:r w:rsidRPr="005F782F">
        <w:rPr>
          <w:szCs w:val="18"/>
        </w:rPr>
        <w:tab/>
      </w:r>
      <w:r w:rsidRPr="005F782F">
        <w:rPr>
          <w:rStyle w:val="Refdenotaalpie"/>
        </w:rPr>
        <w:footnoteRef/>
      </w:r>
      <w:r w:rsidRPr="005F782F">
        <w:tab/>
        <w:t xml:space="preserve">Véase: </w:t>
      </w:r>
      <w:hyperlink r:id="rId3" w:history="1">
        <w:r w:rsidR="00222472" w:rsidRPr="00A83970">
          <w:rPr>
            <w:rStyle w:val="Hipervnculo"/>
          </w:rPr>
          <w:t>https://www.canada.ca/en/women-gender-equality/gender-based-violence/intergovernmental-collaboration/national-action-plan-end-gender-based-violence.html</w:t>
        </w:r>
      </w:hyperlink>
      <w:r w:rsidRPr="005F782F">
        <w:t>.</w:t>
      </w:r>
    </w:p>
  </w:footnote>
  <w:footnote w:id="10">
    <w:p w14:paraId="7FE1B320" w14:textId="77777777" w:rsidR="005F782F" w:rsidRPr="005F782F" w:rsidRDefault="005F782F" w:rsidP="005F782F">
      <w:pPr>
        <w:pStyle w:val="Textonotapie"/>
      </w:pPr>
      <w:r w:rsidRPr="005F782F">
        <w:tab/>
      </w:r>
      <w:r w:rsidRPr="005F782F">
        <w:rPr>
          <w:rStyle w:val="Refdenotaalpie"/>
        </w:rPr>
        <w:footnoteRef/>
      </w:r>
      <w:r w:rsidRPr="005F782F">
        <w:tab/>
        <w:t>Oficina de Estadística del Canadá, “Gender-based violence and unwanted sexual behaviour in Canada, 2018: Initial findings from the Survey of Safety in Public and Private Spaces”, 2019.</w:t>
      </w:r>
    </w:p>
  </w:footnote>
  <w:footnote w:id="11">
    <w:p w14:paraId="10A1C5F1" w14:textId="77777777" w:rsidR="005F782F" w:rsidRPr="005F782F" w:rsidRDefault="005F782F" w:rsidP="005F782F">
      <w:pPr>
        <w:pStyle w:val="Textonotapie"/>
      </w:pPr>
      <w:r w:rsidRPr="005F782F">
        <w:rPr>
          <w:szCs w:val="18"/>
        </w:rPr>
        <w:tab/>
      </w:r>
      <w:r w:rsidRPr="005F782F">
        <w:rPr>
          <w:rStyle w:val="Refdenotaalpie"/>
        </w:rPr>
        <w:footnoteRef/>
      </w:r>
      <w:r w:rsidRPr="005F782F">
        <w:tab/>
        <w:t>Oficina de Estadística del Canadá, “Police-Reported Indigenous and Racialized Identity Data Collection through the Uniform Crime Reporting Survey”, 2022; “Improving data on 2SLGBTQ+ populations”, 2023.</w:t>
      </w:r>
    </w:p>
  </w:footnote>
  <w:footnote w:id="12">
    <w:p w14:paraId="29337702" w14:textId="77777777" w:rsidR="005F782F" w:rsidRPr="005F782F" w:rsidRDefault="005F782F" w:rsidP="005F782F">
      <w:pPr>
        <w:pStyle w:val="Textonotapie"/>
      </w:pPr>
      <w:r w:rsidRPr="005F782F">
        <w:rPr>
          <w:szCs w:val="18"/>
        </w:rPr>
        <w:tab/>
      </w:r>
      <w:r w:rsidRPr="005F782F">
        <w:rPr>
          <w:rStyle w:val="Refdenotaalpie"/>
        </w:rPr>
        <w:footnoteRef/>
      </w:r>
      <w:r w:rsidRPr="005F782F">
        <w:tab/>
        <w:t>Oficina de Estadística del Canadá, “Canadian residential facilities for victims of abuse, 2022/2023”, 2024.</w:t>
      </w:r>
    </w:p>
  </w:footnote>
  <w:footnote w:id="13">
    <w:p w14:paraId="36695401" w14:textId="77777777" w:rsidR="005F782F" w:rsidRPr="005F782F" w:rsidRDefault="005F782F" w:rsidP="005F782F">
      <w:pPr>
        <w:pStyle w:val="Textonotapie"/>
      </w:pPr>
      <w:r w:rsidRPr="005F782F">
        <w:tab/>
      </w:r>
      <w:r w:rsidRPr="005F782F">
        <w:rPr>
          <w:rStyle w:val="Refdenotaalpie"/>
        </w:rPr>
        <w:footnoteRef/>
      </w:r>
      <w:r w:rsidRPr="005F782F">
        <w:tab/>
      </w:r>
      <w:r w:rsidRPr="005F782F">
        <w:rPr>
          <w:i/>
          <w:iCs/>
        </w:rPr>
        <w:t>Brar v. Canada</w:t>
      </w:r>
      <w:r w:rsidRPr="005F782F">
        <w:t>, 2022 FC 1168 (actualmente en apelación).</w:t>
      </w:r>
    </w:p>
  </w:footnote>
  <w:footnote w:id="14">
    <w:p w14:paraId="01C880C2" w14:textId="4BFF5058" w:rsidR="005F782F" w:rsidRPr="005F782F" w:rsidRDefault="005F782F" w:rsidP="005F782F">
      <w:pPr>
        <w:pStyle w:val="Textonotapie"/>
      </w:pPr>
      <w:r w:rsidRPr="005F782F">
        <w:rPr>
          <w:szCs w:val="18"/>
        </w:rPr>
        <w:tab/>
      </w:r>
      <w:r w:rsidRPr="005F782F">
        <w:rPr>
          <w:rStyle w:val="Refdenotaalpie"/>
        </w:rPr>
        <w:footnoteRef/>
      </w:r>
      <w:r w:rsidRPr="005F782F">
        <w:tab/>
        <w:t xml:space="preserve">Véase </w:t>
      </w:r>
      <w:hyperlink r:id="rId4" w:history="1">
        <w:r w:rsidR="00222472" w:rsidRPr="00A83970">
          <w:rPr>
            <w:rStyle w:val="Hipervnculo"/>
          </w:rPr>
          <w:t>https://mmiwg2splus-nationalactionplan.ca/eng/1670511213459/1670511226843</w:t>
        </w:r>
      </w:hyperlink>
      <w:r w:rsidRPr="005F782F">
        <w:t>.</w:t>
      </w:r>
    </w:p>
  </w:footnote>
  <w:footnote w:id="15">
    <w:p w14:paraId="04005684" w14:textId="1CBA1F81" w:rsidR="005F782F" w:rsidRPr="005F782F" w:rsidRDefault="005F782F" w:rsidP="005F782F">
      <w:pPr>
        <w:pStyle w:val="Textonotapie"/>
      </w:pPr>
      <w:r w:rsidRPr="005F782F">
        <w:rPr>
          <w:szCs w:val="18"/>
        </w:rPr>
        <w:tab/>
      </w:r>
      <w:r w:rsidRPr="005F782F">
        <w:rPr>
          <w:rStyle w:val="Refdenotaalpie"/>
        </w:rPr>
        <w:footnoteRef/>
      </w:r>
      <w:r w:rsidRPr="005F782F">
        <w:tab/>
        <w:t xml:space="preserve">Véase </w:t>
      </w:r>
      <w:hyperlink r:id="rId5" w:history="1">
        <w:r w:rsidR="00222472" w:rsidRPr="00A83970">
          <w:rPr>
            <w:rStyle w:val="Hipervnculo"/>
          </w:rPr>
          <w:t>https://www.rcaanc-cirnac.gc.ca/eng/1622233286270/1622233321912</w:t>
        </w:r>
      </w:hyperlink>
      <w:r w:rsidRPr="005F782F">
        <w:t>.</w:t>
      </w:r>
    </w:p>
  </w:footnote>
  <w:footnote w:id="16">
    <w:p w14:paraId="1C03B6BC" w14:textId="62AB3853" w:rsidR="005F782F" w:rsidRPr="005F782F" w:rsidRDefault="005F782F" w:rsidP="005F782F">
      <w:pPr>
        <w:pStyle w:val="Textonotapie"/>
      </w:pPr>
      <w:r w:rsidRPr="005F782F">
        <w:tab/>
      </w:r>
      <w:r w:rsidRPr="005F782F">
        <w:rPr>
          <w:rStyle w:val="Refdenotaalpie"/>
        </w:rPr>
        <w:footnoteRef/>
      </w:r>
      <w:r w:rsidRPr="005F782F">
        <w:tab/>
        <w:t xml:space="preserve">Oficina de Estadística del Canadá, “Table 35-10-0156-01 Number, percentage and rate of homicide victims, by gender and Indigenous identity”, 2023, en línea en la dirección </w:t>
      </w:r>
      <w:hyperlink r:id="rId6" w:history="1">
        <w:r w:rsidR="00222472" w:rsidRPr="00A83970">
          <w:rPr>
            <w:rStyle w:val="Hipervnculo"/>
          </w:rPr>
          <w:t>https://www150.statcan.gc.ca/t1/tbl1/en/tv.action?pid=3510015601</w:t>
        </w:r>
      </w:hyperlink>
      <w:r w:rsidRPr="005F782F">
        <w:t>.</w:t>
      </w:r>
    </w:p>
  </w:footnote>
  <w:footnote w:id="17">
    <w:p w14:paraId="55861E48" w14:textId="21724FC9" w:rsidR="005F782F" w:rsidRPr="005F782F" w:rsidRDefault="005F782F" w:rsidP="005F782F">
      <w:pPr>
        <w:pStyle w:val="Textonotapie"/>
      </w:pPr>
      <w:r w:rsidRPr="005F782F">
        <w:rPr>
          <w:i/>
          <w:iCs/>
          <w:szCs w:val="18"/>
        </w:rPr>
        <w:tab/>
      </w:r>
      <w:r w:rsidRPr="005F782F">
        <w:rPr>
          <w:rStyle w:val="Refdenotaalpie"/>
        </w:rPr>
        <w:footnoteRef/>
      </w:r>
      <w:r w:rsidRPr="005F782F">
        <w:tab/>
      </w:r>
      <w:r w:rsidRPr="005F782F">
        <w:rPr>
          <w:i/>
          <w:iCs/>
        </w:rPr>
        <w:t>Ibid</w:t>
      </w:r>
      <w:r w:rsidRPr="005F782F">
        <w:t>; véase también Oficina de Estadística del Canadá, “Table 35-10-0119-01 Number and rate of victims of solved homicides, by gender, Indigenous identity and type of accused-victim relationship”, 2023.</w:t>
      </w:r>
    </w:p>
  </w:footnote>
  <w:footnote w:id="18">
    <w:p w14:paraId="15449281" w14:textId="6969FB12" w:rsidR="005F782F" w:rsidRPr="005F782F" w:rsidRDefault="005F782F" w:rsidP="005F782F">
      <w:pPr>
        <w:pStyle w:val="Textonotapie"/>
      </w:pPr>
      <w:r w:rsidRPr="005F782F">
        <w:rPr>
          <w:szCs w:val="18"/>
        </w:rPr>
        <w:tab/>
      </w:r>
      <w:r w:rsidRPr="005F782F">
        <w:rPr>
          <w:rStyle w:val="Refdenotaalpie"/>
        </w:rPr>
        <w:footnoteRef/>
      </w:r>
      <w:r w:rsidRPr="005F782F">
        <w:tab/>
        <w:t xml:space="preserve">Véase </w:t>
      </w:r>
      <w:hyperlink r:id="rId7" w:anchor="s8" w:history="1">
        <w:r w:rsidR="00222472" w:rsidRPr="00A83970">
          <w:rPr>
            <w:rStyle w:val="Hipervnculo"/>
          </w:rPr>
          <w:t>www.cbsa-asfc.gc.ca/security-securite/detent/menu-eng.html#s8</w:t>
        </w:r>
      </w:hyperlink>
      <w:r w:rsidRPr="005F782F">
        <w:t>.</w:t>
      </w:r>
      <w:r w:rsidR="00222472">
        <w:t xml:space="preserve"> </w:t>
      </w:r>
    </w:p>
  </w:footnote>
  <w:footnote w:id="19">
    <w:p w14:paraId="02B50EAC" w14:textId="21D1C113" w:rsidR="005F782F" w:rsidRPr="005F782F" w:rsidRDefault="005F782F" w:rsidP="005F782F">
      <w:pPr>
        <w:pStyle w:val="Textonotapie"/>
      </w:pPr>
      <w:r w:rsidRPr="005F782F">
        <w:rPr>
          <w:szCs w:val="18"/>
        </w:rPr>
        <w:tab/>
      </w:r>
      <w:r w:rsidRPr="005F782F">
        <w:rPr>
          <w:rStyle w:val="Refdenotaalpie"/>
        </w:rPr>
        <w:footnoteRef/>
      </w:r>
      <w:r w:rsidRPr="005F782F">
        <w:tab/>
        <w:t xml:space="preserve">Véase </w:t>
      </w:r>
      <w:hyperlink r:id="rId8" w:history="1">
        <w:r w:rsidR="00222472" w:rsidRPr="00A83970">
          <w:rPr>
            <w:rStyle w:val="Hipervnculo"/>
          </w:rPr>
          <w:t>www.cbsa-asfc.gc.ca/security-securite/detent/idmp-pscd-19-20-eng.html</w:t>
        </w:r>
      </w:hyperlink>
      <w:r w:rsidRPr="005F782F">
        <w:t>.</w:t>
      </w:r>
      <w:r w:rsidR="00222472">
        <w:t xml:space="preserve"> </w:t>
      </w:r>
    </w:p>
  </w:footnote>
  <w:footnote w:id="20">
    <w:p w14:paraId="77008B9C" w14:textId="06E8C016" w:rsidR="005F782F" w:rsidRPr="005F782F" w:rsidRDefault="005F782F" w:rsidP="005F782F">
      <w:pPr>
        <w:pStyle w:val="Textonotapie"/>
      </w:pPr>
      <w:r w:rsidRPr="005F782F">
        <w:rPr>
          <w:szCs w:val="18"/>
        </w:rPr>
        <w:tab/>
      </w:r>
      <w:r w:rsidRPr="005F782F">
        <w:rPr>
          <w:rStyle w:val="Refdenotaalpie"/>
        </w:rPr>
        <w:footnoteRef/>
      </w:r>
      <w:r w:rsidRPr="005F782F">
        <w:tab/>
        <w:t xml:space="preserve">Véase </w:t>
      </w:r>
      <w:hyperlink r:id="rId9" w:history="1">
        <w:r w:rsidR="00222472" w:rsidRPr="00A83970">
          <w:rPr>
            <w:rStyle w:val="Hipervnculo"/>
          </w:rPr>
          <w:t>www.cbsa-asfc.gc.ca/publications/pub/bsf5012-eng.html</w:t>
        </w:r>
      </w:hyperlink>
      <w:r w:rsidRPr="005F782F">
        <w:t>.</w:t>
      </w:r>
      <w:r w:rsidR="00222472">
        <w:t xml:space="preserve"> </w:t>
      </w:r>
    </w:p>
  </w:footnote>
  <w:footnote w:id="21">
    <w:p w14:paraId="6AF8E98A" w14:textId="47EA91C1" w:rsidR="005F782F" w:rsidRPr="005F782F" w:rsidRDefault="005F782F" w:rsidP="005F782F">
      <w:pPr>
        <w:pStyle w:val="Textonotapie"/>
      </w:pPr>
      <w:r w:rsidRPr="005F782F">
        <w:rPr>
          <w:szCs w:val="18"/>
        </w:rPr>
        <w:tab/>
      </w:r>
      <w:r w:rsidRPr="005F782F">
        <w:rPr>
          <w:rStyle w:val="Refdenotaalpie"/>
        </w:rPr>
        <w:footnoteRef/>
      </w:r>
      <w:r w:rsidRPr="005F782F">
        <w:tab/>
      </w:r>
      <w:r w:rsidR="00423806" w:rsidRPr="005F782F">
        <w:t xml:space="preserve">Véase </w:t>
      </w:r>
      <w:hyperlink r:id="rId10" w:history="1">
        <w:r w:rsidR="00423806" w:rsidRPr="00A83970">
          <w:rPr>
            <w:rStyle w:val="Hipervnculo"/>
          </w:rPr>
          <w:t>www.canada.ca/en/immigration-refugees-citizenship/corporate/publications-manuals/operational-bulletins-manuals/refugee-protection/removal-risk-assessment/applications-intake.html</w:t>
        </w:r>
      </w:hyperlink>
      <w:r w:rsidR="00423806" w:rsidRPr="005F782F">
        <w:t>.</w:t>
      </w:r>
    </w:p>
  </w:footnote>
  <w:footnote w:id="22">
    <w:p w14:paraId="6A244C71" w14:textId="0CE67474" w:rsidR="005F782F" w:rsidRPr="005F782F" w:rsidRDefault="005F782F" w:rsidP="005F782F">
      <w:pPr>
        <w:pStyle w:val="Textonotapie"/>
      </w:pPr>
      <w:r w:rsidRPr="005F782F">
        <w:rPr>
          <w:szCs w:val="18"/>
        </w:rPr>
        <w:tab/>
      </w:r>
      <w:r w:rsidRPr="005F782F">
        <w:rPr>
          <w:rStyle w:val="Refdenotaalpie"/>
        </w:rPr>
        <w:footnoteRef/>
      </w:r>
      <w:r w:rsidRPr="005F782F">
        <w:tab/>
      </w:r>
      <w:r w:rsidR="00423806" w:rsidRPr="005F782F">
        <w:t xml:space="preserve">Véase: </w:t>
      </w:r>
      <w:hyperlink r:id="rId11" w:history="1">
        <w:r w:rsidR="00423806" w:rsidRPr="00A83970">
          <w:rPr>
            <w:rStyle w:val="Hipervnculo"/>
          </w:rPr>
          <w:t>www.canada.ca/en/immigration-refugees-citizenship/corporate/publications-manuals/operational-bulletins-manuals/permanent-residence/humanitarian-compassionate-consideration.html</w:t>
        </w:r>
      </w:hyperlink>
      <w:r w:rsidR="00423806">
        <w:t xml:space="preserve"> </w:t>
      </w:r>
      <w:r w:rsidR="00423806" w:rsidRPr="005F782F">
        <w:t xml:space="preserve">y </w:t>
      </w:r>
      <w:hyperlink r:id="rId12" w:history="1">
        <w:r w:rsidR="00423806" w:rsidRPr="00A83970">
          <w:rPr>
            <w:rStyle w:val="Hipervnculo"/>
          </w:rPr>
          <w:t>https://www.canada.ca/en/immigration-refugees-citizenship/corporate/publications-manuals/operational-bulletins-manuals/permanent-residence/humanitarian-compassionate-consideration/processing/stateless.html</w:t>
        </w:r>
      </w:hyperlink>
      <w:r w:rsidR="00423806" w:rsidRPr="005F782F">
        <w:t>.</w:t>
      </w:r>
    </w:p>
  </w:footnote>
  <w:footnote w:id="23">
    <w:p w14:paraId="0D9567E4" w14:textId="3B228BCD" w:rsidR="005F782F" w:rsidRPr="005F782F" w:rsidRDefault="005F782F" w:rsidP="005F782F">
      <w:pPr>
        <w:pStyle w:val="Textonotapie"/>
      </w:pPr>
      <w:r w:rsidRPr="005F782F">
        <w:rPr>
          <w:szCs w:val="18"/>
        </w:rPr>
        <w:tab/>
      </w:r>
      <w:r w:rsidRPr="005F782F">
        <w:rPr>
          <w:rStyle w:val="Refdenotaalpie"/>
        </w:rPr>
        <w:footnoteRef/>
      </w:r>
      <w:r w:rsidRPr="005F782F">
        <w:tab/>
        <w:t xml:space="preserve">Véase </w:t>
      </w:r>
      <w:hyperlink r:id="rId13" w:history="1">
        <w:r w:rsidR="00222472" w:rsidRPr="00A83970">
          <w:rPr>
            <w:rStyle w:val="Hipervnculo"/>
          </w:rPr>
          <w:t>www.unhcr.org/ibelong/global-action-plan-2014-2024/</w:t>
        </w:r>
      </w:hyperlink>
      <w:r w:rsidRPr="005F782F">
        <w:t>.</w:t>
      </w:r>
    </w:p>
  </w:footnote>
  <w:footnote w:id="24">
    <w:p w14:paraId="37BF4B54" w14:textId="40B80987" w:rsidR="005F782F" w:rsidRPr="005F782F" w:rsidRDefault="005F782F" w:rsidP="005F782F">
      <w:pPr>
        <w:pStyle w:val="Textonotapie"/>
      </w:pPr>
      <w:r w:rsidRPr="005F782F">
        <w:rPr>
          <w:szCs w:val="18"/>
        </w:rPr>
        <w:tab/>
      </w:r>
      <w:r w:rsidRPr="005F782F">
        <w:rPr>
          <w:rStyle w:val="Refdenotaalpie"/>
        </w:rPr>
        <w:footnoteRef/>
      </w:r>
      <w:r w:rsidRPr="005F782F">
        <w:tab/>
        <w:t xml:space="preserve">Véase </w:t>
      </w:r>
      <w:hyperlink r:id="rId14" w:history="1">
        <w:r w:rsidR="00222472" w:rsidRPr="00A83970">
          <w:rPr>
            <w:rStyle w:val="Hipervnculo"/>
          </w:rPr>
          <w:t>https://spcommreports.ohchr.org/TMResultsBase/DownLoadFile?gId=35380</w:t>
        </w:r>
      </w:hyperlink>
      <w:r w:rsidRPr="005F782F">
        <w:t>.</w:t>
      </w:r>
    </w:p>
  </w:footnote>
  <w:footnote w:id="25">
    <w:p w14:paraId="40B9A384" w14:textId="7231C3DC" w:rsidR="005F782F" w:rsidRPr="005F782F" w:rsidRDefault="005F782F" w:rsidP="005F782F">
      <w:pPr>
        <w:pStyle w:val="Textonotapie"/>
      </w:pPr>
      <w:r w:rsidRPr="005F782F">
        <w:rPr>
          <w:szCs w:val="18"/>
        </w:rPr>
        <w:tab/>
      </w:r>
      <w:r w:rsidRPr="005F782F">
        <w:rPr>
          <w:rStyle w:val="Refdenotaalpie"/>
        </w:rPr>
        <w:footnoteRef/>
      </w:r>
      <w:r w:rsidRPr="005F782F">
        <w:tab/>
        <w:t xml:space="preserve">Véase </w:t>
      </w:r>
      <w:hyperlink r:id="rId15" w:history="1">
        <w:r w:rsidR="00222472" w:rsidRPr="00A83970">
          <w:rPr>
            <w:rStyle w:val="Hipervnculo"/>
          </w:rPr>
          <w:t>www.canada.ca/en/indigenous-services-canada/news/2023/04/revised-settlement-agreement-of-23b-reached-to-compensate-first-nations-children-and-families.html</w:t>
        </w:r>
      </w:hyperlink>
      <w:r w:rsidRPr="005F782F">
        <w:t>.</w:t>
      </w:r>
    </w:p>
  </w:footnote>
  <w:footnote w:id="26">
    <w:p w14:paraId="2CC2DC2A" w14:textId="77777777" w:rsidR="005F782F" w:rsidRPr="005F782F" w:rsidRDefault="005F782F" w:rsidP="005F782F">
      <w:pPr>
        <w:pStyle w:val="Textonotapie"/>
      </w:pPr>
      <w:r w:rsidRPr="005F782F">
        <w:rPr>
          <w:szCs w:val="18"/>
        </w:rPr>
        <w:tab/>
      </w:r>
      <w:r w:rsidRPr="005F782F">
        <w:rPr>
          <w:rStyle w:val="Refdenotaalpie"/>
        </w:rPr>
        <w:footnoteRef/>
      </w:r>
      <w:r w:rsidRPr="005F782F">
        <w:tab/>
        <w:t>Véase CRC/C/CAN/5-6. Véase también el párrafo 29 de la respuesta del Canadá a una lista de cuestiones de dicho Comité (abril de 2022), CRC/C/CAN/RQ/5-6.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89D6C" w14:textId="16A181AF" w:rsidR="005F782F" w:rsidRPr="005F782F" w:rsidRDefault="005F782F">
    <w:pPr>
      <w:pStyle w:val="Encabezado"/>
    </w:pPr>
    <w:fldSimple w:instr=" TITLE  \* MERGEFORMAT ">
      <w:r w:rsidR="00E44B77">
        <w:t>CCPR/C/CAN/7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0CF74" w14:textId="0220E73B" w:rsidR="005F782F" w:rsidRPr="005F782F" w:rsidRDefault="005F782F" w:rsidP="005F782F">
    <w:pPr>
      <w:pStyle w:val="Encabezado"/>
      <w:jc w:val="right"/>
    </w:pPr>
    <w:fldSimple w:instr=" TITLE  \* MERGEFORMAT ">
      <w:r w:rsidR="00E44B77">
        <w:t>CCPR/C/CAN/7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17876002">
    <w:abstractNumId w:val="14"/>
  </w:num>
  <w:num w:numId="2" w16cid:durableId="1890653737">
    <w:abstractNumId w:val="11"/>
  </w:num>
  <w:num w:numId="3" w16cid:durableId="1230308328">
    <w:abstractNumId w:val="16"/>
  </w:num>
  <w:num w:numId="4" w16cid:durableId="1082095750">
    <w:abstractNumId w:val="15"/>
  </w:num>
  <w:num w:numId="5" w16cid:durableId="1955667147">
    <w:abstractNumId w:val="13"/>
  </w:num>
  <w:num w:numId="6" w16cid:durableId="916786746">
    <w:abstractNumId w:val="8"/>
  </w:num>
  <w:num w:numId="7" w16cid:durableId="366873282">
    <w:abstractNumId w:val="3"/>
  </w:num>
  <w:num w:numId="8" w16cid:durableId="423188063">
    <w:abstractNumId w:val="2"/>
  </w:num>
  <w:num w:numId="9" w16cid:durableId="656035823">
    <w:abstractNumId w:val="1"/>
  </w:num>
  <w:num w:numId="10" w16cid:durableId="840701323">
    <w:abstractNumId w:val="0"/>
  </w:num>
  <w:num w:numId="11" w16cid:durableId="18750614">
    <w:abstractNumId w:val="9"/>
  </w:num>
  <w:num w:numId="12" w16cid:durableId="251471370">
    <w:abstractNumId w:val="7"/>
  </w:num>
  <w:num w:numId="13" w16cid:durableId="1214076030">
    <w:abstractNumId w:val="6"/>
  </w:num>
  <w:num w:numId="14" w16cid:durableId="113906778">
    <w:abstractNumId w:val="5"/>
  </w:num>
  <w:num w:numId="15" w16cid:durableId="1013386600">
    <w:abstractNumId w:val="4"/>
  </w:num>
  <w:num w:numId="16" w16cid:durableId="1073090092">
    <w:abstractNumId w:val="10"/>
  </w:num>
  <w:num w:numId="17" w16cid:durableId="861868842">
    <w:abstractNumId w:val="14"/>
  </w:num>
  <w:num w:numId="18" w16cid:durableId="10225577">
    <w:abstractNumId w:val="11"/>
  </w:num>
  <w:num w:numId="19" w16cid:durableId="1861503237">
    <w:abstractNumId w:val="10"/>
  </w:num>
  <w:num w:numId="20" w16cid:durableId="497887161">
    <w:abstractNumId w:val="16"/>
  </w:num>
  <w:num w:numId="21" w16cid:durableId="176966467">
    <w:abstractNumId w:val="15"/>
  </w:num>
  <w:num w:numId="22" w16cid:durableId="383875665">
    <w:abstractNumId w:val="12"/>
  </w:num>
  <w:num w:numId="23" w16cid:durableId="560988346">
    <w:abstractNumId w:val="12"/>
  </w:num>
  <w:num w:numId="24" w16cid:durableId="1730496147">
    <w:abstractNumId w:val="13"/>
  </w:num>
  <w:num w:numId="25" w16cid:durableId="16931346">
    <w:abstractNumId w:val="9"/>
  </w:num>
  <w:num w:numId="26" w16cid:durableId="1249269847">
    <w:abstractNumId w:val="7"/>
  </w:num>
  <w:num w:numId="27" w16cid:durableId="1001471887">
    <w:abstractNumId w:val="6"/>
  </w:num>
  <w:num w:numId="28" w16cid:durableId="743917405">
    <w:abstractNumId w:val="5"/>
  </w:num>
  <w:num w:numId="29" w16cid:durableId="110176422">
    <w:abstractNumId w:val="4"/>
  </w:num>
  <w:num w:numId="30" w16cid:durableId="1735005847">
    <w:abstractNumId w:val="8"/>
  </w:num>
  <w:num w:numId="31" w16cid:durableId="16976304">
    <w:abstractNumId w:val="3"/>
  </w:num>
  <w:num w:numId="32" w16cid:durableId="1922905229">
    <w:abstractNumId w:val="2"/>
  </w:num>
  <w:num w:numId="33" w16cid:durableId="713310521">
    <w:abstractNumId w:val="1"/>
  </w:num>
  <w:num w:numId="34" w16cid:durableId="19395603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0D3"/>
    <w:rsid w:val="00006BB9"/>
    <w:rsid w:val="0005274F"/>
    <w:rsid w:val="0009777C"/>
    <w:rsid w:val="000A36A2"/>
    <w:rsid w:val="000B4316"/>
    <w:rsid w:val="000B57E7"/>
    <w:rsid w:val="000D43A4"/>
    <w:rsid w:val="000F09DF"/>
    <w:rsid w:val="000F61B2"/>
    <w:rsid w:val="001075E9"/>
    <w:rsid w:val="00142471"/>
    <w:rsid w:val="001461D9"/>
    <w:rsid w:val="00160FF7"/>
    <w:rsid w:val="00164B4F"/>
    <w:rsid w:val="00180183"/>
    <w:rsid w:val="00196389"/>
    <w:rsid w:val="001A1F00"/>
    <w:rsid w:val="001C7A89"/>
    <w:rsid w:val="001E4064"/>
    <w:rsid w:val="002060D3"/>
    <w:rsid w:val="00222472"/>
    <w:rsid w:val="0022765D"/>
    <w:rsid w:val="002A061F"/>
    <w:rsid w:val="002A2EFC"/>
    <w:rsid w:val="002A6FA7"/>
    <w:rsid w:val="002B07BD"/>
    <w:rsid w:val="002C0E18"/>
    <w:rsid w:val="002C33BB"/>
    <w:rsid w:val="002C49CA"/>
    <w:rsid w:val="002D30BC"/>
    <w:rsid w:val="002D57A4"/>
    <w:rsid w:val="002D5AAC"/>
    <w:rsid w:val="002D7C8D"/>
    <w:rsid w:val="002E092A"/>
    <w:rsid w:val="002F13FE"/>
    <w:rsid w:val="00301299"/>
    <w:rsid w:val="00322004"/>
    <w:rsid w:val="003402C2"/>
    <w:rsid w:val="003555E4"/>
    <w:rsid w:val="0036261E"/>
    <w:rsid w:val="00381C24"/>
    <w:rsid w:val="00383C24"/>
    <w:rsid w:val="003958D0"/>
    <w:rsid w:val="003C02C3"/>
    <w:rsid w:val="003E1F6E"/>
    <w:rsid w:val="004039A7"/>
    <w:rsid w:val="00411A36"/>
    <w:rsid w:val="00417FB1"/>
    <w:rsid w:val="00421224"/>
    <w:rsid w:val="00423806"/>
    <w:rsid w:val="00434FD7"/>
    <w:rsid w:val="00454E07"/>
    <w:rsid w:val="00455D25"/>
    <w:rsid w:val="004744DF"/>
    <w:rsid w:val="004875CF"/>
    <w:rsid w:val="004B2881"/>
    <w:rsid w:val="004E4B46"/>
    <w:rsid w:val="0050108D"/>
    <w:rsid w:val="0050487C"/>
    <w:rsid w:val="0052174C"/>
    <w:rsid w:val="00553B9A"/>
    <w:rsid w:val="0056787C"/>
    <w:rsid w:val="00572E19"/>
    <w:rsid w:val="00575BAF"/>
    <w:rsid w:val="005B3E01"/>
    <w:rsid w:val="005C08E5"/>
    <w:rsid w:val="005D2D87"/>
    <w:rsid w:val="005F0B42"/>
    <w:rsid w:val="005F41B0"/>
    <w:rsid w:val="005F782F"/>
    <w:rsid w:val="00614642"/>
    <w:rsid w:val="00655A21"/>
    <w:rsid w:val="00660CE8"/>
    <w:rsid w:val="006808A9"/>
    <w:rsid w:val="006814F0"/>
    <w:rsid w:val="006A3FF1"/>
    <w:rsid w:val="006F35EE"/>
    <w:rsid w:val="007021FF"/>
    <w:rsid w:val="007076CB"/>
    <w:rsid w:val="00721764"/>
    <w:rsid w:val="00764158"/>
    <w:rsid w:val="007967DF"/>
    <w:rsid w:val="007A0D9C"/>
    <w:rsid w:val="007C048C"/>
    <w:rsid w:val="007D0C9B"/>
    <w:rsid w:val="00834B71"/>
    <w:rsid w:val="0086445C"/>
    <w:rsid w:val="008873B6"/>
    <w:rsid w:val="00887BA6"/>
    <w:rsid w:val="008A08D7"/>
    <w:rsid w:val="008A13F9"/>
    <w:rsid w:val="008A2DA6"/>
    <w:rsid w:val="008A30F0"/>
    <w:rsid w:val="008D5DB6"/>
    <w:rsid w:val="00906890"/>
    <w:rsid w:val="00916396"/>
    <w:rsid w:val="0093343C"/>
    <w:rsid w:val="00951972"/>
    <w:rsid w:val="00963777"/>
    <w:rsid w:val="0098621F"/>
    <w:rsid w:val="009946B1"/>
    <w:rsid w:val="009B452A"/>
    <w:rsid w:val="009B4E5E"/>
    <w:rsid w:val="009C3575"/>
    <w:rsid w:val="009C6160"/>
    <w:rsid w:val="00A17DFD"/>
    <w:rsid w:val="00A43506"/>
    <w:rsid w:val="00A81257"/>
    <w:rsid w:val="00A8356C"/>
    <w:rsid w:val="00A917B3"/>
    <w:rsid w:val="00A96FAC"/>
    <w:rsid w:val="00AB4B51"/>
    <w:rsid w:val="00AE0E02"/>
    <w:rsid w:val="00AE4CC4"/>
    <w:rsid w:val="00B0763A"/>
    <w:rsid w:val="00B10CC7"/>
    <w:rsid w:val="00B12FD7"/>
    <w:rsid w:val="00B511D3"/>
    <w:rsid w:val="00B62458"/>
    <w:rsid w:val="00BA07DF"/>
    <w:rsid w:val="00BB3D0C"/>
    <w:rsid w:val="00BD33EE"/>
    <w:rsid w:val="00C0169B"/>
    <w:rsid w:val="00C03C92"/>
    <w:rsid w:val="00C2215B"/>
    <w:rsid w:val="00C27ECE"/>
    <w:rsid w:val="00C33381"/>
    <w:rsid w:val="00C56FC7"/>
    <w:rsid w:val="00C60F0C"/>
    <w:rsid w:val="00C66AA2"/>
    <w:rsid w:val="00C76505"/>
    <w:rsid w:val="00C805C9"/>
    <w:rsid w:val="00C84AFF"/>
    <w:rsid w:val="00C90E02"/>
    <w:rsid w:val="00CA1679"/>
    <w:rsid w:val="00CA1E36"/>
    <w:rsid w:val="00CC0B02"/>
    <w:rsid w:val="00D31CEA"/>
    <w:rsid w:val="00D36C62"/>
    <w:rsid w:val="00D45BBF"/>
    <w:rsid w:val="00D5042C"/>
    <w:rsid w:val="00D809C0"/>
    <w:rsid w:val="00D80BBB"/>
    <w:rsid w:val="00D90138"/>
    <w:rsid w:val="00D94448"/>
    <w:rsid w:val="00DE44AD"/>
    <w:rsid w:val="00E34B50"/>
    <w:rsid w:val="00E44B77"/>
    <w:rsid w:val="00E73F76"/>
    <w:rsid w:val="00E771AC"/>
    <w:rsid w:val="00EA164F"/>
    <w:rsid w:val="00EE0F0B"/>
    <w:rsid w:val="00EF1360"/>
    <w:rsid w:val="00EF3220"/>
    <w:rsid w:val="00F011B9"/>
    <w:rsid w:val="00F079E0"/>
    <w:rsid w:val="00F37024"/>
    <w:rsid w:val="00F44B33"/>
    <w:rsid w:val="00F638DE"/>
    <w:rsid w:val="00F94155"/>
    <w:rsid w:val="00F959C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380A3"/>
  <w15:docId w15:val="{2A7C0810-AAAA-4968-869A-00EE10059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cbsa-asfc.gc.ca/security-securite/detent/idmp-pscd-19-20-eng.html" TargetMode="External"/><Relationship Id="rId13" Type="http://schemas.openxmlformats.org/officeDocument/2006/relationships/hyperlink" Target="http://www.unhcr.org/ibelong/global-action-plan-2014-2024/" TargetMode="External"/><Relationship Id="rId3" Type="http://schemas.openxmlformats.org/officeDocument/2006/relationships/hyperlink" Target="https://www.canada.ca/en/women-gender-equality/gender-based-violence/intergovernmental-collaboration/national-action-plan-end-gender-based-violence.html" TargetMode="External"/><Relationship Id="rId7" Type="http://schemas.openxmlformats.org/officeDocument/2006/relationships/hyperlink" Target="http://www.cbsa-asfc.gc.ca/security-securite/detent/menu-eng.html" TargetMode="External"/><Relationship Id="rId12" Type="http://schemas.openxmlformats.org/officeDocument/2006/relationships/hyperlink" Target="https://www.canada.ca/en/immigration-refugees-citizenship/corporate/publications-manuals/operational-bulletins-manuals/permanent-residence/humanitarian-compassionate-consideration/processing/stateless.html" TargetMode="External"/><Relationship Id="rId2" Type="http://schemas.openxmlformats.org/officeDocument/2006/relationships/hyperlink" Target="https://osi-bis.ca/wp-content/uploads/2023/06/OSI_InterimReport_June-2023_WEB.pdf" TargetMode="External"/><Relationship Id="rId1" Type="http://schemas.openxmlformats.org/officeDocument/2006/relationships/hyperlink" Target="https://publicorderemergencycommission.ca/" TargetMode="External"/><Relationship Id="rId6" Type="http://schemas.openxmlformats.org/officeDocument/2006/relationships/hyperlink" Target="https://www150.statcan.gc.ca/t1/tbl1/en/tv.action?pid=3510015601" TargetMode="External"/><Relationship Id="rId11" Type="http://schemas.openxmlformats.org/officeDocument/2006/relationships/hyperlink" Target="http://www.canada.ca/en/immigration-refugees-citizenship/corporate/publications-manuals/operational-bulletins-manuals/permanent-residence/humanitarian-compassionate-consideration.html" TargetMode="External"/><Relationship Id="rId5" Type="http://schemas.openxmlformats.org/officeDocument/2006/relationships/hyperlink" Target="https://www.rcaanc-cirnac.gc.ca/eng/1622233286270/1622233321912" TargetMode="External"/><Relationship Id="rId15" Type="http://schemas.openxmlformats.org/officeDocument/2006/relationships/hyperlink" Target="http://www.canada.ca/en/indigenous-services-canada/news/2023/04/revised-settlement-agreement-of-23b-reached-to-compensate-first-nations-children-and-families.html" TargetMode="External"/><Relationship Id="rId10" Type="http://schemas.openxmlformats.org/officeDocument/2006/relationships/hyperlink" Target="http://www.canada.ca/en/immigration-refugees-citizenship/corporate/publications-manuals/operational-bulletins-manuals/refugee-protection/removal-risk-assessment/applications-intake.html" TargetMode="External"/><Relationship Id="rId4" Type="http://schemas.openxmlformats.org/officeDocument/2006/relationships/hyperlink" Target="https://mmiwg2splus-nationalactionplan.ca/eng/1670511213459/1670511226843" TargetMode="External"/><Relationship Id="rId9" Type="http://schemas.openxmlformats.org/officeDocument/2006/relationships/hyperlink" Target="http://www.cbsa-asfc.gc.ca/publications/pub/bsf5012-eng.html" TargetMode="External"/><Relationship Id="rId14" Type="http://schemas.openxmlformats.org/officeDocument/2006/relationships/hyperlink" Target="https://spcommreports.ohchr.org/TMResultsBase/DownLoadFile?gId=3538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36</Pages>
  <Words>20228</Words>
  <Characters>115305</Characters>
  <Application>Microsoft Office Word</Application>
  <DocSecurity>0</DocSecurity>
  <Lines>960</Lines>
  <Paragraphs>270</Paragraphs>
  <ScaleCrop>false</ScaleCrop>
  <HeadingPairs>
    <vt:vector size="2" baseType="variant">
      <vt:variant>
        <vt:lpstr>Título</vt:lpstr>
      </vt:variant>
      <vt:variant>
        <vt:i4>1</vt:i4>
      </vt:variant>
    </vt:vector>
  </HeadingPairs>
  <TitlesOfParts>
    <vt:vector size="1" baseType="lpstr">
      <vt:lpstr>CCPR/C/CAN/7</vt:lpstr>
    </vt:vector>
  </TitlesOfParts>
  <Company/>
  <LinksUpToDate>false</LinksUpToDate>
  <CharactersWithSpaces>135263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CCPR/C/CAN/7</dc:title>
  <dc:subject/>
  <dc:creator>Marcel GONZALEZ-PEREZ</dc:creator>
  <cp:keywords/>
  <cp:lastModifiedBy>Marcel Gonzalez Perez</cp:lastModifiedBy>
  <cp:revision>3</cp:revision>
  <cp:lastPrinted>2025-07-22T12:15:00Z</cp:lastPrinted>
  <dcterms:created xsi:type="dcterms:W3CDTF">2025-07-22T12:15:00Z</dcterms:created>
  <dcterms:modified xsi:type="dcterms:W3CDTF">2025-07-22T12:16:00Z</dcterms:modified>
</cp:coreProperties>
</file>