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rPr>
          <w:lang/>
        </w:rPr>
        <w:t xml:space="preserve">Шестьдесят пятая </w:t>
      </w:r>
      <w:r>
        <w:t>сессия</w:t>
      </w:r>
    </w:p>
    <w:p w:rsidR="00000000" w:rsidRDefault="00000000"/>
    <w:p w:rsidR="00000000" w:rsidRDefault="00000000">
      <w:pPr>
        <w:pStyle w:val="H23"/>
      </w:pPr>
      <w:r>
        <w:t>Краткий отчет о 1737-м заседании,</w:t>
      </w:r>
    </w:p>
    <w:p w:rsidR="00000000" w:rsidRDefault="00000000">
      <w:r>
        <w:t>состоявшемся в Центральных учреждениях, Нью-Йорк, в пятницу, 26 марта 1999 года, в 10 час. 00 мин.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i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Медина Кирога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tabs>
          <w:tab w:val="left" w:pos="1247"/>
          <w:tab w:val="left" w:pos="1418"/>
        </w:tabs>
        <w:spacing w:after="120"/>
        <w:ind w:left="1411" w:hanging="1411"/>
      </w:pPr>
      <w:r>
        <w:tab/>
      </w:r>
      <w:r>
        <w:tab/>
        <w:t>Рассмотрение докладов, представленных государствами-участниками в соответс</w:t>
      </w:r>
      <w:r>
        <w:t>т</w:t>
      </w:r>
      <w:r>
        <w:t xml:space="preserve">вии </w:t>
      </w:r>
      <w:r>
        <w:rPr>
          <w:lang w:val="en-US"/>
        </w:rPr>
        <w:br/>
      </w:r>
      <w:r>
        <w:t>со статьей 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tabs>
          <w:tab w:val="left" w:pos="1247"/>
          <w:tab w:val="left" w:pos="1418"/>
        </w:tabs>
        <w:spacing w:after="120"/>
        <w:ind w:left="1411" w:hanging="1411"/>
        <w:rPr>
          <w:i/>
        </w:rPr>
      </w:pPr>
      <w:r>
        <w:rPr>
          <w:i/>
        </w:rPr>
        <w:tab/>
      </w:r>
      <w:r>
        <w:rPr>
          <w:i/>
        </w:rPr>
        <w:tab/>
        <w:t>Четвертый периодический доклад Канады</w:t>
      </w:r>
    </w:p>
    <w:p w:rsidR="00000000" w:rsidRDefault="00000000">
      <w:pPr>
        <w:pStyle w:val="Dual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10 час. 10 мин.</w:t>
      </w:r>
    </w:p>
    <w:p w:rsidR="00000000" w:rsidRDefault="00000000">
      <w:pPr>
        <w:pStyle w:val="DualTxt"/>
      </w:pPr>
      <w:r>
        <w:rPr>
          <w:b/>
        </w:rPr>
        <w:t>Рассмотрение докладов, представленных гос</w:t>
      </w:r>
      <w:r>
        <w:rPr>
          <w:b/>
        </w:rPr>
        <w:t>у</w:t>
      </w:r>
      <w:r>
        <w:rPr>
          <w:b/>
        </w:rPr>
        <w:t xml:space="preserve">дарствами-участниками в соответствии со статьей 40 </w:t>
      </w:r>
      <w:r>
        <w:rPr>
          <w:b/>
          <w:lang w:val="en-US"/>
        </w:rPr>
        <w:t>П</w:t>
      </w:r>
      <w:r>
        <w:rPr>
          <w:b/>
        </w:rPr>
        <w:t>а</w:t>
      </w:r>
      <w:r>
        <w:rPr>
          <w:b/>
        </w:rPr>
        <w:t>к</w:t>
      </w:r>
      <w:r>
        <w:rPr>
          <w:b/>
        </w:rPr>
        <w:t>та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DualTxt"/>
        <w:rPr>
          <w:i/>
        </w:rPr>
      </w:pPr>
      <w:r>
        <w:rPr>
          <w:i/>
        </w:rPr>
        <w:t xml:space="preserve">Четвертый периодический доклад Канады </w:t>
      </w:r>
      <w:r>
        <w:t>(CCRP/C/103/Add.5)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г-жа Бектон, г</w:t>
      </w:r>
      <w:r>
        <w:noBreakHyphen/>
        <w:t>н Делорье, г-жа Фрай, г-н Хайнс, г-н Терьен, г</w:t>
      </w:r>
      <w:r>
        <w:noBreakHyphen/>
        <w:t>н Тзаи и г-н Уоттс (Канада) занимают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Фрай</w:t>
      </w:r>
      <w:r>
        <w:t xml:space="preserve"> (Канада) говорит, что Канада представляет собой диверсифицированное общес</w:t>
      </w:r>
      <w:r>
        <w:t>т</w:t>
      </w:r>
      <w:r>
        <w:t>во, в котором существуют два официальных языка, имеется около 100 этнических групп и значительное число аборигенов. Канада является федерацией, с</w:t>
      </w:r>
      <w:r>
        <w:t>о</w:t>
      </w:r>
      <w:r>
        <w:t>стоящей из десяти провинций и двух территорий, и разделение полномочий субъектов федерации з</w:t>
      </w:r>
      <w:r>
        <w:t>а</w:t>
      </w:r>
      <w:r>
        <w:t>креплено в Конституции. В каждой администрати</w:t>
      </w:r>
      <w:r>
        <w:t>в</w:t>
      </w:r>
      <w:r>
        <w:t>ной единице действуют хартии или кодексы прав человека, которые применяются как к государс</w:t>
      </w:r>
      <w:r>
        <w:t>т</w:t>
      </w:r>
      <w:r>
        <w:t>венному, так и к частному сектору и обеспечивают эффективные юридические средства защиты жертв дискриминации, в то время как соглашения на ф</w:t>
      </w:r>
      <w:r>
        <w:t>е</w:t>
      </w:r>
      <w:r>
        <w:t>деральном и провинциальном уровнях формируют основу общей экономической и социальной стру</w:t>
      </w:r>
      <w:r>
        <w:t>к</w:t>
      </w:r>
      <w:r>
        <w:t>туры, призванной удовлетворять потребности д</w:t>
      </w:r>
      <w:r>
        <w:t>и</w:t>
      </w:r>
      <w:r>
        <w:t>намично развивающегося общества. Вместе с тем, поскольку законодательство не гарантирует реал</w:t>
      </w:r>
      <w:r>
        <w:t>и</w:t>
      </w:r>
      <w:r>
        <w:t>зацию гражданских и политических прав de facto, оно должно подкрепляться необходимой для их осуществления инфраструктурой, включающей г</w:t>
      </w:r>
      <w:r>
        <w:t>о</w:t>
      </w:r>
      <w:r>
        <w:t>сударственную политику и программы, партнерские отношения с гражданским обществом, неправ</w:t>
      </w:r>
      <w:r>
        <w:t>и</w:t>
      </w:r>
      <w:r>
        <w:t>тельственными организациями (НПО), частным сектором и учреждениями. Так, например, прин</w:t>
      </w:r>
      <w:r>
        <w:t>и</w:t>
      </w:r>
      <w:r>
        <w:t>маемые правительством меры по борьбе с престу</w:t>
      </w:r>
      <w:r>
        <w:t>п</w:t>
      </w:r>
      <w:r>
        <w:t>лениями, связанными с расовой нетерпимостью, включают создание Канадского фонда по пробл</w:t>
      </w:r>
      <w:r>
        <w:t>е</w:t>
      </w:r>
      <w:r>
        <w:t>мам расовых отношений, созыв национального "круглого стола" для разработки всеобъемлющей стратегии по данному вопросу, более качественную подготовку сотрудников полиции, просветительские кампании, поддержку действий общин и укрепл</w:t>
      </w:r>
      <w:r>
        <w:t>е</w:t>
      </w:r>
      <w:r>
        <w:t>ние законодательства в консультации с провинци</w:t>
      </w:r>
      <w:r>
        <w:t>я</w:t>
      </w:r>
      <w:r>
        <w:t>ми и территориями. Распространение информации с элементами расовой нетерпимости в сети Интернет стало проблемой, для разрешения которой потреб</w:t>
      </w:r>
      <w:r>
        <w:t>о</w:t>
      </w:r>
      <w:r>
        <w:t>вались творческие национальные и международные р</w:t>
      </w:r>
      <w:r>
        <w:t>е</w:t>
      </w:r>
      <w:r>
        <w:t>шения.</w:t>
      </w:r>
    </w:p>
    <w:p w:rsidR="00000000" w:rsidRDefault="00000000">
      <w:pPr>
        <w:pStyle w:val="DualTxt"/>
      </w:pPr>
      <w:r>
        <w:t>3.</w:t>
      </w:r>
      <w:r>
        <w:tab/>
        <w:t>Недавно правительство одобрило Национал</w:t>
      </w:r>
      <w:r>
        <w:t>ь</w:t>
      </w:r>
      <w:r>
        <w:t>ную стратегию в области безопасности общин и преду-преждения преступности, опирающуюся на постулат о том, что преступление можно предотвр</w:t>
      </w:r>
      <w:r>
        <w:t>а</w:t>
      </w:r>
      <w:r>
        <w:t>тить путем устранения лежащих в его основе пр</w:t>
      </w:r>
      <w:r>
        <w:t>и</w:t>
      </w:r>
      <w:r>
        <w:t>чин. В рамках этой стратегии осуществляется ф</w:t>
      </w:r>
      <w:r>
        <w:t>и</w:t>
      </w:r>
      <w:r>
        <w:t>нансирование партнерской деятельности в целях поиска местных решений, и во главу угла ставятся вопросы безопасности женщин, а также проблемы аборигенов и молодежи. Вопросы насилия в отн</w:t>
      </w:r>
      <w:r>
        <w:t>о</w:t>
      </w:r>
      <w:r>
        <w:t>шении женщин решаются путем ужесточения нак</w:t>
      </w:r>
      <w:r>
        <w:t>а</w:t>
      </w:r>
      <w:r>
        <w:t>заний за их преследование, усиления контроля за приобретением и ношением оружия, объявления к</w:t>
      </w:r>
      <w:r>
        <w:t>а</w:t>
      </w:r>
      <w:r>
        <w:t>лечащих операций на половых органах женщин преступлением по закону, наложения ограничений на использование медицинских отчетов в качестве доказательств против истцов в делах о сексуальном насилии и исключения состояния алкогольного оп</w:t>
      </w:r>
      <w:r>
        <w:t>ь</w:t>
      </w:r>
      <w:r>
        <w:t>янения из числа смягчающих обстоятельств в таких делах. Правительство выступило с новой инициат</w:t>
      </w:r>
      <w:r>
        <w:t>и</w:t>
      </w:r>
      <w:r>
        <w:t>вой, касающейся насилия в семье, и в настоящее время для культурных и этнических общин, в кот</w:t>
      </w:r>
      <w:r>
        <w:t>о</w:t>
      </w:r>
      <w:r>
        <w:t>рых проблемы насилия стоят особенно остро, ра</w:t>
      </w:r>
      <w:r>
        <w:t>з</w:t>
      </w:r>
      <w:r>
        <w:t>рабатываются программы, учитывающие их кул</w:t>
      </w:r>
      <w:r>
        <w:t>ь</w:t>
      </w:r>
      <w:r>
        <w:t>турные особенности.</w:t>
      </w:r>
    </w:p>
    <w:p w:rsidR="00000000" w:rsidRDefault="00000000">
      <w:pPr>
        <w:pStyle w:val="DualTxt"/>
        <w:rPr>
          <w:i/>
        </w:rPr>
      </w:pPr>
      <w:r>
        <w:rPr>
          <w:i/>
        </w:rPr>
        <w:t>Право на самоопределение и право лиц, принадл</w:t>
      </w:r>
      <w:r>
        <w:rPr>
          <w:i/>
        </w:rPr>
        <w:t>е</w:t>
      </w:r>
      <w:r>
        <w:rPr>
          <w:i/>
        </w:rPr>
        <w:t>жащих к меньшинствам (статьи 1 и 27 Пакта)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 1 и 27 Пакта: осуществление права коренных народов на самоопределение; результаты обращений в Верховный суд в связи с толкованием раздела 35 Конституции; обсуждение на федерал</w:t>
      </w:r>
      <w:r>
        <w:t>ь</w:t>
      </w:r>
      <w:r>
        <w:t>ном уровне процедур, связанных с реализацией права на самоуправление, включая договоры, имеющие конституционный статус; работа Коми</w:t>
      </w:r>
      <w:r>
        <w:t>с</w:t>
      </w:r>
      <w:r>
        <w:t>сии по рассмотрению конкретных жалоб индейцев; споры, представленные на рассмотрение Комиссии, включая дело, касающееся группы озера Любикон; осуществление рекомендаций, содержащихся в з</w:t>
      </w:r>
      <w:r>
        <w:t>а</w:t>
      </w:r>
      <w:r>
        <w:t>ключительном докладе Королевской комиссии по делам коренных народов; и рекомендации и изм</w:t>
      </w:r>
      <w:r>
        <w:t>е</w:t>
      </w:r>
      <w:r>
        <w:t>нения в политике в области системы правосудия в результате обзора системы правосудия аборигенов.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 Фрай</w:t>
      </w:r>
      <w:r>
        <w:t xml:space="preserve"> (Канада) говорит, что правител</w:t>
      </w:r>
      <w:r>
        <w:t>ь</w:t>
      </w:r>
      <w:r>
        <w:t>ство Канады подтвердило свою приверженность принципу самоопределения, правом на которое в равной мере обладают все группы населения (как коренного, так и некоренного), которые подпадают под международно-правовое определение народа. В случае коренного населения, проживающего в пр</w:t>
      </w:r>
      <w:r>
        <w:t>е</w:t>
      </w:r>
      <w:r>
        <w:t>делах существующих демократических государств, правительство признает право на самоопределение на основе соблюдения политической, конституц</w:t>
      </w:r>
      <w:r>
        <w:t>и</w:t>
      </w:r>
      <w:r>
        <w:t>онной и территориальной целостности соответс</w:t>
      </w:r>
      <w:r>
        <w:t>т</w:t>
      </w:r>
      <w:r>
        <w:t>вующих государств. Проводимая правительством политика в данной области основана на убеждении, что коренные народы имеют право самостоятельно вести свои дела и решать вопросы, оказывающие влияние на жизнь их общин. Такая политика может осуществляться в рамках соглашений о местном самоуправлении или официальных государственных соглашений, как это имело место в случае новой территории Нунавут, которая будет иметь предст</w:t>
      </w:r>
      <w:r>
        <w:t>а</w:t>
      </w:r>
      <w:r>
        <w:t>вительное правительство открытого состава, ка</w:t>
      </w:r>
      <w:r>
        <w:t>ж</w:t>
      </w:r>
      <w:r>
        <w:t>дый житель может избирать и быть избранным в состав правительства, рабочим языком которого б</w:t>
      </w:r>
      <w:r>
        <w:t>у</w:t>
      </w:r>
      <w:r>
        <w:t>дет язык инуитов – эскимо</w:t>
      </w:r>
      <w:r>
        <w:t>с</w:t>
      </w:r>
      <w:r>
        <w:t>ский (Inuktitut).</w:t>
      </w:r>
    </w:p>
    <w:p w:rsidR="00000000" w:rsidRDefault="00000000">
      <w:pPr>
        <w:pStyle w:val="DualTxt"/>
      </w:pPr>
      <w:r>
        <w:t>6.</w:t>
      </w:r>
      <w:r>
        <w:tab/>
        <w:t>Королевская комиссия по делам коренных н</w:t>
      </w:r>
      <w:r>
        <w:t>а</w:t>
      </w:r>
      <w:r>
        <w:t>родов представила свой заключительный доклад в ноябре 1996 года. Подготовленный правительством на его основе документ под названием "Укрепление позиций: План действий Канады по проблемам к</w:t>
      </w:r>
      <w:r>
        <w:t>о</w:t>
      </w:r>
      <w:r>
        <w:t>ренного населения" начинается с примирительного заявления, в котором признаются просчеты и н</w:t>
      </w:r>
      <w:r>
        <w:t>е</w:t>
      </w:r>
      <w:r>
        <w:t>справедливости, допущенные в прошлом, говорится об общем будущем коренного и некоренного нас</w:t>
      </w:r>
      <w:r>
        <w:t>е</w:t>
      </w:r>
      <w:r>
        <w:t>ления и закладывается основа для согласованных действий.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Г-н Уоттс</w:t>
      </w:r>
      <w:r>
        <w:t xml:space="preserve"> (Канада) говорит, что правительство прекратило делегировать законодательные полн</w:t>
      </w:r>
      <w:r>
        <w:t>о</w:t>
      </w:r>
      <w:r>
        <w:t>мочия группам аборигенов. Обязательными учас</w:t>
      </w:r>
      <w:r>
        <w:t>т</w:t>
      </w:r>
      <w:r>
        <w:t>никами переговоров считаются провинции и терр</w:t>
      </w:r>
      <w:r>
        <w:t>и</w:t>
      </w:r>
      <w:r>
        <w:t>тории, а соглашения о самоуправлении обеспеч</w:t>
      </w:r>
      <w:r>
        <w:t>и</w:t>
      </w:r>
      <w:r>
        <w:t>ваются конституционной защитой. Такие соглаш</w:t>
      </w:r>
      <w:r>
        <w:t>е</w:t>
      </w:r>
      <w:r>
        <w:t>ния опираются на целый ряд принципов: неотъе</w:t>
      </w:r>
      <w:r>
        <w:t>м</w:t>
      </w:r>
      <w:r>
        <w:t>лемое право на самоуправление является реальным правом аборигенов, закрепленным в Конституции; самоуправление должно осуществляться в рамках действующей Конституции Канады; признание с</w:t>
      </w:r>
      <w:r>
        <w:t>а</w:t>
      </w:r>
      <w:r>
        <w:t>моуправления не подразумевает суверенитета, как он понимается в международном праве, коренные жители являются гражданами Канады, а также пр</w:t>
      </w:r>
      <w:r>
        <w:t>о</w:t>
      </w:r>
      <w:r>
        <w:t>винции или территории, в которой они проживают; Канадская хартия прав и свобод сохраняет свою с</w:t>
      </w:r>
      <w:r>
        <w:t>и</w:t>
      </w:r>
      <w:r>
        <w:t>лу; федеральные, провинциальные, территориал</w:t>
      </w:r>
      <w:r>
        <w:t>ь</w:t>
      </w:r>
      <w:r>
        <w:t>ные, а также исконные законы аборигенов не дол</w:t>
      </w:r>
      <w:r>
        <w:t>ж</w:t>
      </w:r>
      <w:r>
        <w:t>ны вступать в противоречие; некоторые составля</w:t>
      </w:r>
      <w:r>
        <w:t>ю</w:t>
      </w:r>
      <w:r>
        <w:t>щие федерального законодательства, такие как Уг</w:t>
      </w:r>
      <w:r>
        <w:t>о</w:t>
      </w:r>
      <w:r>
        <w:t>ловный кодекс, имеют преимущественную силу по отношению к соглашениям о самоуправлении; при заключении таких соглашений должны учитываться интересы всех граждан Канады; и правительство готово учитывать в таких соглашениях потребности отдельных групп коренного населения. Юрисди</w:t>
      </w:r>
      <w:r>
        <w:t>к</w:t>
      </w:r>
      <w:r>
        <w:t>ция коренного населения охватывает вопросы, к</w:t>
      </w:r>
      <w:r>
        <w:t>а</w:t>
      </w:r>
      <w:r>
        <w:t>сающиеся самобытной культуры, управления и у</w:t>
      </w:r>
      <w:r>
        <w:t>ч</w:t>
      </w:r>
      <w:r>
        <w:t>реждений соответствующей группы. В тех делах, которые не являются сугубо внутренними, осно</w:t>
      </w:r>
      <w:r>
        <w:t>в</w:t>
      </w:r>
      <w:r>
        <w:t>ные законодательные полномочия остаются у фед</w:t>
      </w:r>
      <w:r>
        <w:t>е</w:t>
      </w:r>
      <w:r>
        <w:t>рального или провинциального правительства, и их законы имеют преимущественную силу в случае конфликта с исконными законами аборигенов. Пр</w:t>
      </w:r>
      <w:r>
        <w:t>и</w:t>
      </w:r>
      <w:r>
        <w:t>мерами таких дел являются дела о разводе, отпра</w:t>
      </w:r>
      <w:r>
        <w:t>в</w:t>
      </w:r>
      <w:r>
        <w:t>ление правосудия, охрана окружающей среды, управление рыбными ресурсами, оборона и вне</w:t>
      </w:r>
      <w:r>
        <w:t>ш</w:t>
      </w:r>
      <w:r>
        <w:t>ние сношения. Процедуры самоуправления могут реализовываться с помощью различных механи</w:t>
      </w:r>
      <w:r>
        <w:t>з</w:t>
      </w:r>
      <w:r>
        <w:t>мов, включая заключение новых договоров, внес</w:t>
      </w:r>
      <w:r>
        <w:t>е</w:t>
      </w:r>
      <w:r>
        <w:t>ние изменений в действующие договоры и соглаш</w:t>
      </w:r>
      <w:r>
        <w:t>е</w:t>
      </w:r>
      <w:r>
        <w:t>ния о земельных исках.</w:t>
      </w:r>
    </w:p>
    <w:p w:rsidR="00000000" w:rsidRDefault="00000000">
      <w:pPr>
        <w:pStyle w:val="DualTxt"/>
      </w:pPr>
      <w:r>
        <w:t>8.</w:t>
      </w:r>
      <w:r>
        <w:tab/>
        <w:t>Комиссия по рассмотрению конкретных жалоб индейцев выполняет две основные функции: она проводит расследования и выступает в качестве п</w:t>
      </w:r>
      <w:r>
        <w:t>о</w:t>
      </w:r>
      <w:r>
        <w:t>средника. За принятие мер по докладу Комиссии отвечает Министерство по делам индейцев. Отдел конкретных жалоб в рамках Департамента по делам индейцев является единственным правительстве</w:t>
      </w:r>
      <w:r>
        <w:t>н</w:t>
      </w:r>
      <w:r>
        <w:t>ным органом, деятельность которого находится под постоянным наблюдением со стороны Комиссии. Данная Комиссия по просьбе коренного населения проводит расследования жалоб, которые, по мн</w:t>
      </w:r>
      <w:r>
        <w:t>е</w:t>
      </w:r>
      <w:r>
        <w:t>нию правительства, не влекут значительных юр</w:t>
      </w:r>
      <w:r>
        <w:t>и</w:t>
      </w:r>
      <w:r>
        <w:t>дических последствий. Она также определяет ра</w:t>
      </w:r>
      <w:r>
        <w:t>з</w:t>
      </w:r>
      <w:r>
        <w:t>мер компенсации в том случае, если стороны не достигнут договоренности. Она оказывает посре</w:t>
      </w:r>
      <w:r>
        <w:t>д</w:t>
      </w:r>
      <w:r>
        <w:t>нические услуги и услуги по разрешению споров и может выступать в качестве третьей стороны на п</w:t>
      </w:r>
      <w:r>
        <w:t>е</w:t>
      </w:r>
      <w:r>
        <w:t>реговорах.</w:t>
      </w:r>
    </w:p>
    <w:p w:rsidR="00000000" w:rsidRDefault="00000000">
      <w:pPr>
        <w:pStyle w:val="DualTxt"/>
      </w:pPr>
      <w:r>
        <w:t>9.</w:t>
      </w:r>
      <w:r>
        <w:tab/>
        <w:t>Комиссия не участвовала в разрешении спора по делу группы озера Любикон. Сторона, предста</w:t>
      </w:r>
      <w:r>
        <w:t>в</w:t>
      </w:r>
      <w:r>
        <w:t>ляющая жителей этого района, указала, что она считает необходимым приступить к заключению примирительного соглашения. Правительство об</w:t>
      </w:r>
      <w:r>
        <w:t>я</w:t>
      </w:r>
      <w:r>
        <w:t>залось через некоторое время сесть за стол перег</w:t>
      </w:r>
      <w:r>
        <w:t>о</w:t>
      </w:r>
      <w:r>
        <w:t>воров для заключения соглашения о самоуправл</w:t>
      </w:r>
      <w:r>
        <w:t>е</w:t>
      </w:r>
      <w:r>
        <w:t>нии.</w:t>
      </w:r>
    </w:p>
    <w:p w:rsidR="00000000" w:rsidRDefault="00000000">
      <w:pPr>
        <w:pStyle w:val="DualTxt"/>
      </w:pPr>
      <w:r>
        <w:t>10.</w:t>
      </w:r>
      <w:r>
        <w:tab/>
        <w:t>В ответ на рекомендации, содержащиеся в з</w:t>
      </w:r>
      <w:r>
        <w:t>а</w:t>
      </w:r>
      <w:r>
        <w:t>ключительном докладе Королевской комиссии по проблемам коренных народов, правительство опу</w:t>
      </w:r>
      <w:r>
        <w:t>б</w:t>
      </w:r>
      <w:r>
        <w:t>ликовало документ под названием "Укрепление п</w:t>
      </w:r>
      <w:r>
        <w:t>о</w:t>
      </w:r>
      <w:r>
        <w:t>зиций", в котором излагает долговременный подход, призванный обеспечить конкретные ощутимые в</w:t>
      </w:r>
      <w:r>
        <w:t>ы</w:t>
      </w:r>
      <w:r>
        <w:t>годы в краткосрочной перспективе и послужить о</w:t>
      </w:r>
      <w:r>
        <w:t>с</w:t>
      </w:r>
      <w:r>
        <w:t>новой для согласованных действий федеральных, провинциальных, территориальных правительств и органов самоуправления коренного населения, а также частного сектора и граждан Канады в целом. В рамках данной программы намечены четыре кл</w:t>
      </w:r>
      <w:r>
        <w:t>ю</w:t>
      </w:r>
      <w:r>
        <w:t>чевые задачи: возобновление партнерских отнош</w:t>
      </w:r>
      <w:r>
        <w:t>е</w:t>
      </w:r>
      <w:r>
        <w:t>ний между правительством и коренным населением; укрепление самоуправления коренного населения; разработка новых налоговых и финансовых взаим</w:t>
      </w:r>
      <w:r>
        <w:t>о</w:t>
      </w:r>
      <w:r>
        <w:t>отношений; и содействие укреплению общин, гра</w:t>
      </w:r>
      <w:r>
        <w:t>ж</w:t>
      </w:r>
      <w:r>
        <w:t>данского общества и экономики. Правительство принесло свои извинения жертвам физического и сексуального насилия в местных школах и выдел</w:t>
      </w:r>
      <w:r>
        <w:t>и</w:t>
      </w:r>
      <w:r>
        <w:t>ло 350 млн. долл. на выработку стратегии по оказ</w:t>
      </w:r>
      <w:r>
        <w:t>а</w:t>
      </w:r>
      <w:r>
        <w:t>нию им реабилитационной помощи. С этой целью был учрежден Фонд для оказания реабилитацио</w:t>
      </w:r>
      <w:r>
        <w:t>н</w:t>
      </w:r>
      <w:r>
        <w:t>ной помощи аборигенам в качестве управляемой коренным населением некоммерческой корпорации, которая призвана финансировать и оказывать п</w:t>
      </w:r>
      <w:r>
        <w:t>о</w:t>
      </w:r>
      <w:r>
        <w:t>мощь в реализации правомерных общинных прое</w:t>
      </w:r>
      <w:r>
        <w:t>к</w:t>
      </w:r>
      <w:r>
        <w:t>тов по оказанию реабилитационной помощи коре</w:t>
      </w:r>
      <w:r>
        <w:t>н</w:t>
      </w:r>
      <w:r>
        <w:t>ному населению, дополняющих, но не дублиру</w:t>
      </w:r>
      <w:r>
        <w:t>ю</w:t>
      </w:r>
      <w:r>
        <w:t>щих существу</w:t>
      </w:r>
      <w:r>
        <w:t>ю</w:t>
      </w:r>
      <w:r>
        <w:t>щие программы.</w:t>
      </w:r>
    </w:p>
    <w:p w:rsidR="00000000" w:rsidRDefault="00000000">
      <w:pPr>
        <w:pStyle w:val="DualTxt"/>
      </w:pPr>
      <w:r>
        <w:t>11.</w:t>
      </w:r>
      <w:r>
        <w:tab/>
        <w:t>К числу других инициатив, содержащихся в документе "Укрепление позиций", следует отнести ускоренное осуществление новой жилищной пол</w:t>
      </w:r>
      <w:r>
        <w:t>и</w:t>
      </w:r>
      <w:r>
        <w:t>тики, выделение дополнительных ресурсов на водо-канализационные сооружения в общинах коренного населения и улучшение качества жизни детей-аборигенов. Правительство уделяет первоочередное внимание проблемам здравоохранения, обществе</w:t>
      </w:r>
      <w:r>
        <w:t>н</w:t>
      </w:r>
      <w:r>
        <w:t>ной безопасности и образования, экономического развития, уважения языков, на которых говорят аборигены, наследия и культуры, а также тем пр</w:t>
      </w:r>
      <w:r>
        <w:t>о</w:t>
      </w:r>
      <w:r>
        <w:t>блемам, с которыми сталкиваются метисы, насел</w:t>
      </w:r>
      <w:r>
        <w:t>е</w:t>
      </w:r>
      <w:r>
        <w:t>ние, проживающее за пределами резерваций, и аб</w:t>
      </w:r>
      <w:r>
        <w:t>о</w:t>
      </w:r>
      <w:r>
        <w:t>ригены, живущие в городских районах.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 Бектон</w:t>
      </w:r>
      <w:r>
        <w:t xml:space="preserve"> (Канада) говорит, что Верховный суд вынес ряд важных решений, разъясняющих раз-дел 35 Конституции, в котором признаются дог</w:t>
      </w:r>
      <w:r>
        <w:t>о</w:t>
      </w:r>
      <w:r>
        <w:t>ворные права коренного населения. При рассмотр</w:t>
      </w:r>
      <w:r>
        <w:t>е</w:t>
      </w:r>
      <w:r>
        <w:t>нии трех дел в 1996 году Суд постановил, что для подтверждения прав коренного населения группа аборигенов должна доказать, что в момент первого контакта с европейцами ее деятельность, заявле</w:t>
      </w:r>
      <w:r>
        <w:t>н</w:t>
      </w:r>
      <w:r>
        <w:t>ная как право, была неотъемлемой частью ее ос</w:t>
      </w:r>
      <w:r>
        <w:t>о</w:t>
      </w:r>
      <w:r>
        <w:t>бой отличительной культуры. Суд постановил та</w:t>
      </w:r>
      <w:r>
        <w:t>к</w:t>
      </w:r>
      <w:r>
        <w:t>же, что если группа аборигенов сможет доказать, что в период своего независимого существования только она владела территорией, с которой сохр</w:t>
      </w:r>
      <w:r>
        <w:t>а</w:t>
      </w:r>
      <w:r>
        <w:t>нилась прочная связь, то она имеет право на искл</w:t>
      </w:r>
      <w:r>
        <w:t>ю</w:t>
      </w:r>
      <w:r>
        <w:t>чительное пользование и владение такой террит</w:t>
      </w:r>
      <w:r>
        <w:t>о</w:t>
      </w:r>
      <w:r>
        <w:t>рией. Хотя в разделе 35 не предусматриваются из</w:t>
      </w:r>
      <w:r>
        <w:t>ъ</w:t>
      </w:r>
      <w:r>
        <w:t>ятия из существующих договорных прав абориг</w:t>
      </w:r>
      <w:r>
        <w:t>е</w:t>
      </w:r>
      <w:r>
        <w:t>нов, Суд подтвердил, что государство может вм</w:t>
      </w:r>
      <w:r>
        <w:t>е</w:t>
      </w:r>
      <w:r>
        <w:t>шиваться в осуществление прав аборигенов, вкл</w:t>
      </w:r>
      <w:r>
        <w:t>ю</w:t>
      </w:r>
      <w:r>
        <w:t>чая правовой титул аборигенов, при условии что т</w:t>
      </w:r>
      <w:r>
        <w:t>а</w:t>
      </w:r>
      <w:r>
        <w:t>кое вмешательство оправдано существенными и</w:t>
      </w:r>
      <w:r>
        <w:t>м</w:t>
      </w:r>
      <w:r>
        <w:t>перативными законодательными соображени</w:t>
      </w:r>
      <w:r>
        <w:t>я</w:t>
      </w:r>
      <w:r>
        <w:t>ми.</w:t>
      </w:r>
    </w:p>
    <w:p w:rsidR="00000000" w:rsidRDefault="00000000">
      <w:pPr>
        <w:pStyle w:val="DualTxt"/>
      </w:pPr>
      <w:r>
        <w:t>13.</w:t>
      </w:r>
      <w:r>
        <w:tab/>
        <w:t>В провинции Манитоба было проведено д</w:t>
      </w:r>
      <w:r>
        <w:t>е</w:t>
      </w:r>
      <w:r>
        <w:t>тальное обсуждение доклада о правовой системе коренного населения. Создание системы уголовного правосудия для коренного населения с особыми правилами процедуры и, возможно, отдельным уг</w:t>
      </w:r>
      <w:r>
        <w:t>о</w:t>
      </w:r>
      <w:r>
        <w:t>ловным кодексом, как представляется, выходит за рамки законодательных полномочий Манитобы. П</w:t>
      </w:r>
      <w:r>
        <w:t>о</w:t>
      </w:r>
      <w:r>
        <w:t>этому власти уделяют повышенное внимание тому, чтобы существующая система в большей мере отв</w:t>
      </w:r>
      <w:r>
        <w:t>е</w:t>
      </w:r>
      <w:r>
        <w:t>чала потребностям коренного населения. На пер</w:t>
      </w:r>
      <w:r>
        <w:t>е</w:t>
      </w:r>
      <w:r>
        <w:t>говорах с различными советами племен и группами аборигенов правовые вопросы были определены как один из ключевых элементов всего процесса, и б</w:t>
      </w:r>
      <w:r>
        <w:t>ы</w:t>
      </w:r>
      <w:r>
        <w:t>ли приложены усилия для ужесточения контроля со стороны коренного населения с помощью целого ряда программ, к числу которых относятся страт</w:t>
      </w:r>
      <w:r>
        <w:t>е</w:t>
      </w:r>
      <w:r>
        <w:t>гия в области системы правосудия коренного нас</w:t>
      </w:r>
      <w:r>
        <w:t>е</w:t>
      </w:r>
      <w:r>
        <w:t>ления в северных районах, состоящей из мирового суда по делам аборигенов и общинных работников системы правосудия; программа для работников с</w:t>
      </w:r>
      <w:r>
        <w:t>у</w:t>
      </w:r>
      <w:r>
        <w:t>дов по делам коренного населения; и комитет по вопросам правосудия для молодых аборигенов. На федеральном уровне была разработана стратегия в области системы правосудия коренного населения в качестве осуществляемой на базе общин програ</w:t>
      </w:r>
      <w:r>
        <w:t>м</w:t>
      </w:r>
      <w:r>
        <w:t>мы, состоящей из 51 соглашения и охватывающей 69 общин.</w:t>
      </w:r>
    </w:p>
    <w:p w:rsidR="00000000" w:rsidRDefault="00000000">
      <w:pPr>
        <w:pStyle w:val="DualTxt"/>
        <w:rPr>
          <w:i/>
        </w:rPr>
      </w:pPr>
      <w:r>
        <w:rPr>
          <w:i/>
        </w:rPr>
        <w:t>Права иностранцев (статья 13 Пакта)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 13 Пакта: право лиц, ищущих убеж</w:t>
      </w:r>
      <w:r>
        <w:t>и</w:t>
      </w:r>
      <w:r>
        <w:t>ща, на услуги адвоката; осуществление права на с</w:t>
      </w:r>
      <w:r>
        <w:t>у</w:t>
      </w:r>
      <w:r>
        <w:t>дебный пересмотр распоряжений о высылке; и з</w:t>
      </w:r>
      <w:r>
        <w:t>а</w:t>
      </w:r>
      <w:r>
        <w:t>щита от пыток и жестокого обращения согласно предлагаемому новому закону об экстрадиции (з</w:t>
      </w:r>
      <w:r>
        <w:t>а</w:t>
      </w:r>
      <w:r>
        <w:t>конопроект С-40).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Г-н Терьян</w:t>
      </w:r>
      <w:r>
        <w:t xml:space="preserve"> (Канада) говорит, что в соответс</w:t>
      </w:r>
      <w:r>
        <w:t>т</w:t>
      </w:r>
      <w:r>
        <w:t>вии с иммиграционным законом Канады лица, ищущие убежища, имеют право за собственный счет воспользоваться услугами платного адвоката или другого юриста. На практике, хотя они не им</w:t>
      </w:r>
      <w:r>
        <w:t>е</w:t>
      </w:r>
      <w:r>
        <w:t>ют права на бесплатную правовую помощь, она, тем не менее, предоставляется им за счет федеральных средств, выделяемых на программы в области здр</w:t>
      </w:r>
      <w:r>
        <w:t>а</w:t>
      </w:r>
      <w:r>
        <w:t>воохранения и образования после окончания сре</w:t>
      </w:r>
      <w:r>
        <w:t>д</w:t>
      </w:r>
      <w:r>
        <w:t>ней школы.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Г-н Тзаи</w:t>
      </w:r>
      <w:r>
        <w:t xml:space="preserve"> (Канада) говорит, что федеральные суды могут рассматривать распоряжения о высылке только при получении разрешения на это и в тех случаях, когда дело носит спорный характер. Тем не менее правительство считает, что истцы имеют полный доступ к канадским судам. Многие из дел, заслушанных федеральными судами, касаются и</w:t>
      </w:r>
      <w:r>
        <w:t>м</w:t>
      </w:r>
      <w:r>
        <w:t>мигрантов или лиц, ищущих убежища, большинство из которых, по сути дела, могут реализовать свое право оспаривать распоряжение о высылке. Расп</w:t>
      </w:r>
      <w:r>
        <w:t>о</w:t>
      </w:r>
      <w:r>
        <w:t>ряжения о высылке не могут быть исполнены до тех пор, пока не будет принято решение по кассацио</w:t>
      </w:r>
      <w:r>
        <w:t>н</w:t>
      </w:r>
      <w:r>
        <w:t>ной жалобе, и дела часто заслушиваются вечером и в выходные дни. Хотя решения судов ограничив</w:t>
      </w:r>
      <w:r>
        <w:t>а</w:t>
      </w:r>
      <w:r>
        <w:t>ются вопросами права и юрисдикции, основания для пересмотра распоряжения о высылке являются довольно широкими и в них просматриваются я</w:t>
      </w:r>
      <w:r>
        <w:t>в</w:t>
      </w:r>
      <w:r>
        <w:t>ные фактологич</w:t>
      </w:r>
      <w:r>
        <w:t>е</w:t>
      </w:r>
      <w:r>
        <w:t>ские .ошибки.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Бектон</w:t>
      </w:r>
      <w:r>
        <w:t xml:space="preserve"> (Канада) говорит, что предлага</w:t>
      </w:r>
      <w:r>
        <w:t>е</w:t>
      </w:r>
      <w:r>
        <w:t>мый новый закон об экстрадиции (законопроект С</w:t>
      </w:r>
      <w:r>
        <w:noBreakHyphen/>
        <w:t>40) внесет поправки в канадское законодательс</w:t>
      </w:r>
      <w:r>
        <w:t>т</w:t>
      </w:r>
      <w:r>
        <w:t>во об экстрадиции. Процесс экстрадиции имеет две стадии: сначала канадский судья рассматривает д</w:t>
      </w:r>
      <w:r>
        <w:t>о</w:t>
      </w:r>
      <w:r>
        <w:t>казательства и определяет, будет ли деяние, в связи с которым запрашивается экстрадиция, квалифиц</w:t>
      </w:r>
      <w:r>
        <w:t>и</w:t>
      </w:r>
      <w:r>
        <w:t>роваться в Канаде как правонарушение. Если судья примет решение, что то или иное лицо должно быть подвергнуто экстрадиции, дело передается минис</w:t>
      </w:r>
      <w:r>
        <w:t>т</w:t>
      </w:r>
      <w:r>
        <w:t>ру юстиции, который решает, будет ли это лицо в</w:t>
      </w:r>
      <w:r>
        <w:t>ы</w:t>
      </w:r>
      <w:r>
        <w:t>дано согласно соответствующему законодательству, любым применимым договорам и канадской хартии прав и свобод. Данное лицо имеет право направлять министру заявл</w:t>
      </w:r>
      <w:r>
        <w:t>е</w:t>
      </w:r>
      <w:r>
        <w:t>ния в связи с этим решением.</w:t>
      </w:r>
    </w:p>
    <w:p w:rsidR="00000000" w:rsidRDefault="00000000">
      <w:pPr>
        <w:pStyle w:val="DualTxt"/>
      </w:pPr>
      <w:r>
        <w:t>18.</w:t>
      </w:r>
      <w:r>
        <w:tab/>
        <w:t>В отличие от действующего законодательства в законопроекте С-40 содержатся детальные пол</w:t>
      </w:r>
      <w:r>
        <w:t>о</w:t>
      </w:r>
      <w:r>
        <w:t>жения, касающиеся оснований для отказа в просьбе об экстрадиции. В частности, в экстрадиции может быть отказано, если выдача того или иного лица я</w:t>
      </w:r>
      <w:r>
        <w:t>в</w:t>
      </w:r>
      <w:r>
        <w:t>ляется несправедливой и насильственной или если просьба об экстрадиции была представлена с целью преследования или наказания лица на основании его расы, религиозных убеждений, национальности, этнического происхождения, языка, цвета кожи, п</w:t>
      </w:r>
      <w:r>
        <w:t>о</w:t>
      </w:r>
      <w:r>
        <w:t>литических взглядов, пола, сексуальной ориент</w:t>
      </w:r>
      <w:r>
        <w:t>а</w:t>
      </w:r>
      <w:r>
        <w:t>ции, возраста, физических или умственных недо</w:t>
      </w:r>
      <w:r>
        <w:t>с</w:t>
      </w:r>
      <w:r>
        <w:t>татков или социального положения. Верховный суд постановил, что принятие министром юстиции р</w:t>
      </w:r>
      <w:r>
        <w:t>е</w:t>
      </w:r>
      <w:r>
        <w:t>шения о выдаче будет носить неконституционный характер, если условия, с которыми лицо столкне</w:t>
      </w:r>
      <w:r>
        <w:t>т</w:t>
      </w:r>
      <w:r>
        <w:t>ся в требующем его выдачи государстве, будут н</w:t>
      </w:r>
      <w:r>
        <w:t>е</w:t>
      </w:r>
      <w:r>
        <w:t>приемлемыми, что противоречит морально-этическим ценностям канадского общества. Реш</w:t>
      </w:r>
      <w:r>
        <w:t>е</w:t>
      </w:r>
      <w:r>
        <w:t>ние министра юстиции может быть пересмотрено соответствующим апелляционным судом и, если возможно, Верховным судом.</w:t>
      </w:r>
    </w:p>
    <w:p w:rsidR="00000000" w:rsidRDefault="00000000">
      <w:pPr>
        <w:pStyle w:val="DualTxt"/>
        <w:rPr>
          <w:i/>
        </w:rPr>
      </w:pPr>
      <w:r>
        <w:rPr>
          <w:i/>
        </w:rPr>
        <w:t>Конституционная и правовая основа, в рамках к</w:t>
      </w:r>
      <w:r>
        <w:rPr>
          <w:i/>
        </w:rPr>
        <w:t>о</w:t>
      </w:r>
      <w:r>
        <w:rPr>
          <w:i/>
        </w:rPr>
        <w:t>торой осуществляется Конституция (статья 2 Пакта)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 2 Пакта: воздействие конституцио</w:t>
      </w:r>
      <w:r>
        <w:t>н</w:t>
      </w:r>
      <w:r>
        <w:t>ных поправок 1997 года на статус Пакта в кана</w:t>
      </w:r>
      <w:r>
        <w:t>д</w:t>
      </w:r>
      <w:r>
        <w:t>ском праве; применение Пакта и выводов Комитета Верховным судом и судами более низкой инста</w:t>
      </w:r>
      <w:r>
        <w:t>н</w:t>
      </w:r>
      <w:r>
        <w:t>ции; подготовка докладов в соответствии с Пактом и результаты выполнения заключительных замеч</w:t>
      </w:r>
      <w:r>
        <w:t>а</w:t>
      </w:r>
      <w:r>
        <w:t>ний Комитета в соответствии со статьей 40 и зам</w:t>
      </w:r>
      <w:r>
        <w:t>е</w:t>
      </w:r>
      <w:r>
        <w:t>чаний, касающихся Факультативного протокола, в частности, провинциальными органами местного самоуправления; предлагаемые поправки к кана</w:t>
      </w:r>
      <w:r>
        <w:t>д</w:t>
      </w:r>
      <w:r>
        <w:t>скому Закону о правах человека; и реализация этих предложений.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 Фрай</w:t>
      </w:r>
      <w:r>
        <w:t xml:space="preserve"> (Канада) говорит, что доклады К</w:t>
      </w:r>
      <w:r>
        <w:t>а</w:t>
      </w:r>
      <w:r>
        <w:t>нады, представляемые в соответствии с междун</w:t>
      </w:r>
      <w:r>
        <w:t>а</w:t>
      </w:r>
      <w:r>
        <w:t>родными документами по правам человека, готовя</w:t>
      </w:r>
      <w:r>
        <w:t>т</w:t>
      </w:r>
      <w:r>
        <w:t>ся в тесном сотрудничестве с властями провинций и территорий. Каждый уровень правительства (фед</w:t>
      </w:r>
      <w:r>
        <w:t>е</w:t>
      </w:r>
      <w:r>
        <w:t>ральный, провинциальный и территориальный) г</w:t>
      </w:r>
      <w:r>
        <w:t>о</w:t>
      </w:r>
      <w:r>
        <w:t>товит свой собственный материал. Постоянный к</w:t>
      </w:r>
      <w:r>
        <w:t>о</w:t>
      </w:r>
      <w:r>
        <w:t>митет должностных лиц по правам человека в с</w:t>
      </w:r>
      <w:r>
        <w:t>о</w:t>
      </w:r>
      <w:r>
        <w:t>ставе представителей всех территориальных суб</w:t>
      </w:r>
      <w:r>
        <w:t>ъ</w:t>
      </w:r>
      <w:r>
        <w:t>ектов Канады с 1976 года встречается два раза в год для рассмотрения докладов Канады для органов по правам человека и обсуждения результатов выпо</w:t>
      </w:r>
      <w:r>
        <w:t>л</w:t>
      </w:r>
      <w:r>
        <w:t>нения заключительных замечаний соответствующих комитетов, которые распространяются также среди провинциальных и территориальных органов сам</w:t>
      </w:r>
      <w:r>
        <w:t>о</w:t>
      </w:r>
      <w:r>
        <w:t>управл</w:t>
      </w:r>
      <w:r>
        <w:t>е</w:t>
      </w:r>
      <w:r>
        <w:t>ния.</w:t>
      </w:r>
    </w:p>
    <w:p w:rsidR="00000000" w:rsidRDefault="00000000">
      <w:pPr>
        <w:pStyle w:val="DualTxt"/>
      </w:pPr>
      <w:r>
        <w:t>21.</w:t>
      </w:r>
      <w:r>
        <w:tab/>
        <w:t>При подготовке четвертого периодического доклада Канады более чем 250 канадским неправ</w:t>
      </w:r>
      <w:r>
        <w:t>и</w:t>
      </w:r>
      <w:r>
        <w:t>тельственным организациям было предложено представить как правительству, так и Комитету по правам человека свои замечания в отношении с</w:t>
      </w:r>
      <w:r>
        <w:t>о</w:t>
      </w:r>
      <w:r>
        <w:t>блюдения Канадой положений Пакта. В 1986 году Постоянный комитет утвердил руководящие при</w:t>
      </w:r>
      <w:r>
        <w:t>н</w:t>
      </w:r>
      <w:r>
        <w:t>ципы для подготовки провинциями своих ответов на сообщения в соответствии с первым Факульт</w:t>
      </w:r>
      <w:r>
        <w:t>а</w:t>
      </w:r>
      <w:r>
        <w:t>тивным протоколом к Пакту. В этих руководящих принципах говорится, что провинции в консульт</w:t>
      </w:r>
      <w:r>
        <w:t>а</w:t>
      </w:r>
      <w:r>
        <w:t>ции с федеральным правительством несут ответс</w:t>
      </w:r>
      <w:r>
        <w:t>т</w:t>
      </w:r>
      <w:r>
        <w:t>венность за подготовку материалов по сообщениям, каса</w:t>
      </w:r>
      <w:r>
        <w:t>ю</w:t>
      </w:r>
      <w:r>
        <w:t>щимся их соответствующей юрисдикции.</w:t>
      </w:r>
    </w:p>
    <w:p w:rsidR="00000000" w:rsidRDefault="00000000">
      <w:pPr>
        <w:pStyle w:val="DualTxt"/>
      </w:pPr>
      <w:r>
        <w:t>22.</w:t>
      </w:r>
      <w:r>
        <w:tab/>
        <w:t>В отношении вопросов 11 и 12 оратор говорит, что принятые недавно поправки к Закону о правах человека помогли усовершенствовать структуру Трибунала. Комиссия по правам человека может представлять свой доклад непосредственно в па</w:t>
      </w:r>
      <w:r>
        <w:t>р</w:t>
      </w:r>
      <w:r>
        <w:t>ламент, тем самым подчеркивая свою независ</w:t>
      </w:r>
      <w:r>
        <w:t>и</w:t>
      </w:r>
      <w:r>
        <w:t>мость от правительства. В свою очередь, Трибунал по правам человека также представляет свой доклад непосредственно в парламент независимо от докл</w:t>
      </w:r>
      <w:r>
        <w:t>а</w:t>
      </w:r>
      <w:r>
        <w:t>да Комиссии. Данная система обеспечивает незав</w:t>
      </w:r>
      <w:r>
        <w:t>и</w:t>
      </w:r>
      <w:r>
        <w:t>симость решений Трибунала, поскольку Комиссия часто выступает в качестве одной из сторон при рассмотрении жалоб. В заключение, оратор отмеч</w:t>
      </w:r>
      <w:r>
        <w:t>а</w:t>
      </w:r>
      <w:r>
        <w:t>ет, что в 1996 году в Закон о правах человека были внесены поправки, с тем чтобы запретить дискр</w:t>
      </w:r>
      <w:r>
        <w:t>и</w:t>
      </w:r>
      <w:r>
        <w:t>минацию по признаку сексуальной ориентации.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 Бектон</w:t>
      </w:r>
      <w:r>
        <w:t xml:space="preserve"> (Канада), касаясь вопросов 8 и 9, говорит, что систему школьного образования, при которой все учащиеся школы должны быть одного вероисповедания, в Квебеке и Манитобе можно ф</w:t>
      </w:r>
      <w:r>
        <w:t>и</w:t>
      </w:r>
      <w:r>
        <w:t>нансировать только из частных источников. Нормы международного права в Канаде не имеют прямого действия, и суды подтвердили, что договорные об</w:t>
      </w:r>
      <w:r>
        <w:t>я</w:t>
      </w:r>
      <w:r>
        <w:t>зательства подпадают под действие канадской Ха</w:t>
      </w:r>
      <w:r>
        <w:t>р</w:t>
      </w:r>
      <w:r>
        <w:t>тии прав и свобод. Вместе с тем положения Пакта все больше учитываются и играют возрастающую роль в принимаемых судебных реш</w:t>
      </w:r>
      <w:r>
        <w:t>е</w:t>
      </w:r>
      <w:r>
        <w:t>ниях.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Фрай</w:t>
      </w:r>
      <w:r>
        <w:t xml:space="preserve"> (Канада), отвечая на вопрос 13, г</w:t>
      </w:r>
      <w:r>
        <w:t>о</w:t>
      </w:r>
      <w:r>
        <w:t>ворит, что на сайте правительства Канады в сети Интернет приводится текст всех периодических докладов и заключительных замечаний Комитета. Находящийся на рассмотрении доклад был также направлен неправительственным организациям, библиотекам, Комиссии по правам человека и в канцелярию омбудсмена. Положения Пакта освещ</w:t>
      </w:r>
      <w:r>
        <w:t>а</w:t>
      </w:r>
      <w:r>
        <w:t>лись в ходе информационно-пропагандистской ка</w:t>
      </w:r>
      <w:r>
        <w:t>м</w:t>
      </w:r>
      <w:r>
        <w:t>пании по правам человека и просвещения по ко</w:t>
      </w:r>
      <w:r>
        <w:t>н</w:t>
      </w:r>
      <w:r>
        <w:t>кретным вопросам канадского законодательства. Существуют специальные курсы подготовки по правам человека для сотрудников полиции, судей и адвокатов. Распространению информации о Пакте также способствовали проводившиеся в ходе подг</w:t>
      </w:r>
      <w:r>
        <w:t>о</w:t>
      </w:r>
      <w:r>
        <w:t>товки настоящего доклада консультации с неправ</w:t>
      </w:r>
      <w:r>
        <w:t>и</w:t>
      </w:r>
      <w:r>
        <w:t>тельственными орг</w:t>
      </w:r>
      <w:r>
        <w:t>а</w:t>
      </w:r>
      <w:r>
        <w:t>низациями.</w:t>
      </w:r>
    </w:p>
    <w:p w:rsidR="00000000" w:rsidRDefault="00000000">
      <w:pPr>
        <w:pStyle w:val="DualTxt"/>
      </w:pPr>
      <w:r>
        <w:t>25.</w:t>
      </w:r>
      <w:r>
        <w:tab/>
        <w:t>Касаясь вопросов 14 и 15, оратор говорит, что принцип гендерного равенства закреплен в Хартии прав и свобод наряду с положением о предупрежд</w:t>
      </w:r>
      <w:r>
        <w:t>е</w:t>
      </w:r>
      <w:r>
        <w:t>нии дискриминации. В этом контексте равенство толкуется как равенство результатов, и в связи с этим были приняты позитивные меры для испра</w:t>
      </w:r>
      <w:r>
        <w:t>в</w:t>
      </w:r>
      <w:r>
        <w:t>ления исторической несправедливости. При разр</w:t>
      </w:r>
      <w:r>
        <w:t>а</w:t>
      </w:r>
      <w:r>
        <w:t>ботке политики необходимо учитывать ее разное воздействие на женщин и мужчин, и тем самым разработка политики увязана с осуществлением П</w:t>
      </w:r>
      <w:r>
        <w:t>е</w:t>
      </w:r>
      <w:r>
        <w:t>кинской платформы действий. Предстоит еще мн</w:t>
      </w:r>
      <w:r>
        <w:t>о</w:t>
      </w:r>
      <w:r>
        <w:t>гое сделать, и гендерный анализ, к сожалению, еще не рассматривается как нечто должное. В Канаде стремятся привлекать женщин к участию в полит</w:t>
      </w:r>
      <w:r>
        <w:t>и</w:t>
      </w:r>
      <w:r>
        <w:t>ческой жизни и облегчать им доступ к выборным должностям с помощью таких мер, как обеспечение на стадии выдвижения кандидатур равного доступа к средствам, выделяемым на проведение избир</w:t>
      </w:r>
      <w:r>
        <w:t>а</w:t>
      </w:r>
      <w:r>
        <w:t>тельных кампаний. Учитывая все эти трудности, были предприняты шаги по назначению женщин на должности в правительстве. В настоящее время 60 женщин работают в Палате общин и 31 женщина была избрана в сенат. Тем не менее представле</w:t>
      </w:r>
      <w:r>
        <w:t>н</w:t>
      </w:r>
      <w:r>
        <w:t>ность женщин по-прежнему остается на низком уровне. Для достижения гендерного баланса в ф</w:t>
      </w:r>
      <w:r>
        <w:t>е</w:t>
      </w:r>
      <w:r>
        <w:t>деральном законодательстве по вопросам гендерн</w:t>
      </w:r>
      <w:r>
        <w:t>о</w:t>
      </w:r>
      <w:r>
        <w:t>го равенства были предусмотрены конкретные ци</w:t>
      </w:r>
      <w:r>
        <w:t>ф</w:t>
      </w:r>
      <w:r>
        <w:t>ры, касающиеся пре</w:t>
      </w:r>
      <w:r>
        <w:t>д</w:t>
      </w:r>
      <w:r>
        <w:t>ставленности женщин.</w:t>
      </w:r>
    </w:p>
    <w:p w:rsidR="00000000" w:rsidRDefault="00000000">
      <w:pPr>
        <w:pStyle w:val="DualTxt"/>
      </w:pPr>
      <w:r>
        <w:t>26.</w:t>
      </w:r>
      <w:r>
        <w:tab/>
        <w:t>Что касается дискриминации в размере зар</w:t>
      </w:r>
      <w:r>
        <w:t>а</w:t>
      </w:r>
      <w:r>
        <w:t>ботной платы, то политика на федеральном уровне предусматривает равную оплату за труд равной ценности. Правительство уже выплатило 1 млрд. канадских долларов для удовлетворения исков, св</w:t>
      </w:r>
      <w:r>
        <w:t>я</w:t>
      </w:r>
      <w:r>
        <w:t>занных с дискриминацией в вопросе заработной платы, хотя оно предпочло бы разрешение споров путем переговоров. Необходимо внести уточнения в закон о равной зарабо</w:t>
      </w:r>
      <w:r>
        <w:t>т</w:t>
      </w:r>
      <w:r>
        <w:t>ной плате.</w:t>
      </w:r>
    </w:p>
    <w:p w:rsidR="00000000" w:rsidRDefault="00000000">
      <w:pPr>
        <w:pStyle w:val="DualTxt"/>
      </w:pPr>
      <w:r>
        <w:t>27.</w:t>
      </w:r>
      <w:r>
        <w:tab/>
        <w:t>Что касается вопроса 16, то изначальная цель освобождения Закона об индейцах от требований канадского Закона о правах человека состояла в том, чтобы не допустить вмешательства Комиссии по правам человека во внутренние дела общин аб</w:t>
      </w:r>
      <w:r>
        <w:t>о</w:t>
      </w:r>
      <w:r>
        <w:t>ригенов. Однако после того, как данное изъятие впервые вступило в силу, Комиссия нашла основ</w:t>
      </w:r>
      <w:r>
        <w:t>а</w:t>
      </w:r>
      <w:r>
        <w:t>ния для того, чтобы оспорить правомерность дейс</w:t>
      </w:r>
      <w:r>
        <w:t>т</w:t>
      </w:r>
      <w:r>
        <w:t>вий такой общины. В ходе предстоящего пересмо</w:t>
      </w:r>
      <w:r>
        <w:t>т</w:t>
      </w:r>
      <w:r>
        <w:t>ра Закона о правах человека независимая группа рассмотрит все изъятия из этого Закона, включая изъятие из Закона об индейцах. Учитывая новые полномочия, переданные коренному населению в ходе процесса установления местного самоуправл</w:t>
      </w:r>
      <w:r>
        <w:t>е</w:t>
      </w:r>
      <w:r>
        <w:t>ния общин, очень важно определить, насколько з</w:t>
      </w:r>
      <w:r>
        <w:t>а</w:t>
      </w:r>
      <w:r>
        <w:t>конодательство в области прав человека применимо к такой форме упра</w:t>
      </w:r>
      <w:r>
        <w:t>в</w:t>
      </w:r>
      <w:r>
        <w:t>ления.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Бектон</w:t>
      </w:r>
      <w:r>
        <w:t xml:space="preserve"> (Канада), отвечая на вопрос 17, говорит, что первоначальным документом, обесп</w:t>
      </w:r>
      <w:r>
        <w:t>е</w:t>
      </w:r>
      <w:r>
        <w:t>чивающим защиту свободы граждан выражать свое мнение, является Канадская хартия прав и свобод. В Хартии конкретно закреплено право на выражение собственного мнения, и она обеспечивает защиту всех действий, связанных с выражением своего мнения, включая выражение нетерпимости и и</w:t>
      </w:r>
      <w:r>
        <w:t>с</w:t>
      </w:r>
      <w:r>
        <w:t>пользование ненормативной лексики. Закон также обеспечивает свободное распространение информ</w:t>
      </w:r>
      <w:r>
        <w:t>а</w:t>
      </w:r>
      <w:r>
        <w:t>ции, однако суды установили довольно высокий стандарт для определения того, не мешает ли эта информация осуществлению др</w:t>
      </w:r>
      <w:r>
        <w:t>у</w:t>
      </w:r>
      <w:r>
        <w:t>гих прав.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 xml:space="preserve">Г-жа Фрай </w:t>
      </w:r>
      <w:r>
        <w:t>(Канада), отвечая на вопрос 19, г</w:t>
      </w:r>
      <w:r>
        <w:t>о</w:t>
      </w:r>
      <w:r>
        <w:t>ворит, что Хартия прав и свобод обеспечивает з</w:t>
      </w:r>
      <w:r>
        <w:t>а</w:t>
      </w:r>
      <w:r>
        <w:t>щиту прав на придание языку меньшинств офиц</w:t>
      </w:r>
      <w:r>
        <w:t>и</w:t>
      </w:r>
      <w:r>
        <w:t>ального статуса. Эти меры защиты были дополнены федеральным законом об официальных языках, к</w:t>
      </w:r>
      <w:r>
        <w:t>о</w:t>
      </w:r>
      <w:r>
        <w:t>торый также стал большим подспорьем для общин, являющимся языковыми меньшинствами. Согласно Конституции, провинциям и территориям вменяю</w:t>
      </w:r>
      <w:r>
        <w:t>т</w:t>
      </w:r>
      <w:r>
        <w:t>ся некоторые обязанности, касающиеся официал</w:t>
      </w:r>
      <w:r>
        <w:t>ь</w:t>
      </w:r>
      <w:r>
        <w:t>ных языков. Например, они несут ответственность за обеспечение преподавания языков меньшинств в тех общинах, в которых число представителей т</w:t>
      </w:r>
      <w:r>
        <w:t>а</w:t>
      </w:r>
      <w:r>
        <w:t>ких меньшинств достаточно велико. Кроме того, любой гражданин имеет право использовать ан</w:t>
      </w:r>
      <w:r>
        <w:t>г</w:t>
      </w:r>
      <w:r>
        <w:t>лийский и французский языки в законодательных и судебных органах в Квебеке, Нью-Брансуике и М</w:t>
      </w:r>
      <w:r>
        <w:t>а</w:t>
      </w:r>
      <w:r>
        <w:t>нитобе, и в этих провинциях законы также должны издаваться на этих двух языках.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Г-н Делорье</w:t>
      </w:r>
      <w:r>
        <w:t xml:space="preserve"> (Канада), касаясь квебекского з</w:t>
      </w:r>
      <w:r>
        <w:t>а</w:t>
      </w:r>
      <w:r>
        <w:t>кона о языке, говорит, что в соответствии с Хартией Квебека и Канадской хартией прав и свобод все граждане имеют равные права. Дискриминация в отношении языка запрещена, и все этнические меньшинства вправе иметь свою собственную кул</w:t>
      </w:r>
      <w:r>
        <w:t>ь</w:t>
      </w:r>
      <w:r>
        <w:t>туру. Законы и постановления издаются как на французском, так и на английском языке, которые имеют равный статус и могут использоваться в ходе судебных разбирательств. Англоговорящая община Квебека имеет право на государственное образов</w:t>
      </w:r>
      <w:r>
        <w:t>а</w:t>
      </w:r>
      <w:r>
        <w:t>ние в полном объеме, а также на социальное и м</w:t>
      </w:r>
      <w:r>
        <w:t>е</w:t>
      </w:r>
      <w:r>
        <w:t>дицинское обслуживание на английском языке. Члены общин, в которых англоговорящее население составляет большинство, могут изучать два языка и, соответственно, пользоваться английским языком в органах местного самоуправления. Англоговорящая община имеет свои сети телевидения и радиовещ</w:t>
      </w:r>
      <w:r>
        <w:t>а</w:t>
      </w:r>
      <w:r>
        <w:t>ния, а также культурные учреждения, которые пол</w:t>
      </w:r>
      <w:r>
        <w:t>ь</w:t>
      </w:r>
      <w:r>
        <w:t>зуются равными правами на государственное ф</w:t>
      </w:r>
      <w:r>
        <w:t>и</w:t>
      </w:r>
      <w:r>
        <w:t>нансирование.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Г-н Хайнс</w:t>
      </w:r>
      <w:r>
        <w:t xml:space="preserve"> (Канада), отвечая на вопрос 18, г</w:t>
      </w:r>
      <w:r>
        <w:t>о</w:t>
      </w:r>
      <w:r>
        <w:t>ворит, что доклад Комиссии Онтарио по правам ч</w:t>
      </w:r>
      <w:r>
        <w:t>е</w:t>
      </w:r>
      <w:r>
        <w:t>ловека, касающийся систематических проявлений расизма в рамках системы уголовного правосудия, был разослан более чем 500 судей для получения их замечаний. С 1 января 1999 года были введены н</w:t>
      </w:r>
      <w:r>
        <w:t>о</w:t>
      </w:r>
      <w:r>
        <w:t>вые положения, касающиеся Группы специальных расследований. Несоблюдение этих положений ра</w:t>
      </w:r>
      <w:r>
        <w:t>с</w:t>
      </w:r>
      <w:r>
        <w:t>ценивается как должностное преступление. Согла</w:t>
      </w:r>
      <w:r>
        <w:t>с</w:t>
      </w:r>
      <w:r>
        <w:t>но новым положениям, начальники полиции дол</w:t>
      </w:r>
      <w:r>
        <w:t>ж</w:t>
      </w:r>
      <w:r>
        <w:t>ны уведомлять Группу специальных расследований о подобных инцидентах и изолировать замеченных в этом сотрудников. Сотрудники имеют право на услуги адвоката и должны быть допрошены в теч</w:t>
      </w:r>
      <w:r>
        <w:t>е</w:t>
      </w:r>
      <w:r>
        <w:t>ние 24 часов после инцидента. Кроме того, бюджет, выделяемый на проведение расследований, был увеличен втрое. Помимо этого был проведен обзор Королевского справочника по подготовке кадров и политике. Высказанные в ходе обзора основные р</w:t>
      </w:r>
      <w:r>
        <w:t>е</w:t>
      </w:r>
      <w:r>
        <w:t>комендации, которые можно реализовать практич</w:t>
      </w:r>
      <w:r>
        <w:t>е</w:t>
      </w:r>
      <w:r>
        <w:t>ски немедленно, касаются, в частности, практики усмотрения, используемой обвинением при поруч</w:t>
      </w:r>
      <w:r>
        <w:t>и</w:t>
      </w:r>
      <w:r>
        <w:t>тельстве.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 Эватт</w:t>
      </w:r>
      <w:r>
        <w:t xml:space="preserve"> говорит, что, хотя доклад ко</w:t>
      </w:r>
      <w:r>
        <w:t>н</w:t>
      </w:r>
      <w:r>
        <w:t>кретно не касается статьи 1 Пакта, г-жа Фрай ра</w:t>
      </w:r>
      <w:r>
        <w:t>с</w:t>
      </w:r>
      <w:r>
        <w:t>сказала о праве аборигенов на самоуправление в контексте самоопределения. Она хотела бы узнать, какое различие проводит Канада между самоопр</w:t>
      </w:r>
      <w:r>
        <w:t>е</w:t>
      </w:r>
      <w:r>
        <w:t>делением и самоуправлением. Королевская коми</w:t>
      </w:r>
      <w:r>
        <w:t>с</w:t>
      </w:r>
      <w:r>
        <w:t>сия по делам коренных народов рекомендовала пр</w:t>
      </w:r>
      <w:r>
        <w:t>а</w:t>
      </w:r>
      <w:r>
        <w:t>вительству признать, что право на самоопределение является неотъемлемым правом коренного насел</w:t>
      </w:r>
      <w:r>
        <w:t>е</w:t>
      </w:r>
      <w:r>
        <w:t>ния, и обеспечить, чтобы коренные жители облад</w:t>
      </w:r>
      <w:r>
        <w:t>а</w:t>
      </w:r>
      <w:r>
        <w:t>ли земельным титулом и достаточными ресурсами для самоуправления. Она хотела бы знать, какие из конкретных рекомендаций Королевской комиссии были реал</w:t>
      </w:r>
      <w:r>
        <w:t>и</w:t>
      </w:r>
      <w:r>
        <w:t>зованы на практике.</w:t>
      </w:r>
    </w:p>
    <w:p w:rsidR="00000000" w:rsidRDefault="00000000">
      <w:pPr>
        <w:pStyle w:val="DualTxt"/>
      </w:pPr>
      <w:r>
        <w:t>33.</w:t>
      </w:r>
      <w:r>
        <w:tab/>
        <w:t>Что касается иностранцев и беженцев, то по-прежнему неясно, должно ли учитываться возмо</w:t>
      </w:r>
      <w:r>
        <w:t>ж</w:t>
      </w:r>
      <w:r>
        <w:t>ное нарушение предусмотренных Пактом прав при принятии решения о возвращении лица, обративш</w:t>
      </w:r>
      <w:r>
        <w:t>е</w:t>
      </w:r>
      <w:r>
        <w:t>гося с просьбой о предоставлении ему статуса б</w:t>
      </w:r>
      <w:r>
        <w:t>е</w:t>
      </w:r>
      <w:r>
        <w:t>женца, на прежнее место жительства. Аналогичным образом, оратор хотела бы знать, имеют ли право лица, которые должны быть депортированы, под</w:t>
      </w:r>
      <w:r>
        <w:t>а</w:t>
      </w:r>
      <w:r>
        <w:t>вать жалобу в связи с тем, что их права в соответс</w:t>
      </w:r>
      <w:r>
        <w:t>т</w:t>
      </w:r>
      <w:r>
        <w:t>вии с Пактом будут нарушены, и сколько времени занимает процесс получения беженцами разреш</w:t>
      </w:r>
      <w:r>
        <w:t>е</w:t>
      </w:r>
      <w:r>
        <w:t>ния на постоянное проживание, проездных док</w:t>
      </w:r>
      <w:r>
        <w:t>у</w:t>
      </w:r>
      <w:r>
        <w:t>ментов, а также воссоед</w:t>
      </w:r>
      <w:r>
        <w:t>и</w:t>
      </w:r>
      <w:r>
        <w:t>нения со своими семьями.</w:t>
      </w:r>
    </w:p>
    <w:p w:rsidR="00000000" w:rsidRDefault="00000000">
      <w:pPr>
        <w:pStyle w:val="DualTxt"/>
      </w:pPr>
      <w:r>
        <w:t>34.</w:t>
      </w:r>
      <w:r>
        <w:tab/>
        <w:t>В отношении международных обязательств оратор задает вопрос, какую роль играет парламент в процессе международной отчетности и отвечают ли органы законодательной и исполнительной вл</w:t>
      </w:r>
      <w:r>
        <w:t>а</w:t>
      </w:r>
      <w:r>
        <w:t>сти за обеспечение соблюдения положений Пакта. Комитету было бы интересно узнать, существуют ли несоответствия между положениями Хартии прав и свобод и мерами защиты, предусмотренными в Пакте, и какова роль Комиссии по правам челов</w:t>
      </w:r>
      <w:r>
        <w:t>е</w:t>
      </w:r>
      <w:r>
        <w:t>ка в обеспечении соблюдения международных дог</w:t>
      </w:r>
      <w:r>
        <w:t>о</w:t>
      </w:r>
      <w:r>
        <w:t>воров.</w:t>
      </w:r>
    </w:p>
    <w:p w:rsidR="00000000" w:rsidRDefault="00000000">
      <w:pPr>
        <w:pStyle w:val="DualTxt"/>
      </w:pPr>
      <w:r>
        <w:t>35.</w:t>
      </w:r>
      <w:r>
        <w:tab/>
        <w:t>Касаясь вопроса о правах женщин, она хотела бы знать, в какой степени различия в экономич</w:t>
      </w:r>
      <w:r>
        <w:t>е</w:t>
      </w:r>
      <w:r>
        <w:t>ских ресурсах мужчин и женщин влияют на равное осуществление ими своих прав и распространяется ли на женщин программа под названием "Оспар</w:t>
      </w:r>
      <w:r>
        <w:t>и</w:t>
      </w:r>
      <w:r>
        <w:t>вание судебных решений". Комитет хотел бы знать, какие меры были приняты для обеспечения равн</w:t>
      </w:r>
      <w:r>
        <w:t>о</w:t>
      </w:r>
      <w:r>
        <w:t>правия женщин-аборигенов, рассматриваются ли в судебном порядке случаи дискриминации по пр</w:t>
      </w:r>
      <w:r>
        <w:t>и</w:t>
      </w:r>
      <w:r>
        <w:t>знаку пола, происходящие в соответствии с Законом об индейцах, и выносила ли Королевская комиссия какие-либо конкретные рекомендации в данной о</w:t>
      </w:r>
      <w:r>
        <w:t>б</w:t>
      </w:r>
      <w:r>
        <w:t>ласти. В заключение оратор интересуется, сколько женщин и аборигенов входит в состав Сената.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Г-н Шейнин</w:t>
      </w:r>
      <w:r>
        <w:t xml:space="preserve"> говорит, что Канада может сл</w:t>
      </w:r>
      <w:r>
        <w:t>у</w:t>
      </w:r>
      <w:r>
        <w:t>жить примером для других стран в том, что касае</w:t>
      </w:r>
      <w:r>
        <w:t>т</w:t>
      </w:r>
      <w:r>
        <w:t>ся ее подхода к увязыванию права всех народов на самоопределение с принципом территориальной целостности государств. Королевская комиссия по делам коренных народов правильно указала, что в Канаде имеются проблемы и самоопределения, и самоуправления, однако доклад касается только с</w:t>
      </w:r>
      <w:r>
        <w:t>а</w:t>
      </w:r>
      <w:r>
        <w:t>моуправления и вовсе не затрагивает предмета ст</w:t>
      </w:r>
      <w:r>
        <w:t>а</w:t>
      </w:r>
      <w:r>
        <w:t>тьи 1 Пакта. Оратор спрашивает, не проводит ли правительство Канады политику, ведущую к тому, чтобы аборигены отказывались от своих прав на землю и ресурсы в обмен на вступление в догово</w:t>
      </w:r>
      <w:r>
        <w:t>р</w:t>
      </w:r>
      <w:r>
        <w:t>ные отношения, поскольку даже в новых договорах содержится оговорка об аннулировании или конве</w:t>
      </w:r>
      <w:r>
        <w:t>р</w:t>
      </w:r>
      <w:r>
        <w:t>сии этих прав.</w:t>
      </w:r>
    </w:p>
    <w:p w:rsidR="00000000" w:rsidRDefault="00000000">
      <w:pPr>
        <w:pStyle w:val="DualTxt"/>
      </w:pPr>
      <w:r>
        <w:t>37.</w:t>
      </w:r>
      <w:r>
        <w:tab/>
        <w:t>Медленный прогресс в урегулировании вопр</w:t>
      </w:r>
      <w:r>
        <w:t>о</w:t>
      </w:r>
      <w:r>
        <w:t>сов, касающихся земли и ресурсов, вызывает сер</w:t>
      </w:r>
      <w:r>
        <w:t>ь</w:t>
      </w:r>
      <w:r>
        <w:t>езную обеспокоенность, и существует опасность того, что многие коренные народы могут исчезнуть с лица Земли, если не будут найдены правильные решения. Он спрашивает, наблюдается ли прогресс в осуществлении рекомендаций Королевской к</w:t>
      </w:r>
      <w:r>
        <w:t>о</w:t>
      </w:r>
      <w:r>
        <w:t>миссии по делам коренных народов по решению этих вопросов в качестве основы принципов сам</w:t>
      </w:r>
      <w:r>
        <w:t>о</w:t>
      </w:r>
      <w:r>
        <w:t>определения и самоуправления. Одним из примеров остроты вопроса об аборигенах служит дело группы озера Любикон. Оратор спрашивает, удалось ли этой группе получить более широкие права. Ва</w:t>
      </w:r>
      <w:r>
        <w:t>ж</w:t>
      </w:r>
      <w:r>
        <w:t>ным элементом самоопределения является гражда</w:t>
      </w:r>
      <w:r>
        <w:t>н</w:t>
      </w:r>
      <w:r>
        <w:t>ство коренных жителей. Поскольку вопросы гра</w:t>
      </w:r>
      <w:r>
        <w:t>ж</w:t>
      </w:r>
      <w:r>
        <w:t>данства на различных территориях, населенных аборигенами, по-прежнему регулируются Законом об индейцах, он хотел бы знать, какие шаги пре</w:t>
      </w:r>
      <w:r>
        <w:t>д</w:t>
      </w:r>
      <w:r>
        <w:t>принимаются для ликвидации любых проявлений гендерной дискриминации в да</w:t>
      </w:r>
      <w:r>
        <w:t>н</w:t>
      </w:r>
      <w:r>
        <w:t>ном законе.</w:t>
      </w:r>
    </w:p>
    <w:p w:rsidR="00000000" w:rsidRDefault="00000000">
      <w:pPr>
        <w:pStyle w:val="DualTxt"/>
      </w:pPr>
      <w:r>
        <w:t>38.</w:t>
      </w:r>
      <w:r>
        <w:tab/>
        <w:t>Поскольку правительство Канады в судах н</w:t>
      </w:r>
      <w:r>
        <w:t>е</w:t>
      </w:r>
      <w:r>
        <w:t>однократно утверждало, что интересы национал</w:t>
      </w:r>
      <w:r>
        <w:t>ь</w:t>
      </w:r>
      <w:r>
        <w:t>ной безопасности или предупреждения преступн</w:t>
      </w:r>
      <w:r>
        <w:t>о</w:t>
      </w:r>
      <w:r>
        <w:t>сти могут превалировать над вполне обоснованн</w:t>
      </w:r>
      <w:r>
        <w:t>ы</w:t>
      </w:r>
      <w:r>
        <w:t>ми опасениями в отношении пыток и жестокого о</w:t>
      </w:r>
      <w:r>
        <w:t>б</w:t>
      </w:r>
      <w:r>
        <w:t>ращения как следствия депортации, оратор спраш</w:t>
      </w:r>
      <w:r>
        <w:t>и</w:t>
      </w:r>
      <w:r>
        <w:t>вает, выполняет ли правительство Канады свои об</w:t>
      </w:r>
      <w:r>
        <w:t>я</w:t>
      </w:r>
      <w:r>
        <w:t>зательства по международному праву, в том что к</w:t>
      </w:r>
      <w:r>
        <w:t>а</w:t>
      </w:r>
      <w:r>
        <w:t>сается депортации иностранцев, или же оно возл</w:t>
      </w:r>
      <w:r>
        <w:t>а</w:t>
      </w:r>
      <w:r>
        <w:t>гает эту ответственность на судебные органы. Он хотел бы также знать, намерено ли правительство Канады в дальнейшем удовлетворять просьбы, к</w:t>
      </w:r>
      <w:r>
        <w:t>а</w:t>
      </w:r>
      <w:r>
        <w:t>сающиеся временных мер защиты в связи с делами о депортации или экстрадиции. Информация в этой связи, полученная от Межамериканской комиссии по правам человека и Комитета против пыток, в</w:t>
      </w:r>
      <w:r>
        <w:t>ы</w:t>
      </w:r>
      <w:r>
        <w:t>зывает серьезную обеспокое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Г-н Верушевски</w:t>
      </w:r>
      <w:r>
        <w:t xml:space="preserve"> говорит, что в докладе с</w:t>
      </w:r>
      <w:r>
        <w:t>о</w:t>
      </w:r>
      <w:r>
        <w:t>держится недостаточно информации, касающейся выполнения положений статьи 1. Он просит соо</w:t>
      </w:r>
      <w:r>
        <w:t>б</w:t>
      </w:r>
      <w:r>
        <w:t>щить информацию об основных трудностях, с кот</w:t>
      </w:r>
      <w:r>
        <w:t>о</w:t>
      </w:r>
      <w:r>
        <w:t>рыми сталкивается правительство Канады в области самоопределения коренных народов, и спрашивает, какие конкретные шаги предпринимаются для улучшения сложившегося положения. Комитет х</w:t>
      </w:r>
      <w:r>
        <w:t>о</w:t>
      </w:r>
      <w:r>
        <w:t>тел бы знать, почему рекомендации Королевской комиссии по правам аборигенов, направленные на улучшение положения коренного населения, не б</w:t>
      </w:r>
      <w:r>
        <w:t>ы</w:t>
      </w:r>
      <w:r>
        <w:t>ли реализованы и каково воздействие Заявления о политических отношениях (пункт 607) на эконом</w:t>
      </w:r>
      <w:r>
        <w:t>и</w:t>
      </w:r>
      <w:r>
        <w:t>ческое развитие и управление ресурсами в общинах коренного населения Онтарио. Он также хотел бы знать, в какой мере канадская Комиссия по правам человека обеспечивает эффективные и значимые средства защиты в случае нарушения прав человека и как часто она использует свои дискреционные полномочия для прекращения дальнейшего разб</w:t>
      </w:r>
      <w:r>
        <w:t>и</w:t>
      </w:r>
      <w:r>
        <w:t>рательства жалоб.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Г-н Клейн</w:t>
      </w:r>
      <w:r>
        <w:t xml:space="preserve"> говорит, что заявление канадской Комиссии по правам человека, содержащееся в пункте 279 доклада, относительно того, что "пол</w:t>
      </w:r>
      <w:r>
        <w:t>о</w:t>
      </w:r>
      <w:r>
        <w:t>жение коренных народов по-прежнему остается о</w:t>
      </w:r>
      <w:r>
        <w:t>д</w:t>
      </w:r>
      <w:r>
        <w:t>ной из самых острых проблем в области прав чел</w:t>
      </w:r>
      <w:r>
        <w:t>о</w:t>
      </w:r>
      <w:r>
        <w:t>века, стоящих перед канадским обществом", по-видимому, представляет собой реалистичную оце</w:t>
      </w:r>
      <w:r>
        <w:t>н</w:t>
      </w:r>
      <w:r>
        <w:t>ку положения коренного населения. Отрадно, что Канада готова заниматься этой проблемой в конте</w:t>
      </w:r>
      <w:r>
        <w:t>к</w:t>
      </w:r>
      <w:r>
        <w:t>сте самоопределения; вместе с тем необходимо ра</w:t>
      </w:r>
      <w:r>
        <w:t>з</w:t>
      </w:r>
      <w:r>
        <w:t>работать элементы этой концепции и реализовать ее на практике. Он просит предоставить дополнител</w:t>
      </w:r>
      <w:r>
        <w:t>ь</w:t>
      </w:r>
      <w:r>
        <w:t>ную информацию о решениях Верховного суда с указанием главных причин ограничения прав к</w:t>
      </w:r>
      <w:r>
        <w:t>о</w:t>
      </w:r>
      <w:r>
        <w:t>ренных народов и того, в какой степени статьи 1 и 27 Пакта учитывались при формулировании данных причин.</w:t>
      </w:r>
    </w:p>
    <w:p w:rsidR="00000000" w:rsidRDefault="00000000">
      <w:pPr>
        <w:pStyle w:val="DualTxt"/>
      </w:pPr>
      <w:r>
        <w:t>41.</w:t>
      </w:r>
      <w:r>
        <w:tab/>
        <w:t>Представленная информация позволяет сд</w:t>
      </w:r>
      <w:r>
        <w:t>е</w:t>
      </w:r>
      <w:r>
        <w:t>лать вывод о том, что канадский План в области здравоохранения и социальной поддержки не явл</w:t>
      </w:r>
      <w:r>
        <w:t>я</w:t>
      </w:r>
      <w:r>
        <w:t>ется равнозначным эквивалентом канадской пр</w:t>
      </w:r>
      <w:r>
        <w:t>о</w:t>
      </w:r>
      <w:r>
        <w:t>граммы помощи, которую он заменил. Оратор спрашивает, не оказала ли замена этой программы неблагоприятное воздействие на осуществление гражданских и политических прав, в частности тех, которые закреплены в статьях 23 и 24 Пакта. Отн</w:t>
      </w:r>
      <w:r>
        <w:t>о</w:t>
      </w:r>
      <w:r>
        <w:t>сительно вопроса о средствах защиты, несмотря на то что пункт 3 статьи 2 Пакта не требует средств судебной защиты в случае жалоб на нарушения прав человека и что канадская Комиссия по правам человека может рассматриваться как "компетентный орган" в соответствии с данной статьей, он спраш</w:t>
      </w:r>
      <w:r>
        <w:t>и</w:t>
      </w:r>
      <w:r>
        <w:t>вает, в чем состоит преимущество рассмотрения т</w:t>
      </w:r>
      <w:r>
        <w:t>а</w:t>
      </w:r>
      <w:r>
        <w:t>ких жалоб Комиссией и что правительство Канады планирует предпринять в плане разработки возмо</w:t>
      </w:r>
      <w:r>
        <w:t>ж</w:t>
      </w:r>
      <w:r>
        <w:t>ных средств судебной защиты.</w:t>
      </w:r>
    </w:p>
    <w:p w:rsidR="00000000" w:rsidRDefault="00000000">
      <w:pPr>
        <w:pStyle w:val="DualTxt"/>
      </w:pPr>
      <w:r>
        <w:t>42.</w:t>
      </w:r>
      <w:r>
        <w:tab/>
        <w:t>В пункте 53 доклада содержится ссылка на з</w:t>
      </w:r>
      <w:r>
        <w:t>а</w:t>
      </w:r>
      <w:r>
        <w:t>мечания, высказанные судами in obiter, относител</w:t>
      </w:r>
      <w:r>
        <w:t>ь</w:t>
      </w:r>
      <w:r>
        <w:t>но того, что депортация того или иного лица в др</w:t>
      </w:r>
      <w:r>
        <w:t>у</w:t>
      </w:r>
      <w:r>
        <w:t>гую страну, в которой оно рискует стать жертвой пыток, является нарушением Канадской хартии прав и свобод. Оратор спрашивает, правда ли, что правительство Канады осуществляет депортацию или экстрадицию лиц, невзирая на этот риск, если это обусловлено интересами национальной без</w:t>
      </w:r>
      <w:r>
        <w:t>о</w:t>
      </w:r>
      <w:r>
        <w:t>пасности. Недавние решения Верховного суда св</w:t>
      </w:r>
      <w:r>
        <w:t>и</w:t>
      </w:r>
      <w:r>
        <w:t>детельствуют о том, что такие действия имеют м</w:t>
      </w:r>
      <w:r>
        <w:t>е</w:t>
      </w:r>
      <w:r>
        <w:t>сто. В заключение Комитет хотел бы знать, является ли соучастие государства условием для установл</w:t>
      </w:r>
      <w:r>
        <w:t>е</w:t>
      </w:r>
      <w:r>
        <w:t>ния наличия риска преследования или пыток в др</w:t>
      </w:r>
      <w:r>
        <w:t>у</w:t>
      </w:r>
      <w:r>
        <w:t>гом государстве.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Лорд Колвилл</w:t>
      </w:r>
      <w:r>
        <w:t xml:space="preserve"> говорит, что, как представляе</w:t>
      </w:r>
      <w:r>
        <w:t>т</w:t>
      </w:r>
      <w:r>
        <w:t>ся, по Закону о Нунавите жители будут обладать правами на полезные ископаемые и рыбные ресу</w:t>
      </w:r>
      <w:r>
        <w:t>р</w:t>
      </w:r>
      <w:r>
        <w:t>сы на своей территории и что Итоговое соглашение с коренными народами будет включать права и</w:t>
      </w:r>
      <w:r>
        <w:t>н</w:t>
      </w:r>
      <w:r>
        <w:t>дейцев Юкона на землю и ресурсы. Он спрашивает, какие меры принимаются в отношении территорий, жители которых добились самоопределения ранее и в ряде случаев не получили прав на природные р</w:t>
      </w:r>
      <w:r>
        <w:t>е</w:t>
      </w:r>
      <w:r>
        <w:t>сурсы, что существенно сказалось на их способн</w:t>
      </w:r>
      <w:r>
        <w:t>о</w:t>
      </w:r>
      <w:r>
        <w:t>сти выжить в этих условиях. В случае Квебека, н</w:t>
      </w:r>
      <w:r>
        <w:t>е</w:t>
      </w:r>
      <w:r>
        <w:t>смотря на то что у групп коренного населения по</w:t>
      </w:r>
      <w:r>
        <w:t>я</w:t>
      </w:r>
      <w:r>
        <w:t>вится возможность вступать в сепаратные перег</w:t>
      </w:r>
      <w:r>
        <w:t>о</w:t>
      </w:r>
      <w:r>
        <w:t>воры, если возникнет вопрос об отделении, они не смогут это сделать на равноправной основе, если не будут обладать экономической независимостью.</w:t>
      </w:r>
    </w:p>
    <w:p w:rsidR="00000000" w:rsidRDefault="00000000">
      <w:pPr>
        <w:pStyle w:val="DualTxt"/>
      </w:pPr>
      <w:r>
        <w:t>44.</w:t>
      </w:r>
      <w:r>
        <w:tab/>
        <w:t>Оратор считает, что канадская Комиссия по правам человека и провинциальные комиссии по правам человека не обеспечивают эффективных средств защиты, предусмотренных в пункте 3 ст</w:t>
      </w:r>
      <w:r>
        <w:t>а</w:t>
      </w:r>
      <w:r>
        <w:t>тьи 2 Пакта, из-за наличия большого числа нера</w:t>
      </w:r>
      <w:r>
        <w:t>с</w:t>
      </w:r>
      <w:r>
        <w:t>смотренных дел, а также из-за того, что жалобы ч</w:t>
      </w:r>
      <w:r>
        <w:t>а</w:t>
      </w:r>
      <w:r>
        <w:t>стного характера не могут направляться в суд без поддержки соответс</w:t>
      </w:r>
      <w:r>
        <w:t>т</w:t>
      </w:r>
      <w:r>
        <w:t>вующей комиссии.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Шане</w:t>
      </w:r>
      <w:r>
        <w:t xml:space="preserve"> говорит, что, поскольку доклад посвящен скорее реализации Канадской хартии прав и свобод, нежели Пакта, и даже ссылается на Пакт при толковании положений Канадской хартии, он не соответствует руководящим принципам Комитета. Она согласна с тем, что канадская Комиссия по пр</w:t>
      </w:r>
      <w:r>
        <w:t>а</w:t>
      </w:r>
      <w:r>
        <w:t>вам человека не обеспечивают эффективных средств защиты, поскольку она действует как мех</w:t>
      </w:r>
      <w:r>
        <w:t>а</w:t>
      </w:r>
      <w:r>
        <w:t>низм, фильтрующий жалобы. Ситуация носит иной характер в Квебеке, где граждане могут обращаться непосредственно в суды в случае нарушения прав человека.</w:t>
      </w:r>
    </w:p>
    <w:p w:rsidR="00000000" w:rsidRDefault="00000000">
      <w:pPr>
        <w:pStyle w:val="DualTxt"/>
      </w:pPr>
      <w:r>
        <w:t>46.</w:t>
      </w:r>
      <w:r>
        <w:tab/>
        <w:t>Полного равенства с точки зрения гарантий, особенно для коренного населения, иностранцев и беженцев, в Канаде не наблюдается. В отношении коренного населения представляется, что в согл</w:t>
      </w:r>
      <w:r>
        <w:t>а</w:t>
      </w:r>
      <w:r>
        <w:t>шениях, заключенных с проживающими в Северо-западных территориях народами и инуитами, права этих народов на их землю и ресурсы неуклонно подрываются, что является одним из способов ух</w:t>
      </w:r>
      <w:r>
        <w:t>о</w:t>
      </w:r>
      <w:r>
        <w:t>да от вопроса о самоопределении. Г-жа Шане хот</w:t>
      </w:r>
      <w:r>
        <w:t>е</w:t>
      </w:r>
      <w:r>
        <w:t>ла бы получить разъяснения по да</w:t>
      </w:r>
      <w:r>
        <w:t>н</w:t>
      </w:r>
      <w:r>
        <w:t>ному вопросу.</w:t>
      </w:r>
    </w:p>
    <w:p w:rsidR="00000000" w:rsidRDefault="00000000">
      <w:pPr>
        <w:pStyle w:val="DualTxt"/>
      </w:pPr>
      <w:r>
        <w:t>47.</w:t>
      </w:r>
      <w:r>
        <w:tab/>
        <w:t>Как представляется, беженцы и иностранцы могут задерживаться на неопределенный период времени, поскольку в Законе об иммиграции не с</w:t>
      </w:r>
      <w:r>
        <w:t>о</w:t>
      </w:r>
      <w:r>
        <w:t>держится никаких положений относительно срока задержания или обращения в суд, и в некоторых случаях задержанные содержатся в тюрьмах. Ор</w:t>
      </w:r>
      <w:r>
        <w:t>а</w:t>
      </w:r>
      <w:r>
        <w:t>тор спрашивает, какую роль играет арбитражный суд и какие гарантии даются задержанным лицам. Она также хотела бы знать, имеют ли место случаи, когда канадское правительство осуществляет экс</w:t>
      </w:r>
      <w:r>
        <w:t>т</w:t>
      </w:r>
      <w:r>
        <w:t>радицию или депортацию лиц в те страны, в кот</w:t>
      </w:r>
      <w:r>
        <w:t>о</w:t>
      </w:r>
      <w:r>
        <w:t>рых они могут быть подвергнуты пыткам, и не пл</w:t>
      </w:r>
      <w:r>
        <w:t>а</w:t>
      </w:r>
      <w:r>
        <w:t>нирует ли оно удовлетворять просьбы относительно временных мер защиты.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Г-жа Гаитан де Помбо</w:t>
      </w:r>
      <w:r>
        <w:t xml:space="preserve"> просит предоставить более подробную информацию о новых отношениях между канадским правительством и коренными н</w:t>
      </w:r>
      <w:r>
        <w:t>а</w:t>
      </w:r>
      <w:r>
        <w:t>родами и о прогрессе, достигнутом коренными н</w:t>
      </w:r>
      <w:r>
        <w:t>а</w:t>
      </w:r>
      <w:r>
        <w:t>родами в их территориальных претензиях с момента публикации доклада Королевской комиссии по д</w:t>
      </w:r>
      <w:r>
        <w:t>е</w:t>
      </w:r>
      <w:r>
        <w:t>лам коренных нар</w:t>
      </w:r>
      <w:r>
        <w:t>о</w:t>
      </w:r>
      <w:r>
        <w:t>дов в 1996 году.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Г-н Андо</w:t>
      </w:r>
      <w:r>
        <w:t>, касаясь проблемы самоопредел</w:t>
      </w:r>
      <w:r>
        <w:t>е</w:t>
      </w:r>
      <w:r>
        <w:t>ния, говорит, что при получении индивидуального сообщения из Канады, такого как дело группы озера Любикон, возникает вопрос о том, подпадает ли оно под действие статьи 1 или статьи 27 Пакта. П</w:t>
      </w:r>
      <w:r>
        <w:t>о</w:t>
      </w:r>
      <w:r>
        <w:t>скольку Факультативный протокол не разрешает группам направлять жалобы, Комитет принял реш</w:t>
      </w:r>
      <w:r>
        <w:t>е</w:t>
      </w:r>
      <w:r>
        <w:t>ние заниматься этим вопросом в контексте статьи 27, касающейся меньшинств. Оратор хотел бы знать, что конкретно Канада понимает под терм</w:t>
      </w:r>
      <w:r>
        <w:t>и</w:t>
      </w:r>
      <w:r>
        <w:t>ном "самоопределение", поскольку, как следует из доклада, ему придается особый смысл. Было бы п</w:t>
      </w:r>
      <w:r>
        <w:t>о</w:t>
      </w:r>
      <w:r>
        <w:t>лезно знать позицию федеральных и провинциал</w:t>
      </w:r>
      <w:r>
        <w:t>ь</w:t>
      </w:r>
      <w:r>
        <w:t>ных правительств в тех случаях, когда традицио</w:t>
      </w:r>
      <w:r>
        <w:t>н</w:t>
      </w:r>
      <w:r>
        <w:t>ное право групп аборигенов противоречит полож</w:t>
      </w:r>
      <w:r>
        <w:t>е</w:t>
      </w:r>
      <w:r>
        <w:t>ниям Пакта.</w:t>
      </w:r>
    </w:p>
    <w:p w:rsidR="00000000" w:rsidRDefault="00000000">
      <w:pPr>
        <w:pStyle w:val="DualTxt"/>
      </w:pPr>
      <w:r>
        <w:t>50.</w:t>
      </w:r>
      <w:r>
        <w:tab/>
        <w:t>Пункт 197 доклада касается проблемы жест</w:t>
      </w:r>
      <w:r>
        <w:t>о</w:t>
      </w:r>
      <w:r>
        <w:t>кого обращения с женщинами и детьми, носящего ритуальный характер, в Канаде. В этой связи хот</w:t>
      </w:r>
      <w:r>
        <w:t>е</w:t>
      </w:r>
      <w:r>
        <w:t>лось бы получить более подробную информацию по данному вопросу. Что касается квебекского закона о языке, то в докладе упоминаются ограничения, к</w:t>
      </w:r>
      <w:r>
        <w:t>а</w:t>
      </w:r>
      <w:r>
        <w:t>сающиеся запрещения рекламы на других языках, кроме французского, и об обязательном использ</w:t>
      </w:r>
      <w:r>
        <w:t>о</w:t>
      </w:r>
      <w:r>
        <w:t>вании французского языка в школах (пункты 497 и 498). Поскольку доклад датируется апрелем 1997 года, хотелось бы знать, как развивается ситуация в этой связи. В своем выступлении г-жа Фрай упом</w:t>
      </w:r>
      <w:r>
        <w:t>я</w:t>
      </w:r>
      <w:r>
        <w:t>нула о недавней поправке к канадскому Закону о правах человека, касающейся создания постоянного трибунала по правам человека. Неясно, является ли он тем же самым трибуналом, о котором говорится в пункте 270 доклада, и если нет, Комитет был бы признателен за информацию о его юрисдикционной компетенции и взаимоотношениях с другими суд</w:t>
      </w:r>
      <w:r>
        <w:t>а</w:t>
      </w:r>
      <w:r>
        <w:t>ми.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Г-н Амор</w:t>
      </w:r>
      <w:r>
        <w:t xml:space="preserve"> говорит, что понятие самоопредел</w:t>
      </w:r>
      <w:r>
        <w:t>е</w:t>
      </w:r>
      <w:r>
        <w:t>ния в настоящее время является предметом шир</w:t>
      </w:r>
      <w:r>
        <w:t>о</w:t>
      </w:r>
      <w:r>
        <w:t>ких дискуссий на международном уровне и, как представляется, имеет особое значение для Канады. В докладе это понятие выглядит динамичным и функциональным, а его содержание и сфера прим</w:t>
      </w:r>
      <w:r>
        <w:t>е</w:t>
      </w:r>
      <w:r>
        <w:t>нения могут варьироваться в зависимости от о</w:t>
      </w:r>
      <w:r>
        <w:t>б</w:t>
      </w:r>
      <w:r>
        <w:t>стоятельств. В этой связи хотелось бы получить д</w:t>
      </w:r>
      <w:r>
        <w:t>о</w:t>
      </w:r>
      <w:r>
        <w:t>полнительные разъяснения. Очевидно, что в Канаде понятие самоопределения не включает суверенитет над природными ресурсами, что лишает соответс</w:t>
      </w:r>
      <w:r>
        <w:t>т</w:t>
      </w:r>
      <w:r>
        <w:t>вующие группы возможности добиться полного с</w:t>
      </w:r>
      <w:r>
        <w:t>а</w:t>
      </w:r>
      <w:r>
        <w:t>моопределения путем переговоров. По вопросу о земле представляется, что аборигены могут пол</w:t>
      </w:r>
      <w:r>
        <w:t>у</w:t>
      </w:r>
      <w:r>
        <w:t>чить титул на землю, если они смогут доказать факт владения ею в прошлом. Однако факт владения должен считаться непреложным, если не будет д</w:t>
      </w:r>
      <w:r>
        <w:t>о</w:t>
      </w:r>
      <w:r>
        <w:t>казано обратное. Вопрос о доказательствах, по</w:t>
      </w:r>
      <w:r>
        <w:t>д</w:t>
      </w:r>
      <w:r>
        <w:t>тверждающих право на землю, имеет важное знач</w:t>
      </w:r>
      <w:r>
        <w:t>е</w:t>
      </w:r>
      <w:r>
        <w:t>ние, так как это право весьма непросто доказать и поскольку отмена прав может быть одним из спос</w:t>
      </w:r>
      <w:r>
        <w:t>о</w:t>
      </w:r>
      <w:r>
        <w:t>бов уклониться от решения этого фундаментального вопроса.</w:t>
      </w:r>
    </w:p>
    <w:p w:rsidR="00000000" w:rsidRDefault="00000000">
      <w:pPr>
        <w:pStyle w:val="DualTxt"/>
      </w:pPr>
      <w:r>
        <w:t>52.</w:t>
      </w:r>
      <w:r>
        <w:tab/>
        <w:t>Комитет хотел бы получить информацию о том, существуют ли в юриспруденции строгие юр</w:t>
      </w:r>
      <w:r>
        <w:t>и</w:t>
      </w:r>
      <w:r>
        <w:t>дические критерии для удовлетворения просьб о предоставлении убежища или отказа в них, а также насколько гибко или жестко толкуются такие крит</w:t>
      </w:r>
      <w:r>
        <w:t>е</w:t>
      </w:r>
      <w:r>
        <w:t>рии. Что касается вопроса о свободе вероисповед</w:t>
      </w:r>
      <w:r>
        <w:t>а</w:t>
      </w:r>
      <w:r>
        <w:t>ния в связи с некоторыми новыми вероучениями или группами, было бы интересно знать, каковы итоги рассмотрения в суде дела секты "Храм сол</w:t>
      </w:r>
      <w:r>
        <w:t>н</w:t>
      </w:r>
      <w:r>
        <w:t>ца". Кроме того, касаясь освещения данной темы в средствах массовой информации, следует учит</w:t>
      </w:r>
      <w:r>
        <w:t>ы</w:t>
      </w:r>
      <w:r>
        <w:t>вать, что, когда свобода прессы используется для того, чтобы квалифицировать все разновидности групп меньшинств и вероисповеданий как секты в уничижительном смысле этого слова, можно гов</w:t>
      </w:r>
      <w:r>
        <w:t>о</w:t>
      </w:r>
      <w:r>
        <w:t>рить о риске преследований по религиозным мот</w:t>
      </w:r>
      <w:r>
        <w:t>и</w:t>
      </w:r>
      <w:r>
        <w:t>вам. С другой стороны, хотя Канада и обеспечивает право на религиозное просвещение, некоторые меньшинства могут злоупотребить этим правом из политических соображений или с целью распр</w:t>
      </w:r>
      <w:r>
        <w:t>о</w:t>
      </w:r>
      <w:r>
        <w:t>странения религиозных предрассудков. Хотелось бы узнать, могут ли власти контролировать такое пр</w:t>
      </w:r>
      <w:r>
        <w:t>о</w:t>
      </w:r>
      <w:r>
        <w:t>свещение, для того чтобы не допустить случаев злоупотребления свободой р</w:t>
      </w:r>
      <w:r>
        <w:t>е</w:t>
      </w:r>
      <w:r>
        <w:t>лигии.</w:t>
      </w:r>
    </w:p>
    <w:p w:rsidR="00000000" w:rsidRDefault="00000000">
      <w:pPr>
        <w:pStyle w:val="DualTxt"/>
      </w:pPr>
      <w:r>
        <w:t>53.</w:t>
      </w:r>
      <w:r>
        <w:tab/>
        <w:t>Кроме всего прочего, права женщин иногда ограничиваются под прикрытием свободы религии, и было бы интересно узнать, планируют ли кана</w:t>
      </w:r>
      <w:r>
        <w:t>д</w:t>
      </w:r>
      <w:r>
        <w:t>ские власти предпринять шаги для защиты женщин от некоторых перегибов в этой области. Кроме того, в отношении некоторых религиозных меньшинств, проживающих в Канаде, неясно, определяется ли личный статус женщин религией, которую они и</w:t>
      </w:r>
      <w:r>
        <w:t>с</w:t>
      </w:r>
      <w:r>
        <w:t>поведуют, или канадским правом, особенно в том, что касается права наслед</w:t>
      </w:r>
      <w:r>
        <w:t>о</w:t>
      </w:r>
      <w:r>
        <w:t>вания имущества.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Г-н Захия</w:t>
      </w:r>
      <w:r>
        <w:t xml:space="preserve"> говорит, что страны, в которых р</w:t>
      </w:r>
      <w:r>
        <w:t>е</w:t>
      </w:r>
      <w:r>
        <w:t>ально обеспечивается равноправие женщин и му</w:t>
      </w:r>
      <w:r>
        <w:t>ж</w:t>
      </w:r>
      <w:r>
        <w:t>чин, например скандинавские страны, официально признают принцип равенства. Он хотел бы знать, разработана ли в Канаде какая-либо политика в сфере гендерного равенства. Было бы также инт</w:t>
      </w:r>
      <w:r>
        <w:t>е</w:t>
      </w:r>
      <w:r>
        <w:t>ресно узнать, могут ли неправительственные орг</w:t>
      </w:r>
      <w:r>
        <w:t>а</w:t>
      </w:r>
      <w:r>
        <w:t>низации влиять на судопроизводство при рассмо</w:t>
      </w:r>
      <w:r>
        <w:t>т</w:t>
      </w:r>
      <w:r>
        <w:t>рении дел о нарушениях прав человека, так как их действия нередко оказываются весьма эффекти</w:t>
      </w:r>
      <w:r>
        <w:t>в</w:t>
      </w:r>
      <w:r>
        <w:t>ными.</w:t>
      </w:r>
    </w:p>
    <w:p w:rsidR="00000000" w:rsidRDefault="00000000">
      <w:pPr>
        <w:pStyle w:val="DualTxt"/>
      </w:pPr>
      <w:r>
        <w:t>55.</w:t>
      </w:r>
      <w:r>
        <w:tab/>
        <w:t>Как стало известно членам Комитета, прав</w:t>
      </w:r>
      <w:r>
        <w:t>и</w:t>
      </w:r>
      <w:r>
        <w:t>тельство Онтарио сократило бюджет на основные социальные услуги. В результате некоторые гос</w:t>
      </w:r>
      <w:r>
        <w:t>у</w:t>
      </w:r>
      <w:r>
        <w:t>дарственные больницы были закрыты, и ряд услуг предоставляют больницы, принадлежащие катол</w:t>
      </w:r>
      <w:r>
        <w:t>и</w:t>
      </w:r>
      <w:r>
        <w:t>ческой церкви. Он обеспокоен последствиями этих мер для некоторых прав женщин. В заключение, отмечает г-н Захия, неясно, почему правительство Онтарио не провело официальное расследование гибели Дадли Джорджа, несмотря на то что суды, а также национальные и международные организации требовали провести такое расследование.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Г-н Солари Иригоэн</w:t>
      </w:r>
      <w:r>
        <w:t xml:space="preserve"> вновь выражают обе</w:t>
      </w:r>
      <w:r>
        <w:t>с</w:t>
      </w:r>
      <w:r>
        <w:t>покоенность в связи с тем, что доклад опирается на Канадскую хартию прав и свобод, а не на статьи Пакта. Необходимо выяснить позицию правител</w:t>
      </w:r>
      <w:r>
        <w:t>ь</w:t>
      </w:r>
      <w:r>
        <w:t>ства в отношении гибели Дадли Джорджа, поскол</w:t>
      </w:r>
      <w:r>
        <w:t>ь</w:t>
      </w:r>
      <w:r>
        <w:t>ку существуют опасения, что его смерть явилась следствием произвольной казни и что аборигены, о которых идет речь, были безоружными. Комитет был проинформирован о том, что один из свидет</w:t>
      </w:r>
      <w:r>
        <w:t>е</w:t>
      </w:r>
      <w:r>
        <w:t>лей-аборигенов был арестован менее чем за час до дачи показаний, что напугало других свидетелей. Кроме того, в адрес семьи Джорджа высказывались угрозы. Комитет хотел бы знать, насколько верна име</w:t>
      </w:r>
      <w:r>
        <w:t>ю</w:t>
      </w:r>
      <w:r>
        <w:t>щаяся у него информация.</w:t>
      </w:r>
    </w:p>
    <w:p w:rsidR="00000000" w:rsidRDefault="00000000">
      <w:pPr>
        <w:pStyle w:val="DualTxt"/>
      </w:pPr>
      <w:r>
        <w:t>57.</w:t>
      </w:r>
      <w:r>
        <w:tab/>
        <w:t>Комитет также хотел бы получить информ</w:t>
      </w:r>
      <w:r>
        <w:t>а</w:t>
      </w:r>
      <w:r>
        <w:t>цию о позиции федерального правительства отн</w:t>
      </w:r>
      <w:r>
        <w:t>о</w:t>
      </w:r>
      <w:r>
        <w:t>сительно проведенного в Квебеке референдума по вопросу о независимости; в частности, неясно, з</w:t>
      </w:r>
      <w:r>
        <w:t>а</w:t>
      </w:r>
      <w:r>
        <w:t>нимает ли оно нейтральную позицию или считает, что Квебек должен оставаться в составе Канады. В заключение Комитет хотел бы получить информ</w:t>
      </w:r>
      <w:r>
        <w:t>а</w:t>
      </w:r>
      <w:r>
        <w:t>цию о результатах расследования участия канадских солдат в злоупотреблениях в ходе миссии ЮНОСОМ-II в Сомали в 1993 году. Известно, что полк, о котором идет речь, был расформирован, о</w:t>
      </w:r>
      <w:r>
        <w:t>д</w:t>
      </w:r>
      <w:r>
        <w:t>нако следует представить информацию о том, что случилось с отдельными его солдатами, виновными в зл</w:t>
      </w:r>
      <w:r>
        <w:t>о</w:t>
      </w:r>
      <w:r>
        <w:t>употреблениях.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Г-н Лаллах</w:t>
      </w:r>
      <w:r>
        <w:t xml:space="preserve"> говорит, что он присоединяется к предыдущим замечаниям по вопросу о самоопред</w:t>
      </w:r>
      <w:r>
        <w:t>е</w:t>
      </w:r>
      <w:r>
        <w:t>лении в контексте статьи 27 Пакта, и подчеркивает, что касательно права аборигенов на самоопредел</w:t>
      </w:r>
      <w:r>
        <w:t>е</w:t>
      </w:r>
      <w:r>
        <w:t>ние крайне важно рассматривать статью 27 Пакта во взаимосвязи со статьей 1, поскольку образ жизни аборигенов является частью их культуры и в коне</w:t>
      </w:r>
      <w:r>
        <w:t>ч</w:t>
      </w:r>
      <w:r>
        <w:t>ном счете неразрывно связан с использованием земли и ресурсов. Что касается дела Киндлера, упомянутого в пункте 41 доклада, то неясно, нам</w:t>
      </w:r>
      <w:r>
        <w:t>е</w:t>
      </w:r>
      <w:r>
        <w:t>ревается ли Канада изменить свою политику в о</w:t>
      </w:r>
      <w:r>
        <w:t>б</w:t>
      </w:r>
      <w:r>
        <w:t>ласти экстрадиции, с тем чтобы пресечь депорт</w:t>
      </w:r>
      <w:r>
        <w:t>а</w:t>
      </w:r>
      <w:r>
        <w:t>цию лиц, которые у себя на родине могут быть ка</w:t>
      </w:r>
      <w:r>
        <w:t>з</w:t>
      </w:r>
      <w:r>
        <w:t>нены. Комитет хотел бы получить дальнейшие разъяснения по данному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59.</w:t>
      </w:r>
      <w:r>
        <w:tab/>
        <w:t>По словам г-жи Фрай, и федеральная, и пр</w:t>
      </w:r>
      <w:r>
        <w:t>о</w:t>
      </w:r>
      <w:r>
        <w:t>винциальные комиссии по правам человека пре</w:t>
      </w:r>
      <w:r>
        <w:t>д</w:t>
      </w:r>
      <w:r>
        <w:t>ставляют свои доклады в парламент. Было бы п</w:t>
      </w:r>
      <w:r>
        <w:t>о</w:t>
      </w:r>
      <w:r>
        <w:t>лезно получить более подробную информацию об эффективности таких фильтрующих мер и о том, благоприятно или, напротив, неблагоприятно это сказывается на соблюдении прав человека. В докл</w:t>
      </w:r>
      <w:r>
        <w:t>а</w:t>
      </w:r>
      <w:r>
        <w:t>де содержатся статистические данные о жалобах на примере провинции Квебек, однако ничего не гов</w:t>
      </w:r>
      <w:r>
        <w:t>о</w:t>
      </w:r>
      <w:r>
        <w:t>рится о результатах рассмотрения этих жалоб. К</w:t>
      </w:r>
      <w:r>
        <w:t>о</w:t>
      </w:r>
      <w:r>
        <w:t>митет хотел бы получить более полную информ</w:t>
      </w:r>
      <w:r>
        <w:t>а</w:t>
      </w:r>
      <w:r>
        <w:t>цию по данному вопросу.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Г-н Покар</w:t>
      </w:r>
      <w:r>
        <w:t xml:space="preserve"> говорит, что он согласен с тем, что в докладе Пакту уделяется недостаточное внимание, а показывается, каким образом права реализуются в контексте Канадской хартии прав и свобод. Между Хартией и Пактом существуют значительные разл</w:t>
      </w:r>
      <w:r>
        <w:t>и</w:t>
      </w:r>
      <w:r>
        <w:t>чия, например в том, что касается определения п</w:t>
      </w:r>
      <w:r>
        <w:t>ы</w:t>
      </w:r>
      <w:r>
        <w:t>ток. Представляющее доклад государство должно разъяснить, сопоставимы ли канадские нормы с междун</w:t>
      </w:r>
      <w:r>
        <w:t>а</w:t>
      </w:r>
      <w:r>
        <w:t>родными нормами, касающимися пыток.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Г-н Кретцмер</w:t>
      </w:r>
      <w:r>
        <w:t xml:space="preserve"> говорит, что из-за того, что о</w:t>
      </w:r>
      <w:r>
        <w:t>с</w:t>
      </w:r>
      <w:r>
        <w:t>новной упор в докладе делается на Канадской ха</w:t>
      </w:r>
      <w:r>
        <w:t>р</w:t>
      </w:r>
      <w:r>
        <w:t>тии, а не на Пакте, неясно, насколько серьезно г</w:t>
      </w:r>
      <w:r>
        <w:t>о</w:t>
      </w:r>
      <w:r>
        <w:t>сударство-участник воспринимает свои конкретные обязательства в соответствии с Пактом, особенно в том, что касается статей 2, 26 и 18. Наблюдается дискриминация в отношении некоторых религио</w:t>
      </w:r>
      <w:r>
        <w:t>з</w:t>
      </w:r>
      <w:r>
        <w:t>ных групп в области образования, поскольку, с</w:t>
      </w:r>
      <w:r>
        <w:t>о</w:t>
      </w:r>
      <w:r>
        <w:t>гласно Канадской хартии, предпочтение отдается двум религиям — римской католической и проте</w:t>
      </w:r>
      <w:r>
        <w:t>с</w:t>
      </w:r>
      <w:r>
        <w:t>тантской. Сейчас Канада является многонационал</w:t>
      </w:r>
      <w:r>
        <w:t>ь</w:t>
      </w:r>
      <w:r>
        <w:t>ным обществом, и возможно, что такая позиция н</w:t>
      </w:r>
      <w:r>
        <w:t>е</w:t>
      </w:r>
      <w:r>
        <w:t>совместима с ее обязательствами в соответствии с Па</w:t>
      </w:r>
      <w:r>
        <w:t>к</w:t>
      </w:r>
      <w:r>
        <w:t>том.</w:t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13 час. 00 мин.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NO&gt;&gt;N0044441R&lt;&lt;ODS JOB NO&gt;&gt;</w:t>
      </w:r>
    </w:p>
    <w:p w:rsidR="00000000" w:rsidRDefault="00000000">
      <w:pPr>
        <w:pStyle w:val="CommentText"/>
      </w:pPr>
      <w:r>
        <w:t>&lt;&lt;ODS DOC SYMBOL1&gt;&gt;CCPR/C/SR.1737&lt;&lt;ODS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00-44441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*0044441*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/C/SR.1737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November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670EC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4257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89691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7E5C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00E37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1">
    <w:nsid w:val="689561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0 11:54 AM"/>
    <w:docVar w:name="DocCategory" w:val="SROthers"/>
    <w:docVar w:name="DocType" w:val="Final"/>
    <w:docVar w:name="JobNo" w:val="0044441R"/>
    <w:docVar w:name="OandT" w:val=" "/>
    <w:docVar w:name="Symbol1" w:val="CCPR/C/SR.173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odyTextIndent2">
    <w:name w:val="Body Text Indent 2"/>
    <w:basedOn w:val="Normal"/>
    <w:semiHidden/>
    <w:pPr>
      <w:tabs>
        <w:tab w:val="left" w:pos="567"/>
        <w:tab w:val="left" w:pos="1134"/>
        <w:tab w:val="left" w:pos="1701"/>
        <w:tab w:val="left" w:pos="2268"/>
      </w:tabs>
      <w:spacing w:line="240" w:lineRule="auto"/>
      <w:ind w:left="1134" w:hanging="567"/>
      <w:jc w:val="both"/>
    </w:pPr>
    <w:rPr>
      <w:spacing w:val="0"/>
      <w:w w:val="1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5904</Words>
  <Characters>39560</Characters>
  <Application>Microsoft Office Word</Application>
  <DocSecurity>4</DocSecurity>
  <Lines>1014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47235</CharactersWithSpaces>
  <SharedDoc>false</SharedDoc>
  <HLinks>
    <vt:vector size="6" baseType="variant">
      <vt:variant>
        <vt:i4>4522087</vt:i4>
      </vt:variant>
      <vt:variant>
        <vt:i4>94262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2000-11-07T11:27:00Z</cp:lastPrinted>
  <dcterms:created xsi:type="dcterms:W3CDTF">2000-11-07T11:28:00Z</dcterms:created>
  <dcterms:modified xsi:type="dcterms:W3CDTF">2000-11-07T11:29:00Z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0044441</vt:lpwstr>
  </property>
  <property fmtid="{D5CDD505-2E9C-101B-9397-08002B2CF9AE}" pid="3" name="Symbol1">
    <vt:lpwstr>CCPR/C/SR.1737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Shibanova</vt:lpwstr>
  </property>
</Properties>
</file>