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9622A" w:rsidP="004B3EA7">
            <w:pPr>
              <w:bidi w:val="0"/>
              <w:spacing w:after="20"/>
              <w:jc w:val="left"/>
              <w:rPr>
                <w:szCs w:val="20"/>
              </w:rPr>
            </w:pPr>
            <w:r w:rsidRPr="0089622A">
              <w:rPr>
                <w:sz w:val="40"/>
                <w:szCs w:val="20"/>
              </w:rPr>
              <w:t>A</w:t>
            </w:r>
            <w:r>
              <w:rPr>
                <w:szCs w:val="20"/>
              </w:rPr>
              <w:t>/HRC/RES/35/19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B3EA7" w:rsidP="004B3EA7">
            <w:pPr>
              <w:bidi w:val="0"/>
              <w:spacing w:before="240"/>
              <w:jc w:val="left"/>
              <w:rPr>
                <w:szCs w:val="20"/>
              </w:rPr>
            </w:pPr>
            <w:r>
              <w:rPr>
                <w:szCs w:val="20"/>
              </w:rPr>
              <w:t>Distr.: General</w:t>
            </w:r>
          </w:p>
          <w:p w:rsidR="004B3EA7" w:rsidRDefault="00466443" w:rsidP="004B3EA7">
            <w:pPr>
              <w:bidi w:val="0"/>
              <w:jc w:val="left"/>
              <w:rPr>
                <w:szCs w:val="20"/>
              </w:rPr>
            </w:pPr>
            <w:r>
              <w:rPr>
                <w:szCs w:val="20"/>
              </w:rPr>
              <w:t xml:space="preserve">11 July </w:t>
            </w:r>
            <w:r w:rsidR="004B3EA7">
              <w:rPr>
                <w:szCs w:val="20"/>
              </w:rPr>
              <w:t>2017</w:t>
            </w:r>
          </w:p>
          <w:p w:rsidR="004B3EA7" w:rsidRDefault="004B3EA7" w:rsidP="004B3EA7">
            <w:pPr>
              <w:bidi w:val="0"/>
              <w:jc w:val="left"/>
              <w:rPr>
                <w:szCs w:val="20"/>
              </w:rPr>
            </w:pPr>
            <w:r>
              <w:rPr>
                <w:szCs w:val="20"/>
              </w:rPr>
              <w:t>Arabic</w:t>
            </w:r>
          </w:p>
          <w:p w:rsidR="004B3EA7" w:rsidRPr="003E159A" w:rsidRDefault="004B3EA7" w:rsidP="004B3EA7">
            <w:pPr>
              <w:bidi w:val="0"/>
              <w:jc w:val="left"/>
              <w:rPr>
                <w:szCs w:val="20"/>
              </w:rPr>
            </w:pPr>
            <w:r>
              <w:rPr>
                <w:szCs w:val="20"/>
              </w:rPr>
              <w:t>Original: English</w:t>
            </w:r>
          </w:p>
        </w:tc>
      </w:tr>
    </w:tbl>
    <w:p w:rsidR="004B3EA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4B3EA7" w:rsidRPr="00752378" w:rsidRDefault="004B3EA7" w:rsidP="007C2506">
      <w:pPr>
        <w:spacing w:line="380" w:lineRule="exact"/>
        <w:jc w:val="left"/>
        <w:rPr>
          <w:b/>
          <w:bCs/>
          <w:sz w:val="30"/>
        </w:rPr>
      </w:pPr>
      <w:r w:rsidRPr="00752378">
        <w:rPr>
          <w:rFonts w:ascii="Traditional Arabic" w:hAnsi="Traditional Arabic" w:hint="cs"/>
          <w:b/>
          <w:bCs/>
          <w:sz w:val="30"/>
          <w:rtl/>
        </w:rPr>
        <w:t>الدورة</w:t>
      </w:r>
      <w:r w:rsidRPr="00752378">
        <w:rPr>
          <w:b/>
          <w:bCs/>
          <w:sz w:val="30"/>
          <w:rtl/>
        </w:rPr>
        <w:t xml:space="preserve"> </w:t>
      </w:r>
      <w:r w:rsidRPr="00752378">
        <w:rPr>
          <w:rFonts w:ascii="Traditional Arabic" w:hAnsi="Traditional Arabic" w:hint="cs"/>
          <w:b/>
          <w:bCs/>
          <w:sz w:val="30"/>
          <w:rtl/>
        </w:rPr>
        <w:t>الخامسة</w:t>
      </w:r>
      <w:r w:rsidRPr="00752378">
        <w:rPr>
          <w:b/>
          <w:bCs/>
          <w:sz w:val="30"/>
          <w:rtl/>
        </w:rPr>
        <w:t xml:space="preserve"> </w:t>
      </w:r>
      <w:r w:rsidRPr="00752378">
        <w:rPr>
          <w:rFonts w:ascii="Traditional Arabic" w:hAnsi="Traditional Arabic" w:hint="cs"/>
          <w:b/>
          <w:bCs/>
          <w:sz w:val="30"/>
          <w:rtl/>
        </w:rPr>
        <w:t>والثلاثون</w:t>
      </w:r>
    </w:p>
    <w:p w:rsidR="004B3EA7" w:rsidRPr="00752378" w:rsidRDefault="004B3EA7" w:rsidP="007C2506">
      <w:pPr>
        <w:spacing w:line="380" w:lineRule="exact"/>
        <w:jc w:val="left"/>
        <w:rPr>
          <w:sz w:val="30"/>
        </w:rPr>
      </w:pPr>
      <w:r w:rsidRPr="00752378">
        <w:rPr>
          <w:sz w:val="30"/>
          <w:rtl/>
        </w:rPr>
        <w:t xml:space="preserve">6-23 </w:t>
      </w:r>
      <w:r w:rsidRPr="00752378">
        <w:rPr>
          <w:rFonts w:ascii="Traditional Arabic" w:hAnsi="Traditional Arabic" w:hint="cs"/>
          <w:sz w:val="30"/>
          <w:rtl/>
        </w:rPr>
        <w:t>حزيران</w:t>
      </w:r>
      <w:r w:rsidRPr="00752378">
        <w:rPr>
          <w:sz w:val="30"/>
          <w:rtl/>
        </w:rPr>
        <w:t>/</w:t>
      </w:r>
      <w:proofErr w:type="gramStart"/>
      <w:r w:rsidRPr="00752378">
        <w:rPr>
          <w:rFonts w:ascii="Traditional Arabic" w:hAnsi="Traditional Arabic" w:hint="cs"/>
          <w:sz w:val="30"/>
          <w:rtl/>
        </w:rPr>
        <w:t>يونيه</w:t>
      </w:r>
      <w:proofErr w:type="gramEnd"/>
      <w:r w:rsidRPr="00752378">
        <w:rPr>
          <w:sz w:val="30"/>
          <w:rtl/>
        </w:rPr>
        <w:t xml:space="preserve"> 2017</w:t>
      </w:r>
    </w:p>
    <w:p w:rsidR="004B3EA7" w:rsidRPr="00752378" w:rsidRDefault="004B3EA7" w:rsidP="007C2506">
      <w:pPr>
        <w:spacing w:line="380" w:lineRule="exact"/>
        <w:jc w:val="left"/>
        <w:rPr>
          <w:sz w:val="30"/>
          <w:rtl/>
        </w:rPr>
      </w:pPr>
      <w:r w:rsidRPr="00752378">
        <w:rPr>
          <w:rFonts w:ascii="Traditional Arabic" w:hAnsi="Traditional Arabic" w:hint="cs"/>
          <w:sz w:val="30"/>
          <w:rtl/>
        </w:rPr>
        <w:t>البند</w:t>
      </w:r>
      <w:r w:rsidRPr="00752378">
        <w:rPr>
          <w:sz w:val="30"/>
          <w:rtl/>
        </w:rPr>
        <w:t xml:space="preserve"> 3 </w:t>
      </w:r>
      <w:r w:rsidRPr="00752378">
        <w:rPr>
          <w:rFonts w:ascii="Traditional Arabic" w:hAnsi="Traditional Arabic" w:hint="cs"/>
          <w:sz w:val="30"/>
          <w:rtl/>
        </w:rPr>
        <w:t>من</w:t>
      </w:r>
      <w:r w:rsidRPr="00752378">
        <w:rPr>
          <w:sz w:val="30"/>
          <w:rtl/>
        </w:rPr>
        <w:t xml:space="preserve"> </w:t>
      </w:r>
      <w:r w:rsidRPr="00752378">
        <w:rPr>
          <w:rFonts w:ascii="Traditional Arabic" w:hAnsi="Traditional Arabic" w:hint="cs"/>
          <w:sz w:val="30"/>
          <w:rtl/>
        </w:rPr>
        <w:t>جدول</w:t>
      </w:r>
      <w:r w:rsidRPr="00752378">
        <w:rPr>
          <w:sz w:val="30"/>
          <w:rtl/>
        </w:rPr>
        <w:t xml:space="preserve"> </w:t>
      </w:r>
      <w:r w:rsidRPr="00752378">
        <w:rPr>
          <w:rFonts w:ascii="Traditional Arabic" w:hAnsi="Traditional Arabic" w:hint="cs"/>
          <w:sz w:val="30"/>
          <w:rtl/>
        </w:rPr>
        <w:t>الأعمال</w:t>
      </w:r>
    </w:p>
    <w:p w:rsidR="004B3EA7" w:rsidRPr="00752378" w:rsidRDefault="004B3EA7" w:rsidP="00B0216D">
      <w:pPr>
        <w:pStyle w:val="HChGA"/>
        <w:ind w:left="0" w:right="0" w:firstLine="0"/>
        <w:jc w:val="center"/>
        <w:rPr>
          <w:rtl/>
        </w:rPr>
      </w:pPr>
      <w:r w:rsidRPr="00752378">
        <w:rPr>
          <w:rtl/>
        </w:rPr>
        <w:t>قرار</w:t>
      </w:r>
      <w:r w:rsidR="007C2506">
        <w:rPr>
          <w:rFonts w:hint="cs"/>
          <w:rtl/>
        </w:rPr>
        <w:t xml:space="preserve"> </w:t>
      </w:r>
      <w:r>
        <w:rPr>
          <w:rFonts w:hint="cs"/>
          <w:rtl/>
        </w:rPr>
        <w:t>اعتمده مجلس حقوق الإنسان في 22 حزيران/</w:t>
      </w:r>
      <w:proofErr w:type="gramStart"/>
      <w:r>
        <w:rPr>
          <w:rFonts w:hint="cs"/>
          <w:rtl/>
        </w:rPr>
        <w:t>يونيه</w:t>
      </w:r>
      <w:proofErr w:type="gramEnd"/>
      <w:r>
        <w:rPr>
          <w:rFonts w:hint="cs"/>
          <w:rtl/>
        </w:rPr>
        <w:t xml:space="preserve"> 2017</w:t>
      </w:r>
    </w:p>
    <w:p w:rsidR="004B3EA7" w:rsidRPr="00752378" w:rsidRDefault="00B0216D" w:rsidP="00B0216D">
      <w:pPr>
        <w:pStyle w:val="H1GA"/>
        <w:ind w:left="1604" w:hanging="2409"/>
      </w:pPr>
      <w:r>
        <w:rPr>
          <w:rtl/>
        </w:rPr>
        <w:tab/>
      </w:r>
      <w:r w:rsidR="004B3EA7">
        <w:rPr>
          <w:rtl/>
        </w:rPr>
        <w:tab/>
        <w:t>٣٥/</w:t>
      </w:r>
      <w:r w:rsidR="004B3EA7">
        <w:rPr>
          <w:rFonts w:hint="cs"/>
          <w:rtl/>
        </w:rPr>
        <w:t>19-</w:t>
      </w:r>
      <w:r w:rsidR="004B3EA7">
        <w:rPr>
          <w:rFonts w:hint="cs"/>
          <w:rtl/>
        </w:rPr>
        <w:tab/>
      </w:r>
      <w:r w:rsidR="004B3EA7" w:rsidRPr="00752378">
        <w:rPr>
          <w:rFonts w:hint="cs"/>
          <w:rtl/>
        </w:rPr>
        <w:t>الفقر</w:t>
      </w:r>
      <w:r w:rsidR="004B3EA7" w:rsidRPr="00752378">
        <w:rPr>
          <w:rtl/>
        </w:rPr>
        <w:t xml:space="preserve"> </w:t>
      </w:r>
      <w:r w:rsidR="004B3EA7" w:rsidRPr="00752378">
        <w:rPr>
          <w:rFonts w:hint="cs"/>
          <w:rtl/>
        </w:rPr>
        <w:t>المدقع</w:t>
      </w:r>
      <w:r w:rsidR="004B3EA7" w:rsidRPr="00752378">
        <w:rPr>
          <w:rtl/>
        </w:rPr>
        <w:t xml:space="preserve"> </w:t>
      </w:r>
      <w:r w:rsidR="004B3EA7" w:rsidRPr="00752378">
        <w:rPr>
          <w:rFonts w:hint="cs"/>
          <w:rtl/>
        </w:rPr>
        <w:t>وحقوق</w:t>
      </w:r>
      <w:r w:rsidR="004B3EA7" w:rsidRPr="00752378">
        <w:rPr>
          <w:rtl/>
        </w:rPr>
        <w:t xml:space="preserve"> </w:t>
      </w:r>
      <w:r w:rsidR="004B3EA7" w:rsidRPr="00752378">
        <w:rPr>
          <w:rFonts w:hint="cs"/>
          <w:rtl/>
        </w:rPr>
        <w:t>الإنسان</w:t>
      </w:r>
    </w:p>
    <w:p w:rsidR="004B3EA7" w:rsidRPr="00613DE1" w:rsidRDefault="004B3EA7" w:rsidP="004B3EA7">
      <w:pPr>
        <w:pStyle w:val="SingleTxtGA"/>
        <w:rPr>
          <w:i/>
          <w:iCs/>
        </w:rPr>
      </w:pPr>
      <w:r w:rsidRPr="00613DE1">
        <w:rPr>
          <w:i/>
          <w:iCs/>
          <w:rtl/>
        </w:rPr>
        <w:tab/>
      </w:r>
      <w:r w:rsidRPr="00613DE1">
        <w:rPr>
          <w:rFonts w:hint="cs"/>
          <w:i/>
          <w:iCs/>
          <w:rtl/>
        </w:rPr>
        <w:t>إن</w:t>
      </w:r>
      <w:r w:rsidRPr="00613DE1">
        <w:rPr>
          <w:i/>
          <w:iCs/>
          <w:rtl/>
        </w:rPr>
        <w:t xml:space="preserve"> </w:t>
      </w:r>
      <w:r w:rsidRPr="00613DE1">
        <w:rPr>
          <w:rFonts w:hint="cs"/>
          <w:i/>
          <w:iCs/>
          <w:rtl/>
        </w:rPr>
        <w:t>مجلس</w:t>
      </w:r>
      <w:r w:rsidRPr="00613DE1">
        <w:rPr>
          <w:i/>
          <w:iCs/>
          <w:rtl/>
        </w:rPr>
        <w:t xml:space="preserve"> </w:t>
      </w:r>
      <w:r w:rsidRPr="00613DE1">
        <w:rPr>
          <w:rFonts w:hint="cs"/>
          <w:i/>
          <w:iCs/>
          <w:rtl/>
        </w:rPr>
        <w:t>حقوق</w:t>
      </w:r>
      <w:r w:rsidRPr="00613DE1">
        <w:rPr>
          <w:i/>
          <w:iCs/>
          <w:rtl/>
        </w:rPr>
        <w:t xml:space="preserve"> </w:t>
      </w:r>
      <w:r w:rsidRPr="00613DE1">
        <w:rPr>
          <w:rFonts w:hint="cs"/>
          <w:i/>
          <w:iCs/>
          <w:rtl/>
        </w:rPr>
        <w:t>الإنسان،</w:t>
      </w:r>
    </w:p>
    <w:p w:rsidR="004B3EA7" w:rsidRPr="00752378" w:rsidRDefault="004B3EA7" w:rsidP="004B3EA7">
      <w:pPr>
        <w:pStyle w:val="SingleTxtGA"/>
      </w:pPr>
      <w:r w:rsidRPr="00752378">
        <w:rPr>
          <w:rtl/>
        </w:rPr>
        <w:tab/>
      </w:r>
      <w:r w:rsidRPr="00613DE1">
        <w:rPr>
          <w:i/>
          <w:iCs/>
          <w:rtl/>
        </w:rPr>
        <w:t>إذ يشير</w:t>
      </w:r>
      <w:r w:rsidRPr="00752378">
        <w:rPr>
          <w:rtl/>
        </w:rPr>
        <w:t xml:space="preserve"> إل</w:t>
      </w:r>
      <w:bookmarkStart w:id="0" w:name="_GoBack"/>
      <w:bookmarkEnd w:id="0"/>
      <w:r w:rsidRPr="00752378">
        <w:rPr>
          <w:rtl/>
        </w:rPr>
        <w:t>ى أن المثل الأعلى المتجسّد، وفقاً للإعلان العالمي لحقوق الإنسان والعهدين الدوليين الخاصين بحقوق الإنسان، في عالم يتسنى فيه للبشر كافة أن يكونوا متحررين من الخوف والفاقة، لا يمكن أن يتحقق إلا إذا هُيّئت الأوضاع التي تمكِّن كل شخص من التمتع بحقوقه الاقتصادية والاجتماعية والثقافية، فضلاً عن حقوقه المدنية والسياسية، وإذ يؤكد من جديد في هذا الصدد كلاً من العهد الدولي الخاص بالحقوق الاقتصادية والاجتماعية والثقافية والعهد الدولي الخاص بالحقوق المدنية والسياسية،</w:t>
      </w:r>
      <w:r w:rsidR="007C2506">
        <w:rPr>
          <w:rFonts w:hint="cs"/>
          <w:rtl/>
        </w:rPr>
        <w:t xml:space="preserve"> </w:t>
      </w:r>
    </w:p>
    <w:p w:rsidR="004B3EA7" w:rsidRPr="00613DE1" w:rsidRDefault="004B3EA7" w:rsidP="004B3EA7">
      <w:pPr>
        <w:pStyle w:val="SingleTxtGA"/>
      </w:pPr>
      <w:r w:rsidRPr="00613DE1">
        <w:rPr>
          <w:rtl/>
        </w:rPr>
        <w:tab/>
      </w:r>
      <w:r w:rsidRPr="00613DE1">
        <w:rPr>
          <w:i/>
          <w:iCs/>
          <w:rtl/>
        </w:rPr>
        <w:t>وإذ يشير أيضاً</w:t>
      </w:r>
      <w:r w:rsidRPr="00613DE1">
        <w:rPr>
          <w:rtl/>
        </w:rPr>
        <w:t xml:space="preserve"> إلى جميع القرارات السابقة</w:t>
      </w:r>
      <w:r>
        <w:rPr>
          <w:rFonts w:hint="cs"/>
          <w:rtl/>
        </w:rPr>
        <w:t xml:space="preserve"> المتعلقة</w:t>
      </w:r>
      <w:r w:rsidRPr="00613DE1">
        <w:rPr>
          <w:rtl/>
        </w:rPr>
        <w:t xml:space="preserve"> </w:t>
      </w:r>
      <w:r>
        <w:rPr>
          <w:rFonts w:hint="cs"/>
          <w:rtl/>
        </w:rPr>
        <w:t>ب</w:t>
      </w:r>
      <w:r w:rsidRPr="00613DE1">
        <w:rPr>
          <w:rtl/>
        </w:rPr>
        <w:t>مسألة حقوق الإنسان والفقر المدقع التي اعتمدتها كل من الجمعية العامة ، بما فيها القراران 69/183 المؤرخ 18 كانون الأول/</w:t>
      </w:r>
      <w:r>
        <w:rPr>
          <w:rFonts w:hint="cs"/>
          <w:rtl/>
        </w:rPr>
        <w:t xml:space="preserve"> </w:t>
      </w:r>
      <w:r w:rsidRPr="00613DE1">
        <w:rPr>
          <w:rtl/>
        </w:rPr>
        <w:t>ديسمبر 2014 و71/186 المؤرخ 19 كانون الأول/ديسمبر 2016، ولجنة حقوق الإنسان، فضلاً عن قرارات مجلس حقوق الإنسان، بما فيها قراراته 2/2 المؤرخ 27 تشرين الثاني/</w:t>
      </w:r>
      <w:r>
        <w:rPr>
          <w:rFonts w:hint="cs"/>
          <w:rtl/>
        </w:rPr>
        <w:t xml:space="preserve"> </w:t>
      </w:r>
      <w:r w:rsidRPr="00613DE1">
        <w:rPr>
          <w:spacing w:val="-6"/>
          <w:rtl/>
        </w:rPr>
        <w:t>نوفمبر</w:t>
      </w:r>
      <w:r w:rsidRPr="00613DE1">
        <w:rPr>
          <w:rFonts w:hint="cs"/>
          <w:spacing w:val="-6"/>
          <w:rtl/>
        </w:rPr>
        <w:t> </w:t>
      </w:r>
      <w:r w:rsidRPr="00613DE1">
        <w:rPr>
          <w:spacing w:val="-6"/>
          <w:rtl/>
        </w:rPr>
        <w:t>2006، و7/27 المؤرخ 28 آذار/مارس 2008، و8/11 المؤرخ 18 حزيران/يونيه 2008،</w:t>
      </w:r>
      <w:r w:rsidRPr="00613DE1">
        <w:rPr>
          <w:rtl/>
        </w:rPr>
        <w:t xml:space="preserve"> و12/19 المؤرخ 2 تشرين الأول/أكتوبر 2009، و15/19 المؤرخ 30 أيلول/سبتمبر 2010، و17/13 المؤرخ 17 حزيران/يونيه 2011، و21/11 المؤرخ 27 أيلول/سبتمبر 2012، و26/3 المؤرخ 26 حزيران/يونيه 2014، وإذ يشير إلى إعلان الحق في التنمية،</w:t>
      </w:r>
    </w:p>
    <w:p w:rsidR="004B3EA7" w:rsidRPr="00752378" w:rsidRDefault="004B3EA7" w:rsidP="004A1A01">
      <w:pPr>
        <w:pStyle w:val="SingleTxtGA"/>
      </w:pPr>
      <w:r w:rsidRPr="00752378">
        <w:rPr>
          <w:rtl/>
        </w:rPr>
        <w:tab/>
      </w:r>
      <w:r w:rsidRPr="00613DE1">
        <w:rPr>
          <w:i/>
          <w:iCs/>
          <w:rtl/>
        </w:rPr>
        <w:t>وإذ يشير كذلك</w:t>
      </w:r>
      <w:r w:rsidRPr="00752378">
        <w:rPr>
          <w:rtl/>
        </w:rPr>
        <w:t xml:space="preserve"> إلى أن الجمعية العامة أعلنت، في قرارها 62/205 المؤرخ 19 كانون الأول/ديسمبر 2007، بدء عقد الأمم المتحدة الثاني للقضاء على الفقر (2017</w:t>
      </w:r>
      <w:r w:rsidR="004A1A01">
        <w:rPr>
          <w:rFonts w:hint="cs"/>
          <w:rtl/>
        </w:rPr>
        <w:t>-2008</w:t>
      </w:r>
      <w:r w:rsidRPr="00752378">
        <w:rPr>
          <w:rtl/>
        </w:rPr>
        <w:t>) لكي تدعم، بطريقة فعالة ومنسَّقة، الأهداف الإنمائية المتفق عليها دولياً والمتعلقة بالقضاء على الفقر، بما فيها الأهداف الإنمائية للألفية،</w:t>
      </w:r>
    </w:p>
    <w:p w:rsidR="004B3EA7" w:rsidRPr="00752378" w:rsidRDefault="004B3EA7" w:rsidP="004B3EA7">
      <w:pPr>
        <w:pStyle w:val="SingleTxtGA"/>
      </w:pPr>
      <w:r>
        <w:rPr>
          <w:rtl/>
        </w:rPr>
        <w:lastRenderedPageBreak/>
        <w:tab/>
      </w:r>
      <w:r w:rsidRPr="00613DE1">
        <w:rPr>
          <w:i/>
          <w:iCs/>
          <w:rtl/>
        </w:rPr>
        <w:t>وإذ يشير</w:t>
      </w:r>
      <w:r w:rsidRPr="00752378">
        <w:rPr>
          <w:rtl/>
        </w:rPr>
        <w:t xml:space="preserve"> إلى أن الجمعية العامة قد أحاطت علماً مع التقدير، في قرارها 67/164 المؤرخ 20 كانون الأول/ديسمبر 2012، بالمبادئ التوجيهية المتعلقة بالفقر المدقع وحقوق الإنسان، وهي المبادئ التي اعتمدها مجلس حقوق الإنسان في قراره 21/11 باعتبارها أداة مفيدة يمكن أن تستعين بها الدول، حسبما يكون مناسباً، في صياغة سياسات الحد من الفقر والقضاء عليه وتنفيذها،</w:t>
      </w:r>
    </w:p>
    <w:p w:rsidR="004B3EA7" w:rsidRPr="004B3EA7" w:rsidRDefault="004B3EA7" w:rsidP="004B3EA7">
      <w:pPr>
        <w:pStyle w:val="SingleTxtGA"/>
        <w:rPr>
          <w:spacing w:val="-4"/>
        </w:rPr>
      </w:pPr>
      <w:r w:rsidRPr="00613DE1">
        <w:rPr>
          <w:rtl/>
        </w:rPr>
        <w:tab/>
      </w:r>
      <w:r w:rsidRPr="00613DE1">
        <w:rPr>
          <w:rFonts w:ascii="Traditional Arabic" w:hAnsi="Traditional Arabic" w:hint="cs"/>
          <w:i/>
          <w:iCs/>
          <w:rtl/>
        </w:rPr>
        <w:t>وإذ</w:t>
      </w:r>
      <w:r w:rsidRPr="00613DE1">
        <w:rPr>
          <w:i/>
          <w:iCs/>
          <w:rtl/>
        </w:rPr>
        <w:t xml:space="preserve"> </w:t>
      </w:r>
      <w:r w:rsidRPr="00613DE1">
        <w:rPr>
          <w:rFonts w:ascii="Traditional Arabic" w:hAnsi="Traditional Arabic" w:hint="cs"/>
          <w:i/>
          <w:iCs/>
          <w:rtl/>
        </w:rPr>
        <w:t>يؤكد</w:t>
      </w:r>
      <w:r w:rsidRPr="00613DE1">
        <w:rPr>
          <w:i/>
          <w:iCs/>
          <w:rtl/>
        </w:rPr>
        <w:t xml:space="preserve"> </w:t>
      </w:r>
      <w:r w:rsidRPr="00613DE1">
        <w:rPr>
          <w:rFonts w:ascii="Traditional Arabic" w:hAnsi="Traditional Arabic" w:hint="cs"/>
          <w:i/>
          <w:iCs/>
          <w:rtl/>
        </w:rPr>
        <w:t>من</w:t>
      </w:r>
      <w:r w:rsidRPr="00613DE1">
        <w:rPr>
          <w:i/>
          <w:iCs/>
          <w:rtl/>
        </w:rPr>
        <w:t xml:space="preserve"> </w:t>
      </w:r>
      <w:r w:rsidRPr="00613DE1">
        <w:rPr>
          <w:rFonts w:ascii="Traditional Arabic" w:hAnsi="Traditional Arabic" w:hint="cs"/>
          <w:i/>
          <w:iCs/>
          <w:rtl/>
        </w:rPr>
        <w:t>جديد</w:t>
      </w:r>
      <w:r w:rsidRPr="00613DE1">
        <w:rPr>
          <w:rtl/>
        </w:rPr>
        <w:t xml:space="preserve"> </w:t>
      </w:r>
      <w:r w:rsidRPr="00613DE1">
        <w:rPr>
          <w:rFonts w:ascii="Traditional Arabic" w:hAnsi="Traditional Arabic" w:hint="cs"/>
          <w:rtl/>
        </w:rPr>
        <w:t>في</w:t>
      </w:r>
      <w:r w:rsidRPr="00613DE1">
        <w:rPr>
          <w:rtl/>
        </w:rPr>
        <w:t xml:space="preserve"> </w:t>
      </w:r>
      <w:r w:rsidRPr="00613DE1">
        <w:rPr>
          <w:rFonts w:ascii="Traditional Arabic" w:hAnsi="Traditional Arabic" w:hint="cs"/>
          <w:rtl/>
        </w:rPr>
        <w:t>هذا</w:t>
      </w:r>
      <w:r w:rsidRPr="00613DE1">
        <w:rPr>
          <w:rtl/>
        </w:rPr>
        <w:t xml:space="preserve"> </w:t>
      </w:r>
      <w:r w:rsidRPr="00613DE1">
        <w:rPr>
          <w:rFonts w:ascii="Traditional Arabic" w:hAnsi="Traditional Arabic" w:hint="cs"/>
          <w:rtl/>
        </w:rPr>
        <w:t>الصدد</w:t>
      </w:r>
      <w:r w:rsidRPr="00613DE1">
        <w:rPr>
          <w:rtl/>
        </w:rPr>
        <w:t xml:space="preserve"> </w:t>
      </w:r>
      <w:r w:rsidRPr="00613DE1">
        <w:rPr>
          <w:rFonts w:ascii="Traditional Arabic" w:hAnsi="Traditional Arabic" w:hint="cs"/>
          <w:rtl/>
        </w:rPr>
        <w:t>الالتزامات</w:t>
      </w:r>
      <w:r w:rsidRPr="00613DE1">
        <w:rPr>
          <w:rtl/>
        </w:rPr>
        <w:t xml:space="preserve"> </w:t>
      </w:r>
      <w:r w:rsidRPr="00613DE1">
        <w:rPr>
          <w:rFonts w:ascii="Traditional Arabic" w:hAnsi="Traditional Arabic" w:hint="cs"/>
          <w:rtl/>
        </w:rPr>
        <w:t>المتعهد</w:t>
      </w:r>
      <w:r w:rsidRPr="00613DE1">
        <w:rPr>
          <w:rtl/>
        </w:rPr>
        <w:t xml:space="preserve"> </w:t>
      </w:r>
      <w:r w:rsidRPr="00613DE1">
        <w:rPr>
          <w:rFonts w:ascii="Traditional Arabic" w:hAnsi="Traditional Arabic" w:hint="cs"/>
          <w:rtl/>
        </w:rPr>
        <w:t>بها</w:t>
      </w:r>
      <w:r w:rsidRPr="00613DE1">
        <w:rPr>
          <w:rtl/>
        </w:rPr>
        <w:t xml:space="preserve"> </w:t>
      </w:r>
      <w:r w:rsidRPr="00613DE1">
        <w:rPr>
          <w:rFonts w:ascii="Traditional Arabic" w:hAnsi="Traditional Arabic" w:hint="cs"/>
          <w:rtl/>
        </w:rPr>
        <w:t>في</w:t>
      </w:r>
      <w:r w:rsidRPr="00613DE1">
        <w:rPr>
          <w:rtl/>
        </w:rPr>
        <w:t xml:space="preserve"> </w:t>
      </w:r>
      <w:r w:rsidRPr="00613DE1">
        <w:rPr>
          <w:rFonts w:ascii="Traditional Arabic" w:hAnsi="Traditional Arabic" w:hint="cs"/>
          <w:rtl/>
        </w:rPr>
        <w:t>مؤتمرات</w:t>
      </w:r>
      <w:r w:rsidRPr="00613DE1">
        <w:rPr>
          <w:rtl/>
        </w:rPr>
        <w:t xml:space="preserve"> </w:t>
      </w:r>
      <w:r w:rsidRPr="00613DE1">
        <w:rPr>
          <w:rFonts w:ascii="Traditional Arabic" w:hAnsi="Traditional Arabic" w:hint="cs"/>
          <w:rtl/>
        </w:rPr>
        <w:t>الأمم</w:t>
      </w:r>
      <w:r w:rsidRPr="00613DE1">
        <w:rPr>
          <w:rtl/>
        </w:rPr>
        <w:t xml:space="preserve"> </w:t>
      </w:r>
      <w:r w:rsidRPr="00613DE1">
        <w:rPr>
          <w:rFonts w:ascii="Traditional Arabic" w:hAnsi="Traditional Arabic" w:hint="cs"/>
          <w:rtl/>
        </w:rPr>
        <w:t>المتحدة</w:t>
      </w:r>
      <w:r w:rsidRPr="00613DE1">
        <w:rPr>
          <w:rtl/>
        </w:rPr>
        <w:t xml:space="preserve"> </w:t>
      </w:r>
      <w:r w:rsidRPr="00613DE1">
        <w:rPr>
          <w:rFonts w:ascii="Traditional Arabic" w:hAnsi="Traditional Arabic" w:hint="cs"/>
          <w:rtl/>
        </w:rPr>
        <w:t>ومؤتمرات</w:t>
      </w:r>
      <w:r w:rsidRPr="00613DE1">
        <w:rPr>
          <w:rtl/>
        </w:rPr>
        <w:t xml:space="preserve"> </w:t>
      </w:r>
      <w:r w:rsidRPr="00613DE1">
        <w:rPr>
          <w:rFonts w:ascii="Traditional Arabic" w:hAnsi="Traditional Arabic" w:hint="cs"/>
          <w:rtl/>
        </w:rPr>
        <w:t>القمة</w:t>
      </w:r>
      <w:r w:rsidRPr="00613DE1">
        <w:rPr>
          <w:rtl/>
        </w:rPr>
        <w:t xml:space="preserve"> </w:t>
      </w:r>
      <w:r w:rsidRPr="00613DE1">
        <w:rPr>
          <w:rFonts w:ascii="Traditional Arabic" w:hAnsi="Traditional Arabic" w:hint="cs"/>
          <w:rtl/>
        </w:rPr>
        <w:t>ذات</w:t>
      </w:r>
      <w:r w:rsidRPr="00613DE1">
        <w:rPr>
          <w:rtl/>
        </w:rPr>
        <w:t xml:space="preserve"> </w:t>
      </w:r>
      <w:r w:rsidRPr="00613DE1">
        <w:rPr>
          <w:rFonts w:ascii="Traditional Arabic" w:hAnsi="Traditional Arabic" w:hint="cs"/>
          <w:rtl/>
        </w:rPr>
        <w:t>الصلة</w:t>
      </w:r>
      <w:r w:rsidRPr="00613DE1">
        <w:rPr>
          <w:rtl/>
        </w:rPr>
        <w:t xml:space="preserve"> </w:t>
      </w:r>
      <w:r w:rsidRPr="00613DE1">
        <w:rPr>
          <w:rFonts w:ascii="Traditional Arabic" w:hAnsi="Traditional Arabic" w:hint="cs"/>
          <w:rtl/>
        </w:rPr>
        <w:t>التي</w:t>
      </w:r>
      <w:r w:rsidRPr="00613DE1">
        <w:rPr>
          <w:rtl/>
        </w:rPr>
        <w:t xml:space="preserve"> </w:t>
      </w:r>
      <w:r w:rsidRPr="00613DE1">
        <w:rPr>
          <w:rFonts w:ascii="Traditional Arabic" w:hAnsi="Traditional Arabic" w:hint="cs"/>
          <w:rtl/>
        </w:rPr>
        <w:t>عقدتها</w:t>
      </w:r>
      <w:r w:rsidRPr="00613DE1">
        <w:rPr>
          <w:rtl/>
        </w:rPr>
        <w:t xml:space="preserve"> الأمم المتحدة، بما فيها الالتزامات المتعهّد بها في مؤتمر القمة العالمي للتنمية الاجتماعية الذي عُقد في كوبنهاغن في عام 1995، وفي مؤتمر قمة الألفية، الذي تعهد فيه رؤساء الدول والحكومات بالقضاء على الفقر المدقع وخفض نسبة سكان العالم الذين يقل دخلهم عن دولار واحد في اليوم والذين يعانون من الجوع إلى النصف بحلول عام</w:t>
      </w:r>
      <w:r>
        <w:rPr>
          <w:rFonts w:hint="cs"/>
          <w:rtl/>
        </w:rPr>
        <w:t> </w:t>
      </w:r>
      <w:r w:rsidRPr="00613DE1">
        <w:rPr>
          <w:rtl/>
        </w:rPr>
        <w:t xml:space="preserve">2015، وفي مؤتمر القمة العالمي لعام 2005، وإذ يرحب باستنتاجات مؤتمر القمة </w:t>
      </w:r>
      <w:r w:rsidRPr="004B3EA7">
        <w:rPr>
          <w:spacing w:val="-4"/>
          <w:rtl/>
        </w:rPr>
        <w:t>المعني بالأهداف الإنمائية للألفية المعقود في نيويورك في الفترة من 20 إلى 22 أيلول/سبتمبر 2010،</w:t>
      </w:r>
    </w:p>
    <w:p w:rsidR="004B3EA7" w:rsidRPr="00F311D1" w:rsidRDefault="004B3EA7" w:rsidP="004B3EA7">
      <w:pPr>
        <w:pStyle w:val="SingleTxtGA"/>
      </w:pPr>
      <w:r w:rsidRPr="00F311D1">
        <w:rPr>
          <w:rtl/>
        </w:rPr>
        <w:tab/>
      </w:r>
      <w:r w:rsidRPr="00F311D1">
        <w:rPr>
          <w:i/>
          <w:iCs/>
          <w:rtl/>
        </w:rPr>
        <w:t>وإذ يشير</w:t>
      </w:r>
      <w:r w:rsidRPr="00F311D1">
        <w:rPr>
          <w:rtl/>
        </w:rPr>
        <w:t xml:space="preserve"> إلى أن الجمعية العامة اعتمدت في قرارها ٧٠/١ المؤرخ 25 أيلول/</w:t>
      </w:r>
      <w:r>
        <w:rPr>
          <w:rFonts w:hint="cs"/>
          <w:rtl/>
        </w:rPr>
        <w:t xml:space="preserve"> </w:t>
      </w:r>
      <w:r w:rsidRPr="00F311D1">
        <w:rPr>
          <w:rtl/>
        </w:rPr>
        <w:t>سبتمبر</w:t>
      </w:r>
      <w:r w:rsidRPr="00F311D1">
        <w:rPr>
          <w:rFonts w:hint="cs"/>
          <w:rtl/>
        </w:rPr>
        <w:t> </w:t>
      </w:r>
      <w:r w:rsidRPr="00F311D1">
        <w:rPr>
          <w:rtl/>
        </w:rPr>
        <w:t xml:space="preserve">٢٠١٥، خطة التنمية المستدامة لعام ٢٠٣٠ وعقدت العزم على إنهاء الفقر بجميع أشكاله وأبعاده بحلول عام٢٠٣٠، وإذ يسلم بأن القضاء على الفقر هو أكبر تحد على الصعيد العالمي وشرط لا غنى عنه لتحقيق التنمية المستدامة، </w:t>
      </w:r>
    </w:p>
    <w:p w:rsidR="004B3EA7" w:rsidRPr="00752378" w:rsidRDefault="004B3EA7" w:rsidP="004B3EA7">
      <w:pPr>
        <w:pStyle w:val="SingleTxtGA"/>
      </w:pPr>
      <w:r w:rsidRPr="00752378">
        <w:rPr>
          <w:rtl/>
        </w:rPr>
        <w:tab/>
      </w:r>
      <w:r w:rsidRPr="00613DE1">
        <w:rPr>
          <w:i/>
          <w:iCs/>
          <w:rtl/>
        </w:rPr>
        <w:t>و</w:t>
      </w:r>
      <w:r w:rsidRPr="00613DE1">
        <w:rPr>
          <w:rFonts w:hint="cs"/>
          <w:i/>
          <w:iCs/>
          <w:rtl/>
        </w:rPr>
        <w:t>إذ</w:t>
      </w:r>
      <w:r w:rsidRPr="00613DE1">
        <w:rPr>
          <w:i/>
          <w:iCs/>
          <w:rtl/>
        </w:rPr>
        <w:t xml:space="preserve"> </w:t>
      </w:r>
      <w:r w:rsidRPr="00613DE1">
        <w:rPr>
          <w:rFonts w:hint="cs"/>
          <w:i/>
          <w:iCs/>
          <w:rtl/>
        </w:rPr>
        <w:t>يساوره</w:t>
      </w:r>
      <w:r w:rsidRPr="00613DE1">
        <w:rPr>
          <w:i/>
          <w:iCs/>
          <w:rtl/>
        </w:rPr>
        <w:t xml:space="preserve"> </w:t>
      </w:r>
      <w:r w:rsidRPr="00613DE1">
        <w:rPr>
          <w:rFonts w:hint="cs"/>
          <w:i/>
          <w:iCs/>
          <w:rtl/>
        </w:rPr>
        <w:t>بالغ</w:t>
      </w:r>
      <w:r w:rsidRPr="00613DE1">
        <w:rPr>
          <w:i/>
          <w:iCs/>
          <w:rtl/>
        </w:rPr>
        <w:t xml:space="preserve"> </w:t>
      </w:r>
      <w:r w:rsidRPr="00613DE1">
        <w:rPr>
          <w:rFonts w:hint="cs"/>
          <w:i/>
          <w:iCs/>
          <w:rtl/>
        </w:rPr>
        <w:t>القلق</w:t>
      </w:r>
      <w:r w:rsidRPr="00752378">
        <w:rPr>
          <w:rtl/>
        </w:rPr>
        <w:t xml:space="preserve"> </w:t>
      </w:r>
      <w:r w:rsidRPr="00752378">
        <w:rPr>
          <w:rFonts w:hint="cs"/>
          <w:rtl/>
        </w:rPr>
        <w:t>من</w:t>
      </w:r>
      <w:r w:rsidRPr="00752378">
        <w:rPr>
          <w:rtl/>
        </w:rPr>
        <w:t xml:space="preserve"> </w:t>
      </w:r>
      <w:r w:rsidRPr="00752378">
        <w:rPr>
          <w:rFonts w:hint="cs"/>
          <w:rtl/>
        </w:rPr>
        <w:t>أن</w:t>
      </w:r>
      <w:r w:rsidRPr="00752378">
        <w:rPr>
          <w:rtl/>
        </w:rPr>
        <w:t xml:space="preserve"> </w:t>
      </w:r>
      <w:r w:rsidRPr="00752378">
        <w:rPr>
          <w:rFonts w:hint="cs"/>
          <w:rtl/>
        </w:rPr>
        <w:t>الفقر</w:t>
      </w:r>
      <w:r w:rsidRPr="00752378">
        <w:rPr>
          <w:rtl/>
        </w:rPr>
        <w:t xml:space="preserve"> </w:t>
      </w:r>
      <w:r w:rsidRPr="00752378">
        <w:rPr>
          <w:rFonts w:hint="cs"/>
          <w:rtl/>
        </w:rPr>
        <w:t>المدقع</w:t>
      </w:r>
      <w:r w:rsidRPr="00752378">
        <w:rPr>
          <w:rtl/>
        </w:rPr>
        <w:t xml:space="preserve"> </w:t>
      </w:r>
      <w:r w:rsidRPr="00752378">
        <w:rPr>
          <w:rFonts w:hint="cs"/>
          <w:rtl/>
        </w:rPr>
        <w:t>لا</w:t>
      </w:r>
      <w:r w:rsidRPr="00752378">
        <w:rPr>
          <w:rtl/>
        </w:rPr>
        <w:t xml:space="preserve"> </w:t>
      </w:r>
      <w:r w:rsidRPr="00752378">
        <w:rPr>
          <w:rFonts w:hint="cs"/>
          <w:rtl/>
        </w:rPr>
        <w:t>يزال</w:t>
      </w:r>
      <w:r w:rsidRPr="00752378">
        <w:rPr>
          <w:rtl/>
        </w:rPr>
        <w:t xml:space="preserve"> </w:t>
      </w:r>
      <w:r w:rsidRPr="00752378">
        <w:rPr>
          <w:rFonts w:hint="cs"/>
          <w:rtl/>
        </w:rPr>
        <w:t>مستمراً</w:t>
      </w:r>
      <w:r w:rsidRPr="00752378">
        <w:rPr>
          <w:rtl/>
        </w:rPr>
        <w:t xml:space="preserve"> </w:t>
      </w:r>
      <w:r w:rsidRPr="00752378">
        <w:rPr>
          <w:rFonts w:hint="cs"/>
          <w:rtl/>
        </w:rPr>
        <w:t>في</w:t>
      </w:r>
      <w:r w:rsidRPr="00752378">
        <w:rPr>
          <w:rtl/>
        </w:rPr>
        <w:t xml:space="preserve"> </w:t>
      </w:r>
      <w:r w:rsidRPr="00752378">
        <w:rPr>
          <w:rFonts w:hint="cs"/>
          <w:rtl/>
        </w:rPr>
        <w:t>جميع</w:t>
      </w:r>
      <w:r w:rsidRPr="00752378">
        <w:rPr>
          <w:rtl/>
        </w:rPr>
        <w:t xml:space="preserve"> </w:t>
      </w:r>
      <w:r w:rsidRPr="00752378">
        <w:rPr>
          <w:rFonts w:hint="cs"/>
          <w:rtl/>
        </w:rPr>
        <w:t>بلدان</w:t>
      </w:r>
      <w:r w:rsidRPr="00752378">
        <w:rPr>
          <w:rtl/>
        </w:rPr>
        <w:t xml:space="preserve"> </w:t>
      </w:r>
      <w:r w:rsidRPr="00752378">
        <w:rPr>
          <w:rFonts w:hint="cs"/>
          <w:rtl/>
        </w:rPr>
        <w:t>العالم،</w:t>
      </w:r>
      <w:r w:rsidRPr="00752378">
        <w:rPr>
          <w:rtl/>
        </w:rPr>
        <w:t xml:space="preserve"> </w:t>
      </w:r>
      <w:r w:rsidRPr="00752378">
        <w:rPr>
          <w:rFonts w:hint="cs"/>
          <w:rtl/>
        </w:rPr>
        <w:t>بصرف</w:t>
      </w:r>
      <w:r w:rsidRPr="00752378">
        <w:rPr>
          <w:rtl/>
        </w:rPr>
        <w:t xml:space="preserve"> </w:t>
      </w:r>
      <w:r w:rsidRPr="00752378">
        <w:rPr>
          <w:rFonts w:hint="cs"/>
          <w:rtl/>
        </w:rPr>
        <w:t>النظر</w:t>
      </w:r>
      <w:r w:rsidRPr="00752378">
        <w:rPr>
          <w:rtl/>
        </w:rPr>
        <w:t xml:space="preserve"> </w:t>
      </w:r>
      <w:r w:rsidRPr="00752378">
        <w:rPr>
          <w:rFonts w:hint="cs"/>
          <w:rtl/>
        </w:rPr>
        <w:t>عن</w:t>
      </w:r>
      <w:r w:rsidRPr="00752378">
        <w:rPr>
          <w:rtl/>
        </w:rPr>
        <w:t xml:space="preserve"> </w:t>
      </w:r>
      <w:r w:rsidRPr="00752378">
        <w:rPr>
          <w:rFonts w:hint="cs"/>
          <w:rtl/>
        </w:rPr>
        <w:t>حالتها</w:t>
      </w:r>
      <w:r w:rsidRPr="00752378">
        <w:rPr>
          <w:rtl/>
        </w:rPr>
        <w:t xml:space="preserve"> </w:t>
      </w:r>
      <w:r w:rsidRPr="00752378">
        <w:rPr>
          <w:rFonts w:hint="cs"/>
          <w:rtl/>
        </w:rPr>
        <w:t>الاقتصادية</w:t>
      </w:r>
      <w:r w:rsidRPr="00752378">
        <w:rPr>
          <w:rtl/>
        </w:rPr>
        <w:t xml:space="preserve"> </w:t>
      </w:r>
      <w:r w:rsidRPr="00752378">
        <w:rPr>
          <w:rFonts w:hint="cs"/>
          <w:rtl/>
        </w:rPr>
        <w:t>أو</w:t>
      </w:r>
      <w:r w:rsidRPr="00752378">
        <w:rPr>
          <w:rtl/>
        </w:rPr>
        <w:t xml:space="preserve"> </w:t>
      </w:r>
      <w:r w:rsidRPr="00752378">
        <w:rPr>
          <w:rFonts w:hint="cs"/>
          <w:rtl/>
        </w:rPr>
        <w:t>الاجتماعية</w:t>
      </w:r>
      <w:r w:rsidRPr="00752378">
        <w:rPr>
          <w:rtl/>
        </w:rPr>
        <w:t xml:space="preserve"> </w:t>
      </w:r>
      <w:r w:rsidRPr="00752378">
        <w:rPr>
          <w:rFonts w:hint="cs"/>
          <w:rtl/>
        </w:rPr>
        <w:t>أو</w:t>
      </w:r>
      <w:r w:rsidRPr="00752378">
        <w:rPr>
          <w:rtl/>
        </w:rPr>
        <w:t xml:space="preserve"> </w:t>
      </w:r>
      <w:r w:rsidRPr="00752378">
        <w:rPr>
          <w:rFonts w:hint="cs"/>
          <w:rtl/>
        </w:rPr>
        <w:t>الثقافية،</w:t>
      </w:r>
      <w:r w:rsidRPr="00752378">
        <w:rPr>
          <w:rtl/>
        </w:rPr>
        <w:t xml:space="preserve"> </w:t>
      </w:r>
      <w:r w:rsidRPr="00752378">
        <w:rPr>
          <w:rFonts w:hint="cs"/>
          <w:rtl/>
        </w:rPr>
        <w:t>وأن</w:t>
      </w:r>
      <w:r w:rsidRPr="00752378">
        <w:rPr>
          <w:rtl/>
        </w:rPr>
        <w:t xml:space="preserve"> </w:t>
      </w:r>
      <w:r w:rsidRPr="00752378">
        <w:rPr>
          <w:rFonts w:hint="cs"/>
          <w:rtl/>
        </w:rPr>
        <w:t>نطاقه</w:t>
      </w:r>
      <w:r w:rsidRPr="00752378">
        <w:rPr>
          <w:rtl/>
        </w:rPr>
        <w:t xml:space="preserve"> </w:t>
      </w:r>
      <w:r w:rsidRPr="00752378">
        <w:rPr>
          <w:rFonts w:hint="cs"/>
          <w:rtl/>
        </w:rPr>
        <w:t>ومظاهره</w:t>
      </w:r>
      <w:r w:rsidRPr="00752378">
        <w:rPr>
          <w:rtl/>
        </w:rPr>
        <w:t xml:space="preserve"> </w:t>
      </w:r>
      <w:r w:rsidRPr="00752378">
        <w:rPr>
          <w:rFonts w:hint="cs"/>
          <w:rtl/>
        </w:rPr>
        <w:t>تؤثر</w:t>
      </w:r>
      <w:r w:rsidRPr="00752378">
        <w:rPr>
          <w:rtl/>
        </w:rPr>
        <w:t xml:space="preserve"> </w:t>
      </w:r>
      <w:r w:rsidRPr="00752378">
        <w:rPr>
          <w:rFonts w:hint="cs"/>
          <w:rtl/>
        </w:rPr>
        <w:t>تأثيراً</w:t>
      </w:r>
      <w:r w:rsidRPr="00752378">
        <w:rPr>
          <w:rtl/>
        </w:rPr>
        <w:t xml:space="preserve"> </w:t>
      </w:r>
      <w:r w:rsidRPr="00752378">
        <w:rPr>
          <w:rFonts w:hint="cs"/>
          <w:rtl/>
        </w:rPr>
        <w:t>شديداً</w:t>
      </w:r>
      <w:r w:rsidRPr="00752378">
        <w:rPr>
          <w:rtl/>
        </w:rPr>
        <w:t xml:space="preserve"> </w:t>
      </w:r>
      <w:r w:rsidRPr="00752378">
        <w:rPr>
          <w:rFonts w:hint="cs"/>
          <w:rtl/>
        </w:rPr>
        <w:t>في</w:t>
      </w:r>
      <w:r w:rsidRPr="00752378">
        <w:rPr>
          <w:rtl/>
        </w:rPr>
        <w:t xml:space="preserve"> </w:t>
      </w:r>
      <w:r w:rsidRPr="00752378">
        <w:rPr>
          <w:rFonts w:hint="cs"/>
          <w:rtl/>
        </w:rPr>
        <w:t>البلدان</w:t>
      </w:r>
      <w:r w:rsidRPr="00752378">
        <w:rPr>
          <w:rtl/>
        </w:rPr>
        <w:t xml:space="preserve"> </w:t>
      </w:r>
      <w:r w:rsidRPr="00752378">
        <w:rPr>
          <w:rFonts w:hint="cs"/>
          <w:rtl/>
        </w:rPr>
        <w:t>النامية،</w:t>
      </w:r>
    </w:p>
    <w:p w:rsidR="004B3EA7" w:rsidRPr="00752378" w:rsidRDefault="004B3EA7" w:rsidP="004B3EA7">
      <w:pPr>
        <w:pStyle w:val="SingleTxtGA"/>
      </w:pPr>
      <w:r w:rsidRPr="00752378">
        <w:rPr>
          <w:rtl/>
        </w:rPr>
        <w:tab/>
      </w:r>
      <w:r w:rsidRPr="00613DE1">
        <w:rPr>
          <w:i/>
          <w:iCs/>
          <w:rtl/>
        </w:rPr>
        <w:t>وإذ يؤكد</w:t>
      </w:r>
      <w:r w:rsidRPr="00752378">
        <w:rPr>
          <w:rtl/>
        </w:rPr>
        <w:t xml:space="preserve"> أن تفشي الفقر المدقع يحول دون التمتع الكام</w:t>
      </w:r>
      <w:r>
        <w:rPr>
          <w:rtl/>
        </w:rPr>
        <w:t>ل والفعال بحقوق الإنسان وأن الت</w:t>
      </w:r>
      <w:r>
        <w:rPr>
          <w:rFonts w:hint="cs"/>
          <w:rtl/>
        </w:rPr>
        <w:t>خ</w:t>
      </w:r>
      <w:r w:rsidRPr="00752378">
        <w:rPr>
          <w:rtl/>
        </w:rPr>
        <w:t>فيف من حدته فور</w:t>
      </w:r>
      <w:r>
        <w:rPr>
          <w:rtl/>
        </w:rPr>
        <w:t xml:space="preserve">اً </w:t>
      </w:r>
      <w:r w:rsidRPr="00752378">
        <w:rPr>
          <w:rtl/>
        </w:rPr>
        <w:t>والقضاء عليه في نهاية المطاف يجب أن يظلا من أولى أولويات المجتمع الدولي، وأنه ينبغي تعزيز الجهود الرامية إلى تحقيق هذا الهدف،</w:t>
      </w:r>
    </w:p>
    <w:p w:rsidR="004B3EA7" w:rsidRPr="00752378" w:rsidRDefault="004B3EA7" w:rsidP="004B3EA7">
      <w:pPr>
        <w:pStyle w:val="SingleTxtGA"/>
      </w:pPr>
      <w:r w:rsidRPr="00752378">
        <w:rPr>
          <w:rtl/>
        </w:rPr>
        <w:tab/>
      </w:r>
      <w:r w:rsidRPr="00613DE1">
        <w:rPr>
          <w:i/>
          <w:iCs/>
          <w:rtl/>
        </w:rPr>
        <w:t>وإذ يشدّد</w:t>
      </w:r>
      <w:r w:rsidRPr="00752378">
        <w:rPr>
          <w:rtl/>
        </w:rPr>
        <w:t xml:space="preserve"> على أن احترام جميع حقوق الإنسان </w:t>
      </w:r>
      <w:r>
        <w:rPr>
          <w:rFonts w:hint="cs"/>
          <w:rtl/>
        </w:rPr>
        <w:t>-</w:t>
      </w:r>
      <w:r w:rsidRPr="00752378">
        <w:rPr>
          <w:rtl/>
        </w:rPr>
        <w:t xml:space="preserve"> الحقوق المدنية والسياسية والاقتصادية والاجتماعية والثقافية </w:t>
      </w:r>
      <w:r>
        <w:rPr>
          <w:rFonts w:hint="cs"/>
          <w:rtl/>
        </w:rPr>
        <w:t>-</w:t>
      </w:r>
      <w:r w:rsidRPr="00752378">
        <w:rPr>
          <w:rtl/>
        </w:rPr>
        <w:t xml:space="preserve"> التي هي حقوق عالمية وغير قابلة للتجزئة ومترابطة ومتداخلة، أمر حاسم الأهمية لكي تكون جميع السياسات والبرامج فعالة في مكافحة الفقر المدقع على الصعيدين المحلي والوطني، </w:t>
      </w:r>
    </w:p>
    <w:p w:rsidR="004B3EA7" w:rsidRPr="00752378" w:rsidRDefault="004B3EA7" w:rsidP="004B3EA7">
      <w:pPr>
        <w:pStyle w:val="SingleTxtGA"/>
      </w:pPr>
      <w:r w:rsidRPr="00752378">
        <w:rPr>
          <w:rtl/>
        </w:rPr>
        <w:tab/>
      </w:r>
      <w:r w:rsidRPr="00613DE1">
        <w:rPr>
          <w:i/>
          <w:iCs/>
          <w:rtl/>
        </w:rPr>
        <w:t>وإذ يشير</w:t>
      </w:r>
      <w:r w:rsidRPr="00752378">
        <w:rPr>
          <w:rtl/>
        </w:rPr>
        <w:t xml:space="preserve"> إلى قراري مجلس حقوق الإنسان 5/1 بشأن بناء مؤسسات مجلس حقوق الإنسان، و5/2 بشأن مدونة قواعد سلوك المكلفين بولايات في إطار الإجراءات الخاصة للمجلس، المؤرخين 18 حزيران/</w:t>
      </w:r>
      <w:proofErr w:type="gramStart"/>
      <w:r w:rsidRPr="00752378">
        <w:rPr>
          <w:rtl/>
        </w:rPr>
        <w:t>يونيه</w:t>
      </w:r>
      <w:proofErr w:type="gramEnd"/>
      <w:r w:rsidRPr="00752378">
        <w:rPr>
          <w:rtl/>
        </w:rPr>
        <w:t xml:space="preserve"> 2007، وإذ يشدد على أن المكلف بالولاية يجب أن يضطلع بواجباته وفقاً لهذين القرارين ومرفق</w:t>
      </w:r>
      <w:r>
        <w:rPr>
          <w:rFonts w:hint="cs"/>
          <w:rtl/>
        </w:rPr>
        <w:t>يهما</w:t>
      </w:r>
      <w:r w:rsidRPr="00752378">
        <w:rPr>
          <w:rtl/>
        </w:rPr>
        <w:t>،</w:t>
      </w:r>
    </w:p>
    <w:p w:rsidR="004B3EA7" w:rsidRPr="00752378" w:rsidRDefault="004B3EA7" w:rsidP="004B3EA7">
      <w:pPr>
        <w:pStyle w:val="SingleTxtGA"/>
      </w:pPr>
      <w:r>
        <w:rPr>
          <w:rtl/>
        </w:rPr>
        <w:tab/>
        <w:t>١-</w:t>
      </w:r>
      <w:r>
        <w:rPr>
          <w:rtl/>
        </w:rPr>
        <w:tab/>
      </w:r>
      <w:r w:rsidRPr="00613DE1">
        <w:rPr>
          <w:i/>
          <w:iCs/>
          <w:rtl/>
        </w:rPr>
        <w:t>يرحّب</w:t>
      </w:r>
      <w:r w:rsidRPr="00752378">
        <w:rPr>
          <w:rtl/>
        </w:rPr>
        <w:t xml:space="preserve"> بعمل المقرر الخاص المعني بالفقر المدقع وحقوق الإنسان، بما في ذلك تقاريره </w:t>
      </w:r>
      <w:proofErr w:type="spellStart"/>
      <w:r w:rsidRPr="00752378">
        <w:rPr>
          <w:rtl/>
        </w:rPr>
        <w:t>المواضيعية</w:t>
      </w:r>
      <w:proofErr w:type="spellEnd"/>
      <w:r w:rsidRPr="00752378">
        <w:rPr>
          <w:rtl/>
        </w:rPr>
        <w:t xml:space="preserve"> وزياراته القطرية؛</w:t>
      </w:r>
    </w:p>
    <w:p w:rsidR="004B3EA7" w:rsidRPr="00752378" w:rsidRDefault="004B3EA7" w:rsidP="004B3EA7">
      <w:pPr>
        <w:pStyle w:val="SingleTxtGA"/>
      </w:pPr>
      <w:r>
        <w:rPr>
          <w:rtl/>
        </w:rPr>
        <w:tab/>
        <w:t>٢-</w:t>
      </w:r>
      <w:r>
        <w:rPr>
          <w:rtl/>
        </w:rPr>
        <w:tab/>
      </w:r>
      <w:r w:rsidRPr="00613DE1">
        <w:rPr>
          <w:i/>
          <w:iCs/>
          <w:rtl/>
        </w:rPr>
        <w:t>يقرر</w:t>
      </w:r>
      <w:r w:rsidRPr="00752378">
        <w:rPr>
          <w:rtl/>
        </w:rPr>
        <w:t xml:space="preserve"> أن يمدد لفترة ثلاث سنوات ولاية المقرر الخاص المعني بالفقر المدقع وحقوق الإنسان، على النحو المبين في قرار مجلس حقوق الإنسان ٨/١١؛</w:t>
      </w:r>
    </w:p>
    <w:p w:rsidR="004B3EA7" w:rsidRPr="00752378" w:rsidRDefault="004B3EA7" w:rsidP="004B3EA7">
      <w:pPr>
        <w:pStyle w:val="SingleTxtGA"/>
      </w:pPr>
      <w:r>
        <w:rPr>
          <w:rtl/>
        </w:rPr>
        <w:lastRenderedPageBreak/>
        <w:tab/>
        <w:t>٣-</w:t>
      </w:r>
      <w:r>
        <w:rPr>
          <w:rtl/>
        </w:rPr>
        <w:tab/>
      </w:r>
      <w:r w:rsidRPr="00613DE1">
        <w:rPr>
          <w:i/>
          <w:iCs/>
          <w:rtl/>
        </w:rPr>
        <w:t>يطلب</w:t>
      </w:r>
      <w:r w:rsidRPr="00752378">
        <w:rPr>
          <w:rtl/>
        </w:rPr>
        <w:t xml:space="preserve"> إلى مفوضية الأمم المتحدة السامية لحقوق الإنسان أن تواصل إيلاء أولوية عالية للفقر المدقع وحقوق الإنسان، وتواصل العمل في هذا المجال بالتعاون الكامل مع المقرر الخاص في مختلف الأنشطة، وتواصل تزويد المقرر الخاص بكل المساعدة اللازمة للاضطلاع بولايته على نحو فعال؛</w:t>
      </w:r>
    </w:p>
    <w:p w:rsidR="004B3EA7" w:rsidRPr="00752378" w:rsidRDefault="004B3EA7" w:rsidP="004B3EA7">
      <w:pPr>
        <w:pStyle w:val="SingleTxtGA"/>
      </w:pPr>
      <w:r>
        <w:rPr>
          <w:rtl/>
        </w:rPr>
        <w:tab/>
        <w:t>٤-</w:t>
      </w:r>
      <w:r>
        <w:rPr>
          <w:rtl/>
        </w:rPr>
        <w:tab/>
      </w:r>
      <w:r w:rsidRPr="00613DE1">
        <w:rPr>
          <w:i/>
          <w:iCs/>
          <w:rtl/>
        </w:rPr>
        <w:t>يطلب</w:t>
      </w:r>
      <w:r w:rsidRPr="00752378">
        <w:rPr>
          <w:rtl/>
        </w:rPr>
        <w:t xml:space="preserve"> إلى المقرر الخاص أن يقدم تقريراً سنوياً عن تنفيذ هذا القرار إلى مجلس حقوق الإنسان والجمعية العامة، وفقاً لبرنامج عمل كل منهما؛ </w:t>
      </w:r>
    </w:p>
    <w:p w:rsidR="004B3EA7" w:rsidRPr="00532CED" w:rsidRDefault="004B3EA7" w:rsidP="004B3EA7">
      <w:pPr>
        <w:pStyle w:val="SingleTxtGA"/>
      </w:pPr>
      <w:r w:rsidRPr="00532CED">
        <w:rPr>
          <w:rtl/>
        </w:rPr>
        <w:tab/>
        <w:t>٥-</w:t>
      </w:r>
      <w:r>
        <w:rPr>
          <w:i/>
          <w:iCs/>
          <w:rtl/>
        </w:rPr>
        <w:tab/>
      </w:r>
      <w:r w:rsidRPr="00E12568">
        <w:rPr>
          <w:rFonts w:hint="eastAsia"/>
          <w:i/>
          <w:iCs/>
          <w:rtl/>
        </w:rPr>
        <w:t>يهيب</w:t>
      </w:r>
      <w:r>
        <w:rPr>
          <w:rFonts w:hint="cs"/>
          <w:rtl/>
        </w:rPr>
        <w:t xml:space="preserve"> </w:t>
      </w:r>
      <w:r w:rsidRPr="00532CED">
        <w:rPr>
          <w:rtl/>
        </w:rPr>
        <w:t xml:space="preserve">بجميع الحكومات أن تتعاون مع المقرر الخاص وتساعده في أداء مهمته، وأن تتيح جميع المعلومات اللازمة التي يطلبها هذا المكلف بولاية في إطار الإجراءات الخاصة، وأن تستجيب لطلبات المقرر الخاص بشأن زيارة بلدانها لتمكينه من الاضطلاع بولايته بمزيد من الفعالية؛ </w:t>
      </w:r>
    </w:p>
    <w:p w:rsidR="004B3EA7" w:rsidRPr="00752378" w:rsidRDefault="004B3EA7" w:rsidP="004B3EA7">
      <w:pPr>
        <w:pStyle w:val="SingleTxtGA"/>
      </w:pPr>
      <w:r>
        <w:rPr>
          <w:rtl/>
        </w:rPr>
        <w:tab/>
        <w:t>٦-</w:t>
      </w:r>
      <w:r>
        <w:rPr>
          <w:rtl/>
        </w:rPr>
        <w:tab/>
      </w:r>
      <w:r w:rsidRPr="00613DE1">
        <w:rPr>
          <w:i/>
          <w:iCs/>
          <w:rtl/>
        </w:rPr>
        <w:t>يدعو</w:t>
      </w:r>
      <w:r w:rsidRPr="00752378">
        <w:rPr>
          <w:rtl/>
        </w:rPr>
        <w:t xml:space="preserve"> وكالات الأمم المتحدة وصناديقها وبرامجها المعنية وهيئات المعاهدات والجهات الفاعلة من المجتمع المدني، بما فيها المنظمات غير الحكومية، وكذلك القطاع الخاص، إلى التعاون تعاوناً كاملاً مع المقرر الخاص للاضطلاع بولايته؛</w:t>
      </w:r>
    </w:p>
    <w:p w:rsidR="004B3EA7" w:rsidRDefault="004B3EA7" w:rsidP="004B3EA7">
      <w:pPr>
        <w:pStyle w:val="SingleTxtGA"/>
        <w:rPr>
          <w:rtl/>
        </w:rPr>
      </w:pPr>
      <w:r>
        <w:rPr>
          <w:rtl/>
        </w:rPr>
        <w:tab/>
        <w:t>٧-</w:t>
      </w:r>
      <w:r>
        <w:rPr>
          <w:rtl/>
        </w:rPr>
        <w:tab/>
      </w:r>
      <w:r w:rsidRPr="00613DE1">
        <w:rPr>
          <w:i/>
          <w:iCs/>
          <w:rtl/>
        </w:rPr>
        <w:t>يقرِّر</w:t>
      </w:r>
      <w:r w:rsidRPr="00752378">
        <w:rPr>
          <w:rtl/>
        </w:rPr>
        <w:t xml:space="preserve"> مواصلة نظره في مسألة الحق في الفقر المدقع وحقوق الإنسان وفقاً لبرنامج عمله.</w:t>
      </w:r>
      <w:r>
        <w:rPr>
          <w:rFonts w:hint="cs"/>
          <w:rtl/>
        </w:rPr>
        <w:t xml:space="preserve"> </w:t>
      </w:r>
    </w:p>
    <w:p w:rsidR="004B3EA7" w:rsidRPr="004B3EA7" w:rsidRDefault="004B3EA7" w:rsidP="004B3EA7">
      <w:pPr>
        <w:pStyle w:val="SingleTxtGA"/>
        <w:bidi w:val="0"/>
        <w:spacing w:after="0"/>
        <w:rPr>
          <w:i/>
          <w:iCs/>
          <w:rtl/>
          <w:lang w:eastAsia="zh-TW"/>
        </w:rPr>
      </w:pPr>
      <w:r w:rsidRPr="004B3EA7">
        <w:rPr>
          <w:rFonts w:hint="eastAsia"/>
          <w:i/>
          <w:iCs/>
          <w:rtl/>
          <w:lang w:eastAsia="zh-TW"/>
        </w:rPr>
        <w:t>الجلسة</w:t>
      </w:r>
      <w:r w:rsidRPr="004B3EA7">
        <w:rPr>
          <w:rFonts w:hint="cs"/>
          <w:i/>
          <w:iCs/>
          <w:rtl/>
          <w:lang w:eastAsia="zh-TW"/>
        </w:rPr>
        <w:t xml:space="preserve"> 36</w:t>
      </w:r>
    </w:p>
    <w:p w:rsidR="004B3EA7" w:rsidRPr="004B3EA7" w:rsidRDefault="004B3EA7" w:rsidP="004B3EA7">
      <w:pPr>
        <w:pStyle w:val="SingleTxtGA"/>
        <w:bidi w:val="0"/>
        <w:rPr>
          <w:i/>
          <w:iCs/>
          <w:lang w:eastAsia="zh-TW"/>
        </w:rPr>
      </w:pPr>
      <w:r w:rsidRPr="004B3EA7">
        <w:rPr>
          <w:rFonts w:hint="cs"/>
          <w:i/>
          <w:iCs/>
          <w:rtl/>
          <w:lang w:eastAsia="zh-TW"/>
        </w:rPr>
        <w:t>22</w:t>
      </w:r>
      <w:r w:rsidRPr="004B3EA7">
        <w:rPr>
          <w:i/>
          <w:iCs/>
          <w:rtl/>
          <w:lang w:eastAsia="zh-TW"/>
        </w:rPr>
        <w:t xml:space="preserve"> حزيران/</w:t>
      </w:r>
      <w:proofErr w:type="gramStart"/>
      <w:r w:rsidRPr="004B3EA7">
        <w:rPr>
          <w:i/>
          <w:iCs/>
          <w:rtl/>
          <w:lang w:eastAsia="zh-TW"/>
        </w:rPr>
        <w:t>يونيه</w:t>
      </w:r>
      <w:proofErr w:type="gramEnd"/>
      <w:r w:rsidRPr="004B3EA7">
        <w:rPr>
          <w:i/>
          <w:iCs/>
          <w:rtl/>
          <w:lang w:eastAsia="zh-TW"/>
        </w:rPr>
        <w:t xml:space="preserve"> 2017</w:t>
      </w:r>
    </w:p>
    <w:p w:rsidR="004B3EA7" w:rsidRDefault="004B3EA7" w:rsidP="004B3EA7">
      <w:pPr>
        <w:pStyle w:val="SingleTxtGA"/>
        <w:rPr>
          <w:bCs/>
          <w:rtl/>
          <w:lang w:eastAsia="zh-TW" w:bidi="ar-DZ"/>
        </w:rPr>
      </w:pPr>
      <w:r>
        <w:rPr>
          <w:rFonts w:ascii="Traditional Arabic" w:hAnsi="Traditional Arabic"/>
          <w:rtl/>
          <w:lang w:eastAsia="zh-TW"/>
        </w:rPr>
        <w:t>[</w:t>
      </w:r>
      <w:r>
        <w:rPr>
          <w:rFonts w:hint="cs"/>
          <w:rtl/>
          <w:lang w:eastAsia="zh-TW"/>
        </w:rPr>
        <w:t>اعتُمد دون تصويت</w:t>
      </w:r>
      <w:r>
        <w:rPr>
          <w:rFonts w:ascii="Traditional Arabic" w:hAnsi="Traditional Arabic" w:hint="cs"/>
          <w:rtl/>
          <w:lang w:eastAsia="zh-TW"/>
        </w:rPr>
        <w:t>.</w:t>
      </w:r>
      <w:r>
        <w:rPr>
          <w:rFonts w:ascii="Traditional Arabic" w:hAnsi="Traditional Arabic"/>
          <w:rtl/>
          <w:lang w:eastAsia="zh-TW"/>
        </w:rPr>
        <w:t>]</w:t>
      </w:r>
    </w:p>
    <w:p w:rsidR="004B3EA7" w:rsidRPr="004B3EA7" w:rsidRDefault="004B3EA7" w:rsidP="004B3EA7">
      <w:pPr>
        <w:spacing w:before="120"/>
        <w:jc w:val="center"/>
        <w:rPr>
          <w:u w:val="single"/>
          <w:rtl/>
          <w:lang w:eastAsia="zh-TW" w:bidi="ar-DZ"/>
        </w:rPr>
      </w:pPr>
      <w:r>
        <w:rPr>
          <w:u w:val="single"/>
          <w:rtl/>
          <w:lang w:eastAsia="zh-TW" w:bidi="ar-DZ"/>
        </w:rPr>
        <w:tab/>
      </w:r>
      <w:r>
        <w:rPr>
          <w:u w:val="single"/>
          <w:rtl/>
          <w:lang w:eastAsia="zh-TW" w:bidi="ar-DZ"/>
        </w:rPr>
        <w:tab/>
      </w:r>
      <w:r>
        <w:rPr>
          <w:u w:val="single"/>
          <w:rtl/>
          <w:lang w:eastAsia="zh-TW" w:bidi="ar-DZ"/>
        </w:rPr>
        <w:tab/>
      </w:r>
    </w:p>
    <w:sectPr w:rsidR="004B3EA7" w:rsidRPr="004B3EA7" w:rsidSect="0089622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DF8" w:rsidRPr="002901D9" w:rsidRDefault="000D7DF8" w:rsidP="002901D9">
      <w:pPr>
        <w:spacing w:after="60" w:line="240" w:lineRule="auto"/>
        <w:rPr>
          <w:i/>
          <w:iCs/>
        </w:rPr>
      </w:pPr>
      <w:r>
        <w:rPr>
          <w:rFonts w:hint="cs"/>
          <w:i/>
          <w:iCs/>
          <w:rtl/>
        </w:rPr>
        <w:t>الحواشي</w:t>
      </w:r>
    </w:p>
  </w:endnote>
  <w:endnote w:type="continuationSeparator" w:id="0">
    <w:p w:rsidR="000D7DF8" w:rsidRDefault="000D7D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22A" w:rsidRPr="004B3EA7" w:rsidRDefault="004B3EA7" w:rsidP="004B3EA7">
    <w:pPr>
      <w:pStyle w:val="Footer"/>
      <w:tabs>
        <w:tab w:val="right" w:pos="9598"/>
      </w:tabs>
      <w:rPr>
        <w:sz w:val="17"/>
      </w:rPr>
    </w:pPr>
    <w:r>
      <w:rPr>
        <w:sz w:val="17"/>
      </w:rPr>
      <w:t>GE.17-11594</w:t>
    </w:r>
    <w:r>
      <w:rPr>
        <w:sz w:val="17"/>
      </w:rPr>
      <w:tab/>
    </w:r>
    <w:r w:rsidRPr="004B3EA7">
      <w:rPr>
        <w:b/>
        <w:sz w:val="18"/>
      </w:rPr>
      <w:fldChar w:fldCharType="begin"/>
    </w:r>
    <w:r w:rsidRPr="004B3EA7">
      <w:rPr>
        <w:b/>
        <w:sz w:val="18"/>
      </w:rPr>
      <w:instrText xml:space="preserve"> PAGE  \* MERGEFORMAT </w:instrText>
    </w:r>
    <w:r w:rsidRPr="004B3EA7">
      <w:rPr>
        <w:b/>
        <w:sz w:val="18"/>
      </w:rPr>
      <w:fldChar w:fldCharType="separate"/>
    </w:r>
    <w:r w:rsidR="00B0216D">
      <w:rPr>
        <w:b/>
        <w:noProof/>
        <w:sz w:val="18"/>
      </w:rPr>
      <w:t>2</w:t>
    </w:r>
    <w:r w:rsidRPr="004B3EA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B3EA7" w:rsidRDefault="004B3EA7" w:rsidP="006959B0">
    <w:pPr>
      <w:pStyle w:val="Footer"/>
      <w:tabs>
        <w:tab w:val="right" w:pos="9599"/>
      </w:tabs>
      <w:jc w:val="left"/>
      <w:rPr>
        <w:b/>
        <w:sz w:val="18"/>
        <w:lang w:val="en-US"/>
      </w:rPr>
    </w:pPr>
    <w:r w:rsidRPr="004B3EA7">
      <w:rPr>
        <w:b/>
        <w:sz w:val="18"/>
        <w:lang w:val="en-US"/>
      </w:rPr>
      <w:fldChar w:fldCharType="begin"/>
    </w:r>
    <w:r w:rsidRPr="004B3EA7">
      <w:rPr>
        <w:b/>
        <w:sz w:val="18"/>
        <w:lang w:val="en-US"/>
      </w:rPr>
      <w:instrText xml:space="preserve"> PAGE  \* MERGEFORMAT </w:instrText>
    </w:r>
    <w:r w:rsidRPr="004B3EA7">
      <w:rPr>
        <w:b/>
        <w:sz w:val="18"/>
        <w:lang w:val="en-US"/>
      </w:rPr>
      <w:fldChar w:fldCharType="separate"/>
    </w:r>
    <w:r w:rsidR="00B0216D">
      <w:rPr>
        <w:b/>
        <w:noProof/>
        <w:sz w:val="18"/>
        <w:lang w:val="en-US"/>
      </w:rPr>
      <w:t>3</w:t>
    </w:r>
    <w:r w:rsidRPr="004B3EA7">
      <w:rPr>
        <w:b/>
        <w:sz w:val="18"/>
        <w:lang w:val="en-US"/>
      </w:rPr>
      <w:fldChar w:fldCharType="end"/>
    </w:r>
    <w:r>
      <w:rPr>
        <w:b/>
        <w:sz w:val="18"/>
        <w:lang w:val="en-US"/>
      </w:rPr>
      <w:tab/>
    </w:r>
    <w:r>
      <w:rPr>
        <w:sz w:val="17"/>
        <w:lang w:val="en-US"/>
      </w:rPr>
      <w:t>GE.17-11594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89622A" w:rsidP="00F6741C">
    <w:pPr>
      <w:pStyle w:val="Footer"/>
      <w:spacing w:before="360"/>
      <w:jc w:val="right"/>
      <w:rPr>
        <w:sz w:val="20"/>
        <w:szCs w:val="20"/>
      </w:rPr>
    </w:pPr>
    <w:r>
      <w:rPr>
        <w:sz w:val="20"/>
        <w:szCs w:val="20"/>
      </w:rPr>
      <w:t>GE.17-11594</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9622A" w:rsidRPr="0089622A" w:rsidRDefault="0089622A" w:rsidP="0089622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DF8" w:rsidRPr="0054762C" w:rsidRDefault="000D7DF8" w:rsidP="000E524A">
      <w:pPr>
        <w:pStyle w:val="Footer"/>
        <w:bidi/>
        <w:spacing w:after="80" w:line="200" w:lineRule="exact"/>
        <w:ind w:left="680"/>
      </w:pPr>
      <w:r>
        <w:rPr>
          <w:rtl/>
        </w:rPr>
        <w:t>__________</w:t>
      </w:r>
    </w:p>
  </w:footnote>
  <w:footnote w:type="continuationSeparator" w:id="0">
    <w:p w:rsidR="000D7DF8" w:rsidRDefault="000D7DF8"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22A" w:rsidRPr="004B3EA7" w:rsidRDefault="004B3EA7" w:rsidP="004B3EA7">
    <w:pPr>
      <w:pStyle w:val="Header"/>
      <w:jc w:val="right"/>
    </w:pPr>
    <w:r w:rsidRPr="004B3EA7">
      <w:t>A/HRC/RES/35/19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22A" w:rsidRPr="004B3EA7" w:rsidRDefault="004B3EA7" w:rsidP="004B3EA7">
    <w:pPr>
      <w:pStyle w:val="Header"/>
      <w:jc w:val="left"/>
    </w:pPr>
    <w:r w:rsidRPr="004B3EA7">
      <w:t>A/HRC/RES/35/19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D7DF8"/>
    <w:rsid w:val="000076D5"/>
    <w:rsid w:val="00043663"/>
    <w:rsid w:val="000505CF"/>
    <w:rsid w:val="000D701C"/>
    <w:rsid w:val="000D7DF8"/>
    <w:rsid w:val="000E2A71"/>
    <w:rsid w:val="000E524A"/>
    <w:rsid w:val="00101F56"/>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66443"/>
    <w:rsid w:val="004A1A01"/>
    <w:rsid w:val="004B0A1C"/>
    <w:rsid w:val="004B3EA7"/>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C2506"/>
    <w:rsid w:val="00852A9A"/>
    <w:rsid w:val="00871544"/>
    <w:rsid w:val="008930DB"/>
    <w:rsid w:val="00895D16"/>
    <w:rsid w:val="0089622A"/>
    <w:rsid w:val="008F49E1"/>
    <w:rsid w:val="0090370F"/>
    <w:rsid w:val="009269D2"/>
    <w:rsid w:val="00942135"/>
    <w:rsid w:val="009521B0"/>
    <w:rsid w:val="009A7E9F"/>
    <w:rsid w:val="009E5018"/>
    <w:rsid w:val="00A12B37"/>
    <w:rsid w:val="00A50EC0"/>
    <w:rsid w:val="00A74331"/>
    <w:rsid w:val="00AB6758"/>
    <w:rsid w:val="00B0216D"/>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4A7984"/>
  <w15:docId w15:val="{4DC0AB46-9F9A-4D7A-8F13-9DAD0B70A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3B9C4-CC6C-48E0-B4EF-E32695650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A/HRC/RES/35/19</vt:lpstr>
    </vt:vector>
  </TitlesOfParts>
  <Company>DCM</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A/HRC/RES/35/19</dc:title>
  <dc:subject>GE.1711594</dc:subject>
  <dc:creator>IHRZ - MBOU</dc:creator>
  <cp:keywords>ODS No.1718834</cp:keywords>
  <dc:description>Distr.: General_x000d_
11 July 2017_x000d_
Original: English</dc:description>
  <cp:lastModifiedBy>Admin</cp:lastModifiedBy>
  <cp:revision>2</cp:revision>
  <cp:lastPrinted>2017-08-21T12:36:00Z</cp:lastPrinted>
  <dcterms:created xsi:type="dcterms:W3CDTF">2017-08-21T15:14:00Z</dcterms:created>
  <dcterms:modified xsi:type="dcterms:W3CDTF">2017-08-21T15:14:00Z</dcterms:modified>
  <cp:category>Final</cp:category>
</cp:coreProperties>
</file>