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0" w:type="dxa"/>
          <w:right w:w="0" w:type="dxa"/>
        </w:tblCellMar>
        <w:tblLook w:val="0000" w:firstRow="0" w:lastRow="0" w:firstColumn="0" w:lastColumn="0" w:noHBand="0" w:noVBand="0"/>
      </w:tblPr>
      <w:tblGrid>
        <w:gridCol w:w="4821"/>
        <w:gridCol w:w="4818"/>
      </w:tblGrid>
      <w:tr w:rsidR="00000000">
        <w:tblPrEx>
          <w:tblCellMar>
            <w:top w:w="0" w:type="dxa"/>
            <w:left w:w="0" w:type="dxa"/>
            <w:bottom w:w="0" w:type="dxa"/>
            <w:right w:w="0" w:type="dxa"/>
          </w:tblCellMar>
        </w:tblPrEx>
        <w:tc>
          <w:tcPr>
            <w:tcW w:w="4821" w:type="dxa"/>
            <w:tcBorders>
              <w:bottom w:val="single" w:sz="18" w:space="0" w:color="auto"/>
            </w:tcBorders>
          </w:tcPr>
          <w:p w:rsidR="00000000" w:rsidRDefault="00000000">
            <w:pPr>
              <w:tabs>
                <w:tab w:val="left" w:pos="0"/>
                <w:tab w:val="left" w:pos="7086"/>
              </w:tabs>
              <w:suppressAutoHyphens/>
              <w:spacing w:line="216" w:lineRule="auto"/>
              <w:rPr>
                <w:b/>
                <w:sz w:val="30"/>
              </w:rPr>
            </w:pPr>
            <w:r>
              <w:rPr>
                <w:b/>
                <w:noProof/>
                <w:sz w:val="30"/>
              </w:rPr>
              <w:pict>
                <v:shapetype id="_x0000_t202" coordsize="21600,21600" o:spt="202" path="m,l,21600r21600,l21600,xe">
                  <v:stroke joinstyle="miter"/>
                  <v:path gradientshapeok="t" o:connecttype="rect"/>
                </v:shapetype>
                <v:shape id="_x0000_s1026" type="#_x0000_t202" style="position:absolute;margin-left:86.4pt;margin-top:691.85pt;width:113.4pt;height:18.65pt;z-index:1;mso-wrap-distance-top:56.7pt;mso-wrap-distance-bottom:56.7pt;mso-position-horizontal:absolute;mso-position-horizontal-relative:page;mso-position-vertical:absolute;mso-position-vertical-relative:text" o:allowincell="f" filled="f" stroked="f" strokecolor="white">
                  <v:textbox inset="0,0,0,0">
                    <w:txbxContent>
                      <w:p w:rsidR="00000000" w:rsidRDefault="00000000">
                        <w:pPr>
                          <w:rPr>
                            <w:lang w:val="en-US"/>
                          </w:rPr>
                        </w:pPr>
                        <w:r>
                          <w:rPr>
                            <w:lang w:val="en-US"/>
                          </w:rPr>
                          <w:t>GE.00-</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42466</w:t>
                        </w:r>
                        <w:r>
                          <w:rPr>
                            <w:lang w:val="en-US"/>
                          </w:rPr>
                          <w:fldChar w:fldCharType="end"/>
                        </w:r>
                        <w:r>
                          <w:rPr>
                            <w:lang w:val="en-US"/>
                          </w:rPr>
                          <w:t xml:space="preserve">   (R)</w:t>
                        </w:r>
                      </w:p>
                    </w:txbxContent>
                  </v:textbox>
                  <w10:wrap type="topAndBottom" anchorx="page"/>
                  <w10:anchorlock/>
                </v:shape>
              </w:pict>
            </w:r>
            <w:r>
              <w:rPr>
                <w:b/>
                <w:sz w:val="30"/>
              </w:rPr>
              <w:t>ОРГАНИЗАЦИЯ</w:t>
            </w:r>
          </w:p>
          <w:p w:rsidR="00000000" w:rsidRDefault="00000000">
            <w:pPr>
              <w:tabs>
                <w:tab w:val="left" w:pos="0"/>
                <w:tab w:val="left" w:pos="7086"/>
              </w:tabs>
              <w:suppressAutoHyphens/>
              <w:spacing w:line="216" w:lineRule="auto"/>
              <w:rPr>
                <w:b/>
                <w:sz w:val="30"/>
              </w:rPr>
            </w:pPr>
            <w:r>
              <w:rPr>
                <w:b/>
                <w:sz w:val="30"/>
              </w:rPr>
              <w:t>ОБЪЕДИНЕННЫХ НАЦИЙ</w:t>
            </w:r>
          </w:p>
          <w:p w:rsidR="00000000" w:rsidRDefault="00000000">
            <w:pPr>
              <w:tabs>
                <w:tab w:val="left" w:pos="0"/>
                <w:tab w:val="left" w:pos="7086"/>
              </w:tabs>
              <w:suppressAutoHyphens/>
              <w:spacing w:line="216" w:lineRule="auto"/>
              <w:rPr>
                <w:b/>
                <w:sz w:val="20"/>
              </w:rPr>
            </w:pPr>
          </w:p>
        </w:tc>
        <w:tc>
          <w:tcPr>
            <w:tcW w:w="4818" w:type="dxa"/>
            <w:tcBorders>
              <w:bottom w:val="single" w:sz="18" w:space="0" w:color="auto"/>
            </w:tcBorders>
          </w:tcPr>
          <w:p w:rsidR="00000000" w:rsidRDefault="00000000">
            <w:pPr>
              <w:pStyle w:val="Heading4"/>
            </w:pPr>
            <w:r>
              <w:t>E</w:t>
            </w:r>
          </w:p>
        </w:tc>
      </w:tr>
    </w:tbl>
    <w:p w:rsidR="00000000" w:rsidRDefault="00000000">
      <w:pPr>
        <w:tabs>
          <w:tab w:val="left" w:pos="0"/>
          <w:tab w:val="left" w:pos="7086"/>
        </w:tabs>
        <w:suppressAutoHyphens/>
        <w:spacing w:line="216" w:lineRule="auto"/>
        <w:rPr>
          <w:sz w:val="20"/>
          <w:lang w:val="en-US"/>
        </w:rPr>
      </w:pPr>
    </w:p>
    <w:tbl>
      <w:tblPr>
        <w:tblW w:w="0" w:type="auto"/>
        <w:tblInd w:w="-26" w:type="dxa"/>
        <w:tblLayout w:type="fixed"/>
        <w:tblCellMar>
          <w:left w:w="28" w:type="dxa"/>
          <w:right w:w="28" w:type="dxa"/>
        </w:tblCellMar>
        <w:tblLook w:val="0000" w:firstRow="0" w:lastRow="0" w:firstColumn="0" w:lastColumn="0" w:noHBand="0" w:noVBand="0"/>
      </w:tblPr>
      <w:tblGrid>
        <w:gridCol w:w="1558"/>
        <w:gridCol w:w="4706"/>
        <w:gridCol w:w="3403"/>
      </w:tblGrid>
      <w:tr w:rsidR="00000000">
        <w:tblPrEx>
          <w:tblCellMar>
            <w:top w:w="0" w:type="dxa"/>
            <w:bottom w:w="0" w:type="dxa"/>
          </w:tblCellMar>
        </w:tblPrEx>
        <w:tc>
          <w:tcPr>
            <w:tcW w:w="1558" w:type="dxa"/>
            <w:tcBorders>
              <w:bottom w:val="single" w:sz="24" w:space="0" w:color="auto"/>
            </w:tcBorders>
          </w:tcPr>
          <w:p w:rsidR="00000000" w:rsidRDefault="00000000">
            <w:pPr>
              <w:tabs>
                <w:tab w:val="left" w:pos="0"/>
                <w:tab w:val="left" w:pos="7086"/>
              </w:tabs>
              <w:suppressAutoHyphens/>
              <w:ind w:left="30" w:right="270"/>
              <w:rPr>
                <w:sz w:val="2"/>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pStyle w:val="a0"/>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4706" w:type="dxa"/>
            <w:tcBorders>
              <w:bottom w:val="single" w:sz="24" w:space="0" w:color="auto"/>
            </w:tcBorders>
          </w:tcPr>
          <w:p w:rsidR="00000000" w:rsidRDefault="00000000">
            <w:pPr>
              <w:tabs>
                <w:tab w:val="left" w:pos="0"/>
                <w:tab w:val="left" w:pos="7086"/>
              </w:tabs>
              <w:suppressAutoHyphens/>
              <w:ind w:right="255"/>
              <w:rPr>
                <w:b/>
                <w:sz w:val="20"/>
              </w:rPr>
            </w:pPr>
          </w:p>
          <w:p w:rsidR="00000000" w:rsidRDefault="00000000">
            <w:pPr>
              <w:tabs>
                <w:tab w:val="left" w:pos="0"/>
                <w:tab w:val="left" w:pos="7086"/>
              </w:tabs>
              <w:suppressAutoHyphens/>
              <w:spacing w:line="240" w:lineRule="auto"/>
              <w:ind w:right="255"/>
              <w:rPr>
                <w:b/>
                <w:sz w:val="20"/>
              </w:rPr>
            </w:pPr>
            <w:r>
              <w:rPr>
                <w:b/>
                <w:sz w:val="40"/>
              </w:rPr>
              <w:t>Э</w:t>
            </w:r>
            <w:r>
              <w:rPr>
                <w:b/>
                <w:smallCaps/>
                <w:sz w:val="30"/>
              </w:rPr>
              <w:t>КОНОМИЧЕСКИЙ</w:t>
            </w:r>
          </w:p>
          <w:p w:rsidR="00000000" w:rsidRDefault="00000000">
            <w:pPr>
              <w:tabs>
                <w:tab w:val="left" w:pos="0"/>
                <w:tab w:val="left" w:pos="7086"/>
              </w:tabs>
              <w:suppressAutoHyphens/>
              <w:spacing w:line="240" w:lineRule="auto"/>
              <w:ind w:right="255"/>
              <w:rPr>
                <w:sz w:val="20"/>
              </w:rPr>
            </w:pPr>
            <w:r>
              <w:rPr>
                <w:b/>
                <w:smallCaps/>
                <w:sz w:val="30"/>
              </w:rPr>
              <w:t xml:space="preserve">И </w:t>
            </w:r>
            <w:r>
              <w:rPr>
                <w:b/>
                <w:sz w:val="40"/>
              </w:rPr>
              <w:t>С</w:t>
            </w:r>
            <w:r>
              <w:rPr>
                <w:b/>
                <w:smallCaps/>
                <w:sz w:val="30"/>
              </w:rPr>
              <w:t xml:space="preserve">ОЦИАЛЬНЫЙ </w:t>
            </w:r>
            <w:r>
              <w:rPr>
                <w:b/>
                <w:sz w:val="40"/>
              </w:rPr>
              <w:t>С</w:t>
            </w:r>
            <w:r>
              <w:rPr>
                <w:b/>
                <w:smallCaps/>
                <w:sz w:val="30"/>
              </w:rPr>
              <w:t>ОВЕТ</w:t>
            </w:r>
          </w:p>
        </w:tc>
        <w:tc>
          <w:tcPr>
            <w:tcW w:w="3403" w:type="dxa"/>
            <w:tcBorders>
              <w:bottom w:val="single" w:sz="24" w:space="0" w:color="auto"/>
            </w:tcBorders>
          </w:tcPr>
          <w:p w:rsidR="00000000" w:rsidRDefault="00000000">
            <w:pPr>
              <w:spacing w:line="216" w:lineRule="auto"/>
              <w:rPr>
                <w:lang w:val="en-US"/>
              </w:rPr>
            </w:pPr>
            <w:r>
              <w:rPr>
                <w:lang w:val="en-US"/>
              </w:rPr>
              <w:t>Distr.</w:t>
            </w:r>
          </w:p>
          <w:p w:rsidR="00000000" w:rsidRDefault="00000000">
            <w:pPr>
              <w:spacing w:line="216" w:lineRule="auto"/>
              <w:rPr>
                <w:lang w:val="en-US"/>
              </w:rPr>
            </w:pPr>
            <w:r>
              <w:rPr>
                <w:lang w:val="en-US"/>
              </w:rPr>
              <w:fldChar w:fldCharType="begin">
                <w:ffData>
                  <w:name w:val="ПолеСоСписком1"/>
                  <w:enabled/>
                  <w:calcOnExit w:val="0"/>
                  <w:ddList>
                    <w:listEntry w:val="GENERAL"/>
                    <w:listEntry w:val="LIMITED"/>
                    <w:listEntry w:val="RESTRICTED"/>
                  </w:ddList>
                </w:ffData>
              </w:fldChar>
            </w:r>
            <w:bookmarkStart w:id="0" w:name="ПолеСоСписком1"/>
            <w:r>
              <w:rPr>
                <w:lang w:val="en-US"/>
              </w:rPr>
              <w:instrText xml:space="preserve"> FORMDROPDOWN </w:instrText>
            </w:r>
            <w:r>
              <w:rPr>
                <w:lang w:val="en-US"/>
              </w:rPr>
            </w:r>
            <w:r>
              <w:rPr>
                <w:lang w:val="en-US"/>
              </w:rPr>
              <w:fldChar w:fldCharType="end"/>
            </w:r>
            <w:bookmarkEnd w:id="0"/>
          </w:p>
          <w:p w:rsidR="00000000" w:rsidRDefault="00000000">
            <w:pPr>
              <w:spacing w:line="216" w:lineRule="auto"/>
              <w:rPr>
                <w:lang w:val="en-US"/>
              </w:rPr>
            </w:pPr>
          </w:p>
          <w:p w:rsidR="00000000" w:rsidRDefault="00000000">
            <w:pPr>
              <w:spacing w:line="216" w:lineRule="auto"/>
              <w:rPr>
                <w:lang w:val="en-US"/>
              </w:rPr>
            </w:pPr>
            <w:r>
              <w:rPr>
                <w:lang w:val="en-US"/>
              </w:rPr>
              <w:fldChar w:fldCharType="begin"/>
            </w:r>
            <w:r>
              <w:rPr>
                <w:lang w:val="en-US"/>
              </w:rPr>
              <w:instrText xml:space="preserve"> FILLIN  "Введите символ документа" \* MERGEFORMAT </w:instrText>
            </w:r>
            <w:r>
              <w:rPr>
                <w:lang w:val="en-US"/>
              </w:rPr>
              <w:fldChar w:fldCharType="separate"/>
            </w:r>
            <w:r>
              <w:rPr>
                <w:lang w:val="en-US"/>
              </w:rPr>
              <w:t>E/C.12/Q/HKSAR/1</w:t>
            </w:r>
            <w:r>
              <w:rPr>
                <w:lang w:val="en-US"/>
              </w:rPr>
              <w:fldChar w:fldCharType="end"/>
            </w:r>
          </w:p>
          <w:p w:rsidR="00000000" w:rsidRDefault="00000000">
            <w:pPr>
              <w:spacing w:line="216" w:lineRule="auto"/>
              <w:rPr>
                <w:lang w:val="en-US"/>
              </w:rPr>
            </w:pPr>
            <w:r>
              <w:rPr>
                <w:lang w:val="en-US"/>
              </w:rPr>
              <w:fldChar w:fldCharType="begin"/>
            </w:r>
            <w:r>
              <w:rPr>
                <w:lang w:val="en-US"/>
              </w:rPr>
              <w:instrText xml:space="preserve"> FILLIN  "Введите дату документа" \* MERGEFORMAT </w:instrText>
            </w:r>
            <w:r>
              <w:rPr>
                <w:lang w:val="en-US"/>
              </w:rPr>
              <w:fldChar w:fldCharType="separate"/>
            </w:r>
            <w:r>
              <w:rPr>
                <w:lang w:val="en-US"/>
              </w:rPr>
              <w:t>25 May 2000</w:t>
            </w:r>
            <w:r>
              <w:rPr>
                <w:lang w:val="en-US"/>
              </w:rPr>
              <w:fldChar w:fldCharType="end"/>
            </w:r>
          </w:p>
          <w:p w:rsidR="00000000" w:rsidRDefault="00000000">
            <w:pPr>
              <w:spacing w:line="216" w:lineRule="auto"/>
              <w:rPr>
                <w:lang w:val="en-US"/>
              </w:rPr>
            </w:pPr>
          </w:p>
          <w:p w:rsidR="00000000" w:rsidRDefault="00000000">
            <w:pPr>
              <w:spacing w:line="216" w:lineRule="auto"/>
              <w:rPr>
                <w:lang w:val="en-US"/>
              </w:rPr>
            </w:pPr>
            <w:r>
              <w:rPr>
                <w:lang w:val="en-US"/>
              </w:rPr>
              <w:t>RUSSIAN</w:t>
            </w:r>
          </w:p>
          <w:p w:rsidR="00000000" w:rsidRDefault="00000000">
            <w:pPr>
              <w:spacing w:line="216" w:lineRule="auto"/>
              <w:rPr>
                <w:lang w:val="en-US"/>
              </w:rPr>
            </w:pPr>
            <w:r>
              <w:rPr>
                <w:lang w:val="en-US"/>
              </w:rPr>
              <w:t xml:space="preserve">Original:  </w:t>
            </w:r>
            <w:r>
              <w:rPr>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1" w:name="ПолеСоСписком2"/>
            <w:r>
              <w:rPr>
                <w:lang w:val="en-US"/>
              </w:rPr>
              <w:instrText xml:space="preserve"> FORMDROPDOWN </w:instrText>
            </w:r>
            <w:r>
              <w:rPr>
                <w:lang w:val="en-US"/>
              </w:rPr>
            </w:r>
            <w:r>
              <w:rPr>
                <w:lang w:val="en-US"/>
              </w:rPr>
              <w:fldChar w:fldCharType="end"/>
            </w:r>
            <w:bookmarkEnd w:id="1"/>
          </w:p>
          <w:p w:rsidR="00000000" w:rsidRDefault="00000000">
            <w:pPr>
              <w:spacing w:line="216" w:lineRule="auto"/>
              <w:rPr>
                <w:lang w:val="en-US"/>
              </w:rPr>
            </w:pPr>
          </w:p>
          <w:p w:rsidR="00000000" w:rsidRDefault="00000000">
            <w:pPr>
              <w:tabs>
                <w:tab w:val="left" w:pos="0"/>
                <w:tab w:val="left" w:pos="7086"/>
              </w:tabs>
              <w:suppressAutoHyphens/>
              <w:spacing w:line="216" w:lineRule="auto"/>
              <w:ind w:left="255"/>
              <w:rPr>
                <w:sz w:val="22"/>
              </w:rPr>
            </w:pPr>
          </w:p>
        </w:tc>
      </w:tr>
    </w:tbl>
    <w:p w:rsidR="00000000" w:rsidRDefault="00000000">
      <w:pPr>
        <w:rPr>
          <w:lang w:val="en-US"/>
        </w:rPr>
      </w:pPr>
    </w:p>
    <w:p w:rsidR="00000000" w:rsidRDefault="00000000">
      <w:r>
        <w:t>КОМИТЕТ ПО ЭКОНОМИЧЕСКИМ,</w:t>
      </w:r>
    </w:p>
    <w:p w:rsidR="00000000" w:rsidRDefault="00000000">
      <w:r>
        <w:t>СОЦИАЛЬНЫМ И КУЛЬТУРНЫМ ПРАВАМ</w:t>
      </w:r>
    </w:p>
    <w:p w:rsidR="00000000" w:rsidRDefault="00000000">
      <w:r>
        <w:t>Предсессионная рабочая группа</w:t>
      </w:r>
    </w:p>
    <w:p w:rsidR="00000000" w:rsidRDefault="00000000">
      <w:r>
        <w:t>15-19 мая 2000 года</w:t>
      </w: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pStyle w:val="16"/>
      </w:pPr>
      <w:r>
        <w:t>ОСУЩЕСТВЛЕНИЕ МЕЖДУНАРОДНОГО ПАКТА ОБ ЭКОНОМИЧЕСКИХ,</w:t>
      </w:r>
    </w:p>
    <w:p w:rsidR="00000000" w:rsidRDefault="00000000">
      <w:pPr>
        <w:jc w:val="center"/>
      </w:pPr>
      <w:r>
        <w:t>СОЦИАЛЬНЫХ И КУЛЬТУРНЫХ ПРАВАХ</w:t>
      </w:r>
    </w:p>
    <w:p w:rsidR="00000000" w:rsidRDefault="00000000">
      <w:pPr>
        <w:jc w:val="center"/>
      </w:pPr>
    </w:p>
    <w:p w:rsidR="00000000" w:rsidRDefault="00000000">
      <w:pPr>
        <w:pStyle w:val="11"/>
        <w:ind w:left="567"/>
      </w:pPr>
      <w:r>
        <w:t>Перечень вопросов, которые надлежит затронуть в связи с рассмотрением</w:t>
      </w:r>
    </w:p>
    <w:p w:rsidR="00000000" w:rsidRDefault="00000000">
      <w:pPr>
        <w:pStyle w:val="11"/>
        <w:ind w:left="567"/>
      </w:pPr>
      <w:r>
        <w:t>первоначального доклада Особого административного района Гонконг</w:t>
      </w:r>
    </w:p>
    <w:p w:rsidR="00000000" w:rsidRDefault="00000000">
      <w:pPr>
        <w:pStyle w:val="11"/>
        <w:ind w:left="567"/>
      </w:pPr>
      <w:r>
        <w:t>в отношении прав, охватываемых статьями 1-15 Международного пакта</w:t>
      </w:r>
    </w:p>
    <w:p w:rsidR="00000000" w:rsidRDefault="00000000">
      <w:pPr>
        <w:pStyle w:val="11"/>
        <w:ind w:left="567"/>
      </w:pPr>
      <w:r>
        <w:t>об экономических, социальных и культурных правах (E/1990/5/Add.43</w:t>
      </w:r>
      <w:r>
        <w:rPr>
          <w:u w:val="none"/>
        </w:rPr>
        <w:t>)</w:t>
      </w:r>
    </w:p>
    <w:p w:rsidR="00000000" w:rsidRDefault="00000000">
      <w:pPr>
        <w:pStyle w:val="16"/>
        <w:tabs>
          <w:tab w:val="left" w:pos="567"/>
          <w:tab w:val="left" w:pos="1134"/>
          <w:tab w:val="left" w:pos="1701"/>
          <w:tab w:val="left" w:pos="2268"/>
          <w:tab w:val="left" w:pos="6237"/>
        </w:tabs>
      </w:pPr>
    </w:p>
    <w:p w:rsidR="00000000" w:rsidRDefault="00000000">
      <w:pPr>
        <w:jc w:val="center"/>
        <w:rPr>
          <w:u w:val="single"/>
        </w:rPr>
      </w:pPr>
      <w:r>
        <w:t>I.</w:t>
      </w:r>
      <w:r>
        <w:tab/>
        <w:t>ОБЩИЕ ПРАВОВЫЕ РАМКИ ОСУЩЕСТВЛЕНИЯ ПАКТА</w:t>
      </w:r>
    </w:p>
    <w:p w:rsidR="00000000" w:rsidRDefault="00000000">
      <w:pPr>
        <w:jc w:val="center"/>
        <w:rPr>
          <w:u w:val="single"/>
        </w:rPr>
      </w:pPr>
    </w:p>
    <w:p w:rsidR="00000000" w:rsidRDefault="00000000">
      <w:pPr>
        <w:tabs>
          <w:tab w:val="left" w:pos="567"/>
        </w:tabs>
      </w:pPr>
      <w:r>
        <w:t>1.</w:t>
      </w:r>
      <w:r>
        <w:tab/>
        <w:t>В пункте 101 Основного документа говорится, что, хотя применимые к Гонконгу договоры не имеют силу закона во внутренней правовой системе, суды будут толковать внутреннее право таким образом, чтобы избежать несовместимости с международными обязательствами Гонконга.  Просьба проинформировать Комитет о конкретных делах в этой связи.</w:t>
      </w:r>
    </w:p>
    <w:p w:rsidR="00000000" w:rsidRDefault="00000000">
      <w:pPr>
        <w:tabs>
          <w:tab w:val="left" w:pos="567"/>
        </w:tabs>
      </w:pPr>
    </w:p>
    <w:p w:rsidR="00000000" w:rsidRDefault="00000000">
      <w:r>
        <w:rPr>
          <w:lang w:val="en-US"/>
        </w:rPr>
        <w:t>2.</w:t>
      </w:r>
      <w:r>
        <w:rPr>
          <w:lang w:val="en-US"/>
        </w:rPr>
        <w:tab/>
      </w:r>
      <w:r>
        <w:t xml:space="preserve">Просьба пояснить необходимость сохранения оговорок к статьям 1, 6, 7 и 8 Пакта.  Просьба указать сроки, в которые Особый административный район Гонконг (ОАРГ) планирует снять эти оговорки. </w:t>
      </w:r>
    </w:p>
    <w:p w:rsidR="00000000" w:rsidRDefault="00000000">
      <w:r>
        <w:t>3.</w:t>
      </w:r>
      <w:r>
        <w:tab/>
        <w:t>Просьба подробно описать принимаемые последовательные меры по включению положений Пакта во внутреннее законодательство ОАРГ, которые позволят придать Международному пакту об экономических, социальных и культурных правах равный с Международным пактом о гражданских и политических правах статус в соответствии с принципом о неделимости и взаимозависимости всех прав человека.</w:t>
      </w:r>
    </w:p>
    <w:p w:rsidR="00000000" w:rsidRDefault="00000000"/>
    <w:p w:rsidR="00000000" w:rsidRDefault="00000000">
      <w:pPr>
        <w:jc w:val="center"/>
      </w:pPr>
      <w:r>
        <w:rPr>
          <w:lang w:val="en-US"/>
        </w:rPr>
        <w:t>II</w:t>
      </w:r>
      <w:r>
        <w:t>.</w:t>
      </w:r>
      <w:r>
        <w:tab/>
        <w:t>ВОПРОСЫ, КАСАЮЩИЕСЯ ОБЩИХ ПОЛОЖЕНИЙ ПАКТА</w:t>
      </w:r>
    </w:p>
    <w:p w:rsidR="00000000" w:rsidRDefault="00000000">
      <w:pPr>
        <w:jc w:val="center"/>
      </w:pPr>
      <w:r>
        <w:t>(Статьи 1</w:t>
      </w:r>
      <w:r>
        <w:noBreakHyphen/>
        <w:t>5)</w:t>
      </w:r>
    </w:p>
    <w:p w:rsidR="00000000" w:rsidRDefault="00000000">
      <w:pPr>
        <w:jc w:val="center"/>
      </w:pPr>
    </w:p>
    <w:p w:rsidR="00000000" w:rsidRDefault="00000000">
      <w:pPr>
        <w:pStyle w:val="Heading2"/>
      </w:pPr>
      <w:r>
        <w:t>Статья 2:</w:t>
      </w:r>
      <w:r>
        <w:tab/>
        <w:t>Недискриминация</w:t>
      </w:r>
    </w:p>
    <w:p w:rsidR="00000000" w:rsidRDefault="00000000">
      <w:pPr>
        <w:pStyle w:val="Heading2"/>
      </w:pPr>
    </w:p>
    <w:p w:rsidR="00000000" w:rsidRDefault="00000000">
      <w:r>
        <w:t>4.</w:t>
      </w:r>
      <w:r>
        <w:tab/>
        <w:t>Просьба представить подробную информацию об исследованиях и консультациях, проведенных по вопросу о законодательстве, направленном против дискриминации по признаку расы и сексуальной ориентации, о которых упоминается в пункте 13 доклада.  Просьба включить информацию об используемой методологии, методах выборки, а также о количестве и классификации респондентов.</w:t>
      </w:r>
    </w:p>
    <w:p w:rsidR="00000000" w:rsidRDefault="00000000"/>
    <w:p w:rsidR="00000000" w:rsidRDefault="00000000">
      <w:r>
        <w:t>5.</w:t>
      </w:r>
      <w:r>
        <w:tab/>
        <w:t>Какие законы и меры существуют для защиты от дискриминации трудящихся-мигрантов, иммигрантов из континентальной части Китая и иностранцев, работающих в качестве домашней прислуги?</w:t>
      </w:r>
    </w:p>
    <w:p w:rsidR="00000000" w:rsidRDefault="00000000"/>
    <w:p w:rsidR="00000000" w:rsidRDefault="00000000">
      <w:pPr>
        <w:pStyle w:val="Heading7"/>
        <w:tabs>
          <w:tab w:val="left" w:pos="567"/>
        </w:tabs>
        <w:spacing w:line="288" w:lineRule="auto"/>
        <w:ind w:left="0" w:firstLine="0"/>
      </w:pPr>
      <w:r>
        <w:t>Статья 3:</w:t>
      </w:r>
      <w:r>
        <w:tab/>
        <w:t>Равенство между мужчинами и женщинами</w:t>
      </w:r>
    </w:p>
    <w:p w:rsidR="00000000" w:rsidRDefault="00000000">
      <w:pPr>
        <w:pStyle w:val="Heading7"/>
        <w:tabs>
          <w:tab w:val="left" w:pos="567"/>
        </w:tabs>
        <w:spacing w:line="288" w:lineRule="auto"/>
        <w:ind w:left="0" w:firstLine="0"/>
      </w:pPr>
    </w:p>
    <w:p w:rsidR="00000000" w:rsidRDefault="00000000">
      <w:pPr>
        <w:tabs>
          <w:tab w:val="left" w:pos="567"/>
        </w:tabs>
      </w:pPr>
      <w:r>
        <w:t>6.</w:t>
      </w:r>
      <w:r>
        <w:tab/>
        <w:t>Просьба обсудить выводы Комитета по пересмотру, который рассмотрел Политику Новых территорий в области строительства небольших домов, в целях внесения поправок в разделы, содержащие дискриминацию в отношении коренных деревенских жителей из числа женщин (пункт 87 последнего доклада ОАРГ (CCPR/C/HKSAR/99/1) Комитету по правам человека).</w:t>
      </w:r>
    </w:p>
    <w:p w:rsidR="00000000" w:rsidRDefault="00000000">
      <w:pPr>
        <w:tabs>
          <w:tab w:val="left" w:pos="567"/>
        </w:tabs>
      </w:pPr>
    </w:p>
    <w:p w:rsidR="00000000" w:rsidRDefault="00000000">
      <w:pPr>
        <w:tabs>
          <w:tab w:val="left" w:pos="567"/>
        </w:tabs>
      </w:pPr>
      <w:r>
        <w:t>7.</w:t>
      </w:r>
      <w:r>
        <w:tab/>
        <w:t xml:space="preserve">Просьба обсудить результаты пересмотра Закона о предупреждении дискриминации по признаку пола, начатого в декабре 1997 года Комиссией равных возможностей, о чем говорится в пункте 73 доклада ОАРГ Комитету по правам человека. </w:t>
      </w:r>
    </w:p>
    <w:p w:rsidR="00000000" w:rsidRDefault="00000000">
      <w:pPr>
        <w:tabs>
          <w:tab w:val="left" w:pos="567"/>
        </w:tabs>
        <w:jc w:val="center"/>
      </w:pPr>
    </w:p>
    <w:p w:rsidR="00000000" w:rsidRDefault="00000000">
      <w:pPr>
        <w:tabs>
          <w:tab w:val="left" w:pos="567"/>
        </w:tabs>
        <w:jc w:val="center"/>
      </w:pPr>
      <w:r>
        <w:br w:type="page"/>
        <w:t>III.</w:t>
      </w:r>
      <w:r>
        <w:tab/>
        <w:t>ВОПРОСЫ, КАСАЮЩИЕСЯ КОНКРЕТНЫХ ПРАВ, ПРИЗНАННЫХ В ПАКТЕ</w:t>
      </w:r>
    </w:p>
    <w:p w:rsidR="00000000" w:rsidRDefault="00000000">
      <w:pPr>
        <w:tabs>
          <w:tab w:val="left" w:pos="567"/>
        </w:tabs>
        <w:jc w:val="center"/>
      </w:pPr>
      <w:r>
        <w:t>(статьи 6-15)</w:t>
      </w:r>
    </w:p>
    <w:p w:rsidR="00000000" w:rsidRDefault="00000000">
      <w:pPr>
        <w:pStyle w:val="16"/>
        <w:tabs>
          <w:tab w:val="left" w:pos="567"/>
          <w:tab w:val="left" w:pos="1134"/>
          <w:tab w:val="left" w:pos="1701"/>
          <w:tab w:val="left" w:pos="2268"/>
          <w:tab w:val="left" w:pos="6237"/>
        </w:tabs>
        <w:jc w:val="left"/>
      </w:pPr>
    </w:p>
    <w:p w:rsidR="00000000" w:rsidRDefault="00000000">
      <w:pPr>
        <w:pStyle w:val="Heading7"/>
        <w:tabs>
          <w:tab w:val="left" w:pos="567"/>
        </w:tabs>
        <w:spacing w:line="288" w:lineRule="auto"/>
        <w:ind w:left="0" w:firstLine="0"/>
      </w:pPr>
      <w:r>
        <w:t>Статья 6:</w:t>
      </w:r>
      <w:r>
        <w:tab/>
        <w:t>Право на труд</w:t>
      </w:r>
    </w:p>
    <w:p w:rsidR="00000000" w:rsidRDefault="00000000">
      <w:pPr>
        <w:pStyle w:val="Heading7"/>
        <w:tabs>
          <w:tab w:val="left" w:pos="567"/>
        </w:tabs>
        <w:spacing w:line="288" w:lineRule="auto"/>
        <w:ind w:left="0" w:firstLine="0"/>
      </w:pPr>
    </w:p>
    <w:p w:rsidR="00000000" w:rsidRDefault="00000000">
      <w:pPr>
        <w:tabs>
          <w:tab w:val="left" w:pos="567"/>
        </w:tabs>
      </w:pPr>
      <w:r>
        <w:t>8.</w:t>
      </w:r>
      <w:r>
        <w:tab/>
        <w:t>Просьба сообщить о принятых мерах по решению проблемы безработицы среди неквалифицированных женщин среднего возраста.</w:t>
      </w:r>
    </w:p>
    <w:p w:rsidR="00000000" w:rsidRDefault="00000000">
      <w:pPr>
        <w:tabs>
          <w:tab w:val="left" w:pos="567"/>
        </w:tabs>
      </w:pPr>
    </w:p>
    <w:p w:rsidR="00000000" w:rsidRDefault="00000000">
      <w:r>
        <w:t>9.</w:t>
      </w:r>
      <w:r>
        <w:tab/>
        <w:t>В пункте 76 доклада правительство заявляет, что оно исполнено решимости добиться ликвидации всех форм дискриминации в сфере занятости.  Просьба описать достигнутый прогресс в связи с результатами мер просветительной работы среди населения, принятых в целях ликвидации дискриминации в сфере занятости по признаку расы и возраста.  Просьба также указать, какие трудности и препятствия необходимо по</w:t>
      </w:r>
      <w:r>
        <w:noBreakHyphen/>
        <w:t>прежнему преодолеть.</w:t>
      </w:r>
    </w:p>
    <w:p w:rsidR="00000000" w:rsidRDefault="00000000"/>
    <w:p w:rsidR="00000000" w:rsidRDefault="00000000">
      <w:r>
        <w:t>10.</w:t>
      </w:r>
      <w:r>
        <w:tab/>
        <w:t>Просьба указать, в какой степени трудящиеся, импортируемые в ОАРГ в соответствии со схемой привлечения дополнительной рабочей силы и специальной схемой привлечения рабочей силы для строительства нового аэропорта и реализации смежных проектов, о которых упоминается в пункте 65 доклада, пользуются правовой защитой в отношении прав, предусмотренных статьей 6 Пакта.</w:t>
      </w:r>
    </w:p>
    <w:p w:rsidR="00000000" w:rsidRDefault="00000000"/>
    <w:p w:rsidR="00000000" w:rsidRDefault="00000000">
      <w:pPr>
        <w:pStyle w:val="Heading2"/>
      </w:pPr>
      <w:r>
        <w:t>Статья 7:</w:t>
      </w:r>
      <w:r>
        <w:tab/>
        <w:t>Право на справедливые и благоприятные условия труда</w:t>
      </w:r>
    </w:p>
    <w:p w:rsidR="00000000" w:rsidRDefault="00000000">
      <w:pPr>
        <w:pStyle w:val="Heading2"/>
      </w:pPr>
    </w:p>
    <w:p w:rsidR="00000000" w:rsidRDefault="00000000">
      <w:r>
        <w:t>11.</w:t>
      </w:r>
      <w:r>
        <w:tab/>
        <w:t xml:space="preserve">Просьба обсудить выводы исследования по теме о равной плате за труд равной ценности, запрошенного Комиссией равных возможностей, о котором говорится в пункте 81 доклада.  Просьба сообщить, в какой мере правительство стремится играть более активную роль в обеспечении соблюдения этого права.  </w:t>
      </w:r>
    </w:p>
    <w:p w:rsidR="00000000" w:rsidRDefault="00000000"/>
    <w:p w:rsidR="00000000" w:rsidRDefault="00000000">
      <w:pPr>
        <w:tabs>
          <w:tab w:val="left" w:pos="567"/>
        </w:tabs>
      </w:pPr>
      <w:r>
        <w:t>12.</w:t>
      </w:r>
      <w:r>
        <w:tab/>
        <w:t>Просьба обсудить результаты консультаций со служащими и нанимателями по вопросу о продолжительности рабочего дня, в отношении которого в настоящее время не существует официальных ограничений (пункт 87 </w:t>
      </w:r>
      <w:r>
        <w:rPr>
          <w:lang w:val="en-US"/>
        </w:rPr>
        <w:t>b</w:t>
      </w:r>
      <w:r>
        <w:t>) доклада).</w:t>
      </w:r>
    </w:p>
    <w:p w:rsidR="00000000" w:rsidRDefault="00000000">
      <w:pPr>
        <w:tabs>
          <w:tab w:val="left" w:pos="567"/>
        </w:tabs>
      </w:pPr>
    </w:p>
    <w:p w:rsidR="00000000" w:rsidRDefault="00000000">
      <w:pPr>
        <w:tabs>
          <w:tab w:val="left" w:pos="567"/>
        </w:tabs>
      </w:pPr>
      <w:r>
        <w:t>13.</w:t>
      </w:r>
      <w:r>
        <w:tab/>
        <w:t>Ввиду отсутствия в ОАРГ официального минимума заработной платы просьба представить информацию о том, каким образом правительство определяет, хватает ли среднего заработка для обеспечения достаточного уровня жизни трудящихся и их семей?</w:t>
      </w:r>
    </w:p>
    <w:p w:rsidR="00000000" w:rsidRDefault="00000000">
      <w:pPr>
        <w:tabs>
          <w:tab w:val="left" w:pos="567"/>
        </w:tabs>
      </w:pPr>
    </w:p>
    <w:p w:rsidR="00000000" w:rsidRDefault="00000000">
      <w:pPr>
        <w:tabs>
          <w:tab w:val="left" w:pos="567"/>
        </w:tabs>
      </w:pPr>
      <w:r>
        <w:rPr>
          <w:lang w:val="en-US"/>
        </w:rPr>
        <w:br w:type="page"/>
        <w:t>14.</w:t>
      </w:r>
      <w:r>
        <w:tab/>
        <w:t>В докладе не приводится никакой информации о том, насколько частыми являются случаи сексуального домогательства на рабочем месте, жертвами которого становятся женщины.  Просьба представить информацию о масштабах этой проблемы и мерах, принимаемых правительством по ее решению.</w:t>
      </w:r>
    </w:p>
    <w:p w:rsidR="00000000" w:rsidRDefault="00000000">
      <w:pPr>
        <w:tabs>
          <w:tab w:val="left" w:pos="567"/>
        </w:tabs>
      </w:pPr>
    </w:p>
    <w:p w:rsidR="00000000" w:rsidRDefault="00000000">
      <w:pPr>
        <w:pStyle w:val="Heading2"/>
        <w:tabs>
          <w:tab w:val="left" w:pos="567"/>
        </w:tabs>
      </w:pPr>
      <w:r>
        <w:t>Статья 8:</w:t>
      </w:r>
      <w:r>
        <w:tab/>
        <w:t>Права профсоюзов</w:t>
      </w:r>
    </w:p>
    <w:p w:rsidR="00000000" w:rsidRDefault="00000000">
      <w:pPr>
        <w:tabs>
          <w:tab w:val="left" w:pos="567"/>
        </w:tabs>
      </w:pPr>
    </w:p>
    <w:p w:rsidR="00000000" w:rsidRDefault="00000000">
      <w:pPr>
        <w:tabs>
          <w:tab w:val="left" w:pos="567"/>
        </w:tabs>
      </w:pPr>
      <w:r>
        <w:t>15.</w:t>
      </w:r>
      <w:r>
        <w:tab/>
        <w:t>Просьба обсудить сферу охвата и важность системы добровольных переговоров о заключении коллективного договора, которую правительство поощряет и стимулирует, как это утверждается в пункте 130 доклада, а также ее воздействие на права, предусмотренные статьей 8 Пакта.</w:t>
      </w:r>
    </w:p>
    <w:p w:rsidR="00000000" w:rsidRDefault="00000000">
      <w:pPr>
        <w:tabs>
          <w:tab w:val="left" w:pos="567"/>
        </w:tabs>
      </w:pPr>
    </w:p>
    <w:p w:rsidR="00000000" w:rsidRDefault="00000000">
      <w:pPr>
        <w:tabs>
          <w:tab w:val="left" w:pos="567"/>
        </w:tabs>
      </w:pPr>
      <w:r>
        <w:t>16.</w:t>
      </w:r>
      <w:r>
        <w:tab/>
        <w:t>В пункте 388 доклада ОАРГ Комитету по правам человека указано, что в статье 27 Основного закона гарантируется право на забастовки.  Однако, согласно альтернативным источникам информации, вопреки этому закону наниматели могут уволить служащих во время забастовки за нарушение трудового договора.  Просьба дать соответствующие разъяснения.</w:t>
      </w:r>
    </w:p>
    <w:p w:rsidR="00000000" w:rsidRDefault="00000000">
      <w:pPr>
        <w:tabs>
          <w:tab w:val="left" w:pos="567"/>
        </w:tabs>
      </w:pPr>
    </w:p>
    <w:p w:rsidR="00000000" w:rsidRDefault="00000000">
      <w:pPr>
        <w:tabs>
          <w:tab w:val="left" w:pos="567"/>
        </w:tabs>
      </w:pPr>
      <w:r>
        <w:t>17.</w:t>
      </w:r>
      <w:r>
        <w:tab/>
        <w:t>Согласно Международной конфедерации свободных профсоюзов, право на свободу ассоциаций было ограничено.  Просьба указать число случаев, когда с помощью ссылок на Закон об обществах или Закон об общественном порядке обосновывался отказ в разрешении на проведение профсоюзных демонстраций после внесения в 1997 году в оба закона поправок в целях включения концепции национальной безопасности.</w:t>
      </w:r>
    </w:p>
    <w:p w:rsidR="00000000" w:rsidRDefault="00000000">
      <w:pPr>
        <w:tabs>
          <w:tab w:val="left" w:pos="567"/>
        </w:tabs>
      </w:pPr>
    </w:p>
    <w:p w:rsidR="00000000" w:rsidRDefault="00000000">
      <w:pPr>
        <w:pStyle w:val="Heading2"/>
        <w:tabs>
          <w:tab w:val="left" w:pos="567"/>
        </w:tabs>
      </w:pPr>
      <w:r>
        <w:t>Статья 9:</w:t>
      </w:r>
      <w:r>
        <w:tab/>
        <w:t>Право на социальное обеспечение</w:t>
      </w:r>
    </w:p>
    <w:p w:rsidR="00000000" w:rsidRDefault="00000000">
      <w:pPr>
        <w:pStyle w:val="FootnoteText"/>
        <w:tabs>
          <w:tab w:val="left" w:pos="567"/>
        </w:tabs>
        <w:spacing w:line="288" w:lineRule="auto"/>
      </w:pPr>
    </w:p>
    <w:p w:rsidR="00000000" w:rsidRDefault="00000000">
      <w:pPr>
        <w:pStyle w:val="FootnoteText"/>
        <w:tabs>
          <w:tab w:val="left" w:pos="567"/>
        </w:tabs>
        <w:spacing w:line="288" w:lineRule="auto"/>
      </w:pPr>
      <w:r>
        <w:t>18.</w:t>
      </w:r>
      <w:r>
        <w:tab/>
        <w:t>Просьба указать, в какой степени размеры помощи, выплачиваемой в рамках Системы всеобщего социального обеспечения (СВСО), о которой упоминается в пункте 142 доклада, обеспечивают достойный уровень жизни для ее получателей.</w:t>
      </w:r>
    </w:p>
    <w:p w:rsidR="00000000" w:rsidRDefault="00000000">
      <w:pPr>
        <w:pStyle w:val="FootnoteText"/>
        <w:tabs>
          <w:tab w:val="left" w:pos="567"/>
        </w:tabs>
        <w:spacing w:line="288" w:lineRule="auto"/>
      </w:pPr>
    </w:p>
    <w:p w:rsidR="00000000" w:rsidRDefault="00000000">
      <w:pPr>
        <w:pStyle w:val="FootnoteText"/>
        <w:tabs>
          <w:tab w:val="left" w:pos="567"/>
        </w:tabs>
        <w:spacing w:line="288" w:lineRule="auto"/>
      </w:pPr>
      <w:r>
        <w:t>19.</w:t>
      </w:r>
      <w:r>
        <w:tab/>
        <w:t>Просьба описать принимаемые правительством конкретные меры по обеспечению достойного уровня жизни престарелым, получающим ПСО (пособие по социальному обеспечению) и помощь по линии СВСО.</w:t>
      </w:r>
    </w:p>
    <w:p w:rsidR="00000000" w:rsidRDefault="00000000">
      <w:pPr>
        <w:pStyle w:val="FootnoteText"/>
        <w:tabs>
          <w:tab w:val="left" w:pos="567"/>
        </w:tabs>
        <w:spacing w:line="288" w:lineRule="auto"/>
      </w:pPr>
    </w:p>
    <w:p w:rsidR="00000000" w:rsidRDefault="00000000">
      <w:pPr>
        <w:pStyle w:val="FootnoteText"/>
        <w:tabs>
          <w:tab w:val="left" w:pos="567"/>
        </w:tabs>
        <w:spacing w:line="288" w:lineRule="auto"/>
      </w:pPr>
      <w:r>
        <w:t>20.</w:t>
      </w:r>
      <w:r>
        <w:tab/>
        <w:t>Просьба обсудить конкретные меры, принятые правительством в целях упрощения процедуры подачи заявлений о предоставлении помощи по линии СВСО в целях обеспечения ее доступности (пункт 153 доклада).</w:t>
      </w:r>
    </w:p>
    <w:p w:rsidR="00000000" w:rsidRDefault="00000000">
      <w:pPr>
        <w:pStyle w:val="FootnoteText"/>
        <w:tabs>
          <w:tab w:val="left" w:pos="567"/>
        </w:tabs>
        <w:spacing w:line="288" w:lineRule="auto"/>
      </w:pPr>
    </w:p>
    <w:p w:rsidR="00000000" w:rsidRDefault="00000000">
      <w:r>
        <w:t>21.</w:t>
      </w:r>
      <w:r>
        <w:tab/>
        <w:t>Просьба указать, какие меры принимаются для обеспечения того, чтобы семьи с одним родителем получали достаточную и адекватную поддержку в деле воспитания детей.</w:t>
      </w:r>
    </w:p>
    <w:p w:rsidR="00000000" w:rsidRDefault="00000000"/>
    <w:p w:rsidR="00000000" w:rsidRDefault="00000000">
      <w:pPr>
        <w:pStyle w:val="Heading2"/>
      </w:pPr>
      <w:r>
        <w:t>Статья 10:  Защита семьи, матери и ребенка</w:t>
      </w:r>
    </w:p>
    <w:p w:rsidR="00000000" w:rsidRDefault="00000000">
      <w:pPr>
        <w:pStyle w:val="Heading2"/>
      </w:pPr>
    </w:p>
    <w:p w:rsidR="00000000" w:rsidRDefault="00000000">
      <w:r>
        <w:t>22.</w:t>
      </w:r>
      <w:r>
        <w:tab/>
        <w:t>Просьба описать меры, принимаемые правительством в целях повышения информированности женщин о средствах правовой защиты, имеющихся в их распоряжении в случаях бытового насилия.</w:t>
      </w:r>
    </w:p>
    <w:p w:rsidR="00000000" w:rsidRDefault="00000000"/>
    <w:p w:rsidR="00000000" w:rsidRDefault="00000000">
      <w:r>
        <w:t>23.</w:t>
      </w:r>
      <w:r>
        <w:tab/>
        <w:t>Просьба указать, является ли супружеское изнасилование наказуемым преступлением в Гонконге.</w:t>
      </w:r>
    </w:p>
    <w:p w:rsidR="00000000" w:rsidRDefault="00000000"/>
    <w:p w:rsidR="00000000" w:rsidRDefault="00000000">
      <w:r>
        <w:t>24.</w:t>
      </w:r>
      <w:r>
        <w:tab/>
        <w:t>Просьба представить дополнительную информацию по системе выдачи свидетельства о праве на проживание, описанной в пунктах 216</w:t>
      </w:r>
      <w:r>
        <w:noBreakHyphen/>
        <w:t>219 доклада, а также пояснить, почему ее функционирование предусматривает систему разрешений на односторонний выезд, которая воспринимается как противоречащая природе права на проживание.</w:t>
      </w:r>
    </w:p>
    <w:p w:rsidR="00000000" w:rsidRDefault="00000000"/>
    <w:p w:rsidR="00000000" w:rsidRDefault="00000000">
      <w:r>
        <w:t>25.</w:t>
      </w:r>
      <w:r>
        <w:tab/>
        <w:t>В пункте 301 доклада упоминается проведенная Комиссией по делам престарелых и завершенная в сентябре 1998 года оценка спроса на долгосрочное обеспечение жильем и обслуживание по месту жительства престарелых, а также стратегия, необходимая для удовлетворения этих потребностей.  Просьба обсудить результаты оценки, а также детали разработанной стратегии, в том числе любые меры, принятые в целях ее претворения в жизнь.</w:t>
      </w:r>
    </w:p>
    <w:p w:rsidR="00000000" w:rsidRDefault="00000000"/>
    <w:p w:rsidR="00000000" w:rsidRDefault="00000000">
      <w:r>
        <w:t>26.</w:t>
      </w:r>
      <w:r>
        <w:tab/>
        <w:t>Просьба представить обновленную информацию о распространенности проституции и токсикомании, включая злоупотребление табаком и алкоголем среди молодежи.</w:t>
      </w:r>
    </w:p>
    <w:p w:rsidR="00000000" w:rsidRDefault="00000000"/>
    <w:p w:rsidR="00000000" w:rsidRDefault="00000000">
      <w:pPr>
        <w:pStyle w:val="Heading2"/>
      </w:pPr>
      <w:r>
        <w:t>Статья 11:</w:t>
      </w:r>
      <w:r>
        <w:tab/>
        <w:t>Право на достаточный уровень жизни</w:t>
      </w:r>
    </w:p>
    <w:p w:rsidR="00000000" w:rsidRDefault="00000000">
      <w:pPr>
        <w:pStyle w:val="Heading2"/>
      </w:pPr>
    </w:p>
    <w:p w:rsidR="00000000" w:rsidRDefault="00000000">
      <w:r>
        <w:t>27.</w:t>
      </w:r>
      <w:r>
        <w:tab/>
        <w:t>Просьба указать, существует ли в ОАРГ официальная черта бедности, и если она существует, то просьба представить данные о количестве лиц, проживающих ниже черты бедности, в разбивке по признакам пола, возраста, национального и социального происхождения.</w:t>
      </w:r>
    </w:p>
    <w:p w:rsidR="00000000" w:rsidRDefault="00000000">
      <w:pPr>
        <w:tabs>
          <w:tab w:val="left" w:pos="567"/>
        </w:tabs>
      </w:pPr>
    </w:p>
    <w:p w:rsidR="00000000" w:rsidRDefault="00000000">
      <w:r>
        <w:br w:type="page"/>
        <w:t>28.</w:t>
      </w:r>
      <w:r>
        <w:tab/>
        <w:t xml:space="preserve">Просьба указать, насколько распространены в ОАРГ случаи голода и недоедания.  В частности, каково положение уязвимых групп населения и групп, находящихся в неблагоприятном положении (включая безработных, трудящихся-мигрантов, детей, инвалидов и престарелых)? </w:t>
      </w:r>
    </w:p>
    <w:p w:rsidR="00000000" w:rsidRDefault="00000000"/>
    <w:p w:rsidR="00000000" w:rsidRDefault="00000000">
      <w:r>
        <w:t>29.</w:t>
      </w:r>
      <w:r>
        <w:tab/>
        <w:t>Просьба представить последние статистические данные о числе лиц в ОАРГ, не имеющих надлежащих жилищных условий.</w:t>
      </w:r>
    </w:p>
    <w:p w:rsidR="00000000" w:rsidRDefault="00000000"/>
    <w:p w:rsidR="00000000" w:rsidRDefault="00000000">
      <w:r>
        <w:t>30.</w:t>
      </w:r>
      <w:r>
        <w:tab/>
        <w:t>Просьба указать, удалось ли правительству постепенно ликвидировать районы временного проживания (РВП), как это указывается в пункте 363.  Просьба описать "временное размещение", предоставленное тем семьям, которые не отвечают соответствующим требованиям для получения государственного арендуемого жилья.</w:t>
      </w:r>
    </w:p>
    <w:p w:rsidR="00000000" w:rsidRDefault="00000000"/>
    <w:p w:rsidR="00000000" w:rsidRDefault="00000000">
      <w:r>
        <w:rPr>
          <w:lang w:val="en-US"/>
        </w:rPr>
        <w:t>31</w:t>
      </w:r>
      <w:r>
        <w:t>.</w:t>
      </w:r>
      <w:r>
        <w:tab/>
        <w:t xml:space="preserve">Просьба указать, какие законодательные меры были приняты для защиты от принудительного или произвольного выселения лиц или групп населения.  Какие санкции налагались за нарушение таких законов?  </w:t>
      </w:r>
    </w:p>
    <w:p w:rsidR="00000000" w:rsidRDefault="00000000"/>
    <w:p w:rsidR="00000000" w:rsidRDefault="00000000">
      <w:pPr>
        <w:pStyle w:val="Heading2"/>
      </w:pPr>
      <w:r>
        <w:t>Статья 12:  Право на физическое и психическое здоровье</w:t>
      </w:r>
    </w:p>
    <w:p w:rsidR="00000000" w:rsidRDefault="00000000">
      <w:pPr>
        <w:pStyle w:val="Heading2"/>
      </w:pPr>
    </w:p>
    <w:p w:rsidR="00000000" w:rsidRDefault="00000000">
      <w:r>
        <w:t>32.</w:t>
      </w:r>
      <w:r>
        <w:tab/>
        <w:t>В какой степени удовлетворяются потребности проживающих в ОАРГ лиц с психическими недостатками с помощью принимаемых правительством и НПО мер, описанных в пунктах 434</w:t>
      </w:r>
      <w:r>
        <w:noBreakHyphen/>
        <w:t>436?</w:t>
      </w:r>
    </w:p>
    <w:p w:rsidR="00000000" w:rsidRDefault="00000000"/>
    <w:p w:rsidR="00000000" w:rsidRDefault="00000000">
      <w:r>
        <w:t>33.</w:t>
      </w:r>
      <w:r>
        <w:tab/>
        <w:t>Просьба обсудить результаты недавно завершенного обзора системы финансирования медицинского обслуживания (пункт 456 доклада).</w:t>
      </w:r>
    </w:p>
    <w:p w:rsidR="00000000" w:rsidRDefault="00000000"/>
    <w:p w:rsidR="00000000" w:rsidRDefault="00000000">
      <w:r>
        <w:t>34.</w:t>
      </w:r>
      <w:r>
        <w:tab/>
        <w:t>Просьба обсудить последствия загрязнения окружающей среды для здоровья населения и меры, принимаемые правительством с целью ликвидации этих последствий.</w:t>
      </w:r>
    </w:p>
    <w:p w:rsidR="00000000" w:rsidRDefault="00000000"/>
    <w:p w:rsidR="00000000" w:rsidRDefault="00000000">
      <w:pPr>
        <w:pStyle w:val="Heading2"/>
      </w:pPr>
      <w:r>
        <w:t>Статьи 13 и 14:  Право на образование</w:t>
      </w:r>
    </w:p>
    <w:p w:rsidR="00000000" w:rsidRDefault="00000000">
      <w:pPr>
        <w:pStyle w:val="Heading2"/>
      </w:pPr>
    </w:p>
    <w:p w:rsidR="00000000" w:rsidRDefault="00000000">
      <w:r>
        <w:t>35.</w:t>
      </w:r>
      <w:r>
        <w:tab/>
        <w:t>Просьба указать, приняло ли правительство какие-либо специальные меры или политику с целью повышения уровня грамотности, который в 1996 году, согласно пункту 68 d) основного документа, составил 90,5%.</w:t>
      </w:r>
    </w:p>
    <w:p w:rsidR="00000000" w:rsidRDefault="00000000"/>
    <w:p w:rsidR="00000000" w:rsidRDefault="00000000"/>
    <w:p w:rsidR="00000000" w:rsidRDefault="00000000">
      <w:pPr>
        <w:pStyle w:val="16"/>
      </w:pPr>
      <w:r>
        <w:t>-----</w:t>
      </w:r>
    </w:p>
    <w:p w:rsidR="00000000" w:rsidRDefault="00000000">
      <w:pPr>
        <w:rPr>
          <w:lang w:val="en-US"/>
        </w:rPr>
      </w:pPr>
    </w:p>
    <w:sectPr w:rsidR="00000000">
      <w:headerReference w:type="even" r:id="rId8"/>
      <w:headerReference w:type="default" r:id="rId9"/>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line="240" w:lineRule="auto"/>
      <w:rPr>
        <w:lang w:val="en-US"/>
      </w:rPr>
    </w:pPr>
    <w:r>
      <w:rPr>
        <w:lang w:val="en-US"/>
      </w:rPr>
      <w:t>E/C.12/Q/HKSAR/1</w:t>
    </w:r>
  </w:p>
  <w:p w:rsidR="00000000" w:rsidRDefault="00000000">
    <w:pPr>
      <w:pStyle w:val="Header"/>
      <w:spacing w:line="240" w:lineRule="auto"/>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p w:rsidR="00000000" w:rsidRDefault="00000000">
    <w:pPr>
      <w:pStyle w:val="Header"/>
      <w:spacing w:line="240" w:lineRule="auto"/>
      <w:rPr>
        <w:rStyle w:val="PageNumber"/>
        <w:lang w:val="en-US"/>
      </w:rPr>
    </w:pPr>
  </w:p>
  <w:p w:rsidR="00000000" w:rsidRDefault="00000000">
    <w:pPr>
      <w:pStyle w:val="Header"/>
      <w:spacing w:line="240" w:lineRule="auto"/>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8306"/>
        <w:tab w:val="left" w:pos="7088"/>
        <w:tab w:val="right" w:pos="8931"/>
      </w:tabs>
      <w:spacing w:line="240" w:lineRule="auto"/>
      <w:rPr>
        <w:lang w:val="en-US"/>
      </w:rPr>
    </w:pPr>
    <w:r>
      <w:rPr>
        <w:lang w:val="en-US"/>
      </w:rPr>
      <w:tab/>
    </w:r>
    <w:r>
      <w:rPr>
        <w:lang w:val="en-US"/>
      </w:rPr>
      <w:tab/>
      <w:t>E/C.12/Q/HKSAR/1</w:t>
    </w:r>
  </w:p>
  <w:p w:rsidR="00000000" w:rsidRDefault="00000000">
    <w:pPr>
      <w:pStyle w:val="Header"/>
      <w:tabs>
        <w:tab w:val="clear" w:pos="8306"/>
        <w:tab w:val="left" w:pos="7088"/>
        <w:tab w:val="right" w:pos="8931"/>
      </w:tabs>
      <w:spacing w:line="240" w:lineRule="auto"/>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p w:rsidR="00000000" w:rsidRDefault="00000000">
    <w:pPr>
      <w:pStyle w:val="Header"/>
      <w:tabs>
        <w:tab w:val="clear" w:pos="8306"/>
        <w:tab w:val="left" w:pos="7088"/>
        <w:tab w:val="right" w:pos="8931"/>
      </w:tabs>
      <w:spacing w:line="240" w:lineRule="auto"/>
      <w:rPr>
        <w:rStyle w:val="PageNumber"/>
        <w:lang w:val="en-US"/>
      </w:rPr>
    </w:pPr>
  </w:p>
  <w:p w:rsidR="00000000" w:rsidRDefault="00000000">
    <w:pPr>
      <w:pStyle w:val="Header"/>
      <w:tabs>
        <w:tab w:val="left" w:pos="6237"/>
      </w:tabs>
      <w:spacing w:line="240" w:lineRule="auto"/>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D37597"/>
    <w:multiLevelType w:val="singleLevel"/>
    <w:tmpl w:val="EC5ADA94"/>
    <w:lvl w:ilvl="0">
      <w:start w:val="1"/>
      <w:numFmt w:val="decimal"/>
      <w:pStyle w:val="a"/>
      <w:lvlText w:val="%1."/>
      <w:lvlJc w:val="left"/>
      <w:pPr>
        <w:tabs>
          <w:tab w:val="num" w:pos="405"/>
        </w:tabs>
        <w:ind w:left="405" w:hanging="360"/>
      </w:pPr>
      <w:rPr>
        <w:rFonts w:hint="default"/>
      </w:rPr>
    </w:lvl>
  </w:abstractNum>
  <w:num w:numId="1">
    <w:abstractNumId w:val="0"/>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rPr>
  </w:style>
  <w:style w:type="paragraph" w:styleId="Heading1">
    <w:name w:val="heading 1"/>
    <w:basedOn w:val="Normal"/>
    <w:next w:val="Normal"/>
    <w:qFormat/>
    <w:pPr>
      <w:keepNext/>
      <w:outlineLvl w:val="0"/>
    </w:pPr>
    <w:rPr>
      <w:b/>
      <w:kern w:val="28"/>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tabs>
        <w:tab w:val="clear" w:pos="567"/>
        <w:tab w:val="clear" w:pos="1134"/>
        <w:tab w:val="clear" w:pos="1701"/>
        <w:tab w:val="clear" w:pos="2268"/>
        <w:tab w:val="right" w:pos="4458"/>
        <w:tab w:val="right" w:pos="4740"/>
      </w:tabs>
      <w:suppressAutoHyphens/>
      <w:spacing w:line="216" w:lineRule="auto"/>
      <w:jc w:val="right"/>
      <w:outlineLvl w:val="3"/>
    </w:pPr>
    <w:rPr>
      <w:b/>
      <w:sz w:val="72"/>
    </w:rPr>
  </w:style>
  <w:style w:type="paragraph" w:styleId="Heading7">
    <w:name w:val="heading 7"/>
    <w:basedOn w:val="Normal"/>
    <w:next w:val="Normal"/>
    <w:qFormat/>
    <w:pPr>
      <w:keepNext/>
      <w:tabs>
        <w:tab w:val="left" w:pos="567"/>
        <w:tab w:val="left" w:pos="1134"/>
        <w:tab w:val="left" w:pos="1701"/>
        <w:tab w:val="left" w:pos="2268"/>
        <w:tab w:val="left" w:pos="6237"/>
      </w:tabs>
      <w:spacing w:line="720" w:lineRule="auto"/>
      <w:ind w:left="567" w:hanging="567"/>
      <w:outlineLvl w:val="6"/>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0">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a">
    <w:name w:val="текст"/>
    <w:basedOn w:val="Normal"/>
    <w:pPr>
      <w:numPr>
        <w:numId w:val="2"/>
      </w:numPr>
      <w:spacing w:line="240" w:lineRule="auto"/>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pPr>
  </w:style>
  <w:style w:type="character" w:styleId="PageNumber">
    <w:name w:val="page number"/>
    <w:basedOn w:val="DefaultParagraphFont"/>
    <w:semiHidden/>
  </w:style>
  <w:style w:type="paragraph" w:customStyle="1" w:styleId="11">
    <w:name w:val="Заголовок 11"/>
    <w:basedOn w:val="Subtitle"/>
    <w:pPr>
      <w:tabs>
        <w:tab w:val="left" w:pos="567"/>
        <w:tab w:val="left" w:pos="1134"/>
        <w:tab w:val="left" w:pos="1701"/>
        <w:tab w:val="left" w:pos="2268"/>
        <w:tab w:val="left" w:pos="6237"/>
      </w:tabs>
      <w:spacing w:after="0"/>
      <w:outlineLvl w:val="9"/>
    </w:pPr>
    <w:rPr>
      <w:rFonts w:ascii="Times New Roman" w:hAnsi="Times New Roman"/>
      <w:u w:val="single"/>
    </w:rPr>
  </w:style>
  <w:style w:type="paragraph" w:customStyle="1" w:styleId="16">
    <w:name w:val="Заголовок 16"/>
    <w:basedOn w:val="Normal"/>
    <w:pPr>
      <w:tabs>
        <w:tab w:val="left" w:pos="567"/>
        <w:tab w:val="left" w:pos="1134"/>
        <w:tab w:val="left" w:pos="1701"/>
        <w:tab w:val="left" w:pos="2268"/>
        <w:tab w:val="left" w:pos="6237"/>
      </w:tabs>
      <w:jc w:val="center"/>
    </w:pPr>
  </w:style>
  <w:style w:type="paragraph" w:styleId="FootnoteText">
    <w:name w:val="footnote text"/>
    <w:basedOn w:val="Normal"/>
    <w:semiHidden/>
    <w:pPr>
      <w:tabs>
        <w:tab w:val="left" w:pos="567"/>
        <w:tab w:val="left" w:pos="1134"/>
        <w:tab w:val="left" w:pos="1701"/>
        <w:tab w:val="left" w:pos="2268"/>
        <w:tab w:val="left" w:pos="6237"/>
      </w:tabs>
      <w:spacing w:line="240" w:lineRule="auto"/>
    </w:pPr>
  </w:style>
  <w:style w:type="paragraph" w:styleId="Subtitle">
    <w:name w:val="Subtitle"/>
    <w:basedOn w:val="Normal"/>
    <w:qFormat/>
    <w:pPr>
      <w:spacing w:after="60"/>
      <w:jc w:val="center"/>
      <w:outlineLvl w:val="1"/>
    </w:pPr>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ACR\RUS\DATA\COMMON\MACRO\Template\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1470</Words>
  <Characters>8380</Characters>
  <Application>Microsoft Office Word</Application>
  <DocSecurity>4</DocSecurity>
  <Lines>69</Lines>
  <Paragraphs>16</Paragraphs>
  <ScaleCrop>false</ScaleCrop>
  <HeadingPairs>
    <vt:vector size="2" baseType="variant">
      <vt:variant>
        <vt:lpstr>Название</vt:lpstr>
      </vt:variant>
      <vt:variant>
        <vt:i4>1</vt:i4>
      </vt:variant>
    </vt:vector>
  </HeadingPairs>
  <TitlesOfParts>
    <vt:vector size="1" baseType="lpstr">
      <vt:lpstr>ОРГАНИЗАЦИЯ</vt:lpstr>
    </vt:vector>
  </TitlesOfParts>
  <Company> </Company>
  <LinksUpToDate>false</LinksUpToDate>
  <CharactersWithSpaces>10291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0042466.doc</dc:title>
  <dc:subject>ЛИХОЛЕТОВ</dc:subject>
  <dc:creator>Людмила ЦЕПЕЛЕВА</dc:creator>
  <cp:keywords/>
  <dc:description/>
  <cp:lastModifiedBy>Людмила ЦЕПЕЛЕВА</cp:lastModifiedBy>
  <cp:revision>2</cp:revision>
  <cp:lastPrinted>2000-05-30T10:39:00Z</cp:lastPrinted>
  <dcterms:created xsi:type="dcterms:W3CDTF">2000-05-30T10:41:00Z</dcterms:created>
  <dcterms:modified xsi:type="dcterms:W3CDTF">2000-05-30T10:41:00Z</dcterms:modified>
</cp:coreProperties>
</file>