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DE7" w:rsidRPr="004F3013" w:rsidRDefault="00D42DE7" w:rsidP="00D42DE7">
      <w:pPr>
        <w:spacing w:line="240" w:lineRule="auto"/>
        <w:rPr>
          <w:sz w:val="6"/>
        </w:rPr>
        <w:sectPr w:rsidR="00D42DE7" w:rsidRPr="004F3013" w:rsidSect="00F31E9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F3013">
        <w:rPr>
          <w:rStyle w:val="CommentReference"/>
          <w:szCs w:val="20"/>
        </w:rPr>
        <w:commentReference w:id="0"/>
      </w:r>
      <w:bookmarkStart w:id="1" w:name="_GoBack"/>
      <w:bookmarkEnd w:id="1"/>
    </w:p>
    <w:p w:rsidR="00D42DE7" w:rsidRPr="004F3013" w:rsidRDefault="00D42DE7" w:rsidP="00D42DE7">
      <w:pPr>
        <w:pStyle w:val="H1"/>
      </w:pPr>
      <w:r w:rsidRPr="004F3013">
        <w:lastRenderedPageBreak/>
        <w:t>Comité para la Eliminación de la Discriminación Racial</w:t>
      </w:r>
    </w:p>
    <w:p w:rsidR="002D3D74" w:rsidRPr="00547D8C" w:rsidRDefault="002D3D74" w:rsidP="002D3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BO"/>
        </w:rPr>
      </w:pPr>
      <w:r w:rsidRPr="00547D8C">
        <w:rPr>
          <w:lang w:val="es-BO"/>
        </w:rPr>
        <w:t>88º período de sesiones</w:t>
      </w:r>
    </w:p>
    <w:p w:rsidR="002D3D74" w:rsidRPr="00547D8C" w:rsidRDefault="002D3D74" w:rsidP="002D3D74">
      <w:pPr>
        <w:tabs>
          <w:tab w:val="left" w:pos="475"/>
          <w:tab w:val="left" w:pos="965"/>
          <w:tab w:val="left" w:pos="1440"/>
          <w:tab w:val="left" w:pos="1915"/>
          <w:tab w:val="left" w:pos="2405"/>
          <w:tab w:val="left" w:pos="2880"/>
          <w:tab w:val="left" w:pos="3355"/>
        </w:tabs>
        <w:rPr>
          <w:lang w:val="es-BO"/>
        </w:rPr>
      </w:pPr>
      <w:r w:rsidRPr="00547D8C">
        <w:rPr>
          <w:lang w:val="es-BO"/>
        </w:rPr>
        <w:t>23 de noviembre a 11 de diciembre de 2015</w:t>
      </w:r>
    </w:p>
    <w:p w:rsidR="002D3D74" w:rsidRPr="00547D8C" w:rsidRDefault="002D3D74" w:rsidP="002D3D74">
      <w:pPr>
        <w:tabs>
          <w:tab w:val="left" w:pos="475"/>
          <w:tab w:val="left" w:pos="965"/>
          <w:tab w:val="left" w:pos="1440"/>
          <w:tab w:val="left" w:pos="1915"/>
          <w:tab w:val="left" w:pos="2405"/>
          <w:tab w:val="left" w:pos="2880"/>
          <w:tab w:val="left" w:pos="3355"/>
        </w:tabs>
        <w:rPr>
          <w:lang w:val="es-BO"/>
        </w:rPr>
      </w:pPr>
      <w:r w:rsidRPr="00547D8C">
        <w:rPr>
          <w:lang w:val="es-BO"/>
        </w:rPr>
        <w:t>Tema 4 del programa provisional</w:t>
      </w:r>
    </w:p>
    <w:p w:rsidR="002D3D74" w:rsidRDefault="002D3D74" w:rsidP="002D3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BO"/>
        </w:rPr>
      </w:pPr>
      <w:r w:rsidRPr="00547D8C">
        <w:rPr>
          <w:lang w:val="es-BO"/>
        </w:rPr>
        <w:t xml:space="preserve">Examen de los informes, </w:t>
      </w:r>
      <w:r>
        <w:rPr>
          <w:lang w:val="es-BO"/>
        </w:rPr>
        <w:t xml:space="preserve">las </w:t>
      </w:r>
      <w:r w:rsidRPr="00547D8C">
        <w:rPr>
          <w:lang w:val="es-BO"/>
        </w:rPr>
        <w:t xml:space="preserve">observaciones </w:t>
      </w:r>
      <w:r>
        <w:rPr>
          <w:lang w:val="es-BO"/>
        </w:rPr>
        <w:t xml:space="preserve">y la </w:t>
      </w:r>
      <w:r w:rsidRPr="00547D8C">
        <w:rPr>
          <w:lang w:val="es-BO"/>
        </w:rPr>
        <w:t>información</w:t>
      </w:r>
      <w:r>
        <w:rPr>
          <w:lang w:val="es-BO"/>
        </w:rPr>
        <w:br/>
      </w:r>
      <w:r w:rsidRPr="00547D8C">
        <w:rPr>
          <w:lang w:val="es-BO"/>
        </w:rPr>
        <w:t>presentados por los Estados partes en virtud del artículo 9</w:t>
      </w:r>
      <w:r>
        <w:rPr>
          <w:lang w:val="es-BO"/>
        </w:rPr>
        <w:br/>
      </w:r>
      <w:r w:rsidRPr="00547D8C">
        <w:rPr>
          <w:lang w:val="es-BO"/>
        </w:rPr>
        <w:t>de la Convención</w:t>
      </w:r>
    </w:p>
    <w:p w:rsidR="002D3D74" w:rsidRPr="002D3D74" w:rsidRDefault="002D3D74" w:rsidP="002D3D74">
      <w:pPr>
        <w:spacing w:line="120" w:lineRule="exact"/>
        <w:rPr>
          <w:sz w:val="10"/>
          <w:lang w:val="es-BO"/>
        </w:rPr>
      </w:pPr>
    </w:p>
    <w:p w:rsidR="002D3D74" w:rsidRPr="002D3D74" w:rsidRDefault="002D3D74" w:rsidP="002D3D74">
      <w:pPr>
        <w:spacing w:line="120" w:lineRule="exact"/>
        <w:rPr>
          <w:sz w:val="10"/>
          <w:lang w:val="es-BO"/>
        </w:rPr>
      </w:pPr>
    </w:p>
    <w:p w:rsidR="002D3D74" w:rsidRPr="002D3D74" w:rsidRDefault="002D3D74" w:rsidP="002D3D74">
      <w:pPr>
        <w:spacing w:line="120" w:lineRule="exact"/>
        <w:rPr>
          <w:sz w:val="10"/>
          <w:lang w:val="es-BO"/>
        </w:rPr>
      </w:pPr>
    </w:p>
    <w:p w:rsidR="002D3D74" w:rsidRPr="00547D8C" w:rsidRDefault="002D3D74" w:rsidP="002D3D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Pr="00547D8C">
        <w:rPr>
          <w:lang w:val="es-BO"/>
        </w:rPr>
        <w:t>Lista de temas relativa a los informes periódicos 8</w:t>
      </w:r>
      <w:r w:rsidR="007879A2">
        <w:rPr>
          <w:lang w:val="es-BO"/>
        </w:rPr>
        <w:t>º a 11º</w:t>
      </w:r>
      <w:r w:rsidRPr="00547D8C">
        <w:rPr>
          <w:lang w:val="es-BO"/>
        </w:rPr>
        <w:t xml:space="preserve"> combinados de Eslovenia (CERD/C/SVN/8-11)</w:t>
      </w:r>
    </w:p>
    <w:p w:rsidR="002D3D74" w:rsidRPr="002D3D74" w:rsidRDefault="002D3D74" w:rsidP="002D3D74">
      <w:pPr>
        <w:pStyle w:val="SingleTxt"/>
        <w:spacing w:after="0" w:line="120" w:lineRule="exact"/>
        <w:rPr>
          <w:sz w:val="10"/>
          <w:lang w:val="es-BO"/>
        </w:rPr>
      </w:pPr>
    </w:p>
    <w:p w:rsidR="002D3D74" w:rsidRPr="002D3D74" w:rsidRDefault="002D3D74" w:rsidP="002D3D74">
      <w:pPr>
        <w:pStyle w:val="SingleTxt"/>
        <w:spacing w:after="0" w:line="120" w:lineRule="exact"/>
        <w:rPr>
          <w:sz w:val="10"/>
          <w:lang w:val="es-BO"/>
        </w:rPr>
      </w:pPr>
    </w:p>
    <w:p w:rsidR="002D3D74" w:rsidRPr="00547D8C" w:rsidRDefault="002D3D74" w:rsidP="002D3D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Pr="00547D8C">
        <w:rPr>
          <w:lang w:val="es-BO"/>
        </w:rPr>
        <w:t>Nota del Relator para el país</w:t>
      </w:r>
    </w:p>
    <w:p w:rsidR="002D3D74" w:rsidRPr="002D3D74" w:rsidRDefault="002D3D74" w:rsidP="002D3D74">
      <w:pPr>
        <w:pStyle w:val="SingleTxt"/>
        <w:spacing w:after="0" w:line="120" w:lineRule="exact"/>
        <w:rPr>
          <w:sz w:val="10"/>
          <w:lang w:val="es-BO"/>
        </w:rPr>
      </w:pPr>
    </w:p>
    <w:p w:rsidR="002D3D74" w:rsidRPr="002D3D74" w:rsidRDefault="002D3D74" w:rsidP="002D3D74">
      <w:pPr>
        <w:pStyle w:val="SingleTxt"/>
        <w:spacing w:after="0" w:line="120" w:lineRule="exact"/>
        <w:rPr>
          <w:sz w:val="10"/>
          <w:lang w:val="es-BO"/>
        </w:rPr>
      </w:pPr>
    </w:p>
    <w:tbl>
      <w:tblPr>
        <w:tblW w:w="7808"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511"/>
        <w:gridCol w:w="153"/>
      </w:tblGrid>
      <w:tr w:rsidR="007879A2" w:rsidTr="007935D4">
        <w:tc>
          <w:tcPr>
            <w:tcW w:w="144" w:type="dxa"/>
            <w:shd w:val="clear" w:color="auto" w:fill="auto"/>
          </w:tcPr>
          <w:p w:rsidR="007879A2" w:rsidRDefault="007879A2" w:rsidP="00BD785F">
            <w:pPr>
              <w:spacing w:line="120" w:lineRule="exact"/>
              <w:rPr>
                <w:sz w:val="10"/>
              </w:rPr>
            </w:pPr>
          </w:p>
        </w:tc>
        <w:tc>
          <w:tcPr>
            <w:tcW w:w="7511" w:type="dxa"/>
            <w:shd w:val="clear" w:color="auto" w:fill="auto"/>
          </w:tcPr>
          <w:p w:rsidR="007879A2" w:rsidRPr="00C160D9" w:rsidRDefault="007879A2" w:rsidP="00BD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879A2" w:rsidRDefault="007879A2" w:rsidP="00BD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7879A2">
              <w:t>El Comité para la Eliminación de la Discrimi</w:t>
            </w:r>
            <w:r>
              <w:t>nación Racial decidió en su 76º </w:t>
            </w:r>
            <w:r w:rsidRPr="007879A2">
              <w:t>período de sesiones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tc>
        <w:tc>
          <w:tcPr>
            <w:tcW w:w="153" w:type="dxa"/>
            <w:shd w:val="clear" w:color="auto" w:fill="auto"/>
          </w:tcPr>
          <w:p w:rsidR="007879A2" w:rsidRDefault="007879A2" w:rsidP="00BD785F">
            <w:pPr>
              <w:pStyle w:val="SingleTxt"/>
            </w:pPr>
          </w:p>
        </w:tc>
      </w:tr>
      <w:tr w:rsidR="007879A2" w:rsidTr="007935D4">
        <w:trPr>
          <w:trHeight w:hRule="exact" w:val="115"/>
        </w:trPr>
        <w:tc>
          <w:tcPr>
            <w:tcW w:w="144" w:type="dxa"/>
            <w:shd w:val="clear" w:color="auto" w:fill="auto"/>
          </w:tcPr>
          <w:p w:rsidR="007879A2" w:rsidRDefault="007879A2" w:rsidP="00BD785F">
            <w:pPr>
              <w:pStyle w:val="SingleTxt"/>
            </w:pPr>
          </w:p>
        </w:tc>
        <w:tc>
          <w:tcPr>
            <w:tcW w:w="7511" w:type="dxa"/>
            <w:shd w:val="clear" w:color="auto" w:fill="auto"/>
          </w:tcPr>
          <w:p w:rsidR="007879A2" w:rsidRDefault="007879A2" w:rsidP="00BD78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53" w:type="dxa"/>
            <w:shd w:val="clear" w:color="auto" w:fill="auto"/>
          </w:tcPr>
          <w:p w:rsidR="007879A2" w:rsidRDefault="007879A2" w:rsidP="00BD785F">
            <w:pPr>
              <w:spacing w:line="120" w:lineRule="exact"/>
              <w:rPr>
                <w:sz w:val="10"/>
              </w:rPr>
            </w:pPr>
          </w:p>
        </w:tc>
      </w:tr>
    </w:tbl>
    <w:p w:rsidR="007879A2" w:rsidRPr="009B079B" w:rsidRDefault="007879A2" w:rsidP="007879A2">
      <w:pPr>
        <w:pStyle w:val="SingleTxt"/>
        <w:spacing w:after="0" w:line="120" w:lineRule="exact"/>
        <w:rPr>
          <w:sz w:val="10"/>
        </w:rPr>
      </w:pPr>
    </w:p>
    <w:p w:rsidR="007879A2" w:rsidRPr="00B01454" w:rsidRDefault="007879A2" w:rsidP="007879A2">
      <w:pPr>
        <w:pStyle w:val="SingleTxt"/>
        <w:spacing w:after="0" w:line="120" w:lineRule="exact"/>
        <w:rPr>
          <w:sz w:val="10"/>
        </w:rPr>
      </w:pPr>
    </w:p>
    <w:p w:rsidR="007879A2" w:rsidRPr="009B079B" w:rsidRDefault="007879A2" w:rsidP="007879A2">
      <w:pPr>
        <w:pStyle w:val="SingleTxt"/>
        <w:spacing w:after="0" w:line="120" w:lineRule="exact"/>
        <w:rPr>
          <w:sz w:val="10"/>
        </w:rPr>
      </w:pPr>
    </w:p>
    <w:p w:rsidR="002D3D74" w:rsidRDefault="007879A2" w:rsidP="007879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2D3D74" w:rsidRPr="00547D8C">
        <w:rPr>
          <w:lang w:val="es-BO"/>
        </w:rPr>
        <w:t>1.</w:t>
      </w:r>
      <w:r>
        <w:rPr>
          <w:lang w:val="es-BO"/>
        </w:rPr>
        <w:tab/>
      </w:r>
      <w:r w:rsidR="002D3D74" w:rsidRPr="00547D8C">
        <w:rPr>
          <w:lang w:val="es-BO"/>
        </w:rPr>
        <w:t>Datos estadísticos fiables y desglosados sobre la composición de la población</w:t>
      </w:r>
    </w:p>
    <w:p w:rsidR="007879A2" w:rsidRPr="007879A2" w:rsidRDefault="007879A2" w:rsidP="007879A2">
      <w:pPr>
        <w:pStyle w:val="SingleTxt"/>
        <w:spacing w:after="0" w:line="120" w:lineRule="exact"/>
        <w:rPr>
          <w:sz w:val="10"/>
          <w:lang w:val="es-BO"/>
        </w:rPr>
      </w:pPr>
    </w:p>
    <w:p w:rsidR="002D3D74" w:rsidRDefault="007879A2" w:rsidP="002D3D74">
      <w:pPr>
        <w:pStyle w:val="SingleTxt"/>
        <w:rPr>
          <w:lang w:val="es-BO"/>
        </w:rPr>
      </w:pPr>
      <w:r>
        <w:rPr>
          <w:lang w:val="es-BO"/>
        </w:rPr>
        <w:tab/>
      </w:r>
      <w:r w:rsidR="002D3D74" w:rsidRPr="00547D8C">
        <w:rPr>
          <w:lang w:val="es-BO"/>
        </w:rPr>
        <w:t xml:space="preserve">Información actualizada acerca de los datos desglosados de los que se dispone sobre el </w:t>
      </w:r>
      <w:r w:rsidR="00C94F8A">
        <w:rPr>
          <w:lang w:val="es-BO"/>
        </w:rPr>
        <w:t>ejercicio</w:t>
      </w:r>
      <w:r w:rsidR="002D3D74" w:rsidRPr="00547D8C">
        <w:rPr>
          <w:lang w:val="es-BO"/>
        </w:rPr>
        <w:t xml:space="preserve"> efectivo de los derechos reconocidos en la Convención por las personas y los grupos desfavorecidos y marginados, en particular los datos estadísticos que puedan servir para medir los avances realizados en cuanto al ejercicio de los derechos de los romaníes en los ámbitos de la educación, la vivienda, la salud y el empleo, en el marco del pleno respeto de la privacidad y el anonimato de las personas interesadas (CERD/C/SVN/CO/6-7, párr. 7).</w:t>
      </w:r>
    </w:p>
    <w:p w:rsidR="00C94F8A" w:rsidRPr="00C94F8A" w:rsidRDefault="00C94F8A" w:rsidP="00C94F8A">
      <w:pPr>
        <w:pStyle w:val="SingleTxt"/>
        <w:spacing w:after="0" w:line="120" w:lineRule="exact"/>
        <w:rPr>
          <w:sz w:val="10"/>
          <w:lang w:val="es-BO"/>
        </w:rPr>
      </w:pPr>
    </w:p>
    <w:p w:rsidR="002D3D74" w:rsidRPr="00547D8C" w:rsidRDefault="00C94F8A" w:rsidP="00C94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2D3D74" w:rsidRPr="00547D8C">
        <w:rPr>
          <w:lang w:val="es-BO"/>
        </w:rPr>
        <w:t>2.</w:t>
      </w:r>
      <w:r>
        <w:rPr>
          <w:lang w:val="es-BO"/>
        </w:rPr>
        <w:tab/>
      </w:r>
      <w:r w:rsidR="002D3D74" w:rsidRPr="00547D8C">
        <w:rPr>
          <w:lang w:val="es-BO"/>
        </w:rPr>
        <w:t>Marco jurídico nacional, políticas y programas contra la discriminación racial (arts</w:t>
      </w:r>
      <w:r>
        <w:rPr>
          <w:lang w:val="es-BO"/>
        </w:rPr>
        <w:t>.</w:t>
      </w:r>
      <w:r w:rsidR="002D3D74" w:rsidRPr="00547D8C">
        <w:rPr>
          <w:lang w:val="es-BO"/>
        </w:rPr>
        <w:t xml:space="preserve"> 2, 4 y 5)</w:t>
      </w:r>
    </w:p>
    <w:p w:rsidR="00C94F8A" w:rsidRPr="00C94F8A" w:rsidRDefault="00C94F8A" w:rsidP="00C94F8A">
      <w:pPr>
        <w:pStyle w:val="SingleTxt"/>
        <w:spacing w:after="0" w:line="120" w:lineRule="exact"/>
        <w:rPr>
          <w:sz w:val="10"/>
          <w:lang w:val="es-BO"/>
        </w:rPr>
      </w:pPr>
    </w:p>
    <w:p w:rsidR="002D3D74" w:rsidRPr="00547D8C" w:rsidRDefault="00C94F8A" w:rsidP="002D3D74">
      <w:pPr>
        <w:pStyle w:val="SingleTxt"/>
        <w:rPr>
          <w:lang w:val="es-BO"/>
        </w:rPr>
      </w:pPr>
      <w:r>
        <w:rPr>
          <w:lang w:val="es-BO"/>
        </w:rPr>
        <w:tab/>
      </w:r>
      <w:r w:rsidR="002D3D74" w:rsidRPr="00547D8C">
        <w:rPr>
          <w:lang w:val="es-BO"/>
        </w:rPr>
        <w:t>a)</w:t>
      </w:r>
      <w:r>
        <w:rPr>
          <w:lang w:val="es-BO"/>
        </w:rPr>
        <w:tab/>
      </w:r>
      <w:r w:rsidR="002D3D74" w:rsidRPr="00547D8C">
        <w:rPr>
          <w:lang w:val="es-BO"/>
        </w:rPr>
        <w:t xml:space="preserve">Avances realizados en la aplicación de la legislación en vigor, en particular el Código Penal aprobado en 2008, </w:t>
      </w:r>
      <w:r>
        <w:rPr>
          <w:lang w:val="es-BO"/>
        </w:rPr>
        <w:t>con el fin de</w:t>
      </w:r>
      <w:r w:rsidR="002D3D74" w:rsidRPr="00547D8C">
        <w:rPr>
          <w:lang w:val="es-BO"/>
        </w:rPr>
        <w:t xml:space="preserve"> combatir los actos de discriminación por prejuicios étnicos y la violencia interétnica, como </w:t>
      </w:r>
      <w:r>
        <w:rPr>
          <w:lang w:val="es-BO"/>
        </w:rPr>
        <w:t>el discurso</w:t>
      </w:r>
      <w:r w:rsidR="002D3D74" w:rsidRPr="00547D8C">
        <w:rPr>
          <w:lang w:val="es-BO"/>
        </w:rPr>
        <w:t xml:space="preserve"> de odio y los delitos motivados por prejuicios (CERD/C/SVN/8-11, párr. 109);</w:t>
      </w:r>
    </w:p>
    <w:p w:rsidR="002D3D74" w:rsidRPr="00547D8C" w:rsidRDefault="00C94F8A" w:rsidP="002D3D74">
      <w:pPr>
        <w:pStyle w:val="SingleTxt"/>
        <w:rPr>
          <w:lang w:val="es-BO"/>
        </w:rPr>
      </w:pPr>
      <w:r>
        <w:rPr>
          <w:lang w:val="es-BO"/>
        </w:rPr>
        <w:tab/>
      </w:r>
      <w:r w:rsidR="002D3D74" w:rsidRPr="00547D8C">
        <w:rPr>
          <w:lang w:val="es-BO"/>
        </w:rPr>
        <w:t>b)</w:t>
      </w:r>
      <w:r>
        <w:rPr>
          <w:lang w:val="es-BO"/>
        </w:rPr>
        <w:tab/>
      </w:r>
      <w:r w:rsidR="002D3D74" w:rsidRPr="00547D8C">
        <w:rPr>
          <w:lang w:val="es-BO"/>
        </w:rPr>
        <w:t xml:space="preserve">Medidas adoptadas para prohibir las manifestaciones públicas </w:t>
      </w:r>
      <w:r>
        <w:rPr>
          <w:lang w:val="es-BO"/>
        </w:rPr>
        <w:t>de discurso de</w:t>
      </w:r>
      <w:r w:rsidR="002D3D74" w:rsidRPr="00547D8C">
        <w:rPr>
          <w:lang w:val="es-BO"/>
        </w:rPr>
        <w:t xml:space="preserve"> odio y de intolerancia por parte de políticos, en particular información sobre los </w:t>
      </w:r>
      <w:r w:rsidR="002D3D74" w:rsidRPr="00547D8C">
        <w:rPr>
          <w:lang w:val="es-BO"/>
        </w:rPr>
        <w:lastRenderedPageBreak/>
        <w:t xml:space="preserve">casos de presuntos delitos </w:t>
      </w:r>
      <w:r>
        <w:rPr>
          <w:lang w:val="es-BO"/>
        </w:rPr>
        <w:t>de motivación racial</w:t>
      </w:r>
      <w:r w:rsidR="002D3D74" w:rsidRPr="00547D8C">
        <w:rPr>
          <w:lang w:val="es-BO"/>
        </w:rPr>
        <w:t xml:space="preserve"> y los resultados de las subsiguientes actuaciones administrativas o judiciales (CERD/C/62/CO/9, párr. 12)</w:t>
      </w:r>
      <w:r>
        <w:rPr>
          <w:lang w:val="es-BO"/>
        </w:rPr>
        <w:t>;</w:t>
      </w:r>
    </w:p>
    <w:p w:rsidR="002D3D74" w:rsidRPr="00547D8C" w:rsidRDefault="00C94F8A" w:rsidP="002D3D74">
      <w:pPr>
        <w:pStyle w:val="SingleTxt"/>
        <w:rPr>
          <w:lang w:val="es-BO"/>
        </w:rPr>
      </w:pPr>
      <w:r>
        <w:rPr>
          <w:lang w:val="es-BO"/>
        </w:rPr>
        <w:tab/>
      </w:r>
      <w:r w:rsidR="002D3D74" w:rsidRPr="00547D8C">
        <w:rPr>
          <w:lang w:val="es-BO"/>
        </w:rPr>
        <w:t>c)</w:t>
      </w:r>
      <w:r>
        <w:rPr>
          <w:lang w:val="es-BO"/>
        </w:rPr>
        <w:tab/>
      </w:r>
      <w:r w:rsidR="002D3D74" w:rsidRPr="00547D8C">
        <w:rPr>
          <w:lang w:val="es-BO"/>
        </w:rPr>
        <w:t>Información actualizada sobre la aplicación y los efectos de las estrategias y las políticas orientadas a garantizar la protección de los derechos de los migrantes y su asentamiento sostenible;</w:t>
      </w:r>
    </w:p>
    <w:p w:rsidR="002D3D74" w:rsidRDefault="00C94F8A" w:rsidP="002D3D74">
      <w:pPr>
        <w:pStyle w:val="SingleTxt"/>
        <w:rPr>
          <w:lang w:val="es-BO"/>
        </w:rPr>
      </w:pPr>
      <w:r>
        <w:rPr>
          <w:lang w:val="es-BO"/>
        </w:rPr>
        <w:tab/>
      </w:r>
      <w:r w:rsidR="002D3D74" w:rsidRPr="00547D8C">
        <w:rPr>
          <w:lang w:val="es-BO"/>
        </w:rPr>
        <w:t>d)</w:t>
      </w:r>
      <w:r>
        <w:rPr>
          <w:lang w:val="es-BO"/>
        </w:rPr>
        <w:tab/>
      </w:r>
      <w:r w:rsidR="002D3D74" w:rsidRPr="00547D8C">
        <w:rPr>
          <w:lang w:val="es-BO"/>
        </w:rPr>
        <w:t>Información actualizada sobre el funcionamiento de la Oficina del Defensor del Principio de Igualdad como institución independiente que se ocupa de la discriminación racial.</w:t>
      </w:r>
    </w:p>
    <w:p w:rsidR="00C94F8A" w:rsidRPr="00C94F8A" w:rsidRDefault="00C94F8A" w:rsidP="00C94F8A">
      <w:pPr>
        <w:pStyle w:val="SingleTxt"/>
        <w:spacing w:after="0" w:line="120" w:lineRule="exact"/>
        <w:rPr>
          <w:sz w:val="10"/>
          <w:lang w:val="es-BO"/>
        </w:rPr>
      </w:pPr>
    </w:p>
    <w:p w:rsidR="002D3D74" w:rsidRPr="00547D8C" w:rsidRDefault="00C94F8A" w:rsidP="00C94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2D3D74" w:rsidRPr="00547D8C">
        <w:rPr>
          <w:lang w:val="es-BO"/>
        </w:rPr>
        <w:t>3.</w:t>
      </w:r>
      <w:r>
        <w:rPr>
          <w:lang w:val="es-BO"/>
        </w:rPr>
        <w:tab/>
      </w:r>
      <w:r w:rsidR="002D3D74" w:rsidRPr="00547D8C">
        <w:rPr>
          <w:lang w:val="es-BO"/>
        </w:rPr>
        <w:t>Situación de las minorías, en particular los romaníes (arts. 2, 3, 4 y 5)</w:t>
      </w:r>
    </w:p>
    <w:p w:rsidR="00C94F8A" w:rsidRPr="00C94F8A" w:rsidRDefault="00C94F8A" w:rsidP="00C94F8A">
      <w:pPr>
        <w:pStyle w:val="SingleTxt"/>
        <w:spacing w:after="0" w:line="120" w:lineRule="exact"/>
        <w:rPr>
          <w:sz w:val="10"/>
          <w:lang w:val="es-BO"/>
        </w:rPr>
      </w:pPr>
    </w:p>
    <w:p w:rsidR="002D3D74" w:rsidRPr="00547D8C" w:rsidRDefault="00C94F8A" w:rsidP="002D3D74">
      <w:pPr>
        <w:pStyle w:val="SingleTxt"/>
        <w:rPr>
          <w:lang w:val="es-BO"/>
        </w:rPr>
      </w:pPr>
      <w:r>
        <w:rPr>
          <w:lang w:val="es-BO"/>
        </w:rPr>
        <w:tab/>
      </w:r>
      <w:r w:rsidR="002D3D74" w:rsidRPr="00547D8C">
        <w:rPr>
          <w:lang w:val="es-BO"/>
        </w:rPr>
        <w:t>a)</w:t>
      </w:r>
      <w:r>
        <w:rPr>
          <w:lang w:val="es-BO"/>
        </w:rPr>
        <w:tab/>
      </w:r>
      <w:r w:rsidR="002D3D74" w:rsidRPr="00547D8C">
        <w:rPr>
          <w:lang w:val="es-BO"/>
        </w:rPr>
        <w:t>Información actualizada sobre la situación de los grupos minoritarios distintos de los italianos y los húngaros (identidad étnica y nacional, representación política y derechos culturales);</w:t>
      </w:r>
    </w:p>
    <w:p w:rsidR="002D3D74" w:rsidRPr="00547D8C" w:rsidRDefault="00C94F8A" w:rsidP="002D3D74">
      <w:pPr>
        <w:pStyle w:val="SingleTxt"/>
        <w:rPr>
          <w:lang w:val="es-BO"/>
        </w:rPr>
      </w:pPr>
      <w:r>
        <w:rPr>
          <w:lang w:val="es-BO"/>
        </w:rPr>
        <w:tab/>
      </w:r>
      <w:r w:rsidR="002D3D74" w:rsidRPr="00547D8C">
        <w:rPr>
          <w:lang w:val="es-BO"/>
        </w:rPr>
        <w:t>b)</w:t>
      </w:r>
      <w:r>
        <w:rPr>
          <w:lang w:val="es-BO"/>
        </w:rPr>
        <w:tab/>
      </w:r>
      <w:r w:rsidR="002D3D74" w:rsidRPr="00547D8C">
        <w:rPr>
          <w:lang w:val="es-BO"/>
        </w:rPr>
        <w:t>Información actualizada sobre la evaluación de los avances realizados en el marco del Programa Nacional de Medidas Destinadas a la Población Romaní</w:t>
      </w:r>
      <w:r>
        <w:rPr>
          <w:lang w:val="es-BO"/>
        </w:rPr>
        <w:t xml:space="preserve"> para 2010-2015</w:t>
      </w:r>
      <w:r w:rsidR="002D3D74" w:rsidRPr="00547D8C">
        <w:rPr>
          <w:lang w:val="es-BO"/>
        </w:rPr>
        <w:t xml:space="preserve">, así como sobre el Programa Nacional </w:t>
      </w:r>
      <w:r>
        <w:rPr>
          <w:lang w:val="es-BO"/>
        </w:rPr>
        <w:t xml:space="preserve">para </w:t>
      </w:r>
      <w:r w:rsidR="002D3D74" w:rsidRPr="00547D8C">
        <w:rPr>
          <w:lang w:val="es-BO"/>
        </w:rPr>
        <w:t>2015-2020;</w:t>
      </w:r>
    </w:p>
    <w:p w:rsidR="002D3D74" w:rsidRPr="00547D8C" w:rsidRDefault="00C94F8A" w:rsidP="002D3D74">
      <w:pPr>
        <w:pStyle w:val="SingleTxt"/>
        <w:rPr>
          <w:lang w:val="es-BO"/>
        </w:rPr>
      </w:pPr>
      <w:r>
        <w:rPr>
          <w:lang w:val="es-BO"/>
        </w:rPr>
        <w:tab/>
      </w:r>
      <w:r w:rsidR="002D3D74" w:rsidRPr="00547D8C">
        <w:rPr>
          <w:lang w:val="es-BO"/>
        </w:rPr>
        <w:t>c)</w:t>
      </w:r>
      <w:r>
        <w:rPr>
          <w:lang w:val="es-BO"/>
        </w:rPr>
        <w:tab/>
      </w:r>
      <w:r w:rsidR="002D3D74" w:rsidRPr="00547D8C">
        <w:rPr>
          <w:lang w:val="es-BO"/>
        </w:rPr>
        <w:t>Avances realizados respecto de la participación efectiva de la comunidad romaní en la ordenación del territorio, en particular en los asentamientos que est</w:t>
      </w:r>
      <w:r>
        <w:rPr>
          <w:lang w:val="es-BO"/>
        </w:rPr>
        <w:t>á</w:t>
      </w:r>
      <w:r w:rsidR="002D3D74" w:rsidRPr="00547D8C">
        <w:rPr>
          <w:lang w:val="es-BO"/>
        </w:rPr>
        <w:t xml:space="preserve">n </w:t>
      </w:r>
      <w:r w:rsidR="002D3D74" w:rsidRPr="00C94F8A">
        <w:rPr>
          <w:spacing w:val="2"/>
          <w:lang w:val="es-BO"/>
        </w:rPr>
        <w:t>bajo la responsabilidad de los municipios (CERD/C/SVN/8-11, párr. 62), y criterios</w:t>
      </w:r>
      <w:r w:rsidR="002D3D74" w:rsidRPr="00547D8C">
        <w:rPr>
          <w:lang w:val="es-BO"/>
        </w:rPr>
        <w:t xml:space="preserve"> para su inclusión entre los beneficiarios de viviendas de bajo costo </w:t>
      </w:r>
      <w:r w:rsidR="002D3D74" w:rsidRPr="00C94F8A">
        <w:rPr>
          <w:spacing w:val="2"/>
          <w:lang w:val="es-BO"/>
        </w:rPr>
        <w:t>(CERD/C/SVN/8-</w:t>
      </w:r>
      <w:r w:rsidR="002D3D74" w:rsidRPr="00547D8C">
        <w:rPr>
          <w:lang w:val="es-BO"/>
        </w:rPr>
        <w:t>11, párr. 58);</w:t>
      </w:r>
    </w:p>
    <w:p w:rsidR="002D3D74" w:rsidRPr="00547D8C" w:rsidRDefault="00C94F8A" w:rsidP="002D3D74">
      <w:pPr>
        <w:pStyle w:val="SingleTxt"/>
        <w:rPr>
          <w:lang w:val="es-BO"/>
        </w:rPr>
      </w:pPr>
      <w:r>
        <w:rPr>
          <w:lang w:val="es-BO"/>
        </w:rPr>
        <w:tab/>
      </w:r>
      <w:r w:rsidR="002D3D74" w:rsidRPr="00547D8C">
        <w:rPr>
          <w:lang w:val="es-BO"/>
        </w:rPr>
        <w:t>d)</w:t>
      </w:r>
      <w:r>
        <w:rPr>
          <w:lang w:val="es-BO"/>
        </w:rPr>
        <w:tab/>
      </w:r>
      <w:r w:rsidR="002D3D74" w:rsidRPr="00547D8C">
        <w:rPr>
          <w:lang w:val="es-BO"/>
        </w:rPr>
        <w:t>Información actualizada sobre el acceso al agua potable y a servicios de saneamiento, así como al empleo y la educación;</w:t>
      </w:r>
    </w:p>
    <w:p w:rsidR="002D3D74" w:rsidRPr="00547D8C" w:rsidRDefault="00C94F8A" w:rsidP="002D3D74">
      <w:pPr>
        <w:pStyle w:val="SingleTxt"/>
        <w:rPr>
          <w:lang w:val="es-BO"/>
        </w:rPr>
      </w:pPr>
      <w:r>
        <w:rPr>
          <w:lang w:val="es-BO"/>
        </w:rPr>
        <w:tab/>
      </w:r>
      <w:r w:rsidR="002D3D74" w:rsidRPr="00547D8C">
        <w:rPr>
          <w:lang w:val="es-BO"/>
        </w:rPr>
        <w:t>e)</w:t>
      </w:r>
      <w:r>
        <w:rPr>
          <w:lang w:val="es-BO"/>
        </w:rPr>
        <w:tab/>
      </w:r>
      <w:r w:rsidR="002D3D74" w:rsidRPr="00547D8C">
        <w:rPr>
          <w:lang w:val="es-BO"/>
        </w:rPr>
        <w:t>Avances realizados respecto de la eliminación de la distinción entre romaníes “indígenas” y “nuevos” (CERD/C/62/CO/9, párr. 10), así como en lo relativo a la aplicabilidad y las enmiendas de la Ley de la Comunidad Romaní de 200</w:t>
      </w:r>
      <w:r>
        <w:rPr>
          <w:lang w:val="es-BO"/>
        </w:rPr>
        <w:t>7</w:t>
      </w:r>
      <w:r w:rsidR="002D3D74" w:rsidRPr="00547D8C">
        <w:rPr>
          <w:lang w:val="es-BO"/>
        </w:rPr>
        <w:t>.</w:t>
      </w:r>
    </w:p>
    <w:p w:rsidR="00C94F8A" w:rsidRPr="00C94F8A" w:rsidRDefault="00C94F8A" w:rsidP="00C94F8A">
      <w:pPr>
        <w:pStyle w:val="SingleTxt"/>
        <w:spacing w:after="0" w:line="120" w:lineRule="exact"/>
        <w:rPr>
          <w:sz w:val="10"/>
          <w:lang w:val="es-BO"/>
        </w:rPr>
      </w:pPr>
    </w:p>
    <w:p w:rsidR="002D3D74" w:rsidRPr="00547D8C" w:rsidRDefault="00C94F8A" w:rsidP="00C94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2D3D74" w:rsidRPr="00547D8C">
        <w:rPr>
          <w:lang w:val="es-BO"/>
        </w:rPr>
        <w:t>4.</w:t>
      </w:r>
      <w:r>
        <w:rPr>
          <w:lang w:val="es-BO"/>
        </w:rPr>
        <w:tab/>
      </w:r>
      <w:r w:rsidR="002D3D74" w:rsidRPr="00547D8C">
        <w:rPr>
          <w:lang w:val="es-BO"/>
        </w:rPr>
        <w:t>Situación de los no ciudadanos (arts</w:t>
      </w:r>
      <w:r>
        <w:rPr>
          <w:lang w:val="es-BO"/>
        </w:rPr>
        <w:t>.</w:t>
      </w:r>
      <w:r w:rsidR="002D3D74" w:rsidRPr="00547D8C">
        <w:rPr>
          <w:lang w:val="es-BO"/>
        </w:rPr>
        <w:t xml:space="preserve"> 2, 5, 6 y 7)</w:t>
      </w:r>
    </w:p>
    <w:p w:rsidR="00C94F8A" w:rsidRPr="00C94F8A" w:rsidRDefault="00C94F8A" w:rsidP="00C94F8A">
      <w:pPr>
        <w:pStyle w:val="SingleTxt"/>
        <w:spacing w:after="0" w:line="120" w:lineRule="exact"/>
        <w:rPr>
          <w:sz w:val="10"/>
          <w:lang w:val="es-BO"/>
        </w:rPr>
      </w:pPr>
    </w:p>
    <w:p w:rsidR="002D3D74" w:rsidRPr="00547D8C" w:rsidRDefault="00C94F8A" w:rsidP="002D3D74">
      <w:pPr>
        <w:pStyle w:val="SingleTxt"/>
        <w:rPr>
          <w:lang w:val="es-BO"/>
        </w:rPr>
      </w:pPr>
      <w:r>
        <w:rPr>
          <w:lang w:val="es-BO"/>
        </w:rPr>
        <w:tab/>
      </w:r>
      <w:r w:rsidR="002D3D74" w:rsidRPr="00547D8C">
        <w:rPr>
          <w:lang w:val="es-BO"/>
        </w:rPr>
        <w:t>a)</w:t>
      </w:r>
      <w:r>
        <w:rPr>
          <w:lang w:val="es-BO"/>
        </w:rPr>
        <w:tab/>
      </w:r>
      <w:r w:rsidR="002D3D74" w:rsidRPr="00547D8C">
        <w:rPr>
          <w:lang w:val="es-BO"/>
        </w:rPr>
        <w:t>Situación de las personas conocidas como “los excluidos”</w:t>
      </w:r>
    </w:p>
    <w:p w:rsidR="002D3D74" w:rsidRPr="00547D8C" w:rsidRDefault="00C94F8A" w:rsidP="002D3D74">
      <w:pPr>
        <w:pStyle w:val="SingleTxt"/>
        <w:rPr>
          <w:lang w:val="es-BO"/>
        </w:rPr>
      </w:pPr>
      <w:r>
        <w:rPr>
          <w:lang w:val="es-BO"/>
        </w:rPr>
        <w:tab/>
      </w:r>
      <w:r w:rsidR="002D3D74" w:rsidRPr="00547D8C">
        <w:rPr>
          <w:lang w:val="es-BO"/>
        </w:rPr>
        <w:t xml:space="preserve">Información actualizada sobre los medios jurídicos disponibles para restablecer retroactivamente el estatuto de residencia permanente de todos los ciudadanos de los Estados sucesores que formaban parte de la ex República Socialista Federativa de Yugoslavia que fueron eliminados del Registro de Residentes Permanentes de Eslovenia en 1992, denominados “los excluidos”, tras la extinción de la ley (ZUSDDD-B), el 24 de julio de 2013 (CERD/C/SVN/8-11, párr. 103); Aplicabilidad de la ley destinada a ofrecer reparación a las personas que fueron suprimidas del Registro de Residentes Permanentes (Ley de Indemnización de las Personas Excluidas del Registro de Residentes Permanentes), a la luz de la sentencia del Tribunal Europeo de Derechos Humanos en el asunto </w:t>
      </w:r>
      <w:r w:rsidR="002D3D74" w:rsidRPr="00547D8C">
        <w:rPr>
          <w:i/>
          <w:lang w:val="es-BO"/>
        </w:rPr>
        <w:t>Kurić y otros c. Eslovenia</w:t>
      </w:r>
      <w:r w:rsidR="002D3D74" w:rsidRPr="00547D8C">
        <w:rPr>
          <w:lang w:val="es-BO"/>
        </w:rPr>
        <w:t>, de 26 de junio de 2012 y 12 de marzo de 2013 (CERD/C/SVN/8-11, párr. 105)</w:t>
      </w:r>
      <w:r w:rsidR="006564D7">
        <w:rPr>
          <w:lang w:val="es-BO"/>
        </w:rPr>
        <w:t>, e información actualizada al </w:t>
      </w:r>
      <w:r w:rsidR="002D3D74" w:rsidRPr="00547D8C">
        <w:rPr>
          <w:lang w:val="es-BO"/>
        </w:rPr>
        <w:t>respecto.</w:t>
      </w:r>
    </w:p>
    <w:p w:rsidR="002D3D74" w:rsidRPr="00547D8C" w:rsidRDefault="00C94F8A" w:rsidP="002D3D74">
      <w:pPr>
        <w:pStyle w:val="SingleTxt"/>
        <w:rPr>
          <w:lang w:val="es-BO"/>
        </w:rPr>
      </w:pPr>
      <w:r>
        <w:rPr>
          <w:lang w:val="es-BO"/>
        </w:rPr>
        <w:tab/>
      </w:r>
      <w:r w:rsidR="002D3D74" w:rsidRPr="00547D8C">
        <w:rPr>
          <w:lang w:val="es-BO"/>
        </w:rPr>
        <w:t>b)</w:t>
      </w:r>
      <w:r>
        <w:rPr>
          <w:lang w:val="es-BO"/>
        </w:rPr>
        <w:tab/>
      </w:r>
      <w:r w:rsidR="002D3D74" w:rsidRPr="00547D8C">
        <w:rPr>
          <w:lang w:val="es-BO"/>
        </w:rPr>
        <w:t>Situación de los migrantes, los refugiados y los solicitantes de asilo</w:t>
      </w:r>
      <w:r>
        <w:rPr>
          <w:lang w:val="es-BO"/>
        </w:rPr>
        <w:t>:</w:t>
      </w:r>
    </w:p>
    <w:p w:rsidR="002D3D74" w:rsidRPr="00547D8C" w:rsidRDefault="00C94F8A" w:rsidP="00C94F8A">
      <w:pPr>
        <w:pStyle w:val="SingleTxt"/>
        <w:tabs>
          <w:tab w:val="right" w:pos="1685"/>
        </w:tabs>
        <w:ind w:left="1742" w:hanging="475"/>
        <w:rPr>
          <w:lang w:val="es-BO"/>
        </w:rPr>
      </w:pPr>
      <w:r>
        <w:rPr>
          <w:lang w:val="es-BO"/>
        </w:rPr>
        <w:tab/>
        <w:t>•</w:t>
      </w:r>
      <w:r>
        <w:rPr>
          <w:lang w:val="es-BO"/>
        </w:rPr>
        <w:tab/>
      </w:r>
      <w:r w:rsidR="002D3D74" w:rsidRPr="00547D8C">
        <w:rPr>
          <w:lang w:val="es-BO"/>
        </w:rPr>
        <w:t>Información actualizada sobre las enmiendas introducidas en la Ley de Protección Internacional</w:t>
      </w:r>
      <w:r>
        <w:rPr>
          <w:lang w:val="es-BO"/>
        </w:rPr>
        <w:t>;</w:t>
      </w:r>
    </w:p>
    <w:p w:rsidR="002D3D74" w:rsidRPr="00547D8C" w:rsidRDefault="00C94F8A" w:rsidP="00C94F8A">
      <w:pPr>
        <w:pStyle w:val="SingleTxt"/>
        <w:tabs>
          <w:tab w:val="right" w:pos="1685"/>
        </w:tabs>
        <w:ind w:left="1742" w:hanging="475"/>
        <w:rPr>
          <w:lang w:val="es-BO"/>
        </w:rPr>
      </w:pPr>
      <w:r>
        <w:rPr>
          <w:lang w:val="es-BO"/>
        </w:rPr>
        <w:tab/>
        <w:t>•</w:t>
      </w:r>
      <w:r w:rsidR="002D3D74" w:rsidRPr="00547D8C">
        <w:rPr>
          <w:rFonts w:ascii="Symbol" w:hAnsi="Symbol"/>
          <w:lang w:val="es-BO"/>
        </w:rPr>
        <w:tab/>
      </w:r>
      <w:r w:rsidR="002D3D74" w:rsidRPr="00547D8C">
        <w:rPr>
          <w:lang w:val="es-BO"/>
        </w:rPr>
        <w:t>Derecho de los refugiados y los solicitantes de asilo a una vivienda adecuada</w:t>
      </w:r>
      <w:r>
        <w:rPr>
          <w:lang w:val="es-BO"/>
        </w:rPr>
        <w:t>;</w:t>
      </w:r>
    </w:p>
    <w:p w:rsidR="002D3D74" w:rsidRPr="00547D8C" w:rsidRDefault="00C94F8A" w:rsidP="00C94F8A">
      <w:pPr>
        <w:pStyle w:val="SingleTxt"/>
        <w:tabs>
          <w:tab w:val="right" w:pos="1685"/>
        </w:tabs>
        <w:ind w:left="1742" w:hanging="475"/>
        <w:rPr>
          <w:lang w:val="es-BO"/>
        </w:rPr>
      </w:pPr>
      <w:r>
        <w:rPr>
          <w:lang w:val="es-BO"/>
        </w:rPr>
        <w:tab/>
        <w:t>•</w:t>
      </w:r>
      <w:r w:rsidR="002D3D74" w:rsidRPr="00547D8C">
        <w:rPr>
          <w:rFonts w:ascii="Symbol" w:hAnsi="Symbol"/>
          <w:lang w:val="es-BO"/>
        </w:rPr>
        <w:tab/>
      </w:r>
      <w:r w:rsidR="002D3D74" w:rsidRPr="00547D8C">
        <w:rPr>
          <w:lang w:val="es-BO"/>
        </w:rPr>
        <w:t>Acceso a la justicia y a servicios de asistencia letrada.</w:t>
      </w:r>
    </w:p>
    <w:p w:rsidR="00D42DE7" w:rsidRPr="002D3D74" w:rsidRDefault="00C94F8A" w:rsidP="00C94F8A">
      <w:pPr>
        <w:pStyle w:val="SingleTxt"/>
        <w:rPr>
          <w:lang w:val="es-BO"/>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42DE7" w:rsidRPr="002D3D74" w:rsidSect="00F31E9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9T13:36:00Z" w:initials="Start">
    <w:p w:rsidR="00D42DE7" w:rsidRPr="004F3013" w:rsidRDefault="00D42DE7">
      <w:pPr>
        <w:pStyle w:val="CommentText"/>
        <w:rPr>
          <w:lang w:val="en-US"/>
        </w:rPr>
      </w:pPr>
      <w:r>
        <w:fldChar w:fldCharType="begin"/>
      </w:r>
      <w:r w:rsidRPr="004F3013">
        <w:rPr>
          <w:rStyle w:val="CommentReference"/>
          <w:lang w:val="en-US"/>
        </w:rPr>
        <w:instrText xml:space="preserve"> </w:instrText>
      </w:r>
      <w:r w:rsidRPr="004F3013">
        <w:rPr>
          <w:lang w:val="en-US"/>
        </w:rPr>
        <w:instrText>PAGE \# "'Page: '#'</w:instrText>
      </w:r>
      <w:r w:rsidRPr="004F3013">
        <w:rPr>
          <w:lang w:val="en-US"/>
        </w:rPr>
        <w:br/>
        <w:instrText>'"</w:instrText>
      </w:r>
      <w:r w:rsidRPr="004F3013">
        <w:rPr>
          <w:rStyle w:val="CommentReference"/>
          <w:lang w:val="en-US"/>
        </w:rPr>
        <w:instrText xml:space="preserve"> </w:instrText>
      </w:r>
      <w:r>
        <w:fldChar w:fldCharType="end"/>
      </w:r>
      <w:r>
        <w:rPr>
          <w:rStyle w:val="CommentReference"/>
        </w:rPr>
        <w:annotationRef/>
      </w:r>
      <w:r w:rsidRPr="004F3013">
        <w:rPr>
          <w:lang w:val="en-US"/>
        </w:rPr>
        <w:t>&lt;&lt;ODS JOB NO&gt;&gt;N1521732S&lt;&lt;ODS JOB NO&gt;&gt;</w:t>
      </w:r>
    </w:p>
    <w:p w:rsidR="00D42DE7" w:rsidRPr="004F3013" w:rsidRDefault="00D42DE7">
      <w:pPr>
        <w:pStyle w:val="CommentText"/>
        <w:rPr>
          <w:lang w:val="fr-CH"/>
        </w:rPr>
      </w:pPr>
      <w:r w:rsidRPr="004F3013">
        <w:rPr>
          <w:lang w:val="fr-CH"/>
        </w:rPr>
        <w:t>&lt;&lt;ODS DOC SYMBOL1&gt;&gt;CERD/C/SVN/Q/8-11&lt;&lt;ODS DOC SYMBOL1&gt;&gt;</w:t>
      </w:r>
    </w:p>
    <w:p w:rsidR="00D42DE7" w:rsidRDefault="00D42D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AC2" w:rsidRDefault="00C75AC2" w:rsidP="008F1E8F">
      <w:pPr>
        <w:spacing w:line="240" w:lineRule="auto"/>
      </w:pPr>
      <w:r>
        <w:separator/>
      </w:r>
    </w:p>
  </w:endnote>
  <w:endnote w:type="continuationSeparator" w:id="0">
    <w:p w:rsidR="00C75AC2" w:rsidRDefault="00C75AC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42DE7" w:rsidTr="00D42DE7">
      <w:trPr>
        <w:jc w:val="center"/>
      </w:trPr>
      <w:tc>
        <w:tcPr>
          <w:tcW w:w="5126" w:type="dxa"/>
          <w:shd w:val="clear" w:color="auto" w:fill="auto"/>
        </w:tcPr>
        <w:p w:rsidR="00D42DE7" w:rsidRPr="00D42DE7" w:rsidRDefault="00D42DE7" w:rsidP="00D42DE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97362">
            <w:rPr>
              <w:b w:val="0"/>
              <w:color w:val="000000"/>
              <w:w w:val="103"/>
              <w:sz w:val="14"/>
            </w:rPr>
            <w:t>GE.15-15627</w:t>
          </w:r>
          <w:r>
            <w:rPr>
              <w:b w:val="0"/>
              <w:color w:val="000000"/>
              <w:w w:val="103"/>
              <w:sz w:val="14"/>
            </w:rPr>
            <w:fldChar w:fldCharType="end"/>
          </w:r>
        </w:p>
      </w:tc>
      <w:tc>
        <w:tcPr>
          <w:tcW w:w="5127" w:type="dxa"/>
          <w:shd w:val="clear" w:color="auto" w:fill="auto"/>
        </w:tcPr>
        <w:p w:rsidR="00D42DE7" w:rsidRPr="00D42DE7" w:rsidRDefault="00D42DE7" w:rsidP="00D42DE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97362">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97362">
            <w:rPr>
              <w:color w:val="000000"/>
              <w:w w:val="103"/>
            </w:rPr>
            <w:t>2</w:t>
          </w:r>
          <w:r>
            <w:rPr>
              <w:color w:val="000000"/>
              <w:w w:val="103"/>
            </w:rPr>
            <w:fldChar w:fldCharType="end"/>
          </w:r>
        </w:p>
      </w:tc>
    </w:tr>
  </w:tbl>
  <w:p w:rsidR="00D42DE7" w:rsidRPr="00D42DE7" w:rsidRDefault="00D42DE7" w:rsidP="00D42D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42DE7" w:rsidTr="00D42DE7">
      <w:trPr>
        <w:jc w:val="center"/>
      </w:trPr>
      <w:tc>
        <w:tcPr>
          <w:tcW w:w="5126" w:type="dxa"/>
          <w:shd w:val="clear" w:color="auto" w:fill="auto"/>
        </w:tcPr>
        <w:p w:rsidR="00D42DE7" w:rsidRPr="00D42DE7" w:rsidRDefault="00D42DE7" w:rsidP="00D42DE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97362">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97362">
            <w:rPr>
              <w:color w:val="000000"/>
              <w:w w:val="103"/>
            </w:rPr>
            <w:t>2</w:t>
          </w:r>
          <w:r>
            <w:rPr>
              <w:color w:val="000000"/>
              <w:w w:val="103"/>
            </w:rPr>
            <w:fldChar w:fldCharType="end"/>
          </w:r>
        </w:p>
      </w:tc>
      <w:tc>
        <w:tcPr>
          <w:tcW w:w="5127" w:type="dxa"/>
          <w:shd w:val="clear" w:color="auto" w:fill="auto"/>
        </w:tcPr>
        <w:p w:rsidR="00D42DE7" w:rsidRPr="00D42DE7" w:rsidRDefault="00D42DE7" w:rsidP="00D42DE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97362">
            <w:rPr>
              <w:b w:val="0"/>
              <w:color w:val="000000"/>
              <w:w w:val="103"/>
              <w:sz w:val="14"/>
            </w:rPr>
            <w:t>GE.15-15627</w:t>
          </w:r>
          <w:r>
            <w:rPr>
              <w:b w:val="0"/>
              <w:color w:val="000000"/>
              <w:w w:val="103"/>
              <w:sz w:val="14"/>
            </w:rPr>
            <w:fldChar w:fldCharType="end"/>
          </w:r>
        </w:p>
      </w:tc>
    </w:tr>
  </w:tbl>
  <w:p w:rsidR="00D42DE7" w:rsidRPr="00D42DE7" w:rsidRDefault="00D42DE7" w:rsidP="00D42D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DE7" w:rsidRPr="00D42DE7" w:rsidRDefault="00D42DE7" w:rsidP="00D42DE7">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35AF48D7" wp14:editId="208A377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RD/C/SVN/Q/8-1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SVN/Q/8-1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42DE7" w:rsidTr="00D42DE7">
      <w:tc>
        <w:tcPr>
          <w:tcW w:w="3859" w:type="dxa"/>
        </w:tcPr>
        <w:p w:rsidR="00D42DE7" w:rsidRDefault="00D42DE7" w:rsidP="00D42DE7">
          <w:pPr>
            <w:pStyle w:val="ReleaseDate"/>
          </w:pPr>
          <w:r>
            <w:t>GE.15-15627 (S)</w:t>
          </w:r>
          <w:r w:rsidR="00C3329D">
            <w:t xml:space="preserve">    0</w:t>
          </w:r>
          <w:r>
            <w:t>91015    191015</w:t>
          </w:r>
        </w:p>
        <w:p w:rsidR="00D42DE7" w:rsidRPr="00D42DE7" w:rsidRDefault="00D42DE7" w:rsidP="00D42DE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*1515627*</w:t>
          </w:r>
        </w:p>
      </w:tc>
      <w:tc>
        <w:tcPr>
          <w:tcW w:w="5127" w:type="dxa"/>
        </w:tcPr>
        <w:p w:rsidR="00D42DE7" w:rsidRDefault="00D42DE7" w:rsidP="00D42DE7">
          <w:pPr>
            <w:pStyle w:val="Footer"/>
            <w:jc w:val="right"/>
            <w:rPr>
              <w:b w:val="0"/>
              <w:sz w:val="20"/>
            </w:rPr>
          </w:pPr>
          <w:r>
            <w:rPr>
              <w:b w:val="0"/>
              <w:sz w:val="20"/>
              <w:lang w:val="es-ES" w:eastAsia="es-ES"/>
            </w:rPr>
            <w:drawing>
              <wp:inline distT="0" distB="0" distL="0" distR="0" wp14:anchorId="717EEEDA" wp14:editId="2D9E0F7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42DE7" w:rsidRPr="00D42DE7" w:rsidRDefault="00D42DE7" w:rsidP="00D42DE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AC2" w:rsidRDefault="00C75AC2" w:rsidP="008F1E8F">
      <w:pPr>
        <w:spacing w:line="240" w:lineRule="auto"/>
      </w:pPr>
      <w:r>
        <w:separator/>
      </w:r>
    </w:p>
  </w:footnote>
  <w:footnote w:type="continuationSeparator" w:id="0">
    <w:p w:rsidR="00C75AC2" w:rsidRDefault="00C75AC2"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42DE7" w:rsidTr="00D42DE7">
      <w:trPr>
        <w:trHeight w:hRule="exact" w:val="864"/>
        <w:jc w:val="center"/>
      </w:trPr>
      <w:tc>
        <w:tcPr>
          <w:tcW w:w="4882" w:type="dxa"/>
          <w:shd w:val="clear" w:color="auto" w:fill="auto"/>
          <w:vAlign w:val="bottom"/>
        </w:tcPr>
        <w:p w:rsidR="00D42DE7" w:rsidRPr="00D42DE7" w:rsidRDefault="00D42DE7" w:rsidP="00D42DE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7362">
            <w:rPr>
              <w:b/>
              <w:color w:val="000000"/>
            </w:rPr>
            <w:t>CERD/C/SVN/Q/8-11</w:t>
          </w:r>
          <w:r>
            <w:rPr>
              <w:b/>
              <w:color w:val="000000"/>
            </w:rPr>
            <w:fldChar w:fldCharType="end"/>
          </w:r>
        </w:p>
      </w:tc>
      <w:tc>
        <w:tcPr>
          <w:tcW w:w="5127" w:type="dxa"/>
          <w:shd w:val="clear" w:color="auto" w:fill="auto"/>
          <w:vAlign w:val="bottom"/>
        </w:tcPr>
        <w:p w:rsidR="00D42DE7" w:rsidRDefault="00D42DE7" w:rsidP="00D42DE7">
          <w:pPr>
            <w:pStyle w:val="Header"/>
          </w:pPr>
        </w:p>
      </w:tc>
    </w:tr>
  </w:tbl>
  <w:p w:rsidR="00D42DE7" w:rsidRPr="00D42DE7" w:rsidRDefault="00D42DE7" w:rsidP="00D42DE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42DE7" w:rsidTr="00D42DE7">
      <w:trPr>
        <w:trHeight w:hRule="exact" w:val="864"/>
        <w:jc w:val="center"/>
      </w:trPr>
      <w:tc>
        <w:tcPr>
          <w:tcW w:w="4882" w:type="dxa"/>
          <w:shd w:val="clear" w:color="auto" w:fill="auto"/>
          <w:vAlign w:val="bottom"/>
        </w:tcPr>
        <w:p w:rsidR="00D42DE7" w:rsidRDefault="00D42DE7" w:rsidP="00D42DE7">
          <w:pPr>
            <w:pStyle w:val="Header"/>
          </w:pPr>
        </w:p>
      </w:tc>
      <w:tc>
        <w:tcPr>
          <w:tcW w:w="5127" w:type="dxa"/>
          <w:shd w:val="clear" w:color="auto" w:fill="auto"/>
          <w:vAlign w:val="bottom"/>
        </w:tcPr>
        <w:p w:rsidR="00D42DE7" w:rsidRPr="00D42DE7" w:rsidRDefault="00D42DE7" w:rsidP="00D42DE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7362">
            <w:rPr>
              <w:b/>
              <w:color w:val="000000"/>
            </w:rPr>
            <w:t>CERD/C/SVN/Q/8-11</w:t>
          </w:r>
          <w:r>
            <w:rPr>
              <w:b/>
              <w:color w:val="000000"/>
            </w:rPr>
            <w:fldChar w:fldCharType="end"/>
          </w:r>
        </w:p>
      </w:tc>
    </w:tr>
  </w:tbl>
  <w:p w:rsidR="00D42DE7" w:rsidRPr="00D42DE7" w:rsidRDefault="00D42DE7" w:rsidP="00D42DE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42DE7" w:rsidTr="00D42DE7">
      <w:trPr>
        <w:trHeight w:hRule="exact" w:val="864"/>
      </w:trPr>
      <w:tc>
        <w:tcPr>
          <w:tcW w:w="1267" w:type="dxa"/>
          <w:tcBorders>
            <w:bottom w:val="single" w:sz="4" w:space="0" w:color="auto"/>
          </w:tcBorders>
          <w:shd w:val="clear" w:color="auto" w:fill="auto"/>
          <w:vAlign w:val="bottom"/>
        </w:tcPr>
        <w:p w:rsidR="00D42DE7" w:rsidRDefault="00D42DE7" w:rsidP="00D42DE7">
          <w:pPr>
            <w:pStyle w:val="Header"/>
            <w:spacing w:after="120"/>
          </w:pPr>
        </w:p>
      </w:tc>
      <w:tc>
        <w:tcPr>
          <w:tcW w:w="2059" w:type="dxa"/>
          <w:tcBorders>
            <w:bottom w:val="single" w:sz="4" w:space="0" w:color="auto"/>
          </w:tcBorders>
          <w:shd w:val="clear" w:color="auto" w:fill="auto"/>
          <w:vAlign w:val="bottom"/>
        </w:tcPr>
        <w:p w:rsidR="00D42DE7" w:rsidRPr="00D42DE7" w:rsidRDefault="00D42DE7" w:rsidP="00D42DE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42DE7" w:rsidRDefault="00D42DE7" w:rsidP="00D42DE7">
          <w:pPr>
            <w:pStyle w:val="Header"/>
            <w:spacing w:after="120"/>
          </w:pPr>
        </w:p>
      </w:tc>
      <w:tc>
        <w:tcPr>
          <w:tcW w:w="6653" w:type="dxa"/>
          <w:gridSpan w:val="4"/>
          <w:tcBorders>
            <w:bottom w:val="single" w:sz="4" w:space="0" w:color="auto"/>
          </w:tcBorders>
          <w:shd w:val="clear" w:color="auto" w:fill="auto"/>
          <w:vAlign w:val="bottom"/>
        </w:tcPr>
        <w:p w:rsidR="00D42DE7" w:rsidRPr="00D42DE7" w:rsidRDefault="00D42DE7" w:rsidP="00D42DE7">
          <w:pPr>
            <w:spacing w:after="80" w:line="240" w:lineRule="auto"/>
            <w:jc w:val="right"/>
            <w:rPr>
              <w:position w:val="-4"/>
            </w:rPr>
          </w:pPr>
          <w:r>
            <w:rPr>
              <w:position w:val="-4"/>
              <w:sz w:val="40"/>
            </w:rPr>
            <w:t>CERD</w:t>
          </w:r>
          <w:r>
            <w:rPr>
              <w:position w:val="-4"/>
            </w:rPr>
            <w:t>/C/SVN/Q/8-11</w:t>
          </w:r>
        </w:p>
      </w:tc>
    </w:tr>
    <w:tr w:rsidR="00D42DE7" w:rsidRPr="00D42DE7" w:rsidTr="00D42DE7">
      <w:trPr>
        <w:gridAfter w:val="1"/>
        <w:wAfter w:w="18" w:type="dxa"/>
        <w:trHeight w:hRule="exact" w:val="2880"/>
      </w:trPr>
      <w:tc>
        <w:tcPr>
          <w:tcW w:w="1267" w:type="dxa"/>
          <w:tcBorders>
            <w:top w:val="single" w:sz="4" w:space="0" w:color="auto"/>
            <w:bottom w:val="single" w:sz="12" w:space="0" w:color="auto"/>
          </w:tcBorders>
          <w:shd w:val="clear" w:color="auto" w:fill="auto"/>
        </w:tcPr>
        <w:p w:rsidR="00D42DE7" w:rsidRPr="00D42DE7" w:rsidRDefault="00D42DE7" w:rsidP="00D42DE7">
          <w:pPr>
            <w:pStyle w:val="Header"/>
            <w:spacing w:before="120"/>
            <w:jc w:val="center"/>
          </w:pPr>
          <w:r>
            <w:t xml:space="preserve"> </w:t>
          </w:r>
          <w:r>
            <w:rPr>
              <w:lang w:val="es-ES" w:eastAsia="es-ES"/>
            </w:rPr>
            <w:drawing>
              <wp:inline distT="0" distB="0" distL="0" distR="0" wp14:anchorId="2B31F618" wp14:editId="36BAC1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42DE7" w:rsidRPr="00D42DE7" w:rsidRDefault="00D42DE7" w:rsidP="00D42DE7">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rsidR="00D42DE7" w:rsidRPr="004F3013" w:rsidRDefault="00D42DE7" w:rsidP="00D42DE7">
          <w:pPr>
            <w:pStyle w:val="Header"/>
            <w:spacing w:before="109"/>
            <w:rPr>
              <w:lang w:val="es-ES"/>
            </w:rPr>
          </w:pPr>
        </w:p>
      </w:tc>
      <w:tc>
        <w:tcPr>
          <w:tcW w:w="3280" w:type="dxa"/>
          <w:tcBorders>
            <w:top w:val="single" w:sz="4" w:space="0" w:color="auto"/>
            <w:bottom w:val="single" w:sz="12" w:space="0" w:color="auto"/>
          </w:tcBorders>
          <w:shd w:val="clear" w:color="auto" w:fill="auto"/>
        </w:tcPr>
        <w:p w:rsidR="00D42DE7" w:rsidRDefault="00D42DE7" w:rsidP="00D42DE7">
          <w:pPr>
            <w:pStyle w:val="Distribution"/>
            <w:spacing w:before="240"/>
          </w:pPr>
          <w:r>
            <w:t>Distr. general</w:t>
          </w:r>
        </w:p>
        <w:p w:rsidR="00D42DE7" w:rsidRDefault="00D42DE7" w:rsidP="00D42DE7">
          <w:pPr>
            <w:pStyle w:val="Publication"/>
          </w:pPr>
          <w:r>
            <w:t>25 de septiembre de 2015</w:t>
          </w:r>
        </w:p>
        <w:p w:rsidR="00D42DE7" w:rsidRDefault="00D42DE7" w:rsidP="00D42DE7">
          <w:r>
            <w:t>Español</w:t>
          </w:r>
        </w:p>
        <w:p w:rsidR="00D42DE7" w:rsidRDefault="00D42DE7" w:rsidP="00D42DE7">
          <w:pPr>
            <w:pStyle w:val="Original"/>
          </w:pPr>
          <w:r>
            <w:t>Original: inglés</w:t>
          </w:r>
        </w:p>
        <w:p w:rsidR="00D42DE7" w:rsidRPr="00D42DE7" w:rsidRDefault="004F3013" w:rsidP="00D42DE7">
          <w:r>
            <w:t>Español, francés e inglés únicamente</w:t>
          </w:r>
        </w:p>
      </w:tc>
    </w:tr>
  </w:tbl>
  <w:p w:rsidR="00D42DE7" w:rsidRPr="004F3013" w:rsidRDefault="00D42DE7" w:rsidP="00D42DE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5627*"/>
    <w:docVar w:name="CreationDt" w:val="10/19/2015 1:36: PM"/>
    <w:docVar w:name="DocCategory" w:val="Doc"/>
    <w:docVar w:name="DocType" w:val="Final"/>
    <w:docVar w:name="DutyStation" w:val="Geneva"/>
    <w:docVar w:name="FooterJN" w:val="GE.15-15627"/>
    <w:docVar w:name="jobn" w:val="GE.15-15627 (S)"/>
    <w:docVar w:name="jobnDT" w:val="GE.15-15627 (S)   191015"/>
    <w:docVar w:name="jobnDTDT" w:val="GE.15-15627 (S)   191015   191015"/>
    <w:docVar w:name="JobNo" w:val="GE.1515627S"/>
    <w:docVar w:name="JobNo2" w:val="15217321:36: PM"/>
    <w:docVar w:name="LocalDrive" w:val="0"/>
    <w:docVar w:name="OandT" w:val="rg"/>
    <w:docVar w:name="PaperSize" w:val="A4"/>
    <w:docVar w:name="sss1" w:val="CERD/C/SVN/Q/8-11"/>
    <w:docVar w:name="sss2" w:val="-"/>
    <w:docVar w:name="Symbol1" w:val="CERD/C/SVN/Q/8-11"/>
    <w:docVar w:name="Symbol2" w:val="-"/>
  </w:docVars>
  <w:rsids>
    <w:rsidRoot w:val="00C75AC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27A5"/>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0A6"/>
    <w:rsid w:val="002B0F08"/>
    <w:rsid w:val="002B105C"/>
    <w:rsid w:val="002B1378"/>
    <w:rsid w:val="002B1548"/>
    <w:rsid w:val="002B2680"/>
    <w:rsid w:val="002B6B53"/>
    <w:rsid w:val="002B7407"/>
    <w:rsid w:val="002C2CAF"/>
    <w:rsid w:val="002C345B"/>
    <w:rsid w:val="002C379E"/>
    <w:rsid w:val="002C3E79"/>
    <w:rsid w:val="002D3D74"/>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17BE"/>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3013"/>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13D0"/>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64D7"/>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82827"/>
    <w:rsid w:val="007879A2"/>
    <w:rsid w:val="007935D4"/>
    <w:rsid w:val="00793FFF"/>
    <w:rsid w:val="0079559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14EC"/>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97362"/>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329D"/>
    <w:rsid w:val="00C35339"/>
    <w:rsid w:val="00C36A7F"/>
    <w:rsid w:val="00C41651"/>
    <w:rsid w:val="00C468A1"/>
    <w:rsid w:val="00C51D2E"/>
    <w:rsid w:val="00C55BFC"/>
    <w:rsid w:val="00C56024"/>
    <w:rsid w:val="00C6016B"/>
    <w:rsid w:val="00C71D8C"/>
    <w:rsid w:val="00C72875"/>
    <w:rsid w:val="00C72AD9"/>
    <w:rsid w:val="00C7369D"/>
    <w:rsid w:val="00C75AC2"/>
    <w:rsid w:val="00C8131F"/>
    <w:rsid w:val="00C833E6"/>
    <w:rsid w:val="00C847F0"/>
    <w:rsid w:val="00C859E1"/>
    <w:rsid w:val="00C86A01"/>
    <w:rsid w:val="00C903E1"/>
    <w:rsid w:val="00C91CE9"/>
    <w:rsid w:val="00C92DF7"/>
    <w:rsid w:val="00C94035"/>
    <w:rsid w:val="00C9498D"/>
    <w:rsid w:val="00C94BB6"/>
    <w:rsid w:val="00C94F8A"/>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DE7"/>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2F5B"/>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1E9D"/>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42DE7"/>
    <w:pPr>
      <w:spacing w:line="240" w:lineRule="auto"/>
    </w:pPr>
    <w:rPr>
      <w:szCs w:val="20"/>
    </w:rPr>
  </w:style>
  <w:style w:type="character" w:customStyle="1" w:styleId="CommentTextChar">
    <w:name w:val="Comment Text Char"/>
    <w:basedOn w:val="DefaultParagraphFont"/>
    <w:link w:val="CommentText"/>
    <w:rsid w:val="00D42DE7"/>
    <w:rPr>
      <w:rFonts w:ascii="Times New Roman" w:hAnsi="Times New Roman"/>
      <w:spacing w:val="4"/>
      <w:w w:val="103"/>
      <w:lang w:val="es-ES"/>
    </w:rPr>
  </w:style>
  <w:style w:type="paragraph" w:styleId="CommentSubject">
    <w:name w:val="annotation subject"/>
    <w:basedOn w:val="CommentText"/>
    <w:next w:val="CommentText"/>
    <w:link w:val="CommentSubjectChar"/>
    <w:rsid w:val="00D42DE7"/>
    <w:rPr>
      <w:b/>
      <w:bCs/>
    </w:rPr>
  </w:style>
  <w:style w:type="character" w:customStyle="1" w:styleId="CommentSubjectChar">
    <w:name w:val="Comment Subject Char"/>
    <w:basedOn w:val="CommentTextChar"/>
    <w:link w:val="CommentSubject"/>
    <w:rsid w:val="00D42DE7"/>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42DE7"/>
    <w:pPr>
      <w:spacing w:line="240" w:lineRule="auto"/>
    </w:pPr>
    <w:rPr>
      <w:szCs w:val="20"/>
    </w:rPr>
  </w:style>
  <w:style w:type="character" w:customStyle="1" w:styleId="CommentTextChar">
    <w:name w:val="Comment Text Char"/>
    <w:basedOn w:val="DefaultParagraphFont"/>
    <w:link w:val="CommentText"/>
    <w:rsid w:val="00D42DE7"/>
    <w:rPr>
      <w:rFonts w:ascii="Times New Roman" w:hAnsi="Times New Roman"/>
      <w:spacing w:val="4"/>
      <w:w w:val="103"/>
      <w:lang w:val="es-ES"/>
    </w:rPr>
  </w:style>
  <w:style w:type="paragraph" w:styleId="CommentSubject">
    <w:name w:val="annotation subject"/>
    <w:basedOn w:val="CommentText"/>
    <w:next w:val="CommentText"/>
    <w:link w:val="CommentSubjectChar"/>
    <w:rsid w:val="00D42DE7"/>
    <w:rPr>
      <w:b/>
      <w:bCs/>
    </w:rPr>
  </w:style>
  <w:style w:type="character" w:customStyle="1" w:styleId="CommentSubjectChar">
    <w:name w:val="Comment Subject Char"/>
    <w:basedOn w:val="CommentTextChar"/>
    <w:link w:val="CommentSubject"/>
    <w:rsid w:val="00D42DE7"/>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B5C6A-A574-49C5-9ED0-65409F13E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810</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Maruchi Zeballos</cp:lastModifiedBy>
  <cp:revision>3</cp:revision>
  <cp:lastPrinted>2015-10-19T13:52:00Z</cp:lastPrinted>
  <dcterms:created xsi:type="dcterms:W3CDTF">2015-10-19T13:52:00Z</dcterms:created>
  <dcterms:modified xsi:type="dcterms:W3CDTF">2015-10-19T13:52:00Z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1515627</vt:lpwstr>
  </property>
  <property fmtid="{D5CDD505-2E9C-101B-9397-08002B2CF9AE}" pid="3" name="ODSRefJobNo">
    <vt:lpwstr>1521732</vt:lpwstr>
  </property>
  <property fmtid="{D5CDD505-2E9C-101B-9397-08002B2CF9AE}" pid="4" name="Symbol1">
    <vt:lpwstr>CERD/C/SVN/Q/8-11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septiembre de 2015</vt:lpwstr>
  </property>
  <property fmtid="{D5CDD505-2E9C-101B-9397-08002B2CF9AE}" pid="8" name="Original">
    <vt:lpwstr>inglés</vt:lpwstr>
  </property>
  <property fmtid="{D5CDD505-2E9C-101B-9397-08002B2CF9AE}" pid="9" name="Release Date">
    <vt:lpwstr>191015</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