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 в</w:t>
      </w:r>
      <w:r>
        <w:br/>
        <w:t>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611-м заседании,</w:t>
      </w:r>
    </w:p>
    <w:p w:rsidR="00000000" w:rsidRDefault="00000000">
      <w:r>
        <w:t>состоявшемся в Центральных учреждениях, Нью-Йорк, во вторник, 1 июля 2003 года, в 15 ч. 00 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 xml:space="preserve"> г</w:t>
      </w:r>
      <w:r>
        <w:noBreakHyphen/>
        <w:t xml:space="preserve">жа Ачар </w:t>
      </w:r>
    </w:p>
    <w:p w:rsidR="00000000" w:rsidRDefault="00000000">
      <w:pPr>
        <w:tabs>
          <w:tab w:val="left" w:pos="720"/>
          <w:tab w:val="left" w:pos="1404"/>
          <w:tab w:val="left" w:pos="2477"/>
          <w:tab w:val="right" w:leader="dot" w:pos="8568"/>
        </w:tabs>
        <w:ind w:right="1267"/>
        <w:rPr>
          <w:lang w:val="en-US"/>
        </w:rPr>
      </w:pPr>
      <w:r>
        <w:rPr>
          <w:i/>
          <w:lang w:val="en-US"/>
        </w:rPr>
        <w:tab/>
      </w:r>
      <w:r>
        <w:rPr>
          <w:i/>
        </w:rPr>
        <w:t xml:space="preserve">затем: </w:t>
      </w:r>
      <w:r>
        <w:t>г</w:t>
      </w:r>
      <w:r>
        <w:noBreakHyphen/>
        <w:t>н Феррер Гомеш (заместитель Председателя)</w:t>
      </w:r>
      <w:r>
        <w:rPr>
          <w:lang w:val="en-US"/>
        </w:rPr>
        <w:t xml:space="preserve"> </w:t>
      </w:r>
    </w:p>
    <w:p w:rsidR="00000000" w:rsidRDefault="00000000">
      <w:pPr>
        <w:tabs>
          <w:tab w:val="left" w:pos="720"/>
          <w:tab w:val="left" w:pos="1404"/>
          <w:tab w:val="left" w:pos="2477"/>
          <w:tab w:val="right" w:leader="dot" w:pos="8568"/>
        </w:tabs>
        <w:ind w:right="1267"/>
      </w:pPr>
      <w:r>
        <w:tab/>
      </w:r>
      <w:r>
        <w:rPr>
          <w:i/>
        </w:rPr>
        <w:t xml:space="preserve">затем: </w:t>
      </w:r>
      <w:r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SingleTxt"/>
        <w:suppressAutoHyphens/>
        <w:spacing w:after="0" w:line="120" w:lineRule="exact"/>
        <w:jc w:val="left"/>
        <w:rPr>
          <w:sz w:val="10"/>
        </w:rPr>
      </w:pPr>
    </w:p>
    <w:p w:rsidR="00000000" w:rsidRDefault="00000000">
      <w:pPr>
        <w:pStyle w:val="SingleTxt"/>
        <w:suppressAutoHyphens/>
        <w:spacing w:after="0" w:line="120" w:lineRule="exact"/>
        <w:jc w:val="left"/>
        <w:rPr>
          <w:sz w:val="10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по статье 18 Конвенции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Объединенные первоначальный, второй, третий, четвертый и пятый периодические доклады Бразилии (продолжение)</w:t>
      </w:r>
    </w:p>
    <w:p w:rsidR="00000000" w:rsidRDefault="00000000">
      <w:pPr>
        <w:pStyle w:val="SingleTxt"/>
      </w:pP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 ч.  05 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 xml:space="preserve">Рассмотрение докладов, представляемых государствами-участниками по статье 18 Конвенции </w:t>
      </w:r>
      <w:r>
        <w:rPr>
          <w:b w:val="0"/>
        </w:rPr>
        <w:t>(</w:t>
      </w:r>
      <w:r>
        <w:rPr>
          <w:b w:val="0"/>
          <w:i/>
        </w:rPr>
        <w:t>пр</w:t>
      </w:r>
      <w:r>
        <w:rPr>
          <w:b w:val="0"/>
          <w:i/>
        </w:rPr>
        <w:t>о</w:t>
      </w:r>
      <w:r>
        <w:rPr>
          <w:b w:val="0"/>
          <w:i/>
        </w:rPr>
        <w:t>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Объединенные первоначальный, второй, третий, четвертый и пятый периодические доклады Бразилии (продолжение) </w:t>
      </w:r>
      <w:r>
        <w:rPr>
          <w:i w:val="0"/>
        </w:rPr>
        <w:t>(CEDAW/C/BRA/1-5)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Бр</w:t>
      </w:r>
      <w:r>
        <w:rPr>
          <w:i/>
        </w:rPr>
        <w:t>а</w:t>
      </w:r>
      <w:r>
        <w:rPr>
          <w:i/>
        </w:rPr>
        <w:t>зилии занимает м</w:t>
      </w:r>
      <w:r>
        <w:rPr>
          <w:i/>
        </w:rPr>
        <w:t>е</w:t>
      </w:r>
      <w:r>
        <w:rPr>
          <w:i/>
        </w:rPr>
        <w:t>сто за столом Комитета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 xml:space="preserve">Председатель </w:t>
      </w:r>
      <w:r>
        <w:t>предлагает членам Комитета продолжить задавать вопросы по докладу Бразилии (CEDAW/C/BRA/1-5).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4</w:t>
      </w:r>
      <w:r>
        <w:rPr>
          <w:i w:val="0"/>
        </w:rPr>
        <w:t xml:space="preserve"> (</w:t>
      </w:r>
      <w:r>
        <w:t>продолж</w:t>
      </w:r>
      <w:r>
        <w:t>е</w:t>
      </w:r>
      <w:r>
        <w:t>ние</w:t>
      </w:r>
      <w:r>
        <w:rPr>
          <w:i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спрашивает, обусловлен ли з</w:t>
      </w:r>
      <w:r>
        <w:t>а</w:t>
      </w:r>
      <w:r>
        <w:t>кон, определяющий квоты на представительство на выборах, пунктом 1 статьи 4 Конвенции и рассма</w:t>
      </w:r>
      <w:r>
        <w:t>т</w:t>
      </w:r>
      <w:r>
        <w:t>ривается ли он в качестве временной специальной меры по смыслу этой статьи. В частности, она х</w:t>
      </w:r>
      <w:r>
        <w:t>о</w:t>
      </w:r>
      <w:r>
        <w:t>тела бы знать, был ли он принят для борьбы с ди</w:t>
      </w:r>
      <w:r>
        <w:t>с</w:t>
      </w:r>
      <w:r>
        <w:t>криминацией в течение ограниченного периода времени и будет ли он упразднен после прекращ</w:t>
      </w:r>
      <w:r>
        <w:t>е</w:t>
      </w:r>
      <w:r>
        <w:t>ния такой ди</w:t>
      </w:r>
      <w:r>
        <w:t>с</w:t>
      </w:r>
      <w:r>
        <w:t>криминации.</w:t>
      </w:r>
    </w:p>
    <w:p w:rsidR="00000000" w:rsidRDefault="00000000">
      <w:pPr>
        <w:pStyle w:val="DualTxt"/>
      </w:pPr>
      <w:r>
        <w:t>4.</w:t>
      </w:r>
      <w:r>
        <w:tab/>
        <w:t>Она хотела бы также знать причину ничто</w:t>
      </w:r>
      <w:r>
        <w:t>ж</w:t>
      </w:r>
      <w:r>
        <w:t>ных результатов этой меры. Было бы полезно у</w:t>
      </w:r>
      <w:r>
        <w:t>з</w:t>
      </w:r>
      <w:r>
        <w:t>нать, устанавливает ли закон санкции за несобл</w:t>
      </w:r>
      <w:r>
        <w:t>ю</w:t>
      </w:r>
      <w:r>
        <w:t>дение квот: что происходит, если та или иная пол</w:t>
      </w:r>
      <w:r>
        <w:t>и</w:t>
      </w:r>
      <w:r>
        <w:t>тическая партия не резервирует 30 процентов своих мест для женщин?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i/>
        </w:rPr>
        <w:t>Г</w:t>
      </w:r>
      <w:r>
        <w:rPr>
          <w:i/>
        </w:rPr>
        <w:noBreakHyphen/>
        <w:t>жа Феррер Гомеш занимает место Предс</w:t>
      </w:r>
      <w:r>
        <w:rPr>
          <w:i/>
        </w:rPr>
        <w:t>е</w:t>
      </w:r>
      <w:r>
        <w:rPr>
          <w:i/>
        </w:rPr>
        <w:t>д</w:t>
      </w:r>
      <w:r>
        <w:rPr>
          <w:i/>
        </w:rPr>
        <w:t>а</w:t>
      </w:r>
      <w:r>
        <w:rPr>
          <w:i/>
        </w:rPr>
        <w:t>теля</w:t>
      </w:r>
      <w:r>
        <w:t>.</w:t>
      </w: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интересуется, что о</w:t>
      </w:r>
      <w:r>
        <w:t>з</w:t>
      </w:r>
      <w:r>
        <w:t>начает утверждение о том, что охране материнского здоровья может угрожать глобализация. Фактич</w:t>
      </w:r>
      <w:r>
        <w:t>е</w:t>
      </w:r>
      <w:r>
        <w:t>ски, это ставит вопрос о том, в состоянии ли прав</w:t>
      </w:r>
      <w:r>
        <w:t>и</w:t>
      </w:r>
      <w:r>
        <w:t>тельство Бразилии соблюдать положения Конве</w:t>
      </w:r>
      <w:r>
        <w:t>н</w:t>
      </w:r>
      <w:r>
        <w:t>ции. Было бы полезно знать в этой связи, кто отв</w:t>
      </w:r>
      <w:r>
        <w:t>е</w:t>
      </w:r>
      <w:r>
        <w:t>чает за составление доклада. Она высоко оценивает принимаемые Бразилией позитивные меры по ст</w:t>
      </w:r>
      <w:r>
        <w:t>а</w:t>
      </w:r>
      <w:r>
        <w:t>тье 4; однако Комитет предпочитает выражение «временные специальные меры». Она хотела бы знать, были ли созданы какие</w:t>
      </w:r>
      <w:r>
        <w:noBreakHyphen/>
        <w:t>либо механизмы для обеспечения осуществления таких мер, устанавл</w:t>
      </w:r>
      <w:r>
        <w:t>и</w:t>
      </w:r>
      <w:r>
        <w:t>ваются ли какие</w:t>
      </w:r>
      <w:r>
        <w:noBreakHyphen/>
        <w:t>либо сроки и цели и применяются ли какие</w:t>
      </w:r>
      <w:r>
        <w:noBreakHyphen/>
        <w:t>либо сан</w:t>
      </w:r>
      <w:r>
        <w:t>к</w:t>
      </w:r>
      <w:r>
        <w:t>ции.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говорит, что штаты не ос</w:t>
      </w:r>
      <w:r>
        <w:t>у</w:t>
      </w:r>
      <w:r>
        <w:t>ществили системы избирательных квот, требуемые по федеральному закону. Это означает, что штаты или не выполнили своих обязанностей, или просто не соблюдают федеральных обязательств. В этой связи он хотел бы знать, какие существуют мех</w:t>
      </w:r>
      <w:r>
        <w:t>а</w:t>
      </w:r>
      <w:r>
        <w:t>низмы для обеспечения соблюдения штатами своих обязательств и, в частности, может ли федеральное правительство обязывать штаты принимать време</w:t>
      </w:r>
      <w:r>
        <w:t>н</w:t>
      </w:r>
      <w:r>
        <w:t>ные специальные меры по обеспечению участия женщин в политической жи</w:t>
      </w:r>
      <w:r>
        <w:t>з</w:t>
      </w:r>
      <w:r>
        <w:t>ни.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Тавареш да Силва </w:t>
      </w:r>
      <w:r>
        <w:t>говорит, что согла</w:t>
      </w:r>
      <w:r>
        <w:t>с</w:t>
      </w:r>
      <w:r>
        <w:t>но докладу женщины по</w:t>
      </w:r>
      <w:r>
        <w:noBreakHyphen/>
        <w:t>прежнему используются в качестве товара для создания образов, использу</w:t>
      </w:r>
      <w:r>
        <w:t>е</w:t>
      </w:r>
      <w:r>
        <w:t>мых для продажи товаров мужчинам. Такой подход помогает сохранять опасные мифы, связанные с сексуальным насилием, бытовым насилием и пр</w:t>
      </w:r>
      <w:r>
        <w:t>о</w:t>
      </w:r>
      <w:r>
        <w:t>ституцией. Деятельность средств массовой инфо</w:t>
      </w:r>
      <w:r>
        <w:t>р</w:t>
      </w:r>
      <w:r>
        <w:t>мации лицензируется государством, однако не по</w:t>
      </w:r>
      <w:r>
        <w:t>д</w:t>
      </w:r>
      <w:r>
        <w:t>лежит никакому регулированию с точки зрения с</w:t>
      </w:r>
      <w:r>
        <w:t>о</w:t>
      </w:r>
      <w:r>
        <w:t>держания программ. Она интересуется, планирует ли правительство изменить это полож</w:t>
      </w:r>
      <w:r>
        <w:t>е</w:t>
      </w:r>
      <w:r>
        <w:t>ние.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Манало </w:t>
      </w:r>
      <w:r>
        <w:t>говорит, что в докладе не уп</w:t>
      </w:r>
      <w:r>
        <w:t>о</w:t>
      </w:r>
      <w:r>
        <w:t>минается о том, рассматривается ли в рамках пол</w:t>
      </w:r>
      <w:r>
        <w:t>и</w:t>
      </w:r>
      <w:r>
        <w:t>тики национального развития вопрос об установл</w:t>
      </w:r>
      <w:r>
        <w:t>е</w:t>
      </w:r>
      <w:r>
        <w:t>нии новых культурных норм. В этой связи она и</w:t>
      </w:r>
      <w:r>
        <w:t>н</w:t>
      </w:r>
      <w:r>
        <w:t>тересуется, какой процент бюджета выделяется на изменение этих норм. Было бы также полезно у</w:t>
      </w:r>
      <w:r>
        <w:t>з</w:t>
      </w:r>
      <w:r>
        <w:t>нать, знакомо ли правительство с концепцией учета гендерной проблематики, проводит ли оно такую политику в государственных учреждениях и какие были проведены реформы в рамках учебных планов в целях ликвидации патриархальных ценн</w:t>
      </w:r>
      <w:r>
        <w:t>о</w:t>
      </w:r>
      <w:r>
        <w:t>стей.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 Бразилия несомненно добилась значительного прогресса в укреплении роли женщин в обществе. В то же время в докладе указывается, что устаревшее негативное предста</w:t>
      </w:r>
      <w:r>
        <w:t>в</w:t>
      </w:r>
      <w:r>
        <w:t>ление о женщинах по</w:t>
      </w:r>
      <w:r>
        <w:noBreakHyphen/>
        <w:t>прежнему широко распр</w:t>
      </w:r>
      <w:r>
        <w:t>о</w:t>
      </w:r>
      <w:r>
        <w:t>странено. Бразилия является страной с огромным потенциалом и характеризуется моделью развития, которая должна способствовать улучшению пол</w:t>
      </w:r>
      <w:r>
        <w:t>о</w:t>
      </w:r>
      <w:r>
        <w:t>жения женщин. Между тем такие сферы, как уч</w:t>
      </w:r>
      <w:r>
        <w:t>а</w:t>
      </w:r>
      <w:r>
        <w:t>стие в политической жизни и образование, полож</w:t>
      </w:r>
      <w:r>
        <w:t>е</w:t>
      </w:r>
      <w:r>
        <w:t>ние сельских женщин и охрана здоровья женщин, а также предоставление репродуктивных услуг выз</w:t>
      </w:r>
      <w:r>
        <w:t>ы</w:t>
      </w:r>
      <w:r>
        <w:t>вают серьезную обеспокоенность. Безработица ср</w:t>
      </w:r>
      <w:r>
        <w:t>е</w:t>
      </w:r>
      <w:r>
        <w:t>ди женщин является основанием для тревоги; а д</w:t>
      </w:r>
      <w:r>
        <w:t>о</w:t>
      </w:r>
      <w:r>
        <w:t>ходы женщин не соответствуют доходам мужчин. Необходимо принять законодательство в области насилия в отношении женщин, предусматривающее должное наказание лиц, которые совершают такие преступления. В некоторых районах по</w:t>
      </w:r>
      <w:r>
        <w:noBreakHyphen/>
        <w:t>прежнему совершаются калечащие операции на женских п</w:t>
      </w:r>
      <w:r>
        <w:t>о</w:t>
      </w:r>
      <w:r>
        <w:t>ловых органах. Для обеспечения перемен важно изменить отношение. Оратор хотела бы знать в этой связи, какие идеи имеются у правительства в отн</w:t>
      </w:r>
      <w:r>
        <w:t>о</w:t>
      </w:r>
      <w:r>
        <w:t>шении изменения негативного представления о женщинах в бразильском общес</w:t>
      </w:r>
      <w:r>
        <w:t>т</w:t>
      </w:r>
      <w:r>
        <w:t>ве.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говорит, что важно разработать план измен</w:t>
      </w:r>
      <w:r>
        <w:t>е</w:t>
      </w:r>
      <w:r>
        <w:t>ния дискриминационных культурных обычаев в бразильском обществе. Все женщины этой страны подвергаются дискриминации, независимо от расы или класса, хотя, конечно же, некоторые слои стр</w:t>
      </w:r>
      <w:r>
        <w:t>а</w:t>
      </w:r>
      <w:r>
        <w:t>дают больше, чем другие. Нельзя добиться глуб</w:t>
      </w:r>
      <w:r>
        <w:t>о</w:t>
      </w:r>
      <w:r>
        <w:t>ких перемен без изменения отношений. Она хотела бы знать, какие предусмотрены меры для провед</w:t>
      </w:r>
      <w:r>
        <w:t>е</w:t>
      </w:r>
      <w:r>
        <w:t>ния изменений в сфере образования, в которой свыше 80 процентов всех преподавателей соста</w:t>
      </w:r>
      <w:r>
        <w:t>в</w:t>
      </w:r>
      <w:r>
        <w:t>ляют женщины, а также в областях здравоохран</w:t>
      </w:r>
      <w:r>
        <w:t>е</w:t>
      </w:r>
      <w:r>
        <w:t>ния, судопроизводства, обеспечения правопорядка и журнал</w:t>
      </w:r>
      <w:r>
        <w:t>и</w:t>
      </w:r>
      <w:r>
        <w:t>стики.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Шен </w:t>
      </w:r>
      <w:r>
        <w:t>говорит, что в Бразилии распр</w:t>
      </w:r>
      <w:r>
        <w:t>о</w:t>
      </w:r>
      <w:r>
        <w:t>странение всех форм насилия в отношении женщин вызывает тревогу. Она обеспокоена, в частности, случаями, в которых мужчины освобождаются от ответственности за преступления в отношении женщин на основании защиты своей чести. Необх</w:t>
      </w:r>
      <w:r>
        <w:t>о</w:t>
      </w:r>
      <w:r>
        <w:t>димо срочно обеспечить по всей стране бесплатные услуги телефонной службы «доверия», которыми могли бы пользоваться все женщины или девушки в случае угрозы их личной безопасности. В докладе указывается на наличие 300 специальных полице</w:t>
      </w:r>
      <w:r>
        <w:t>й</w:t>
      </w:r>
      <w:r>
        <w:t>ских департаментов по оказанию помощи женщ</w:t>
      </w:r>
      <w:r>
        <w:t>и</w:t>
      </w:r>
      <w:r>
        <w:t>нам. В стране с населением 170 млн. человек это составляет один участок на полмиллиона жителей. Оратор спрашивает, проводилась ли оценка возде</w:t>
      </w:r>
      <w:r>
        <w:t>й</w:t>
      </w:r>
      <w:r>
        <w:t>ствия работы этих участков и укомплектованы ли они должным образом сотрудник</w:t>
      </w:r>
      <w:r>
        <w:t>а</w:t>
      </w:r>
      <w:r>
        <w:t>ми.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 xml:space="preserve">Г-жа Манало </w:t>
      </w:r>
      <w:r>
        <w:t>говорит, что она не видит в до</w:t>
      </w:r>
      <w:r>
        <w:t>к</w:t>
      </w:r>
      <w:r>
        <w:t>ладе никакого упоминания о каком-либо конкре</w:t>
      </w:r>
      <w:r>
        <w:t>т</w:t>
      </w:r>
      <w:r>
        <w:t>ном национальном законодательстве, касающемся бытового насилия, любых планах действий, связа</w:t>
      </w:r>
      <w:r>
        <w:t>н</w:t>
      </w:r>
      <w:r>
        <w:t>ных с насилием в отношении женщин, каких-либо программах, обеспечивающих финансовую компе</w:t>
      </w:r>
      <w:r>
        <w:t>н</w:t>
      </w:r>
      <w:r>
        <w:t>сацию жертвам насилия, любых системах межу</w:t>
      </w:r>
      <w:r>
        <w:t>ч</w:t>
      </w:r>
      <w:r>
        <w:t>режденческих механизмов координации меропри</w:t>
      </w:r>
      <w:r>
        <w:t>я</w:t>
      </w:r>
      <w:r>
        <w:t>тий по борьбе с насилием с неправительственными организациями и каком-либо национальном закон</w:t>
      </w:r>
      <w:r>
        <w:t>о</w:t>
      </w:r>
      <w:r>
        <w:t>дательстве о борьбе с то</w:t>
      </w:r>
      <w:r>
        <w:t>р</w:t>
      </w:r>
      <w:r>
        <w:t>говлей.</w:t>
      </w:r>
    </w:p>
    <w:p w:rsidR="00000000" w:rsidRDefault="00000000">
      <w:pPr>
        <w:pStyle w:val="DualTxt"/>
      </w:pPr>
      <w:r>
        <w:t>14.</w:t>
      </w:r>
      <w:r>
        <w:tab/>
        <w:t>Она обеспокоена тем, что, хотя Межамерика</w:t>
      </w:r>
      <w:r>
        <w:t>н</w:t>
      </w:r>
      <w:r>
        <w:t>ская комиссия по правам человека вынесла закл</w:t>
      </w:r>
      <w:r>
        <w:t>ю</w:t>
      </w:r>
      <w:r>
        <w:t>чение по делу Марии да Пенья Майи Фернандес, муж которой пытался убить ее, правительство Бр</w:t>
      </w:r>
      <w:r>
        <w:t>а</w:t>
      </w:r>
      <w:r>
        <w:t>зилии выполнило лишь одну из ее рекомендаций. Она хотела бы знать, почему не были осуществлены другие рекомендации.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 xml:space="preserve">Г-жа Гонсалес </w:t>
      </w:r>
      <w:r>
        <w:t>хотела бы получить дальне</w:t>
      </w:r>
      <w:r>
        <w:t>й</w:t>
      </w:r>
      <w:r>
        <w:t>шую информацию о критериях, используемых с</w:t>
      </w:r>
      <w:r>
        <w:t>у</w:t>
      </w:r>
      <w:r>
        <w:t>дами при рассмотрении случаев бытового и секс</w:t>
      </w:r>
      <w:r>
        <w:t>у</w:t>
      </w:r>
      <w:r>
        <w:t>ального насилия. Она хотела бы также знать, были ли приняты и осуществлены какие-либо меры в ц</w:t>
      </w:r>
      <w:r>
        <w:t>е</w:t>
      </w:r>
      <w:r>
        <w:t>лях изменения отношения судов, которые проявл</w:t>
      </w:r>
      <w:r>
        <w:t>я</w:t>
      </w:r>
      <w:r>
        <w:t>ют враждебность и дискриминацию в отношении женщин. Такому отношению не место в совреме</w:t>
      </w:r>
      <w:r>
        <w:t>н</w:t>
      </w:r>
      <w:r>
        <w:t>ном демократическом обществе, поскольку оно противоречит принципам международного права, в частности Международного пакта о гражданских и политических правах и Международного пакта об экономических, социальных и культурных правах. Она хотела бы знать в этой связи, проводилась ли оценка национальной политики по борьбе с быт</w:t>
      </w:r>
      <w:r>
        <w:t>о</w:t>
      </w:r>
      <w:r>
        <w:t>вым и сексуальным насилием и, если да, то какие были сделаны выводы. Кроме того, оратор интер</w:t>
      </w:r>
      <w:r>
        <w:t>е</w:t>
      </w:r>
      <w:r>
        <w:t>суется наличием политики в области борьбы с то</w:t>
      </w:r>
      <w:r>
        <w:t>р</w:t>
      </w:r>
      <w:r>
        <w:t>говлей женщинами и детьми в сексуальных целях и профилактики насилия в отношении беспризорных детей. Наконец, она интересуется, в какой мере беспризорные дети подвержены наркомании и пр</w:t>
      </w:r>
      <w:r>
        <w:t>о</w:t>
      </w:r>
      <w:r>
        <w:t>ст</w:t>
      </w:r>
      <w:r>
        <w:t>и</w:t>
      </w:r>
      <w:r>
        <w:t xml:space="preserve">туции. 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Г-жа Ачар вновь занимает место Председателя.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line="120" w:lineRule="exact"/>
        <w:ind w:left="475" w:hanging="475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Г-жа Бельмихуб-Зердани</w:t>
      </w:r>
      <w:r>
        <w:t xml:space="preserve"> спрашивает, были ли внесены поправки в Конституцию Бразилии с целью отражения политики президента да Силвы в пользу прав женщин. Подразумевает ли статья 14 Федеральной конституции (CEDAW/C/BRA/1-5, стр. 105), что граждане Бразилии, которые не пр</w:t>
      </w:r>
      <w:r>
        <w:t>и</w:t>
      </w:r>
      <w:r>
        <w:t>надлежат к политическим партиям, не имеют права выдвигать свои кандидатуры на выборные посты? Такие предварительные условия носили бы очень предосудительный характер в отношении женщин Бразилии, многие из которых поддержали г</w:t>
      </w:r>
      <w:r>
        <w:noBreakHyphen/>
        <w:t>на да Силву на выборах и активно боролись за достиж</w:t>
      </w:r>
      <w:r>
        <w:t>е</w:t>
      </w:r>
      <w:r>
        <w:t>ние прав женщин. Вероятно, делегация могла бы пояснить 30</w:t>
      </w:r>
      <w:r>
        <w:noBreakHyphen/>
        <w:t>процентный и 70</w:t>
      </w:r>
      <w:r>
        <w:noBreakHyphen/>
        <w:t>процентный м</w:t>
      </w:r>
      <w:r>
        <w:t>и</w:t>
      </w:r>
      <w:r>
        <w:t>нимум и максимум в отношении вакансий для ка</w:t>
      </w:r>
      <w:r>
        <w:t>н</w:t>
      </w:r>
      <w:r>
        <w:t>дидатов каждого пола по закону 9504 (CEDAW/C/ BRA/1-5, стр. 105). Она интересуется, почему лишь ряд штатов — Сиара, Мараньян, Пара, Парана и федеральный округ — обеспечивают участие же</w:t>
      </w:r>
      <w:r>
        <w:t>н</w:t>
      </w:r>
      <w:r>
        <w:t>щин в разработке и осуществлении государстве</w:t>
      </w:r>
      <w:r>
        <w:t>н</w:t>
      </w:r>
      <w:r>
        <w:t>ной политики (CEDAW/C/BRA/1-5, стр. 106) и п</w:t>
      </w:r>
      <w:r>
        <w:t>о</w:t>
      </w:r>
      <w:r>
        <w:t>чему женщины недостаточно представлены в мес</w:t>
      </w:r>
      <w:r>
        <w:t>т</w:t>
      </w:r>
      <w:r>
        <w:t>ных органах управления (лишь 4–5 процентов). Приветствуя работу пяти женщин на очень высоких должностях в исполнительной системе власти, ор</w:t>
      </w:r>
      <w:r>
        <w:t>а</w:t>
      </w:r>
      <w:r>
        <w:t>тор отмечает, что ни в докладе, ни в устном соо</w:t>
      </w:r>
      <w:r>
        <w:t>б</w:t>
      </w:r>
      <w:r>
        <w:t>щении делегации не приводится статистических данных о количестве коренных и чернокожих же</w:t>
      </w:r>
      <w:r>
        <w:t>н</w:t>
      </w:r>
      <w:r>
        <w:t>щин на государственной службе. Женщины также недостаточно представлены на высоких должностях в судебной системе, в том числе в избирательных комиссиях и военных судах, что может свидетел</w:t>
      </w:r>
      <w:r>
        <w:t>ь</w:t>
      </w:r>
      <w:r>
        <w:t>ствовать об очень предвзятом отношении к ним. Было бы интересно узнать, намеревается ли прав</w:t>
      </w:r>
      <w:r>
        <w:t>и</w:t>
      </w:r>
      <w:r>
        <w:t>тельство Бразилии внести дальнейшие поправки в свой закон о выборах, например, установить допо</w:t>
      </w:r>
      <w:r>
        <w:t>л</w:t>
      </w:r>
      <w:r>
        <w:t>нительные квоты или субсидии для политических партий Бразилии, которые выступают за расшир</w:t>
      </w:r>
      <w:r>
        <w:t>е</w:t>
      </w:r>
      <w:r>
        <w:t>ние участия женщин в политической жизни. Будут ли женские ассоциации гражданского общества также получать пользу от этих субсидий и если да, то в какой степ</w:t>
      </w:r>
      <w:r>
        <w:t>е</w:t>
      </w:r>
      <w:r>
        <w:t>ни?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Г-жа Кваку</w:t>
      </w:r>
      <w:r>
        <w:t xml:space="preserve"> отмечает признание государс</w:t>
      </w:r>
      <w:r>
        <w:t>т</w:t>
      </w:r>
      <w:r>
        <w:t>вом-участником как в докладе, так и в его устном сообщении того факта, что закон 9504, устанавл</w:t>
      </w:r>
      <w:r>
        <w:t>и</w:t>
      </w:r>
      <w:r>
        <w:t>вающий минимальную и максимальную процен</w:t>
      </w:r>
      <w:r>
        <w:t>т</w:t>
      </w:r>
      <w:r>
        <w:t>ные доли кандидатов каждого пола, является неэ</w:t>
      </w:r>
      <w:r>
        <w:t>ф</w:t>
      </w:r>
      <w:r>
        <w:t>фективным. Она интересуется, обусловлено ли это отсутствием наказаний за невыполнение этого з</w:t>
      </w:r>
      <w:r>
        <w:t>а</w:t>
      </w:r>
      <w:r>
        <w:t>кона, и хотела бы услышать о других возможных причинах. Она также хотела бы знать, считает ли Бразилия необходимым принятие более эффекти</w:t>
      </w:r>
      <w:r>
        <w:t>в</w:t>
      </w:r>
      <w:r>
        <w:t>ных мер, связанных с позитивными действиями; пока что она, по</w:t>
      </w:r>
      <w:r>
        <w:noBreakHyphen/>
        <w:t>видимому, смирилась со сложи</w:t>
      </w:r>
      <w:r>
        <w:t>в</w:t>
      </w:r>
      <w:r>
        <w:t>шимся положением. Могут ли быть представлены дополнительные поправки в целях обеспечения т</w:t>
      </w:r>
      <w:r>
        <w:t>о</w:t>
      </w:r>
      <w:r>
        <w:t>го, чтобы доля чернокожих женщин и женщин-мулаток в политической жизни составила 50 процентов?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 xml:space="preserve">Г-жа Сайга </w:t>
      </w:r>
      <w:r>
        <w:t>просит представить информацию о представительстве женщин в муниципальных с</w:t>
      </w:r>
      <w:r>
        <w:t>о</w:t>
      </w:r>
      <w:r>
        <w:t>ветах. Являются ли в этой связи законы 9100 от 1995 года и 9504 от 1997 года, определяющие пр</w:t>
      </w:r>
      <w:r>
        <w:t>а</w:t>
      </w:r>
      <w:r>
        <w:t>вила проведения муниципальных выборов, эффе</w:t>
      </w:r>
      <w:r>
        <w:t>к</w:t>
      </w:r>
      <w:r>
        <w:t>тивными? Она хотела бы получить разъяснение, п</w:t>
      </w:r>
      <w:r>
        <w:t>о</w:t>
      </w:r>
      <w:r>
        <w:t>чему правила проведения муниципальных выборов определяются федеральным законодательством, в то время как штаты имеют право на разработку своих собственных правил проведения выб</w:t>
      </w:r>
      <w:r>
        <w:t>о</w:t>
      </w:r>
      <w:r>
        <w:t>ров.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Г-жа Тавареш да Силва</w:t>
      </w:r>
      <w:r>
        <w:t xml:space="preserve"> говорит, что, н</w:t>
      </w:r>
      <w:r>
        <w:t>е</w:t>
      </w:r>
      <w:r>
        <w:t>смотря на проблемы, связанные с осуществлением и исполнением законодательства об участии же</w:t>
      </w:r>
      <w:r>
        <w:t>н</w:t>
      </w:r>
      <w:r>
        <w:t>щин в политической жизни, его принятие в консе</w:t>
      </w:r>
      <w:r>
        <w:t>р</w:t>
      </w:r>
      <w:r>
        <w:t>вативном, патриархальном обществе само по себе вызывает восхищение. Системы внутренних квот, принятые некоторыми политическими партиями, доказали свою высокую эффективность, а законод</w:t>
      </w:r>
      <w:r>
        <w:t>а</w:t>
      </w:r>
      <w:r>
        <w:t>тельство также обусловило очень важное обсужд</w:t>
      </w:r>
      <w:r>
        <w:t>е</w:t>
      </w:r>
      <w:r>
        <w:t>ние этого вопроса: в настоящее время на рассмо</w:t>
      </w:r>
      <w:r>
        <w:t>т</w:t>
      </w:r>
      <w:r>
        <w:t>рении Национального конгресса находится не менее 18 законопроектов о квотах и других мерах, связа</w:t>
      </w:r>
      <w:r>
        <w:t>н</w:t>
      </w:r>
      <w:r>
        <w:t>ных с позитивными действиями, в целях расшир</w:t>
      </w:r>
      <w:r>
        <w:t>е</w:t>
      </w:r>
      <w:r>
        <w:t>ния участия женщин в политической жизни. Она интересуется, предусматривает ли правительство Бразилии принятие мер по совершенствованию функционирования своего законодательства по в</w:t>
      </w:r>
      <w:r>
        <w:t>о</w:t>
      </w:r>
      <w:r>
        <w:t>просу об участии женщин в политической жизни на всех уровнях, в том числе на уровне штатов.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Г-жа Симонович</w:t>
      </w:r>
      <w:r>
        <w:t xml:space="preserve"> хотела бы знать, проводило ли правительство кампании по повышению осв</w:t>
      </w:r>
      <w:r>
        <w:t>е</w:t>
      </w:r>
      <w:r>
        <w:t>домленности об участии женщин в выработке пол</w:t>
      </w:r>
      <w:r>
        <w:t>и</w:t>
      </w:r>
      <w:r>
        <w:t>тических решений или взаимодействовало ли оно со средствами массовой информации в целях пр</w:t>
      </w:r>
      <w:r>
        <w:t>о</w:t>
      </w:r>
      <w:r>
        <w:t>паганды образа женщин как руководителей.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Г-жа Попеску Сандру</w:t>
      </w:r>
      <w:r>
        <w:t xml:space="preserve"> интересуется конкре</w:t>
      </w:r>
      <w:r>
        <w:t>т</w:t>
      </w:r>
      <w:r>
        <w:t>ными мерами по поощрению участия коренных женщин в политической жизни. Как и другие эк</w:t>
      </w:r>
      <w:r>
        <w:t>с</w:t>
      </w:r>
      <w:r>
        <w:t>перты, она считает, что дезагрегированные данные были бы в этой связи весьма полезны. Она спраш</w:t>
      </w:r>
      <w:r>
        <w:t>и</w:t>
      </w:r>
      <w:r>
        <w:t>вает, почему система квот так трудно поддается практическому внедрению и какова роль Управл</w:t>
      </w:r>
      <w:r>
        <w:t>е</w:t>
      </w:r>
      <w:r>
        <w:t>ния Государственного прокурора в укреплении п</w:t>
      </w:r>
      <w:r>
        <w:t>о</w:t>
      </w:r>
      <w:r>
        <w:t>литики квот. Отмечая, что президент Республики отвечает за назначение на высокие должности в и</w:t>
      </w:r>
      <w:r>
        <w:t>с</w:t>
      </w:r>
      <w:r>
        <w:t>полнительной и судебной системах (CEDAW/C/ BRA/1-5, стр. 110), оратор спрашивает, почему женщины недостаточно представлены в Верховном суде.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>, о</w:t>
      </w:r>
      <w:r>
        <w:t>т</w:t>
      </w:r>
      <w:r>
        <w:t>мечая низкий процент мэров-женщин, указанный в устном сообщении делегации, подчеркивает важность представительства женщин в муниципальных советах, о чем, как кажется, представлено недостаточно информации (CEDAW/C/BRA/1–5, стр. 107). Представительство женщин на этом уровне имеет стратегическое зн</w:t>
      </w:r>
      <w:r>
        <w:t>а</w:t>
      </w:r>
      <w:r>
        <w:t>чение с точки зрения пропаганды некоторых аспе</w:t>
      </w:r>
      <w:r>
        <w:t>к</w:t>
      </w:r>
      <w:r>
        <w:t>тов общинной жизни, о чем говорится в исследов</w:t>
      </w:r>
      <w:r>
        <w:t>а</w:t>
      </w:r>
      <w:r>
        <w:t>нии Международного союза местных органов управления (МСМОУ), в работе которого она пр</w:t>
      </w:r>
      <w:r>
        <w:t>и</w:t>
      </w:r>
      <w:r>
        <w:t>нимала участие.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8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Флинтерман </w:t>
      </w:r>
      <w:r>
        <w:t>обращает внимание на большую разницу между количеством мужчин и женщин среди бразильских дипломатов и, в частн</w:t>
      </w:r>
      <w:r>
        <w:t>о</w:t>
      </w:r>
      <w:r>
        <w:t>сти, на резкий контраст между низким числом женщин, успешно сдавших экзамены для работы на дипломатической службе, и высоким их числом, у</w:t>
      </w:r>
      <w:r>
        <w:t>с</w:t>
      </w:r>
      <w:r>
        <w:t>пешно преодолевшим вступительные экзамены для получения должности в гражданских судах высшей и низшей инстанции. Вероятно, это объясняется тем, что один из экзаменов является более не</w:t>
      </w:r>
      <w:r>
        <w:t>й</w:t>
      </w:r>
      <w:r>
        <w:t>тральным в гендерном отношении, чем другой. Он интересуется, планирует ли правительство провести комплексное обследование в целях определения причин недостаточной представленности женщин на дипломатической службе (CEDAW/C/BRA/1–5, стр. 121) или принять в этой связи меры по испра</w:t>
      </w:r>
      <w:r>
        <w:t>в</w:t>
      </w:r>
      <w:r>
        <w:t>лению пол</w:t>
      </w:r>
      <w:r>
        <w:t>о</w:t>
      </w:r>
      <w:r>
        <w:t>жения.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Бельмихуб-Зердани</w:t>
      </w:r>
      <w:r>
        <w:t xml:space="preserve"> воздает должное Бразилии за то, что она является одной из немногих стран мира, в которой женщинам разрешено выпо</w:t>
      </w:r>
      <w:r>
        <w:t>л</w:t>
      </w:r>
      <w:r>
        <w:t>нять обязанности послов одновременно со своими мужьями. Она также высоко оценивает проект в рамках позитивных действий, предусматривающий предоставление стипендий кандидатам для прохо</w:t>
      </w:r>
      <w:r>
        <w:t>ж</w:t>
      </w:r>
      <w:r>
        <w:t>дения вступительных экзаменов на дипломатич</w:t>
      </w:r>
      <w:r>
        <w:t>е</w:t>
      </w:r>
      <w:r>
        <w:t xml:space="preserve">скую службу (CEDAW/C/BRA/1–5, стр. 121).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10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Ахмад </w:t>
      </w:r>
      <w:r>
        <w:t>спрашивает, проводилось ли к</w:t>
      </w:r>
      <w:r>
        <w:t>а</w:t>
      </w:r>
      <w:r>
        <w:t>кое-либо общее обследование программы прав</w:t>
      </w:r>
      <w:r>
        <w:t>и</w:t>
      </w:r>
      <w:r>
        <w:t>тельства, имеющей целью содействие обеспечению образования для женщин в краткосрочной, средн</w:t>
      </w:r>
      <w:r>
        <w:t>е</w:t>
      </w:r>
      <w:r>
        <w:t>срочной или долгосрочной перспективах и какие учреждения отвечают за контроль за ходом ее ос</w:t>
      </w:r>
      <w:r>
        <w:t>у</w:t>
      </w:r>
      <w:r>
        <w:t>ществления. Ей было бы интересно узнать, учас</w:t>
      </w:r>
      <w:r>
        <w:t>т</w:t>
      </w:r>
      <w:r>
        <w:t>вует ли также государственный секретариат по пр</w:t>
      </w:r>
      <w:r>
        <w:t>а</w:t>
      </w:r>
      <w:r>
        <w:t>вам женщин в контроле за этим процессом. Оратор спрашивает, учитывается ли также гендерный а</w:t>
      </w:r>
      <w:r>
        <w:t>с</w:t>
      </w:r>
      <w:r>
        <w:t>пект, включенный в школьные учебники, в учебных планах педагогических учреждений и в учебных программах и академиях, предназначенных для подготовки полиции, прокуроров и судей, особенно поскольку, как представляется, существует столь много проблем, связанных с практическим осущ</w:t>
      </w:r>
      <w:r>
        <w:t>е</w:t>
      </w:r>
      <w:r>
        <w:t>ствлением законодательства. Она хотела бы пол</w:t>
      </w:r>
      <w:r>
        <w:t>у</w:t>
      </w:r>
      <w:r>
        <w:t>чить более подробную информацию об участии Г</w:t>
      </w:r>
      <w:r>
        <w:t>о</w:t>
      </w:r>
      <w:r>
        <w:t>сударственного секретариата по правам женщин в образовательной политике, реализуемой на мун</w:t>
      </w:r>
      <w:r>
        <w:t>и</w:t>
      </w:r>
      <w:r>
        <w:t>ципальном уровне. Даже если фактическое осущ</w:t>
      </w:r>
      <w:r>
        <w:t>е</w:t>
      </w:r>
      <w:r>
        <w:t>ствление политики входит в ведение штатов и м</w:t>
      </w:r>
      <w:r>
        <w:t>у</w:t>
      </w:r>
      <w:r>
        <w:t>ниципальных властей, тем не менее Государстве</w:t>
      </w:r>
      <w:r>
        <w:t>н</w:t>
      </w:r>
      <w:r>
        <w:t>ный секретариат по правам женщин призван играть свою роль в координации такого осуществл</w:t>
      </w:r>
      <w:r>
        <w:t>е</w:t>
      </w:r>
      <w:r>
        <w:t xml:space="preserve">ния. 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высоко оценивает ко</w:t>
      </w:r>
      <w:r>
        <w:t>н</w:t>
      </w:r>
      <w:r>
        <w:t>ституционные положения государства-участника, касающиеся прав материнства, хотя они и не всегда осуществляются на практике; фактическое отсутс</w:t>
      </w:r>
      <w:r>
        <w:t>т</w:t>
      </w:r>
      <w:r>
        <w:t>вие детских учреждений и неадекватная защита женщин, включая работающих сельских женщин, в условиях отсутствия гарантий занятости вызывают особую тревогу.</w:t>
      </w:r>
    </w:p>
    <w:p w:rsidR="00000000" w:rsidRDefault="00000000">
      <w:pPr>
        <w:pStyle w:val="DualTxt"/>
      </w:pPr>
      <w:r>
        <w:t>27.</w:t>
      </w:r>
      <w:r>
        <w:tab/>
        <w:t>Оратор выражает глубокое беспокойство по поводу положения женщин, занятых в качестве д</w:t>
      </w:r>
      <w:r>
        <w:t>о</w:t>
      </w:r>
      <w:r>
        <w:t>машней прислуги и составляющих 19 процентов от трудоспособного женского населения. Большинство из них работают без контракта и, по</w:t>
      </w:r>
      <w:r>
        <w:noBreakHyphen/>
        <w:t>видимому, лишь немногие из них получают заработную плату в предродовой и послеродовой период, которая должна выплачиваться согласно закону 8061 от 1994 года. Она интересуется, имеют ли те, которые работают без контракта, возможность пользоваться медицинскими льготами, такими, как медицинское страхование и оплачиваемый отпуск по болезни, и представляет ли собой использование труда очень молодых девушек, занятых домашней работой, де</w:t>
      </w:r>
      <w:r>
        <w:t>т</w:t>
      </w:r>
      <w:r>
        <w:t>ский труд. Делегация должна обсудить государс</w:t>
      </w:r>
      <w:r>
        <w:t>т</w:t>
      </w:r>
      <w:r>
        <w:t>венную политику, направленную на улучшение п</w:t>
      </w:r>
      <w:r>
        <w:t>о</w:t>
      </w:r>
      <w:r>
        <w:t>ложения д</w:t>
      </w:r>
      <w:r>
        <w:t>о</w:t>
      </w:r>
      <w:r>
        <w:t>машней прислуги.</w:t>
      </w:r>
    </w:p>
    <w:p w:rsidR="00000000" w:rsidRDefault="00000000">
      <w:pPr>
        <w:pStyle w:val="DualTxt"/>
      </w:pPr>
      <w:r>
        <w:t>28.</w:t>
      </w:r>
      <w:r>
        <w:tab/>
        <w:t>Оратор была бы также признательна за пр</w:t>
      </w:r>
      <w:r>
        <w:t>е</w:t>
      </w:r>
      <w:r>
        <w:t>доставление более подробной информации о реж</w:t>
      </w:r>
      <w:r>
        <w:t>и</w:t>
      </w:r>
      <w:r>
        <w:t>ме работы лиц, занятых неполный рабочий день, многие из которых составляют женщины (напр</w:t>
      </w:r>
      <w:r>
        <w:t>и</w:t>
      </w:r>
      <w:r>
        <w:t>мер, о политике в отношении окладов, пособий, о</w:t>
      </w:r>
      <w:r>
        <w:t>т</w:t>
      </w:r>
      <w:r>
        <w:t>пусков и увольнения), и каким образом гендерные и расовые факторы фигурируют в Программе ликв</w:t>
      </w:r>
      <w:r>
        <w:t>и</w:t>
      </w:r>
      <w:r>
        <w:t>дации дискриминации в связи с занятостью и в</w:t>
      </w:r>
      <w:r>
        <w:t>ы</w:t>
      </w:r>
      <w:r>
        <w:t>полнением работы. Была ли эта Программа успе</w:t>
      </w:r>
      <w:r>
        <w:t>ш</w:t>
      </w:r>
      <w:r>
        <w:t>ной?</w:t>
      </w:r>
    </w:p>
    <w:p w:rsidR="00000000" w:rsidRDefault="00000000">
      <w:pPr>
        <w:pStyle w:val="DualTxt"/>
      </w:pPr>
      <w:r>
        <w:t>29.</w:t>
      </w:r>
      <w:r>
        <w:tab/>
        <w:t>Разница в заработной плате между мужчинами и женщинами, по</w:t>
      </w:r>
      <w:r>
        <w:noBreakHyphen/>
        <w:t>видимому, не отражает дискр</w:t>
      </w:r>
      <w:r>
        <w:t>и</w:t>
      </w:r>
      <w:r>
        <w:t>минации в отношении равного труда с учетом ре</w:t>
      </w:r>
      <w:r>
        <w:t>з</w:t>
      </w:r>
      <w:r>
        <w:t>кого различия, проводимого между трудом мужч</w:t>
      </w:r>
      <w:r>
        <w:t>и</w:t>
      </w:r>
      <w:r>
        <w:t>ны и женщины. Равная оплата за труд сопоставимой стоимости, вероятно, является более соответс</w:t>
      </w:r>
      <w:r>
        <w:t>т</w:t>
      </w:r>
      <w:r>
        <w:t>вующим принципом в случае Бразилии. Рассматр</w:t>
      </w:r>
      <w:r>
        <w:t>и</w:t>
      </w:r>
      <w:r>
        <w:t>вали ли правительство, профсоюзы или женские а</w:t>
      </w:r>
      <w:r>
        <w:t>с</w:t>
      </w:r>
      <w:r>
        <w:t>социации этот вопрос? Было бы интересно узнать, добивались ли профсоюзы увеличения оплаты тр</w:t>
      </w:r>
      <w:r>
        <w:t>у</w:t>
      </w:r>
      <w:r>
        <w:t xml:space="preserve">да работающих женщин в рамках присущих им профессий. 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>, отмечая наличие закона 9029 от а</w:t>
      </w:r>
      <w:r>
        <w:t>п</w:t>
      </w:r>
      <w:r>
        <w:t>реля 1995 года, запрещающего дискриминацию в отношении работы, выражает обеспокоенность по поводу цифр, содержащихся в таблице 37 (стр. 153), и интересуется, имеется ли какое-либо конкретное законодательство по борьбе с дискриминационной практикой на основе пола, цвета кожи, расы или возраста. Она также обеспокоена тем, что большое число женщин, занятых в качестве домашней пр</w:t>
      </w:r>
      <w:r>
        <w:t>и</w:t>
      </w:r>
      <w:r>
        <w:t>слуги, работают в течение многих часов, и интер</w:t>
      </w:r>
      <w:r>
        <w:t>е</w:t>
      </w:r>
      <w:r>
        <w:t>суется, могут ли они пользоваться системой соц</w:t>
      </w:r>
      <w:r>
        <w:t>и</w:t>
      </w:r>
      <w:r>
        <w:t>ального страхования и другими пособиями, такими, как отпуск по беременности. Она просит, в частн</w:t>
      </w:r>
      <w:r>
        <w:t>о</w:t>
      </w:r>
      <w:r>
        <w:t>сти, представить статистические данные о цветных женщинах, работающих в качестве домашней пр</w:t>
      </w:r>
      <w:r>
        <w:t>и</w:t>
      </w:r>
      <w:r>
        <w:t>слуги, и интересуется, осуществляются ли для лиц, занятых в качестве домашней прислуги, программы обеспечения учебной подготовки и возможностей трудоустройства, включая схемы микрокредитов</w:t>
      </w:r>
      <w:r>
        <w:t>а</w:t>
      </w:r>
      <w:r>
        <w:t>ния, и в какой степени женщины небелого цвета кожи пользовались такими программами. В этом контексте оратор спрашивает, ратифицировала ли Бразилия или намерена ли она ратифицировать Конвенцию № 169 Международной организации труда о коренных и племенных народах в независ</w:t>
      </w:r>
      <w:r>
        <w:t>и</w:t>
      </w:r>
      <w:r>
        <w:t>мых странах. Женщины недостаточно представлены в государственном секторе, поэтому она спрашив</w:t>
      </w:r>
      <w:r>
        <w:t>а</w:t>
      </w:r>
      <w:r>
        <w:t>ет, существуют ли какие-либо механизмы контроля в целях обеспечения равноправия белого и цветного населения и препятствуют ли преобладающие в обществе социальные установки свободному выб</w:t>
      </w:r>
      <w:r>
        <w:t>о</w:t>
      </w:r>
      <w:r>
        <w:t>ру бразильскими женщинами своей пр</w:t>
      </w:r>
      <w:r>
        <w:t>о</w:t>
      </w:r>
      <w:r>
        <w:t>фессии.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 Феррер-Гомеш</w:t>
      </w:r>
      <w:r>
        <w:t xml:space="preserve"> просит представить и</w:t>
      </w:r>
      <w:r>
        <w:t>н</w:t>
      </w:r>
      <w:r>
        <w:t>формацию о конкретных мерах по расширению участия женщин на рынке труда. Она интересуется, каким образом скажутся на женщинах поправки к закону, которые позволяют заменять законодател</w:t>
      </w:r>
      <w:r>
        <w:t>ь</w:t>
      </w:r>
      <w:r>
        <w:t xml:space="preserve">ство заключенными в ходе переговоров трудовыми соглашениями, и, отмечая, что в некоторых случаях проявляется терпимость в отношении объявлений о работе, предоставляемой по половым признакам, просит дать разъяснение, каким образом женщины могут быть лишены возможности выполнять ту или иную работу.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Хан </w:t>
      </w:r>
      <w:r>
        <w:t>спрашивает, почему в Бразилии, е</w:t>
      </w:r>
      <w:r>
        <w:t>с</w:t>
      </w:r>
      <w:r>
        <w:t>ли в ней на деле действует модель здравоохранения, совместимая с принципами Конвенции, женщины по</w:t>
      </w:r>
      <w:r>
        <w:noBreakHyphen/>
        <w:t>прежнему вынуждены прибегать к небезопа</w:t>
      </w:r>
      <w:r>
        <w:t>с</w:t>
      </w:r>
      <w:r>
        <w:t>ным абортам. Она выражает обеспокоенность по поводу высокого коэффициента материнской смер</w:t>
      </w:r>
      <w:r>
        <w:t>т</w:t>
      </w:r>
      <w:r>
        <w:t>ности в целом и просит представить информацию о мерах, принимаемых по ее сокращению. Она также обеспокоена ссылкой на «отсутствие реверсивных контрацептивных методов» (стр. 166) и интересуе</w:t>
      </w:r>
      <w:r>
        <w:t>т</w:t>
      </w:r>
      <w:r>
        <w:t>ся, имеют ли женщины возможность пользоваться адекватными альтернативами в области планиров</w:t>
      </w:r>
      <w:r>
        <w:t>а</w:t>
      </w:r>
      <w:r>
        <w:t>ния семьи и сводится ли единственно доступный вариант к стерилизации. Наконец, она просит пре</w:t>
      </w:r>
      <w:r>
        <w:t>д</w:t>
      </w:r>
      <w:r>
        <w:t>ставить больше информации о распространении ВИЧ/СПИДа, в частности, среди таких уязвимых групп, как женщ</w:t>
      </w:r>
      <w:r>
        <w:t>и</w:t>
      </w:r>
      <w:r>
        <w:t>ны.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просит дать информ</w:t>
      </w:r>
      <w:r>
        <w:t>а</w:t>
      </w:r>
      <w:r>
        <w:t>цию о степени, в которой женщины имеют доступ к системе здравоохранения, о наличии конкретных программ, нацеленных на охрану здоровья женщин, и доле бюджета здравоохранения, выделяемой на их нужды. С учетом высокого коэффициента матери</w:t>
      </w:r>
      <w:r>
        <w:t>н</w:t>
      </w:r>
      <w:r>
        <w:t>ской смертности и заболеваемости она предлагает уделять в бюджете приоритетное внимание охране здоровья женщин в качестве временной или спец</w:t>
      </w:r>
      <w:r>
        <w:t>и</w:t>
      </w:r>
      <w:r>
        <w:t>альной меры, включая подготовку медицинских р</w:t>
      </w:r>
      <w:r>
        <w:t>а</w:t>
      </w:r>
      <w:r>
        <w:t>ботников, в целях охраны здоровья женщин в целом и их репродуктивного здоровья в частности с уд</w:t>
      </w:r>
      <w:r>
        <w:t>е</w:t>
      </w:r>
      <w:r>
        <w:t>лением особого внимания расширению доступа к медицинским услугам для женщин в сельских ра</w:t>
      </w:r>
      <w:r>
        <w:t>й</w:t>
      </w:r>
      <w:r>
        <w:t>онах.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br w:type="page"/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Шёпп-Шиллинг </w:t>
      </w:r>
      <w:r>
        <w:t>отмечает, что глава доклада о положении сельских женщин является довольно короткой, и просит представить статист</w:t>
      </w:r>
      <w:r>
        <w:t>и</w:t>
      </w:r>
      <w:r>
        <w:t>ческие данные о доле женщин, по</w:t>
      </w:r>
      <w:r>
        <w:noBreakHyphen/>
        <w:t>прежнему жив</w:t>
      </w:r>
      <w:r>
        <w:t>у</w:t>
      </w:r>
      <w:r>
        <w:t>щих в сельских районах, расовом составе сельского населения и доле населения, живущего в сельских районах в различных штатах. Что касается после</w:t>
      </w:r>
      <w:r>
        <w:t>д</w:t>
      </w:r>
      <w:r>
        <w:t>них, то она подчеркивает ответственность фед</w:t>
      </w:r>
      <w:r>
        <w:t>е</w:t>
      </w:r>
      <w:r>
        <w:t>рального правительства за обеспечение единоо</w:t>
      </w:r>
      <w:r>
        <w:t>б</w:t>
      </w:r>
      <w:r>
        <w:t>разного осуществления Конвенции по всей стране. Она отмечает, что усилия министерства по аграрной реформе с целью выделения 30 процентов средств для женщин, живущих в рамках семейных сельск</w:t>
      </w:r>
      <w:r>
        <w:t>о</w:t>
      </w:r>
      <w:r>
        <w:t>хозяйственных наделов, были не особенно успе</w:t>
      </w:r>
      <w:r>
        <w:t>ш</w:t>
      </w:r>
      <w:r>
        <w:t>ными, и интересуется, является ли традиционное отношение к женщинам в сельских районах одним из факторов, препятствующих улучшению их пол</w:t>
      </w:r>
      <w:r>
        <w:t>о</w:t>
      </w:r>
      <w:r>
        <w:t>жения. Следующий доклад государства-участника должен содержать более углубленный анализ пол</w:t>
      </w:r>
      <w:r>
        <w:t>о</w:t>
      </w:r>
      <w:r>
        <w:t>жения сельских же</w:t>
      </w:r>
      <w:r>
        <w:t>н</w:t>
      </w:r>
      <w:r>
        <w:t>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Гнакадья</w:t>
      </w:r>
      <w:r>
        <w:t xml:space="preserve"> с сожалением отмечает, что женщины по</w:t>
      </w:r>
      <w:r>
        <w:noBreakHyphen/>
        <w:t>прежнему не равны с мужчинами п</w:t>
      </w:r>
      <w:r>
        <w:t>е</w:t>
      </w:r>
      <w:r>
        <w:t>ред законом; судебное разбирательство, касающееся прав женщин, например в случаях, которые связаны с насилием в отношении женщин, зачастую являе</w:t>
      </w:r>
      <w:r>
        <w:t>т</w:t>
      </w:r>
      <w:r>
        <w:t>ся мучительно медленным. Она встревожена тем, что на последние федеральные законы, направле</w:t>
      </w:r>
      <w:r>
        <w:t>н</w:t>
      </w:r>
      <w:r>
        <w:t>ные на ликвидацию дискриминации в таких сферах, как семья, брак и насилие в отношении женщин, было наложено вето и что в Уголовный кодекс не были внесены поправки, что означает, что женщ</w:t>
      </w:r>
      <w:r>
        <w:t>и</w:t>
      </w:r>
      <w:r>
        <w:t>ны по</w:t>
      </w:r>
      <w:r>
        <w:noBreakHyphen/>
        <w:t>прежнему рассматриваются в качестве гра</w:t>
      </w:r>
      <w:r>
        <w:t>ж</w:t>
      </w:r>
      <w:r>
        <w:t xml:space="preserve">дан второго сорта, зависящих от мужчин. </w:t>
      </w:r>
    </w:p>
    <w:p w:rsidR="00000000" w:rsidRDefault="00000000">
      <w:pPr>
        <w:pStyle w:val="DualTxt"/>
      </w:pPr>
      <w:r>
        <w:t>36.</w:t>
      </w:r>
      <w:r>
        <w:tab/>
        <w:t>Медленные темпы юридической реформы в</w:t>
      </w:r>
      <w:r>
        <w:t>е</w:t>
      </w:r>
      <w:r>
        <w:t>дут к безнаказанности мужчин, которые совершают акты насилия в отношении женщин; она упоминает о деле Марии да Пенья, в которую в 1983 году стр</w:t>
      </w:r>
      <w:r>
        <w:t>е</w:t>
      </w:r>
      <w:r>
        <w:t>лял ее муж, в результате чего она осталась парал</w:t>
      </w:r>
      <w:r>
        <w:t>и</w:t>
      </w:r>
      <w:r>
        <w:t>зованной. Будучи осужден судом, он никогда не был взят под арест, а дело по</w:t>
      </w:r>
      <w:r>
        <w:noBreakHyphen/>
        <w:t>прежнему рассматривается в результате нескольких последовательных апелл</w:t>
      </w:r>
      <w:r>
        <w:t>я</w:t>
      </w:r>
      <w:r>
        <w:t>ций. В этом контексте неудивительно, что реформы, такие, как закон 9520 от 27 ноября 1997 года, пр</w:t>
      </w:r>
      <w:r>
        <w:t>е</w:t>
      </w:r>
      <w:r>
        <w:t>доставляющий женщинам право подавать иски или жалобы, имеют незначительное воздействие и что полицейские департаменты по делам защиты же</w:t>
      </w:r>
      <w:r>
        <w:t>н</w:t>
      </w:r>
      <w:r>
        <w:t>щин и специальные уголовные суды (стр. 41) явл</w:t>
      </w:r>
      <w:r>
        <w:t>я</w:t>
      </w:r>
      <w:r>
        <w:t>ются неэффективными. Судебные органы в решен</w:t>
      </w:r>
      <w:r>
        <w:t>и</w:t>
      </w:r>
      <w:r>
        <w:t>ях, касающихся преступлений против традиций, бытового насилия и семейных вопросов, зачастую отражают дискриминационное отношение к же</w:t>
      </w:r>
      <w:r>
        <w:t>н</w:t>
      </w:r>
      <w:r>
        <w:t>щинам. Необходимы согласованные действия в ц</w:t>
      </w:r>
      <w:r>
        <w:t>е</w:t>
      </w:r>
      <w:r>
        <w:t>лях повышения уровня осведомленности и просв</w:t>
      </w:r>
      <w:r>
        <w:t>е</w:t>
      </w:r>
      <w:r>
        <w:t>щения о правах женщин, а также внесение в Уг</w:t>
      </w:r>
      <w:r>
        <w:t>о</w:t>
      </w:r>
      <w:r>
        <w:t>ловный и Гражданский кодексы поправок в целях ликвидации положений, которые носят дискрим</w:t>
      </w:r>
      <w:r>
        <w:t>и</w:t>
      </w:r>
      <w:r>
        <w:t>национный характер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>жа Гаспар</w:t>
      </w:r>
      <w:r>
        <w:t>, ссылаясь на новые положения Гражданского кодекса, которые касаются брака, спрашивает, является ли установленный законом возраст вступления в брак для мальчиков и девочек разным; это было бы нарушением Конвенции.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 Флинтерман </w:t>
      </w:r>
      <w:r>
        <w:t>приветствует реформу Гр</w:t>
      </w:r>
      <w:r>
        <w:t>а</w:t>
      </w:r>
      <w:r>
        <w:t>жданского кодека, но говорит о сохранении в нем дискриминационных положений в отношении же</w:t>
      </w:r>
      <w:r>
        <w:t>н</w:t>
      </w:r>
      <w:r>
        <w:t>щин, например, в связи с установленным законом возрастом вступления в брак мальчиков и девочек и супружескими правами; правительство несет отве</w:t>
      </w:r>
      <w:r>
        <w:t>т</w:t>
      </w:r>
      <w:r>
        <w:t>ственность за приведение Гражданского кодекса в соответствие с Конвенцией.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Кваку</w:t>
      </w:r>
      <w:r>
        <w:t xml:space="preserve"> отмечает, что согласно докладу (стр. 197) судья может разрешить брак ребенка в возрасте менее 16 лет. В случаях, касающихся дев</w:t>
      </w:r>
      <w:r>
        <w:t>о</w:t>
      </w:r>
      <w:r>
        <w:t>чек, она интересуется, при каких обстоятельствах может быть выдано такое разрешение, сколько т</w:t>
      </w:r>
      <w:r>
        <w:t>а</w:t>
      </w:r>
      <w:r>
        <w:t>ких случаев имели место, каков был возраст самой молодой из таких девочек, каковы последствия бр</w:t>
      </w:r>
      <w:r>
        <w:t>а</w:t>
      </w:r>
      <w:r>
        <w:t>ка для здоровья девочек в таком молодом возрасте, какую социальную поддержку может получить д</w:t>
      </w:r>
      <w:r>
        <w:t>е</w:t>
      </w:r>
      <w:r>
        <w:t xml:space="preserve">вочка и каково будет ее положение с точки зрения образования. 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 Гонсалес Мартинес</w:t>
      </w:r>
      <w:r>
        <w:t>, хотя также приве</w:t>
      </w:r>
      <w:r>
        <w:t>т</w:t>
      </w:r>
      <w:r>
        <w:t>ствует реформу Гражданского кодекса, с сожален</w:t>
      </w:r>
      <w:r>
        <w:t>и</w:t>
      </w:r>
      <w:r>
        <w:t>ем отмечает, что она недостаточна для ликвидации стереотипов и дискриминации в отношении же</w:t>
      </w:r>
      <w:r>
        <w:t>н</w:t>
      </w:r>
      <w:r>
        <w:t>щин. Она интересуется, возможно ли внести допо</w:t>
      </w:r>
      <w:r>
        <w:t>л</w:t>
      </w:r>
      <w:r>
        <w:t>нительные поправки, например, в статью 1520, к</w:t>
      </w:r>
      <w:r>
        <w:t>о</w:t>
      </w:r>
      <w:r>
        <w:t>торая позволяет мужчинам, вступившим в половую связь с несовершеннолетней девочкой, избежать н</w:t>
      </w:r>
      <w:r>
        <w:t>а</w:t>
      </w:r>
      <w:r>
        <w:t>казания, женившись на ней, или в статью 1523, с</w:t>
      </w:r>
      <w:r>
        <w:t>о</w:t>
      </w:r>
      <w:r>
        <w:t>гласно которой разведенная женщина или вдова может повторно вступить в брак только по истеч</w:t>
      </w:r>
      <w:r>
        <w:t>е</w:t>
      </w:r>
      <w:r>
        <w:t>нии десяти месяцев. Уголовный кодекс должен быть также изменен в целях ликвидации понятия «чес</w:t>
      </w:r>
      <w:r>
        <w:t>т</w:t>
      </w:r>
      <w:r>
        <w:t>ной женщины» и применения двойных моральных норм в отношении мужчин и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 Бельмихуб-Зердани</w:t>
      </w:r>
      <w:r>
        <w:t>, касаясь реформы Гражданского кодекса, просит представить подро</w:t>
      </w:r>
      <w:r>
        <w:t>б</w:t>
      </w:r>
      <w:r>
        <w:t>ную информацию о правах и обязанностях мужчин и женщин в сферах наследования, имущественных прав после развода, попечения над ребенком и в</w:t>
      </w:r>
      <w:r>
        <w:t>ы</w:t>
      </w:r>
      <w:r>
        <w:t>платы алиментов. Она хотела бы также получить информацию о том, имеют ли женщины аналоги</w:t>
      </w:r>
      <w:r>
        <w:t>ч</w:t>
      </w:r>
      <w:r>
        <w:t>ные права с мужчинами с точки зрения приобрет</w:t>
      </w:r>
      <w:r>
        <w:t>е</w:t>
      </w:r>
      <w:r>
        <w:t>ния и использования имущества и, наконец, о л</w:t>
      </w:r>
      <w:r>
        <w:t>ю</w:t>
      </w:r>
      <w:r>
        <w:t>бых санкциях, которые могут налагаться на штаты, которые в нарушение Конституции не полностью осуществляют закон, защища</w:t>
      </w:r>
      <w:r>
        <w:t>ю</w:t>
      </w:r>
      <w:r>
        <w:t>щий права женщин.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 Паттен</w:t>
      </w:r>
      <w:r>
        <w:t xml:space="preserve"> с удовлетворением отмечает сн</w:t>
      </w:r>
      <w:r>
        <w:t>я</w:t>
      </w:r>
      <w:r>
        <w:t>тие государством-участником своей оговорки в о</w:t>
      </w:r>
      <w:r>
        <w:t>т</w:t>
      </w:r>
      <w:r>
        <w:t>ношении статьи 16 Конвенции. Она просит пре</w:t>
      </w:r>
      <w:r>
        <w:t>д</w:t>
      </w:r>
      <w:r>
        <w:t>ставить больше информации о процессе реформы Гражданского кодекса, который все еще содержит дискриминационные положения. Отмечая, что брак малолетних лиц в возрасте до 18 лет является н</w:t>
      </w:r>
      <w:r>
        <w:t>а</w:t>
      </w:r>
      <w:r>
        <w:t>рушением Конвенции о правах ребенка, она спр</w:t>
      </w:r>
      <w:r>
        <w:t>а</w:t>
      </w:r>
      <w:r>
        <w:t>шивает, ратифицировало ли государство-участник эту Конвенцию, и просит представить информацию с разбивкой по полу о браках малолетних лиц.</w:t>
      </w:r>
    </w:p>
    <w:p w:rsidR="00000000" w:rsidRDefault="00000000">
      <w:pPr>
        <w:pStyle w:val="DualTxt"/>
      </w:pPr>
      <w:r>
        <w:t>43.</w:t>
      </w:r>
      <w:r>
        <w:tab/>
        <w:t>Женщины зачастую являются жертвами дво</w:t>
      </w:r>
      <w:r>
        <w:t>й</w:t>
      </w:r>
      <w:r>
        <w:t>ной дискриминации по признаку пола и по расовой или этнической принадлежности, поэтому она спрашивает, устранит ли новый Гражданский к</w:t>
      </w:r>
      <w:r>
        <w:t>о</w:t>
      </w:r>
      <w:r>
        <w:t>декс эту дискриминацию. Она обеспокоена инде</w:t>
      </w:r>
      <w:r>
        <w:t>й</w:t>
      </w:r>
      <w:r>
        <w:t>ской традицией дачи приданого и интересуется, имели ли место случаи насилия в связи с приданым и предусмотрено ли в Уголовном кодексе наказание за такое насилие. Она также просит представить статистические данные о количестве насильстве</w:t>
      </w:r>
      <w:r>
        <w:t>н</w:t>
      </w:r>
      <w:r>
        <w:t>ных браков, в частности с участием индейских и африканских женщин. Было бы целесообразно п</w:t>
      </w:r>
      <w:r>
        <w:t>о</w:t>
      </w:r>
      <w:r>
        <w:t>лучить больше информации о насилии в отношении лиц, занятых в качестве домашней прислуги, о п</w:t>
      </w:r>
      <w:r>
        <w:t>о</w:t>
      </w:r>
      <w:r>
        <w:t>ложениях Гражданского кодекса, касающихся поп</w:t>
      </w:r>
      <w:r>
        <w:t>е</w:t>
      </w:r>
      <w:r>
        <w:t>чения над детьми и об отношении судебных орг</w:t>
      </w:r>
      <w:r>
        <w:t>а</w:t>
      </w:r>
      <w:r>
        <w:t>нов к в</w:t>
      </w:r>
      <w:r>
        <w:t>о</w:t>
      </w:r>
      <w:r>
        <w:t>просам попечения над детьми.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 Гнакадья</w:t>
      </w:r>
      <w:r>
        <w:t xml:space="preserve"> интересуется сопоставим</w:t>
      </w:r>
      <w:r>
        <w:t>о</w:t>
      </w:r>
      <w:r>
        <w:t>стью нынешнего законодательства, охраняющего права женщин, как оно изложено, например, на страницах 18</w:t>
      </w:r>
      <w:r>
        <w:noBreakHyphen/>
        <w:t>25 доклада, со статьей 16 Конвенции и их применимостью, в частности тех законов, на которые было наложено вето и которые касаются незаконных или не оформленных официально вза</w:t>
      </w:r>
      <w:r>
        <w:t>и</w:t>
      </w:r>
      <w:r>
        <w:t>моотношений и поддержки д</w:t>
      </w:r>
      <w:r>
        <w:t>е</w:t>
      </w:r>
      <w:r>
        <w:t>тей.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05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NO&gt;&gt;N0341497R&lt;&lt;ODS JOB NO&gt;&gt;</w:t>
      </w:r>
    </w:p>
    <w:p w:rsidR="00000000" w:rsidRDefault="00000000">
      <w:pPr>
        <w:pStyle w:val="CommentText"/>
      </w:pPr>
      <w:r>
        <w:t>&lt;&lt;ODS DOC SYMBOL1&gt;&gt;CEDAW/C/SR.611&lt;&lt;ODS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03-41497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*0341497*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CEDAW/C/SR.611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CEDAW/C/SR.611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/C/SR.611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6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4/02/2006 7:52::13"/>
    <w:docVar w:name="DocCategory" w:val="SROthers"/>
    <w:docVar w:name="DocType" w:val="Final"/>
    <w:docVar w:name="JobNo" w:val="0341497R"/>
    <w:docVar w:name="OandT" w:val=" "/>
    <w:docVar w:name="Symbol1" w:val="CEDAW/C/SR.611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4</Pages>
  <Words>4061</Words>
  <Characters>23150</Characters>
  <Application>Microsoft Office Word</Application>
  <DocSecurity>4</DocSecurity>
  <Lines>192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28429</CharactersWithSpaces>
  <SharedDoc>false</SharedDoc>
  <HLinks>
    <vt:vector size="6" baseType="variant">
      <vt:variant>
        <vt:i4>4522087</vt:i4>
      </vt:variant>
      <vt:variant>
        <vt:i4>57410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 Galitchskaia</dc:creator>
  <cp:keywords/>
  <dc:description/>
  <cp:lastModifiedBy>Irina Galitchskaia</cp:lastModifiedBy>
  <cp:revision>15</cp:revision>
  <cp:lastPrinted>2006-02-04T06:59:00Z</cp:lastPrinted>
  <dcterms:created xsi:type="dcterms:W3CDTF">2006-02-04T06:38:00Z</dcterms:created>
  <dcterms:modified xsi:type="dcterms:W3CDTF">2006-02-04T07:04:00Z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0341497</vt:lpwstr>
  </property>
  <property fmtid="{D5CDD505-2E9C-101B-9397-08002B2CF9AE}" pid="3" name="Symbol1">
    <vt:lpwstr>CEDAW/C/SR.611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Galitchskaia</vt:lpwstr>
  </property>
</Properties>
</file>