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494" w:rsidRDefault="008C2494" w:rsidP="008C2494">
      <w:pPr>
        <w:spacing w:line="60" w:lineRule="exact"/>
        <w:rPr>
          <w:rStyle w:val="a4"/>
          <w:color w:val="auto"/>
          <w:w w:val="100"/>
          <w:sz w:val="6"/>
          <w:vertAlign w:val="baseline"/>
        </w:rPr>
        <w:sectPr w:rsidR="008C2494" w:rsidSect="008C2494">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E15D2E" w:rsidRDefault="00E15D2E" w:rsidP="00E15D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人权事务委员会</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E15D2E" w:rsidRDefault="00E15D2E" w:rsidP="00E15D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color w:val="0000FF"/>
          <w:position w:val="6"/>
          <w:szCs w:val="28"/>
        </w:rPr>
      </w:pPr>
      <w:r>
        <w:tab/>
      </w:r>
      <w:r>
        <w:tab/>
      </w:r>
      <w:r>
        <w:rPr>
          <w:rFonts w:hint="eastAsia"/>
        </w:rPr>
        <w:t>关于加拿大第六次定期报告的结论性意见</w:t>
      </w:r>
      <w:r w:rsidRPr="00E15D2E">
        <w:rPr>
          <w:rStyle w:val="a3"/>
          <w:bCs/>
          <w:color w:val="0000FF"/>
          <w:position w:val="6"/>
          <w:sz w:val="21"/>
          <w:szCs w:val="28"/>
          <w:vertAlign w:val="baseline"/>
        </w:rPr>
        <w:footnoteReference w:customMarkFollows="1" w:id="1"/>
        <w:t>*</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rPr>
          <w:snapToGrid w:val="0"/>
        </w:rPr>
      </w:pPr>
      <w:r>
        <w:rPr>
          <w:rFonts w:hint="eastAsia"/>
          <w:snapToGrid w:val="0"/>
        </w:rPr>
        <w:t xml:space="preserve">1.  </w:t>
      </w:r>
      <w:r>
        <w:rPr>
          <w:rFonts w:hint="eastAsia"/>
          <w:snapToGrid w:val="0"/>
        </w:rPr>
        <w:t>委员会在</w:t>
      </w:r>
      <w:r>
        <w:rPr>
          <w:snapToGrid w:val="0"/>
        </w:rPr>
        <w:t>201</w:t>
      </w:r>
      <w:r>
        <w:rPr>
          <w:rFonts w:hint="eastAsia"/>
          <w:snapToGrid w:val="0"/>
        </w:rPr>
        <w:t>5</w:t>
      </w:r>
      <w:r>
        <w:rPr>
          <w:rFonts w:hint="eastAsia"/>
          <w:snapToGrid w:val="0"/>
        </w:rPr>
        <w:t>年</w:t>
      </w:r>
      <w:r>
        <w:rPr>
          <w:snapToGrid w:val="0"/>
        </w:rPr>
        <w:t>7</w:t>
      </w:r>
      <w:r>
        <w:rPr>
          <w:rFonts w:hint="eastAsia"/>
          <w:snapToGrid w:val="0"/>
        </w:rPr>
        <w:t>月</w:t>
      </w:r>
      <w:r>
        <w:rPr>
          <w:snapToGrid w:val="0"/>
        </w:rPr>
        <w:t>7</w:t>
      </w:r>
      <w:r>
        <w:rPr>
          <w:rFonts w:hint="eastAsia"/>
          <w:snapToGrid w:val="0"/>
        </w:rPr>
        <w:t>日和</w:t>
      </w:r>
      <w:r>
        <w:rPr>
          <w:snapToGrid w:val="0"/>
        </w:rPr>
        <w:t>8</w:t>
      </w:r>
      <w:r>
        <w:rPr>
          <w:rFonts w:hint="eastAsia"/>
          <w:snapToGrid w:val="0"/>
        </w:rPr>
        <w:t>日举行的第</w:t>
      </w:r>
      <w:r>
        <w:rPr>
          <w:snapToGrid w:val="0"/>
        </w:rPr>
        <w:t>3</w:t>
      </w:r>
      <w:r>
        <w:rPr>
          <w:rFonts w:hint="eastAsia"/>
          <w:snapToGrid w:val="0"/>
        </w:rPr>
        <w:t>176</w:t>
      </w:r>
      <w:r>
        <w:rPr>
          <w:rFonts w:hint="eastAsia"/>
          <w:snapToGrid w:val="0"/>
        </w:rPr>
        <w:t>次和</w:t>
      </w:r>
      <w:r w:rsidR="00A97A3A">
        <w:rPr>
          <w:rFonts w:hint="eastAsia"/>
          <w:snapToGrid w:val="0"/>
        </w:rPr>
        <w:t>第</w:t>
      </w:r>
      <w:r>
        <w:rPr>
          <w:snapToGrid w:val="0"/>
        </w:rPr>
        <w:t>3</w:t>
      </w:r>
      <w:r>
        <w:rPr>
          <w:rFonts w:hint="eastAsia"/>
          <w:snapToGrid w:val="0"/>
        </w:rPr>
        <w:t>177</w:t>
      </w:r>
      <w:r>
        <w:rPr>
          <w:rFonts w:hint="eastAsia"/>
          <w:snapToGrid w:val="0"/>
        </w:rPr>
        <w:t>次会议</w:t>
      </w:r>
      <w:r>
        <w:rPr>
          <w:snapToGrid w:val="0"/>
        </w:rPr>
        <w:t>(</w:t>
      </w:r>
      <w:r w:rsidRPr="00C85F28">
        <w:t>CCPR</w:t>
      </w:r>
      <w:r>
        <w:t>/C/SR.</w:t>
      </w:r>
      <w:r>
        <w:rPr>
          <w:rFonts w:hint="eastAsia"/>
        </w:rPr>
        <w:t xml:space="preserve"> </w:t>
      </w:r>
      <w:r>
        <w:t>3176</w:t>
      </w:r>
      <w:r>
        <w:rPr>
          <w:rFonts w:hint="eastAsia"/>
        </w:rPr>
        <w:t>和</w:t>
      </w:r>
      <w:r>
        <w:t>CCPR/C/SR.3177</w:t>
      </w:r>
      <w:r>
        <w:rPr>
          <w:snapToGrid w:val="0"/>
        </w:rPr>
        <w:t>)</w:t>
      </w:r>
      <w:r>
        <w:rPr>
          <w:rFonts w:hint="eastAsia"/>
          <w:snapToGrid w:val="0"/>
        </w:rPr>
        <w:t>上审议了加拿大提交的第六次定期报告</w:t>
      </w:r>
      <w:r>
        <w:rPr>
          <w:snapToGrid w:val="0"/>
        </w:rPr>
        <w:t>(</w:t>
      </w:r>
      <w:r w:rsidRPr="00C85F28">
        <w:t>CCPR/C</w:t>
      </w:r>
      <w:r>
        <w:t>/CAN/6</w:t>
      </w:r>
      <w:r>
        <w:rPr>
          <w:snapToGrid w:val="0"/>
        </w:rPr>
        <w:t>)</w:t>
      </w:r>
      <w:r>
        <w:rPr>
          <w:rFonts w:hint="eastAsia"/>
          <w:snapToGrid w:val="0"/>
        </w:rPr>
        <w:t>。在</w:t>
      </w:r>
      <w:r>
        <w:rPr>
          <w:snapToGrid w:val="0"/>
        </w:rPr>
        <w:t>201</w:t>
      </w:r>
      <w:r>
        <w:rPr>
          <w:rFonts w:hint="eastAsia"/>
          <w:snapToGrid w:val="0"/>
        </w:rPr>
        <w:t>5</w:t>
      </w:r>
      <w:r>
        <w:rPr>
          <w:rFonts w:hint="eastAsia"/>
          <w:snapToGrid w:val="0"/>
        </w:rPr>
        <w:t>年</w:t>
      </w:r>
      <w:r>
        <w:rPr>
          <w:snapToGrid w:val="0"/>
        </w:rPr>
        <w:t>7</w:t>
      </w:r>
      <w:r>
        <w:rPr>
          <w:rFonts w:hint="eastAsia"/>
          <w:snapToGrid w:val="0"/>
        </w:rPr>
        <w:t>月</w:t>
      </w:r>
      <w:r>
        <w:rPr>
          <w:snapToGrid w:val="0"/>
        </w:rPr>
        <w:t>2</w:t>
      </w:r>
      <w:r>
        <w:rPr>
          <w:rFonts w:hint="eastAsia"/>
          <w:snapToGrid w:val="0"/>
        </w:rPr>
        <w:t>0</w:t>
      </w:r>
      <w:r>
        <w:rPr>
          <w:rFonts w:hint="eastAsia"/>
          <w:snapToGrid w:val="0"/>
        </w:rPr>
        <w:t>日举行的第</w:t>
      </w:r>
      <w:r>
        <w:rPr>
          <w:snapToGrid w:val="0"/>
        </w:rPr>
        <w:t>3</w:t>
      </w:r>
      <w:r>
        <w:rPr>
          <w:rFonts w:hint="eastAsia"/>
          <w:snapToGrid w:val="0"/>
        </w:rPr>
        <w:t>1</w:t>
      </w:r>
      <w:r>
        <w:rPr>
          <w:snapToGrid w:val="0"/>
        </w:rPr>
        <w:t>9</w:t>
      </w:r>
      <w:r>
        <w:rPr>
          <w:rFonts w:hint="eastAsia"/>
          <w:snapToGrid w:val="0"/>
        </w:rPr>
        <w:t>2</w:t>
      </w:r>
      <w:r>
        <w:rPr>
          <w:rFonts w:hint="eastAsia"/>
          <w:snapToGrid w:val="0"/>
        </w:rPr>
        <w:t>次会议</w:t>
      </w:r>
      <w:r>
        <w:rPr>
          <w:snapToGrid w:val="0"/>
        </w:rPr>
        <w:t>(</w:t>
      </w:r>
      <w:r>
        <w:t>CCPR/C/SR.3192</w:t>
      </w:r>
      <w:r>
        <w:rPr>
          <w:snapToGrid w:val="0"/>
        </w:rPr>
        <w:t>)</w:t>
      </w:r>
      <w:r>
        <w:rPr>
          <w:rFonts w:hint="eastAsia"/>
          <w:snapToGrid w:val="0"/>
        </w:rPr>
        <w:t>上</w:t>
      </w:r>
      <w:r w:rsidR="00A97A3A">
        <w:rPr>
          <w:rFonts w:hint="eastAsia"/>
        </w:rPr>
        <w:t>，委员会</w:t>
      </w:r>
      <w:r>
        <w:rPr>
          <w:rFonts w:hint="eastAsia"/>
          <w:snapToGrid w:val="0"/>
        </w:rPr>
        <w:t>通过了以下结论性意见。</w:t>
      </w:r>
    </w:p>
    <w:p w:rsidR="00E15D2E" w:rsidRPr="00E15D2E" w:rsidRDefault="00E15D2E" w:rsidP="00E15D2E">
      <w:pPr>
        <w:pStyle w:val="SingleTxt"/>
        <w:spacing w:after="0" w:line="120" w:lineRule="exact"/>
        <w:rPr>
          <w:snapToGrid w:val="0"/>
          <w:sz w:val="10"/>
        </w:rPr>
      </w:pPr>
    </w:p>
    <w:p w:rsidR="00E15D2E" w:rsidRPr="00E15D2E" w:rsidRDefault="00E15D2E" w:rsidP="00E15D2E">
      <w:pPr>
        <w:pStyle w:val="SingleTxt"/>
        <w:spacing w:after="0" w:line="120" w:lineRule="exact"/>
        <w:rPr>
          <w:sz w:val="10"/>
        </w:rPr>
      </w:pPr>
    </w:p>
    <w:p w:rsidR="00E15D2E" w:rsidRDefault="00E15D2E" w:rsidP="00E15D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Pr="00E15D2E">
        <w:rPr>
          <w:rFonts w:ascii="Times New Roman"/>
        </w:rPr>
        <w:t>A.</w:t>
      </w:r>
      <w:r w:rsidRPr="00E15D2E">
        <w:rPr>
          <w:rFonts w:ascii="Times New Roman"/>
        </w:rPr>
        <w:tab/>
      </w:r>
      <w:r>
        <w:rPr>
          <w:rFonts w:hint="eastAsia"/>
        </w:rPr>
        <w:t>导言</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rPr>
          <w:snapToGrid w:val="0"/>
        </w:rPr>
      </w:pPr>
      <w:r>
        <w:rPr>
          <w:rFonts w:hint="eastAsia"/>
          <w:snapToGrid w:val="0"/>
        </w:rPr>
        <w:t xml:space="preserve">2.  </w:t>
      </w:r>
      <w:r>
        <w:rPr>
          <w:rFonts w:hint="eastAsia"/>
          <w:snapToGrid w:val="0"/>
        </w:rPr>
        <w:t>委员会欢迎加拿大提交第六次定期报告。委员会赞赏与缔约国高级别代表团就报告所涉期间为实施《公民权利和政治权利国际公约》条款所采取的措施进行的建设性对话。委员会感谢缔约国对问题清单的书面答复</w:t>
      </w:r>
      <w:r>
        <w:rPr>
          <w:snapToGrid w:val="0"/>
        </w:rPr>
        <w:t>(</w:t>
      </w:r>
      <w:r w:rsidRPr="00C85F28">
        <w:t>CCPR/C/CAN/Q/6/Add.1</w:t>
      </w:r>
      <w:r>
        <w:rPr>
          <w:snapToGrid w:val="0"/>
        </w:rPr>
        <w:t>)</w:t>
      </w:r>
      <w:r>
        <w:t>和代表团通过口头答复对书面答复作出的补充，还感谢缔约国提供了书面补充资料。</w:t>
      </w:r>
    </w:p>
    <w:p w:rsidR="00E15D2E" w:rsidRPr="00E15D2E" w:rsidRDefault="00E15D2E" w:rsidP="00E15D2E">
      <w:pPr>
        <w:pStyle w:val="SingleTxt"/>
        <w:spacing w:after="0" w:line="120" w:lineRule="exact"/>
        <w:rPr>
          <w:snapToGrid w:val="0"/>
          <w:sz w:val="10"/>
        </w:rPr>
      </w:pPr>
    </w:p>
    <w:p w:rsidR="00E15D2E" w:rsidRPr="00E15D2E" w:rsidRDefault="00E15D2E" w:rsidP="00E15D2E">
      <w:pPr>
        <w:pStyle w:val="SingleTxt"/>
        <w:spacing w:after="0" w:line="120" w:lineRule="exact"/>
        <w:rPr>
          <w:sz w:val="10"/>
        </w:rPr>
      </w:pPr>
    </w:p>
    <w:p w:rsidR="00E15D2E" w:rsidRDefault="00E15D2E" w:rsidP="00E15D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Pr="00E15D2E">
        <w:rPr>
          <w:rFonts w:ascii="Times New Roman"/>
        </w:rPr>
        <w:t>B.</w:t>
      </w:r>
      <w:r w:rsidRPr="00651075">
        <w:tab/>
      </w:r>
      <w:r>
        <w:rPr>
          <w:rFonts w:hint="eastAsia"/>
        </w:rPr>
        <w:t>积极方面</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3.  </w:t>
      </w:r>
      <w:r>
        <w:t>委员会欢迎缔约国采取的下列立法和体制</w:t>
      </w:r>
      <w:r>
        <w:rPr>
          <w:rFonts w:hint="eastAsia"/>
        </w:rPr>
        <w:t>措施</w:t>
      </w:r>
      <w:r>
        <w:t>：</w:t>
      </w:r>
    </w:p>
    <w:p w:rsidR="00E15D2E" w:rsidRDefault="00E15D2E" w:rsidP="00E15D2E">
      <w:pPr>
        <w:pStyle w:val="SingleTxt"/>
      </w:pPr>
      <w:r>
        <w:tab/>
        <w:t>(a)</w:t>
      </w:r>
      <w:r>
        <w:tab/>
        <w:t>201</w:t>
      </w:r>
      <w:r>
        <w:rPr>
          <w:rFonts w:hint="eastAsia"/>
        </w:rPr>
        <w:t>0</w:t>
      </w:r>
      <w:r>
        <w:t>年</w:t>
      </w:r>
      <w:r w:rsidR="00A97A3A">
        <w:rPr>
          <w:rFonts w:hint="eastAsia"/>
        </w:rPr>
        <w:t>，</w:t>
      </w:r>
      <w:r w:rsidRPr="00F273DA">
        <w:rPr>
          <w:rFonts w:hint="eastAsia"/>
        </w:rPr>
        <w:t>纽芬兰与拉布拉多省</w:t>
      </w:r>
      <w:r>
        <w:t>通过</w:t>
      </w:r>
      <w:r w:rsidR="00A97A3A">
        <w:rPr>
          <w:rFonts w:hint="eastAsia"/>
        </w:rPr>
        <w:t>了</w:t>
      </w:r>
      <w:r>
        <w:t>《</w:t>
      </w:r>
      <w:r>
        <w:rPr>
          <w:rFonts w:hint="eastAsia"/>
        </w:rPr>
        <w:t>人权</w:t>
      </w:r>
      <w:r>
        <w:t>法</w:t>
      </w:r>
      <w:r>
        <w:rPr>
          <w:rFonts w:hint="eastAsia"/>
        </w:rPr>
        <w:t>案</w:t>
      </w:r>
      <w:r>
        <w:t>》</w:t>
      </w:r>
    </w:p>
    <w:p w:rsidR="00E15D2E" w:rsidRDefault="00E15D2E" w:rsidP="00E15D2E">
      <w:pPr>
        <w:pStyle w:val="SingleTxt"/>
      </w:pPr>
      <w:r>
        <w:tab/>
        <w:t>(b)</w:t>
      </w:r>
      <w:r>
        <w:tab/>
      </w:r>
      <w:r>
        <w:rPr>
          <w:rFonts w:hint="eastAsia"/>
        </w:rPr>
        <w:t>2008</w:t>
      </w:r>
      <w:r>
        <w:rPr>
          <w:rFonts w:hint="eastAsia"/>
        </w:rPr>
        <w:t>年</w:t>
      </w:r>
      <w:r w:rsidR="00A97A3A">
        <w:rPr>
          <w:rFonts w:hint="eastAsia"/>
        </w:rPr>
        <w:t>，</w:t>
      </w:r>
      <w:r>
        <w:rPr>
          <w:rFonts w:hint="eastAsia"/>
        </w:rPr>
        <w:t>爱德华王子岛省通过</w:t>
      </w:r>
      <w:r w:rsidR="00A97A3A">
        <w:rPr>
          <w:rFonts w:hint="eastAsia"/>
        </w:rPr>
        <w:t>了</w:t>
      </w:r>
      <w:r>
        <w:rPr>
          <w:rFonts w:hint="eastAsia"/>
        </w:rPr>
        <w:t>《</w:t>
      </w:r>
      <w:r w:rsidRPr="00427858">
        <w:rPr>
          <w:rFonts w:hint="eastAsia"/>
        </w:rPr>
        <w:t>家庭关系法</w:t>
      </w:r>
      <w:r>
        <w:rPr>
          <w:rFonts w:hint="eastAsia"/>
        </w:rPr>
        <w:t>》，使同性婚姻合法化；</w:t>
      </w:r>
    </w:p>
    <w:p w:rsidR="00E15D2E" w:rsidRPr="00954C62" w:rsidRDefault="00E15D2E" w:rsidP="00E15D2E">
      <w:pPr>
        <w:pStyle w:val="SingleTxt"/>
        <w:rPr>
          <w:bCs/>
        </w:rPr>
      </w:pPr>
      <w:r>
        <w:tab/>
        <w:t>(</w:t>
      </w:r>
      <w:r w:rsidRPr="00C85F28">
        <w:t>c</w:t>
      </w:r>
      <w:r>
        <w:t>)</w:t>
      </w:r>
      <w:r w:rsidRPr="00C85F28">
        <w:tab/>
      </w:r>
      <w:r>
        <w:t>安大略省</w:t>
      </w:r>
      <w:r>
        <w:rPr>
          <w:rFonts w:hint="eastAsia"/>
        </w:rPr>
        <w:t>改革</w:t>
      </w:r>
      <w:r w:rsidR="00A97A3A">
        <w:rPr>
          <w:rFonts w:hint="eastAsia"/>
        </w:rPr>
        <w:t>了</w:t>
      </w:r>
      <w:r w:rsidR="00A97A3A">
        <w:t>人权</w:t>
      </w:r>
      <w:r w:rsidR="00A97A3A">
        <w:rPr>
          <w:rFonts w:hint="eastAsia"/>
        </w:rPr>
        <w:t>制度</w:t>
      </w:r>
      <w:r>
        <w:rPr>
          <w:rFonts w:hint="eastAsia"/>
        </w:rPr>
        <w:t>，</w:t>
      </w:r>
      <w:r>
        <w:t>允许</w:t>
      </w:r>
      <w:r>
        <w:rPr>
          <w:rFonts w:hint="eastAsia"/>
        </w:rPr>
        <w:t>向</w:t>
      </w:r>
      <w:r>
        <w:t>安大略省人权法庭直接</w:t>
      </w:r>
      <w:r>
        <w:rPr>
          <w:rFonts w:hint="eastAsia"/>
        </w:rPr>
        <w:t>申诉。</w:t>
      </w:r>
    </w:p>
    <w:p w:rsidR="00E15D2E" w:rsidRDefault="00E15D2E" w:rsidP="00E15D2E">
      <w:pPr>
        <w:pStyle w:val="SingleTxt"/>
      </w:pPr>
      <w:r>
        <w:rPr>
          <w:rFonts w:hint="eastAsia"/>
        </w:rPr>
        <w:t xml:space="preserve">4.  </w:t>
      </w:r>
      <w:r>
        <w:t>委员会欢迎</w:t>
      </w:r>
      <w:r>
        <w:rPr>
          <w:rFonts w:hint="eastAsia"/>
        </w:rPr>
        <w:t>缔约国在</w:t>
      </w:r>
      <w:r>
        <w:t>2010</w:t>
      </w:r>
      <w:r>
        <w:t>年</w:t>
      </w:r>
      <w:r>
        <w:t>3</w:t>
      </w:r>
      <w:r>
        <w:t>月</w:t>
      </w:r>
      <w:r>
        <w:t>11</w:t>
      </w:r>
      <w:r>
        <w:t>日批准</w:t>
      </w:r>
      <w:r>
        <w:rPr>
          <w:rFonts w:hint="eastAsia"/>
        </w:rPr>
        <w:t>了</w:t>
      </w:r>
      <w:r>
        <w:t>《残疾人权利公约》</w:t>
      </w:r>
      <w:r>
        <w:rPr>
          <w:rFonts w:hint="eastAsia"/>
        </w:rPr>
        <w:t>。</w:t>
      </w:r>
    </w:p>
    <w:p w:rsidR="00E15D2E" w:rsidRDefault="00E15D2E">
      <w:pPr>
        <w:spacing w:line="240" w:lineRule="auto"/>
        <w:jc w:val="left"/>
      </w:pPr>
      <w:r>
        <w:br w:type="page"/>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rPr>
      </w:pPr>
      <w:r>
        <w:tab/>
      </w:r>
      <w:r w:rsidRPr="00E15D2E">
        <w:rPr>
          <w:rFonts w:ascii="Times New Roman"/>
        </w:rPr>
        <w:t>C.</w:t>
      </w:r>
      <w:r w:rsidRPr="00E15D2E">
        <w:rPr>
          <w:rFonts w:ascii="Times New Roman"/>
        </w:rPr>
        <w:tab/>
      </w:r>
      <w:r w:rsidRPr="00E15D2E">
        <w:rPr>
          <w:rFonts w:ascii="Times New Roman"/>
          <w:snapToGrid w:val="0"/>
        </w:rPr>
        <w:t>主要</w:t>
      </w:r>
      <w:r>
        <w:rPr>
          <w:rFonts w:hint="eastAsia"/>
          <w:snapToGrid w:val="0"/>
        </w:rPr>
        <w:t>关注问题和建议</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190EC7">
        <w:rPr>
          <w:rFonts w:hint="eastAsia"/>
        </w:rPr>
        <w:t>根据《任择议定书》提出的意见</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954C62" w:rsidRDefault="00E15D2E" w:rsidP="00A97A3A">
      <w:pPr>
        <w:pStyle w:val="SingleTxt"/>
      </w:pPr>
      <w:r>
        <w:rPr>
          <w:rFonts w:hint="eastAsia"/>
        </w:rPr>
        <w:t xml:space="preserve">5.  </w:t>
      </w:r>
      <w:r>
        <w:rPr>
          <w:rFonts w:hint="eastAsia"/>
        </w:rPr>
        <w:t>委员会关切的是，缔约国不愿遵循委员会依据《公约》和《</w:t>
      </w:r>
      <w:r>
        <w:t>公民权利和政治权利国际公约任择议定书</w:t>
      </w:r>
      <w:r>
        <w:rPr>
          <w:rFonts w:hint="eastAsia"/>
        </w:rPr>
        <w:t>》</w:t>
      </w:r>
      <w:r>
        <w:rPr>
          <w:rFonts w:hint="eastAsia"/>
        </w:rPr>
        <w:t>(</w:t>
      </w:r>
      <w:r>
        <w:t>第一项任择议定书</w:t>
      </w:r>
      <w:r>
        <w:rPr>
          <w:rFonts w:hint="eastAsia"/>
        </w:rPr>
        <w:t>)</w:t>
      </w:r>
      <w:r>
        <w:rPr>
          <w:rFonts w:hint="eastAsia"/>
        </w:rPr>
        <w:t>提出的所有意见和临时措施，尤其是与重新启动人道</w:t>
      </w:r>
      <w:r w:rsidR="00A97A3A">
        <w:rPr>
          <w:rFonts w:hint="eastAsia"/>
        </w:rPr>
        <w:t>与恩恤</w:t>
      </w:r>
      <w:r>
        <w:rPr>
          <w:rFonts w:hint="eastAsia"/>
        </w:rPr>
        <w:t>申请相关的建议。委员会感到遗憾的是，缔约国缺乏适当机制来执行委员会的意见，主要为受害人提供有效补救措施</w:t>
      </w:r>
      <w:r>
        <w:rPr>
          <w:rFonts w:hint="eastAsia"/>
        </w:rPr>
        <w:t>(</w:t>
      </w:r>
      <w:r>
        <w:rPr>
          <w:rFonts w:hint="eastAsia"/>
        </w:rPr>
        <w:t>第二条</w:t>
      </w:r>
      <w:r>
        <w:rPr>
          <w:rFonts w:hint="eastAsia"/>
        </w:rPr>
        <w:t>)</w:t>
      </w:r>
      <w:r>
        <w:rPr>
          <w:rFonts w:hint="eastAsia"/>
        </w:rPr>
        <w:t>。</w:t>
      </w:r>
    </w:p>
    <w:p w:rsidR="00E15D2E" w:rsidRPr="00E15D2E" w:rsidRDefault="00E15D2E" w:rsidP="00E15D2E">
      <w:pPr>
        <w:pStyle w:val="SingleTxt"/>
        <w:rPr>
          <w:rFonts w:eastAsia="黑体"/>
          <w:bCs/>
        </w:rPr>
      </w:pPr>
      <w:r w:rsidRPr="00E15D2E">
        <w:rPr>
          <w:rFonts w:eastAsia="黑体"/>
          <w:bCs/>
        </w:rPr>
        <w:tab/>
      </w:r>
      <w:r w:rsidRPr="00E15D2E">
        <w:rPr>
          <w:rFonts w:eastAsia="黑体"/>
          <w:bCs/>
        </w:rPr>
        <w:t>缔约国应重新考虑其涉及委员会根据《第一项任择议定书》通过的意见和临时措施的立场。缔约国应采取一切必要措施设立机制和适当程序，全面落实委员会的意见，在发生违反《公约》的情况时保证提供有效的补救措施。委员会提请缔约国注意其第</w:t>
      </w:r>
      <w:r w:rsidRPr="00E15D2E">
        <w:rPr>
          <w:rFonts w:eastAsia="黑体"/>
          <w:bCs/>
        </w:rPr>
        <w:t>33</w:t>
      </w:r>
      <w:r w:rsidRPr="00E15D2E">
        <w:rPr>
          <w:rFonts w:eastAsia="黑体"/>
          <w:bCs/>
        </w:rPr>
        <w:t>号一般性意见</w:t>
      </w:r>
      <w:r w:rsidRPr="00E15D2E">
        <w:rPr>
          <w:rFonts w:eastAsia="黑体"/>
          <w:bCs/>
        </w:rPr>
        <w:t>(2009</w:t>
      </w:r>
      <w:r w:rsidRPr="00E15D2E">
        <w:rPr>
          <w:rFonts w:eastAsia="黑体"/>
          <w:bCs/>
        </w:rPr>
        <w:t>年</w:t>
      </w:r>
      <w:r w:rsidRPr="00E15D2E">
        <w:rPr>
          <w:rFonts w:eastAsia="黑体"/>
          <w:bCs/>
        </w:rPr>
        <w:t>)</w:t>
      </w:r>
      <w:r w:rsidRPr="00E15D2E">
        <w:rPr>
          <w:rFonts w:eastAsia="黑体"/>
          <w:bCs/>
        </w:rPr>
        <w:t>。</w:t>
      </w:r>
    </w:p>
    <w:p w:rsidR="00E15D2E" w:rsidRPr="00E15D2E" w:rsidRDefault="00E15D2E" w:rsidP="00E15D2E">
      <w:pPr>
        <w:pStyle w:val="SingleTxt"/>
        <w:spacing w:after="0" w:line="120" w:lineRule="exact"/>
        <w:rPr>
          <w:bCs/>
          <w:sz w:val="10"/>
        </w:rPr>
      </w:pPr>
    </w:p>
    <w:p w:rsidR="00E15D2E" w:rsidRPr="00E15D2E" w:rsidRDefault="00E15D2E" w:rsidP="00E15D2E">
      <w:pPr>
        <w:pStyle w:val="SingleTxt"/>
        <w:spacing w:after="0" w:line="120" w:lineRule="exact"/>
        <w:rPr>
          <w:bCs/>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工商企业与人权</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A97A3A">
      <w:pPr>
        <w:pStyle w:val="SingleTxt"/>
      </w:pPr>
      <w:r>
        <w:rPr>
          <w:rFonts w:hint="eastAsia"/>
        </w:rPr>
        <w:t xml:space="preserve">6.  </w:t>
      </w:r>
      <w:r>
        <w:rPr>
          <w:rFonts w:hint="eastAsia"/>
        </w:rPr>
        <w:t>虽然委员会赞赏缔约国提供的资料，但委员会感到关切的是，有指控称在国外运营的加拿大企业</w:t>
      </w:r>
      <w:r>
        <w:rPr>
          <w:rFonts w:hint="eastAsia"/>
        </w:rPr>
        <w:t>(</w:t>
      </w:r>
      <w:r>
        <w:rPr>
          <w:rFonts w:hint="eastAsia"/>
        </w:rPr>
        <w:t>尤其是矿业企业</w:t>
      </w:r>
      <w:r>
        <w:rPr>
          <w:rFonts w:hint="eastAsia"/>
        </w:rPr>
        <w:t>)</w:t>
      </w:r>
      <w:r>
        <w:rPr>
          <w:rFonts w:hint="eastAsia"/>
        </w:rPr>
        <w:t>侵犯人权，而且此等</w:t>
      </w:r>
      <w:r>
        <w:t>侵</w:t>
      </w:r>
      <w:r w:rsidR="00A97A3A">
        <w:rPr>
          <w:rFonts w:hint="eastAsia"/>
        </w:rPr>
        <w:t>权</w:t>
      </w:r>
      <w:r>
        <w:rPr>
          <w:rFonts w:hint="eastAsia"/>
        </w:rPr>
        <w:t>行为</w:t>
      </w:r>
      <w:r>
        <w:t>的受害者</w:t>
      </w:r>
      <w:r>
        <w:rPr>
          <w:rFonts w:hint="eastAsia"/>
        </w:rPr>
        <w:t>无法获得补偿</w:t>
      </w:r>
      <w:r>
        <w:t>。委员会</w:t>
      </w:r>
      <w:r>
        <w:rPr>
          <w:rFonts w:hint="eastAsia"/>
        </w:rPr>
        <w:t>感到</w:t>
      </w:r>
      <w:r>
        <w:t>遗憾</w:t>
      </w:r>
      <w:r>
        <w:rPr>
          <w:rFonts w:hint="eastAsia"/>
        </w:rPr>
        <w:t>的是，</w:t>
      </w:r>
      <w:r w:rsidRPr="00772146">
        <w:rPr>
          <w:rFonts w:hint="eastAsia"/>
        </w:rPr>
        <w:t>缔约国</w:t>
      </w:r>
      <w:r w:rsidRPr="00772146">
        <w:t>缺乏有效独立的</w:t>
      </w:r>
      <w:r w:rsidRPr="00772146">
        <w:rPr>
          <w:rFonts w:hint="eastAsia"/>
        </w:rPr>
        <w:t>机制，此机制应</w:t>
      </w:r>
      <w:r w:rsidRPr="00772146">
        <w:t>有权</w:t>
      </w:r>
      <w:r w:rsidRPr="00772146">
        <w:rPr>
          <w:rFonts w:hint="eastAsia"/>
        </w:rPr>
        <w:t>调查指称此等企业侵犯人权并对受害者人权的享有产生不利影响的申诉，缔约国也缺乏推动此等申诉的法律框架</w:t>
      </w:r>
      <w:r w:rsidRPr="00772146">
        <w:t>(</w:t>
      </w:r>
      <w:r w:rsidRPr="00772146">
        <w:rPr>
          <w:rFonts w:hint="eastAsia"/>
        </w:rPr>
        <w:t>第二条</w:t>
      </w:r>
      <w:r w:rsidRPr="00772146">
        <w:t>)</w:t>
      </w:r>
      <w:r w:rsidRPr="00772146">
        <w:t>。</w:t>
      </w:r>
    </w:p>
    <w:p w:rsidR="00E15D2E" w:rsidRPr="00E15D2E" w:rsidRDefault="00E15D2E" w:rsidP="00E15D2E">
      <w:pPr>
        <w:pStyle w:val="SingleTxt"/>
        <w:rPr>
          <w:rFonts w:eastAsia="黑体"/>
          <w:bCs/>
        </w:rPr>
      </w:pPr>
      <w:r>
        <w:rPr>
          <w:rFonts w:ascii="黑体" w:eastAsia="黑体" w:hAnsi="黑体"/>
          <w:bCs/>
        </w:rPr>
        <w:tab/>
      </w:r>
      <w:r w:rsidRPr="00E15D2E">
        <w:rPr>
          <w:rFonts w:eastAsia="黑体"/>
          <w:bCs/>
        </w:rPr>
        <w:t>缔约国应</w:t>
      </w:r>
      <w:r w:rsidR="00A97A3A">
        <w:rPr>
          <w:rFonts w:eastAsia="黑体" w:hint="eastAsia"/>
          <w:bCs/>
        </w:rPr>
        <w:t xml:space="preserve">: </w:t>
      </w:r>
      <w:r w:rsidRPr="00E15D2E">
        <w:rPr>
          <w:rFonts w:eastAsia="黑体"/>
          <w:bCs/>
        </w:rPr>
        <w:t xml:space="preserve">(a) </w:t>
      </w:r>
      <w:r w:rsidRPr="00E15D2E">
        <w:rPr>
          <w:rFonts w:eastAsia="黑体"/>
          <w:bCs/>
        </w:rPr>
        <w:t>加强现有机制的有效性，确保在其管辖范围内的所有加拿大企业</w:t>
      </w:r>
      <w:r w:rsidRPr="00E15D2E">
        <w:rPr>
          <w:rFonts w:eastAsia="黑体"/>
          <w:bCs/>
        </w:rPr>
        <w:t>(</w:t>
      </w:r>
      <w:r w:rsidRPr="00E15D2E">
        <w:rPr>
          <w:rFonts w:eastAsia="黑体"/>
          <w:bCs/>
        </w:rPr>
        <w:t>尤其是矿业企业</w:t>
      </w:r>
      <w:r w:rsidRPr="00E15D2E">
        <w:rPr>
          <w:rFonts w:eastAsia="黑体"/>
          <w:bCs/>
        </w:rPr>
        <w:t>)</w:t>
      </w:r>
      <w:r w:rsidRPr="00E15D2E">
        <w:rPr>
          <w:rFonts w:eastAsia="黑体"/>
          <w:bCs/>
        </w:rPr>
        <w:t>在国外运营时尊重人权标准；</w:t>
      </w:r>
      <w:r w:rsidRPr="00E15D2E">
        <w:rPr>
          <w:rFonts w:eastAsia="黑体"/>
          <w:bCs/>
        </w:rPr>
        <w:t xml:space="preserve">(b) </w:t>
      </w:r>
      <w:r w:rsidRPr="00E15D2E">
        <w:rPr>
          <w:rFonts w:eastAsia="黑体"/>
          <w:bCs/>
        </w:rPr>
        <w:t>考虑建立独立的机制，并使该机制有权调查此等国外运营企业侵犯人权的行为；以及</w:t>
      </w:r>
      <w:r w:rsidRPr="00E15D2E">
        <w:rPr>
          <w:rFonts w:eastAsia="黑体"/>
          <w:bCs/>
        </w:rPr>
        <w:t xml:space="preserve">(c) </w:t>
      </w:r>
      <w:r w:rsidRPr="00E15D2E">
        <w:rPr>
          <w:rFonts w:eastAsia="黑体"/>
          <w:bCs/>
        </w:rPr>
        <w:t>制定法律框架，为此等国外运营</w:t>
      </w:r>
      <w:r w:rsidR="00A97A3A">
        <w:rPr>
          <w:rFonts w:eastAsia="黑体"/>
          <w:bCs/>
        </w:rPr>
        <w:t>企业的侵</w:t>
      </w:r>
      <w:r w:rsidR="00A97A3A">
        <w:rPr>
          <w:rFonts w:eastAsia="黑体" w:hint="eastAsia"/>
          <w:bCs/>
        </w:rPr>
        <w:t>权</w:t>
      </w:r>
      <w:r w:rsidRPr="00E15D2E">
        <w:rPr>
          <w:rFonts w:eastAsia="黑体"/>
          <w:bCs/>
        </w:rPr>
        <w:t>行为的受害者提供法律补偿。</w:t>
      </w:r>
    </w:p>
    <w:p w:rsidR="00E15D2E" w:rsidRPr="00E15D2E" w:rsidRDefault="00E15D2E" w:rsidP="00E15D2E">
      <w:pPr>
        <w:pStyle w:val="SingleTxt"/>
        <w:spacing w:after="0" w:line="120" w:lineRule="exact"/>
        <w:rPr>
          <w:rFonts w:ascii="黑体" w:eastAsia="黑体" w:hAnsi="黑体"/>
          <w:bCs/>
          <w:sz w:val="10"/>
        </w:rPr>
      </w:pPr>
    </w:p>
    <w:p w:rsidR="00E15D2E" w:rsidRPr="00E15D2E" w:rsidRDefault="00E15D2E" w:rsidP="00E15D2E">
      <w:pPr>
        <w:pStyle w:val="SingleTxt"/>
        <w:spacing w:after="0" w:line="120" w:lineRule="exact"/>
        <w:rPr>
          <w:rFonts w:ascii="黑体" w:eastAsia="黑体" w:hAnsi="黑体"/>
          <w:bCs/>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性别平等</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954C62" w:rsidRDefault="00E15D2E" w:rsidP="00E15D2E">
      <w:pPr>
        <w:pStyle w:val="SingleTxt"/>
      </w:pPr>
      <w:r w:rsidRPr="00E15D2E">
        <w:rPr>
          <w:rFonts w:hint="eastAsia"/>
          <w:spacing w:val="2"/>
        </w:rPr>
        <w:t xml:space="preserve">7.  </w:t>
      </w:r>
      <w:r w:rsidRPr="00E15D2E">
        <w:rPr>
          <w:rFonts w:hint="eastAsia"/>
          <w:spacing w:val="2"/>
        </w:rPr>
        <w:t>委员会对长期存在的男女不平等现象表示关切。委员会尤其关切以下问题：</w:t>
      </w:r>
      <w:r w:rsidRPr="00E15D2E">
        <w:rPr>
          <w:rFonts w:hint="eastAsia"/>
          <w:spacing w:val="2"/>
        </w:rPr>
        <w:t xml:space="preserve">(a) </w:t>
      </w:r>
      <w:r>
        <w:rPr>
          <w:rFonts w:hint="eastAsia"/>
        </w:rPr>
        <w:t>薪酬差距大，在艾伯塔和</w:t>
      </w:r>
      <w:r>
        <w:t>新斯科舍</w:t>
      </w:r>
      <w:r>
        <w:rPr>
          <w:rFonts w:hint="eastAsia"/>
        </w:rPr>
        <w:t>等省尤其突出，而且对低收入妇女产生极大的影响，尤其是少数族裔和土著妇女；</w:t>
      </w:r>
      <w:r>
        <w:rPr>
          <w:rFonts w:hint="eastAsia"/>
        </w:rPr>
        <w:t xml:space="preserve">(b) </w:t>
      </w:r>
      <w:r w:rsidR="00A97A3A">
        <w:rPr>
          <w:rFonts w:hint="eastAsia"/>
        </w:rPr>
        <w:t>在联邦、省</w:t>
      </w:r>
      <w:r>
        <w:rPr>
          <w:rFonts w:hint="eastAsia"/>
        </w:rPr>
        <w:t>和地区层面关于同工同酬的</w:t>
      </w:r>
      <w:r w:rsidRPr="0001370B">
        <w:rPr>
          <w:rFonts w:hint="eastAsia"/>
          <w:spacing w:val="-2"/>
        </w:rPr>
        <w:t>法律不一致，公共和私营部门也不一致，甚至在某些省份根本没有这样的法律；</w:t>
      </w:r>
      <w:r w:rsidRPr="0001370B">
        <w:rPr>
          <w:rFonts w:hint="eastAsia"/>
          <w:spacing w:val="-2"/>
        </w:rPr>
        <w:t xml:space="preserve">(c) </w:t>
      </w:r>
      <w:r>
        <w:rPr>
          <w:rFonts w:hint="eastAsia"/>
        </w:rPr>
        <w:t>妇女在公共和私营领域担任领导职位的比例不足；以及</w:t>
      </w:r>
      <w:r>
        <w:rPr>
          <w:rFonts w:hint="eastAsia"/>
        </w:rPr>
        <w:t xml:space="preserve">(d) </w:t>
      </w:r>
      <w:r>
        <w:rPr>
          <w:rFonts w:hint="eastAsia"/>
        </w:rPr>
        <w:t>未能执行或确保全国私营部门的就业平等。委员会还感到遗憾的是，缔约国尚未通过关于执行《公共部门公平薪酬法案》的条例</w:t>
      </w:r>
      <w:r>
        <w:rPr>
          <w:rFonts w:hint="eastAsia"/>
        </w:rPr>
        <w:t>(</w:t>
      </w:r>
      <w:r>
        <w:rPr>
          <w:rFonts w:hint="eastAsia"/>
        </w:rPr>
        <w:t>第三条</w:t>
      </w:r>
      <w:r>
        <w:rPr>
          <w:rFonts w:hint="eastAsia"/>
        </w:rPr>
        <w:t>)</w:t>
      </w:r>
      <w:r>
        <w:rPr>
          <w:rFonts w:hint="eastAsia"/>
        </w:rPr>
        <w:t>。</w:t>
      </w:r>
    </w:p>
    <w:p w:rsidR="00E15D2E" w:rsidRDefault="00E15D2E" w:rsidP="00E15D2E">
      <w:pPr>
        <w:pStyle w:val="SingleTxt"/>
        <w:rPr>
          <w:rFonts w:ascii="黑体" w:eastAsia="黑体" w:hAnsi="黑体"/>
          <w:bCs/>
        </w:rPr>
      </w:pPr>
      <w:r>
        <w:rPr>
          <w:rFonts w:ascii="黑体" w:eastAsia="黑体" w:hAnsi="黑体"/>
          <w:bCs/>
        </w:rPr>
        <w:tab/>
      </w:r>
      <w:r w:rsidRPr="00E15D2E">
        <w:rPr>
          <w:rFonts w:ascii="黑体" w:eastAsia="黑体" w:hAnsi="黑体" w:hint="eastAsia"/>
          <w:bCs/>
        </w:rPr>
        <w:t>缔约国应加强努力，保障缔约国境内男女同工同酬，特别关注少数族裔和土著妇女。缔约国应确保所有省份和地区均</w:t>
      </w:r>
      <w:r w:rsidR="00A97A3A">
        <w:rPr>
          <w:rFonts w:ascii="黑体" w:eastAsia="黑体" w:hAnsi="黑体" w:hint="eastAsia"/>
          <w:bCs/>
        </w:rPr>
        <w:t>制定</w:t>
      </w:r>
      <w:r w:rsidRPr="00E15D2E">
        <w:rPr>
          <w:rFonts w:ascii="黑体" w:eastAsia="黑体" w:hAnsi="黑体" w:hint="eastAsia"/>
          <w:bCs/>
        </w:rPr>
        <w:t>同工同酬法律框架，覆盖公共和私营部门，并在各层面采取措施执行薪酬平等工作组的建议。缔约国应促进妇女在公共和私营部门领导职位中代表人数的增加，并确保为性别歧视受害妇女提供有效的补偿。</w:t>
      </w:r>
    </w:p>
    <w:p w:rsidR="00E15D2E" w:rsidRDefault="00E15D2E">
      <w:pPr>
        <w:spacing w:line="240" w:lineRule="auto"/>
        <w:jc w:val="left"/>
        <w:rPr>
          <w:rFonts w:ascii="黑体" w:eastAsia="黑体" w:hAnsi="黑体"/>
          <w:bCs/>
        </w:rPr>
      </w:pPr>
      <w:r>
        <w:rPr>
          <w:rFonts w:ascii="黑体" w:eastAsia="黑体" w:hAnsi="黑体"/>
          <w:bCs/>
        </w:rPr>
        <w:br w:type="page"/>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暴力侵害妇女</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8.  </w:t>
      </w:r>
      <w:r>
        <w:rPr>
          <w:rFonts w:hint="eastAsia"/>
        </w:rPr>
        <w:t>委员会关切缔约国家庭暴力的高发，尤其是暴力侵害妇女和女童的行为，受影响的主要是土著和少数族裔妇女。委员会也关切关于以下问题的报告：</w:t>
      </w:r>
      <w:r>
        <w:rPr>
          <w:rFonts w:hint="eastAsia"/>
        </w:rPr>
        <w:t xml:space="preserve">(a) </w:t>
      </w:r>
      <w:r>
        <w:rPr>
          <w:rFonts w:hint="eastAsia"/>
        </w:rPr>
        <w:t>受害者向警察报案数量少；</w:t>
      </w:r>
      <w:r>
        <w:rPr>
          <w:rFonts w:hint="eastAsia"/>
        </w:rPr>
        <w:t xml:space="preserve">(b) </w:t>
      </w:r>
      <w:r>
        <w:rPr>
          <w:rFonts w:hint="eastAsia"/>
        </w:rPr>
        <w:t>缺乏足够的庇护所、支援服务和其他保护措施，据称这导致受害者很难离开其</w:t>
      </w:r>
      <w:r w:rsidR="00A97A3A">
        <w:rPr>
          <w:rFonts w:hint="eastAsia"/>
        </w:rPr>
        <w:t>有</w:t>
      </w:r>
      <w:r>
        <w:rPr>
          <w:rFonts w:hint="eastAsia"/>
        </w:rPr>
        <w:t>暴力</w:t>
      </w:r>
      <w:r w:rsidR="00A97A3A">
        <w:rPr>
          <w:rFonts w:hint="eastAsia"/>
        </w:rPr>
        <w:t>倾向</w:t>
      </w:r>
      <w:r w:rsidR="008A3209" w:rsidRPr="00E15D2E">
        <w:rPr>
          <w:rFonts w:hint="eastAsia"/>
          <w:spacing w:val="2"/>
        </w:rPr>
        <w:t>的</w:t>
      </w:r>
      <w:r>
        <w:rPr>
          <w:rFonts w:hint="eastAsia"/>
        </w:rPr>
        <w:t>伴侣；</w:t>
      </w:r>
      <w:r>
        <w:rPr>
          <w:rFonts w:hint="eastAsia"/>
        </w:rPr>
        <w:t xml:space="preserve">(c) </w:t>
      </w:r>
      <w:r>
        <w:rPr>
          <w:rFonts w:hint="eastAsia"/>
        </w:rPr>
        <w:t>未能有效调查、起诉、定罪并</w:t>
      </w:r>
      <w:r>
        <w:t>以适当惩罚措施</w:t>
      </w:r>
      <w:r>
        <w:rPr>
          <w:rFonts w:hint="eastAsia"/>
        </w:rPr>
        <w:t>处罚罪犯</w:t>
      </w:r>
      <w:r w:rsidRPr="005B0F79">
        <w:rPr>
          <w:rFonts w:hint="eastAsia"/>
        </w:rPr>
        <w:t>。</w:t>
      </w:r>
      <w:r w:rsidRPr="00D66FCD">
        <w:rPr>
          <w:rFonts w:hint="eastAsia"/>
        </w:rPr>
        <w:t>委员会</w:t>
      </w:r>
      <w:r>
        <w:rPr>
          <w:rFonts w:hint="eastAsia"/>
        </w:rPr>
        <w:t>还</w:t>
      </w:r>
      <w:r w:rsidRPr="00D66FCD">
        <w:rPr>
          <w:rFonts w:hint="eastAsia"/>
        </w:rPr>
        <w:t>感到关切的是，</w:t>
      </w:r>
      <w:r>
        <w:rPr>
          <w:rFonts w:hint="eastAsia"/>
        </w:rPr>
        <w:t>缔约国缺乏关于家庭暴力的统计数据，包括关于调查、起诉、定罪、制裁和补偿的数据</w:t>
      </w:r>
      <w:r>
        <w:rPr>
          <w:rFonts w:hint="eastAsia"/>
        </w:rPr>
        <w:t>(</w:t>
      </w:r>
      <w:r>
        <w:rPr>
          <w:rFonts w:hint="eastAsia"/>
        </w:rPr>
        <w:t>第三、第六和第七条</w:t>
      </w:r>
      <w:r>
        <w:rPr>
          <w:rFonts w:hint="eastAsia"/>
        </w:rPr>
        <w:t>)</w:t>
      </w:r>
      <w:r>
        <w:rPr>
          <w:rFonts w:hint="eastAsia"/>
        </w:rPr>
        <w:t>。</w:t>
      </w:r>
    </w:p>
    <w:p w:rsidR="00E15D2E" w:rsidRPr="00E15D2E" w:rsidRDefault="00E15D2E" w:rsidP="00E15D2E">
      <w:pPr>
        <w:pStyle w:val="SingleTxt"/>
        <w:rPr>
          <w:rFonts w:eastAsia="黑体"/>
          <w:bCs/>
        </w:rPr>
      </w:pPr>
      <w:r>
        <w:rPr>
          <w:rFonts w:eastAsia="黑体" w:hint="eastAsia"/>
          <w:bCs/>
        </w:rPr>
        <w:tab/>
      </w:r>
      <w:r w:rsidRPr="00E15D2E">
        <w:rPr>
          <w:rFonts w:eastAsia="黑体"/>
          <w:bCs/>
        </w:rPr>
        <w:t>缔约国应加强努力，坚决打击家庭暴力，包括一切形式暴力侵害妇女的行为，尤其关注少数族裔和土著妇女。具体而言，缔约国应</w:t>
      </w:r>
      <w:r w:rsidRPr="00E15D2E">
        <w:rPr>
          <w:rFonts w:eastAsia="黑体"/>
          <w:bCs/>
        </w:rPr>
        <w:t xml:space="preserve">(a) </w:t>
      </w:r>
      <w:r w:rsidR="00A97A3A">
        <w:rPr>
          <w:rFonts w:eastAsia="黑体"/>
          <w:bCs/>
        </w:rPr>
        <w:t>在联邦、省</w:t>
      </w:r>
      <w:r w:rsidRPr="00E15D2E">
        <w:rPr>
          <w:rFonts w:eastAsia="黑体"/>
          <w:bCs/>
        </w:rPr>
        <w:t>和地区层面采取措施，有效执行刑事法律；</w:t>
      </w:r>
      <w:r w:rsidRPr="00E15D2E">
        <w:rPr>
          <w:rFonts w:eastAsia="黑体"/>
        </w:rPr>
        <w:t>(</w:t>
      </w:r>
      <w:r w:rsidRPr="00E15D2E">
        <w:rPr>
          <w:rFonts w:eastAsia="黑体"/>
          <w:bCs/>
        </w:rPr>
        <w:t xml:space="preserve">b) </w:t>
      </w:r>
      <w:r w:rsidRPr="00E15D2E">
        <w:rPr>
          <w:rFonts w:eastAsia="黑体"/>
          <w:bCs/>
        </w:rPr>
        <w:t>为家庭暴力的受害者提供申诉机制，保护她们免受任何报复，并为她们提供警方支持；</w:t>
      </w:r>
      <w:r w:rsidRPr="00E15D2E">
        <w:rPr>
          <w:rFonts w:eastAsia="黑体"/>
        </w:rPr>
        <w:t>(</w:t>
      </w:r>
      <w:r w:rsidRPr="00E15D2E">
        <w:rPr>
          <w:rFonts w:eastAsia="黑体"/>
          <w:bCs/>
        </w:rPr>
        <w:t xml:space="preserve">c) </w:t>
      </w:r>
      <w:r w:rsidRPr="00E15D2E">
        <w:rPr>
          <w:rFonts w:eastAsia="黑体"/>
          <w:bCs/>
        </w:rPr>
        <w:t>调查所有报告的案件，起诉并适当处罚罪犯；</w:t>
      </w:r>
      <w:r w:rsidRPr="00E15D2E">
        <w:rPr>
          <w:rFonts w:eastAsia="黑体"/>
        </w:rPr>
        <w:t>(d</w:t>
      </w:r>
      <w:r w:rsidRPr="00E15D2E">
        <w:rPr>
          <w:rFonts w:eastAsia="黑体"/>
          <w:bCs/>
        </w:rPr>
        <w:t xml:space="preserve">) </w:t>
      </w:r>
      <w:r w:rsidRPr="00E15D2E">
        <w:rPr>
          <w:rFonts w:eastAsia="黑体"/>
          <w:bCs/>
        </w:rPr>
        <w:t>增加庇护所数量、支援服务和其它保护措施；以及</w:t>
      </w:r>
      <w:r w:rsidRPr="00E15D2E">
        <w:rPr>
          <w:rFonts w:eastAsia="黑体"/>
        </w:rPr>
        <w:t>(e</w:t>
      </w:r>
      <w:r w:rsidRPr="00E15D2E">
        <w:rPr>
          <w:rFonts w:eastAsia="黑体"/>
          <w:bCs/>
        </w:rPr>
        <w:t xml:space="preserve">) </w:t>
      </w:r>
      <w:r w:rsidRPr="00E15D2E">
        <w:rPr>
          <w:rFonts w:eastAsia="黑体"/>
          <w:bCs/>
        </w:rPr>
        <w:t>有效落实各级通过的政策和方案，并确保《受害者权利法案》的有效实施。</w:t>
      </w:r>
    </w:p>
    <w:p w:rsidR="00E15D2E" w:rsidRPr="00E15D2E" w:rsidRDefault="00E15D2E" w:rsidP="00E15D2E">
      <w:pPr>
        <w:pStyle w:val="SingleTxt"/>
        <w:spacing w:after="0" w:line="120" w:lineRule="exact"/>
        <w:rPr>
          <w:rFonts w:ascii="黑体" w:eastAsia="黑体" w:hAnsi="黑体"/>
          <w:bCs/>
          <w:sz w:val="10"/>
        </w:rPr>
      </w:pPr>
    </w:p>
    <w:p w:rsidR="00E15D2E" w:rsidRPr="00E15D2E" w:rsidRDefault="00E15D2E" w:rsidP="00E15D2E">
      <w:pPr>
        <w:pStyle w:val="SingleTxt"/>
        <w:spacing w:after="0" w:line="120" w:lineRule="exact"/>
        <w:rPr>
          <w:rFonts w:ascii="黑体" w:eastAsia="黑体" w:hAnsi="黑体"/>
          <w:bCs/>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土著妇女和女童被杀害和失踪</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9.  </w:t>
      </w:r>
      <w:r>
        <w:rPr>
          <w:rFonts w:hint="eastAsia"/>
        </w:rPr>
        <w:t>委员会感到关切的是，</w:t>
      </w:r>
      <w:r>
        <w:t>土著妇女和女童受到威胁生命的暴力伤害、被杀害和失踪的比例过高</w:t>
      </w:r>
      <w:r>
        <w:rPr>
          <w:rFonts w:hint="eastAsia"/>
        </w:rPr>
        <w:t>。委员会尤其关切缔约国未能就其境内该问题提供充分有效的应对措施。委员会注意到不列颠哥伦比亚省政府发布了失踪妇女调查委员会的一份报告并通过了关于失踪人口的立法，而且缔约国政府正在执行《</w:t>
      </w:r>
      <w:r>
        <w:t>解决家庭暴力以及对</w:t>
      </w:r>
      <w:r>
        <w:rPr>
          <w:rFonts w:hint="eastAsia"/>
        </w:rPr>
        <w:t>土著</w:t>
      </w:r>
      <w:r>
        <w:t>妇女与女童暴力罪行的行动计划</w:t>
      </w:r>
      <w:r>
        <w:rPr>
          <w:rFonts w:hint="eastAsia"/>
        </w:rPr>
        <w:t>》，但委员会感到关切的是，缔约国</w:t>
      </w:r>
      <w:r w:rsidRPr="003D0393">
        <w:rPr>
          <w:rFonts w:hint="eastAsia"/>
        </w:rPr>
        <w:t>缺乏关</w:t>
      </w:r>
      <w:r>
        <w:rPr>
          <w:rFonts w:hint="eastAsia"/>
        </w:rPr>
        <w:t>于调查、起诉和惩处</w:t>
      </w:r>
      <w:r w:rsidRPr="003D0393">
        <w:rPr>
          <w:rFonts w:hint="eastAsia"/>
        </w:rPr>
        <w:t>责任者的措施的资料</w:t>
      </w:r>
      <w:r>
        <w:rPr>
          <w:rFonts w:hint="eastAsia"/>
        </w:rPr>
        <w:t>(</w:t>
      </w:r>
      <w:r>
        <w:rPr>
          <w:rFonts w:hint="eastAsia"/>
        </w:rPr>
        <w:t>第三和第六条</w:t>
      </w:r>
      <w:r>
        <w:rPr>
          <w:rFonts w:hint="eastAsia"/>
        </w:rPr>
        <w:t>)</w:t>
      </w:r>
      <w:r>
        <w:rPr>
          <w:rFonts w:hint="eastAsia"/>
        </w:rPr>
        <w:t>。</w:t>
      </w:r>
    </w:p>
    <w:p w:rsidR="00E15D2E" w:rsidRPr="00E15D2E" w:rsidRDefault="00E15D2E" w:rsidP="00E15D2E">
      <w:pPr>
        <w:pStyle w:val="SingleTxt"/>
        <w:rPr>
          <w:rFonts w:eastAsia="黑体"/>
          <w:bCs/>
        </w:rPr>
      </w:pPr>
      <w:r w:rsidRPr="00E15D2E">
        <w:rPr>
          <w:rFonts w:eastAsia="黑体"/>
          <w:bCs/>
        </w:rPr>
        <w:tab/>
      </w:r>
      <w:r w:rsidRPr="00E15D2E">
        <w:rPr>
          <w:rFonts w:eastAsia="黑体"/>
          <w:bCs/>
        </w:rPr>
        <w:t>缔约国应将以下各项作为优先事项：</w:t>
      </w:r>
      <w:r w:rsidRPr="00E15D2E">
        <w:rPr>
          <w:rFonts w:eastAsia="黑体"/>
          <w:bCs/>
        </w:rPr>
        <w:t xml:space="preserve">(a) </w:t>
      </w:r>
      <w:r w:rsidRPr="00E15D2E">
        <w:rPr>
          <w:rFonts w:eastAsia="黑体"/>
          <w:bCs/>
        </w:rPr>
        <w:t>在消除对妇女歧视委员会的要求下，通过开展国家调查，咨询土著妇女组织和受害者家庭，以解决土著妇女和女童被杀害和失踪的问题；</w:t>
      </w:r>
      <w:r w:rsidRPr="00E15D2E">
        <w:rPr>
          <w:rFonts w:eastAsia="黑体"/>
          <w:bCs/>
        </w:rPr>
        <w:t xml:space="preserve">(b) </w:t>
      </w:r>
      <w:r w:rsidRPr="00E15D2E">
        <w:rPr>
          <w:rFonts w:eastAsia="黑体"/>
          <w:bCs/>
        </w:rPr>
        <w:t>审查</w:t>
      </w:r>
      <w:r w:rsidR="00A97A3A">
        <w:rPr>
          <w:rFonts w:eastAsia="黑体"/>
          <w:bCs/>
        </w:rPr>
        <w:t>联邦、省</w:t>
      </w:r>
      <w:r w:rsidRPr="00E15D2E">
        <w:rPr>
          <w:rFonts w:eastAsia="黑体"/>
          <w:bCs/>
        </w:rPr>
        <w:t>和地区层面的法律，并协调全国警方的应对措施，以防止发生此等杀害和失踪；</w:t>
      </w:r>
      <w:r w:rsidRPr="00E15D2E">
        <w:rPr>
          <w:rFonts w:eastAsia="黑体"/>
          <w:bCs/>
        </w:rPr>
        <w:t xml:space="preserve">(c) </w:t>
      </w:r>
      <w:r w:rsidRPr="00E15D2E">
        <w:rPr>
          <w:rFonts w:eastAsia="黑体"/>
          <w:bCs/>
        </w:rPr>
        <w:t>调查、起诉和惩处肇事者并为受害者提供补偿；以及</w:t>
      </w:r>
      <w:r w:rsidRPr="00E15D2E">
        <w:rPr>
          <w:rFonts w:eastAsia="黑体"/>
          <w:bCs/>
        </w:rPr>
        <w:t xml:space="preserve">(d) </w:t>
      </w:r>
      <w:r w:rsidRPr="00E15D2E">
        <w:rPr>
          <w:rFonts w:eastAsia="黑体"/>
          <w:bCs/>
        </w:rPr>
        <w:t>解决暴力侵害土著妇女和女童的根本原因。</w:t>
      </w:r>
    </w:p>
    <w:p w:rsidR="00E15D2E" w:rsidRPr="00E15D2E" w:rsidRDefault="00E15D2E" w:rsidP="00E15D2E">
      <w:pPr>
        <w:pStyle w:val="SingleTxt"/>
        <w:spacing w:after="0" w:line="120" w:lineRule="exact"/>
        <w:rPr>
          <w:rFonts w:ascii="黑体" w:eastAsia="黑体" w:hAnsi="黑体"/>
          <w:bCs/>
          <w:sz w:val="10"/>
        </w:rPr>
      </w:pPr>
    </w:p>
    <w:p w:rsidR="00E15D2E" w:rsidRPr="00E15D2E" w:rsidRDefault="00E15D2E" w:rsidP="00E15D2E">
      <w:pPr>
        <w:pStyle w:val="SingleTxt"/>
        <w:spacing w:after="0" w:line="120" w:lineRule="exact"/>
        <w:rPr>
          <w:rFonts w:ascii="黑体" w:eastAsia="黑体" w:hAnsi="黑体"/>
          <w:bCs/>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2537EE">
        <w:rPr>
          <w:rFonts w:hint="eastAsia"/>
        </w:rPr>
        <w:t>反恐怖主义</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10.  </w:t>
      </w:r>
      <w:r>
        <w:rPr>
          <w:rFonts w:hint="eastAsia"/>
        </w:rPr>
        <w:t>委员会注意到缔约国有必要采取措施打击恐怖主义行为，包括制定适当法律来防止此等行为。但是，委员会感到关切的是，有资料显示：</w:t>
      </w:r>
      <w:r>
        <w:rPr>
          <w:rFonts w:hint="eastAsia"/>
        </w:rPr>
        <w:t xml:space="preserve">(a) </w:t>
      </w:r>
      <w:r>
        <w:rPr>
          <w:rFonts w:hint="eastAsia"/>
        </w:rPr>
        <w:t>《加拿大安全情报法》</w:t>
      </w:r>
      <w:r>
        <w:rPr>
          <w:rFonts w:hint="eastAsia"/>
        </w:rPr>
        <w:t>C-51</w:t>
      </w:r>
      <w:r>
        <w:rPr>
          <w:rFonts w:hint="eastAsia"/>
        </w:rPr>
        <w:t>号法案修正案授予加拿大国家安全情报局广泛的授权和权力，使其可在国内和国外采取行动，从而可能导致大规模的监视和选定目标的活动，这些活动受《公约》保护，而没有充分明确的法律保障；</w:t>
      </w:r>
      <w:r>
        <w:rPr>
          <w:rFonts w:hint="eastAsia"/>
        </w:rPr>
        <w:t xml:space="preserve">(b) </w:t>
      </w:r>
      <w:r>
        <w:rPr>
          <w:rFonts w:hint="eastAsia"/>
        </w:rPr>
        <w:t>依据《</w:t>
      </w:r>
      <w:r w:rsidRPr="00E15D2E">
        <w:rPr>
          <w:rStyle w:val="af0"/>
          <w:i w:val="0"/>
          <w:iCs w:val="0"/>
        </w:rPr>
        <w:t>加拿大安全信息共享</w:t>
      </w:r>
      <w:r w:rsidRPr="0001370B">
        <w:rPr>
          <w:rStyle w:val="st"/>
        </w:rPr>
        <w:t>法</w:t>
      </w:r>
      <w:r w:rsidRPr="0001370B">
        <w:rPr>
          <w:rStyle w:val="st"/>
          <w:rFonts w:hint="eastAsia"/>
        </w:rPr>
        <w:t>》</w:t>
      </w:r>
      <w:r>
        <w:rPr>
          <w:rStyle w:val="st"/>
          <w:rFonts w:hint="eastAsia"/>
        </w:rPr>
        <w:t>，</w:t>
      </w:r>
      <w:r>
        <w:rPr>
          <w:rFonts w:hint="eastAsia"/>
        </w:rPr>
        <w:t>C-51</w:t>
      </w:r>
      <w:r>
        <w:rPr>
          <w:rFonts w:hint="eastAsia"/>
        </w:rPr>
        <w:t>号法案基于“危害加拿大安全的活动”的宽泛定义强化了联邦政府机构之间的资料共享，但这不能完全防止不准确或不相关资料的共享；</w:t>
      </w:r>
      <w:r>
        <w:rPr>
          <w:rFonts w:hint="eastAsia"/>
        </w:rPr>
        <w:t>(c) C-51</w:t>
      </w:r>
      <w:r>
        <w:rPr>
          <w:rFonts w:hint="eastAsia"/>
        </w:rPr>
        <w:t>号法案制定了禁飞名单方案，但没有明确的程序将该方案状态告知当事人，允许秘密进行司法审查，特别律师系统在其中适用。委员会还感到关切的是，缔约国缺乏充分有效的监督机制来审查安全和情报机构的活动，现有机制也缺乏资源和权力来监控此等活动</w:t>
      </w:r>
      <w:r>
        <w:rPr>
          <w:rFonts w:hint="eastAsia"/>
        </w:rPr>
        <w:t>(</w:t>
      </w:r>
      <w:r>
        <w:rPr>
          <w:rFonts w:hint="eastAsia"/>
        </w:rPr>
        <w:t>第二、第十四、第十七、第十九、第二十、第二十一和第二十二条</w:t>
      </w:r>
      <w:r>
        <w:rPr>
          <w:rFonts w:hint="eastAsia"/>
        </w:rPr>
        <w:t>)</w:t>
      </w:r>
      <w:r>
        <w:rPr>
          <w:rFonts w:hint="eastAsia"/>
        </w:rPr>
        <w:t>。</w:t>
      </w:r>
    </w:p>
    <w:p w:rsidR="00E15D2E" w:rsidRPr="00E15D2E" w:rsidRDefault="00E15D2E" w:rsidP="00E15D2E">
      <w:pPr>
        <w:pStyle w:val="SingleTxt"/>
        <w:rPr>
          <w:rFonts w:eastAsia="黑体"/>
          <w:bCs/>
        </w:rPr>
      </w:pPr>
      <w:r w:rsidRPr="00E15D2E">
        <w:rPr>
          <w:rFonts w:eastAsia="黑体"/>
          <w:bCs/>
        </w:rPr>
        <w:tab/>
      </w:r>
      <w:r w:rsidRPr="00E15D2E">
        <w:rPr>
          <w:rFonts w:eastAsia="黑体"/>
          <w:bCs/>
        </w:rPr>
        <w:t>缔约国应</w:t>
      </w:r>
      <w:r w:rsidR="00A97A3A">
        <w:rPr>
          <w:rFonts w:eastAsia="黑体"/>
          <w:bCs/>
        </w:rPr>
        <w:t>避免颁布对依据《公约》行使权</w:t>
      </w:r>
      <w:r w:rsidR="00A97A3A">
        <w:rPr>
          <w:rFonts w:eastAsia="黑体" w:hint="eastAsia"/>
          <w:bCs/>
        </w:rPr>
        <w:t>利</w:t>
      </w:r>
      <w:r w:rsidRPr="00E15D2E">
        <w:rPr>
          <w:rFonts w:eastAsia="黑体"/>
          <w:bCs/>
        </w:rPr>
        <w:t>构成不当限制的法律。缔约国尤其应该</w:t>
      </w:r>
      <w:r w:rsidRPr="00E15D2E">
        <w:rPr>
          <w:rFonts w:eastAsia="黑体"/>
          <w:bCs/>
        </w:rPr>
        <w:t xml:space="preserve">(a) </w:t>
      </w:r>
      <w:r w:rsidRPr="00E15D2E">
        <w:rPr>
          <w:rFonts w:eastAsia="黑体"/>
          <w:bCs/>
        </w:rPr>
        <w:t>确保其反恐法律提供充分的法律保障，不阻碍行使《公约》保障的</w:t>
      </w:r>
      <w:r w:rsidR="00A97A3A">
        <w:rPr>
          <w:rFonts w:eastAsia="黑体"/>
          <w:bCs/>
        </w:rPr>
        <w:t>权</w:t>
      </w:r>
      <w:r w:rsidR="00A97A3A">
        <w:rPr>
          <w:rFonts w:eastAsia="黑体" w:hint="eastAsia"/>
          <w:bCs/>
        </w:rPr>
        <w:t>利</w:t>
      </w:r>
      <w:r w:rsidRPr="00E15D2E">
        <w:rPr>
          <w:rFonts w:eastAsia="黑体"/>
          <w:bCs/>
        </w:rPr>
        <w:t>；</w:t>
      </w:r>
      <w:r w:rsidRPr="00E15D2E">
        <w:rPr>
          <w:rFonts w:eastAsia="黑体"/>
          <w:bCs/>
        </w:rPr>
        <w:t xml:space="preserve">(b) </w:t>
      </w:r>
      <w:r w:rsidRPr="00E15D2E">
        <w:rPr>
          <w:rFonts w:eastAsia="黑体"/>
          <w:bCs/>
        </w:rPr>
        <w:t>考虑修改</w:t>
      </w:r>
      <w:r w:rsidRPr="00E15D2E">
        <w:rPr>
          <w:rFonts w:eastAsia="黑体"/>
          <w:bCs/>
        </w:rPr>
        <w:t>C-51</w:t>
      </w:r>
      <w:r w:rsidRPr="00E15D2E">
        <w:rPr>
          <w:rFonts w:eastAsia="黑体"/>
          <w:bCs/>
        </w:rPr>
        <w:t>号法案，确保其符合《公约》；</w:t>
      </w:r>
      <w:r w:rsidRPr="00E15D2E">
        <w:rPr>
          <w:rFonts w:eastAsia="黑体"/>
          <w:bCs/>
        </w:rPr>
        <w:t xml:space="preserve">(c) </w:t>
      </w:r>
      <w:r w:rsidRPr="00E15D2E">
        <w:rPr>
          <w:rFonts w:eastAsia="黑体"/>
          <w:bCs/>
        </w:rPr>
        <w:t>提供充分的保障，以确保依据《</w:t>
      </w:r>
      <w:r w:rsidRPr="00E15D2E">
        <w:rPr>
          <w:rFonts w:eastAsia="黑体"/>
        </w:rPr>
        <w:t>加拿大安全信息共享法》的信息共享不会导致侵犯人权；</w:t>
      </w:r>
      <w:r w:rsidRPr="00E15D2E">
        <w:rPr>
          <w:rFonts w:eastAsia="黑体"/>
        </w:rPr>
        <w:t xml:space="preserve">(d) </w:t>
      </w:r>
      <w:r w:rsidRPr="00E15D2E">
        <w:rPr>
          <w:rFonts w:eastAsia="黑体"/>
        </w:rPr>
        <w:t>对安全和情报机构设立有效充分的监督机制，并为它们提供适当权力和充分资源以履行任务；</w:t>
      </w:r>
      <w:r w:rsidRPr="00E15D2E">
        <w:rPr>
          <w:rFonts w:eastAsia="黑体"/>
        </w:rPr>
        <w:t xml:space="preserve">(e) </w:t>
      </w:r>
      <w:r w:rsidRPr="00E15D2E">
        <w:rPr>
          <w:rFonts w:eastAsia="黑体"/>
        </w:rPr>
        <w:t>让司法部门参与监控措施的授权；以及</w:t>
      </w:r>
      <w:r w:rsidRPr="00E15D2E">
        <w:rPr>
          <w:rFonts w:eastAsia="黑体"/>
        </w:rPr>
        <w:t xml:space="preserve">(f) </w:t>
      </w:r>
      <w:r w:rsidRPr="00E15D2E">
        <w:rPr>
          <w:rFonts w:eastAsia="黑体"/>
          <w:bCs/>
        </w:rPr>
        <w:t>设立明确的程序，使禁飞名单上的人员被及时告知，并能在律师的法律援助下通过司法审查对此等决定提出质疑。</w:t>
      </w:r>
    </w:p>
    <w:p w:rsidR="00E15D2E" w:rsidRPr="00E15D2E" w:rsidRDefault="00E15D2E" w:rsidP="00E15D2E">
      <w:pPr>
        <w:pStyle w:val="SingleTxt"/>
        <w:spacing w:after="0" w:line="120" w:lineRule="exact"/>
        <w:rPr>
          <w:rFonts w:ascii="黑体" w:eastAsia="黑体" w:hAnsi="黑体"/>
          <w:bCs/>
          <w:sz w:val="10"/>
        </w:rPr>
      </w:pPr>
    </w:p>
    <w:p w:rsidR="00E15D2E" w:rsidRPr="00E15D2E" w:rsidRDefault="00E15D2E" w:rsidP="00E15D2E">
      <w:pPr>
        <w:pStyle w:val="SingleTxt"/>
        <w:spacing w:after="0" w:line="120" w:lineRule="exact"/>
        <w:rPr>
          <w:rFonts w:ascii="黑体" w:eastAsia="黑体" w:hAnsi="黑体"/>
          <w:bCs/>
          <w:sz w:val="10"/>
        </w:rPr>
      </w:pPr>
    </w:p>
    <w:p w:rsidR="00E15D2E" w:rsidRDefault="00E15D2E" w:rsidP="00A97A3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在抗议</w:t>
      </w:r>
      <w:r w:rsidR="00A97A3A">
        <w:rPr>
          <w:rFonts w:hint="eastAsia"/>
        </w:rPr>
        <w:t>中过度使用武力</w:t>
      </w:r>
      <w:r>
        <w:rPr>
          <w:rFonts w:hint="eastAsia"/>
        </w:rPr>
        <w:t>和警察问责</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CA6D59" w:rsidRDefault="00E15D2E" w:rsidP="00A97A3A">
      <w:pPr>
        <w:pStyle w:val="SingleTxt"/>
      </w:pPr>
      <w:r>
        <w:rPr>
          <w:rFonts w:hint="eastAsia"/>
        </w:rPr>
        <w:t xml:space="preserve">11.  </w:t>
      </w:r>
      <w:r>
        <w:rPr>
          <w:rFonts w:hint="eastAsia"/>
        </w:rPr>
        <w:t>委员会感到关切的是，执法人员在联邦</w:t>
      </w:r>
      <w:r w:rsidR="00A97A3A">
        <w:rPr>
          <w:rFonts w:hint="eastAsia"/>
        </w:rPr>
        <w:t>一级</w:t>
      </w:r>
      <w:r>
        <w:rPr>
          <w:rFonts w:hint="eastAsia"/>
        </w:rPr>
        <w:t>和省</w:t>
      </w:r>
      <w:r w:rsidR="00A97A3A">
        <w:rPr>
          <w:rFonts w:hint="eastAsia"/>
        </w:rPr>
        <w:t>一级</w:t>
      </w:r>
      <w:r>
        <w:rPr>
          <w:rFonts w:hint="eastAsia"/>
        </w:rPr>
        <w:t>抗议活动的大规模逮捕中过度使用武力，尤其是与土著土地相关的抗议、</w:t>
      </w:r>
      <w:r>
        <w:rPr>
          <w:rFonts w:hint="eastAsia"/>
        </w:rPr>
        <w:t>2010</w:t>
      </w:r>
      <w:r>
        <w:rPr>
          <w:rFonts w:hint="eastAsia"/>
        </w:rPr>
        <w:t>年</w:t>
      </w:r>
      <w:r>
        <w:rPr>
          <w:rFonts w:hint="eastAsia"/>
        </w:rPr>
        <w:t>G-20</w:t>
      </w:r>
      <w:r>
        <w:rPr>
          <w:rFonts w:hint="eastAsia"/>
        </w:rPr>
        <w:t>抗议以及</w:t>
      </w:r>
      <w:r>
        <w:rPr>
          <w:rFonts w:hint="eastAsia"/>
        </w:rPr>
        <w:t>2012</w:t>
      </w:r>
      <w:r>
        <w:rPr>
          <w:rFonts w:hint="eastAsia"/>
        </w:rPr>
        <w:t>年魁北克学生抗议。委员会还感到关切的是，有报告称并非所有申诉都得到及时调查，实施的制裁也属于从轻处罚。委员会注意到缔约国努力建立监督和问责机制，以调查在联邦、省级和地区层面涉及警察的严重事件，但委员会仍对关于此等机制缺乏有效性的报告感到关切。委员会感到遗憾的是，缔约国缺乏关于涉及各级警察的所有申诉、调查、起诉、定罪和制裁的统计数据</w:t>
      </w:r>
      <w:r>
        <w:rPr>
          <w:rFonts w:hint="eastAsia"/>
        </w:rPr>
        <w:t>(</w:t>
      </w:r>
      <w:r>
        <w:rPr>
          <w:rFonts w:hint="eastAsia"/>
        </w:rPr>
        <w:t>第七条</w:t>
      </w:r>
      <w:r>
        <w:rPr>
          <w:rFonts w:hint="eastAsia"/>
        </w:rPr>
        <w:t>)</w:t>
      </w:r>
      <w:r>
        <w:rPr>
          <w:rFonts w:hint="eastAsia"/>
        </w:rPr>
        <w:t>。</w:t>
      </w:r>
    </w:p>
    <w:p w:rsidR="00E15D2E" w:rsidRDefault="00E15D2E" w:rsidP="00E15D2E">
      <w:pPr>
        <w:pStyle w:val="SingleTxt"/>
        <w:rPr>
          <w:rFonts w:ascii="黑体" w:eastAsia="黑体" w:hAnsi="黑体"/>
        </w:rPr>
      </w:pPr>
      <w:r>
        <w:rPr>
          <w:rFonts w:ascii="黑体" w:eastAsia="黑体" w:hAnsi="黑体" w:hint="eastAsia"/>
        </w:rPr>
        <w:tab/>
      </w:r>
      <w:r w:rsidRPr="00E15D2E">
        <w:rPr>
          <w:rFonts w:ascii="黑体" w:eastAsia="黑体" w:hAnsi="黑体" w:hint="eastAsia"/>
        </w:rPr>
        <w:t>缔约国应加强努力，确保所有关于</w:t>
      </w:r>
      <w:r w:rsidRPr="00E15D2E">
        <w:rPr>
          <w:rFonts w:ascii="黑体" w:eastAsia="黑体" w:hAnsi="黑体"/>
        </w:rPr>
        <w:t>警察虐待和过度使用武力的指控</w:t>
      </w:r>
      <w:r w:rsidRPr="00E15D2E">
        <w:rPr>
          <w:rFonts w:ascii="黑体" w:eastAsia="黑体" w:hAnsi="黑体" w:hint="eastAsia"/>
        </w:rPr>
        <w:t>由</w:t>
      </w:r>
      <w:r w:rsidRPr="00E15D2E">
        <w:rPr>
          <w:rFonts w:ascii="黑体" w:eastAsia="黑体" w:hAnsi="黑体"/>
        </w:rPr>
        <w:t>各级</w:t>
      </w:r>
      <w:r w:rsidRPr="00E15D2E">
        <w:rPr>
          <w:rFonts w:ascii="黑体" w:eastAsia="黑体" w:hAnsi="黑体" w:hint="eastAsia"/>
        </w:rPr>
        <w:t>拥有</w:t>
      </w:r>
      <w:r w:rsidRPr="00E15D2E">
        <w:rPr>
          <w:rFonts w:ascii="黑体" w:eastAsia="黑体" w:hAnsi="黑体"/>
        </w:rPr>
        <w:t>充足资源</w:t>
      </w:r>
      <w:r w:rsidRPr="00E15D2E">
        <w:rPr>
          <w:rFonts w:ascii="黑体" w:eastAsia="黑体" w:hAnsi="黑体" w:hint="eastAsia"/>
        </w:rPr>
        <w:t>的</w:t>
      </w:r>
      <w:r w:rsidRPr="00E15D2E">
        <w:rPr>
          <w:rFonts w:ascii="黑体" w:eastAsia="黑体" w:hAnsi="黑体"/>
        </w:rPr>
        <w:t>强有力的独立监督机构</w:t>
      </w:r>
      <w:r w:rsidRPr="00E15D2E">
        <w:rPr>
          <w:rFonts w:ascii="黑体" w:eastAsia="黑体" w:hAnsi="黑体" w:hint="eastAsia"/>
        </w:rPr>
        <w:t>进行及时</w:t>
      </w:r>
      <w:r w:rsidRPr="00E15D2E">
        <w:rPr>
          <w:rFonts w:ascii="黑体" w:eastAsia="黑体" w:hAnsi="黑体"/>
        </w:rPr>
        <w:t>公正</w:t>
      </w:r>
      <w:r w:rsidRPr="00E15D2E">
        <w:rPr>
          <w:rFonts w:ascii="黑体" w:eastAsia="黑体" w:hAnsi="黑体" w:hint="eastAsia"/>
        </w:rPr>
        <w:t>的</w:t>
      </w:r>
      <w:r w:rsidRPr="00E15D2E">
        <w:rPr>
          <w:rFonts w:ascii="黑体" w:eastAsia="黑体" w:hAnsi="黑体"/>
        </w:rPr>
        <w:t>调查</w:t>
      </w:r>
      <w:r w:rsidRPr="00E15D2E">
        <w:rPr>
          <w:rFonts w:ascii="黑体" w:eastAsia="黑体" w:hAnsi="黑体" w:hint="eastAsia"/>
        </w:rPr>
        <w:t>，那些违法者受到起诉和适当处罚。</w:t>
      </w:r>
    </w:p>
    <w:p w:rsidR="00E15D2E" w:rsidRPr="00E15D2E" w:rsidRDefault="00E15D2E" w:rsidP="00E15D2E">
      <w:pPr>
        <w:pStyle w:val="SingleTxt"/>
        <w:spacing w:after="0" w:line="120" w:lineRule="exact"/>
        <w:rPr>
          <w:rFonts w:ascii="黑体" w:eastAsia="黑体" w:hAnsi="黑体"/>
          <w:sz w:val="10"/>
        </w:rPr>
      </w:pPr>
    </w:p>
    <w:p w:rsidR="00E15D2E" w:rsidRPr="00E15D2E" w:rsidRDefault="00E15D2E" w:rsidP="00E15D2E">
      <w:pPr>
        <w:pStyle w:val="SingleTxt"/>
        <w:spacing w:after="0" w:line="120" w:lineRule="exact"/>
        <w:rPr>
          <w:rFonts w:ascii="黑体" w:eastAsia="黑体" w:hAnsi="黑体"/>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01E0C">
        <w:tab/>
      </w:r>
      <w:r w:rsidRPr="00801E0C">
        <w:tab/>
      </w:r>
      <w:r>
        <w:rPr>
          <w:rFonts w:hint="eastAsia"/>
        </w:rPr>
        <w:t>移民拘留、寻求庇护者和不驱回</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12.  </w:t>
      </w:r>
      <w:r>
        <w:rPr>
          <w:rFonts w:hint="eastAsia"/>
        </w:rPr>
        <w:t>委员会感到关切的是，非法进入缔约国领土的个人可能会被无限期拘留，根据《移民和难民保护法》第</w:t>
      </w:r>
      <w:r>
        <w:t>20</w:t>
      </w:r>
      <w:r>
        <w:rPr>
          <w:rFonts w:hint="eastAsia"/>
        </w:rPr>
        <w:t>条第</w:t>
      </w:r>
      <w:r>
        <w:rPr>
          <w:rFonts w:hint="eastAsia"/>
        </w:rPr>
        <w:t>1</w:t>
      </w:r>
      <w:r>
        <w:rPr>
          <w:rFonts w:hint="eastAsia"/>
        </w:rPr>
        <w:t>款第</w:t>
      </w:r>
      <w:r>
        <w:rPr>
          <w:rFonts w:hint="eastAsia"/>
        </w:rPr>
        <w:t>1</w:t>
      </w:r>
      <w:r>
        <w:rPr>
          <w:rFonts w:hint="eastAsia"/>
        </w:rPr>
        <w:t>项，</w:t>
      </w:r>
      <w:r>
        <w:t>任何被认定为</w:t>
      </w:r>
      <w:r w:rsidRPr="00A97A3A">
        <w:rPr>
          <w:rFonts w:ascii="宋体" w:hAnsi="宋体"/>
        </w:rPr>
        <w:t>“非法抵达”的</w:t>
      </w:r>
      <w:r>
        <w:rPr>
          <w:rFonts w:hint="eastAsia"/>
        </w:rPr>
        <w:t>移徙者</w:t>
      </w:r>
      <w:r>
        <w:t>和寻求庇护者</w:t>
      </w:r>
      <w:r>
        <w:rPr>
          <w:rFonts w:hint="eastAsia"/>
        </w:rPr>
        <w:t>均会</w:t>
      </w:r>
      <w:r>
        <w:t>被强制拘留</w:t>
      </w:r>
      <w:r>
        <w:rPr>
          <w:rFonts w:hint="eastAsia"/>
        </w:rPr>
        <w:t>，直</w:t>
      </w:r>
      <w:r>
        <w:t>到其庇护身份确定为止</w:t>
      </w:r>
      <w:r>
        <w:rPr>
          <w:rFonts w:hint="eastAsia"/>
        </w:rPr>
        <w:t>，而且无法与“合法抵达者”享有相同的权利。委员会也感到关切的是，指定来源国的国民</w:t>
      </w:r>
      <w:r>
        <w:t>在难民申请被驳回后不得</w:t>
      </w:r>
      <w:r>
        <w:rPr>
          <w:rFonts w:hint="eastAsia"/>
        </w:rPr>
        <w:t>向难民上诉司提起</w:t>
      </w:r>
      <w:r>
        <w:t>上诉</w:t>
      </w:r>
      <w:r>
        <w:rPr>
          <w:rFonts w:hint="eastAsia"/>
        </w:rPr>
        <w:t>，只能由联邦法院进行司法审查</w:t>
      </w:r>
      <w:r w:rsidR="00A97A3A">
        <w:rPr>
          <w:rFonts w:hint="eastAsia"/>
        </w:rPr>
        <w:t>，从而加大了这些</w:t>
      </w:r>
      <w:r>
        <w:rPr>
          <w:rFonts w:hint="eastAsia"/>
        </w:rPr>
        <w:t>人被驱回的风险。委员会还感到关切的是，</w:t>
      </w:r>
      <w:r>
        <w:rPr>
          <w:rFonts w:hint="eastAsia"/>
        </w:rPr>
        <w:t>2012</w:t>
      </w:r>
      <w:r>
        <w:rPr>
          <w:rFonts w:hint="eastAsia"/>
        </w:rPr>
        <w:t>年削减联邦</w:t>
      </w:r>
      <w:r>
        <w:t>临时医保</w:t>
      </w:r>
      <w:r>
        <w:rPr>
          <w:rFonts w:hint="eastAsia"/>
        </w:rPr>
        <w:t>，导致许多非法移徙者无法获得基本的医疗保健服务</w:t>
      </w:r>
      <w:r>
        <w:rPr>
          <w:rFonts w:hint="eastAsia"/>
        </w:rPr>
        <w:t>(</w:t>
      </w:r>
      <w:r>
        <w:rPr>
          <w:rFonts w:hint="eastAsia"/>
        </w:rPr>
        <w:t>第二、第七、第九和第十三条</w:t>
      </w:r>
      <w:r>
        <w:rPr>
          <w:rFonts w:hint="eastAsia"/>
        </w:rPr>
        <w:t>)</w:t>
      </w:r>
      <w:r>
        <w:rPr>
          <w:rFonts w:hint="eastAsia"/>
        </w:rPr>
        <w:t>。</w:t>
      </w:r>
    </w:p>
    <w:p w:rsidR="00E15D2E" w:rsidRPr="00E15D2E" w:rsidRDefault="00E15D2E" w:rsidP="00A97A3A">
      <w:pPr>
        <w:pStyle w:val="SingleTxt"/>
        <w:rPr>
          <w:rFonts w:ascii="黑体" w:eastAsia="黑体" w:hAnsi="黑体"/>
        </w:rPr>
      </w:pPr>
      <w:r>
        <w:rPr>
          <w:rFonts w:ascii="黑体" w:eastAsia="黑体" w:hAnsi="黑体" w:hint="eastAsia"/>
        </w:rPr>
        <w:tab/>
      </w:r>
      <w:r w:rsidRPr="00E15D2E">
        <w:rPr>
          <w:rFonts w:ascii="黑体" w:eastAsia="黑体" w:hAnsi="黑体" w:hint="eastAsia"/>
        </w:rPr>
        <w:t>缔约国应避免无限期拘留非法移徙者，应确保将拘留作为最后的手段，设置合理的拘留时限，为受到移民拘留的人提供非监禁措施和</w:t>
      </w:r>
      <w:r w:rsidR="00A97A3A" w:rsidRPr="00E15D2E">
        <w:rPr>
          <w:rFonts w:ascii="黑体" w:eastAsia="黑体" w:hAnsi="黑体" w:hint="eastAsia"/>
        </w:rPr>
        <w:t>替代</w:t>
      </w:r>
      <w:r w:rsidR="00A97A3A">
        <w:rPr>
          <w:rFonts w:ascii="黑体" w:eastAsia="黑体" w:hAnsi="黑体" w:hint="eastAsia"/>
        </w:rPr>
        <w:t>的</w:t>
      </w:r>
      <w:r w:rsidRPr="00E15D2E">
        <w:rPr>
          <w:rFonts w:ascii="黑体" w:eastAsia="黑体" w:hAnsi="黑体" w:hint="eastAsia"/>
        </w:rPr>
        <w:t>拘留办法。缔约国应审查《移民和难民保护法》，使“安全国家”的难民申请者能够向难民上诉司提出上诉。缔约国应确保所有难民申请者和非法移徙者都有权获得必要的医疗保健服务，无论其身份如何。</w:t>
      </w:r>
    </w:p>
    <w:p w:rsidR="00E15D2E" w:rsidRDefault="00E15D2E" w:rsidP="00E15D2E">
      <w:pPr>
        <w:pStyle w:val="SingleTxt"/>
      </w:pPr>
      <w:r>
        <w:rPr>
          <w:rFonts w:hint="eastAsia"/>
        </w:rPr>
        <w:t xml:space="preserve">13.  </w:t>
      </w:r>
      <w:r>
        <w:rPr>
          <w:rFonts w:hint="eastAsia"/>
        </w:rPr>
        <w:t>委员会感到关切的是，《移民和难民保护法》第</w:t>
      </w:r>
      <w:r>
        <w:t>115</w:t>
      </w:r>
      <w:r>
        <w:rPr>
          <w:rFonts w:hint="eastAsia"/>
        </w:rPr>
        <w:t>条第</w:t>
      </w:r>
      <w:r>
        <w:rPr>
          <w:rFonts w:hint="eastAsia"/>
        </w:rPr>
        <w:t>2</w:t>
      </w:r>
      <w:r>
        <w:rPr>
          <w:rFonts w:hint="eastAsia"/>
        </w:rPr>
        <w:t>款对不驱回原则提出了两种例外情况，可能导致在原籍国面临风险的移民被驱回。委员会感到关切的是，有报告称，在正当程序保障有限时，安全认证机制下的个人可能面临驱逐。在这种情况下，司法审查可能会秘密进行，被任命协助个人的特别律师无法独立适当地代表其当事人寻找证据，因为公共安全和应急准备部长或公民和移民部长可根据</w:t>
      </w:r>
      <w:r>
        <w:rPr>
          <w:rFonts w:hint="eastAsia"/>
        </w:rPr>
        <w:t>C-51</w:t>
      </w:r>
      <w:r>
        <w:rPr>
          <w:rFonts w:hint="eastAsia"/>
        </w:rPr>
        <w:t>号法案要求法院扣留资料和证据。委员会还感到关切的是，</w:t>
      </w:r>
      <w:r>
        <w:rPr>
          <w:rFonts w:hint="eastAsia"/>
        </w:rPr>
        <w:t>C-60</w:t>
      </w:r>
      <w:r>
        <w:rPr>
          <w:rFonts w:hint="eastAsia"/>
        </w:rPr>
        <w:t>号法案可能会基于所犯罪行阻止特定人员申请保护，从而构成驱回风险</w:t>
      </w:r>
      <w:r>
        <w:rPr>
          <w:rFonts w:hint="eastAsia"/>
        </w:rPr>
        <w:t>(</w:t>
      </w:r>
      <w:r>
        <w:rPr>
          <w:rFonts w:hint="eastAsia"/>
        </w:rPr>
        <w:t>第二、第九和第十三条</w:t>
      </w:r>
      <w:r>
        <w:rPr>
          <w:rFonts w:hint="eastAsia"/>
        </w:rPr>
        <w:t>)</w:t>
      </w:r>
      <w:r>
        <w:rPr>
          <w:rFonts w:hint="eastAsia"/>
        </w:rPr>
        <w:t>。</w:t>
      </w:r>
    </w:p>
    <w:p w:rsidR="009649D6" w:rsidRDefault="009649D6" w:rsidP="008A3209">
      <w:pPr>
        <w:pStyle w:val="SingleTxt"/>
        <w:rPr>
          <w:rFonts w:ascii="黑体" w:eastAsia="黑体" w:hAnsi="黑体"/>
        </w:rPr>
      </w:pPr>
      <w:r w:rsidRPr="009649D6">
        <w:rPr>
          <w:rFonts w:ascii="黑体" w:eastAsia="黑体" w:hAnsi="黑体" w:hint="eastAsia"/>
        </w:rPr>
        <w:tab/>
        <w:t>缔约国应避免无限期拘留非法移徙者，应确保将拘留作为最后的手段，设置合理的拘留时限，为受到移民拘留的人提供非监禁措施和</w:t>
      </w:r>
      <w:r w:rsidR="008C4DE6" w:rsidRPr="009649D6">
        <w:rPr>
          <w:rFonts w:ascii="黑体" w:eastAsia="黑体" w:hAnsi="黑体" w:hint="eastAsia"/>
        </w:rPr>
        <w:t>替代</w:t>
      </w:r>
      <w:r w:rsidRPr="009649D6">
        <w:rPr>
          <w:rFonts w:ascii="黑体" w:eastAsia="黑体" w:hAnsi="黑体" w:hint="eastAsia"/>
        </w:rPr>
        <w:t>拘留</w:t>
      </w:r>
      <w:r w:rsidR="008A3209" w:rsidRPr="009649D6">
        <w:rPr>
          <w:rFonts w:ascii="黑体" w:eastAsia="黑体" w:hAnsi="黑体" w:hint="eastAsia"/>
        </w:rPr>
        <w:t>的</w:t>
      </w:r>
      <w:r w:rsidRPr="009649D6">
        <w:rPr>
          <w:rFonts w:ascii="黑体" w:eastAsia="黑体" w:hAnsi="黑体" w:hint="eastAsia"/>
        </w:rPr>
        <w:t>办法。缔约国应审查《移民和难民保护法》，使“安全国家”的难民申请者能够向难民上诉司提出上诉。缔约国应确保所有难民申请者和非法移徙者都有权获得必要的医疗保健服务，无论其身份如何。</w:t>
      </w:r>
    </w:p>
    <w:p w:rsidR="009649D6" w:rsidRPr="009649D6" w:rsidRDefault="009649D6" w:rsidP="009649D6">
      <w:pPr>
        <w:pStyle w:val="SingleTxt"/>
        <w:spacing w:after="0" w:line="120" w:lineRule="exact"/>
        <w:rPr>
          <w:rFonts w:ascii="黑体" w:eastAsia="黑体" w:hAnsi="黑体"/>
          <w:sz w:val="10"/>
        </w:rPr>
      </w:pPr>
    </w:p>
    <w:p w:rsidR="009649D6" w:rsidRPr="009649D6" w:rsidRDefault="009649D6" w:rsidP="009649D6">
      <w:pPr>
        <w:pStyle w:val="SingleTxt"/>
        <w:spacing w:after="0" w:line="120" w:lineRule="exact"/>
        <w:rPr>
          <w:rFonts w:ascii="黑体" w:eastAsia="黑体" w:hAnsi="黑体"/>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监狱条件</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E13FB0" w:rsidRDefault="00E15D2E" w:rsidP="00E15D2E">
      <w:pPr>
        <w:pStyle w:val="SingleTxt"/>
        <w:rPr>
          <w:highlight w:val="yellow"/>
        </w:rPr>
      </w:pPr>
      <w:r>
        <w:rPr>
          <w:rFonts w:hint="eastAsia"/>
        </w:rPr>
        <w:t xml:space="preserve">14.  </w:t>
      </w:r>
      <w:r>
        <w:rPr>
          <w:rFonts w:hint="eastAsia"/>
        </w:rPr>
        <w:t>委员会感到关切的是：</w:t>
      </w:r>
      <w:r>
        <w:rPr>
          <w:rFonts w:hint="eastAsia"/>
        </w:rPr>
        <w:t xml:space="preserve">(a) </w:t>
      </w:r>
      <w:r>
        <w:rPr>
          <w:rFonts w:hint="eastAsia"/>
        </w:rPr>
        <w:t>缔约国部分拘留场所过度拥挤；</w:t>
      </w:r>
      <w:r>
        <w:rPr>
          <w:rFonts w:hint="eastAsia"/>
        </w:rPr>
        <w:t xml:space="preserve">(b) </w:t>
      </w:r>
      <w:r>
        <w:rPr>
          <w:rFonts w:hint="eastAsia"/>
        </w:rPr>
        <w:t>存在</w:t>
      </w:r>
      <w:r>
        <w:t>很多行政或纪律隔离</w:t>
      </w:r>
      <w:r>
        <w:rPr>
          <w:rFonts w:hint="eastAsia"/>
        </w:rPr>
        <w:t>的情况，</w:t>
      </w:r>
      <w:r>
        <w:t>有时</w:t>
      </w:r>
      <w:r>
        <w:rPr>
          <w:rFonts w:hint="eastAsia"/>
        </w:rPr>
        <w:t>会持续</w:t>
      </w:r>
      <w:r>
        <w:t>很长一段时间</w:t>
      </w:r>
      <w:r>
        <w:rPr>
          <w:rFonts w:hint="eastAsia"/>
        </w:rPr>
        <w:t>，</w:t>
      </w:r>
      <w:r>
        <w:t>包括</w:t>
      </w:r>
      <w:r>
        <w:rPr>
          <w:rFonts w:hint="eastAsia"/>
        </w:rPr>
        <w:t>对患有</w:t>
      </w:r>
      <w:r>
        <w:t>精神疾病</w:t>
      </w:r>
      <w:r>
        <w:rPr>
          <w:rFonts w:hint="eastAsia"/>
        </w:rPr>
        <w:t>的被拘留者；</w:t>
      </w:r>
      <w:r>
        <w:t>(c)</w:t>
      </w:r>
      <w:r>
        <w:rPr>
          <w:rFonts w:hint="eastAsia"/>
        </w:rPr>
        <w:t xml:space="preserve"> </w:t>
      </w:r>
      <w:r>
        <w:rPr>
          <w:rFonts w:hint="eastAsia"/>
        </w:rPr>
        <w:t>有报告称为患有严重精神疾病的被拘留者提供的医疗支持不足；</w:t>
      </w:r>
      <w:r>
        <w:rPr>
          <w:rFonts w:hint="eastAsia"/>
        </w:rPr>
        <w:t xml:space="preserve">(d) </w:t>
      </w:r>
      <w:r>
        <w:rPr>
          <w:rFonts w:hint="eastAsia"/>
        </w:rPr>
        <w:t>报告的</w:t>
      </w:r>
      <w:r>
        <w:t>拘留</w:t>
      </w:r>
      <w:r>
        <w:rPr>
          <w:rFonts w:hint="eastAsia"/>
        </w:rPr>
        <w:t>期间</w:t>
      </w:r>
      <w:r>
        <w:t>自杀事件</w:t>
      </w:r>
      <w:r>
        <w:rPr>
          <w:rFonts w:hint="eastAsia"/>
        </w:rPr>
        <w:t>，</w:t>
      </w:r>
      <w:r>
        <w:t>尤其是</w:t>
      </w:r>
      <w:r>
        <w:rPr>
          <w:rFonts w:hint="eastAsia"/>
        </w:rPr>
        <w:t>土著被拘留者；以及</w:t>
      </w:r>
      <w:r>
        <w:rPr>
          <w:rFonts w:hint="eastAsia"/>
        </w:rPr>
        <w:t xml:space="preserve">(e) </w:t>
      </w:r>
      <w:r>
        <w:rPr>
          <w:rFonts w:hint="eastAsia"/>
        </w:rPr>
        <w:t>缺乏关于加拿大惩教局</w:t>
      </w:r>
      <w:r w:rsidRPr="00E13FB0">
        <w:rPr>
          <w:rFonts w:hint="eastAsia"/>
        </w:rPr>
        <w:t>心理健康策略的影响的资料</w:t>
      </w:r>
      <w:r>
        <w:rPr>
          <w:rFonts w:hint="eastAsia"/>
        </w:rPr>
        <w:t>(</w:t>
      </w:r>
      <w:r w:rsidRPr="00E13FB0">
        <w:rPr>
          <w:rFonts w:hint="eastAsia"/>
        </w:rPr>
        <w:t>第十条</w:t>
      </w:r>
      <w:r>
        <w:rPr>
          <w:rFonts w:hint="eastAsia"/>
        </w:rPr>
        <w:t>)</w:t>
      </w:r>
      <w:r w:rsidRPr="00E13FB0">
        <w:rPr>
          <w:rFonts w:hint="eastAsia"/>
        </w:rPr>
        <w:t>。</w:t>
      </w:r>
    </w:p>
    <w:p w:rsidR="00E15D2E" w:rsidRDefault="00E15D2E" w:rsidP="00E15D2E">
      <w:pPr>
        <w:pStyle w:val="SingleTxt"/>
        <w:rPr>
          <w:rFonts w:ascii="黑体" w:eastAsia="黑体" w:hAnsi="黑体"/>
        </w:rPr>
      </w:pPr>
      <w:r>
        <w:rPr>
          <w:rFonts w:ascii="黑体" w:eastAsia="黑体" w:hAnsi="黑体" w:hint="eastAsia"/>
        </w:rPr>
        <w:tab/>
      </w:r>
      <w:r w:rsidRPr="00E15D2E">
        <w:rPr>
          <w:rFonts w:ascii="黑体" w:eastAsia="黑体" w:hAnsi="黑体" w:hint="eastAsia"/>
        </w:rPr>
        <w:t>缔约国应采取适当措施有效降低拘留场所的拥挤程度，包括</w:t>
      </w:r>
      <w:r w:rsidR="00A97A3A">
        <w:rPr>
          <w:rFonts w:ascii="黑体" w:eastAsia="黑体" w:hAnsi="黑体" w:hint="eastAsia"/>
        </w:rPr>
        <w:t>增加使用替代</w:t>
      </w:r>
      <w:r w:rsidRPr="00E15D2E">
        <w:rPr>
          <w:rFonts w:ascii="黑体" w:eastAsia="黑体" w:hAnsi="黑体" w:hint="eastAsia"/>
        </w:rPr>
        <w:t>拘留</w:t>
      </w:r>
      <w:r w:rsidR="00A97A3A">
        <w:rPr>
          <w:rFonts w:ascii="黑体" w:eastAsia="黑体" w:hAnsi="黑体" w:hint="eastAsia"/>
        </w:rPr>
        <w:t>的</w:t>
      </w:r>
      <w:r w:rsidRPr="00E15D2E">
        <w:rPr>
          <w:rFonts w:ascii="黑体" w:eastAsia="黑体" w:hAnsi="黑体" w:hint="eastAsia"/>
        </w:rPr>
        <w:t>办法。缔约国也应有效限制使用行政或纪律隔离，将其作为最后的手段，而且持续时间尽可能短，并避免对患有严重精神疾病的被拘留者进行此等监禁。缔约国应努力使患有各种程度精神疾病的被拘留者能够获得治疗中心的服务，并改善治疗中心的服务能力。</w:t>
      </w:r>
    </w:p>
    <w:p w:rsidR="00E15D2E" w:rsidRPr="00E15D2E" w:rsidRDefault="00E15D2E" w:rsidP="00E15D2E">
      <w:pPr>
        <w:pStyle w:val="SingleTxt"/>
        <w:spacing w:after="0" w:line="120" w:lineRule="exact"/>
        <w:rPr>
          <w:rFonts w:ascii="黑体" w:eastAsia="黑体" w:hAnsi="黑体"/>
          <w:sz w:val="10"/>
        </w:rPr>
      </w:pPr>
    </w:p>
    <w:p w:rsidR="00E15D2E" w:rsidRPr="00E15D2E" w:rsidRDefault="00E15D2E" w:rsidP="00E15D2E">
      <w:pPr>
        <w:pStyle w:val="SingleTxt"/>
        <w:spacing w:after="0" w:line="120" w:lineRule="exact"/>
        <w:rPr>
          <w:rFonts w:ascii="黑体" w:eastAsia="黑体" w:hAnsi="黑体"/>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BC1914">
        <w:rPr>
          <w:rFonts w:hint="eastAsia"/>
        </w:rPr>
        <w:t>言论自由、和平集会和结社自由</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SingleTxt"/>
      </w:pPr>
      <w:r>
        <w:rPr>
          <w:rFonts w:hint="eastAsia"/>
        </w:rPr>
        <w:t xml:space="preserve">15.  </w:t>
      </w:r>
      <w:r>
        <w:t>委员会注意到缔约国</w:t>
      </w:r>
      <w:r>
        <w:rPr>
          <w:rFonts w:hint="eastAsia"/>
        </w:rPr>
        <w:t>提供</w:t>
      </w:r>
      <w:r>
        <w:t>的解释，但仍</w:t>
      </w:r>
      <w:r>
        <w:rPr>
          <w:rFonts w:hint="eastAsia"/>
        </w:rPr>
        <w:t>感到</w:t>
      </w:r>
      <w:r>
        <w:t>关切</w:t>
      </w:r>
      <w:r>
        <w:rPr>
          <w:rFonts w:hint="eastAsia"/>
        </w:rPr>
        <w:t>的是，有报告称缔约国对大规模抗议加大镇压</w:t>
      </w:r>
      <w:r w:rsidR="00A97A3A">
        <w:rPr>
          <w:rFonts w:hint="eastAsia"/>
        </w:rPr>
        <w:t>力度</w:t>
      </w:r>
      <w:r>
        <w:rPr>
          <w:rFonts w:hint="eastAsia"/>
        </w:rPr>
        <w:t>(</w:t>
      </w:r>
      <w:r>
        <w:rPr>
          <w:rFonts w:hint="eastAsia"/>
        </w:rPr>
        <w:t>如</w:t>
      </w:r>
      <w:r>
        <w:rPr>
          <w:rFonts w:hint="eastAsia"/>
        </w:rPr>
        <w:t>2010</w:t>
      </w:r>
      <w:r>
        <w:rPr>
          <w:rFonts w:hint="eastAsia"/>
        </w:rPr>
        <w:t>年在多伦多</w:t>
      </w:r>
      <w:r>
        <w:rPr>
          <w:rFonts w:hint="eastAsia"/>
        </w:rPr>
        <w:t>G-20</w:t>
      </w:r>
      <w:r>
        <w:rPr>
          <w:rFonts w:hint="eastAsia"/>
        </w:rPr>
        <w:t>国峰会发生的抗议，</w:t>
      </w:r>
      <w:r>
        <w:rPr>
          <w:rFonts w:hint="eastAsia"/>
        </w:rPr>
        <w:t>2012</w:t>
      </w:r>
      <w:r>
        <w:rPr>
          <w:rFonts w:hint="eastAsia"/>
        </w:rPr>
        <w:t>年魁北克抗议</w:t>
      </w:r>
      <w:r>
        <w:rPr>
          <w:rFonts w:hint="eastAsia"/>
        </w:rPr>
        <w:t>)</w:t>
      </w:r>
      <w:r>
        <w:rPr>
          <w:rFonts w:hint="eastAsia"/>
        </w:rPr>
        <w:t>以及过多参与者被逮捕。委员会也关切</w:t>
      </w:r>
      <w:r w:rsidR="00A97A3A">
        <w:rPr>
          <w:rFonts w:hint="eastAsia"/>
        </w:rPr>
        <w:t>公民社会广泛阶层</w:t>
      </w:r>
      <w:r>
        <w:rPr>
          <w:rFonts w:hint="eastAsia"/>
        </w:rPr>
        <w:t>对缔约国在政治、社会和人权倡导领域当前政策的</w:t>
      </w:r>
      <w:r w:rsidRPr="00E15D2E">
        <w:rPr>
          <w:rFonts w:hint="eastAsia"/>
        </w:rPr>
        <w:t>理解水平</w:t>
      </w:r>
      <w:r>
        <w:rPr>
          <w:rFonts w:hint="eastAsia"/>
        </w:rPr>
        <w:t>。委员会进一步关切《所得税法》第</w:t>
      </w:r>
      <w:r>
        <w:rPr>
          <w:rFonts w:hint="eastAsia"/>
        </w:rPr>
        <w:t>149</w:t>
      </w:r>
      <w:r>
        <w:rPr>
          <w:rFonts w:hint="eastAsia"/>
        </w:rPr>
        <w:t>条第</w:t>
      </w:r>
      <w:r>
        <w:rPr>
          <w:rFonts w:hint="eastAsia"/>
        </w:rPr>
        <w:t>1</w:t>
      </w:r>
      <w:r>
        <w:rPr>
          <w:rFonts w:hint="eastAsia"/>
        </w:rPr>
        <w:t>款范围之内关于对非政府组织捐款的规定，</w:t>
      </w:r>
      <w:r w:rsidRPr="00F50737">
        <w:rPr>
          <w:rFonts w:hint="eastAsia"/>
        </w:rPr>
        <w:t>此等非政府组织登记为慈善组织</w:t>
      </w:r>
      <w:r>
        <w:rPr>
          <w:rFonts w:hint="eastAsia"/>
        </w:rPr>
        <w:t>，</w:t>
      </w:r>
      <w:r w:rsidRPr="00F50737">
        <w:rPr>
          <w:rFonts w:hint="eastAsia"/>
        </w:rPr>
        <w:t>如</w:t>
      </w:r>
      <w:r>
        <w:rPr>
          <w:rFonts w:hint="eastAsia"/>
        </w:rPr>
        <w:t>其</w:t>
      </w:r>
      <w:r w:rsidRPr="00F50737">
        <w:rPr>
          <w:rFonts w:hint="eastAsia"/>
        </w:rPr>
        <w:t>活动与促进人权相关，则被视为政治活动</w:t>
      </w:r>
      <w:r>
        <w:rPr>
          <w:rFonts w:hint="eastAsia"/>
        </w:rPr>
        <w:t>(</w:t>
      </w:r>
      <w:r>
        <w:rPr>
          <w:rFonts w:hint="eastAsia"/>
        </w:rPr>
        <w:t>第十九、第二十一和第二十二条</w:t>
      </w:r>
      <w:r>
        <w:rPr>
          <w:rFonts w:hint="eastAsia"/>
        </w:rPr>
        <w:t>)</w:t>
      </w:r>
      <w:r>
        <w:rPr>
          <w:rFonts w:hint="eastAsia"/>
        </w:rPr>
        <w:t>。</w:t>
      </w:r>
    </w:p>
    <w:p w:rsidR="00E15D2E" w:rsidRDefault="00E15D2E" w:rsidP="00A97A3A">
      <w:pPr>
        <w:pStyle w:val="SingleTxt"/>
        <w:rPr>
          <w:rFonts w:ascii="黑体" w:eastAsia="黑体" w:hAnsi="黑体"/>
        </w:rPr>
      </w:pPr>
      <w:r>
        <w:rPr>
          <w:rFonts w:ascii="黑体" w:eastAsia="黑体" w:hAnsi="黑体" w:hint="eastAsia"/>
        </w:rPr>
        <w:tab/>
      </w:r>
      <w:r w:rsidRPr="00E15D2E">
        <w:rPr>
          <w:rFonts w:ascii="黑体" w:eastAsia="黑体" w:hAnsi="黑体" w:hint="eastAsia"/>
        </w:rPr>
        <w:t>缔约国应延长其对促进和保护行使言论自由、和平集会和结社自由的传统承诺。缔约国应采取一切适当措施，避免在法律上或实践中对公民社会组织的活动设置不必要的障碍和限制。缔约国应有效保护行使和平集会自由并避免不当限制。缔约国应采取措施，确保《所得税法》第</w:t>
      </w:r>
      <w:r w:rsidRPr="00E15D2E">
        <w:rPr>
          <w:rFonts w:eastAsia="黑体"/>
        </w:rPr>
        <w:t>149</w:t>
      </w:r>
      <w:r w:rsidRPr="00E15D2E">
        <w:rPr>
          <w:rFonts w:eastAsia="黑体"/>
        </w:rPr>
        <w:t>条第</w:t>
      </w:r>
      <w:r w:rsidRPr="00E15D2E">
        <w:rPr>
          <w:rFonts w:eastAsia="黑体"/>
        </w:rPr>
        <w:t>1</w:t>
      </w:r>
      <w:r w:rsidRPr="00E15D2E">
        <w:rPr>
          <w:rFonts w:ascii="黑体" w:eastAsia="黑体" w:hAnsi="黑体" w:hint="eastAsia"/>
        </w:rPr>
        <w:t>款的规定不会导致对捍卫人权的非政府组织设置不必要的限制。缔约国应考虑与公民社会和土著人民进行</w:t>
      </w:r>
      <w:r w:rsidR="00A97A3A">
        <w:rPr>
          <w:rFonts w:ascii="黑体" w:eastAsia="黑体" w:hAnsi="黑体" w:hint="eastAsia"/>
        </w:rPr>
        <w:t>有</w:t>
      </w:r>
      <w:r w:rsidR="008C4DE6">
        <w:rPr>
          <w:rFonts w:ascii="黑体" w:eastAsia="黑体" w:hAnsi="黑体" w:hint="eastAsia"/>
        </w:rPr>
        <w:t>条</w:t>
      </w:r>
      <w:r w:rsidR="00A97A3A">
        <w:rPr>
          <w:rFonts w:ascii="黑体" w:eastAsia="黑体" w:hAnsi="黑体" w:hint="eastAsia"/>
        </w:rPr>
        <w:t>理</w:t>
      </w:r>
      <w:r w:rsidRPr="00E15D2E">
        <w:rPr>
          <w:rFonts w:ascii="黑体" w:eastAsia="黑体" w:hAnsi="黑体" w:hint="eastAsia"/>
        </w:rPr>
        <w:t>的对话，以恢复对缔约国在该领域承诺的信心。</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土著土地和</w:t>
      </w:r>
      <w:r w:rsidRPr="00E15D2E">
        <w:rPr>
          <w:rFonts w:hint="eastAsia"/>
        </w:rPr>
        <w:t>使用权</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C85F28" w:rsidRDefault="00E15D2E" w:rsidP="00E15D2E">
      <w:pPr>
        <w:pStyle w:val="SingleTxt"/>
      </w:pPr>
      <w:r>
        <w:rPr>
          <w:rFonts w:hint="eastAsia"/>
        </w:rPr>
        <w:t xml:space="preserve">16.  </w:t>
      </w:r>
      <w:r>
        <w:rPr>
          <w:rFonts w:hint="eastAsia"/>
        </w:rPr>
        <w:t>委员会注意到缔约国提供的解释，但仍关切关于土著土地权利和使用权可能消失的报告。委员会感到关切的是，土著人民与缔约国之间持续数年的土地争端使土著人民背负沉重的诉讼财务负担。委员会也感到关切的是，有资料显示缔约国并非总会与土著人民磋商以确保他们对与他们有关的项目和举措</w:t>
      </w:r>
      <w:r>
        <w:rPr>
          <w:rFonts w:hint="eastAsia"/>
        </w:rPr>
        <w:t>(</w:t>
      </w:r>
      <w:r>
        <w:rPr>
          <w:rFonts w:hint="eastAsia"/>
        </w:rPr>
        <w:t>包括制定</w:t>
      </w:r>
      <w:r w:rsidRPr="001F713D">
        <w:rPr>
          <w:rFonts w:hint="eastAsia"/>
        </w:rPr>
        <w:t>法律</w:t>
      </w:r>
      <w:r>
        <w:rPr>
          <w:rFonts w:hint="eastAsia"/>
        </w:rPr>
        <w:t>)</w:t>
      </w:r>
      <w:r>
        <w:rPr>
          <w:rFonts w:hint="eastAsia"/>
        </w:rPr>
        <w:t>可行使</w:t>
      </w:r>
      <w:r>
        <w:t>自由、事先和知情同意</w:t>
      </w:r>
      <w:r>
        <w:rPr>
          <w:rFonts w:hint="eastAsia"/>
        </w:rPr>
        <w:t>权</w:t>
      </w:r>
      <w:r w:rsidRPr="001F713D">
        <w:rPr>
          <w:rFonts w:hint="eastAsia"/>
        </w:rPr>
        <w:t>，尽管最高法院给予有利裁决</w:t>
      </w:r>
      <w:r>
        <w:rPr>
          <w:rFonts w:hint="eastAsia"/>
        </w:rPr>
        <w:t>(</w:t>
      </w:r>
      <w:r>
        <w:rPr>
          <w:rFonts w:hint="eastAsia"/>
        </w:rPr>
        <w:t>第二和第二十七条</w:t>
      </w:r>
      <w:r>
        <w:rPr>
          <w:rFonts w:hint="eastAsia"/>
        </w:rPr>
        <w:t>)</w:t>
      </w:r>
      <w:r>
        <w:rPr>
          <w:rFonts w:hint="eastAsia"/>
        </w:rPr>
        <w:t>。</w:t>
      </w:r>
    </w:p>
    <w:p w:rsidR="00E15D2E" w:rsidRPr="00E15D2E" w:rsidRDefault="00E15D2E" w:rsidP="008C4DE6">
      <w:pPr>
        <w:pStyle w:val="SingleTxt"/>
        <w:rPr>
          <w:rStyle w:val="st"/>
          <w:rFonts w:eastAsia="黑体"/>
        </w:rPr>
      </w:pPr>
      <w:r>
        <w:rPr>
          <w:rStyle w:val="st"/>
          <w:rFonts w:eastAsia="黑体" w:hint="eastAsia"/>
          <w:bCs/>
        </w:rPr>
        <w:tab/>
      </w:r>
      <w:r w:rsidRPr="00E15D2E">
        <w:rPr>
          <w:rStyle w:val="st"/>
          <w:rFonts w:eastAsia="黑体"/>
          <w:bCs/>
        </w:rPr>
        <w:t>缔约国应与土著人民磋商，</w:t>
      </w:r>
      <w:r w:rsidRPr="00E15D2E">
        <w:rPr>
          <w:rStyle w:val="st"/>
          <w:rFonts w:eastAsia="黑体"/>
          <w:bCs/>
        </w:rPr>
        <w:t xml:space="preserve">(a) </w:t>
      </w:r>
      <w:r w:rsidRPr="00E15D2E">
        <w:rPr>
          <w:rStyle w:val="st"/>
          <w:rFonts w:eastAsia="黑体"/>
        </w:rPr>
        <w:t>当立法和行动会影响他们的土地和权利时，应寻求他们自由、事先和知情同意；</w:t>
      </w:r>
      <w:r w:rsidRPr="00E15D2E">
        <w:rPr>
          <w:rStyle w:val="st"/>
          <w:rFonts w:eastAsia="黑体"/>
        </w:rPr>
        <w:t xml:space="preserve">(b) </w:t>
      </w:r>
      <w:r w:rsidRPr="00E15D2E">
        <w:rPr>
          <w:rStyle w:val="st"/>
          <w:rFonts w:eastAsia="黑体"/>
        </w:rPr>
        <w:t>与土著人民解决土地和资源争端，并找到方法和手段来</w:t>
      </w:r>
      <w:r w:rsidR="00A97A3A" w:rsidRPr="00E15D2E">
        <w:rPr>
          <w:rStyle w:val="st"/>
          <w:rFonts w:eastAsia="黑体"/>
        </w:rPr>
        <w:t>依据条约权利</w:t>
      </w:r>
      <w:r w:rsidR="008C4DE6" w:rsidRPr="00E15D2E">
        <w:rPr>
          <w:rStyle w:val="st"/>
          <w:rFonts w:eastAsia="黑体"/>
        </w:rPr>
        <w:t>确立</w:t>
      </w:r>
      <w:r w:rsidRPr="00E15D2E">
        <w:rPr>
          <w:rStyle w:val="st"/>
          <w:rFonts w:eastAsia="黑体"/>
        </w:rPr>
        <w:t>他们对土地的使用权。</w:t>
      </w:r>
    </w:p>
    <w:p w:rsidR="00E15D2E" w:rsidRPr="00E15D2E" w:rsidRDefault="00E15D2E" w:rsidP="00E15D2E">
      <w:pPr>
        <w:pStyle w:val="SingleTxt"/>
        <w:spacing w:after="0" w:line="120" w:lineRule="exact"/>
        <w:rPr>
          <w:bCs/>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印地安人法</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C85F28" w:rsidRDefault="00E15D2E" w:rsidP="00E15D2E">
      <w:pPr>
        <w:pStyle w:val="SingleTxt"/>
      </w:pPr>
      <w:r>
        <w:rPr>
          <w:rFonts w:hint="eastAsia"/>
        </w:rPr>
        <w:t xml:space="preserve">17.  </w:t>
      </w:r>
      <w:r>
        <w:rPr>
          <w:rFonts w:hint="eastAsia"/>
        </w:rPr>
        <w:t>委员会注意到缔约国的立场，但仍关切</w:t>
      </w:r>
      <w:r>
        <w:rPr>
          <w:rStyle w:val="st"/>
        </w:rPr>
        <w:t>《</w:t>
      </w:r>
      <w:r w:rsidRPr="00E15D2E">
        <w:rPr>
          <w:rFonts w:hint="eastAsia"/>
        </w:rPr>
        <w:t>2011</w:t>
      </w:r>
      <w:r w:rsidRPr="00E15D2E">
        <w:rPr>
          <w:rFonts w:hint="eastAsia"/>
        </w:rPr>
        <w:t>年</w:t>
      </w:r>
      <w:r w:rsidRPr="00E15D2E">
        <w:rPr>
          <w:rStyle w:val="af0"/>
          <w:i w:val="0"/>
          <w:iCs w:val="0"/>
        </w:rPr>
        <w:t>印第安</w:t>
      </w:r>
      <w:r w:rsidRPr="004A781D">
        <w:rPr>
          <w:rStyle w:val="st"/>
        </w:rPr>
        <w:t>人</w:t>
      </w:r>
      <w:r w:rsidRPr="00E15D2E">
        <w:rPr>
          <w:rStyle w:val="st"/>
        </w:rPr>
        <w:t>身份登记男女</w:t>
      </w:r>
      <w:r w:rsidRPr="00E15D2E">
        <w:rPr>
          <w:rStyle w:val="af0"/>
          <w:i w:val="0"/>
          <w:iCs w:val="0"/>
        </w:rPr>
        <w:t>平等法</w:t>
      </w:r>
      <w:r>
        <w:rPr>
          <w:rStyle w:val="st"/>
        </w:rPr>
        <w:t>》</w:t>
      </w:r>
      <w:r>
        <w:rPr>
          <w:rStyle w:val="st"/>
          <w:rFonts w:hint="eastAsia"/>
        </w:rPr>
        <w:t>(</w:t>
      </w:r>
      <w:r>
        <w:rPr>
          <w:rStyle w:val="st"/>
          <w:rFonts w:hint="eastAsia"/>
        </w:rPr>
        <w:t>印第安人法修订案</w:t>
      </w:r>
      <w:r>
        <w:rPr>
          <w:rStyle w:val="st"/>
          <w:rFonts w:hint="eastAsia"/>
        </w:rPr>
        <w:t>)</w:t>
      </w:r>
      <w:r>
        <w:rPr>
          <w:rStyle w:val="st"/>
          <w:rFonts w:hint="eastAsia"/>
        </w:rPr>
        <w:t>的缓慢实施</w:t>
      </w:r>
      <w:r>
        <w:rPr>
          <w:rFonts w:hint="eastAsia"/>
        </w:rPr>
        <w:t>，该法案旨在消除报告的针对土著妇女持续已久的歧视性效应，尤其是关于印第安人身份的传递，</w:t>
      </w:r>
      <w:r w:rsidRPr="00EB25D1">
        <w:rPr>
          <w:rFonts w:hint="eastAsia"/>
        </w:rPr>
        <w:t>阻止她们及后代享有与此等身份相关的所有福利</w:t>
      </w:r>
      <w:r>
        <w:rPr>
          <w:rFonts w:hint="eastAsia"/>
        </w:rPr>
        <w:t>(</w:t>
      </w:r>
      <w:r w:rsidRPr="00D02F3D">
        <w:rPr>
          <w:rFonts w:hint="eastAsia"/>
        </w:rPr>
        <w:t>第</w:t>
      </w:r>
      <w:r>
        <w:rPr>
          <w:rFonts w:hint="eastAsia"/>
        </w:rPr>
        <w:t>二</w:t>
      </w:r>
      <w:r w:rsidRPr="00D02F3D">
        <w:rPr>
          <w:rFonts w:hint="eastAsia"/>
        </w:rPr>
        <w:t>、第</w:t>
      </w:r>
      <w:r>
        <w:rPr>
          <w:rFonts w:hint="eastAsia"/>
        </w:rPr>
        <w:t>三</w:t>
      </w:r>
      <w:r w:rsidRPr="00D02F3D">
        <w:rPr>
          <w:rFonts w:hint="eastAsia"/>
        </w:rPr>
        <w:t>和第</w:t>
      </w:r>
      <w:r>
        <w:rPr>
          <w:rFonts w:hint="eastAsia"/>
        </w:rPr>
        <w:t>二十七</w:t>
      </w:r>
      <w:r w:rsidRPr="00D02F3D">
        <w:rPr>
          <w:rFonts w:hint="eastAsia"/>
        </w:rPr>
        <w:t>条</w:t>
      </w:r>
      <w:r>
        <w:rPr>
          <w:rFonts w:hint="eastAsia"/>
        </w:rPr>
        <w:t>)</w:t>
      </w:r>
      <w:r>
        <w:rPr>
          <w:rFonts w:hint="eastAsia"/>
        </w:rPr>
        <w:t>。</w:t>
      </w:r>
    </w:p>
    <w:p w:rsidR="00E15D2E" w:rsidRPr="00E15D2E" w:rsidRDefault="00E15D2E" w:rsidP="00E15D2E">
      <w:pPr>
        <w:pStyle w:val="SingleTxt"/>
        <w:rPr>
          <w:rStyle w:val="st"/>
          <w:rFonts w:ascii="黑体" w:eastAsia="黑体" w:hAnsi="黑体"/>
          <w:bCs/>
        </w:rPr>
      </w:pPr>
      <w:r>
        <w:rPr>
          <w:rStyle w:val="st"/>
          <w:rFonts w:ascii="黑体" w:eastAsia="黑体" w:hAnsi="黑体" w:hint="eastAsia"/>
          <w:bCs/>
        </w:rPr>
        <w:tab/>
      </w:r>
      <w:r w:rsidRPr="00E15D2E">
        <w:rPr>
          <w:rStyle w:val="st"/>
          <w:rFonts w:ascii="黑体" w:eastAsia="黑体" w:hAnsi="黑体" w:hint="eastAsia"/>
          <w:bCs/>
        </w:rPr>
        <w:t>缔约国应加快</w:t>
      </w:r>
      <w:r w:rsidRPr="00E15D2E">
        <w:rPr>
          <w:rStyle w:val="st"/>
          <w:rFonts w:ascii="黑体" w:eastAsia="黑体" w:hAnsi="黑体"/>
          <w:bCs/>
        </w:rPr>
        <w:t>《</w:t>
      </w:r>
      <w:r w:rsidRPr="00E15D2E">
        <w:rPr>
          <w:rStyle w:val="st"/>
          <w:rFonts w:eastAsia="黑体"/>
          <w:bCs/>
        </w:rPr>
        <w:t>2011</w:t>
      </w:r>
      <w:r w:rsidRPr="00E15D2E">
        <w:rPr>
          <w:rStyle w:val="st"/>
          <w:rFonts w:ascii="黑体" w:eastAsia="黑体" w:hAnsi="黑体" w:hint="eastAsia"/>
          <w:bCs/>
        </w:rPr>
        <w:t>年</w:t>
      </w:r>
      <w:r w:rsidRPr="00E15D2E">
        <w:rPr>
          <w:rStyle w:val="st"/>
          <w:rFonts w:ascii="黑体" w:eastAsia="黑体" w:hAnsi="黑体"/>
          <w:bCs/>
        </w:rPr>
        <w:t>印第安人身份登记男女</w:t>
      </w:r>
      <w:r w:rsidRPr="00A97A3A">
        <w:rPr>
          <w:rStyle w:val="st"/>
          <w:rFonts w:ascii="黑体" w:eastAsia="黑体" w:hAnsi="黑体"/>
          <w:bCs/>
        </w:rPr>
        <w:t>平等法</w:t>
      </w:r>
      <w:r w:rsidRPr="00E15D2E">
        <w:rPr>
          <w:rStyle w:val="st"/>
          <w:rFonts w:ascii="黑体" w:eastAsia="黑体" w:hAnsi="黑体"/>
          <w:bCs/>
        </w:rPr>
        <w:t>》</w:t>
      </w:r>
      <w:r w:rsidRPr="00E15D2E">
        <w:rPr>
          <w:rStyle w:val="st"/>
          <w:rFonts w:ascii="黑体" w:eastAsia="黑体" w:hAnsi="黑体" w:hint="eastAsia"/>
          <w:bCs/>
        </w:rPr>
        <w:t>的实施，并消除《印第安人法》中影响土著妇女及其后代的所有剩余的歧视性效应，使她们能够与男性一样平等享有所有权利。</w:t>
      </w:r>
    </w:p>
    <w:p w:rsidR="00E15D2E" w:rsidRPr="00E15D2E" w:rsidRDefault="00E15D2E" w:rsidP="00E15D2E">
      <w:pPr>
        <w:pStyle w:val="SingleTxt"/>
        <w:spacing w:after="0" w:line="120" w:lineRule="exact"/>
        <w:rPr>
          <w:rStyle w:val="st"/>
          <w:b/>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土著人</w:t>
      </w:r>
      <w:r>
        <w:t>在刑事司法系统</w:t>
      </w:r>
      <w:r>
        <w:rPr>
          <w:rFonts w:hint="eastAsia"/>
        </w:rPr>
        <w:t>中被监禁的</w:t>
      </w:r>
      <w:r>
        <w:t>比例过高</w:t>
      </w:r>
      <w:r>
        <w:rPr>
          <w:rFonts w:hint="eastAsia"/>
        </w:rPr>
        <w:t>以及他们可获得的司法途径</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C85F28" w:rsidRDefault="00E15D2E" w:rsidP="00E15D2E">
      <w:pPr>
        <w:pStyle w:val="SingleTxt"/>
      </w:pPr>
      <w:r>
        <w:rPr>
          <w:rFonts w:hint="eastAsia"/>
        </w:rPr>
        <w:t xml:space="preserve">18.  </w:t>
      </w:r>
      <w:r>
        <w:rPr>
          <w:rFonts w:hint="eastAsia"/>
        </w:rPr>
        <w:t>委员会感到关切的是，土著人民</w:t>
      </w:r>
      <w:r>
        <w:rPr>
          <w:rFonts w:hint="eastAsia"/>
        </w:rPr>
        <w:t>(</w:t>
      </w:r>
      <w:r>
        <w:rPr>
          <w:rFonts w:hint="eastAsia"/>
        </w:rPr>
        <w:t>包括妇女</w:t>
      </w:r>
      <w:r>
        <w:rPr>
          <w:rFonts w:hint="eastAsia"/>
        </w:rPr>
        <w:t>)</w:t>
      </w:r>
      <w:r>
        <w:rPr>
          <w:rFonts w:hint="eastAsia"/>
        </w:rPr>
        <w:t>在加拿大</w:t>
      </w:r>
      <w:r w:rsidR="00A97A3A">
        <w:rPr>
          <w:rFonts w:hint="eastAsia"/>
        </w:rPr>
        <w:t>联邦和省</w:t>
      </w:r>
      <w:r>
        <w:rPr>
          <w:rFonts w:hint="eastAsia"/>
        </w:rPr>
        <w:t>监狱被监禁比例过高。委员会也关切土著人民在诉诸司法方面仍面临障碍</w:t>
      </w:r>
      <w:r>
        <w:rPr>
          <w:rFonts w:hint="eastAsia"/>
        </w:rPr>
        <w:t>(</w:t>
      </w:r>
      <w:r>
        <w:rPr>
          <w:rFonts w:hint="eastAsia"/>
        </w:rPr>
        <w:t>第二、第十和第十四条</w:t>
      </w:r>
      <w:r>
        <w:rPr>
          <w:rFonts w:hint="eastAsia"/>
        </w:rPr>
        <w:t>)</w:t>
      </w:r>
      <w:r>
        <w:rPr>
          <w:rFonts w:hint="eastAsia"/>
        </w:rPr>
        <w:t>。</w:t>
      </w:r>
    </w:p>
    <w:p w:rsidR="00E15D2E" w:rsidRPr="00E15D2E" w:rsidRDefault="00E15D2E" w:rsidP="008C4DE6">
      <w:pPr>
        <w:pStyle w:val="SingleTxt"/>
        <w:rPr>
          <w:rStyle w:val="st"/>
          <w:rFonts w:ascii="黑体" w:eastAsia="黑体" w:hAnsi="黑体"/>
          <w:bCs/>
        </w:rPr>
      </w:pPr>
      <w:r>
        <w:rPr>
          <w:rStyle w:val="st"/>
          <w:rFonts w:ascii="黑体" w:eastAsia="黑体" w:hAnsi="黑体" w:hint="eastAsia"/>
          <w:bCs/>
        </w:rPr>
        <w:tab/>
      </w:r>
      <w:r w:rsidRPr="00E15D2E">
        <w:rPr>
          <w:rStyle w:val="st"/>
          <w:rFonts w:ascii="黑体" w:eastAsia="黑体" w:hAnsi="黑体" w:hint="eastAsia"/>
          <w:bCs/>
        </w:rPr>
        <w:t>缔约国应确保所采取措施的有效性，防止对土著人民过度使用监禁，并在可能时使用</w:t>
      </w:r>
      <w:r w:rsidR="00A97A3A" w:rsidRPr="00E15D2E">
        <w:rPr>
          <w:rStyle w:val="st"/>
          <w:rFonts w:ascii="黑体" w:eastAsia="黑体" w:hAnsi="黑体" w:hint="eastAsia"/>
          <w:bCs/>
        </w:rPr>
        <w:t>替代</w:t>
      </w:r>
      <w:r w:rsidRPr="00E15D2E">
        <w:rPr>
          <w:rStyle w:val="st"/>
          <w:rFonts w:ascii="黑体" w:eastAsia="黑体" w:hAnsi="黑体" w:hint="eastAsia"/>
          <w:bCs/>
        </w:rPr>
        <w:t>拘留</w:t>
      </w:r>
      <w:r w:rsidR="008C4DE6" w:rsidRPr="00E15D2E">
        <w:rPr>
          <w:rStyle w:val="st"/>
          <w:rFonts w:ascii="黑体" w:eastAsia="黑体" w:hAnsi="黑体" w:hint="eastAsia"/>
          <w:bCs/>
        </w:rPr>
        <w:t>的</w:t>
      </w:r>
      <w:r w:rsidRPr="00E15D2E">
        <w:rPr>
          <w:rStyle w:val="st"/>
          <w:rFonts w:ascii="黑体" w:eastAsia="黑体" w:hAnsi="黑体" w:hint="eastAsia"/>
          <w:bCs/>
        </w:rPr>
        <w:t>办法。缔约国应强化其方案，使被定罪的土著罪犯在其社区内服刑。缔约国应进一步加强努力，推动并促进土著人民获得各级司法途径。</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Default="00E15D2E" w:rsidP="00E15D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土著人民的状况</w:t>
      </w:r>
    </w:p>
    <w:p w:rsidR="00E15D2E" w:rsidRPr="00E15D2E" w:rsidRDefault="00E15D2E" w:rsidP="00E15D2E">
      <w:pPr>
        <w:pStyle w:val="SingleTxt"/>
        <w:spacing w:after="0" w:line="120" w:lineRule="exact"/>
        <w:rPr>
          <w:sz w:val="10"/>
        </w:rPr>
      </w:pPr>
    </w:p>
    <w:p w:rsidR="00E15D2E" w:rsidRPr="00E15D2E" w:rsidRDefault="00E15D2E" w:rsidP="00E15D2E">
      <w:pPr>
        <w:pStyle w:val="SingleTxt"/>
        <w:spacing w:after="0" w:line="120" w:lineRule="exact"/>
        <w:rPr>
          <w:sz w:val="10"/>
        </w:rPr>
      </w:pPr>
    </w:p>
    <w:p w:rsidR="00E15D2E" w:rsidRPr="00E15D2E" w:rsidRDefault="00E15D2E" w:rsidP="00E15D2E">
      <w:pPr>
        <w:pStyle w:val="SingleTxt"/>
      </w:pPr>
      <w:r w:rsidRPr="00E15D2E">
        <w:t xml:space="preserve">19.  </w:t>
      </w:r>
      <w:r w:rsidRPr="00E15D2E">
        <w:t>委员会注意到缔约国采取的措施，但委员会仍感到关切的是：</w:t>
      </w:r>
      <w:r w:rsidRPr="00E15D2E">
        <w:t xml:space="preserve">(a) </w:t>
      </w:r>
      <w:r w:rsidRPr="00E15D2E">
        <w:t>土著语言消失的风险；</w:t>
      </w:r>
      <w:r w:rsidRPr="00E15D2E">
        <w:t xml:space="preserve">(b) </w:t>
      </w:r>
      <w:r w:rsidRPr="00E15D2E">
        <w:t>部分土著人民基本需求无法得到满足；</w:t>
      </w:r>
      <w:r w:rsidRPr="00E15D2E">
        <w:t xml:space="preserve">(c) </w:t>
      </w:r>
      <w:r w:rsidRPr="00E15D2E">
        <w:t>儿童福利服务资金不足；以及</w:t>
      </w:r>
      <w:r w:rsidRPr="00E15D2E">
        <w:t xml:space="preserve">(d) </w:t>
      </w:r>
      <w:r w:rsidRPr="00E15D2E">
        <w:t>尚未对印第安寄宿学校的所有学生提供适当补偿</w:t>
      </w:r>
      <w:r w:rsidRPr="00E15D2E">
        <w:t>(</w:t>
      </w:r>
      <w:r w:rsidRPr="00E15D2E">
        <w:t>第二和第二十七条</w:t>
      </w:r>
      <w:r w:rsidRPr="00E15D2E">
        <w:t>)</w:t>
      </w:r>
      <w:r w:rsidRPr="00E15D2E">
        <w:t>。</w:t>
      </w:r>
    </w:p>
    <w:p w:rsidR="00E15D2E" w:rsidRPr="00E15D2E" w:rsidRDefault="00E15D2E" w:rsidP="00E15D2E">
      <w:pPr>
        <w:pStyle w:val="SingleTxt"/>
        <w:rPr>
          <w:rStyle w:val="st"/>
          <w:rFonts w:eastAsia="黑体"/>
          <w:bCs/>
        </w:rPr>
      </w:pPr>
      <w:r w:rsidRPr="00E15D2E">
        <w:rPr>
          <w:rStyle w:val="st"/>
          <w:rFonts w:eastAsia="黑体"/>
          <w:bCs/>
        </w:rPr>
        <w:tab/>
      </w:r>
      <w:r w:rsidRPr="00E15D2E">
        <w:rPr>
          <w:rStyle w:val="st"/>
          <w:rFonts w:eastAsia="黑体"/>
          <w:bCs/>
        </w:rPr>
        <w:t>缔约国应与土著人民磋商，以</w:t>
      </w:r>
      <w:r w:rsidR="00A97A3A">
        <w:rPr>
          <w:rStyle w:val="st"/>
          <w:rFonts w:eastAsia="黑体" w:hint="eastAsia"/>
          <w:bCs/>
        </w:rPr>
        <w:t>：</w:t>
      </w:r>
      <w:r w:rsidRPr="00E15D2E">
        <w:rPr>
          <w:rStyle w:val="st"/>
          <w:rFonts w:eastAsia="黑体"/>
          <w:bCs/>
        </w:rPr>
        <w:t xml:space="preserve">(a) </w:t>
      </w:r>
      <w:r w:rsidRPr="00E15D2E">
        <w:rPr>
          <w:rStyle w:val="st"/>
          <w:rFonts w:eastAsia="黑体"/>
          <w:bCs/>
        </w:rPr>
        <w:t>执行和强化其现有方案和政策，满足土著人民的基本需求；</w:t>
      </w:r>
      <w:r w:rsidRPr="00E15D2E">
        <w:rPr>
          <w:rStyle w:val="st"/>
          <w:rFonts w:eastAsia="黑体"/>
          <w:bCs/>
        </w:rPr>
        <w:t xml:space="preserve">(b) </w:t>
      </w:r>
      <w:r w:rsidRPr="00E15D2E">
        <w:rPr>
          <w:rStyle w:val="st"/>
          <w:rFonts w:eastAsia="黑体"/>
          <w:bCs/>
        </w:rPr>
        <w:t>加强旨在促进保护土著语言的政策；</w:t>
      </w:r>
      <w:r w:rsidRPr="00E15D2E">
        <w:rPr>
          <w:rStyle w:val="st"/>
          <w:rFonts w:eastAsia="黑体"/>
          <w:bCs/>
        </w:rPr>
        <w:t xml:space="preserve">(c) </w:t>
      </w:r>
      <w:r w:rsidRPr="00E15D2E">
        <w:rPr>
          <w:rStyle w:val="st"/>
          <w:rFonts w:eastAsia="黑体"/>
          <w:bCs/>
        </w:rPr>
        <w:t>为保留地内的家庭和儿童照料服务提供</w:t>
      </w:r>
      <w:bookmarkStart w:id="1" w:name="_GoBack"/>
      <w:bookmarkEnd w:id="1"/>
      <w:r w:rsidRPr="00E15D2E">
        <w:rPr>
          <w:rStyle w:val="st"/>
          <w:rFonts w:eastAsia="黑体"/>
          <w:bCs/>
        </w:rPr>
        <w:t>充足的资金；以及</w:t>
      </w:r>
      <w:r w:rsidRPr="00E15D2E">
        <w:rPr>
          <w:rStyle w:val="st"/>
          <w:rFonts w:eastAsia="黑体"/>
          <w:bCs/>
        </w:rPr>
        <w:t xml:space="preserve">(d) </w:t>
      </w:r>
      <w:r w:rsidRPr="00E15D2E">
        <w:rPr>
          <w:rStyle w:val="st"/>
          <w:rFonts w:eastAsia="黑体"/>
          <w:bCs/>
        </w:rPr>
        <w:t>全面执行真相与和解委员会关于印第安寄宿学校的建议。</w:t>
      </w:r>
    </w:p>
    <w:p w:rsidR="00E15D2E" w:rsidRDefault="00E15D2E" w:rsidP="00E15D2E">
      <w:pPr>
        <w:pStyle w:val="SingleTxt"/>
      </w:pPr>
      <w:r>
        <w:rPr>
          <w:rFonts w:hint="eastAsia"/>
        </w:rPr>
        <w:t xml:space="preserve">20.  </w:t>
      </w:r>
      <w:r>
        <w:rPr>
          <w:rFonts w:hint="eastAsia"/>
        </w:rPr>
        <w:t>缔约国应在司法、立法和行政机构、民间社会、在该国活动的非政府组织以及广大公众中广泛宣传《公约》、其两项任择议定书、第六次定期报告的内容以及本结论性意见。缔约国应确保将该报告和本结论性意见译为缔约国的官方语言和少数族裔语言。</w:t>
      </w:r>
    </w:p>
    <w:p w:rsidR="00E15D2E" w:rsidRDefault="00E15D2E" w:rsidP="00E15D2E">
      <w:pPr>
        <w:pStyle w:val="SingleTxt"/>
      </w:pPr>
      <w:r>
        <w:rPr>
          <w:rFonts w:hint="eastAsia"/>
        </w:rPr>
        <w:t xml:space="preserve">21.  </w:t>
      </w:r>
      <w:r>
        <w:rPr>
          <w:rFonts w:hint="eastAsia"/>
        </w:rPr>
        <w:t>根据</w:t>
      </w:r>
      <w:r>
        <w:t>委员会议事规则第</w:t>
      </w:r>
      <w:r>
        <w:t>71</w:t>
      </w:r>
      <w:r>
        <w:t>条第</w:t>
      </w:r>
      <w:r>
        <w:t>5</w:t>
      </w:r>
      <w:r>
        <w:t>款，缔约国应该在一年内</w:t>
      </w:r>
      <w:r>
        <w:rPr>
          <w:rFonts w:hint="eastAsia"/>
        </w:rPr>
        <w:t>提交相关</w:t>
      </w:r>
      <w:r>
        <w:t>资料，说明</w:t>
      </w:r>
      <w:r>
        <w:rPr>
          <w:rFonts w:hint="eastAsia"/>
        </w:rPr>
        <w:t>缔约国对</w:t>
      </w:r>
      <w:r>
        <w:t>以上第</w:t>
      </w:r>
      <w:r>
        <w:rPr>
          <w:rFonts w:hint="eastAsia"/>
        </w:rPr>
        <w:t>9</w:t>
      </w:r>
      <w:r>
        <w:rPr>
          <w:rFonts w:hint="eastAsia"/>
        </w:rPr>
        <w:t>段</w:t>
      </w:r>
      <w:r>
        <w:rPr>
          <w:rFonts w:hint="eastAsia"/>
        </w:rPr>
        <w:t>(</w:t>
      </w:r>
      <w:r>
        <w:rPr>
          <w:rFonts w:hint="eastAsia"/>
        </w:rPr>
        <w:t>土著妇女和女童被杀害和失踪</w:t>
      </w:r>
      <w:r>
        <w:rPr>
          <w:rFonts w:hint="eastAsia"/>
        </w:rPr>
        <w:t>)</w:t>
      </w:r>
      <w:r>
        <w:t>、第</w:t>
      </w:r>
      <w:r>
        <w:rPr>
          <w:rFonts w:hint="eastAsia"/>
        </w:rPr>
        <w:t>12</w:t>
      </w:r>
      <w:r>
        <w:rPr>
          <w:rFonts w:hint="eastAsia"/>
        </w:rPr>
        <w:t>段</w:t>
      </w:r>
      <w:r>
        <w:rPr>
          <w:rFonts w:hint="eastAsia"/>
        </w:rPr>
        <w:t>(</w:t>
      </w:r>
      <w:r>
        <w:rPr>
          <w:rFonts w:hint="eastAsia"/>
        </w:rPr>
        <w:t>移民拘留、庇护寻求者和不驱回</w:t>
      </w:r>
      <w:r>
        <w:rPr>
          <w:rFonts w:hint="eastAsia"/>
        </w:rPr>
        <w:t>)</w:t>
      </w:r>
      <w:r>
        <w:t>和第</w:t>
      </w:r>
      <w:r>
        <w:rPr>
          <w:rFonts w:hint="eastAsia"/>
        </w:rPr>
        <w:t>16</w:t>
      </w:r>
      <w:r>
        <w:t>段</w:t>
      </w:r>
      <w:r>
        <w:rPr>
          <w:rFonts w:hint="eastAsia"/>
        </w:rPr>
        <w:t>(</w:t>
      </w:r>
      <w:r>
        <w:rPr>
          <w:rFonts w:hint="eastAsia"/>
        </w:rPr>
        <w:t>土著土地和</w:t>
      </w:r>
      <w:r w:rsidRPr="00E15D2E">
        <w:rPr>
          <w:rFonts w:hint="eastAsia"/>
        </w:rPr>
        <w:t>使用权</w:t>
      </w:r>
      <w:r>
        <w:rPr>
          <w:rFonts w:hint="eastAsia"/>
        </w:rPr>
        <w:t>)</w:t>
      </w:r>
      <w:r>
        <w:rPr>
          <w:rFonts w:hint="eastAsia"/>
        </w:rPr>
        <w:t>所载委员会</w:t>
      </w:r>
      <w:r>
        <w:t>建议的</w:t>
      </w:r>
      <w:r>
        <w:rPr>
          <w:rFonts w:hint="eastAsia"/>
        </w:rPr>
        <w:t>执行</w:t>
      </w:r>
      <w:r>
        <w:t>情况。</w:t>
      </w:r>
    </w:p>
    <w:p w:rsidR="00E15D2E" w:rsidRDefault="00E15D2E" w:rsidP="00E15D2E">
      <w:pPr>
        <w:pStyle w:val="SingleTxt"/>
      </w:pPr>
      <w:r>
        <w:rPr>
          <w:rFonts w:hint="eastAsia"/>
        </w:rPr>
        <w:t xml:space="preserve">22.  </w:t>
      </w:r>
      <w:r w:rsidR="00A97A3A">
        <w:rPr>
          <w:rFonts w:hint="eastAsia"/>
        </w:rPr>
        <w:t>委员会请</w:t>
      </w:r>
      <w:r>
        <w:rPr>
          <w:rFonts w:hint="eastAsia"/>
        </w:rPr>
        <w:t>缔约国在</w:t>
      </w:r>
      <w:r>
        <w:rPr>
          <w:rFonts w:hint="eastAsia"/>
        </w:rPr>
        <w:t>2020</w:t>
      </w:r>
      <w:r>
        <w:rPr>
          <w:rFonts w:hint="eastAsia"/>
        </w:rPr>
        <w:t>年</w:t>
      </w:r>
      <w:r>
        <w:rPr>
          <w:rFonts w:hint="eastAsia"/>
        </w:rPr>
        <w:t>7</w:t>
      </w:r>
      <w:r>
        <w:rPr>
          <w:rFonts w:hint="eastAsia"/>
        </w:rPr>
        <w:t>月</w:t>
      </w:r>
      <w:r>
        <w:rPr>
          <w:rFonts w:hint="eastAsia"/>
        </w:rPr>
        <w:t>24</w:t>
      </w:r>
      <w:r>
        <w:rPr>
          <w:rFonts w:hint="eastAsia"/>
        </w:rPr>
        <w:t>日之前提交下次定期报告，</w:t>
      </w:r>
      <w:r w:rsidR="00A97A3A">
        <w:rPr>
          <w:rFonts w:hint="eastAsia"/>
        </w:rPr>
        <w:t>其中</w:t>
      </w:r>
      <w:r>
        <w:rPr>
          <w:rFonts w:hint="eastAsia"/>
        </w:rPr>
        <w:t>提供具体的最新资料，</w:t>
      </w:r>
      <w:r>
        <w:t>说明落实委员会所提各项建议的情况以及整个《公约》的执行情况</w:t>
      </w:r>
      <w:r>
        <w:rPr>
          <w:rFonts w:hint="eastAsia"/>
        </w:rPr>
        <w:t>。委员会要求缔约国在编写报告过程中与公民社会和在该国活动的非政府组织广泛磋商。根据大会第</w:t>
      </w:r>
      <w:r w:rsidRPr="00D32356">
        <w:t>68/268</w:t>
      </w:r>
      <w:r>
        <w:rPr>
          <w:rFonts w:hint="eastAsia"/>
        </w:rPr>
        <w:t>号决议，报告篇幅为</w:t>
      </w:r>
      <w:r w:rsidRPr="00D32356">
        <w:t>2</w:t>
      </w:r>
      <w:r>
        <w:t>1,</w:t>
      </w:r>
      <w:r w:rsidRPr="00D32356">
        <w:t>200</w:t>
      </w:r>
      <w:r>
        <w:rPr>
          <w:rFonts w:hint="eastAsia"/>
        </w:rPr>
        <w:t>字。</w:t>
      </w:r>
    </w:p>
    <w:p w:rsidR="00B31E9D" w:rsidRPr="00E15D2E" w:rsidRDefault="00E15D2E" w:rsidP="00E15D2E">
      <w:pPr>
        <w:pStyle w:val="H1"/>
        <w:spacing w:line="240" w:lineRule="auto"/>
        <w:rPr>
          <w:rStyle w:val="a4"/>
          <w:color w:val="auto"/>
          <w:w w:val="100"/>
          <w:sz w:val="20"/>
          <w:vertAlign w:val="baseline"/>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E15D2E" w:rsidSect="008C2494">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09:45:00Z" w:initials="Start">
    <w:p w:rsidR="008C2494" w:rsidRDefault="008C249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NO&gt;&gt;N1517998C&lt;&lt;ODS JOB NO&gt;&gt;</w:t>
      </w:r>
    </w:p>
    <w:p w:rsidR="008C2494" w:rsidRDefault="008C2494">
      <w:pPr>
        <w:pStyle w:val="a7"/>
      </w:pPr>
      <w:r>
        <w:t>&lt;&lt;ODS DOC SYMBOL1&gt;&gt;CCPR/C/CAN/CO/6&lt;&lt;ODS DOC SYMBOL1&gt;&gt;</w:t>
      </w:r>
    </w:p>
    <w:p w:rsidR="008C2494" w:rsidRDefault="008C249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247" w:rsidRDefault="00404247">
      <w:r>
        <w:separator/>
      </w:r>
    </w:p>
  </w:endnote>
  <w:endnote w:type="continuationSeparator" w:id="0">
    <w:p w:rsidR="00404247" w:rsidRDefault="0040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2494" w:rsidTr="008C2494">
      <w:trPr>
        <w:jc w:val="center"/>
      </w:trPr>
      <w:tc>
        <w:tcPr>
          <w:tcW w:w="5126" w:type="dxa"/>
          <w:shd w:val="clear" w:color="auto" w:fill="auto"/>
        </w:tcPr>
        <w:p w:rsidR="008C2494" w:rsidRPr="008C2494" w:rsidRDefault="008C2494" w:rsidP="008C249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D15">
            <w:rPr>
              <w:b w:val="0"/>
              <w:w w:val="103"/>
              <w:sz w:val="14"/>
            </w:rPr>
            <w:t>GE.15-13296 (C)</w:t>
          </w:r>
          <w:r>
            <w:rPr>
              <w:b w:val="0"/>
              <w:w w:val="103"/>
              <w:sz w:val="14"/>
            </w:rPr>
            <w:fldChar w:fldCharType="end"/>
          </w:r>
        </w:p>
      </w:tc>
      <w:tc>
        <w:tcPr>
          <w:tcW w:w="5127" w:type="dxa"/>
          <w:shd w:val="clear" w:color="auto" w:fill="auto"/>
        </w:tcPr>
        <w:p w:rsidR="008C2494" w:rsidRPr="008C2494" w:rsidRDefault="008C2494" w:rsidP="008C2494">
          <w:pPr>
            <w:pStyle w:val="ac"/>
            <w:jc w:val="left"/>
            <w:rPr>
              <w:w w:val="103"/>
            </w:rPr>
          </w:pPr>
          <w:r>
            <w:rPr>
              <w:w w:val="103"/>
            </w:rPr>
            <w:fldChar w:fldCharType="begin"/>
          </w:r>
          <w:r>
            <w:rPr>
              <w:w w:val="103"/>
            </w:rPr>
            <w:instrText xml:space="preserve"> PAGE  \* Arabic  \* MERGEFORMAT </w:instrText>
          </w:r>
          <w:r>
            <w:rPr>
              <w:w w:val="103"/>
            </w:rPr>
            <w:fldChar w:fldCharType="separate"/>
          </w:r>
          <w:r w:rsidR="000D1D15">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1D15">
            <w:rPr>
              <w:w w:val="103"/>
            </w:rPr>
            <w:t>7</w:t>
          </w:r>
          <w:r>
            <w:rPr>
              <w:w w:val="103"/>
            </w:rPr>
            <w:fldChar w:fldCharType="end"/>
          </w:r>
        </w:p>
      </w:tc>
    </w:tr>
  </w:tbl>
  <w:p w:rsidR="008C2494" w:rsidRPr="008C2494" w:rsidRDefault="008C2494" w:rsidP="008C249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2494" w:rsidTr="008C2494">
      <w:trPr>
        <w:jc w:val="center"/>
      </w:trPr>
      <w:tc>
        <w:tcPr>
          <w:tcW w:w="5126" w:type="dxa"/>
          <w:shd w:val="clear" w:color="auto" w:fill="auto"/>
        </w:tcPr>
        <w:p w:rsidR="008C2494" w:rsidRPr="008C2494" w:rsidRDefault="008C2494" w:rsidP="008C2494">
          <w:pPr>
            <w:pStyle w:val="ac"/>
            <w:jc w:val="right"/>
          </w:pPr>
          <w:r>
            <w:fldChar w:fldCharType="begin"/>
          </w:r>
          <w:r>
            <w:instrText xml:space="preserve"> PAGE  \* Arabic  \* MERGEFORMAT </w:instrText>
          </w:r>
          <w:r>
            <w:fldChar w:fldCharType="separate"/>
          </w:r>
          <w:r w:rsidR="000D1D15">
            <w:t>7</w:t>
          </w:r>
          <w:r>
            <w:fldChar w:fldCharType="end"/>
          </w:r>
          <w:r>
            <w:t>/</w:t>
          </w:r>
          <w:r w:rsidR="000D1D15">
            <w:fldChar w:fldCharType="begin"/>
          </w:r>
          <w:r w:rsidR="000D1D15">
            <w:instrText xml:space="preserve"> NUMPAGES  \* Arabic  \* MERGEFORMAT </w:instrText>
          </w:r>
          <w:r w:rsidR="000D1D15">
            <w:fldChar w:fldCharType="separate"/>
          </w:r>
          <w:r w:rsidR="000D1D15">
            <w:t>7</w:t>
          </w:r>
          <w:r w:rsidR="000D1D15">
            <w:fldChar w:fldCharType="end"/>
          </w:r>
        </w:p>
      </w:tc>
      <w:tc>
        <w:tcPr>
          <w:tcW w:w="5127" w:type="dxa"/>
          <w:shd w:val="clear" w:color="auto" w:fill="auto"/>
        </w:tcPr>
        <w:p w:rsidR="008C2494" w:rsidRPr="008C2494" w:rsidRDefault="008C2494" w:rsidP="008C249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D15">
            <w:rPr>
              <w:b w:val="0"/>
              <w:w w:val="103"/>
              <w:sz w:val="14"/>
            </w:rPr>
            <w:t>GE.15-13296 (C)</w:t>
          </w:r>
          <w:r>
            <w:rPr>
              <w:b w:val="0"/>
              <w:w w:val="103"/>
              <w:sz w:val="14"/>
            </w:rPr>
            <w:fldChar w:fldCharType="end"/>
          </w:r>
        </w:p>
      </w:tc>
    </w:tr>
  </w:tbl>
  <w:p w:rsidR="008C2494" w:rsidRPr="008C2494" w:rsidRDefault="008C2494" w:rsidP="008C249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8C2494" w:rsidTr="008C2494">
      <w:tc>
        <w:tcPr>
          <w:tcW w:w="3873" w:type="dxa"/>
        </w:tcPr>
        <w:p w:rsidR="008C2494" w:rsidRDefault="008C2494" w:rsidP="00E15D2E">
          <w:pPr>
            <w:pStyle w:val="Release"/>
          </w:pPr>
          <w:r>
            <w:rPr>
              <w:noProof/>
            </w:rPr>
            <w:drawing>
              <wp:anchor distT="0" distB="0" distL="114300" distR="114300" simplePos="0" relativeHeight="251658240" behindDoc="0" locked="0" layoutInCell="1" allowOverlap="1" wp14:anchorId="39F759CD" wp14:editId="613CF266">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CPR/C/CAN/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AN/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D1D15">
            <w:fldChar w:fldCharType="begin"/>
          </w:r>
          <w:r w:rsidR="000D1D15">
            <w:instrText xml:space="preserve"> DOCVARIABLE "jobn" \* MERGEFORMAT </w:instrText>
          </w:r>
          <w:r w:rsidR="000D1D15">
            <w:fldChar w:fldCharType="separate"/>
          </w:r>
          <w:r w:rsidR="000D1D15">
            <w:t>GE.15-13296 (C)</w:t>
          </w:r>
          <w:r w:rsidR="000D1D15">
            <w:fldChar w:fldCharType="end"/>
          </w:r>
          <w:r>
            <w:t xml:space="preserve">    2</w:t>
          </w:r>
          <w:r w:rsidR="00E15D2E">
            <w:rPr>
              <w:rFonts w:hint="eastAsia"/>
            </w:rPr>
            <w:t>3</w:t>
          </w:r>
          <w:r>
            <w:t>1015    261015</w:t>
          </w:r>
        </w:p>
        <w:p w:rsidR="008C2494" w:rsidRPr="008C2494" w:rsidRDefault="008C2494" w:rsidP="008C2494">
          <w:pPr>
            <w:spacing w:before="80" w:line="210" w:lineRule="exact"/>
            <w:rPr>
              <w:rFonts w:ascii="Barcode 3 of 9 by request" w:hAnsi="Barcode 3 of 9 by request"/>
              <w:sz w:val="24"/>
            </w:rPr>
          </w:pPr>
          <w:r>
            <w:rPr>
              <w:rFonts w:ascii="Barcode 3 of 9 by request" w:hAnsi="Barcode 3 of 9 by request"/>
              <w:sz w:val="24"/>
            </w:rPr>
            <w:t>*1513296*</w:t>
          </w:r>
        </w:p>
      </w:tc>
      <w:tc>
        <w:tcPr>
          <w:tcW w:w="5127" w:type="dxa"/>
        </w:tcPr>
        <w:p w:rsidR="008C2494" w:rsidRDefault="008C2494" w:rsidP="008C2494">
          <w:pPr>
            <w:pStyle w:val="ac"/>
            <w:jc w:val="right"/>
            <w:rPr>
              <w:b w:val="0"/>
              <w:sz w:val="21"/>
            </w:rPr>
          </w:pPr>
          <w:r>
            <w:rPr>
              <w:b w:val="0"/>
              <w:sz w:val="21"/>
            </w:rPr>
            <w:drawing>
              <wp:inline distT="0" distB="0" distL="0" distR="0" wp14:anchorId="6F5EAFFE" wp14:editId="1E92A8B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8C2494" w:rsidRPr="008C2494" w:rsidRDefault="008C2494" w:rsidP="008C249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247" w:rsidRPr="00E15D2E" w:rsidRDefault="00E15D2E" w:rsidP="00E15D2E">
      <w:pPr>
        <w:pStyle w:val="ac"/>
        <w:spacing w:after="80"/>
        <w:ind w:left="792"/>
        <w:rPr>
          <w:sz w:val="16"/>
        </w:rPr>
      </w:pPr>
      <w:r w:rsidRPr="00E15D2E">
        <w:rPr>
          <w:sz w:val="16"/>
        </w:rPr>
        <w:t>__________________</w:t>
      </w:r>
    </w:p>
  </w:footnote>
  <w:footnote w:type="continuationSeparator" w:id="0">
    <w:p w:rsidR="00404247" w:rsidRPr="00E15D2E" w:rsidRDefault="00E15D2E" w:rsidP="00E15D2E">
      <w:pPr>
        <w:pStyle w:val="ac"/>
        <w:spacing w:after="80"/>
        <w:ind w:left="792"/>
        <w:rPr>
          <w:sz w:val="16"/>
        </w:rPr>
      </w:pPr>
      <w:r w:rsidRPr="00E15D2E">
        <w:rPr>
          <w:sz w:val="16"/>
        </w:rPr>
        <w:t>__________________</w:t>
      </w:r>
    </w:p>
  </w:footnote>
  <w:footnote w:id="1">
    <w:p w:rsidR="00E15D2E" w:rsidRPr="00801E0C" w:rsidRDefault="00E15D2E" w:rsidP="00E15D2E">
      <w:pPr>
        <w:pStyle w:val="a5"/>
        <w:tabs>
          <w:tab w:val="clear" w:pos="418"/>
          <w:tab w:val="right" w:pos="1195"/>
          <w:tab w:val="left" w:pos="1264"/>
          <w:tab w:val="left" w:pos="1695"/>
          <w:tab w:val="left" w:pos="2126"/>
          <w:tab w:val="left" w:pos="2557"/>
        </w:tabs>
        <w:ind w:left="1264" w:right="1264" w:hanging="432"/>
      </w:pPr>
      <w:r>
        <w:tab/>
      </w:r>
      <w:r w:rsidRPr="00E15D2E">
        <w:rPr>
          <w:rStyle w:val="a3"/>
          <w:color w:val="0000FF"/>
          <w:sz w:val="21"/>
          <w:szCs w:val="21"/>
          <w:vertAlign w:val="baseline"/>
        </w:rPr>
        <w:t>*</w:t>
      </w:r>
      <w:r w:rsidRPr="00E15D2E">
        <w:rPr>
          <w:sz w:val="21"/>
          <w:szCs w:val="21"/>
        </w:rPr>
        <w:tab/>
      </w:r>
      <w:r>
        <w:rPr>
          <w:rFonts w:hint="eastAsia"/>
        </w:rPr>
        <w:t>委员会第</w:t>
      </w:r>
      <w:r>
        <w:rPr>
          <w:rFonts w:hint="eastAsia"/>
        </w:rPr>
        <w:t>114</w:t>
      </w:r>
      <w:r>
        <w:rPr>
          <w:rFonts w:hint="eastAsia"/>
        </w:rPr>
        <w:t>届会议</w:t>
      </w:r>
      <w:r>
        <w:rPr>
          <w:rFonts w:hint="eastAsia"/>
        </w:rPr>
        <w:t>(2015</w:t>
      </w:r>
      <w:r>
        <w:rPr>
          <w:rFonts w:hint="eastAsia"/>
        </w:rPr>
        <w:t>年</w:t>
      </w:r>
      <w:r>
        <w:rPr>
          <w:rFonts w:hint="eastAsia"/>
        </w:rPr>
        <w:t>6</w:t>
      </w:r>
      <w:r>
        <w:rPr>
          <w:rFonts w:hint="eastAsia"/>
        </w:rPr>
        <w:t>月</w:t>
      </w:r>
      <w:r>
        <w:rPr>
          <w:rFonts w:hint="eastAsia"/>
        </w:rPr>
        <w:t>29</w:t>
      </w:r>
      <w:r>
        <w:rPr>
          <w:rFonts w:hint="eastAsia"/>
        </w:rPr>
        <w:t>日至</w:t>
      </w:r>
      <w:r>
        <w:rPr>
          <w:rFonts w:hint="eastAsia"/>
        </w:rPr>
        <w:t>7</w:t>
      </w:r>
      <w:r>
        <w:rPr>
          <w:rFonts w:hint="eastAsia"/>
        </w:rPr>
        <w:t>月</w:t>
      </w:r>
      <w:r>
        <w:rPr>
          <w:rFonts w:hint="eastAsia"/>
        </w:rPr>
        <w:t>24</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C2494" w:rsidTr="008C2494">
      <w:trPr>
        <w:trHeight w:hRule="exact" w:val="864"/>
        <w:jc w:val="center"/>
      </w:trPr>
      <w:tc>
        <w:tcPr>
          <w:tcW w:w="4882" w:type="dxa"/>
          <w:shd w:val="clear" w:color="auto" w:fill="auto"/>
          <w:vAlign w:val="bottom"/>
        </w:tcPr>
        <w:p w:rsidR="008C2494" w:rsidRPr="008C2494" w:rsidRDefault="008C2494" w:rsidP="008C249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D1D15">
            <w:rPr>
              <w:b/>
              <w:sz w:val="17"/>
            </w:rPr>
            <w:t>CCPR/C/CAN/CO/6</w:t>
          </w:r>
          <w:r>
            <w:rPr>
              <w:b/>
              <w:sz w:val="17"/>
            </w:rPr>
            <w:fldChar w:fldCharType="end"/>
          </w:r>
        </w:p>
      </w:tc>
      <w:tc>
        <w:tcPr>
          <w:tcW w:w="5127" w:type="dxa"/>
          <w:shd w:val="clear" w:color="auto" w:fill="auto"/>
          <w:vAlign w:val="bottom"/>
        </w:tcPr>
        <w:p w:rsidR="008C2494" w:rsidRDefault="008C2494" w:rsidP="008C2494">
          <w:pPr>
            <w:pStyle w:val="ab"/>
          </w:pPr>
        </w:p>
      </w:tc>
    </w:tr>
  </w:tbl>
  <w:p w:rsidR="008C2494" w:rsidRPr="008C2494" w:rsidRDefault="008C2494" w:rsidP="008C249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C2494" w:rsidTr="008C2494">
      <w:trPr>
        <w:trHeight w:hRule="exact" w:val="864"/>
        <w:jc w:val="center"/>
      </w:trPr>
      <w:tc>
        <w:tcPr>
          <w:tcW w:w="4882" w:type="dxa"/>
          <w:shd w:val="clear" w:color="auto" w:fill="auto"/>
          <w:vAlign w:val="bottom"/>
        </w:tcPr>
        <w:p w:rsidR="008C2494" w:rsidRDefault="008C2494" w:rsidP="008C2494">
          <w:pPr>
            <w:pStyle w:val="ab"/>
          </w:pPr>
        </w:p>
      </w:tc>
      <w:tc>
        <w:tcPr>
          <w:tcW w:w="5127" w:type="dxa"/>
          <w:shd w:val="clear" w:color="auto" w:fill="auto"/>
          <w:vAlign w:val="bottom"/>
        </w:tcPr>
        <w:p w:rsidR="008C2494" w:rsidRPr="008C2494" w:rsidRDefault="008C2494" w:rsidP="008C249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D1D15">
            <w:rPr>
              <w:b/>
              <w:sz w:val="17"/>
            </w:rPr>
            <w:t>CCPR/C/CAN/CO/6</w:t>
          </w:r>
          <w:r>
            <w:rPr>
              <w:b/>
              <w:sz w:val="17"/>
            </w:rPr>
            <w:fldChar w:fldCharType="end"/>
          </w:r>
        </w:p>
      </w:tc>
    </w:tr>
  </w:tbl>
  <w:p w:rsidR="008C2494" w:rsidRPr="008C2494" w:rsidRDefault="008C2494" w:rsidP="008C249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C2494" w:rsidTr="008C2494">
      <w:trPr>
        <w:trHeight w:hRule="exact" w:val="864"/>
      </w:trPr>
      <w:tc>
        <w:tcPr>
          <w:tcW w:w="1267" w:type="dxa"/>
          <w:tcBorders>
            <w:bottom w:val="single" w:sz="4" w:space="0" w:color="auto"/>
          </w:tcBorders>
          <w:shd w:val="clear" w:color="auto" w:fill="auto"/>
          <w:vAlign w:val="bottom"/>
        </w:tcPr>
        <w:p w:rsidR="008C2494" w:rsidRDefault="008C2494" w:rsidP="008C2494">
          <w:pPr>
            <w:pStyle w:val="ab"/>
            <w:spacing w:after="120"/>
          </w:pPr>
        </w:p>
      </w:tc>
      <w:tc>
        <w:tcPr>
          <w:tcW w:w="1872" w:type="dxa"/>
          <w:tcBorders>
            <w:bottom w:val="single" w:sz="4" w:space="0" w:color="auto"/>
          </w:tcBorders>
          <w:shd w:val="clear" w:color="auto" w:fill="auto"/>
          <w:vAlign w:val="bottom"/>
        </w:tcPr>
        <w:p w:rsidR="008C2494" w:rsidRPr="008C2494" w:rsidRDefault="008C2494" w:rsidP="008C249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8C2494" w:rsidRDefault="008C2494" w:rsidP="008C2494">
          <w:pPr>
            <w:pStyle w:val="ab"/>
            <w:spacing w:after="120"/>
          </w:pPr>
        </w:p>
      </w:tc>
      <w:tc>
        <w:tcPr>
          <w:tcW w:w="6653" w:type="dxa"/>
          <w:gridSpan w:val="4"/>
          <w:tcBorders>
            <w:bottom w:val="single" w:sz="4" w:space="0" w:color="auto"/>
          </w:tcBorders>
          <w:shd w:val="clear" w:color="auto" w:fill="auto"/>
          <w:vAlign w:val="bottom"/>
        </w:tcPr>
        <w:p w:rsidR="008C2494" w:rsidRPr="008C2494" w:rsidRDefault="008C2494" w:rsidP="008C2494">
          <w:pPr>
            <w:spacing w:after="80" w:line="240" w:lineRule="auto"/>
            <w:jc w:val="right"/>
            <w:rPr>
              <w:position w:val="-4"/>
            </w:rPr>
          </w:pPr>
          <w:r>
            <w:rPr>
              <w:position w:val="-4"/>
              <w:sz w:val="40"/>
            </w:rPr>
            <w:t>CCPR</w:t>
          </w:r>
          <w:r>
            <w:rPr>
              <w:position w:val="-4"/>
            </w:rPr>
            <w:t>/C/CAN/CO/6</w:t>
          </w:r>
        </w:p>
      </w:tc>
    </w:tr>
    <w:tr w:rsidR="008C2494" w:rsidRPr="008C2494" w:rsidTr="008C2494">
      <w:trPr>
        <w:gridAfter w:val="1"/>
        <w:wAfter w:w="18" w:type="dxa"/>
        <w:trHeight w:hRule="exact" w:val="2880"/>
      </w:trPr>
      <w:tc>
        <w:tcPr>
          <w:tcW w:w="1267" w:type="dxa"/>
          <w:tcBorders>
            <w:top w:val="single" w:sz="4" w:space="0" w:color="auto"/>
            <w:bottom w:val="single" w:sz="12" w:space="0" w:color="auto"/>
          </w:tcBorders>
          <w:shd w:val="clear" w:color="auto" w:fill="auto"/>
        </w:tcPr>
        <w:p w:rsidR="008C2494" w:rsidRPr="008C2494" w:rsidRDefault="008C2494" w:rsidP="008C2494">
          <w:pPr>
            <w:pStyle w:val="ab"/>
            <w:spacing w:before="109"/>
            <w:ind w:left="-72"/>
          </w:pPr>
          <w:r>
            <w:t xml:space="preserve"> </w:t>
          </w:r>
          <w:r>
            <w:drawing>
              <wp:inline distT="0" distB="0" distL="0" distR="0" wp14:anchorId="08401E3C" wp14:editId="1ED4875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C2494" w:rsidRPr="008C2494" w:rsidRDefault="008C2494" w:rsidP="008C2494">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8C2494" w:rsidRPr="008C2494" w:rsidRDefault="008C2494" w:rsidP="008C2494">
          <w:pPr>
            <w:pStyle w:val="ab"/>
            <w:spacing w:before="109"/>
          </w:pPr>
        </w:p>
      </w:tc>
      <w:tc>
        <w:tcPr>
          <w:tcW w:w="3280" w:type="dxa"/>
          <w:tcBorders>
            <w:top w:val="single" w:sz="4" w:space="0" w:color="auto"/>
            <w:bottom w:val="single" w:sz="12" w:space="0" w:color="auto"/>
          </w:tcBorders>
          <w:shd w:val="clear" w:color="auto" w:fill="auto"/>
        </w:tcPr>
        <w:p w:rsidR="008C2494" w:rsidRDefault="008C2494" w:rsidP="008C2494">
          <w:pPr>
            <w:pStyle w:val="Distr"/>
          </w:pPr>
          <w:r>
            <w:t>Distr.: General</w:t>
          </w:r>
        </w:p>
        <w:p w:rsidR="008C2494" w:rsidRDefault="008C2494" w:rsidP="008C2494">
          <w:pPr>
            <w:pStyle w:val="Publication"/>
          </w:pPr>
          <w:r>
            <w:t>13 August 2015</w:t>
          </w:r>
        </w:p>
        <w:p w:rsidR="008C2494" w:rsidRDefault="008C2494" w:rsidP="008C2494">
          <w:pPr>
            <w:spacing w:line="240" w:lineRule="exact"/>
          </w:pPr>
          <w:r>
            <w:t>Chinese</w:t>
          </w:r>
        </w:p>
        <w:p w:rsidR="008C2494" w:rsidRDefault="008C2494" w:rsidP="008C2494">
          <w:pPr>
            <w:pStyle w:val="Original"/>
          </w:pPr>
          <w:r>
            <w:t>Original: English</w:t>
          </w:r>
        </w:p>
        <w:p w:rsidR="008C2494" w:rsidRPr="008C2494" w:rsidRDefault="008C2494" w:rsidP="008C2494"/>
      </w:tc>
    </w:tr>
  </w:tbl>
  <w:p w:rsidR="008C2494" w:rsidRPr="008C2494" w:rsidRDefault="008C2494" w:rsidP="008C249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296*"/>
    <w:docVar w:name="CreationDt" w:val="26/10/2015 09:45:11"/>
    <w:docVar w:name="DocCategory" w:val="Doc"/>
    <w:docVar w:name="DocType" w:val="Final"/>
    <w:docVar w:name="DutyStation" w:val="Geneva"/>
    <w:docVar w:name="FooterJN" w:val="GE.15-13296 (C)"/>
    <w:docVar w:name="jobn" w:val="GE.15-13296 (C)"/>
    <w:docVar w:name="jobnDT" w:val="15-13296 (C)   261015"/>
    <w:docVar w:name="jobnDTDT" w:val="15-13296 (C)   261015   261015"/>
    <w:docVar w:name="JobNo" w:val="GE.1513296C"/>
    <w:docVar w:name="LocalDrive" w:val="0"/>
    <w:docVar w:name="OandT" w:val="JIA"/>
    <w:docVar w:name="PaperSize" w:val="A4"/>
    <w:docVar w:name="sss1" w:val="CCPR/C/CAN/CO/6"/>
    <w:docVar w:name="sss2" w:val="-"/>
    <w:docVar w:name="Symbol1" w:val="CCPR/C/CAN/CO/6"/>
    <w:docVar w:name="Symbol2" w:val="-"/>
  </w:docVars>
  <w:rsids>
    <w:rsidRoot w:val="00404247"/>
    <w:rsid w:val="00000689"/>
    <w:rsid w:val="0000347C"/>
    <w:rsid w:val="0000715A"/>
    <w:rsid w:val="000101C8"/>
    <w:rsid w:val="000125BC"/>
    <w:rsid w:val="0001370B"/>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B5660"/>
    <w:rsid w:val="000C1786"/>
    <w:rsid w:val="000C4C08"/>
    <w:rsid w:val="000C4DDE"/>
    <w:rsid w:val="000C5208"/>
    <w:rsid w:val="000D1D15"/>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6D92"/>
    <w:rsid w:val="001C1478"/>
    <w:rsid w:val="001C161F"/>
    <w:rsid w:val="001C1E0E"/>
    <w:rsid w:val="001C3329"/>
    <w:rsid w:val="001C3F7F"/>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7135"/>
    <w:rsid w:val="00212008"/>
    <w:rsid w:val="002145EA"/>
    <w:rsid w:val="002200D0"/>
    <w:rsid w:val="00221884"/>
    <w:rsid w:val="0022603B"/>
    <w:rsid w:val="00230FAB"/>
    <w:rsid w:val="00231575"/>
    <w:rsid w:val="00232F4A"/>
    <w:rsid w:val="002339EC"/>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B4610"/>
    <w:rsid w:val="003C22B7"/>
    <w:rsid w:val="003C4125"/>
    <w:rsid w:val="003C448D"/>
    <w:rsid w:val="003C7B20"/>
    <w:rsid w:val="003D075F"/>
    <w:rsid w:val="003D5B4D"/>
    <w:rsid w:val="003E4565"/>
    <w:rsid w:val="003E5999"/>
    <w:rsid w:val="003E748F"/>
    <w:rsid w:val="003E7612"/>
    <w:rsid w:val="003F4BD2"/>
    <w:rsid w:val="003F4C6A"/>
    <w:rsid w:val="003F7BF8"/>
    <w:rsid w:val="00404247"/>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781D"/>
    <w:rsid w:val="004B2C67"/>
    <w:rsid w:val="004B4F06"/>
    <w:rsid w:val="004C0224"/>
    <w:rsid w:val="004C053E"/>
    <w:rsid w:val="004C089F"/>
    <w:rsid w:val="004C1456"/>
    <w:rsid w:val="004C3255"/>
    <w:rsid w:val="004C3BAA"/>
    <w:rsid w:val="004D07E1"/>
    <w:rsid w:val="004D1C19"/>
    <w:rsid w:val="004D5046"/>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ECF"/>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A3209"/>
    <w:rsid w:val="008B0240"/>
    <w:rsid w:val="008B0349"/>
    <w:rsid w:val="008B1481"/>
    <w:rsid w:val="008B32BC"/>
    <w:rsid w:val="008B5DE8"/>
    <w:rsid w:val="008B6642"/>
    <w:rsid w:val="008C076B"/>
    <w:rsid w:val="008C2456"/>
    <w:rsid w:val="008C2494"/>
    <w:rsid w:val="008C3296"/>
    <w:rsid w:val="008C3413"/>
    <w:rsid w:val="008C4DE6"/>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649D6"/>
    <w:rsid w:val="00967DA8"/>
    <w:rsid w:val="009769E1"/>
    <w:rsid w:val="00977E0D"/>
    <w:rsid w:val="00982D5C"/>
    <w:rsid w:val="00986132"/>
    <w:rsid w:val="00986C04"/>
    <w:rsid w:val="009932F9"/>
    <w:rsid w:val="009A11E3"/>
    <w:rsid w:val="009A2F7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97A3A"/>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035D"/>
    <w:rsid w:val="00BE1CC3"/>
    <w:rsid w:val="00BE1CDE"/>
    <w:rsid w:val="00BE365A"/>
    <w:rsid w:val="00BE47C4"/>
    <w:rsid w:val="00BE50EF"/>
    <w:rsid w:val="00C04B9E"/>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349F"/>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701A"/>
    <w:rsid w:val="00D10888"/>
    <w:rsid w:val="00D10EE5"/>
    <w:rsid w:val="00D13A3B"/>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003F"/>
    <w:rsid w:val="00E15D2E"/>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4491"/>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qFormat/>
    <w:rsid w:val="00E15D2E"/>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E15D2E"/>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rsid w:val="00E15D2E"/>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E15D2E"/>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rsid w:val="00E15D2E"/>
    <w:rPr>
      <w:rFonts w:eastAsia="宋体"/>
      <w:noProof/>
      <w:kern w:val="14"/>
      <w:sz w:val="18"/>
      <w:lang w:val="en-US"/>
    </w:rPr>
  </w:style>
  <w:style w:type="character" w:customStyle="1" w:styleId="SingleTxtGChar">
    <w:name w:val="_ Single Txt_G Char"/>
    <w:link w:val="SingleTxtG"/>
    <w:rsid w:val="00E15D2E"/>
    <w:rPr>
      <w:lang w:eastAsia="en-US"/>
    </w:rPr>
  </w:style>
  <w:style w:type="character" w:customStyle="1" w:styleId="st">
    <w:name w:val="st"/>
    <w:rsid w:val="00E15D2E"/>
  </w:style>
  <w:style w:type="character" w:styleId="af0">
    <w:name w:val="Emphasis"/>
    <w:uiPriority w:val="20"/>
    <w:qFormat/>
    <w:rsid w:val="00E15D2E"/>
    <w:rPr>
      <w:i/>
      <w:iCs/>
    </w:rPr>
  </w:style>
  <w:style w:type="character" w:customStyle="1" w:styleId="hps">
    <w:name w:val="hps"/>
    <w:rsid w:val="00E15D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qFormat/>
    <w:rsid w:val="00E15D2E"/>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E15D2E"/>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rsid w:val="00E15D2E"/>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E15D2E"/>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rsid w:val="00E15D2E"/>
    <w:rPr>
      <w:rFonts w:eastAsia="宋体"/>
      <w:noProof/>
      <w:kern w:val="14"/>
      <w:sz w:val="18"/>
      <w:lang w:val="en-US"/>
    </w:rPr>
  </w:style>
  <w:style w:type="character" w:customStyle="1" w:styleId="SingleTxtGChar">
    <w:name w:val="_ Single Txt_G Char"/>
    <w:link w:val="SingleTxtG"/>
    <w:rsid w:val="00E15D2E"/>
    <w:rPr>
      <w:lang w:eastAsia="en-US"/>
    </w:rPr>
  </w:style>
  <w:style w:type="character" w:customStyle="1" w:styleId="st">
    <w:name w:val="st"/>
    <w:rsid w:val="00E15D2E"/>
  </w:style>
  <w:style w:type="character" w:styleId="af0">
    <w:name w:val="Emphasis"/>
    <w:uiPriority w:val="20"/>
    <w:qFormat/>
    <w:rsid w:val="00E15D2E"/>
    <w:rPr>
      <w:i/>
      <w:iCs/>
    </w:rPr>
  </w:style>
  <w:style w:type="character" w:customStyle="1" w:styleId="hps">
    <w:name w:val="hps"/>
    <w:rsid w:val="00E15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F0D34-BE77-455A-BB18-1A05FFB0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3187</Words>
  <Characters>3284</Characters>
  <Application>Microsoft Office Word</Application>
  <DocSecurity>0</DocSecurity>
  <Lines>149</Lines>
  <Paragraphs>61</Paragraphs>
  <ScaleCrop>false</ScaleCrop>
  <Company>DCM</Company>
  <LinksUpToDate>false</LinksUpToDate>
  <CharactersWithSpaces>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jiay</dc:creator>
  <cp:keywords/>
  <dc:description/>
  <cp:lastModifiedBy>jiay</cp:lastModifiedBy>
  <cp:revision>3</cp:revision>
  <cp:lastPrinted>2015-10-26T10:48:00Z</cp:lastPrinted>
  <dcterms:created xsi:type="dcterms:W3CDTF">2015-10-26T10:48:00Z</dcterms:created>
  <dcterms:modified xsi:type="dcterms:W3CDTF">2015-10-26T10:48:00Z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1513296</vt:lpwstr>
  </property>
  <property fmtid="{D5CDD505-2E9C-101B-9397-08002B2CF9AE}" pid="3" name="ODSRefJobNo">
    <vt:lpwstr>1517998C</vt:lpwstr>
  </property>
  <property fmtid="{D5CDD505-2E9C-101B-9397-08002B2CF9AE}" pid="4" name="Symbol1">
    <vt:lpwstr>CCPR/C/CAN/CO/6</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13 August 2015</vt:lpwstr>
  </property>
  <property fmtid="{D5CDD505-2E9C-101B-9397-08002B2CF9AE}" pid="12" name="Original">
    <vt:lpwstr>English</vt:lpwstr>
  </property>
  <property fmtid="{D5CDD505-2E9C-101B-9397-08002B2CF9AE}" pid="13" name="Release Date">
    <vt:lpwstr>261015</vt:lpwstr>
  </property>
</Properties>
</file>