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0EE09D3" w14:textId="77777777" w:rsidTr="00FB115A">
        <w:trPr>
          <w:cantSplit/>
          <w:trHeight w:hRule="exact" w:val="851"/>
        </w:trPr>
        <w:tc>
          <w:tcPr>
            <w:tcW w:w="1276" w:type="dxa"/>
            <w:tcBorders>
              <w:bottom w:val="single" w:sz="4" w:space="0" w:color="auto"/>
            </w:tcBorders>
            <w:vAlign w:val="bottom"/>
          </w:tcPr>
          <w:p w14:paraId="0AE7FC75" w14:textId="77777777" w:rsidR="00A126AC" w:rsidRDefault="00A126AC" w:rsidP="00FB115A">
            <w:pPr>
              <w:spacing w:after="80"/>
            </w:pPr>
          </w:p>
        </w:tc>
        <w:tc>
          <w:tcPr>
            <w:tcW w:w="2268" w:type="dxa"/>
            <w:tcBorders>
              <w:bottom w:val="single" w:sz="4" w:space="0" w:color="auto"/>
            </w:tcBorders>
            <w:vAlign w:val="bottom"/>
          </w:tcPr>
          <w:p w14:paraId="00CCCC2E"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C1B29D" w14:textId="77777777" w:rsidR="00A126AC" w:rsidRPr="006E4EE9" w:rsidRDefault="007D4B5A" w:rsidP="007D4B5A">
            <w:pPr>
              <w:suppressAutoHyphens w:val="0"/>
              <w:spacing w:after="20" w:line="240" w:lineRule="atLeast"/>
              <w:jc w:val="right"/>
            </w:pPr>
            <w:r w:rsidRPr="007D4B5A">
              <w:rPr>
                <w:sz w:val="40"/>
              </w:rPr>
              <w:t>CED</w:t>
            </w:r>
            <w:r>
              <w:t>/C/20/1</w:t>
            </w:r>
          </w:p>
        </w:tc>
      </w:tr>
      <w:tr w:rsidR="00A126AC" w14:paraId="0760745D" w14:textId="77777777" w:rsidTr="00FB115A">
        <w:trPr>
          <w:cantSplit/>
          <w:trHeight w:hRule="exact" w:val="2835"/>
        </w:trPr>
        <w:tc>
          <w:tcPr>
            <w:tcW w:w="1276" w:type="dxa"/>
            <w:tcBorders>
              <w:top w:val="single" w:sz="4" w:space="0" w:color="auto"/>
              <w:bottom w:val="single" w:sz="12" w:space="0" w:color="auto"/>
            </w:tcBorders>
          </w:tcPr>
          <w:p w14:paraId="26FBD253" w14:textId="77777777" w:rsidR="00A126AC" w:rsidRDefault="00A126AC" w:rsidP="00FB115A">
            <w:pPr>
              <w:spacing w:before="120"/>
              <w:jc w:val="center"/>
            </w:pPr>
            <w:r>
              <w:rPr>
                <w:noProof/>
                <w:lang w:eastAsia="en-GB"/>
              </w:rPr>
              <w:drawing>
                <wp:inline distT="0" distB="0" distL="0" distR="0" wp14:anchorId="5E651EDC" wp14:editId="685DD44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C0787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3DB5868" w14:textId="204B679A" w:rsidR="00A126AC" w:rsidRDefault="007D4B5A" w:rsidP="007D4B5A">
            <w:pPr>
              <w:spacing w:before="240"/>
            </w:pPr>
            <w:r>
              <w:t>Distr.: General</w:t>
            </w:r>
          </w:p>
          <w:p w14:paraId="70DB776D" w14:textId="433ED9C8" w:rsidR="007D4B5A" w:rsidRDefault="007D4B5A" w:rsidP="007D4B5A">
            <w:pPr>
              <w:suppressAutoHyphens w:val="0"/>
            </w:pPr>
            <w:r>
              <w:t>1</w:t>
            </w:r>
            <w:r w:rsidR="00B65B98">
              <w:t>2</w:t>
            </w:r>
            <w:r>
              <w:t xml:space="preserve"> November 2020</w:t>
            </w:r>
          </w:p>
          <w:p w14:paraId="2E819526" w14:textId="77777777" w:rsidR="007D4B5A" w:rsidRDefault="007D4B5A" w:rsidP="007D4B5A">
            <w:pPr>
              <w:suppressAutoHyphens w:val="0"/>
            </w:pPr>
          </w:p>
          <w:p w14:paraId="503450A0" w14:textId="77777777" w:rsidR="007D4B5A" w:rsidRDefault="007D4B5A" w:rsidP="007D4B5A">
            <w:pPr>
              <w:suppressAutoHyphens w:val="0"/>
              <w:spacing w:line="240" w:lineRule="atLeast"/>
            </w:pPr>
            <w:r>
              <w:t>Original: English</w:t>
            </w:r>
          </w:p>
          <w:p w14:paraId="3C4392B8" w14:textId="3270DE0C" w:rsidR="00393103" w:rsidRDefault="00393103" w:rsidP="007D4B5A">
            <w:pPr>
              <w:suppressAutoHyphens w:val="0"/>
              <w:spacing w:line="240" w:lineRule="atLeast"/>
            </w:pPr>
            <w:r>
              <w:t>English, French and Spanish only</w:t>
            </w:r>
          </w:p>
        </w:tc>
      </w:tr>
    </w:tbl>
    <w:p w14:paraId="733F49B9" w14:textId="77777777" w:rsidR="007D4B5A" w:rsidRPr="007D4B5A" w:rsidRDefault="007D4B5A" w:rsidP="007D4B5A">
      <w:pPr>
        <w:suppressAutoHyphens/>
        <w:spacing w:before="120" w:line="240" w:lineRule="atLeast"/>
        <w:rPr>
          <w:b/>
          <w:bCs/>
          <w:sz w:val="24"/>
          <w:szCs w:val="24"/>
        </w:rPr>
      </w:pPr>
      <w:r w:rsidRPr="007D4B5A">
        <w:rPr>
          <w:b/>
          <w:bCs/>
          <w:sz w:val="24"/>
          <w:szCs w:val="24"/>
        </w:rPr>
        <w:t>Committee on Enforced Disappearances</w:t>
      </w:r>
    </w:p>
    <w:p w14:paraId="5DFC2083" w14:textId="77777777" w:rsidR="007D4B5A" w:rsidRPr="007D4B5A" w:rsidRDefault="007D4B5A" w:rsidP="007D4B5A">
      <w:pPr>
        <w:rPr>
          <w:b/>
          <w:bCs/>
        </w:rPr>
      </w:pPr>
      <w:r w:rsidRPr="007D4B5A">
        <w:rPr>
          <w:b/>
          <w:bCs/>
        </w:rPr>
        <w:t>Twentieth session</w:t>
      </w:r>
    </w:p>
    <w:p w14:paraId="2C78276B" w14:textId="77777777" w:rsidR="007D4B5A" w:rsidRPr="00EA751F" w:rsidRDefault="007D4B5A" w:rsidP="007D4B5A">
      <w:r w:rsidRPr="00EA751F">
        <w:t>12–23 April 2021</w:t>
      </w:r>
    </w:p>
    <w:p w14:paraId="188D07F2" w14:textId="77777777" w:rsidR="007D4B5A" w:rsidRPr="00EA751F" w:rsidRDefault="007D4B5A" w:rsidP="007D4B5A">
      <w:r w:rsidRPr="00EA751F">
        <w:t>Item 1 of the provisional agenda</w:t>
      </w:r>
    </w:p>
    <w:p w14:paraId="75767ABF" w14:textId="77777777" w:rsidR="007D4B5A" w:rsidRPr="007D4B5A" w:rsidRDefault="007D4B5A" w:rsidP="007D4B5A">
      <w:pPr>
        <w:rPr>
          <w:b/>
          <w:bCs/>
        </w:rPr>
      </w:pPr>
      <w:bookmarkStart w:id="0" w:name="_GoBack"/>
      <w:r w:rsidRPr="007D4B5A">
        <w:rPr>
          <w:b/>
          <w:bCs/>
        </w:rPr>
        <w:t>A</w:t>
      </w:r>
      <w:bookmarkEnd w:id="0"/>
      <w:r w:rsidRPr="007D4B5A">
        <w:rPr>
          <w:b/>
          <w:bCs/>
        </w:rPr>
        <w:t>doption of the agenda</w:t>
      </w:r>
    </w:p>
    <w:p w14:paraId="5D4FD531" w14:textId="77777777" w:rsidR="007D4B5A" w:rsidRPr="00EA751F" w:rsidRDefault="007D4B5A" w:rsidP="007D4B5A">
      <w:pPr>
        <w:pStyle w:val="HChG"/>
      </w:pPr>
      <w:r w:rsidRPr="00EA751F">
        <w:tab/>
      </w:r>
      <w:r w:rsidRPr="00EA751F">
        <w:tab/>
        <w:t>Annotated provisional agenda</w:t>
      </w:r>
    </w:p>
    <w:p w14:paraId="5AB2908A" w14:textId="77777777" w:rsidR="007D4B5A" w:rsidRPr="00EA751F" w:rsidRDefault="007D4B5A" w:rsidP="007D4B5A">
      <w:pPr>
        <w:pStyle w:val="H1G"/>
      </w:pPr>
      <w:r w:rsidRPr="00EA751F">
        <w:tab/>
      </w:r>
      <w:r w:rsidRPr="00EA751F">
        <w:tab/>
        <w:t>Provisional agenda</w:t>
      </w:r>
    </w:p>
    <w:p w14:paraId="0F5FF2E0" w14:textId="77777777" w:rsidR="007D4B5A" w:rsidRPr="00EA751F" w:rsidRDefault="007D4B5A" w:rsidP="007D4B5A">
      <w:pPr>
        <w:pStyle w:val="SingleTxtG"/>
      </w:pPr>
      <w:r w:rsidRPr="00EA751F">
        <w:t>1.</w:t>
      </w:r>
      <w:r w:rsidRPr="00EA751F">
        <w:tab/>
        <w:t>Adoption of the agenda.</w:t>
      </w:r>
    </w:p>
    <w:p w14:paraId="6EF52EB3" w14:textId="77777777" w:rsidR="007D4B5A" w:rsidRPr="00EA751F" w:rsidRDefault="007D4B5A" w:rsidP="007D4B5A">
      <w:pPr>
        <w:pStyle w:val="SingleTxtG"/>
      </w:pPr>
      <w:r w:rsidRPr="00EA751F">
        <w:t>2.</w:t>
      </w:r>
      <w:r w:rsidRPr="00EA751F">
        <w:tab/>
        <w:t>Tribute to victims of enforced disappearance.</w:t>
      </w:r>
    </w:p>
    <w:p w14:paraId="4F0D7320" w14:textId="77777777" w:rsidR="007D4B5A" w:rsidRPr="00EA751F" w:rsidRDefault="007D4B5A" w:rsidP="007D4B5A">
      <w:pPr>
        <w:pStyle w:val="SingleTxtG"/>
      </w:pPr>
      <w:r w:rsidRPr="00EA751F">
        <w:t>3.</w:t>
      </w:r>
      <w:r w:rsidRPr="00EA751F">
        <w:tab/>
        <w:t>Information received by the Committee.</w:t>
      </w:r>
    </w:p>
    <w:p w14:paraId="52067441" w14:textId="1DB10971" w:rsidR="007D4B5A" w:rsidRPr="00EA751F" w:rsidRDefault="007D4B5A" w:rsidP="007D4B5A">
      <w:pPr>
        <w:pStyle w:val="SingleTxtG"/>
      </w:pPr>
      <w:r w:rsidRPr="00EA751F">
        <w:t>4.</w:t>
      </w:r>
      <w:r w:rsidRPr="00EA751F">
        <w:tab/>
        <w:t>Matters relating to the Committee</w:t>
      </w:r>
      <w:r w:rsidR="009452AA">
        <w:t>’</w:t>
      </w:r>
      <w:r w:rsidRPr="00EA751F">
        <w:t>s methods of work:</w:t>
      </w:r>
    </w:p>
    <w:p w14:paraId="5CA6D573" w14:textId="398B5367" w:rsidR="007D4B5A" w:rsidRPr="00EA751F" w:rsidRDefault="007D4B5A" w:rsidP="007D4B5A">
      <w:pPr>
        <w:pStyle w:val="SingleTxtG"/>
      </w:pPr>
      <w:r>
        <w:tab/>
      </w:r>
      <w:r w:rsidRPr="00EA751F">
        <w:t>(a)</w:t>
      </w:r>
      <w:r w:rsidRPr="00EA751F">
        <w:tab/>
        <w:t>Methods of work relating to articles 29 to 34 of the Convention;</w:t>
      </w:r>
    </w:p>
    <w:p w14:paraId="075795F1" w14:textId="310B7BF2" w:rsidR="007D4B5A" w:rsidRPr="00EA751F" w:rsidRDefault="007D4B5A" w:rsidP="007D4B5A">
      <w:pPr>
        <w:pStyle w:val="SingleTxtG"/>
      </w:pPr>
      <w:r>
        <w:tab/>
      </w:r>
      <w:r w:rsidRPr="00EA751F">
        <w:t>(b)</w:t>
      </w:r>
      <w:r w:rsidRPr="00EA751F">
        <w:tab/>
        <w:t>Strategy to increase ratification of the Convention;</w:t>
      </w:r>
    </w:p>
    <w:p w14:paraId="461FE703" w14:textId="209ED17A" w:rsidR="007D4B5A" w:rsidRPr="00EA751F" w:rsidRDefault="007D4B5A" w:rsidP="007D4B5A">
      <w:pPr>
        <w:pStyle w:val="SingleTxtG"/>
      </w:pPr>
      <w:r>
        <w:tab/>
      </w:r>
      <w:r w:rsidRPr="00EA751F">
        <w:t>(c)</w:t>
      </w:r>
      <w:r w:rsidRPr="00EA751F">
        <w:tab/>
        <w:t>Methods of work relating to reprisals;</w:t>
      </w:r>
    </w:p>
    <w:p w14:paraId="50EE3B3A" w14:textId="07D6F1A4" w:rsidR="007D4B5A" w:rsidRPr="00EA751F" w:rsidRDefault="007D4B5A" w:rsidP="007D4B5A">
      <w:pPr>
        <w:pStyle w:val="SingleTxtG"/>
        <w:ind w:left="1701" w:hanging="567"/>
      </w:pPr>
      <w:r>
        <w:tab/>
      </w:r>
      <w:r w:rsidRPr="00EA751F">
        <w:t>(d)</w:t>
      </w:r>
      <w:r w:rsidRPr="00EA751F">
        <w:tab/>
        <w:t>Methods of work relating to enforced disappearance in the context of migration;</w:t>
      </w:r>
    </w:p>
    <w:p w14:paraId="5E62F171" w14:textId="5C00DC85" w:rsidR="007D4B5A" w:rsidRPr="00EA751F" w:rsidRDefault="007D4B5A" w:rsidP="007D4B5A">
      <w:pPr>
        <w:pStyle w:val="SingleTxtG"/>
      </w:pPr>
      <w:r>
        <w:tab/>
      </w:r>
      <w:r w:rsidRPr="00EA751F">
        <w:t>(e)</w:t>
      </w:r>
      <w:r w:rsidRPr="00EA751F">
        <w:tab/>
        <w:t>Other matters.</w:t>
      </w:r>
    </w:p>
    <w:p w14:paraId="14D55FEF" w14:textId="77777777" w:rsidR="007D4B5A" w:rsidRPr="00EA751F" w:rsidRDefault="007D4B5A" w:rsidP="007D4B5A">
      <w:pPr>
        <w:pStyle w:val="SingleTxtG"/>
      </w:pPr>
      <w:r w:rsidRPr="00EA751F">
        <w:t>5.</w:t>
      </w:r>
      <w:r w:rsidRPr="00EA751F">
        <w:tab/>
        <w:t>Consideration of reports of States parties to the Convention.</w:t>
      </w:r>
    </w:p>
    <w:p w14:paraId="58CE0C2B" w14:textId="77777777" w:rsidR="007D4B5A" w:rsidRPr="00EA751F" w:rsidRDefault="007D4B5A" w:rsidP="007D4B5A">
      <w:pPr>
        <w:pStyle w:val="SingleTxtG"/>
      </w:pPr>
      <w:r w:rsidRPr="00EA751F">
        <w:t>6.</w:t>
      </w:r>
      <w:r w:rsidRPr="00EA751F">
        <w:tab/>
        <w:t>Consideration of lists of issues and lists of issues in the absence of a report.</w:t>
      </w:r>
    </w:p>
    <w:p w14:paraId="73B5BE3C" w14:textId="77777777" w:rsidR="007D4B5A" w:rsidRPr="00EA751F" w:rsidRDefault="007D4B5A" w:rsidP="007D4B5A">
      <w:pPr>
        <w:pStyle w:val="SingleTxtG"/>
      </w:pPr>
      <w:r w:rsidRPr="00EA751F">
        <w:t>7.</w:t>
      </w:r>
      <w:r w:rsidRPr="00EA751F">
        <w:tab/>
        <w:t>Consideration of additional information submitted by States parties.</w:t>
      </w:r>
    </w:p>
    <w:p w14:paraId="1E50043A" w14:textId="77777777" w:rsidR="007D4B5A" w:rsidRPr="00EA751F" w:rsidRDefault="007D4B5A" w:rsidP="007D4B5A">
      <w:pPr>
        <w:pStyle w:val="SingleTxtG"/>
      </w:pPr>
      <w:r w:rsidRPr="00EA751F">
        <w:t>8.</w:t>
      </w:r>
      <w:r w:rsidRPr="00EA751F">
        <w:tab/>
      </w:r>
      <w:bookmarkStart w:id="1" w:name="_Hlk42615411"/>
      <w:r w:rsidRPr="00EA751F">
        <w:t>Follow-up to concluding observations on reports of States parties</w:t>
      </w:r>
      <w:bookmarkEnd w:id="1"/>
      <w:r w:rsidRPr="00EA751F">
        <w:t>.</w:t>
      </w:r>
    </w:p>
    <w:p w14:paraId="7EBEE56E" w14:textId="77777777" w:rsidR="007D4B5A" w:rsidRPr="00EA751F" w:rsidRDefault="007D4B5A" w:rsidP="007D4B5A">
      <w:pPr>
        <w:pStyle w:val="SingleTxtG"/>
      </w:pPr>
      <w:r w:rsidRPr="00EA751F">
        <w:t>9.</w:t>
      </w:r>
      <w:r w:rsidRPr="00EA751F">
        <w:tab/>
        <w:t>Consideration of the report on urgent action requests (art. 30 of the Convention).</w:t>
      </w:r>
    </w:p>
    <w:p w14:paraId="7C74AE49" w14:textId="77777777" w:rsidR="007D4B5A" w:rsidRPr="00EA751F" w:rsidRDefault="007D4B5A" w:rsidP="007D4B5A">
      <w:pPr>
        <w:pStyle w:val="SingleTxtG"/>
      </w:pPr>
      <w:r w:rsidRPr="00EA751F">
        <w:t>10.</w:t>
      </w:r>
      <w:r w:rsidRPr="00EA751F">
        <w:tab/>
        <w:t>Consideration of individual communications (art. 31 of the Convention).</w:t>
      </w:r>
    </w:p>
    <w:p w14:paraId="234F1424" w14:textId="77777777" w:rsidR="007D4B5A" w:rsidRPr="00EA751F" w:rsidRDefault="007D4B5A" w:rsidP="007D4B5A">
      <w:pPr>
        <w:pStyle w:val="SingleTxtG"/>
      </w:pPr>
      <w:r w:rsidRPr="00EA751F">
        <w:t>11.</w:t>
      </w:r>
      <w:r w:rsidRPr="00EA751F">
        <w:tab/>
        <w:t>Follow-up to Views of the Committee.</w:t>
      </w:r>
    </w:p>
    <w:p w14:paraId="2BC47907" w14:textId="16ACD6AD" w:rsidR="007D4B5A" w:rsidRPr="00EA751F" w:rsidRDefault="007D4B5A" w:rsidP="007D4B5A">
      <w:pPr>
        <w:pStyle w:val="SingleTxtG"/>
        <w:ind w:left="1701" w:hanging="567"/>
      </w:pPr>
      <w:r w:rsidRPr="00EA751F">
        <w:t>12.</w:t>
      </w:r>
      <w:r w:rsidRPr="00EA751F">
        <w:tab/>
        <w:t>Discussion on the General Assembly</w:t>
      </w:r>
      <w:r w:rsidR="009452AA">
        <w:t>’</w:t>
      </w:r>
      <w:r w:rsidRPr="00EA751F">
        <w:t>s consideration of the state of the human rights treaty body system.</w:t>
      </w:r>
    </w:p>
    <w:p w14:paraId="2B63D41E" w14:textId="77777777" w:rsidR="007D4B5A" w:rsidRPr="00EA751F" w:rsidRDefault="007D4B5A" w:rsidP="007D4B5A">
      <w:pPr>
        <w:pStyle w:val="SingleTxtG"/>
      </w:pPr>
      <w:r w:rsidRPr="00EA751F">
        <w:t>13.</w:t>
      </w:r>
      <w:r w:rsidRPr="00EA751F">
        <w:tab/>
        <w:t>Meeting with States Members of the United Nations.</w:t>
      </w:r>
    </w:p>
    <w:p w14:paraId="2FCD3CD2" w14:textId="77777777" w:rsidR="007D4B5A" w:rsidRPr="00EA751F" w:rsidRDefault="007D4B5A" w:rsidP="007D4B5A">
      <w:pPr>
        <w:pStyle w:val="SingleTxtG"/>
        <w:ind w:left="1701" w:hanging="567"/>
      </w:pPr>
      <w:r w:rsidRPr="00EA751F">
        <w:t>14.</w:t>
      </w:r>
      <w:r w:rsidRPr="00EA751F">
        <w:tab/>
        <w:t>Meeting with United Nations agencies and mechanisms and intergovernmental organizations.</w:t>
      </w:r>
    </w:p>
    <w:p w14:paraId="6FA3076C" w14:textId="77777777" w:rsidR="007D4B5A" w:rsidRPr="00EA751F" w:rsidRDefault="007D4B5A" w:rsidP="007D4B5A">
      <w:pPr>
        <w:pStyle w:val="SingleTxtG"/>
      </w:pPr>
      <w:r w:rsidRPr="00EA751F">
        <w:t>15.</w:t>
      </w:r>
      <w:r w:rsidRPr="00EA751F">
        <w:tab/>
        <w:t>Meeting with national human rights institutions.</w:t>
      </w:r>
    </w:p>
    <w:p w14:paraId="5C60B0D8" w14:textId="77777777" w:rsidR="007D4B5A" w:rsidRPr="00EA751F" w:rsidRDefault="007D4B5A" w:rsidP="007D4B5A">
      <w:pPr>
        <w:pStyle w:val="SingleTxtG"/>
      </w:pPr>
      <w:r w:rsidRPr="00EA751F">
        <w:t>16.</w:t>
      </w:r>
      <w:r w:rsidRPr="00EA751F">
        <w:tab/>
        <w:t>Meeting with non-governmental organizations and other stakeholders.</w:t>
      </w:r>
    </w:p>
    <w:p w14:paraId="046D3CFE" w14:textId="77777777" w:rsidR="007D4B5A" w:rsidRPr="00EA751F" w:rsidRDefault="007D4B5A" w:rsidP="007D4B5A">
      <w:pPr>
        <w:pStyle w:val="SingleTxtG"/>
      </w:pPr>
      <w:r w:rsidRPr="00EA751F">
        <w:t>17.</w:t>
      </w:r>
      <w:r w:rsidRPr="00EA751F">
        <w:tab/>
        <w:t xml:space="preserve">Provisional agenda of the twenty-first session. </w:t>
      </w:r>
    </w:p>
    <w:p w14:paraId="6DC98CAD" w14:textId="77777777" w:rsidR="007D4B5A" w:rsidRPr="00EA751F" w:rsidRDefault="007D4B5A" w:rsidP="007D4B5A">
      <w:pPr>
        <w:pStyle w:val="H1G"/>
      </w:pPr>
      <w:r w:rsidRPr="00EA751F">
        <w:lastRenderedPageBreak/>
        <w:tab/>
      </w:r>
      <w:r w:rsidRPr="00EA751F">
        <w:tab/>
        <w:t>Annotations</w:t>
      </w:r>
    </w:p>
    <w:p w14:paraId="6826AFB9" w14:textId="77777777" w:rsidR="007D4B5A" w:rsidRPr="00EA751F" w:rsidRDefault="007D4B5A" w:rsidP="007D4B5A">
      <w:pPr>
        <w:pStyle w:val="H23G"/>
      </w:pPr>
      <w:r w:rsidRPr="00EA751F">
        <w:tab/>
        <w:t>1.</w:t>
      </w:r>
      <w:r w:rsidRPr="00EA751F">
        <w:tab/>
        <w:t>Adoption of the agenda</w:t>
      </w:r>
    </w:p>
    <w:p w14:paraId="2F30352F" w14:textId="77777777" w:rsidR="007D4B5A" w:rsidRPr="00EA751F" w:rsidRDefault="007D4B5A" w:rsidP="007D4B5A">
      <w:pPr>
        <w:pStyle w:val="SingleTxtG"/>
      </w:pPr>
      <w:r w:rsidRPr="00EA751F">
        <w:t>In accordance with rule 8 of the rules of procedure, the first item on the provisional agenda for any session shall be the adoption of the agenda, except for the election of the officers. Under this item, the Committee will consider and adopt the agenda for its twentieth session.</w:t>
      </w:r>
    </w:p>
    <w:p w14:paraId="677511E8" w14:textId="77777777" w:rsidR="007D4B5A" w:rsidRPr="00EA751F" w:rsidRDefault="007D4B5A" w:rsidP="007D4B5A">
      <w:pPr>
        <w:pStyle w:val="H23G"/>
      </w:pPr>
      <w:r w:rsidRPr="00EA751F">
        <w:tab/>
        <w:t>2.</w:t>
      </w:r>
      <w:r w:rsidRPr="00EA751F">
        <w:tab/>
        <w:t>Tribute to victims of enforced disappearance</w:t>
      </w:r>
    </w:p>
    <w:p w14:paraId="113CD636" w14:textId="77777777" w:rsidR="007D4B5A" w:rsidRPr="00EA751F" w:rsidRDefault="007D4B5A" w:rsidP="007D4B5A">
      <w:pPr>
        <w:pStyle w:val="SingleTxtG"/>
      </w:pPr>
      <w:r w:rsidRPr="00EA751F">
        <w:t xml:space="preserve">The Committee will pay tribute to victims of enforced disappearance. </w:t>
      </w:r>
    </w:p>
    <w:p w14:paraId="65F2A2CB" w14:textId="77777777" w:rsidR="007D4B5A" w:rsidRPr="00EA751F" w:rsidRDefault="007D4B5A" w:rsidP="007D4B5A">
      <w:pPr>
        <w:pStyle w:val="H23G"/>
      </w:pPr>
      <w:r w:rsidRPr="00EA751F">
        <w:tab/>
        <w:t>3.</w:t>
      </w:r>
      <w:r w:rsidRPr="00EA751F">
        <w:tab/>
        <w:t>Information received by the Committee</w:t>
      </w:r>
    </w:p>
    <w:p w14:paraId="285C2309" w14:textId="77777777" w:rsidR="007D4B5A" w:rsidRPr="00EA751F" w:rsidRDefault="007D4B5A" w:rsidP="007D4B5A">
      <w:pPr>
        <w:pStyle w:val="SingleTxtG"/>
      </w:pPr>
      <w:r w:rsidRPr="00EA751F">
        <w:t>The Committee will consider any information received in relation to articles 33 and 34 of the Convention.</w:t>
      </w:r>
    </w:p>
    <w:p w14:paraId="71B8C936" w14:textId="454A1B1F" w:rsidR="007D4B5A" w:rsidRPr="00EA751F" w:rsidRDefault="007D4B5A" w:rsidP="007D4B5A">
      <w:pPr>
        <w:pStyle w:val="H23G"/>
      </w:pPr>
      <w:r w:rsidRPr="00EA751F">
        <w:tab/>
        <w:t>4.</w:t>
      </w:r>
      <w:r w:rsidRPr="00EA751F">
        <w:tab/>
        <w:t>Matters relating to the Committee</w:t>
      </w:r>
      <w:r w:rsidR="009452AA">
        <w:t>’</w:t>
      </w:r>
      <w:r w:rsidRPr="00EA751F">
        <w:t>s methods of work</w:t>
      </w:r>
    </w:p>
    <w:p w14:paraId="590C1E9E" w14:textId="77777777" w:rsidR="007D4B5A" w:rsidRPr="00EA751F" w:rsidRDefault="007D4B5A" w:rsidP="007D4B5A">
      <w:pPr>
        <w:pStyle w:val="H23G"/>
      </w:pPr>
      <w:r w:rsidRPr="00EA751F">
        <w:tab/>
        <w:t>(a)</w:t>
      </w:r>
      <w:r w:rsidRPr="00EA751F">
        <w:tab/>
        <w:t>Methods of work relating to articles 29 to 34 of the Convention</w:t>
      </w:r>
    </w:p>
    <w:p w14:paraId="40FF72EF" w14:textId="77777777" w:rsidR="007D4B5A" w:rsidRPr="00EA751F" w:rsidRDefault="007D4B5A" w:rsidP="007D4B5A">
      <w:pPr>
        <w:pStyle w:val="SingleTxtG"/>
      </w:pPr>
      <w:r w:rsidRPr="00EA751F">
        <w:t>The Committee will continue to develop a methodology and working procedures for the implementation of articles 29 to 34 of the Convention.</w:t>
      </w:r>
    </w:p>
    <w:p w14:paraId="22E90501" w14:textId="77777777" w:rsidR="007D4B5A" w:rsidRPr="00EA751F" w:rsidRDefault="007D4B5A" w:rsidP="007D4B5A">
      <w:pPr>
        <w:pStyle w:val="H23G"/>
      </w:pPr>
      <w:r w:rsidRPr="00EA751F">
        <w:tab/>
        <w:t>(b)</w:t>
      </w:r>
      <w:r w:rsidRPr="00EA751F">
        <w:tab/>
        <w:t>Strategy to increase ratification of the Convention</w:t>
      </w:r>
    </w:p>
    <w:p w14:paraId="6071CA75" w14:textId="77777777" w:rsidR="007D4B5A" w:rsidRPr="00EA751F" w:rsidRDefault="007D4B5A" w:rsidP="007D4B5A">
      <w:pPr>
        <w:pStyle w:val="SingleTxtG"/>
      </w:pPr>
      <w:r w:rsidRPr="00EA751F">
        <w:t>The Committee will examine the rate at which the Convention is being ratified and discuss strategies to encourage both ratification of the Convention and acceptance of the competence of the Committee under articles 31 and 32 of the Convention.</w:t>
      </w:r>
    </w:p>
    <w:p w14:paraId="0870D535" w14:textId="77777777" w:rsidR="007D4B5A" w:rsidRPr="00EA751F" w:rsidRDefault="007D4B5A" w:rsidP="007D4B5A">
      <w:pPr>
        <w:pStyle w:val="H23G"/>
      </w:pPr>
      <w:r w:rsidRPr="00EA751F">
        <w:tab/>
        <w:t>(c)</w:t>
      </w:r>
      <w:r w:rsidRPr="00EA751F">
        <w:tab/>
        <w:t>Methods of work relating to reprisals</w:t>
      </w:r>
    </w:p>
    <w:p w14:paraId="6BAFF88A" w14:textId="77777777" w:rsidR="007D4B5A" w:rsidRPr="00EA751F" w:rsidRDefault="007D4B5A" w:rsidP="007D4B5A">
      <w:pPr>
        <w:pStyle w:val="SingleTxtG"/>
      </w:pPr>
      <w:r w:rsidRPr="00EA751F">
        <w:t>The Committee will continue to develop a methodology and working procedures for its work on reprisals.</w:t>
      </w:r>
    </w:p>
    <w:p w14:paraId="58DEBF5E" w14:textId="77777777" w:rsidR="007D4B5A" w:rsidRPr="00EA751F" w:rsidRDefault="007D4B5A" w:rsidP="007D4B5A">
      <w:pPr>
        <w:pStyle w:val="H23G"/>
      </w:pPr>
      <w:r w:rsidRPr="00EA751F">
        <w:tab/>
        <w:t>(d)</w:t>
      </w:r>
      <w:r w:rsidRPr="00EA751F">
        <w:tab/>
        <w:t>Methods of work relating to enforced disappearance in the context of migration</w:t>
      </w:r>
    </w:p>
    <w:p w14:paraId="74604F17" w14:textId="77777777" w:rsidR="007D4B5A" w:rsidRPr="00EA751F" w:rsidRDefault="007D4B5A" w:rsidP="007D4B5A">
      <w:pPr>
        <w:pStyle w:val="SingleTxtG"/>
      </w:pPr>
      <w:r w:rsidRPr="00EA751F">
        <w:t>The Committee will discuss its methods of work and strategies relating to enforced disappearance in the context of migration.</w:t>
      </w:r>
    </w:p>
    <w:p w14:paraId="2DC70C4F" w14:textId="77777777" w:rsidR="007D4B5A" w:rsidRPr="00EA751F" w:rsidRDefault="007D4B5A" w:rsidP="007D4B5A">
      <w:pPr>
        <w:pStyle w:val="H23G"/>
      </w:pPr>
      <w:r w:rsidRPr="00EA751F">
        <w:tab/>
        <w:t>(e)</w:t>
      </w:r>
      <w:r w:rsidRPr="00EA751F">
        <w:tab/>
        <w:t>Other matters</w:t>
      </w:r>
    </w:p>
    <w:p w14:paraId="482FFC5B" w14:textId="77777777" w:rsidR="007D4B5A" w:rsidRPr="00EA751F" w:rsidRDefault="007D4B5A" w:rsidP="007D4B5A">
      <w:pPr>
        <w:pStyle w:val="SingleTxtG"/>
      </w:pPr>
      <w:r w:rsidRPr="00EA751F">
        <w:t>The Committee will discuss any other matters relating to its methods of work.</w:t>
      </w:r>
    </w:p>
    <w:p w14:paraId="73F0F7BC" w14:textId="77777777" w:rsidR="007D4B5A" w:rsidRPr="00EA751F" w:rsidRDefault="007D4B5A" w:rsidP="007D4B5A">
      <w:pPr>
        <w:pStyle w:val="H23G"/>
      </w:pPr>
      <w:r w:rsidRPr="00EA751F">
        <w:tab/>
        <w:t>5.</w:t>
      </w:r>
      <w:r w:rsidRPr="00EA751F">
        <w:tab/>
        <w:t>Consideration of reports of States parties to the Convention</w:t>
      </w:r>
    </w:p>
    <w:p w14:paraId="7E5CEED7" w14:textId="77777777" w:rsidR="007D4B5A" w:rsidRPr="00EA751F" w:rsidRDefault="007D4B5A" w:rsidP="007D4B5A">
      <w:pPr>
        <w:pStyle w:val="SingleTxtG"/>
      </w:pPr>
      <w:r w:rsidRPr="00EA751F">
        <w:t>The Committee will consider the reports of Mongolia (CED/C/MNG/1) and Switzerland (CED/C/CHE/1), submitted pursuant to article 29 (1) of the Convention.</w:t>
      </w:r>
    </w:p>
    <w:p w14:paraId="4E439E93" w14:textId="77777777" w:rsidR="007D4B5A" w:rsidRPr="00EA751F" w:rsidRDefault="007D4B5A" w:rsidP="007D4B5A">
      <w:pPr>
        <w:pStyle w:val="H23G"/>
      </w:pPr>
      <w:r w:rsidRPr="00EA751F">
        <w:tab/>
        <w:t>6.</w:t>
      </w:r>
      <w:r w:rsidRPr="00EA751F">
        <w:tab/>
        <w:t>Consideration of lists of issues and lists of issues in the absence of a report</w:t>
      </w:r>
    </w:p>
    <w:p w14:paraId="1327399C" w14:textId="77777777" w:rsidR="007D4B5A" w:rsidRPr="00EA751F" w:rsidRDefault="007D4B5A" w:rsidP="007D4B5A">
      <w:pPr>
        <w:pStyle w:val="SingleTxtG"/>
      </w:pPr>
      <w:r w:rsidRPr="00EA751F">
        <w:t>The Committee will examine and adopt a list of issues in the absence of a report from Zambia.</w:t>
      </w:r>
    </w:p>
    <w:p w14:paraId="62D9BEBB" w14:textId="77777777" w:rsidR="007D4B5A" w:rsidRPr="00EA751F" w:rsidRDefault="007D4B5A" w:rsidP="007D4B5A">
      <w:pPr>
        <w:pStyle w:val="H23G"/>
      </w:pPr>
      <w:r w:rsidRPr="00EA751F">
        <w:tab/>
        <w:t>7.</w:t>
      </w:r>
      <w:r w:rsidRPr="00EA751F">
        <w:tab/>
        <w:t>Consideration of additional information submitted by States parties</w:t>
      </w:r>
    </w:p>
    <w:p w14:paraId="5676FA74" w14:textId="77777777" w:rsidR="007D4B5A" w:rsidRPr="00EA751F" w:rsidRDefault="007D4B5A" w:rsidP="007D4B5A">
      <w:pPr>
        <w:pStyle w:val="SingleTxtG"/>
      </w:pPr>
      <w:r w:rsidRPr="00EA751F">
        <w:t>The Committee will consider the additional information submitted by Colombia (CED/C/COL/AI/1), France (CED/C/FRA/AI/1) and Spain (CED/C/ESP/AI/1), pursuant to article 29 (4) of the Convention.</w:t>
      </w:r>
    </w:p>
    <w:p w14:paraId="2D730AE9" w14:textId="77777777" w:rsidR="007D4B5A" w:rsidRPr="00EA751F" w:rsidRDefault="007D4B5A" w:rsidP="007D4B5A">
      <w:pPr>
        <w:pStyle w:val="SingleTxtG"/>
      </w:pPr>
      <w:r w:rsidRPr="00EA751F">
        <w:t>The Committee, through the Secretary-General, will inform the States parties concerned of the methodology to be used in its consideration of the additional information and, where relevant and in accordance with rule 51 of the rules of procedure, the dates on which the additional information is scheduled to be considered.</w:t>
      </w:r>
    </w:p>
    <w:p w14:paraId="31764D29" w14:textId="77777777" w:rsidR="007D4B5A" w:rsidRPr="00EA751F" w:rsidRDefault="007D4B5A" w:rsidP="007D4B5A">
      <w:pPr>
        <w:pStyle w:val="H23G"/>
      </w:pPr>
      <w:r w:rsidRPr="00EA751F">
        <w:lastRenderedPageBreak/>
        <w:tab/>
        <w:t>8.</w:t>
      </w:r>
      <w:r w:rsidRPr="00EA751F">
        <w:tab/>
        <w:t>Follow-up to concluding observations on reports of States parties</w:t>
      </w:r>
    </w:p>
    <w:p w14:paraId="227AE06F" w14:textId="581220D3" w:rsidR="007D4B5A" w:rsidRPr="00EA751F" w:rsidRDefault="007D4B5A" w:rsidP="007D4B5A">
      <w:pPr>
        <w:pStyle w:val="SingleTxtG"/>
      </w:pPr>
      <w:r w:rsidRPr="00EA751F">
        <w:t>The Committee will consider the report of the rapporteurs on follow-up to its concluding observations, pursuant to article 29 of the Convention and rule 54 of the rules of procedure.</w:t>
      </w:r>
    </w:p>
    <w:p w14:paraId="5F00C130" w14:textId="77777777" w:rsidR="007D4B5A" w:rsidRPr="00EA751F" w:rsidRDefault="007D4B5A" w:rsidP="007D4B5A">
      <w:pPr>
        <w:pStyle w:val="H23G"/>
      </w:pPr>
      <w:r w:rsidRPr="00EA751F">
        <w:tab/>
        <w:t>9.</w:t>
      </w:r>
      <w:r w:rsidRPr="00EA751F">
        <w:tab/>
        <w:t>Consideration of the report on urgent action requests (art. 30 of the Convention)</w:t>
      </w:r>
    </w:p>
    <w:p w14:paraId="3B00377D" w14:textId="2F152779" w:rsidR="007D4B5A" w:rsidRPr="00EA751F" w:rsidRDefault="007D4B5A" w:rsidP="007D4B5A">
      <w:pPr>
        <w:pStyle w:val="SingleTxtG"/>
      </w:pPr>
      <w:r w:rsidRPr="00EA751F">
        <w:t>The Committee</w:t>
      </w:r>
      <w:r w:rsidR="009452AA">
        <w:t>’</w:t>
      </w:r>
      <w:r w:rsidRPr="00EA751F">
        <w:t>s working group tasked with considering urgent action requests under article</w:t>
      </w:r>
      <w:r w:rsidR="009452AA">
        <w:t xml:space="preserve"> </w:t>
      </w:r>
      <w:r w:rsidRPr="00EA751F">
        <w:t>30 of the Convention will report to the Committee on the requests received and the follow</w:t>
      </w:r>
      <w:r w:rsidRPr="00EA751F">
        <w:noBreakHyphen/>
        <w:t>up action taken since the previous session.</w:t>
      </w:r>
    </w:p>
    <w:p w14:paraId="125D8337" w14:textId="77777777" w:rsidR="007D4B5A" w:rsidRPr="00EA751F" w:rsidRDefault="007D4B5A" w:rsidP="007D4B5A">
      <w:pPr>
        <w:pStyle w:val="H23G"/>
      </w:pPr>
      <w:r w:rsidRPr="00EA751F">
        <w:tab/>
        <w:t>10.</w:t>
      </w:r>
      <w:r w:rsidRPr="00EA751F">
        <w:tab/>
        <w:t>Consideration of individual communications (art. 31 of the Convention)</w:t>
      </w:r>
    </w:p>
    <w:p w14:paraId="287F8F6D" w14:textId="77777777" w:rsidR="007D4B5A" w:rsidRPr="00EA751F" w:rsidRDefault="007D4B5A" w:rsidP="007D4B5A">
      <w:pPr>
        <w:pStyle w:val="SingleTxtG"/>
      </w:pPr>
      <w:r w:rsidRPr="00EA751F">
        <w:t>The Committee will examine individual communications pursuant to article 31 of the Convention.</w:t>
      </w:r>
    </w:p>
    <w:p w14:paraId="40AE1626" w14:textId="77777777" w:rsidR="007D4B5A" w:rsidRPr="00EA751F" w:rsidRDefault="007D4B5A" w:rsidP="007D4B5A">
      <w:pPr>
        <w:pStyle w:val="H23G"/>
      </w:pPr>
      <w:r w:rsidRPr="00EA751F">
        <w:tab/>
        <w:t>11.</w:t>
      </w:r>
      <w:r w:rsidRPr="00EA751F">
        <w:tab/>
        <w:t>Follow-up to Views of the Committee</w:t>
      </w:r>
    </w:p>
    <w:p w14:paraId="71948991" w14:textId="4AC90A09" w:rsidR="007D4B5A" w:rsidRPr="00EA751F" w:rsidRDefault="007D4B5A" w:rsidP="007D4B5A">
      <w:pPr>
        <w:pStyle w:val="SingleTxtG"/>
      </w:pPr>
      <w:r w:rsidRPr="00EA751F">
        <w:t>The Committee will consider the report of the rapporteur on follow-up to its Views pursuant to article 31 and rule 79 of the Committee</w:t>
      </w:r>
      <w:r w:rsidR="009452AA">
        <w:t>’</w:t>
      </w:r>
      <w:r w:rsidRPr="00EA751F">
        <w:t xml:space="preserve">s rules of procedure. </w:t>
      </w:r>
    </w:p>
    <w:p w14:paraId="6A6E70BE" w14:textId="23E13209" w:rsidR="007D4B5A" w:rsidRPr="00EA751F" w:rsidRDefault="007D4B5A" w:rsidP="007D4B5A">
      <w:pPr>
        <w:pStyle w:val="H23G"/>
      </w:pPr>
      <w:r w:rsidRPr="00EA751F">
        <w:tab/>
        <w:t>12.</w:t>
      </w:r>
      <w:r w:rsidRPr="00EA751F">
        <w:tab/>
        <w:t>Discussion on the General Assembly</w:t>
      </w:r>
      <w:r w:rsidR="009452AA">
        <w:t>’</w:t>
      </w:r>
      <w:r w:rsidRPr="00EA751F">
        <w:t>s consideration of the state of the human rights treaty body system</w:t>
      </w:r>
    </w:p>
    <w:p w14:paraId="29E8069C" w14:textId="46355077" w:rsidR="007D4B5A" w:rsidRPr="00EA751F" w:rsidRDefault="007D4B5A" w:rsidP="007D4B5A">
      <w:pPr>
        <w:pStyle w:val="SingleTxtG"/>
      </w:pPr>
      <w:r w:rsidRPr="00EA751F">
        <w:t>The Committee will hold meetings with relevant stakeholders to discuss elements of the General Assembly</w:t>
      </w:r>
      <w:r w:rsidR="009452AA">
        <w:t>’</w:t>
      </w:r>
      <w:r w:rsidRPr="00EA751F">
        <w:t xml:space="preserve">s consideration of the state of the human rights treaty body system. </w:t>
      </w:r>
    </w:p>
    <w:p w14:paraId="4552637E" w14:textId="77777777" w:rsidR="007D4B5A" w:rsidRPr="00EA751F" w:rsidRDefault="007D4B5A" w:rsidP="007D4B5A">
      <w:pPr>
        <w:pStyle w:val="H23G"/>
      </w:pPr>
      <w:r w:rsidRPr="00EA751F">
        <w:tab/>
        <w:t>13.</w:t>
      </w:r>
      <w:r w:rsidRPr="00EA751F">
        <w:tab/>
        <w:t>Meeting with States Members of the United Nations</w:t>
      </w:r>
    </w:p>
    <w:p w14:paraId="04BFA3EE" w14:textId="77777777" w:rsidR="007D4B5A" w:rsidRPr="00EA751F" w:rsidRDefault="007D4B5A" w:rsidP="007D4B5A">
      <w:pPr>
        <w:pStyle w:val="SingleTxtG"/>
      </w:pPr>
      <w:r w:rsidRPr="00EA751F">
        <w:t>The Committee will hold a meeting with States parties and States signatories to the Convention and other States Members of the United Nations to discuss relevant topics under the Convention.</w:t>
      </w:r>
    </w:p>
    <w:p w14:paraId="47009C0E" w14:textId="77777777" w:rsidR="007D4B5A" w:rsidRPr="00EA751F" w:rsidRDefault="007D4B5A" w:rsidP="007D4B5A">
      <w:pPr>
        <w:pStyle w:val="H23G"/>
      </w:pPr>
      <w:r w:rsidRPr="00EA751F">
        <w:tab/>
        <w:t>14.</w:t>
      </w:r>
      <w:r w:rsidRPr="00EA751F">
        <w:tab/>
        <w:t>Meeting with United Nations agencies and mechanisms and intergovernmental organizations</w:t>
      </w:r>
    </w:p>
    <w:p w14:paraId="7D6FA092" w14:textId="77777777" w:rsidR="007D4B5A" w:rsidRPr="00EA751F" w:rsidRDefault="007D4B5A" w:rsidP="007D4B5A">
      <w:pPr>
        <w:pStyle w:val="SingleTxtG"/>
      </w:pPr>
      <w:r w:rsidRPr="00EA751F">
        <w:t>The Committee will meet with United Nations agencies and mechanisms and with intergovernmental organizations that work on issues related to enforced disappearance.</w:t>
      </w:r>
    </w:p>
    <w:p w14:paraId="3E6FF8ED" w14:textId="77777777" w:rsidR="007D4B5A" w:rsidRPr="00EA751F" w:rsidRDefault="007D4B5A" w:rsidP="007D4B5A">
      <w:pPr>
        <w:pStyle w:val="H23G"/>
      </w:pPr>
      <w:r w:rsidRPr="00EA751F">
        <w:tab/>
        <w:t>15.</w:t>
      </w:r>
      <w:r w:rsidRPr="00EA751F">
        <w:tab/>
        <w:t>Meeting with national human rights institutions</w:t>
      </w:r>
    </w:p>
    <w:p w14:paraId="68AD678C" w14:textId="4A821665" w:rsidR="007D4B5A" w:rsidRPr="00EA751F" w:rsidRDefault="007D4B5A" w:rsidP="007D4B5A">
      <w:pPr>
        <w:pStyle w:val="SingleTxtG"/>
      </w:pPr>
      <w:r w:rsidRPr="00EA751F">
        <w:t>The Committee will hold a meeting with national human rights institutions on matters relating to the implementation of the Convention.</w:t>
      </w:r>
    </w:p>
    <w:p w14:paraId="5F6A62B0" w14:textId="77777777" w:rsidR="007D4B5A" w:rsidRPr="00EA751F" w:rsidRDefault="007D4B5A" w:rsidP="007D4B5A">
      <w:pPr>
        <w:pStyle w:val="H23G"/>
      </w:pPr>
      <w:r w:rsidRPr="00EA751F">
        <w:tab/>
        <w:t>16.</w:t>
      </w:r>
      <w:r w:rsidRPr="00EA751F">
        <w:tab/>
        <w:t>Meeting with non-governmental organizations and other stakeholders</w:t>
      </w:r>
    </w:p>
    <w:p w14:paraId="0F58EB4F" w14:textId="7BA1EF10" w:rsidR="007D4B5A" w:rsidRPr="00EA751F" w:rsidRDefault="007D4B5A" w:rsidP="007D4B5A">
      <w:pPr>
        <w:pStyle w:val="SingleTxtG"/>
      </w:pPr>
      <w:r w:rsidRPr="00EA751F">
        <w:t>The Committee will hold a meeting with non-governmental organizations and other stakeholders on matters relating to the implementation of the Convention.</w:t>
      </w:r>
    </w:p>
    <w:p w14:paraId="6147E25B" w14:textId="77777777" w:rsidR="007D4B5A" w:rsidRPr="00EA751F" w:rsidRDefault="007D4B5A" w:rsidP="007D4B5A">
      <w:pPr>
        <w:pStyle w:val="H23G"/>
      </w:pPr>
      <w:r w:rsidRPr="00EA751F">
        <w:tab/>
        <w:t>17.</w:t>
      </w:r>
      <w:r w:rsidRPr="00EA751F">
        <w:tab/>
        <w:t xml:space="preserve">Provisional agenda of the twenty-first session </w:t>
      </w:r>
    </w:p>
    <w:p w14:paraId="1DC3A0CA" w14:textId="0D41C2C6" w:rsidR="007D4B5A" w:rsidRDefault="007D4B5A" w:rsidP="007D4B5A">
      <w:pPr>
        <w:pStyle w:val="SingleTxtG"/>
      </w:pPr>
      <w:r w:rsidRPr="00EA751F">
        <w:t>The Committee will discuss the list of items to be included in the provisional agenda for its twenty-first session, to be held from 20 September to 1 October 2021.</w:t>
      </w:r>
    </w:p>
    <w:p w14:paraId="2ED9EB2A" w14:textId="10A5FAD7" w:rsidR="007D4B5A" w:rsidRPr="00EA751F" w:rsidRDefault="007D4B5A" w:rsidP="007D4B5A">
      <w:pPr>
        <w:pStyle w:val="SingleTxtG"/>
        <w:spacing w:before="240" w:after="0"/>
        <w:jc w:val="center"/>
      </w:pPr>
      <w:r>
        <w:rPr>
          <w:u w:val="single"/>
        </w:rPr>
        <w:tab/>
      </w:r>
      <w:r>
        <w:rPr>
          <w:u w:val="single"/>
        </w:rPr>
        <w:tab/>
      </w:r>
      <w:r>
        <w:rPr>
          <w:u w:val="single"/>
        </w:rPr>
        <w:tab/>
      </w:r>
    </w:p>
    <w:sectPr w:rsidR="007D4B5A" w:rsidRPr="00EA751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B882E" w14:textId="77777777" w:rsidR="006901A6" w:rsidRPr="00557A78" w:rsidRDefault="006901A6" w:rsidP="00557A78">
      <w:pPr>
        <w:pStyle w:val="Footer"/>
      </w:pPr>
    </w:p>
  </w:endnote>
  <w:endnote w:type="continuationSeparator" w:id="0">
    <w:p w14:paraId="37127321" w14:textId="77777777" w:rsidR="006901A6" w:rsidRPr="00557A78" w:rsidRDefault="006901A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D7BAF" w14:textId="418E36CD" w:rsidR="007D4B5A" w:rsidRDefault="007D4B5A" w:rsidP="007D4B5A">
    <w:pPr>
      <w:pStyle w:val="Footer"/>
      <w:tabs>
        <w:tab w:val="right" w:pos="9638"/>
      </w:tabs>
    </w:pPr>
    <w:r w:rsidRPr="007D4B5A">
      <w:rPr>
        <w:b/>
        <w:bCs/>
        <w:sz w:val="18"/>
      </w:rPr>
      <w:fldChar w:fldCharType="begin"/>
    </w:r>
    <w:r w:rsidRPr="007D4B5A">
      <w:rPr>
        <w:b/>
        <w:bCs/>
        <w:sz w:val="18"/>
      </w:rPr>
      <w:instrText xml:space="preserve"> PAGE  \* MERGEFORMAT </w:instrText>
    </w:r>
    <w:r w:rsidRPr="007D4B5A">
      <w:rPr>
        <w:b/>
        <w:bCs/>
        <w:sz w:val="18"/>
      </w:rPr>
      <w:fldChar w:fldCharType="separate"/>
    </w:r>
    <w:r w:rsidR="00B65B98">
      <w:rPr>
        <w:b/>
        <w:bCs/>
        <w:noProof/>
        <w:sz w:val="18"/>
      </w:rPr>
      <w:t>2</w:t>
    </w:r>
    <w:r w:rsidRPr="007D4B5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490C4" w14:textId="66C08EFA" w:rsidR="007D4B5A" w:rsidRDefault="007D4B5A" w:rsidP="007D4B5A">
    <w:pPr>
      <w:pStyle w:val="Footer"/>
      <w:tabs>
        <w:tab w:val="right" w:pos="9638"/>
      </w:tabs>
    </w:pPr>
    <w:r>
      <w:tab/>
    </w:r>
    <w:r w:rsidRPr="007D4B5A">
      <w:rPr>
        <w:b/>
        <w:bCs/>
        <w:sz w:val="18"/>
      </w:rPr>
      <w:fldChar w:fldCharType="begin"/>
    </w:r>
    <w:r w:rsidRPr="007D4B5A">
      <w:rPr>
        <w:b/>
        <w:bCs/>
        <w:sz w:val="18"/>
      </w:rPr>
      <w:instrText xml:space="preserve"> PAGE  \* MERGEFORMAT </w:instrText>
    </w:r>
    <w:r w:rsidRPr="007D4B5A">
      <w:rPr>
        <w:b/>
        <w:bCs/>
        <w:sz w:val="18"/>
      </w:rPr>
      <w:fldChar w:fldCharType="separate"/>
    </w:r>
    <w:r w:rsidR="00B65B98">
      <w:rPr>
        <w:b/>
        <w:bCs/>
        <w:noProof/>
        <w:sz w:val="18"/>
      </w:rPr>
      <w:t>3</w:t>
    </w:r>
    <w:r w:rsidRPr="007D4B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B620A" w14:textId="471C5FB1" w:rsidR="00E3241D" w:rsidRDefault="00E3241D" w:rsidP="00E3241D">
    <w:pPr>
      <w:pStyle w:val="Footer"/>
    </w:pPr>
    <w:r>
      <w:rPr>
        <w:noProof/>
        <w:lang w:val="en-US"/>
      </w:rPr>
      <w:drawing>
        <wp:anchor distT="0" distB="0" distL="114300" distR="114300" simplePos="0" relativeHeight="251659264" behindDoc="1" locked="1" layoutInCell="1" allowOverlap="1" wp14:anchorId="743E26DB" wp14:editId="0F6595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8FEB29" w14:textId="18870A83" w:rsidR="00E3241D" w:rsidRDefault="00E3241D" w:rsidP="00E3241D">
    <w:pPr>
      <w:pStyle w:val="Footer"/>
      <w:ind w:right="1134"/>
      <w:rPr>
        <w:sz w:val="20"/>
      </w:rPr>
    </w:pPr>
    <w:r>
      <w:rPr>
        <w:sz w:val="20"/>
      </w:rPr>
      <w:t>GE.20-14988(E)</w:t>
    </w:r>
  </w:p>
  <w:p w14:paraId="0FAAF3FF" w14:textId="2426828F" w:rsidR="00E3241D" w:rsidRPr="00E3241D" w:rsidRDefault="00E3241D" w:rsidP="00E3241D">
    <w:pPr>
      <w:pStyle w:val="Footer"/>
      <w:ind w:right="1134"/>
      <w:rPr>
        <w:rFonts w:ascii="C39T30Lfz" w:hAnsi="C39T30Lfz"/>
        <w:sz w:val="56"/>
      </w:rPr>
    </w:pPr>
    <w:r>
      <w:rPr>
        <w:rFonts w:ascii="C39T30Lfz" w:hAnsi="C39T30Lfz" w:hint="eastAsia"/>
        <w:sz w:val="56"/>
      </w:rPr>
      <w:t>*2014988*</w:t>
    </w:r>
    <w:r>
      <w:rPr>
        <w:rFonts w:ascii="C39T30Lfz" w:hAnsi="C39T30Lfz"/>
        <w:noProof/>
        <w:sz w:val="56"/>
      </w:rPr>
      <w:drawing>
        <wp:anchor distT="0" distB="0" distL="114300" distR="114300" simplePos="0" relativeHeight="251660288" behindDoc="0" locked="0" layoutInCell="1" allowOverlap="1" wp14:anchorId="12407495" wp14:editId="7B7E33D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93484" w14:textId="77777777" w:rsidR="006901A6" w:rsidRPr="00557A78" w:rsidRDefault="006901A6" w:rsidP="00557A78">
      <w:pPr>
        <w:tabs>
          <w:tab w:val="right" w:pos="2155"/>
        </w:tabs>
        <w:spacing w:after="80"/>
        <w:ind w:left="680"/>
      </w:pPr>
      <w:r>
        <w:rPr>
          <w:u w:val="single"/>
        </w:rPr>
        <w:tab/>
      </w:r>
    </w:p>
  </w:footnote>
  <w:footnote w:type="continuationSeparator" w:id="0">
    <w:p w14:paraId="06B66C56" w14:textId="77777777" w:rsidR="006901A6" w:rsidRPr="00557A78" w:rsidRDefault="006901A6" w:rsidP="00557A78">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EF7C4" w14:textId="77777777" w:rsidR="007D4B5A" w:rsidRDefault="007D4B5A" w:rsidP="007D4B5A">
    <w:pPr>
      <w:pStyle w:val="Header"/>
    </w:pPr>
    <w:r>
      <w:t>CED/C/20/1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57BB" w14:textId="77777777" w:rsidR="007D4B5A" w:rsidRDefault="007D4B5A" w:rsidP="007D4B5A">
    <w:pPr>
      <w:pStyle w:val="Header"/>
      <w:jc w:val="right"/>
    </w:pPr>
    <w:r>
      <w:t>CED/C/20/1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1A6"/>
    <w:rsid w:val="00002379"/>
    <w:rsid w:val="00030C37"/>
    <w:rsid w:val="00046E92"/>
    <w:rsid w:val="00170237"/>
    <w:rsid w:val="00247E2C"/>
    <w:rsid w:val="002D6C53"/>
    <w:rsid w:val="002F5595"/>
    <w:rsid w:val="00334F6A"/>
    <w:rsid w:val="00342AC8"/>
    <w:rsid w:val="00393103"/>
    <w:rsid w:val="003B4550"/>
    <w:rsid w:val="003F5B30"/>
    <w:rsid w:val="00461253"/>
    <w:rsid w:val="005042C2"/>
    <w:rsid w:val="00557A78"/>
    <w:rsid w:val="00671529"/>
    <w:rsid w:val="006901A6"/>
    <w:rsid w:val="007268F9"/>
    <w:rsid w:val="007C52B0"/>
    <w:rsid w:val="007D4B5A"/>
    <w:rsid w:val="008359DD"/>
    <w:rsid w:val="008C49F2"/>
    <w:rsid w:val="00916EAD"/>
    <w:rsid w:val="00930118"/>
    <w:rsid w:val="009411B4"/>
    <w:rsid w:val="009452AA"/>
    <w:rsid w:val="009D0139"/>
    <w:rsid w:val="009F5CDC"/>
    <w:rsid w:val="00A013CF"/>
    <w:rsid w:val="00A126AC"/>
    <w:rsid w:val="00A6425F"/>
    <w:rsid w:val="00A775CF"/>
    <w:rsid w:val="00B06045"/>
    <w:rsid w:val="00B65B98"/>
    <w:rsid w:val="00C35A27"/>
    <w:rsid w:val="00D65FAC"/>
    <w:rsid w:val="00E02C2B"/>
    <w:rsid w:val="00E3241D"/>
    <w:rsid w:val="00E94B77"/>
    <w:rsid w:val="00ED6C48"/>
    <w:rsid w:val="00EF0C90"/>
    <w:rsid w:val="00F16859"/>
    <w:rsid w:val="00F65F5D"/>
    <w:rsid w:val="00F86A3A"/>
    <w:rsid w:val="00FB115A"/>
    <w:rsid w:val="00FD1002"/>
    <w:rsid w:val="00FF29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E049C2F"/>
  <w15:docId w15:val="{BD9CE288-533D-4B11-90C4-1A175047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B5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D4B5A"/>
    <w:pPr>
      <w:spacing w:after="0"/>
      <w:ind w:right="0"/>
      <w:jc w:val="left"/>
      <w:outlineLvl w:val="0"/>
    </w:pPr>
  </w:style>
  <w:style w:type="paragraph" w:styleId="Heading2">
    <w:name w:val="heading 2"/>
    <w:basedOn w:val="Normal"/>
    <w:next w:val="Normal"/>
    <w:link w:val="Heading2Char"/>
    <w:semiHidden/>
    <w:rsid w:val="007D4B5A"/>
    <w:pPr>
      <w:outlineLvl w:val="1"/>
    </w:pPr>
  </w:style>
  <w:style w:type="paragraph" w:styleId="Heading3">
    <w:name w:val="heading 3"/>
    <w:basedOn w:val="Normal"/>
    <w:next w:val="Normal"/>
    <w:link w:val="Heading3Char"/>
    <w:semiHidden/>
    <w:rsid w:val="007D4B5A"/>
    <w:pPr>
      <w:outlineLvl w:val="2"/>
    </w:pPr>
  </w:style>
  <w:style w:type="paragraph" w:styleId="Heading4">
    <w:name w:val="heading 4"/>
    <w:basedOn w:val="Normal"/>
    <w:next w:val="Normal"/>
    <w:link w:val="Heading4Char"/>
    <w:semiHidden/>
    <w:rsid w:val="007D4B5A"/>
    <w:pPr>
      <w:outlineLvl w:val="3"/>
    </w:pPr>
  </w:style>
  <w:style w:type="paragraph" w:styleId="Heading5">
    <w:name w:val="heading 5"/>
    <w:basedOn w:val="Normal"/>
    <w:next w:val="Normal"/>
    <w:link w:val="Heading5Char"/>
    <w:semiHidden/>
    <w:rsid w:val="007D4B5A"/>
    <w:pPr>
      <w:outlineLvl w:val="4"/>
    </w:pPr>
  </w:style>
  <w:style w:type="paragraph" w:styleId="Heading6">
    <w:name w:val="heading 6"/>
    <w:basedOn w:val="Normal"/>
    <w:next w:val="Normal"/>
    <w:link w:val="Heading6Char"/>
    <w:semiHidden/>
    <w:rsid w:val="007D4B5A"/>
    <w:pPr>
      <w:outlineLvl w:val="5"/>
    </w:pPr>
  </w:style>
  <w:style w:type="paragraph" w:styleId="Heading7">
    <w:name w:val="heading 7"/>
    <w:basedOn w:val="Normal"/>
    <w:next w:val="Normal"/>
    <w:link w:val="Heading7Char"/>
    <w:semiHidden/>
    <w:rsid w:val="007D4B5A"/>
    <w:pPr>
      <w:outlineLvl w:val="6"/>
    </w:pPr>
  </w:style>
  <w:style w:type="paragraph" w:styleId="Heading8">
    <w:name w:val="heading 8"/>
    <w:basedOn w:val="Normal"/>
    <w:next w:val="Normal"/>
    <w:link w:val="Heading8Char"/>
    <w:semiHidden/>
    <w:rsid w:val="007D4B5A"/>
    <w:pPr>
      <w:outlineLvl w:val="7"/>
    </w:pPr>
  </w:style>
  <w:style w:type="paragraph" w:styleId="Heading9">
    <w:name w:val="heading 9"/>
    <w:basedOn w:val="Normal"/>
    <w:next w:val="Normal"/>
    <w:link w:val="Heading9Char"/>
    <w:semiHidden/>
    <w:rsid w:val="007D4B5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D4B5A"/>
    <w:pPr>
      <w:pBdr>
        <w:bottom w:val="single" w:sz="4" w:space="4" w:color="auto"/>
      </w:pBdr>
    </w:pPr>
    <w:rPr>
      <w:b/>
      <w:sz w:val="18"/>
    </w:rPr>
  </w:style>
  <w:style w:type="character" w:customStyle="1" w:styleId="HeaderChar">
    <w:name w:val="Header Char"/>
    <w:aliases w:val="6_G Char"/>
    <w:basedOn w:val="DefaultParagraphFont"/>
    <w:link w:val="Header"/>
    <w:rsid w:val="007D4B5A"/>
    <w:rPr>
      <w:rFonts w:ascii="Times New Roman" w:hAnsi="Times New Roman" w:cs="Times New Roman"/>
      <w:b/>
      <w:sz w:val="18"/>
      <w:szCs w:val="20"/>
    </w:rPr>
  </w:style>
  <w:style w:type="paragraph" w:styleId="Footer">
    <w:name w:val="footer"/>
    <w:aliases w:val="3_G"/>
    <w:basedOn w:val="Normal"/>
    <w:link w:val="FooterChar"/>
    <w:rsid w:val="007D4B5A"/>
    <w:rPr>
      <w:sz w:val="16"/>
    </w:rPr>
  </w:style>
  <w:style w:type="character" w:customStyle="1" w:styleId="FooterChar">
    <w:name w:val="Footer Char"/>
    <w:aliases w:val="3_G Char"/>
    <w:basedOn w:val="DefaultParagraphFont"/>
    <w:link w:val="Footer"/>
    <w:rsid w:val="007D4B5A"/>
    <w:rPr>
      <w:rFonts w:ascii="Times New Roman" w:hAnsi="Times New Roman" w:cs="Times New Roman"/>
      <w:sz w:val="16"/>
      <w:szCs w:val="20"/>
    </w:rPr>
  </w:style>
  <w:style w:type="paragraph" w:customStyle="1" w:styleId="HMG">
    <w:name w:val="_ H __M_G"/>
    <w:basedOn w:val="Normal"/>
    <w:next w:val="Normal"/>
    <w:rsid w:val="007D4B5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4B5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4B5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4B5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4B5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4B5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4B5A"/>
    <w:pPr>
      <w:spacing w:after="120"/>
      <w:ind w:left="1134" w:right="1134"/>
      <w:jc w:val="both"/>
    </w:pPr>
  </w:style>
  <w:style w:type="paragraph" w:customStyle="1" w:styleId="SLG">
    <w:name w:val="__S_L_G"/>
    <w:basedOn w:val="Normal"/>
    <w:next w:val="Normal"/>
    <w:rsid w:val="007D4B5A"/>
    <w:pPr>
      <w:keepNext/>
      <w:keepLines/>
      <w:spacing w:before="240" w:after="240" w:line="580" w:lineRule="exact"/>
      <w:ind w:left="1134" w:right="1134"/>
    </w:pPr>
    <w:rPr>
      <w:b/>
      <w:sz w:val="56"/>
    </w:rPr>
  </w:style>
  <w:style w:type="paragraph" w:customStyle="1" w:styleId="SMG">
    <w:name w:val="__S_M_G"/>
    <w:basedOn w:val="Normal"/>
    <w:next w:val="Normal"/>
    <w:rsid w:val="007D4B5A"/>
    <w:pPr>
      <w:keepNext/>
      <w:keepLines/>
      <w:spacing w:before="240" w:after="240" w:line="420" w:lineRule="exact"/>
      <w:ind w:left="1134" w:right="1134"/>
    </w:pPr>
    <w:rPr>
      <w:b/>
      <w:sz w:val="40"/>
    </w:rPr>
  </w:style>
  <w:style w:type="paragraph" w:customStyle="1" w:styleId="SSG">
    <w:name w:val="__S_S_G"/>
    <w:basedOn w:val="Normal"/>
    <w:next w:val="Normal"/>
    <w:rsid w:val="007D4B5A"/>
    <w:pPr>
      <w:keepNext/>
      <w:keepLines/>
      <w:spacing w:before="240" w:after="240" w:line="300" w:lineRule="exact"/>
      <w:ind w:left="1134" w:right="1134"/>
    </w:pPr>
    <w:rPr>
      <w:b/>
      <w:sz w:val="28"/>
    </w:rPr>
  </w:style>
  <w:style w:type="paragraph" w:customStyle="1" w:styleId="XLargeG">
    <w:name w:val="__XLarge_G"/>
    <w:basedOn w:val="Normal"/>
    <w:next w:val="Normal"/>
    <w:rsid w:val="007D4B5A"/>
    <w:pPr>
      <w:keepNext/>
      <w:keepLines/>
      <w:spacing w:before="240" w:after="240" w:line="420" w:lineRule="exact"/>
      <w:ind w:left="1134" w:right="1134"/>
    </w:pPr>
    <w:rPr>
      <w:b/>
      <w:sz w:val="40"/>
    </w:rPr>
  </w:style>
  <w:style w:type="paragraph" w:customStyle="1" w:styleId="Bullet1G">
    <w:name w:val="_Bullet 1_G"/>
    <w:basedOn w:val="Normal"/>
    <w:rsid w:val="007D4B5A"/>
    <w:pPr>
      <w:numPr>
        <w:numId w:val="13"/>
      </w:numPr>
      <w:spacing w:after="120"/>
      <w:ind w:right="1134"/>
      <w:jc w:val="both"/>
    </w:pPr>
  </w:style>
  <w:style w:type="paragraph" w:customStyle="1" w:styleId="Bullet2G">
    <w:name w:val="_Bullet 2_G"/>
    <w:basedOn w:val="Normal"/>
    <w:rsid w:val="007D4B5A"/>
    <w:pPr>
      <w:numPr>
        <w:numId w:val="14"/>
      </w:numPr>
      <w:spacing w:after="120"/>
      <w:ind w:right="1134"/>
      <w:jc w:val="both"/>
    </w:pPr>
  </w:style>
  <w:style w:type="paragraph" w:customStyle="1" w:styleId="ParaNoG">
    <w:name w:val="_ParaNo._G"/>
    <w:basedOn w:val="SingleTxtG"/>
    <w:rsid w:val="007D4B5A"/>
    <w:pPr>
      <w:numPr>
        <w:numId w:val="15"/>
      </w:numPr>
    </w:pPr>
  </w:style>
  <w:style w:type="numbering" w:styleId="111111">
    <w:name w:val="Outline List 2"/>
    <w:basedOn w:val="NoList"/>
    <w:semiHidden/>
    <w:rsid w:val="007D4B5A"/>
    <w:pPr>
      <w:numPr>
        <w:numId w:val="11"/>
      </w:numPr>
    </w:pPr>
  </w:style>
  <w:style w:type="numbering" w:styleId="1ai">
    <w:name w:val="Outline List 1"/>
    <w:basedOn w:val="NoList"/>
    <w:semiHidden/>
    <w:rsid w:val="007D4B5A"/>
    <w:pPr>
      <w:numPr>
        <w:numId w:val="6"/>
      </w:numPr>
    </w:pPr>
  </w:style>
  <w:style w:type="character" w:styleId="EndnoteReference">
    <w:name w:val="endnote reference"/>
    <w:aliases w:val="1_G"/>
    <w:rsid w:val="007D4B5A"/>
    <w:rPr>
      <w:rFonts w:ascii="Times New Roman" w:hAnsi="Times New Roman"/>
      <w:sz w:val="18"/>
      <w:vertAlign w:val="superscript"/>
    </w:rPr>
  </w:style>
  <w:style w:type="paragraph" w:styleId="FootnoteText">
    <w:name w:val="footnote text"/>
    <w:aliases w:val="5_G"/>
    <w:basedOn w:val="Normal"/>
    <w:link w:val="FootnoteTextChar"/>
    <w:rsid w:val="007D4B5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D4B5A"/>
    <w:rPr>
      <w:rFonts w:ascii="Times New Roman" w:hAnsi="Times New Roman" w:cs="Times New Roman"/>
      <w:sz w:val="18"/>
      <w:szCs w:val="20"/>
    </w:rPr>
  </w:style>
  <w:style w:type="paragraph" w:styleId="EndnoteText">
    <w:name w:val="endnote text"/>
    <w:aliases w:val="2_G"/>
    <w:basedOn w:val="FootnoteText"/>
    <w:link w:val="EndnoteTextChar"/>
    <w:rsid w:val="007D4B5A"/>
  </w:style>
  <w:style w:type="character" w:customStyle="1" w:styleId="EndnoteTextChar">
    <w:name w:val="Endnote Text Char"/>
    <w:aliases w:val="2_G Char"/>
    <w:basedOn w:val="DefaultParagraphFont"/>
    <w:link w:val="EndnoteText"/>
    <w:rsid w:val="007D4B5A"/>
    <w:rPr>
      <w:rFonts w:ascii="Times New Roman" w:hAnsi="Times New Roman" w:cs="Times New Roman"/>
      <w:sz w:val="18"/>
      <w:szCs w:val="20"/>
    </w:rPr>
  </w:style>
  <w:style w:type="character" w:styleId="FootnoteReference">
    <w:name w:val="footnote reference"/>
    <w:aliases w:val="4_G"/>
    <w:rsid w:val="007D4B5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D4B5A"/>
    <w:rPr>
      <w:rFonts w:ascii="Times New Roman" w:hAnsi="Times New Roman" w:cs="Times New Roman"/>
      <w:sz w:val="20"/>
      <w:szCs w:val="20"/>
    </w:rPr>
  </w:style>
  <w:style w:type="character" w:customStyle="1" w:styleId="Heading2Char">
    <w:name w:val="Heading 2 Char"/>
    <w:basedOn w:val="DefaultParagraphFont"/>
    <w:link w:val="Heading2"/>
    <w:semiHidden/>
    <w:rsid w:val="007D4B5A"/>
    <w:rPr>
      <w:rFonts w:ascii="Times New Roman" w:hAnsi="Times New Roman" w:cs="Times New Roman"/>
      <w:sz w:val="20"/>
      <w:szCs w:val="20"/>
    </w:rPr>
  </w:style>
  <w:style w:type="character" w:customStyle="1" w:styleId="Heading3Char">
    <w:name w:val="Heading 3 Char"/>
    <w:basedOn w:val="DefaultParagraphFont"/>
    <w:link w:val="Heading3"/>
    <w:semiHidden/>
    <w:rsid w:val="007D4B5A"/>
    <w:rPr>
      <w:rFonts w:ascii="Times New Roman" w:hAnsi="Times New Roman" w:cs="Times New Roman"/>
      <w:sz w:val="20"/>
      <w:szCs w:val="20"/>
    </w:rPr>
  </w:style>
  <w:style w:type="character" w:customStyle="1" w:styleId="Heading4Char">
    <w:name w:val="Heading 4 Char"/>
    <w:basedOn w:val="DefaultParagraphFont"/>
    <w:link w:val="Heading4"/>
    <w:semiHidden/>
    <w:rsid w:val="007D4B5A"/>
    <w:rPr>
      <w:rFonts w:ascii="Times New Roman" w:hAnsi="Times New Roman" w:cs="Times New Roman"/>
      <w:sz w:val="20"/>
      <w:szCs w:val="20"/>
    </w:rPr>
  </w:style>
  <w:style w:type="character" w:customStyle="1" w:styleId="Heading5Char">
    <w:name w:val="Heading 5 Char"/>
    <w:basedOn w:val="DefaultParagraphFont"/>
    <w:link w:val="Heading5"/>
    <w:semiHidden/>
    <w:rsid w:val="007D4B5A"/>
    <w:rPr>
      <w:rFonts w:ascii="Times New Roman" w:hAnsi="Times New Roman" w:cs="Times New Roman"/>
      <w:sz w:val="20"/>
      <w:szCs w:val="20"/>
    </w:rPr>
  </w:style>
  <w:style w:type="character" w:customStyle="1" w:styleId="Heading6Char">
    <w:name w:val="Heading 6 Char"/>
    <w:basedOn w:val="DefaultParagraphFont"/>
    <w:link w:val="Heading6"/>
    <w:semiHidden/>
    <w:rsid w:val="007D4B5A"/>
    <w:rPr>
      <w:rFonts w:ascii="Times New Roman" w:hAnsi="Times New Roman" w:cs="Times New Roman"/>
      <w:sz w:val="20"/>
      <w:szCs w:val="20"/>
    </w:rPr>
  </w:style>
  <w:style w:type="character" w:customStyle="1" w:styleId="Heading7Char">
    <w:name w:val="Heading 7 Char"/>
    <w:basedOn w:val="DefaultParagraphFont"/>
    <w:link w:val="Heading7"/>
    <w:semiHidden/>
    <w:rsid w:val="007D4B5A"/>
    <w:rPr>
      <w:rFonts w:ascii="Times New Roman" w:hAnsi="Times New Roman" w:cs="Times New Roman"/>
      <w:sz w:val="20"/>
      <w:szCs w:val="20"/>
    </w:rPr>
  </w:style>
  <w:style w:type="character" w:customStyle="1" w:styleId="Heading8Char">
    <w:name w:val="Heading 8 Char"/>
    <w:basedOn w:val="DefaultParagraphFont"/>
    <w:link w:val="Heading8"/>
    <w:semiHidden/>
    <w:rsid w:val="007D4B5A"/>
    <w:rPr>
      <w:rFonts w:ascii="Times New Roman" w:hAnsi="Times New Roman" w:cs="Times New Roman"/>
      <w:sz w:val="20"/>
      <w:szCs w:val="20"/>
    </w:rPr>
  </w:style>
  <w:style w:type="character" w:customStyle="1" w:styleId="Heading9Char">
    <w:name w:val="Heading 9 Char"/>
    <w:basedOn w:val="DefaultParagraphFont"/>
    <w:link w:val="Heading9"/>
    <w:semiHidden/>
    <w:rsid w:val="007D4B5A"/>
    <w:rPr>
      <w:rFonts w:ascii="Times New Roman" w:hAnsi="Times New Roman" w:cs="Times New Roman"/>
      <w:sz w:val="20"/>
      <w:szCs w:val="20"/>
    </w:rPr>
  </w:style>
  <w:style w:type="character" w:styleId="PageNumber">
    <w:name w:val="page number"/>
    <w:aliases w:val="7_G"/>
    <w:semiHidden/>
    <w:rsid w:val="007D4B5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D4B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4B5A"/>
    <w:rPr>
      <w:rFonts w:ascii="Tahoma" w:hAnsi="Tahoma" w:cs="Tahoma"/>
      <w:sz w:val="16"/>
      <w:szCs w:val="16"/>
    </w:rPr>
  </w:style>
  <w:style w:type="character" w:customStyle="1" w:styleId="BalloonTextChar">
    <w:name w:val="Balloon Text Char"/>
    <w:basedOn w:val="DefaultParagraphFont"/>
    <w:link w:val="BalloonText"/>
    <w:uiPriority w:val="99"/>
    <w:semiHidden/>
    <w:rsid w:val="007D4B5A"/>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A5910-5C3D-45DA-A709-E570B9C2B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1014</Words>
  <Characters>5646</Characters>
  <Application>Microsoft Office Word</Application>
  <DocSecurity>0</DocSecurity>
  <Lines>119</Lines>
  <Paragraphs>81</Paragraphs>
  <ScaleCrop>false</ScaleCrop>
  <HeadingPairs>
    <vt:vector size="2" baseType="variant">
      <vt:variant>
        <vt:lpstr>Title</vt:lpstr>
      </vt:variant>
      <vt:variant>
        <vt:i4>1</vt:i4>
      </vt:variant>
    </vt:vector>
  </HeadingPairs>
  <TitlesOfParts>
    <vt:vector size="1" baseType="lpstr">
      <vt:lpstr>CED/C/20/1</vt:lpstr>
    </vt:vector>
  </TitlesOfParts>
  <Company>DCM</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CED/C/20/1</dc:title>
  <dc:subject>2014988</dc:subject>
  <dc:creator>dm</dc:creator>
  <cp:keywords/>
  <dc:description/>
  <cp:lastModifiedBy>Maria Rosario Corazon Gatmaytan</cp:lastModifiedBy>
  <cp:revision>2</cp:revision>
  <dcterms:created xsi:type="dcterms:W3CDTF">2020-11-12T07:06:00Z</dcterms:created>
  <dcterms:modified xsi:type="dcterms:W3CDTF">2020-11-12T07:06:00Z</dcterms:modified>
</cp:coreProperties>
</file>