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5pt;margin-top:708.9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41620</w:t>
                  </w:r>
                  <w:r>
                    <w:rPr>
                      <w:lang w:val="en-US"/>
                    </w:rPr>
                    <w:fldChar w:fldCharType="end"/>
                  </w:r>
                  <w:r>
                    <w:rPr>
                      <w:lang w:val="en-US"/>
                    </w:rPr>
                    <w:t xml:space="preserve">   (R)</w:t>
                  </w:r>
                  <w:r>
                    <w:rPr>
                      <w:lang w:val="en-US"/>
                    </w:rPr>
                    <w:tab/>
                    <w:t>040707    050707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7095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SWE</w:t>
            </w:r>
            <w:proofErr w:type="spellEnd"/>
            <w:r>
              <w:rPr>
                <w:sz w:val="22"/>
                <w:lang w:val="en-US"/>
              </w:rPr>
              <w:t>/18</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7 May 2007</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pPr>
        <w:rPr>
          <w:lang w:val="en-US"/>
        </w:rPr>
      </w:pPr>
      <w:r>
        <w:t xml:space="preserve">КОМИТЕТ ПО ЛИКВИДАЦИИ </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b/>
          <w:bCs/>
          <w:lang w:val="en-US"/>
        </w:rPr>
      </w:pPr>
    </w:p>
    <w:p w:rsidR="00000000" w:rsidRDefault="00000000">
      <w:pPr>
        <w:jc w:val="center"/>
        <w:rPr>
          <w:b/>
          <w:bCs/>
        </w:rPr>
      </w:pPr>
      <w:r>
        <w:rPr>
          <w:b/>
          <w:bCs/>
        </w:rPr>
        <w:t>ДОКЛАДЫ, ПРЕДСТАВЛЕННЫЕ ГОСУДАРСТВАМИ-УЧАСТНИКАМИ</w:t>
      </w:r>
      <w:r>
        <w:rPr>
          <w:b/>
          <w:bCs/>
        </w:rPr>
        <w:br/>
        <w:t>В СООТВЕТСТВИИ СО СТАТЬЕЙ 9 КОНВЕНЦИИ</w:t>
      </w:r>
    </w:p>
    <w:p w:rsidR="00000000" w:rsidRDefault="00000000">
      <w:pPr>
        <w:jc w:val="center"/>
        <w:rPr>
          <w:b/>
          <w:bCs/>
        </w:rPr>
      </w:pPr>
    </w:p>
    <w:p w:rsidR="00000000" w:rsidRDefault="00000000">
      <w:pPr>
        <w:jc w:val="center"/>
        <w:rPr>
          <w:b/>
          <w:bCs/>
        </w:rPr>
      </w:pPr>
      <w:r>
        <w:rPr>
          <w:b/>
          <w:bCs/>
        </w:rPr>
        <w:t>Восемнадцатые периодические доклады государств-участников, подлежащие представлению в 2007 году</w:t>
      </w:r>
    </w:p>
    <w:p w:rsidR="00000000" w:rsidRDefault="00000000">
      <w:pPr>
        <w:jc w:val="center"/>
        <w:rPr>
          <w:b/>
          <w:bCs/>
          <w:u w:val="single"/>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ШВЕЦИЯ*</w:t>
      </w:r>
      <w:r>
        <w:rPr>
          <w:b/>
          <w:bCs/>
          <w:lang w:val="en-US"/>
        </w:rPr>
        <w:t xml:space="preserve"> </w:t>
      </w:r>
      <w:r>
        <w:rPr>
          <w:b/>
          <w:bCs/>
        </w:rPr>
        <w:t xml:space="preserve"> **</w:t>
      </w:r>
    </w:p>
    <w:p w:rsidR="00000000" w:rsidRDefault="00000000">
      <w:pPr>
        <w:jc w:val="center"/>
        <w:rPr>
          <w:lang w:val="en-US"/>
        </w:rPr>
      </w:pPr>
    </w:p>
    <w:p w:rsidR="00000000" w:rsidRDefault="00000000">
      <w:pPr>
        <w:jc w:val="right"/>
        <w:rPr>
          <w:rFonts w:ascii="CG Times (W1)" w:hAnsi="CG Times (W1)" w:cs="Tms Rmn"/>
          <w:color w:val="000000"/>
          <w:szCs w:val="22"/>
        </w:rPr>
      </w:pPr>
      <w:r>
        <w:rPr>
          <w:rFonts w:ascii="CG Times (W1)" w:hAnsi="CG Times (W1)" w:cs="Tms Rmn"/>
          <w:color w:val="000000"/>
          <w:szCs w:val="22"/>
        </w:rPr>
        <w:t>[22 декабря 2006 года]</w:t>
      </w:r>
    </w:p>
    <w:p w:rsidR="00000000" w:rsidRDefault="00000000">
      <w:pPr>
        <w:jc w:val="right"/>
        <w:rPr>
          <w:rFonts w:ascii="CG Times (W1)" w:hAnsi="CG Times (W1)" w:cs="Tms Rmn"/>
          <w:color w:val="000000"/>
          <w:szCs w:val="22"/>
        </w:rPr>
      </w:pPr>
    </w:p>
    <w:p w:rsidR="00000000" w:rsidRDefault="00000000">
      <w:pPr>
        <w:jc w:val="center"/>
        <w:rPr>
          <w:lang w:val="en-US"/>
        </w:rPr>
      </w:pPr>
    </w:p>
    <w:p w:rsidR="00000000" w:rsidRDefault="00000000">
      <w:pPr>
        <w:rPr>
          <w:lang w:val="en-US"/>
        </w:rPr>
      </w:pPr>
      <w:r>
        <w:t>_____________</w:t>
      </w:r>
      <w:r>
        <w:rPr>
          <w:lang w:val="en-US"/>
        </w:rPr>
        <w:t>___________</w:t>
      </w:r>
    </w:p>
    <w:p w:rsidR="00000000" w:rsidRDefault="00000000">
      <w:pPr>
        <w:spacing w:line="240" w:lineRule="auto"/>
        <w:rPr>
          <w:rFonts w:ascii="CG Times (W1)" w:hAnsi="CG Times (W1)" w:cs="Tms Rmn"/>
          <w:color w:val="000000"/>
          <w:szCs w:val="22"/>
        </w:rPr>
      </w:pPr>
      <w:r>
        <w:t>*</w:t>
      </w:r>
      <w:r>
        <w:tab/>
        <w:t xml:space="preserve">В настоящем документе содержатся семнадцатый и восемнадцатый периодические доклады Швеции, подлежавшие представлению совместно 5 января 2007 года.  Пятнадцатый и шестнадцатый периодические доклады и краткие отчеты о заседаниях, на которых Комитет рассматривал этот доклад, см. документы </w:t>
      </w:r>
      <w:r>
        <w:rPr>
          <w:rFonts w:ascii="CG Times (W1)" w:hAnsi="CG Times (W1)"/>
          <w:szCs w:val="22"/>
          <w:lang w:val="en-GB"/>
        </w:rPr>
        <w:t>CERD</w:t>
      </w:r>
      <w:r>
        <w:rPr>
          <w:rFonts w:ascii="CG Times (W1)" w:hAnsi="CG Times (W1)"/>
          <w:szCs w:val="22"/>
        </w:rPr>
        <w:t>/</w:t>
      </w:r>
      <w:r>
        <w:rPr>
          <w:rFonts w:ascii="CG Times (W1)" w:hAnsi="CG Times (W1)"/>
          <w:szCs w:val="22"/>
          <w:lang w:val="en-GB"/>
        </w:rPr>
        <w:t>C</w:t>
      </w:r>
      <w:r>
        <w:rPr>
          <w:rFonts w:ascii="CG Times (W1)" w:hAnsi="CG Times (W1)"/>
          <w:szCs w:val="22"/>
        </w:rPr>
        <w:t>/452/</w:t>
      </w:r>
      <w:r>
        <w:rPr>
          <w:rFonts w:ascii="CG Times (W1)" w:hAnsi="CG Times (W1)"/>
          <w:szCs w:val="22"/>
          <w:lang w:val="en-GB"/>
        </w:rPr>
        <w:t>Add</w:t>
      </w:r>
      <w:r>
        <w:rPr>
          <w:rFonts w:ascii="CG Times (W1)" w:hAnsi="CG Times (W1)"/>
          <w:szCs w:val="22"/>
        </w:rPr>
        <w:t xml:space="preserve">.4, </w:t>
      </w:r>
      <w:r>
        <w:rPr>
          <w:rFonts w:ascii="CG Times (W1)" w:hAnsi="CG Times (W1)" w:cs="Tms Rmn"/>
          <w:color w:val="000000"/>
          <w:szCs w:val="22"/>
        </w:rPr>
        <w:t>CERD/C/</w:t>
      </w:r>
      <w:proofErr w:type="spellStart"/>
      <w:r>
        <w:rPr>
          <w:rFonts w:ascii="CG Times (W1)" w:hAnsi="CG Times (W1)" w:cs="Tms Rmn"/>
          <w:color w:val="000000"/>
          <w:szCs w:val="22"/>
        </w:rPr>
        <w:t>SR.1618</w:t>
      </w:r>
      <w:proofErr w:type="spellEnd"/>
      <w:r>
        <w:rPr>
          <w:rFonts w:ascii="CG Times (W1)" w:hAnsi="CG Times (W1)" w:cs="Tms Rmn"/>
          <w:color w:val="000000"/>
          <w:szCs w:val="22"/>
        </w:rPr>
        <w:t>, 1619 и 1638.</w:t>
      </w:r>
    </w:p>
    <w:p w:rsidR="00000000" w:rsidRDefault="00000000">
      <w:pPr>
        <w:spacing w:line="240" w:lineRule="auto"/>
        <w:rPr>
          <w:rFonts w:ascii="CG Times (W1)" w:hAnsi="CG Times (W1)" w:cs="Tms Rmn"/>
          <w:color w:val="000000"/>
          <w:szCs w:val="22"/>
        </w:rPr>
      </w:pPr>
    </w:p>
    <w:p w:rsidR="00000000" w:rsidRDefault="00000000">
      <w:pPr>
        <w:spacing w:line="240" w:lineRule="auto"/>
        <w:rPr>
          <w:rFonts w:ascii="CG Times (W1)" w:hAnsi="CG Times (W1)" w:cs="Tms Rmn"/>
          <w:color w:val="000000"/>
          <w:szCs w:val="22"/>
        </w:rPr>
      </w:pPr>
      <w:r>
        <w:rPr>
          <w:rFonts w:ascii="CG Times (W1)" w:hAnsi="CG Times (W1)" w:cs="Tms Rmn"/>
          <w:color w:val="000000"/>
          <w:szCs w:val="22"/>
        </w:rPr>
        <w:t>**</w:t>
      </w:r>
      <w:r>
        <w:rPr>
          <w:rFonts w:ascii="CG Times (W1)" w:hAnsi="CG Times (W1)" w:cs="Tms Rmn"/>
          <w:color w:val="000000"/>
          <w:szCs w:val="22"/>
        </w:rPr>
        <w:tab/>
        <w:t xml:space="preserve">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w:t>
      </w:r>
      <w:r>
        <w:rPr>
          <w:rFonts w:ascii="CG Times (W1)" w:hAnsi="CG Times (W1)" w:cs="Tms Rmn" w:hint="eastAsia"/>
          <w:color w:val="000000"/>
          <w:szCs w:val="22"/>
        </w:rPr>
        <w:t>Объединенных Наций</w:t>
      </w:r>
      <w:r>
        <w:rPr>
          <w:rFonts w:ascii="CG Times (W1)" w:hAnsi="CG Times (W1)" w:cs="Tms Rmn"/>
          <w:color w:val="000000"/>
          <w:szCs w:val="22"/>
        </w:rPr>
        <w:t xml:space="preserve"> официально не редактировался.</w:t>
      </w:r>
    </w:p>
    <w:p w:rsidR="00000000" w:rsidRDefault="00000000">
      <w:pPr>
        <w:rPr>
          <w:rFonts w:ascii="CG Times (W1)" w:hAnsi="CG Times (W1)" w:cs="Tms Rmn"/>
          <w:color w:val="000000"/>
          <w:szCs w:val="22"/>
        </w:rPr>
      </w:pPr>
    </w:p>
    <w:p w:rsidR="00000000" w:rsidRDefault="00000000">
      <w:pPr>
        <w:jc w:val="center"/>
        <w:rPr>
          <w:b/>
          <w:bCs/>
        </w:rPr>
      </w:pPr>
      <w:r>
        <w:rPr>
          <w:b/>
          <w:bCs/>
        </w:rPr>
        <w:br w:type="page"/>
        <w:t>ОБЩИЕ СВЕДЕНИЯ</w:t>
      </w:r>
    </w:p>
    <w:p w:rsidR="00000000" w:rsidRDefault="00000000">
      <w:pPr>
        <w:rPr>
          <w:b/>
          <w:bCs/>
        </w:rPr>
      </w:pPr>
    </w:p>
    <w:p w:rsidR="00000000" w:rsidRDefault="00000000">
      <w:r>
        <w:t>1.</w:t>
      </w:r>
      <w:r>
        <w:tab/>
        <w:t>Настоящим правительство Швеции представляет в виде единого документа свои семнадцатый и восемнадцатый периодический доклады о принятых им мерах в соответствии с Международной конвенцией о ликвидации всех форм расовой дискриминации.  Как было рекомендовано Комитетом по ликвидации расовой дискриминации, настоящий доклад представляется в порядке обновления данных, содержащихся в докладах, представленных Швецией ранее.  Особенно подробно рассматриваются вопросы, поднятые в Заключительных замечаниях Комитета</w:t>
      </w:r>
      <w:r>
        <w:rPr>
          <w:rStyle w:val="FootnoteReference"/>
        </w:rPr>
        <w:footnoteReference w:id="1"/>
      </w:r>
      <w:r>
        <w:t xml:space="preserve"> в связи с пятнадцатым и шестнадцатым докладами</w:t>
      </w:r>
      <w:r>
        <w:rPr>
          <w:rStyle w:val="FootnoteReference"/>
        </w:rPr>
        <w:footnoteReference w:id="2"/>
      </w:r>
      <w:r>
        <w:t>.</w:t>
      </w:r>
    </w:p>
    <w:p w:rsidR="00000000" w:rsidRDefault="00000000"/>
    <w:p w:rsidR="00000000" w:rsidRDefault="00000000">
      <w:pPr>
        <w:jc w:val="center"/>
        <w:rPr>
          <w:b/>
          <w:bCs/>
        </w:rPr>
      </w:pPr>
      <w:r>
        <w:rPr>
          <w:b/>
          <w:bCs/>
        </w:rPr>
        <w:t>СТАТИСТИКА НАРОДОНАСЕЛЕНИЯ</w:t>
      </w:r>
    </w:p>
    <w:p w:rsidR="00000000" w:rsidRDefault="00000000">
      <w:pPr>
        <w:rPr>
          <w:b/>
          <w:bCs/>
        </w:rPr>
      </w:pPr>
    </w:p>
    <w:p w:rsidR="00000000" w:rsidRDefault="00000000">
      <w:r>
        <w:t>2.</w:t>
      </w:r>
      <w:r>
        <w:tab/>
        <w:t>Статистика народонаселения Швеции представляется различными органами, включая Шведское статистическое управление (ШСУ).  Статистика народонаселения представляется по различным показателям, в том числе по полу, гражданству и стране рождения.  Согласно статистическим данным, более 1,1 млн. человек или несколько более 12% от общей численности населения (9 млн. человек) родились в другой стране.  Кроме того, около 340 000 человек родились в Швеции от обоих родителей-иностранцев</w:t>
      </w:r>
      <w:r>
        <w:rPr>
          <w:rStyle w:val="FootnoteReference"/>
        </w:rPr>
        <w:footnoteReference w:id="3"/>
      </w:r>
      <w:r>
        <w:t>.</w:t>
      </w:r>
    </w:p>
    <w:p w:rsidR="00000000" w:rsidRDefault="00000000"/>
    <w:p w:rsidR="00000000" w:rsidRDefault="00000000">
      <w:r>
        <w:t>3.</w:t>
      </w:r>
      <w:r>
        <w:tab/>
        <w:t xml:space="preserve">Иммигрантов можно разделить на три группы, из которых 24% родились в других странах Северной Европы, 17% - в других странах Европы за пределами Северной Европы и </w:t>
      </w:r>
      <w:proofErr w:type="spellStart"/>
      <w:r>
        <w:t>59%</w:t>
      </w:r>
      <w:proofErr w:type="spellEnd"/>
      <w:r>
        <w:t xml:space="preserve"> - вне Европы (включая лиц, страна рождения которых неизвестна).</w:t>
      </w:r>
    </w:p>
    <w:p w:rsidR="00000000" w:rsidRDefault="00000000"/>
    <w:p w:rsidR="00000000" w:rsidRDefault="00000000">
      <w:r>
        <w:t>4.</w:t>
      </w:r>
      <w:r>
        <w:tab/>
        <w:t>Наиболее многочисленными в 2005 году были группы рожденных за границей лиц из следующих стран (приблизительные данные)</w:t>
      </w:r>
      <w:r>
        <w:rPr>
          <w:rStyle w:val="FootnoteReference"/>
        </w:rPr>
        <w:footnoteReference w:id="4"/>
      </w:r>
      <w:r>
        <w:t>:</w:t>
      </w:r>
    </w:p>
    <w:p w:rsidR="00000000" w:rsidRDefault="00000000">
      <w:r>
        <w:br w:type="page"/>
      </w:r>
    </w:p>
    <w:tbl>
      <w:tblPr>
        <w:tblW w:w="7933" w:type="dxa"/>
        <w:jc w:val="center"/>
        <w:tblBorders>
          <w:top w:val="single" w:sz="4" w:space="0" w:color="auto"/>
          <w:left w:val="single" w:sz="4" w:space="0" w:color="auto"/>
          <w:bottom w:val="single" w:sz="4" w:space="0" w:color="auto"/>
          <w:right w:val="single" w:sz="4" w:space="0" w:color="auto"/>
          <w:insideV w:val="single" w:sz="4" w:space="0" w:color="auto"/>
        </w:tblBorders>
        <w:tblLook w:val="00BF" w:firstRow="1" w:lastRow="0" w:firstColumn="1" w:lastColumn="0" w:noHBand="0" w:noVBand="0"/>
      </w:tblPr>
      <w:tblGrid>
        <w:gridCol w:w="3657"/>
        <w:gridCol w:w="1365"/>
        <w:gridCol w:w="1511"/>
        <w:gridCol w:w="1400"/>
      </w:tblGrid>
      <w:tr w:rsidR="00000000">
        <w:tblPrEx>
          <w:tblCellMar>
            <w:top w:w="0" w:type="dxa"/>
            <w:bottom w:w="0" w:type="dxa"/>
          </w:tblCellMar>
        </w:tblPrEx>
        <w:trPr>
          <w:trHeight w:val="246"/>
          <w:jc w:val="center"/>
        </w:trPr>
        <w:tc>
          <w:tcPr>
            <w:tcW w:w="3657" w:type="dxa"/>
            <w:tcBorders>
              <w:top w:val="single" w:sz="4" w:space="0" w:color="auto"/>
              <w:bottom w:val="single" w:sz="4" w:space="0" w:color="auto"/>
            </w:tcBorders>
          </w:tcPr>
          <w:p w:rsidR="00000000" w:rsidRDefault="00000000">
            <w:pPr>
              <w:pStyle w:val="RKnormal"/>
              <w:spacing w:line="288" w:lineRule="auto"/>
              <w:jc w:val="center"/>
              <w:rPr>
                <w:lang w:val="ru-RU"/>
              </w:rPr>
            </w:pPr>
            <w:r>
              <w:rPr>
                <w:lang w:val="en-GB"/>
              </w:rPr>
              <w:t>C</w:t>
            </w:r>
            <w:proofErr w:type="spellStart"/>
            <w:r>
              <w:rPr>
                <w:lang w:val="ru-RU"/>
              </w:rPr>
              <w:t>трана</w:t>
            </w:r>
            <w:proofErr w:type="spellEnd"/>
            <w:r>
              <w:rPr>
                <w:lang w:val="ru-RU"/>
              </w:rPr>
              <w:t xml:space="preserve"> рождения</w:t>
            </w:r>
          </w:p>
        </w:tc>
        <w:tc>
          <w:tcPr>
            <w:tcW w:w="1365" w:type="dxa"/>
            <w:tcBorders>
              <w:top w:val="single" w:sz="4" w:space="0" w:color="auto"/>
              <w:bottom w:val="single" w:sz="4" w:space="0" w:color="auto"/>
            </w:tcBorders>
          </w:tcPr>
          <w:p w:rsidR="00000000" w:rsidRDefault="00000000">
            <w:pPr>
              <w:pStyle w:val="RKnormal"/>
              <w:spacing w:line="288" w:lineRule="auto"/>
              <w:jc w:val="center"/>
              <w:rPr>
                <w:lang w:val="ru-RU"/>
              </w:rPr>
            </w:pPr>
            <w:r>
              <w:rPr>
                <w:lang w:val="ru-RU"/>
              </w:rPr>
              <w:t>Женщины</w:t>
            </w:r>
          </w:p>
        </w:tc>
        <w:tc>
          <w:tcPr>
            <w:tcW w:w="1511" w:type="dxa"/>
            <w:tcBorders>
              <w:top w:val="single" w:sz="4" w:space="0" w:color="auto"/>
              <w:bottom w:val="single" w:sz="4" w:space="0" w:color="auto"/>
            </w:tcBorders>
          </w:tcPr>
          <w:p w:rsidR="00000000" w:rsidRDefault="00000000">
            <w:pPr>
              <w:pStyle w:val="RKnormal"/>
              <w:spacing w:line="288" w:lineRule="auto"/>
              <w:jc w:val="center"/>
              <w:rPr>
                <w:lang w:val="ru-RU"/>
              </w:rPr>
            </w:pPr>
            <w:r>
              <w:rPr>
                <w:lang w:val="ru-RU"/>
              </w:rPr>
              <w:t>Мужчины</w:t>
            </w:r>
          </w:p>
        </w:tc>
        <w:tc>
          <w:tcPr>
            <w:tcW w:w="1400" w:type="dxa"/>
            <w:tcBorders>
              <w:top w:val="single" w:sz="4" w:space="0" w:color="auto"/>
              <w:bottom w:val="single" w:sz="4" w:space="0" w:color="auto"/>
            </w:tcBorders>
          </w:tcPr>
          <w:p w:rsidR="00000000" w:rsidRDefault="00000000">
            <w:pPr>
              <w:pStyle w:val="RKnormal"/>
              <w:spacing w:line="288" w:lineRule="auto"/>
              <w:jc w:val="center"/>
              <w:rPr>
                <w:lang w:val="ru-RU"/>
              </w:rPr>
            </w:pPr>
            <w:r>
              <w:rPr>
                <w:lang w:val="ru-RU"/>
              </w:rPr>
              <w:t>Всего</w:t>
            </w:r>
          </w:p>
        </w:tc>
      </w:tr>
      <w:tr w:rsidR="00000000">
        <w:tblPrEx>
          <w:tblCellMar>
            <w:top w:w="0" w:type="dxa"/>
            <w:bottom w:w="0" w:type="dxa"/>
          </w:tblCellMar>
        </w:tblPrEx>
        <w:trPr>
          <w:trHeight w:val="3321"/>
          <w:jc w:val="center"/>
        </w:trPr>
        <w:tc>
          <w:tcPr>
            <w:tcW w:w="3657" w:type="dxa"/>
            <w:tcBorders>
              <w:top w:val="single" w:sz="4" w:space="0" w:color="auto"/>
            </w:tcBorders>
          </w:tcPr>
          <w:p w:rsidR="00000000" w:rsidRDefault="00000000">
            <w:pPr>
              <w:pStyle w:val="RKnormal"/>
              <w:spacing w:line="288" w:lineRule="auto"/>
            </w:pPr>
            <w:r>
              <w:rPr>
                <w:lang w:val="ru-RU"/>
              </w:rPr>
              <w:t>Финляндия</w:t>
            </w:r>
          </w:p>
          <w:p w:rsidR="00000000" w:rsidRDefault="00000000">
            <w:pPr>
              <w:pStyle w:val="RKnormal"/>
              <w:spacing w:line="288" w:lineRule="auto"/>
            </w:pPr>
            <w:r>
              <w:rPr>
                <w:lang w:val="ru-RU"/>
              </w:rPr>
              <w:t>Бывшая Югославия</w:t>
            </w:r>
            <w:r>
              <w:rPr>
                <w:rStyle w:val="FootnoteReference"/>
                <w:lang w:val="en-GB"/>
              </w:rPr>
              <w:footnoteReference w:id="5"/>
            </w:r>
          </w:p>
          <w:p w:rsidR="00000000" w:rsidRDefault="00000000">
            <w:pPr>
              <w:pStyle w:val="RKnormal"/>
              <w:spacing w:line="288" w:lineRule="auto"/>
            </w:pPr>
            <w:r>
              <w:rPr>
                <w:lang w:val="ru-RU"/>
              </w:rPr>
              <w:t>Ирак</w:t>
            </w:r>
          </w:p>
          <w:p w:rsidR="00000000" w:rsidRDefault="00000000">
            <w:pPr>
              <w:pStyle w:val="RKnormal"/>
              <w:spacing w:line="288" w:lineRule="auto"/>
            </w:pPr>
            <w:r>
              <w:rPr>
                <w:lang w:val="ru-RU"/>
              </w:rPr>
              <w:t>Босния и Герцеговина</w:t>
            </w:r>
          </w:p>
          <w:p w:rsidR="00000000" w:rsidRDefault="00000000">
            <w:pPr>
              <w:pStyle w:val="RKnormal"/>
              <w:spacing w:line="288" w:lineRule="auto"/>
              <w:rPr>
                <w:lang w:val="ru-RU"/>
              </w:rPr>
            </w:pPr>
            <w:r>
              <w:rPr>
                <w:lang w:val="ru-RU"/>
              </w:rPr>
              <w:t>Иран (Исламская Республика)</w:t>
            </w:r>
          </w:p>
          <w:p w:rsidR="00000000" w:rsidRDefault="00000000">
            <w:pPr>
              <w:pStyle w:val="RKnormal"/>
              <w:spacing w:line="288" w:lineRule="auto"/>
              <w:rPr>
                <w:lang w:val="ru-RU"/>
              </w:rPr>
            </w:pPr>
            <w:r>
              <w:rPr>
                <w:lang w:val="ru-RU"/>
              </w:rPr>
              <w:t>Польша</w:t>
            </w:r>
          </w:p>
          <w:p w:rsidR="00000000" w:rsidRDefault="00000000">
            <w:pPr>
              <w:pStyle w:val="RKnormal"/>
              <w:spacing w:line="288" w:lineRule="auto"/>
              <w:rPr>
                <w:lang w:val="ru-RU"/>
              </w:rPr>
            </w:pPr>
            <w:r>
              <w:rPr>
                <w:lang w:val="ru-RU"/>
              </w:rPr>
              <w:t>Норвегия</w:t>
            </w:r>
          </w:p>
          <w:p w:rsidR="00000000" w:rsidRDefault="00000000">
            <w:pPr>
              <w:pStyle w:val="RKnormal"/>
              <w:spacing w:line="288" w:lineRule="auto"/>
              <w:rPr>
                <w:lang w:val="ru-RU"/>
              </w:rPr>
            </w:pPr>
            <w:r>
              <w:rPr>
                <w:lang w:val="ru-RU"/>
              </w:rPr>
              <w:t>Дания</w:t>
            </w:r>
          </w:p>
          <w:p w:rsidR="00000000" w:rsidRDefault="00000000">
            <w:pPr>
              <w:pStyle w:val="RKnormal"/>
              <w:spacing w:line="288" w:lineRule="auto"/>
              <w:rPr>
                <w:lang w:val="ru-RU"/>
              </w:rPr>
            </w:pPr>
            <w:r>
              <w:rPr>
                <w:lang w:val="ru-RU"/>
              </w:rPr>
              <w:t>Германия</w:t>
            </w:r>
          </w:p>
          <w:p w:rsidR="00000000" w:rsidRDefault="00000000">
            <w:pPr>
              <w:pStyle w:val="RKnormal"/>
              <w:spacing w:line="288" w:lineRule="auto"/>
              <w:rPr>
                <w:lang w:val="ru-RU"/>
              </w:rPr>
            </w:pPr>
            <w:r>
              <w:rPr>
                <w:lang w:val="ru-RU"/>
              </w:rPr>
              <w:t>Турция</w:t>
            </w:r>
          </w:p>
          <w:p w:rsidR="00000000" w:rsidRDefault="00000000">
            <w:pPr>
              <w:pStyle w:val="RKnormal"/>
              <w:spacing w:line="288" w:lineRule="auto"/>
              <w:rPr>
                <w:lang w:val="ru-RU"/>
              </w:rPr>
            </w:pPr>
            <w:r>
              <w:rPr>
                <w:lang w:val="ru-RU"/>
              </w:rPr>
              <w:t>Чили</w:t>
            </w:r>
          </w:p>
          <w:p w:rsidR="00000000" w:rsidRDefault="00000000">
            <w:pPr>
              <w:pStyle w:val="RKnormal"/>
              <w:spacing w:line="288" w:lineRule="auto"/>
              <w:rPr>
                <w:lang w:val="ru-RU"/>
              </w:rPr>
            </w:pPr>
            <w:r>
              <w:rPr>
                <w:lang w:val="ru-RU"/>
              </w:rPr>
              <w:t>Ливан</w:t>
            </w:r>
          </w:p>
        </w:tc>
        <w:tc>
          <w:tcPr>
            <w:tcW w:w="1365" w:type="dxa"/>
            <w:tcBorders>
              <w:top w:val="single" w:sz="4" w:space="0" w:color="auto"/>
            </w:tcBorders>
          </w:tcPr>
          <w:p w:rsidR="00000000" w:rsidRDefault="00000000">
            <w:pPr>
              <w:pStyle w:val="RKnormal"/>
              <w:spacing w:line="288" w:lineRule="auto"/>
              <w:ind w:left="-107" w:right="329"/>
              <w:jc w:val="right"/>
              <w:rPr>
                <w:lang w:val="ru-RU"/>
              </w:rPr>
            </w:pPr>
            <w:r>
              <w:rPr>
                <w:lang w:val="ru-RU"/>
              </w:rPr>
              <w:t>108 000</w:t>
            </w:r>
          </w:p>
          <w:p w:rsidR="00000000" w:rsidRDefault="00000000">
            <w:pPr>
              <w:pStyle w:val="RKnormal"/>
              <w:spacing w:line="288" w:lineRule="auto"/>
              <w:ind w:left="-107" w:right="329"/>
              <w:jc w:val="right"/>
              <w:rPr>
                <w:lang w:val="ru-RU"/>
              </w:rPr>
            </w:pPr>
            <w:r>
              <w:rPr>
                <w:lang w:val="ru-RU"/>
              </w:rPr>
              <w:t>36 000</w:t>
            </w:r>
          </w:p>
          <w:p w:rsidR="00000000" w:rsidRDefault="00000000">
            <w:pPr>
              <w:pStyle w:val="RKnormal"/>
              <w:spacing w:line="288" w:lineRule="auto"/>
              <w:ind w:left="-107" w:right="329"/>
              <w:jc w:val="right"/>
              <w:rPr>
                <w:lang w:val="ru-RU"/>
              </w:rPr>
            </w:pPr>
            <w:r>
              <w:rPr>
                <w:lang w:val="ru-RU"/>
              </w:rPr>
              <w:t>33 000</w:t>
            </w:r>
          </w:p>
          <w:p w:rsidR="00000000" w:rsidRDefault="00000000">
            <w:pPr>
              <w:pStyle w:val="RKnormal"/>
              <w:spacing w:line="288" w:lineRule="auto"/>
              <w:ind w:left="-107" w:right="329"/>
              <w:jc w:val="right"/>
              <w:rPr>
                <w:lang w:val="ru-RU"/>
              </w:rPr>
            </w:pPr>
            <w:r>
              <w:rPr>
                <w:lang w:val="ru-RU"/>
              </w:rPr>
              <w:t>28 000</w:t>
            </w:r>
          </w:p>
          <w:p w:rsidR="00000000" w:rsidRDefault="00000000">
            <w:pPr>
              <w:pStyle w:val="RKnormal"/>
              <w:spacing w:line="288" w:lineRule="auto"/>
              <w:ind w:left="-107" w:right="329"/>
              <w:jc w:val="right"/>
              <w:rPr>
                <w:lang w:val="ru-RU"/>
              </w:rPr>
            </w:pPr>
            <w:r>
              <w:rPr>
                <w:lang w:val="ru-RU"/>
              </w:rPr>
              <w:t>25 000</w:t>
            </w:r>
          </w:p>
          <w:p w:rsidR="00000000" w:rsidRDefault="00000000">
            <w:pPr>
              <w:pStyle w:val="RKnormal"/>
              <w:spacing w:line="288" w:lineRule="auto"/>
              <w:ind w:left="-107" w:right="329"/>
              <w:jc w:val="right"/>
              <w:rPr>
                <w:lang w:val="ru-RU"/>
              </w:rPr>
            </w:pPr>
            <w:r>
              <w:rPr>
                <w:lang w:val="ru-RU"/>
              </w:rPr>
              <w:t>29 000</w:t>
            </w:r>
          </w:p>
          <w:p w:rsidR="00000000" w:rsidRDefault="00000000">
            <w:pPr>
              <w:pStyle w:val="RKnormal"/>
              <w:spacing w:line="288" w:lineRule="auto"/>
              <w:ind w:left="-107" w:right="329"/>
              <w:jc w:val="right"/>
              <w:rPr>
                <w:lang w:val="ru-RU"/>
              </w:rPr>
            </w:pPr>
            <w:r>
              <w:rPr>
                <w:lang w:val="ru-RU"/>
              </w:rPr>
              <w:t>26 000</w:t>
            </w:r>
          </w:p>
          <w:p w:rsidR="00000000" w:rsidRDefault="00000000">
            <w:pPr>
              <w:pStyle w:val="RKnormal"/>
              <w:spacing w:line="288" w:lineRule="auto"/>
              <w:ind w:left="-107" w:right="329"/>
              <w:jc w:val="right"/>
              <w:rPr>
                <w:lang w:val="ru-RU"/>
              </w:rPr>
            </w:pPr>
            <w:r>
              <w:rPr>
                <w:lang w:val="ru-RU"/>
              </w:rPr>
              <w:t>20 000</w:t>
            </w:r>
          </w:p>
          <w:p w:rsidR="00000000" w:rsidRDefault="00000000">
            <w:pPr>
              <w:pStyle w:val="RKnormal"/>
              <w:spacing w:line="288" w:lineRule="auto"/>
              <w:ind w:left="-107" w:right="329"/>
              <w:jc w:val="right"/>
              <w:rPr>
                <w:lang w:val="ru-RU"/>
              </w:rPr>
            </w:pPr>
            <w:r>
              <w:rPr>
                <w:lang w:val="ru-RU"/>
              </w:rPr>
              <w:t>22 000</w:t>
            </w:r>
          </w:p>
          <w:p w:rsidR="00000000" w:rsidRDefault="00000000">
            <w:pPr>
              <w:pStyle w:val="RKnormal"/>
              <w:spacing w:line="288" w:lineRule="auto"/>
              <w:ind w:left="-107" w:right="329"/>
              <w:jc w:val="right"/>
              <w:rPr>
                <w:lang w:val="ru-RU"/>
              </w:rPr>
            </w:pPr>
            <w:r>
              <w:rPr>
                <w:lang w:val="ru-RU"/>
              </w:rPr>
              <w:t>17 000</w:t>
            </w:r>
          </w:p>
          <w:p w:rsidR="00000000" w:rsidRDefault="00000000">
            <w:pPr>
              <w:pStyle w:val="RKnormal"/>
              <w:spacing w:line="288" w:lineRule="auto"/>
              <w:ind w:left="-107" w:right="329"/>
              <w:jc w:val="right"/>
              <w:rPr>
                <w:lang w:val="ru-RU"/>
              </w:rPr>
            </w:pPr>
            <w:r>
              <w:rPr>
                <w:lang w:val="ru-RU"/>
              </w:rPr>
              <w:t>14 000</w:t>
            </w:r>
          </w:p>
          <w:p w:rsidR="00000000" w:rsidRDefault="00000000">
            <w:pPr>
              <w:pStyle w:val="RKnormal"/>
              <w:spacing w:line="288" w:lineRule="auto"/>
              <w:ind w:left="-107" w:right="329"/>
              <w:jc w:val="right"/>
              <w:rPr>
                <w:lang w:val="ru-RU"/>
              </w:rPr>
            </w:pPr>
            <w:r>
              <w:rPr>
                <w:lang w:val="ru-RU"/>
              </w:rPr>
              <w:t>9 000</w:t>
            </w:r>
          </w:p>
        </w:tc>
        <w:tc>
          <w:tcPr>
            <w:tcW w:w="1511" w:type="dxa"/>
            <w:tcBorders>
              <w:top w:val="single" w:sz="4" w:space="0" w:color="auto"/>
            </w:tcBorders>
          </w:tcPr>
          <w:p w:rsidR="00000000" w:rsidRDefault="00000000">
            <w:pPr>
              <w:pStyle w:val="RKnormal"/>
              <w:spacing w:line="288" w:lineRule="auto"/>
              <w:ind w:left="-107" w:right="329"/>
              <w:jc w:val="right"/>
              <w:rPr>
                <w:lang w:val="ru-RU"/>
              </w:rPr>
            </w:pPr>
            <w:r>
              <w:rPr>
                <w:lang w:val="ru-RU"/>
              </w:rPr>
              <w:t>76 000</w:t>
            </w:r>
          </w:p>
          <w:p w:rsidR="00000000" w:rsidRDefault="00000000">
            <w:pPr>
              <w:pStyle w:val="RKnormal"/>
              <w:spacing w:line="288" w:lineRule="auto"/>
              <w:ind w:left="-107" w:right="329"/>
              <w:jc w:val="right"/>
              <w:rPr>
                <w:lang w:val="ru-RU"/>
              </w:rPr>
            </w:pPr>
            <w:r>
              <w:rPr>
                <w:lang w:val="ru-RU"/>
              </w:rPr>
              <w:t>38 000</w:t>
            </w:r>
          </w:p>
          <w:p w:rsidR="00000000" w:rsidRDefault="00000000">
            <w:pPr>
              <w:pStyle w:val="RKnormal"/>
              <w:spacing w:line="288" w:lineRule="auto"/>
              <w:ind w:left="-107" w:right="329"/>
              <w:jc w:val="right"/>
              <w:rPr>
                <w:lang w:val="ru-RU"/>
              </w:rPr>
            </w:pPr>
            <w:r>
              <w:rPr>
                <w:lang w:val="ru-RU"/>
              </w:rPr>
              <w:t>39 000</w:t>
            </w:r>
          </w:p>
          <w:p w:rsidR="00000000" w:rsidRDefault="00000000">
            <w:pPr>
              <w:pStyle w:val="RKnormal"/>
              <w:spacing w:line="288" w:lineRule="auto"/>
              <w:ind w:left="-107" w:right="329"/>
              <w:jc w:val="right"/>
              <w:rPr>
                <w:lang w:val="ru-RU"/>
              </w:rPr>
            </w:pPr>
            <w:r>
              <w:rPr>
                <w:lang w:val="ru-RU"/>
              </w:rPr>
              <w:t>27 000</w:t>
            </w:r>
          </w:p>
          <w:p w:rsidR="00000000" w:rsidRDefault="00000000">
            <w:pPr>
              <w:pStyle w:val="RKnormal"/>
              <w:spacing w:line="288" w:lineRule="auto"/>
              <w:ind w:left="-107" w:right="329"/>
              <w:jc w:val="right"/>
              <w:rPr>
                <w:lang w:val="ru-RU"/>
              </w:rPr>
            </w:pPr>
            <w:r>
              <w:rPr>
                <w:lang w:val="ru-RU"/>
              </w:rPr>
              <w:t>29 000</w:t>
            </w:r>
          </w:p>
          <w:p w:rsidR="00000000" w:rsidRDefault="00000000">
            <w:pPr>
              <w:pStyle w:val="RKnormal"/>
              <w:spacing w:line="288" w:lineRule="auto"/>
              <w:ind w:left="-107" w:right="329"/>
              <w:jc w:val="right"/>
              <w:rPr>
                <w:lang w:val="ru-RU"/>
              </w:rPr>
            </w:pPr>
            <w:r>
              <w:rPr>
                <w:lang w:val="ru-RU"/>
              </w:rPr>
              <w:t>17 000</w:t>
            </w:r>
          </w:p>
          <w:p w:rsidR="00000000" w:rsidRDefault="00000000">
            <w:pPr>
              <w:pStyle w:val="RKnormal"/>
              <w:spacing w:line="288" w:lineRule="auto"/>
              <w:ind w:left="-107" w:right="329"/>
              <w:jc w:val="right"/>
              <w:rPr>
                <w:lang w:val="ru-RU"/>
              </w:rPr>
            </w:pPr>
            <w:r>
              <w:rPr>
                <w:lang w:val="ru-RU"/>
              </w:rPr>
              <w:t>19 000</w:t>
            </w:r>
          </w:p>
          <w:p w:rsidR="00000000" w:rsidRDefault="00000000">
            <w:pPr>
              <w:pStyle w:val="RKnormal"/>
              <w:spacing w:line="288" w:lineRule="auto"/>
              <w:ind w:left="-107" w:right="329"/>
              <w:jc w:val="right"/>
              <w:rPr>
                <w:lang w:val="ru-RU"/>
              </w:rPr>
            </w:pPr>
            <w:r>
              <w:rPr>
                <w:lang w:val="ru-RU"/>
              </w:rPr>
              <w:t>23 000</w:t>
            </w:r>
          </w:p>
          <w:p w:rsidR="00000000" w:rsidRDefault="00000000">
            <w:pPr>
              <w:pStyle w:val="RKnormal"/>
              <w:spacing w:line="288" w:lineRule="auto"/>
              <w:ind w:left="-107" w:right="329"/>
              <w:jc w:val="right"/>
              <w:rPr>
                <w:lang w:val="ru-RU"/>
              </w:rPr>
            </w:pPr>
            <w:r>
              <w:rPr>
                <w:lang w:val="ru-RU"/>
              </w:rPr>
              <w:t>19 000</w:t>
            </w:r>
          </w:p>
          <w:p w:rsidR="00000000" w:rsidRDefault="00000000">
            <w:pPr>
              <w:pStyle w:val="RKnormal"/>
              <w:spacing w:line="288" w:lineRule="auto"/>
              <w:ind w:left="-107" w:right="329"/>
              <w:jc w:val="right"/>
              <w:rPr>
                <w:lang w:val="ru-RU"/>
              </w:rPr>
            </w:pPr>
            <w:r>
              <w:rPr>
                <w:lang w:val="ru-RU"/>
              </w:rPr>
              <w:t>19 000</w:t>
            </w:r>
          </w:p>
          <w:p w:rsidR="00000000" w:rsidRDefault="00000000">
            <w:pPr>
              <w:pStyle w:val="RKnormal"/>
              <w:spacing w:line="288" w:lineRule="auto"/>
              <w:ind w:left="-107" w:right="329"/>
              <w:jc w:val="right"/>
              <w:rPr>
                <w:lang w:val="ru-RU"/>
              </w:rPr>
            </w:pPr>
            <w:r>
              <w:rPr>
                <w:lang w:val="ru-RU"/>
              </w:rPr>
              <w:t>14 000</w:t>
            </w:r>
          </w:p>
          <w:p w:rsidR="00000000" w:rsidRDefault="00000000">
            <w:pPr>
              <w:pStyle w:val="RKnormal"/>
              <w:spacing w:line="288" w:lineRule="auto"/>
              <w:ind w:left="-107" w:right="329"/>
              <w:jc w:val="right"/>
              <w:rPr>
                <w:lang w:val="ru-RU"/>
              </w:rPr>
            </w:pPr>
            <w:r>
              <w:rPr>
                <w:lang w:val="ru-RU"/>
              </w:rPr>
              <w:t>12 000</w:t>
            </w:r>
          </w:p>
        </w:tc>
        <w:tc>
          <w:tcPr>
            <w:tcW w:w="1400" w:type="dxa"/>
            <w:tcBorders>
              <w:top w:val="single" w:sz="4" w:space="0" w:color="auto"/>
            </w:tcBorders>
          </w:tcPr>
          <w:p w:rsidR="00000000" w:rsidRDefault="00000000">
            <w:pPr>
              <w:pStyle w:val="RKnormal"/>
              <w:spacing w:line="288" w:lineRule="auto"/>
              <w:ind w:left="-107" w:right="329"/>
              <w:jc w:val="right"/>
              <w:rPr>
                <w:lang w:val="ru-RU"/>
              </w:rPr>
            </w:pPr>
            <w:r>
              <w:rPr>
                <w:lang w:val="ru-RU"/>
              </w:rPr>
              <w:t>184 000</w:t>
            </w:r>
          </w:p>
          <w:p w:rsidR="00000000" w:rsidRDefault="00000000">
            <w:pPr>
              <w:pStyle w:val="RKnormal"/>
              <w:spacing w:line="288" w:lineRule="auto"/>
              <w:ind w:left="-107" w:right="329"/>
              <w:jc w:val="right"/>
              <w:rPr>
                <w:lang w:val="ru-RU"/>
              </w:rPr>
            </w:pPr>
            <w:r>
              <w:rPr>
                <w:lang w:val="ru-RU"/>
              </w:rPr>
              <w:t>74 000</w:t>
            </w:r>
          </w:p>
          <w:p w:rsidR="00000000" w:rsidRDefault="00000000">
            <w:pPr>
              <w:pStyle w:val="RKnormal"/>
              <w:spacing w:line="288" w:lineRule="auto"/>
              <w:ind w:left="-107" w:right="329"/>
              <w:jc w:val="right"/>
              <w:rPr>
                <w:lang w:val="ru-RU"/>
              </w:rPr>
            </w:pPr>
            <w:r>
              <w:rPr>
                <w:lang w:val="ru-RU"/>
              </w:rPr>
              <w:t>73 000</w:t>
            </w:r>
          </w:p>
          <w:p w:rsidR="00000000" w:rsidRDefault="00000000">
            <w:pPr>
              <w:pStyle w:val="RKnormal"/>
              <w:spacing w:line="288" w:lineRule="auto"/>
              <w:ind w:left="-107" w:right="329"/>
              <w:jc w:val="right"/>
              <w:rPr>
                <w:lang w:val="ru-RU"/>
              </w:rPr>
            </w:pPr>
            <w:r>
              <w:rPr>
                <w:lang w:val="ru-RU"/>
              </w:rPr>
              <w:t>55 000</w:t>
            </w:r>
          </w:p>
          <w:p w:rsidR="00000000" w:rsidRDefault="00000000">
            <w:pPr>
              <w:pStyle w:val="RKnormal"/>
              <w:spacing w:line="288" w:lineRule="auto"/>
              <w:ind w:left="-107" w:right="329"/>
              <w:jc w:val="right"/>
              <w:rPr>
                <w:lang w:val="ru-RU"/>
              </w:rPr>
            </w:pPr>
            <w:r>
              <w:rPr>
                <w:lang w:val="ru-RU"/>
              </w:rPr>
              <w:t>54 000</w:t>
            </w:r>
          </w:p>
          <w:p w:rsidR="00000000" w:rsidRDefault="00000000">
            <w:pPr>
              <w:pStyle w:val="RKnormal"/>
              <w:spacing w:line="288" w:lineRule="auto"/>
              <w:ind w:left="-107" w:right="329"/>
              <w:jc w:val="right"/>
              <w:rPr>
                <w:lang w:val="ru-RU"/>
              </w:rPr>
            </w:pPr>
            <w:r>
              <w:rPr>
                <w:lang w:val="ru-RU"/>
              </w:rPr>
              <w:t>46 000</w:t>
            </w:r>
          </w:p>
          <w:p w:rsidR="00000000" w:rsidRDefault="00000000">
            <w:pPr>
              <w:pStyle w:val="RKnormal"/>
              <w:spacing w:line="288" w:lineRule="auto"/>
              <w:ind w:left="-107" w:right="329"/>
              <w:jc w:val="right"/>
              <w:rPr>
                <w:lang w:val="ru-RU"/>
              </w:rPr>
            </w:pPr>
            <w:r>
              <w:rPr>
                <w:lang w:val="ru-RU"/>
              </w:rPr>
              <w:t>45 000</w:t>
            </w:r>
          </w:p>
          <w:p w:rsidR="00000000" w:rsidRDefault="00000000">
            <w:pPr>
              <w:pStyle w:val="RKnormal"/>
              <w:spacing w:line="288" w:lineRule="auto"/>
              <w:ind w:left="-107" w:right="329"/>
              <w:jc w:val="right"/>
              <w:rPr>
                <w:lang w:val="ru-RU"/>
              </w:rPr>
            </w:pPr>
            <w:r>
              <w:rPr>
                <w:lang w:val="ru-RU"/>
              </w:rPr>
              <w:t>43 000</w:t>
            </w:r>
          </w:p>
          <w:p w:rsidR="00000000" w:rsidRDefault="00000000">
            <w:pPr>
              <w:pStyle w:val="RKnormal"/>
              <w:spacing w:line="288" w:lineRule="auto"/>
              <w:ind w:left="-107" w:right="329"/>
              <w:jc w:val="right"/>
              <w:rPr>
                <w:lang w:val="ru-RU"/>
              </w:rPr>
            </w:pPr>
            <w:r>
              <w:rPr>
                <w:lang w:val="ru-RU"/>
              </w:rPr>
              <w:t>41 000</w:t>
            </w:r>
          </w:p>
          <w:p w:rsidR="00000000" w:rsidRDefault="00000000">
            <w:pPr>
              <w:pStyle w:val="RKnormal"/>
              <w:spacing w:line="288" w:lineRule="auto"/>
              <w:ind w:left="-107" w:right="329"/>
              <w:jc w:val="right"/>
              <w:rPr>
                <w:lang w:val="ru-RU"/>
              </w:rPr>
            </w:pPr>
            <w:r>
              <w:rPr>
                <w:lang w:val="ru-RU"/>
              </w:rPr>
              <w:t>36 000</w:t>
            </w:r>
          </w:p>
          <w:p w:rsidR="00000000" w:rsidRDefault="00000000">
            <w:pPr>
              <w:pStyle w:val="RKnormal"/>
              <w:spacing w:line="288" w:lineRule="auto"/>
              <w:ind w:left="-107" w:right="329"/>
              <w:jc w:val="right"/>
              <w:rPr>
                <w:lang w:val="ru-RU"/>
              </w:rPr>
            </w:pPr>
            <w:r>
              <w:rPr>
                <w:lang w:val="ru-RU"/>
              </w:rPr>
              <w:t>28 000</w:t>
            </w:r>
          </w:p>
          <w:p w:rsidR="00000000" w:rsidRDefault="00000000">
            <w:pPr>
              <w:pStyle w:val="RKnormal"/>
              <w:spacing w:line="288" w:lineRule="auto"/>
              <w:ind w:left="-107" w:right="329"/>
              <w:jc w:val="right"/>
              <w:rPr>
                <w:lang w:val="ru-RU"/>
              </w:rPr>
            </w:pPr>
            <w:r>
              <w:rPr>
                <w:lang w:val="ru-RU"/>
              </w:rPr>
              <w:t>21 000</w:t>
            </w:r>
          </w:p>
        </w:tc>
      </w:tr>
    </w:tbl>
    <w:p w:rsidR="00000000" w:rsidRDefault="00000000"/>
    <w:p w:rsidR="00000000" w:rsidRDefault="00000000">
      <w:r>
        <w:t>5.</w:t>
      </w:r>
      <w:r>
        <w:tab/>
        <w:t>Наиболее многочисленными группами рожденных за границей лиц, иммигрировавших в 2002-2005 годах, были группы лиц из следующих стран</w:t>
      </w:r>
      <w:r>
        <w:rPr>
          <w:rStyle w:val="FootnoteReference"/>
        </w:rPr>
        <w:footnoteReference w:id="6"/>
      </w:r>
      <w:r>
        <w: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650"/>
        <w:gridCol w:w="1372"/>
        <w:gridCol w:w="1511"/>
        <w:gridCol w:w="1400"/>
      </w:tblGrid>
      <w:tr w:rsidR="00000000">
        <w:trPr>
          <w:jc w:val="center"/>
        </w:trPr>
        <w:tc>
          <w:tcPr>
            <w:tcW w:w="3650" w:type="dxa"/>
            <w:tcBorders>
              <w:bottom w:val="single" w:sz="4" w:space="0" w:color="auto"/>
            </w:tcBorders>
          </w:tcPr>
          <w:p w:rsidR="00000000" w:rsidRDefault="00000000">
            <w:pPr>
              <w:pStyle w:val="RKnormal"/>
              <w:spacing w:line="288" w:lineRule="auto"/>
              <w:jc w:val="center"/>
              <w:rPr>
                <w:lang w:val="ru-RU"/>
              </w:rPr>
            </w:pPr>
            <w:r>
              <w:rPr>
                <w:lang w:val="ru-RU"/>
              </w:rPr>
              <w:t>Страна рождения</w:t>
            </w:r>
          </w:p>
        </w:tc>
        <w:tc>
          <w:tcPr>
            <w:tcW w:w="1372" w:type="dxa"/>
            <w:tcBorders>
              <w:bottom w:val="single" w:sz="4" w:space="0" w:color="auto"/>
            </w:tcBorders>
          </w:tcPr>
          <w:p w:rsidR="00000000" w:rsidRDefault="00000000">
            <w:pPr>
              <w:pStyle w:val="RKnormal"/>
              <w:spacing w:line="288" w:lineRule="auto"/>
              <w:jc w:val="center"/>
              <w:rPr>
                <w:lang w:val="ru-RU"/>
              </w:rPr>
            </w:pPr>
            <w:r>
              <w:rPr>
                <w:lang w:val="ru-RU"/>
              </w:rPr>
              <w:t>Женщины</w:t>
            </w:r>
          </w:p>
        </w:tc>
        <w:tc>
          <w:tcPr>
            <w:tcW w:w="1511" w:type="dxa"/>
            <w:tcBorders>
              <w:bottom w:val="single" w:sz="4" w:space="0" w:color="auto"/>
            </w:tcBorders>
          </w:tcPr>
          <w:p w:rsidR="00000000" w:rsidRDefault="00000000">
            <w:pPr>
              <w:pStyle w:val="RKnormal"/>
              <w:spacing w:line="288" w:lineRule="auto"/>
              <w:jc w:val="center"/>
              <w:rPr>
                <w:lang w:val="ru-RU"/>
              </w:rPr>
            </w:pPr>
            <w:r>
              <w:rPr>
                <w:lang w:val="ru-RU"/>
              </w:rPr>
              <w:t>Мужчины</w:t>
            </w:r>
          </w:p>
        </w:tc>
        <w:tc>
          <w:tcPr>
            <w:tcW w:w="1400" w:type="dxa"/>
            <w:tcBorders>
              <w:bottom w:val="single" w:sz="4" w:space="0" w:color="auto"/>
            </w:tcBorders>
          </w:tcPr>
          <w:p w:rsidR="00000000" w:rsidRDefault="00000000">
            <w:pPr>
              <w:pStyle w:val="RKnormal"/>
              <w:spacing w:line="288" w:lineRule="auto"/>
              <w:jc w:val="center"/>
              <w:rPr>
                <w:lang w:val="ru-RU"/>
              </w:rPr>
            </w:pPr>
            <w:r>
              <w:rPr>
                <w:lang w:val="ru-RU"/>
              </w:rPr>
              <w:t>Всего</w:t>
            </w:r>
          </w:p>
        </w:tc>
      </w:tr>
      <w:tr w:rsidR="00000000">
        <w:trPr>
          <w:jc w:val="center"/>
        </w:trPr>
        <w:tc>
          <w:tcPr>
            <w:tcW w:w="3650" w:type="dxa"/>
            <w:tcBorders>
              <w:bottom w:val="nil"/>
            </w:tcBorders>
          </w:tcPr>
          <w:p w:rsidR="00000000" w:rsidRDefault="00000000">
            <w:pPr>
              <w:pStyle w:val="RKnormal"/>
              <w:spacing w:line="288" w:lineRule="auto"/>
              <w:rPr>
                <w:lang w:val="ru-RU"/>
              </w:rPr>
            </w:pPr>
            <w:r>
              <w:rPr>
                <w:lang w:val="ru-RU"/>
              </w:rPr>
              <w:t>Ирак</w:t>
            </w:r>
          </w:p>
        </w:tc>
        <w:tc>
          <w:tcPr>
            <w:tcW w:w="1372" w:type="dxa"/>
            <w:tcBorders>
              <w:bottom w:val="nil"/>
            </w:tcBorders>
          </w:tcPr>
          <w:p w:rsidR="00000000" w:rsidRDefault="00000000">
            <w:pPr>
              <w:pStyle w:val="RKnormal"/>
              <w:spacing w:line="288" w:lineRule="auto"/>
              <w:ind w:right="336"/>
              <w:jc w:val="right"/>
              <w:rPr>
                <w:lang w:val="en-GB"/>
              </w:rPr>
            </w:pPr>
            <w:r>
              <w:rPr>
                <w:lang w:val="en-GB"/>
              </w:rPr>
              <w:t>9 570</w:t>
            </w:r>
          </w:p>
        </w:tc>
        <w:tc>
          <w:tcPr>
            <w:tcW w:w="1511" w:type="dxa"/>
            <w:tcBorders>
              <w:bottom w:val="nil"/>
            </w:tcBorders>
          </w:tcPr>
          <w:p w:rsidR="00000000" w:rsidRDefault="00000000">
            <w:pPr>
              <w:pStyle w:val="RKnormal"/>
              <w:spacing w:line="288" w:lineRule="auto"/>
              <w:ind w:right="336"/>
              <w:jc w:val="right"/>
              <w:rPr>
                <w:lang w:val="en-GB"/>
              </w:rPr>
            </w:pPr>
            <w:r>
              <w:rPr>
                <w:lang w:val="en-GB"/>
              </w:rPr>
              <w:t>9 547</w:t>
            </w:r>
          </w:p>
        </w:tc>
        <w:tc>
          <w:tcPr>
            <w:tcW w:w="1400" w:type="dxa"/>
            <w:tcBorders>
              <w:bottom w:val="nil"/>
            </w:tcBorders>
          </w:tcPr>
          <w:p w:rsidR="00000000" w:rsidRDefault="00000000">
            <w:pPr>
              <w:pStyle w:val="RKnormal"/>
              <w:spacing w:line="288" w:lineRule="auto"/>
              <w:ind w:right="336"/>
              <w:jc w:val="right"/>
              <w:rPr>
                <w:lang w:val="en-GB"/>
              </w:rPr>
            </w:pPr>
            <w:r>
              <w:rPr>
                <w:lang w:val="en-GB"/>
              </w:rPr>
              <w:t>19 117</w:t>
            </w:r>
          </w:p>
        </w:tc>
      </w:tr>
      <w:tr w:rsidR="00000000">
        <w:trPr>
          <w:jc w:val="center"/>
        </w:trPr>
        <w:tc>
          <w:tcPr>
            <w:tcW w:w="3650" w:type="dxa"/>
            <w:tcBorders>
              <w:top w:val="nil"/>
              <w:bottom w:val="nil"/>
            </w:tcBorders>
          </w:tcPr>
          <w:p w:rsidR="00000000" w:rsidRDefault="00000000">
            <w:pPr>
              <w:pStyle w:val="RKnormal"/>
              <w:spacing w:line="288" w:lineRule="auto"/>
              <w:rPr>
                <w:lang w:val="ru-RU"/>
              </w:rPr>
            </w:pPr>
            <w:r>
              <w:rPr>
                <w:lang w:val="ru-RU"/>
              </w:rPr>
              <w:t>Дания</w:t>
            </w:r>
          </w:p>
        </w:tc>
        <w:tc>
          <w:tcPr>
            <w:tcW w:w="1372" w:type="dxa"/>
            <w:tcBorders>
              <w:top w:val="nil"/>
              <w:bottom w:val="nil"/>
            </w:tcBorders>
          </w:tcPr>
          <w:p w:rsidR="00000000" w:rsidRDefault="00000000">
            <w:pPr>
              <w:pStyle w:val="RKnormal"/>
              <w:spacing w:line="288" w:lineRule="auto"/>
              <w:ind w:right="336"/>
              <w:jc w:val="right"/>
              <w:rPr>
                <w:lang w:val="en-GB"/>
              </w:rPr>
            </w:pPr>
            <w:r>
              <w:rPr>
                <w:lang w:val="en-GB"/>
              </w:rPr>
              <w:t>4 936</w:t>
            </w:r>
          </w:p>
        </w:tc>
        <w:tc>
          <w:tcPr>
            <w:tcW w:w="1511" w:type="dxa"/>
            <w:tcBorders>
              <w:top w:val="nil"/>
              <w:bottom w:val="nil"/>
            </w:tcBorders>
          </w:tcPr>
          <w:p w:rsidR="00000000" w:rsidRDefault="00000000">
            <w:pPr>
              <w:pStyle w:val="RKnormal"/>
              <w:spacing w:line="288" w:lineRule="auto"/>
              <w:ind w:right="336"/>
              <w:jc w:val="right"/>
              <w:rPr>
                <w:lang w:val="en-GB"/>
              </w:rPr>
            </w:pPr>
            <w:r>
              <w:rPr>
                <w:lang w:val="en-GB"/>
              </w:rPr>
              <w:t>7 956</w:t>
            </w:r>
          </w:p>
        </w:tc>
        <w:tc>
          <w:tcPr>
            <w:tcW w:w="1400" w:type="dxa"/>
            <w:tcBorders>
              <w:top w:val="nil"/>
              <w:bottom w:val="nil"/>
            </w:tcBorders>
          </w:tcPr>
          <w:p w:rsidR="00000000" w:rsidRDefault="00000000">
            <w:pPr>
              <w:pStyle w:val="RKnormal"/>
              <w:spacing w:line="288" w:lineRule="auto"/>
              <w:ind w:right="336"/>
              <w:jc w:val="right"/>
              <w:rPr>
                <w:lang w:val="en-GB"/>
              </w:rPr>
            </w:pPr>
            <w:r>
              <w:rPr>
                <w:lang w:val="en-GB"/>
              </w:rPr>
              <w:t>12 892</w:t>
            </w:r>
          </w:p>
        </w:tc>
      </w:tr>
      <w:tr w:rsidR="00000000">
        <w:trPr>
          <w:jc w:val="center"/>
        </w:trPr>
        <w:tc>
          <w:tcPr>
            <w:tcW w:w="3650" w:type="dxa"/>
            <w:tcBorders>
              <w:top w:val="nil"/>
              <w:bottom w:val="nil"/>
            </w:tcBorders>
          </w:tcPr>
          <w:p w:rsidR="00000000" w:rsidRDefault="00000000">
            <w:pPr>
              <w:pStyle w:val="RKnormal"/>
              <w:spacing w:line="288" w:lineRule="auto"/>
              <w:rPr>
                <w:lang w:val="ru-RU"/>
              </w:rPr>
            </w:pPr>
            <w:r>
              <w:rPr>
                <w:lang w:val="ru-RU"/>
              </w:rPr>
              <w:t>Норвегия</w:t>
            </w:r>
          </w:p>
        </w:tc>
        <w:tc>
          <w:tcPr>
            <w:tcW w:w="1372" w:type="dxa"/>
            <w:tcBorders>
              <w:top w:val="nil"/>
              <w:bottom w:val="nil"/>
            </w:tcBorders>
          </w:tcPr>
          <w:p w:rsidR="00000000" w:rsidRDefault="00000000">
            <w:pPr>
              <w:pStyle w:val="RKnormal"/>
              <w:spacing w:line="288" w:lineRule="auto"/>
              <w:ind w:right="336"/>
              <w:jc w:val="right"/>
              <w:rPr>
                <w:lang w:val="en-GB"/>
              </w:rPr>
            </w:pPr>
            <w:r>
              <w:rPr>
                <w:lang w:val="en-GB"/>
              </w:rPr>
              <w:t>5 379</w:t>
            </w:r>
          </w:p>
        </w:tc>
        <w:tc>
          <w:tcPr>
            <w:tcW w:w="1511" w:type="dxa"/>
            <w:tcBorders>
              <w:top w:val="nil"/>
              <w:bottom w:val="nil"/>
            </w:tcBorders>
          </w:tcPr>
          <w:p w:rsidR="00000000" w:rsidRDefault="00000000">
            <w:pPr>
              <w:pStyle w:val="RKnormal"/>
              <w:spacing w:line="288" w:lineRule="auto"/>
              <w:ind w:right="336"/>
              <w:jc w:val="right"/>
              <w:rPr>
                <w:lang w:val="en-GB"/>
              </w:rPr>
            </w:pPr>
            <w:r>
              <w:rPr>
                <w:lang w:val="en-GB"/>
              </w:rPr>
              <w:t>6 230</w:t>
            </w:r>
          </w:p>
        </w:tc>
        <w:tc>
          <w:tcPr>
            <w:tcW w:w="1400" w:type="dxa"/>
            <w:tcBorders>
              <w:top w:val="nil"/>
              <w:bottom w:val="nil"/>
            </w:tcBorders>
          </w:tcPr>
          <w:p w:rsidR="00000000" w:rsidRDefault="00000000">
            <w:pPr>
              <w:pStyle w:val="RKnormal"/>
              <w:spacing w:line="288" w:lineRule="auto"/>
              <w:ind w:right="336"/>
              <w:jc w:val="right"/>
              <w:rPr>
                <w:lang w:val="en-GB"/>
              </w:rPr>
            </w:pPr>
            <w:r>
              <w:rPr>
                <w:lang w:val="en-GB"/>
              </w:rPr>
              <w:t>11 609</w:t>
            </w:r>
          </w:p>
        </w:tc>
      </w:tr>
      <w:tr w:rsidR="00000000">
        <w:trPr>
          <w:jc w:val="center"/>
        </w:trPr>
        <w:tc>
          <w:tcPr>
            <w:tcW w:w="3650" w:type="dxa"/>
            <w:tcBorders>
              <w:top w:val="nil"/>
              <w:bottom w:val="nil"/>
            </w:tcBorders>
          </w:tcPr>
          <w:p w:rsidR="00000000" w:rsidRDefault="00000000">
            <w:pPr>
              <w:pStyle w:val="RKnormal"/>
              <w:spacing w:line="288" w:lineRule="auto"/>
              <w:rPr>
                <w:lang w:val="ru-RU"/>
              </w:rPr>
            </w:pPr>
            <w:r>
              <w:rPr>
                <w:lang w:val="ru-RU"/>
              </w:rPr>
              <w:t>Финляндия</w:t>
            </w:r>
          </w:p>
        </w:tc>
        <w:tc>
          <w:tcPr>
            <w:tcW w:w="1372" w:type="dxa"/>
            <w:tcBorders>
              <w:top w:val="nil"/>
              <w:bottom w:val="nil"/>
            </w:tcBorders>
          </w:tcPr>
          <w:p w:rsidR="00000000" w:rsidRDefault="00000000">
            <w:pPr>
              <w:pStyle w:val="RKnormal"/>
              <w:spacing w:line="288" w:lineRule="auto"/>
              <w:ind w:right="336"/>
              <w:jc w:val="right"/>
              <w:rPr>
                <w:lang w:val="en-GB"/>
              </w:rPr>
            </w:pPr>
            <w:r>
              <w:rPr>
                <w:lang w:val="en-GB"/>
              </w:rPr>
              <w:t>6 172</w:t>
            </w:r>
          </w:p>
        </w:tc>
        <w:tc>
          <w:tcPr>
            <w:tcW w:w="1511" w:type="dxa"/>
            <w:tcBorders>
              <w:top w:val="nil"/>
              <w:bottom w:val="nil"/>
            </w:tcBorders>
          </w:tcPr>
          <w:p w:rsidR="00000000" w:rsidRDefault="00000000">
            <w:pPr>
              <w:pStyle w:val="RKnormal"/>
              <w:spacing w:line="288" w:lineRule="auto"/>
              <w:ind w:right="336"/>
              <w:jc w:val="right"/>
              <w:rPr>
                <w:lang w:val="en-GB"/>
              </w:rPr>
            </w:pPr>
            <w:r>
              <w:rPr>
                <w:lang w:val="en-GB"/>
              </w:rPr>
              <w:t>5 750</w:t>
            </w:r>
          </w:p>
        </w:tc>
        <w:tc>
          <w:tcPr>
            <w:tcW w:w="1400" w:type="dxa"/>
            <w:tcBorders>
              <w:top w:val="nil"/>
              <w:bottom w:val="nil"/>
            </w:tcBorders>
          </w:tcPr>
          <w:p w:rsidR="00000000" w:rsidRDefault="00000000">
            <w:pPr>
              <w:pStyle w:val="RKnormal"/>
              <w:spacing w:line="288" w:lineRule="auto"/>
              <w:ind w:right="336"/>
              <w:jc w:val="right"/>
              <w:rPr>
                <w:lang w:val="en-GB"/>
              </w:rPr>
            </w:pPr>
            <w:r>
              <w:rPr>
                <w:lang w:val="en-GB"/>
              </w:rPr>
              <w:t>11 922</w:t>
            </w:r>
          </w:p>
        </w:tc>
      </w:tr>
      <w:tr w:rsidR="00000000">
        <w:trPr>
          <w:jc w:val="center"/>
        </w:trPr>
        <w:tc>
          <w:tcPr>
            <w:tcW w:w="3650" w:type="dxa"/>
            <w:tcBorders>
              <w:top w:val="nil"/>
              <w:bottom w:val="nil"/>
            </w:tcBorders>
          </w:tcPr>
          <w:p w:rsidR="00000000" w:rsidRDefault="00000000">
            <w:pPr>
              <w:pStyle w:val="RKnormal"/>
              <w:spacing w:line="288" w:lineRule="auto"/>
              <w:rPr>
                <w:lang w:val="ru-RU"/>
              </w:rPr>
            </w:pPr>
            <w:r>
              <w:rPr>
                <w:lang w:val="ru-RU"/>
              </w:rPr>
              <w:t>Германия</w:t>
            </w:r>
          </w:p>
        </w:tc>
        <w:tc>
          <w:tcPr>
            <w:tcW w:w="1372" w:type="dxa"/>
            <w:tcBorders>
              <w:top w:val="nil"/>
              <w:bottom w:val="nil"/>
            </w:tcBorders>
          </w:tcPr>
          <w:p w:rsidR="00000000" w:rsidRDefault="00000000">
            <w:pPr>
              <w:pStyle w:val="RKnormal"/>
              <w:spacing w:line="288" w:lineRule="auto"/>
              <w:ind w:right="336"/>
              <w:jc w:val="right"/>
              <w:rPr>
                <w:lang w:val="en-GB"/>
              </w:rPr>
            </w:pPr>
            <w:r>
              <w:rPr>
                <w:lang w:val="en-GB"/>
              </w:rPr>
              <w:t>3 758</w:t>
            </w:r>
          </w:p>
        </w:tc>
        <w:tc>
          <w:tcPr>
            <w:tcW w:w="1511" w:type="dxa"/>
            <w:tcBorders>
              <w:top w:val="nil"/>
              <w:bottom w:val="nil"/>
            </w:tcBorders>
          </w:tcPr>
          <w:p w:rsidR="00000000" w:rsidRDefault="00000000">
            <w:pPr>
              <w:pStyle w:val="RKnormal"/>
              <w:spacing w:line="288" w:lineRule="auto"/>
              <w:ind w:right="336"/>
              <w:jc w:val="right"/>
              <w:rPr>
                <w:lang w:val="en-GB"/>
              </w:rPr>
            </w:pPr>
            <w:r>
              <w:rPr>
                <w:lang w:val="en-GB"/>
              </w:rPr>
              <w:t>4 257</w:t>
            </w:r>
          </w:p>
        </w:tc>
        <w:tc>
          <w:tcPr>
            <w:tcW w:w="1400" w:type="dxa"/>
            <w:tcBorders>
              <w:top w:val="nil"/>
              <w:bottom w:val="nil"/>
            </w:tcBorders>
          </w:tcPr>
          <w:p w:rsidR="00000000" w:rsidRDefault="00000000">
            <w:pPr>
              <w:pStyle w:val="RKnormal"/>
              <w:spacing w:line="288" w:lineRule="auto"/>
              <w:ind w:right="336"/>
              <w:jc w:val="right"/>
              <w:rPr>
                <w:lang w:val="en-GB"/>
              </w:rPr>
            </w:pPr>
            <w:r>
              <w:rPr>
                <w:lang w:val="en-GB"/>
              </w:rPr>
              <w:t>8 015</w:t>
            </w:r>
          </w:p>
        </w:tc>
      </w:tr>
      <w:tr w:rsidR="00000000">
        <w:trPr>
          <w:jc w:val="center"/>
        </w:trPr>
        <w:tc>
          <w:tcPr>
            <w:tcW w:w="3650" w:type="dxa"/>
            <w:tcBorders>
              <w:top w:val="nil"/>
              <w:bottom w:val="nil"/>
            </w:tcBorders>
          </w:tcPr>
          <w:p w:rsidR="00000000" w:rsidRDefault="00000000">
            <w:pPr>
              <w:pStyle w:val="RKnormal"/>
              <w:spacing w:line="288" w:lineRule="auto"/>
              <w:rPr>
                <w:lang w:val="fr-FR"/>
              </w:rPr>
            </w:pPr>
            <w:r>
              <w:rPr>
                <w:lang w:val="ru-RU"/>
              </w:rPr>
              <w:t>Таиланд</w:t>
            </w:r>
          </w:p>
        </w:tc>
        <w:tc>
          <w:tcPr>
            <w:tcW w:w="1372" w:type="dxa"/>
            <w:tcBorders>
              <w:top w:val="nil"/>
              <w:bottom w:val="nil"/>
            </w:tcBorders>
          </w:tcPr>
          <w:p w:rsidR="00000000" w:rsidRDefault="00000000">
            <w:pPr>
              <w:pStyle w:val="RKnormal"/>
              <w:spacing w:line="288" w:lineRule="auto"/>
              <w:ind w:right="336"/>
              <w:jc w:val="right"/>
              <w:rPr>
                <w:lang w:val="fr-FR"/>
              </w:rPr>
            </w:pPr>
            <w:r>
              <w:rPr>
                <w:lang w:val="fr-FR"/>
              </w:rPr>
              <w:t>6 165</w:t>
            </w:r>
          </w:p>
        </w:tc>
        <w:tc>
          <w:tcPr>
            <w:tcW w:w="1511" w:type="dxa"/>
            <w:tcBorders>
              <w:top w:val="nil"/>
              <w:bottom w:val="nil"/>
            </w:tcBorders>
          </w:tcPr>
          <w:p w:rsidR="00000000" w:rsidRDefault="00000000">
            <w:pPr>
              <w:pStyle w:val="RKnormal"/>
              <w:spacing w:line="288" w:lineRule="auto"/>
              <w:ind w:right="336"/>
              <w:jc w:val="right"/>
              <w:rPr>
                <w:lang w:val="fr-FR"/>
              </w:rPr>
            </w:pPr>
            <w:r>
              <w:rPr>
                <w:lang w:val="fr-FR"/>
              </w:rPr>
              <w:t>1 616</w:t>
            </w:r>
          </w:p>
        </w:tc>
        <w:tc>
          <w:tcPr>
            <w:tcW w:w="1400" w:type="dxa"/>
            <w:tcBorders>
              <w:top w:val="nil"/>
              <w:bottom w:val="nil"/>
            </w:tcBorders>
          </w:tcPr>
          <w:p w:rsidR="00000000" w:rsidRDefault="00000000">
            <w:pPr>
              <w:pStyle w:val="RKnormal"/>
              <w:spacing w:line="288" w:lineRule="auto"/>
              <w:ind w:right="336"/>
              <w:jc w:val="right"/>
              <w:rPr>
                <w:lang w:val="fr-FR"/>
              </w:rPr>
            </w:pPr>
            <w:r>
              <w:rPr>
                <w:lang w:val="fr-FR"/>
              </w:rPr>
              <w:t>7 781</w:t>
            </w:r>
          </w:p>
        </w:tc>
      </w:tr>
      <w:tr w:rsidR="00000000">
        <w:trPr>
          <w:jc w:val="center"/>
        </w:trPr>
        <w:tc>
          <w:tcPr>
            <w:tcW w:w="3650" w:type="dxa"/>
            <w:tcBorders>
              <w:top w:val="nil"/>
              <w:bottom w:val="nil"/>
            </w:tcBorders>
          </w:tcPr>
          <w:p w:rsidR="00000000" w:rsidRDefault="00000000">
            <w:pPr>
              <w:pStyle w:val="RKnormal"/>
              <w:spacing w:line="288" w:lineRule="auto"/>
              <w:rPr>
                <w:lang w:val="ru-RU"/>
              </w:rPr>
            </w:pPr>
            <w:r>
              <w:rPr>
                <w:lang w:val="ru-RU"/>
              </w:rPr>
              <w:t>Польша</w:t>
            </w:r>
          </w:p>
        </w:tc>
        <w:tc>
          <w:tcPr>
            <w:tcW w:w="1372" w:type="dxa"/>
            <w:tcBorders>
              <w:top w:val="nil"/>
              <w:bottom w:val="nil"/>
            </w:tcBorders>
          </w:tcPr>
          <w:p w:rsidR="00000000" w:rsidRDefault="00000000">
            <w:pPr>
              <w:pStyle w:val="RKnormal"/>
              <w:spacing w:line="288" w:lineRule="auto"/>
              <w:ind w:right="336"/>
              <w:jc w:val="right"/>
              <w:rPr>
                <w:lang w:val="fr-FR"/>
              </w:rPr>
            </w:pPr>
            <w:r>
              <w:rPr>
                <w:lang w:val="fr-FR"/>
              </w:rPr>
              <w:t>4 548</w:t>
            </w:r>
          </w:p>
        </w:tc>
        <w:tc>
          <w:tcPr>
            <w:tcW w:w="1511" w:type="dxa"/>
            <w:tcBorders>
              <w:top w:val="nil"/>
              <w:bottom w:val="nil"/>
            </w:tcBorders>
          </w:tcPr>
          <w:p w:rsidR="00000000" w:rsidRDefault="00000000">
            <w:pPr>
              <w:pStyle w:val="RKnormal"/>
              <w:spacing w:line="288" w:lineRule="auto"/>
              <w:ind w:right="336"/>
              <w:jc w:val="right"/>
              <w:rPr>
                <w:lang w:val="fr-FR"/>
              </w:rPr>
            </w:pPr>
            <w:r>
              <w:rPr>
                <w:lang w:val="fr-FR"/>
              </w:rPr>
              <w:t>3 867</w:t>
            </w:r>
          </w:p>
        </w:tc>
        <w:tc>
          <w:tcPr>
            <w:tcW w:w="1400" w:type="dxa"/>
            <w:tcBorders>
              <w:top w:val="nil"/>
              <w:bottom w:val="nil"/>
            </w:tcBorders>
          </w:tcPr>
          <w:p w:rsidR="00000000" w:rsidRDefault="00000000">
            <w:pPr>
              <w:pStyle w:val="RKnormal"/>
              <w:spacing w:line="288" w:lineRule="auto"/>
              <w:ind w:right="336"/>
              <w:jc w:val="right"/>
              <w:rPr>
                <w:lang w:val="fr-FR"/>
              </w:rPr>
            </w:pPr>
            <w:r>
              <w:rPr>
                <w:lang w:val="fr-FR"/>
              </w:rPr>
              <w:t>8 415</w:t>
            </w:r>
          </w:p>
        </w:tc>
      </w:tr>
      <w:tr w:rsidR="00000000">
        <w:trPr>
          <w:jc w:val="center"/>
        </w:trPr>
        <w:tc>
          <w:tcPr>
            <w:tcW w:w="3650" w:type="dxa"/>
            <w:tcBorders>
              <w:top w:val="nil"/>
            </w:tcBorders>
          </w:tcPr>
          <w:p w:rsidR="00000000" w:rsidRDefault="00000000">
            <w:pPr>
              <w:pStyle w:val="RKnormal"/>
              <w:spacing w:line="288" w:lineRule="auto"/>
              <w:rPr>
                <w:lang w:val="ru-RU"/>
              </w:rPr>
            </w:pPr>
            <w:r>
              <w:rPr>
                <w:lang w:val="ru-RU"/>
              </w:rPr>
              <w:t>Иран (Исламская Республика)</w:t>
            </w:r>
          </w:p>
        </w:tc>
        <w:tc>
          <w:tcPr>
            <w:tcW w:w="1372" w:type="dxa"/>
            <w:tcBorders>
              <w:top w:val="nil"/>
            </w:tcBorders>
          </w:tcPr>
          <w:p w:rsidR="00000000" w:rsidRDefault="00000000">
            <w:pPr>
              <w:pStyle w:val="RKnormal"/>
              <w:spacing w:line="288" w:lineRule="auto"/>
              <w:ind w:right="336"/>
              <w:jc w:val="right"/>
              <w:rPr>
                <w:lang w:val="fr-FR"/>
              </w:rPr>
            </w:pPr>
            <w:r>
              <w:rPr>
                <w:lang w:val="fr-FR"/>
              </w:rPr>
              <w:t>3 025</w:t>
            </w:r>
          </w:p>
        </w:tc>
        <w:tc>
          <w:tcPr>
            <w:tcW w:w="1511" w:type="dxa"/>
            <w:tcBorders>
              <w:top w:val="nil"/>
            </w:tcBorders>
          </w:tcPr>
          <w:p w:rsidR="00000000" w:rsidRDefault="00000000">
            <w:pPr>
              <w:pStyle w:val="RKnormal"/>
              <w:spacing w:line="288" w:lineRule="auto"/>
              <w:ind w:right="336"/>
              <w:jc w:val="right"/>
              <w:rPr>
                <w:lang w:val="fr-FR"/>
              </w:rPr>
            </w:pPr>
            <w:r>
              <w:rPr>
                <w:lang w:val="fr-FR"/>
              </w:rPr>
              <w:t>2 837</w:t>
            </w:r>
          </w:p>
        </w:tc>
        <w:tc>
          <w:tcPr>
            <w:tcW w:w="1400" w:type="dxa"/>
            <w:tcBorders>
              <w:top w:val="nil"/>
            </w:tcBorders>
          </w:tcPr>
          <w:p w:rsidR="00000000" w:rsidRDefault="00000000">
            <w:pPr>
              <w:pStyle w:val="RKnormal"/>
              <w:spacing w:line="288" w:lineRule="auto"/>
              <w:ind w:right="336"/>
              <w:jc w:val="right"/>
              <w:rPr>
                <w:lang w:val="fr-FR"/>
              </w:rPr>
            </w:pPr>
            <w:r>
              <w:rPr>
                <w:lang w:val="fr-FR"/>
              </w:rPr>
              <w:t>5 862</w:t>
            </w:r>
          </w:p>
        </w:tc>
      </w:tr>
    </w:tbl>
    <w:p w:rsidR="00000000" w:rsidRDefault="00000000"/>
    <w:p w:rsidR="00000000" w:rsidRDefault="00000000">
      <w:r>
        <w:br w:type="page"/>
        <w:t>6.</w:t>
      </w:r>
      <w:r>
        <w:tab/>
        <w:t>Наиболее многочисленные группы иностранцев состоят из граждан следующих стран (приблизительные данные)</w:t>
      </w:r>
      <w:r>
        <w:rPr>
          <w:rStyle w:val="FootnoteReference"/>
        </w:rPr>
        <w:footnoteReference w:id="7"/>
      </w:r>
      <w:r>
        <w:t>:</w:t>
      </w:r>
    </w:p>
    <w:p w:rsidR="00000000" w:rsidRDefault="00000000"/>
    <w:tbl>
      <w:tblPr>
        <w:tblW w:w="0" w:type="auto"/>
        <w:jc w:val="center"/>
        <w:tblBorders>
          <w:top w:val="single" w:sz="12" w:space="0" w:color="008000"/>
          <w:left w:val="nil"/>
          <w:bottom w:val="single" w:sz="12" w:space="0" w:color="008000"/>
          <w:right w:val="nil"/>
          <w:insideH w:val="nil"/>
          <w:insideV w:val="nil"/>
        </w:tblBorders>
        <w:tblLayout w:type="fixed"/>
        <w:tblLook w:val="00BF" w:firstRow="1" w:lastRow="0" w:firstColumn="1" w:lastColumn="0" w:noHBand="0" w:noVBand="0"/>
      </w:tblPr>
      <w:tblGrid>
        <w:gridCol w:w="3202"/>
        <w:gridCol w:w="1442"/>
        <w:gridCol w:w="1635"/>
        <w:gridCol w:w="1262"/>
      </w:tblGrid>
      <w:tr w:rsidR="00000000">
        <w:tblPrEx>
          <w:tblCellMar>
            <w:top w:w="0" w:type="dxa"/>
            <w:bottom w:w="0" w:type="dxa"/>
          </w:tblCellMar>
        </w:tblPrEx>
        <w:trPr>
          <w:jc w:val="center"/>
        </w:trPr>
        <w:tc>
          <w:tcPr>
            <w:tcW w:w="3202"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Гражданство</w:t>
            </w:r>
          </w:p>
        </w:tc>
        <w:tc>
          <w:tcPr>
            <w:tcW w:w="1442"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Женщины</w:t>
            </w:r>
          </w:p>
        </w:tc>
        <w:tc>
          <w:tcPr>
            <w:tcW w:w="1635"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Мужчины</w:t>
            </w:r>
          </w:p>
        </w:tc>
        <w:tc>
          <w:tcPr>
            <w:tcW w:w="1262"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Всего</w:t>
            </w:r>
          </w:p>
        </w:tc>
      </w:tr>
      <w:tr w:rsidR="00000000">
        <w:tblPrEx>
          <w:tblCellMar>
            <w:top w:w="0" w:type="dxa"/>
            <w:bottom w:w="0" w:type="dxa"/>
          </w:tblCellMar>
        </w:tblPrEx>
        <w:trPr>
          <w:jc w:val="center"/>
        </w:trPr>
        <w:tc>
          <w:tcPr>
            <w:tcW w:w="3202" w:type="dxa"/>
            <w:tcBorders>
              <w:top w:val="single" w:sz="6" w:space="0" w:color="008000"/>
              <w:left w:val="single" w:sz="4" w:space="0" w:color="auto"/>
              <w:right w:val="single" w:sz="4" w:space="0" w:color="auto"/>
            </w:tcBorders>
          </w:tcPr>
          <w:p w:rsidR="00000000" w:rsidRDefault="00000000">
            <w:pPr>
              <w:pStyle w:val="RKnormal"/>
              <w:spacing w:line="288" w:lineRule="auto"/>
              <w:rPr>
                <w:lang w:val="ru-RU"/>
              </w:rPr>
            </w:pPr>
            <w:r>
              <w:rPr>
                <w:lang w:val="ru-RU"/>
              </w:rPr>
              <w:t>Финляндия</w:t>
            </w:r>
          </w:p>
        </w:tc>
        <w:tc>
          <w:tcPr>
            <w:tcW w:w="1442" w:type="dxa"/>
            <w:tcBorders>
              <w:top w:val="single" w:sz="6" w:space="0" w:color="008000"/>
              <w:left w:val="single" w:sz="4" w:space="0" w:color="auto"/>
              <w:right w:val="single" w:sz="4" w:space="0" w:color="auto"/>
            </w:tcBorders>
          </w:tcPr>
          <w:p w:rsidR="00000000" w:rsidRDefault="00000000">
            <w:pPr>
              <w:pStyle w:val="RKnormal"/>
              <w:spacing w:line="288" w:lineRule="auto"/>
              <w:ind w:right="346"/>
              <w:jc w:val="right"/>
              <w:rPr>
                <w:lang w:val="ru-RU"/>
              </w:rPr>
            </w:pPr>
            <w:r>
              <w:rPr>
                <w:lang w:val="ru-RU"/>
              </w:rPr>
              <w:t>50 000</w:t>
            </w:r>
          </w:p>
        </w:tc>
        <w:tc>
          <w:tcPr>
            <w:tcW w:w="1635" w:type="dxa"/>
            <w:tcBorders>
              <w:top w:val="single" w:sz="6" w:space="0" w:color="008000"/>
              <w:left w:val="single" w:sz="4" w:space="0" w:color="auto"/>
              <w:right w:val="single" w:sz="4" w:space="0" w:color="auto"/>
            </w:tcBorders>
          </w:tcPr>
          <w:p w:rsidR="00000000" w:rsidRDefault="00000000">
            <w:pPr>
              <w:pStyle w:val="RKnormal"/>
              <w:spacing w:line="288" w:lineRule="auto"/>
              <w:ind w:right="372"/>
              <w:jc w:val="right"/>
              <w:rPr>
                <w:lang w:val="en-GB"/>
              </w:rPr>
            </w:pPr>
            <w:r>
              <w:rPr>
                <w:lang w:val="en-GB"/>
              </w:rPr>
              <w:t>37 000</w:t>
            </w:r>
          </w:p>
        </w:tc>
        <w:tc>
          <w:tcPr>
            <w:tcW w:w="1262" w:type="dxa"/>
            <w:tcBorders>
              <w:top w:val="single" w:sz="6" w:space="0" w:color="008000"/>
              <w:left w:val="single" w:sz="4" w:space="0" w:color="auto"/>
              <w:right w:val="single" w:sz="4" w:space="0" w:color="auto"/>
            </w:tcBorders>
          </w:tcPr>
          <w:p w:rsidR="00000000" w:rsidRDefault="00000000">
            <w:pPr>
              <w:pStyle w:val="RKnormal"/>
              <w:spacing w:line="288" w:lineRule="auto"/>
              <w:ind w:right="197"/>
              <w:jc w:val="right"/>
              <w:rPr>
                <w:lang w:val="en-GB"/>
              </w:rPr>
            </w:pPr>
            <w:r>
              <w:rPr>
                <w:lang w:val="en-GB"/>
              </w:rPr>
              <w:t>87 000</w:t>
            </w:r>
          </w:p>
        </w:tc>
      </w:tr>
      <w:tr w:rsidR="00000000">
        <w:tblPrEx>
          <w:tblCellMar>
            <w:top w:w="0" w:type="dxa"/>
            <w:bottom w:w="0" w:type="dxa"/>
          </w:tblCellMar>
        </w:tblPrEx>
        <w:trPr>
          <w:jc w:val="center"/>
        </w:trPr>
        <w:tc>
          <w:tcPr>
            <w:tcW w:w="3202" w:type="dxa"/>
            <w:tcBorders>
              <w:left w:val="single" w:sz="4" w:space="0" w:color="auto"/>
              <w:right w:val="single" w:sz="4" w:space="0" w:color="auto"/>
            </w:tcBorders>
          </w:tcPr>
          <w:p w:rsidR="00000000" w:rsidRDefault="00000000">
            <w:pPr>
              <w:pStyle w:val="RKnormal"/>
              <w:spacing w:line="288" w:lineRule="auto"/>
              <w:rPr>
                <w:lang w:val="ru-RU"/>
              </w:rPr>
            </w:pPr>
            <w:r>
              <w:rPr>
                <w:lang w:val="ru-RU"/>
              </w:rPr>
              <w:t>Норвегия</w:t>
            </w:r>
          </w:p>
        </w:tc>
        <w:tc>
          <w:tcPr>
            <w:tcW w:w="1442" w:type="dxa"/>
            <w:tcBorders>
              <w:left w:val="single" w:sz="4" w:space="0" w:color="auto"/>
              <w:right w:val="single" w:sz="4" w:space="0" w:color="auto"/>
            </w:tcBorders>
          </w:tcPr>
          <w:p w:rsidR="00000000" w:rsidRDefault="00000000">
            <w:pPr>
              <w:pStyle w:val="RKnormal"/>
              <w:spacing w:line="288" w:lineRule="auto"/>
              <w:ind w:right="346"/>
              <w:jc w:val="right"/>
              <w:rPr>
                <w:lang w:val="en-GB"/>
              </w:rPr>
            </w:pPr>
            <w:r>
              <w:rPr>
                <w:lang w:val="en-GB"/>
              </w:rPr>
              <w:t>18 000</w:t>
            </w:r>
          </w:p>
        </w:tc>
        <w:tc>
          <w:tcPr>
            <w:tcW w:w="1635" w:type="dxa"/>
            <w:tcBorders>
              <w:left w:val="single" w:sz="4" w:space="0" w:color="auto"/>
              <w:right w:val="single" w:sz="4" w:space="0" w:color="auto"/>
            </w:tcBorders>
          </w:tcPr>
          <w:p w:rsidR="00000000" w:rsidRDefault="00000000">
            <w:pPr>
              <w:pStyle w:val="RKnormal"/>
              <w:spacing w:line="288" w:lineRule="auto"/>
              <w:ind w:right="372"/>
              <w:jc w:val="right"/>
              <w:rPr>
                <w:lang w:val="en-GB"/>
              </w:rPr>
            </w:pPr>
            <w:r>
              <w:rPr>
                <w:lang w:val="en-GB"/>
              </w:rPr>
              <w:t>17 000</w:t>
            </w:r>
          </w:p>
        </w:tc>
        <w:tc>
          <w:tcPr>
            <w:tcW w:w="1262" w:type="dxa"/>
            <w:tcBorders>
              <w:left w:val="single" w:sz="4" w:space="0" w:color="auto"/>
              <w:right w:val="single" w:sz="4" w:space="0" w:color="auto"/>
            </w:tcBorders>
          </w:tcPr>
          <w:p w:rsidR="00000000" w:rsidRDefault="00000000">
            <w:pPr>
              <w:pStyle w:val="RKnormal"/>
              <w:spacing w:line="288" w:lineRule="auto"/>
              <w:ind w:right="197"/>
              <w:jc w:val="right"/>
              <w:rPr>
                <w:lang w:val="en-GB"/>
              </w:rPr>
            </w:pPr>
            <w:r>
              <w:rPr>
                <w:lang w:val="en-GB"/>
              </w:rPr>
              <w:t>35 000</w:t>
            </w:r>
          </w:p>
        </w:tc>
      </w:tr>
      <w:tr w:rsidR="00000000">
        <w:tblPrEx>
          <w:tblCellMar>
            <w:top w:w="0" w:type="dxa"/>
            <w:bottom w:w="0" w:type="dxa"/>
          </w:tblCellMar>
        </w:tblPrEx>
        <w:trPr>
          <w:jc w:val="center"/>
        </w:trPr>
        <w:tc>
          <w:tcPr>
            <w:tcW w:w="3202" w:type="dxa"/>
            <w:tcBorders>
              <w:left w:val="single" w:sz="4" w:space="0" w:color="auto"/>
              <w:right w:val="single" w:sz="4" w:space="0" w:color="auto"/>
            </w:tcBorders>
          </w:tcPr>
          <w:p w:rsidR="00000000" w:rsidRDefault="00000000">
            <w:pPr>
              <w:pStyle w:val="RKnormal"/>
              <w:spacing w:line="288" w:lineRule="auto"/>
              <w:rPr>
                <w:lang w:val="ru-RU"/>
              </w:rPr>
            </w:pPr>
            <w:r>
              <w:rPr>
                <w:lang w:val="ru-RU"/>
              </w:rPr>
              <w:t>Дания</w:t>
            </w:r>
          </w:p>
        </w:tc>
        <w:tc>
          <w:tcPr>
            <w:tcW w:w="1442" w:type="dxa"/>
            <w:tcBorders>
              <w:left w:val="single" w:sz="4" w:space="0" w:color="auto"/>
              <w:right w:val="single" w:sz="4" w:space="0" w:color="auto"/>
            </w:tcBorders>
          </w:tcPr>
          <w:p w:rsidR="00000000" w:rsidRDefault="00000000">
            <w:pPr>
              <w:pStyle w:val="RKnormal"/>
              <w:spacing w:line="288" w:lineRule="auto"/>
              <w:ind w:right="346"/>
              <w:jc w:val="right"/>
              <w:rPr>
                <w:lang w:val="en-GB"/>
              </w:rPr>
            </w:pPr>
            <w:r>
              <w:rPr>
                <w:lang w:val="en-GB"/>
              </w:rPr>
              <w:t>14 000</w:t>
            </w:r>
          </w:p>
        </w:tc>
        <w:tc>
          <w:tcPr>
            <w:tcW w:w="1635" w:type="dxa"/>
            <w:tcBorders>
              <w:left w:val="single" w:sz="4" w:space="0" w:color="auto"/>
              <w:right w:val="single" w:sz="4" w:space="0" w:color="auto"/>
            </w:tcBorders>
          </w:tcPr>
          <w:p w:rsidR="00000000" w:rsidRDefault="00000000">
            <w:pPr>
              <w:pStyle w:val="RKnormal"/>
              <w:spacing w:line="288" w:lineRule="auto"/>
              <w:ind w:right="372"/>
              <w:jc w:val="right"/>
              <w:rPr>
                <w:lang w:val="en-GB"/>
              </w:rPr>
            </w:pPr>
            <w:r>
              <w:rPr>
                <w:lang w:val="en-GB"/>
              </w:rPr>
              <w:t>19 000</w:t>
            </w:r>
          </w:p>
        </w:tc>
        <w:tc>
          <w:tcPr>
            <w:tcW w:w="1262" w:type="dxa"/>
            <w:tcBorders>
              <w:left w:val="single" w:sz="4" w:space="0" w:color="auto"/>
              <w:right w:val="single" w:sz="4" w:space="0" w:color="auto"/>
            </w:tcBorders>
          </w:tcPr>
          <w:p w:rsidR="00000000" w:rsidRDefault="00000000">
            <w:pPr>
              <w:pStyle w:val="RKnormal"/>
              <w:spacing w:line="288" w:lineRule="auto"/>
              <w:ind w:right="197"/>
              <w:jc w:val="right"/>
              <w:rPr>
                <w:lang w:val="en-GB"/>
              </w:rPr>
            </w:pPr>
            <w:r>
              <w:rPr>
                <w:lang w:val="en-GB"/>
              </w:rPr>
              <w:t>33 000</w:t>
            </w:r>
          </w:p>
        </w:tc>
      </w:tr>
      <w:tr w:rsidR="00000000">
        <w:tblPrEx>
          <w:tblCellMar>
            <w:top w:w="0" w:type="dxa"/>
            <w:bottom w:w="0" w:type="dxa"/>
          </w:tblCellMar>
        </w:tblPrEx>
        <w:trPr>
          <w:jc w:val="center"/>
        </w:trPr>
        <w:tc>
          <w:tcPr>
            <w:tcW w:w="3202" w:type="dxa"/>
            <w:tcBorders>
              <w:left w:val="single" w:sz="4" w:space="0" w:color="auto"/>
              <w:bottom w:val="single" w:sz="4" w:space="0" w:color="auto"/>
              <w:right w:val="single" w:sz="4" w:space="0" w:color="auto"/>
            </w:tcBorders>
          </w:tcPr>
          <w:p w:rsidR="00000000" w:rsidRDefault="00000000">
            <w:pPr>
              <w:pStyle w:val="RKnormal"/>
              <w:spacing w:line="288" w:lineRule="auto"/>
              <w:rPr>
                <w:lang w:val="ru-RU"/>
              </w:rPr>
            </w:pPr>
            <w:r>
              <w:rPr>
                <w:lang w:val="ru-RU"/>
              </w:rPr>
              <w:t>Ирак</w:t>
            </w:r>
          </w:p>
          <w:p w:rsidR="00000000" w:rsidRDefault="00000000">
            <w:pPr>
              <w:pStyle w:val="RKnormal"/>
              <w:spacing w:line="288" w:lineRule="auto"/>
              <w:rPr>
                <w:lang w:val="ru-RU"/>
              </w:rPr>
            </w:pPr>
            <w:r>
              <w:rPr>
                <w:lang w:val="ru-RU"/>
              </w:rPr>
              <w:t>Германия</w:t>
            </w:r>
          </w:p>
          <w:p w:rsidR="00000000" w:rsidRDefault="00000000">
            <w:pPr>
              <w:pStyle w:val="RKnormal"/>
              <w:spacing w:line="288" w:lineRule="auto"/>
              <w:rPr>
                <w:lang w:val="ru-RU"/>
              </w:rPr>
            </w:pPr>
            <w:r>
              <w:rPr>
                <w:lang w:val="ru-RU"/>
              </w:rPr>
              <w:t>Польша</w:t>
            </w:r>
          </w:p>
          <w:p w:rsidR="00000000" w:rsidRDefault="00000000">
            <w:pPr>
              <w:pStyle w:val="RKnormal"/>
              <w:spacing w:line="288" w:lineRule="auto"/>
              <w:rPr>
                <w:lang w:val="ru-RU"/>
              </w:rPr>
            </w:pPr>
            <w:r>
              <w:rPr>
                <w:lang w:val="ru-RU"/>
              </w:rPr>
              <w:t>Сербия и Черногория</w:t>
            </w:r>
          </w:p>
          <w:p w:rsidR="00000000" w:rsidRDefault="00000000">
            <w:pPr>
              <w:pStyle w:val="RKnormal"/>
              <w:spacing w:line="288" w:lineRule="auto"/>
              <w:rPr>
                <w:lang w:val="ru-RU"/>
              </w:rPr>
            </w:pPr>
            <w:r>
              <w:rPr>
                <w:lang w:val="ru-RU"/>
              </w:rPr>
              <w:t>Соединенное Королевство</w:t>
            </w:r>
          </w:p>
          <w:p w:rsidR="00000000" w:rsidRDefault="00000000">
            <w:pPr>
              <w:pStyle w:val="RKnormal"/>
              <w:spacing w:line="288" w:lineRule="auto"/>
              <w:rPr>
                <w:lang w:val="ru-RU"/>
              </w:rPr>
            </w:pPr>
            <w:r>
              <w:rPr>
                <w:lang w:val="ru-RU"/>
              </w:rPr>
              <w:t>Босния и Герцеговина</w:t>
            </w:r>
          </w:p>
          <w:p w:rsidR="00000000" w:rsidRDefault="00000000">
            <w:pPr>
              <w:pStyle w:val="RKnormal"/>
              <w:spacing w:line="288" w:lineRule="auto"/>
              <w:rPr>
                <w:lang w:val="ru-RU"/>
              </w:rPr>
            </w:pPr>
            <w:r>
              <w:rPr>
                <w:lang w:val="ru-RU"/>
              </w:rPr>
              <w:t>Турция</w:t>
            </w:r>
          </w:p>
        </w:tc>
        <w:tc>
          <w:tcPr>
            <w:tcW w:w="1442" w:type="dxa"/>
            <w:tcBorders>
              <w:left w:val="single" w:sz="4" w:space="0" w:color="auto"/>
              <w:bottom w:val="single" w:sz="4" w:space="0" w:color="auto"/>
              <w:right w:val="single" w:sz="4" w:space="0" w:color="auto"/>
            </w:tcBorders>
          </w:tcPr>
          <w:p w:rsidR="00000000" w:rsidRDefault="00000000">
            <w:pPr>
              <w:pStyle w:val="RKnormal"/>
              <w:spacing w:line="288" w:lineRule="auto"/>
              <w:ind w:right="346"/>
              <w:jc w:val="right"/>
              <w:rPr>
                <w:lang w:val="ru-RU"/>
              </w:rPr>
            </w:pPr>
            <w:r>
              <w:rPr>
                <w:lang w:val="ru-RU"/>
              </w:rPr>
              <w:t>15 000</w:t>
            </w:r>
          </w:p>
          <w:p w:rsidR="00000000" w:rsidRDefault="00000000">
            <w:pPr>
              <w:pStyle w:val="RKnormal"/>
              <w:spacing w:line="288" w:lineRule="auto"/>
              <w:ind w:right="346"/>
              <w:jc w:val="right"/>
              <w:rPr>
                <w:lang w:val="ru-RU"/>
              </w:rPr>
            </w:pPr>
            <w:r>
              <w:rPr>
                <w:lang w:val="ru-RU"/>
              </w:rPr>
              <w:t>10 000</w:t>
            </w:r>
          </w:p>
          <w:p w:rsidR="00000000" w:rsidRDefault="00000000">
            <w:pPr>
              <w:pStyle w:val="RKnormal"/>
              <w:spacing w:line="288" w:lineRule="auto"/>
              <w:ind w:right="346"/>
              <w:jc w:val="right"/>
              <w:rPr>
                <w:lang w:val="ru-RU"/>
              </w:rPr>
            </w:pPr>
            <w:r>
              <w:rPr>
                <w:lang w:val="ru-RU"/>
              </w:rPr>
              <w:t>10 000</w:t>
            </w:r>
          </w:p>
          <w:p w:rsidR="00000000" w:rsidRDefault="00000000">
            <w:pPr>
              <w:pStyle w:val="RKnormal"/>
              <w:spacing w:line="288" w:lineRule="auto"/>
              <w:ind w:right="346"/>
              <w:jc w:val="right"/>
              <w:rPr>
                <w:lang w:val="ru-RU"/>
              </w:rPr>
            </w:pPr>
            <w:r>
              <w:rPr>
                <w:lang w:val="ru-RU"/>
              </w:rPr>
              <w:t>8 000</w:t>
            </w:r>
          </w:p>
          <w:p w:rsidR="00000000" w:rsidRDefault="00000000">
            <w:pPr>
              <w:pStyle w:val="RKnormal"/>
              <w:spacing w:line="288" w:lineRule="auto"/>
              <w:ind w:right="346"/>
              <w:jc w:val="right"/>
              <w:rPr>
                <w:lang w:val="ru-RU"/>
              </w:rPr>
            </w:pPr>
            <w:r>
              <w:rPr>
                <w:lang w:val="ru-RU"/>
              </w:rPr>
              <w:t>5 000</w:t>
            </w:r>
          </w:p>
          <w:p w:rsidR="00000000" w:rsidRDefault="00000000">
            <w:pPr>
              <w:pStyle w:val="RKnormal"/>
              <w:spacing w:line="288" w:lineRule="auto"/>
              <w:ind w:right="346"/>
              <w:jc w:val="right"/>
              <w:rPr>
                <w:lang w:val="ru-RU"/>
              </w:rPr>
            </w:pPr>
            <w:r>
              <w:rPr>
                <w:lang w:val="ru-RU"/>
              </w:rPr>
              <w:t>7 000</w:t>
            </w:r>
          </w:p>
          <w:p w:rsidR="00000000" w:rsidRDefault="00000000">
            <w:pPr>
              <w:pStyle w:val="RKnormal"/>
              <w:spacing w:line="288" w:lineRule="auto"/>
              <w:ind w:right="346"/>
              <w:jc w:val="right"/>
              <w:rPr>
                <w:lang w:val="ru-RU"/>
              </w:rPr>
            </w:pPr>
            <w:r>
              <w:rPr>
                <w:lang w:val="ru-RU"/>
              </w:rPr>
              <w:t>5 000</w:t>
            </w:r>
          </w:p>
        </w:tc>
        <w:tc>
          <w:tcPr>
            <w:tcW w:w="1635" w:type="dxa"/>
            <w:tcBorders>
              <w:left w:val="single" w:sz="4" w:space="0" w:color="auto"/>
              <w:bottom w:val="single" w:sz="4" w:space="0" w:color="auto"/>
              <w:right w:val="single" w:sz="4" w:space="0" w:color="auto"/>
            </w:tcBorders>
          </w:tcPr>
          <w:p w:rsidR="00000000" w:rsidRDefault="00000000">
            <w:pPr>
              <w:pStyle w:val="RKnormal"/>
              <w:spacing w:line="288" w:lineRule="auto"/>
              <w:ind w:right="372"/>
              <w:jc w:val="right"/>
              <w:rPr>
                <w:lang w:val="ru-RU"/>
              </w:rPr>
            </w:pPr>
            <w:r>
              <w:rPr>
                <w:lang w:val="ru-RU"/>
              </w:rPr>
              <w:t>17 000</w:t>
            </w:r>
          </w:p>
          <w:p w:rsidR="00000000" w:rsidRDefault="00000000">
            <w:pPr>
              <w:pStyle w:val="RKnormal"/>
              <w:spacing w:line="288" w:lineRule="auto"/>
              <w:ind w:right="372"/>
              <w:jc w:val="right"/>
              <w:rPr>
                <w:lang w:val="ru-RU"/>
              </w:rPr>
            </w:pPr>
            <w:r>
              <w:rPr>
                <w:lang w:val="ru-RU"/>
              </w:rPr>
              <w:t>11 000</w:t>
            </w:r>
          </w:p>
          <w:p w:rsidR="00000000" w:rsidRDefault="00000000">
            <w:pPr>
              <w:pStyle w:val="RKnormal"/>
              <w:spacing w:line="288" w:lineRule="auto"/>
              <w:ind w:right="372"/>
              <w:jc w:val="right"/>
              <w:rPr>
                <w:lang w:val="ru-RU"/>
              </w:rPr>
            </w:pPr>
            <w:r>
              <w:rPr>
                <w:lang w:val="ru-RU"/>
              </w:rPr>
              <w:t>7 000</w:t>
            </w:r>
          </w:p>
          <w:p w:rsidR="00000000" w:rsidRDefault="00000000">
            <w:pPr>
              <w:pStyle w:val="RKnormal"/>
              <w:spacing w:line="288" w:lineRule="auto"/>
              <w:ind w:right="372"/>
              <w:jc w:val="right"/>
              <w:rPr>
                <w:lang w:val="ru-RU"/>
              </w:rPr>
            </w:pPr>
            <w:r>
              <w:rPr>
                <w:lang w:val="ru-RU"/>
              </w:rPr>
              <w:t>9 000</w:t>
            </w:r>
          </w:p>
          <w:p w:rsidR="00000000" w:rsidRDefault="00000000">
            <w:pPr>
              <w:pStyle w:val="RKnormal"/>
              <w:spacing w:line="288" w:lineRule="auto"/>
              <w:ind w:right="372"/>
              <w:jc w:val="right"/>
              <w:rPr>
                <w:lang w:val="ru-RU"/>
              </w:rPr>
            </w:pPr>
            <w:r>
              <w:rPr>
                <w:lang w:val="ru-RU"/>
              </w:rPr>
              <w:t>10 000</w:t>
            </w:r>
          </w:p>
          <w:p w:rsidR="00000000" w:rsidRDefault="00000000">
            <w:pPr>
              <w:pStyle w:val="RKnormal"/>
              <w:spacing w:line="288" w:lineRule="auto"/>
              <w:ind w:right="372"/>
              <w:jc w:val="right"/>
              <w:rPr>
                <w:lang w:val="ru-RU"/>
              </w:rPr>
            </w:pPr>
            <w:r>
              <w:rPr>
                <w:lang w:val="ru-RU"/>
              </w:rPr>
              <w:t>7 000</w:t>
            </w:r>
          </w:p>
          <w:p w:rsidR="00000000" w:rsidRDefault="00000000">
            <w:pPr>
              <w:pStyle w:val="RKnormal"/>
              <w:spacing w:line="288" w:lineRule="auto"/>
              <w:ind w:right="372"/>
              <w:jc w:val="right"/>
              <w:rPr>
                <w:lang w:val="ru-RU"/>
              </w:rPr>
            </w:pPr>
            <w:r>
              <w:rPr>
                <w:lang w:val="ru-RU"/>
              </w:rPr>
              <w:t>6 000</w:t>
            </w:r>
          </w:p>
        </w:tc>
        <w:tc>
          <w:tcPr>
            <w:tcW w:w="1262" w:type="dxa"/>
            <w:tcBorders>
              <w:left w:val="single" w:sz="4" w:space="0" w:color="auto"/>
              <w:bottom w:val="single" w:sz="4" w:space="0" w:color="auto"/>
              <w:right w:val="single" w:sz="4" w:space="0" w:color="auto"/>
            </w:tcBorders>
          </w:tcPr>
          <w:p w:rsidR="00000000" w:rsidRDefault="00000000">
            <w:pPr>
              <w:pStyle w:val="RKnormal"/>
              <w:spacing w:line="288" w:lineRule="auto"/>
              <w:ind w:right="197"/>
              <w:jc w:val="right"/>
              <w:rPr>
                <w:lang w:val="ru-RU"/>
              </w:rPr>
            </w:pPr>
            <w:r>
              <w:rPr>
                <w:lang w:val="ru-RU"/>
              </w:rPr>
              <w:t>32 000</w:t>
            </w:r>
          </w:p>
          <w:p w:rsidR="00000000" w:rsidRDefault="00000000">
            <w:pPr>
              <w:pStyle w:val="RKnormal"/>
              <w:spacing w:line="288" w:lineRule="auto"/>
              <w:ind w:right="197"/>
              <w:jc w:val="right"/>
              <w:rPr>
                <w:lang w:val="ru-RU"/>
              </w:rPr>
            </w:pPr>
            <w:r>
              <w:rPr>
                <w:lang w:val="ru-RU"/>
              </w:rPr>
              <w:t>21 000</w:t>
            </w:r>
          </w:p>
          <w:p w:rsidR="00000000" w:rsidRDefault="00000000">
            <w:pPr>
              <w:pStyle w:val="RKnormal"/>
              <w:spacing w:line="288" w:lineRule="auto"/>
              <w:ind w:right="197"/>
              <w:jc w:val="right"/>
              <w:rPr>
                <w:lang w:val="ru-RU"/>
              </w:rPr>
            </w:pPr>
            <w:r>
              <w:rPr>
                <w:lang w:val="ru-RU"/>
              </w:rPr>
              <w:t xml:space="preserve">17 000 </w:t>
            </w:r>
          </w:p>
          <w:p w:rsidR="00000000" w:rsidRDefault="00000000">
            <w:pPr>
              <w:pStyle w:val="RKnormal"/>
              <w:spacing w:line="288" w:lineRule="auto"/>
              <w:ind w:right="197"/>
              <w:jc w:val="right"/>
              <w:rPr>
                <w:lang w:val="ru-RU"/>
              </w:rPr>
            </w:pPr>
            <w:r>
              <w:rPr>
                <w:lang w:val="ru-RU"/>
              </w:rPr>
              <w:t>17 000</w:t>
            </w:r>
          </w:p>
          <w:p w:rsidR="00000000" w:rsidRDefault="00000000">
            <w:pPr>
              <w:pStyle w:val="RKnormal"/>
              <w:spacing w:line="288" w:lineRule="auto"/>
              <w:ind w:right="197"/>
              <w:jc w:val="right"/>
              <w:rPr>
                <w:lang w:val="ru-RU"/>
              </w:rPr>
            </w:pPr>
            <w:r>
              <w:rPr>
                <w:lang w:val="ru-RU"/>
              </w:rPr>
              <w:t>15 000</w:t>
            </w:r>
          </w:p>
          <w:p w:rsidR="00000000" w:rsidRDefault="00000000">
            <w:pPr>
              <w:pStyle w:val="RKnormal"/>
              <w:spacing w:line="288" w:lineRule="auto"/>
              <w:ind w:right="197"/>
              <w:jc w:val="right"/>
              <w:rPr>
                <w:lang w:val="ru-RU"/>
              </w:rPr>
            </w:pPr>
            <w:r>
              <w:rPr>
                <w:lang w:val="ru-RU"/>
              </w:rPr>
              <w:t>14 000</w:t>
            </w:r>
          </w:p>
          <w:p w:rsidR="00000000" w:rsidRDefault="00000000">
            <w:pPr>
              <w:pStyle w:val="RKnormal"/>
              <w:spacing w:line="288" w:lineRule="auto"/>
              <w:ind w:right="197"/>
              <w:jc w:val="right"/>
              <w:rPr>
                <w:lang w:val="ru-RU"/>
              </w:rPr>
            </w:pPr>
            <w:r>
              <w:rPr>
                <w:lang w:val="ru-RU"/>
              </w:rPr>
              <w:t>11 000</w:t>
            </w:r>
          </w:p>
          <w:p w:rsidR="00000000" w:rsidRDefault="00000000">
            <w:pPr>
              <w:pStyle w:val="RKnormal"/>
              <w:spacing w:line="288" w:lineRule="auto"/>
              <w:ind w:right="197"/>
              <w:jc w:val="right"/>
              <w:rPr>
                <w:lang w:val="ru-RU"/>
              </w:rPr>
            </w:pPr>
          </w:p>
        </w:tc>
      </w:tr>
    </w:tbl>
    <w:p w:rsidR="00000000" w:rsidRDefault="00000000"/>
    <w:p w:rsidR="00000000" w:rsidRDefault="00000000">
      <w:r>
        <w:t>7.</w:t>
      </w:r>
      <w:r>
        <w:tab/>
        <w:t>В Швеции не ведется статистического учета этнического происхождения населения кроме как по признаку гражданства и страны рождения.  В соответствии с одним из основных положений Шведского закона о защите данных, содержащих информацию о частных лицах (1998:204), сбор личных данных, содержащих информацию о расе, этническом происхождении или религиозных убеждениях запрещается.  Таким образом, в настоящее время Швеция не может представить полной статистической информации в отношении, например, национальных меньшинств.</w:t>
      </w:r>
    </w:p>
    <w:p w:rsidR="00000000" w:rsidRDefault="00000000"/>
    <w:p w:rsidR="00000000" w:rsidRDefault="00000000">
      <w:r>
        <w:t>8.</w:t>
      </w:r>
      <w:r>
        <w:tab/>
        <w:t>Вместе с тем оценки численности национальных меньшинств были подготовлены в рамках проведенного правительством в 1997 году обследования в связи с ратификацией Швецией Рамочной конвенции о защите национальных меньшинств и Европейской хартии национальных языков и языков меньшинств Совета Европы.  Эти оценки опираются на информацию, полученную из различных источников, включая организации национальных меньшинств и государственные ведомства.  Согласно результатам обследования, группа шведских финнов насчитывает 450 000 человек, численность торнедальских финнов составляет 50 000 человек и евреев - 25 000 человек.  Численность рома составляет 20 000 человек, а численность кочующих народов, многие из которых причисляют себя к рома, - 20 000 человек.  По данным парламента саами, численность саами составляет 20 000 человек.</w:t>
      </w:r>
    </w:p>
    <w:p w:rsidR="00000000" w:rsidRDefault="00000000"/>
    <w:p w:rsidR="00000000" w:rsidRDefault="00000000">
      <w:r>
        <w:t>9.</w:t>
      </w:r>
      <w:r>
        <w:tab/>
        <w:t>В Швеции также ведется статистический учет учащихся, имеющих право на обучение на родном языке.  В 2005/06 учебном году правом на обучение на одном из языков национальных меньшинств пользовались около 13 000 учащихся</w:t>
      </w:r>
      <w:r>
        <w:rPr>
          <w:rStyle w:val="FootnoteReference"/>
        </w:rPr>
        <w:footnoteReference w:id="8"/>
      </w:r>
      <w:r>
        <w:t>.  В таблице ниже показано распределение национальных меньшинств, имеющих право на обучение на родном языке, которые составляют около 1% от общей численности учащихся</w:t>
      </w:r>
      <w:r>
        <w:rPr>
          <w:rStyle w:val="FootnoteReference"/>
        </w:rPr>
        <w:footnoteReference w:id="9"/>
      </w:r>
      <w:r>
        <w:t>:</w:t>
      </w:r>
    </w:p>
    <w:p w:rsidR="00000000" w:rsidRDefault="00000000"/>
    <w:tbl>
      <w:tblPr>
        <w:tblW w:w="0" w:type="auto"/>
        <w:jc w:val="center"/>
        <w:tblBorders>
          <w:top w:val="single" w:sz="12" w:space="0" w:color="008000"/>
          <w:bottom w:val="single" w:sz="12" w:space="0" w:color="008000"/>
        </w:tblBorders>
        <w:tblLook w:val="0000" w:firstRow="0" w:lastRow="0" w:firstColumn="0" w:lastColumn="0" w:noHBand="0" w:noVBand="0"/>
      </w:tblPr>
      <w:tblGrid>
        <w:gridCol w:w="2923"/>
        <w:gridCol w:w="2924"/>
      </w:tblGrid>
      <w:tr w:rsidR="00000000">
        <w:trPr>
          <w:jc w:val="center"/>
        </w:trPr>
        <w:tc>
          <w:tcPr>
            <w:tcW w:w="2923"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Родной язык</w:t>
            </w:r>
          </w:p>
        </w:tc>
        <w:tc>
          <w:tcPr>
            <w:tcW w:w="2924" w:type="dxa"/>
            <w:tcBorders>
              <w:top w:val="single" w:sz="4" w:space="0" w:color="auto"/>
              <w:left w:val="single" w:sz="4" w:space="0" w:color="auto"/>
              <w:bottom w:val="single" w:sz="6" w:space="0" w:color="008000"/>
              <w:right w:val="single" w:sz="4" w:space="0" w:color="auto"/>
            </w:tcBorders>
          </w:tcPr>
          <w:p w:rsidR="00000000" w:rsidRDefault="00000000">
            <w:pPr>
              <w:pStyle w:val="RKnormal"/>
              <w:spacing w:line="288" w:lineRule="auto"/>
              <w:jc w:val="center"/>
              <w:rPr>
                <w:lang w:val="ru-RU"/>
              </w:rPr>
            </w:pPr>
            <w:r>
              <w:rPr>
                <w:lang w:val="ru-RU"/>
              </w:rPr>
              <w:t>Количество учащихся</w:t>
            </w:r>
          </w:p>
        </w:tc>
      </w:tr>
      <w:tr w:rsidR="00000000">
        <w:trPr>
          <w:jc w:val="center"/>
        </w:trPr>
        <w:tc>
          <w:tcPr>
            <w:tcW w:w="2923" w:type="dxa"/>
            <w:tcBorders>
              <w:top w:val="single" w:sz="6" w:space="0" w:color="008000"/>
              <w:left w:val="single" w:sz="4" w:space="0" w:color="auto"/>
              <w:bottom w:val="nil"/>
              <w:right w:val="single" w:sz="4" w:space="0" w:color="auto"/>
            </w:tcBorders>
          </w:tcPr>
          <w:p w:rsidR="00000000" w:rsidRDefault="00000000">
            <w:pPr>
              <w:pStyle w:val="RKnormal"/>
              <w:spacing w:line="288" w:lineRule="auto"/>
              <w:rPr>
                <w:lang w:val="ru-RU"/>
              </w:rPr>
            </w:pPr>
            <w:r>
              <w:rPr>
                <w:lang w:val="ru-RU"/>
              </w:rPr>
              <w:t>Финский</w:t>
            </w:r>
          </w:p>
        </w:tc>
        <w:tc>
          <w:tcPr>
            <w:tcW w:w="2924" w:type="dxa"/>
            <w:tcBorders>
              <w:top w:val="single" w:sz="6" w:space="0" w:color="008000"/>
              <w:left w:val="single" w:sz="4" w:space="0" w:color="auto"/>
              <w:bottom w:val="nil"/>
              <w:right w:val="single" w:sz="4" w:space="0" w:color="auto"/>
            </w:tcBorders>
          </w:tcPr>
          <w:p w:rsidR="00000000" w:rsidRDefault="00000000">
            <w:pPr>
              <w:pStyle w:val="RKnormal"/>
              <w:spacing w:line="288" w:lineRule="auto"/>
              <w:ind w:left="-107" w:right="1039"/>
              <w:jc w:val="right"/>
              <w:rPr>
                <w:lang w:val="ru-RU"/>
              </w:rPr>
            </w:pPr>
            <w:r>
              <w:rPr>
                <w:lang w:val="ru-RU"/>
              </w:rPr>
              <w:t>9 807</w:t>
            </w:r>
          </w:p>
        </w:tc>
      </w:tr>
      <w:tr w:rsidR="00000000">
        <w:trPr>
          <w:jc w:val="center"/>
        </w:trPr>
        <w:tc>
          <w:tcPr>
            <w:tcW w:w="2923" w:type="dxa"/>
            <w:tcBorders>
              <w:top w:val="nil"/>
              <w:left w:val="single" w:sz="4" w:space="0" w:color="auto"/>
              <w:bottom w:val="nil"/>
              <w:right w:val="single" w:sz="4" w:space="0" w:color="auto"/>
            </w:tcBorders>
          </w:tcPr>
          <w:p w:rsidR="00000000" w:rsidRDefault="00000000">
            <w:pPr>
              <w:pStyle w:val="RKnormal"/>
              <w:spacing w:line="288" w:lineRule="auto"/>
              <w:rPr>
                <w:lang w:val="ru-RU"/>
              </w:rPr>
            </w:pPr>
            <w:r>
              <w:rPr>
                <w:lang w:val="ru-RU"/>
              </w:rPr>
              <w:t>Цыганский (каале, ловари)</w:t>
            </w:r>
          </w:p>
        </w:tc>
        <w:tc>
          <w:tcPr>
            <w:tcW w:w="2924" w:type="dxa"/>
            <w:tcBorders>
              <w:top w:val="nil"/>
              <w:left w:val="single" w:sz="4" w:space="0" w:color="auto"/>
              <w:bottom w:val="nil"/>
              <w:right w:val="single" w:sz="4" w:space="0" w:color="auto"/>
            </w:tcBorders>
          </w:tcPr>
          <w:p w:rsidR="00000000" w:rsidRDefault="00000000">
            <w:pPr>
              <w:pStyle w:val="RKnormal"/>
              <w:spacing w:line="288" w:lineRule="auto"/>
              <w:ind w:left="-107" w:right="1039"/>
              <w:jc w:val="right"/>
              <w:rPr>
                <w:lang w:val="en-GB"/>
              </w:rPr>
            </w:pPr>
            <w:r>
              <w:rPr>
                <w:lang w:val="en-GB"/>
              </w:rPr>
              <w:t>1 281</w:t>
            </w:r>
          </w:p>
        </w:tc>
      </w:tr>
      <w:tr w:rsidR="00000000">
        <w:trPr>
          <w:jc w:val="center"/>
        </w:trPr>
        <w:tc>
          <w:tcPr>
            <w:tcW w:w="2923" w:type="dxa"/>
            <w:tcBorders>
              <w:top w:val="nil"/>
              <w:left w:val="single" w:sz="4" w:space="0" w:color="auto"/>
              <w:bottom w:val="nil"/>
              <w:right w:val="single" w:sz="4" w:space="0" w:color="auto"/>
            </w:tcBorders>
          </w:tcPr>
          <w:p w:rsidR="00000000" w:rsidRDefault="00000000">
            <w:pPr>
              <w:pStyle w:val="RKnormal"/>
              <w:spacing w:line="288" w:lineRule="auto"/>
              <w:rPr>
                <w:lang w:val="en-GB"/>
              </w:rPr>
            </w:pPr>
            <w:proofErr w:type="spellStart"/>
            <w:r>
              <w:rPr>
                <w:lang w:val="ru-RU"/>
              </w:rPr>
              <w:t>Торнедальский</w:t>
            </w:r>
            <w:proofErr w:type="spellEnd"/>
            <w:r>
              <w:rPr>
                <w:lang w:val="ru-RU"/>
              </w:rPr>
              <w:t xml:space="preserve"> финский</w:t>
            </w:r>
            <w:r>
              <w:rPr>
                <w:lang w:val="en-GB"/>
              </w:rPr>
              <w:t xml:space="preserve"> </w:t>
            </w:r>
          </w:p>
        </w:tc>
        <w:tc>
          <w:tcPr>
            <w:tcW w:w="2924" w:type="dxa"/>
            <w:tcBorders>
              <w:top w:val="nil"/>
              <w:left w:val="single" w:sz="4" w:space="0" w:color="auto"/>
              <w:bottom w:val="nil"/>
              <w:right w:val="single" w:sz="4" w:space="0" w:color="auto"/>
            </w:tcBorders>
          </w:tcPr>
          <w:p w:rsidR="00000000" w:rsidRDefault="00000000">
            <w:pPr>
              <w:pStyle w:val="RKnormal"/>
              <w:spacing w:line="288" w:lineRule="auto"/>
              <w:ind w:left="-107" w:right="1039"/>
              <w:jc w:val="right"/>
              <w:rPr>
                <w:lang w:val="en-GB"/>
              </w:rPr>
            </w:pPr>
            <w:r>
              <w:rPr>
                <w:lang w:val="en-GB"/>
              </w:rPr>
              <w:t>1 089</w:t>
            </w:r>
          </w:p>
        </w:tc>
      </w:tr>
      <w:tr w:rsidR="00000000">
        <w:trPr>
          <w:jc w:val="center"/>
        </w:trPr>
        <w:tc>
          <w:tcPr>
            <w:tcW w:w="2923" w:type="dxa"/>
            <w:tcBorders>
              <w:top w:val="nil"/>
              <w:left w:val="single" w:sz="4" w:space="0" w:color="auto"/>
              <w:bottom w:val="nil"/>
              <w:right w:val="single" w:sz="4" w:space="0" w:color="auto"/>
            </w:tcBorders>
          </w:tcPr>
          <w:p w:rsidR="00000000" w:rsidRDefault="00000000">
            <w:pPr>
              <w:pStyle w:val="RKnormal"/>
              <w:spacing w:line="288" w:lineRule="auto"/>
              <w:rPr>
                <w:lang w:val="en-GB"/>
              </w:rPr>
            </w:pPr>
            <w:r>
              <w:rPr>
                <w:lang w:val="ru-RU"/>
              </w:rPr>
              <w:t>Саамский</w:t>
            </w:r>
          </w:p>
        </w:tc>
        <w:tc>
          <w:tcPr>
            <w:tcW w:w="2924" w:type="dxa"/>
            <w:tcBorders>
              <w:top w:val="nil"/>
              <w:left w:val="single" w:sz="4" w:space="0" w:color="auto"/>
              <w:bottom w:val="nil"/>
              <w:right w:val="single" w:sz="4" w:space="0" w:color="auto"/>
            </w:tcBorders>
          </w:tcPr>
          <w:p w:rsidR="00000000" w:rsidRDefault="00000000">
            <w:pPr>
              <w:pStyle w:val="RKnormal"/>
              <w:spacing w:line="288" w:lineRule="auto"/>
              <w:ind w:left="-107" w:right="1039"/>
              <w:jc w:val="right"/>
              <w:rPr>
                <w:lang w:val="en-GB"/>
              </w:rPr>
            </w:pPr>
            <w:r>
              <w:rPr>
                <w:lang w:val="en-GB"/>
              </w:rPr>
              <w:t>595</w:t>
            </w:r>
          </w:p>
        </w:tc>
      </w:tr>
      <w:tr w:rsidR="00000000">
        <w:trPr>
          <w:trHeight w:val="365"/>
          <w:jc w:val="center"/>
        </w:trPr>
        <w:tc>
          <w:tcPr>
            <w:tcW w:w="2923" w:type="dxa"/>
            <w:tcBorders>
              <w:top w:val="nil"/>
              <w:left w:val="single" w:sz="4" w:space="0" w:color="auto"/>
              <w:bottom w:val="single" w:sz="4" w:space="0" w:color="auto"/>
              <w:right w:val="single" w:sz="4" w:space="0" w:color="auto"/>
            </w:tcBorders>
          </w:tcPr>
          <w:p w:rsidR="00000000" w:rsidRDefault="00000000">
            <w:pPr>
              <w:pStyle w:val="RKnormal"/>
              <w:spacing w:line="288" w:lineRule="auto"/>
              <w:rPr>
                <w:lang w:val="en-GB"/>
              </w:rPr>
            </w:pPr>
            <w:r>
              <w:rPr>
                <w:lang w:val="ru-RU"/>
              </w:rPr>
              <w:t>Идиш</w:t>
            </w:r>
          </w:p>
        </w:tc>
        <w:tc>
          <w:tcPr>
            <w:tcW w:w="2924" w:type="dxa"/>
            <w:tcBorders>
              <w:top w:val="nil"/>
              <w:left w:val="single" w:sz="4" w:space="0" w:color="auto"/>
              <w:bottom w:val="single" w:sz="4" w:space="0" w:color="auto"/>
              <w:right w:val="single" w:sz="4" w:space="0" w:color="auto"/>
            </w:tcBorders>
          </w:tcPr>
          <w:p w:rsidR="00000000" w:rsidRDefault="00000000">
            <w:pPr>
              <w:pStyle w:val="RKnormal"/>
              <w:spacing w:line="288" w:lineRule="auto"/>
              <w:ind w:left="-107" w:right="1039"/>
              <w:jc w:val="right"/>
              <w:rPr>
                <w:lang w:val="ru-RU"/>
              </w:rPr>
            </w:pPr>
            <w:r>
              <w:rPr>
                <w:lang w:val="ru-RU"/>
              </w:rPr>
              <w:t>29</w:t>
            </w:r>
          </w:p>
        </w:tc>
      </w:tr>
      <w:tr w:rsidR="00000000">
        <w:trPr>
          <w:trHeight w:val="390"/>
          <w:jc w:val="center"/>
        </w:trPr>
        <w:tc>
          <w:tcPr>
            <w:tcW w:w="2923" w:type="dxa"/>
            <w:tcBorders>
              <w:top w:val="single" w:sz="4" w:space="0" w:color="auto"/>
              <w:left w:val="single" w:sz="4" w:space="0" w:color="auto"/>
              <w:bottom w:val="single" w:sz="4" w:space="0" w:color="auto"/>
              <w:right w:val="single" w:sz="4" w:space="0" w:color="auto"/>
            </w:tcBorders>
          </w:tcPr>
          <w:p w:rsidR="00000000" w:rsidRDefault="00000000">
            <w:pPr>
              <w:pStyle w:val="RKnormal"/>
              <w:spacing w:line="288" w:lineRule="auto"/>
              <w:rPr>
                <w:lang w:val="ru-RU"/>
              </w:rPr>
            </w:pPr>
            <w:r>
              <w:rPr>
                <w:lang w:val="ru-RU"/>
              </w:rPr>
              <w:t>Всего</w:t>
            </w:r>
          </w:p>
        </w:tc>
        <w:tc>
          <w:tcPr>
            <w:tcW w:w="2924" w:type="dxa"/>
            <w:tcBorders>
              <w:top w:val="single" w:sz="4" w:space="0" w:color="auto"/>
              <w:left w:val="single" w:sz="4" w:space="0" w:color="auto"/>
              <w:bottom w:val="single" w:sz="4" w:space="0" w:color="auto"/>
              <w:right w:val="single" w:sz="4" w:space="0" w:color="auto"/>
            </w:tcBorders>
          </w:tcPr>
          <w:p w:rsidR="00000000" w:rsidRDefault="00000000">
            <w:pPr>
              <w:pStyle w:val="RKnormal"/>
              <w:spacing w:line="288" w:lineRule="auto"/>
              <w:ind w:left="-107" w:right="1039"/>
              <w:jc w:val="right"/>
              <w:rPr>
                <w:lang w:val="ru-RU"/>
              </w:rPr>
            </w:pPr>
            <w:r>
              <w:rPr>
                <w:lang w:val="ru-RU"/>
              </w:rPr>
              <w:t>12 801</w:t>
            </w:r>
          </w:p>
        </w:tc>
      </w:tr>
    </w:tbl>
    <w:p w:rsidR="00000000" w:rsidRDefault="00000000"/>
    <w:p w:rsidR="00000000" w:rsidRDefault="00000000">
      <w:r>
        <w:t>10.</w:t>
      </w:r>
      <w:r>
        <w:tab/>
        <w:t xml:space="preserve">В 2005/06 учебном году общее количество учащихся, имеющих право на обучение на родном языке, составило 147 500 человек или </w:t>
      </w:r>
      <w:proofErr w:type="spellStart"/>
      <w:r>
        <w:t>14,8%</w:t>
      </w:r>
      <w:proofErr w:type="spellEnd"/>
      <w:r>
        <w:t xml:space="preserve"> от общей численности учащихся.  В десятку наиболее распространенных языков входят арабский, боснийский, хорватский, сербский, финский, испанский, албанский, английский, фарси и турецкий.</w:t>
      </w:r>
    </w:p>
    <w:p w:rsidR="00000000" w:rsidRDefault="00000000"/>
    <w:p w:rsidR="00000000" w:rsidRDefault="00000000">
      <w:pPr>
        <w:jc w:val="center"/>
        <w:rPr>
          <w:b/>
          <w:bCs/>
        </w:rPr>
      </w:pPr>
      <w:r>
        <w:rPr>
          <w:b/>
          <w:bCs/>
        </w:rPr>
        <w:t>ИНФОРМАЦИЯ, КАСАЮЩАЯСЯ СТАТЕЙ 2-7</w:t>
      </w:r>
    </w:p>
    <w:p w:rsidR="00000000" w:rsidRDefault="00000000">
      <w:pPr>
        <w:rPr>
          <w:b/>
          <w:bCs/>
        </w:rPr>
      </w:pPr>
    </w:p>
    <w:p w:rsidR="00000000" w:rsidRDefault="00000000">
      <w:pPr>
        <w:jc w:val="center"/>
        <w:rPr>
          <w:b/>
          <w:bCs/>
        </w:rPr>
      </w:pPr>
      <w:r>
        <w:rPr>
          <w:b/>
          <w:bCs/>
        </w:rPr>
        <w:t>Статья 2.1</w:t>
      </w:r>
    </w:p>
    <w:p w:rsidR="00000000" w:rsidRDefault="00000000"/>
    <w:p w:rsidR="00000000" w:rsidRDefault="00000000">
      <w:pPr>
        <w:rPr>
          <w:b/>
          <w:bCs/>
        </w:rPr>
      </w:pPr>
      <w:r>
        <w:rPr>
          <w:b/>
          <w:bCs/>
        </w:rPr>
        <w:t>Конституционное законодательство</w:t>
      </w:r>
    </w:p>
    <w:p w:rsidR="00000000" w:rsidRDefault="00000000">
      <w:pPr>
        <w:rPr>
          <w:b/>
          <w:bCs/>
          <w:i/>
          <w:iCs/>
        </w:rPr>
      </w:pPr>
    </w:p>
    <w:p w:rsidR="00000000" w:rsidRDefault="00000000">
      <w:r>
        <w:t>11.</w:t>
      </w:r>
      <w:r>
        <w:tab/>
        <w:t>Шведская конституция предусматривает основы правовой защиты против этнической дискриминации.  В отношении дополнительной информации Комитет отсылается к пунктам 19-30 двенадцатого периодического доклада.</w:t>
      </w:r>
    </w:p>
    <w:p w:rsidR="00000000" w:rsidRDefault="00000000"/>
    <w:p w:rsidR="00000000" w:rsidRDefault="00000000">
      <w:r>
        <w:t>12.</w:t>
      </w:r>
      <w:r>
        <w:tab/>
        <w:t xml:space="preserve">1 января 2003 года вступил в силу новый основополагающий закон.  Согласно пункту 4 статьи 2 раздела 1 Акта о форме правления, государственные ведомства принимают меры по борьбе с дискриминацией лиц по признаку пола, цвета кожи, </w:t>
      </w:r>
    </w:p>
    <w:p w:rsidR="00000000" w:rsidRDefault="00000000">
      <w:r>
        <w:br w:type="page"/>
        <w:t xml:space="preserve">национального и этнического происхождения, языка и религиозных убеждений, функциональной дееспособности, сексуальной ориентации, возраста и иных признаков, относящихся к частной жизни.  </w:t>
      </w:r>
    </w:p>
    <w:p w:rsidR="00000000" w:rsidRDefault="00000000"/>
    <w:p w:rsidR="00000000" w:rsidRDefault="00000000">
      <w:pPr>
        <w:rPr>
          <w:b/>
          <w:bCs/>
        </w:rPr>
      </w:pPr>
      <w:r>
        <w:rPr>
          <w:b/>
          <w:bCs/>
        </w:rPr>
        <w:t>Уголовное законодательство</w:t>
      </w:r>
    </w:p>
    <w:p w:rsidR="00000000" w:rsidRDefault="00000000">
      <w:pPr>
        <w:rPr>
          <w:b/>
          <w:bCs/>
          <w:i/>
          <w:iCs/>
        </w:rPr>
      </w:pPr>
    </w:p>
    <w:p w:rsidR="00000000" w:rsidRDefault="00000000">
      <w:r>
        <w:t>13.</w:t>
      </w:r>
      <w:r>
        <w:tab/>
        <w:t xml:space="preserve">Уголовный кодекс содержит два положения, прямо касающиеся оскорбления или дискриминации по признаку расы, цвета кожи, национального или этнического происхождения или религиозных убеждений.  Эти положения касаются агитации против национальной или этнической группы и противозаконной дискриминации.  Пояснение этих положений содержится в пункте 32 двенадцатого периодического доклада, а также в пункте 66 пятнадцатого и шестнадцатого периодических докладов.  </w:t>
      </w:r>
    </w:p>
    <w:p w:rsidR="00000000" w:rsidRDefault="00000000"/>
    <w:p w:rsidR="00000000" w:rsidRDefault="00000000">
      <w:r>
        <w:t>14.</w:t>
      </w:r>
      <w:r>
        <w:tab/>
        <w:t>В соответствии с пунктом 7 статьи 2 главы 29 Уголовного кодекса, при определении наказания за совершенное преступление, если его мотив состоял в том, чтобы ущемить какое-либо лицо, этническую группу или какую-либо иную аналогичную группу по признаку расы, цвета кожи, национального или этнического происхождения, религиозных убеждений, сексуальной ориентации или по иным сходным признакам, этот факт рассматривается в качестве отягчающего обстоятельства.  Это положение применимо к преступлениям всех категорий.</w:t>
      </w:r>
    </w:p>
    <w:p w:rsidR="00000000" w:rsidRDefault="00000000"/>
    <w:p w:rsidR="00000000" w:rsidRDefault="00000000">
      <w:r>
        <w:t>15.</w:t>
      </w:r>
      <w:r>
        <w:tab/>
        <w:t>Закон об ответственности за электронные доски объявлений (1998:112) также направлен на противодействие агитации против национальных или этнических групп.  Содержащееся в статье 12 главы 16 Уголовного кодекса положение о дезориентации молодежи направлено на противодействие распространению расисткой пропаганды.  Пояснение этих положений приводится в пунктах 62 и 65 пятнадцатого и шестнадцатого периодических докладов.</w:t>
      </w:r>
    </w:p>
    <w:p w:rsidR="00000000" w:rsidRDefault="00000000"/>
    <w:p w:rsidR="00000000" w:rsidRDefault="00000000">
      <w:pPr>
        <w:rPr>
          <w:b/>
          <w:bCs/>
        </w:rPr>
      </w:pPr>
      <w:r>
        <w:rPr>
          <w:b/>
          <w:bCs/>
        </w:rPr>
        <w:t>Закон о специальном контроле за режимом пребывания иностранцев</w:t>
      </w:r>
    </w:p>
    <w:p w:rsidR="00000000" w:rsidRDefault="00000000">
      <w:pPr>
        <w:rPr>
          <w:i/>
          <w:iCs/>
        </w:rPr>
      </w:pPr>
    </w:p>
    <w:p w:rsidR="00000000" w:rsidRDefault="00000000">
      <w:r>
        <w:t>16.</w:t>
      </w:r>
      <w:r>
        <w:tab/>
        <w:t>В соответствии с поправками, вступившими в силу 31 марта 2006 года, Шведское иммиграционное управление является первой инстанцией, которая выносит решения по делам, подпадающим под действие Закона о специальном контроле за режимом пребывания иностранцев (1991:572).  Решения Иммиграционного управления по делам, связанным с депортацией, могут быть обжалованы в правительстве.  Апелляции должны подавляться Иммиграционному управлению, которое обязано незамедлительно передать данный вопрос на рассмотрение Апелляционного суда по делам иммигрантов.  Суд обязан провести устные слушания, в ходе которых производится допрос иностранца в целях получения показаний по делу.  После этого материалы и документы передаются в правительство для принятия решения.  Если суд выносит заключение о наличии обстоятельства, препятствующего исполнению постановления о высылке, правительство обязано наложить запрет на исполнение решения о депортации до поступления дальнейших указаний.</w:t>
      </w:r>
    </w:p>
    <w:p w:rsidR="00000000" w:rsidRDefault="00000000"/>
    <w:p w:rsidR="00000000" w:rsidRDefault="00000000">
      <w:pPr>
        <w:rPr>
          <w:b/>
          <w:bCs/>
          <w:i/>
          <w:iCs/>
        </w:rPr>
      </w:pPr>
      <w:r>
        <w:t>17.</w:t>
      </w:r>
      <w:r>
        <w:tab/>
        <w:t>Таким образом, можно считать, что эти новые правила обеспечивают выполнение указанных требований в отношении наличия эффективных средств правовой защиты и рассмотрения дела более чем в одном суде.  Новые правила укрепляют права человека на надлежащее судебное разбирательство.  Более тщательный учет обстоятельств, препятствующих исполнению решения о депортации, например вероятность того, что данное лицо может быть подвергнуто смертной казни, телесному наказанию или пытке или бесчеловечному или унижающему человеческое достоинство обращению и наказанию, обеспечивается за счет того, что правительство обязано принять во внимание заключение Апелляционного суда по делам иммигрантов, и в подобных случаях отдать распоряжение о невозможности исполнения решения до поступления дальнейших указаний.</w:t>
      </w:r>
    </w:p>
    <w:p w:rsidR="00000000" w:rsidRDefault="00000000">
      <w:pPr>
        <w:rPr>
          <w:b/>
          <w:bCs/>
          <w:i/>
          <w:iCs/>
        </w:rPr>
      </w:pPr>
    </w:p>
    <w:p w:rsidR="00000000" w:rsidRDefault="00000000">
      <w:pPr>
        <w:rPr>
          <w:b/>
          <w:bCs/>
        </w:rPr>
      </w:pPr>
      <w:r>
        <w:rPr>
          <w:b/>
          <w:bCs/>
        </w:rPr>
        <w:t xml:space="preserve">Применение уголовного законодательства против преступлений </w:t>
      </w:r>
    </w:p>
    <w:p w:rsidR="00000000" w:rsidRDefault="00000000">
      <w:pPr>
        <w:rPr>
          <w:b/>
          <w:bCs/>
        </w:rPr>
      </w:pPr>
      <w:r>
        <w:rPr>
          <w:b/>
          <w:bCs/>
        </w:rPr>
        <w:t>на почве ненависти</w:t>
      </w:r>
    </w:p>
    <w:p w:rsidR="00000000" w:rsidRDefault="00000000">
      <w:pPr>
        <w:rPr>
          <w:b/>
          <w:bCs/>
          <w:i/>
          <w:iCs/>
        </w:rPr>
      </w:pPr>
    </w:p>
    <w:p w:rsidR="00000000" w:rsidRDefault="00000000">
      <w:r>
        <w:t>18.</w:t>
      </w:r>
      <w:r>
        <w:tab/>
        <w:t xml:space="preserve">С 2003 года шведская полиция и прокуратура постоянно уделяют преступлениям на почве ненависти первоочередное внимание.  Принимаемые меры имеют широкую направленность и охватывают все сферы от инициатив против незаконной дискриминации в общественных увеселительных заведениях до мер, направленных на стимулирование агентов по недвижимости и арендодателей коммерческих помещений не предоставлять помещения, например, нацистским организациям. </w:t>
      </w:r>
    </w:p>
    <w:p w:rsidR="00000000" w:rsidRDefault="00000000"/>
    <w:p w:rsidR="00000000" w:rsidRDefault="00000000">
      <w:r>
        <w:t>19.</w:t>
      </w:r>
      <w:r>
        <w:tab/>
        <w:t>Полицейские протоколы показывают, что тенденции, связанные с этими преступлениями, проявляются в стране весьма по-разному.  Характер и методы распределения ресурсов определяются местными условиями.  Половина всех полицейских управлений в Швеции провели учебные курсы для различных целевых групп, как внутренних, так и внешних.  Постоянно совершенствуются операции полицейских органов на основе оперативных данных.</w:t>
      </w:r>
    </w:p>
    <w:p w:rsidR="00000000" w:rsidRDefault="00000000"/>
    <w:p w:rsidR="00000000" w:rsidRDefault="00000000">
      <w:r>
        <w:t>20.</w:t>
      </w:r>
      <w:r>
        <w:tab/>
        <w:t>Полиция сотрудничает и обменивается информацией с этническими организациями, школами и местными властями в целях углубления понимания причин преступлений на почве ненависти и разработки эффективных мер борьбы с ними.  На международном уровне Служба безопасности сотрудничает с соответствующими полицейскими организациями в Европе в отношении преступлений на почве ненависти, связанных с движением "Власть белых".</w:t>
      </w:r>
    </w:p>
    <w:p w:rsidR="00000000" w:rsidRDefault="00000000"/>
    <w:p w:rsidR="00000000" w:rsidRDefault="00000000">
      <w:r>
        <w:t>21.</w:t>
      </w:r>
      <w:r>
        <w:tab/>
        <w:t>Национальное полицейское управление издает руководства, направленные на поощрение органов полиции к тому, чтобы они принимали меры по защите жертв на самом раннем этапе следственно-розыскных мероприятий, что позволяет увеличивать степень раскрываемости преступлений полицией.  Эти руководства являются одним из главных компонентов усилий полиции по борьбе с преступлениями на почве ненависти.</w:t>
      </w:r>
    </w:p>
    <w:p w:rsidR="00000000" w:rsidRDefault="00000000"/>
    <w:p w:rsidR="00000000" w:rsidRDefault="00000000">
      <w:r>
        <w:t>22.</w:t>
      </w:r>
      <w:r>
        <w:tab/>
        <w:t>Местные прокуратуры и прокуроры по особым делам для координации действий, направленных на борьбу с преступлениями на почве ненависти, осуществляют эффективное и постоянное сотрудничество с полицией как по тенденциям правонарушений, так и по методам расследования.  Национальное полицейское управление, Служба безопасности и шведская прокуратура провели совместную конференцию для полицейских-координаторов и прокуроров по особым делам, занимающихся расследованием преступлений на почве ненависти.</w:t>
      </w:r>
    </w:p>
    <w:p w:rsidR="00000000" w:rsidRDefault="00000000"/>
    <w:p w:rsidR="00000000" w:rsidRDefault="00000000">
      <w:r>
        <w:t>23.</w:t>
      </w:r>
      <w:r>
        <w:tab/>
        <w:t>В январе 2005 года прокуратура создала Центр развития возможностей уголовной юстиции по особым делам, в ведение которого входят вопросы, касающиеся развития законодательства и правового надзора по делам, связанных с преступлениями на почве ненависти, и проблематике, относящейся к Европейской конвенции по правам человека.</w:t>
      </w:r>
    </w:p>
    <w:p w:rsidR="00000000" w:rsidRDefault="00000000"/>
    <w:p w:rsidR="00000000" w:rsidRDefault="00000000">
      <w:r>
        <w:t>24.</w:t>
      </w:r>
      <w:r>
        <w:tab/>
        <w:t xml:space="preserve">Этот центр развития возможностей уголовной юстиции в 2005 году осуществил комплексный проект, направленный на выявление и устранение проблем, связанных с инициативами в области борьбы с преступлениями на почве ненависти, которые проводятся по линии полицейских органов и прокуратуры.  В рамках этого проекта был проведен обзор значительного количества случаев, связанных с противозаконной дискриминацией и агитацией против национальных или этнических групп.  На заключительном этапе проекта был подготовлен меморандум, который включает руководящие принципы в интересах оказания прокурорам непосредственной поддержки.  Меморандум был направлен всем прокурорам в стране.  Весной 2006 года Центр развития провел специальную надзорную программу, включавшую пересмотр дел и посещение местных прокуроров.  Эти специальные меры позволили дополнительно активизировать усилия по борьбе с преступлениями на почве ненависти.  </w:t>
      </w:r>
    </w:p>
    <w:p w:rsidR="00000000" w:rsidRDefault="00000000"/>
    <w:p w:rsidR="00000000" w:rsidRDefault="00000000">
      <w:r>
        <w:t>25.</w:t>
      </w:r>
      <w:r>
        <w:tab/>
        <w:t xml:space="preserve">В 2006 году функции Службы безопасности по ведению статистического учета преступности на почве ненависти были переданы Национальному совету по предупреждению преступности.  Статистические данные о преступлениях на почве ненависти, опубликованные в 2005 году, были подготовлены Службой безопасности и относятся к преступлениям, которые в соответствии с полицейскими протоколами можно отнести к категории преступлений, совершенных на почве расизма, ксенофобии или антисемитизма.  В настоящее время отследить все зарегистрированные преступления на почве ненависти во всех звеньях правовой системы невозможно.  Вместе с тем сегодня осуществляется проект интенсивного развития, направленный на совершенствование информационного обеспечения в рамках правовой системы, в том числе в части статистических данных о преступности.  Один из изучаемых вопросов касается методов повышения эффективности отслеживания зарегистрированных преступлений во всех звеньях правовой системы.  </w:t>
      </w:r>
    </w:p>
    <w:p w:rsidR="00000000" w:rsidRDefault="00000000"/>
    <w:p w:rsidR="00000000" w:rsidRDefault="00000000">
      <w:r>
        <w:t>26.</w:t>
      </w:r>
      <w:r>
        <w:tab/>
        <w:t>Итоговый доклад Национального совета по предупреждению преступлений 2005 года свидетельствует о том, что количество зарегистрированных преступлений на почве ксенофобии за период с 2005 года остается относительно постоянным.  В 2005 году было зарегистрировано 2 272 преступления, половина из которых были связаны с нападением, незаконной угрозой или преследованием.  Около четверти зарегистрированных преступлений касаются агитации против той или иной национальной или этнической группы или незаконной дискриминации.</w:t>
      </w:r>
    </w:p>
    <w:p w:rsidR="00000000" w:rsidRDefault="00000000"/>
    <w:p w:rsidR="00000000" w:rsidRDefault="00000000">
      <w:r>
        <w:t>27.</w:t>
      </w:r>
      <w:r>
        <w:tab/>
        <w:t>В приведенной ниже таблице показано количество зарегистрированных и раскрытых преступлений, связанных с агитацией против той или иной национальной или этнической группы и незаконной дискриминацией, за период 2003-2005 годов.</w:t>
      </w:r>
    </w:p>
    <w:p w:rsidR="00000000" w:rsidRDefault="00000000"/>
    <w:tbl>
      <w:tblPr>
        <w:tblW w:w="0" w:type="auto"/>
        <w:jc w:val="center"/>
        <w:tblBorders>
          <w:top w:val="single" w:sz="12" w:space="0" w:color="008000"/>
          <w:bottom w:val="single" w:sz="12" w:space="0" w:color="008000"/>
        </w:tblBorders>
        <w:tblLayout w:type="fixed"/>
        <w:tblLook w:val="0120" w:firstRow="1" w:lastRow="0" w:firstColumn="0" w:lastColumn="1" w:noHBand="0" w:noVBand="0"/>
      </w:tblPr>
      <w:tblGrid>
        <w:gridCol w:w="3568"/>
        <w:gridCol w:w="14"/>
        <w:gridCol w:w="2009"/>
        <w:gridCol w:w="7"/>
        <w:gridCol w:w="1990"/>
        <w:gridCol w:w="1915"/>
        <w:gridCol w:w="14"/>
      </w:tblGrid>
      <w:tr w:rsidR="00000000">
        <w:trPr>
          <w:gridAfter w:val="1"/>
          <w:wAfter w:w="14" w:type="dxa"/>
          <w:jc w:val="center"/>
        </w:trPr>
        <w:tc>
          <w:tcPr>
            <w:tcW w:w="3568"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rPr>
            </w:pPr>
            <w:r>
              <w:rPr>
                <w:bCs/>
                <w:sz w:val="22"/>
              </w:rPr>
              <w:t>Агитация против национальной или этнической группы</w:t>
            </w:r>
          </w:p>
        </w:tc>
        <w:tc>
          <w:tcPr>
            <w:tcW w:w="2023" w:type="dxa"/>
            <w:gridSpan w:val="2"/>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rPr>
            </w:pPr>
            <w:r>
              <w:rPr>
                <w:bCs/>
                <w:sz w:val="22"/>
              </w:rPr>
              <w:t>2003</w:t>
            </w:r>
          </w:p>
        </w:tc>
        <w:tc>
          <w:tcPr>
            <w:tcW w:w="1997" w:type="dxa"/>
            <w:gridSpan w:val="2"/>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rPr>
            </w:pPr>
            <w:r>
              <w:rPr>
                <w:bCs/>
                <w:sz w:val="22"/>
              </w:rPr>
              <w:t>2004</w:t>
            </w:r>
          </w:p>
        </w:tc>
        <w:tc>
          <w:tcPr>
            <w:tcW w:w="1915"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rPr>
            </w:pPr>
            <w:r>
              <w:rPr>
                <w:bCs/>
                <w:sz w:val="22"/>
              </w:rPr>
              <w:t>2005</w:t>
            </w:r>
          </w:p>
        </w:tc>
      </w:tr>
      <w:tr w:rsidR="00000000">
        <w:trPr>
          <w:gridAfter w:val="1"/>
          <w:wAfter w:w="14" w:type="dxa"/>
          <w:jc w:val="center"/>
        </w:trPr>
        <w:tc>
          <w:tcPr>
            <w:tcW w:w="3568" w:type="dxa"/>
            <w:tcBorders>
              <w:left w:val="single" w:sz="4" w:space="0" w:color="auto"/>
              <w:right w:val="single" w:sz="4" w:space="0" w:color="auto"/>
            </w:tcBorders>
          </w:tcPr>
          <w:p w:rsidR="00000000" w:rsidRDefault="00000000">
            <w:pPr>
              <w:spacing w:line="264" w:lineRule="auto"/>
              <w:rPr>
                <w:sz w:val="22"/>
                <w:szCs w:val="24"/>
              </w:rPr>
            </w:pPr>
            <w:r>
              <w:rPr>
                <w:sz w:val="22"/>
              </w:rPr>
              <w:t>Зарегистрированные преступления</w:t>
            </w:r>
          </w:p>
        </w:tc>
        <w:tc>
          <w:tcPr>
            <w:tcW w:w="2023" w:type="dxa"/>
            <w:gridSpan w:val="2"/>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746</w:t>
            </w:r>
          </w:p>
        </w:tc>
        <w:tc>
          <w:tcPr>
            <w:tcW w:w="1997" w:type="dxa"/>
            <w:gridSpan w:val="2"/>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715</w:t>
            </w:r>
          </w:p>
        </w:tc>
        <w:tc>
          <w:tcPr>
            <w:tcW w:w="191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708</w:t>
            </w:r>
          </w:p>
        </w:tc>
      </w:tr>
      <w:tr w:rsidR="00000000">
        <w:trPr>
          <w:gridAfter w:val="1"/>
          <w:wAfter w:w="14" w:type="dxa"/>
          <w:jc w:val="center"/>
        </w:trPr>
        <w:tc>
          <w:tcPr>
            <w:tcW w:w="3568" w:type="dxa"/>
            <w:tcBorders>
              <w:left w:val="single" w:sz="4" w:space="0" w:color="auto"/>
              <w:right w:val="single" w:sz="4" w:space="0" w:color="auto"/>
            </w:tcBorders>
          </w:tcPr>
          <w:p w:rsidR="00000000" w:rsidRDefault="00000000">
            <w:pPr>
              <w:spacing w:line="264" w:lineRule="auto"/>
              <w:rPr>
                <w:sz w:val="22"/>
                <w:szCs w:val="24"/>
                <w:lang w:val="en-GB"/>
              </w:rPr>
            </w:pPr>
            <w:r>
              <w:rPr>
                <w:sz w:val="22"/>
              </w:rPr>
              <w:t>Раскрытые преступления</w:t>
            </w:r>
            <w:r>
              <w:rPr>
                <w:rStyle w:val="FootnoteReference"/>
                <w:sz w:val="22"/>
                <w:lang w:val="en-GB"/>
              </w:rPr>
              <w:footnoteReference w:id="10"/>
            </w:r>
          </w:p>
        </w:tc>
        <w:tc>
          <w:tcPr>
            <w:tcW w:w="2023" w:type="dxa"/>
            <w:gridSpan w:val="2"/>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347</w:t>
            </w:r>
          </w:p>
        </w:tc>
        <w:tc>
          <w:tcPr>
            <w:tcW w:w="1997" w:type="dxa"/>
            <w:gridSpan w:val="2"/>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368</w:t>
            </w:r>
          </w:p>
        </w:tc>
        <w:tc>
          <w:tcPr>
            <w:tcW w:w="191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345</w:t>
            </w:r>
          </w:p>
        </w:tc>
      </w:tr>
      <w:tr w:rsidR="00000000">
        <w:trPr>
          <w:jc w:val="center"/>
        </w:trPr>
        <w:tc>
          <w:tcPr>
            <w:tcW w:w="3582" w:type="dxa"/>
            <w:gridSpan w:val="2"/>
            <w:tcBorders>
              <w:left w:val="single" w:sz="4" w:space="0" w:color="auto"/>
              <w:bottom w:val="single" w:sz="4" w:space="0" w:color="auto"/>
              <w:right w:val="single" w:sz="4" w:space="0" w:color="auto"/>
            </w:tcBorders>
          </w:tcPr>
          <w:p w:rsidR="00000000" w:rsidRDefault="00000000">
            <w:pPr>
              <w:spacing w:line="264" w:lineRule="auto"/>
              <w:ind w:left="294" w:hanging="294"/>
              <w:rPr>
                <w:sz w:val="22"/>
                <w:szCs w:val="24"/>
              </w:rPr>
            </w:pPr>
            <w:r>
              <w:rPr>
                <w:sz w:val="22"/>
              </w:rPr>
              <w:t>Процентная доля</w:t>
            </w:r>
            <w:r>
              <w:rPr>
                <w:sz w:val="22"/>
              </w:rPr>
              <w:br/>
              <w:t xml:space="preserve">зарегистрированных преступлений, по которым были возбуждены судебные дела (с установлением виновных) </w:t>
            </w:r>
          </w:p>
        </w:tc>
        <w:tc>
          <w:tcPr>
            <w:tcW w:w="2016" w:type="dxa"/>
            <w:gridSpan w:val="2"/>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11%</w:t>
            </w:r>
            <w:proofErr w:type="spellEnd"/>
          </w:p>
          <w:p w:rsidR="00000000" w:rsidRDefault="00000000">
            <w:pPr>
              <w:spacing w:line="264" w:lineRule="auto"/>
              <w:jc w:val="center"/>
              <w:rPr>
                <w:sz w:val="22"/>
                <w:szCs w:val="24"/>
              </w:rPr>
            </w:pPr>
            <w:r>
              <w:rPr>
                <w:sz w:val="22"/>
              </w:rPr>
              <w:t>(79 преступлений)</w:t>
            </w:r>
          </w:p>
        </w:tc>
        <w:tc>
          <w:tcPr>
            <w:tcW w:w="1990" w:type="dxa"/>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10%</w:t>
            </w:r>
            <w:proofErr w:type="spellEnd"/>
          </w:p>
          <w:p w:rsidR="00000000" w:rsidRDefault="00000000">
            <w:pPr>
              <w:spacing w:line="264" w:lineRule="auto"/>
              <w:jc w:val="center"/>
              <w:rPr>
                <w:sz w:val="22"/>
              </w:rPr>
            </w:pPr>
            <w:r>
              <w:rPr>
                <w:sz w:val="22"/>
              </w:rPr>
              <w:t>(75 преступлений)</w:t>
            </w:r>
          </w:p>
        </w:tc>
        <w:tc>
          <w:tcPr>
            <w:tcW w:w="1929" w:type="dxa"/>
            <w:gridSpan w:val="2"/>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7%</w:t>
            </w:r>
            <w:proofErr w:type="spellEnd"/>
          </w:p>
          <w:p w:rsidR="00000000" w:rsidRDefault="00000000">
            <w:pPr>
              <w:spacing w:line="264" w:lineRule="auto"/>
              <w:jc w:val="center"/>
              <w:rPr>
                <w:sz w:val="22"/>
                <w:szCs w:val="24"/>
              </w:rPr>
            </w:pPr>
            <w:r>
              <w:rPr>
                <w:sz w:val="22"/>
              </w:rPr>
              <w:t>(51 преступление)</w:t>
            </w:r>
          </w:p>
        </w:tc>
      </w:tr>
    </w:tbl>
    <w:p w:rsidR="00000000" w:rsidRDefault="00000000"/>
    <w:p w:rsidR="00000000" w:rsidRDefault="00000000">
      <w:r>
        <w:br w:type="page"/>
      </w:r>
    </w:p>
    <w:tbl>
      <w:tblPr>
        <w:tblW w:w="0" w:type="auto"/>
        <w:tblBorders>
          <w:top w:val="single" w:sz="12" w:space="0" w:color="008000"/>
          <w:bottom w:val="single" w:sz="12" w:space="0" w:color="008000"/>
        </w:tblBorders>
        <w:tblLayout w:type="fixed"/>
        <w:tblLook w:val="01A0" w:firstRow="1" w:lastRow="0" w:firstColumn="1" w:lastColumn="1" w:noHBand="0" w:noVBand="0"/>
      </w:tblPr>
      <w:tblGrid>
        <w:gridCol w:w="3594"/>
        <w:gridCol w:w="1954"/>
        <w:gridCol w:w="1955"/>
        <w:gridCol w:w="1955"/>
      </w:tblGrid>
      <w:tr w:rsidR="00000000">
        <w:tc>
          <w:tcPr>
            <w:tcW w:w="3594" w:type="dxa"/>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bCs/>
                <w:sz w:val="22"/>
              </w:rPr>
            </w:pPr>
            <w:r>
              <w:rPr>
                <w:bCs/>
                <w:sz w:val="22"/>
              </w:rPr>
              <w:t>Незаконная дискриминация</w:t>
            </w:r>
          </w:p>
        </w:tc>
        <w:tc>
          <w:tcPr>
            <w:tcW w:w="1954" w:type="dxa"/>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bCs/>
                <w:sz w:val="22"/>
                <w:szCs w:val="24"/>
              </w:rPr>
            </w:pPr>
            <w:r>
              <w:rPr>
                <w:bCs/>
                <w:sz w:val="22"/>
              </w:rPr>
              <w:t>2003</w:t>
            </w:r>
          </w:p>
        </w:tc>
        <w:tc>
          <w:tcPr>
            <w:tcW w:w="1955" w:type="dxa"/>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bCs/>
                <w:sz w:val="22"/>
                <w:szCs w:val="24"/>
              </w:rPr>
            </w:pPr>
            <w:r>
              <w:rPr>
                <w:bCs/>
                <w:sz w:val="22"/>
              </w:rPr>
              <w:t>2004</w:t>
            </w:r>
          </w:p>
        </w:tc>
        <w:tc>
          <w:tcPr>
            <w:tcW w:w="1955" w:type="dxa"/>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bCs/>
                <w:sz w:val="22"/>
                <w:szCs w:val="24"/>
              </w:rPr>
            </w:pPr>
            <w:r>
              <w:rPr>
                <w:bCs/>
                <w:sz w:val="22"/>
              </w:rPr>
              <w:t>2005</w:t>
            </w:r>
          </w:p>
        </w:tc>
      </w:tr>
      <w:tr w:rsidR="00000000">
        <w:tc>
          <w:tcPr>
            <w:tcW w:w="3594" w:type="dxa"/>
            <w:tcBorders>
              <w:left w:val="single" w:sz="4" w:space="0" w:color="auto"/>
              <w:right w:val="single" w:sz="4" w:space="0" w:color="auto"/>
            </w:tcBorders>
          </w:tcPr>
          <w:p w:rsidR="00000000" w:rsidRDefault="00000000">
            <w:pPr>
              <w:spacing w:line="264" w:lineRule="auto"/>
              <w:rPr>
                <w:sz w:val="22"/>
                <w:szCs w:val="24"/>
              </w:rPr>
            </w:pPr>
            <w:r>
              <w:rPr>
                <w:sz w:val="22"/>
              </w:rPr>
              <w:t>Зарегистрированные</w:t>
            </w:r>
            <w:r>
              <w:rPr>
                <w:sz w:val="22"/>
              </w:rPr>
              <w:br/>
              <w:t xml:space="preserve">      преступления</w:t>
            </w:r>
          </w:p>
        </w:tc>
        <w:tc>
          <w:tcPr>
            <w:tcW w:w="1954"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198</w:t>
            </w:r>
          </w:p>
        </w:tc>
        <w:tc>
          <w:tcPr>
            <w:tcW w:w="195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330</w:t>
            </w:r>
          </w:p>
        </w:tc>
        <w:tc>
          <w:tcPr>
            <w:tcW w:w="195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422</w:t>
            </w:r>
          </w:p>
        </w:tc>
      </w:tr>
      <w:tr w:rsidR="00000000">
        <w:tc>
          <w:tcPr>
            <w:tcW w:w="3594" w:type="dxa"/>
            <w:tcBorders>
              <w:left w:val="single" w:sz="4" w:space="0" w:color="auto"/>
              <w:right w:val="single" w:sz="4" w:space="0" w:color="auto"/>
            </w:tcBorders>
          </w:tcPr>
          <w:p w:rsidR="00000000" w:rsidRDefault="00000000">
            <w:pPr>
              <w:spacing w:line="264" w:lineRule="auto"/>
              <w:rPr>
                <w:sz w:val="22"/>
                <w:szCs w:val="24"/>
                <w:lang w:val="en-GB"/>
              </w:rPr>
            </w:pPr>
            <w:r>
              <w:rPr>
                <w:sz w:val="22"/>
              </w:rPr>
              <w:t>Раскрытые преступления</w:t>
            </w:r>
            <w:r>
              <w:rPr>
                <w:rStyle w:val="FootnoteReference"/>
                <w:sz w:val="22"/>
                <w:lang w:val="en-GB"/>
              </w:rPr>
              <w:footnoteReference w:id="11"/>
            </w:r>
          </w:p>
        </w:tc>
        <w:tc>
          <w:tcPr>
            <w:tcW w:w="1954"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187</w:t>
            </w:r>
          </w:p>
        </w:tc>
        <w:tc>
          <w:tcPr>
            <w:tcW w:w="195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219</w:t>
            </w:r>
          </w:p>
        </w:tc>
        <w:tc>
          <w:tcPr>
            <w:tcW w:w="1955" w:type="dxa"/>
            <w:tcBorders>
              <w:left w:val="single" w:sz="4" w:space="0" w:color="auto"/>
              <w:right w:val="single" w:sz="4" w:space="0" w:color="auto"/>
            </w:tcBorders>
          </w:tcPr>
          <w:p w:rsidR="00000000" w:rsidRDefault="00000000">
            <w:pPr>
              <w:spacing w:line="264" w:lineRule="auto"/>
              <w:jc w:val="center"/>
              <w:rPr>
                <w:sz w:val="22"/>
                <w:szCs w:val="24"/>
                <w:lang w:val="en-GB"/>
              </w:rPr>
            </w:pPr>
            <w:r>
              <w:rPr>
                <w:sz w:val="22"/>
                <w:lang w:val="en-GB"/>
              </w:rPr>
              <w:t>335</w:t>
            </w:r>
          </w:p>
        </w:tc>
      </w:tr>
      <w:tr w:rsidR="00000000">
        <w:tc>
          <w:tcPr>
            <w:tcW w:w="3594" w:type="dxa"/>
            <w:tcBorders>
              <w:left w:val="single" w:sz="4" w:space="0" w:color="auto"/>
              <w:bottom w:val="single" w:sz="4" w:space="0" w:color="auto"/>
              <w:right w:val="single" w:sz="4" w:space="0" w:color="auto"/>
            </w:tcBorders>
          </w:tcPr>
          <w:p w:rsidR="00000000" w:rsidRDefault="00000000">
            <w:pPr>
              <w:spacing w:line="264" w:lineRule="auto"/>
              <w:ind w:left="322" w:hanging="322"/>
              <w:rPr>
                <w:sz w:val="22"/>
                <w:szCs w:val="24"/>
              </w:rPr>
            </w:pPr>
            <w:r>
              <w:rPr>
                <w:sz w:val="22"/>
              </w:rPr>
              <w:t>Процентная доля</w:t>
            </w:r>
            <w:r>
              <w:rPr>
                <w:sz w:val="22"/>
              </w:rPr>
              <w:br/>
              <w:t>зарегистрированных преступлений, по которым были возбуждены судебные дела (с установлением виновных)</w:t>
            </w:r>
          </w:p>
        </w:tc>
        <w:tc>
          <w:tcPr>
            <w:tcW w:w="1954" w:type="dxa"/>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1%</w:t>
            </w:r>
            <w:proofErr w:type="spellEnd"/>
            <w:r>
              <w:rPr>
                <w:sz w:val="22"/>
              </w:rPr>
              <w:t xml:space="preserve"> </w:t>
            </w:r>
          </w:p>
          <w:p w:rsidR="00000000" w:rsidRDefault="00000000">
            <w:pPr>
              <w:spacing w:line="264" w:lineRule="auto"/>
              <w:jc w:val="center"/>
              <w:rPr>
                <w:sz w:val="22"/>
                <w:szCs w:val="24"/>
              </w:rPr>
            </w:pPr>
            <w:r>
              <w:rPr>
                <w:sz w:val="22"/>
              </w:rPr>
              <w:t>(1 преступление)</w:t>
            </w:r>
          </w:p>
        </w:tc>
        <w:tc>
          <w:tcPr>
            <w:tcW w:w="1955" w:type="dxa"/>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1%</w:t>
            </w:r>
            <w:proofErr w:type="spellEnd"/>
            <w:r>
              <w:rPr>
                <w:sz w:val="22"/>
              </w:rPr>
              <w:t xml:space="preserve"> </w:t>
            </w:r>
          </w:p>
          <w:p w:rsidR="00000000" w:rsidRDefault="00000000">
            <w:pPr>
              <w:spacing w:line="264" w:lineRule="auto"/>
              <w:jc w:val="center"/>
              <w:rPr>
                <w:sz w:val="22"/>
                <w:szCs w:val="24"/>
              </w:rPr>
            </w:pPr>
            <w:r>
              <w:rPr>
                <w:sz w:val="22"/>
              </w:rPr>
              <w:t>(4 преступления)</w:t>
            </w:r>
          </w:p>
        </w:tc>
        <w:tc>
          <w:tcPr>
            <w:tcW w:w="1955" w:type="dxa"/>
            <w:tcBorders>
              <w:left w:val="single" w:sz="4" w:space="0" w:color="auto"/>
              <w:bottom w:val="single" w:sz="4" w:space="0" w:color="auto"/>
              <w:right w:val="single" w:sz="4" w:space="0" w:color="auto"/>
            </w:tcBorders>
          </w:tcPr>
          <w:p w:rsidR="00000000" w:rsidRDefault="00000000">
            <w:pPr>
              <w:spacing w:line="264" w:lineRule="auto"/>
              <w:jc w:val="center"/>
              <w:rPr>
                <w:sz w:val="22"/>
              </w:rPr>
            </w:pPr>
            <w:proofErr w:type="spellStart"/>
            <w:r>
              <w:rPr>
                <w:sz w:val="22"/>
              </w:rPr>
              <w:t>0%</w:t>
            </w:r>
            <w:proofErr w:type="spellEnd"/>
            <w:r>
              <w:rPr>
                <w:sz w:val="22"/>
              </w:rPr>
              <w:t xml:space="preserve"> </w:t>
            </w:r>
          </w:p>
          <w:p w:rsidR="00000000" w:rsidRDefault="00000000">
            <w:pPr>
              <w:spacing w:line="264" w:lineRule="auto"/>
              <w:jc w:val="center"/>
              <w:rPr>
                <w:sz w:val="22"/>
                <w:szCs w:val="24"/>
              </w:rPr>
            </w:pPr>
            <w:r>
              <w:rPr>
                <w:sz w:val="22"/>
              </w:rPr>
              <w:t>(1 преступление)</w:t>
            </w:r>
          </w:p>
        </w:tc>
      </w:tr>
    </w:tbl>
    <w:p w:rsidR="00000000" w:rsidRDefault="00000000">
      <w:pPr>
        <w:spacing w:line="264" w:lineRule="auto"/>
      </w:pPr>
    </w:p>
    <w:p w:rsidR="00000000" w:rsidRDefault="00000000">
      <w:r>
        <w:t>28.</w:t>
      </w:r>
      <w:r>
        <w:tab/>
        <w:t>В нижеследующей таблице показано количество принятых решений по возбужденным прокурорами судебным делам, связанным с агитацией против национальной или этнической группы и незаконной дискриминацией, за период 2003</w:t>
      </w:r>
      <w:r>
        <w:noBreakHyphen/>
        <w:t>2005 годов:</w:t>
      </w:r>
    </w:p>
    <w:p w:rsidR="00000000" w:rsidRDefault="00000000"/>
    <w:tbl>
      <w:tblPr>
        <w:tblW w:w="0" w:type="auto"/>
        <w:jc w:val="center"/>
        <w:tblInd w:w="178" w:type="dxa"/>
        <w:tblBorders>
          <w:top w:val="single" w:sz="12" w:space="0" w:color="008000"/>
          <w:bottom w:val="single" w:sz="12" w:space="0" w:color="008000"/>
        </w:tblBorders>
        <w:tblLayout w:type="fixed"/>
        <w:tblLook w:val="01A0" w:firstRow="1" w:lastRow="0" w:firstColumn="1" w:lastColumn="1" w:noHBand="0" w:noVBand="0"/>
      </w:tblPr>
      <w:tblGrid>
        <w:gridCol w:w="3416"/>
        <w:gridCol w:w="1187"/>
        <w:gridCol w:w="1188"/>
        <w:gridCol w:w="1188"/>
      </w:tblGrid>
      <w:tr w:rsidR="00000000">
        <w:trPr>
          <w:jc w:val="center"/>
        </w:trPr>
        <w:tc>
          <w:tcPr>
            <w:tcW w:w="3416"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rPr>
            </w:pPr>
            <w:r>
              <w:rPr>
                <w:bCs/>
                <w:sz w:val="22"/>
              </w:rPr>
              <w:t>Агитация против национальной или этнической группы</w:t>
            </w:r>
          </w:p>
        </w:tc>
        <w:tc>
          <w:tcPr>
            <w:tcW w:w="1187"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rPr>
            </w:pPr>
            <w:r>
              <w:rPr>
                <w:bCs/>
                <w:sz w:val="22"/>
              </w:rPr>
              <w:t>2003</w:t>
            </w:r>
          </w:p>
        </w:tc>
        <w:tc>
          <w:tcPr>
            <w:tcW w:w="1188"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lang w:val="en-GB"/>
              </w:rPr>
            </w:pPr>
            <w:r>
              <w:rPr>
                <w:bCs/>
                <w:sz w:val="22"/>
                <w:lang w:val="en-GB"/>
              </w:rPr>
              <w:t>2004</w:t>
            </w:r>
          </w:p>
        </w:tc>
        <w:tc>
          <w:tcPr>
            <w:tcW w:w="1188" w:type="dxa"/>
            <w:tcBorders>
              <w:top w:val="single" w:sz="4" w:space="0" w:color="auto"/>
              <w:left w:val="single" w:sz="4" w:space="0" w:color="auto"/>
              <w:bottom w:val="single" w:sz="6" w:space="0" w:color="008000"/>
              <w:right w:val="single" w:sz="4" w:space="0" w:color="auto"/>
            </w:tcBorders>
            <w:vAlign w:val="center"/>
          </w:tcPr>
          <w:p w:rsidR="00000000" w:rsidRDefault="00000000">
            <w:pPr>
              <w:spacing w:line="240" w:lineRule="auto"/>
              <w:jc w:val="center"/>
              <w:rPr>
                <w:bCs/>
                <w:sz w:val="22"/>
                <w:szCs w:val="24"/>
                <w:lang w:val="en-GB"/>
              </w:rPr>
            </w:pPr>
            <w:r>
              <w:rPr>
                <w:bCs/>
                <w:sz w:val="22"/>
                <w:lang w:val="en-GB"/>
              </w:rPr>
              <w:t>2005</w:t>
            </w:r>
          </w:p>
        </w:tc>
      </w:tr>
      <w:tr w:rsidR="00000000">
        <w:trPr>
          <w:jc w:val="center"/>
        </w:trPr>
        <w:tc>
          <w:tcPr>
            <w:tcW w:w="3416" w:type="dxa"/>
            <w:tcBorders>
              <w:left w:val="single" w:sz="4" w:space="0" w:color="auto"/>
              <w:right w:val="single" w:sz="4" w:space="0" w:color="auto"/>
            </w:tcBorders>
          </w:tcPr>
          <w:p w:rsidR="00000000" w:rsidRDefault="00000000">
            <w:pPr>
              <w:rPr>
                <w:sz w:val="22"/>
                <w:szCs w:val="24"/>
              </w:rPr>
            </w:pPr>
            <w:r>
              <w:rPr>
                <w:sz w:val="22"/>
              </w:rPr>
              <w:t>Обвинительный акт</w:t>
            </w:r>
          </w:p>
          <w:p w:rsidR="00000000" w:rsidRDefault="00000000">
            <w:pPr>
              <w:rPr>
                <w:sz w:val="22"/>
              </w:rPr>
            </w:pPr>
            <w:r>
              <w:rPr>
                <w:sz w:val="22"/>
              </w:rPr>
              <w:t>Постановление о</w:t>
            </w:r>
            <w:r>
              <w:rPr>
                <w:sz w:val="22"/>
              </w:rPr>
              <w:br/>
              <w:t xml:space="preserve">    незначительном наказании</w:t>
            </w:r>
          </w:p>
        </w:tc>
        <w:tc>
          <w:tcPr>
            <w:tcW w:w="1187" w:type="dxa"/>
            <w:tcBorders>
              <w:left w:val="single" w:sz="4" w:space="0" w:color="auto"/>
              <w:right w:val="single" w:sz="4" w:space="0" w:color="auto"/>
            </w:tcBorders>
          </w:tcPr>
          <w:p w:rsidR="00000000" w:rsidRDefault="00000000">
            <w:pPr>
              <w:jc w:val="center"/>
              <w:rPr>
                <w:sz w:val="22"/>
                <w:szCs w:val="24"/>
              </w:rPr>
            </w:pPr>
            <w:r>
              <w:rPr>
                <w:sz w:val="22"/>
              </w:rPr>
              <w:t>69</w:t>
            </w:r>
          </w:p>
          <w:p w:rsidR="00000000" w:rsidRDefault="00000000">
            <w:pPr>
              <w:jc w:val="center"/>
              <w:rPr>
                <w:sz w:val="22"/>
                <w:szCs w:val="24"/>
              </w:rPr>
            </w:pPr>
            <w:r>
              <w:rPr>
                <w:sz w:val="22"/>
              </w:rPr>
              <w:t>9</w:t>
            </w:r>
          </w:p>
        </w:tc>
        <w:tc>
          <w:tcPr>
            <w:tcW w:w="1188" w:type="dxa"/>
            <w:tcBorders>
              <w:left w:val="single" w:sz="4" w:space="0" w:color="auto"/>
              <w:right w:val="single" w:sz="4" w:space="0" w:color="auto"/>
            </w:tcBorders>
          </w:tcPr>
          <w:p w:rsidR="00000000" w:rsidRDefault="00000000">
            <w:pPr>
              <w:jc w:val="center"/>
              <w:rPr>
                <w:sz w:val="22"/>
                <w:szCs w:val="24"/>
                <w:lang w:val="en-GB"/>
              </w:rPr>
            </w:pPr>
            <w:r>
              <w:rPr>
                <w:sz w:val="22"/>
                <w:lang w:val="en-GB"/>
              </w:rPr>
              <w:t>64</w:t>
            </w:r>
          </w:p>
          <w:p w:rsidR="00000000" w:rsidRDefault="00000000">
            <w:pPr>
              <w:jc w:val="center"/>
              <w:rPr>
                <w:sz w:val="22"/>
                <w:szCs w:val="24"/>
                <w:lang w:val="en-GB"/>
              </w:rPr>
            </w:pPr>
            <w:r>
              <w:rPr>
                <w:sz w:val="22"/>
                <w:lang w:val="en-GB"/>
              </w:rPr>
              <w:t>8</w:t>
            </w:r>
          </w:p>
        </w:tc>
        <w:tc>
          <w:tcPr>
            <w:tcW w:w="1188" w:type="dxa"/>
            <w:tcBorders>
              <w:left w:val="single" w:sz="4" w:space="0" w:color="auto"/>
              <w:right w:val="single" w:sz="4" w:space="0" w:color="auto"/>
            </w:tcBorders>
          </w:tcPr>
          <w:p w:rsidR="00000000" w:rsidRDefault="00000000">
            <w:pPr>
              <w:jc w:val="center"/>
              <w:rPr>
                <w:sz w:val="22"/>
                <w:szCs w:val="24"/>
                <w:lang w:val="en-GB"/>
              </w:rPr>
            </w:pPr>
            <w:r>
              <w:rPr>
                <w:sz w:val="22"/>
                <w:lang w:val="en-GB"/>
              </w:rPr>
              <w:t>47</w:t>
            </w:r>
          </w:p>
          <w:p w:rsidR="00000000" w:rsidRDefault="00000000">
            <w:pPr>
              <w:jc w:val="center"/>
              <w:rPr>
                <w:sz w:val="22"/>
                <w:szCs w:val="24"/>
              </w:rPr>
            </w:pPr>
            <w:r>
              <w:rPr>
                <w:sz w:val="22"/>
              </w:rPr>
              <w:t>2</w:t>
            </w:r>
          </w:p>
        </w:tc>
      </w:tr>
      <w:tr w:rsidR="00000000">
        <w:trPr>
          <w:jc w:val="center"/>
        </w:trPr>
        <w:tc>
          <w:tcPr>
            <w:tcW w:w="3416" w:type="dxa"/>
            <w:tcBorders>
              <w:left w:val="single" w:sz="4" w:space="0" w:color="auto"/>
              <w:bottom w:val="single" w:sz="4" w:space="0" w:color="auto"/>
              <w:right w:val="single" w:sz="4" w:space="0" w:color="auto"/>
            </w:tcBorders>
          </w:tcPr>
          <w:p w:rsidR="00000000" w:rsidRDefault="00000000">
            <w:pPr>
              <w:rPr>
                <w:sz w:val="22"/>
              </w:rPr>
            </w:pPr>
            <w:r>
              <w:rPr>
                <w:sz w:val="22"/>
              </w:rPr>
              <w:t>Решения о прекращении</w:t>
            </w:r>
            <w:r>
              <w:rPr>
                <w:sz w:val="22"/>
              </w:rPr>
              <w:br/>
              <w:t xml:space="preserve">    уголовного дела</w:t>
            </w:r>
          </w:p>
        </w:tc>
        <w:tc>
          <w:tcPr>
            <w:tcW w:w="1187" w:type="dxa"/>
            <w:tcBorders>
              <w:left w:val="single" w:sz="4" w:space="0" w:color="auto"/>
              <w:bottom w:val="single" w:sz="4" w:space="0" w:color="auto"/>
              <w:right w:val="single" w:sz="4" w:space="0" w:color="auto"/>
            </w:tcBorders>
          </w:tcPr>
          <w:p w:rsidR="00000000" w:rsidRDefault="00000000">
            <w:pPr>
              <w:jc w:val="center"/>
              <w:rPr>
                <w:sz w:val="22"/>
                <w:szCs w:val="24"/>
              </w:rPr>
            </w:pPr>
            <w:r>
              <w:rPr>
                <w:sz w:val="22"/>
              </w:rPr>
              <w:t>1</w:t>
            </w:r>
          </w:p>
        </w:tc>
        <w:tc>
          <w:tcPr>
            <w:tcW w:w="1188" w:type="dxa"/>
            <w:tcBorders>
              <w:left w:val="single" w:sz="4" w:space="0" w:color="auto"/>
              <w:bottom w:val="single" w:sz="4" w:space="0" w:color="auto"/>
              <w:right w:val="single" w:sz="4" w:space="0" w:color="auto"/>
            </w:tcBorders>
          </w:tcPr>
          <w:p w:rsidR="00000000" w:rsidRDefault="00000000">
            <w:pPr>
              <w:jc w:val="center"/>
              <w:rPr>
                <w:sz w:val="22"/>
                <w:szCs w:val="24"/>
              </w:rPr>
            </w:pPr>
            <w:r>
              <w:rPr>
                <w:sz w:val="22"/>
              </w:rPr>
              <w:t>3</w:t>
            </w:r>
          </w:p>
        </w:tc>
        <w:tc>
          <w:tcPr>
            <w:tcW w:w="1188" w:type="dxa"/>
            <w:tcBorders>
              <w:left w:val="single" w:sz="4" w:space="0" w:color="auto"/>
              <w:bottom w:val="single" w:sz="4" w:space="0" w:color="auto"/>
              <w:right w:val="single" w:sz="4" w:space="0" w:color="auto"/>
            </w:tcBorders>
          </w:tcPr>
          <w:p w:rsidR="00000000" w:rsidRDefault="00000000">
            <w:pPr>
              <w:jc w:val="center"/>
              <w:rPr>
                <w:sz w:val="22"/>
                <w:szCs w:val="24"/>
              </w:rPr>
            </w:pPr>
            <w:r>
              <w:rPr>
                <w:sz w:val="22"/>
              </w:rPr>
              <w:t>2</w:t>
            </w:r>
          </w:p>
        </w:tc>
      </w:tr>
    </w:tbl>
    <w:p w:rsidR="00000000" w:rsidRDefault="00000000">
      <w:pPr>
        <w:rPr>
          <w:sz w:val="16"/>
        </w:rPr>
      </w:pPr>
    </w:p>
    <w:tbl>
      <w:tblPr>
        <w:tblW w:w="0" w:type="auto"/>
        <w:tblInd w:w="1312" w:type="dxa"/>
        <w:tblBorders>
          <w:top w:val="single" w:sz="4" w:space="0" w:color="auto"/>
          <w:left w:val="single" w:sz="4" w:space="0" w:color="auto"/>
          <w:bottom w:val="single" w:sz="4" w:space="0" w:color="auto"/>
          <w:right w:val="single" w:sz="4" w:space="0" w:color="auto"/>
          <w:insideH w:val="single" w:sz="6" w:space="0" w:color="008000"/>
          <w:insideV w:val="single" w:sz="4" w:space="0" w:color="auto"/>
        </w:tblBorders>
        <w:tblLayout w:type="fixed"/>
        <w:tblLook w:val="01E0" w:firstRow="1" w:lastRow="1" w:firstColumn="1" w:lastColumn="1" w:noHBand="0" w:noVBand="0"/>
      </w:tblPr>
      <w:tblGrid>
        <w:gridCol w:w="3388"/>
        <w:gridCol w:w="1189"/>
        <w:gridCol w:w="1204"/>
        <w:gridCol w:w="1176"/>
      </w:tblGrid>
      <w:tr w:rsidR="00000000">
        <w:tc>
          <w:tcPr>
            <w:tcW w:w="3388" w:type="dxa"/>
          </w:tcPr>
          <w:p w:rsidR="00000000" w:rsidRDefault="00000000">
            <w:pPr>
              <w:rPr>
                <w:bCs/>
                <w:sz w:val="22"/>
                <w:szCs w:val="24"/>
              </w:rPr>
            </w:pPr>
            <w:r>
              <w:rPr>
                <w:bCs/>
                <w:sz w:val="22"/>
              </w:rPr>
              <w:t>Незаконная дискриминация</w:t>
            </w:r>
          </w:p>
        </w:tc>
        <w:tc>
          <w:tcPr>
            <w:tcW w:w="1189" w:type="dxa"/>
          </w:tcPr>
          <w:p w:rsidR="00000000" w:rsidRDefault="00000000">
            <w:pPr>
              <w:jc w:val="center"/>
              <w:rPr>
                <w:bCs/>
                <w:sz w:val="22"/>
                <w:szCs w:val="24"/>
              </w:rPr>
            </w:pPr>
            <w:r>
              <w:rPr>
                <w:bCs/>
                <w:sz w:val="22"/>
              </w:rPr>
              <w:t>2003</w:t>
            </w:r>
          </w:p>
        </w:tc>
        <w:tc>
          <w:tcPr>
            <w:tcW w:w="1204" w:type="dxa"/>
          </w:tcPr>
          <w:p w:rsidR="00000000" w:rsidRDefault="00000000">
            <w:pPr>
              <w:jc w:val="center"/>
              <w:rPr>
                <w:bCs/>
                <w:sz w:val="22"/>
                <w:szCs w:val="24"/>
              </w:rPr>
            </w:pPr>
            <w:r>
              <w:rPr>
                <w:bCs/>
                <w:sz w:val="22"/>
              </w:rPr>
              <w:t xml:space="preserve">2004 </w:t>
            </w:r>
          </w:p>
        </w:tc>
        <w:tc>
          <w:tcPr>
            <w:tcW w:w="1176" w:type="dxa"/>
          </w:tcPr>
          <w:p w:rsidR="00000000" w:rsidRDefault="00000000">
            <w:pPr>
              <w:jc w:val="center"/>
              <w:rPr>
                <w:bCs/>
                <w:sz w:val="22"/>
                <w:szCs w:val="24"/>
              </w:rPr>
            </w:pPr>
            <w:r>
              <w:rPr>
                <w:bCs/>
                <w:sz w:val="22"/>
              </w:rPr>
              <w:t>2005</w:t>
            </w:r>
          </w:p>
        </w:tc>
      </w:tr>
      <w:tr w:rsidR="00000000">
        <w:tc>
          <w:tcPr>
            <w:tcW w:w="3388" w:type="dxa"/>
          </w:tcPr>
          <w:p w:rsidR="00000000" w:rsidRDefault="00000000">
            <w:pPr>
              <w:rPr>
                <w:sz w:val="22"/>
                <w:szCs w:val="24"/>
              </w:rPr>
            </w:pPr>
            <w:r>
              <w:rPr>
                <w:sz w:val="22"/>
                <w:szCs w:val="24"/>
              </w:rPr>
              <w:t>Обвинительный акт</w:t>
            </w:r>
          </w:p>
        </w:tc>
        <w:tc>
          <w:tcPr>
            <w:tcW w:w="1189" w:type="dxa"/>
          </w:tcPr>
          <w:p w:rsidR="00000000" w:rsidRDefault="00000000">
            <w:pPr>
              <w:jc w:val="center"/>
              <w:rPr>
                <w:sz w:val="22"/>
                <w:szCs w:val="24"/>
              </w:rPr>
            </w:pPr>
            <w:r>
              <w:rPr>
                <w:sz w:val="22"/>
              </w:rPr>
              <w:t>1</w:t>
            </w:r>
          </w:p>
        </w:tc>
        <w:tc>
          <w:tcPr>
            <w:tcW w:w="1204" w:type="dxa"/>
          </w:tcPr>
          <w:p w:rsidR="00000000" w:rsidRDefault="00000000">
            <w:pPr>
              <w:jc w:val="center"/>
              <w:rPr>
                <w:sz w:val="22"/>
                <w:szCs w:val="24"/>
              </w:rPr>
            </w:pPr>
            <w:r>
              <w:rPr>
                <w:sz w:val="22"/>
              </w:rPr>
              <w:t>4</w:t>
            </w:r>
          </w:p>
        </w:tc>
        <w:tc>
          <w:tcPr>
            <w:tcW w:w="1176" w:type="dxa"/>
          </w:tcPr>
          <w:p w:rsidR="00000000" w:rsidRDefault="00000000">
            <w:pPr>
              <w:jc w:val="center"/>
              <w:rPr>
                <w:sz w:val="22"/>
                <w:szCs w:val="24"/>
              </w:rPr>
            </w:pPr>
            <w:r>
              <w:rPr>
                <w:sz w:val="22"/>
              </w:rPr>
              <w:t>1</w:t>
            </w:r>
          </w:p>
        </w:tc>
      </w:tr>
    </w:tbl>
    <w:p w:rsidR="00000000" w:rsidRDefault="00000000">
      <w:pPr>
        <w:rPr>
          <w:sz w:val="16"/>
        </w:rPr>
      </w:pPr>
    </w:p>
    <w:p w:rsidR="00000000" w:rsidRDefault="00000000">
      <w:r>
        <w:t>29.</w:t>
      </w:r>
      <w:r>
        <w:tab/>
        <w:t>В нижеприведенной таблице приводится информация о судебных наказаниях за агитацию против национальной или этнической группы и незаконную дискриминацию за период 2003-2005 годов:</w:t>
      </w:r>
    </w:p>
    <w:p w:rsidR="00000000" w:rsidRDefault="00000000">
      <w:pPr>
        <w:rPr>
          <w:sz w:val="16"/>
        </w:rPr>
      </w:pPr>
    </w:p>
    <w:tbl>
      <w:tblPr>
        <w:tblW w:w="0" w:type="auto"/>
        <w:jc w:val="center"/>
        <w:tblInd w:w="528" w:type="dxa"/>
        <w:tblBorders>
          <w:top w:val="single" w:sz="4" w:space="0" w:color="auto"/>
          <w:left w:val="single" w:sz="4" w:space="0" w:color="auto"/>
          <w:bottom w:val="single" w:sz="4" w:space="0" w:color="auto"/>
          <w:right w:val="single" w:sz="4" w:space="0" w:color="auto"/>
          <w:insideH w:val="single" w:sz="6" w:space="0" w:color="008000"/>
          <w:insideV w:val="single" w:sz="4" w:space="0" w:color="auto"/>
        </w:tblBorders>
        <w:tblLayout w:type="fixed"/>
        <w:tblLook w:val="01E0" w:firstRow="1" w:lastRow="1" w:firstColumn="1" w:lastColumn="1" w:noHBand="0" w:noVBand="0"/>
      </w:tblPr>
      <w:tblGrid>
        <w:gridCol w:w="3640"/>
        <w:gridCol w:w="1292"/>
        <w:gridCol w:w="1293"/>
        <w:gridCol w:w="1293"/>
      </w:tblGrid>
      <w:tr w:rsidR="00000000">
        <w:trPr>
          <w:jc w:val="center"/>
        </w:trPr>
        <w:tc>
          <w:tcPr>
            <w:tcW w:w="3640" w:type="dxa"/>
            <w:vAlign w:val="center"/>
          </w:tcPr>
          <w:p w:rsidR="00000000" w:rsidRDefault="00000000">
            <w:pPr>
              <w:spacing w:line="240" w:lineRule="auto"/>
              <w:jc w:val="center"/>
              <w:rPr>
                <w:bCs/>
                <w:sz w:val="22"/>
              </w:rPr>
            </w:pPr>
            <w:r>
              <w:rPr>
                <w:bCs/>
                <w:sz w:val="22"/>
              </w:rPr>
              <w:t>Агитация против национальной или этнической группы</w:t>
            </w:r>
          </w:p>
        </w:tc>
        <w:tc>
          <w:tcPr>
            <w:tcW w:w="1292" w:type="dxa"/>
            <w:vAlign w:val="center"/>
          </w:tcPr>
          <w:p w:rsidR="00000000" w:rsidRDefault="00000000">
            <w:pPr>
              <w:spacing w:line="240" w:lineRule="auto"/>
              <w:jc w:val="center"/>
              <w:rPr>
                <w:bCs/>
                <w:sz w:val="22"/>
                <w:szCs w:val="24"/>
                <w:lang w:val="en-GB"/>
              </w:rPr>
            </w:pPr>
            <w:r>
              <w:rPr>
                <w:bCs/>
                <w:sz w:val="22"/>
                <w:lang w:val="en-GB"/>
              </w:rPr>
              <w:t>2003</w:t>
            </w:r>
          </w:p>
        </w:tc>
        <w:tc>
          <w:tcPr>
            <w:tcW w:w="1293" w:type="dxa"/>
            <w:vAlign w:val="center"/>
          </w:tcPr>
          <w:p w:rsidR="00000000" w:rsidRDefault="00000000">
            <w:pPr>
              <w:spacing w:line="240" w:lineRule="auto"/>
              <w:jc w:val="center"/>
              <w:rPr>
                <w:bCs/>
                <w:sz w:val="22"/>
                <w:szCs w:val="24"/>
                <w:lang w:val="en-GB"/>
              </w:rPr>
            </w:pPr>
            <w:r>
              <w:rPr>
                <w:bCs/>
                <w:sz w:val="22"/>
                <w:lang w:val="en-GB"/>
              </w:rPr>
              <w:t>2004</w:t>
            </w:r>
          </w:p>
        </w:tc>
        <w:tc>
          <w:tcPr>
            <w:tcW w:w="1293" w:type="dxa"/>
            <w:vAlign w:val="center"/>
          </w:tcPr>
          <w:p w:rsidR="00000000" w:rsidRDefault="00000000">
            <w:pPr>
              <w:spacing w:line="240" w:lineRule="auto"/>
              <w:jc w:val="center"/>
              <w:rPr>
                <w:bCs/>
                <w:sz w:val="22"/>
                <w:szCs w:val="24"/>
                <w:lang w:val="en-GB"/>
              </w:rPr>
            </w:pPr>
            <w:r>
              <w:rPr>
                <w:bCs/>
                <w:sz w:val="22"/>
                <w:lang w:val="en-GB"/>
              </w:rPr>
              <w:t>2005</w:t>
            </w:r>
          </w:p>
        </w:tc>
      </w:tr>
      <w:tr w:rsidR="00000000">
        <w:trPr>
          <w:jc w:val="center"/>
        </w:trPr>
        <w:tc>
          <w:tcPr>
            <w:tcW w:w="3640" w:type="dxa"/>
          </w:tcPr>
          <w:p w:rsidR="00000000" w:rsidRDefault="00000000">
            <w:pPr>
              <w:spacing w:line="240" w:lineRule="auto"/>
              <w:rPr>
                <w:sz w:val="22"/>
                <w:szCs w:val="24"/>
              </w:rPr>
            </w:pPr>
            <w:r>
              <w:rPr>
                <w:sz w:val="22"/>
              </w:rPr>
              <w:t>Лишение свободы</w:t>
            </w:r>
          </w:p>
          <w:p w:rsidR="00000000" w:rsidRDefault="00000000">
            <w:pPr>
              <w:spacing w:line="240" w:lineRule="auto"/>
              <w:rPr>
                <w:sz w:val="22"/>
              </w:rPr>
            </w:pPr>
            <w:r>
              <w:rPr>
                <w:sz w:val="22"/>
              </w:rPr>
              <w:t>Передача на попечение</w:t>
            </w:r>
            <w:r>
              <w:rPr>
                <w:sz w:val="22"/>
              </w:rPr>
              <w:br/>
              <w:t xml:space="preserve">     социальных служб </w:t>
            </w:r>
          </w:p>
          <w:p w:rsidR="00000000" w:rsidRDefault="00000000">
            <w:pPr>
              <w:spacing w:line="240" w:lineRule="auto"/>
              <w:rPr>
                <w:sz w:val="22"/>
              </w:rPr>
            </w:pPr>
            <w:r>
              <w:rPr>
                <w:sz w:val="22"/>
              </w:rPr>
              <w:t>Испытательный срок</w:t>
            </w:r>
          </w:p>
          <w:p w:rsidR="00000000" w:rsidRDefault="00000000">
            <w:pPr>
              <w:spacing w:line="240" w:lineRule="auto"/>
              <w:rPr>
                <w:sz w:val="22"/>
              </w:rPr>
            </w:pPr>
            <w:r>
              <w:rPr>
                <w:sz w:val="22"/>
              </w:rPr>
              <w:t>Отсрочка исполнения приговора</w:t>
            </w:r>
          </w:p>
          <w:p w:rsidR="00000000" w:rsidRDefault="00000000">
            <w:pPr>
              <w:spacing w:line="240" w:lineRule="auto"/>
              <w:rPr>
                <w:sz w:val="22"/>
              </w:rPr>
            </w:pPr>
            <w:r>
              <w:rPr>
                <w:sz w:val="22"/>
              </w:rPr>
              <w:t>Штраф</w:t>
            </w:r>
          </w:p>
          <w:p w:rsidR="00000000" w:rsidRDefault="00000000">
            <w:pPr>
              <w:spacing w:line="240" w:lineRule="auto"/>
              <w:ind w:left="294" w:hanging="294"/>
              <w:rPr>
                <w:sz w:val="22"/>
                <w:szCs w:val="24"/>
              </w:rPr>
            </w:pPr>
            <w:r>
              <w:rPr>
                <w:sz w:val="22"/>
              </w:rPr>
              <w:t>Постановление о применении</w:t>
            </w:r>
            <w:r>
              <w:rPr>
                <w:sz w:val="22"/>
              </w:rPr>
              <w:br/>
              <w:t>ранее наложенного наказания в отношении нового или новых преступлений</w:t>
            </w:r>
          </w:p>
        </w:tc>
        <w:tc>
          <w:tcPr>
            <w:tcW w:w="1292" w:type="dxa"/>
          </w:tcPr>
          <w:p w:rsidR="00000000" w:rsidRDefault="00000000">
            <w:pPr>
              <w:spacing w:line="240" w:lineRule="auto"/>
              <w:jc w:val="center"/>
              <w:rPr>
                <w:sz w:val="22"/>
                <w:szCs w:val="24"/>
                <w:lang w:val="en-GB"/>
              </w:rPr>
            </w:pPr>
            <w:r>
              <w:rPr>
                <w:sz w:val="22"/>
                <w:lang w:val="en-GB"/>
              </w:rPr>
              <w:t>2</w:t>
            </w:r>
          </w:p>
          <w:p w:rsidR="00000000" w:rsidRDefault="00000000">
            <w:pPr>
              <w:spacing w:line="240" w:lineRule="auto"/>
              <w:jc w:val="center"/>
              <w:rPr>
                <w:sz w:val="22"/>
              </w:rPr>
            </w:pPr>
            <w:r>
              <w:rPr>
                <w:sz w:val="22"/>
                <w:lang w:val="en-GB"/>
              </w:rPr>
              <w:t>2</w:t>
            </w:r>
          </w:p>
          <w:p w:rsidR="00000000" w:rsidRDefault="00000000">
            <w:pPr>
              <w:spacing w:line="240" w:lineRule="auto"/>
              <w:jc w:val="center"/>
              <w:rPr>
                <w:sz w:val="22"/>
              </w:rPr>
            </w:pPr>
          </w:p>
          <w:p w:rsidR="00000000" w:rsidRDefault="00000000">
            <w:pPr>
              <w:spacing w:line="240" w:lineRule="auto"/>
              <w:jc w:val="center"/>
              <w:rPr>
                <w:sz w:val="22"/>
                <w:lang w:val="en-GB"/>
              </w:rPr>
            </w:pPr>
            <w:r>
              <w:rPr>
                <w:sz w:val="22"/>
                <w:lang w:val="en-GB"/>
              </w:rPr>
              <w:t>3</w:t>
            </w:r>
          </w:p>
          <w:p w:rsidR="00000000" w:rsidRDefault="00000000">
            <w:pPr>
              <w:spacing w:line="240" w:lineRule="auto"/>
              <w:jc w:val="center"/>
              <w:rPr>
                <w:sz w:val="22"/>
              </w:rPr>
            </w:pPr>
            <w:r>
              <w:rPr>
                <w:sz w:val="22"/>
                <w:lang w:val="en-GB"/>
              </w:rPr>
              <w:t>5</w:t>
            </w:r>
          </w:p>
          <w:p w:rsidR="00000000" w:rsidRDefault="00000000">
            <w:pPr>
              <w:spacing w:line="240" w:lineRule="auto"/>
              <w:jc w:val="center"/>
              <w:rPr>
                <w:sz w:val="22"/>
              </w:rPr>
            </w:pPr>
            <w:r>
              <w:rPr>
                <w:sz w:val="22"/>
              </w:rPr>
              <w:t>25 </w:t>
            </w:r>
          </w:p>
          <w:p w:rsidR="00000000" w:rsidRDefault="00000000">
            <w:pPr>
              <w:spacing w:line="240" w:lineRule="auto"/>
              <w:jc w:val="center"/>
              <w:rPr>
                <w:sz w:val="22"/>
                <w:szCs w:val="24"/>
                <w:lang w:val="en-GB"/>
              </w:rPr>
            </w:pPr>
            <w:r>
              <w:rPr>
                <w:sz w:val="22"/>
                <w:lang w:val="en-GB"/>
              </w:rPr>
              <w:t>0</w:t>
            </w:r>
          </w:p>
        </w:tc>
        <w:tc>
          <w:tcPr>
            <w:tcW w:w="1293" w:type="dxa"/>
          </w:tcPr>
          <w:p w:rsidR="00000000" w:rsidRDefault="00000000">
            <w:pPr>
              <w:spacing w:line="240" w:lineRule="auto"/>
              <w:jc w:val="center"/>
              <w:rPr>
                <w:sz w:val="22"/>
                <w:szCs w:val="24"/>
                <w:lang w:val="en-GB"/>
              </w:rPr>
            </w:pPr>
            <w:r>
              <w:rPr>
                <w:sz w:val="22"/>
                <w:lang w:val="en-GB"/>
              </w:rPr>
              <w:t>7</w:t>
            </w:r>
          </w:p>
          <w:p w:rsidR="00000000" w:rsidRDefault="00000000">
            <w:pPr>
              <w:spacing w:line="240" w:lineRule="auto"/>
              <w:jc w:val="center"/>
              <w:rPr>
                <w:sz w:val="22"/>
                <w:lang w:val="en-GB"/>
              </w:rPr>
            </w:pPr>
            <w:r>
              <w:rPr>
                <w:sz w:val="22"/>
                <w:lang w:val="en-GB"/>
              </w:rPr>
              <w:t>2</w:t>
            </w:r>
          </w:p>
          <w:p w:rsidR="00000000" w:rsidRDefault="00000000">
            <w:pPr>
              <w:spacing w:line="240" w:lineRule="auto"/>
              <w:jc w:val="center"/>
              <w:rPr>
                <w:sz w:val="22"/>
                <w:lang w:val="en-GB"/>
              </w:rPr>
            </w:pPr>
          </w:p>
          <w:p w:rsidR="00000000" w:rsidRDefault="00000000">
            <w:pPr>
              <w:spacing w:line="240" w:lineRule="auto"/>
              <w:jc w:val="center"/>
              <w:rPr>
                <w:sz w:val="22"/>
                <w:lang w:val="en-GB"/>
              </w:rPr>
            </w:pPr>
            <w:r>
              <w:rPr>
                <w:sz w:val="22"/>
                <w:lang w:val="en-GB"/>
              </w:rPr>
              <w:t>6</w:t>
            </w:r>
          </w:p>
          <w:p w:rsidR="00000000" w:rsidRDefault="00000000">
            <w:pPr>
              <w:spacing w:line="240" w:lineRule="auto"/>
              <w:jc w:val="center"/>
              <w:rPr>
                <w:sz w:val="22"/>
              </w:rPr>
            </w:pPr>
            <w:r>
              <w:rPr>
                <w:sz w:val="22"/>
                <w:lang w:val="en-GB"/>
              </w:rPr>
              <w:t>4</w:t>
            </w:r>
          </w:p>
          <w:p w:rsidR="00000000" w:rsidRDefault="00000000">
            <w:pPr>
              <w:spacing w:line="240" w:lineRule="auto"/>
              <w:jc w:val="center"/>
              <w:rPr>
                <w:sz w:val="22"/>
              </w:rPr>
            </w:pPr>
            <w:r>
              <w:rPr>
                <w:sz w:val="22"/>
                <w:lang w:val="en-GB"/>
              </w:rPr>
              <w:t>15</w:t>
            </w:r>
            <w:r>
              <w:rPr>
                <w:sz w:val="22"/>
              </w:rPr>
              <w:t> </w:t>
            </w:r>
          </w:p>
          <w:p w:rsidR="00000000" w:rsidRDefault="00000000">
            <w:pPr>
              <w:spacing w:line="240" w:lineRule="auto"/>
              <w:jc w:val="center"/>
              <w:rPr>
                <w:sz w:val="22"/>
                <w:szCs w:val="24"/>
                <w:lang w:val="en-GB"/>
              </w:rPr>
            </w:pPr>
            <w:r>
              <w:rPr>
                <w:sz w:val="22"/>
                <w:lang w:val="en-GB"/>
              </w:rPr>
              <w:t>0</w:t>
            </w:r>
          </w:p>
        </w:tc>
        <w:tc>
          <w:tcPr>
            <w:tcW w:w="1293" w:type="dxa"/>
          </w:tcPr>
          <w:p w:rsidR="00000000" w:rsidRDefault="00000000">
            <w:pPr>
              <w:spacing w:line="240" w:lineRule="auto"/>
              <w:jc w:val="center"/>
              <w:rPr>
                <w:sz w:val="22"/>
                <w:szCs w:val="24"/>
                <w:lang w:val="en-GB"/>
              </w:rPr>
            </w:pPr>
            <w:r>
              <w:rPr>
                <w:sz w:val="22"/>
                <w:lang w:val="en-GB"/>
              </w:rPr>
              <w:t>9</w:t>
            </w:r>
          </w:p>
          <w:p w:rsidR="00000000" w:rsidRDefault="00000000">
            <w:pPr>
              <w:spacing w:line="240" w:lineRule="auto"/>
              <w:jc w:val="center"/>
              <w:rPr>
                <w:sz w:val="22"/>
                <w:lang w:val="en-GB"/>
              </w:rPr>
            </w:pPr>
            <w:r>
              <w:rPr>
                <w:sz w:val="22"/>
                <w:lang w:val="en-GB"/>
              </w:rPr>
              <w:t>4</w:t>
            </w:r>
          </w:p>
          <w:p w:rsidR="00000000" w:rsidRDefault="00000000">
            <w:pPr>
              <w:spacing w:line="240" w:lineRule="auto"/>
              <w:jc w:val="center"/>
              <w:rPr>
                <w:sz w:val="22"/>
                <w:lang w:val="en-GB"/>
              </w:rPr>
            </w:pPr>
          </w:p>
          <w:p w:rsidR="00000000" w:rsidRDefault="00000000">
            <w:pPr>
              <w:spacing w:line="240" w:lineRule="auto"/>
              <w:jc w:val="center"/>
              <w:rPr>
                <w:sz w:val="22"/>
                <w:lang w:val="en-GB"/>
              </w:rPr>
            </w:pPr>
            <w:r>
              <w:rPr>
                <w:sz w:val="22"/>
                <w:lang w:val="en-GB"/>
              </w:rPr>
              <w:t>2</w:t>
            </w:r>
          </w:p>
          <w:p w:rsidR="00000000" w:rsidRDefault="00000000">
            <w:pPr>
              <w:spacing w:line="240" w:lineRule="auto"/>
              <w:jc w:val="center"/>
              <w:rPr>
                <w:sz w:val="22"/>
              </w:rPr>
            </w:pPr>
            <w:r>
              <w:rPr>
                <w:sz w:val="22"/>
                <w:lang w:val="en-GB"/>
              </w:rPr>
              <w:t>5</w:t>
            </w:r>
          </w:p>
          <w:p w:rsidR="00000000" w:rsidRDefault="00000000">
            <w:pPr>
              <w:spacing w:line="240" w:lineRule="auto"/>
              <w:jc w:val="center"/>
              <w:rPr>
                <w:sz w:val="22"/>
              </w:rPr>
            </w:pPr>
            <w:r>
              <w:rPr>
                <w:sz w:val="22"/>
                <w:lang w:val="en-GB"/>
              </w:rPr>
              <w:t>11</w:t>
            </w:r>
            <w:r>
              <w:rPr>
                <w:sz w:val="22"/>
              </w:rPr>
              <w:t> </w:t>
            </w:r>
          </w:p>
          <w:p w:rsidR="00000000" w:rsidRDefault="00000000">
            <w:pPr>
              <w:spacing w:line="240" w:lineRule="auto"/>
              <w:jc w:val="center"/>
              <w:rPr>
                <w:sz w:val="22"/>
                <w:szCs w:val="24"/>
                <w:lang w:val="en-GB"/>
              </w:rPr>
            </w:pPr>
            <w:r>
              <w:rPr>
                <w:sz w:val="22"/>
                <w:lang w:val="en-GB"/>
              </w:rPr>
              <w:t>4</w:t>
            </w:r>
          </w:p>
        </w:tc>
      </w:tr>
    </w:tbl>
    <w:p w:rsidR="00000000" w:rsidRDefault="00000000">
      <w:pPr>
        <w:rPr>
          <w:lang w:val="en-GB"/>
        </w:rPr>
      </w:pPr>
    </w:p>
    <w:tbl>
      <w:tblPr>
        <w:tblW w:w="0" w:type="auto"/>
        <w:jc w:val="center"/>
        <w:tblInd w:w="475" w:type="dxa"/>
        <w:tblBorders>
          <w:top w:val="single" w:sz="4" w:space="0" w:color="auto"/>
          <w:left w:val="single" w:sz="4" w:space="0" w:color="auto"/>
          <w:bottom w:val="single" w:sz="4" w:space="0" w:color="auto"/>
          <w:right w:val="single" w:sz="4" w:space="0" w:color="auto"/>
          <w:insideH w:val="single" w:sz="6" w:space="0" w:color="008000"/>
          <w:insideV w:val="single" w:sz="4" w:space="0" w:color="auto"/>
        </w:tblBorders>
        <w:tblLayout w:type="fixed"/>
        <w:tblLook w:val="01E0" w:firstRow="1" w:lastRow="1" w:firstColumn="1" w:lastColumn="1" w:noHBand="0" w:noVBand="0"/>
      </w:tblPr>
      <w:tblGrid>
        <w:gridCol w:w="3091"/>
        <w:gridCol w:w="1490"/>
        <w:gridCol w:w="1490"/>
        <w:gridCol w:w="1490"/>
      </w:tblGrid>
      <w:tr w:rsidR="00000000">
        <w:trPr>
          <w:jc w:val="center"/>
        </w:trPr>
        <w:tc>
          <w:tcPr>
            <w:tcW w:w="3091" w:type="dxa"/>
          </w:tcPr>
          <w:p w:rsidR="00000000" w:rsidRDefault="00000000">
            <w:pPr>
              <w:keepNext/>
              <w:rPr>
                <w:bCs/>
              </w:rPr>
            </w:pPr>
            <w:r>
              <w:rPr>
                <w:bCs/>
              </w:rPr>
              <w:t>Незаконная дискриминация</w:t>
            </w:r>
          </w:p>
        </w:tc>
        <w:tc>
          <w:tcPr>
            <w:tcW w:w="1490" w:type="dxa"/>
          </w:tcPr>
          <w:p w:rsidR="00000000" w:rsidRDefault="00000000">
            <w:pPr>
              <w:keepNext/>
              <w:jc w:val="center"/>
              <w:rPr>
                <w:bCs/>
                <w:szCs w:val="24"/>
                <w:lang w:val="en-GB"/>
              </w:rPr>
            </w:pPr>
            <w:r>
              <w:rPr>
                <w:bCs/>
                <w:lang w:val="en-GB"/>
              </w:rPr>
              <w:t>2003</w:t>
            </w:r>
          </w:p>
        </w:tc>
        <w:tc>
          <w:tcPr>
            <w:tcW w:w="1490" w:type="dxa"/>
          </w:tcPr>
          <w:p w:rsidR="00000000" w:rsidRDefault="00000000">
            <w:pPr>
              <w:keepNext/>
              <w:jc w:val="center"/>
              <w:rPr>
                <w:bCs/>
                <w:szCs w:val="24"/>
                <w:lang w:val="en-GB"/>
              </w:rPr>
            </w:pPr>
            <w:r>
              <w:rPr>
                <w:bCs/>
                <w:lang w:val="en-GB"/>
              </w:rPr>
              <w:t>2004</w:t>
            </w:r>
          </w:p>
        </w:tc>
        <w:tc>
          <w:tcPr>
            <w:tcW w:w="1490" w:type="dxa"/>
          </w:tcPr>
          <w:p w:rsidR="00000000" w:rsidRDefault="00000000">
            <w:pPr>
              <w:keepNext/>
              <w:jc w:val="center"/>
              <w:rPr>
                <w:bCs/>
                <w:szCs w:val="24"/>
                <w:lang w:val="en-GB"/>
              </w:rPr>
            </w:pPr>
            <w:r>
              <w:rPr>
                <w:bCs/>
                <w:lang w:val="en-GB"/>
              </w:rPr>
              <w:t>2005</w:t>
            </w:r>
          </w:p>
        </w:tc>
      </w:tr>
      <w:tr w:rsidR="00000000">
        <w:trPr>
          <w:jc w:val="center"/>
        </w:trPr>
        <w:tc>
          <w:tcPr>
            <w:tcW w:w="3091" w:type="dxa"/>
          </w:tcPr>
          <w:p w:rsidR="00000000" w:rsidRDefault="00000000">
            <w:pPr>
              <w:keepNext/>
              <w:rPr>
                <w:szCs w:val="24"/>
              </w:rPr>
            </w:pPr>
            <w:r>
              <w:t>Штраф</w:t>
            </w:r>
          </w:p>
        </w:tc>
        <w:tc>
          <w:tcPr>
            <w:tcW w:w="1490" w:type="dxa"/>
          </w:tcPr>
          <w:p w:rsidR="00000000" w:rsidRDefault="00000000">
            <w:pPr>
              <w:keepNext/>
              <w:jc w:val="center"/>
              <w:rPr>
                <w:szCs w:val="24"/>
                <w:lang w:val="en-GB"/>
              </w:rPr>
            </w:pPr>
            <w:r>
              <w:rPr>
                <w:lang w:val="en-GB"/>
              </w:rPr>
              <w:t>1</w:t>
            </w:r>
          </w:p>
        </w:tc>
        <w:tc>
          <w:tcPr>
            <w:tcW w:w="1490" w:type="dxa"/>
          </w:tcPr>
          <w:p w:rsidR="00000000" w:rsidRDefault="00000000">
            <w:pPr>
              <w:keepNext/>
              <w:jc w:val="center"/>
              <w:rPr>
                <w:szCs w:val="24"/>
                <w:lang w:val="en-GB"/>
              </w:rPr>
            </w:pPr>
            <w:r>
              <w:rPr>
                <w:lang w:val="en-GB"/>
              </w:rPr>
              <w:t>0</w:t>
            </w:r>
          </w:p>
        </w:tc>
        <w:tc>
          <w:tcPr>
            <w:tcW w:w="1490" w:type="dxa"/>
          </w:tcPr>
          <w:p w:rsidR="00000000" w:rsidRDefault="00000000">
            <w:pPr>
              <w:keepNext/>
              <w:jc w:val="center"/>
              <w:rPr>
                <w:szCs w:val="24"/>
                <w:lang w:val="en-GB"/>
              </w:rPr>
            </w:pPr>
            <w:r>
              <w:rPr>
                <w:lang w:val="en-GB"/>
              </w:rPr>
              <w:t>2</w:t>
            </w:r>
          </w:p>
        </w:tc>
      </w:tr>
    </w:tbl>
    <w:p w:rsidR="00000000" w:rsidRDefault="00000000">
      <w:pPr>
        <w:pStyle w:val="RKnormal"/>
        <w:spacing w:line="288" w:lineRule="auto"/>
        <w:rPr>
          <w:lang w:val="ru-RU"/>
        </w:rPr>
      </w:pPr>
    </w:p>
    <w:p w:rsidR="00000000" w:rsidRDefault="00000000">
      <w:pPr>
        <w:pStyle w:val="RKnormal"/>
        <w:tabs>
          <w:tab w:val="left" w:pos="561"/>
          <w:tab w:val="left" w:pos="1122"/>
          <w:tab w:val="left" w:pos="1683"/>
          <w:tab w:val="left" w:pos="2244"/>
        </w:tabs>
        <w:spacing w:line="288" w:lineRule="auto"/>
        <w:rPr>
          <w:lang w:val="ru-RU"/>
        </w:rPr>
      </w:pPr>
      <w:r>
        <w:rPr>
          <w:lang w:val="ru-RU"/>
        </w:rPr>
        <w:t>30.</w:t>
      </w:r>
      <w:r>
        <w:rPr>
          <w:lang w:val="ru-RU"/>
        </w:rPr>
        <w:tab/>
        <w:t xml:space="preserve">В ходе комплексной проверки удалось установить вероятные причины, по которым лишь несколько дел, связанных с незаконной дискриминацией, закончились возбуждением судебного преследования.  Одна из них состоит в том, что лица, сообщающие о преступлении, которое может быть связано с незаконной дискриминацией, во многих случаях высказываются весьма нечетко.  Это отчасти объясняет то, почему сплошь и рядом такие сообщения оказываются необоснованными с сугубо юридической точки зрения и таким образом не позволяют возбудить уголовное дело.  Еще одна причина состоит в трудности доказательства того, что мотивом совершенного деяния была дискриминация против кого-либо.  И наконец, следует отметить, что стороны по связанному с дискриминацией делу в ряде случаев достигают частной договоренности о финансовой компенсации после подачи заявления в полицию.  В некоторых ситуациях подобного типа истец более не заинтересован в активном участии в уголовном расследовании.  </w:t>
      </w:r>
    </w:p>
    <w:p w:rsidR="00000000" w:rsidRDefault="00000000">
      <w:pPr>
        <w:pStyle w:val="RKnormal"/>
        <w:tabs>
          <w:tab w:val="left" w:pos="561"/>
          <w:tab w:val="left" w:pos="1122"/>
          <w:tab w:val="left" w:pos="1683"/>
          <w:tab w:val="left" w:pos="2244"/>
        </w:tabs>
        <w:spacing w:line="288" w:lineRule="auto"/>
        <w:rPr>
          <w:lang w:val="ru-RU"/>
        </w:rPr>
      </w:pPr>
    </w:p>
    <w:p w:rsidR="00000000" w:rsidRDefault="00000000">
      <w:pPr>
        <w:pStyle w:val="RKnormal"/>
        <w:tabs>
          <w:tab w:val="left" w:pos="561"/>
          <w:tab w:val="left" w:pos="1122"/>
          <w:tab w:val="left" w:pos="1683"/>
          <w:tab w:val="left" w:pos="2244"/>
        </w:tabs>
        <w:spacing w:line="288" w:lineRule="auto"/>
        <w:rPr>
          <w:lang w:val="ru-RU"/>
        </w:rPr>
      </w:pPr>
      <w:r>
        <w:rPr>
          <w:lang w:val="ru-RU"/>
        </w:rPr>
        <w:t>31.</w:t>
      </w:r>
      <w:r>
        <w:rPr>
          <w:lang w:val="ru-RU"/>
        </w:rPr>
        <w:tab/>
        <w:t xml:space="preserve">Что касается агитации против той или ной национальной или этнической группы, то количество дел, по которым было возбуждено судебное преследование по сравнению с количеством заявлений в полицию, также незначительно.  Многие из этих правонарушений связаны с графити, сообщениями и другими видами агрессивного поведения, которые никогда не удается ассоциировать с отдельным лицом или даже группой лиц, а это означает, что реальная возможность расследования этих преступлений, как правило, отсутствует.  </w:t>
      </w:r>
    </w:p>
    <w:p w:rsidR="00000000" w:rsidRDefault="00000000">
      <w:pPr>
        <w:pStyle w:val="RKnormal"/>
        <w:tabs>
          <w:tab w:val="left" w:pos="561"/>
          <w:tab w:val="left" w:pos="1122"/>
          <w:tab w:val="left" w:pos="1683"/>
          <w:tab w:val="left" w:pos="2244"/>
        </w:tabs>
        <w:spacing w:line="288" w:lineRule="auto"/>
        <w:rPr>
          <w:lang w:val="ru-RU"/>
        </w:rPr>
      </w:pPr>
    </w:p>
    <w:p w:rsidR="00000000" w:rsidRDefault="00000000">
      <w:pPr>
        <w:pStyle w:val="RKnormal"/>
        <w:tabs>
          <w:tab w:val="left" w:pos="561"/>
          <w:tab w:val="left" w:pos="1122"/>
        </w:tabs>
        <w:spacing w:line="288" w:lineRule="auto"/>
        <w:rPr>
          <w:lang w:val="ru-RU"/>
        </w:rPr>
      </w:pPr>
      <w:r>
        <w:rPr>
          <w:lang w:val="ru-RU"/>
        </w:rPr>
        <w:t>32.</w:t>
      </w:r>
      <w:r>
        <w:rPr>
          <w:lang w:val="ru-RU"/>
        </w:rPr>
        <w:tab/>
        <w:t>В настоящее время рабочая группа при правительстве изучает работу, проведенную в контексте доклада 2000 года по вопросам преступности на почве ненависти, подготовленный Национальным советом по предупреждению преступности (доклад 2002:9).  Эта рабочая группа представит рекомендации в отношении необходимых мер, которые позволят повысить эффективность управления государственными агентствами во всех звеньях правовой цепочки в целях выработки единого мнения по вопросу о преступлениях на почве ненависти.  Итоги этой работы будут изложены в соответствующем меморандуме.</w:t>
      </w:r>
    </w:p>
    <w:p w:rsidR="00000000" w:rsidRDefault="00000000"/>
    <w:p w:rsidR="00000000" w:rsidRDefault="00000000">
      <w:pPr>
        <w:keepNext/>
        <w:rPr>
          <w:b/>
          <w:bCs/>
          <w:lang w:val="en-GB"/>
        </w:rPr>
      </w:pPr>
      <w:r>
        <w:rPr>
          <w:b/>
          <w:bCs/>
        </w:rPr>
        <w:t>Гражданское</w:t>
      </w:r>
      <w:r>
        <w:rPr>
          <w:b/>
          <w:bCs/>
          <w:lang w:val="en-GB"/>
        </w:rPr>
        <w:t xml:space="preserve"> </w:t>
      </w:r>
      <w:r>
        <w:rPr>
          <w:b/>
          <w:bCs/>
        </w:rPr>
        <w:t>законодательство</w:t>
      </w:r>
    </w:p>
    <w:p w:rsidR="00000000" w:rsidRDefault="00000000">
      <w:pPr>
        <w:keepNext/>
        <w:rPr>
          <w:b/>
          <w:bCs/>
          <w:i/>
          <w:iCs/>
          <w:lang w:val="en-GB"/>
        </w:rPr>
      </w:pPr>
    </w:p>
    <w:p w:rsidR="00000000" w:rsidRDefault="00000000">
      <w:r>
        <w:t>33.</w:t>
      </w:r>
      <w:r>
        <w:tab/>
        <w:t>1 мая 1999</w:t>
      </w:r>
      <w:r>
        <w:rPr>
          <w:lang w:val="en-US"/>
        </w:rPr>
        <w:t> </w:t>
      </w:r>
      <w:r>
        <w:t>года вступил в силу Закон о мерах по противодействию дискриминации в сфере труда (1999:130), который охватывает вопросы дискриминации по признакам этнической принадлежности, религиозных или иных убеждений.  Контроль за соблюдением положений этого закона входит в компетенцию Омбудсмена по борьбе с этнической дискриминацией (ОБД).</w:t>
      </w:r>
    </w:p>
    <w:p w:rsidR="00000000" w:rsidRDefault="00000000"/>
    <w:p w:rsidR="00000000" w:rsidRDefault="00000000">
      <w:r>
        <w:t>34.</w:t>
      </w:r>
      <w:r>
        <w:tab/>
        <w:t>1 марта 2002</w:t>
      </w:r>
      <w:r>
        <w:rPr>
          <w:lang w:val="en-GB"/>
        </w:rPr>
        <w:t> </w:t>
      </w:r>
      <w:r>
        <w:t>года вступил в силу Закон о равном статусе студентов в системе высшего образования (2001:1286).  Положения этого закона затрагивают дискриминацию по признаку пола, этнической принадлежности, религиозных или иных убеждений, сексуальной ориентации и инвалидности.  Обеспечивать соблюдение этого закона уполномочены ОБД, омбудсмен по вопросам равенства возможностей (ОРВ), омбудсмен по вопросам инвалидности (ОИ) и омбудсмен против дискриминации по признаку сексуальной ориентации (ОСО).</w:t>
      </w:r>
    </w:p>
    <w:p w:rsidR="00000000" w:rsidRDefault="00000000"/>
    <w:p w:rsidR="00000000" w:rsidRDefault="00000000">
      <w:r>
        <w:t>35.</w:t>
      </w:r>
      <w:r>
        <w:tab/>
        <w:t>Закон о запрещении дискриминации (2003:307) вступил в силу 1 июля 2003 года.  Цель закона заключается в борьбе с дискриминацией по признаку пола, этнической принадлежности, религиозных или иных убеждений, сексуальной ориентации и инвалидности.  Обеспечение положений этого закона входит в компетенцию четырех омбудсменов по вопросам борьбы с дискриминацией.  Что касается запрещения дискриминации по признаку этнической принадлежности и религиозных или иных убеждений, то положения этого закона распространяются на программы осуществления политики в сфере труда, членство в профсоюзах и организациях работодателей, доступ к товарам, услугам, жилью, социальным услугам, социальному страхованию, страхованию по безработице и медико-санитарным услугам.</w:t>
      </w:r>
    </w:p>
    <w:p w:rsidR="00000000" w:rsidRDefault="00000000"/>
    <w:p w:rsidR="00000000" w:rsidRDefault="00000000">
      <w:r>
        <w:t>36.</w:t>
      </w:r>
      <w:r>
        <w:tab/>
        <w:t>С дополнительной информацией об этих законах Комитет может ознакомиться в пунктах 22, 23, 24 и 27 пятнадцатого и шестнадцатого докладов.</w:t>
      </w:r>
    </w:p>
    <w:p w:rsidR="00000000" w:rsidRDefault="00000000"/>
    <w:p w:rsidR="00000000" w:rsidRDefault="00000000">
      <w:r>
        <w:t>37.</w:t>
      </w:r>
      <w:r>
        <w:tab/>
        <w:t>Закон, запрещающий дискриминацию и другие формы унижающего достоинство обращения с детьми и учащимися (2006:67), вступил в силу 1</w:t>
      </w:r>
      <w:r>
        <w:rPr>
          <w:lang w:val="en-GB"/>
        </w:rPr>
        <w:t> </w:t>
      </w:r>
      <w:r>
        <w:t>апреля 2006</w:t>
      </w:r>
      <w:r>
        <w:rPr>
          <w:lang w:val="en-GB"/>
        </w:rPr>
        <w:t> </w:t>
      </w:r>
      <w:r>
        <w:t>года.  Этот закон запрещает дискриминацию по признаку пола, этнической принадлежности, религиозных или иных убеждений, сексуальной ориентации и инвалидности.  Положения этого закона применяются ко всем видам деятельности, регулируемым Законом об образовании (1985:1100), то есть к программам дошкольного воспитания и воспитания детей школьного возраста, к системе обязательного и среднего школьного образования, а также к муниципальным программам образования для взрослых.</w:t>
      </w:r>
    </w:p>
    <w:p w:rsidR="00000000" w:rsidRDefault="00000000"/>
    <w:p w:rsidR="00000000" w:rsidRDefault="00000000">
      <w:r>
        <w:t>38.</w:t>
      </w:r>
      <w:r>
        <w:tab/>
        <w:t>В соответствии с Законом, запрещающим дискриминацию и другие формы унижающего достоинство обращения с детьми и учащимися, контроль за соблюдением его положений входит в компетенцию четырех омбудсменов по вопросам борьбы с дискриминацией.  Национальное агентство по вопросам образования в марте 2006 года назначило омбудсмена по проблемам детей и учащихся, в функции которого входит обеспечение соблюдения данного закона в сфере его компетенции.</w:t>
      </w:r>
    </w:p>
    <w:p w:rsidR="00000000" w:rsidRDefault="00000000"/>
    <w:p w:rsidR="00000000" w:rsidRDefault="00000000">
      <w:r>
        <w:t>39.</w:t>
      </w:r>
      <w:r>
        <w:tab/>
        <w:t>В феврале 2006 года парламентский комитет по вопросам дискриминации представил доклад "Сводное законодательство о дискриминации" (</w:t>
      </w:r>
      <w:r>
        <w:rPr>
          <w:i/>
          <w:iCs/>
          <w:lang w:val="en-GB"/>
        </w:rPr>
        <w:t>En</w:t>
      </w:r>
      <w:r>
        <w:rPr>
          <w:i/>
          <w:iCs/>
        </w:rPr>
        <w:t xml:space="preserve"> </w:t>
      </w:r>
      <w:r>
        <w:rPr>
          <w:i/>
          <w:iCs/>
          <w:lang w:val="en-GB"/>
        </w:rPr>
        <w:t>sammanh</w:t>
      </w:r>
      <w:r>
        <w:rPr>
          <w:i/>
          <w:iCs/>
        </w:rPr>
        <w:t>å</w:t>
      </w:r>
      <w:r>
        <w:rPr>
          <w:i/>
          <w:iCs/>
          <w:lang w:val="en-GB"/>
        </w:rPr>
        <w:t>llen</w:t>
      </w:r>
      <w:r>
        <w:rPr>
          <w:i/>
          <w:iCs/>
        </w:rPr>
        <w:t xml:space="preserve"> </w:t>
      </w:r>
      <w:r>
        <w:rPr>
          <w:i/>
          <w:iCs/>
          <w:lang w:val="en-GB"/>
        </w:rPr>
        <w:t>diskrimineringslagstiftning</w:t>
      </w:r>
      <w:r>
        <w:t xml:space="preserve"> [</w:t>
      </w:r>
      <w:r>
        <w:rPr>
          <w:lang w:val="en-GB"/>
        </w:rPr>
        <w:t>SOU</w:t>
      </w:r>
      <w:r>
        <w:t xml:space="preserve"> 2006:22]).  В докладе изложены рекомендации Комитета по поводу сводного законодательства по борьбе с дискриминацией и создание института нового объединенного омбудсмена по вопросам дискриминации по всем признакам.  Доклад был представлен на рассмотрение, а содержащиеся в нем рекомендации изучаются в государственных ведомствах.  Цель этой работы состоит во введении в действие нового законодательства в течение 2008 года.</w:t>
      </w:r>
    </w:p>
    <w:p w:rsidR="00000000" w:rsidRDefault="00000000"/>
    <w:p w:rsidR="00000000" w:rsidRDefault="00000000">
      <w:pPr>
        <w:keepNext/>
        <w:rPr>
          <w:b/>
          <w:bCs/>
        </w:rPr>
      </w:pPr>
      <w:r>
        <w:rPr>
          <w:b/>
          <w:bCs/>
        </w:rPr>
        <w:t>Применение законодательства в области гражданских прав</w:t>
      </w:r>
      <w:r>
        <w:rPr>
          <w:rStyle w:val="FootnoteReference"/>
          <w:lang w:val="en-GB"/>
        </w:rPr>
        <w:footnoteReference w:id="12"/>
      </w:r>
    </w:p>
    <w:p w:rsidR="00000000" w:rsidRDefault="00000000">
      <w:pPr>
        <w:keepNext/>
        <w:rPr>
          <w:b/>
          <w:bCs/>
          <w:i/>
          <w:iCs/>
        </w:rPr>
      </w:pPr>
    </w:p>
    <w:p w:rsidR="00000000" w:rsidRDefault="00000000">
      <w:r>
        <w:t>40.</w:t>
      </w:r>
      <w:r>
        <w:tab/>
        <w:t>В нижеследующей таблице показано количество поданных ОБД жалоб в разбивке по различным антидискриминационным законам за период 2003</w:t>
      </w:r>
      <w:r>
        <w:noBreakHyphen/>
        <w:t>2005 годов</w:t>
      </w:r>
      <w:r>
        <w:rPr>
          <w:rStyle w:val="FootnoteReference"/>
          <w:lang w:val="en-GB"/>
        </w:rPr>
        <w:footnoteReference w:id="13"/>
      </w:r>
      <w:r>
        <w:t>.</w:t>
      </w:r>
    </w:p>
    <w:p w:rsidR="00000000" w:rsidRDefault="00000000"/>
    <w:tbl>
      <w:tblPr>
        <w:tblW w:w="9365" w:type="dxa"/>
        <w:tblInd w:w="50" w:type="dxa"/>
        <w:tblBorders>
          <w:top w:val="single" w:sz="4" w:space="0" w:color="auto"/>
          <w:left w:val="single" w:sz="4" w:space="0" w:color="auto"/>
          <w:bottom w:val="single" w:sz="4" w:space="0" w:color="auto"/>
          <w:right w:val="single" w:sz="4" w:space="0" w:color="auto"/>
        </w:tblBorders>
        <w:tblLayout w:type="fixed"/>
        <w:tblCellMar>
          <w:top w:w="113" w:type="dxa"/>
          <w:left w:w="0" w:type="dxa"/>
          <w:bottom w:w="113" w:type="dxa"/>
          <w:right w:w="0" w:type="dxa"/>
        </w:tblCellMar>
        <w:tblLook w:val="0000" w:firstRow="0" w:lastRow="0" w:firstColumn="0" w:lastColumn="0" w:noHBand="0" w:noVBand="0"/>
      </w:tblPr>
      <w:tblGrid>
        <w:gridCol w:w="6842"/>
        <w:gridCol w:w="841"/>
        <w:gridCol w:w="841"/>
        <w:gridCol w:w="841"/>
      </w:tblGrid>
      <w:tr w:rsidR="00000000">
        <w:trPr>
          <w:cantSplit/>
          <w:trHeight w:val="20"/>
        </w:trPr>
        <w:tc>
          <w:tcPr>
            <w:tcW w:w="6842"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auto"/>
            </w:pP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lang w:val="en-GB"/>
              </w:rPr>
            </w:pPr>
            <w:r>
              <w:rPr>
                <w:lang w:val="en-GB"/>
              </w:rPr>
              <w:t>2003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lang w:val="en-GB"/>
              </w:rPr>
            </w:pPr>
            <w:r>
              <w:rPr>
                <w:lang w:val="en-GB"/>
              </w:rPr>
              <w:t>2004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lang w:val="en-GB"/>
              </w:rPr>
            </w:pPr>
            <w:r>
              <w:rPr>
                <w:lang w:val="en-GB"/>
              </w:rPr>
              <w:t>2005</w:t>
            </w:r>
          </w:p>
        </w:tc>
      </w:tr>
      <w:tr w:rsidR="00000000">
        <w:trPr>
          <w:cantSplit/>
          <w:trHeight w:val="20"/>
        </w:trPr>
        <w:tc>
          <w:tcPr>
            <w:tcW w:w="684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359"/>
              </w:tabs>
              <w:spacing w:line="240" w:lineRule="auto"/>
            </w:pPr>
            <w:r>
              <w:t>Закон о мерах по противодействию дискриминации в сфере труда</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349</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lang w:val="en-GB"/>
              </w:rPr>
            </w:pPr>
            <w:r>
              <w:rPr>
                <w:lang w:val="en-GB"/>
              </w:rPr>
              <w:t>311</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334</w:t>
            </w:r>
          </w:p>
        </w:tc>
      </w:tr>
      <w:tr w:rsidR="00000000">
        <w:trPr>
          <w:cantSplit/>
          <w:trHeight w:val="20"/>
        </w:trPr>
        <w:tc>
          <w:tcPr>
            <w:tcW w:w="684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Закон о равном обращении с учащимися в высших учебных заведениях</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14</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17</w:t>
            </w:r>
          </w:p>
        </w:tc>
      </w:tr>
      <w:tr w:rsidR="00000000">
        <w:trPr>
          <w:cantSplit/>
          <w:trHeight w:val="20"/>
        </w:trPr>
        <w:tc>
          <w:tcPr>
            <w:tcW w:w="684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Закон о запрещении дискриминации</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93</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337</w:t>
            </w:r>
          </w:p>
        </w:tc>
        <w:tc>
          <w:tcPr>
            <w:tcW w:w="84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426</w:t>
            </w:r>
          </w:p>
        </w:tc>
      </w:tr>
    </w:tbl>
    <w:p w:rsidR="00000000" w:rsidRDefault="00000000"/>
    <w:p w:rsidR="00000000" w:rsidRDefault="00000000">
      <w:r>
        <w:t xml:space="preserve">41. </w:t>
      </w:r>
      <w:r>
        <w:tab/>
        <w:t xml:space="preserve">Из общей численности жалоб, полученных </w:t>
      </w:r>
      <w:r>
        <w:rPr>
          <w:lang w:val="en-GB"/>
        </w:rPr>
        <w:t>O</w:t>
      </w:r>
      <w:r>
        <w:t>БД, подавляющее большинство было подано мужчинами.  В</w:t>
      </w:r>
      <w:r>
        <w:rPr>
          <w:lang w:val="en-GB"/>
        </w:rPr>
        <w:t> </w:t>
      </w:r>
      <w:r>
        <w:t>2005</w:t>
      </w:r>
      <w:r>
        <w:rPr>
          <w:lang w:val="en-GB"/>
        </w:rPr>
        <w:t> </w:t>
      </w:r>
      <w:r>
        <w:t xml:space="preserve">году 64% сообщений о нарушении положений Закона о мерах по противодействию дискриминации в сфере труда были поданы мужчинами.  Из общей численности жалоб на нарушение положений Закона о равном обращении с учащимися в высших учебных заведениях 76% были поданы мужчинами.  Что касается жалоб на нарушение Закона о запрещении дискриминации, то мужчинами было подано 66% таких жалоб. </w:t>
      </w:r>
    </w:p>
    <w:p w:rsidR="00000000" w:rsidRDefault="00000000">
      <w:pPr>
        <w:rPr>
          <w:sz w:val="16"/>
        </w:rPr>
      </w:pPr>
    </w:p>
    <w:p w:rsidR="00000000" w:rsidRDefault="00000000">
      <w:r>
        <w:t>42.</w:t>
      </w:r>
      <w:r>
        <w:tab/>
        <w:t>В нижеследующей таблице показано количество рассмотренных ОБД дел, относящихся к Закону о мерах по противодействию дискриминации в сфере труда, в разбивке по причинам закрытия дела, за период 2003-2005 годов</w:t>
      </w:r>
      <w:r>
        <w:rPr>
          <w:rStyle w:val="FootnoteReference"/>
          <w:lang w:val="en-GB"/>
        </w:rPr>
        <w:footnoteReference w:id="14"/>
      </w:r>
      <w:r>
        <w:t>:</w:t>
      </w:r>
    </w:p>
    <w:p w:rsidR="00000000" w:rsidRDefault="00000000">
      <w:pPr>
        <w:rPr>
          <w:sz w:val="16"/>
        </w:rPr>
      </w:pPr>
    </w:p>
    <w:tbl>
      <w:tblPr>
        <w:tblW w:w="7088" w:type="dxa"/>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bottom w:w="113" w:type="dxa"/>
          <w:right w:w="0" w:type="dxa"/>
        </w:tblCellMar>
        <w:tblLook w:val="0000" w:firstRow="0" w:lastRow="0" w:firstColumn="0" w:lastColumn="0" w:noHBand="0" w:noVBand="0"/>
      </w:tblPr>
      <w:tblGrid>
        <w:gridCol w:w="3122"/>
        <w:gridCol w:w="1322"/>
        <w:gridCol w:w="1322"/>
        <w:gridCol w:w="1322"/>
      </w:tblGrid>
      <w:tr w:rsidR="00000000">
        <w:trPr>
          <w:tblHeader/>
        </w:trPr>
        <w:tc>
          <w:tcPr>
            <w:tcW w:w="3122" w:type="dxa"/>
          </w:tcPr>
          <w:p w:rsidR="00000000" w:rsidRDefault="00000000">
            <w:pPr>
              <w:keepNext/>
              <w:spacing w:line="216" w:lineRule="auto"/>
              <w:jc w:val="center"/>
            </w:pPr>
            <w:r>
              <w:t>Причина закрытия</w:t>
            </w:r>
          </w:p>
        </w:tc>
        <w:tc>
          <w:tcPr>
            <w:tcW w:w="1322" w:type="dxa"/>
          </w:tcPr>
          <w:p w:rsidR="00000000" w:rsidRDefault="00000000">
            <w:pPr>
              <w:spacing w:line="216" w:lineRule="auto"/>
              <w:jc w:val="center"/>
              <w:rPr>
                <w:lang w:val="en-GB"/>
              </w:rPr>
            </w:pPr>
            <w:r>
              <w:rPr>
                <w:lang w:val="en-GB"/>
              </w:rPr>
              <w:t>2003</w:t>
            </w:r>
          </w:p>
        </w:tc>
        <w:tc>
          <w:tcPr>
            <w:tcW w:w="1322" w:type="dxa"/>
          </w:tcPr>
          <w:p w:rsidR="00000000" w:rsidRDefault="00000000">
            <w:pPr>
              <w:spacing w:line="216" w:lineRule="auto"/>
              <w:jc w:val="center"/>
              <w:rPr>
                <w:lang w:val="en-GB"/>
              </w:rPr>
            </w:pPr>
            <w:r>
              <w:rPr>
                <w:lang w:val="en-GB"/>
              </w:rPr>
              <w:t>2004</w:t>
            </w:r>
          </w:p>
        </w:tc>
        <w:tc>
          <w:tcPr>
            <w:tcW w:w="1322" w:type="dxa"/>
          </w:tcPr>
          <w:p w:rsidR="00000000" w:rsidRDefault="00000000">
            <w:pPr>
              <w:spacing w:line="216" w:lineRule="auto"/>
              <w:jc w:val="center"/>
              <w:rPr>
                <w:lang w:val="en-GB"/>
              </w:rPr>
            </w:pPr>
            <w:r>
              <w:rPr>
                <w:lang w:val="en-GB"/>
              </w:rPr>
              <w:t>2005</w:t>
            </w:r>
          </w:p>
        </w:tc>
      </w:tr>
      <w:tr w:rsidR="00000000">
        <w:trPr>
          <w:cantSplit/>
          <w:trHeight w:val="270"/>
        </w:trPr>
        <w:tc>
          <w:tcPr>
            <w:tcW w:w="3122" w:type="dxa"/>
          </w:tcPr>
          <w:p w:rsidR="00000000" w:rsidRDefault="00000000">
            <w:pPr>
              <w:spacing w:line="216" w:lineRule="auto"/>
            </w:pPr>
            <w:r>
              <w:t>Постановление суда</w:t>
            </w:r>
            <w:r>
              <w:rPr>
                <w:rStyle w:val="FootnoteReference"/>
                <w:lang w:val="en-GB"/>
              </w:rPr>
              <w:footnoteReference w:id="15"/>
            </w:r>
          </w:p>
        </w:tc>
        <w:tc>
          <w:tcPr>
            <w:tcW w:w="1322" w:type="dxa"/>
          </w:tcPr>
          <w:p w:rsidR="00000000" w:rsidRDefault="00000000">
            <w:pPr>
              <w:spacing w:line="216" w:lineRule="auto"/>
              <w:jc w:val="center"/>
            </w:pPr>
            <w:r>
              <w:t>4</w:t>
            </w:r>
          </w:p>
        </w:tc>
        <w:tc>
          <w:tcPr>
            <w:tcW w:w="1322" w:type="dxa"/>
          </w:tcPr>
          <w:p w:rsidR="00000000" w:rsidRDefault="00000000">
            <w:pPr>
              <w:spacing w:line="216" w:lineRule="auto"/>
              <w:jc w:val="center"/>
              <w:rPr>
                <w:lang w:val="en-GB"/>
              </w:rPr>
            </w:pPr>
            <w:r>
              <w:t>5</w:t>
            </w:r>
          </w:p>
        </w:tc>
        <w:tc>
          <w:tcPr>
            <w:tcW w:w="1322" w:type="dxa"/>
          </w:tcPr>
          <w:p w:rsidR="00000000" w:rsidRDefault="00000000">
            <w:pPr>
              <w:spacing w:line="216" w:lineRule="auto"/>
              <w:jc w:val="center"/>
              <w:rPr>
                <w:lang w:val="en-GB"/>
              </w:rPr>
            </w:pPr>
            <w:r>
              <w:rPr>
                <w:lang w:val="en-GB"/>
              </w:rPr>
              <w:t>3</w:t>
            </w:r>
          </w:p>
        </w:tc>
      </w:tr>
      <w:tr w:rsidR="00000000">
        <w:trPr>
          <w:cantSplit/>
          <w:trHeight w:val="270"/>
        </w:trPr>
        <w:tc>
          <w:tcPr>
            <w:tcW w:w="3122" w:type="dxa"/>
          </w:tcPr>
          <w:p w:rsidR="00000000" w:rsidRDefault="00000000">
            <w:pPr>
              <w:spacing w:line="216" w:lineRule="auto"/>
            </w:pPr>
            <w:r>
              <w:t>Урегулирование</w:t>
            </w:r>
          </w:p>
        </w:tc>
        <w:tc>
          <w:tcPr>
            <w:tcW w:w="1322" w:type="dxa"/>
          </w:tcPr>
          <w:p w:rsidR="00000000" w:rsidRDefault="00000000">
            <w:pPr>
              <w:spacing w:line="216" w:lineRule="auto"/>
              <w:jc w:val="center"/>
            </w:pPr>
            <w:r>
              <w:t>29</w:t>
            </w:r>
          </w:p>
        </w:tc>
        <w:tc>
          <w:tcPr>
            <w:tcW w:w="1322" w:type="dxa"/>
          </w:tcPr>
          <w:p w:rsidR="00000000" w:rsidRDefault="00000000">
            <w:pPr>
              <w:spacing w:line="216" w:lineRule="auto"/>
              <w:jc w:val="center"/>
              <w:rPr>
                <w:lang w:val="en-GB"/>
              </w:rPr>
            </w:pPr>
            <w:r>
              <w:rPr>
                <w:lang w:val="en-GB"/>
              </w:rPr>
              <w:t>34</w:t>
            </w:r>
          </w:p>
        </w:tc>
        <w:tc>
          <w:tcPr>
            <w:tcW w:w="1322" w:type="dxa"/>
          </w:tcPr>
          <w:p w:rsidR="00000000" w:rsidRDefault="00000000">
            <w:pPr>
              <w:spacing w:line="216" w:lineRule="auto"/>
              <w:jc w:val="center"/>
              <w:rPr>
                <w:lang w:val="en-GB"/>
              </w:rPr>
            </w:pPr>
            <w:r>
              <w:rPr>
                <w:lang w:val="en-GB"/>
              </w:rPr>
              <w:t>15</w:t>
            </w:r>
          </w:p>
        </w:tc>
      </w:tr>
      <w:tr w:rsidR="00000000">
        <w:trPr>
          <w:cantSplit/>
          <w:trHeight w:val="270"/>
        </w:trPr>
        <w:tc>
          <w:tcPr>
            <w:tcW w:w="3122" w:type="dxa"/>
          </w:tcPr>
          <w:p w:rsidR="00000000" w:rsidRDefault="00000000">
            <w:pPr>
              <w:spacing w:line="216" w:lineRule="auto"/>
            </w:pPr>
            <w:r>
              <w:t>Разрешение ситуации</w:t>
            </w:r>
          </w:p>
        </w:tc>
        <w:tc>
          <w:tcPr>
            <w:tcW w:w="1322" w:type="dxa"/>
          </w:tcPr>
          <w:p w:rsidR="00000000" w:rsidRDefault="00000000">
            <w:pPr>
              <w:spacing w:line="216" w:lineRule="auto"/>
              <w:jc w:val="center"/>
            </w:pPr>
            <w:r>
              <w:t>26</w:t>
            </w:r>
          </w:p>
        </w:tc>
        <w:tc>
          <w:tcPr>
            <w:tcW w:w="1322" w:type="dxa"/>
          </w:tcPr>
          <w:p w:rsidR="00000000" w:rsidRDefault="00000000">
            <w:pPr>
              <w:spacing w:line="216" w:lineRule="auto"/>
              <w:jc w:val="center"/>
              <w:rPr>
                <w:lang w:val="en-GB"/>
              </w:rPr>
            </w:pPr>
            <w:r>
              <w:rPr>
                <w:lang w:val="en-GB"/>
              </w:rPr>
              <w:t>32</w:t>
            </w:r>
          </w:p>
        </w:tc>
        <w:tc>
          <w:tcPr>
            <w:tcW w:w="1322" w:type="dxa"/>
          </w:tcPr>
          <w:p w:rsidR="00000000" w:rsidRDefault="00000000">
            <w:pPr>
              <w:spacing w:line="216" w:lineRule="auto"/>
              <w:jc w:val="center"/>
              <w:rPr>
                <w:lang w:val="en-GB"/>
              </w:rPr>
            </w:pPr>
            <w:r>
              <w:rPr>
                <w:lang w:val="en-GB"/>
              </w:rPr>
              <w:t>27</w:t>
            </w:r>
          </w:p>
        </w:tc>
      </w:tr>
      <w:tr w:rsidR="00000000">
        <w:trPr>
          <w:cantSplit/>
          <w:trHeight w:val="270"/>
        </w:trPr>
        <w:tc>
          <w:tcPr>
            <w:tcW w:w="3122" w:type="dxa"/>
          </w:tcPr>
          <w:p w:rsidR="00000000" w:rsidRDefault="00000000">
            <w:pPr>
              <w:spacing w:line="216" w:lineRule="auto"/>
            </w:pPr>
            <w:r>
              <w:t>Необоснованность жалобы</w:t>
            </w:r>
          </w:p>
        </w:tc>
        <w:tc>
          <w:tcPr>
            <w:tcW w:w="1322" w:type="dxa"/>
          </w:tcPr>
          <w:p w:rsidR="00000000" w:rsidRDefault="00000000">
            <w:pPr>
              <w:spacing w:line="216" w:lineRule="auto"/>
              <w:jc w:val="center"/>
            </w:pPr>
            <w:r>
              <w:t>23</w:t>
            </w:r>
          </w:p>
        </w:tc>
        <w:tc>
          <w:tcPr>
            <w:tcW w:w="1322" w:type="dxa"/>
          </w:tcPr>
          <w:p w:rsidR="00000000" w:rsidRDefault="00000000">
            <w:pPr>
              <w:spacing w:line="216" w:lineRule="auto"/>
              <w:jc w:val="center"/>
              <w:rPr>
                <w:lang w:val="en-GB"/>
              </w:rPr>
            </w:pPr>
            <w:r>
              <w:rPr>
                <w:lang w:val="en-GB"/>
              </w:rPr>
              <w:t>30</w:t>
            </w:r>
          </w:p>
        </w:tc>
        <w:tc>
          <w:tcPr>
            <w:tcW w:w="1322" w:type="dxa"/>
          </w:tcPr>
          <w:p w:rsidR="00000000" w:rsidRDefault="00000000">
            <w:pPr>
              <w:spacing w:line="216" w:lineRule="auto"/>
              <w:jc w:val="center"/>
              <w:rPr>
                <w:lang w:val="en-GB"/>
              </w:rPr>
            </w:pPr>
            <w:r>
              <w:rPr>
                <w:lang w:val="en-GB"/>
              </w:rPr>
              <w:t>25</w:t>
            </w:r>
          </w:p>
        </w:tc>
      </w:tr>
      <w:tr w:rsidR="00000000">
        <w:trPr>
          <w:cantSplit/>
          <w:trHeight w:val="270"/>
        </w:trPr>
        <w:tc>
          <w:tcPr>
            <w:tcW w:w="3122" w:type="dxa"/>
          </w:tcPr>
          <w:p w:rsidR="00000000" w:rsidRDefault="00000000">
            <w:pPr>
              <w:spacing w:line="216" w:lineRule="auto"/>
            </w:pPr>
            <w:r>
              <w:t>Отсутствие исковой силы</w:t>
            </w:r>
          </w:p>
        </w:tc>
        <w:tc>
          <w:tcPr>
            <w:tcW w:w="1322" w:type="dxa"/>
          </w:tcPr>
          <w:p w:rsidR="00000000" w:rsidRDefault="00000000">
            <w:pPr>
              <w:spacing w:line="216" w:lineRule="auto"/>
              <w:jc w:val="center"/>
            </w:pPr>
            <w:r>
              <w:t>36</w:t>
            </w:r>
          </w:p>
        </w:tc>
        <w:tc>
          <w:tcPr>
            <w:tcW w:w="1322" w:type="dxa"/>
          </w:tcPr>
          <w:p w:rsidR="00000000" w:rsidRDefault="00000000">
            <w:pPr>
              <w:spacing w:line="216" w:lineRule="auto"/>
              <w:jc w:val="center"/>
              <w:rPr>
                <w:lang w:val="en-GB"/>
              </w:rPr>
            </w:pPr>
            <w:r>
              <w:rPr>
                <w:lang w:val="en-GB"/>
              </w:rPr>
              <w:t>48</w:t>
            </w:r>
          </w:p>
        </w:tc>
        <w:tc>
          <w:tcPr>
            <w:tcW w:w="1322" w:type="dxa"/>
          </w:tcPr>
          <w:p w:rsidR="00000000" w:rsidRDefault="00000000">
            <w:pPr>
              <w:spacing w:line="216" w:lineRule="auto"/>
              <w:jc w:val="center"/>
              <w:rPr>
                <w:lang w:val="en-GB"/>
              </w:rPr>
            </w:pPr>
            <w:r>
              <w:rPr>
                <w:lang w:val="en-GB"/>
              </w:rPr>
              <w:t>35</w:t>
            </w:r>
          </w:p>
        </w:tc>
      </w:tr>
      <w:tr w:rsidR="00000000">
        <w:trPr>
          <w:cantSplit/>
          <w:trHeight w:val="270"/>
        </w:trPr>
        <w:tc>
          <w:tcPr>
            <w:tcW w:w="3122" w:type="dxa"/>
          </w:tcPr>
          <w:p w:rsidR="00000000" w:rsidRDefault="00000000">
            <w:pPr>
              <w:spacing w:line="216" w:lineRule="auto"/>
            </w:pPr>
            <w:r>
              <w:t>Отзыв</w:t>
            </w:r>
          </w:p>
        </w:tc>
        <w:tc>
          <w:tcPr>
            <w:tcW w:w="1322" w:type="dxa"/>
          </w:tcPr>
          <w:p w:rsidR="00000000" w:rsidRDefault="00000000">
            <w:pPr>
              <w:spacing w:line="216" w:lineRule="auto"/>
              <w:jc w:val="center"/>
            </w:pPr>
            <w:r>
              <w:t>22</w:t>
            </w:r>
          </w:p>
        </w:tc>
        <w:tc>
          <w:tcPr>
            <w:tcW w:w="1322" w:type="dxa"/>
          </w:tcPr>
          <w:p w:rsidR="00000000" w:rsidRDefault="00000000">
            <w:pPr>
              <w:spacing w:line="216" w:lineRule="auto"/>
              <w:jc w:val="center"/>
              <w:rPr>
                <w:lang w:val="en-GB"/>
              </w:rPr>
            </w:pPr>
            <w:r>
              <w:rPr>
                <w:lang w:val="en-GB"/>
              </w:rPr>
              <w:t>56</w:t>
            </w:r>
          </w:p>
        </w:tc>
        <w:tc>
          <w:tcPr>
            <w:tcW w:w="1322" w:type="dxa"/>
          </w:tcPr>
          <w:p w:rsidR="00000000" w:rsidRDefault="00000000">
            <w:pPr>
              <w:spacing w:line="216" w:lineRule="auto"/>
              <w:jc w:val="center"/>
              <w:rPr>
                <w:lang w:val="en-GB"/>
              </w:rPr>
            </w:pPr>
            <w:r>
              <w:rPr>
                <w:lang w:val="en-GB"/>
              </w:rPr>
              <w:t>55</w:t>
            </w:r>
          </w:p>
        </w:tc>
      </w:tr>
      <w:tr w:rsidR="00000000">
        <w:trPr>
          <w:cantSplit/>
          <w:trHeight w:val="270"/>
        </w:trPr>
        <w:tc>
          <w:tcPr>
            <w:tcW w:w="3122" w:type="dxa"/>
          </w:tcPr>
          <w:p w:rsidR="00000000" w:rsidRDefault="00000000">
            <w:pPr>
              <w:spacing w:line="216" w:lineRule="auto"/>
            </w:pPr>
            <w:r>
              <w:t>Прекращение дела</w:t>
            </w:r>
            <w:r>
              <w:rPr>
                <w:rStyle w:val="FootnoteReference"/>
                <w:lang w:val="en-GB"/>
              </w:rPr>
              <w:footnoteReference w:id="16"/>
            </w:r>
          </w:p>
        </w:tc>
        <w:tc>
          <w:tcPr>
            <w:tcW w:w="1322" w:type="dxa"/>
          </w:tcPr>
          <w:p w:rsidR="00000000" w:rsidRDefault="00000000">
            <w:pPr>
              <w:spacing w:line="216" w:lineRule="auto"/>
              <w:jc w:val="center"/>
            </w:pPr>
            <w:r>
              <w:t>214</w:t>
            </w:r>
          </w:p>
        </w:tc>
        <w:tc>
          <w:tcPr>
            <w:tcW w:w="1322" w:type="dxa"/>
          </w:tcPr>
          <w:p w:rsidR="00000000" w:rsidRDefault="00000000">
            <w:pPr>
              <w:spacing w:line="216" w:lineRule="auto"/>
              <w:jc w:val="center"/>
            </w:pPr>
            <w:r>
              <w:t>354</w:t>
            </w:r>
          </w:p>
        </w:tc>
        <w:tc>
          <w:tcPr>
            <w:tcW w:w="1322" w:type="dxa"/>
          </w:tcPr>
          <w:p w:rsidR="00000000" w:rsidRDefault="00000000">
            <w:pPr>
              <w:spacing w:line="216" w:lineRule="auto"/>
              <w:jc w:val="center"/>
            </w:pPr>
            <w:r>
              <w:t>163</w:t>
            </w:r>
          </w:p>
        </w:tc>
      </w:tr>
    </w:tbl>
    <w:p w:rsidR="00000000" w:rsidRDefault="00000000">
      <w:pPr>
        <w:rPr>
          <w:sz w:val="16"/>
        </w:rPr>
      </w:pPr>
    </w:p>
    <w:p w:rsidR="00000000" w:rsidRDefault="00000000">
      <w:r>
        <w:t>43.</w:t>
      </w:r>
      <w:r>
        <w:tab/>
        <w:t xml:space="preserve">В приведенной ниже таблице показано количество рассмотренных </w:t>
      </w:r>
      <w:proofErr w:type="spellStart"/>
      <w:r>
        <w:t>ОБД</w:t>
      </w:r>
      <w:proofErr w:type="spellEnd"/>
      <w:r>
        <w:t xml:space="preserve"> дел, относящихся к Закону о равном обращении с учащимися в высших учебных заведениях в разбивке по причинам прекращения дел за период 2003-2005 годов</w:t>
      </w:r>
      <w:r>
        <w:rPr>
          <w:rStyle w:val="FootnoteReference"/>
        </w:rPr>
        <w:footnoteReference w:id="17"/>
      </w:r>
      <w:r>
        <w:t>.</w:t>
      </w:r>
    </w:p>
    <w:p w:rsidR="00000000" w:rsidRDefault="00000000">
      <w:pPr>
        <w:rPr>
          <w:sz w:val="16"/>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2"/>
        <w:gridCol w:w="1109"/>
        <w:gridCol w:w="1094"/>
        <w:gridCol w:w="11"/>
        <w:gridCol w:w="1106"/>
      </w:tblGrid>
      <w:tr w:rsidR="00000000">
        <w:tblPrEx>
          <w:tblCellMar>
            <w:top w:w="0" w:type="dxa"/>
            <w:bottom w:w="0" w:type="dxa"/>
          </w:tblCellMar>
        </w:tblPrEx>
        <w:trPr>
          <w:jc w:val="center"/>
        </w:trPr>
        <w:tc>
          <w:tcPr>
            <w:tcW w:w="4622" w:type="dxa"/>
            <w:tcBorders>
              <w:bottom w:val="single" w:sz="4" w:space="0" w:color="auto"/>
            </w:tcBorders>
          </w:tcPr>
          <w:p w:rsidR="00000000" w:rsidRDefault="00000000">
            <w:pPr>
              <w:spacing w:line="216" w:lineRule="auto"/>
              <w:jc w:val="center"/>
            </w:pPr>
            <w:r>
              <w:t>Причина прекращения дела</w:t>
            </w:r>
          </w:p>
        </w:tc>
        <w:tc>
          <w:tcPr>
            <w:tcW w:w="1109" w:type="dxa"/>
            <w:tcBorders>
              <w:bottom w:val="single" w:sz="4" w:space="0" w:color="auto"/>
            </w:tcBorders>
          </w:tcPr>
          <w:p w:rsidR="00000000" w:rsidRDefault="00000000">
            <w:pPr>
              <w:spacing w:line="216" w:lineRule="auto"/>
              <w:jc w:val="center"/>
            </w:pPr>
            <w:r>
              <w:t>2003</w:t>
            </w:r>
          </w:p>
        </w:tc>
        <w:tc>
          <w:tcPr>
            <w:tcW w:w="1105" w:type="dxa"/>
            <w:gridSpan w:val="2"/>
            <w:tcBorders>
              <w:bottom w:val="single" w:sz="4" w:space="0" w:color="auto"/>
            </w:tcBorders>
          </w:tcPr>
          <w:p w:rsidR="00000000" w:rsidRDefault="00000000">
            <w:pPr>
              <w:spacing w:line="216" w:lineRule="auto"/>
              <w:jc w:val="center"/>
            </w:pPr>
            <w:r>
              <w:t>2004</w:t>
            </w:r>
          </w:p>
        </w:tc>
        <w:tc>
          <w:tcPr>
            <w:tcW w:w="1106" w:type="dxa"/>
            <w:tcBorders>
              <w:bottom w:val="single" w:sz="4" w:space="0" w:color="auto"/>
            </w:tcBorders>
          </w:tcPr>
          <w:p w:rsidR="00000000" w:rsidRDefault="00000000">
            <w:pPr>
              <w:spacing w:line="216" w:lineRule="auto"/>
              <w:jc w:val="center"/>
            </w:pPr>
            <w:r>
              <w:t>2005</w:t>
            </w:r>
          </w:p>
        </w:tc>
      </w:tr>
      <w:tr w:rsidR="00000000">
        <w:tblPrEx>
          <w:tblCellMar>
            <w:top w:w="0" w:type="dxa"/>
            <w:bottom w:w="0" w:type="dxa"/>
          </w:tblCellMar>
        </w:tblPrEx>
        <w:trPr>
          <w:jc w:val="center"/>
        </w:trPr>
        <w:tc>
          <w:tcPr>
            <w:tcW w:w="4622" w:type="dxa"/>
            <w:tcBorders>
              <w:top w:val="single" w:sz="4" w:space="0" w:color="auto"/>
              <w:left w:val="single" w:sz="4" w:space="0" w:color="auto"/>
              <w:bottom w:val="nil"/>
              <w:right w:val="single" w:sz="4" w:space="0" w:color="auto"/>
            </w:tcBorders>
          </w:tcPr>
          <w:p w:rsidR="00000000" w:rsidRDefault="00000000">
            <w:pPr>
              <w:spacing w:line="216" w:lineRule="auto"/>
            </w:pPr>
            <w:r>
              <w:t>Недостаточная обоснованность жалобы</w:t>
            </w:r>
          </w:p>
        </w:tc>
        <w:tc>
          <w:tcPr>
            <w:tcW w:w="1109" w:type="dxa"/>
            <w:tcBorders>
              <w:top w:val="single" w:sz="4" w:space="0" w:color="auto"/>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r>
              <w:t>1</w:t>
            </w:r>
          </w:p>
        </w:tc>
        <w:tc>
          <w:tcPr>
            <w:tcW w:w="1105" w:type="dxa"/>
            <w:gridSpan w:val="2"/>
            <w:tcBorders>
              <w:top w:val="single" w:sz="4" w:space="0" w:color="auto"/>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r>
              <w:t>3</w:t>
            </w:r>
          </w:p>
        </w:tc>
        <w:tc>
          <w:tcPr>
            <w:tcW w:w="1106" w:type="dxa"/>
            <w:tcBorders>
              <w:top w:val="single" w:sz="4" w:space="0" w:color="auto"/>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p>
        </w:tc>
      </w:tr>
      <w:tr w:rsidR="00000000">
        <w:tblPrEx>
          <w:tblCellMar>
            <w:top w:w="0" w:type="dxa"/>
            <w:bottom w:w="0" w:type="dxa"/>
          </w:tblCellMar>
        </w:tblPrEx>
        <w:trPr>
          <w:jc w:val="center"/>
        </w:trPr>
        <w:tc>
          <w:tcPr>
            <w:tcW w:w="4622" w:type="dxa"/>
            <w:tcBorders>
              <w:top w:val="nil"/>
              <w:left w:val="single" w:sz="4" w:space="0" w:color="auto"/>
              <w:bottom w:val="nil"/>
              <w:right w:val="single" w:sz="4" w:space="0" w:color="auto"/>
            </w:tcBorders>
          </w:tcPr>
          <w:p w:rsidR="00000000" w:rsidRDefault="00000000">
            <w:pPr>
              <w:spacing w:line="216" w:lineRule="auto"/>
            </w:pPr>
            <w:r>
              <w:t>Отсутствие исковой силы</w:t>
            </w:r>
          </w:p>
        </w:tc>
        <w:tc>
          <w:tcPr>
            <w:tcW w:w="1109" w:type="dxa"/>
            <w:tcBorders>
              <w:top w:val="nil"/>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r>
              <w:t>4</w:t>
            </w:r>
          </w:p>
        </w:tc>
        <w:tc>
          <w:tcPr>
            <w:tcW w:w="1105" w:type="dxa"/>
            <w:gridSpan w:val="2"/>
            <w:tcBorders>
              <w:top w:val="nil"/>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p>
        </w:tc>
        <w:tc>
          <w:tcPr>
            <w:tcW w:w="1106" w:type="dxa"/>
            <w:tcBorders>
              <w:top w:val="nil"/>
              <w:left w:val="single" w:sz="4" w:space="0" w:color="auto"/>
              <w:bottom w:val="nil"/>
              <w:right w:val="single" w:sz="4" w:space="0" w:color="auto"/>
            </w:tcBorders>
          </w:tcPr>
          <w:p w:rsidR="00000000" w:rsidRDefault="00000000">
            <w:pPr>
              <w:tabs>
                <w:tab w:val="clear" w:pos="567"/>
                <w:tab w:val="clear" w:pos="1134"/>
              </w:tabs>
              <w:spacing w:line="216" w:lineRule="auto"/>
              <w:ind w:right="460"/>
              <w:jc w:val="right"/>
            </w:pPr>
            <w:r>
              <w:t>3</w:t>
            </w:r>
          </w:p>
        </w:tc>
      </w:tr>
      <w:tr w:rsidR="00000000">
        <w:tblPrEx>
          <w:tblCellMar>
            <w:top w:w="0" w:type="dxa"/>
            <w:bottom w:w="0" w:type="dxa"/>
          </w:tblCellMar>
        </w:tblPrEx>
        <w:trPr>
          <w:jc w:val="center"/>
        </w:trPr>
        <w:tc>
          <w:tcPr>
            <w:tcW w:w="4622" w:type="dxa"/>
            <w:tcBorders>
              <w:top w:val="nil"/>
              <w:left w:val="single" w:sz="4" w:space="0" w:color="auto"/>
              <w:bottom w:val="single" w:sz="4" w:space="0" w:color="auto"/>
              <w:right w:val="single" w:sz="4" w:space="0" w:color="auto"/>
            </w:tcBorders>
          </w:tcPr>
          <w:p w:rsidR="00000000" w:rsidRDefault="00000000">
            <w:pPr>
              <w:spacing w:line="216" w:lineRule="auto"/>
            </w:pPr>
            <w:r>
              <w:t>Отзыв</w:t>
            </w:r>
          </w:p>
        </w:tc>
        <w:tc>
          <w:tcPr>
            <w:tcW w:w="1109"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r>
              <w:t>2</w:t>
            </w:r>
          </w:p>
        </w:tc>
        <w:tc>
          <w:tcPr>
            <w:tcW w:w="1105" w:type="dxa"/>
            <w:gridSpan w:val="2"/>
            <w:tcBorders>
              <w:top w:val="nil"/>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p>
        </w:tc>
        <w:tc>
          <w:tcPr>
            <w:tcW w:w="1106" w:type="dxa"/>
            <w:tcBorders>
              <w:top w:val="nil"/>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r>
              <w:t>1</w:t>
            </w:r>
          </w:p>
        </w:tc>
      </w:tr>
      <w:tr w:rsidR="00000000">
        <w:tblPrEx>
          <w:tblCellMar>
            <w:top w:w="0" w:type="dxa"/>
            <w:bottom w:w="0" w:type="dxa"/>
          </w:tblCellMar>
        </w:tblPrEx>
        <w:trPr>
          <w:jc w:val="center"/>
        </w:trPr>
        <w:tc>
          <w:tcPr>
            <w:tcW w:w="462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Закрытие</w:t>
            </w:r>
            <w:r>
              <w:rPr>
                <w:rStyle w:val="FootnoteReference"/>
              </w:rPr>
              <w:footnoteReference w:id="18"/>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r>
              <w:t>8</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r>
              <w:t>12</w:t>
            </w:r>
          </w:p>
        </w:tc>
        <w:tc>
          <w:tcPr>
            <w:tcW w:w="111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spacing w:line="216" w:lineRule="auto"/>
              <w:ind w:right="460"/>
              <w:jc w:val="right"/>
            </w:pPr>
            <w:r>
              <w:t>15</w:t>
            </w:r>
          </w:p>
        </w:tc>
      </w:tr>
    </w:tbl>
    <w:p w:rsidR="00000000" w:rsidRDefault="00000000"/>
    <w:p w:rsidR="00000000" w:rsidRDefault="00000000">
      <w:r>
        <w:t>44.</w:t>
      </w:r>
      <w:r>
        <w:tab/>
        <w:t>Закон о равном обращении с учащимися в высших учебных заведениях требует от учреждений высшей школы принимать активные меры по поощрению равных прав, а также разрабатывать и ежегодно осуществлять план действий в области обеспечения равного обращения.  В 2004 году университеты и университетские колледжи представили правительству доклад о мерах, принятых учебными заведениями на основе этого плана.  Омбудсмены по вопросам дискриминации также контролируют институциональную деятельность посредством анализа жалоб и проводимых по собственной инициативе проверок.  Они также реализовали комплексную информационную инициативу, направленную на повышение эффективности требуемых законом мер в сфере высшего образования.</w:t>
      </w:r>
    </w:p>
    <w:p w:rsidR="00000000" w:rsidRDefault="00000000"/>
    <w:p w:rsidR="00000000" w:rsidRDefault="00000000">
      <w:r>
        <w:t>45.</w:t>
      </w:r>
      <w:r>
        <w:tab/>
        <w:t>В результате отмеченных инициатив многие университеты и университетские колледжи имеют планы действий, а также рабочие структуры для реализации программ обеспечения равного обращения.  Правительство ведет тщательный контроль за соблюдением положений законодательства высшими учебными заведениями.</w:t>
      </w:r>
    </w:p>
    <w:p w:rsidR="00000000" w:rsidRDefault="00000000"/>
    <w:p w:rsidR="00000000" w:rsidRDefault="00000000">
      <w:r>
        <w:t>46.</w:t>
      </w:r>
      <w:r>
        <w:tab/>
        <w:t>Полных статистических данных о том, каким образом ОБД урегулировал жалобы на нарушение Закона о запрещении дискриминации, не имеется.  Применение этого закона предполагает необходимость более тщательного расследования и сопряжено с более сложными вопросами и оценками по сравнению с применением других законов.  В результате расследования затягиваются.  В 2005 году удалось урегулировать без суда 16 дел.  Еще по 16 делам были приняты решения в пользу подателей жалобы путем использования иных механизмов.  Большинство дел были прекращены в силу того, что в ходе следствия не удалось установить обстоятельств, подтверждающих заявления подателей жалобы на дискриминацию, как это определяется законом.</w:t>
      </w:r>
    </w:p>
    <w:p w:rsidR="00000000" w:rsidRDefault="00000000">
      <w:pPr>
        <w:rPr>
          <w:b/>
          <w:bCs/>
        </w:rPr>
      </w:pPr>
    </w:p>
    <w:p w:rsidR="00000000" w:rsidRDefault="00000000">
      <w:pPr>
        <w:rPr>
          <w:b/>
          <w:bCs/>
        </w:rPr>
      </w:pPr>
      <w:r>
        <w:rPr>
          <w:b/>
          <w:bCs/>
        </w:rPr>
        <w:t>Другие общие меры по борьбе с этнической дискриминацией и расизмом</w:t>
      </w:r>
    </w:p>
    <w:p w:rsidR="00000000" w:rsidRDefault="00000000">
      <w:pPr>
        <w:rPr>
          <w:b/>
          <w:bCs/>
        </w:rPr>
      </w:pPr>
    </w:p>
    <w:p w:rsidR="00000000" w:rsidRDefault="00000000">
      <w:pPr>
        <w:rPr>
          <w:i/>
          <w:iCs/>
        </w:rPr>
      </w:pPr>
      <w:r>
        <w:rPr>
          <w:i/>
          <w:iCs/>
        </w:rPr>
        <w:t>Национальный план действий в области прав человека</w:t>
      </w:r>
    </w:p>
    <w:p w:rsidR="00000000" w:rsidRDefault="00000000">
      <w:pPr>
        <w:rPr>
          <w:b/>
          <w:bCs/>
          <w:i/>
          <w:iCs/>
        </w:rPr>
      </w:pPr>
    </w:p>
    <w:p w:rsidR="00000000" w:rsidRDefault="00000000">
      <w:r>
        <w:t>47.</w:t>
      </w:r>
      <w:r>
        <w:tab/>
      </w:r>
      <w:r>
        <w:rPr>
          <w:i/>
          <w:iCs/>
        </w:rPr>
        <w:t>Национальный план действий в области прав человека на 2006-2009 годы</w:t>
      </w:r>
      <w:r>
        <w:t xml:space="preserve"> (правительственное сообщение 2005/06:95) был представлен в риксдаг 9 марта 2006 года.  В плане действий основной упор сделан на меры по борьбе с дискриминацией.  В нем также рассматриваются и развиваются вопросы, содержащиеся в </w:t>
      </w:r>
      <w:r>
        <w:rPr>
          <w:i/>
          <w:iCs/>
        </w:rPr>
        <w:t xml:space="preserve">Национальном плане действий по борьбе с расизмом, ксенофобией, гомофобией и дискриминацией 2001 года </w:t>
      </w:r>
      <w:r>
        <w:t>(правительственное сообщение 2000/01:59).  С дополнительной информацией по Плану действий Комитет может ознакомиться в пунктах 129-131 по статье 7.</w:t>
      </w:r>
    </w:p>
    <w:p w:rsidR="00000000" w:rsidRDefault="00000000"/>
    <w:p w:rsidR="00000000" w:rsidRDefault="00000000">
      <w:pPr>
        <w:keepNext/>
        <w:rPr>
          <w:i/>
          <w:iCs/>
        </w:rPr>
      </w:pPr>
      <w:r>
        <w:rPr>
          <w:i/>
          <w:iCs/>
        </w:rPr>
        <w:t>Антидискриминационные стратегии в государственных учреждениях</w:t>
      </w:r>
    </w:p>
    <w:p w:rsidR="00000000" w:rsidRDefault="00000000">
      <w:pPr>
        <w:keepNext/>
        <w:rPr>
          <w:b/>
          <w:bCs/>
          <w:i/>
          <w:iCs/>
        </w:rPr>
      </w:pPr>
    </w:p>
    <w:p w:rsidR="00000000" w:rsidRDefault="00000000">
      <w:pPr>
        <w:keepNext/>
      </w:pPr>
      <w:r>
        <w:t>48.</w:t>
      </w:r>
      <w:r>
        <w:tab/>
        <w:t>Ряду государственных ведомств было поручено разработать антидискриминационные стратегии.  Цель стратегий состоит в создании долгосрочных, постоянно действующих комплексных антидискриминационных программ.  Они должны быть ориентированы на те виды дискриминации, которые могут возникать в процессе деятельности этого ведомства и охватывать различные вопросы в этой области, например отношение к лицам, обращающимся в данное ведомство.</w:t>
      </w:r>
    </w:p>
    <w:p w:rsidR="00000000" w:rsidRDefault="00000000"/>
    <w:p w:rsidR="00000000" w:rsidRDefault="00000000">
      <w:pPr>
        <w:rPr>
          <w:i/>
          <w:iCs/>
        </w:rPr>
      </w:pPr>
      <w:r>
        <w:rPr>
          <w:i/>
          <w:iCs/>
        </w:rPr>
        <w:t>Антидискриминационные программы в государственных компаниях</w:t>
      </w:r>
    </w:p>
    <w:p w:rsidR="00000000" w:rsidRDefault="00000000">
      <w:pPr>
        <w:rPr>
          <w:b/>
          <w:bCs/>
          <w:i/>
          <w:iCs/>
        </w:rPr>
      </w:pPr>
    </w:p>
    <w:p w:rsidR="00000000" w:rsidRDefault="00000000">
      <w:r>
        <w:t>49.</w:t>
      </w:r>
      <w:r>
        <w:tab/>
        <w:t>"Корпоративная политика" государственных компаний предусматривает необходимость разнообразия, наличие цели в работе по обеспечению разнообразия и наличие инструментов для достижения целей этой политики.  В корпоративную политику в 2006 году были внесены изменения в порядке уточнения необходимости принятия мер по борьбе с дискриминацией.  Общей целью этих мер является предотвращение проявлений дискриминаций по признаку пола, этнической принадлежности, религиозных или иных убеждений, сексуальной ориентации или инвалидности по отношению к работникам, заказчикам, поставщикам или иным лицам, с которыми работает компания.  Инициативы в этой области включают планы действий, подготовленные государственными компаниями.</w:t>
      </w:r>
    </w:p>
    <w:p w:rsidR="00000000" w:rsidRDefault="00000000"/>
    <w:p w:rsidR="00000000" w:rsidRDefault="00000000">
      <w:pPr>
        <w:rPr>
          <w:i/>
          <w:iCs/>
        </w:rPr>
      </w:pPr>
      <w:r>
        <w:rPr>
          <w:i/>
          <w:iCs/>
        </w:rPr>
        <w:t>Антидискриминационные положения в закупочных контрактах</w:t>
      </w:r>
    </w:p>
    <w:p w:rsidR="00000000" w:rsidRDefault="00000000">
      <w:pPr>
        <w:rPr>
          <w:b/>
          <w:bCs/>
          <w:i/>
          <w:iCs/>
        </w:rPr>
      </w:pPr>
    </w:p>
    <w:p w:rsidR="00000000" w:rsidRDefault="00000000">
      <w:r>
        <w:t>50.</w:t>
      </w:r>
      <w:r>
        <w:tab/>
        <w:t>Указ об антидискриминационных условиях в закупочных контрактах (2006:260) вступил в силу 1 июля 2006 года.  Цель этого указа состоит в повышении степени осведомленности о недискриминационных законах Швеции, а также в улучшении положения в области их соблюдения.</w:t>
      </w:r>
    </w:p>
    <w:p w:rsidR="00000000" w:rsidRDefault="00000000">
      <w:r>
        <w:t>51.</w:t>
      </w:r>
      <w:r>
        <w:tab/>
        <w:t>Действие Указа распространяется на 30 государственных ведомств, которые обязаны применять антидискриминационные условия в определенных сферах, охватываемых сервисными контрактами.  Цель состоит в противодействии дискриминации со стороны поставщиков услуг в области осуществления работ и сервисных контрактов в Швеции.  Указ налагает определенные требования в отношении того, каким образом должны быть сформулированы антидискриминационные условия.  Агентства также обязаны предусматривать соответствующие санкции за несоблюдение этих условий.</w:t>
      </w:r>
    </w:p>
    <w:p w:rsidR="00000000" w:rsidRDefault="00000000"/>
    <w:p w:rsidR="00000000" w:rsidRDefault="00000000">
      <w:r>
        <w:t>52.</w:t>
      </w:r>
      <w:r>
        <w:tab/>
        <w:t>Общие рекомендации по применению Указа и типовые антидискриминационные условия были составлены Национальным советом по государственным закупкам в консультации с омбудсменами по вопросам борьбы с дискриминацией.</w:t>
      </w:r>
    </w:p>
    <w:p w:rsidR="00000000" w:rsidRDefault="00000000"/>
    <w:p w:rsidR="00000000" w:rsidRDefault="00000000">
      <w:pPr>
        <w:rPr>
          <w:i/>
          <w:iCs/>
        </w:rPr>
      </w:pPr>
      <w:r>
        <w:rPr>
          <w:i/>
          <w:iCs/>
        </w:rPr>
        <w:t>Программы регионального развития в области поощрения разнообразия и защиты от дискриминации</w:t>
      </w:r>
    </w:p>
    <w:p w:rsidR="00000000" w:rsidRDefault="00000000">
      <w:pPr>
        <w:rPr>
          <w:b/>
          <w:bCs/>
          <w:i/>
          <w:iCs/>
        </w:rPr>
      </w:pPr>
    </w:p>
    <w:p w:rsidR="00000000" w:rsidRDefault="00000000">
      <w:r>
        <w:t>53.</w:t>
      </w:r>
      <w:r>
        <w:tab/>
        <w:t>В декабре 2005 года Агентству по вопросам административного развития было поручено возглавить и взять на себя координацию осуществления проекта по поощрению разнообразия и борьбе с дискриминацией.  Этот проект охватывает около 50 государственных ведомств в пяти округах.  Окружные административные советы несут ответственность за координацию работы и передачу знаний участвующим ведомствам в их округах.</w:t>
      </w:r>
    </w:p>
    <w:p w:rsidR="00000000" w:rsidRDefault="00000000"/>
    <w:p w:rsidR="00000000" w:rsidRDefault="00000000">
      <w:r>
        <w:t>54.</w:t>
      </w:r>
      <w:r>
        <w:tab/>
        <w:t>Цель проекта состоит в поддержке и развитии деятельности агентств в области поощрения разнообразия и борьбы с дискриминацией, а также в создании в государственных организациях открытой атмосферы, свободной от предрассудков.  В мае 2008 года Агентство по вопросам административного развития представит правительству заключительный доклад по итогам данного проекта.  Проведение оценки проекта было поручено Агентству по вопросам государственного управления.</w:t>
      </w:r>
    </w:p>
    <w:p w:rsidR="00000000" w:rsidRDefault="00000000"/>
    <w:p w:rsidR="00000000" w:rsidRDefault="00000000">
      <w:pPr>
        <w:rPr>
          <w:i/>
          <w:iCs/>
        </w:rPr>
      </w:pPr>
      <w:r>
        <w:rPr>
          <w:i/>
          <w:iCs/>
        </w:rPr>
        <w:t>Финансовая поддержка программ в области борьбы с дискриминацией</w:t>
      </w:r>
    </w:p>
    <w:p w:rsidR="00000000" w:rsidRDefault="00000000">
      <w:pPr>
        <w:rPr>
          <w:b/>
          <w:bCs/>
          <w:i/>
          <w:iCs/>
        </w:rPr>
      </w:pPr>
    </w:p>
    <w:p w:rsidR="00000000" w:rsidRDefault="00000000">
      <w:r>
        <w:t>55.</w:t>
      </w:r>
      <w:r>
        <w:tab/>
        <w:t>Согласно Указу о государственных субсидиях на деятельность по предотвращению и борьбе против дискриминации (2002:989) Шведский совет по вопросам интеграции выделяет бюджетные средства на деятельность местных "организаций по борьбе с дискриминацией".  Эти инициативы также включают развитие соответствующих навыков и осуществляются в соответствии с планом, который составляется совместно со Шведским советом по вопросам интеграции и омбудсменами по вопросам борьбы с дискриминацией.  В стране насчитывается около 20 агентств, действующих в области борьбы с дискриминацией.  Совет по вопросам интеграции провел оценку программ их деятельности в 2006 году.  По ее результатам он сделал вывод о том, что работа этих организаций направлена прежде всего на борьбу с дискриминацией по этническому признаку и что им следует обращать больше внимания на дискриминацию по другим признакам.</w:t>
      </w:r>
    </w:p>
    <w:p w:rsidR="00000000" w:rsidRDefault="00000000"/>
    <w:p w:rsidR="00000000" w:rsidRDefault="00000000">
      <w:pPr>
        <w:pStyle w:val="RKnormal"/>
        <w:tabs>
          <w:tab w:val="left" w:pos="561"/>
        </w:tabs>
        <w:spacing w:line="288" w:lineRule="auto"/>
        <w:rPr>
          <w:lang w:val="ru-RU"/>
        </w:rPr>
      </w:pPr>
      <w:r>
        <w:rPr>
          <w:lang w:val="ru-RU"/>
        </w:rPr>
        <w:t>56.</w:t>
      </w:r>
      <w:r>
        <w:rPr>
          <w:lang w:val="ru-RU"/>
        </w:rPr>
        <w:tab/>
        <w:t>Шведский совет по вопросам интеграции также выделяет субсидии по линии государственного бюджета на основе специальных руководящих принципов Центру по борьбе с расизмом, который является общенациональной организацией, объединяющей около 100 неправительственных организаций.  Вместе с тем после 2007 года предоставление поддержки будет прекращено.  Центр по борьбе с расизмом был учрежден весной 2004 года и занимается главным образом вопросами ведения банка знаний на базе Интернета "Швеция против расизма".  Совет по оценке провел анализ работы Центра в 2006 году.  Один из выводов доклада о результатах его работы сводился к тому, что она охватывает относительно небольшое количество других субъектов деятельности.</w:t>
      </w:r>
    </w:p>
    <w:p w:rsidR="00000000" w:rsidRDefault="00000000">
      <w:pPr>
        <w:pStyle w:val="RKnormal"/>
        <w:tabs>
          <w:tab w:val="left" w:pos="561"/>
        </w:tabs>
        <w:spacing w:line="288" w:lineRule="auto"/>
        <w:rPr>
          <w:lang w:val="ru-RU"/>
        </w:rPr>
      </w:pPr>
    </w:p>
    <w:p w:rsidR="00000000" w:rsidRDefault="00000000">
      <w:pPr>
        <w:pStyle w:val="RKnormal"/>
        <w:keepNext/>
        <w:tabs>
          <w:tab w:val="left" w:pos="561"/>
        </w:tabs>
        <w:spacing w:line="288" w:lineRule="auto"/>
        <w:rPr>
          <w:i/>
          <w:iCs/>
          <w:lang w:val="ru-RU"/>
        </w:rPr>
      </w:pPr>
      <w:r>
        <w:rPr>
          <w:i/>
          <w:iCs/>
          <w:lang w:val="ru-RU"/>
        </w:rPr>
        <w:t>Ситуационное тестирование</w:t>
      </w:r>
    </w:p>
    <w:p w:rsidR="00000000" w:rsidRDefault="00000000">
      <w:pPr>
        <w:pStyle w:val="RKnormal"/>
        <w:keepNext/>
        <w:tabs>
          <w:tab w:val="left" w:pos="561"/>
        </w:tabs>
        <w:spacing w:line="288" w:lineRule="auto"/>
        <w:rPr>
          <w:b/>
          <w:bCs/>
          <w:i/>
          <w:iCs/>
          <w:lang w:val="ru-RU"/>
        </w:rPr>
      </w:pPr>
    </w:p>
    <w:p w:rsidR="00000000" w:rsidRDefault="00000000">
      <w:pPr>
        <w:pStyle w:val="RKnormal"/>
        <w:tabs>
          <w:tab w:val="left" w:pos="561"/>
        </w:tabs>
        <w:spacing w:line="288" w:lineRule="auto"/>
        <w:rPr>
          <w:lang w:val="ru-RU"/>
        </w:rPr>
      </w:pPr>
      <w:r>
        <w:rPr>
          <w:lang w:val="ru-RU"/>
        </w:rPr>
        <w:t xml:space="preserve">57. </w:t>
      </w:r>
      <w:r>
        <w:rPr>
          <w:lang w:val="ru-RU"/>
        </w:rPr>
        <w:tab/>
        <w:t>Шведскому совету по вопросам интеграции было поручено изучить возможности использования ситуационного тестирования в целях анализа количества и распространенности случаев этнической дискриминации на рынке труда Швеции.  Международная организация труда (МОТ), в соответствии с соглашением со Шведским советом по вопросам интеграции, провела такое исследование в  2005 и 2006 годах.  МОТ представит свои выводы и рекомендации по итогам проведения этого исследования в 2007</w:t>
      </w:r>
      <w:r>
        <w:rPr>
          <w:lang w:val="en-GB"/>
        </w:rPr>
        <w:t> </w:t>
      </w:r>
      <w:r>
        <w:rPr>
          <w:lang w:val="ru-RU"/>
        </w:rPr>
        <w:t>году.</w:t>
      </w:r>
    </w:p>
    <w:p w:rsidR="00000000" w:rsidRDefault="00000000">
      <w:pPr>
        <w:pStyle w:val="RKnormal"/>
        <w:tabs>
          <w:tab w:val="left" w:pos="561"/>
        </w:tabs>
        <w:spacing w:line="288" w:lineRule="auto"/>
        <w:rPr>
          <w:lang w:val="ru-RU"/>
        </w:rPr>
      </w:pPr>
    </w:p>
    <w:p w:rsidR="00000000" w:rsidRDefault="00000000">
      <w:pPr>
        <w:pStyle w:val="RKnormal"/>
        <w:keepNext/>
        <w:tabs>
          <w:tab w:val="left" w:pos="561"/>
        </w:tabs>
        <w:spacing w:line="288" w:lineRule="auto"/>
        <w:rPr>
          <w:i/>
          <w:iCs/>
          <w:lang w:val="ru-RU"/>
        </w:rPr>
      </w:pPr>
      <w:r>
        <w:rPr>
          <w:i/>
          <w:iCs/>
          <w:lang w:val="ru-RU"/>
        </w:rPr>
        <w:t>Комитеты по структурной дискриминации</w:t>
      </w:r>
    </w:p>
    <w:p w:rsidR="00000000" w:rsidRDefault="00000000">
      <w:pPr>
        <w:pStyle w:val="RKnormal"/>
        <w:keepNext/>
        <w:tabs>
          <w:tab w:val="left" w:pos="561"/>
        </w:tabs>
        <w:spacing w:line="288" w:lineRule="auto"/>
        <w:rPr>
          <w:b/>
          <w:bCs/>
          <w:i/>
          <w:iCs/>
          <w:lang w:val="ru-RU"/>
        </w:rPr>
      </w:pPr>
    </w:p>
    <w:p w:rsidR="00000000" w:rsidRDefault="00000000">
      <w:pPr>
        <w:pStyle w:val="RKnormal"/>
        <w:tabs>
          <w:tab w:val="left" w:pos="561"/>
        </w:tabs>
        <w:spacing w:line="288" w:lineRule="auto"/>
        <w:rPr>
          <w:lang w:val="ru-RU"/>
        </w:rPr>
      </w:pPr>
      <w:r>
        <w:rPr>
          <w:lang w:val="ru-RU"/>
        </w:rPr>
        <w:t xml:space="preserve">58. </w:t>
      </w:r>
      <w:r>
        <w:rPr>
          <w:lang w:val="ru-RU"/>
        </w:rPr>
        <w:tab/>
        <w:t xml:space="preserve">Двум специальным комитетам было поручено изучить структурную дискриминацию по признаку этнического происхождения и религиозных убеждений.  Комитет по структурной дискриминации по признакам этнического происхождения и религиозных убеждений представил свой заключительный доклад "Дом из желто-синего хрусталя </w:t>
      </w:r>
      <w:r>
        <w:rPr>
          <w:lang w:val="ru-RU"/>
        </w:rPr>
        <w:noBreakHyphen/>
        <w:t xml:space="preserve"> структурная дискриминация в Швеции" (</w:t>
      </w:r>
      <w:r>
        <w:rPr>
          <w:lang w:val="en-GB"/>
        </w:rPr>
        <w:t>SOU</w:t>
      </w:r>
      <w:r>
        <w:rPr>
          <w:lang w:val="ru-RU"/>
        </w:rPr>
        <w:t xml:space="preserve"> 2005:56) в июне 2005 года.  Комитет по вопросам правомочности, интеграции и структурной дискриминации представил свой окончательный доклад "Черная книга интеграции.  Программа действий в области обеспечения равенства и социальной сплоченности" (</w:t>
      </w:r>
      <w:r>
        <w:rPr>
          <w:lang w:val="en-GB"/>
        </w:rPr>
        <w:t>SOU</w:t>
      </w:r>
      <w:r>
        <w:rPr>
          <w:lang w:val="ru-RU"/>
        </w:rPr>
        <w:t xml:space="preserve"> 2006:79) в августе 2006 года.  Эти доклады были представлены на рассмотрение.  Содержащиеся в них рекомендации в настоящее время изучаются в государственных ведомствах.</w:t>
      </w:r>
    </w:p>
    <w:p w:rsidR="00000000" w:rsidRDefault="00000000">
      <w:pPr>
        <w:pStyle w:val="RKnormal"/>
        <w:tabs>
          <w:tab w:val="left" w:pos="561"/>
        </w:tabs>
        <w:spacing w:line="288" w:lineRule="auto"/>
        <w:rPr>
          <w:lang w:val="ru-RU"/>
        </w:rPr>
      </w:pPr>
    </w:p>
    <w:p w:rsidR="00000000" w:rsidRDefault="00000000">
      <w:pPr>
        <w:pStyle w:val="RKnormal"/>
        <w:keepNext/>
        <w:tabs>
          <w:tab w:val="left" w:pos="561"/>
        </w:tabs>
        <w:spacing w:line="288" w:lineRule="auto"/>
        <w:rPr>
          <w:i/>
          <w:iCs/>
          <w:lang w:val="ru-RU"/>
        </w:rPr>
      </w:pPr>
      <w:r>
        <w:rPr>
          <w:i/>
          <w:iCs/>
          <w:lang w:val="ru-RU"/>
        </w:rPr>
        <w:t>Отзыв лицензий на продажу алкогольных напитков</w:t>
      </w:r>
    </w:p>
    <w:p w:rsidR="00000000" w:rsidRDefault="00000000">
      <w:pPr>
        <w:pStyle w:val="RKnormal"/>
        <w:keepNext/>
        <w:tabs>
          <w:tab w:val="left" w:pos="561"/>
        </w:tabs>
        <w:spacing w:line="288" w:lineRule="auto"/>
        <w:rPr>
          <w:b/>
          <w:bCs/>
          <w:i/>
          <w:iCs/>
          <w:lang w:val="ru-RU"/>
        </w:rPr>
      </w:pPr>
    </w:p>
    <w:p w:rsidR="00000000" w:rsidRDefault="00000000">
      <w:pPr>
        <w:pStyle w:val="RKnormal"/>
        <w:tabs>
          <w:tab w:val="left" w:pos="561"/>
        </w:tabs>
        <w:spacing w:line="288" w:lineRule="auto"/>
        <w:rPr>
          <w:lang w:val="ru-RU"/>
        </w:rPr>
      </w:pPr>
      <w:r>
        <w:rPr>
          <w:lang w:val="ru-RU"/>
        </w:rPr>
        <w:t>59.</w:t>
      </w:r>
      <w:r>
        <w:rPr>
          <w:lang w:val="ru-RU"/>
        </w:rPr>
        <w:tab/>
        <w:t>Одна из задач Комитета по надзору за предоставлением социальных услуг состоит в выработке рекомендаций в отношении методов предупреждения дискриминации в ресторанах и других общественных зданиях путем внесения изменений в Закон о продаже алкогольных напитков (1994:1738), а также в привлечении внимания к возможностям борьбы с дискриминацией через просвещение.  Промежуточный доклад "Ответственное обслуживание без дискриминации" (</w:t>
      </w:r>
      <w:r>
        <w:rPr>
          <w:lang w:val="en-GB"/>
        </w:rPr>
        <w:t>SOU</w:t>
      </w:r>
      <w:r>
        <w:rPr>
          <w:lang w:val="ru-RU"/>
        </w:rPr>
        <w:t xml:space="preserve"> 2006:56) был представлен на рассмотрение.  Содержащиеся в нем рекомендации изучаются в государственных ведомствах.</w:t>
      </w:r>
    </w:p>
    <w:p w:rsidR="00000000" w:rsidRDefault="00000000">
      <w:pPr>
        <w:pStyle w:val="RKnormal"/>
        <w:tabs>
          <w:tab w:val="left" w:pos="561"/>
        </w:tabs>
        <w:spacing w:line="288" w:lineRule="auto"/>
        <w:rPr>
          <w:lang w:val="ru-RU"/>
        </w:rPr>
      </w:pPr>
    </w:p>
    <w:p w:rsidR="00000000" w:rsidRDefault="00000000">
      <w:pPr>
        <w:pStyle w:val="RKnormal"/>
        <w:keepNext/>
        <w:tabs>
          <w:tab w:val="left" w:pos="561"/>
        </w:tabs>
        <w:spacing w:line="288" w:lineRule="auto"/>
        <w:rPr>
          <w:i/>
          <w:iCs/>
          <w:lang w:val="ru-RU"/>
        </w:rPr>
      </w:pPr>
      <w:r>
        <w:rPr>
          <w:i/>
          <w:iCs/>
          <w:lang w:val="ru-RU"/>
        </w:rPr>
        <w:t>Дискриминация и нетерпимость на почве религиозных или иных убеждений</w:t>
      </w:r>
    </w:p>
    <w:p w:rsidR="00000000" w:rsidRDefault="00000000">
      <w:pPr>
        <w:pStyle w:val="RKnormal"/>
        <w:keepNext/>
        <w:tabs>
          <w:tab w:val="left" w:pos="561"/>
        </w:tabs>
        <w:spacing w:line="288" w:lineRule="auto"/>
        <w:rPr>
          <w:b/>
          <w:bCs/>
          <w:i/>
          <w:iCs/>
          <w:lang w:val="ru-RU"/>
        </w:rPr>
      </w:pPr>
    </w:p>
    <w:p w:rsidR="00000000" w:rsidRDefault="00000000">
      <w:pPr>
        <w:tabs>
          <w:tab w:val="clear" w:pos="567"/>
          <w:tab w:val="left" w:pos="561"/>
        </w:tabs>
      </w:pPr>
      <w:r>
        <w:t>60.</w:t>
      </w:r>
      <w:r>
        <w:tab/>
        <w:t>Многие из общих мер противодействия этнической дискриминации и расизму, которые обсуждаются в настоящем докладе, также направлены на предупреждение и борьбу с дискриминацией и нетерпимостью на почве религиозных или иных убеждений, например с антисемитизмом и исламофобией.</w:t>
      </w:r>
    </w:p>
    <w:p w:rsidR="00000000" w:rsidRDefault="00000000">
      <w:pPr>
        <w:tabs>
          <w:tab w:val="clear" w:pos="567"/>
          <w:tab w:val="left" w:pos="561"/>
        </w:tabs>
      </w:pPr>
    </w:p>
    <w:p w:rsidR="00000000" w:rsidRDefault="00000000">
      <w:pPr>
        <w:tabs>
          <w:tab w:val="clear" w:pos="567"/>
          <w:tab w:val="left" w:pos="561"/>
        </w:tabs>
        <w:rPr>
          <w:b/>
          <w:bCs/>
          <w:i/>
          <w:iCs/>
        </w:rPr>
      </w:pPr>
      <w:r>
        <w:t>61.</w:t>
      </w:r>
      <w:r>
        <w:tab/>
        <w:t xml:space="preserve">Как сообщалось в пунктах 122 и 123 пятнадцатого и шестнадцатого периодических докладов, 1 июня 2003 года на правах публичного ведомства был учрежден форум "Живая история".  Задача Форума состоит в организации непрерывного процесса образования преподавателей и других специалистов, работающих с детьми и молодежью, по формам проявления нетерпимости, например исламофобии и антисемитизма.  Форум "Живая история" также проводит подробные исследования в области исламофобии и антисемитизма в целях углубления понимания причин возникновения этих явлений.  С дополнительной информацией об этом агентстве Комитет может ознакомиться в пункте 134 по статье 7.  </w:t>
      </w:r>
    </w:p>
    <w:p w:rsidR="00000000" w:rsidRDefault="00000000">
      <w:pPr>
        <w:tabs>
          <w:tab w:val="clear" w:pos="567"/>
          <w:tab w:val="left" w:pos="561"/>
        </w:tabs>
        <w:rPr>
          <w:b/>
          <w:bCs/>
          <w:i/>
          <w:iCs/>
        </w:rPr>
      </w:pPr>
    </w:p>
    <w:p w:rsidR="00000000" w:rsidRDefault="00000000">
      <w:pPr>
        <w:pStyle w:val="RKnormal"/>
        <w:tabs>
          <w:tab w:val="left" w:pos="561"/>
        </w:tabs>
        <w:spacing w:line="288" w:lineRule="auto"/>
        <w:rPr>
          <w:lang w:val="ru-RU"/>
        </w:rPr>
      </w:pPr>
      <w:r>
        <w:rPr>
          <w:lang w:val="ru-RU"/>
        </w:rPr>
        <w:t>62.</w:t>
      </w:r>
      <w:r>
        <w:rPr>
          <w:lang w:val="ru-RU"/>
        </w:rPr>
        <w:tab/>
        <w:t xml:space="preserve">В 2000 был учрежден Государственный совет по контактам с религиозными общинами, председателем которого является государственный министр, отвечающий за решение вопросов, относящихся к религиозным общинам.  Совет состоит из представителей христианской, еврейской, мусульманской и буддистской общин, а также представителей государства.  Совет призван служить форумом для непрерывного взаимодействия и обмена знаниями и опытом, включая дискуссии о религиозных и иных ценностях.  </w:t>
      </w:r>
    </w:p>
    <w:p w:rsidR="00000000" w:rsidRDefault="00000000">
      <w:pPr>
        <w:pStyle w:val="RKnormal"/>
        <w:tabs>
          <w:tab w:val="left" w:pos="561"/>
        </w:tabs>
        <w:spacing w:line="288" w:lineRule="auto"/>
        <w:rPr>
          <w:lang w:val="ru-RU"/>
        </w:rPr>
      </w:pPr>
    </w:p>
    <w:p w:rsidR="00000000" w:rsidRDefault="00000000">
      <w:pPr>
        <w:tabs>
          <w:tab w:val="clear" w:pos="567"/>
          <w:tab w:val="left" w:pos="561"/>
        </w:tabs>
      </w:pPr>
      <w:r>
        <w:t>63.</w:t>
      </w:r>
      <w:r>
        <w:tab/>
        <w:t xml:space="preserve">При финансовой поддержке со стороны Шведского совета по вопросам интеграции семь мусульманских организаций образовали зонтичную организацию под названием "Форум за равные права".  Форум объединяет женские, молодежные и студенческие организации, а также одну учебную организацию. В качестве одного из результатов их деятельности, полученных на сегодняшний день, является создание агентства по борьбе с дискриминацией в Стокгольме.  </w:t>
      </w:r>
    </w:p>
    <w:p w:rsidR="00000000" w:rsidRDefault="00000000">
      <w:pPr>
        <w:tabs>
          <w:tab w:val="clear" w:pos="567"/>
          <w:tab w:val="left" w:pos="561"/>
        </w:tabs>
      </w:pPr>
    </w:p>
    <w:p w:rsidR="00000000" w:rsidRDefault="00000000">
      <w:pPr>
        <w:pStyle w:val="RKnormal"/>
        <w:keepNext/>
        <w:tabs>
          <w:tab w:val="left" w:pos="561"/>
        </w:tabs>
        <w:spacing w:line="288" w:lineRule="auto"/>
        <w:jc w:val="center"/>
        <w:rPr>
          <w:b/>
          <w:bCs/>
          <w:lang w:val="ru-RU"/>
        </w:rPr>
      </w:pPr>
      <w:r>
        <w:rPr>
          <w:b/>
          <w:bCs/>
          <w:lang w:val="ru-RU"/>
        </w:rPr>
        <w:t>Статья 2.2</w:t>
      </w:r>
    </w:p>
    <w:p w:rsidR="00000000" w:rsidRDefault="00000000">
      <w:pPr>
        <w:pStyle w:val="RKnormal"/>
        <w:keepNext/>
        <w:tabs>
          <w:tab w:val="left" w:pos="561"/>
        </w:tabs>
        <w:spacing w:line="288" w:lineRule="auto"/>
        <w:rPr>
          <w:b/>
          <w:bCs/>
          <w:u w:val="single"/>
          <w:lang w:val="ru-RU"/>
        </w:rPr>
      </w:pPr>
    </w:p>
    <w:p w:rsidR="00000000" w:rsidRDefault="00000000">
      <w:pPr>
        <w:pStyle w:val="RKnormal"/>
        <w:keepNext/>
        <w:tabs>
          <w:tab w:val="left" w:pos="561"/>
        </w:tabs>
        <w:spacing w:line="288" w:lineRule="auto"/>
        <w:rPr>
          <w:b/>
          <w:bCs/>
          <w:lang w:val="ru-RU"/>
        </w:rPr>
      </w:pPr>
      <w:r>
        <w:rPr>
          <w:b/>
          <w:bCs/>
          <w:lang w:val="ru-RU"/>
        </w:rPr>
        <w:t>Национальные меньшинства</w:t>
      </w:r>
    </w:p>
    <w:p w:rsidR="00000000" w:rsidRDefault="00000000">
      <w:pPr>
        <w:pStyle w:val="RKnormal"/>
        <w:keepNext/>
        <w:tabs>
          <w:tab w:val="left" w:pos="561"/>
        </w:tabs>
        <w:spacing w:line="288" w:lineRule="auto"/>
        <w:rPr>
          <w:b/>
          <w:bCs/>
          <w:i/>
          <w:iCs/>
          <w:lang w:val="ru-RU"/>
        </w:rPr>
      </w:pPr>
    </w:p>
    <w:p w:rsidR="00000000" w:rsidRDefault="00000000">
      <w:pPr>
        <w:pStyle w:val="RKnormal"/>
        <w:tabs>
          <w:tab w:val="left" w:pos="561"/>
        </w:tabs>
        <w:spacing w:line="288" w:lineRule="auto"/>
        <w:rPr>
          <w:lang w:val="ru-RU"/>
        </w:rPr>
      </w:pPr>
      <w:r>
        <w:rPr>
          <w:lang w:val="ru-RU"/>
        </w:rPr>
        <w:t>64.</w:t>
      </w:r>
      <w:r>
        <w:rPr>
          <w:lang w:val="ru-RU"/>
        </w:rPr>
        <w:tab/>
        <w:t xml:space="preserve">Как было отмечено в пунктах 42–44 </w:t>
      </w:r>
      <w:r>
        <w:t>пятнадцатого и шестнадцатого периодическ</w:t>
      </w:r>
      <w:r>
        <w:rPr>
          <w:lang w:val="ru-RU"/>
        </w:rPr>
        <w:t>их</w:t>
      </w:r>
      <w:r>
        <w:t xml:space="preserve"> доклад</w:t>
      </w:r>
      <w:r>
        <w:rPr>
          <w:lang w:val="ru-RU"/>
        </w:rPr>
        <w:t>ов, в 2000 году была разработана политика в области национальных меньшинств.  В этой связи было развернуто несколько государственных инициатив, включая меры по борьбе с дискриминацией, а также по поощрению защиты национальных меньшинств и их языков.</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t>65.</w:t>
      </w:r>
      <w:r>
        <w:rPr>
          <w:lang w:val="ru-RU"/>
        </w:rPr>
        <w:tab/>
        <w:t>Процесс консультаций правительства с представителями организаций меньшинств был активизирован за счет проведения ежегодных совместных консультаций в рамках отдельных встреч с каждой группой меньшинств.</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b/>
          <w:bCs/>
          <w:lang w:val="ru-RU"/>
        </w:rPr>
      </w:pPr>
      <w:r>
        <w:rPr>
          <w:b/>
          <w:bCs/>
          <w:lang w:val="ru-RU"/>
        </w:rPr>
        <w:t>Рома</w:t>
      </w:r>
    </w:p>
    <w:p w:rsidR="00000000" w:rsidRDefault="00000000">
      <w:pPr>
        <w:pStyle w:val="RKnormal"/>
        <w:tabs>
          <w:tab w:val="left" w:pos="561"/>
        </w:tabs>
        <w:spacing w:line="288" w:lineRule="auto"/>
        <w:rPr>
          <w:b/>
          <w:bCs/>
          <w:i/>
          <w:iCs/>
          <w:lang w:val="ru-RU"/>
        </w:rPr>
      </w:pPr>
    </w:p>
    <w:p w:rsidR="00000000" w:rsidRDefault="00000000">
      <w:pPr>
        <w:pStyle w:val="RKnormal"/>
        <w:tabs>
          <w:tab w:val="left" w:pos="561"/>
        </w:tabs>
        <w:spacing w:line="288" w:lineRule="auto"/>
        <w:rPr>
          <w:lang w:val="ru-RU"/>
        </w:rPr>
      </w:pPr>
      <w:r>
        <w:rPr>
          <w:lang w:val="ru-RU"/>
        </w:rPr>
        <w:t>66.</w:t>
      </w:r>
      <w:r>
        <w:rPr>
          <w:lang w:val="ru-RU"/>
        </w:rPr>
        <w:tab/>
        <w:t xml:space="preserve">Как отмечалось в пункте 55 </w:t>
      </w:r>
      <w:r>
        <w:t>пятнадцатого и шестнадцатого периодическ</w:t>
      </w:r>
      <w:r>
        <w:rPr>
          <w:lang w:val="ru-RU"/>
        </w:rPr>
        <w:t xml:space="preserve">их </w:t>
      </w:r>
      <w:r>
        <w:t>доклад</w:t>
      </w:r>
      <w:r>
        <w:rPr>
          <w:lang w:val="ru-RU"/>
        </w:rPr>
        <w:t>ов, в 2002 году на правах консультативного органа правительства был создан Совет по проблемам рома.  Работа Совета способствует осуществлению нескольких инициатив, направленных на улучшение положения рома в шведском обществе, включая проведение подробного исследования положения учащихся из числа рома в шведских школах, которое было поручено Национальному агентству по вопросам образования.</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t>67.</w:t>
      </w:r>
      <w:r>
        <w:rPr>
          <w:lang w:val="ru-RU"/>
        </w:rPr>
        <w:tab/>
        <w:t>В 2004 году правительству был представлен доклад о результатах осуществления ОБД проекта по борьбе с дискриминацией в отношении рома.  В докладе рекомендовались меры в порядке продолжения усилий, направленных на ликвидацию дискриминации.  В этой связи агентство получило постоянный мандат, а также специальные ассигнования для работы по этому вопросу.</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t>68.</w:t>
      </w:r>
      <w:r>
        <w:rPr>
          <w:lang w:val="ru-RU"/>
        </w:rPr>
        <w:tab/>
        <w:t>Созданная в 2002 году рабочая группа цыганских женщин проводит региональные семинары, обеспечивающие возможность для налаживания связей и обсуждения положения цыганских женщин и девушек в сфере образования и занятости.</w:t>
      </w:r>
    </w:p>
    <w:p w:rsidR="00000000" w:rsidRDefault="00000000">
      <w:pPr>
        <w:pStyle w:val="RKnormal"/>
        <w:tabs>
          <w:tab w:val="left" w:pos="561"/>
        </w:tabs>
        <w:spacing w:line="288" w:lineRule="auto"/>
        <w:rPr>
          <w:lang w:val="ru-RU"/>
        </w:rPr>
      </w:pPr>
    </w:p>
    <w:p w:rsidR="00000000" w:rsidRDefault="00000000">
      <w:r>
        <w:t>69.</w:t>
      </w:r>
      <w:r>
        <w:tab/>
        <w:t>В сентябре 2006 года была сформирована делегация по вопросам рома.  Задача делегации состоит в поощрении усилий, направленных на улучшение положения рома в Швеции.  Делегации поручено изучить положение рома и представить рекомендации по улучшению условий их жизни.  Делегация будет также оказывать содействие и поддержку местным проектам и программам, направленным на улучшение положения рома.</w:t>
      </w:r>
    </w:p>
    <w:p w:rsidR="00000000" w:rsidRDefault="00000000"/>
    <w:p w:rsidR="00000000" w:rsidRDefault="00000000">
      <w:pPr>
        <w:keepNext/>
        <w:rPr>
          <w:b/>
          <w:bCs/>
        </w:rPr>
      </w:pPr>
      <w:r>
        <w:rPr>
          <w:b/>
          <w:bCs/>
        </w:rPr>
        <w:t>Саами</w:t>
      </w:r>
    </w:p>
    <w:p w:rsidR="00000000" w:rsidRDefault="00000000">
      <w:pPr>
        <w:keepNext/>
        <w:rPr>
          <w:b/>
          <w:bCs/>
          <w:i/>
          <w:iCs/>
        </w:rPr>
      </w:pPr>
    </w:p>
    <w:p w:rsidR="00000000" w:rsidRDefault="00000000">
      <w:r>
        <w:t>70.</w:t>
      </w:r>
      <w:r>
        <w:tab/>
        <w:t>В начале 2006 года правительство представило законопроект "Расширение влияния саами".  В целях укрепления прав саами на самоопределение правительство предложило назначить парламент саами на правах центрального административного ведомства, занимающегося вопросами оленеводства, а также передать ему ряд административных функций окружных административных советов и Совета по сельскому хозяйству.</w:t>
      </w:r>
    </w:p>
    <w:p w:rsidR="00000000" w:rsidRDefault="00000000"/>
    <w:p w:rsidR="00000000" w:rsidRDefault="00000000">
      <w:r>
        <w:t>71.</w:t>
      </w:r>
      <w:r>
        <w:tab/>
        <w:t>В конце 2005 года Североевропейский комитет экспертов, назначенный министрами, занимающимися проблематикой саами, представил проект Североевропейской конвенции о народе саами.  Это </w:t>
      </w:r>
      <w:r>
        <w:noBreakHyphen/>
        <w:t xml:space="preserve"> первая попытка разработать региональную конвенцию о коренном народе.  Проект конвенции был представлен на рассмотрение и будет изучен всеми соответствующими министрами на очередном совещании стран Северной Европы с участием министров и председателей парламентов саами.</w:t>
      </w:r>
    </w:p>
    <w:p w:rsidR="00000000" w:rsidRDefault="00000000"/>
    <w:p w:rsidR="00000000" w:rsidRDefault="00000000">
      <w:r>
        <w:t>72.</w:t>
      </w:r>
      <w:r>
        <w:tab/>
        <w:t>Как упоминалось в пункте 50 пятнадцатого и шестнадцатого периодических докладов, в 2001 году была развернута информационная кампания о народе саами.  Проведение кампании было передано в ведение парламента саами, который выделил для этой цели дополнительные ресурсы.  Парламент саами создал информационный центр, ориентированный на государственные ведомства, НПО, СМИ и широкую общественность.</w:t>
      </w:r>
    </w:p>
    <w:p w:rsidR="00000000" w:rsidRDefault="00000000"/>
    <w:p w:rsidR="00000000" w:rsidRDefault="00000000">
      <w:r>
        <w:t>73.</w:t>
      </w:r>
      <w:r>
        <w:tab/>
        <w:t>Как указывалось в пункте 47 пятнадцатого и шестнадцатого периодических докладов, в 2002 году была создана Пограничная комиссия.  В начале 2006 года комиссия представила свой доклад (</w:t>
      </w:r>
      <w:r>
        <w:rPr>
          <w:lang w:val="en-US"/>
        </w:rPr>
        <w:t>SOU </w:t>
      </w:r>
      <w:r>
        <w:t>2006:14).  Этот доклад передан на рассмотрение.  Содержащиеся в нем рекомендации в настоящее время изучаются правительством.</w:t>
      </w:r>
    </w:p>
    <w:p w:rsidR="00000000" w:rsidRDefault="00000000"/>
    <w:p w:rsidR="00000000" w:rsidRDefault="00000000">
      <w:r>
        <w:t>74.</w:t>
      </w:r>
      <w:r>
        <w:tab/>
        <w:t>В начале 2006 года было подготовлено исследование по вопросам объема охотничьих и рыболовецких прав в оленеводческих районах, о котором также идет речь в пункте 47 пятнадцатого и шестнадцатого периодических докладов.  Этот доклад (</w:t>
      </w:r>
      <w:r>
        <w:rPr>
          <w:lang w:val="fr-FR"/>
        </w:rPr>
        <w:t>SOU </w:t>
      </w:r>
      <w:r>
        <w:t>2005:116) представлен на рассмотрение.  Содержащиеся в нем рекомендации изучаются в правительстве.</w:t>
      </w:r>
    </w:p>
    <w:p w:rsidR="00000000" w:rsidRDefault="00000000"/>
    <w:p w:rsidR="00000000" w:rsidRDefault="00000000">
      <w:r>
        <w:t>75.</w:t>
      </w:r>
      <w:r>
        <w:tab/>
        <w:t>В свете этих соображений и с учетом вышеупомянутых исследований правительство проанализирует условия для ратификации Конвенции № 169 МОТ.</w:t>
      </w:r>
    </w:p>
    <w:p w:rsidR="00000000" w:rsidRDefault="00000000"/>
    <w:p w:rsidR="00000000" w:rsidRDefault="00000000">
      <w:r>
        <w:t>76.</w:t>
      </w:r>
      <w:r>
        <w:tab/>
        <w:t>Что касается правовых споров между землевладельцами и деревнями саами, то с 1998 года против деревень саами не было возбуждено ни одного дела;  к тому же в настоящее время нет каких бы то ни было признаков, указывающих на возможность каких-либо иных судебных исков.  Недавно был разрешен серьезный спор, касающийся традиционных прав на оленьи пастбища около Умео.  Районных суд отклонил иск землевладельцев и тем самым признал, что деревенские жители саами обладают традиционными правами на соответствующие земли.  Суд вынес постановление о компенсации землевладельцами всех судебных издержек.</w:t>
      </w:r>
    </w:p>
    <w:p w:rsidR="00000000" w:rsidRDefault="00000000"/>
    <w:p w:rsidR="00000000" w:rsidRDefault="00000000">
      <w:pPr>
        <w:keepNext/>
        <w:jc w:val="center"/>
        <w:rPr>
          <w:b/>
          <w:bCs/>
        </w:rPr>
      </w:pPr>
      <w:r>
        <w:rPr>
          <w:b/>
          <w:bCs/>
        </w:rPr>
        <w:t>Статья 3</w:t>
      </w:r>
    </w:p>
    <w:p w:rsidR="00000000" w:rsidRDefault="00000000">
      <w:pPr>
        <w:keepNext/>
        <w:rPr>
          <w:u w:val="single"/>
        </w:rPr>
      </w:pPr>
    </w:p>
    <w:p w:rsidR="00000000" w:rsidRDefault="00000000">
      <w:r>
        <w:t>77.</w:t>
      </w:r>
      <w:r>
        <w:tab/>
        <w:t>С 1999 году до 2006 года между государством и семью основными муниципалитетами подписывались соглашения о местном развитии в целях предупреждения социальной, этнической и дискриминационной сегрегации в крупных городских центрах.  В 2003 году в парламент был представлен доклад о тенденциях в соответствующих городских районах.  В 2005 году специальная комиссия представила окончательный доклад в исследовательском обзоре "Города в динамике" (</w:t>
      </w:r>
      <w:r>
        <w:rPr>
          <w:lang w:val="fr-FR"/>
        </w:rPr>
        <w:t>SOU </w:t>
      </w:r>
      <w:r>
        <w:t>2005:29).  В законопроекте о бюджете на 2007 год (</w:t>
      </w:r>
      <w:r>
        <w:rPr>
          <w:lang w:val="fr-FR"/>
        </w:rPr>
        <w:t>Prop</w:t>
      </w:r>
      <w:r>
        <w:t>.</w:t>
      </w:r>
      <w:r>
        <w:rPr>
          <w:lang w:val="fr-FR"/>
        </w:rPr>
        <w:t> </w:t>
      </w:r>
      <w:r>
        <w:t>2006/07:01) правительство предусмотрело меры, необходимые для продолжения борьбы с нищетой в городских районах в стране в целом.  В декабре 2006 года правительство постановило предложить в общей сложности 25 муниципалитетам провести переговоры в порядке заключения соглашений о местном развитии на 2007 год с целью положить конец процессу расширения бедных городских районов в стране.</w:t>
      </w:r>
    </w:p>
    <w:p w:rsidR="00000000" w:rsidRDefault="00000000"/>
    <w:p w:rsidR="00000000" w:rsidRDefault="00000000">
      <w:r>
        <w:t>78.</w:t>
      </w:r>
      <w:r>
        <w:tab/>
        <w:t>В июне 2006 года Шведский совет по вопросам интеграции представил свой ежегодный статистический доклад о тенденциях в 24 городских районах, охватываемых соглашениями о местном развитии.  За период 1997</w:t>
      </w:r>
      <w:r>
        <w:noBreakHyphen/>
        <w:t>2004 годов изменения носили в целом позитивный характер, однако в последние годы тенденция была менее положительной.  Это также характерно для других районов страны, что объясняется ухудшением экономических условий.  В частности, в течение 2002</w:t>
      </w:r>
      <w:r>
        <w:noBreakHyphen/>
        <w:t>2004 годов наблюдалось сокращение уровня занятости, однако данная тенденция в среднем сопоставима с тенденциями по всей стране.  Процентная доля безработных остается в целом неизменной, однако в городских районах уровень образования по</w:t>
      </w:r>
      <w:r>
        <w:noBreakHyphen/>
        <w:t>прежнему растет.  Изменение, выражающееся в снижении долгосрочной зависимости от экономической помощи, было наиболее заметным в период 1997</w:t>
      </w:r>
      <w:r>
        <w:noBreakHyphen/>
        <w:t>2004 годов, когда этот показатель в среднем сократился на 6,2 процентных пункта.  Вместе с тем доклад показывает, что в большинстве из 24 жилых зон наблюдается процесс негативной сегрегации, означающий, что жители с более высоким социально-экономическим статусом переезжают в другие районы.  Однако разница по сравнению с 1980</w:t>
      </w:r>
      <w:r>
        <w:noBreakHyphen/>
        <w:t>ми годами состоит в улучшении материального положения большего числа граждан иностранного происхождения и в том, что эти граждане предпочитают переезжать в другие места.</w:t>
      </w:r>
    </w:p>
    <w:p w:rsidR="00000000" w:rsidRDefault="00000000"/>
    <w:p w:rsidR="00000000" w:rsidRDefault="00000000">
      <w:r>
        <w:t>79.</w:t>
      </w:r>
      <w:r>
        <w:tab/>
        <w:t>Перед Национальным управлением по жилью, строительству и планированию на 2006 год поставлены три задачи по представлению данных в отношении сегрегации и интеграции в области жилья.  Одна из них касается отслеживания и изучения тенденций, а также поощрения передачи знаний в вопросах интеграции и сегрегации в области жилья в различных районах страны, а также мер, принимаемых в районах, где наблюдается жилищная сегрегация.  Второе требование по представлению данных касается развития инструментов территориально-пространственного планирования, направленных на поощрение интеграции и противодействие сегрегации в обществе.  Совет будет также заниматься анализом причин различий в жилищных условиях между лицами иностранного происхождения по сравнению с коренными жителями Швеции, анализировать соответствующие инициативы и давать рекомендации в отношении новых или доработки старых инициатив.  Доклады по этим трем требованиям будут представлены в феврале 2007 года.</w:t>
      </w:r>
    </w:p>
    <w:p w:rsidR="00000000" w:rsidRDefault="00000000"/>
    <w:p w:rsidR="00000000" w:rsidRDefault="00000000">
      <w:pPr>
        <w:keepNext/>
        <w:jc w:val="center"/>
        <w:rPr>
          <w:b/>
          <w:bCs/>
        </w:rPr>
      </w:pPr>
      <w:r>
        <w:rPr>
          <w:b/>
          <w:bCs/>
        </w:rPr>
        <w:t>Статья 4</w:t>
      </w:r>
    </w:p>
    <w:p w:rsidR="00000000" w:rsidRDefault="00000000">
      <w:pPr>
        <w:keepNext/>
        <w:rPr>
          <w:b/>
          <w:bCs/>
          <w:u w:val="single"/>
        </w:rPr>
      </w:pPr>
    </w:p>
    <w:p w:rsidR="00000000" w:rsidRDefault="00000000">
      <w:pPr>
        <w:keepNext/>
        <w:rPr>
          <w:b/>
          <w:bCs/>
        </w:rPr>
      </w:pPr>
      <w:r>
        <w:rPr>
          <w:b/>
          <w:bCs/>
        </w:rPr>
        <w:t>Статья 4 а)</w:t>
      </w:r>
    </w:p>
    <w:p w:rsidR="00000000" w:rsidRDefault="00000000">
      <w:pPr>
        <w:keepNext/>
      </w:pPr>
    </w:p>
    <w:p w:rsidR="00000000" w:rsidRDefault="00000000">
      <w:r>
        <w:t>80.</w:t>
      </w:r>
      <w:r>
        <w:tab/>
        <w:t>Как говорилось в пункте 13 по статье 2.1, агитация против той или иной национальной или этнической группы запрещена статьей 8 главы 16 Уголовного кодекса Швеции.  Свобода выражения в средствах массовой информации пользуется особенно мощной защитой в Швеции и закреплена в конституционных положениях Закона о свободе прессы и Основном законе о свободе выражения (см. двенадцатый периодический доклад, пункты 25</w:t>
      </w:r>
      <w:r>
        <w:noBreakHyphen/>
        <w:t>30).  Конституционная защита средств массовой информации означает, что преступление, состоящее в агитации против национальной или этнической группы, включено в перечень наказуемых правонарушений.  Таким образом, уголовные положения о защите этнических меньшинств действуют даже в том случае, если правонарушение совершается в том или ином средстве массовой информации, защищаемом Конституцией, например в газете или на телевидении.</w:t>
      </w:r>
    </w:p>
    <w:p w:rsidR="00000000" w:rsidRDefault="00000000"/>
    <w:p w:rsidR="00000000" w:rsidRDefault="00000000">
      <w:pPr>
        <w:rPr>
          <w:b/>
          <w:bCs/>
        </w:rPr>
      </w:pPr>
      <w:r>
        <w:rPr>
          <w:b/>
          <w:bCs/>
        </w:rPr>
        <w:t xml:space="preserve">Статья 4 </w:t>
      </w:r>
      <w:r>
        <w:rPr>
          <w:b/>
          <w:bCs/>
          <w:lang w:val="en-US"/>
        </w:rPr>
        <w:t>b</w:t>
      </w:r>
      <w:r>
        <w:rPr>
          <w:b/>
          <w:bCs/>
        </w:rPr>
        <w:t>)</w:t>
      </w:r>
    </w:p>
    <w:p w:rsidR="00000000" w:rsidRDefault="00000000"/>
    <w:p w:rsidR="00000000" w:rsidRDefault="00000000">
      <w:r>
        <w:t>81.</w:t>
      </w:r>
      <w:r>
        <w:tab/>
        <w:t>Как отмечалось в пункте 73 пятнадцатого и шестнадцатого периодических докладов, в 2000 году парламентский комитет сделал вывод о наличии важных причин, по которым нецелесообразно расширять уголовно-правовую квалификацию участия в деятельности организаций или поддержки организаций, чья деятельность сопряжена с преступными деяниями.  Большинство профильных ведомств разделили мнение комитета.</w:t>
      </w:r>
    </w:p>
    <w:p w:rsidR="00000000" w:rsidRDefault="00000000"/>
    <w:p w:rsidR="00000000" w:rsidRDefault="00000000">
      <w:r>
        <w:t>82.</w:t>
      </w:r>
      <w:r>
        <w:tab/>
        <w:t xml:space="preserve">Вместе с тем упоминаемые ниже законы означают, что организации, занимающиеся расистской деятельностью, своими действиями не могут не нарушать закона.  Иными словами, это законодательство противодействует деятельности таких организаций.  </w:t>
      </w:r>
    </w:p>
    <w:p w:rsidR="00000000" w:rsidRDefault="00000000"/>
    <w:p w:rsidR="00000000" w:rsidRDefault="00000000">
      <w:r>
        <w:t>83.</w:t>
      </w:r>
      <w:r>
        <w:tab/>
        <w:t>В соответствии с положением об агитации против национальной или этнической группы распространение расистских заявлений и т.д. с помощью организации или аналогичной группы, равно как и распространение такой агитации в рамках организации или группы является наказуемым деянием.  Более подробно уголовная санкция излагается в пункте 66 пятнадцатого и шестнадцатого периодических докладов.</w:t>
      </w:r>
    </w:p>
    <w:p w:rsidR="00000000" w:rsidRDefault="00000000"/>
    <w:p w:rsidR="00000000" w:rsidRDefault="00000000">
      <w:r>
        <w:t>84.</w:t>
      </w:r>
      <w:r>
        <w:tab/>
        <w:t xml:space="preserve">Как указано в пункте 67 того же доклада, создавшее прецедент постановление Верховного суда в 1966 году повлекло за собой дальнейшие осуждения за расовую агитацию против национальной или этнической группы, за использование нацистской символики и другие способы выражения расистских взглядов.  </w:t>
      </w:r>
    </w:p>
    <w:p w:rsidR="00000000" w:rsidRDefault="00000000"/>
    <w:p w:rsidR="00000000" w:rsidRDefault="00000000">
      <w:r>
        <w:t>85.</w:t>
      </w:r>
      <w:r>
        <w:tab/>
        <w:t>В целях предотвращения создания организаций, неподвластных демократическому контролю, статья 4 главы 18 Уголовного кодекса запрещает незаконную военную деятельность.  Это положение более подробно раскрыто в пункте 69 пятнадцатого и шестнадцатого периодических докладов.</w:t>
      </w:r>
    </w:p>
    <w:p w:rsidR="00000000" w:rsidRDefault="00000000"/>
    <w:p w:rsidR="00000000" w:rsidRDefault="00000000">
      <w:r>
        <w:t>86.</w:t>
      </w:r>
      <w:r>
        <w:tab/>
        <w:t xml:space="preserve">По закону, в соответствии с главой 23 Уголовного кодекса, подлежат ответственности сговор, приготовление, попытка или сообщничество в целях совершения преступлений, включая преступные деяния, совершаемые в организованных формах.  Для получения более подробной информации правительство Швеции отсылает Комитет к пунктам 70 и 71 пятнадцатого и шестнадцатого периодических докладов.  </w:t>
      </w:r>
    </w:p>
    <w:p w:rsidR="00000000" w:rsidRDefault="00000000"/>
    <w:p w:rsidR="00000000" w:rsidRDefault="00000000">
      <w:r>
        <w:t>87.</w:t>
      </w:r>
      <w:r>
        <w:tab/>
        <w:t xml:space="preserve">Как отмечалось в пункте 14 выше, при определении наказания за совершенное преступление, если его мотив состоял в том, чтобы ущемить какое-либо лицо, этническую группу или какую-либо аналогичную группу по признаку расы, цвета кожи, национального или этнического происхождения, религиозных убеждений, сексуальной ориентации или по иным сходным признакам, этот факт рассматривается в качестве отягчающего обстоятельства. </w:t>
      </w:r>
    </w:p>
    <w:p w:rsidR="00000000" w:rsidRDefault="00000000"/>
    <w:p w:rsidR="00000000" w:rsidRDefault="00000000">
      <w:r>
        <w:t>88.</w:t>
      </w:r>
      <w:r>
        <w:tab/>
        <w:t>В соответствии с Уголовным кодексом преступления, совершаемые в организованных формах, влекут за собой более значительную уголовную ответственность.  При оценке уголовной ответственности в соответствии с пунктом 5 статьи 2 главы 29 Уголовного кодекса, если преступление является частью преступной деятельности, которая особенно тщательно спланирована или выполнялась в больших масштабах и в которой обвиняемый играл значительную роль, то это рассматривается как отягчающее обстоятельство.</w:t>
      </w:r>
    </w:p>
    <w:p w:rsidR="00000000" w:rsidRDefault="00000000"/>
    <w:p w:rsidR="00000000" w:rsidRDefault="00000000">
      <w:r>
        <w:t>89.</w:t>
      </w:r>
      <w:r>
        <w:tab/>
        <w:t>В 2005 и 2006 годах в рамках Европейского союза было согласовано рамочное решение о борьбе с организованной преступностью.  Этот документ содержит обязательства в отношении уголовно-правовой квалификации и положения, регламентирующие санкции за преступления, совершенные в рамках преступных организаций.  В правительстве в настоящее время ведется работа по подготовке закона о его утверждении для представления в риксдаг.</w:t>
      </w:r>
    </w:p>
    <w:p w:rsidR="00000000" w:rsidRDefault="00000000"/>
    <w:p w:rsidR="00000000" w:rsidRDefault="00000000">
      <w:pPr>
        <w:rPr>
          <w:b/>
          <w:bCs/>
        </w:rPr>
      </w:pPr>
      <w:r>
        <w:rPr>
          <w:b/>
          <w:bCs/>
        </w:rPr>
        <w:t>Статья 4 с)</w:t>
      </w:r>
    </w:p>
    <w:p w:rsidR="00000000" w:rsidRDefault="00000000"/>
    <w:p w:rsidR="00000000" w:rsidRDefault="00000000">
      <w:r>
        <w:t>90.</w:t>
      </w:r>
      <w:r>
        <w:tab/>
        <w:t xml:space="preserve">Согласно статье 9 главы 1 Акта о форме правления, суды, административные и иные органы, осуществляющие функции в рамках государственного управления, руководствуются в своей деятельности принципом равенства всех перед законом и соблюдают объективность и беспристрастность.  Поддержка или поощрение этнической дискриминации также является наказуемой по закону в соответствии с положениями уголовного и гражданского права, упомянутыми в статье 2.1.  Это запрещение применяется и к государственным служащим.  </w:t>
      </w:r>
    </w:p>
    <w:p w:rsidR="00000000" w:rsidRDefault="00000000"/>
    <w:p w:rsidR="00000000" w:rsidRDefault="00000000">
      <w:pPr>
        <w:jc w:val="center"/>
        <w:rPr>
          <w:b/>
          <w:bCs/>
        </w:rPr>
      </w:pPr>
      <w:r>
        <w:rPr>
          <w:b/>
          <w:bCs/>
        </w:rPr>
        <w:t>Статья 5</w:t>
      </w:r>
    </w:p>
    <w:p w:rsidR="00000000" w:rsidRDefault="00000000"/>
    <w:p w:rsidR="00000000" w:rsidRDefault="00000000">
      <w:pPr>
        <w:rPr>
          <w:b/>
          <w:bCs/>
        </w:rPr>
      </w:pPr>
      <w:r>
        <w:rPr>
          <w:b/>
          <w:bCs/>
        </w:rPr>
        <w:t>Статья 5 а)</w:t>
      </w:r>
    </w:p>
    <w:p w:rsidR="00000000" w:rsidRDefault="00000000"/>
    <w:p w:rsidR="00000000" w:rsidRDefault="00000000">
      <w:r>
        <w:t>91.</w:t>
      </w:r>
      <w:r>
        <w:tab/>
        <w:t>Комитет может ознакомиться с соответствующим законодательством в пунктах 86</w:t>
      </w:r>
      <w:r>
        <w:noBreakHyphen/>
        <w:t xml:space="preserve">87 двенадцатого периодического доклада.  </w:t>
      </w:r>
    </w:p>
    <w:p w:rsidR="00000000" w:rsidRDefault="00000000"/>
    <w:p w:rsidR="00000000" w:rsidRDefault="00000000">
      <w:r>
        <w:t>92.</w:t>
      </w:r>
      <w:r>
        <w:tab/>
        <w:t>В настоящее время ведется активная работа по реализации проекта, направленного на предупреждение дискриминации в правовой системе.  Национальный полицейский совет, Управление генерального прокурора (в настоящее время Генеральная прокуратура), Национальное судебное управление и Управление по тюрьмам и по работе с условно осужденными разработали специальные стратегии в целях предупреждения дискриминации.  Эти стратегии направлены на обеспечение долгосрочной, комплексной и непрерывной работы по вопросам, связанным с дискриминацией.</w:t>
      </w:r>
    </w:p>
    <w:p w:rsidR="00000000" w:rsidRDefault="00000000"/>
    <w:p w:rsidR="00000000" w:rsidRDefault="00000000">
      <w:r>
        <w:t>93.</w:t>
      </w:r>
      <w:r>
        <w:tab/>
        <w:t xml:space="preserve">На основе этих стратегий было развернуто несколько инициатив.  Одна из целей состояла в повышении степени осведомленности среди персонала о причинах дискриминационного поведения и о том, что такое поведение может проявляться в их собственных организациях.  Проведение оценки стратегий было поручено Агентству по вопросам государственного управления. </w:t>
      </w:r>
    </w:p>
    <w:p w:rsidR="00000000" w:rsidRDefault="00000000"/>
    <w:p w:rsidR="00000000" w:rsidRDefault="00000000">
      <w:r>
        <w:t>94.</w:t>
      </w:r>
      <w:r>
        <w:tab/>
        <w:t>Национальному совету по предупреждению преступности было поручено проанализировать явления дискриминации в судебных делах, подсудимыми и истцами по которым были граждане иностранного происхождения.  Совету было поручено представить свой доклад до 31 октября 2007 года.</w:t>
      </w:r>
    </w:p>
    <w:p w:rsidR="00000000" w:rsidRDefault="00000000"/>
    <w:p w:rsidR="00000000" w:rsidRDefault="00000000">
      <w:r>
        <w:t>95.</w:t>
      </w:r>
      <w:r>
        <w:tab/>
        <w:t>Цель этой работы состоит в том, чтобы оценка дополнительных мер, которые могут потребоваться в целях предупреждения дискриминации в системе юстиции строилась на результатах оценки, проведенной Агентством по вопросам государственного управления, и исследования, подготовленного Национальным советом по предупреждению преступности.</w:t>
      </w:r>
    </w:p>
    <w:p w:rsidR="00000000" w:rsidRDefault="00000000"/>
    <w:p w:rsidR="00000000" w:rsidRDefault="00000000">
      <w:pPr>
        <w:rPr>
          <w:b/>
          <w:bCs/>
        </w:rPr>
      </w:pPr>
      <w:r>
        <w:rPr>
          <w:b/>
          <w:bCs/>
        </w:rPr>
        <w:t xml:space="preserve">Статья 5 </w:t>
      </w:r>
      <w:r>
        <w:rPr>
          <w:b/>
          <w:bCs/>
          <w:lang w:val="en-US"/>
        </w:rPr>
        <w:t>b</w:t>
      </w:r>
      <w:r>
        <w:rPr>
          <w:b/>
          <w:bCs/>
        </w:rPr>
        <w:t>)</w:t>
      </w:r>
    </w:p>
    <w:p w:rsidR="00000000" w:rsidRDefault="00000000"/>
    <w:p w:rsidR="00000000" w:rsidRDefault="00000000">
      <w:r>
        <w:t>96.</w:t>
      </w:r>
      <w:r>
        <w:tab/>
        <w:t>С соответствующим законодательством Комитет может ознакомиться в пунктах 88</w:t>
      </w:r>
      <w:r>
        <w:noBreakHyphen/>
        <w:t xml:space="preserve">89 двенадцатого периодического доклада.  </w:t>
      </w:r>
    </w:p>
    <w:p w:rsidR="00000000" w:rsidRDefault="00000000"/>
    <w:p w:rsidR="00000000" w:rsidRDefault="00000000">
      <w:pPr>
        <w:rPr>
          <w:b/>
          <w:bCs/>
        </w:rPr>
      </w:pPr>
      <w:r>
        <w:rPr>
          <w:b/>
          <w:bCs/>
        </w:rPr>
        <w:t>Статья 5 с)</w:t>
      </w:r>
    </w:p>
    <w:p w:rsidR="00000000" w:rsidRDefault="00000000"/>
    <w:p w:rsidR="00000000" w:rsidRDefault="00000000">
      <w:r>
        <w:t>97.</w:t>
      </w:r>
      <w:r>
        <w:tab/>
        <w:t>С соответствующим законодательством Комитет может ознакомиться в пункте 78 двенадцатого периодического доклада.</w:t>
      </w:r>
    </w:p>
    <w:p w:rsidR="00000000" w:rsidRDefault="00000000"/>
    <w:p w:rsidR="00000000" w:rsidRDefault="00000000">
      <w:r>
        <w:t>98.</w:t>
      </w:r>
      <w:r>
        <w:tab/>
        <w:t>Перед всеобщими выборами 2006 года 12 муниципалитетам были выделены средства для реализации инициатив, направленных на углубление понимания шведской демократической системы в целом и избирательной системы в частности.  Цель этой меры состояла в охвате групп с низким уровнем участия в выборах, включая лиц иностранного происхождения.</w:t>
      </w:r>
    </w:p>
    <w:p w:rsidR="00000000" w:rsidRDefault="00000000"/>
    <w:p w:rsidR="00000000" w:rsidRDefault="00000000">
      <w:r>
        <w:t>99.</w:t>
      </w:r>
      <w:r>
        <w:tab/>
        <w:t>Проект налаживания связей с участием трех муниципалитетов и одного окружного совета 2006/2007 года направлен на улучшение условий для избранных представителей иностранного происхождения.  Созданная сеть состоит из уже известных политиков и недавно избранных представителей иностранного происхождения.  На основе их конкретного опыта участники сети будут обсуждать инициативы, которые помогут устранить барьеры и расширить возможности для политиков иностранного происхождения.</w:t>
      </w:r>
    </w:p>
    <w:p w:rsidR="00000000" w:rsidRDefault="00000000"/>
    <w:p w:rsidR="00000000" w:rsidRDefault="00000000">
      <w:r>
        <w:t>100.</w:t>
      </w:r>
      <w:r>
        <w:tab/>
        <w:t>Одним из последствий нового Закона о выборах, который вступил в силу в январе 2006</w:t>
      </w:r>
      <w:r>
        <w:rPr>
          <w:lang w:val="en-GB"/>
        </w:rPr>
        <w:t> </w:t>
      </w:r>
      <w:r>
        <w:t xml:space="preserve">г|ода, является то, что Избирательная комиссия должна информировать общественность с помощью соответствующих средств о времени, месте и методах голосования.  До выборов 2006 года Комиссия использовала несколько информационных каналов для охвата различных групп, при этом информация о выборах и другая соответствующая информация переводилась на несколько языков.  </w:t>
      </w:r>
    </w:p>
    <w:p w:rsidR="00000000" w:rsidRDefault="00000000"/>
    <w:p w:rsidR="00000000" w:rsidRDefault="00000000">
      <w:pPr>
        <w:keepNext/>
        <w:rPr>
          <w:b/>
          <w:bCs/>
        </w:rPr>
      </w:pPr>
      <w:r>
        <w:rPr>
          <w:b/>
          <w:bCs/>
        </w:rPr>
        <w:t xml:space="preserve">Статья 5 </w:t>
      </w:r>
      <w:r>
        <w:rPr>
          <w:b/>
          <w:bCs/>
          <w:lang w:val="en-GB"/>
        </w:rPr>
        <w:t>d</w:t>
      </w:r>
      <w:r>
        <w:rPr>
          <w:b/>
          <w:bCs/>
        </w:rPr>
        <w:t>)</w:t>
      </w:r>
    </w:p>
    <w:p w:rsidR="00000000" w:rsidRDefault="00000000">
      <w:pPr>
        <w:keepNext/>
      </w:pPr>
    </w:p>
    <w:p w:rsidR="00000000" w:rsidRDefault="00000000">
      <w:pPr>
        <w:keepNext/>
      </w:pPr>
      <w:r>
        <w:t>101.</w:t>
      </w:r>
      <w:r>
        <w:tab/>
        <w:t xml:space="preserve">В соответствии со статьей 15 главы 2 Акта о форме правления, ни один закон или иное законодательное положение не может предусматривать менее благоприятное обращение с гражданином по причине его принадлежности к группе меньшинства по признаку расы, цвета кожи или этнического происхождения.  Что касается статьи 5 </w:t>
      </w:r>
      <w:r>
        <w:rPr>
          <w:lang w:val="en-GB"/>
        </w:rPr>
        <w:t>d</w:t>
      </w:r>
      <w:r>
        <w:t xml:space="preserve">) </w:t>
      </w:r>
      <w:r>
        <w:rPr>
          <w:lang w:val="en-GB"/>
        </w:rPr>
        <w:t>iii</w:t>
      </w:r>
      <w:r>
        <w:t xml:space="preserve">), то с информацией о Законе о гражданстве, который вступил в силу 1 июля 2001 года, Комитет может ознакомиться в пункте 86 пятнадцатого и шестнадцатого периодических докладов. </w:t>
      </w:r>
    </w:p>
    <w:p w:rsidR="00000000" w:rsidRDefault="00000000"/>
    <w:p w:rsidR="00000000" w:rsidRDefault="00000000">
      <w:pPr>
        <w:keepNext/>
        <w:rPr>
          <w:b/>
          <w:bCs/>
        </w:rPr>
      </w:pPr>
      <w:r>
        <w:rPr>
          <w:b/>
          <w:bCs/>
        </w:rPr>
        <w:t xml:space="preserve">Статья 5 </w:t>
      </w:r>
      <w:proofErr w:type="spellStart"/>
      <w:r>
        <w:rPr>
          <w:b/>
          <w:bCs/>
        </w:rPr>
        <w:t>е</w:t>
      </w:r>
      <w:proofErr w:type="spellEnd"/>
      <w:r>
        <w:rPr>
          <w:b/>
          <w:bCs/>
        </w:rPr>
        <w:t>)</w:t>
      </w:r>
    </w:p>
    <w:p w:rsidR="00000000" w:rsidRDefault="00000000"/>
    <w:p w:rsidR="00000000" w:rsidRDefault="00000000">
      <w:pPr>
        <w:pStyle w:val="RKnormal"/>
        <w:spacing w:line="288" w:lineRule="auto"/>
        <w:rPr>
          <w:b/>
          <w:bCs/>
          <w:lang w:val="ru-RU"/>
        </w:rPr>
      </w:pPr>
      <w:r>
        <w:rPr>
          <w:b/>
          <w:bCs/>
          <w:lang w:val="ru-RU"/>
        </w:rPr>
        <w:t>Программы в области политики на рынке труда</w:t>
      </w:r>
    </w:p>
    <w:p w:rsidR="00000000" w:rsidRDefault="00000000">
      <w:pPr>
        <w:pStyle w:val="RKnormal"/>
        <w:spacing w:line="288" w:lineRule="auto"/>
        <w:rPr>
          <w:b/>
          <w:bCs/>
          <w:i/>
          <w:iCs/>
          <w:lang w:val="ru-RU"/>
        </w:rPr>
      </w:pPr>
    </w:p>
    <w:p w:rsidR="00000000" w:rsidRDefault="00000000">
      <w:pPr>
        <w:pStyle w:val="RKnormal"/>
        <w:tabs>
          <w:tab w:val="left" w:pos="561"/>
        </w:tabs>
        <w:spacing w:line="288" w:lineRule="auto"/>
        <w:rPr>
          <w:lang w:val="ru-RU"/>
        </w:rPr>
      </w:pPr>
      <w:r>
        <w:rPr>
          <w:lang w:val="ru-RU"/>
        </w:rPr>
        <w:t>102.</w:t>
      </w:r>
      <w:r>
        <w:rPr>
          <w:lang w:val="ru-RU"/>
        </w:rPr>
        <w:tab/>
        <w:t>Одной из программ в интересах лиц, имеющих ограниченный опыт или вообще не имеющих никакого опыта на рынке труда в Швеции, является программа "Пробная занятость".  В отличие от других программ, эта программа предлагается лицам, ищущим работу, непосредственно после их регистрации в Службе трудоустройства;  в 2005 году в этой программе приняли участие 1 700 лиц, рожденных за границей, и около половины из них в течение шести месяцев после окончания программы смогли найти работу.  Программа "Профессиональная оценка в сфере трудовой деятельности", как правило, осуществляется на рабочем месте и направлена на оценку профессиональных способностей.</w:t>
      </w:r>
    </w:p>
    <w:p w:rsidR="00000000" w:rsidRDefault="00000000">
      <w:pPr>
        <w:pStyle w:val="RKnormal"/>
        <w:tabs>
          <w:tab w:val="left" w:pos="561"/>
        </w:tabs>
        <w:spacing w:line="288" w:lineRule="auto"/>
        <w:rPr>
          <w:lang w:val="ru-RU"/>
        </w:rPr>
      </w:pPr>
    </w:p>
    <w:p w:rsidR="00000000" w:rsidRDefault="00000000">
      <w:r>
        <w:t>103.</w:t>
      </w:r>
      <w:r>
        <w:tab/>
        <w:t>Программа "Введение в работу", которая была развернута в 2003 году, предусматривает организацию частых контактов с  работодателями и более активную поддержку лиц, ищущих работу, и, при необходимости, работодателей.  Цель этой программы состоит в том, чтобы компенсировать отсутствие у иммигрантов контактов и связей в общине и на рынке труда.  В 2005 году в программе приняли участие около 4 800 человек.  Из тех, кто получил работу в течение 90 дней после окончания программы (</w:t>
      </w:r>
      <w:proofErr w:type="spellStart"/>
      <w:r>
        <w:t>61%</w:t>
      </w:r>
      <w:proofErr w:type="spellEnd"/>
      <w:r>
        <w:t xml:space="preserve">), на </w:t>
      </w:r>
      <w:proofErr w:type="spellStart"/>
      <w:r>
        <w:t>несубсидируемую</w:t>
      </w:r>
      <w:proofErr w:type="spellEnd"/>
      <w:r>
        <w:t xml:space="preserve"> работу устроилось в два раза больше лиц по сравнению с теми, кто устроился на работу с выплатой субсидии работодателю.  Оценка показала, что эта программа оказала весьма позитивное воздействие на возможности трудоустройства на работу, требующую опыта.  Воздействие было также более позитивным для женщин, чем для мужчин.  </w:t>
      </w:r>
    </w:p>
    <w:p w:rsidR="00000000" w:rsidRDefault="00000000"/>
    <w:p w:rsidR="00000000" w:rsidRDefault="00000000">
      <w:r>
        <w:t>104.</w:t>
      </w:r>
      <w:r>
        <w:tab/>
        <w:t xml:space="preserve">Другим инструментом является выплата субсидий работодателям за трудоустройство.  В 2005 году около 10 200 лиц иностранного происхождения получили субсидируемую работу, в том числе 7 000 рабочих мест в порядке общего поощрения за трудоустройство и 3 200 </w:t>
      </w:r>
      <w:r>
        <w:noBreakHyphen/>
        <w:t xml:space="preserve"> в порядке субсидирования заработной платы.  Это означает, что лица, рожденные за границей, в некоторой степени </w:t>
      </w:r>
      <w:proofErr w:type="spellStart"/>
      <w:r>
        <w:t>перепредставлены</w:t>
      </w:r>
      <w:proofErr w:type="spellEnd"/>
      <w:r>
        <w:t xml:space="preserve"> на рабочих местах, которые подпадают под систему поощрительного вознаграждения, тогда как ситуация в отношении субсидирования зарплаты является обратной.</w:t>
      </w:r>
    </w:p>
    <w:p w:rsidR="00000000" w:rsidRDefault="00000000"/>
    <w:p w:rsidR="00000000" w:rsidRDefault="00000000">
      <w:pPr>
        <w:pStyle w:val="RKnormal"/>
        <w:tabs>
          <w:tab w:val="left" w:pos="561"/>
        </w:tabs>
        <w:spacing w:line="288" w:lineRule="auto"/>
        <w:rPr>
          <w:lang w:val="ru-RU"/>
        </w:rPr>
      </w:pPr>
      <w:r>
        <w:rPr>
          <w:lang w:val="ru-RU"/>
        </w:rPr>
        <w:t>105.</w:t>
      </w:r>
      <w:r>
        <w:rPr>
          <w:lang w:val="ru-RU"/>
        </w:rPr>
        <w:tab/>
        <w:t>1 июля 2006 года по линии Национального совета по вопросам рынка труда (</w:t>
      </w:r>
      <w:proofErr w:type="spellStart"/>
      <w:r>
        <w:rPr>
          <w:lang w:val="en-GB"/>
        </w:rPr>
        <w:t>AMS</w:t>
      </w:r>
      <w:proofErr w:type="spellEnd"/>
      <w:r>
        <w:rPr>
          <w:lang w:val="ru-RU"/>
        </w:rPr>
        <w:t xml:space="preserve">) была начата реализация экспериментального проекта для вновь прибывших иммигрантов.  Три основных элемента этого проекта включают контакт на самой ранней стадии с рынком труда, оперативную оценку уровня образования и опыта, а также изучение шведского языка в сочетании с инициативами в области профессиональной ориентации.  </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t>106.</w:t>
      </w:r>
      <w:r>
        <w:rPr>
          <w:lang w:val="ru-RU"/>
        </w:rPr>
        <w:tab/>
        <w:t>В 2006</w:t>
      </w:r>
      <w:r>
        <w:rPr>
          <w:lang w:val="en-GB"/>
        </w:rPr>
        <w:t> </w:t>
      </w:r>
      <w:r>
        <w:rPr>
          <w:lang w:val="ru-RU"/>
        </w:rPr>
        <w:t xml:space="preserve">году </w:t>
      </w:r>
      <w:proofErr w:type="spellStart"/>
      <w:r>
        <w:rPr>
          <w:lang w:val="en-GB"/>
        </w:rPr>
        <w:t>AMS</w:t>
      </w:r>
      <w:proofErr w:type="spellEnd"/>
      <w:r>
        <w:rPr>
          <w:lang w:val="ru-RU"/>
        </w:rPr>
        <w:t xml:space="preserve"> было также поручено наладить и повысить эффективность сотрудничества с другими соответствующими сторонами на основании центрального соглашения о разработке </w:t>
      </w:r>
      <w:r>
        <w:t xml:space="preserve">программ выхода на </w:t>
      </w:r>
      <w:r>
        <w:rPr>
          <w:lang w:val="ru-RU"/>
        </w:rPr>
        <w:t>рынок труда для беженцев и других иммигрантов, которое было заключено между различными государственными агентствами и организациями.  Шведский совет по вопросам интеграции провел оценку воздействия этого соглашения и пришел к выводу, что оно придает работе законность и структурную организованность.  Центральное соглашение является надежным фундаментом для развития регионального и местного сотрудничества.  По мнению Шведского совета по вопросам интеграции, количество местных соглашений необходимо увеличивать.</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t>107.</w:t>
      </w:r>
      <w:r>
        <w:rPr>
          <w:lang w:val="ru-RU"/>
        </w:rPr>
        <w:tab/>
        <w:t>Новое правительство планирует заменить целый ряд избирательных программ трудоустройства системой компенсацию части расходов на заработную плату для тех лиц, которые находятся вне рынка труда.  Группы населения, которые смогут принять участие в программе "Возвращение на рынок труда", включают так называемых долгосрочных безработных и вновь прибывших иммигрантов, которые будут освобождены в течение по крайней мере одного года от налогов на заработную плату и взносов по социальному страхованию.  Программа "Возвращение на рынок труда" будет реализована в 2007 году.  Эта инициатива будет охватывать определенные группы, включая лиц, претендующих на получение убежища, которые подали ходатайство о предоставлении вида на жительство, а также беженцев по квоте и членов их семей в течение первых трех лет после получения вида на жительство.</w:t>
      </w:r>
    </w:p>
    <w:p w:rsidR="00000000" w:rsidRDefault="00000000">
      <w:pPr>
        <w:pStyle w:val="RKnormal"/>
        <w:tabs>
          <w:tab w:val="left" w:pos="561"/>
        </w:tabs>
        <w:spacing w:line="288" w:lineRule="auto"/>
        <w:rPr>
          <w:lang w:val="ru-RU"/>
        </w:rPr>
      </w:pPr>
    </w:p>
    <w:p w:rsidR="00000000" w:rsidRDefault="00000000">
      <w:pPr>
        <w:pStyle w:val="RKnormal"/>
        <w:tabs>
          <w:tab w:val="left" w:pos="561"/>
        </w:tabs>
        <w:spacing w:line="288" w:lineRule="auto"/>
        <w:rPr>
          <w:lang w:val="ru-RU"/>
        </w:rPr>
      </w:pPr>
      <w:r>
        <w:rPr>
          <w:lang w:val="ru-RU"/>
        </w:rPr>
        <w:br w:type="page"/>
        <w:t>108.</w:t>
      </w:r>
      <w:r>
        <w:rPr>
          <w:lang w:val="ru-RU"/>
        </w:rPr>
        <w:tab/>
        <w:t>В нижеследующей таблице показан уровень занятости среди лиц в возрасте 20</w:t>
      </w:r>
      <w:r>
        <w:rPr>
          <w:lang w:val="ru-RU"/>
        </w:rPr>
        <w:noBreakHyphen/>
        <w:t>64</w:t>
      </w:r>
      <w:r>
        <w:rPr>
          <w:lang w:val="en-GB"/>
        </w:rPr>
        <w:t> </w:t>
      </w:r>
      <w:r>
        <w:rPr>
          <w:lang w:val="ru-RU"/>
        </w:rPr>
        <w:t>лет, рожденных в Швеции, и лиц, рожденных за границей, за период 2000</w:t>
      </w:r>
      <w:r>
        <w:rPr>
          <w:lang w:val="ru-RU"/>
        </w:rPr>
        <w:noBreakHyphen/>
        <w:t>2005 годов</w:t>
      </w:r>
      <w:r>
        <w:rPr>
          <w:rStyle w:val="FootnoteReference"/>
          <w:lang w:val="en-GB"/>
        </w:rPr>
        <w:footnoteReference w:id="19"/>
      </w:r>
      <w:r>
        <w:rPr>
          <w:lang w:val="ru-RU"/>
        </w:rPr>
        <w:t>:</w:t>
      </w:r>
    </w:p>
    <w:p w:rsidR="00000000" w:rsidRDefault="00000000">
      <w:pPr>
        <w:pStyle w:val="RKnormal"/>
        <w:spacing w:line="288" w:lineRule="auto"/>
        <w:rPr>
          <w:lang w:val="ru-RU"/>
        </w:rPr>
      </w:pPr>
    </w:p>
    <w:tbl>
      <w:tblPr>
        <w:tblW w:w="7833" w:type="dxa"/>
        <w:jc w:val="center"/>
        <w:tblInd w:w="454" w:type="dxa"/>
        <w:tblBorders>
          <w:top w:val="single" w:sz="12" w:space="0" w:color="008000"/>
          <w:left w:val="nil"/>
          <w:bottom w:val="single" w:sz="12" w:space="0" w:color="008000"/>
          <w:right w:val="nil"/>
          <w:insideH w:val="nil"/>
          <w:insideV w:val="nil"/>
        </w:tblBorders>
        <w:tblLayout w:type="fixed"/>
        <w:tblCellMar>
          <w:left w:w="28" w:type="dxa"/>
          <w:right w:w="28" w:type="dxa"/>
        </w:tblCellMar>
        <w:tblLook w:val="00BF" w:firstRow="1" w:lastRow="0" w:firstColumn="1" w:lastColumn="0" w:noHBand="0" w:noVBand="0"/>
      </w:tblPr>
      <w:tblGrid>
        <w:gridCol w:w="1275"/>
        <w:gridCol w:w="1639"/>
        <w:gridCol w:w="1640"/>
        <w:gridCol w:w="1639"/>
        <w:gridCol w:w="1640"/>
      </w:tblGrid>
      <w:tr w:rsidR="00000000">
        <w:tblPrEx>
          <w:tblCellMar>
            <w:top w:w="0" w:type="dxa"/>
            <w:bottom w:w="0" w:type="dxa"/>
          </w:tblCellMar>
        </w:tblPrEx>
        <w:trPr>
          <w:cantSplit/>
          <w:jc w:val="center"/>
        </w:trPr>
        <w:tc>
          <w:tcPr>
            <w:tcW w:w="127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Год</w:t>
            </w:r>
          </w:p>
        </w:tc>
        <w:tc>
          <w:tcPr>
            <w:tcW w:w="163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Мужчины, рожденные в Швеции</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Мужчины, рожденные за границей</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3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Женщины, рожденные в Швеции</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Женщины, рожденные за границей</w:t>
            </w:r>
          </w:p>
          <w:p w:rsidR="00000000" w:rsidRDefault="00000000">
            <w:pPr>
              <w:pStyle w:val="RKnormal"/>
              <w:spacing w:line="240" w:lineRule="auto"/>
              <w:jc w:val="center"/>
              <w:rPr>
                <w:rFonts w:ascii="Times New Roman" w:hAnsi="Times New Roman"/>
                <w:bCs/>
                <w:lang w:val="en-GB"/>
              </w:rPr>
            </w:pPr>
            <w:r>
              <w:rPr>
                <w:rFonts w:ascii="Times New Roman" w:hAnsi="Times New Roman"/>
                <w:bCs/>
                <w:lang w:val="en-GB"/>
              </w:rPr>
              <w:t>%</w:t>
            </w:r>
          </w:p>
        </w:tc>
      </w:tr>
      <w:tr w:rsidR="00000000">
        <w:tblPrEx>
          <w:tblCellMar>
            <w:top w:w="0" w:type="dxa"/>
            <w:bottom w:w="0" w:type="dxa"/>
          </w:tblCellMar>
        </w:tblPrEx>
        <w:trPr>
          <w:cantSplit/>
          <w:jc w:val="center"/>
        </w:trPr>
        <w:tc>
          <w:tcPr>
            <w:tcW w:w="1275" w:type="dxa"/>
            <w:tcBorders>
              <w:top w:val="single" w:sz="4" w:space="0" w:color="auto"/>
              <w:left w:val="single" w:sz="4" w:space="0" w:color="auto"/>
              <w:right w:val="single" w:sz="4" w:space="0" w:color="auto"/>
            </w:tcBorders>
          </w:tcPr>
          <w:p w:rsidR="00000000" w:rsidRDefault="00000000">
            <w:pPr>
              <w:pStyle w:val="RKnormal"/>
              <w:spacing w:line="288" w:lineRule="auto"/>
              <w:rPr>
                <w:rFonts w:ascii="Times New Roman" w:hAnsi="Times New Roman"/>
                <w:lang w:val="en-GB"/>
              </w:rPr>
            </w:pPr>
            <w:r>
              <w:rPr>
                <w:rFonts w:ascii="Times New Roman" w:hAnsi="Times New Roman"/>
                <w:lang w:val="en-GB"/>
              </w:rPr>
              <w:t>2000</w:t>
            </w:r>
          </w:p>
        </w:tc>
        <w:tc>
          <w:tcPr>
            <w:tcW w:w="1639" w:type="dxa"/>
            <w:tcBorders>
              <w:top w:val="single" w:sz="4" w:space="0" w:color="auto"/>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82,5</w:t>
            </w:r>
          </w:p>
        </w:tc>
        <w:tc>
          <w:tcPr>
            <w:tcW w:w="1640" w:type="dxa"/>
            <w:tcBorders>
              <w:top w:val="single" w:sz="4" w:space="0" w:color="auto"/>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69,0</w:t>
            </w:r>
          </w:p>
        </w:tc>
        <w:tc>
          <w:tcPr>
            <w:tcW w:w="1639" w:type="dxa"/>
            <w:tcBorders>
              <w:top w:val="single" w:sz="4" w:space="0" w:color="auto"/>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78,2</w:t>
            </w:r>
          </w:p>
        </w:tc>
        <w:tc>
          <w:tcPr>
            <w:tcW w:w="1640" w:type="dxa"/>
            <w:tcBorders>
              <w:top w:val="single" w:sz="4" w:space="0" w:color="auto"/>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58,7</w:t>
            </w:r>
          </w:p>
        </w:tc>
      </w:tr>
      <w:tr w:rsidR="00000000">
        <w:tblPrEx>
          <w:tblCellMar>
            <w:top w:w="0" w:type="dxa"/>
            <w:bottom w:w="0" w:type="dxa"/>
          </w:tblCellMar>
        </w:tblPrEx>
        <w:trPr>
          <w:cantSplit/>
          <w:jc w:val="center"/>
        </w:trPr>
        <w:tc>
          <w:tcPr>
            <w:tcW w:w="1275" w:type="dxa"/>
            <w:tcBorders>
              <w:left w:val="single" w:sz="4" w:space="0" w:color="auto"/>
              <w:right w:val="single" w:sz="4" w:space="0" w:color="auto"/>
            </w:tcBorders>
          </w:tcPr>
          <w:p w:rsidR="00000000" w:rsidRDefault="00000000">
            <w:pPr>
              <w:pStyle w:val="RKnormal"/>
              <w:spacing w:line="288" w:lineRule="auto"/>
              <w:rPr>
                <w:rFonts w:ascii="Times New Roman" w:hAnsi="Times New Roman"/>
                <w:lang w:val="en-GB"/>
              </w:rPr>
            </w:pPr>
            <w:r>
              <w:rPr>
                <w:rFonts w:ascii="Times New Roman" w:hAnsi="Times New Roman"/>
                <w:lang w:val="en-GB"/>
              </w:rPr>
              <w:t>2001</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82,4</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68,9</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78,9</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59,7</w:t>
            </w:r>
          </w:p>
        </w:tc>
      </w:tr>
      <w:tr w:rsidR="00000000">
        <w:tblPrEx>
          <w:tblCellMar>
            <w:top w:w="0" w:type="dxa"/>
            <w:bottom w:w="0" w:type="dxa"/>
          </w:tblCellMar>
        </w:tblPrEx>
        <w:trPr>
          <w:cantSplit/>
          <w:jc w:val="center"/>
        </w:trPr>
        <w:tc>
          <w:tcPr>
            <w:tcW w:w="1275" w:type="dxa"/>
            <w:tcBorders>
              <w:left w:val="single" w:sz="4" w:space="0" w:color="auto"/>
              <w:right w:val="single" w:sz="4" w:space="0" w:color="auto"/>
            </w:tcBorders>
          </w:tcPr>
          <w:p w:rsidR="00000000" w:rsidRDefault="00000000">
            <w:pPr>
              <w:pStyle w:val="RKnormal"/>
              <w:spacing w:line="288" w:lineRule="auto"/>
              <w:rPr>
                <w:rFonts w:ascii="Times New Roman" w:hAnsi="Times New Roman"/>
                <w:lang w:val="en-GB"/>
              </w:rPr>
            </w:pPr>
            <w:r>
              <w:rPr>
                <w:rFonts w:ascii="Times New Roman" w:hAnsi="Times New Roman"/>
                <w:lang w:val="en-GB"/>
              </w:rPr>
              <w:t>2002</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81,9</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67,7</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78,8</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en-GB"/>
              </w:rPr>
            </w:pPr>
            <w:r>
              <w:rPr>
                <w:rFonts w:ascii="Times New Roman" w:hAnsi="Times New Roman"/>
                <w:lang w:val="en-GB"/>
              </w:rPr>
              <w:t>60,1</w:t>
            </w:r>
          </w:p>
        </w:tc>
      </w:tr>
      <w:tr w:rsidR="00000000">
        <w:tblPrEx>
          <w:tblCellMar>
            <w:top w:w="0" w:type="dxa"/>
            <w:bottom w:w="0" w:type="dxa"/>
          </w:tblCellMar>
        </w:tblPrEx>
        <w:trPr>
          <w:cantSplit/>
          <w:jc w:val="center"/>
        </w:trPr>
        <w:tc>
          <w:tcPr>
            <w:tcW w:w="1275" w:type="dxa"/>
            <w:tcBorders>
              <w:left w:val="single" w:sz="4" w:space="0" w:color="auto"/>
              <w:right w:val="single" w:sz="4" w:space="0" w:color="auto"/>
            </w:tcBorders>
          </w:tcPr>
          <w:p w:rsidR="00000000" w:rsidRDefault="00000000">
            <w:pPr>
              <w:pStyle w:val="RKnormal"/>
              <w:spacing w:line="288" w:lineRule="auto"/>
              <w:rPr>
                <w:rFonts w:ascii="Times New Roman" w:hAnsi="Times New Roman"/>
                <w:lang w:val="en-GB"/>
              </w:rPr>
            </w:pPr>
            <w:r>
              <w:rPr>
                <w:rFonts w:ascii="Times New Roman" w:hAnsi="Times New Roman"/>
                <w:lang w:val="en-GB"/>
              </w:rPr>
              <w:t>2003</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81,7</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66,1</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78,1</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59,0</w:t>
            </w:r>
          </w:p>
        </w:tc>
      </w:tr>
      <w:tr w:rsidR="00000000">
        <w:tblPrEx>
          <w:tblCellMar>
            <w:top w:w="0" w:type="dxa"/>
            <w:bottom w:w="0" w:type="dxa"/>
          </w:tblCellMar>
        </w:tblPrEx>
        <w:trPr>
          <w:cantSplit/>
          <w:trHeight w:val="227"/>
          <w:jc w:val="center"/>
        </w:trPr>
        <w:tc>
          <w:tcPr>
            <w:tcW w:w="1275" w:type="dxa"/>
            <w:tcBorders>
              <w:left w:val="single" w:sz="4" w:space="0" w:color="auto"/>
              <w:right w:val="single" w:sz="4" w:space="0" w:color="auto"/>
            </w:tcBorders>
          </w:tcPr>
          <w:p w:rsidR="00000000" w:rsidRDefault="00000000">
            <w:pPr>
              <w:pStyle w:val="RKnormal"/>
              <w:spacing w:line="288" w:lineRule="auto"/>
              <w:rPr>
                <w:rFonts w:ascii="Times New Roman" w:hAnsi="Times New Roman"/>
                <w:lang w:val="ru-RU"/>
              </w:rPr>
            </w:pPr>
            <w:r>
              <w:rPr>
                <w:rFonts w:ascii="Times New Roman" w:hAnsi="Times New Roman"/>
                <w:lang w:val="ru-RU"/>
              </w:rPr>
              <w:t>2004</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81,3</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65,5</w:t>
            </w:r>
          </w:p>
        </w:tc>
        <w:tc>
          <w:tcPr>
            <w:tcW w:w="1639"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77,7</w:t>
            </w:r>
          </w:p>
        </w:tc>
        <w:tc>
          <w:tcPr>
            <w:tcW w:w="1640" w:type="dxa"/>
            <w:tcBorders>
              <w:top w:val="nil"/>
              <w:left w:val="single" w:sz="4" w:space="0" w:color="auto"/>
              <w:bottom w:val="nil"/>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57,8</w:t>
            </w:r>
          </w:p>
        </w:tc>
      </w:tr>
      <w:tr w:rsidR="00000000">
        <w:tblPrEx>
          <w:tblCellMar>
            <w:top w:w="0" w:type="dxa"/>
            <w:bottom w:w="0" w:type="dxa"/>
          </w:tblCellMar>
        </w:tblPrEx>
        <w:trPr>
          <w:cantSplit/>
          <w:jc w:val="center"/>
        </w:trPr>
        <w:tc>
          <w:tcPr>
            <w:tcW w:w="1275" w:type="dxa"/>
            <w:tcBorders>
              <w:left w:val="single" w:sz="4" w:space="0" w:color="auto"/>
              <w:bottom w:val="single" w:sz="4" w:space="0" w:color="auto"/>
              <w:right w:val="single" w:sz="4" w:space="0" w:color="auto"/>
            </w:tcBorders>
          </w:tcPr>
          <w:p w:rsidR="00000000" w:rsidRDefault="00000000">
            <w:pPr>
              <w:pStyle w:val="RKnormal"/>
              <w:spacing w:line="288" w:lineRule="auto"/>
              <w:rPr>
                <w:rFonts w:ascii="Times New Roman" w:hAnsi="Times New Roman"/>
                <w:lang w:val="ru-RU"/>
              </w:rPr>
            </w:pPr>
            <w:r>
              <w:rPr>
                <w:rFonts w:ascii="Times New Roman" w:hAnsi="Times New Roman"/>
                <w:lang w:val="ru-RU"/>
              </w:rPr>
              <w:t>2005</w:t>
            </w:r>
          </w:p>
        </w:tc>
        <w:tc>
          <w:tcPr>
            <w:tcW w:w="1639" w:type="dxa"/>
            <w:tcBorders>
              <w:top w:val="nil"/>
              <w:left w:val="single" w:sz="4" w:space="0" w:color="auto"/>
              <w:bottom w:val="single" w:sz="4" w:space="0" w:color="auto"/>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83,3</w:t>
            </w:r>
          </w:p>
        </w:tc>
        <w:tc>
          <w:tcPr>
            <w:tcW w:w="1640" w:type="dxa"/>
            <w:tcBorders>
              <w:top w:val="nil"/>
              <w:left w:val="single" w:sz="4" w:space="0" w:color="auto"/>
              <w:bottom w:val="single" w:sz="4" w:space="0" w:color="auto"/>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67,5</w:t>
            </w:r>
          </w:p>
        </w:tc>
        <w:tc>
          <w:tcPr>
            <w:tcW w:w="1639" w:type="dxa"/>
            <w:tcBorders>
              <w:top w:val="nil"/>
              <w:left w:val="single" w:sz="4" w:space="0" w:color="auto"/>
              <w:bottom w:val="single" w:sz="4" w:space="0" w:color="auto"/>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78,1</w:t>
            </w:r>
          </w:p>
        </w:tc>
        <w:tc>
          <w:tcPr>
            <w:tcW w:w="1640" w:type="dxa"/>
            <w:tcBorders>
              <w:top w:val="nil"/>
              <w:left w:val="single" w:sz="4" w:space="0" w:color="auto"/>
              <w:bottom w:val="single" w:sz="4" w:space="0" w:color="auto"/>
              <w:right w:val="single" w:sz="4" w:space="0" w:color="auto"/>
            </w:tcBorders>
          </w:tcPr>
          <w:p w:rsidR="00000000" w:rsidRDefault="00000000">
            <w:pPr>
              <w:pStyle w:val="RKnormal"/>
              <w:spacing w:line="288" w:lineRule="auto"/>
              <w:jc w:val="center"/>
              <w:rPr>
                <w:rFonts w:ascii="Times New Roman" w:hAnsi="Times New Roman"/>
                <w:lang w:val="ru-RU"/>
              </w:rPr>
            </w:pPr>
            <w:r>
              <w:rPr>
                <w:rFonts w:ascii="Times New Roman" w:hAnsi="Times New Roman"/>
                <w:lang w:val="ru-RU"/>
              </w:rPr>
              <w:t>61,0</w:t>
            </w:r>
          </w:p>
        </w:tc>
      </w:tr>
    </w:tbl>
    <w:p w:rsidR="00000000" w:rsidRDefault="00000000"/>
    <w:p w:rsidR="00000000" w:rsidRDefault="00000000">
      <w:r>
        <w:t>109.</w:t>
      </w:r>
      <w:r>
        <w:tab/>
        <w:t>В нижеследующей таблице показан уровень безработицы среди лиц в возрасте 20</w:t>
      </w:r>
      <w:r>
        <w:noBreakHyphen/>
        <w:t>64 лет, рожденных в Швеции, и лиц, рожденных за границей, за период 2000</w:t>
      </w:r>
      <w:r>
        <w:noBreakHyphen/>
        <w:t>2005 годов</w:t>
      </w:r>
      <w:r>
        <w:rPr>
          <w:rStyle w:val="FootnoteReference"/>
          <w:lang w:val="en-GB"/>
        </w:rPr>
        <w:footnoteReference w:id="20"/>
      </w:r>
      <w:r>
        <w:t>:</w:t>
      </w:r>
    </w:p>
    <w:p w:rsidR="00000000" w:rsidRDefault="00000000">
      <w:pPr>
        <w:rPr>
          <w:i/>
          <w:iCs/>
        </w:rPr>
      </w:pPr>
    </w:p>
    <w:tbl>
      <w:tblPr>
        <w:tblW w:w="0" w:type="auto"/>
        <w:jc w:val="center"/>
        <w:tblInd w:w="864"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1260"/>
        <w:gridCol w:w="1644"/>
        <w:gridCol w:w="1645"/>
        <w:gridCol w:w="1645"/>
        <w:gridCol w:w="1645"/>
      </w:tblGrid>
      <w:tr w:rsidR="00000000">
        <w:tblPrEx>
          <w:tblCellMar>
            <w:top w:w="0" w:type="dxa"/>
            <w:bottom w:w="0" w:type="dxa"/>
          </w:tblCellMar>
        </w:tblPrEx>
        <w:trPr>
          <w:jc w:val="center"/>
        </w:trPr>
        <w:tc>
          <w:tcPr>
            <w:tcW w:w="1260" w:type="dxa"/>
            <w:tcBorders>
              <w:top w:val="single" w:sz="4" w:space="0" w:color="auto"/>
              <w:left w:val="single" w:sz="4" w:space="0" w:color="auto"/>
              <w:bottom w:val="single" w:sz="6" w:space="0" w:color="008000"/>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Год</w:t>
            </w:r>
          </w:p>
        </w:tc>
        <w:tc>
          <w:tcPr>
            <w:tcW w:w="1644" w:type="dxa"/>
            <w:tcBorders>
              <w:top w:val="single" w:sz="4" w:space="0" w:color="auto"/>
              <w:left w:val="single" w:sz="4" w:space="0" w:color="auto"/>
              <w:bottom w:val="single" w:sz="6" w:space="0" w:color="008000"/>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Мужчины, рожденные в Швеции</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45" w:type="dxa"/>
            <w:tcBorders>
              <w:top w:val="single" w:sz="4" w:space="0" w:color="auto"/>
              <w:left w:val="single" w:sz="4" w:space="0" w:color="auto"/>
              <w:bottom w:val="single" w:sz="6" w:space="0" w:color="008000"/>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Мужчины, рожденные за границей</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45" w:type="dxa"/>
            <w:tcBorders>
              <w:top w:val="single" w:sz="4" w:space="0" w:color="auto"/>
              <w:left w:val="single" w:sz="4" w:space="0" w:color="auto"/>
              <w:bottom w:val="single" w:sz="6" w:space="0" w:color="008000"/>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Женщины, рожденные в Швеции</w:t>
            </w:r>
          </w:p>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w:t>
            </w:r>
          </w:p>
        </w:tc>
        <w:tc>
          <w:tcPr>
            <w:tcW w:w="1645" w:type="dxa"/>
            <w:tcBorders>
              <w:top w:val="single" w:sz="4" w:space="0" w:color="auto"/>
              <w:left w:val="single" w:sz="4" w:space="0" w:color="auto"/>
              <w:bottom w:val="single" w:sz="6" w:space="0" w:color="008000"/>
              <w:right w:val="single" w:sz="4" w:space="0" w:color="auto"/>
            </w:tcBorders>
            <w:vAlign w:val="center"/>
          </w:tcPr>
          <w:p w:rsidR="00000000" w:rsidRDefault="00000000">
            <w:pPr>
              <w:pStyle w:val="RKnormal"/>
              <w:spacing w:line="240" w:lineRule="auto"/>
              <w:jc w:val="center"/>
              <w:rPr>
                <w:rFonts w:ascii="Times New Roman" w:hAnsi="Times New Roman"/>
                <w:bCs/>
                <w:lang w:val="ru-RU"/>
              </w:rPr>
            </w:pPr>
            <w:r>
              <w:rPr>
                <w:rFonts w:ascii="Times New Roman" w:hAnsi="Times New Roman"/>
                <w:bCs/>
                <w:lang w:val="ru-RU"/>
              </w:rPr>
              <w:t>Женщины, рожденные за границей</w:t>
            </w:r>
          </w:p>
          <w:p w:rsidR="00000000" w:rsidRDefault="00000000">
            <w:pPr>
              <w:pStyle w:val="RKnormal"/>
              <w:spacing w:line="240" w:lineRule="auto"/>
              <w:jc w:val="center"/>
              <w:rPr>
                <w:rFonts w:ascii="Times New Roman" w:hAnsi="Times New Roman"/>
                <w:bCs/>
                <w:lang w:val="en-GB"/>
              </w:rPr>
            </w:pPr>
            <w:r>
              <w:rPr>
                <w:rFonts w:ascii="Times New Roman" w:hAnsi="Times New Roman"/>
                <w:bCs/>
                <w:lang w:val="en-GB"/>
              </w:rPr>
              <w:t>%</w:t>
            </w:r>
          </w:p>
        </w:tc>
      </w:tr>
      <w:tr w:rsidR="00000000">
        <w:tblPrEx>
          <w:tblCellMar>
            <w:top w:w="0" w:type="dxa"/>
            <w:bottom w:w="0" w:type="dxa"/>
          </w:tblCellMar>
        </w:tblPrEx>
        <w:trPr>
          <w:jc w:val="center"/>
        </w:trPr>
        <w:tc>
          <w:tcPr>
            <w:tcW w:w="1260" w:type="dxa"/>
            <w:tcBorders>
              <w:top w:val="single" w:sz="6" w:space="0" w:color="008000"/>
              <w:left w:val="single" w:sz="4" w:space="0" w:color="auto"/>
              <w:right w:val="single" w:sz="4" w:space="0" w:color="auto"/>
            </w:tcBorders>
          </w:tcPr>
          <w:p w:rsidR="00000000" w:rsidRDefault="00000000">
            <w:pPr>
              <w:rPr>
                <w:lang w:val="en-GB"/>
              </w:rPr>
            </w:pPr>
            <w:r>
              <w:rPr>
                <w:lang w:val="en-GB"/>
              </w:rPr>
              <w:t>2000</w:t>
            </w:r>
          </w:p>
        </w:tc>
        <w:tc>
          <w:tcPr>
            <w:tcW w:w="1644" w:type="dxa"/>
            <w:tcBorders>
              <w:top w:val="single" w:sz="6" w:space="0" w:color="008000"/>
              <w:left w:val="single" w:sz="4" w:space="0" w:color="auto"/>
              <w:right w:val="single" w:sz="4" w:space="0" w:color="auto"/>
            </w:tcBorders>
          </w:tcPr>
          <w:p w:rsidR="00000000" w:rsidRDefault="00000000">
            <w:pPr>
              <w:jc w:val="center"/>
              <w:rPr>
                <w:lang w:val="en-GB"/>
              </w:rPr>
            </w:pPr>
            <w:r>
              <w:rPr>
                <w:lang w:val="en-GB"/>
              </w:rPr>
              <w:t>3,0</w:t>
            </w:r>
          </w:p>
        </w:tc>
        <w:tc>
          <w:tcPr>
            <w:tcW w:w="1645" w:type="dxa"/>
            <w:tcBorders>
              <w:top w:val="single" w:sz="6" w:space="0" w:color="008000"/>
              <w:left w:val="single" w:sz="4" w:space="0" w:color="auto"/>
              <w:right w:val="single" w:sz="4" w:space="0" w:color="auto"/>
            </w:tcBorders>
          </w:tcPr>
          <w:p w:rsidR="00000000" w:rsidRDefault="00000000">
            <w:pPr>
              <w:jc w:val="center"/>
              <w:rPr>
                <w:lang w:val="en-GB"/>
              </w:rPr>
            </w:pPr>
            <w:r>
              <w:rPr>
                <w:lang w:val="en-GB"/>
              </w:rPr>
              <w:t>6,8</w:t>
            </w:r>
          </w:p>
        </w:tc>
        <w:tc>
          <w:tcPr>
            <w:tcW w:w="1645" w:type="dxa"/>
            <w:tcBorders>
              <w:top w:val="single" w:sz="6" w:space="0" w:color="008000"/>
              <w:left w:val="single" w:sz="4" w:space="0" w:color="auto"/>
              <w:right w:val="single" w:sz="4" w:space="0" w:color="auto"/>
            </w:tcBorders>
          </w:tcPr>
          <w:p w:rsidR="00000000" w:rsidRDefault="00000000">
            <w:pPr>
              <w:jc w:val="center"/>
              <w:rPr>
                <w:lang w:val="en-GB"/>
              </w:rPr>
            </w:pPr>
            <w:r>
              <w:rPr>
                <w:lang w:val="en-GB"/>
              </w:rPr>
              <w:t>2,3</w:t>
            </w:r>
          </w:p>
        </w:tc>
        <w:tc>
          <w:tcPr>
            <w:tcW w:w="1645" w:type="dxa"/>
            <w:tcBorders>
              <w:top w:val="single" w:sz="6" w:space="0" w:color="008000"/>
              <w:left w:val="single" w:sz="4" w:space="0" w:color="auto"/>
              <w:right w:val="single" w:sz="4" w:space="0" w:color="auto"/>
            </w:tcBorders>
          </w:tcPr>
          <w:p w:rsidR="00000000" w:rsidRDefault="00000000">
            <w:pPr>
              <w:jc w:val="center"/>
              <w:rPr>
                <w:lang w:val="en-GB"/>
              </w:rPr>
            </w:pPr>
            <w:r>
              <w:rPr>
                <w:lang w:val="en-GB"/>
              </w:rPr>
              <w:t>4,8</w:t>
            </w:r>
          </w:p>
        </w:tc>
      </w:tr>
      <w:tr w:rsidR="00000000">
        <w:tblPrEx>
          <w:tblCellMar>
            <w:top w:w="0" w:type="dxa"/>
            <w:bottom w:w="0" w:type="dxa"/>
          </w:tblCellMar>
        </w:tblPrEx>
        <w:trPr>
          <w:jc w:val="center"/>
        </w:trPr>
        <w:tc>
          <w:tcPr>
            <w:tcW w:w="1260" w:type="dxa"/>
            <w:tcBorders>
              <w:left w:val="single" w:sz="4" w:space="0" w:color="auto"/>
              <w:right w:val="single" w:sz="4" w:space="0" w:color="auto"/>
            </w:tcBorders>
          </w:tcPr>
          <w:p w:rsidR="00000000" w:rsidRDefault="00000000">
            <w:pPr>
              <w:rPr>
                <w:lang w:val="en-GB"/>
              </w:rPr>
            </w:pPr>
            <w:r>
              <w:rPr>
                <w:lang w:val="en-GB"/>
              </w:rPr>
              <w:t>2001</w:t>
            </w:r>
          </w:p>
        </w:tc>
        <w:tc>
          <w:tcPr>
            <w:tcW w:w="1644" w:type="dxa"/>
            <w:tcBorders>
              <w:left w:val="single" w:sz="4" w:space="0" w:color="auto"/>
              <w:right w:val="single" w:sz="4" w:space="0" w:color="auto"/>
            </w:tcBorders>
          </w:tcPr>
          <w:p w:rsidR="00000000" w:rsidRDefault="00000000">
            <w:pPr>
              <w:jc w:val="center"/>
            </w:pPr>
            <w:r>
              <w:t>2,9</w:t>
            </w:r>
          </w:p>
        </w:tc>
        <w:tc>
          <w:tcPr>
            <w:tcW w:w="1645" w:type="dxa"/>
            <w:tcBorders>
              <w:left w:val="single" w:sz="4" w:space="0" w:color="auto"/>
              <w:right w:val="single" w:sz="4" w:space="0" w:color="auto"/>
            </w:tcBorders>
          </w:tcPr>
          <w:p w:rsidR="00000000" w:rsidRDefault="00000000">
            <w:pPr>
              <w:jc w:val="center"/>
            </w:pPr>
            <w:r>
              <w:t>6,1</w:t>
            </w:r>
          </w:p>
        </w:tc>
        <w:tc>
          <w:tcPr>
            <w:tcW w:w="1645" w:type="dxa"/>
            <w:tcBorders>
              <w:left w:val="single" w:sz="4" w:space="0" w:color="auto"/>
              <w:right w:val="single" w:sz="4" w:space="0" w:color="auto"/>
            </w:tcBorders>
          </w:tcPr>
          <w:p w:rsidR="00000000" w:rsidRDefault="00000000">
            <w:pPr>
              <w:jc w:val="center"/>
            </w:pPr>
            <w:r>
              <w:t>2,2</w:t>
            </w:r>
          </w:p>
        </w:tc>
        <w:tc>
          <w:tcPr>
            <w:tcW w:w="1645" w:type="dxa"/>
            <w:tcBorders>
              <w:left w:val="single" w:sz="4" w:space="0" w:color="auto"/>
              <w:right w:val="single" w:sz="4" w:space="0" w:color="auto"/>
            </w:tcBorders>
          </w:tcPr>
          <w:p w:rsidR="00000000" w:rsidRDefault="00000000">
            <w:pPr>
              <w:jc w:val="center"/>
            </w:pPr>
            <w:r>
              <w:t>5,2</w:t>
            </w:r>
          </w:p>
        </w:tc>
      </w:tr>
      <w:tr w:rsidR="00000000">
        <w:tblPrEx>
          <w:tblCellMar>
            <w:top w:w="0" w:type="dxa"/>
            <w:bottom w:w="0" w:type="dxa"/>
          </w:tblCellMar>
        </w:tblPrEx>
        <w:trPr>
          <w:jc w:val="center"/>
        </w:trPr>
        <w:tc>
          <w:tcPr>
            <w:tcW w:w="1260" w:type="dxa"/>
            <w:tcBorders>
              <w:left w:val="single" w:sz="4" w:space="0" w:color="auto"/>
              <w:right w:val="single" w:sz="4" w:space="0" w:color="auto"/>
            </w:tcBorders>
          </w:tcPr>
          <w:p w:rsidR="00000000" w:rsidRDefault="00000000">
            <w:r>
              <w:t>2002</w:t>
            </w:r>
          </w:p>
        </w:tc>
        <w:tc>
          <w:tcPr>
            <w:tcW w:w="1644" w:type="dxa"/>
            <w:tcBorders>
              <w:left w:val="single" w:sz="4" w:space="0" w:color="auto"/>
              <w:right w:val="single" w:sz="4" w:space="0" w:color="auto"/>
            </w:tcBorders>
          </w:tcPr>
          <w:p w:rsidR="00000000" w:rsidRDefault="00000000">
            <w:pPr>
              <w:jc w:val="center"/>
            </w:pPr>
            <w:r>
              <w:t>3,1</w:t>
            </w:r>
          </w:p>
        </w:tc>
        <w:tc>
          <w:tcPr>
            <w:tcW w:w="1645" w:type="dxa"/>
            <w:tcBorders>
              <w:left w:val="single" w:sz="4" w:space="0" w:color="auto"/>
              <w:right w:val="single" w:sz="4" w:space="0" w:color="auto"/>
            </w:tcBorders>
          </w:tcPr>
          <w:p w:rsidR="00000000" w:rsidRDefault="00000000">
            <w:pPr>
              <w:jc w:val="center"/>
            </w:pPr>
            <w:r>
              <w:t>6,4</w:t>
            </w:r>
          </w:p>
        </w:tc>
        <w:tc>
          <w:tcPr>
            <w:tcW w:w="1645" w:type="dxa"/>
            <w:tcBorders>
              <w:left w:val="single" w:sz="4" w:space="0" w:color="auto"/>
              <w:right w:val="single" w:sz="4" w:space="0" w:color="auto"/>
            </w:tcBorders>
          </w:tcPr>
          <w:p w:rsidR="00000000" w:rsidRDefault="00000000">
            <w:pPr>
              <w:jc w:val="center"/>
            </w:pPr>
            <w:r>
              <w:t>2,2</w:t>
            </w:r>
          </w:p>
        </w:tc>
        <w:tc>
          <w:tcPr>
            <w:tcW w:w="1645" w:type="dxa"/>
            <w:tcBorders>
              <w:left w:val="single" w:sz="4" w:space="0" w:color="auto"/>
              <w:right w:val="single" w:sz="4" w:space="0" w:color="auto"/>
            </w:tcBorders>
          </w:tcPr>
          <w:p w:rsidR="00000000" w:rsidRDefault="00000000">
            <w:pPr>
              <w:jc w:val="center"/>
            </w:pPr>
            <w:r>
              <w:t>5,2</w:t>
            </w:r>
          </w:p>
        </w:tc>
      </w:tr>
      <w:tr w:rsidR="00000000">
        <w:tblPrEx>
          <w:tblCellMar>
            <w:top w:w="0" w:type="dxa"/>
            <w:bottom w:w="0" w:type="dxa"/>
          </w:tblCellMar>
        </w:tblPrEx>
        <w:trPr>
          <w:jc w:val="center"/>
        </w:trPr>
        <w:tc>
          <w:tcPr>
            <w:tcW w:w="1260" w:type="dxa"/>
            <w:tcBorders>
              <w:left w:val="single" w:sz="4" w:space="0" w:color="auto"/>
              <w:right w:val="single" w:sz="4" w:space="0" w:color="auto"/>
            </w:tcBorders>
          </w:tcPr>
          <w:p w:rsidR="00000000" w:rsidRDefault="00000000">
            <w:r>
              <w:t>2003</w:t>
            </w:r>
          </w:p>
        </w:tc>
        <w:tc>
          <w:tcPr>
            <w:tcW w:w="1644" w:type="dxa"/>
            <w:tcBorders>
              <w:left w:val="single" w:sz="4" w:space="0" w:color="auto"/>
              <w:right w:val="single" w:sz="4" w:space="0" w:color="auto"/>
            </w:tcBorders>
          </w:tcPr>
          <w:p w:rsidR="00000000" w:rsidRDefault="00000000">
            <w:pPr>
              <w:jc w:val="center"/>
            </w:pPr>
            <w:r>
              <w:t>4,1</w:t>
            </w:r>
          </w:p>
        </w:tc>
        <w:tc>
          <w:tcPr>
            <w:tcW w:w="1645" w:type="dxa"/>
            <w:tcBorders>
              <w:left w:val="single" w:sz="4" w:space="0" w:color="auto"/>
              <w:right w:val="single" w:sz="4" w:space="0" w:color="auto"/>
            </w:tcBorders>
          </w:tcPr>
          <w:p w:rsidR="00000000" w:rsidRDefault="00000000">
            <w:pPr>
              <w:jc w:val="center"/>
            </w:pPr>
            <w:r>
              <w:t>8,6</w:t>
            </w:r>
          </w:p>
        </w:tc>
        <w:tc>
          <w:tcPr>
            <w:tcW w:w="1645" w:type="dxa"/>
            <w:tcBorders>
              <w:left w:val="single" w:sz="4" w:space="0" w:color="auto"/>
              <w:right w:val="single" w:sz="4" w:space="0" w:color="auto"/>
            </w:tcBorders>
          </w:tcPr>
          <w:p w:rsidR="00000000" w:rsidRDefault="00000000">
            <w:pPr>
              <w:jc w:val="center"/>
            </w:pPr>
            <w:r>
              <w:t>3,0</w:t>
            </w:r>
          </w:p>
        </w:tc>
        <w:tc>
          <w:tcPr>
            <w:tcW w:w="1645" w:type="dxa"/>
            <w:tcBorders>
              <w:left w:val="single" w:sz="4" w:space="0" w:color="auto"/>
              <w:right w:val="single" w:sz="4" w:space="0" w:color="auto"/>
            </w:tcBorders>
          </w:tcPr>
          <w:p w:rsidR="00000000" w:rsidRDefault="00000000">
            <w:pPr>
              <w:jc w:val="center"/>
            </w:pPr>
            <w:r>
              <w:t>6,0</w:t>
            </w:r>
          </w:p>
        </w:tc>
      </w:tr>
      <w:tr w:rsidR="00000000">
        <w:tblPrEx>
          <w:tblCellMar>
            <w:top w:w="0" w:type="dxa"/>
            <w:bottom w:w="0" w:type="dxa"/>
          </w:tblCellMar>
        </w:tblPrEx>
        <w:trPr>
          <w:jc w:val="center"/>
        </w:trPr>
        <w:tc>
          <w:tcPr>
            <w:tcW w:w="1260" w:type="dxa"/>
            <w:tcBorders>
              <w:left w:val="single" w:sz="4" w:space="0" w:color="auto"/>
              <w:right w:val="single" w:sz="4" w:space="0" w:color="auto"/>
            </w:tcBorders>
          </w:tcPr>
          <w:p w:rsidR="00000000" w:rsidRDefault="00000000">
            <w:r>
              <w:t>2004</w:t>
            </w:r>
          </w:p>
        </w:tc>
        <w:tc>
          <w:tcPr>
            <w:tcW w:w="1644" w:type="dxa"/>
            <w:tcBorders>
              <w:left w:val="single" w:sz="4" w:space="0" w:color="auto"/>
              <w:right w:val="single" w:sz="4" w:space="0" w:color="auto"/>
            </w:tcBorders>
          </w:tcPr>
          <w:p w:rsidR="00000000" w:rsidRDefault="00000000">
            <w:pPr>
              <w:jc w:val="center"/>
            </w:pPr>
            <w:r>
              <w:t>3,6</w:t>
            </w:r>
          </w:p>
        </w:tc>
        <w:tc>
          <w:tcPr>
            <w:tcW w:w="1645" w:type="dxa"/>
            <w:tcBorders>
              <w:left w:val="single" w:sz="4" w:space="0" w:color="auto"/>
              <w:right w:val="single" w:sz="4" w:space="0" w:color="auto"/>
            </w:tcBorders>
          </w:tcPr>
          <w:p w:rsidR="00000000" w:rsidRDefault="00000000">
            <w:pPr>
              <w:jc w:val="center"/>
            </w:pPr>
            <w:r>
              <w:t>8,4</w:t>
            </w:r>
          </w:p>
        </w:tc>
        <w:tc>
          <w:tcPr>
            <w:tcW w:w="1645" w:type="dxa"/>
            <w:tcBorders>
              <w:left w:val="single" w:sz="4" w:space="0" w:color="auto"/>
              <w:right w:val="single" w:sz="4" w:space="0" w:color="auto"/>
            </w:tcBorders>
          </w:tcPr>
          <w:p w:rsidR="00000000" w:rsidRDefault="00000000">
            <w:pPr>
              <w:jc w:val="center"/>
            </w:pPr>
            <w:r>
              <w:t>3,2</w:t>
            </w:r>
          </w:p>
        </w:tc>
        <w:tc>
          <w:tcPr>
            <w:tcW w:w="1645" w:type="dxa"/>
            <w:tcBorders>
              <w:left w:val="single" w:sz="4" w:space="0" w:color="auto"/>
              <w:right w:val="single" w:sz="4" w:space="0" w:color="auto"/>
            </w:tcBorders>
          </w:tcPr>
          <w:p w:rsidR="00000000" w:rsidRDefault="00000000">
            <w:pPr>
              <w:jc w:val="center"/>
            </w:pPr>
            <w:r>
              <w:t>6,2</w:t>
            </w:r>
          </w:p>
        </w:tc>
      </w:tr>
      <w:tr w:rsidR="00000000">
        <w:tblPrEx>
          <w:tblCellMar>
            <w:top w:w="0" w:type="dxa"/>
            <w:bottom w:w="0" w:type="dxa"/>
          </w:tblCellMar>
        </w:tblPrEx>
        <w:trPr>
          <w:jc w:val="center"/>
        </w:trPr>
        <w:tc>
          <w:tcPr>
            <w:tcW w:w="1260" w:type="dxa"/>
            <w:tcBorders>
              <w:left w:val="single" w:sz="4" w:space="0" w:color="auto"/>
              <w:bottom w:val="single" w:sz="4" w:space="0" w:color="auto"/>
              <w:right w:val="single" w:sz="4" w:space="0" w:color="auto"/>
            </w:tcBorders>
          </w:tcPr>
          <w:p w:rsidR="00000000" w:rsidRDefault="00000000">
            <w:r>
              <w:t>2005</w:t>
            </w:r>
          </w:p>
        </w:tc>
        <w:tc>
          <w:tcPr>
            <w:tcW w:w="1644" w:type="dxa"/>
            <w:tcBorders>
              <w:left w:val="single" w:sz="4" w:space="0" w:color="auto"/>
              <w:bottom w:val="single" w:sz="4" w:space="0" w:color="auto"/>
              <w:right w:val="single" w:sz="4" w:space="0" w:color="auto"/>
            </w:tcBorders>
          </w:tcPr>
          <w:p w:rsidR="00000000" w:rsidRDefault="00000000">
            <w:pPr>
              <w:jc w:val="center"/>
            </w:pPr>
            <w:r>
              <w:t>4,5</w:t>
            </w:r>
          </w:p>
        </w:tc>
        <w:tc>
          <w:tcPr>
            <w:tcW w:w="1645" w:type="dxa"/>
            <w:tcBorders>
              <w:left w:val="single" w:sz="4" w:space="0" w:color="auto"/>
              <w:bottom w:val="single" w:sz="4" w:space="0" w:color="auto"/>
              <w:right w:val="single" w:sz="4" w:space="0" w:color="auto"/>
            </w:tcBorders>
          </w:tcPr>
          <w:p w:rsidR="00000000" w:rsidRDefault="00000000">
            <w:pPr>
              <w:jc w:val="center"/>
            </w:pPr>
            <w:r>
              <w:t>10,4  </w:t>
            </w:r>
          </w:p>
        </w:tc>
        <w:tc>
          <w:tcPr>
            <w:tcW w:w="1645" w:type="dxa"/>
            <w:tcBorders>
              <w:left w:val="single" w:sz="4" w:space="0" w:color="auto"/>
              <w:bottom w:val="single" w:sz="4" w:space="0" w:color="auto"/>
              <w:right w:val="single" w:sz="4" w:space="0" w:color="auto"/>
            </w:tcBorders>
          </w:tcPr>
          <w:p w:rsidR="00000000" w:rsidRDefault="00000000">
            <w:pPr>
              <w:jc w:val="center"/>
            </w:pPr>
            <w:r>
              <w:t>4,2</w:t>
            </w:r>
          </w:p>
        </w:tc>
        <w:tc>
          <w:tcPr>
            <w:tcW w:w="1645" w:type="dxa"/>
            <w:tcBorders>
              <w:left w:val="single" w:sz="4" w:space="0" w:color="auto"/>
              <w:bottom w:val="single" w:sz="4" w:space="0" w:color="auto"/>
              <w:right w:val="single" w:sz="4" w:space="0" w:color="auto"/>
            </w:tcBorders>
          </w:tcPr>
          <w:p w:rsidR="00000000" w:rsidRDefault="00000000">
            <w:pPr>
              <w:jc w:val="center"/>
            </w:pPr>
            <w:r>
              <w:t>10,3  </w:t>
            </w:r>
          </w:p>
        </w:tc>
      </w:tr>
    </w:tbl>
    <w:p w:rsidR="00000000" w:rsidRDefault="00000000">
      <w:pPr>
        <w:pStyle w:val="BodyText"/>
        <w:spacing w:after="0" w:line="288" w:lineRule="auto"/>
        <w:rPr>
          <w:rFonts w:ascii="Times New Roman" w:hAnsi="Times New Roman"/>
          <w:highlight w:val="yellow"/>
          <w:lang w:val="ru-RU"/>
        </w:rPr>
      </w:pPr>
    </w:p>
    <w:p w:rsidR="00000000" w:rsidRDefault="00000000">
      <w:pPr>
        <w:keepNext/>
        <w:keepLines/>
      </w:pPr>
      <w:r>
        <w:t>110.</w:t>
      </w:r>
      <w:r>
        <w:tab/>
        <w:t xml:space="preserve">В своем докладе "Интеграция в 2005 году" Шведский совет по вопросам интеграции рассмотрел и проанализировал различные факторы, включая различия в уровне занятости.  Совет полагает, что главным объяснением и причиной этих различий является розничный спрос на рабочую силу, и уделяет в этой связи важное внимание проблеме дискриминации как одной из серьезных причин таких различий.  Группы, которые в целом характеризуются наиболее низким уровнем занятости, включают лиц, рожденных в Африке, Азии и Европе, за пределами 15 стран </w:t>
      </w:r>
      <w:r>
        <w:noBreakHyphen/>
        <w:t xml:space="preserve"> членов ЕС.  Этот дисбаланс нельзя объяснить различиями в возрасте, уровне образования или материальном положении.  Вместе с тем срок пребывания в Швеции все же оказывает позитивное воздействие, в том числе и в отношении лиц, рожденных в Африке или Азии.</w:t>
      </w:r>
    </w:p>
    <w:p w:rsidR="00000000" w:rsidRDefault="00000000">
      <w:pPr>
        <w:keepNext/>
        <w:keepLines/>
      </w:pPr>
    </w:p>
    <w:p w:rsidR="00000000" w:rsidRDefault="00000000">
      <w:r>
        <w:t>111.</w:t>
      </w:r>
      <w:r>
        <w:tab/>
        <w:t>Шведский совет по вопросам интеграции также отмечает, что большинство рабочих мест заполняется по неофициальным каналам трудоустройства, тогда как лица, рожденные за границей, зачастую не имеют необходимых связей.  Совет также подчеркивает важность структурной трансформации рынка труда, в том числе в промышленном секторе, которая более негативно сказывается на лицах, рожденных за границей, по сравнению с лицами, рожденными в Швеции.</w:t>
      </w:r>
    </w:p>
    <w:p w:rsidR="00000000" w:rsidRDefault="00000000"/>
    <w:p w:rsidR="00000000" w:rsidRDefault="00000000">
      <w:pPr>
        <w:pStyle w:val="RKnormal"/>
        <w:tabs>
          <w:tab w:val="left" w:pos="4125"/>
        </w:tabs>
        <w:spacing w:line="288" w:lineRule="auto"/>
        <w:rPr>
          <w:rFonts w:ascii="Times New Roman" w:hAnsi="Times New Roman"/>
          <w:b/>
          <w:bCs/>
          <w:lang w:val="ru-RU"/>
        </w:rPr>
      </w:pPr>
      <w:r>
        <w:rPr>
          <w:rFonts w:ascii="Times New Roman" w:hAnsi="Times New Roman"/>
          <w:b/>
          <w:bCs/>
          <w:lang w:val="ru-RU"/>
        </w:rPr>
        <w:t>Процесс анонимной подачи заявлений на трудоустройство</w:t>
      </w:r>
    </w:p>
    <w:p w:rsidR="00000000" w:rsidRDefault="00000000">
      <w:pPr>
        <w:pStyle w:val="RKnormal"/>
        <w:tabs>
          <w:tab w:val="left" w:pos="4125"/>
        </w:tabs>
        <w:spacing w:line="288" w:lineRule="auto"/>
        <w:rPr>
          <w:rFonts w:ascii="Times New Roman" w:hAnsi="Times New Roman"/>
          <w:b/>
          <w:bCs/>
          <w:i/>
          <w:iCs/>
          <w:lang w:val="ru-RU"/>
        </w:rPr>
      </w:pPr>
    </w:p>
    <w:p w:rsidR="00000000" w:rsidRDefault="00000000">
      <w:pPr>
        <w:pStyle w:val="RKnormal"/>
        <w:tabs>
          <w:tab w:val="left" w:pos="561"/>
        </w:tabs>
        <w:spacing w:line="288" w:lineRule="auto"/>
        <w:rPr>
          <w:lang w:val="ru-RU"/>
        </w:rPr>
      </w:pPr>
      <w:r>
        <w:rPr>
          <w:lang w:val="ru-RU"/>
        </w:rPr>
        <w:t xml:space="preserve">112. </w:t>
      </w:r>
      <w:r>
        <w:rPr>
          <w:lang w:val="ru-RU"/>
        </w:rPr>
        <w:tab/>
        <w:t xml:space="preserve">Осенью 2006 года было начато осуществление экспериментального проекта, предусматривающего анонимную подачу заявлений на </w:t>
      </w:r>
      <w:r>
        <w:t xml:space="preserve">трудоустройство в семи государственных ведомствах. </w:t>
      </w:r>
      <w:r>
        <w:rPr>
          <w:lang w:val="ru-RU"/>
        </w:rPr>
        <w:t xml:space="preserve"> Цель проекта состоит в том, чтобы определить, будет ли система анонимной </w:t>
      </w:r>
      <w:r>
        <w:rPr>
          <w:rFonts w:ascii="Times New Roman" w:hAnsi="Times New Roman"/>
          <w:lang w:val="ru-RU"/>
        </w:rPr>
        <w:t xml:space="preserve">подачи заявлений о приеме на работу способствовать </w:t>
      </w:r>
      <w:proofErr w:type="spellStart"/>
      <w:r>
        <w:rPr>
          <w:rFonts w:ascii="Times New Roman" w:hAnsi="Times New Roman"/>
          <w:lang w:val="ru-RU"/>
        </w:rPr>
        <w:t>недискриминационному</w:t>
      </w:r>
      <w:proofErr w:type="spellEnd"/>
      <w:r>
        <w:rPr>
          <w:rFonts w:ascii="Times New Roman" w:hAnsi="Times New Roman"/>
          <w:lang w:val="ru-RU"/>
        </w:rPr>
        <w:t xml:space="preserve"> </w:t>
      </w:r>
      <w:r>
        <w:t xml:space="preserve">трудоустройству, </w:t>
      </w:r>
      <w:r>
        <w:rPr>
          <w:lang w:val="ru-RU"/>
        </w:rPr>
        <w:t xml:space="preserve">которое производилось бы в </w:t>
      </w:r>
      <w:r>
        <w:t xml:space="preserve">первую очередь </w:t>
      </w:r>
      <w:r>
        <w:rPr>
          <w:lang w:val="ru-RU"/>
        </w:rPr>
        <w:t xml:space="preserve">с учетом </w:t>
      </w:r>
      <w:r>
        <w:t xml:space="preserve">профессиональных навыков и уровня квалификации и </w:t>
      </w:r>
      <w:r>
        <w:rPr>
          <w:lang w:val="ru-RU"/>
        </w:rPr>
        <w:t>которое содействовало бы</w:t>
      </w:r>
      <w:r>
        <w:t xml:space="preserve"> разнообразию. </w:t>
      </w:r>
      <w:r>
        <w:rPr>
          <w:lang w:val="ru-RU"/>
        </w:rPr>
        <w:t xml:space="preserve"> Осуществление этого экспериментального проекта будет продолжаться в течение 2007 года. </w:t>
      </w:r>
    </w:p>
    <w:p w:rsidR="00000000" w:rsidRDefault="00000000">
      <w:pPr>
        <w:pStyle w:val="RKnormal"/>
        <w:spacing w:line="288" w:lineRule="auto"/>
        <w:rPr>
          <w:lang w:val="ru-RU"/>
        </w:rPr>
      </w:pPr>
    </w:p>
    <w:p w:rsidR="00000000" w:rsidRDefault="00000000">
      <w:r>
        <w:t>113.</w:t>
      </w:r>
      <w:r>
        <w:tab/>
        <w:t>Параллельно с этим экспериментальным проектом девяти другим государственным ведомствам было поручено принять участие в исследовании по проблемам трудоустройства в контексте обеспечения разнообразия.  Его цель состоит в углублении понимания подходов к приему на работу в этих агентствах, в частности в свете расширения разнообразия.  Задача заключается в том, чтобы сопоставить результаты исследований с результатами экспериментального проекта, предполагающего использование обезличенных заявлений о приеме на работу.</w:t>
      </w:r>
    </w:p>
    <w:p w:rsidR="00000000" w:rsidRDefault="00000000"/>
    <w:p w:rsidR="00000000" w:rsidRDefault="00000000">
      <w:r>
        <w:t>114.</w:t>
      </w:r>
      <w:r>
        <w:tab/>
        <w:t>Правительство планирует провести комплексную оценку этой экспериментальной программы и исследования путем рассмотрения и анализа сделанных выводов и полученных результатов и сопоставления результатов экспериментального проекта с результатами исследования.</w:t>
      </w:r>
    </w:p>
    <w:p w:rsidR="00000000" w:rsidRDefault="00000000"/>
    <w:p w:rsidR="00000000" w:rsidRDefault="00000000">
      <w:pPr>
        <w:rPr>
          <w:b/>
          <w:bCs/>
        </w:rPr>
      </w:pPr>
      <w:r>
        <w:rPr>
          <w:b/>
          <w:bCs/>
        </w:rPr>
        <w:t>Уточнение ответственности муниципалитетов в сфере обеспечения жильем</w:t>
      </w:r>
    </w:p>
    <w:p w:rsidR="00000000" w:rsidRDefault="00000000">
      <w:pPr>
        <w:rPr>
          <w:b/>
          <w:bCs/>
          <w:i/>
          <w:iCs/>
        </w:rPr>
      </w:pPr>
    </w:p>
    <w:p w:rsidR="00000000" w:rsidRDefault="00000000">
      <w:r>
        <w:t>115.</w:t>
      </w:r>
      <w:r>
        <w:tab/>
        <w:t>В мае 2005 года был учрежден рабочий комитет, которому было поручено пересмотреть законодательство по вопросам обеспечения муниципальным жильем и необходимых предварительных условий обеспечения справедливого и равного доступа к рынку жилья.  Предложения этого комитета были изложены в меморандуме министерства "Справедливые и равные условия на рынке жилья" (серия публикаций министерства 2006:9).  Некоторые из предложений, содержащихся в меморандуме, направлены на обеспечение прозрачности процессов распределения жилья и выявление фактов дискриминации.  Меморандум был передан на рассмотрение соответствующим инстанциям.</w:t>
      </w:r>
    </w:p>
    <w:p w:rsidR="00000000" w:rsidRDefault="00000000"/>
    <w:p w:rsidR="00000000" w:rsidRDefault="00000000">
      <w:pPr>
        <w:rPr>
          <w:b/>
          <w:bCs/>
        </w:rPr>
      </w:pPr>
      <w:r>
        <w:rPr>
          <w:b/>
          <w:bCs/>
        </w:rPr>
        <w:t>Проект в области здравоохранения и борьбы с дискриминацией</w:t>
      </w:r>
    </w:p>
    <w:p w:rsidR="00000000" w:rsidRDefault="00000000">
      <w:pPr>
        <w:rPr>
          <w:b/>
          <w:bCs/>
          <w:i/>
          <w:iCs/>
        </w:rPr>
      </w:pPr>
    </w:p>
    <w:p w:rsidR="00000000" w:rsidRDefault="00000000">
      <w:r>
        <w:t>116.</w:t>
      </w:r>
      <w:r>
        <w:tab/>
        <w:t>Национальный институт общественного здравоохранения, омбудсмен по вопросам равенства возможностей, омбудсмен по вопросам инвалидности и омбудсмен по вопросам дискриминации по признаку сексуальной ориентации осуществили совместный трехлетний проект в области здравоохранения и борьбы с дискриминацией.  Результаты этого проекта были опубликованы в октябре 2006 года в докладе под названием "Дискриминация - угроза общественному здоровью".  Одновременно с этим был опубликован еще один доклад "Что означает дискриминация?  Сопоставление мнений различных групп и соответствующих концепций".  Последний доклад опирается на данные исследования, проведенного Шведским статистическим управлением по просьбе руководителей проекта.</w:t>
      </w:r>
    </w:p>
    <w:p w:rsidR="00000000" w:rsidRDefault="00000000"/>
    <w:p w:rsidR="00000000" w:rsidRDefault="00000000">
      <w:pPr>
        <w:keepNext/>
        <w:rPr>
          <w:b/>
          <w:bCs/>
        </w:rPr>
      </w:pPr>
      <w:r>
        <w:rPr>
          <w:b/>
          <w:bCs/>
        </w:rPr>
        <w:t>Меры в сфере образования</w:t>
      </w:r>
    </w:p>
    <w:p w:rsidR="00000000" w:rsidRDefault="00000000">
      <w:pPr>
        <w:rPr>
          <w:b/>
          <w:bCs/>
          <w:i/>
          <w:iCs/>
        </w:rPr>
      </w:pPr>
    </w:p>
    <w:p w:rsidR="00000000" w:rsidRDefault="00000000">
      <w:r>
        <w:t>117.</w:t>
      </w:r>
      <w:r>
        <w:tab/>
        <w:t>По указанию правительства Национальное агентство по вопросам образования в марте 2006 года провело ряд общенациональных конференций для информирования руководителей школ и ведомств, отвечающих за вопросы организации народного образования, о положениях Закона, запрещающих дискриминацию и другие формы унижающих достоинство видов обращения с детьми и учащимися, а также правовых обязанностях ответственных лиц на муниципальном и институциональном уровнях.  С дополнительной информацией об этом законе Комитет может ознакомиться в пунктах 36 и 37.</w:t>
      </w:r>
    </w:p>
    <w:p w:rsidR="00000000" w:rsidRDefault="00000000"/>
    <w:p w:rsidR="00000000" w:rsidRDefault="00000000">
      <w:r>
        <w:t>118.</w:t>
      </w:r>
      <w:r>
        <w:tab/>
        <w:t>Был выпущен информационный бюллетень и брошюра на шведском и английском языках, которая содержит информацию о Законе, запрещающем дискриминацию и другие формы унижающего достоинство видов обращения с детьми и учащимися.  Весной 2006 года эта брошюра была разослана во все школы на местном уровне и всем ведомствам, отвечающим за организацию образования.  Эту брошюру планируется перевести на языки национальных меньшинств и некоторые наиболее распространенные языки иммигрантов.  Для облегчения восприятия этого Закона он изложен в адаптированном виде на шведском языке.</w:t>
      </w:r>
    </w:p>
    <w:p w:rsidR="00000000" w:rsidRDefault="00000000"/>
    <w:p w:rsidR="00000000" w:rsidRDefault="00000000">
      <w:r>
        <w:t>119.</w:t>
      </w:r>
      <w:r>
        <w:tab/>
        <w:t>В августе 2006 года Национальному агентству по вопросам образования было поручено провести исследование по фактам дискриминации в виде преследования на почве пола, этнической принадлежности, религиозных или иных убеждений, сексуальной ориентации и инвалидности в дошкольных учреждениях, начальных и средних школах, а также в муниципальной системе образования для взрослых.  Поставленные задачи также включают принятие Национальным агентством по вопросам образования соответствующих мер по осуществлению Закона, запрещающего дискриминацию и другие формы унижающего достоинство видов обращения с детьми и учащимися.  Агентству было поручено представить правительству промежуточный доклад к 1 марта 2009 года.</w:t>
      </w:r>
    </w:p>
    <w:p w:rsidR="00000000" w:rsidRDefault="00000000"/>
    <w:p w:rsidR="00000000" w:rsidRDefault="00000000">
      <w:r>
        <w:t>120.</w:t>
      </w:r>
      <w:r>
        <w:tab/>
        <w:t>В контексте введения новой системы образования и многоуровневой системы обучения в сфере высшего образования были внесены поправки в систему ученых степеней, предусмотренных в Указе о высшем образовании (1993:100, добавление 2), которые определяют требования и цели в области присуждения ученых степеней по соответствующим специальностям.  В описании степеней применительно к некоторым из них установлено, что учащиеся должны показывать определенные способности в вопросах определения ценности и применения соответствующих подходов с уделением особого внимания вопросам прав человека.  Новые положения будут применяться в отношении программ многоуровневого обучения с 1 июля 2007 года.</w:t>
      </w:r>
    </w:p>
    <w:p w:rsidR="00000000" w:rsidRDefault="00000000"/>
    <w:p w:rsidR="00000000" w:rsidRDefault="00000000">
      <w:r>
        <w:t>121.</w:t>
      </w:r>
      <w:r>
        <w:tab/>
        <w:t>Описание многоуровневой системы обучения было изменено в 2005 году в целях отражения требования о том, что учащиеся должны быть осведомлены, передавать, устанавливать и применять существующие нормы, направленные на предупреждение и противодействие дискриминации и других форм унижающего достоинство видов обращения с детьми и учащимися.</w:t>
      </w:r>
    </w:p>
    <w:p w:rsidR="00000000" w:rsidRDefault="00000000"/>
    <w:p w:rsidR="00000000" w:rsidRDefault="00000000">
      <w:r>
        <w:t>122.</w:t>
      </w:r>
      <w:r>
        <w:tab/>
        <w:t xml:space="preserve">Осенью 2004 года 82% всех учащихся перешли в старшую среднюю школу сразу после окончания обязательной школы.  В 2003/04 учебном году 0,9% учащихся шведского происхождения и 2,6% учащихся иностранного происхождения покинули обязательную школу, не получив аттестата.  Национальное агентство по вопросам образования в октябре 2004 года представило доклад, озаглавленный "Учащиеся иностранного происхождения", в котором, в частности, указывается на значительную продолжительность пребывания в Швеции тех учащихся, которые иммигрировали после достижения ими возраста, в котором дети в Швеции обычно идут в школу.  Из общего числа учащихся, приехавших позднее, </w:t>
      </w:r>
      <w:proofErr w:type="spellStart"/>
      <w:r>
        <w:t>42,5%</w:t>
      </w:r>
      <w:proofErr w:type="spellEnd"/>
      <w:r>
        <w:t xml:space="preserve"> получили право на поступление в старшую среднюю школу весной 2003 года.</w:t>
      </w:r>
    </w:p>
    <w:p w:rsidR="00000000" w:rsidRDefault="00000000"/>
    <w:p w:rsidR="00000000" w:rsidRDefault="00000000">
      <w:r>
        <w:t>123.</w:t>
      </w:r>
      <w:r>
        <w:tab/>
        <w:t>В 2004 году 24,1% всех учащихся не набрали проходного балла по одному или более предметам в их выпускных свидетельствах.  Наибольшие трудности в выполнении учебных заданий испытывали мальчики иностранного происхождения.  Девочки иностранного происхождения учились более успешно, чем мальчики иностранного или шведского происхождения.  В среднем учащиеся-иностранцы характеризовались более низкими показателями успеваемости по сравнению с учащимися шведского происхождения.  Если скорректировать эти результаты по различиям в социальном происхождении, то разрыв между этими группами практически исчезает.</w:t>
      </w:r>
    </w:p>
    <w:p w:rsidR="00000000" w:rsidRDefault="00000000"/>
    <w:p w:rsidR="00000000" w:rsidRDefault="00000000">
      <w:r>
        <w:t>124.</w:t>
      </w:r>
      <w:r>
        <w:tab/>
        <w:t>В 2004</w:t>
      </w:r>
      <w:r>
        <w:noBreakHyphen/>
        <w:t>2005 учебном году 16% студентов первого курса в системе высшего образования были иностранцами, что на 5 процентных пунктов больше по сравнению с 1996/97 учебным годом.  Что касается распределения между женщинами и мужчинами, то какой-либо ощутимой разницы между студентами первого курса шведского и иностранного происхождения не отмечается.</w:t>
      </w:r>
    </w:p>
    <w:p w:rsidR="00000000" w:rsidRDefault="00000000"/>
    <w:p w:rsidR="00000000" w:rsidRDefault="00000000">
      <w:pPr>
        <w:rPr>
          <w:b/>
          <w:bCs/>
        </w:rPr>
      </w:pPr>
      <w:r>
        <w:rPr>
          <w:b/>
          <w:bCs/>
        </w:rPr>
        <w:t xml:space="preserve">Статья 5 </w:t>
      </w:r>
      <w:r>
        <w:rPr>
          <w:b/>
          <w:bCs/>
          <w:lang w:val="en-US"/>
        </w:rPr>
        <w:t>f</w:t>
      </w:r>
      <w:r>
        <w:rPr>
          <w:b/>
          <w:bCs/>
        </w:rPr>
        <w:t>)</w:t>
      </w:r>
    </w:p>
    <w:p w:rsidR="00000000" w:rsidRDefault="00000000"/>
    <w:p w:rsidR="00000000" w:rsidRDefault="00000000">
      <w:r>
        <w:t>125.</w:t>
      </w:r>
      <w:r>
        <w:tab/>
        <w:t>С информацией об уголовных санкциях за незаконную дискриминацию Комитет может ознакомиться в пункте 32 двенадцатого периодического доклада, с информацией о Законе о запрещении дискриминации </w:t>
      </w:r>
      <w:r>
        <w:noBreakHyphen/>
        <w:t xml:space="preserve"> в пункте 34 по статье 2.1.</w:t>
      </w:r>
    </w:p>
    <w:p w:rsidR="00000000" w:rsidRDefault="00000000"/>
    <w:p w:rsidR="00000000" w:rsidRDefault="00000000">
      <w:pPr>
        <w:keepNext/>
        <w:jc w:val="center"/>
      </w:pPr>
      <w:r>
        <w:rPr>
          <w:b/>
          <w:bCs/>
        </w:rPr>
        <w:t>Статья 6</w:t>
      </w:r>
    </w:p>
    <w:p w:rsidR="00000000" w:rsidRDefault="00000000">
      <w:pPr>
        <w:keepNext/>
      </w:pPr>
    </w:p>
    <w:p w:rsidR="00000000" w:rsidRDefault="00000000">
      <w:r>
        <w:t>126.</w:t>
      </w:r>
      <w:r>
        <w:tab/>
        <w:t>С информацией по статье 6 Комитет может ознакомиться в пунктах 133 и 134 двенадцатого периодического доклада.  Как было указано в пунктах 91</w:t>
      </w:r>
      <w:r>
        <w:noBreakHyphen/>
        <w:t>94 по статье 5, в рамках правовой системы осуществляется комплексный проект, направленный на обеспечение реализации принципа равенства всех перед законом в повседневной жизни.</w:t>
      </w:r>
    </w:p>
    <w:p w:rsidR="00000000" w:rsidRDefault="00000000"/>
    <w:p w:rsidR="00000000" w:rsidRDefault="00000000">
      <w:pPr>
        <w:keepNext/>
        <w:jc w:val="center"/>
        <w:rPr>
          <w:b/>
          <w:bCs/>
        </w:rPr>
      </w:pPr>
      <w:r>
        <w:rPr>
          <w:b/>
          <w:bCs/>
        </w:rPr>
        <w:t>Статья 7</w:t>
      </w:r>
    </w:p>
    <w:p w:rsidR="00000000" w:rsidRDefault="00000000">
      <w:pPr>
        <w:keepNext/>
        <w:rPr>
          <w:b/>
          <w:bCs/>
        </w:rPr>
      </w:pPr>
    </w:p>
    <w:p w:rsidR="00000000" w:rsidRDefault="00000000">
      <w:pPr>
        <w:keepNext/>
      </w:pPr>
      <w:r>
        <w:rPr>
          <w:b/>
          <w:bCs/>
        </w:rPr>
        <w:t>Консультации с неправительственными организациями</w:t>
      </w:r>
    </w:p>
    <w:p w:rsidR="00000000" w:rsidRDefault="00000000">
      <w:pPr>
        <w:keepNext/>
      </w:pPr>
    </w:p>
    <w:p w:rsidR="00000000" w:rsidRDefault="00000000">
      <w:r>
        <w:t>127.</w:t>
      </w:r>
      <w:r>
        <w:tab/>
        <w:t>Неправительственным организациям, действующим в областях, охватываемых Конвенцией, было предложено принять участие в совещании в ноябре 2006 года.  На этом совещании они были проинформированы о порядке представления данных и предполагаемом содержании этого доклада.  Им была также предоставлена возможность задать вопросы ответственным лицам и выразить свои мнения.</w:t>
      </w:r>
    </w:p>
    <w:p w:rsidR="00000000" w:rsidRDefault="00000000"/>
    <w:p w:rsidR="00000000" w:rsidRDefault="00000000">
      <w:pPr>
        <w:keepNext/>
      </w:pPr>
      <w:r>
        <w:rPr>
          <w:b/>
          <w:bCs/>
        </w:rPr>
        <w:t>Вебсайт шведского правительства по проблемам прав человека</w:t>
      </w:r>
    </w:p>
    <w:p w:rsidR="00000000" w:rsidRDefault="00000000">
      <w:pPr>
        <w:keepNext/>
      </w:pPr>
    </w:p>
    <w:p w:rsidR="00000000" w:rsidRDefault="00000000">
      <w:r>
        <w:t>128.</w:t>
      </w:r>
      <w:r>
        <w:tab/>
        <w:t>Полная информация о правах человека имеется на вебсайте шведского правительства, посвященном правам человека (</w:t>
      </w:r>
      <w:r>
        <w:rPr>
          <w:lang w:val="en-GB"/>
        </w:rPr>
        <w:t>www</w:t>
      </w:r>
      <w:r>
        <w:t>.</w:t>
      </w:r>
      <w:r>
        <w:rPr>
          <w:lang w:val="en-GB"/>
        </w:rPr>
        <w:t>manskligarattigheter</w:t>
      </w:r>
      <w:r>
        <w:t>.</w:t>
      </w:r>
      <w:r>
        <w:rPr>
          <w:lang w:val="en-GB"/>
        </w:rPr>
        <w:t>se</w:t>
      </w:r>
      <w:r>
        <w:t xml:space="preserve"> </w:t>
      </w:r>
      <w:r>
        <w:rPr>
          <w:lang w:val="en-GB"/>
        </w:rPr>
        <w:t>or</w:t>
      </w:r>
      <w:r>
        <w:t xml:space="preserve"> </w:t>
      </w:r>
      <w:r>
        <w:rPr>
          <w:lang w:val="en-GB"/>
        </w:rPr>
        <w:t>www</w:t>
      </w:r>
      <w:r>
        <w:t>.</w:t>
      </w:r>
      <w:r>
        <w:rPr>
          <w:lang w:val="en-GB"/>
        </w:rPr>
        <w:t>humanrights</w:t>
      </w:r>
      <w:r>
        <w:t>.</w:t>
      </w:r>
      <w:r>
        <w:rPr>
          <w:lang w:val="en-GB"/>
        </w:rPr>
        <w:t>gov</w:t>
      </w:r>
      <w:r>
        <w:t>.</w:t>
      </w:r>
      <w:r>
        <w:rPr>
          <w:lang w:val="en-GB"/>
        </w:rPr>
        <w:t>se</w:t>
      </w:r>
      <w:r>
        <w:t>).  На этом вебсайте можно ознакомиться с основными конвенциями по правам человека и информацией о процедуре подачи индивидуальных жалоб, а также с другими важными документами, такими как доклады Швеции для договорных органов ООН и заключительные замечания и рекомендации Комитета.  Документы представлены на шведском и английском языках.</w:t>
      </w:r>
    </w:p>
    <w:p w:rsidR="00000000" w:rsidRDefault="00000000"/>
    <w:p w:rsidR="00000000" w:rsidRDefault="00000000">
      <w:pPr>
        <w:pStyle w:val="RKnormal"/>
        <w:keepNext/>
        <w:spacing w:line="288" w:lineRule="auto"/>
        <w:jc w:val="both"/>
        <w:rPr>
          <w:b/>
          <w:bCs/>
          <w:lang w:val="ru-RU"/>
        </w:rPr>
      </w:pPr>
      <w:r>
        <w:rPr>
          <w:b/>
          <w:bCs/>
          <w:lang w:val="ru-RU"/>
        </w:rPr>
        <w:t>Национальный план действий в области прав человека</w:t>
      </w:r>
    </w:p>
    <w:p w:rsidR="00000000" w:rsidRDefault="00000000">
      <w:pPr>
        <w:pStyle w:val="RKnormal"/>
        <w:keepNext/>
        <w:spacing w:line="288" w:lineRule="auto"/>
        <w:jc w:val="both"/>
        <w:rPr>
          <w:b/>
          <w:bCs/>
          <w:i/>
          <w:iCs/>
          <w:lang w:val="ru-RU"/>
        </w:rPr>
      </w:pPr>
    </w:p>
    <w:p w:rsidR="00000000" w:rsidRDefault="00000000">
      <w:r>
        <w:t>129.</w:t>
      </w:r>
      <w:r>
        <w:tab/>
        <w:t>В Национальном плане действий в области прав человека на 2006–2009</w:t>
      </w:r>
      <w:r>
        <w:rPr>
          <w:lang w:val="en-GB"/>
        </w:rPr>
        <w:t> </w:t>
      </w:r>
      <w:r>
        <w:t>годы (правительственное сообщение 2005/06:95) устанавливается долгосрочная цель обеспечения всестороннего соблюдения прав человека в Швеции.  В национальном плане действий принят комплексный подход к вопросам прав человека в Швеции по отношению к конкретным правам, а также к вопросам понимания, информации и организации.</w:t>
      </w:r>
    </w:p>
    <w:p w:rsidR="00000000" w:rsidRDefault="00000000"/>
    <w:p w:rsidR="00000000" w:rsidRDefault="00000000">
      <w:r>
        <w:t>130.</w:t>
      </w:r>
      <w:r>
        <w:tab/>
        <w:t>Как указано в пункте</w:t>
      </w:r>
      <w:r>
        <w:rPr>
          <w:lang w:val="en-GB"/>
        </w:rPr>
        <w:t> </w:t>
      </w:r>
      <w:r>
        <w:t>47 по статье 2.1, лейтмотивом плана действий является защита от дискриминации.  В плане действий также содержится несколько инициатив, направленных на расширение знаний и информации о правах человека в системе образования и государственном секторе, а также среди широкой общественности.</w:t>
      </w:r>
    </w:p>
    <w:p w:rsidR="00000000" w:rsidRDefault="00000000"/>
    <w:p w:rsidR="00000000" w:rsidRDefault="00000000">
      <w:r>
        <w:t>131.</w:t>
      </w:r>
      <w:r>
        <w:tab/>
        <w:t>В связи с представлением плана действий правительство назначило делегацию по правам человека в Швеции.  Задача делегации включает поддержку долгосрочной работы в целях достижения всестороннего соблюдения прав человека в Швеции на основе плана действий.  Эта задача будет решаться различными средствами, в том числе путем оказания поддержки государственным ведомствам, местным органам власти и окружным советам в их деятельности в области прав человека.</w:t>
      </w:r>
    </w:p>
    <w:p w:rsidR="00000000" w:rsidRDefault="00000000"/>
    <w:p w:rsidR="00000000" w:rsidRDefault="00000000">
      <w:pPr>
        <w:keepNext/>
      </w:pPr>
      <w:r>
        <w:rPr>
          <w:b/>
          <w:bCs/>
        </w:rPr>
        <w:t>Омбудсмен по борьбе с этнической дискриминацией (ОБД)</w:t>
      </w:r>
    </w:p>
    <w:p w:rsidR="00000000" w:rsidRDefault="00000000">
      <w:pPr>
        <w:keepNext/>
      </w:pPr>
    </w:p>
    <w:p w:rsidR="00000000" w:rsidRDefault="00000000">
      <w:r>
        <w:t>132.</w:t>
      </w:r>
      <w:r>
        <w:tab/>
        <w:t>Важным компонентом деятельности ОБД является распространение информации и организация обучения по вопросам дискриминации по признаку этнической и религиозной принадлежности.  В последние годы ОБД уделяет основное внимание в своей деятельности оказанию содействия правительственным ведомствам, компаниям и организациям в части реализации их собственных информационных и учебных инициатив.  В 2006 году омбудсмен также провел специальные информационные кампании, направленные на группы населения, подверженные особому риску дискриминации.</w:t>
      </w:r>
    </w:p>
    <w:p w:rsidR="00000000" w:rsidRDefault="00000000"/>
    <w:p w:rsidR="00000000" w:rsidRDefault="00000000">
      <w:pPr>
        <w:keepNext/>
      </w:pPr>
      <w:r>
        <w:rPr>
          <w:b/>
          <w:bCs/>
        </w:rPr>
        <w:t>Шведский совет по вопросам интеграции</w:t>
      </w:r>
    </w:p>
    <w:p w:rsidR="00000000" w:rsidRDefault="00000000">
      <w:pPr>
        <w:keepNext/>
      </w:pPr>
    </w:p>
    <w:p w:rsidR="00000000" w:rsidRDefault="00000000">
      <w:r>
        <w:t>133.</w:t>
      </w:r>
      <w:r>
        <w:tab/>
        <w:t>Как было указано в пункте 57 по статье 2.1, Шведский совет по вопросам интеграции провел исследование случаев этнической дискриминации на рынке труда.  В 2006 году Совет также опубликовал два доклада:  "Расизм и ксенофобия в Швеции" и "Опыт этнической дискриминации среди рожденных за рубежом лиц в Швеции в 2005 году".  Совет также ведет работу по анализу подходов, опыта и знаний в вопросах интеграции, включая этническую дискриминацию и расизм, путем проведения обзора "Барометр интеграции".  Шведский совет по вопросам интеграции прекратит свое существование 1 июля 2007 года.</w:t>
      </w:r>
    </w:p>
    <w:p w:rsidR="00000000" w:rsidRDefault="00000000"/>
    <w:p w:rsidR="00000000" w:rsidRDefault="00000000">
      <w:pPr>
        <w:keepNext/>
      </w:pPr>
      <w:r>
        <w:rPr>
          <w:b/>
          <w:bCs/>
        </w:rPr>
        <w:t>Форум "Живая история"</w:t>
      </w:r>
    </w:p>
    <w:p w:rsidR="00000000" w:rsidRDefault="00000000">
      <w:pPr>
        <w:keepNext/>
      </w:pPr>
    </w:p>
    <w:p w:rsidR="00000000" w:rsidRDefault="00000000">
      <w:r>
        <w:t>134.</w:t>
      </w:r>
      <w:r>
        <w:tab/>
        <w:t>Как уже говорилось в пункте 61 по статье 2.1, форум "Живая история" является государственным агентством, в компетенцию которого входит работа в области информации и пропаганды, знаний и культуры.  Особый акцент ставится на детей, молодежь и взрослых в их жизни в целях налаживания диалога и ведения дискуссий по темам, которые лежат в основе деятельности организации.  Например, Форум подготовил вебкаталог образовательных материалов и методов обучения в области прав человека и в настоящее время ведет работу по подготовке интерактивной выставки для молодежи, посвященной предрассудкам, под названием "Выставка предубеждений".</w:t>
      </w:r>
    </w:p>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rigGarmnd BT">
    <w:altName w:val="Times New Roman"/>
    <w:charset w:val="00"/>
    <w:family w:val="roman"/>
    <w:pitch w:val="variable"/>
    <w:sig w:usb0="20007A87" w:usb1="80000000" w:usb2="00000008"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rPr>
          <w:lang w:val="en-GB"/>
        </w:rPr>
        <w:t xml:space="preserve"> </w:t>
      </w:r>
      <w:r>
        <w:rPr>
          <w:lang w:val="en-GB"/>
        </w:rPr>
        <w:tab/>
        <w:t>CERD/C/64/CO/8.</w:t>
      </w:r>
    </w:p>
    <w:p w:rsidR="00000000" w:rsidRDefault="00000000">
      <w:pPr>
        <w:pStyle w:val="FootnoteText"/>
      </w:pPr>
    </w:p>
  </w:footnote>
  <w:footnote w:id="2">
    <w:p w:rsidR="00000000" w:rsidRDefault="00000000">
      <w:pPr>
        <w:pStyle w:val="FootnoteText"/>
      </w:pPr>
      <w:r>
        <w:rPr>
          <w:rStyle w:val="FootnoteReference"/>
        </w:rPr>
        <w:footnoteRef/>
      </w:r>
      <w:r>
        <w:rPr>
          <w:lang w:val="en-GB"/>
        </w:rPr>
        <w:t xml:space="preserve"> </w:t>
      </w:r>
      <w:r>
        <w:rPr>
          <w:lang w:val="en-GB"/>
        </w:rPr>
        <w:tab/>
        <w:t>CERD/C/452/Add.4.</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Термин "иностранное происхождение" в соответствии с его нынешним определением охватывает лиц, которые родились за границей, а также лиц, рожденных в Швеции от обоих родителей-иностранцев.  Определение, которое использовалось ранее, было шире по охвату:  в соответствии с этим определением рожденные в Швеции лица, у которых один из родителей был иностранцем, также считались лицами иностранного происхождения.</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r>
      <w:r>
        <w:rPr>
          <w:i/>
          <w:iCs/>
        </w:rPr>
        <w:t>Источник</w:t>
      </w:r>
      <w:r>
        <w:t>:  ШСУ.</w:t>
      </w:r>
    </w:p>
    <w:p w:rsidR="00000000" w:rsidRDefault="00000000">
      <w:pPr>
        <w:pStyle w:val="FootnoteText"/>
      </w:pPr>
    </w:p>
  </w:footnote>
  <w:footnote w:id="5">
    <w:p w:rsidR="00000000" w:rsidRDefault="00000000">
      <w:pPr>
        <w:pStyle w:val="FootnoteText"/>
      </w:pPr>
      <w:r>
        <w:rPr>
          <w:rStyle w:val="FootnoteReference"/>
          <w:lang w:val="en-GB"/>
        </w:rPr>
        <w:footnoteRef/>
      </w:r>
      <w:r>
        <w:tab/>
        <w:t>Данные по Югославии включают лиц, рожденных в бывшей Югославии, и лиц, рожденных в Федеральной Республике Югославии.</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Там же.</w:t>
      </w:r>
    </w:p>
  </w:footnote>
  <w:footnote w:id="8">
    <w:p w:rsidR="00000000" w:rsidRDefault="00000000">
      <w:pPr>
        <w:pStyle w:val="FootnoteText"/>
      </w:pPr>
      <w:r>
        <w:rPr>
          <w:rStyle w:val="FootnoteReference"/>
        </w:rPr>
        <w:footnoteRef/>
      </w:r>
      <w:r>
        <w:t xml:space="preserve"> </w:t>
      </w:r>
      <w:r>
        <w:tab/>
        <w:t>Источник:  Шведское национальное агентство по вопросам образования (НАО).  Согласно данным НАО, количество учащихся, имеющих право на обучение на родном языке, возможно, является заниженным, что в определенной степени обусловлено тем, что в школах не ведется учета этнического происхождения учащихся, а статистические данные основаны на информации, указываемой учащимися в заявлениях на обучение на родном языке.</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r>
      <w:r>
        <w:rPr>
          <w:i/>
          <w:iCs/>
        </w:rPr>
        <w:t>Источник</w:t>
      </w:r>
      <w:r>
        <w:t>:  Шведское национальное агентство по вопросам образования.</w:t>
      </w:r>
    </w:p>
  </w:footnote>
  <w:footnote w:id="10">
    <w:p w:rsidR="00000000" w:rsidRDefault="00000000">
      <w:pPr>
        <w:pStyle w:val="FootnoteText"/>
      </w:pPr>
      <w:r>
        <w:rPr>
          <w:rStyle w:val="FootnoteReference"/>
        </w:rPr>
        <w:footnoteRef/>
      </w:r>
      <w:r>
        <w:tab/>
      </w:r>
      <w:r>
        <w:rPr>
          <w:i/>
          <w:iCs/>
        </w:rPr>
        <w:t>Источник</w:t>
      </w:r>
      <w:r>
        <w:t>:  Национальный совет по предупреждению преступлений.  Термин "Раскрытые преступления" относится к преступлениям, по которым было возбуждено судебное преследование (обвинительный акт, постановление о незначительном наказании или решение о прекращении дела), а также преступления, уголовные дела по которым были прекращены ввиду таких причин, как "недостаточность доказательств преступления", "совершенное деяние не квалифицируется как преступление", "подозреваемому лицу не исполнилось 15 лет", и т.д.</w:t>
      </w:r>
    </w:p>
    <w:p w:rsidR="00000000" w:rsidRDefault="00000000">
      <w:pPr>
        <w:pStyle w:val="FootnoteText"/>
      </w:pPr>
    </w:p>
  </w:footnote>
  <w:footnote w:id="11">
    <w:p w:rsidR="00000000" w:rsidRDefault="00000000">
      <w:pPr>
        <w:pStyle w:val="FootnoteText"/>
        <w:rPr>
          <w:lang w:val="en-GB"/>
        </w:rPr>
      </w:pPr>
      <w:r>
        <w:rPr>
          <w:rStyle w:val="FootnoteReference"/>
          <w:lang w:val="en-GB"/>
        </w:rPr>
        <w:footnoteRef/>
      </w:r>
      <w:r>
        <w:tab/>
        <w:t>Там же</w:t>
      </w:r>
      <w:r>
        <w:rPr>
          <w:lang w:val="en-GB"/>
        </w:rPr>
        <w:t>.</w:t>
      </w:r>
    </w:p>
  </w:footnote>
  <w:footnote w:id="12">
    <w:p w:rsidR="00000000" w:rsidRDefault="00000000">
      <w:pPr>
        <w:pStyle w:val="FootnoteText"/>
      </w:pPr>
      <w:r>
        <w:rPr>
          <w:rStyle w:val="FootnoteReference"/>
          <w:lang w:val="en-GB"/>
        </w:rPr>
        <w:footnoteRef/>
      </w:r>
      <w:r>
        <w:t xml:space="preserve"> </w:t>
      </w:r>
      <w:r>
        <w:tab/>
        <w:t>Источник:  ОБД.  Лицо, полагающее, что оно является объектом дискриминации по признаку этнической принадлежности, религиозных или иных убеждений, может либо самостоятельно обратиться в суд, либо направить жалобу ОБД.  Если конкретное дело связано с дискриминацией в сфере труда, соответствующее лицо может также подать жалобу в профсоюз.  В настоящем докладе рассматриваются только жалобы, поданные ОБД.  В функции ОБД входит принятие мер по достижению в первую очередь добровольного соглашения.</w:t>
      </w:r>
    </w:p>
    <w:p w:rsidR="00000000" w:rsidRDefault="00000000">
      <w:pPr>
        <w:pStyle w:val="FootnoteText"/>
      </w:pPr>
    </w:p>
  </w:footnote>
  <w:footnote w:id="13">
    <w:p w:rsidR="00000000" w:rsidRDefault="00000000">
      <w:pPr>
        <w:pStyle w:val="FootnoteText"/>
      </w:pPr>
      <w:r>
        <w:rPr>
          <w:rStyle w:val="FootnoteReference"/>
          <w:lang w:val="en-GB"/>
        </w:rPr>
        <w:footnoteRef/>
      </w:r>
      <w:r>
        <w:t xml:space="preserve"> </w:t>
      </w:r>
      <w:r>
        <w:tab/>
        <w:t>Поскольку Закон о запрещении дискриминации и другого унижающего достоинство обращения вступил в силу лишь 1 апреля 2006 года, статистические данные в отношении этого закона в настоящем докладе не приводятся.</w:t>
      </w:r>
    </w:p>
  </w:footnote>
  <w:footnote w:id="14">
    <w:p w:rsidR="00000000" w:rsidRDefault="00000000">
      <w:pPr>
        <w:pStyle w:val="FootnoteText"/>
      </w:pPr>
      <w:r>
        <w:rPr>
          <w:rStyle w:val="FootnoteReference"/>
          <w:lang w:val="en-GB"/>
        </w:rPr>
        <w:footnoteRef/>
      </w:r>
      <w:r>
        <w:t xml:space="preserve"> </w:t>
      </w:r>
      <w:r>
        <w:tab/>
      </w:r>
      <w:r>
        <w:rPr>
          <w:i/>
          <w:iCs/>
        </w:rPr>
        <w:t>Источник</w:t>
      </w:r>
      <w:r>
        <w:t>:  ОБД.</w:t>
      </w:r>
    </w:p>
    <w:p w:rsidR="00000000" w:rsidRDefault="00000000">
      <w:pPr>
        <w:pStyle w:val="FootnoteText"/>
        <w:rPr>
          <w:sz w:val="16"/>
        </w:rPr>
      </w:pPr>
    </w:p>
  </w:footnote>
  <w:footnote w:id="15">
    <w:p w:rsidR="00000000" w:rsidRDefault="00000000">
      <w:pPr>
        <w:pStyle w:val="FootnoteText"/>
      </w:pPr>
      <w:r>
        <w:rPr>
          <w:rStyle w:val="FootnoteReference"/>
          <w:lang w:val="en-GB"/>
        </w:rPr>
        <w:footnoteRef/>
      </w:r>
      <w:r>
        <w:t xml:space="preserve"> </w:t>
      </w:r>
      <w:r>
        <w:tab/>
        <w:t>По всем делам суд по вопросам труда отказал в исках ОБД.</w:t>
      </w:r>
    </w:p>
    <w:p w:rsidR="00000000" w:rsidRDefault="00000000">
      <w:pPr>
        <w:pStyle w:val="FootnoteText"/>
        <w:rPr>
          <w:sz w:val="16"/>
        </w:rPr>
      </w:pPr>
    </w:p>
  </w:footnote>
  <w:footnote w:id="16">
    <w:p w:rsidR="00000000" w:rsidRDefault="00000000">
      <w:pPr>
        <w:pStyle w:val="FootnoteText"/>
      </w:pPr>
      <w:r>
        <w:rPr>
          <w:rStyle w:val="FootnoteReference"/>
          <w:lang w:val="en-GB"/>
        </w:rPr>
        <w:footnoteRef/>
      </w:r>
      <w:r>
        <w:t xml:space="preserve"> </w:t>
      </w:r>
      <w:r>
        <w:tab/>
        <w:t>"Прекращение дела" означает, что дела были закрыты в связи с тем, что в ходе следствия не удалось установить оснований, подтверждающих утверждения подателя жалобы в отношении дискриминации, как это определяется в законодательстве.</w:t>
      </w:r>
    </w:p>
  </w:footnote>
  <w:footnote w:id="17">
    <w:p w:rsidR="00000000" w:rsidRDefault="00000000">
      <w:pPr>
        <w:pStyle w:val="FootnoteText"/>
        <w:rPr>
          <w:sz w:val="16"/>
        </w:rPr>
      </w:pPr>
    </w:p>
    <w:p w:rsidR="00000000" w:rsidRDefault="00000000">
      <w:pPr>
        <w:pStyle w:val="FootnoteText"/>
      </w:pPr>
      <w:r>
        <w:rPr>
          <w:rStyle w:val="FootnoteReference"/>
        </w:rPr>
        <w:footnoteRef/>
      </w:r>
      <w:r>
        <w:t xml:space="preserve"> </w:t>
      </w:r>
      <w:r>
        <w:tab/>
      </w:r>
      <w:r>
        <w:rPr>
          <w:i/>
          <w:iCs/>
        </w:rPr>
        <w:t>Источник</w:t>
      </w:r>
      <w:r>
        <w:t>:  ОБД.</w:t>
      </w:r>
    </w:p>
    <w:p w:rsidR="00000000" w:rsidRDefault="00000000">
      <w:pPr>
        <w:pStyle w:val="FootnoteText"/>
        <w:rPr>
          <w:sz w:val="16"/>
        </w:rPr>
      </w:pPr>
    </w:p>
  </w:footnote>
  <w:footnote w:id="18">
    <w:p w:rsidR="00000000" w:rsidRDefault="00000000">
      <w:pPr>
        <w:pStyle w:val="FootnoteText"/>
      </w:pPr>
      <w:r>
        <w:rPr>
          <w:rStyle w:val="FootnoteReference"/>
        </w:rPr>
        <w:footnoteRef/>
      </w:r>
      <w:r>
        <w:t xml:space="preserve"> </w:t>
      </w:r>
      <w:r>
        <w:tab/>
        <w:t>"Закрытие" означает, что дела были закрыты в связи с тем, что в ходе следствия не удалось установить обстоятельств, подтверждающих заявления подателей жалобы в отношении дискриминации, как это определяется в законодательстве.</w:t>
      </w:r>
    </w:p>
  </w:footnote>
  <w:footnote w:id="19">
    <w:p w:rsidR="00000000" w:rsidRDefault="00000000">
      <w:pPr>
        <w:pStyle w:val="FootnoteText"/>
      </w:pPr>
      <w:r>
        <w:rPr>
          <w:rStyle w:val="FootnoteReference"/>
          <w:lang w:val="en-GB"/>
        </w:rPr>
        <w:footnoteRef/>
      </w:r>
      <w:r>
        <w:t xml:space="preserve"> </w:t>
      </w:r>
      <w:r>
        <w:tab/>
      </w:r>
      <w:r>
        <w:rPr>
          <w:i/>
          <w:iCs/>
        </w:rPr>
        <w:t>Источник</w:t>
      </w:r>
      <w:r>
        <w:t>:  Статистические данные по рынку труда ШСУ.  В апреле 2005</w:t>
      </w:r>
      <w:r>
        <w:rPr>
          <w:lang w:val="en-GB"/>
        </w:rPr>
        <w:t> </w:t>
      </w:r>
      <w:r>
        <w:t xml:space="preserve">года были введены в действие новые согласованные на уровне ЕС статистические показатели по рынку труда, в связи с чем приведенные здесь результаты не являются полностью сопоставимыми со статистическими данными за предыдущие годы. </w:t>
      </w:r>
    </w:p>
    <w:p w:rsidR="00000000" w:rsidRDefault="00000000">
      <w:pPr>
        <w:pStyle w:val="FootnoteText"/>
      </w:pPr>
    </w:p>
  </w:footnote>
  <w:footnote w:id="20">
    <w:p w:rsidR="00000000" w:rsidRDefault="00000000">
      <w:pPr>
        <w:pStyle w:val="FootnoteText"/>
      </w:pPr>
      <w:r>
        <w:rPr>
          <w:rStyle w:val="FootnoteReference"/>
          <w:lang w:val="en-GB"/>
        </w:rPr>
        <w:footnoteRef/>
      </w:r>
      <w:r>
        <w:t xml:space="preserve"> </w:t>
      </w:r>
      <w:r>
        <w:tab/>
        <w:t xml:space="preserve">Там же.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CERD/C/SWE/18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1425"/>
        <w:tab w:val="left" w:pos="7088"/>
      </w:tabs>
      <w:rPr>
        <w:lang w:val="en-US"/>
      </w:rPr>
    </w:pPr>
    <w:r>
      <w:rPr>
        <w:lang w:val="en-US"/>
      </w:rPr>
      <w:tab/>
    </w:r>
    <w:r>
      <w:rPr>
        <w:lang w:val="en-US"/>
      </w:rPr>
      <w:tab/>
    </w:r>
    <w:r>
      <w:rPr>
        <w:lang w:val="en-US"/>
      </w:rPr>
      <w:tab/>
      <w:t>CERD/C/SWE/18</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RKnormal">
    <w:name w:val="RKnormal"/>
    <w:basedOn w:val="Normal"/>
    <w:pPr>
      <w:tabs>
        <w:tab w:val="clear" w:pos="567"/>
        <w:tab w:val="clear" w:pos="1134"/>
        <w:tab w:val="clear" w:pos="1701"/>
        <w:tab w:val="clear" w:pos="2268"/>
        <w:tab w:val="clear" w:pos="6237"/>
        <w:tab w:val="left" w:pos="2835"/>
      </w:tabs>
      <w:overflowPunct w:val="0"/>
      <w:autoSpaceDE w:val="0"/>
      <w:autoSpaceDN w:val="0"/>
      <w:adjustRightInd w:val="0"/>
      <w:spacing w:line="240" w:lineRule="atLeast"/>
      <w:textAlignment w:val="baseline"/>
    </w:pPr>
    <w:rPr>
      <w:rFonts w:ascii="OrigGarmnd BT" w:hAnsi="OrigGarmnd BT"/>
      <w:lang w:val="sv-SE"/>
    </w:rPr>
  </w:style>
  <w:style w:type="paragraph" w:styleId="BodyText">
    <w:name w:val="Body Text"/>
    <w:basedOn w:val="Normal"/>
    <w:semiHidden/>
    <w:pPr>
      <w:tabs>
        <w:tab w:val="clear" w:pos="567"/>
        <w:tab w:val="clear" w:pos="1134"/>
        <w:tab w:val="clear" w:pos="1701"/>
        <w:tab w:val="clear" w:pos="2268"/>
        <w:tab w:val="clear" w:pos="6237"/>
      </w:tabs>
      <w:overflowPunct w:val="0"/>
      <w:autoSpaceDE w:val="0"/>
      <w:autoSpaceDN w:val="0"/>
      <w:adjustRightInd w:val="0"/>
      <w:spacing w:after="120" w:line="320" w:lineRule="atLeast"/>
      <w:textAlignment w:val="baseline"/>
    </w:pPr>
    <w:rPr>
      <w:rFonts w:ascii="OrigGarmnd BT" w:hAnsi="OrigGarmnd BT"/>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10175</Words>
  <Characters>58002</Characters>
  <Application>Microsoft Office Word</Application>
  <DocSecurity>4</DocSecurity>
  <Lines>483</Lines>
  <Paragraphs>116</Paragraphs>
  <ScaleCrop>false</ScaleCrop>
  <HeadingPairs>
    <vt:vector size="2" baseType="variant">
      <vt:variant>
        <vt:lpstr>Название</vt:lpstr>
      </vt:variant>
      <vt:variant>
        <vt:i4>1</vt:i4>
      </vt:variant>
    </vt:vector>
  </HeadingPairs>
  <TitlesOfParts>
    <vt:vector size="1" baseType="lpstr">
      <vt:lpstr>0741620.doc</vt:lpstr>
    </vt:vector>
  </TitlesOfParts>
  <Company> </Company>
  <LinksUpToDate>false</LinksUpToDate>
  <CharactersWithSpaces>71230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0741620.doc</dc:title>
  <dc:subject/>
  <dc:creator>TDudnikova</dc:creator>
  <cp:keywords/>
  <dc:description/>
  <cp:lastModifiedBy>TDudnikova</cp:lastModifiedBy>
  <cp:revision>5</cp:revision>
  <cp:lastPrinted>2007-07-05T08:47:00Z</cp:lastPrinted>
  <dcterms:created xsi:type="dcterms:W3CDTF">2007-07-05T08:47:00Z</dcterms:created>
  <dcterms:modified xsi:type="dcterms:W3CDTF">2007-07-05T08:49:00Z</dcterms:modified>
</cp:coreProperties>
</file>