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C1772" w14:textId="77777777" w:rsidR="00A84EF0" w:rsidRPr="001B127E" w:rsidRDefault="00A84EF0" w:rsidP="00A84EF0">
      <w:pPr>
        <w:pStyle w:val="RepertoireFootnoteText"/>
        <w:spacing w:line="240" w:lineRule="auto"/>
        <w:ind w:left="0" w:right="0" w:firstLine="0"/>
        <w:jc w:val="both"/>
        <w:rPr>
          <w:sz w:val="2"/>
          <w:lang w:val="es-ES_tradnl"/>
        </w:rPr>
        <w:sectPr w:rsidR="00A84EF0" w:rsidRPr="001B127E" w:rsidSect="008166D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B127E">
        <w:rPr>
          <w:rStyle w:val="CommentReference"/>
          <w:rFonts w:ascii="Times New Roman" w:hAnsi="Times New Roman" w:cs="Times New Roman"/>
          <w:szCs w:val="20"/>
          <w:lang w:val="es-ES_tradnl"/>
        </w:rPr>
        <w:commentReference w:id="0"/>
      </w:r>
    </w:p>
    <w:p w14:paraId="08E51BB3" w14:textId="77777777" w:rsidR="008166D6" w:rsidRPr="001B127E" w:rsidRDefault="008166D6" w:rsidP="008166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1B127E">
        <w:rPr>
          <w:lang w:val="es-ES_tradnl"/>
        </w:rPr>
        <w:t>Comité para la Eliminación de la Discriminación contra la Mujer</w:t>
      </w:r>
    </w:p>
    <w:p w14:paraId="0D47AE38" w14:textId="77777777" w:rsidR="008166D6" w:rsidRPr="001B127E" w:rsidRDefault="008166D6" w:rsidP="008166D6">
      <w:pPr>
        <w:pStyle w:val="SingleTxt"/>
        <w:spacing w:after="0" w:line="120" w:lineRule="exact"/>
        <w:rPr>
          <w:sz w:val="10"/>
          <w:lang w:val="es-ES_tradnl"/>
        </w:rPr>
      </w:pPr>
    </w:p>
    <w:p w14:paraId="3D50CAB9" w14:textId="77777777" w:rsidR="008166D6" w:rsidRPr="001B127E" w:rsidRDefault="008166D6" w:rsidP="008166D6">
      <w:pPr>
        <w:pStyle w:val="SingleTxt"/>
        <w:spacing w:after="0" w:line="120" w:lineRule="exact"/>
        <w:rPr>
          <w:sz w:val="10"/>
          <w:lang w:val="es-ES_tradnl"/>
        </w:rPr>
      </w:pPr>
    </w:p>
    <w:p w14:paraId="7AED0488" w14:textId="77777777" w:rsidR="008166D6" w:rsidRPr="001B127E" w:rsidRDefault="008166D6" w:rsidP="008166D6">
      <w:pPr>
        <w:pStyle w:val="SingleTxt"/>
        <w:spacing w:after="0" w:line="120" w:lineRule="exact"/>
        <w:rPr>
          <w:sz w:val="10"/>
          <w:lang w:val="es-ES_tradnl"/>
        </w:rPr>
      </w:pPr>
    </w:p>
    <w:p w14:paraId="5D2D8E76" w14:textId="66E95EC1" w:rsidR="00FB0FCD" w:rsidRPr="001B127E" w:rsidRDefault="00FB0FCD" w:rsidP="00FB0FC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kern w:val="14"/>
          <w:sz w:val="17"/>
          <w:szCs w:val="20"/>
          <w:lang w:val="es-ES_tradnl"/>
        </w:rPr>
      </w:pPr>
      <w:r w:rsidRPr="001B127E">
        <w:rPr>
          <w:noProof/>
          <w:w w:val="100"/>
          <w:lang w:val="es-ES_tradnl"/>
        </w:rPr>
        <mc:AlternateContent>
          <mc:Choice Requires="wps">
            <w:drawing>
              <wp:anchor distT="0" distB="0" distL="114300" distR="114300" simplePos="0" relativeHeight="251659264" behindDoc="0" locked="0" layoutInCell="1" allowOverlap="1" wp14:anchorId="6D9438AB" wp14:editId="6E608A86">
                <wp:simplePos x="0" y="0"/>
                <wp:positionH relativeFrom="column">
                  <wp:posOffset>548640</wp:posOffset>
                </wp:positionH>
                <wp:positionV relativeFrom="paragraph">
                  <wp:posOffset>-12700</wp:posOffset>
                </wp:positionV>
                <wp:extent cx="914400" cy="0"/>
                <wp:effectExtent l="0" t="0" r="0" b="0"/>
                <wp:wrapNone/>
                <wp:docPr id="113334264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85E81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1B127E">
        <w:rPr>
          <w:spacing w:val="5"/>
          <w:w w:val="104"/>
          <w:kern w:val="14"/>
          <w:sz w:val="17"/>
          <w:szCs w:val="20"/>
          <w:lang w:val="es-ES_tradnl"/>
        </w:rPr>
        <w:tab/>
        <w:t>*</w:t>
      </w:r>
      <w:r w:rsidRPr="001B127E">
        <w:rPr>
          <w:spacing w:val="5"/>
          <w:w w:val="104"/>
          <w:kern w:val="14"/>
          <w:sz w:val="17"/>
          <w:szCs w:val="20"/>
          <w:lang w:val="es-ES_tradnl"/>
        </w:rPr>
        <w:tab/>
        <w:t>El presente documento se publica sin revisión editorial.</w:t>
      </w:r>
    </w:p>
    <w:p w14:paraId="2F3A342D" w14:textId="09EBC296" w:rsidR="00FB0FCD" w:rsidRPr="001B127E" w:rsidRDefault="00FB0FCD" w:rsidP="00FB0FC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kern w:val="14"/>
          <w:sz w:val="17"/>
          <w:szCs w:val="20"/>
          <w:lang w:val="es-ES_tradnl"/>
        </w:rPr>
      </w:pPr>
      <w:r w:rsidRPr="001B127E">
        <w:rPr>
          <w:spacing w:val="5"/>
          <w:w w:val="104"/>
          <w:kern w:val="14"/>
          <w:sz w:val="17"/>
          <w:szCs w:val="20"/>
          <w:lang w:val="es-ES_tradnl"/>
        </w:rPr>
        <w:tab/>
        <w:t>**</w:t>
      </w:r>
      <w:r w:rsidRPr="001B127E">
        <w:rPr>
          <w:spacing w:val="5"/>
          <w:w w:val="104"/>
          <w:kern w:val="14"/>
          <w:sz w:val="17"/>
          <w:szCs w:val="20"/>
          <w:lang w:val="es-ES_tradnl"/>
        </w:rPr>
        <w:tab/>
        <w:t>Los anexos del presente documento pueden consultarse en la página web del Comité.</w:t>
      </w:r>
    </w:p>
    <w:p w14:paraId="7175FE79" w14:textId="12811DF0" w:rsidR="008166D6" w:rsidRPr="001B127E" w:rsidRDefault="008166D6" w:rsidP="008166D6">
      <w:pPr>
        <w:pStyle w:val="TitleHCH"/>
        <w:ind w:right="1260"/>
        <w:rPr>
          <w:lang w:val="es-ES_tradnl"/>
        </w:rPr>
      </w:pPr>
      <w:r w:rsidRPr="001B127E">
        <w:rPr>
          <w:lang w:val="es-ES_tradnl"/>
        </w:rPr>
        <w:tab/>
      </w:r>
      <w:r w:rsidRPr="001B127E">
        <w:rPr>
          <w:lang w:val="es-ES_tradnl"/>
        </w:rPr>
        <w:tab/>
        <w:t>Décimo informe periódico que la Federación de Rusia debía presentar en 2025 en virtud del artículo 18 de la Convención</w:t>
      </w:r>
      <w:proofErr w:type="gramStart"/>
      <w:r w:rsidRPr="001B127E">
        <w:rPr>
          <w:b w:val="0"/>
          <w:bCs/>
          <w:sz w:val="20"/>
          <w:szCs w:val="20"/>
          <w:lang w:val="es-ES_tradnl"/>
        </w:rPr>
        <w:t>*</w:t>
      </w:r>
      <w:r w:rsidRPr="001B127E">
        <w:rPr>
          <w:b w:val="0"/>
          <w:bCs/>
          <w:sz w:val="20"/>
          <w:szCs w:val="20"/>
          <w:vertAlign w:val="superscript"/>
          <w:lang w:val="es-ES_tradnl"/>
        </w:rPr>
        <w:t>,</w:t>
      </w:r>
      <w:r w:rsidRPr="001B127E">
        <w:rPr>
          <w:b w:val="0"/>
          <w:bCs/>
          <w:sz w:val="20"/>
          <w:szCs w:val="20"/>
          <w:lang w:val="es-ES_tradnl"/>
        </w:rPr>
        <w:t>*</w:t>
      </w:r>
      <w:proofErr w:type="gramEnd"/>
      <w:r w:rsidRPr="001B127E">
        <w:rPr>
          <w:b w:val="0"/>
          <w:bCs/>
          <w:sz w:val="20"/>
          <w:szCs w:val="20"/>
          <w:lang w:val="es-ES_tradnl"/>
        </w:rPr>
        <w:t>*</w:t>
      </w:r>
    </w:p>
    <w:p w14:paraId="44181293" w14:textId="77777777" w:rsidR="008166D6" w:rsidRPr="001B127E" w:rsidRDefault="008166D6" w:rsidP="008166D6">
      <w:pPr>
        <w:pStyle w:val="SingleTxt"/>
        <w:spacing w:after="0" w:line="120" w:lineRule="exact"/>
        <w:rPr>
          <w:sz w:val="10"/>
          <w:lang w:val="es-ES_tradnl"/>
        </w:rPr>
      </w:pPr>
    </w:p>
    <w:p w14:paraId="07F37001" w14:textId="77777777" w:rsidR="008166D6" w:rsidRPr="001B127E" w:rsidRDefault="008166D6" w:rsidP="008166D6">
      <w:pPr>
        <w:pStyle w:val="SingleTxt"/>
        <w:spacing w:after="0" w:line="120" w:lineRule="exact"/>
        <w:rPr>
          <w:sz w:val="10"/>
          <w:lang w:val="es-ES_tradnl"/>
        </w:rPr>
      </w:pPr>
    </w:p>
    <w:p w14:paraId="6FA2E576" w14:textId="77777777" w:rsidR="008166D6" w:rsidRPr="008166D6" w:rsidRDefault="008166D6" w:rsidP="008166D6">
      <w:pPr>
        <w:pStyle w:val="SingleTxt"/>
        <w:jc w:val="right"/>
        <w:rPr>
          <w:lang w:val="es-ES_tradnl"/>
        </w:rPr>
      </w:pPr>
      <w:r w:rsidRPr="008166D6">
        <w:rPr>
          <w:lang w:val="es-ES_tradnl"/>
        </w:rPr>
        <w:t>[Fecha de recepción: 24 de noviembre de 2025]</w:t>
      </w:r>
    </w:p>
    <w:p w14:paraId="50CD7EDF" w14:textId="77777777" w:rsidR="008166D6" w:rsidRPr="001B127E" w:rsidRDefault="008166D6" w:rsidP="008166D6">
      <w:pPr>
        <w:pStyle w:val="SingleTxt"/>
        <w:rPr>
          <w:lang w:val="es-ES_tradnl"/>
        </w:rPr>
      </w:pPr>
    </w:p>
    <w:p w14:paraId="3237AE2A" w14:textId="77777777" w:rsidR="008166D6" w:rsidRPr="001B127E" w:rsidRDefault="008166D6" w:rsidP="008166D6">
      <w:pPr>
        <w:pStyle w:val="SingleTxt"/>
        <w:rPr>
          <w:lang w:val="es-ES_tradnl"/>
        </w:rPr>
      </w:pPr>
    </w:p>
    <w:p w14:paraId="2080447C" w14:textId="73D00F8D" w:rsidR="008166D6" w:rsidRPr="001B127E" w:rsidRDefault="008166D6">
      <w:pPr>
        <w:suppressAutoHyphens w:val="0"/>
        <w:spacing w:after="160" w:line="259" w:lineRule="auto"/>
        <w:rPr>
          <w:kern w:val="14"/>
          <w:lang w:val="es-ES_tradnl"/>
        </w:rPr>
      </w:pPr>
      <w:r w:rsidRPr="001B127E">
        <w:rPr>
          <w:lang w:val="es-ES_tradnl"/>
        </w:rPr>
        <w:br w:type="page"/>
      </w:r>
    </w:p>
    <w:p w14:paraId="0CB1CC5D" w14:textId="7C25AF5E" w:rsidR="00FB0FCD" w:rsidRPr="001B127E" w:rsidRDefault="00FB0FCD" w:rsidP="00FB0F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lastRenderedPageBreak/>
        <w:tab/>
      </w:r>
      <w:r w:rsidRPr="001B127E">
        <w:rPr>
          <w:lang w:val="es-ES_tradnl"/>
        </w:rPr>
        <w:tab/>
        <w:t>Examen (artículo por artículo) de la aplicación de las disposiciones de la Convención sobre la Eliminación de Todas las Formas de Discriminación contra la Mujer</w:t>
      </w:r>
    </w:p>
    <w:p w14:paraId="712450C1" w14:textId="77777777" w:rsidR="00FB0FCD" w:rsidRPr="001B127E" w:rsidRDefault="00FB0FCD" w:rsidP="00FB0FCD">
      <w:pPr>
        <w:pStyle w:val="SingleTxt"/>
        <w:spacing w:after="0" w:line="120" w:lineRule="exact"/>
        <w:rPr>
          <w:bCs/>
          <w:sz w:val="10"/>
          <w:lang w:val="es-ES_tradnl"/>
        </w:rPr>
      </w:pPr>
    </w:p>
    <w:p w14:paraId="03D804AB" w14:textId="77777777" w:rsidR="00FB0FCD" w:rsidRPr="001B127E" w:rsidRDefault="00FB0FCD" w:rsidP="00FB0FCD">
      <w:pPr>
        <w:pStyle w:val="SingleTxt"/>
        <w:spacing w:after="0" w:line="120" w:lineRule="exact"/>
        <w:rPr>
          <w:bCs/>
          <w:sz w:val="10"/>
          <w:lang w:val="es-ES_tradnl"/>
        </w:rPr>
      </w:pPr>
    </w:p>
    <w:p w14:paraId="1BF9B500" w14:textId="095E9768" w:rsidR="00FB0FCD" w:rsidRPr="00FB0FCD" w:rsidRDefault="00FB0FCD" w:rsidP="00FB0FCD">
      <w:pPr>
        <w:pStyle w:val="SingleTxt"/>
        <w:numPr>
          <w:ilvl w:val="0"/>
          <w:numId w:val="26"/>
        </w:numPr>
        <w:ind w:left="1267"/>
        <w:rPr>
          <w:lang w:val="es-ES_tradnl"/>
        </w:rPr>
      </w:pPr>
      <w:r w:rsidRPr="00FB0FCD">
        <w:rPr>
          <w:lang w:val="es-ES_tradnl"/>
        </w:rPr>
        <w:t>El presente informe se ha elaborado en cumplimiento del artículo 18 de la Convención sobre la Eliminación de Tod</w:t>
      </w:r>
      <w:bookmarkStart w:id="1" w:name="TmpSave"/>
      <w:bookmarkEnd w:id="1"/>
      <w:r w:rsidRPr="00FB0FCD">
        <w:rPr>
          <w:lang w:val="es-ES_tradnl"/>
        </w:rPr>
        <w:t>as las Formas de Discriminación contra la Mujer. En la preparación del presente documento se han utilizado la compilación de directrices relativas a la forma y el contenido de los informes que deben presentar los Estados partes en los tratados internacionales de derechos humanos (</w:t>
      </w:r>
      <w:hyperlink r:id="rId20" w:history="1">
        <w:r w:rsidRPr="00FB0FCD">
          <w:rPr>
            <w:rStyle w:val="Hyperlink"/>
            <w:lang w:val="es-ES_tradnl"/>
          </w:rPr>
          <w:t>HRI/GEN/2/</w:t>
        </w:r>
        <w:proofErr w:type="spellStart"/>
        <w:r w:rsidRPr="00FB0FCD">
          <w:rPr>
            <w:rStyle w:val="Hyperlink"/>
            <w:lang w:val="es-ES_tradnl"/>
          </w:rPr>
          <w:t>Rev.6</w:t>
        </w:r>
        <w:proofErr w:type="spellEnd"/>
      </w:hyperlink>
      <w:r w:rsidRPr="00FB0FCD">
        <w:rPr>
          <w:lang w:val="es-ES_tradnl"/>
        </w:rPr>
        <w:t xml:space="preserve">) y la resolución </w:t>
      </w:r>
      <w:hyperlink r:id="rId21" w:history="1">
        <w:r w:rsidRPr="00FB0FCD">
          <w:rPr>
            <w:rStyle w:val="Hyperlink"/>
            <w:lang w:val="es-ES_tradnl"/>
          </w:rPr>
          <w:t>68/268</w:t>
        </w:r>
      </w:hyperlink>
      <w:r w:rsidRPr="00FB0FCD">
        <w:rPr>
          <w:lang w:val="es-ES_tradnl"/>
        </w:rPr>
        <w:t xml:space="preserve"> de la Asamblea General, relativa al fortalecimiento y mejora del funcionamiento eficaz del sistema de órganos creados en virtud de tratados de derechos humanos. Además, se han tenido en cuenta las observaciones finales formuladas por el Comité para la Eliminación de la Discriminación contra la Mujer tras el examen del noveno informe periódico presentado por la Federación de Rusia sobre la aplicación de las disposiciones de la Convención (</w:t>
      </w:r>
      <w:hyperlink r:id="rId22" w:history="1">
        <w:r w:rsidRPr="00FB0FCD">
          <w:rPr>
            <w:rStyle w:val="Hyperlink"/>
            <w:lang w:val="es-ES_tradnl"/>
          </w:rPr>
          <w:t>CEDAW/C/RUS/CO/9</w:t>
        </w:r>
      </w:hyperlink>
      <w:r w:rsidRPr="00FB0FCD">
        <w:rPr>
          <w:lang w:val="es-ES_tradnl"/>
        </w:rPr>
        <w:t xml:space="preserve">). </w:t>
      </w:r>
    </w:p>
    <w:p w14:paraId="55A170BA" w14:textId="16CB7751" w:rsidR="00FB0FCD" w:rsidRPr="001B127E" w:rsidRDefault="00FB0FCD" w:rsidP="00FB0FCD">
      <w:pPr>
        <w:pStyle w:val="SingleTxt"/>
        <w:numPr>
          <w:ilvl w:val="0"/>
          <w:numId w:val="26"/>
        </w:numPr>
        <w:ind w:left="1267"/>
        <w:rPr>
          <w:lang w:val="es-ES_tradnl"/>
        </w:rPr>
      </w:pPr>
      <w:r w:rsidRPr="00FB0FCD">
        <w:rPr>
          <w:lang w:val="es-ES_tradnl"/>
        </w:rPr>
        <w:t>En el presente informe se ha utilizado la información facilitada por las siguientes entidades de la Federación de Rusia: el Ministerio de Trabajo y Protección Social, el Ministerio de Salud, el Ministerio de Educación, el Ministerio de Ciencia y Educación Superior, el Ministerio del Interior, el Ministerio de Desarrollo Económico, el Ministerio de Justicia, el Ministerio de Desarrollo Digital, Comunicaciones y Medios de Comunicación, el Ministerio de Relaciones Exteriores, el Servicio Penitenciario Federal, la Fiscalía General, el Comité de Instrucción, el Organismo Federal de Asuntos Étnicos, el Servicio Federal de Estadística y el Comisionado de Derechos Humanos.</w:t>
      </w:r>
    </w:p>
    <w:p w14:paraId="0B719B9E" w14:textId="77777777" w:rsidR="00FB0FCD" w:rsidRPr="001B127E" w:rsidRDefault="00FB0FCD" w:rsidP="00FB0FCD">
      <w:pPr>
        <w:pStyle w:val="SingleTxt"/>
        <w:spacing w:after="0" w:line="120" w:lineRule="exact"/>
        <w:rPr>
          <w:sz w:val="10"/>
          <w:lang w:val="es-ES_tradnl"/>
        </w:rPr>
      </w:pPr>
    </w:p>
    <w:p w14:paraId="2D6E8476" w14:textId="77777777" w:rsidR="00FB0FCD" w:rsidRPr="001B127E" w:rsidRDefault="00FB0FCD" w:rsidP="00FB0F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Párrafos 8 y 9 de las observaciones finales</w:t>
      </w:r>
    </w:p>
    <w:p w14:paraId="220F9D86" w14:textId="77777777" w:rsidR="00FB0FCD" w:rsidRPr="001B127E" w:rsidRDefault="00FB0FCD" w:rsidP="00FB0FCD">
      <w:pPr>
        <w:pStyle w:val="SingleTxt"/>
        <w:spacing w:after="0" w:line="120" w:lineRule="exact"/>
        <w:rPr>
          <w:bCs/>
          <w:sz w:val="10"/>
          <w:lang w:val="es-ES_tradnl"/>
        </w:rPr>
      </w:pPr>
    </w:p>
    <w:p w14:paraId="03DC6422" w14:textId="7A326D63" w:rsidR="00FB0FCD" w:rsidRPr="00FB0FCD" w:rsidRDefault="00FB0FCD" w:rsidP="00FB0FCD">
      <w:pPr>
        <w:pStyle w:val="SingleTxt"/>
        <w:numPr>
          <w:ilvl w:val="0"/>
          <w:numId w:val="26"/>
        </w:numPr>
        <w:ind w:left="1267"/>
        <w:rPr>
          <w:lang w:val="es-ES_tradnl"/>
        </w:rPr>
      </w:pPr>
      <w:r w:rsidRPr="00FB0FCD">
        <w:rPr>
          <w:lang w:val="es-ES_tradnl"/>
        </w:rPr>
        <w:t>El cumplimiento de las disposiciones de la Convención y su Protocolo Facultativo se lleva a cabo en el marco de las actividades ordinarias de los órganos ejecutivos federales. Además, se están aplicando medidas para mejorar la capacitación profesional en materia de derechos de la mujer de los funcionarios de los órganos judiciales, la fiscalía y el cuerpo de policía y de otros órganos encargados de hacer cumplir la ley.</w:t>
      </w:r>
    </w:p>
    <w:p w14:paraId="38FA27D8" w14:textId="7AD813B7" w:rsidR="00FB0FCD" w:rsidRPr="001B127E" w:rsidRDefault="00FB0FCD" w:rsidP="00FB0FCD">
      <w:pPr>
        <w:pStyle w:val="SingleTxt"/>
        <w:numPr>
          <w:ilvl w:val="0"/>
          <w:numId w:val="26"/>
        </w:numPr>
        <w:ind w:left="1267"/>
        <w:rPr>
          <w:lang w:val="es-ES_tradnl"/>
        </w:rPr>
      </w:pPr>
      <w:r w:rsidRPr="00FB0FCD">
        <w:rPr>
          <w:lang w:val="es-ES_tradnl"/>
        </w:rPr>
        <w:t xml:space="preserve">El texto de la Convención se encuentra disponible en los sitios web oficiales de los distintos organismos públicos federales y de organizaciones no gubernamentales y de la sociedad civil relacionadas con la protección de los derechos e intereses de las mujeres rusas. </w:t>
      </w:r>
    </w:p>
    <w:p w14:paraId="1C6196CB" w14:textId="77777777" w:rsidR="00FB0FCD" w:rsidRPr="001B127E" w:rsidRDefault="00FB0FCD" w:rsidP="00FB0FCD">
      <w:pPr>
        <w:pStyle w:val="SingleTxt"/>
        <w:spacing w:after="0" w:line="120" w:lineRule="exact"/>
        <w:rPr>
          <w:sz w:val="10"/>
          <w:lang w:val="es-ES_tradnl"/>
        </w:rPr>
      </w:pPr>
    </w:p>
    <w:p w14:paraId="215FA6BB" w14:textId="77777777" w:rsidR="00FB0FCD" w:rsidRPr="001B127E" w:rsidRDefault="00FB0FCD" w:rsidP="00FB0FCD">
      <w:pPr>
        <w:pStyle w:val="SingleTxt"/>
        <w:spacing w:after="0" w:line="120" w:lineRule="exact"/>
        <w:rPr>
          <w:sz w:val="10"/>
          <w:lang w:val="es-ES_tradnl"/>
        </w:rPr>
      </w:pPr>
    </w:p>
    <w:p w14:paraId="6FD76BD9" w14:textId="77777777" w:rsidR="00FB0FCD" w:rsidRPr="001B127E" w:rsidRDefault="00FB0FCD" w:rsidP="00FB0F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Parte I</w:t>
      </w:r>
    </w:p>
    <w:p w14:paraId="2B5AD549" w14:textId="77777777" w:rsidR="00FB0FCD" w:rsidRPr="001B127E" w:rsidRDefault="00FB0FCD" w:rsidP="00FB0FCD">
      <w:pPr>
        <w:pStyle w:val="SingleTxt"/>
        <w:spacing w:after="0" w:line="120" w:lineRule="exact"/>
        <w:rPr>
          <w:b/>
          <w:sz w:val="10"/>
          <w:lang w:val="es-ES_tradnl"/>
        </w:rPr>
      </w:pPr>
    </w:p>
    <w:p w14:paraId="7B9B84A3" w14:textId="77777777" w:rsidR="00FB0FCD" w:rsidRPr="001B127E" w:rsidRDefault="00FB0FCD" w:rsidP="00FB0FCD">
      <w:pPr>
        <w:pStyle w:val="SingleTxt"/>
        <w:spacing w:after="0" w:line="120" w:lineRule="exact"/>
        <w:rPr>
          <w:b/>
          <w:sz w:val="10"/>
          <w:lang w:val="es-ES_tradnl"/>
        </w:rPr>
      </w:pPr>
    </w:p>
    <w:p w14:paraId="365150A1" w14:textId="56B512B5" w:rsidR="00FB0FCD" w:rsidRPr="001B127E" w:rsidRDefault="00FB0FCD" w:rsidP="00FB0F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Artículo 1</w:t>
      </w:r>
    </w:p>
    <w:p w14:paraId="5105F2E9" w14:textId="77777777" w:rsidR="00FB0FCD" w:rsidRPr="001B127E" w:rsidRDefault="00FB0FCD" w:rsidP="00FB0FCD">
      <w:pPr>
        <w:pStyle w:val="SingleTxt"/>
        <w:spacing w:after="0" w:line="120" w:lineRule="exact"/>
        <w:rPr>
          <w:b/>
          <w:sz w:val="10"/>
          <w:lang w:val="es-ES_tradnl"/>
        </w:rPr>
      </w:pPr>
    </w:p>
    <w:p w14:paraId="2464C003" w14:textId="77777777" w:rsidR="00FB0FCD" w:rsidRPr="001B127E" w:rsidRDefault="00FB0FCD" w:rsidP="00FB0FCD">
      <w:pPr>
        <w:pStyle w:val="SingleTxt"/>
        <w:spacing w:after="0" w:line="120" w:lineRule="exact"/>
        <w:rPr>
          <w:b/>
          <w:sz w:val="10"/>
          <w:lang w:val="es-ES_tradnl"/>
        </w:rPr>
      </w:pPr>
    </w:p>
    <w:p w14:paraId="688F006F" w14:textId="6C44BF1E" w:rsidR="00FB0FCD" w:rsidRPr="001B127E" w:rsidRDefault="00FB0FCD" w:rsidP="00FB0F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Párrafos 10 y 11 de las observaciones finales</w:t>
      </w:r>
    </w:p>
    <w:p w14:paraId="435CC931" w14:textId="77777777" w:rsidR="00FB0FCD" w:rsidRPr="001B127E" w:rsidRDefault="00FB0FCD" w:rsidP="00FB0FCD">
      <w:pPr>
        <w:pStyle w:val="SingleTxt"/>
        <w:spacing w:after="0" w:line="120" w:lineRule="exact"/>
        <w:rPr>
          <w:bCs/>
          <w:sz w:val="10"/>
          <w:lang w:val="es-ES_tradnl"/>
        </w:rPr>
      </w:pPr>
    </w:p>
    <w:p w14:paraId="51109B42" w14:textId="0657FA7F" w:rsidR="00FB0FCD" w:rsidRPr="00FB0FCD" w:rsidRDefault="00FB0FCD" w:rsidP="00FB0FCD">
      <w:pPr>
        <w:pStyle w:val="SingleTxt"/>
        <w:numPr>
          <w:ilvl w:val="0"/>
          <w:numId w:val="26"/>
        </w:numPr>
        <w:ind w:left="1267"/>
        <w:rPr>
          <w:lang w:val="es-ES_tradnl"/>
        </w:rPr>
      </w:pPr>
      <w:r w:rsidRPr="00FB0FCD">
        <w:rPr>
          <w:lang w:val="es-ES_tradnl"/>
        </w:rPr>
        <w:t xml:space="preserve">De conformidad con el artículo 19 de la Constitución de la Federación de Rusia (en adelante, “la Constitución”), se garantiza la igualdad de derechos y de libertades del hombre y del ciudadano, independientemente de cuáles sean su sexo, raza, nacionalidad, idioma, procedencia, situación patrimonial o ejecutiva, lugar de residencia, actitud ante la religión, convicciones, pertenencia a organizaciones sociales, así como otras circunstancias; asimismo, queda prohibida toda forma de restricción de los derechos de los ciudadanos por motivos de pertenencia social, racial, nacional, lingüística o religiosa. También se establece que “el hombre y la </w:t>
      </w:r>
      <w:r w:rsidRPr="00FB0FCD">
        <w:rPr>
          <w:lang w:val="es-ES_tradnl"/>
        </w:rPr>
        <w:lastRenderedPageBreak/>
        <w:t>mujer tienen los mismos derechos y libertades, e iguales oportunidades para realizarlos”. La indicación de que los hombres y las mujeres disponen de las mismas oportunidades para ejercer sus correspondientes derechos y libertades se orienta hacia el pleno ejercicio de los derechos y libertades por parte de las mujeres, con el fin de alcanzar una igualdad efectiva.</w:t>
      </w:r>
    </w:p>
    <w:p w14:paraId="05211343" w14:textId="456546EB" w:rsidR="00FB0FCD" w:rsidRPr="00FB0FCD" w:rsidRDefault="00FB0FCD" w:rsidP="00FB0FCD">
      <w:pPr>
        <w:pStyle w:val="SingleTxt"/>
        <w:numPr>
          <w:ilvl w:val="0"/>
          <w:numId w:val="26"/>
        </w:numPr>
        <w:ind w:left="1267"/>
        <w:rPr>
          <w:lang w:val="es-ES_tradnl"/>
        </w:rPr>
      </w:pPr>
      <w:r w:rsidRPr="00FB0FCD">
        <w:rPr>
          <w:lang w:val="es-ES_tradnl"/>
        </w:rPr>
        <w:t>La Constitución también garantiza el apoyo estatal a la maternidad, la paternidad y la infancia. El principio de igualdad de género queda consagrado en la legislación familiar, laboral, civil y fiscal.</w:t>
      </w:r>
    </w:p>
    <w:p w14:paraId="60ECB479" w14:textId="5F8FA2CE" w:rsidR="00FB0FCD" w:rsidRPr="00FB0FCD" w:rsidRDefault="00FB0FCD" w:rsidP="00FB0FCD">
      <w:pPr>
        <w:pStyle w:val="SingleTxt"/>
        <w:numPr>
          <w:ilvl w:val="0"/>
          <w:numId w:val="26"/>
        </w:numPr>
        <w:ind w:left="1267"/>
        <w:rPr>
          <w:lang w:val="es-ES_tradnl"/>
        </w:rPr>
      </w:pPr>
      <w:r w:rsidRPr="00FB0FCD">
        <w:rPr>
          <w:lang w:val="es-ES_tradnl"/>
        </w:rPr>
        <w:t>El artículo 5.62 del Código de Infracciones Administrativas de la Federación de Rusia prevé la responsabilidad administrativa por motivos de discriminación.</w:t>
      </w:r>
    </w:p>
    <w:p w14:paraId="73D47C91" w14:textId="6E767CAC" w:rsidR="00FB0FCD" w:rsidRPr="00FB0FCD" w:rsidRDefault="00FB0FCD" w:rsidP="00FB0FCD">
      <w:pPr>
        <w:pStyle w:val="SingleTxt"/>
        <w:numPr>
          <w:ilvl w:val="0"/>
          <w:numId w:val="26"/>
        </w:numPr>
        <w:ind w:left="1267"/>
        <w:rPr>
          <w:lang w:val="es-ES_tradnl"/>
        </w:rPr>
      </w:pPr>
      <w:r w:rsidRPr="00FB0FCD">
        <w:rPr>
          <w:lang w:val="es-ES_tradnl"/>
        </w:rPr>
        <w:t>En lo que respecta al ámbito del derecho penal, la prohibición de la discriminación se recoge específicamente en el artículo 136 del Código Penal de la Federación de Rusia, que establece que las personas que cometan actos de discriminación abusando de su posición oficial incurren en responsabilidad penal. De conformidad con el artículo 145 del Código Penal, la denegación injustificada de la contratación o el despido injustificado de una mujer debido a su embarazo o de mujeres que tengan hijos menores de tres años por motivos de discriminación también conlleva responsabilidad penal.</w:t>
      </w:r>
    </w:p>
    <w:p w14:paraId="39BBB51F" w14:textId="14E4D852" w:rsidR="00FB0FCD" w:rsidRPr="001B127E" w:rsidRDefault="00FB0FCD" w:rsidP="00FB0FCD">
      <w:pPr>
        <w:pStyle w:val="SingleTxt"/>
        <w:numPr>
          <w:ilvl w:val="0"/>
          <w:numId w:val="26"/>
        </w:numPr>
        <w:ind w:left="1267"/>
        <w:rPr>
          <w:lang w:val="es-ES_tradnl"/>
        </w:rPr>
      </w:pPr>
      <w:r w:rsidRPr="00FB0FCD">
        <w:rPr>
          <w:lang w:val="es-ES_tradnl"/>
        </w:rPr>
        <w:t>En el marco de los programas educativos implementados por los organismos educativos, los estudiantes adquieren conocimientos sobre temas relacionados con la igualdad de género, que se abordan en las asignaturas correspondientes. Por ejemplo, el Ministerio del Interior está aplicando de forma permanente un conjunto de medidas que abarca actividades para la formación de una personalidad armoniosamente desarrollada y socialmente responsable, basada en los valores espirituales y morales de los pueblos de la Federación de Rusia, y que incluye el cultivo de un trato amable y respetuoso hacia los ciudadanos que no admite manifestaciones de ningún tipo de discriminación.</w:t>
      </w:r>
    </w:p>
    <w:p w14:paraId="2ADBCF04" w14:textId="77777777" w:rsidR="00FB0FCD" w:rsidRPr="001B127E" w:rsidRDefault="00FB0FCD" w:rsidP="00FB0FCD">
      <w:pPr>
        <w:pStyle w:val="SingleTxt"/>
        <w:spacing w:after="0" w:line="120" w:lineRule="exact"/>
        <w:rPr>
          <w:sz w:val="10"/>
          <w:lang w:val="es-ES_tradnl"/>
        </w:rPr>
      </w:pPr>
    </w:p>
    <w:p w14:paraId="4B7B73AE" w14:textId="77777777" w:rsidR="00FB0FCD" w:rsidRPr="001B127E" w:rsidRDefault="00FB0FCD" w:rsidP="00FB0FCD">
      <w:pPr>
        <w:pStyle w:val="SingleTxt"/>
        <w:spacing w:after="0" w:line="120" w:lineRule="exact"/>
        <w:rPr>
          <w:sz w:val="10"/>
          <w:lang w:val="es-ES_tradnl"/>
        </w:rPr>
      </w:pPr>
    </w:p>
    <w:p w14:paraId="71203635" w14:textId="77777777" w:rsidR="00FB0FCD" w:rsidRPr="001B127E" w:rsidRDefault="00FB0FCD" w:rsidP="00FB0F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Artículo 2</w:t>
      </w:r>
    </w:p>
    <w:p w14:paraId="505F9B93" w14:textId="77777777" w:rsidR="00FB0FCD" w:rsidRPr="001B127E" w:rsidRDefault="00FB0FCD" w:rsidP="00FB0FCD">
      <w:pPr>
        <w:pStyle w:val="SingleTxt"/>
        <w:spacing w:after="0" w:line="120" w:lineRule="exact"/>
        <w:rPr>
          <w:b/>
          <w:sz w:val="10"/>
          <w:lang w:val="es-ES_tradnl"/>
        </w:rPr>
      </w:pPr>
    </w:p>
    <w:p w14:paraId="79EC8917" w14:textId="77777777" w:rsidR="00FB0FCD" w:rsidRPr="001B127E" w:rsidRDefault="00FB0FCD" w:rsidP="00FB0FCD">
      <w:pPr>
        <w:pStyle w:val="SingleTxt"/>
        <w:spacing w:after="0" w:line="120" w:lineRule="exact"/>
        <w:rPr>
          <w:b/>
          <w:sz w:val="10"/>
          <w:lang w:val="es-ES_tradnl"/>
        </w:rPr>
      </w:pPr>
    </w:p>
    <w:p w14:paraId="7BCC882F" w14:textId="7EE03209" w:rsidR="00FB0FCD" w:rsidRPr="001B127E" w:rsidRDefault="00FB0FCD" w:rsidP="00FB0F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Párrafos 12 y 13 de las observaciones finales</w:t>
      </w:r>
    </w:p>
    <w:p w14:paraId="714B34E7" w14:textId="77777777" w:rsidR="00FB0FCD" w:rsidRPr="001B127E" w:rsidRDefault="00FB0FCD" w:rsidP="00FB0FCD">
      <w:pPr>
        <w:pStyle w:val="SingleTxt"/>
        <w:spacing w:after="0" w:line="120" w:lineRule="exact"/>
        <w:rPr>
          <w:bCs/>
          <w:sz w:val="10"/>
          <w:lang w:val="es-ES_tradnl"/>
        </w:rPr>
      </w:pPr>
    </w:p>
    <w:p w14:paraId="709179DE" w14:textId="095D3EC3" w:rsidR="00FB0FCD" w:rsidRPr="00FB0FCD" w:rsidRDefault="00FB0FCD" w:rsidP="00FB0FCD">
      <w:pPr>
        <w:pStyle w:val="SingleTxt"/>
        <w:numPr>
          <w:ilvl w:val="0"/>
          <w:numId w:val="26"/>
        </w:numPr>
        <w:ind w:left="1267"/>
        <w:rPr>
          <w:lang w:val="es-ES_tradnl"/>
        </w:rPr>
      </w:pPr>
      <w:r w:rsidRPr="00FB0FCD">
        <w:rPr>
          <w:lang w:val="es-ES_tradnl"/>
        </w:rPr>
        <w:t>De conformidad con el artículo 48.1 de la Constitución, se garantiza a todas las persona</w:t>
      </w:r>
      <w:r w:rsidR="00686767">
        <w:rPr>
          <w:lang w:val="es-ES_tradnl"/>
        </w:rPr>
        <w:t>s</w:t>
      </w:r>
      <w:r w:rsidRPr="00FB0FCD">
        <w:rPr>
          <w:lang w:val="es-ES_tradnl"/>
        </w:rPr>
        <w:t xml:space="preserve"> el derecho a obtener asistencia jurídica cualificada. El derecho de los ciudadanos a obtener asistencia jurídica cualificada gratuita en el marco de los procedimientos penales queda garantizado en el Código de Procedimiento Penal. El alcance de estas garantías no dependerá del sexo, la raza, la nacionalidad, el idioma, el origen, la situación patrimonial y profesional, el lugar de residencia, la relación con la religión, las convicciones, la pertenencia a asociaciones públicas ni otras circunstancias de la persona.</w:t>
      </w:r>
    </w:p>
    <w:p w14:paraId="17FD3129" w14:textId="7A920001" w:rsidR="00FB0FCD" w:rsidRPr="00FB0FCD" w:rsidRDefault="00FB0FCD" w:rsidP="00FB0FCD">
      <w:pPr>
        <w:pStyle w:val="SingleTxt"/>
        <w:numPr>
          <w:ilvl w:val="0"/>
          <w:numId w:val="26"/>
        </w:numPr>
        <w:ind w:left="1267"/>
        <w:rPr>
          <w:lang w:val="es-ES_tradnl"/>
        </w:rPr>
      </w:pPr>
      <w:r w:rsidRPr="00FB0FCD">
        <w:rPr>
          <w:lang w:val="es-ES_tradnl"/>
        </w:rPr>
        <w:t>La participación de un abogado defensor puede ser autorizada por el instructor encargado de las diligencias, el investigador o el tribunal, a petición del sospechoso o acusado (artículo 50.1 del Código de Procedimiento Penal). En caso de que el abogado participe en la investigación preliminar o en el proceso judicial por designación del instructor, el investigador o el tribunal, el importe de sus honorarios se sufragará con cargo al presupuesto federal (artículo 50.5 del Código de Procedimiento Penal).</w:t>
      </w:r>
    </w:p>
    <w:p w14:paraId="6753C0F1" w14:textId="12B024AD" w:rsidR="00FB0FCD" w:rsidRPr="00FB0FCD" w:rsidRDefault="00FB0FCD" w:rsidP="00FB0FCD">
      <w:pPr>
        <w:pStyle w:val="SingleTxt"/>
        <w:numPr>
          <w:ilvl w:val="0"/>
          <w:numId w:val="26"/>
        </w:numPr>
        <w:ind w:left="1267"/>
        <w:rPr>
          <w:lang w:val="es-ES_tradnl"/>
        </w:rPr>
      </w:pPr>
      <w:r w:rsidRPr="00FB0FCD">
        <w:rPr>
          <w:lang w:val="es-ES_tradnl"/>
        </w:rPr>
        <w:t xml:space="preserve">El artículo 51.3 del Código de Procedimiento Penal establece </w:t>
      </w:r>
      <w:proofErr w:type="gramStart"/>
      <w:r w:rsidRPr="00FB0FCD">
        <w:rPr>
          <w:lang w:val="es-ES_tradnl"/>
        </w:rPr>
        <w:t>que</w:t>
      </w:r>
      <w:proofErr w:type="gramEnd"/>
      <w:r w:rsidRPr="00FB0FCD">
        <w:rPr>
          <w:lang w:val="es-ES_tradnl"/>
        </w:rPr>
        <w:t xml:space="preserve"> si el defensor no ha sido invitado por el propio sospechoso o acusado o por su representante legal, o por otras personas por encargo o con el consentimiento del sospechoso o acusado, el instructor, el investigador o el tribunal garantizará la participación del defensor en </w:t>
      </w:r>
      <w:r w:rsidRPr="00FB0FCD">
        <w:rPr>
          <w:lang w:val="es-ES_tradnl"/>
        </w:rPr>
        <w:lastRenderedPageBreak/>
        <w:t>el proceso penal. Se aplica una normativa similar con respecto a las víctimas menores de 16 años que hayan sido objeto de un delito sexual (artículo 45.2 del Código de Procedimiento Penal de Rusia).</w:t>
      </w:r>
    </w:p>
    <w:p w14:paraId="131DCF98" w14:textId="49809ABE" w:rsidR="00FB0FCD" w:rsidRPr="00FB0FCD" w:rsidRDefault="00FB0FCD" w:rsidP="00FB0FCD">
      <w:pPr>
        <w:pStyle w:val="SingleTxt"/>
        <w:numPr>
          <w:ilvl w:val="0"/>
          <w:numId w:val="26"/>
        </w:numPr>
        <w:ind w:left="1267"/>
        <w:rPr>
          <w:lang w:val="es-ES_tradnl"/>
        </w:rPr>
      </w:pPr>
      <w:r w:rsidRPr="00FB0FCD">
        <w:rPr>
          <w:lang w:val="es-ES_tradnl"/>
        </w:rPr>
        <w:t>Las garantías para el ejercicio del derecho de los ciudadanos a recibir asistencia jurídica gratuita fuera del ámbito de los procedimientos penales se establecen en la Ley Federal núm. 324-FZ relativa a la asistencia jurídica gratuita en la Federación de Rusia, de 21 de noviembre de 2011. En el artículo 20 de esa ley se establecen las categorías de ciudadanos (incluidos los ciudadanos sin recursos y las personas con discapacidad de los grupos I y II) que tienen derecho a recibir asistencia jurídica gratuita en el marco del sistema estatal de asistencia jurídica gratuita, cuyos principales participantes son las oficinas de asistencia jurídica estatal y los abogados, y se enumeran los casos en los que se presta asistencia jurídica gratuita.</w:t>
      </w:r>
    </w:p>
    <w:p w14:paraId="79B1BF39" w14:textId="3B3EC44B" w:rsidR="00FB0FCD" w:rsidRPr="00FB0FCD" w:rsidRDefault="00FB0FCD" w:rsidP="00FB0FCD">
      <w:pPr>
        <w:pStyle w:val="SingleTxt"/>
        <w:numPr>
          <w:ilvl w:val="0"/>
          <w:numId w:val="26"/>
        </w:numPr>
        <w:ind w:left="1267"/>
        <w:rPr>
          <w:lang w:val="es-ES_tradnl"/>
        </w:rPr>
      </w:pPr>
      <w:r w:rsidRPr="00FB0FCD">
        <w:rPr>
          <w:lang w:val="es-ES_tradnl"/>
        </w:rPr>
        <w:t>De conformidad con el artículo 5.8 de la Ley Federal núm. 324-FZ, la prestación de asistencia jurídica gratuita tiene como fundamento los principios de igualdad de acceso de los ciudadanos a la asistencia jurídica gratuita y la prohibición de discriminar a los ciudadanos a la hora de concederla, lo que excluye la posibilidad de que se restrinja dicha garantía en función del género de los ciudadanos.</w:t>
      </w:r>
    </w:p>
    <w:p w14:paraId="3301F913" w14:textId="4166B2A1" w:rsidR="00FB0FCD" w:rsidRPr="00FB0FCD" w:rsidRDefault="00FB0FCD" w:rsidP="00FB0FCD">
      <w:pPr>
        <w:pStyle w:val="SingleTxt"/>
        <w:numPr>
          <w:ilvl w:val="0"/>
          <w:numId w:val="26"/>
        </w:numPr>
        <w:ind w:left="1267"/>
        <w:rPr>
          <w:lang w:val="es-ES_tradnl"/>
        </w:rPr>
      </w:pPr>
      <w:r w:rsidRPr="00FB0FCD">
        <w:rPr>
          <w:lang w:val="es-ES_tradnl"/>
        </w:rPr>
        <w:t>En varias entidades constitutivas de la Federación de Rusia se han establecido garantías adicionales para que las mujeres embarazadas, las que tengan hijos menores de 3 años, las que se encuentren en circunstancias difíciles y las que vivan con sus hijos en albergues sociales y hayan sido víctimas de violencia psicológica o malos tratos físicos puedan ejercer su derecho a recibir asistencia jurídica gratuita.</w:t>
      </w:r>
    </w:p>
    <w:p w14:paraId="6DBD220B" w14:textId="5534918A" w:rsidR="00FB0FCD" w:rsidRPr="00FB0FCD" w:rsidRDefault="00FB0FCD" w:rsidP="00FB0FCD">
      <w:pPr>
        <w:pStyle w:val="SingleTxt"/>
        <w:numPr>
          <w:ilvl w:val="0"/>
          <w:numId w:val="26"/>
        </w:numPr>
        <w:ind w:left="1267"/>
        <w:rPr>
          <w:lang w:val="es-ES_tradnl"/>
        </w:rPr>
      </w:pPr>
      <w:r w:rsidRPr="00FB0FCD">
        <w:rPr>
          <w:lang w:val="es-ES_tradnl"/>
        </w:rPr>
        <w:t>El Ministerio de Justicia recopila datos sobre la composición de la comunidad de abogados, incluido un desglose por género. Así, durante el período 2020-2024, el número de abogados en la Federación de Rusia era el siguiente: al 31 de diciembre de 2020, 82.126 abogados, de los cuales 34.462 (el 42 %) eran mujeres; al 31 de diciembre de 2021, 82.877 abogados, de los cuales 34.510 (el 41,6 %) eran mujeres; al 31 de diciembre de 2022, 83.112 abogados, de los cuales 34.485 (el 41,5 %) eran mujeres; al 31 de diciembre de 2023: 83.913 abogados, de los cuales 33.504 (el 39,9</w:t>
      </w:r>
      <w:r w:rsidRPr="001B127E">
        <w:rPr>
          <w:lang w:val="es-ES_tradnl"/>
        </w:rPr>
        <w:t> </w:t>
      </w:r>
      <w:r w:rsidRPr="00FB0FCD">
        <w:rPr>
          <w:lang w:val="es-ES_tradnl"/>
        </w:rPr>
        <w:t>%) eran mujeres; al 31 de diciembre de 2024: 84.351 abogados, de los cuales 33.663 (el 39,9 %) eran mujeres.</w:t>
      </w:r>
    </w:p>
    <w:p w14:paraId="0BCFFF87" w14:textId="418E9F47" w:rsidR="00FB0FCD" w:rsidRPr="001B127E" w:rsidRDefault="00FB0FCD" w:rsidP="00FB0FCD">
      <w:pPr>
        <w:pStyle w:val="SingleTxt"/>
        <w:numPr>
          <w:ilvl w:val="0"/>
          <w:numId w:val="26"/>
        </w:numPr>
        <w:ind w:left="1267"/>
        <w:rPr>
          <w:lang w:val="es-ES_tradnl"/>
        </w:rPr>
      </w:pPr>
      <w:r w:rsidRPr="00FB0FCD">
        <w:rPr>
          <w:lang w:val="es-ES_tradnl"/>
        </w:rPr>
        <w:t>De conformidad con el artículo 7.1 de la Ley Federal de 31 de mayo de 2002 relativa a la actividad de los abogados y la abogacía en la Federación de Rusia (Ley Federal núm. 63-FZ), los abogados están obligados a actualizar constantemente sus conocimientos de forma independiente y a mejorar su nivel profesional de acuerdo con el procedimiento establecido por el Colegio Federal de Abogados de la Federación de Rusia y los colegios de abogados de las entidades de la Federación de Rusia. De conformidad con el artículo 31.3 de la Ley Federal núm. 63-FZ, los consejos de los colegios de abogados contribuyen a aumentar el nivel profesional de sus miembros, entre otras cosas, aprobando programas de capacitación profesional para abogados y para sus auxiliares y pasantes en las áreas determinadas por el Consejo del Colegio Federal de Abogados y organizando la capacitación profesional en el marco de dichos programas de conformidad con el procedimiento aprobado por el Consejo del Colegio Federal de Abogados.</w:t>
      </w:r>
    </w:p>
    <w:p w14:paraId="55D0F9B6" w14:textId="77777777" w:rsidR="00FB0FCD" w:rsidRPr="001B127E" w:rsidRDefault="00FB0FCD" w:rsidP="00FB0FCD">
      <w:pPr>
        <w:pStyle w:val="SingleTxt"/>
        <w:spacing w:after="0" w:line="120" w:lineRule="exact"/>
        <w:rPr>
          <w:sz w:val="10"/>
          <w:lang w:val="es-ES_tradnl"/>
        </w:rPr>
      </w:pPr>
    </w:p>
    <w:p w14:paraId="458A9783" w14:textId="17B1272E" w:rsidR="00FB0FCD" w:rsidRPr="001B127E" w:rsidRDefault="00FB0FCD" w:rsidP="00FB0F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Párrafos 14 y 15 de las observaciones finales</w:t>
      </w:r>
    </w:p>
    <w:p w14:paraId="75C90601" w14:textId="77777777" w:rsidR="00FB0FCD" w:rsidRPr="001B127E" w:rsidRDefault="00FB0FCD" w:rsidP="00FB0FCD">
      <w:pPr>
        <w:pStyle w:val="SingleTxt"/>
        <w:spacing w:after="0" w:line="120" w:lineRule="exact"/>
        <w:rPr>
          <w:bCs/>
          <w:sz w:val="10"/>
          <w:lang w:val="es-ES_tradnl"/>
        </w:rPr>
      </w:pPr>
    </w:p>
    <w:p w14:paraId="70E362A4" w14:textId="4B668155" w:rsidR="00FB0FCD" w:rsidRPr="00FB0FCD" w:rsidRDefault="00FB0FCD" w:rsidP="00FB0FCD">
      <w:pPr>
        <w:pStyle w:val="SingleTxt"/>
        <w:numPr>
          <w:ilvl w:val="0"/>
          <w:numId w:val="26"/>
        </w:numPr>
        <w:ind w:left="1267"/>
        <w:rPr>
          <w:lang w:val="es-ES_tradnl"/>
        </w:rPr>
      </w:pPr>
      <w:r w:rsidRPr="00FB0FCD">
        <w:rPr>
          <w:lang w:val="es-ES_tradnl"/>
        </w:rPr>
        <w:t xml:space="preserve">En el Decreto del Gobierno de la Federación de Rusia núm. 4356-r, de 29 de diciembre de 2022, se aprobó la Estrategia Nacional de Acción en favor de las Mujeres para el período 2023-2030, por la que los órganos federales del poder público deben guiarse a la hora de abordar las tareas relacionadas con el adelanto de las mujeres. Asimismo, se recomienda a los órganos de poder público de las entidades de </w:t>
      </w:r>
      <w:r w:rsidRPr="00FB0FCD">
        <w:rPr>
          <w:lang w:val="es-ES_tradnl"/>
        </w:rPr>
        <w:lastRenderedPageBreak/>
        <w:t>la Federación de Rusia que se rijan por las disposiciones de la Estrategia cuando emprendan tareas relacionadas con la mejora de la situación de las mujeres. En virtud del Decreto del Gobierno de la Federación de Rusia núm. 1104-r, de 28 de abril de 2023, se aprobó el plan de medidas para la aplicación en el período 2023-2026 de la Estrategia Nacional de Acción en favor de las Mujeres.</w:t>
      </w:r>
    </w:p>
    <w:p w14:paraId="5E4C168D" w14:textId="6A4CF657" w:rsidR="00FB0FCD" w:rsidRPr="00FB0FCD" w:rsidRDefault="00FB0FCD" w:rsidP="00FB0FCD">
      <w:pPr>
        <w:pStyle w:val="SingleTxt"/>
        <w:numPr>
          <w:ilvl w:val="0"/>
          <w:numId w:val="26"/>
        </w:numPr>
        <w:ind w:left="1267"/>
        <w:rPr>
          <w:lang w:val="es-ES_tradnl"/>
        </w:rPr>
      </w:pPr>
      <w:r w:rsidRPr="00FB0FCD">
        <w:rPr>
          <w:lang w:val="es-ES_tradnl"/>
        </w:rPr>
        <w:t xml:space="preserve">Con el fin de aplicar la política estatal con respecto a las mujeres, en el Decreto del Presidente de la Federación de Rusia núm. 708, de 11 de diciembre de 2018, relativo a la organización público-estatal </w:t>
      </w:r>
      <w:proofErr w:type="spellStart"/>
      <w:r w:rsidRPr="00FB0FCD">
        <w:rPr>
          <w:lang w:val="es-ES_tradnl"/>
        </w:rPr>
        <w:t>panrusa</w:t>
      </w:r>
      <w:proofErr w:type="spellEnd"/>
      <w:r w:rsidRPr="00FB0FCD">
        <w:rPr>
          <w:lang w:val="es-ES_tradnl"/>
        </w:rPr>
        <w:t xml:space="preserve"> Unión de Mujeres de Rusia, se adoptó la decisión de que el Estado participara en las actividades de esta y de que se modificara el estatus de la organización a organización público-estatal y se le cambiara el nombre por el de Organización Público-Estatal </w:t>
      </w:r>
      <w:proofErr w:type="spellStart"/>
      <w:r w:rsidRPr="00FB0FCD">
        <w:rPr>
          <w:lang w:val="es-ES_tradnl"/>
        </w:rPr>
        <w:t>Panrusa</w:t>
      </w:r>
      <w:proofErr w:type="spellEnd"/>
      <w:r w:rsidRPr="00FB0FCD">
        <w:rPr>
          <w:lang w:val="es-ES_tradnl"/>
        </w:rPr>
        <w:t xml:space="preserve"> Unión de Mujeres de Rusia. La Unión de Mujeres de Rusia se beneficia tanto de las medidas generales de apoyo estatal a las organizaciones sin fines de lucro en general como de subvenciones específicas del presupuesto federal para llevar a cabo sus actividades.</w:t>
      </w:r>
    </w:p>
    <w:p w14:paraId="280A0B7F" w14:textId="792F13F4" w:rsidR="00FB0FCD" w:rsidRPr="001B127E" w:rsidRDefault="00FB0FCD" w:rsidP="00FB0FCD">
      <w:pPr>
        <w:pStyle w:val="SingleTxt"/>
        <w:numPr>
          <w:ilvl w:val="0"/>
          <w:numId w:val="26"/>
        </w:numPr>
        <w:ind w:left="1267"/>
        <w:rPr>
          <w:lang w:val="es-ES_tradnl"/>
        </w:rPr>
      </w:pPr>
      <w:r w:rsidRPr="00FB0FCD">
        <w:rPr>
          <w:lang w:val="es-ES_tradnl"/>
        </w:rPr>
        <w:t>Entre las principales áreas de actividad de la Unión de Mujeres de Rusia figuran las siguientes: la protección de los derechos e intereses de las mujeres; la mejora de la condición social de las mujeres y de su papel en la vida política, económica, social y cultural del país; la ampliación de las oportunidades de realización personal de las mujeres que viven en zonas rurales; y la participación en la aplicación de la Estrategia en favor de las Mujeres y de las medidas del Plan para su implementación.</w:t>
      </w:r>
    </w:p>
    <w:p w14:paraId="688ECD9D" w14:textId="77777777" w:rsidR="00FB0FCD" w:rsidRPr="001B127E" w:rsidRDefault="00FB0FCD" w:rsidP="00FB0FCD">
      <w:pPr>
        <w:pStyle w:val="SingleTxt"/>
        <w:spacing w:after="0" w:line="120" w:lineRule="exact"/>
        <w:rPr>
          <w:sz w:val="10"/>
          <w:lang w:val="es-ES_tradnl"/>
        </w:rPr>
      </w:pPr>
    </w:p>
    <w:p w14:paraId="5A6466C6" w14:textId="77777777" w:rsidR="00FB0FCD" w:rsidRPr="001B127E" w:rsidRDefault="00FB0FCD" w:rsidP="00FB0FCD">
      <w:pPr>
        <w:pStyle w:val="SingleTxt"/>
        <w:spacing w:after="0" w:line="120" w:lineRule="exact"/>
        <w:rPr>
          <w:sz w:val="10"/>
          <w:lang w:val="es-ES_tradnl"/>
        </w:rPr>
      </w:pPr>
    </w:p>
    <w:p w14:paraId="2467CCAC" w14:textId="77777777" w:rsidR="00FB0FCD" w:rsidRPr="001B127E" w:rsidRDefault="00FB0FCD" w:rsidP="00FB0F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Artículo 3</w:t>
      </w:r>
    </w:p>
    <w:p w14:paraId="7F53BA44" w14:textId="77777777" w:rsidR="00FB0FCD" w:rsidRPr="001B127E" w:rsidRDefault="00FB0FCD" w:rsidP="00FB0FCD">
      <w:pPr>
        <w:pStyle w:val="SingleTxt"/>
        <w:spacing w:after="0" w:line="120" w:lineRule="exact"/>
        <w:rPr>
          <w:b/>
          <w:sz w:val="10"/>
          <w:lang w:val="es-ES_tradnl"/>
        </w:rPr>
      </w:pPr>
    </w:p>
    <w:p w14:paraId="72553567" w14:textId="77777777" w:rsidR="00FB0FCD" w:rsidRPr="001B127E" w:rsidRDefault="00FB0FCD" w:rsidP="00FB0FCD">
      <w:pPr>
        <w:pStyle w:val="SingleTxt"/>
        <w:spacing w:after="0" w:line="120" w:lineRule="exact"/>
        <w:rPr>
          <w:b/>
          <w:sz w:val="10"/>
          <w:lang w:val="es-ES_tradnl"/>
        </w:rPr>
      </w:pPr>
    </w:p>
    <w:p w14:paraId="3D23AB8A" w14:textId="4A1DBFD5" w:rsidR="00FB0FCD" w:rsidRPr="001B127E" w:rsidRDefault="00FB0FCD" w:rsidP="00FB0F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Párrafos 16 y 17 de las observaciones finales</w:t>
      </w:r>
    </w:p>
    <w:p w14:paraId="404C6D99" w14:textId="77777777" w:rsidR="00FB0FCD" w:rsidRPr="001B127E" w:rsidRDefault="00FB0FCD" w:rsidP="00FB0FCD">
      <w:pPr>
        <w:pStyle w:val="SingleTxt"/>
        <w:spacing w:after="0" w:line="120" w:lineRule="exact"/>
        <w:rPr>
          <w:bCs/>
          <w:sz w:val="10"/>
          <w:lang w:val="es-ES_tradnl"/>
        </w:rPr>
      </w:pPr>
    </w:p>
    <w:p w14:paraId="1C78AACC" w14:textId="25B56519" w:rsidR="00FB0FCD" w:rsidRPr="00FB0FCD" w:rsidRDefault="00FB0FCD" w:rsidP="00FB0FCD">
      <w:pPr>
        <w:pStyle w:val="SingleTxt"/>
        <w:numPr>
          <w:ilvl w:val="0"/>
          <w:numId w:val="26"/>
        </w:numPr>
        <w:ind w:left="1267"/>
        <w:rPr>
          <w:lang w:val="es-ES_tradnl"/>
        </w:rPr>
      </w:pPr>
      <w:r w:rsidRPr="00FB0FCD">
        <w:rPr>
          <w:lang w:val="es-ES_tradnl"/>
        </w:rPr>
        <w:t>El Comisionado de Derechos Humanos de la Federación de Rusia (en adelante, “el Comisionado de Derechos Humanos”) recibió en 2023 19.864 denuncias presentadas por mujeres, y en 2024, 19.391. Las mujeres se dirigieron a él por diversas cuestiones relacionadas con la protección de sus derechos sociales, laborales, culturales y de vivienda y con el respeto de sus derechos en los procesos penales y en los procedimientos por infracciones administrativas. Para dirigirse al Comisionado de Derechos Humanos, las mujeres utilizan diversos canales de comunicación, como el Internet, el correo postal, las líneas directas, los medios de comunicación y las visitas personales. En la Federación de Rusia no existen obstáculos para presentar denuncias ante el Comisionado de Derechos Humanos. Durante la tramitación de las denuncias, el Comisionado de Derechos Humanos colabora estrechamente con los órganos gubernamentales: en 2024 se les remitieron alrededor de 10.000 denuncias formuladas por mujeres, entre otras cosas para que se investigaran denuncias de violaciones en distintos ámbitos.</w:t>
      </w:r>
    </w:p>
    <w:p w14:paraId="5C3D0988" w14:textId="1C0D5EC0" w:rsidR="00FB0FCD" w:rsidRPr="00FB0FCD" w:rsidRDefault="00FB0FCD" w:rsidP="00FB0FCD">
      <w:pPr>
        <w:pStyle w:val="SingleTxt"/>
        <w:numPr>
          <w:ilvl w:val="0"/>
          <w:numId w:val="26"/>
        </w:numPr>
        <w:ind w:left="1267"/>
        <w:rPr>
          <w:lang w:val="es-ES_tradnl"/>
        </w:rPr>
      </w:pPr>
      <w:r w:rsidRPr="00FB0FCD">
        <w:rPr>
          <w:lang w:val="es-ES_tradnl"/>
        </w:rPr>
        <w:t>Las competencias del Comisionado de Derechos Humanos están consagradas en la Ley Constitucional Federal núm. 1-FKZ, de 26 de febrero de 1997, relativa al Comisionado de Derechos Humanos en la Federación de Rusia. Estas competencias son suficientes para que pueda desempeñar eficazmente las funciones que le han sido encomendadas en materia de protección de los derechos y libertades de los ciudadanos. Así, en virtud de las disposiciones de dicha Ley, los mecanismos legales de que dispone el Comisionado de Derechos Humanos se aplican, entre otros casos, cuando la violación de los derechos de los ciudadanos por parte de una organización privada ha sido posible o no se ha subsanado debido a la inacción o la actuación irregular o ineficaz de los órganos estatales.</w:t>
      </w:r>
    </w:p>
    <w:p w14:paraId="2CA393CE" w14:textId="2663EFAC" w:rsidR="00FB0FCD" w:rsidRPr="00FB0FCD" w:rsidRDefault="00FB0FCD" w:rsidP="00FB0FCD">
      <w:pPr>
        <w:pStyle w:val="SingleTxt"/>
        <w:numPr>
          <w:ilvl w:val="0"/>
          <w:numId w:val="26"/>
        </w:numPr>
        <w:ind w:left="1267"/>
        <w:rPr>
          <w:lang w:val="es-ES_tradnl"/>
        </w:rPr>
      </w:pPr>
      <w:r w:rsidRPr="00FB0FCD">
        <w:rPr>
          <w:lang w:val="es-ES_tradnl"/>
        </w:rPr>
        <w:t xml:space="preserve">Además, cuando se dispone de información sobre violaciones masivas o graves de los derechos y libertades de los ciudadanos o en casos de especial importancia pública o relacionados con la necesidad de proteger los intereses de personas </w:t>
      </w:r>
      <w:r w:rsidRPr="00FB0FCD">
        <w:rPr>
          <w:lang w:val="es-ES_tradnl"/>
        </w:rPr>
        <w:lastRenderedPageBreak/>
        <w:t>incapacitadas para utilizar por sí mismas los medios jurídicos de protección, el Comisionado de Derechos Humanos tiene derecho a adoptar por iniciativa propia las medidas que considere oportunas dentro de su ámbito de competencia.</w:t>
      </w:r>
    </w:p>
    <w:p w14:paraId="1A6A00CF" w14:textId="4EBC17A2" w:rsidR="00FB0FCD" w:rsidRPr="00FB0FCD" w:rsidRDefault="00FB0FCD" w:rsidP="00FB0FCD">
      <w:pPr>
        <w:pStyle w:val="SingleTxt"/>
        <w:numPr>
          <w:ilvl w:val="0"/>
          <w:numId w:val="26"/>
        </w:numPr>
        <w:ind w:left="1267"/>
        <w:rPr>
          <w:lang w:val="es-ES_tradnl"/>
        </w:rPr>
      </w:pPr>
      <w:r w:rsidRPr="00FB0FCD">
        <w:rPr>
          <w:lang w:val="es-ES_tradnl"/>
        </w:rPr>
        <w:t xml:space="preserve">Los informes anuales y temáticos del Comisionado de Derechos Humanos se publican de forma ampliamente accesible (en el sitio web oficial del Comisionado de Derechos Humanos y en el periódico </w:t>
      </w:r>
      <w:proofErr w:type="spellStart"/>
      <w:r w:rsidRPr="00FB0FCD">
        <w:rPr>
          <w:i/>
          <w:iCs/>
          <w:lang w:val="es-ES_tradnl"/>
        </w:rPr>
        <w:t>Rossiyskaya</w:t>
      </w:r>
      <w:proofErr w:type="spellEnd"/>
      <w:r w:rsidRPr="00FB0FCD">
        <w:rPr>
          <w:i/>
          <w:iCs/>
          <w:lang w:val="es-ES_tradnl"/>
        </w:rPr>
        <w:t xml:space="preserve"> </w:t>
      </w:r>
      <w:proofErr w:type="spellStart"/>
      <w:r w:rsidRPr="00FB0FCD">
        <w:rPr>
          <w:i/>
          <w:iCs/>
          <w:lang w:val="es-ES_tradnl"/>
        </w:rPr>
        <w:t>Gazeta</w:t>
      </w:r>
      <w:proofErr w:type="spellEnd"/>
      <w:r w:rsidRPr="00FB0FCD">
        <w:rPr>
          <w:lang w:val="es-ES_tradnl"/>
        </w:rPr>
        <w:t xml:space="preserve">) y se comunican a los responsables tanto de los ministerios y demás organismos estatales como de las entidades de la Federación de Rusia. Al final del año natural, el Comisionado de Derechos Humanos envía al </w:t>
      </w:r>
      <w:proofErr w:type="gramStart"/>
      <w:r w:rsidRPr="00FB0FCD">
        <w:rPr>
          <w:lang w:val="es-ES_tradnl"/>
        </w:rPr>
        <w:t>Presidente</w:t>
      </w:r>
      <w:proofErr w:type="gramEnd"/>
      <w:r w:rsidRPr="00FB0FCD">
        <w:rPr>
          <w:lang w:val="es-ES_tradnl"/>
        </w:rPr>
        <w:t xml:space="preserve"> de la Federación de Rusia un informe sobre sus actividades que incluye una sección especial con propuestas y recomendaciones. El informe anual se envía también a los siguientes organismos de la Federación de Rusia: el Consejo de la Federación y la Duma Estatal de la Asamblea Federal, el Gobierno, el Tribunal Constitucional, el Tribunal Supremo, la </w:t>
      </w:r>
      <w:proofErr w:type="gramStart"/>
      <w:r w:rsidRPr="00FB0FCD">
        <w:rPr>
          <w:lang w:val="es-ES_tradnl"/>
        </w:rPr>
        <w:t>Fiscalía General</w:t>
      </w:r>
      <w:proofErr w:type="gramEnd"/>
      <w:r w:rsidRPr="00FB0FCD">
        <w:rPr>
          <w:lang w:val="es-ES_tradnl"/>
        </w:rPr>
        <w:t xml:space="preserve"> y la Presidencia del Comité de Instrucción.</w:t>
      </w:r>
    </w:p>
    <w:p w14:paraId="6FADB6CD" w14:textId="15C58EB7" w:rsidR="00FB0FCD" w:rsidRPr="00FB0FCD" w:rsidRDefault="00FB0FCD" w:rsidP="00FB0FCD">
      <w:pPr>
        <w:pStyle w:val="SingleTxt"/>
        <w:numPr>
          <w:ilvl w:val="0"/>
          <w:numId w:val="26"/>
        </w:numPr>
        <w:ind w:left="1267"/>
        <w:rPr>
          <w:lang w:val="es-ES_tradnl"/>
        </w:rPr>
      </w:pPr>
      <w:r w:rsidRPr="00FB0FCD">
        <w:rPr>
          <w:lang w:val="es-ES_tradnl"/>
        </w:rPr>
        <w:t>Las organizaciones de la sociedad civil suelen colaborar con el Comisionado de Derechos Humanos en las siguientes áreas: la celebración de eventos conjuntos, la prestación de ayuda humanitaria, la asistencia consultiva y el trabajo en el marco del Consejo Juvenil y del Consejo de Expertos del Comisionado de Derechos Humanos. Hasta la fecha se han firmado 16 acuerdos de cooperación con organizaciones de la sociedad civil. En 2023, los empleados de los distintos servicios del Comisionado de Derechos Humanos participaron en más de 110 eventos y proyectos de organizaciones sin fines de lucro.</w:t>
      </w:r>
    </w:p>
    <w:p w14:paraId="764AB9C0" w14:textId="7BDC0B84" w:rsidR="00FB0FCD" w:rsidRPr="001B127E" w:rsidRDefault="00FB0FCD" w:rsidP="00FB0FCD">
      <w:pPr>
        <w:pStyle w:val="SingleTxt"/>
        <w:numPr>
          <w:ilvl w:val="0"/>
          <w:numId w:val="26"/>
        </w:numPr>
        <w:ind w:left="1267"/>
        <w:rPr>
          <w:spacing w:val="3"/>
          <w:lang w:val="es-ES_tradnl"/>
        </w:rPr>
      </w:pPr>
      <w:r w:rsidRPr="00FB0FCD">
        <w:rPr>
          <w:spacing w:val="3"/>
          <w:lang w:val="es-ES_tradnl"/>
        </w:rPr>
        <w:t>Por iniciativa del Comisionado de Derechos Humanos se aprobó la Ley Federal núm. 48-FZ, de 18 de marzo de 2020, relativa a los comisionados de derechos humanos en las entidades constitutivas de la Federación de Rusia, que les otorga amplios poderes. En la actualidad, en cada una de las entidades de la Federación de Rusia se ha nombrado un Comisionado de Derechos Humanos, entre cuyas competencias figura la de examinar las denuncias presentadas por los ciudadanos que residen en el territorio de la región. Con el fin de vigilar la situación en materia de derechos humanos, los comisionados de derechos humanos regionales llevan a cabo visitas personales, también en las zonas rurales. Además, cuentan con consejos consultivos e instituciones de auxiliares públicos en los distritos municipales y urbanos.</w:t>
      </w:r>
    </w:p>
    <w:p w14:paraId="3A057882" w14:textId="77777777" w:rsidR="00FB0FCD" w:rsidRPr="001B127E" w:rsidRDefault="00FB0FCD" w:rsidP="00FB0FCD">
      <w:pPr>
        <w:pStyle w:val="SingleTxt"/>
        <w:spacing w:after="0" w:line="120" w:lineRule="exact"/>
        <w:rPr>
          <w:sz w:val="10"/>
          <w:lang w:val="es-ES_tradnl"/>
        </w:rPr>
      </w:pPr>
    </w:p>
    <w:p w14:paraId="2BC4EE84" w14:textId="77777777" w:rsidR="00FB0FCD" w:rsidRPr="001B127E" w:rsidRDefault="00FB0FCD" w:rsidP="00FB0F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Párrafos 18 y 19 de las observaciones finales</w:t>
      </w:r>
    </w:p>
    <w:p w14:paraId="66B1D9CB" w14:textId="77777777" w:rsidR="00FB0FCD" w:rsidRPr="001B127E" w:rsidRDefault="00FB0FCD" w:rsidP="00FB0FCD">
      <w:pPr>
        <w:pStyle w:val="SingleTxt"/>
        <w:spacing w:after="0" w:line="120" w:lineRule="exact"/>
        <w:rPr>
          <w:bCs/>
          <w:sz w:val="10"/>
          <w:lang w:val="es-ES_tradnl"/>
        </w:rPr>
      </w:pPr>
    </w:p>
    <w:p w14:paraId="3CFF09DB" w14:textId="436E6A68" w:rsidR="00FB0FCD" w:rsidRPr="00FB0FCD" w:rsidRDefault="00FB0FCD" w:rsidP="00FB0FCD">
      <w:pPr>
        <w:pStyle w:val="SingleTxt"/>
        <w:numPr>
          <w:ilvl w:val="0"/>
          <w:numId w:val="26"/>
        </w:numPr>
        <w:ind w:left="1267"/>
        <w:rPr>
          <w:lang w:val="es-ES_tradnl"/>
        </w:rPr>
      </w:pPr>
      <w:r w:rsidRPr="00FB0FCD">
        <w:rPr>
          <w:lang w:val="es-ES_tradnl"/>
        </w:rPr>
        <w:t xml:space="preserve">A finales de 2012 se introdujo en la legislación de la Federación de Rusia el concepto jurídico de “agente extranjero”. Las primeras entidades que quedaron sujetas a esta clasificación fueron las organizaciones sin fines de lucro. El motivo principal para introducir este concepto fue la necesidad de informar a la sociedad sobre las organizaciones que realizaban actividades de carácter político y recibían financiación extranjera. </w:t>
      </w:r>
    </w:p>
    <w:p w14:paraId="1F29F07A" w14:textId="7CF93AD9" w:rsidR="00FB0FCD" w:rsidRPr="00FB0FCD" w:rsidRDefault="00FB0FCD" w:rsidP="00FB0FCD">
      <w:pPr>
        <w:pStyle w:val="SingleTxt"/>
        <w:numPr>
          <w:ilvl w:val="0"/>
          <w:numId w:val="26"/>
        </w:numPr>
        <w:ind w:left="1267"/>
        <w:rPr>
          <w:lang w:val="es-ES_tradnl"/>
        </w:rPr>
      </w:pPr>
      <w:r w:rsidRPr="00FB0FCD">
        <w:rPr>
          <w:lang w:val="es-ES_tradnl"/>
        </w:rPr>
        <w:t>El hecho de que se reconozca a personas jurídicas como agentes extranjeros no supone ninguna restricción, sino que simplemente conlleva la concesión del estatus correspondiente. Su inclusión en el registro de agentes extranjeros tampoco conlleva la prohibición de las actividades que realizan, incluidas las políticas, ni la supresión de la entidad, por lo que este mecanismo no puede considerarse un intento de reprimir la actividad política de la sociedad civil.</w:t>
      </w:r>
    </w:p>
    <w:p w14:paraId="26FB2A99" w14:textId="66B06837" w:rsidR="00FB0FCD" w:rsidRPr="00FB0FCD" w:rsidRDefault="00FB0FCD" w:rsidP="00FB0FCD">
      <w:pPr>
        <w:pStyle w:val="SingleTxt"/>
        <w:numPr>
          <w:ilvl w:val="0"/>
          <w:numId w:val="26"/>
        </w:numPr>
        <w:ind w:left="1267"/>
        <w:rPr>
          <w:spacing w:val="2"/>
          <w:lang w:val="es-ES_tradnl"/>
        </w:rPr>
      </w:pPr>
      <w:r w:rsidRPr="00FB0FCD">
        <w:rPr>
          <w:spacing w:val="2"/>
          <w:lang w:val="es-ES_tradnl"/>
        </w:rPr>
        <w:t>Posteriormente, este mecanismo se desarrolló de modo que reflejara las nuevas categorías de “agentes extranjeros” (a saber, personas físicas, asociaciones públicas no registradas y personas jurídicas rusas y extranjeras), las cuales también pueden participar en actividades políticas o informativas y recibir fondos y bienes de fuentes extranjeras.</w:t>
      </w:r>
    </w:p>
    <w:p w14:paraId="0C9E04DB" w14:textId="049B7AB0" w:rsidR="00FB0FCD" w:rsidRPr="00FB0FCD" w:rsidRDefault="00FB0FCD" w:rsidP="00FB0FCD">
      <w:pPr>
        <w:pStyle w:val="SingleTxt"/>
        <w:numPr>
          <w:ilvl w:val="0"/>
          <w:numId w:val="26"/>
        </w:numPr>
        <w:ind w:left="1267"/>
        <w:rPr>
          <w:lang w:val="es-ES_tradnl"/>
        </w:rPr>
      </w:pPr>
      <w:r w:rsidRPr="00FB0FCD">
        <w:rPr>
          <w:lang w:val="es-ES_tradnl"/>
        </w:rPr>
        <w:lastRenderedPageBreak/>
        <w:t>Los distintos tipos de agentes extranjeros mencionados anteriormente ya figuraban en diversas leyes federales, y sus registros se llevaban por separado. Además, los motivos por los que quedaban incluidas en los registros de agentes extranjeros eran similares y entrañaban consecuencias prácticamente idénticas. Con el fin de sistematizar y simplificar toda la base jurídica en el ámbito de la actividad de los diferentes tipos de agentes extranjeros se aprobó la Ley Federal núm. 255-FZ relativa al control de la actividad de las personas bajo influencia extranjera, de 14 de julio de 2022, que entró en vigor el 1 de diciembre de 2022. En la actualidad, el Ministerio de Justicia de la Federación de Rusia mantiene un registro de agentes extranjeros en el que figuran, entre otros, los sujetos anteriormente reconocidos como agentes extranjeros. La Ley núm. 255-FZ introduce el concepto general de sujeto que desempeña funciones de agente extranjero y define los criterios para reconocer a los sujetos como agentes extranjeros se establecen en sus artículos 2 y 4.</w:t>
      </w:r>
    </w:p>
    <w:p w14:paraId="252CEDCC" w14:textId="01A3AC20" w:rsidR="00FB0FCD" w:rsidRPr="00FB0FCD" w:rsidRDefault="00FB0FCD" w:rsidP="00FB0FCD">
      <w:pPr>
        <w:pStyle w:val="SingleTxt"/>
        <w:numPr>
          <w:ilvl w:val="0"/>
          <w:numId w:val="26"/>
        </w:numPr>
        <w:ind w:left="1267"/>
        <w:rPr>
          <w:lang w:val="es-ES_tradnl"/>
        </w:rPr>
      </w:pPr>
      <w:r w:rsidRPr="00FB0FCD">
        <w:rPr>
          <w:lang w:val="es-ES_tradnl"/>
        </w:rPr>
        <w:t xml:space="preserve">Asimismo, la Ley núm. 255-FZ determina las categorías de sujetos que no pueden ser reconocidos como agentes extranjeros, así como los que están exentos de la obligación de presentar una solicitud de inclusión en el registro de agentes extranjeros. Al igual que en la legislación anteriormente vigente, en dicha ley se establece un mecanismo para excluir sujetos del registro de agentes extranjeros y se definen los motivos para esa exclusión. Entre otras cosas, se prevé un procedimiento simplificado para que, por decisión del </w:t>
      </w:r>
      <w:proofErr w:type="gramStart"/>
      <w:r w:rsidRPr="00FB0FCD">
        <w:rPr>
          <w:lang w:val="es-ES_tradnl"/>
        </w:rPr>
        <w:t>Ministro</w:t>
      </w:r>
      <w:proofErr w:type="gramEnd"/>
      <w:r w:rsidRPr="00FB0FCD">
        <w:rPr>
          <w:lang w:val="es-ES_tradnl"/>
        </w:rPr>
        <w:t xml:space="preserve"> de Justicia o de su sustituto, se pueda dar de baja en el registro a las personas físicas incluidas en él por primera vez.</w:t>
      </w:r>
    </w:p>
    <w:p w14:paraId="47AB7357" w14:textId="2CF10CA0" w:rsidR="00FB0FCD" w:rsidRPr="00FB0FCD" w:rsidRDefault="00FB0FCD" w:rsidP="00FB0FCD">
      <w:pPr>
        <w:pStyle w:val="SingleTxt"/>
        <w:numPr>
          <w:ilvl w:val="0"/>
          <w:numId w:val="26"/>
        </w:numPr>
        <w:ind w:left="1267"/>
        <w:rPr>
          <w:spacing w:val="2"/>
          <w:lang w:val="es-ES_tradnl"/>
        </w:rPr>
      </w:pPr>
      <w:r w:rsidRPr="00FB0FCD">
        <w:rPr>
          <w:spacing w:val="2"/>
          <w:lang w:val="es-ES_tradnl"/>
        </w:rPr>
        <w:t xml:space="preserve">La legislación vigente de la Federación de Rusia también prevé el derecho a recurrir ante los tribunales la decisión de inscribir a personas y organizaciones en el registro. </w:t>
      </w:r>
    </w:p>
    <w:p w14:paraId="1774AE58" w14:textId="0238D8D8" w:rsidR="00FB0FCD" w:rsidRPr="00FB0FCD" w:rsidRDefault="00FB0FCD" w:rsidP="00FB0FCD">
      <w:pPr>
        <w:pStyle w:val="SingleTxt"/>
        <w:numPr>
          <w:ilvl w:val="0"/>
          <w:numId w:val="26"/>
        </w:numPr>
        <w:ind w:left="1267"/>
        <w:rPr>
          <w:lang w:val="es-ES_tradnl"/>
        </w:rPr>
      </w:pPr>
      <w:r w:rsidRPr="00FB0FCD">
        <w:rPr>
          <w:lang w:val="es-ES_tradnl"/>
        </w:rPr>
        <w:t>Además, el Tribunal Constitucional examinó por separado la cuestión de la constitucionalidad de las disposiciones de la ley que regulan las actividades de las organizaciones sin fines de lucro que desempeñan funciones de agente extranjero. Se llegó a la conclusión de que la institución creada no contradice las normas de la Constitución de la Federación de Rusia ni la legislación internacional. De conformidad con la resolución del Tribunal Constitucional de 4 de abril de 2014 núm</w:t>
      </w:r>
      <w:r w:rsidR="006E4035" w:rsidRPr="00FB0FCD">
        <w:rPr>
          <w:lang w:val="es-ES_tradnl"/>
        </w:rPr>
        <w:t>.</w:t>
      </w:r>
      <w:r w:rsidR="006E4035">
        <w:rPr>
          <w:lang w:val="es-ES_tradnl"/>
        </w:rPr>
        <w:t> </w:t>
      </w:r>
      <w:r w:rsidRPr="00FB0FCD">
        <w:rPr>
          <w:lang w:val="es-ES_tradnl"/>
        </w:rPr>
        <w:t>10-P, la expresión “agente extranjero” no implica una valoración negativa de dicha organización por parte del Estado, ni obedece al propósito de crear una actitud negativa hacia las actividades realizadas por la organización, ni puede interpretarse como una manifestación de desconfianza o de deseo de desacreditar a dicha organización sin fines de lucro y los objetivos de sus actividades.</w:t>
      </w:r>
    </w:p>
    <w:p w14:paraId="7251225C" w14:textId="62145951" w:rsidR="00FB0FCD" w:rsidRPr="00FB0FCD" w:rsidRDefault="00FB0FCD" w:rsidP="00FB0FCD">
      <w:pPr>
        <w:pStyle w:val="SingleTxt"/>
        <w:numPr>
          <w:ilvl w:val="0"/>
          <w:numId w:val="26"/>
        </w:numPr>
        <w:ind w:left="1267"/>
        <w:rPr>
          <w:lang w:val="es-ES_tradnl"/>
        </w:rPr>
      </w:pPr>
      <w:r w:rsidRPr="00FB0FCD">
        <w:rPr>
          <w:lang w:val="es-ES_tradnl"/>
        </w:rPr>
        <w:t>La labor de mejora del marco normativo y jurídico relativo al ejercicio de las actividades de las organizaciones y personas que desempeñan funciones de agente extranjero se lleva a cabo de forma continua sobre la base de los datos obtenidos del análisis de la práctica de aplicación de la ley, y teniendo en cuenta la opinión pública, incluida la de la comunidad profesional y científica, con el fin de adoptar las decisiones más adecuadas y eficaces en materia de regulación jurídica en el ámbito de actividad correspondiente. La legislación sobre agentes extranjeros, en particular, no vulnera los derechos y libertades de las personas físicas y jurídicas ni discrimina a las personas que desempeñan funciones de agente extranjero; antes bien, las normas de dicha legislación tienen por objeto garantizar la transparencia de las actividades de los agentes extranjeros en el territorio de la Federación de Rusia.</w:t>
      </w:r>
    </w:p>
    <w:p w14:paraId="2DA00CB3" w14:textId="42DDC6F2" w:rsidR="00FB0FCD" w:rsidRPr="001B127E" w:rsidRDefault="00FB0FCD" w:rsidP="00FB0FCD">
      <w:pPr>
        <w:pStyle w:val="SingleTxt"/>
        <w:numPr>
          <w:ilvl w:val="0"/>
          <w:numId w:val="26"/>
        </w:numPr>
        <w:ind w:left="1267"/>
        <w:rPr>
          <w:lang w:val="es-ES_tradnl"/>
        </w:rPr>
      </w:pPr>
      <w:r w:rsidRPr="00FB0FCD">
        <w:rPr>
          <w:lang w:val="es-ES_tradnl"/>
        </w:rPr>
        <w:t>La tarea prioritaria de la que se ocupa un legislador en el marco de la regulación de las actividades de los agentes extranjeros es la seguridad nacional y la reducción al mínimo de la posibilidad de que se produzca injerencia extranjera en los asuntos internos de la Federación de Rusia y, en primer lugar, en su esfera política.</w:t>
      </w:r>
    </w:p>
    <w:p w14:paraId="62E76F89" w14:textId="77777777" w:rsidR="00031E50" w:rsidRPr="001B127E" w:rsidRDefault="00031E50" w:rsidP="00031E50">
      <w:pPr>
        <w:pStyle w:val="SingleTxt"/>
        <w:spacing w:after="0" w:line="120" w:lineRule="exact"/>
        <w:rPr>
          <w:sz w:val="10"/>
          <w:lang w:val="es-ES_tradnl"/>
        </w:rPr>
      </w:pPr>
    </w:p>
    <w:p w14:paraId="45611C26" w14:textId="77777777" w:rsidR="00031E50" w:rsidRPr="001B127E" w:rsidRDefault="00031E50" w:rsidP="00031E50">
      <w:pPr>
        <w:pStyle w:val="SingleTxt"/>
        <w:spacing w:after="0" w:line="120" w:lineRule="exact"/>
        <w:rPr>
          <w:sz w:val="10"/>
          <w:lang w:val="es-ES_tradnl"/>
        </w:rPr>
      </w:pPr>
    </w:p>
    <w:p w14:paraId="7013EA71" w14:textId="77777777" w:rsidR="00FB0FCD" w:rsidRPr="001B127E" w:rsidRDefault="00FB0FCD" w:rsidP="00031E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lastRenderedPageBreak/>
        <w:tab/>
      </w:r>
      <w:r w:rsidRPr="001B127E">
        <w:rPr>
          <w:lang w:val="es-ES_tradnl"/>
        </w:rPr>
        <w:tab/>
        <w:t>Artículo 4</w:t>
      </w:r>
    </w:p>
    <w:p w14:paraId="15413935" w14:textId="77777777" w:rsidR="00031E50" w:rsidRPr="001B127E" w:rsidRDefault="00031E50" w:rsidP="00031E50">
      <w:pPr>
        <w:pStyle w:val="SingleTxt"/>
        <w:spacing w:after="0" w:line="120" w:lineRule="exact"/>
        <w:rPr>
          <w:b/>
          <w:sz w:val="10"/>
          <w:lang w:val="es-ES_tradnl"/>
        </w:rPr>
      </w:pPr>
    </w:p>
    <w:p w14:paraId="5F87B566" w14:textId="77777777" w:rsidR="00031E50" w:rsidRPr="001B127E" w:rsidRDefault="00031E50" w:rsidP="00031E50">
      <w:pPr>
        <w:pStyle w:val="SingleTxt"/>
        <w:spacing w:after="0" w:line="120" w:lineRule="exact"/>
        <w:rPr>
          <w:b/>
          <w:sz w:val="10"/>
          <w:lang w:val="es-ES_tradnl"/>
        </w:rPr>
      </w:pPr>
    </w:p>
    <w:p w14:paraId="4715F2D4" w14:textId="023C54A3" w:rsidR="00FB0FCD" w:rsidRPr="001B127E" w:rsidRDefault="00FB0FCD" w:rsidP="00031E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Párrafos 20 a 23 de las observaciones finales</w:t>
      </w:r>
    </w:p>
    <w:p w14:paraId="33A35123" w14:textId="77777777" w:rsidR="00031E50" w:rsidRPr="001B127E" w:rsidRDefault="00031E50" w:rsidP="00031E50">
      <w:pPr>
        <w:pStyle w:val="SingleTxt"/>
        <w:spacing w:after="0" w:line="120" w:lineRule="exact"/>
        <w:rPr>
          <w:bCs/>
          <w:sz w:val="10"/>
          <w:lang w:val="es-ES_tradnl"/>
        </w:rPr>
      </w:pPr>
    </w:p>
    <w:p w14:paraId="30117992" w14:textId="6D05D039" w:rsidR="00FB0FCD" w:rsidRPr="00FB0FCD" w:rsidRDefault="00FB0FCD" w:rsidP="00031E50">
      <w:pPr>
        <w:pStyle w:val="SingleTxt"/>
        <w:numPr>
          <w:ilvl w:val="0"/>
          <w:numId w:val="26"/>
        </w:numPr>
        <w:ind w:left="1267"/>
        <w:rPr>
          <w:lang w:val="es-ES_tradnl"/>
        </w:rPr>
      </w:pPr>
      <w:r w:rsidRPr="00FB0FCD">
        <w:rPr>
          <w:lang w:val="es-ES_tradnl"/>
        </w:rPr>
        <w:t>De conformidad con el artículo 19.3 de la Constitución, los hombres y las mujeres tienen los mismos derechos y libertades y las mismas oportunidades para ejercerlos. Según los Fundamentos de la Política Estatal para preservar y fortalecer los valores espirituales y morales tradicionales, aprobados en virtud del Decreto del Presidente de la Federación de Rusia núm. 809, de 9 de noviembre de 2022, los valores tradicionales incluyen, entre otros, los derechos y libertades humanos, los altos ideales morales, la solidez de la familia, el trabajo creativo, la concesión de prioridad a lo espiritual sobre lo material, el humanismo, la benevolencia, la justicia, el colectivismo y la ayuda y el respeto mutuos. De este modo, los Fundamentos determinan las políticas no en función de si se aplican a hombres o mujeres, sino considerando a todas las personas como ciudadanos de la Federación de Rusia, lo que presupone su igualdad sea cual sea su género.</w:t>
      </w:r>
    </w:p>
    <w:p w14:paraId="2971A59D" w14:textId="3D4F9093" w:rsidR="00FB0FCD" w:rsidRPr="00FB0FCD" w:rsidRDefault="00FB0FCD" w:rsidP="00031E50">
      <w:pPr>
        <w:pStyle w:val="SingleTxt"/>
        <w:numPr>
          <w:ilvl w:val="0"/>
          <w:numId w:val="26"/>
        </w:numPr>
        <w:ind w:left="1267"/>
        <w:rPr>
          <w:lang w:val="es-ES_tradnl"/>
        </w:rPr>
      </w:pPr>
      <w:r w:rsidRPr="00FB0FCD">
        <w:rPr>
          <w:lang w:val="es-ES_tradnl"/>
        </w:rPr>
        <w:t>La actividad de los medios de comunicación está regulada por la Ley de la Federación de Rusia núm. 2124-I relativa a los medios de comunicación, de 27 de diciembre de 1991, conforme a la cual las redacciones de los medios de comunicación operan con independencia profesional en el ejercicio de su labor. No se admite injerencia de ningún tipo por parte de funcionarios o órganos estatales en la política editorial de los medios de comunicación ni la violación de la independencia profesional de las redacciones. Al mismo tiempo, el artículo 4 de la Ley relativa a los medios de comunicación establece la inadmisibilidad del abuso de la libertad de información. No se permite utilizar los medios de comunicación para difundir materiales que promuevan relaciones o preferencias sexuales no tradicionales ni tampoco la pedofilia, el cambio de sexo o la renuncia a la procreación.</w:t>
      </w:r>
    </w:p>
    <w:p w14:paraId="07EB4E22" w14:textId="7BDBE6F6" w:rsidR="00FB0FCD" w:rsidRPr="00FB0FCD" w:rsidRDefault="00FB0FCD" w:rsidP="00031E50">
      <w:pPr>
        <w:pStyle w:val="SingleTxt"/>
        <w:numPr>
          <w:ilvl w:val="0"/>
          <w:numId w:val="26"/>
        </w:numPr>
        <w:ind w:left="1267"/>
        <w:rPr>
          <w:lang w:val="es-ES_tradnl"/>
        </w:rPr>
      </w:pPr>
      <w:r w:rsidRPr="00FB0FCD">
        <w:rPr>
          <w:lang w:val="es-ES_tradnl"/>
        </w:rPr>
        <w:t>De conformidad con el artículo 6.21 del Código de Infracciones Administrativas, por propaganda de relaciones o preferencias sexuales no tradicionales, cambio de sexo o renuncia a la procreación se entiende la difusión de información o la realización de actos públicos destinados a generar actitudes sexuales no tradicionales, a hacer atractivas las relaciones o preferencias sexuales no tradicionales, el cambio de sexo o la renuncia a la procreación, a presentar como igualmente válidas desde el punto de vista social las relaciones o preferencias sexuales tradicionales y no tradicionales o la procreación y la renuncia a la procreación, o a imponer información sobre relaciones o preferencias sexuales no tradicionales, el cambio de sexo o la renuncia a la procreación de forma que se despierte el interés por tales relaciones o preferencias o por el cambio de sexo o la renuncia a la procreación.</w:t>
      </w:r>
    </w:p>
    <w:p w14:paraId="69211683" w14:textId="3BFD1443" w:rsidR="00FB0FCD" w:rsidRPr="001B127E" w:rsidRDefault="00FB0FCD" w:rsidP="00031E50">
      <w:pPr>
        <w:pStyle w:val="SingleTxt"/>
        <w:numPr>
          <w:ilvl w:val="0"/>
          <w:numId w:val="26"/>
        </w:numPr>
        <w:ind w:left="1267"/>
        <w:rPr>
          <w:lang w:val="es-ES_tradnl"/>
        </w:rPr>
      </w:pPr>
      <w:r w:rsidRPr="00FB0FCD">
        <w:rPr>
          <w:lang w:val="es-ES_tradnl"/>
        </w:rPr>
        <w:t>En el marco de la lucha contra la imagen estereotipada de la mujer en el discurso público, en el ámbito informativo se presta regularmente atención a las mujeres que ocupan altos cargos públicos o que han destacado en diversos ámbitos, incluidos aquellos que tradicionalmente se asocian con profesiones masculinas como, por ejemplo, la astronáutica, la ingeniería, la arquitectura, la mecánica o la informática.</w:t>
      </w:r>
    </w:p>
    <w:p w14:paraId="379DE866" w14:textId="77777777" w:rsidR="00031E50" w:rsidRPr="001B127E" w:rsidRDefault="00031E50" w:rsidP="00031E50">
      <w:pPr>
        <w:pStyle w:val="SingleTxt"/>
        <w:spacing w:after="0" w:line="120" w:lineRule="exact"/>
        <w:rPr>
          <w:sz w:val="10"/>
          <w:lang w:val="es-ES_tradnl"/>
        </w:rPr>
      </w:pPr>
    </w:p>
    <w:p w14:paraId="772436F7" w14:textId="77777777" w:rsidR="00031E50" w:rsidRPr="001B127E" w:rsidRDefault="00031E50" w:rsidP="00031E50">
      <w:pPr>
        <w:pStyle w:val="SingleTxt"/>
        <w:spacing w:after="0" w:line="120" w:lineRule="exact"/>
        <w:rPr>
          <w:sz w:val="10"/>
          <w:lang w:val="es-ES_tradnl"/>
        </w:rPr>
      </w:pPr>
    </w:p>
    <w:p w14:paraId="35698737" w14:textId="77777777" w:rsidR="00FB0FCD" w:rsidRPr="001B127E" w:rsidRDefault="00FB0FCD" w:rsidP="00031E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Artículo 5</w:t>
      </w:r>
    </w:p>
    <w:p w14:paraId="2BE43FAB" w14:textId="77777777" w:rsidR="00031E50" w:rsidRPr="001B127E" w:rsidRDefault="00031E50" w:rsidP="00031E50">
      <w:pPr>
        <w:pStyle w:val="SingleTxt"/>
        <w:spacing w:after="0" w:line="120" w:lineRule="exact"/>
        <w:rPr>
          <w:b/>
          <w:sz w:val="10"/>
          <w:lang w:val="es-ES_tradnl"/>
        </w:rPr>
      </w:pPr>
    </w:p>
    <w:p w14:paraId="25F450E6" w14:textId="77777777" w:rsidR="00031E50" w:rsidRPr="001B127E" w:rsidRDefault="00031E50" w:rsidP="00031E50">
      <w:pPr>
        <w:pStyle w:val="SingleTxt"/>
        <w:spacing w:after="0" w:line="120" w:lineRule="exact"/>
        <w:rPr>
          <w:b/>
          <w:sz w:val="10"/>
          <w:lang w:val="es-ES_tradnl"/>
        </w:rPr>
      </w:pPr>
    </w:p>
    <w:p w14:paraId="2C752AD7" w14:textId="6E6B504B" w:rsidR="00FB0FCD" w:rsidRPr="001B127E" w:rsidRDefault="00FB0FCD" w:rsidP="00031E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Párrafos 24 y 25 de las observaciones finales</w:t>
      </w:r>
    </w:p>
    <w:p w14:paraId="21DD75C2" w14:textId="77777777" w:rsidR="00031E50" w:rsidRPr="001B127E" w:rsidRDefault="00031E50" w:rsidP="00031E50">
      <w:pPr>
        <w:pStyle w:val="SingleTxt"/>
        <w:spacing w:after="0" w:line="120" w:lineRule="exact"/>
        <w:rPr>
          <w:bCs/>
          <w:sz w:val="10"/>
          <w:lang w:val="es-ES_tradnl"/>
        </w:rPr>
      </w:pPr>
    </w:p>
    <w:p w14:paraId="25F93620" w14:textId="5B18E4A4" w:rsidR="00FB0FCD" w:rsidRPr="00FB0FCD" w:rsidRDefault="00FB0FCD" w:rsidP="00031E50">
      <w:pPr>
        <w:pStyle w:val="SingleTxt"/>
        <w:numPr>
          <w:ilvl w:val="0"/>
          <w:numId w:val="26"/>
        </w:numPr>
        <w:ind w:left="1267"/>
        <w:rPr>
          <w:lang w:val="es-ES_tradnl"/>
        </w:rPr>
      </w:pPr>
      <w:r w:rsidRPr="00FB0FCD">
        <w:rPr>
          <w:lang w:val="es-ES_tradnl"/>
        </w:rPr>
        <w:t xml:space="preserve">En el marco de la Estrategia en favor de las Mujeres se está llevando a cabo una iniciativa de prevención de las desventajas sociales que afectan a las mujeres, en particular mediante la puesta en marcha de medidas encaminadas a desarrollar un sistema de prevención de la exclusión social de las mujeres, a ampliar los mecanismos </w:t>
      </w:r>
      <w:r w:rsidRPr="00FB0FCD">
        <w:rPr>
          <w:lang w:val="es-ES_tradnl"/>
        </w:rPr>
        <w:lastRenderedPageBreak/>
        <w:t>de apoyo a las mujeres que se encuentran en situaciones difíciles y de ayuda para salir de ellas, a combatir las agresiones físicas contra las mujeres, a sensibilizar a la opinión pública sobre la inadmisibilidad de los malos tratos contra las mujeres mediante campañas de información y la ampliación de canales de comunicación eficaces, a prevenir los delitos contra las mujeres y a informar a estas últimas sobre los medios de protección contra los delitos más comunes. Además, en el ámbito de la protección de los derechos de las mujeres a nivel estatal se llevan a cabo acciones para evitar que las mujeres sufran desventajas sociales como conflictos familiares, disminución significativa de los ingresos, pérdida del empleo o deterioro de la salud.</w:t>
      </w:r>
    </w:p>
    <w:p w14:paraId="649E300E" w14:textId="53AC16ED" w:rsidR="00FB0FCD" w:rsidRPr="00FB0FCD" w:rsidRDefault="00FB0FCD" w:rsidP="00031E50">
      <w:pPr>
        <w:pStyle w:val="SingleTxt"/>
        <w:numPr>
          <w:ilvl w:val="0"/>
          <w:numId w:val="26"/>
        </w:numPr>
        <w:ind w:left="1267"/>
        <w:rPr>
          <w:lang w:val="es-ES_tradnl"/>
        </w:rPr>
      </w:pPr>
      <w:r w:rsidRPr="00FB0FCD">
        <w:rPr>
          <w:lang w:val="es-ES_tradnl"/>
        </w:rPr>
        <w:t xml:space="preserve">Los órganos de investigación de la Federación de Rusia tienen la obligación de aplicar, de modo incondicional y prioritario, los procedimientos penales para proteger la vida y la salud de las mujeres víctimas de cualquier tipo de acto violento, y de poner en práctica medidas oportunas y adecuadas para hacer efectivos sus derechos. La realización de controles procesales e investigaciones de determinación de los hechos respecto de las causas penales por delitos cometidos contra las mujeres se efectúan de conformidad con el marco legislativo de la Federación de Rusia. </w:t>
      </w:r>
    </w:p>
    <w:p w14:paraId="23A67F66" w14:textId="65392C3E" w:rsidR="00FB0FCD" w:rsidRPr="00FB0FCD" w:rsidRDefault="00FB0FCD" w:rsidP="00031E50">
      <w:pPr>
        <w:pStyle w:val="SingleTxt"/>
        <w:numPr>
          <w:ilvl w:val="0"/>
          <w:numId w:val="26"/>
        </w:numPr>
        <w:ind w:left="1267"/>
        <w:rPr>
          <w:lang w:val="es-ES_tradnl"/>
        </w:rPr>
      </w:pPr>
      <w:r w:rsidRPr="00FB0FCD">
        <w:rPr>
          <w:lang w:val="es-ES_tradnl"/>
        </w:rPr>
        <w:t>Cuando se denuncian los casos de violencia se lleva a cabo una investigación exhaustiva de las circunstancias materiales del incidente, se verifica si existen denuncias similares por parte del denunciante o de sus parientes cercanos de actos delictivos contra miembros de la familia y se garantiza que se adopte una decisión legal y fundamentada. Con el fin de reducir los casos de violencia contra las mujeres, los órganos de investigación adoptan medidas para organizar la cooperación con la sociedad civil, las organizaciones de voluntarios y otras organizaciones públicas. Los órganos de investigación también cooperan con los centros de crisis de ayuda a las mujeres</w:t>
      </w:r>
      <w:r w:rsidRPr="00FB0FCD">
        <w:rPr>
          <w:vertAlign w:val="superscript"/>
          <w:lang w:val="es-ES_tradnl"/>
        </w:rPr>
        <w:footnoteReference w:id="1"/>
      </w:r>
      <w:r w:rsidRPr="00FB0FCD">
        <w:rPr>
          <w:lang w:val="es-ES_tradnl"/>
        </w:rPr>
        <w:t>.</w:t>
      </w:r>
    </w:p>
    <w:p w14:paraId="45723EA0" w14:textId="04AEF42F" w:rsidR="00FB0FCD" w:rsidRPr="00FB0FCD" w:rsidRDefault="00FB0FCD" w:rsidP="00031E50">
      <w:pPr>
        <w:pStyle w:val="SingleTxt"/>
        <w:numPr>
          <w:ilvl w:val="0"/>
          <w:numId w:val="26"/>
        </w:numPr>
        <w:ind w:left="1267"/>
        <w:rPr>
          <w:lang w:val="es-ES_tradnl"/>
        </w:rPr>
      </w:pPr>
      <w:r w:rsidRPr="00FB0FCD">
        <w:rPr>
          <w:lang w:val="es-ES_tradnl"/>
        </w:rPr>
        <w:t xml:space="preserve">Además, los usuarios de las redes sociales pueden comunicarse con cualquier departamento de investigación a través de la cuenta de la red social </w:t>
      </w:r>
      <w:proofErr w:type="spellStart"/>
      <w:r w:rsidRPr="00FB0FCD">
        <w:rPr>
          <w:lang w:val="es-ES_tradnl"/>
        </w:rPr>
        <w:t>VKontakte</w:t>
      </w:r>
      <w:proofErr w:type="spellEnd"/>
      <w:r w:rsidRPr="00FB0FCD">
        <w:rPr>
          <w:lang w:val="es-ES_tradnl"/>
        </w:rPr>
        <w:t xml:space="preserve"> (En contacto). Esta interacción contribuye a mejorar la eficacia de la comunicación con la población, incluida la de las zonas rurales, y se ve favorecida por la práctica activa de recibir personalmente a los ciudadanos, lo que incluye visitas a localidades alejadas de los centros regionales. Además, el Comité de Instrucción de la Federación Rusa dispone de un teléfono de asistencia, de la línea directa “Niño en peligro” y de oficinas de enlace en Internet. El mecanismo de presentación de denuncias orales y escritas, que funciona de manera eficaz, elimina los obstáculos que las mujeres puedan encontrar para hacer valer sus derechos en la fase previa a la instrucción del proceso penal. No hay constancia alguna de casos en que se haya impedido a las mujeres presentar denuncias y quejas.</w:t>
      </w:r>
    </w:p>
    <w:p w14:paraId="4AD96068" w14:textId="4EF7AF58" w:rsidR="00FB0FCD" w:rsidRPr="00FB0FCD" w:rsidRDefault="00FB0FCD" w:rsidP="00031E50">
      <w:pPr>
        <w:pStyle w:val="SingleTxt"/>
        <w:numPr>
          <w:ilvl w:val="0"/>
          <w:numId w:val="26"/>
        </w:numPr>
        <w:ind w:left="1267"/>
        <w:rPr>
          <w:lang w:val="es-ES_tradnl"/>
        </w:rPr>
      </w:pPr>
      <w:r w:rsidRPr="00FB0FCD">
        <w:rPr>
          <w:lang w:val="es-ES_tradnl"/>
        </w:rPr>
        <w:t>Si las causas penales tienen una gran repercusión mediática, la investigación de determinación de los hechos de violencia contra las mujeres se encomienda a los investigadores más experimentados, que pueden crear equipos de investigación y contar con la participación de unidades operacionales. La investigación de delitos sexuales y contra la libertad sexual de las mujeres, incluidas las menores, es una de las actividades prioritarias de las fuerzas del orden y los organismos de investigación.</w:t>
      </w:r>
    </w:p>
    <w:p w14:paraId="10545F49" w14:textId="5C1AF76D" w:rsidR="00FB0FCD" w:rsidRPr="00675AAD" w:rsidRDefault="00FB0FCD" w:rsidP="00031E50">
      <w:pPr>
        <w:pStyle w:val="SingleTxt"/>
        <w:numPr>
          <w:ilvl w:val="0"/>
          <w:numId w:val="26"/>
        </w:numPr>
        <w:ind w:left="1267"/>
        <w:rPr>
          <w:spacing w:val="3"/>
          <w:lang w:val="es-ES_tradnl"/>
        </w:rPr>
      </w:pPr>
      <w:r w:rsidRPr="00675AAD">
        <w:rPr>
          <w:spacing w:val="3"/>
          <w:lang w:val="es-ES_tradnl"/>
        </w:rPr>
        <w:t xml:space="preserve">Al realizar inspecciones sobre las denuncias y al investigar los casos penales de delitos pertenecientes a esta categoría, se realiza obligatoriamente una evaluación jurídica de la actuación de los funcionarios de los órganos de tutela y custodia, de las </w:t>
      </w:r>
      <w:r w:rsidRPr="00675AAD">
        <w:rPr>
          <w:spacing w:val="3"/>
          <w:lang w:val="es-ES_tradnl"/>
        </w:rPr>
        <w:lastRenderedPageBreak/>
        <w:t>instituciones sociales que atienden a menores y de los funcionarios responsables de la prevención de la violencia doméstica, se cuenta con la participación de especialistas en la prestación de asistencia psicológica a las víctimas, se adoptan medidas exhaustivas para proteger los derechos de las víctimas de delitos, se determinan las circunstancias que contribuyeron a la comisión de los delitos y se presentan propuestas motivadas de conformidad con el artículo 158 del Código de Procedimiento Penal.</w:t>
      </w:r>
    </w:p>
    <w:p w14:paraId="0FD81D68" w14:textId="3CBF7365" w:rsidR="00FB0FCD" w:rsidRPr="00FB0FCD" w:rsidRDefault="00FB0FCD" w:rsidP="00031E50">
      <w:pPr>
        <w:pStyle w:val="SingleTxt"/>
        <w:numPr>
          <w:ilvl w:val="0"/>
          <w:numId w:val="26"/>
        </w:numPr>
        <w:ind w:left="1267"/>
        <w:rPr>
          <w:lang w:val="es-ES_tradnl"/>
        </w:rPr>
      </w:pPr>
      <w:r w:rsidRPr="00FB0FCD">
        <w:rPr>
          <w:lang w:val="es-ES_tradnl"/>
        </w:rPr>
        <w:t xml:space="preserve">Se concede gran importancia a la labor de prestación de asistencia psicológica y apoyo a las víctimas, en particular a las mujeres. Por ejemplo, el Comité de Instrucción de la Federación de Rusia ha contado, desde el momento en que se creó, con psicólogos que trabajan como personal fijo. Los psicólogos velan por que se protejan los derechos de los ciudadanos afectados, complementan ciertas actuaciones procesales concretas, utilizan métodos de psicodiagnóstico visual y psicología aplicada para activar la memoria y elaborar retratos robot y analizan el comportamiento de los participantes en las actuaciones penales. Existe un acuerdo en materia de capacitación del personal entre el Comité de Instrucción de la Federación de Rusia y la Universidad Estatal de Psicología y Pedagogía de Moscú. Los funcionarios del departamento desempeñan sus funciones de conformidad con el Código de Ética y Conducta Profesional de los </w:t>
      </w:r>
      <w:proofErr w:type="gramStart"/>
      <w:r w:rsidRPr="00FB0FCD">
        <w:rPr>
          <w:lang w:val="es-ES_tradnl"/>
        </w:rPr>
        <w:t>Funcionarios</w:t>
      </w:r>
      <w:proofErr w:type="gramEnd"/>
      <w:r w:rsidRPr="00FB0FCD">
        <w:rPr>
          <w:lang w:val="es-ES_tradnl"/>
        </w:rPr>
        <w:t xml:space="preserve"> Federales del Comité de Instrucción de la Federación de Rusia, cuyas disposiciones excluyen cualquier tipo de comportamiento discriminatorio hacia las mujeres.</w:t>
      </w:r>
    </w:p>
    <w:p w14:paraId="70ECE6DC" w14:textId="1F646286" w:rsidR="00FB0FCD" w:rsidRPr="00FB0FCD" w:rsidRDefault="00FB0FCD" w:rsidP="00031E50">
      <w:pPr>
        <w:pStyle w:val="SingleTxt"/>
        <w:numPr>
          <w:ilvl w:val="0"/>
          <w:numId w:val="26"/>
        </w:numPr>
        <w:ind w:left="1267"/>
        <w:rPr>
          <w:lang w:val="es-ES_tradnl"/>
        </w:rPr>
      </w:pPr>
      <w:r w:rsidRPr="00FB0FCD">
        <w:rPr>
          <w:lang w:val="es-ES_tradnl"/>
        </w:rPr>
        <w:t xml:space="preserve">De conformidad con el artículo 13 del Código de Familia de la Federación de Rusia, la edad mínima para contraer matrimonio es de dieciocho años. No obstante, si existen razones justificadas, las autoridades administrativas locales del lugar de residencia de las personas que desean contraer matrimonio pueden autorizar, a petición de estas, la celebración del matrimonio a partir de los dieciséis años. Como desarrollo de estas disposiciones, el artículo 134.1 del Código Penal prevé penas para las personas mayores de dieciocho </w:t>
      </w:r>
      <w:proofErr w:type="gramStart"/>
      <w:r w:rsidRPr="00FB0FCD">
        <w:rPr>
          <w:lang w:val="es-ES_tradnl"/>
        </w:rPr>
        <w:t>años de edad</w:t>
      </w:r>
      <w:proofErr w:type="gramEnd"/>
      <w:r w:rsidRPr="00FB0FCD">
        <w:rPr>
          <w:lang w:val="es-ES_tradnl"/>
        </w:rPr>
        <w:t xml:space="preserve"> que mantengan relaciones sexuales con menores de dieciséis años.</w:t>
      </w:r>
    </w:p>
    <w:p w14:paraId="4B617C15" w14:textId="3195EF1F" w:rsidR="00FB0FCD" w:rsidRPr="00FB0FCD" w:rsidRDefault="00FB0FCD" w:rsidP="00031E50">
      <w:pPr>
        <w:pStyle w:val="SingleTxt"/>
        <w:numPr>
          <w:ilvl w:val="0"/>
          <w:numId w:val="26"/>
        </w:numPr>
        <w:ind w:left="1267"/>
        <w:rPr>
          <w:lang w:val="es-ES_tradnl"/>
        </w:rPr>
      </w:pPr>
      <w:r w:rsidRPr="00FB0FCD">
        <w:rPr>
          <w:lang w:val="es-ES_tradnl"/>
        </w:rPr>
        <w:t>Al mismo tiempo, de conformidad con el apartado 1 de las notas al artículo 134 del Código Penal, la persona sin antecedentes penales que haya cometido por primera vez el delito previsto en la primera parte de esta norma podrá ser eximida de la pena por el tribunal si se determina que dicha persona y el delito cometido por ella han dejado de ser una amenaza para la sociedad como consecuencia del matrimonio con la víctima.</w:t>
      </w:r>
    </w:p>
    <w:p w14:paraId="75E21CB3" w14:textId="3D4D056D" w:rsidR="00FB0FCD" w:rsidRPr="00FB0FCD" w:rsidRDefault="00FB0FCD" w:rsidP="00031E50">
      <w:pPr>
        <w:pStyle w:val="SingleTxt"/>
        <w:numPr>
          <w:ilvl w:val="0"/>
          <w:numId w:val="26"/>
        </w:numPr>
        <w:ind w:left="1267"/>
        <w:rPr>
          <w:lang w:val="es-ES_tradnl"/>
        </w:rPr>
      </w:pPr>
      <w:r w:rsidRPr="00FB0FCD">
        <w:rPr>
          <w:lang w:val="es-ES_tradnl"/>
        </w:rPr>
        <w:t>Como señaló el Tribunal Constitucional de la Federación de Rusia en su resolución núm. 568-O-O, de 21 de octubre de 2008, las disposiciones del artículo 13 del Código Civil relativas a las disposiciones del artículo 134 del Código Penal descartan la ilegalidad de las relaciones sexuales de una persona mayor de dieciocho años con una persona menor de dieciséis años únicamente después de que se haya registrado su matrimonio y, por consiguiente, de que su relación familiar haya obtenido reconocimiento legal, y no dan lugar a ninguna otra interpretación ni, por lo tanto, a que dicha norma del Código Penal se aplique de forma arbitraria. Cualquier otra interpretación sería contraria a los artículos 23.1 y 38.1 de la Constitución, en los que se protegen las relaciones familiares, la inviolabilidad de la vida privada y el secreto familiar, así como a los objetivos del Código Penal de Rusia, al concepto de delito y a los fundamentos de la responsabilidad penal.</w:t>
      </w:r>
    </w:p>
    <w:p w14:paraId="7E73EE84" w14:textId="25B74406" w:rsidR="00FB0FCD" w:rsidRPr="00FB0FCD" w:rsidRDefault="00FB0FCD" w:rsidP="00031E50">
      <w:pPr>
        <w:pStyle w:val="SingleTxt"/>
        <w:numPr>
          <w:ilvl w:val="0"/>
          <w:numId w:val="26"/>
        </w:numPr>
        <w:ind w:left="1267"/>
        <w:rPr>
          <w:lang w:val="es-ES_tradnl"/>
        </w:rPr>
      </w:pPr>
      <w:r w:rsidRPr="00FB0FCD">
        <w:rPr>
          <w:lang w:val="es-ES_tradnl"/>
        </w:rPr>
        <w:t xml:space="preserve">No obstante, lo anterior no excluye que el tribunal, en cada caso concreto y basándose en los objetivos y fines del castigo establecidos en la ley penal, tenga derecho a evaluar de manera exhaustiva e imparcial todas las circunstancias del caso, así como la información relativa a la personalidad del acusado y de la víctima y, guiándose por los objetivos y principios del Código Penal, a adoptar una decisión o bien sobre la imputación de la responsabilidad penal de la persona culpable y la </w:t>
      </w:r>
      <w:r w:rsidRPr="00FB0FCD">
        <w:rPr>
          <w:lang w:val="es-ES_tradnl"/>
        </w:rPr>
        <w:lastRenderedPageBreak/>
        <w:t>imposición de una pena o bien sobre la exención de las mismas, en la forma y por los motivos establecidos en los capítulos 11 y 12 del Código Penal.</w:t>
      </w:r>
    </w:p>
    <w:p w14:paraId="409248F2" w14:textId="39F73C4E" w:rsidR="00FB0FCD" w:rsidRPr="00FB0FCD" w:rsidRDefault="00FB0FCD" w:rsidP="00031E50">
      <w:pPr>
        <w:pStyle w:val="SingleTxt"/>
        <w:numPr>
          <w:ilvl w:val="0"/>
          <w:numId w:val="26"/>
        </w:numPr>
        <w:ind w:left="1267"/>
        <w:rPr>
          <w:lang w:val="es-ES_tradnl"/>
        </w:rPr>
      </w:pPr>
      <w:r w:rsidRPr="00FB0FCD">
        <w:rPr>
          <w:lang w:val="es-ES_tradnl"/>
        </w:rPr>
        <w:t>Las relaciones sexuales u otros actos de naturaleza sexual cometidos con violencia o amenaza de violencia contra la persona afectada se tipifican en los artículos 131 y 132 del Código Penal. De conformidad con el artículo 131.1 del Código Penal, se considera violación la relación sexual realizada con uso de la fuerza o con amenaza de uso de la fuerza contra la víctima u otras personas, o aprovechando el estado de indefensión de la víctima. Por lo tanto, la falta de consentimiento voluntario y la coacción se consideran elementos constitutivos de los delitos contra la libertad y la integridad sexuales.</w:t>
      </w:r>
    </w:p>
    <w:p w14:paraId="470543A8" w14:textId="7D9568CB" w:rsidR="00FB0FCD" w:rsidRPr="00FB0FCD" w:rsidRDefault="00FB0FCD" w:rsidP="00031E50">
      <w:pPr>
        <w:pStyle w:val="SingleTxt"/>
        <w:numPr>
          <w:ilvl w:val="0"/>
          <w:numId w:val="26"/>
        </w:numPr>
        <w:ind w:left="1267"/>
        <w:rPr>
          <w:lang w:val="es-ES_tradnl"/>
        </w:rPr>
      </w:pPr>
      <w:r w:rsidRPr="00FB0FCD">
        <w:rPr>
          <w:lang w:val="es-ES_tradnl"/>
        </w:rPr>
        <w:t xml:space="preserve">Con el fin de eliminar los aspectos inconstitucionales del artículo 116.1 del Código Penal, titulado “Agresiones infligidas por una persona sujeta a una sanción administrativa”, que el Tribunal Constitucional de la Federación de Rusia señaló en su resolución núm. 11-P, de 8 de abril de 2021, relativa a la revisión de la constitucionalidad del artículo 116.1 del Código Penal en relación con la denuncia de la ciudadana L. F. </w:t>
      </w:r>
      <w:proofErr w:type="spellStart"/>
      <w:r w:rsidRPr="00FB0FCD">
        <w:rPr>
          <w:lang w:val="es-ES_tradnl"/>
        </w:rPr>
        <w:t>Sakova</w:t>
      </w:r>
      <w:proofErr w:type="spellEnd"/>
      <w:r w:rsidRPr="00FB0FCD">
        <w:rPr>
          <w:lang w:val="es-ES_tradnl"/>
        </w:rPr>
        <w:t xml:space="preserve">, el Ministerio del Interior elaboró la Ley Federal relativa a la introducción de modificaciones en el artículo 116.1 del Código Penal y en el artículo 20 del Código de Procedimiento Penal, de 28 de junio de 2022 (Ley Federal núm. 203-FZ), que complementa el artículo 116.1 del Código Penal con una segunda parte que establece la responsabilidad penal por propinar golpes o cometer otros actos violentos que causen dolor físico pero no tengan las consecuencias indicadas en el artículo 115 del Código Penal y no contengan los elementos constitutivos </w:t>
      </w:r>
      <w:proofErr w:type="spellStart"/>
      <w:r w:rsidRPr="00FB0FCD">
        <w:rPr>
          <w:lang w:val="es-ES_tradnl"/>
        </w:rPr>
        <w:t>del</w:t>
      </w:r>
      <w:proofErr w:type="spellEnd"/>
      <w:r w:rsidRPr="00FB0FCD">
        <w:rPr>
          <w:lang w:val="es-ES_tradnl"/>
        </w:rPr>
        <w:t xml:space="preserve"> delito previsto en el artículo 116 del Código Penal, por parte de una persona que tenga antecedentes penales por delitos cometidos con violencia. La aplicación de la Ley Federal núm. 203-FZ tiene por objeto reducir las condiciones que dan lugar a la violación de los principios de igualdad y justicia tanto para los culpables como para las víctimas y aumentar el efecto de la introducción en la normativa jurídica de un tipo especial de delito: las agresiones.</w:t>
      </w:r>
    </w:p>
    <w:p w14:paraId="30015268" w14:textId="05C18D52" w:rsidR="00FB0FCD" w:rsidRPr="00FB0FCD" w:rsidRDefault="00FB0FCD" w:rsidP="00031E50">
      <w:pPr>
        <w:pStyle w:val="SingleTxt"/>
        <w:numPr>
          <w:ilvl w:val="0"/>
          <w:numId w:val="26"/>
        </w:numPr>
        <w:ind w:left="1267"/>
        <w:rPr>
          <w:lang w:val="es-ES_tradnl"/>
        </w:rPr>
      </w:pPr>
      <w:r w:rsidRPr="00FB0FCD">
        <w:rPr>
          <w:lang w:val="es-ES_tradnl"/>
        </w:rPr>
        <w:t>La Ley Federal núm. 337-FZ, de 16 de octubre de 2019, relativa a la introducción de modificaciones en el artículo 13 de la Ley Federal sobre la policía, establece garantías adicionales de protección contra la violencia doméstica. Los agentes de policía están facultados para aplicar medidas preventivas, en particular, para advertir oficialmente a una persona física sobre la inadmisibilidad de actos que puedan dar lugar a la comisión de delitos y faltas administrativas o de comportamientos antisociales.</w:t>
      </w:r>
    </w:p>
    <w:p w14:paraId="3DC33979" w14:textId="10632312" w:rsidR="00FB0FCD" w:rsidRPr="00FB0FCD" w:rsidRDefault="00FB0FCD" w:rsidP="00031E50">
      <w:pPr>
        <w:pStyle w:val="SingleTxt"/>
        <w:numPr>
          <w:ilvl w:val="0"/>
          <w:numId w:val="26"/>
        </w:numPr>
        <w:ind w:left="1267"/>
        <w:rPr>
          <w:lang w:val="es-ES_tradnl"/>
        </w:rPr>
      </w:pPr>
      <w:r w:rsidRPr="00FB0FCD">
        <w:rPr>
          <w:lang w:val="es-ES_tradnl"/>
        </w:rPr>
        <w:t>La protección de los derechos y libertades de las personas y los ciudadanos constituye un principio del proceso penal de la Federación de Rusia. Los funcionarios encargados están obligados a explicar a los participantes en el proceso penal sus derechos, obligaciones y responsabilidades y a velar por que puedan ejercer dichos derechos (artículo 11.1 del Código de Procedimiento Penal). Si existen indicios suficientes que permitan suponer que las víctimas, los testigos u otros participantes en el proceso penal, o sus familiares o allegados, están sujetos a amenazas de muerte, violencia, destrucción o daño de sus bienes o a otros actos ilícitos peligrosos, el tribunal u otros funcionarios autorizados adoptarán, dentro de su competencia, las medidas de seguridad previstas en el Código de Procedimiento Penal y la legislación de la Federación de Rusia (artículo 11.3 del Código de Procedimiento Penal).</w:t>
      </w:r>
    </w:p>
    <w:p w14:paraId="05809AB2" w14:textId="6D0DA4E0" w:rsidR="00FB0FCD" w:rsidRPr="00675AAD" w:rsidRDefault="00FB0FCD" w:rsidP="00031E50">
      <w:pPr>
        <w:pStyle w:val="SingleTxt"/>
        <w:numPr>
          <w:ilvl w:val="0"/>
          <w:numId w:val="26"/>
        </w:numPr>
        <w:ind w:left="1267"/>
        <w:rPr>
          <w:spacing w:val="2"/>
          <w:lang w:val="es-ES_tradnl"/>
        </w:rPr>
      </w:pPr>
      <w:r w:rsidRPr="00675AAD">
        <w:rPr>
          <w:spacing w:val="2"/>
          <w:lang w:val="es-ES_tradnl"/>
        </w:rPr>
        <w:t xml:space="preserve">Las condiciones para aplicar medidas de seguridad, así como el procedimiento para hacerlo y sus tipos, se definen en la Ley Federal núm. 119-FZ relativa a la protección estatal de las víctimas, los testigos y otros participantes en las actuaciones penales, de 20 de agosto de 2004. Las medidas de protección estatal también pueden adoptarse tanto antes de que se inicie un proceso penal contra el demandante, testigo o víctima de un delito o de otras personas que contribuyan a la prevención o el </w:t>
      </w:r>
      <w:r w:rsidRPr="00675AAD">
        <w:rPr>
          <w:spacing w:val="2"/>
          <w:lang w:val="es-ES_tradnl"/>
        </w:rPr>
        <w:lastRenderedPageBreak/>
        <w:t>esclarecimiento de un delito como después de dictarse la sentencia o de adoptarse otra resolución final en el proceso penal (artículo 2.2 y 2.5 de la Ley Federal núm. 119-FZ). En lo que respecta a la persona a la que se protege, pueden aplicarse simultáneamente, entre otras, una o varias de las siguientes medidas de seguridad: protección personal y protección del domicilio y de los bienes; provisión de medios especiales de protección individual y de comunicación y alerta de peligro; garantía de la confidencialidad de la información sobre la persona a la que se protege; traslado a otro lugar de residencia; sustitución de documentos; modificación del aspecto físico; cambio de lugar de trabajo o servicio o de estudios; o traslado temporal a un lugar seguro (artículo 6.1 de la Ley Federal núm. 119-FZ).</w:t>
      </w:r>
    </w:p>
    <w:p w14:paraId="31BB59EF" w14:textId="609B0942" w:rsidR="00FB0FCD" w:rsidRPr="00FB0FCD" w:rsidRDefault="00FB0FCD" w:rsidP="00031E50">
      <w:pPr>
        <w:pStyle w:val="SingleTxt"/>
        <w:numPr>
          <w:ilvl w:val="0"/>
          <w:numId w:val="26"/>
        </w:numPr>
        <w:ind w:left="1267"/>
        <w:rPr>
          <w:spacing w:val="3"/>
          <w:lang w:val="es-ES_tradnl"/>
        </w:rPr>
      </w:pPr>
      <w:r w:rsidRPr="00FB0FCD">
        <w:rPr>
          <w:spacing w:val="3"/>
          <w:lang w:val="es-ES_tradnl"/>
        </w:rPr>
        <w:t>Se presta especial atención a la eliminación de las causas y condiciones que favorecen los actos ilícitos en el ámbito de la violencia doméstica. Así, la labor de los funcionarios de los órganos ejecutivos competentes se orienta a prevenir el comportamiento victimista de los ciudadanos y a fomentar una actitud intolerante hacia este tipo de delitos, así como a prevenir el malestar social como factor principal que influye en la propagación de fenómenos negativos en las familias. Las medidas más eficaces para mitigar las consecuencias negativas de la violencia doméstica son la creación y el desarrollo de una red de organizaciones de carácter social, en particular de centros de crisis, que presten apoyo a las personas en situación de peligro.</w:t>
      </w:r>
    </w:p>
    <w:p w14:paraId="7B75F34C" w14:textId="06779A73" w:rsidR="00FB0FCD" w:rsidRPr="00FB0FCD" w:rsidRDefault="00FB0FCD" w:rsidP="00031E50">
      <w:pPr>
        <w:pStyle w:val="SingleTxt"/>
        <w:numPr>
          <w:ilvl w:val="0"/>
          <w:numId w:val="26"/>
        </w:numPr>
        <w:ind w:left="1267"/>
        <w:rPr>
          <w:lang w:val="es-ES_tradnl"/>
        </w:rPr>
      </w:pPr>
      <w:r w:rsidRPr="00FB0FCD">
        <w:rPr>
          <w:lang w:val="es-ES_tradnl"/>
        </w:rPr>
        <w:t>En 2024, 134 organizaciones, que contaban con una capacidad total de 2.423 plazas, prestaban servicios sociales a mujeres en situaciones difíciles en 57 entidades de la Federación de Rusia. De esas organizaciones, 19 eran centros de crisis estatales; 16, centros de crisis no estatales; 81, dependencias creadas sobre la base de organizaciones estatales de servicios sociales; y 18, dependencias establecidas sobre la base de organizaciones no estatales de servicios sociales.</w:t>
      </w:r>
    </w:p>
    <w:p w14:paraId="7703A3C4" w14:textId="334A9731" w:rsidR="00FB0FCD" w:rsidRPr="001B127E" w:rsidRDefault="00FB0FCD" w:rsidP="00031E50">
      <w:pPr>
        <w:pStyle w:val="SingleTxt"/>
        <w:numPr>
          <w:ilvl w:val="0"/>
          <w:numId w:val="26"/>
        </w:numPr>
        <w:ind w:left="1267"/>
        <w:rPr>
          <w:lang w:val="es-ES_tradnl"/>
        </w:rPr>
      </w:pPr>
      <w:bookmarkStart w:id="2" w:name="_Hlk219822688"/>
      <w:r w:rsidRPr="00FB0FCD">
        <w:rPr>
          <w:lang w:val="es-ES_tradnl"/>
        </w:rPr>
        <w:t>Los centros de crisis disponen de un amplio conjunto de instrumentos para resolver los conflictos familiares. Por ejemplo, se proporciona alojamiento temporal (refugio) y asistencia jurídica y psicológica a las mujeres que han sufrido violencia y que, debido a la imposibilidad de convivir con el agresor, a la falta de familiares y a la ausencia de otras alternativas, no pueden hallar un lugar donde alojarse. Las alertas emitidas por los centros de crisis sobre los delitos cometidos permiten a los agentes de policía documentar oportunamente los hechos denunciados. En algunas de estas organizaciones se lleva a cabo un trabajo psicológico no solo con las víctimas, sino también con los propios infractores</w:t>
      </w:r>
      <w:bookmarkEnd w:id="2"/>
      <w:r w:rsidRPr="00FB0FCD">
        <w:rPr>
          <w:lang w:val="es-ES_tradnl"/>
        </w:rPr>
        <w:t>.</w:t>
      </w:r>
    </w:p>
    <w:p w14:paraId="6FB8CDAA" w14:textId="77777777" w:rsidR="00031E50" w:rsidRPr="001B127E" w:rsidRDefault="00031E50" w:rsidP="00031E50">
      <w:pPr>
        <w:pStyle w:val="SingleTxt"/>
        <w:spacing w:after="0" w:line="120" w:lineRule="exact"/>
        <w:rPr>
          <w:sz w:val="10"/>
          <w:lang w:val="es-ES_tradnl"/>
        </w:rPr>
      </w:pPr>
    </w:p>
    <w:p w14:paraId="61AE8B77" w14:textId="77777777" w:rsidR="00FB0FCD" w:rsidRPr="001B127E" w:rsidRDefault="00FB0FCD" w:rsidP="00031E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Párrafos 26 y 27 de las observaciones finales</w:t>
      </w:r>
    </w:p>
    <w:p w14:paraId="2E93875D" w14:textId="77777777" w:rsidR="00031E50" w:rsidRPr="001B127E" w:rsidRDefault="00031E50" w:rsidP="00031E50">
      <w:pPr>
        <w:pStyle w:val="SingleTxt"/>
        <w:spacing w:after="0" w:line="120" w:lineRule="exact"/>
        <w:rPr>
          <w:bCs/>
          <w:sz w:val="10"/>
          <w:lang w:val="es-ES_tradnl"/>
        </w:rPr>
      </w:pPr>
    </w:p>
    <w:p w14:paraId="0029386A" w14:textId="5E41C582" w:rsidR="00FB0FCD" w:rsidRPr="00FB0FCD" w:rsidRDefault="00FB0FCD" w:rsidP="001B127E">
      <w:pPr>
        <w:pStyle w:val="SingleTxt"/>
        <w:numPr>
          <w:ilvl w:val="0"/>
          <w:numId w:val="26"/>
        </w:numPr>
        <w:ind w:left="1267"/>
        <w:rPr>
          <w:spacing w:val="3"/>
          <w:lang w:val="es-ES_tradnl"/>
        </w:rPr>
      </w:pPr>
      <w:r w:rsidRPr="00FB0FCD">
        <w:rPr>
          <w:spacing w:val="3"/>
          <w:lang w:val="es-ES_tradnl"/>
        </w:rPr>
        <w:t xml:space="preserve">No se dispone de datos oficiales sobre la cantidad de operaciones de mutilación genital femenina. Este tipo de cirugía no está contemplado en la clasificación de servicios médicos, regulada por la Orden del Ministerio de Sanidad núm. </w:t>
      </w:r>
      <w:proofErr w:type="spellStart"/>
      <w:r w:rsidRPr="00FB0FCD">
        <w:rPr>
          <w:spacing w:val="3"/>
          <w:lang w:val="es-ES_tradnl"/>
        </w:rPr>
        <w:t>804n</w:t>
      </w:r>
      <w:proofErr w:type="spellEnd"/>
      <w:r w:rsidRPr="00FB0FCD">
        <w:rPr>
          <w:spacing w:val="3"/>
          <w:lang w:val="es-ES_tradnl"/>
        </w:rPr>
        <w:t xml:space="preserve"> relativa a la aprobación de la clasificación de servicios médicos, de 13 de octubre de 2017.</w:t>
      </w:r>
    </w:p>
    <w:p w14:paraId="4865E85D" w14:textId="6637EDB4" w:rsidR="00FB0FCD" w:rsidRPr="00FB0FCD" w:rsidRDefault="00FB0FCD" w:rsidP="001B127E">
      <w:pPr>
        <w:pStyle w:val="SingleTxt"/>
        <w:numPr>
          <w:ilvl w:val="0"/>
          <w:numId w:val="26"/>
        </w:numPr>
        <w:ind w:left="1267"/>
        <w:rPr>
          <w:lang w:val="es-ES_tradnl"/>
        </w:rPr>
      </w:pPr>
      <w:r w:rsidRPr="00FB0FCD">
        <w:rPr>
          <w:lang w:val="es-ES_tradnl"/>
        </w:rPr>
        <w:t xml:space="preserve">La legislación de la Federación de Rusia en materia de protección de la salud establece que, en los casos en que se admita a un paciente sobre el que existan motivos suficientes para suponer que el daño a su salud ha sido causado por actos ilícitos, se debe informar a las autoridades de seguridad interna (artículo 13.4.5 de la Ley Federal núm. 323-FZ relativa a los fundamentos de la protección de la salud de los ciudadanos en la Federación de Rusia, de 21 de noviembre de 2011). </w:t>
      </w:r>
    </w:p>
    <w:p w14:paraId="089017EC" w14:textId="6E4715EC" w:rsidR="00FB0FCD" w:rsidRPr="00FB0FCD" w:rsidRDefault="00FB0FCD" w:rsidP="001B127E">
      <w:pPr>
        <w:pStyle w:val="SingleTxt"/>
        <w:numPr>
          <w:ilvl w:val="0"/>
          <w:numId w:val="26"/>
        </w:numPr>
        <w:ind w:left="1267"/>
        <w:rPr>
          <w:lang w:val="es-ES_tradnl"/>
        </w:rPr>
      </w:pPr>
      <w:r w:rsidRPr="00FB0FCD">
        <w:rPr>
          <w:lang w:val="es-ES_tradnl"/>
        </w:rPr>
        <w:t xml:space="preserve">En 2021 se actualizó el procedimiento que los centros médicos habían de seguir para informar a los órganos de seguridad interna en los casos establecidos en el artículo 13.4.5 de la Ley Federal núm. 323-FZ. Esa nueva normativa introdujo requisitos para que los centros médicos transmitieran a los órganos territoriales del Ministerio del Interior información, entre otras cosas, sobre la admisión o el </w:t>
      </w:r>
      <w:r w:rsidRPr="00FB0FCD">
        <w:rPr>
          <w:lang w:val="es-ES_tradnl"/>
        </w:rPr>
        <w:lastRenderedPageBreak/>
        <w:t>tratamiento de pacientes en caso de que presentaran señales de daños a la salud como consecuencia de actos ilícitos como los que se enumeran a continuación: heridas punzantes, cortantes, punzocortantes o laceradas; intoxicación por estupefacientes, sustancias venenosas, psicotrópicas, tóxicas, potentes, narcóticas u otras sustancias psicoactivas, incluido el alcohol; señales de haberse realizado una intervención con el fin de interrumpir artificialmente el embarazo (aborto) fuera de un centro médico que contara con la licencia correspondiente; señales de violación u otros actos violentos de carácter sexual; y otras señales de daños a la salud respecto a los cuales existieran motivos para suponer que se produjeron como resultado de actos ilícitos.</w:t>
      </w:r>
    </w:p>
    <w:p w14:paraId="1AF27C53" w14:textId="6FDB8C8F" w:rsidR="00FB0FCD" w:rsidRPr="00FB0FCD" w:rsidRDefault="00FB0FCD" w:rsidP="001B127E">
      <w:pPr>
        <w:pStyle w:val="SingleTxt"/>
        <w:numPr>
          <w:ilvl w:val="0"/>
          <w:numId w:val="26"/>
        </w:numPr>
        <w:ind w:left="1267"/>
        <w:rPr>
          <w:lang w:val="es-ES_tradnl"/>
        </w:rPr>
      </w:pPr>
      <w:r w:rsidRPr="00FB0FCD">
        <w:rPr>
          <w:lang w:val="es-ES_tradnl"/>
        </w:rPr>
        <w:t>Según la definición de violación, el hecho de que entre la víctima y el perpetrador del delito exista una relación, como, por ejemplo, que estén oficialmente casados, no tiene relevancia a la hora de calificar el acto conforme al artículo 131 del Código Penal. Por lo tanto, la violación conyugal puede tipificarse como violación en virtud del artículo 131 del Código Penal.</w:t>
      </w:r>
    </w:p>
    <w:p w14:paraId="6398297B" w14:textId="1D3506F4" w:rsidR="00FB0FCD" w:rsidRPr="00FB0FCD" w:rsidRDefault="00FB0FCD" w:rsidP="001B127E">
      <w:pPr>
        <w:pStyle w:val="SingleTxt"/>
        <w:numPr>
          <w:ilvl w:val="0"/>
          <w:numId w:val="26"/>
        </w:numPr>
        <w:ind w:left="1267"/>
        <w:rPr>
          <w:lang w:val="es-ES_tradnl"/>
        </w:rPr>
      </w:pPr>
      <w:r w:rsidRPr="00FB0FCD">
        <w:rPr>
          <w:lang w:val="es-ES_tradnl"/>
        </w:rPr>
        <w:t xml:space="preserve">Los delitos contra la vida y la salud de las personas se recogen en el capítulo 16 del Código Penal, que lleva ese mismo nombre. Son penalmente punibles, en particular, los daños graves (artículo 111 del Código Penal), de gravedad media (artículo 112 del Código Penal) o leves (artículo 115 del Código Penal) causados intencionadamente a la salud, las palizas (artículo 116 del Código Penal), las palizas infligidas por una persona sujeta a una sanción administrativa (artículo 116 del Código Penal), los tratos crueles (artículo 117 del Código Penal) y el incumplimiento de las obligaciones de crianza de menores acompañado de malos tratos (artículo 156 del Código Penal). Además, la comisión de cualquier delito, incluidos los de carácter violento, contra una persona que se encuentre en situación de dependencia del agresor se considera una circunstancia agravante y conlleva penas más severas (artículo </w:t>
      </w:r>
      <w:proofErr w:type="spellStart"/>
      <w:r w:rsidRPr="00FB0FCD">
        <w:rPr>
          <w:lang w:val="es-ES_tradnl"/>
        </w:rPr>
        <w:t>63.z</w:t>
      </w:r>
      <w:proofErr w:type="spellEnd"/>
      <w:r w:rsidRPr="00FB0FCD">
        <w:rPr>
          <w:lang w:val="es-ES_tradnl"/>
        </w:rPr>
        <w:t xml:space="preserve"> del Código Penal).</w:t>
      </w:r>
    </w:p>
    <w:p w14:paraId="5F7C4FC3" w14:textId="41E594E1" w:rsidR="00FB0FCD" w:rsidRPr="001B127E" w:rsidRDefault="00FB0FCD" w:rsidP="001B127E">
      <w:pPr>
        <w:pStyle w:val="SingleTxt"/>
        <w:numPr>
          <w:ilvl w:val="0"/>
          <w:numId w:val="26"/>
        </w:numPr>
        <w:ind w:left="1267"/>
        <w:rPr>
          <w:lang w:val="es-ES_tradnl"/>
        </w:rPr>
      </w:pPr>
      <w:r w:rsidRPr="00FB0FCD">
        <w:rPr>
          <w:lang w:val="es-ES_tradnl"/>
        </w:rPr>
        <w:t xml:space="preserve">En el Código de Infracciones Administrativas también figuran mecanismos destinados a combatir la violencia; en particular, el artículo 6.1.1 de dicho código establece la responsabilidad administrativa por propinar golpes o cometer otros actos violentos que causen dolor </w:t>
      </w:r>
      <w:proofErr w:type="gramStart"/>
      <w:r w:rsidRPr="00FB0FCD">
        <w:rPr>
          <w:lang w:val="es-ES_tradnl"/>
        </w:rPr>
        <w:t>físico</w:t>
      </w:r>
      <w:proofErr w:type="gramEnd"/>
      <w:r w:rsidRPr="00FB0FCD">
        <w:rPr>
          <w:lang w:val="es-ES_tradnl"/>
        </w:rPr>
        <w:t xml:space="preserve"> pero no conlleven las consecuencias indicadas en el artículo 115 del Código Penal. La reincidencia en estos actos conlleva responsabilidad penal en virtud del artículo 116.1, relativo a los malos tratos infligidos por una persona sujeta a sanción administrativa o con antecedentes penales, del Código Penal.</w:t>
      </w:r>
    </w:p>
    <w:p w14:paraId="0BD3E38B" w14:textId="77777777" w:rsidR="001B127E" w:rsidRPr="001B127E" w:rsidRDefault="001B127E" w:rsidP="001B127E">
      <w:pPr>
        <w:pStyle w:val="SingleTxt"/>
        <w:spacing w:after="0" w:line="120" w:lineRule="exact"/>
        <w:rPr>
          <w:sz w:val="10"/>
          <w:lang w:val="es-ES_tradnl"/>
        </w:rPr>
      </w:pPr>
    </w:p>
    <w:p w14:paraId="3F0CE440" w14:textId="77777777" w:rsidR="00FB0FCD" w:rsidRPr="001B127E" w:rsidRDefault="00FB0FCD" w:rsidP="001B1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Párrafos 28 y 29 de las observaciones finales</w:t>
      </w:r>
    </w:p>
    <w:p w14:paraId="0FB4F9E7" w14:textId="77777777" w:rsidR="001B127E" w:rsidRPr="001B127E" w:rsidRDefault="001B127E" w:rsidP="001B127E">
      <w:pPr>
        <w:pStyle w:val="SingleTxt"/>
        <w:spacing w:after="0" w:line="120" w:lineRule="exact"/>
        <w:rPr>
          <w:bCs/>
          <w:sz w:val="10"/>
          <w:lang w:val="es-ES_tradnl"/>
        </w:rPr>
      </w:pPr>
    </w:p>
    <w:p w14:paraId="6C9D411E" w14:textId="7E609708" w:rsidR="00FB0FCD" w:rsidRPr="00FB0FCD" w:rsidRDefault="00FB0FCD" w:rsidP="001B127E">
      <w:pPr>
        <w:pStyle w:val="SingleTxt"/>
        <w:numPr>
          <w:ilvl w:val="0"/>
          <w:numId w:val="26"/>
        </w:numPr>
        <w:ind w:left="1267"/>
        <w:rPr>
          <w:lang w:val="es-ES_tradnl"/>
        </w:rPr>
      </w:pPr>
      <w:r w:rsidRPr="00FB0FCD">
        <w:rPr>
          <w:lang w:val="es-ES_tradnl"/>
        </w:rPr>
        <w:t>La Ley Federal núm. 124-FZ relativa a las garantías fundamentales de los derechos del niño en la Federación de Rusia, de 24 de julio de 1998, prevé medidas para combatir la trata y la explotación de niños, así como para prestar a las víctimas de este tipo de actos ilícitos la asistencia pedagógica, psicológica, médica y jurídica que necesiten (artículo 14.2). La trata y la explotación de niños, incluida la prostitución infantil, la pornografía o la producción de cualquier otro material que muestre abusos sexuales de niños, y el trabajo forzoso son perseguidos por la ley.</w:t>
      </w:r>
    </w:p>
    <w:p w14:paraId="67D7FBE1" w14:textId="68CF7EDA" w:rsidR="00FB0FCD" w:rsidRPr="00FB0FCD" w:rsidRDefault="00FB0FCD" w:rsidP="001B127E">
      <w:pPr>
        <w:pStyle w:val="SingleTxt"/>
        <w:numPr>
          <w:ilvl w:val="0"/>
          <w:numId w:val="26"/>
        </w:numPr>
        <w:ind w:left="1267"/>
        <w:rPr>
          <w:lang w:val="es-ES_tradnl"/>
        </w:rPr>
      </w:pPr>
      <w:r w:rsidRPr="00FB0FCD">
        <w:rPr>
          <w:lang w:val="es-ES_tradnl"/>
        </w:rPr>
        <w:t xml:space="preserve">En virtud de los acuerdos internacionales, se considera que los delitos relacionados con la trata de personas incluyen no solo los delitos tipificados en el artículo 127.1 del Código Penal, relativo a la trata de personas, sino también toda una serie de actos delictivos relacionados con la explotación de personas y que impliquen violencia o engaño. Entre esos actos figuran delitos como la incitación al ejercicio de la prostitución (artículo 240 del Código Penal), la obtención de servicios sexuales de menores (artículo 240.1 del Código Penal) y la producción y distribución de materiales o productos que contengan imágenes pornográficas de menores (artículo 242.1 del Código Penal). </w:t>
      </w:r>
    </w:p>
    <w:p w14:paraId="63E6DACD" w14:textId="608B6349" w:rsidR="00FB0FCD" w:rsidRPr="00675AAD" w:rsidRDefault="00FB0FCD" w:rsidP="001B127E">
      <w:pPr>
        <w:pStyle w:val="SingleTxt"/>
        <w:numPr>
          <w:ilvl w:val="0"/>
          <w:numId w:val="26"/>
        </w:numPr>
        <w:ind w:left="1267"/>
        <w:rPr>
          <w:spacing w:val="-2"/>
          <w:lang w:val="es-ES_tradnl"/>
        </w:rPr>
      </w:pPr>
      <w:r w:rsidRPr="00FB0FCD">
        <w:rPr>
          <w:spacing w:val="3"/>
          <w:lang w:val="es-ES_tradnl"/>
        </w:rPr>
        <w:lastRenderedPageBreak/>
        <w:t>De conformidad con el programa interestatal de medidas conjuntas de lucha contra la delincuencia para el período 2024-2028, aprobado en la decisión del Consejo de Jefes de Estado de la Comunidad de Estados Independientes de 13 de octubre de 2023, durante el año pasado se organizaron y llevaron a cabo medidas coordinadas para combatir las actividades delictivas relacionadas con el secuestro y la trata de personas y el tráfico de órganos y tejidos humanos, así como para prevenir, detectar y eliminar los delitos relacionad</w:t>
      </w:r>
      <w:r w:rsidRPr="00675AAD">
        <w:rPr>
          <w:spacing w:val="-2"/>
          <w:lang w:val="es-ES_tradnl"/>
        </w:rPr>
        <w:t>os con la explotación de mujeres y niños y la producción y distribución de material pornográfico, incluidos los contenidos en Internet.</w:t>
      </w:r>
    </w:p>
    <w:p w14:paraId="2A64D22D" w14:textId="7DF09D2E" w:rsidR="00FB0FCD" w:rsidRPr="00675AAD" w:rsidRDefault="00FB0FCD" w:rsidP="001B127E">
      <w:pPr>
        <w:pStyle w:val="SingleTxt"/>
        <w:numPr>
          <w:ilvl w:val="0"/>
          <w:numId w:val="26"/>
        </w:numPr>
        <w:ind w:left="1267"/>
        <w:rPr>
          <w:spacing w:val="-2"/>
          <w:lang w:val="es-ES_tradnl"/>
        </w:rPr>
      </w:pPr>
      <w:r w:rsidRPr="00675AAD">
        <w:rPr>
          <w:spacing w:val="-2"/>
          <w:lang w:val="es-ES_tradnl"/>
        </w:rPr>
        <w:t>En la Federación de Rusia, la prohibición penal de la trata de personas es considerablemente más amplia que la establecida en los documentos fundacionales de las Naciones Unidas sobre esta cuestión. Más concretamente, en la Federación de Rusia no se exige que exista la intención de explotar a una persona para que los actos cometidos por los autores puedan tipificarse como trata de personas en los delitos relacionados con la compra, la venta u otras transacciones en las que se comercie con personas.</w:t>
      </w:r>
    </w:p>
    <w:p w14:paraId="78DFCACE" w14:textId="4C6CE0A4" w:rsidR="00FB0FCD" w:rsidRPr="00675AAD" w:rsidRDefault="00FB0FCD" w:rsidP="001B127E">
      <w:pPr>
        <w:pStyle w:val="SingleTxt"/>
        <w:numPr>
          <w:ilvl w:val="0"/>
          <w:numId w:val="26"/>
        </w:numPr>
        <w:ind w:left="1267"/>
        <w:rPr>
          <w:spacing w:val="-2"/>
          <w:lang w:val="es-ES_tradnl"/>
        </w:rPr>
      </w:pPr>
      <w:r w:rsidRPr="00675AAD">
        <w:rPr>
          <w:spacing w:val="-2"/>
          <w:lang w:val="es-ES_tradnl"/>
        </w:rPr>
        <w:t xml:space="preserve">Además, los actos delictivos relacionados con la incitación a la prostitución (artículo 240 del Código Penal), la obtención de servicios sexuales, la utilización de menores para la producción de material o productos pornográficos (artículo 240.1 del Código Penal), incluido el uso de tecnologías de la información y las telecomunicaciones, así como otros actos cometidos en el territorio de la Federación de Rusia, se </w:t>
      </w:r>
      <w:proofErr w:type="gramStart"/>
      <w:r w:rsidRPr="00675AAD">
        <w:rPr>
          <w:spacing w:val="-2"/>
          <w:lang w:val="es-ES_tradnl"/>
        </w:rPr>
        <w:t>equiparan</w:t>
      </w:r>
      <w:proofErr w:type="gramEnd"/>
      <w:r w:rsidRPr="00675AAD">
        <w:rPr>
          <w:spacing w:val="-2"/>
          <w:lang w:val="es-ES_tradnl"/>
        </w:rPr>
        <w:t xml:space="preserve"> al uso de los servicios de víctimas de la trata de personas. Las víctimas más frecuentes suelen ser mujeres jóvenes que se encuentran en circunstancias difíciles o personas que carecen de protección social.</w:t>
      </w:r>
    </w:p>
    <w:p w14:paraId="3C744576" w14:textId="5BD7C1D7" w:rsidR="00FB0FCD" w:rsidRPr="001B127E" w:rsidRDefault="00FB0FCD" w:rsidP="001B127E">
      <w:pPr>
        <w:pStyle w:val="SingleTxt"/>
        <w:numPr>
          <w:ilvl w:val="0"/>
          <w:numId w:val="26"/>
        </w:numPr>
        <w:ind w:left="1267"/>
        <w:rPr>
          <w:lang w:val="es-ES_tradnl"/>
        </w:rPr>
      </w:pPr>
      <w:r w:rsidRPr="00675AAD">
        <w:rPr>
          <w:spacing w:val="-2"/>
          <w:lang w:val="es-ES_tradnl"/>
        </w:rPr>
        <w:t>En 2021, el Ministerio de Educación y Ciencia llevó a cabo una prueba piloto de un programa de clases interactivas para niños, adolescentes y jóvenes sobre métodos no violentos de resolución de disputas y conflictos. El programa es una herramienta eficaz para crear un espacio humano y seguro propicio para el pleno desarrollo y la socialización de los niños, adolescentes</w:t>
      </w:r>
      <w:r w:rsidRPr="00FB0FCD">
        <w:rPr>
          <w:lang w:val="es-ES_tradnl"/>
        </w:rPr>
        <w:t xml:space="preserve"> y jóvenes, e incluye la prevención de comportamientos aberrantes como la explotación sexual de las mujeres y la trata de personas. El Ministerio de Educación y Ciencia ha enviado recomendaciones a los directores de los centros de educación superior bajo su jurisdicción para que organicen la implementación del programa entre los estudiantes de primer curso. Se han realizado pruebas piloto en 38 centros de educación superior dependientes del Ministerio de Educación y Ciencia. El número total de estudiantes que participaron en el programa ascendió a 7.522.</w:t>
      </w:r>
    </w:p>
    <w:p w14:paraId="123B9198" w14:textId="77777777" w:rsidR="001B127E" w:rsidRPr="001B127E" w:rsidRDefault="001B127E" w:rsidP="001B127E">
      <w:pPr>
        <w:pStyle w:val="SingleTxt"/>
        <w:spacing w:after="0" w:line="120" w:lineRule="exact"/>
        <w:rPr>
          <w:sz w:val="10"/>
          <w:lang w:val="es-ES_tradnl"/>
        </w:rPr>
      </w:pPr>
    </w:p>
    <w:p w14:paraId="37430EF4" w14:textId="77777777" w:rsidR="001B127E" w:rsidRPr="001B127E" w:rsidRDefault="001B127E" w:rsidP="001B127E">
      <w:pPr>
        <w:pStyle w:val="SingleTxt"/>
        <w:spacing w:after="0" w:line="120" w:lineRule="exact"/>
        <w:rPr>
          <w:sz w:val="10"/>
          <w:lang w:val="es-ES_tradnl"/>
        </w:rPr>
      </w:pPr>
    </w:p>
    <w:p w14:paraId="539986D3" w14:textId="0D154593" w:rsidR="00FB0FCD" w:rsidRPr="001B127E" w:rsidRDefault="001B127E" w:rsidP="001B12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00FB0FCD" w:rsidRPr="001B127E">
        <w:rPr>
          <w:lang w:val="es-ES_tradnl"/>
        </w:rPr>
        <w:tab/>
        <w:t>Parte II</w:t>
      </w:r>
    </w:p>
    <w:p w14:paraId="144E39EE" w14:textId="77777777" w:rsidR="001B127E" w:rsidRPr="001B127E" w:rsidRDefault="001B127E" w:rsidP="001B127E">
      <w:pPr>
        <w:pStyle w:val="SingleTxt"/>
        <w:spacing w:after="0" w:line="120" w:lineRule="exact"/>
        <w:rPr>
          <w:b/>
          <w:sz w:val="10"/>
          <w:lang w:val="es-ES_tradnl"/>
        </w:rPr>
      </w:pPr>
    </w:p>
    <w:p w14:paraId="61D115B4" w14:textId="77777777" w:rsidR="001B127E" w:rsidRPr="001B127E" w:rsidRDefault="001B127E" w:rsidP="001B127E">
      <w:pPr>
        <w:pStyle w:val="SingleTxt"/>
        <w:spacing w:after="0" w:line="120" w:lineRule="exact"/>
        <w:rPr>
          <w:b/>
          <w:sz w:val="10"/>
          <w:lang w:val="es-ES_tradnl"/>
        </w:rPr>
      </w:pPr>
    </w:p>
    <w:p w14:paraId="43D62704" w14:textId="1811114B" w:rsidR="00FB0FCD" w:rsidRPr="001B127E" w:rsidRDefault="00FB0FCD" w:rsidP="001B12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Artículos 7 y 8</w:t>
      </w:r>
    </w:p>
    <w:p w14:paraId="7035C87D" w14:textId="77777777" w:rsidR="001B127E" w:rsidRPr="001B127E" w:rsidRDefault="001B127E" w:rsidP="001B127E">
      <w:pPr>
        <w:pStyle w:val="SingleTxt"/>
        <w:spacing w:after="0" w:line="120" w:lineRule="exact"/>
        <w:rPr>
          <w:b/>
          <w:sz w:val="10"/>
          <w:lang w:val="es-ES_tradnl"/>
        </w:rPr>
      </w:pPr>
    </w:p>
    <w:p w14:paraId="30B44234" w14:textId="77777777" w:rsidR="001B127E" w:rsidRPr="001B127E" w:rsidRDefault="001B127E" w:rsidP="001B127E">
      <w:pPr>
        <w:pStyle w:val="SingleTxt"/>
        <w:spacing w:after="0" w:line="120" w:lineRule="exact"/>
        <w:rPr>
          <w:b/>
          <w:sz w:val="10"/>
          <w:lang w:val="es-ES_tradnl"/>
        </w:rPr>
      </w:pPr>
    </w:p>
    <w:p w14:paraId="09A3A08B" w14:textId="5A5958E5" w:rsidR="00FB0FCD" w:rsidRPr="001B127E" w:rsidRDefault="00FB0FCD" w:rsidP="001B1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Párrafos 30 y 31 de las observaciones finales</w:t>
      </w:r>
    </w:p>
    <w:p w14:paraId="2CADB2DB" w14:textId="77777777" w:rsidR="001B127E" w:rsidRPr="001B127E" w:rsidRDefault="001B127E" w:rsidP="001B127E">
      <w:pPr>
        <w:pStyle w:val="SingleTxt"/>
        <w:spacing w:after="0" w:line="120" w:lineRule="exact"/>
        <w:rPr>
          <w:bCs/>
          <w:sz w:val="10"/>
          <w:lang w:val="es-ES_tradnl"/>
        </w:rPr>
      </w:pPr>
    </w:p>
    <w:p w14:paraId="6552B109" w14:textId="52D7F586" w:rsidR="00FB0FCD" w:rsidRPr="00FB0FCD" w:rsidRDefault="00FB0FCD" w:rsidP="001B127E">
      <w:pPr>
        <w:pStyle w:val="SingleTxt"/>
        <w:numPr>
          <w:ilvl w:val="0"/>
          <w:numId w:val="26"/>
        </w:numPr>
        <w:ind w:left="1267"/>
        <w:rPr>
          <w:lang w:val="es-ES_tradnl"/>
        </w:rPr>
      </w:pPr>
      <w:r w:rsidRPr="00FB0FCD">
        <w:rPr>
          <w:lang w:val="es-ES_tradnl"/>
        </w:rPr>
        <w:t>En el cuadro 1 figura información sobre la representación de las mujeres en ambas cámaras de la Asamblea Federal de la Federación de Rusia.</w:t>
      </w:r>
    </w:p>
    <w:p w14:paraId="305E9D7B" w14:textId="03A70178" w:rsidR="00FB0FCD" w:rsidRPr="00FB0FCD" w:rsidRDefault="00FB0FCD" w:rsidP="001B127E">
      <w:pPr>
        <w:pStyle w:val="SingleTxt"/>
        <w:numPr>
          <w:ilvl w:val="0"/>
          <w:numId w:val="26"/>
        </w:numPr>
        <w:ind w:left="1267"/>
        <w:rPr>
          <w:lang w:val="es-ES_tradnl"/>
        </w:rPr>
      </w:pPr>
      <w:r w:rsidRPr="00FB0FCD">
        <w:rPr>
          <w:lang w:val="es-ES_tradnl"/>
        </w:rPr>
        <w:t>En la Federación de Rusia, las mujeres tienen la posibilidad, en igualdad de condiciones con los hombres y sin restricción alguna, de representar a su país a nivel internacional y de participar en la labor de organizaciones internacionales y misiones de paz de las Naciones Unidas.</w:t>
      </w:r>
    </w:p>
    <w:p w14:paraId="38CC5126" w14:textId="4046158E" w:rsidR="00FB0FCD" w:rsidRPr="00FB0FCD" w:rsidRDefault="00FB0FCD" w:rsidP="001B127E">
      <w:pPr>
        <w:pStyle w:val="SingleTxt"/>
        <w:numPr>
          <w:ilvl w:val="0"/>
          <w:numId w:val="26"/>
        </w:numPr>
        <w:ind w:left="1267"/>
        <w:rPr>
          <w:lang w:val="es-ES_tradnl"/>
        </w:rPr>
      </w:pPr>
      <w:r w:rsidRPr="00FB0FCD">
        <w:rPr>
          <w:lang w:val="es-ES_tradnl"/>
        </w:rPr>
        <w:t>La proporción de mujeres que ocupaban puestos diplomáticos en la administración central del Ministerio de Relaciones Exteriores con respecto al número total de empleados con rango diplomático en la administración central del Ministerio de Relaciones Exteriores es la siguiente: 2021: 34,74 %; 2022: 34,47 %; 2023: 33,07 %; 2024: 33,66 %; 2025: 35,27 %.</w:t>
      </w:r>
    </w:p>
    <w:p w14:paraId="1151F400" w14:textId="0EB6F047" w:rsidR="00FB0FCD" w:rsidRPr="00FB0FCD" w:rsidRDefault="00FB0FCD" w:rsidP="001B127E">
      <w:pPr>
        <w:pStyle w:val="SingleTxt"/>
        <w:numPr>
          <w:ilvl w:val="0"/>
          <w:numId w:val="26"/>
        </w:numPr>
        <w:ind w:left="1267"/>
        <w:rPr>
          <w:lang w:val="es-ES_tradnl"/>
        </w:rPr>
      </w:pPr>
      <w:r w:rsidRPr="00FB0FCD">
        <w:rPr>
          <w:lang w:val="es-ES_tradnl"/>
        </w:rPr>
        <w:lastRenderedPageBreak/>
        <w:t>El número de mujeres empleadas en la sede central del Ministerio de Asuntos Exteriores que ocupaban puestos directivos (es decir, con puestos superiores al de jefa de departamento) era el siguiente: 2021: 75; 2022: 82; 2023: 93; 2024: 97; 2025: 113.</w:t>
      </w:r>
    </w:p>
    <w:p w14:paraId="100A6BA2" w14:textId="7B425FF0" w:rsidR="00FB0FCD" w:rsidRPr="00FB0FCD" w:rsidRDefault="00FB0FCD" w:rsidP="001B127E">
      <w:pPr>
        <w:pStyle w:val="SingleTxt"/>
        <w:numPr>
          <w:ilvl w:val="0"/>
          <w:numId w:val="26"/>
        </w:numPr>
        <w:ind w:left="1267"/>
        <w:rPr>
          <w:lang w:val="es-ES_tradnl"/>
        </w:rPr>
      </w:pPr>
      <w:r w:rsidRPr="00FB0FCD">
        <w:rPr>
          <w:lang w:val="es-ES_tradnl"/>
        </w:rPr>
        <w:t>El porcentaje de mujeres que ocupaban puestos diplomáticos en las representaciones diplomáticas rusas en el extranjero con respecto al número total de empleados con rango diplomático en dichas representaciones fue el siguiente: 2021</w:t>
      </w:r>
      <w:r w:rsidR="005511C0" w:rsidRPr="00FB0FCD">
        <w:rPr>
          <w:lang w:val="es-ES_tradnl"/>
        </w:rPr>
        <w:t>:</w:t>
      </w:r>
      <w:r w:rsidR="005511C0">
        <w:rPr>
          <w:lang w:val="es-ES_tradnl"/>
        </w:rPr>
        <w:t> </w:t>
      </w:r>
      <w:r w:rsidRPr="00FB0FCD">
        <w:rPr>
          <w:lang w:val="es-ES_tradnl"/>
        </w:rPr>
        <w:t>17,5 %, 2022: 19 %, 2023: 19,51 %; 2025: 19,9 %.</w:t>
      </w:r>
    </w:p>
    <w:p w14:paraId="7ACFF233" w14:textId="65BB8382" w:rsidR="00FB0FCD" w:rsidRPr="00FB0FCD" w:rsidRDefault="00FB0FCD" w:rsidP="001B127E">
      <w:pPr>
        <w:pStyle w:val="SingleTxt"/>
        <w:numPr>
          <w:ilvl w:val="0"/>
          <w:numId w:val="26"/>
        </w:numPr>
        <w:ind w:left="1267"/>
        <w:rPr>
          <w:lang w:val="es-ES_tradnl"/>
        </w:rPr>
      </w:pPr>
      <w:r w:rsidRPr="00FB0FCD">
        <w:rPr>
          <w:lang w:val="es-ES_tradnl"/>
        </w:rPr>
        <w:t xml:space="preserve">A continuación se detalla el número de mujeres embajadoras, cónsules generales y consejeras enviadas o representantes permanentes adjuntas: 2021: 1 embajadora, </w:t>
      </w:r>
      <w:r w:rsidR="005511C0" w:rsidRPr="00FB0FCD">
        <w:rPr>
          <w:lang w:val="es-ES_tradnl"/>
        </w:rPr>
        <w:t>5</w:t>
      </w:r>
      <w:r w:rsidR="005511C0">
        <w:rPr>
          <w:lang w:val="es-ES_tradnl"/>
        </w:rPr>
        <w:t> </w:t>
      </w:r>
      <w:r w:rsidRPr="00FB0FCD">
        <w:rPr>
          <w:lang w:val="es-ES_tradnl"/>
        </w:rPr>
        <w:t xml:space="preserve">cónsules generales, 5 ministras consejeras, 3 representantes permanentes adjuntas; 2022: 2 embajadoras, 4 cónsules generales, 5 ministras consejeras, 4 representantes permanentes adjuntas; 2023: 2 embajadoras, 5 cónsules generales, 9 ministras consejeras, 4 representantes permanentes adjuntas; 2024: 2 embajadoras, 4 cónsules generales, 12 ministras consejeras, 4 representantes permanentes adjuntas; 2025: </w:t>
      </w:r>
      <w:r w:rsidR="005511C0" w:rsidRPr="00FB0FCD">
        <w:rPr>
          <w:lang w:val="es-ES_tradnl"/>
        </w:rPr>
        <w:t>2</w:t>
      </w:r>
      <w:r w:rsidR="005511C0">
        <w:rPr>
          <w:lang w:val="es-ES_tradnl"/>
        </w:rPr>
        <w:t> </w:t>
      </w:r>
      <w:r w:rsidRPr="00FB0FCD">
        <w:rPr>
          <w:lang w:val="es-ES_tradnl"/>
        </w:rPr>
        <w:t>embajadoras, 5 cónsules generales, 13 ministras consejeras, 4 representantes permanentes adjuntas;</w:t>
      </w:r>
    </w:p>
    <w:p w14:paraId="168B9241" w14:textId="73A1C548" w:rsidR="00FB0FCD" w:rsidRPr="00FB0FCD" w:rsidRDefault="00FB0FCD" w:rsidP="001B127E">
      <w:pPr>
        <w:pStyle w:val="SingleTxt"/>
        <w:numPr>
          <w:ilvl w:val="0"/>
          <w:numId w:val="26"/>
        </w:numPr>
        <w:ind w:left="1267"/>
        <w:rPr>
          <w:lang w:val="es-ES_tradnl"/>
        </w:rPr>
      </w:pPr>
      <w:r w:rsidRPr="00FB0FCD">
        <w:rPr>
          <w:lang w:val="es-ES_tradnl"/>
        </w:rPr>
        <w:t>El número de mujeres rusas que ocupaban puestos diplomáticos en organizaciones internacionales fue el siguiente: 2021: 2; 2022: 5; 2023: 8; 2024: 8; 2025: 6.</w:t>
      </w:r>
    </w:p>
    <w:p w14:paraId="037687AE" w14:textId="4C5DAC76" w:rsidR="00FB0FCD" w:rsidRPr="00FB0FCD" w:rsidRDefault="00FB0FCD" w:rsidP="001B127E">
      <w:pPr>
        <w:pStyle w:val="SingleTxt"/>
        <w:numPr>
          <w:ilvl w:val="0"/>
          <w:numId w:val="26"/>
        </w:numPr>
        <w:ind w:left="1267"/>
        <w:rPr>
          <w:lang w:val="es-ES_tradnl"/>
        </w:rPr>
      </w:pPr>
      <w:r w:rsidRPr="00FB0FCD">
        <w:rPr>
          <w:lang w:val="es-ES_tradnl"/>
        </w:rPr>
        <w:t>La proporción de mujeres contratadas por primera vez por el Ministerio de Relaciones Exteriores para puestos diplomáticos fue la siguiente: 2021: 14,73 %, 2022: 12,03 %, 2023: 19,29 %, 2024: 16,27 %, 2025: 16,38 %.</w:t>
      </w:r>
    </w:p>
    <w:p w14:paraId="753FDD4C" w14:textId="5F3489EA" w:rsidR="00FB0FCD" w:rsidRPr="00FB0FCD" w:rsidRDefault="00FB0FCD" w:rsidP="001B127E">
      <w:pPr>
        <w:pStyle w:val="SingleTxt"/>
        <w:numPr>
          <w:ilvl w:val="0"/>
          <w:numId w:val="26"/>
        </w:numPr>
        <w:ind w:left="1267"/>
        <w:rPr>
          <w:lang w:val="es-ES_tradnl"/>
        </w:rPr>
      </w:pPr>
      <w:r w:rsidRPr="00FB0FCD">
        <w:rPr>
          <w:lang w:val="es-ES_tradnl"/>
        </w:rPr>
        <w:t>Con el fin de construir una carrera exitosa mediante la inmersión en la actividad profesional y la formación de aptitudes profesionales, el Ministerio de Educación y Ciencia está ejecutando desde 2021 el proyecto nacional Escuela de Mentores, cuyo objetivo es apoyar a los estudiantes al inicio de su carrera profesional con el fin de crear un entorno de mentoría motivador y solidario. En él pueden participar estudiantes y doctorandos, así como científicos de todas las regiones de la Federación de Rusia. El proyecto ofrece a los estudiantes la oportunidad de colaborar con líderes y mentores de cada una de las especialidades, conocer mejor su experiencia profesional personal y obtener su apoyo y ayuda cualificada en el futuro entorno profesional de todas las especialidades indicadas.</w:t>
      </w:r>
    </w:p>
    <w:p w14:paraId="2E19AA91" w14:textId="65B10337" w:rsidR="00FB0FCD" w:rsidRPr="00FB0FCD" w:rsidRDefault="00FB0FCD" w:rsidP="001B127E">
      <w:pPr>
        <w:pStyle w:val="SingleTxt"/>
        <w:numPr>
          <w:ilvl w:val="0"/>
          <w:numId w:val="26"/>
        </w:numPr>
        <w:ind w:left="1267"/>
        <w:rPr>
          <w:lang w:val="es-ES_tradnl"/>
        </w:rPr>
      </w:pPr>
      <w:r w:rsidRPr="00FB0FCD">
        <w:rPr>
          <w:lang w:val="es-ES_tradnl"/>
        </w:rPr>
        <w:t>Merece la pena destacar el trabajo que la organización público-estatal rusa Unión de Mujeres de Rusia realiza en este ámbito. En 2024, el Ministerio de Desarrollo Digital, Comunicaciones y Medios de Comunicación concedió a esta organización una subvención del presupuesto federal para desarrollar y poner en marcha el proyecto social Portal de Internet de las Mujeres de Rusia (</w:t>
      </w:r>
      <w:hyperlink r:id="rId23" w:history="1">
        <w:r w:rsidR="005511C0" w:rsidRPr="00DC3D0C">
          <w:rPr>
            <w:rStyle w:val="Hyperlink"/>
            <w:lang w:val="es-ES_tradnl"/>
          </w:rPr>
          <w:t>https://womenofrussia.online</w:t>
        </w:r>
      </w:hyperlink>
      <w:r w:rsidRPr="00FB0FCD">
        <w:rPr>
          <w:lang w:val="es-ES_tradnl"/>
        </w:rPr>
        <w:t>).</w:t>
      </w:r>
      <w:r w:rsidR="005511C0">
        <w:rPr>
          <w:lang w:val="es-ES_tradnl"/>
        </w:rPr>
        <w:t xml:space="preserve"> </w:t>
      </w:r>
      <w:r w:rsidRPr="00FB0FCD">
        <w:rPr>
          <w:lang w:val="es-ES_tradnl"/>
        </w:rPr>
        <w:t>Entre las tareas que desarrolla este portal figura la mejora de la condición social de las mujeres y la promoción de su papel en la vida política, económica, social y cultural del país. En 2024, en el portal Mujeres de Rusia se publicaron 130 contenidos, consistentes en transmisiones, programas y podcasts, se realizaron 241 consultas en línea con expertos y 26 seminarios web educativos y se publicaron 1.212 artículos y publicaciones.</w:t>
      </w:r>
    </w:p>
    <w:p w14:paraId="29B13D31" w14:textId="6107AC2F" w:rsidR="00FB0FCD" w:rsidRPr="001B127E" w:rsidRDefault="00FB0FCD" w:rsidP="001B127E">
      <w:pPr>
        <w:pStyle w:val="SingleTxt"/>
        <w:numPr>
          <w:ilvl w:val="0"/>
          <w:numId w:val="26"/>
        </w:numPr>
        <w:ind w:left="1267"/>
        <w:rPr>
          <w:lang w:val="es-ES_tradnl"/>
        </w:rPr>
      </w:pPr>
      <w:r w:rsidRPr="00FB0FCD">
        <w:rPr>
          <w:lang w:val="es-ES_tradnl"/>
        </w:rPr>
        <w:t>Otra de las iniciativas de la Unión de Mujeres de Rusia es el programa de garantía de la igualdad de derechos y oportunidades entre hombres y mujeres, que tiene como objetivos promover la aplicación de la Estrategia en favor de las Mujeres, velar por la igualdad de derechos, libertades e oportunidades para las mujeres en los distintos ámbitos de la vida social, eliminar las barreras discriminatorias por razón de género y crear condiciones que permitan que las mujeres mejoren su situación y desarrollen plenamente su potencial creativo y sus capacidades artísticas.</w:t>
      </w:r>
    </w:p>
    <w:p w14:paraId="11E7C6D2" w14:textId="77777777" w:rsidR="001B127E" w:rsidRPr="001B127E" w:rsidRDefault="001B127E" w:rsidP="001B127E">
      <w:pPr>
        <w:pStyle w:val="SingleTxt"/>
        <w:spacing w:after="0" w:line="120" w:lineRule="exact"/>
        <w:rPr>
          <w:sz w:val="10"/>
          <w:lang w:val="es-ES_tradnl"/>
        </w:rPr>
      </w:pPr>
    </w:p>
    <w:p w14:paraId="0F854357" w14:textId="77777777" w:rsidR="00FB0FCD" w:rsidRPr="001B127E" w:rsidRDefault="00FB0FCD" w:rsidP="001B1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lastRenderedPageBreak/>
        <w:tab/>
      </w:r>
      <w:r w:rsidRPr="001B127E">
        <w:rPr>
          <w:lang w:val="es-ES_tradnl"/>
        </w:rPr>
        <w:tab/>
        <w:t>Párrafos 32 y 33 de las observaciones finales</w:t>
      </w:r>
    </w:p>
    <w:p w14:paraId="60C5DBA1" w14:textId="77777777" w:rsidR="001B127E" w:rsidRPr="001B127E" w:rsidRDefault="001B127E" w:rsidP="001B127E">
      <w:pPr>
        <w:pStyle w:val="SingleTxt"/>
        <w:spacing w:after="0" w:line="120" w:lineRule="exact"/>
        <w:rPr>
          <w:bCs/>
          <w:sz w:val="10"/>
          <w:lang w:val="es-ES_tradnl"/>
        </w:rPr>
      </w:pPr>
    </w:p>
    <w:p w14:paraId="06751F79" w14:textId="7EF994D8" w:rsidR="00FB0FCD" w:rsidRPr="00FB0FCD" w:rsidRDefault="00FB0FCD" w:rsidP="001B127E">
      <w:pPr>
        <w:pStyle w:val="SingleTxt"/>
        <w:numPr>
          <w:ilvl w:val="0"/>
          <w:numId w:val="26"/>
        </w:numPr>
        <w:ind w:left="1267"/>
        <w:rPr>
          <w:bCs/>
          <w:lang w:val="es-ES_tradnl"/>
        </w:rPr>
      </w:pPr>
      <w:r w:rsidRPr="00FB0FCD">
        <w:rPr>
          <w:lang w:val="es-ES_tradnl"/>
        </w:rPr>
        <w:t xml:space="preserve">La Federación de Rusia no acepta que Crimea, Sebastopol y las Repúblicas Populares de Donetsk y </w:t>
      </w:r>
      <w:proofErr w:type="spellStart"/>
      <w:r w:rsidRPr="00FB0FCD">
        <w:rPr>
          <w:lang w:val="es-ES_tradnl"/>
        </w:rPr>
        <w:t>Lugansk</w:t>
      </w:r>
      <w:proofErr w:type="spellEnd"/>
      <w:r w:rsidRPr="00FB0FCD">
        <w:rPr>
          <w:lang w:val="es-ES_tradnl"/>
        </w:rPr>
        <w:t xml:space="preserve"> sean consideradas territorio de Ucrania con arreglo a lo dispuesto en las resoluciones </w:t>
      </w:r>
      <w:hyperlink r:id="rId24" w:history="1">
        <w:r w:rsidRPr="00FB0FCD">
          <w:rPr>
            <w:rStyle w:val="Hyperlink"/>
            <w:lang w:val="es-ES_tradnl"/>
          </w:rPr>
          <w:t>75/192</w:t>
        </w:r>
      </w:hyperlink>
      <w:r w:rsidRPr="00FB0FCD">
        <w:rPr>
          <w:lang w:val="es-ES_tradnl"/>
        </w:rPr>
        <w:t xml:space="preserve"> y </w:t>
      </w:r>
      <w:hyperlink r:id="rId25" w:history="1">
        <w:r w:rsidRPr="00FB0FCD">
          <w:rPr>
            <w:rStyle w:val="Hyperlink"/>
            <w:lang w:val="es-ES_tradnl"/>
          </w:rPr>
          <w:t>75/29</w:t>
        </w:r>
      </w:hyperlink>
      <w:r w:rsidRPr="00FB0FCD">
        <w:rPr>
          <w:lang w:val="es-ES_tradnl"/>
        </w:rPr>
        <w:t xml:space="preserve"> de la Asamblea General. Su incorporación a la Federación de Rusia fue consecuencia de los referéndums celebrados el 16 de marzo de 2014 en Crimea y Sebastopol y del 23 al 27 de septiembre de 2022 en las Repúblicas Populares de Donetsk y </w:t>
      </w:r>
      <w:proofErr w:type="spellStart"/>
      <w:r w:rsidRPr="00FB0FCD">
        <w:rPr>
          <w:lang w:val="es-ES_tradnl"/>
        </w:rPr>
        <w:t>Lugansk</w:t>
      </w:r>
      <w:proofErr w:type="spellEnd"/>
      <w:r w:rsidRPr="00FB0FCD">
        <w:rPr>
          <w:lang w:val="es-ES_tradnl"/>
        </w:rPr>
        <w:t xml:space="preserve">. A este respecto, cabe añadir que realizar afirmaciones sin tener en cuenta los resultados de la voluntad expresada por la población de Crimea, Sebastopol y las Repúblicas Populares de Donetsk y </w:t>
      </w:r>
      <w:proofErr w:type="spellStart"/>
      <w:r w:rsidRPr="00FB0FCD">
        <w:rPr>
          <w:lang w:val="es-ES_tradnl"/>
        </w:rPr>
        <w:t>Lugansk</w:t>
      </w:r>
      <w:proofErr w:type="spellEnd"/>
      <w:r w:rsidRPr="00FB0FCD">
        <w:rPr>
          <w:lang w:val="es-ES_tradnl"/>
        </w:rPr>
        <w:t>, incluidas las mujeres, contraviene el artículo 7 de la Convención, en el que se establece su derecho a “votar en todas las elecciones y referendos públicos”.</w:t>
      </w:r>
    </w:p>
    <w:p w14:paraId="564527A4" w14:textId="3999AB1E" w:rsidR="00FB0FCD" w:rsidRPr="00FB0FCD" w:rsidRDefault="00FB0FCD" w:rsidP="001B127E">
      <w:pPr>
        <w:pStyle w:val="SingleTxt"/>
        <w:numPr>
          <w:ilvl w:val="0"/>
          <w:numId w:val="26"/>
        </w:numPr>
        <w:ind w:left="1267"/>
        <w:rPr>
          <w:bCs/>
          <w:lang w:val="es-ES_tradnl"/>
        </w:rPr>
      </w:pPr>
      <w:r w:rsidRPr="00FB0FCD">
        <w:rPr>
          <w:lang w:val="es-ES_tradnl"/>
        </w:rPr>
        <w:t>La República de Abjasia y la República de Osetia del Sur son Estados soberanos independientes. Las solicitudes de información sobre el cumplimiento de las disposiciones de la Convención en el territorio de estos dos países deben dirigirse directamente a sus Gobiernos.</w:t>
      </w:r>
    </w:p>
    <w:p w14:paraId="360EB1BE" w14:textId="1ABD6B2C" w:rsidR="00FB0FCD" w:rsidRPr="001B127E" w:rsidRDefault="00FB0FCD" w:rsidP="001B127E">
      <w:pPr>
        <w:pStyle w:val="SingleTxt"/>
        <w:numPr>
          <w:ilvl w:val="0"/>
          <w:numId w:val="26"/>
        </w:numPr>
        <w:ind w:left="1267"/>
        <w:rPr>
          <w:lang w:val="es-ES_tradnl"/>
        </w:rPr>
      </w:pPr>
      <w:r w:rsidRPr="00FB0FCD">
        <w:rPr>
          <w:lang w:val="es-ES_tradnl"/>
        </w:rPr>
        <w:t xml:space="preserve">La resolución </w:t>
      </w:r>
      <w:hyperlink r:id="rId26" w:history="1">
        <w:r w:rsidRPr="00FB0FCD">
          <w:rPr>
            <w:rStyle w:val="Hyperlink"/>
            <w:lang w:val="es-ES_tradnl"/>
          </w:rPr>
          <w:t>1325 (2000)</w:t>
        </w:r>
      </w:hyperlink>
      <w:r w:rsidRPr="00FB0FCD">
        <w:rPr>
          <w:lang w:val="es-ES_tradnl"/>
        </w:rPr>
        <w:t xml:space="preserve"> del Consejo de Seguridad es aplicable exclusivamente a situaciones de conflicto armado, que no es el caso de la situación imperante en el territorio de la Federación de Rusia. Por consiguiente, es inadmisible e injustificado aplicar de manera generalizada y arbitraria la resolución </w:t>
      </w:r>
      <w:hyperlink r:id="rId27" w:history="1">
        <w:r w:rsidRPr="00FB0FCD">
          <w:rPr>
            <w:rStyle w:val="Hyperlink"/>
            <w:lang w:val="es-ES_tradnl"/>
          </w:rPr>
          <w:t>1325 (2000)</w:t>
        </w:r>
      </w:hyperlink>
      <w:r w:rsidRPr="00FB0FCD">
        <w:rPr>
          <w:lang w:val="es-ES_tradnl"/>
        </w:rPr>
        <w:t xml:space="preserve"> del Consejo de Seguridad. En cuanto a la elaboración de los denominados planes de acción nacionales destinados a aplicar la resolución 1325 del Consejo de Seguridad de las Naciones Unidas, esa actividad debe llevarse a cabo de forma voluntaria por los Estados que se encuentran en situación de conflicto armado o de reconstrucción posconflicto. Si otros países desean elaborar también planes nacionales de este tipo, es sin duda su derecho, pero no es una obligación.</w:t>
      </w:r>
    </w:p>
    <w:p w14:paraId="48F7AB2F" w14:textId="77777777" w:rsidR="001B127E" w:rsidRPr="001B127E" w:rsidRDefault="001B127E" w:rsidP="001B127E">
      <w:pPr>
        <w:pStyle w:val="SingleTxt"/>
        <w:spacing w:after="0" w:line="120" w:lineRule="exact"/>
        <w:rPr>
          <w:sz w:val="10"/>
          <w:lang w:val="es-ES_tradnl"/>
        </w:rPr>
      </w:pPr>
    </w:p>
    <w:p w14:paraId="1EB3B126" w14:textId="77777777" w:rsidR="001B127E" w:rsidRPr="001B127E" w:rsidRDefault="001B127E" w:rsidP="001B127E">
      <w:pPr>
        <w:pStyle w:val="SingleTxt"/>
        <w:spacing w:after="0" w:line="120" w:lineRule="exact"/>
        <w:rPr>
          <w:sz w:val="10"/>
          <w:lang w:val="es-ES_tradnl"/>
        </w:rPr>
      </w:pPr>
    </w:p>
    <w:p w14:paraId="6CC5A6D4" w14:textId="77777777" w:rsidR="00FB0FCD" w:rsidRPr="001B127E" w:rsidRDefault="00FB0FCD" w:rsidP="001B12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Artículo 9</w:t>
      </w:r>
    </w:p>
    <w:p w14:paraId="65266B78" w14:textId="77777777" w:rsidR="001B127E" w:rsidRPr="001B127E" w:rsidRDefault="001B127E" w:rsidP="001B127E">
      <w:pPr>
        <w:pStyle w:val="SingleTxt"/>
        <w:spacing w:after="0" w:line="120" w:lineRule="exact"/>
        <w:rPr>
          <w:b/>
          <w:sz w:val="10"/>
          <w:lang w:val="es-ES_tradnl"/>
        </w:rPr>
      </w:pPr>
    </w:p>
    <w:p w14:paraId="28FD76A2" w14:textId="77777777" w:rsidR="001B127E" w:rsidRPr="001B127E" w:rsidRDefault="001B127E" w:rsidP="001B127E">
      <w:pPr>
        <w:pStyle w:val="SingleTxt"/>
        <w:spacing w:after="0" w:line="120" w:lineRule="exact"/>
        <w:rPr>
          <w:b/>
          <w:sz w:val="10"/>
          <w:lang w:val="es-ES_tradnl"/>
        </w:rPr>
      </w:pPr>
    </w:p>
    <w:p w14:paraId="759E06ED" w14:textId="0DF5C7C5" w:rsidR="00FB0FCD" w:rsidRPr="001B127E" w:rsidRDefault="00FB0FCD" w:rsidP="001B1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Párrafos 34 y 35 de las observaciones finales</w:t>
      </w:r>
    </w:p>
    <w:p w14:paraId="7C4F7AD7" w14:textId="77777777" w:rsidR="001B127E" w:rsidRPr="001B127E" w:rsidRDefault="001B127E" w:rsidP="001B127E">
      <w:pPr>
        <w:pStyle w:val="SingleTxt"/>
        <w:spacing w:after="0" w:line="120" w:lineRule="exact"/>
        <w:rPr>
          <w:bCs/>
          <w:sz w:val="10"/>
          <w:lang w:val="es-ES_tradnl"/>
        </w:rPr>
      </w:pPr>
    </w:p>
    <w:p w14:paraId="4A7CB24D" w14:textId="52D551E3" w:rsidR="00FB0FCD" w:rsidRPr="001B127E" w:rsidRDefault="00FB0FCD" w:rsidP="001B127E">
      <w:pPr>
        <w:pStyle w:val="SingleTxt"/>
        <w:numPr>
          <w:ilvl w:val="0"/>
          <w:numId w:val="26"/>
        </w:numPr>
        <w:ind w:left="1267"/>
        <w:rPr>
          <w:lang w:val="es-ES_tradnl"/>
        </w:rPr>
      </w:pPr>
      <w:r w:rsidRPr="00FB0FCD">
        <w:rPr>
          <w:lang w:val="es-ES_tradnl"/>
        </w:rPr>
        <w:t xml:space="preserve">En 2022, el Gobierno de la Federación de Rusia aprobó un plan integral de medidas para el desarrollo sociocultural de los romaníes en la Federación de Rusia, de 12 de octubre de 2022, núm. </w:t>
      </w:r>
      <w:proofErr w:type="spellStart"/>
      <w:r w:rsidRPr="00FB0FCD">
        <w:rPr>
          <w:lang w:val="es-ES_tradnl"/>
        </w:rPr>
        <w:t>11932p-P44</w:t>
      </w:r>
      <w:proofErr w:type="spellEnd"/>
      <w:r w:rsidRPr="00FB0FCD">
        <w:rPr>
          <w:lang w:val="es-ES_tradnl"/>
        </w:rPr>
        <w:t xml:space="preserve">. Como parte de la aplicación del </w:t>
      </w:r>
      <w:r w:rsidR="009330FC" w:rsidRPr="00FB0FCD">
        <w:rPr>
          <w:lang w:val="es-ES_tradnl"/>
        </w:rPr>
        <w:t>párrafo</w:t>
      </w:r>
      <w:r w:rsidR="009330FC">
        <w:rPr>
          <w:lang w:val="es-ES_tradnl"/>
        </w:rPr>
        <w:t> </w:t>
      </w:r>
      <w:r w:rsidRPr="00FB0FCD">
        <w:rPr>
          <w:lang w:val="es-ES_tradnl"/>
        </w:rPr>
        <w:t>1 de dicho plan, el Ministerio del Interior lleva a cabo una labor permanente con el fin de determinar en qué lugares se concentra la población romaní y de prestarle apoyo jurídico en cuestiones relacionadas con la expedición de pasaportes de la Federación de Rusia que acrediten la identidad de los ciudadanos de la Federación de Rusia en el territorio del país.</w:t>
      </w:r>
    </w:p>
    <w:p w14:paraId="325A6EDC" w14:textId="77777777" w:rsidR="001B127E" w:rsidRPr="001B127E" w:rsidRDefault="001B127E" w:rsidP="001B127E">
      <w:pPr>
        <w:pStyle w:val="SingleTxt"/>
        <w:spacing w:after="0" w:line="120" w:lineRule="exact"/>
        <w:rPr>
          <w:sz w:val="10"/>
          <w:lang w:val="es-ES_tradnl"/>
        </w:rPr>
      </w:pPr>
    </w:p>
    <w:p w14:paraId="2505C148" w14:textId="77777777" w:rsidR="001B127E" w:rsidRPr="001B127E" w:rsidRDefault="001B127E" w:rsidP="001B127E">
      <w:pPr>
        <w:pStyle w:val="SingleTxt"/>
        <w:spacing w:after="0" w:line="120" w:lineRule="exact"/>
        <w:rPr>
          <w:sz w:val="10"/>
          <w:lang w:val="es-ES_tradnl"/>
        </w:rPr>
      </w:pPr>
    </w:p>
    <w:p w14:paraId="2CD105B9" w14:textId="77777777" w:rsidR="00FB0FCD" w:rsidRPr="001B127E" w:rsidRDefault="00FB0FCD" w:rsidP="001B12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Parte III</w:t>
      </w:r>
    </w:p>
    <w:p w14:paraId="1E27991C" w14:textId="77777777" w:rsidR="001B127E" w:rsidRPr="001B127E" w:rsidRDefault="001B127E" w:rsidP="001B127E">
      <w:pPr>
        <w:pStyle w:val="SingleTxt"/>
        <w:spacing w:after="0" w:line="120" w:lineRule="exact"/>
        <w:rPr>
          <w:b/>
          <w:sz w:val="10"/>
          <w:lang w:val="es-ES_tradnl"/>
        </w:rPr>
      </w:pPr>
    </w:p>
    <w:p w14:paraId="01EB88A3" w14:textId="77777777" w:rsidR="001B127E" w:rsidRPr="001B127E" w:rsidRDefault="001B127E" w:rsidP="001B127E">
      <w:pPr>
        <w:pStyle w:val="SingleTxt"/>
        <w:spacing w:after="0" w:line="120" w:lineRule="exact"/>
        <w:rPr>
          <w:b/>
          <w:sz w:val="10"/>
          <w:lang w:val="es-ES_tradnl"/>
        </w:rPr>
      </w:pPr>
    </w:p>
    <w:p w14:paraId="69D54433" w14:textId="702977F3" w:rsidR="00FB0FCD" w:rsidRPr="001B127E" w:rsidRDefault="00FB0FCD" w:rsidP="001B12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Artículo 10</w:t>
      </w:r>
    </w:p>
    <w:p w14:paraId="379DBB82" w14:textId="77777777" w:rsidR="001B127E" w:rsidRPr="001B127E" w:rsidRDefault="001B127E" w:rsidP="001B127E">
      <w:pPr>
        <w:pStyle w:val="SingleTxt"/>
        <w:spacing w:after="0" w:line="120" w:lineRule="exact"/>
        <w:rPr>
          <w:b/>
          <w:sz w:val="10"/>
          <w:lang w:val="es-ES_tradnl"/>
        </w:rPr>
      </w:pPr>
    </w:p>
    <w:p w14:paraId="61AFBBBF" w14:textId="77777777" w:rsidR="001B127E" w:rsidRPr="001B127E" w:rsidRDefault="001B127E" w:rsidP="001B127E">
      <w:pPr>
        <w:pStyle w:val="SingleTxt"/>
        <w:spacing w:after="0" w:line="120" w:lineRule="exact"/>
        <w:rPr>
          <w:b/>
          <w:sz w:val="10"/>
          <w:lang w:val="es-ES_tradnl"/>
        </w:rPr>
      </w:pPr>
    </w:p>
    <w:p w14:paraId="35A648FF" w14:textId="392F2BCA" w:rsidR="00FB0FCD" w:rsidRPr="001B127E" w:rsidRDefault="00FB0FCD" w:rsidP="001B1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127E">
        <w:rPr>
          <w:lang w:val="es-ES_tradnl"/>
        </w:rPr>
        <w:tab/>
      </w:r>
      <w:r w:rsidRPr="001B127E">
        <w:rPr>
          <w:lang w:val="es-ES_tradnl"/>
        </w:rPr>
        <w:tab/>
        <w:t>Párrafos 36 y 37 de las observaciones finales</w:t>
      </w:r>
    </w:p>
    <w:p w14:paraId="34DD2268" w14:textId="77777777" w:rsidR="001B127E" w:rsidRPr="001B127E" w:rsidRDefault="001B127E" w:rsidP="001B127E">
      <w:pPr>
        <w:pStyle w:val="SingleTxt"/>
        <w:spacing w:after="0" w:line="120" w:lineRule="exact"/>
        <w:rPr>
          <w:bCs/>
          <w:sz w:val="10"/>
          <w:lang w:val="es-ES_tradnl"/>
        </w:rPr>
      </w:pPr>
    </w:p>
    <w:p w14:paraId="474B2AC4" w14:textId="4C7ECF85" w:rsidR="00FB0FCD" w:rsidRPr="00FB0FCD" w:rsidRDefault="00FB0FCD" w:rsidP="001B127E">
      <w:pPr>
        <w:pStyle w:val="SingleTxt"/>
        <w:numPr>
          <w:ilvl w:val="0"/>
          <w:numId w:val="26"/>
        </w:numPr>
        <w:ind w:left="1267"/>
        <w:rPr>
          <w:lang w:val="es-ES_tradnl"/>
        </w:rPr>
      </w:pPr>
      <w:r w:rsidRPr="00FB0FCD">
        <w:rPr>
          <w:lang w:val="es-ES_tradnl"/>
        </w:rPr>
        <w:t xml:space="preserve">Como se recoge en el artículo 43 de la Constitución, todas las personas tienen derecho a la educación. Además, todas las personas tienen derecho a acceder de forma gratuita y mediante concurso a la educación superior en centros educativos estatales o municipales y en empresas. Según el artículo 3 de la Ley Federal núm. 273-FZ relativa a la educación en la Federación de Rusia, de 29 de diciembre de 2012, la política estatal y la reglamentación jurídica de las relaciones en el ámbito de la educación tienen como fundamento, entre otros, los principios de que todas las </w:t>
      </w:r>
      <w:r w:rsidRPr="00FB0FCD">
        <w:rPr>
          <w:lang w:val="es-ES_tradnl"/>
        </w:rPr>
        <w:lastRenderedPageBreak/>
        <w:t xml:space="preserve">personas tienen derecho a la educación y de que la discriminación en el ámbito de la educación es inadmisible (véase también el anexo 1). </w:t>
      </w:r>
    </w:p>
    <w:p w14:paraId="29B469A9" w14:textId="190A66F7" w:rsidR="00FB0FCD" w:rsidRPr="00FB0FCD" w:rsidRDefault="00FB0FCD" w:rsidP="001B127E">
      <w:pPr>
        <w:pStyle w:val="SingleTxt"/>
        <w:numPr>
          <w:ilvl w:val="0"/>
          <w:numId w:val="26"/>
        </w:numPr>
        <w:ind w:left="1267"/>
        <w:rPr>
          <w:lang w:val="es-ES_tradnl"/>
        </w:rPr>
      </w:pPr>
      <w:r w:rsidRPr="00FB0FCD">
        <w:rPr>
          <w:lang w:val="es-ES_tradnl"/>
        </w:rPr>
        <w:t>Además, sobre la base del artículo 5.5 de la Ley Federal núm. 273-FZ, con el fin de hacer efectivo el derecho de toda persona a la educación los órganos estatales federales, los órganos públicos de las entidades constitutivas de la Federación de Rusia y los órganos de gobierno local deben, entre otras cosas, establecer las condiciones necesarias para que las personas con discapacidad puedan acceder sin discriminación a una educación de calidad, corregir los trastornos del desarrollo y la adaptación social, prestar asistencia correctiva temprana basada en enfoques pedagógicos especiales y en los idiomas más adecuados para esas personas, con métodos y formas de comunicación y condiciones que favorezcan al máximo la obtención de un nivel y una orientación determinados de educación, así como el desarrollo social de estas personas, entre otras cosas estableciendo una educación inclusiva para las personas con discapacidades, y de garantizar, ya sea total o parcialmente, la financiación de la manutención de las personas que necesitan apoyo social, de conformidad con la legislación de la Federación de Rusia, durante el período en que cursan sus estudios.</w:t>
      </w:r>
    </w:p>
    <w:p w14:paraId="094644AD" w14:textId="7298417B" w:rsidR="00FB0FCD" w:rsidRPr="00FB0FCD" w:rsidRDefault="00FB0FCD" w:rsidP="001B127E">
      <w:pPr>
        <w:pStyle w:val="SingleTxt"/>
        <w:numPr>
          <w:ilvl w:val="0"/>
          <w:numId w:val="26"/>
        </w:numPr>
        <w:ind w:left="1267"/>
        <w:rPr>
          <w:lang w:val="es-ES_tradnl"/>
        </w:rPr>
      </w:pPr>
      <w:r w:rsidRPr="00FB0FCD">
        <w:rPr>
          <w:lang w:val="es-ES_tradnl"/>
        </w:rPr>
        <w:t xml:space="preserve">En el párrafo 23 del plan de implementación de la Estrategia en favor de las Mujeres se prevé incrementar la alfabetización digital de las niñas y las mujeres y mejorar las competencias digitales en economía digital e inversiones en el marco del proyecto federal sobre seguridad de la información del programa nacional Economía digital de la Federación de Rusia, entre otras cosas mediante la creación y el desarrollo de una plataforma en línea para la educación básica en materia de inversiones. </w:t>
      </w:r>
    </w:p>
    <w:p w14:paraId="67C550E0" w14:textId="069FBD97" w:rsidR="00FB0FCD" w:rsidRPr="00FB0FCD" w:rsidRDefault="00FB0FCD" w:rsidP="001B127E">
      <w:pPr>
        <w:pStyle w:val="SingleTxt"/>
        <w:numPr>
          <w:ilvl w:val="0"/>
          <w:numId w:val="26"/>
        </w:numPr>
        <w:ind w:left="1267"/>
        <w:rPr>
          <w:lang w:val="es-ES_tradnl"/>
        </w:rPr>
      </w:pPr>
      <w:r w:rsidRPr="00FB0FCD">
        <w:rPr>
          <w:lang w:val="es-ES_tradnl"/>
        </w:rPr>
        <w:t xml:space="preserve">El Ministerio de Desarrollo Digital, Comunicaciones y Medios de Comunicación, </w:t>
      </w:r>
      <w:proofErr w:type="gramStart"/>
      <w:r w:rsidRPr="00FB0FCD">
        <w:rPr>
          <w:lang w:val="es-ES_tradnl"/>
        </w:rPr>
        <w:t>conjuntamente con</w:t>
      </w:r>
      <w:proofErr w:type="gramEnd"/>
      <w:r w:rsidRPr="00FB0FCD">
        <w:rPr>
          <w:lang w:val="es-ES_tradnl"/>
        </w:rPr>
        <w:t xml:space="preserve"> la organización autónoma sin fines de lucro Economía Digital y el Ministerio de Educación y en colaboración con empresas líderes en transformación digital, promueve el desarrollo de la alfabetización digital entre las niñas y las mujeres mediante la implementación de una serie de actividades como las que se detallan a continuación: </w:t>
      </w:r>
    </w:p>
    <w:p w14:paraId="17BC8BC7" w14:textId="5DCE3FA0" w:rsidR="00FB0FCD" w:rsidRPr="00FB0FCD" w:rsidRDefault="001B127E" w:rsidP="001B127E">
      <w:pPr>
        <w:pStyle w:val="SingleTxt"/>
        <w:tabs>
          <w:tab w:val="right" w:pos="1685"/>
        </w:tabs>
        <w:ind w:left="1742" w:hanging="475"/>
        <w:rPr>
          <w:lang w:val="es-ES_tradnl"/>
        </w:rPr>
      </w:pPr>
      <w:r w:rsidRPr="001B127E">
        <w:rPr>
          <w:lang w:val="es-ES_tradnl"/>
        </w:rPr>
        <w:tab/>
        <w:t>–</w:t>
      </w:r>
      <w:r w:rsidRPr="001B127E">
        <w:rPr>
          <w:lang w:val="es-ES_tradnl"/>
        </w:rPr>
        <w:tab/>
      </w:r>
      <w:r w:rsidR="00FB0FCD" w:rsidRPr="00FB0FCD">
        <w:rPr>
          <w:lang w:val="es-ES_tradnl"/>
        </w:rPr>
        <w:t xml:space="preserve">El desarrollo de </w:t>
      </w:r>
      <w:r w:rsidR="00FB0FCD" w:rsidRPr="00FB0FCD">
        <w:rPr>
          <w:lang w:val="es-ES_tradnl"/>
          <w14:ligatures w14:val="standardContextual"/>
        </w:rPr>
        <w:t>aptitudes</w:t>
      </w:r>
      <w:r w:rsidR="00FB0FCD" w:rsidRPr="00FB0FCD">
        <w:rPr>
          <w:lang w:val="es-ES_tradnl"/>
        </w:rPr>
        <w:t xml:space="preserve"> en el ámbito de la alfabetización digital (proyecto de ámbito nacional Alfabetización Digital) (</w:t>
      </w:r>
      <w:hyperlink r:id="rId28" w:history="1">
        <w:r w:rsidRPr="00FB0FCD">
          <w:rPr>
            <w:rStyle w:val="Hyperlink"/>
            <w:lang w:val="es-ES_tradnl"/>
          </w:rPr>
          <w:t>https://digital-likbez.datalesson.ru/</w:t>
        </w:r>
      </w:hyperlink>
      <w:r w:rsidR="00FB0FCD" w:rsidRPr="00FB0FCD">
        <w:rPr>
          <w:lang w:val="es-ES_tradnl"/>
        </w:rPr>
        <w:t>);</w:t>
      </w:r>
    </w:p>
    <w:p w14:paraId="374B0212" w14:textId="24E43D79" w:rsidR="00FB0FCD" w:rsidRPr="00FB0FCD" w:rsidRDefault="001B127E" w:rsidP="001B127E">
      <w:pPr>
        <w:pStyle w:val="SingleTxt"/>
        <w:tabs>
          <w:tab w:val="right" w:pos="1685"/>
        </w:tabs>
        <w:ind w:left="1742" w:hanging="475"/>
        <w:rPr>
          <w:lang w:val="es-ES_tradnl"/>
        </w:rPr>
      </w:pPr>
      <w:r w:rsidRPr="001B127E">
        <w:rPr>
          <w:lang w:val="es-ES_tradnl"/>
        </w:rPr>
        <w:tab/>
        <w:t>–</w:t>
      </w:r>
      <w:r w:rsidRPr="001B127E">
        <w:rPr>
          <w:lang w:val="es-ES_tradnl"/>
        </w:rPr>
        <w:tab/>
      </w:r>
      <w:r w:rsidR="00FB0FCD" w:rsidRPr="00FB0FCD">
        <w:rPr>
          <w:lang w:val="es-ES_tradnl"/>
        </w:rPr>
        <w:t>La formación y la orientación profesional de los escolares en el ámbito de las tecnologías digitales (</w:t>
      </w:r>
      <w:r w:rsidR="00FB0FCD" w:rsidRPr="00FB0FCD">
        <w:rPr>
          <w:lang w:val="es-ES_tradnl"/>
          <w14:ligatures w14:val="standardContextual"/>
        </w:rPr>
        <w:t>proyectos</w:t>
      </w:r>
      <w:r w:rsidR="00FB0FCD" w:rsidRPr="00FB0FCD">
        <w:rPr>
          <w:lang w:val="es-ES_tradnl"/>
        </w:rPr>
        <w:t xml:space="preserve"> educativos a nivel nacional Lección Digital (</w:t>
      </w:r>
      <w:hyperlink r:id="rId29" w:history="1">
        <w:r w:rsidRPr="00FB0FCD">
          <w:rPr>
            <w:rStyle w:val="Hyperlink"/>
            <w:lang w:val="es-ES_tradnl"/>
          </w:rPr>
          <w:t>https://урокцифры.рф/</w:t>
        </w:r>
      </w:hyperlink>
      <w:r w:rsidR="00FB0FCD" w:rsidRPr="00FB0FCD">
        <w:rPr>
          <w:lang w:val="es-ES_tradnl"/>
        </w:rPr>
        <w:t>)</w:t>
      </w:r>
      <w:r>
        <w:rPr>
          <w:lang w:val="es-ES_tradnl"/>
        </w:rPr>
        <w:t xml:space="preserve"> </w:t>
      </w:r>
      <w:r w:rsidR="00FB0FCD" w:rsidRPr="00FB0FCD">
        <w:rPr>
          <w:lang w:val="es-ES_tradnl"/>
        </w:rPr>
        <w:t>y Día Digital (</w:t>
      </w:r>
      <w:hyperlink r:id="rId30" w:history="1">
        <w:r w:rsidRPr="00FB0FCD">
          <w:rPr>
            <w:rStyle w:val="Hyperlink"/>
            <w:lang w:val="es-ES_tradnl"/>
          </w:rPr>
          <w:t>https://урокцифры.рф/camp)</w:t>
        </w:r>
      </w:hyperlink>
      <w:r w:rsidR="00FB0FCD" w:rsidRPr="00FB0FCD">
        <w:rPr>
          <w:lang w:val="es-ES_tradnl"/>
        </w:rPr>
        <w:t>);</w:t>
      </w:r>
    </w:p>
    <w:p w14:paraId="539B4FE5" w14:textId="6D6B3AF4" w:rsidR="00FB0FCD" w:rsidRPr="00FB0FCD" w:rsidRDefault="001B127E" w:rsidP="001B127E">
      <w:pPr>
        <w:pStyle w:val="SingleTxt"/>
        <w:tabs>
          <w:tab w:val="right" w:pos="1685"/>
        </w:tabs>
        <w:ind w:left="1742" w:hanging="475"/>
        <w:rPr>
          <w:lang w:val="es-ES_tradnl"/>
        </w:rPr>
      </w:pPr>
      <w:r w:rsidRPr="001B127E">
        <w:rPr>
          <w:lang w:val="es-ES_tradnl"/>
        </w:rPr>
        <w:tab/>
        <w:t>–</w:t>
      </w:r>
      <w:r w:rsidRPr="001B127E">
        <w:rPr>
          <w:lang w:val="es-ES_tradnl"/>
        </w:rPr>
        <w:tab/>
      </w:r>
      <w:r w:rsidR="00FB0FCD" w:rsidRPr="00FB0FCD">
        <w:rPr>
          <w:lang w:val="es-ES_tradnl"/>
        </w:rPr>
        <w:t xml:space="preserve">La prestación de asistencia al Estado en la elaboración de enfoques y estrategias comunes para ampliar las mejores prácticas y debatir cuestiones clave relacionadas con la </w:t>
      </w:r>
      <w:r w:rsidR="00FB0FCD" w:rsidRPr="00FB0FCD">
        <w:rPr>
          <w:lang w:val="es-ES_tradnl"/>
          <w14:ligatures w14:val="standardContextual"/>
        </w:rPr>
        <w:t>alfabetización</w:t>
      </w:r>
      <w:r w:rsidR="00FB0FCD" w:rsidRPr="00FB0FCD">
        <w:rPr>
          <w:lang w:val="es-ES_tradnl"/>
        </w:rPr>
        <w:t xml:space="preserve"> digital y la </w:t>
      </w:r>
      <w:proofErr w:type="spellStart"/>
      <w:r w:rsidR="00FB0FCD" w:rsidRPr="00FB0FCD">
        <w:rPr>
          <w:lang w:val="es-ES_tradnl"/>
        </w:rPr>
        <w:t>ciberhigiene</w:t>
      </w:r>
      <w:proofErr w:type="spellEnd"/>
      <w:r w:rsidR="00FB0FCD" w:rsidRPr="00FB0FCD">
        <w:rPr>
          <w:lang w:val="es-ES_tradnl"/>
        </w:rPr>
        <w:t xml:space="preserve"> de sectores amplios de la población (Consejo de Expertos en Alfabetización Digital y </w:t>
      </w:r>
      <w:proofErr w:type="spellStart"/>
      <w:r w:rsidR="00FB0FCD" w:rsidRPr="00FB0FCD">
        <w:rPr>
          <w:lang w:val="es-ES_tradnl"/>
        </w:rPr>
        <w:t>Ciberhigiene</w:t>
      </w:r>
      <w:proofErr w:type="spellEnd"/>
      <w:r w:rsidR="00FB0FCD" w:rsidRPr="00FB0FCD">
        <w:rPr>
          <w:lang w:val="es-ES_tradnl"/>
        </w:rPr>
        <w:t xml:space="preserve">); </w:t>
      </w:r>
    </w:p>
    <w:p w14:paraId="0854D87D" w14:textId="569BC844" w:rsidR="00FB0FCD" w:rsidRPr="00FB0FCD" w:rsidRDefault="001B127E" w:rsidP="001B127E">
      <w:pPr>
        <w:pStyle w:val="SingleTxt"/>
        <w:tabs>
          <w:tab w:val="right" w:pos="1685"/>
        </w:tabs>
        <w:ind w:left="1742" w:hanging="475"/>
        <w:rPr>
          <w:lang w:val="es-ES_tradnl"/>
        </w:rPr>
      </w:pPr>
      <w:r w:rsidRPr="001B127E">
        <w:rPr>
          <w:lang w:val="es-ES_tradnl"/>
        </w:rPr>
        <w:tab/>
        <w:t>–</w:t>
      </w:r>
      <w:r w:rsidRPr="001B127E">
        <w:rPr>
          <w:lang w:val="es-ES_tradnl"/>
        </w:rPr>
        <w:tab/>
      </w:r>
      <w:r w:rsidR="00FB0FCD" w:rsidRPr="00FB0FCD">
        <w:rPr>
          <w:lang w:val="es-ES_tradnl"/>
        </w:rPr>
        <w:t>La celebración de eventos especializados sobre alfabetización digital en foros y otras plataformas.</w:t>
      </w:r>
    </w:p>
    <w:p w14:paraId="3A01F426" w14:textId="642EEE96" w:rsidR="00FB0FCD" w:rsidRPr="00675AAD" w:rsidRDefault="00FB0FCD" w:rsidP="0032265B">
      <w:pPr>
        <w:pStyle w:val="SingleTxt"/>
        <w:numPr>
          <w:ilvl w:val="0"/>
          <w:numId w:val="26"/>
        </w:numPr>
        <w:ind w:left="1267"/>
        <w:rPr>
          <w:spacing w:val="2"/>
          <w:lang w:val="es-ES_tradnl"/>
        </w:rPr>
      </w:pPr>
      <w:r w:rsidRPr="00675AAD">
        <w:rPr>
          <w:spacing w:val="2"/>
          <w:lang w:val="es-ES_tradnl"/>
        </w:rPr>
        <w:t xml:space="preserve">En 2024 se impartieron clases en formato de simuladores interactivos del proyecto Lección Digital más de 22,2 millones de veces, de las cuales más de </w:t>
      </w:r>
      <w:r w:rsidR="0032265B" w:rsidRPr="00675AAD">
        <w:rPr>
          <w:spacing w:val="2"/>
          <w:lang w:val="es-ES_tradnl"/>
        </w:rPr>
        <w:t>16</w:t>
      </w:r>
      <w:r w:rsidR="0032265B" w:rsidRPr="00675AAD">
        <w:rPr>
          <w:spacing w:val="2"/>
          <w:lang w:val="es-ES_tradnl"/>
        </w:rPr>
        <w:t> </w:t>
      </w:r>
      <w:r w:rsidRPr="00675AAD">
        <w:rPr>
          <w:spacing w:val="2"/>
          <w:lang w:val="es-ES_tradnl"/>
        </w:rPr>
        <w:t>millones (72,</w:t>
      </w:r>
      <w:r w:rsidR="0032265B" w:rsidRPr="00675AAD">
        <w:rPr>
          <w:spacing w:val="2"/>
          <w:lang w:val="es-ES_tradnl"/>
        </w:rPr>
        <w:t>2</w:t>
      </w:r>
      <w:r w:rsidR="0032265B">
        <w:rPr>
          <w:spacing w:val="2"/>
          <w:lang w:val="es-ES_tradnl"/>
        </w:rPr>
        <w:t> </w:t>
      </w:r>
      <w:r w:rsidRPr="00675AAD">
        <w:rPr>
          <w:spacing w:val="2"/>
          <w:lang w:val="es-ES_tradnl"/>
        </w:rPr>
        <w:t>%) fueron a niñas. Se hace notar que se logró no solo una participación preponderante de niñas en las actividades destinadas a la familiarización con las tecnologías de la información, sino también un aumento del interés de las niñas por el desarrollo de sus competencias digitales.</w:t>
      </w:r>
    </w:p>
    <w:p w14:paraId="78002D3E" w14:textId="60730B44" w:rsidR="00FB0FCD" w:rsidRPr="00FB0FCD" w:rsidRDefault="00FB0FCD" w:rsidP="001B127E">
      <w:pPr>
        <w:pStyle w:val="SingleTxt"/>
        <w:numPr>
          <w:ilvl w:val="0"/>
          <w:numId w:val="26"/>
        </w:numPr>
        <w:ind w:left="1267"/>
        <w:rPr>
          <w:lang w:val="es-ES_tradnl"/>
        </w:rPr>
      </w:pPr>
      <w:r w:rsidRPr="00FB0FCD">
        <w:rPr>
          <w:lang w:val="es-ES_tradnl"/>
        </w:rPr>
        <w:t xml:space="preserve">El Día Digital es un proyecto educativo dirigido a los niños que pasan sus vacaciones en campamentos de verano y cuyo objetivo es darles a conocer el mundo de las tecnologías de la información. En el verano de 2024 se unieron al proyecto </w:t>
      </w:r>
      <w:r w:rsidRPr="00FB0FCD">
        <w:rPr>
          <w:lang w:val="es-ES_tradnl"/>
        </w:rPr>
        <w:lastRenderedPageBreak/>
        <w:t>alrededor de 2.300 campamentos infantiles y organizaciones de toda la Federación de Rusia, lo que permitió que unos 300.000 niños accedieran al proyecto, que se considera una herramienta eficaz para proporcionar orientación profesional y aumentar la alfabetización digital, especialmente entre las niñas, durante las vacaciones de verano.</w:t>
      </w:r>
    </w:p>
    <w:p w14:paraId="39D4A2C1" w14:textId="2C9F5657" w:rsidR="00FB0FCD" w:rsidRPr="00FB0FCD" w:rsidRDefault="00FB0FCD" w:rsidP="001B127E">
      <w:pPr>
        <w:pStyle w:val="SingleTxt"/>
        <w:numPr>
          <w:ilvl w:val="0"/>
          <w:numId w:val="26"/>
        </w:numPr>
        <w:ind w:left="1267"/>
        <w:rPr>
          <w:lang w:val="es-ES_tradnl"/>
        </w:rPr>
      </w:pPr>
      <w:r w:rsidRPr="00FB0FCD">
        <w:rPr>
          <w:lang w:val="es-ES_tradnl"/>
        </w:rPr>
        <w:t>En el marco del proyecto federal de desarrollo del potencial humano del sector de las tecnologías de la información, elaborado en el marco del programa nacional Economía Digital de la Federación de Rusia para el período comprendido entre 2022 y 2024, el Ministerio de Desarrollo Digital, Comunicaciones y Medios de Comunicación puso en marcha el proyecto Código del Futuro, cuyo objetivo era orientar profesionalmente a los alumnos de los cursos 8º a 11º y a los estudiantes de universidades y escuelas técnicas en el ámbito de las tecnologías de la información, así como aumentar su motivación para que continuaran su formación en programas de educación profesional secundaria y superior en el ámbito de las tecnologías de la información. En el curso 2022-2023, 31.763 participantes de sexo femenino (el 32 %) se matricularon en cursos de lenguajes modernos de programación en el marco del proyecto Código del Futuro, y en el curso 2023-2024 lo hicieron 95.433 (el 39 %).</w:t>
      </w:r>
    </w:p>
    <w:p w14:paraId="2D748A13" w14:textId="576FD981" w:rsidR="00FB0FCD" w:rsidRDefault="00FB0FCD" w:rsidP="001B127E">
      <w:pPr>
        <w:pStyle w:val="SingleTxt"/>
        <w:numPr>
          <w:ilvl w:val="0"/>
          <w:numId w:val="26"/>
        </w:numPr>
        <w:ind w:left="1267"/>
        <w:rPr>
          <w:lang w:val="es-ES_tradnl"/>
        </w:rPr>
      </w:pPr>
      <w:r w:rsidRPr="00FB0FCD">
        <w:rPr>
          <w:lang w:val="es-ES_tradnl"/>
        </w:rPr>
        <w:t>El párrafo 29 del plan de implementación de la Estrategia en favor de las Mujeres prevé organizar actividades de orientación profesional de las niñas y las mujeres en las que se hará hincapié en la educación y el empleo en especialidades técnicas.</w:t>
      </w:r>
    </w:p>
    <w:p w14:paraId="5D1D68C9" w14:textId="77777777" w:rsidR="001B127E" w:rsidRPr="001B127E" w:rsidRDefault="001B127E" w:rsidP="001B127E">
      <w:pPr>
        <w:pStyle w:val="SingleTxt"/>
        <w:spacing w:after="0" w:line="120" w:lineRule="exact"/>
        <w:rPr>
          <w:sz w:val="10"/>
          <w:lang w:val="es-ES_tradnl"/>
        </w:rPr>
      </w:pPr>
    </w:p>
    <w:p w14:paraId="47CB6350" w14:textId="77777777" w:rsidR="001B127E" w:rsidRPr="001B127E" w:rsidRDefault="001B127E" w:rsidP="001B127E">
      <w:pPr>
        <w:pStyle w:val="SingleTxt"/>
        <w:spacing w:after="0" w:line="120" w:lineRule="exact"/>
        <w:rPr>
          <w:sz w:val="10"/>
          <w:lang w:val="es-ES_tradnl"/>
        </w:rPr>
      </w:pPr>
    </w:p>
    <w:p w14:paraId="6AE1CB13" w14:textId="77777777" w:rsidR="00FB0FCD" w:rsidRPr="00FB0FCD" w:rsidRDefault="00FB0FCD" w:rsidP="001B12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0FCD">
        <w:rPr>
          <w:lang w:val="es-ES_tradnl"/>
        </w:rPr>
        <w:tab/>
      </w:r>
      <w:r w:rsidRPr="00FB0FCD">
        <w:rPr>
          <w:lang w:val="es-ES_tradnl"/>
        </w:rPr>
        <w:tab/>
        <w:t>Artículo 11</w:t>
      </w:r>
    </w:p>
    <w:p w14:paraId="11EA282B" w14:textId="77777777" w:rsidR="001B127E" w:rsidRPr="001B127E" w:rsidRDefault="001B127E" w:rsidP="001B127E">
      <w:pPr>
        <w:pStyle w:val="SingleTxt"/>
        <w:spacing w:after="0" w:line="120" w:lineRule="exact"/>
        <w:rPr>
          <w:b/>
          <w:sz w:val="10"/>
          <w:lang w:val="es-ES_tradnl"/>
        </w:rPr>
      </w:pPr>
    </w:p>
    <w:p w14:paraId="13CFC822" w14:textId="77777777" w:rsidR="001B127E" w:rsidRPr="001B127E" w:rsidRDefault="001B127E" w:rsidP="001B127E">
      <w:pPr>
        <w:pStyle w:val="SingleTxt"/>
        <w:spacing w:after="0" w:line="120" w:lineRule="exact"/>
        <w:rPr>
          <w:b/>
          <w:sz w:val="10"/>
          <w:lang w:val="es-ES_tradnl"/>
        </w:rPr>
      </w:pPr>
    </w:p>
    <w:p w14:paraId="73387F60" w14:textId="5F13C094" w:rsidR="00FB0FCD" w:rsidRPr="00FB0FCD" w:rsidRDefault="00FB0FCD" w:rsidP="001B1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0FCD">
        <w:rPr>
          <w:lang w:val="es-ES_tradnl"/>
        </w:rPr>
        <w:tab/>
      </w:r>
      <w:r w:rsidRPr="00FB0FCD">
        <w:rPr>
          <w:lang w:val="es-ES_tradnl"/>
        </w:rPr>
        <w:tab/>
        <w:t>Párrafos 38 y 39 de las observaciones finales</w:t>
      </w:r>
    </w:p>
    <w:p w14:paraId="7F2D00F2" w14:textId="77777777" w:rsidR="001B127E" w:rsidRPr="001B127E" w:rsidRDefault="001B127E" w:rsidP="001B127E">
      <w:pPr>
        <w:pStyle w:val="SingleTxt"/>
        <w:spacing w:after="0" w:line="120" w:lineRule="exact"/>
        <w:rPr>
          <w:bCs/>
          <w:sz w:val="10"/>
          <w:lang w:val="es-ES_tradnl"/>
        </w:rPr>
      </w:pPr>
    </w:p>
    <w:p w14:paraId="597B803B" w14:textId="68FF7CEC" w:rsidR="00FB0FCD" w:rsidRPr="00FB0FCD" w:rsidRDefault="00FB0FCD" w:rsidP="001B127E">
      <w:pPr>
        <w:pStyle w:val="SingleTxt"/>
        <w:numPr>
          <w:ilvl w:val="0"/>
          <w:numId w:val="26"/>
        </w:numPr>
        <w:ind w:left="1267"/>
        <w:rPr>
          <w:lang w:val="es-ES_tradnl"/>
        </w:rPr>
      </w:pPr>
      <w:r w:rsidRPr="00FB0FCD">
        <w:rPr>
          <w:lang w:val="es-ES_tradnl"/>
        </w:rPr>
        <w:t>Paralelamente a la política estatal de promoción de la igualdad entre mujeres y hombres en la Federación de Rusia, se aplican medidas encaminadas a proteger la maternidad y la infancia, incluidas medidas específicas para regular el trabajo de las mujeres. Las condiciones específicas relativas al trabajo de las mujeres reconocidas en la regulación del trabajo de las mujeres se establecen en el capítulo 41 del Código del Trabajo de la Federación de Rusia, que dispone determinadas restricciones al empleo de mujeres en trabajos con condiciones de trabajo nocivas o peligrosas y también ofrece garantías y prestaciones adicionales a las mujeres embarazadas y a las mujeres con hijos pequeños.</w:t>
      </w:r>
    </w:p>
    <w:p w14:paraId="71F34919" w14:textId="271E286A" w:rsidR="00FB0FCD" w:rsidRPr="00FB0FCD" w:rsidRDefault="00FB0FCD" w:rsidP="001B127E">
      <w:pPr>
        <w:pStyle w:val="SingleTxt"/>
        <w:numPr>
          <w:ilvl w:val="0"/>
          <w:numId w:val="26"/>
        </w:numPr>
        <w:ind w:left="1267"/>
        <w:rPr>
          <w:lang w:val="es-ES_tradnl"/>
        </w:rPr>
      </w:pPr>
      <w:r w:rsidRPr="00FB0FCD">
        <w:rPr>
          <w:lang w:val="es-ES_tradnl"/>
        </w:rPr>
        <w:t xml:space="preserve">La lista de industrias, trabajos y puestos que tienen condiciones de trabajo nocivas o peligrosas en los que se restringe el empleo de mujeres se aprobó en la Orden del Ministerio de Trabajo núm. </w:t>
      </w:r>
      <w:proofErr w:type="spellStart"/>
      <w:r w:rsidRPr="00FB0FCD">
        <w:rPr>
          <w:lang w:val="es-ES_tradnl"/>
        </w:rPr>
        <w:t>512n</w:t>
      </w:r>
      <w:proofErr w:type="spellEnd"/>
      <w:r w:rsidRPr="00FB0FCD">
        <w:rPr>
          <w:lang w:val="es-ES_tradnl"/>
        </w:rPr>
        <w:t>, de 18 de julio de 2019. Esa lista está siendo reducida gradualmente.</w:t>
      </w:r>
    </w:p>
    <w:p w14:paraId="1D4832FA" w14:textId="61D0AEE3" w:rsidR="00FB0FCD" w:rsidRPr="00FB0FCD" w:rsidRDefault="00FB0FCD" w:rsidP="001B127E">
      <w:pPr>
        <w:pStyle w:val="SingleTxt"/>
        <w:numPr>
          <w:ilvl w:val="0"/>
          <w:numId w:val="26"/>
        </w:numPr>
        <w:ind w:left="1267"/>
        <w:rPr>
          <w:lang w:val="es-ES_tradnl"/>
        </w:rPr>
      </w:pPr>
      <w:r w:rsidRPr="00FB0FCD">
        <w:rPr>
          <w:lang w:val="es-ES_tradnl"/>
        </w:rPr>
        <w:t>La contratación laboral de ciudadanos se lleva a cabo independientemente de su sexo, raza, nacionalidad, origen, situación patrimonial y profesional, lugar de residencia, creencias religiosas, convicciones y pertenencia a asociaciones públicas.</w:t>
      </w:r>
    </w:p>
    <w:p w14:paraId="75D87410" w14:textId="475FCEED" w:rsidR="00FB0FCD" w:rsidRPr="00FB0FCD" w:rsidRDefault="00FB0FCD" w:rsidP="001B127E">
      <w:pPr>
        <w:pStyle w:val="SingleTxt"/>
        <w:numPr>
          <w:ilvl w:val="0"/>
          <w:numId w:val="26"/>
        </w:numPr>
        <w:ind w:left="1267"/>
        <w:rPr>
          <w:lang w:val="es-ES_tradnl"/>
        </w:rPr>
      </w:pPr>
      <w:r w:rsidRPr="00FB0FCD">
        <w:rPr>
          <w:lang w:val="es-ES_tradnl"/>
        </w:rPr>
        <w:t>El 25 de febrero de 2024 entró en vigor la Ley Federal núm. 12-FZ relativa a la introducción de modificaciones en el Código del Trabajo de la Federación de Rusia, de 14 de febrero de 2024, en virtud de la cual se implantó un cambio en el artículo 261.4 del Código del Trabajo con respecto a la prohibición de rescindir el contrato de trabajo, a iniciativa del empleador, de las madres solteras que tuvieran hijos menores de 16 años y de las personas que estuvieran a cargo de un niño sin madre. Las trabajadoras tienen garantizadas una serie de privilegios, que se extienden también a las mujeres extranjeras.</w:t>
      </w:r>
    </w:p>
    <w:p w14:paraId="0BE98273" w14:textId="10328816" w:rsidR="00FB0FCD" w:rsidRPr="00FB0FCD" w:rsidRDefault="00FB0FCD" w:rsidP="001B127E">
      <w:pPr>
        <w:pStyle w:val="SingleTxt"/>
        <w:numPr>
          <w:ilvl w:val="0"/>
          <w:numId w:val="26"/>
        </w:numPr>
        <w:ind w:left="1267"/>
        <w:rPr>
          <w:lang w:val="es-ES_tradnl"/>
        </w:rPr>
      </w:pPr>
      <w:r w:rsidRPr="00FB0FCD">
        <w:rPr>
          <w:lang w:val="es-ES_tradnl"/>
        </w:rPr>
        <w:lastRenderedPageBreak/>
        <w:t>En la Federación de Rusia, las mujeres representan casi la mitad de la población activa. La tasa de empleo de las mujeres aumentó del 53,4 % en 2024 al 55,1 % en 2025.</w:t>
      </w:r>
    </w:p>
    <w:p w14:paraId="183E3A57" w14:textId="33ECE08D" w:rsidR="00FB0FCD" w:rsidRPr="00FB0FCD" w:rsidRDefault="00FB0FCD" w:rsidP="001B127E">
      <w:pPr>
        <w:pStyle w:val="SingleTxt"/>
        <w:numPr>
          <w:ilvl w:val="0"/>
          <w:numId w:val="26"/>
        </w:numPr>
        <w:ind w:left="1267"/>
        <w:rPr>
          <w:lang w:val="es-ES_tradnl"/>
        </w:rPr>
      </w:pPr>
      <w:r w:rsidRPr="00FB0FCD">
        <w:rPr>
          <w:lang w:val="es-ES_tradnl"/>
        </w:rPr>
        <w:t>Las mujeres constituyen la mayoría de las personas empleadas en los sectores de la educación (el 83 %), la sanidad y los servicios sociales (el 80 %), la hostelería y la restauración (el 74 %), las finanzas y los seguros (el 69 %), la cultura, el deporte, el ocio y el entretenimiento (el 67 %) y el comercio (el 62 %). En el cuadro 2 se presenta información sobre las mujeres empleadas, desglosada por tipo de asentamiento y ocupación principal.</w:t>
      </w:r>
    </w:p>
    <w:p w14:paraId="2650D6CD" w14:textId="06C34E02" w:rsidR="00FB0FCD" w:rsidRPr="00FB0FCD" w:rsidRDefault="00FB0FCD" w:rsidP="001B127E">
      <w:pPr>
        <w:pStyle w:val="SingleTxt"/>
        <w:numPr>
          <w:ilvl w:val="0"/>
          <w:numId w:val="26"/>
        </w:numPr>
        <w:ind w:left="1267"/>
        <w:rPr>
          <w:lang w:val="es-ES_tradnl"/>
        </w:rPr>
      </w:pPr>
      <w:r w:rsidRPr="00FB0FCD">
        <w:rPr>
          <w:lang w:val="es-ES_tradnl"/>
        </w:rPr>
        <w:t>Alrededor del 30 % de las pequeñas y medianas empresas (más de 1,7 millones de empresas) están dirigidas por mujeres. La proporción de mujeres empresarias en el ámbito social alcanza el 90 %, y en el sector servicios, el 58 %.</w:t>
      </w:r>
    </w:p>
    <w:p w14:paraId="064D3CFC" w14:textId="13D74501" w:rsidR="00FB0FCD" w:rsidRPr="00FB0FCD" w:rsidRDefault="00FB0FCD" w:rsidP="001B127E">
      <w:pPr>
        <w:pStyle w:val="SingleTxt"/>
        <w:numPr>
          <w:ilvl w:val="0"/>
          <w:numId w:val="26"/>
        </w:numPr>
        <w:ind w:left="1267"/>
        <w:rPr>
          <w:lang w:val="es-ES_tradnl"/>
        </w:rPr>
      </w:pPr>
      <w:r w:rsidRPr="00FB0FCD">
        <w:rPr>
          <w:lang w:val="es-ES_tradnl"/>
        </w:rPr>
        <w:t>En la industria creativa, que se encuentra en rápido crecimiento, las mujeres constituyen la mayoría, con más del 58 %.</w:t>
      </w:r>
    </w:p>
    <w:p w14:paraId="5C294019" w14:textId="3F21B290" w:rsidR="00FB0FCD" w:rsidRPr="00FB0FCD" w:rsidRDefault="00FB0FCD" w:rsidP="001B127E">
      <w:pPr>
        <w:pStyle w:val="SingleTxt"/>
        <w:numPr>
          <w:ilvl w:val="0"/>
          <w:numId w:val="26"/>
        </w:numPr>
        <w:ind w:left="1267"/>
        <w:rPr>
          <w:lang w:val="es-ES_tradnl"/>
        </w:rPr>
      </w:pPr>
      <w:r w:rsidRPr="00FB0FCD">
        <w:rPr>
          <w:lang w:val="es-ES_tradnl"/>
        </w:rPr>
        <w:t>La proporción de mujeres que ocupan cargos públicos y puestos en la función pública está aumentando. En la actualidad, más del 70 % de los funcionarios públicos son mujeres. En las administraciones locales, el porcentaje de mujeres es del 78 %, y en los órganos judiciales y fiscalías es de más del 80 %.</w:t>
      </w:r>
    </w:p>
    <w:p w14:paraId="358CF3E5" w14:textId="1D7B90A8" w:rsidR="00FB0FCD" w:rsidRPr="00675AAD" w:rsidRDefault="00FB0FCD" w:rsidP="0032265B">
      <w:pPr>
        <w:pStyle w:val="SingleTxt"/>
        <w:numPr>
          <w:ilvl w:val="0"/>
          <w:numId w:val="26"/>
        </w:numPr>
        <w:ind w:left="1267"/>
        <w:rPr>
          <w:spacing w:val="3"/>
          <w:lang w:val="es-ES_tradnl"/>
        </w:rPr>
      </w:pPr>
      <w:r w:rsidRPr="00675AAD">
        <w:rPr>
          <w:spacing w:val="3"/>
          <w:lang w:val="es-ES_tradnl"/>
        </w:rPr>
        <w:t>Entre las diversas razones que determinan la diferencia salarial entre hombres y mujeres figura la preferencia por horarios de trabajo más flexibles o reducidos y por trabajos de menor intensidad, que son remunerados con salarios correspondientes, lo que permite dedicar más tiempo a la crianza de los hijos y a las tareas familiares. Por consiguiente, la diferencia salarial entre hombres y mujeres no se produce por motivos de género, sino debido a la complejidad del trabajo y las condiciones laborales.</w:t>
      </w:r>
    </w:p>
    <w:p w14:paraId="7B7578D8" w14:textId="04FF329B" w:rsidR="00FB0FCD" w:rsidRPr="00FB0FCD" w:rsidRDefault="00FB0FCD" w:rsidP="001B127E">
      <w:pPr>
        <w:pStyle w:val="SingleTxt"/>
        <w:numPr>
          <w:ilvl w:val="0"/>
          <w:numId w:val="26"/>
        </w:numPr>
        <w:ind w:left="1267"/>
        <w:rPr>
          <w:lang w:val="es-ES_tradnl"/>
        </w:rPr>
      </w:pPr>
      <w:r w:rsidRPr="00FB0FCD">
        <w:rPr>
          <w:lang w:val="es-ES_tradnl"/>
        </w:rPr>
        <w:t>Desde 2025, el programa “Mama-</w:t>
      </w:r>
      <w:proofErr w:type="spellStart"/>
      <w:r w:rsidRPr="00FB0FCD">
        <w:rPr>
          <w:lang w:val="es-ES_tradnl"/>
        </w:rPr>
        <w:t>predprinimatel</w:t>
      </w:r>
      <w:proofErr w:type="spellEnd"/>
      <w:r w:rsidRPr="00FB0FCD">
        <w:rPr>
          <w:lang w:val="es-ES_tradnl"/>
        </w:rPr>
        <w:t xml:space="preserve">” (Mamá emprendedora) forma parte del proyecto federal de pequeñas y medianas empresas y apoyo a la iniciativa empresarial individual del proyecto nacional Economía Eficaz y Competitiva. </w:t>
      </w:r>
    </w:p>
    <w:p w14:paraId="64AA02CF" w14:textId="6058D72D" w:rsidR="00FB0FCD" w:rsidRPr="00FB0FCD" w:rsidRDefault="00FB0FCD" w:rsidP="001B127E">
      <w:pPr>
        <w:pStyle w:val="SingleTxt"/>
        <w:numPr>
          <w:ilvl w:val="0"/>
          <w:numId w:val="26"/>
        </w:numPr>
        <w:ind w:left="1267"/>
        <w:rPr>
          <w:lang w:val="es-ES_tradnl"/>
        </w:rPr>
      </w:pPr>
      <w:r w:rsidRPr="00FB0FCD">
        <w:rPr>
          <w:lang w:val="es-ES_tradnl"/>
        </w:rPr>
        <w:t>El programa se ha creado con el fin de ayudar a las mujeres a adquirir aptitudes empresariales, desarrollar modelos de negocio sostenibles y obtener apoyo financiero para poner en marcha y desarrollar negocios propios. Las participantes reciben formación durante cinco días y, al final del programa, defienden sus proyectos. Los mejores proyectos presentados por las participantes y premiados a nivel regional reciben una subvención que a partir de 2025 se incrementará hasta los 150.000 rublos y la oportunidad de pasar a la fase federal y competir por subvenciones por valor de 1 millón, 500.000 y 250.000 rublos.</w:t>
      </w:r>
    </w:p>
    <w:p w14:paraId="693AA147" w14:textId="32D834EE" w:rsidR="00FB0FCD" w:rsidRDefault="00FB0FCD" w:rsidP="001B127E">
      <w:pPr>
        <w:pStyle w:val="SingleTxt"/>
        <w:numPr>
          <w:ilvl w:val="0"/>
          <w:numId w:val="26"/>
        </w:numPr>
        <w:ind w:left="1267"/>
        <w:rPr>
          <w:lang w:val="es-ES_tradnl"/>
        </w:rPr>
      </w:pPr>
      <w:r w:rsidRPr="00FB0FCD">
        <w:rPr>
          <w:lang w:val="es-ES_tradnl"/>
        </w:rPr>
        <w:t>En el cuadro 3 se ofrece información sobre el número de mujeres que se encuentran de baja por maternidad, desglosada por tipo de actividad económica.</w:t>
      </w:r>
    </w:p>
    <w:p w14:paraId="068BF71B" w14:textId="77777777" w:rsidR="001B127E" w:rsidRPr="001B127E" w:rsidRDefault="001B127E" w:rsidP="001B127E">
      <w:pPr>
        <w:pStyle w:val="SingleTxt"/>
        <w:spacing w:after="0" w:line="120" w:lineRule="exact"/>
        <w:rPr>
          <w:sz w:val="10"/>
          <w:lang w:val="es-ES_tradnl"/>
        </w:rPr>
      </w:pPr>
    </w:p>
    <w:p w14:paraId="2C4BD0C6" w14:textId="77777777" w:rsidR="001B127E" w:rsidRPr="001B127E" w:rsidRDefault="001B127E" w:rsidP="001B127E">
      <w:pPr>
        <w:pStyle w:val="SingleTxt"/>
        <w:spacing w:after="0" w:line="120" w:lineRule="exact"/>
        <w:rPr>
          <w:sz w:val="10"/>
          <w:lang w:val="es-ES_tradnl"/>
        </w:rPr>
      </w:pPr>
    </w:p>
    <w:p w14:paraId="094A1815" w14:textId="77777777" w:rsidR="00FB0FCD" w:rsidRPr="00FB0FCD" w:rsidRDefault="00FB0FCD" w:rsidP="001B12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0FCD">
        <w:rPr>
          <w:lang w:val="es-ES_tradnl"/>
        </w:rPr>
        <w:tab/>
      </w:r>
      <w:r w:rsidRPr="00FB0FCD">
        <w:rPr>
          <w:lang w:val="es-ES_tradnl"/>
        </w:rPr>
        <w:tab/>
        <w:t>Artículo 12</w:t>
      </w:r>
    </w:p>
    <w:p w14:paraId="75E112FA" w14:textId="77777777" w:rsidR="001B127E" w:rsidRPr="001B127E" w:rsidRDefault="001B127E" w:rsidP="001B127E">
      <w:pPr>
        <w:pStyle w:val="SingleTxt"/>
        <w:spacing w:after="0" w:line="120" w:lineRule="exact"/>
        <w:rPr>
          <w:b/>
          <w:sz w:val="10"/>
          <w:lang w:val="es-ES_tradnl"/>
        </w:rPr>
      </w:pPr>
    </w:p>
    <w:p w14:paraId="1D00381B" w14:textId="77777777" w:rsidR="001B127E" w:rsidRPr="001B127E" w:rsidRDefault="001B127E" w:rsidP="001B127E">
      <w:pPr>
        <w:pStyle w:val="SingleTxt"/>
        <w:spacing w:after="0" w:line="120" w:lineRule="exact"/>
        <w:rPr>
          <w:b/>
          <w:sz w:val="10"/>
          <w:lang w:val="es-ES_tradnl"/>
        </w:rPr>
      </w:pPr>
    </w:p>
    <w:p w14:paraId="7A8A97B2" w14:textId="56A1ECA4" w:rsidR="00FB0FCD" w:rsidRPr="00FB0FCD" w:rsidRDefault="00FB0FCD" w:rsidP="001B1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0FCD">
        <w:rPr>
          <w:lang w:val="es-ES_tradnl"/>
        </w:rPr>
        <w:tab/>
      </w:r>
      <w:r w:rsidRPr="00FB0FCD">
        <w:rPr>
          <w:lang w:val="es-ES_tradnl"/>
        </w:rPr>
        <w:tab/>
        <w:t>Párrafos 40 y 41 de las observaciones finales</w:t>
      </w:r>
    </w:p>
    <w:p w14:paraId="0773058C" w14:textId="77777777" w:rsidR="001B127E" w:rsidRPr="001B127E" w:rsidRDefault="001B127E" w:rsidP="001B127E">
      <w:pPr>
        <w:pStyle w:val="SingleTxt"/>
        <w:spacing w:after="0" w:line="120" w:lineRule="exact"/>
        <w:rPr>
          <w:bCs/>
          <w:sz w:val="10"/>
          <w:lang w:val="es-ES_tradnl"/>
        </w:rPr>
      </w:pPr>
    </w:p>
    <w:p w14:paraId="31EA7F1A" w14:textId="5FE947D4" w:rsidR="00FB0FCD" w:rsidRPr="00FB0FCD" w:rsidRDefault="00FB0FCD" w:rsidP="001B127E">
      <w:pPr>
        <w:pStyle w:val="SingleTxt"/>
        <w:numPr>
          <w:ilvl w:val="0"/>
          <w:numId w:val="26"/>
        </w:numPr>
        <w:ind w:left="1267"/>
        <w:rPr>
          <w:lang w:val="es-ES_tradnl"/>
        </w:rPr>
      </w:pPr>
      <w:r w:rsidRPr="00FB0FCD">
        <w:rPr>
          <w:lang w:val="es-ES_tradnl"/>
        </w:rPr>
        <w:t>La reducción de la mortalidad materna y el aumento de la esperanza de vida de las mujeres son algunos de los resultados que se espera obtener de la aplicación de la Estrategia en favor de las Mujeres para 2030.</w:t>
      </w:r>
    </w:p>
    <w:p w14:paraId="0C1AD09B" w14:textId="05F8F63F" w:rsidR="00FB0FCD" w:rsidRPr="00FB0FCD" w:rsidRDefault="00FB0FCD" w:rsidP="001B127E">
      <w:pPr>
        <w:pStyle w:val="SingleTxt"/>
        <w:numPr>
          <w:ilvl w:val="0"/>
          <w:numId w:val="26"/>
        </w:numPr>
        <w:ind w:left="1267"/>
        <w:rPr>
          <w:lang w:val="es-ES_tradnl"/>
        </w:rPr>
      </w:pPr>
      <w:r w:rsidRPr="00FB0FCD">
        <w:rPr>
          <w:lang w:val="es-ES_tradnl"/>
        </w:rPr>
        <w:t xml:space="preserve">La implementación de las medidas del plan en favor de las mujeres que se describen en la sección II, titulada “Preservación de la salud de las mujeres de todas las edades. Fomento de las condiciones para promover el papel de las mujeres en la construcción de una sociedad saludable”, tiene como objetivo reducir la mortalidad </w:t>
      </w:r>
      <w:proofErr w:type="spellStart"/>
      <w:r w:rsidRPr="00FB0FCD">
        <w:rPr>
          <w:lang w:val="es-ES_tradnl"/>
        </w:rPr>
        <w:lastRenderedPageBreak/>
        <w:t>maternoinfantil</w:t>
      </w:r>
      <w:proofErr w:type="spellEnd"/>
      <w:r w:rsidRPr="00FB0FCD">
        <w:rPr>
          <w:lang w:val="es-ES_tradnl"/>
        </w:rPr>
        <w:t xml:space="preserve"> y de niños menores de 1 </w:t>
      </w:r>
      <w:proofErr w:type="gramStart"/>
      <w:r w:rsidRPr="00FB0FCD">
        <w:rPr>
          <w:lang w:val="es-ES_tradnl"/>
        </w:rPr>
        <w:t>año de edad</w:t>
      </w:r>
      <w:proofErr w:type="gramEnd"/>
      <w:r w:rsidRPr="00FB0FCD">
        <w:rPr>
          <w:lang w:val="es-ES_tradnl"/>
        </w:rPr>
        <w:t xml:space="preserve"> y mejorar la salud reproductiva. La esperanza de vida de las mujeres alcanzó los 78,2 años en 2019 y aumentó a 78,74 años en 2024. La diferencia en la esperanza de vida entre las mujeres de las zonas urbanas y rurales se redujo en 2021 de 1,3 años a 0,8 años.</w:t>
      </w:r>
    </w:p>
    <w:p w14:paraId="7BC17AB5" w14:textId="4E564539" w:rsidR="00FB0FCD" w:rsidRPr="00FB0FCD" w:rsidRDefault="00FB0FCD" w:rsidP="001B127E">
      <w:pPr>
        <w:pStyle w:val="SingleTxt"/>
        <w:numPr>
          <w:ilvl w:val="0"/>
          <w:numId w:val="26"/>
        </w:numPr>
        <w:ind w:left="1267"/>
        <w:rPr>
          <w:lang w:val="es-ES_tradnl"/>
        </w:rPr>
      </w:pPr>
      <w:r w:rsidRPr="00FB0FCD">
        <w:rPr>
          <w:lang w:val="es-ES_tradnl"/>
        </w:rPr>
        <w:t xml:space="preserve">La reducción de las tasas de mortalidad materna en la Federación de Rusia se ha logrado gracias a una mayor accesibilidad a una atención médica de calidad y oportuna. De conformidad con el artículo 7.4 de la Ley Federal núm. 323-FZ, los órganos públicos de la Federación de Rusia y de las entidades de la Federación de Rusia y las autoridades administrativas locales elaboran y ejecutan, con arreglo a sus competencias, programas orientados a la prevención, la detección precoz y el tratamiento de enfermedades, la reducción de la mortalidad </w:t>
      </w:r>
      <w:proofErr w:type="spellStart"/>
      <w:r w:rsidRPr="00FB0FCD">
        <w:rPr>
          <w:lang w:val="es-ES_tradnl"/>
        </w:rPr>
        <w:t>maternoinfantil</w:t>
      </w:r>
      <w:proofErr w:type="spellEnd"/>
      <w:r w:rsidRPr="00FB0FCD">
        <w:rPr>
          <w:lang w:val="es-ES_tradnl"/>
        </w:rPr>
        <w:t xml:space="preserve"> y la promoción de un estilo de vida saludable entre los niños y sus progenitores. </w:t>
      </w:r>
    </w:p>
    <w:p w14:paraId="488D7EFE" w14:textId="60B796E2" w:rsidR="00FB0FCD" w:rsidRPr="00FB0FCD" w:rsidRDefault="00FB0FCD" w:rsidP="001B127E">
      <w:pPr>
        <w:pStyle w:val="SingleTxt"/>
        <w:numPr>
          <w:ilvl w:val="0"/>
          <w:numId w:val="26"/>
        </w:numPr>
        <w:ind w:left="1267"/>
        <w:rPr>
          <w:lang w:val="es-ES_tradnl"/>
        </w:rPr>
      </w:pPr>
      <w:r w:rsidRPr="00FB0FCD">
        <w:rPr>
          <w:lang w:val="es-ES_tradnl"/>
        </w:rPr>
        <w:t>Se están introduciendo métodos modernos de diagnóstico, tratamiento y rehabilitación con el fin de detectar precozmente las enfermedades en los niños, incluidos programas de detección, incluidos los programas de tamizaje, con la posterior ampliación de las pruebas de detección neonatal y prenatal de enfermedades hereditarias y congénitas.</w:t>
      </w:r>
    </w:p>
    <w:p w14:paraId="774DBF3F" w14:textId="297D5727" w:rsidR="00FB0FCD" w:rsidRPr="00FB0FCD" w:rsidRDefault="00FB0FCD" w:rsidP="001B127E">
      <w:pPr>
        <w:pStyle w:val="SingleTxt"/>
        <w:numPr>
          <w:ilvl w:val="0"/>
          <w:numId w:val="26"/>
        </w:numPr>
        <w:ind w:left="1267"/>
        <w:rPr>
          <w:lang w:val="es-ES_tradnl"/>
        </w:rPr>
      </w:pPr>
      <w:r w:rsidRPr="00FB0FCD">
        <w:rPr>
          <w:lang w:val="es-ES_tradnl"/>
        </w:rPr>
        <w:t>En todas las entidades constitutivas de la Federación de Rusia se llevan a cabo pruebas de detección destinadas a detectar el riesgo de anomalías cromosómicas y malformaciones fetales, así como el retraso del crecimiento fetal, el riesgo de parto prematuro y la preeclampsia. Según los datos obtenidos en las estadísticas federales durante 2024, la proporción de mujeres que se sometieron a una evaluación del desarrollo prenatal del feto en el período comprendido entre las 11 y las 14 semanas de gestación fue del 95,8 % del número de mujeres que recibieron atención obstétrica antes de las 14 semanas de gestación.</w:t>
      </w:r>
    </w:p>
    <w:p w14:paraId="7CAEC014" w14:textId="3EBEA5F4" w:rsidR="00FB0FCD" w:rsidRPr="00FB0FCD" w:rsidRDefault="00FB0FCD" w:rsidP="001B127E">
      <w:pPr>
        <w:pStyle w:val="SingleTxt"/>
        <w:numPr>
          <w:ilvl w:val="0"/>
          <w:numId w:val="26"/>
        </w:numPr>
        <w:ind w:left="1267"/>
        <w:rPr>
          <w:lang w:val="es-ES_tradnl"/>
        </w:rPr>
      </w:pPr>
      <w:r w:rsidRPr="00FB0FCD">
        <w:rPr>
          <w:lang w:val="es-ES_tradnl"/>
        </w:rPr>
        <w:t>Desde 2020, en la Federación de Rusia se ha introducido el tamizaje precoz (efectuado en el primer trimestre del embarazo) para detectar el riesgo de parto prematuro, de preeclampsia y de retraso en el crecimiento fetal. La realización de pruebas de tamizaje destinadas a detectar el riesgo de parto prematuro ha permitido disminuir la proporción de partos prematuros en la Federación de Rusia, que en 2024 fue de 5,8 por cada 100 partos, así como la frecuencia de los partos prematuros extremos, entre las 22 y las 28 semanas, que fue de 0,46 por cada 100 partos.</w:t>
      </w:r>
    </w:p>
    <w:p w14:paraId="570BCA8E" w14:textId="0EFF7444" w:rsidR="00FB0FCD" w:rsidRPr="00675AAD" w:rsidRDefault="00FB0FCD" w:rsidP="001B127E">
      <w:pPr>
        <w:pStyle w:val="SingleTxt"/>
        <w:numPr>
          <w:ilvl w:val="0"/>
          <w:numId w:val="26"/>
        </w:numPr>
        <w:ind w:left="1267"/>
        <w:rPr>
          <w:spacing w:val="3"/>
          <w:lang w:val="es-ES_tradnl"/>
        </w:rPr>
      </w:pPr>
      <w:r w:rsidRPr="00675AAD">
        <w:rPr>
          <w:spacing w:val="3"/>
          <w:lang w:val="es-ES_tradnl"/>
        </w:rPr>
        <w:t>Con el fin de detectar precozmente enfermedades hereditarias y congénitas graves, entre 1993 y 2006 se llevó a cabo en la Federación de Rusia un tamizaje neonatal que detectaba dos enfermedades hereditarias y congénitas, y desde 2006 esta técnica permite detectar cinco de estas enfermedades. Desde el 1 de enero de 2023, el tamizaje neonatal se ha ampliado y se realiza para más de 40 enfermedades congénitas y hereditarias. El tamizaje neonatal hace posible diagnosticar enfermedades de manera oportuna en los primeros días de vida del niño, y dar comienzo al tratamiento, incluido el farmacológico, lo que influye en la tasa de mortalidad de niños menores de 1 año y el nivel de discapacidad de la población infantil.</w:t>
      </w:r>
    </w:p>
    <w:p w14:paraId="7A669D32" w14:textId="71FF07AE" w:rsidR="00FB0FCD" w:rsidRPr="00FB0FCD" w:rsidRDefault="00FB0FCD" w:rsidP="001B127E">
      <w:pPr>
        <w:pStyle w:val="SingleTxt"/>
        <w:numPr>
          <w:ilvl w:val="0"/>
          <w:numId w:val="26"/>
        </w:numPr>
        <w:ind w:left="1267"/>
        <w:rPr>
          <w:lang w:val="es-ES_tradnl"/>
        </w:rPr>
      </w:pPr>
      <w:r w:rsidRPr="00FB0FCD">
        <w:rPr>
          <w:lang w:val="es-ES_tradnl"/>
        </w:rPr>
        <w:t xml:space="preserve">A todos los niños con enfermedades detectadas se les deriva a centros médicos para que sean sometidos a seguimiento médico, y se les proporcionan medicamentos y productos alimenticios terapéuticos especializados, financiados en parte por la fundación “Krug </w:t>
      </w:r>
      <w:proofErr w:type="spellStart"/>
      <w:r w:rsidRPr="00FB0FCD">
        <w:rPr>
          <w:lang w:val="es-ES_tradnl"/>
        </w:rPr>
        <w:t>dobrá</w:t>
      </w:r>
      <w:proofErr w:type="spellEnd"/>
      <w:r w:rsidRPr="00FB0FCD">
        <w:rPr>
          <w:lang w:val="es-ES_tradnl"/>
        </w:rPr>
        <w:t>” (Círculo de bondad), un fondo de apoyo a niños con enfermedades graves, potencialmente mortales y crónicas, incluidas las enfermedades denominadas raras o huérfanas. La cobertura anual de los programas de tamizaje es superior al 95,0 % del total de recién nacidos.</w:t>
      </w:r>
    </w:p>
    <w:p w14:paraId="4DA991C8" w14:textId="6DE0D781" w:rsidR="00FB0FCD" w:rsidRPr="00FB0FCD" w:rsidRDefault="00FB0FCD" w:rsidP="001B127E">
      <w:pPr>
        <w:pStyle w:val="SingleTxt"/>
        <w:numPr>
          <w:ilvl w:val="0"/>
          <w:numId w:val="26"/>
        </w:numPr>
        <w:ind w:left="1267"/>
        <w:rPr>
          <w:lang w:val="es-ES_tradnl"/>
        </w:rPr>
      </w:pPr>
      <w:r w:rsidRPr="00FB0FCD">
        <w:rPr>
          <w:lang w:val="es-ES_tradnl"/>
        </w:rPr>
        <w:lastRenderedPageBreak/>
        <w:t>Más de 69.900 especialistas han recibido capacitación especializada en perinatología, neonatología y pediatría en centros de simulación durante el período comprendido entre 2019 y 2024.</w:t>
      </w:r>
    </w:p>
    <w:p w14:paraId="7D4A80FE" w14:textId="058D4EFC" w:rsidR="00FB0FCD" w:rsidRPr="00FB0FCD" w:rsidRDefault="00FB0FCD" w:rsidP="001B127E">
      <w:pPr>
        <w:pStyle w:val="SingleTxt"/>
        <w:numPr>
          <w:ilvl w:val="0"/>
          <w:numId w:val="26"/>
        </w:numPr>
        <w:ind w:left="1267"/>
        <w:rPr>
          <w:lang w:val="es-ES_tradnl"/>
        </w:rPr>
      </w:pPr>
      <w:r w:rsidRPr="00FB0FCD">
        <w:rPr>
          <w:lang w:val="es-ES_tradnl"/>
        </w:rPr>
        <w:t>Cada año, más del 97,5 % de los jóvenes de entre 15 y 17 años se someten a reconocimientos médicos preventivos con el fin de preservar su salud reproductiva.</w:t>
      </w:r>
    </w:p>
    <w:p w14:paraId="2E437A39" w14:textId="4B1540B0" w:rsidR="00FB0FCD" w:rsidRPr="00FB0FCD" w:rsidRDefault="00FB0FCD" w:rsidP="001B127E">
      <w:pPr>
        <w:pStyle w:val="SingleTxt"/>
        <w:numPr>
          <w:ilvl w:val="0"/>
          <w:numId w:val="26"/>
        </w:numPr>
        <w:ind w:left="1267"/>
        <w:rPr>
          <w:lang w:val="es-ES_tradnl"/>
        </w:rPr>
      </w:pPr>
      <w:r w:rsidRPr="00FB0FCD">
        <w:rPr>
          <w:lang w:val="es-ES_tradnl"/>
        </w:rPr>
        <w:t>Se llevan a cabo medidas para garantizar y mejorar la accesibilidad de los servicios prestados por proveedores de atención de salud en materia de asistencia jurídica, psicológica y médico-social a las mujeres embarazadas que se encuentran en situaciones difíciles.</w:t>
      </w:r>
    </w:p>
    <w:p w14:paraId="6DB4B08D" w14:textId="2C129F04" w:rsidR="00FB0FCD" w:rsidRPr="00FB0FCD" w:rsidRDefault="00FB0FCD" w:rsidP="001B127E">
      <w:pPr>
        <w:pStyle w:val="SingleTxt"/>
        <w:numPr>
          <w:ilvl w:val="0"/>
          <w:numId w:val="26"/>
        </w:numPr>
        <w:ind w:left="1267"/>
        <w:rPr>
          <w:lang w:val="es-ES_tradnl"/>
        </w:rPr>
      </w:pPr>
      <w:r w:rsidRPr="00FB0FCD">
        <w:rPr>
          <w:lang w:val="es-ES_tradnl"/>
        </w:rPr>
        <w:t>En 2024, la asistencia jurídica, psicológica y médico-social a las mujeres embarazadas y a las mujeres que se encontraban en situaciones de libertad reproductiva se prestó en 900 consultorios de asistencia médico-social de las consultas ginecológicas y en los centros de apoyo médico-social a las mujeres embarazadas que se encontraban en situaciones difíciles.</w:t>
      </w:r>
    </w:p>
    <w:p w14:paraId="47E5F4E1" w14:textId="1E502E66" w:rsidR="00FB0FCD" w:rsidRPr="00FB0FCD" w:rsidRDefault="00FB0FCD" w:rsidP="001B127E">
      <w:pPr>
        <w:pStyle w:val="SingleTxt"/>
        <w:numPr>
          <w:ilvl w:val="0"/>
          <w:numId w:val="26"/>
        </w:numPr>
        <w:ind w:left="1267"/>
        <w:rPr>
          <w:lang w:val="es-ES_tradnl"/>
        </w:rPr>
      </w:pPr>
      <w:r w:rsidRPr="00FB0FCD">
        <w:rPr>
          <w:lang w:val="es-ES_tradnl"/>
        </w:rPr>
        <w:t>El asesoramiento previo al aborto se lleva a cabo teniendo en cuenta la situación vital de la embarazada, las indicaciones médicas y las contraindicaciones para continuar con el embarazo, y tiene por objeto facilitar una elección voluntaria e informada, teniendo en cuenta la resolución de los problemas personales de la mujer. Un instrumento muy eficaz para preservar el embarazo en mujeres que se encuentran ante una elección reproductiva es el nuevo programa de encuestas motivacionales que facilitan información sobre las medidas federales y regionales de apoyo social a las mujeres embarazadas y las familias con hijos, elaborado por el Ministerio de Salud en colaboración con la organización autónoma sin fines de lucro Agencia de Iniciativas Estratégicas para la Promoción de Nuevos Proyectos.</w:t>
      </w:r>
    </w:p>
    <w:p w14:paraId="5BF025B1" w14:textId="7D30A764" w:rsidR="00FB0FCD" w:rsidRPr="00FB0FCD" w:rsidRDefault="00FB0FCD" w:rsidP="00736C26">
      <w:pPr>
        <w:pStyle w:val="SingleTxt"/>
        <w:numPr>
          <w:ilvl w:val="0"/>
          <w:numId w:val="26"/>
        </w:numPr>
        <w:ind w:left="1267"/>
        <w:rPr>
          <w:lang w:val="es-ES_tradnl"/>
        </w:rPr>
      </w:pPr>
      <w:r w:rsidRPr="00FB0FCD">
        <w:rPr>
          <w:lang w:val="es-ES_tradnl"/>
        </w:rPr>
        <w:t>Se ha mejorado la forma en que las organizaciones médicas y las organizaciones de servicios sociales (servicios sociales, servicios de empleo, confesiones religiosas tradicionales) interactúan entre sí para prestar asistencia médica y social. Las organizaciones médicas de la Federación de Rusia colaboran con centros de crisis que prestan asistencia a mujeres embarazadas, refugios sociales, albergues sociales y organizaciones sin fines de lucro de carácter social.</w:t>
      </w:r>
    </w:p>
    <w:p w14:paraId="26E2DBDB" w14:textId="4A57BD82" w:rsidR="00FB0FCD" w:rsidRPr="00FB0FCD" w:rsidRDefault="00FB0FCD" w:rsidP="00736C26">
      <w:pPr>
        <w:pStyle w:val="SingleTxt"/>
        <w:numPr>
          <w:ilvl w:val="0"/>
          <w:numId w:val="26"/>
        </w:numPr>
        <w:ind w:left="1267"/>
        <w:rPr>
          <w:lang w:val="es-ES_tradnl"/>
        </w:rPr>
      </w:pPr>
      <w:r w:rsidRPr="00FB0FCD">
        <w:rPr>
          <w:lang w:val="es-ES_tradnl"/>
        </w:rPr>
        <w:t>Entre 2022 y 2024, el número de abortos médicos voluntarios antes de las 12 semanas por cada 1</w:t>
      </w:r>
      <w:r w:rsidR="001D79C4">
        <w:rPr>
          <w:lang w:val="es-ES_tradnl"/>
        </w:rPr>
        <w:t>.</w:t>
      </w:r>
      <w:r w:rsidRPr="00FB0FCD">
        <w:rPr>
          <w:lang w:val="es-ES_tradnl"/>
        </w:rPr>
        <w:t>000 mujeres de entre 15 y 49 años se redujo en un 13,4 %. Cada año, la proporción de pacientes que reciben asesoramiento previo al aborto entre las mujeres que acuden a proveedores de atención de salud para solicitar una interrupción voluntaria del embarazo es de cerca del 95 %, lo que permite salvar más de 41.000 embarazos al año.</w:t>
      </w:r>
    </w:p>
    <w:p w14:paraId="68193141" w14:textId="45677F30" w:rsidR="00FB0FCD" w:rsidRPr="00FB0FCD" w:rsidRDefault="00FB0FCD" w:rsidP="00736C26">
      <w:pPr>
        <w:pStyle w:val="SingleTxt"/>
        <w:numPr>
          <w:ilvl w:val="0"/>
          <w:numId w:val="26"/>
        </w:numPr>
        <w:ind w:left="1267"/>
        <w:rPr>
          <w:lang w:val="es-ES_tradnl"/>
        </w:rPr>
      </w:pPr>
      <w:r w:rsidRPr="00FB0FCD">
        <w:rPr>
          <w:lang w:val="es-ES_tradnl"/>
        </w:rPr>
        <w:t>Se siguen introduciendo mejoras en la legislación de la Federación de Rusia con el fin de promover el abandono del consumo ilegal de drogas y la presentación voluntaria en proveedores de atención de salud y de rehabilitación para recibir tratamiento contra la drogadicción, así como rehabilitación médica y social.</w:t>
      </w:r>
    </w:p>
    <w:p w14:paraId="29837C82" w14:textId="251EFC2B" w:rsidR="00FB0FCD" w:rsidRPr="00FB0FCD" w:rsidRDefault="00FB0FCD" w:rsidP="00736C26">
      <w:pPr>
        <w:pStyle w:val="SingleTxt"/>
        <w:numPr>
          <w:ilvl w:val="0"/>
          <w:numId w:val="26"/>
        </w:numPr>
        <w:ind w:left="1267"/>
        <w:rPr>
          <w:lang w:val="es-ES_tradnl"/>
        </w:rPr>
      </w:pPr>
      <w:r w:rsidRPr="00FB0FCD">
        <w:rPr>
          <w:lang w:val="es-ES_tradnl"/>
        </w:rPr>
        <w:t xml:space="preserve">Se han introducido modificaciones en la legislación penal con el fin de crear un sistema de penas alternativas consistente en el tratamiento de las personas consumidoras de drogas. Así, se ha añadido al Código Penal de la Federación de Rusia el artículo 82.1, relativo al aplazamiento del cumplimiento de la pena para las personas con drogodependencia, que prevé la posibilidad de aplazar el cumplimiento efectivo de la pena hasta la finalización del tratamiento, con la consiguiente exención de </w:t>
      </w:r>
      <w:proofErr w:type="gramStart"/>
      <w:r w:rsidRPr="00FB0FCD">
        <w:rPr>
          <w:lang w:val="es-ES_tradnl"/>
        </w:rPr>
        <w:t>la misma</w:t>
      </w:r>
      <w:proofErr w:type="gramEnd"/>
      <w:r w:rsidRPr="00FB0FCD">
        <w:rPr>
          <w:lang w:val="es-ES_tradnl"/>
        </w:rPr>
        <w:t>. De conformidad con el artículo 72.1, “Imposición de penas a personas reconocidas como adictas a las drogas”, del Código Penal, el tribunal tiene la facultad de imponer a las personas adictas a las drogas o consumidoras de drogas la obligación adicional de someterse a tratamientos o rehabilitación.</w:t>
      </w:r>
    </w:p>
    <w:p w14:paraId="344C3E4D" w14:textId="6068403F" w:rsidR="00FB0FCD" w:rsidRPr="00FB0FCD" w:rsidRDefault="00FB0FCD" w:rsidP="00736C26">
      <w:pPr>
        <w:pStyle w:val="SingleTxt"/>
        <w:numPr>
          <w:ilvl w:val="0"/>
          <w:numId w:val="26"/>
        </w:numPr>
        <w:ind w:left="1267"/>
        <w:rPr>
          <w:lang w:val="es-ES_tradnl"/>
        </w:rPr>
      </w:pPr>
      <w:r w:rsidRPr="00FB0FCD">
        <w:rPr>
          <w:lang w:val="es-ES_tradnl"/>
        </w:rPr>
        <w:lastRenderedPageBreak/>
        <w:t>Además, la legislación penal contiene normas según las cuales se permite la exención de responsabilidad penal de una persona si entrega voluntariamente las sustancias controladas y actúa de forma activa para ayudar a descubrir o reprimir delitos relacionados con el tráfico de drogas, a identificar a las personas que los han cometido y a localizar activos obtenidos con esa práctica ilícita. También es posible eximir de responsabilidad penal por un delito de menor gravedad cometido por primera vez a las personas que se hayan declarado culpables y hayan contribuido activamente a descubrir o impedir la comisión de delitos relacionados con el tráfico de drogas.</w:t>
      </w:r>
    </w:p>
    <w:p w14:paraId="6BFED6DA" w14:textId="66168A40" w:rsidR="00FB0FCD" w:rsidRPr="00675AAD" w:rsidRDefault="00FB0FCD" w:rsidP="00736C26">
      <w:pPr>
        <w:pStyle w:val="SingleTxt"/>
        <w:numPr>
          <w:ilvl w:val="0"/>
          <w:numId w:val="26"/>
        </w:numPr>
        <w:ind w:left="1267"/>
        <w:rPr>
          <w:spacing w:val="3"/>
          <w:lang w:val="es-ES_tradnl"/>
        </w:rPr>
      </w:pPr>
      <w:r w:rsidRPr="00675AAD">
        <w:rPr>
          <w:spacing w:val="3"/>
          <w:lang w:val="es-ES_tradnl"/>
        </w:rPr>
        <w:t>El artículo 80 del Código de Administración Penal dispone que en los establecimientos penitenciarios los hombres y las mujeres, los menores y los adultos condenados a penas privativas de libertad deben estar recluidos por separado. Las personas que sean condenadas por primera vez a penas privativas de libertad deben estar recluidas separadas de aquellas que ya hayan cumplido anteriormente una pena. Asimismo, el Código de Administración Penal establece derechos y garantías adicionales para las mujeres condenadas, incluidas aquellas que tienen hijos a su cargo.</w:t>
      </w:r>
    </w:p>
    <w:p w14:paraId="2A8562F5" w14:textId="5DEABA7B" w:rsidR="00FB0FCD" w:rsidRPr="00FB0FCD" w:rsidRDefault="00FB0FCD" w:rsidP="00736C26">
      <w:pPr>
        <w:pStyle w:val="SingleTxt"/>
        <w:numPr>
          <w:ilvl w:val="0"/>
          <w:numId w:val="26"/>
        </w:numPr>
        <w:ind w:left="1267"/>
        <w:rPr>
          <w:lang w:val="es-ES_tradnl"/>
        </w:rPr>
      </w:pPr>
      <w:r w:rsidRPr="00FB0FCD">
        <w:rPr>
          <w:lang w:val="es-ES_tradnl"/>
        </w:rPr>
        <w:t>En la actualidad, en los establecimientos del sistema penitenciario de la Federación de Rusia se encuentran recluidas alrededor de 7.000 mujeres infectadas por el virus de la inmunodeficiencia humana. El suministro de medicamentos a las mujeres sospechosas, acusadas y condenadas que sean seropositivas se financia con cargo al presupuesto federal. Ello ha permitido eliminar el déficit de medicamentos y aumentar la cobertura de la terapia antirretroviral del 40 % en 2017 al 96 % en 2024.</w:t>
      </w:r>
    </w:p>
    <w:p w14:paraId="5A320AEC" w14:textId="7783D498" w:rsidR="00FB0FCD" w:rsidRPr="00FB0FCD" w:rsidRDefault="00FB0FCD" w:rsidP="00736C26">
      <w:pPr>
        <w:pStyle w:val="SingleTxt"/>
        <w:numPr>
          <w:ilvl w:val="0"/>
          <w:numId w:val="26"/>
        </w:numPr>
        <w:ind w:left="1267"/>
        <w:rPr>
          <w:lang w:val="es-ES_tradnl"/>
        </w:rPr>
      </w:pPr>
      <w:r w:rsidRPr="00FB0FCD">
        <w:rPr>
          <w:lang w:val="es-ES_tradnl"/>
        </w:rPr>
        <w:t>El Servicio Penitenciario Federal</w:t>
      </w:r>
      <w:r w:rsidR="00BB1369">
        <w:rPr>
          <w:lang w:val="es-ES_tradnl"/>
        </w:rPr>
        <w:t xml:space="preserve"> </w:t>
      </w:r>
      <w:r w:rsidRPr="00FB0FCD">
        <w:rPr>
          <w:lang w:val="es-ES_tradnl"/>
        </w:rPr>
        <w:t>de la Federación de Rusia cuenta con 55 unidades médicas y sanitarias que disponen de laboratorios inmunológicos al servicio de los 85 órganos territoriales pertenecientes al Servicio; demás, 40 laboratorios realizan ciclos completos de análisis inmunológicos que abarcan desde las pruebas de detección del VIH, la hepatitis vírica y las enfermedades infecciosas concomitantes y oportunistas hasta la evaluación de la eficacia de los tratamientos suministrados.</w:t>
      </w:r>
    </w:p>
    <w:p w14:paraId="4CD9E93C" w14:textId="5A18E255" w:rsidR="00FB0FCD" w:rsidRPr="00FB0FCD" w:rsidRDefault="00FB0FCD" w:rsidP="00736C26">
      <w:pPr>
        <w:pStyle w:val="SingleTxt"/>
        <w:numPr>
          <w:ilvl w:val="0"/>
          <w:numId w:val="26"/>
        </w:numPr>
        <w:ind w:left="1267"/>
        <w:rPr>
          <w:lang w:val="es-ES_tradnl"/>
        </w:rPr>
      </w:pPr>
      <w:r w:rsidRPr="00FB0FCD">
        <w:rPr>
          <w:lang w:val="es-ES_tradnl"/>
        </w:rPr>
        <w:t>En los establecimientos penitenciarios se realizan actividades de educación sanitaria, se proyectan documentales temáticos y se distribuyen folletos informativos. Antes de ser puestas en libertad, las mujeres condenadas reciben folletos que contienen información de contacto de centros de asistencia social, servicios de búsqueda de empleo y centros de rehabilitación a los que pueden acudir para recibir asistencia médica, social y psicológica.</w:t>
      </w:r>
    </w:p>
    <w:p w14:paraId="5ED5730B" w14:textId="7F5C07E6" w:rsidR="00FB0FCD" w:rsidRPr="00FB0FCD" w:rsidRDefault="00FB0FCD" w:rsidP="00736C26">
      <w:pPr>
        <w:pStyle w:val="SingleTxt"/>
        <w:numPr>
          <w:ilvl w:val="0"/>
          <w:numId w:val="26"/>
        </w:numPr>
        <w:ind w:left="1267"/>
        <w:rPr>
          <w:lang w:val="es-ES_tradnl"/>
        </w:rPr>
      </w:pPr>
      <w:r w:rsidRPr="00FB0FCD">
        <w:rPr>
          <w:lang w:val="es-ES_tradnl"/>
        </w:rPr>
        <w:t>El conjunto de medidas puestas en práctica por las instituciones territoriales del Servicio Penitenciario Federal permite mantener bajo control la incidencia de la infección por el VIH entre las mujeres detenidas, acusadas y condenadas. Así, en el período comprendido entre 2020 y 2024, el número de mujeres seropositivas en los establecimientos penitenciarios se mantuvo estable, representando el 19 % del total de reclusas en instituciones penitenciarias.</w:t>
      </w:r>
    </w:p>
    <w:p w14:paraId="3DAB5B71" w14:textId="6DC84E38" w:rsidR="00FB0FCD" w:rsidRPr="00FB0FCD" w:rsidRDefault="00FB0FCD" w:rsidP="00736C26">
      <w:pPr>
        <w:pStyle w:val="SingleTxt"/>
        <w:numPr>
          <w:ilvl w:val="0"/>
          <w:numId w:val="26"/>
        </w:numPr>
        <w:ind w:left="1267"/>
        <w:rPr>
          <w:lang w:val="es-ES_tradnl"/>
        </w:rPr>
      </w:pPr>
      <w:r w:rsidRPr="00FB0FCD">
        <w:rPr>
          <w:lang w:val="es-ES_tradnl"/>
        </w:rPr>
        <w:t>Una de las tareas prioritarias del servicio médico del Servicio Penitenciario Federal es proporcionar atención médica especializada a las reclusas que sufren trastornos asociados a la drogodependencia, cuya prestación se basa en los principios de humanidad y respeto de los derechos humanos. En los establecimientos penitenciarios, los tratamientos de los pacientes con enfermedades relacionadas con la drogadicción, que constituyen un importante logro de la psiquiatría nacional, aplican plenamente el principio de voluntariedad.</w:t>
      </w:r>
    </w:p>
    <w:p w14:paraId="71DFCDD9" w14:textId="177FBED6" w:rsidR="00FB0FCD" w:rsidRPr="00675AAD" w:rsidRDefault="00FB0FCD" w:rsidP="00736C26">
      <w:pPr>
        <w:pStyle w:val="SingleTxt"/>
        <w:numPr>
          <w:ilvl w:val="0"/>
          <w:numId w:val="26"/>
        </w:numPr>
        <w:ind w:left="1267"/>
        <w:rPr>
          <w:spacing w:val="2"/>
          <w:lang w:val="es-ES_tradnl"/>
        </w:rPr>
      </w:pPr>
      <w:r w:rsidRPr="00675AAD">
        <w:rPr>
          <w:spacing w:val="2"/>
          <w:lang w:val="es-ES_tradnl"/>
        </w:rPr>
        <w:t xml:space="preserve">El programa de desarrollo del sistema penitenciario de la Federación de Rusia para el período comprendido hasta 2030, aprobado en el decreto del Gobierno de la Federación de Rusia núm. 1138-r, de 29 de abril de 2021, prevé la introducción de </w:t>
      </w:r>
      <w:r w:rsidRPr="00675AAD">
        <w:rPr>
          <w:spacing w:val="2"/>
          <w:lang w:val="es-ES_tradnl"/>
        </w:rPr>
        <w:lastRenderedPageBreak/>
        <w:t xml:space="preserve">mejoras en la legislación de la Federación de Rusia con el fin de proporcionar condiciones de reclusión adecuadas, en particular para las mujeres sospechosas y acusadas que tengan hijos menores de edad. Se han aprobado las Leyes Federales de </w:t>
      </w:r>
      <w:r w:rsidR="0009726F" w:rsidRPr="00675AAD">
        <w:rPr>
          <w:spacing w:val="2"/>
          <w:lang w:val="es-ES_tradnl"/>
        </w:rPr>
        <w:t>25</w:t>
      </w:r>
      <w:r w:rsidR="0009726F">
        <w:rPr>
          <w:spacing w:val="2"/>
          <w:lang w:val="es-ES_tradnl"/>
        </w:rPr>
        <w:t> </w:t>
      </w:r>
      <w:r w:rsidRPr="00675AAD">
        <w:rPr>
          <w:spacing w:val="2"/>
          <w:lang w:val="es-ES_tradnl"/>
        </w:rPr>
        <w:t>de octubre de 2024 núm. 350-FZ, relativa a la introducción de modificaciones en el artículo 82 del Código Penal y en el artículo 398 del Código de Procedimiento Penal, y núm. 351-FZ , relativa a la modificación del artículo 175 del Código de Procedimiento Penal, en las que se prevé la posibilidad de conceder un aplazamiento del cumplimiento efectivo de la pena a las mujeres embarazadas y a las mujeres con hijos menores de 14 años que hayan sido sentenciadas a una pena de libertad restringida.</w:t>
      </w:r>
    </w:p>
    <w:p w14:paraId="42E57CEF" w14:textId="77777777" w:rsidR="00736C26" w:rsidRPr="00736C26" w:rsidRDefault="00736C26" w:rsidP="00736C26">
      <w:pPr>
        <w:pStyle w:val="SingleTxt"/>
        <w:spacing w:after="0" w:line="120" w:lineRule="exact"/>
        <w:rPr>
          <w:sz w:val="10"/>
          <w:lang w:val="es-ES_tradnl"/>
        </w:rPr>
      </w:pPr>
    </w:p>
    <w:p w14:paraId="2E1A8ECA" w14:textId="77777777" w:rsidR="00736C26" w:rsidRPr="00736C26" w:rsidRDefault="00736C26" w:rsidP="00736C26">
      <w:pPr>
        <w:pStyle w:val="SingleTxt"/>
        <w:spacing w:after="0" w:line="120" w:lineRule="exact"/>
        <w:rPr>
          <w:sz w:val="10"/>
          <w:lang w:val="es-ES_tradnl"/>
        </w:rPr>
      </w:pPr>
    </w:p>
    <w:p w14:paraId="31E8E8D5" w14:textId="77777777" w:rsidR="00FB0FCD" w:rsidRPr="00FB0FCD" w:rsidRDefault="00FB0FCD" w:rsidP="00736C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0FCD">
        <w:rPr>
          <w:lang w:val="es-ES_tradnl"/>
        </w:rPr>
        <w:tab/>
      </w:r>
      <w:r w:rsidRPr="00FB0FCD">
        <w:rPr>
          <w:lang w:val="es-ES_tradnl"/>
        </w:rPr>
        <w:tab/>
        <w:t>Artículo 13</w:t>
      </w:r>
    </w:p>
    <w:p w14:paraId="1048BA90" w14:textId="77777777" w:rsidR="00736C26" w:rsidRPr="00736C26" w:rsidRDefault="00736C26" w:rsidP="00736C26">
      <w:pPr>
        <w:pStyle w:val="SingleTxt"/>
        <w:spacing w:after="0" w:line="120" w:lineRule="exact"/>
        <w:rPr>
          <w:bCs/>
          <w:sz w:val="10"/>
          <w:lang w:val="es-ES_tradnl"/>
        </w:rPr>
      </w:pPr>
    </w:p>
    <w:p w14:paraId="504F6CA1" w14:textId="77777777" w:rsidR="00736C26" w:rsidRPr="00736C26" w:rsidRDefault="00736C26" w:rsidP="00736C26">
      <w:pPr>
        <w:pStyle w:val="SingleTxt"/>
        <w:spacing w:after="0" w:line="120" w:lineRule="exact"/>
        <w:rPr>
          <w:bCs/>
          <w:sz w:val="10"/>
          <w:lang w:val="es-ES_tradnl"/>
        </w:rPr>
      </w:pPr>
    </w:p>
    <w:p w14:paraId="4F38F58A" w14:textId="41513E3E" w:rsidR="00FB0FCD" w:rsidRDefault="00FB0FCD" w:rsidP="00736C26">
      <w:pPr>
        <w:pStyle w:val="SingleTxt"/>
        <w:numPr>
          <w:ilvl w:val="0"/>
          <w:numId w:val="26"/>
        </w:numPr>
        <w:ind w:left="1267"/>
        <w:rPr>
          <w:lang w:val="es-ES_tradnl"/>
        </w:rPr>
      </w:pPr>
      <w:r w:rsidRPr="00FB0FCD">
        <w:rPr>
          <w:lang w:val="es-ES_tradnl"/>
        </w:rPr>
        <w:t>En el noveno informe periódico (</w:t>
      </w:r>
      <w:proofErr w:type="spellStart"/>
      <w:r w:rsidRPr="00FB0FCD">
        <w:rPr>
          <w:lang w:val="es-ES_tradnl"/>
        </w:rPr>
        <w:t>párrs</w:t>
      </w:r>
      <w:proofErr w:type="spellEnd"/>
      <w:r w:rsidRPr="00FB0FCD">
        <w:rPr>
          <w:lang w:val="es-ES_tradnl"/>
        </w:rPr>
        <w:t>. 159 a 171) y en el octavo informe periódico (</w:t>
      </w:r>
      <w:proofErr w:type="spellStart"/>
      <w:r w:rsidRPr="00FB0FCD">
        <w:rPr>
          <w:lang w:val="es-ES_tradnl"/>
        </w:rPr>
        <w:t>párrs</w:t>
      </w:r>
      <w:proofErr w:type="spellEnd"/>
      <w:r w:rsidRPr="00FB0FCD">
        <w:rPr>
          <w:lang w:val="es-ES_tradnl"/>
        </w:rPr>
        <w:t xml:space="preserve">. 205 a 208) se facilita información sobre el sistema de prestaciones estatales para los ciudadanos establecido a nivel federal, así como sobre las medidas adicionales de </w:t>
      </w:r>
      <w:proofErr w:type="gramStart"/>
      <w:r w:rsidRPr="00FB0FCD">
        <w:rPr>
          <w:lang w:val="es-ES_tradnl"/>
        </w:rPr>
        <w:t>apoyo social y asistencia social</w:t>
      </w:r>
      <w:proofErr w:type="gramEnd"/>
      <w:r w:rsidRPr="00FB0FCD">
        <w:rPr>
          <w:lang w:val="es-ES_tradnl"/>
        </w:rPr>
        <w:t xml:space="preserve"> para determinadas categorías de la población a nivel regional.</w:t>
      </w:r>
    </w:p>
    <w:p w14:paraId="42DC4EA3" w14:textId="77777777" w:rsidR="00736C26" w:rsidRPr="00736C26" w:rsidRDefault="00736C26" w:rsidP="00736C26">
      <w:pPr>
        <w:pStyle w:val="SingleTxt"/>
        <w:spacing w:after="0" w:line="120" w:lineRule="exact"/>
        <w:rPr>
          <w:sz w:val="10"/>
          <w:lang w:val="es-ES_tradnl"/>
        </w:rPr>
      </w:pPr>
    </w:p>
    <w:p w14:paraId="54EFA810" w14:textId="77777777" w:rsidR="00736C26" w:rsidRPr="00736C26" w:rsidRDefault="00736C26" w:rsidP="00736C26">
      <w:pPr>
        <w:pStyle w:val="SingleTxt"/>
        <w:spacing w:after="0" w:line="120" w:lineRule="exact"/>
        <w:rPr>
          <w:sz w:val="10"/>
          <w:lang w:val="es-ES_tradnl"/>
        </w:rPr>
      </w:pPr>
    </w:p>
    <w:p w14:paraId="573097E2" w14:textId="77777777" w:rsidR="00FB0FCD" w:rsidRPr="00FB0FCD" w:rsidRDefault="00FB0FCD" w:rsidP="00736C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0FCD">
        <w:rPr>
          <w:lang w:val="es-ES_tradnl"/>
        </w:rPr>
        <w:tab/>
      </w:r>
      <w:r w:rsidRPr="00FB0FCD">
        <w:rPr>
          <w:lang w:val="es-ES_tradnl"/>
        </w:rPr>
        <w:tab/>
        <w:t>Artículo 14</w:t>
      </w:r>
    </w:p>
    <w:p w14:paraId="2B343ECB" w14:textId="77777777" w:rsidR="00736C26" w:rsidRPr="00736C26" w:rsidRDefault="00736C26" w:rsidP="00736C26">
      <w:pPr>
        <w:pStyle w:val="SingleTxt"/>
        <w:spacing w:after="0" w:line="120" w:lineRule="exact"/>
        <w:rPr>
          <w:b/>
          <w:sz w:val="10"/>
          <w:lang w:val="es-ES_tradnl"/>
        </w:rPr>
      </w:pPr>
    </w:p>
    <w:p w14:paraId="234EE8E9" w14:textId="77777777" w:rsidR="00736C26" w:rsidRPr="00736C26" w:rsidRDefault="00736C26" w:rsidP="00736C26">
      <w:pPr>
        <w:pStyle w:val="SingleTxt"/>
        <w:spacing w:after="0" w:line="120" w:lineRule="exact"/>
        <w:rPr>
          <w:b/>
          <w:sz w:val="10"/>
          <w:lang w:val="es-ES_tradnl"/>
        </w:rPr>
      </w:pPr>
    </w:p>
    <w:p w14:paraId="7E3F9064" w14:textId="0E59BA5B" w:rsidR="00FB0FCD" w:rsidRPr="00FB0FCD" w:rsidRDefault="00FB0FCD" w:rsidP="00736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0FCD">
        <w:rPr>
          <w:lang w:val="es-ES_tradnl"/>
        </w:rPr>
        <w:tab/>
      </w:r>
      <w:r w:rsidRPr="00FB0FCD">
        <w:rPr>
          <w:lang w:val="es-ES_tradnl"/>
        </w:rPr>
        <w:tab/>
        <w:t>Párrafos 44 y 45 de las observaciones finales</w:t>
      </w:r>
    </w:p>
    <w:p w14:paraId="24AC765B" w14:textId="77777777" w:rsidR="00736C26" w:rsidRPr="00736C26" w:rsidRDefault="00736C26" w:rsidP="00736C26">
      <w:pPr>
        <w:pStyle w:val="SingleTxt"/>
        <w:spacing w:after="0" w:line="120" w:lineRule="exact"/>
        <w:rPr>
          <w:bCs/>
          <w:sz w:val="10"/>
          <w:lang w:val="es-ES_tradnl"/>
        </w:rPr>
      </w:pPr>
    </w:p>
    <w:p w14:paraId="67933D9E" w14:textId="24F585A7" w:rsidR="00FB0FCD" w:rsidRPr="00675AAD" w:rsidRDefault="00FB0FCD" w:rsidP="00736C26">
      <w:pPr>
        <w:pStyle w:val="SingleTxt"/>
        <w:numPr>
          <w:ilvl w:val="0"/>
          <w:numId w:val="26"/>
        </w:numPr>
        <w:ind w:left="1267"/>
        <w:rPr>
          <w:spacing w:val="3"/>
          <w:lang w:val="es-ES_tradnl"/>
        </w:rPr>
      </w:pPr>
      <w:r w:rsidRPr="00675AAD">
        <w:rPr>
          <w:spacing w:val="3"/>
          <w:lang w:val="es-ES_tradnl"/>
        </w:rPr>
        <w:t>De conformidad con lo establecido en la Ley Federal núm. 82-FZ relativa a las garantías de los derechos de los pueblos indígenas minoritarios de la Federación de Rusia, de 30 de abril de 1999 (con las modificaciones introducidas en 2020), desde diciembre de 2020 el Organismo Federal de Asuntos Étnicos se ocupa de prestar el servicio público correspondiente en relación con el registro de las personas pertenecientes a las minorías étnicas de la Federación de Rusia. Los ciudadanos pertenecientes a los Pueblos Indígenas minoritarios de la Federación de Rusia presentan al Organismo Federal una solicitud de inclusión en la lista, acompañada de un documento que acredite su pertenencia a un pueblo indígena minoritario de la Federación de Rusia o su parentesco con una persona perteneciente a uno de estos pueblos.</w:t>
      </w:r>
    </w:p>
    <w:p w14:paraId="16AFC8D1" w14:textId="7BD94573" w:rsidR="00FB0FCD" w:rsidRPr="00FB0FCD" w:rsidRDefault="00FB0FCD" w:rsidP="00736C26">
      <w:pPr>
        <w:pStyle w:val="SingleTxt"/>
        <w:numPr>
          <w:ilvl w:val="0"/>
          <w:numId w:val="26"/>
        </w:numPr>
        <w:ind w:left="1267"/>
        <w:rPr>
          <w:lang w:val="es-ES_tradnl"/>
        </w:rPr>
      </w:pPr>
      <w:r w:rsidRPr="00FB0FCD">
        <w:rPr>
          <w:lang w:val="es-ES_tradnl"/>
        </w:rPr>
        <w:t>Durante el período transcurrido desde entonces, se han incluido en la lista de personas pertenecientes a los Pueblos Indígenas minoritarios de la Federación de Rusia a más de 100.000 personas, de las cuales más de la mitad son mujeres (por ejemplo, en la región de Jabárovsk, el 58 % son mujeres; en la región de Kamchatka, en el distrito autónomo de Janti-</w:t>
      </w:r>
      <w:proofErr w:type="spellStart"/>
      <w:r w:rsidRPr="00FB0FCD">
        <w:rPr>
          <w:lang w:val="es-ES_tradnl"/>
        </w:rPr>
        <w:t>Mansisk</w:t>
      </w:r>
      <w:proofErr w:type="spellEnd"/>
      <w:r w:rsidRPr="00FB0FCD">
        <w:rPr>
          <w:lang w:val="es-ES_tradnl"/>
        </w:rPr>
        <w:t xml:space="preserve"> y en la República de Saja (</w:t>
      </w:r>
      <w:proofErr w:type="spellStart"/>
      <w:r w:rsidRPr="00FB0FCD">
        <w:rPr>
          <w:lang w:val="es-ES_tradnl"/>
        </w:rPr>
        <w:t>Yakutia</w:t>
      </w:r>
      <w:proofErr w:type="spellEnd"/>
      <w:r w:rsidRPr="00FB0FCD">
        <w:rPr>
          <w:lang w:val="es-ES_tradnl"/>
        </w:rPr>
        <w:t>), el 57</w:t>
      </w:r>
      <w:r w:rsidR="00736C26">
        <w:rPr>
          <w:lang w:val="es-ES_tradnl"/>
        </w:rPr>
        <w:t> </w:t>
      </w:r>
      <w:r w:rsidRPr="00FB0FCD">
        <w:rPr>
          <w:lang w:val="es-ES_tradnl"/>
        </w:rPr>
        <w:t>%; y en el distrito autónomo de Yamalo-Nenets, el 54 %).</w:t>
      </w:r>
    </w:p>
    <w:p w14:paraId="70B7BB69" w14:textId="56EAB0C0" w:rsidR="00FB0FCD" w:rsidRPr="00FB0FCD" w:rsidRDefault="00FB0FCD" w:rsidP="00736C26">
      <w:pPr>
        <w:pStyle w:val="SingleTxt"/>
        <w:numPr>
          <w:ilvl w:val="0"/>
          <w:numId w:val="26"/>
        </w:numPr>
        <w:ind w:left="1267"/>
        <w:rPr>
          <w:lang w:val="es-ES_tradnl"/>
        </w:rPr>
      </w:pPr>
      <w:r w:rsidRPr="00FB0FCD">
        <w:rPr>
          <w:lang w:val="es-ES_tradnl"/>
        </w:rPr>
        <w:t xml:space="preserve">Los organismos públicos utilizan la información que figura en la lista para proporcionar a los ciudadanos medidas específicas de apoyo socioeconómico, como, por ejemplo, asignar ayudas sociales, determinar el monto de las pensiones, proporcionar servicios médicos, gestionar el uso de los recursos naturales y adoptar otras medidas de cooperación interinstitucional. En 2022 entró en vigor la prohibición de que las </w:t>
      </w:r>
      <w:proofErr w:type="gramStart"/>
      <w:r w:rsidRPr="00FB0FCD">
        <w:rPr>
          <w:lang w:val="es-ES_tradnl"/>
        </w:rPr>
        <w:t>autoridades públicas</w:t>
      </w:r>
      <w:proofErr w:type="gramEnd"/>
      <w:r w:rsidRPr="00FB0FCD">
        <w:rPr>
          <w:lang w:val="es-ES_tradnl"/>
        </w:rPr>
        <w:t xml:space="preserve"> exigieran a los ciudadanos información que ya figurara en la lista de documentos que acreditaban su pertenencia a los Pueblos Indígenas minoritarios de la Federación de Rusia.</w:t>
      </w:r>
    </w:p>
    <w:p w14:paraId="3C00A7D2" w14:textId="75420894" w:rsidR="0009726F" w:rsidRPr="0009726F" w:rsidRDefault="00FB0FCD" w:rsidP="00675AAD">
      <w:pPr>
        <w:pStyle w:val="SingleTxt"/>
        <w:numPr>
          <w:ilvl w:val="0"/>
          <w:numId w:val="26"/>
        </w:numPr>
        <w:suppressAutoHyphens w:val="0"/>
        <w:spacing w:after="160" w:line="259" w:lineRule="auto"/>
        <w:ind w:left="1267"/>
        <w:rPr>
          <w:lang w:val="es-ES_tradnl"/>
        </w:rPr>
      </w:pPr>
      <w:r w:rsidRPr="0009726F">
        <w:rPr>
          <w:lang w:val="es-ES_tradnl"/>
        </w:rPr>
        <w:t xml:space="preserve">En virtud del Decreto del Gobierno de la Federación de Rusia núm. 1161-r, de 8 de mayo de 2025, se aprobó el Marco Conceptual para el Desarrollo Sostenible de los Pueblos Indígenas Minoritarios del Norte, Siberia y el Lejano Oriente de la Federación de Rusia para el período comprendido hasta 2036. De conformidad con el </w:t>
      </w:r>
      <w:r w:rsidRPr="0009726F">
        <w:rPr>
          <w:lang w:val="es-ES_tradnl"/>
        </w:rPr>
        <w:lastRenderedPageBreak/>
        <w:t xml:space="preserve">marco conceptual, una de las vías para alcanzar el objetivo de “preservar el patrimonio </w:t>
      </w:r>
      <w:proofErr w:type="spellStart"/>
      <w:r w:rsidRPr="0009726F">
        <w:rPr>
          <w:lang w:val="es-ES_tradnl"/>
        </w:rPr>
        <w:t>etnocultural</w:t>
      </w:r>
      <w:proofErr w:type="spellEnd"/>
      <w:r w:rsidRPr="0009726F">
        <w:rPr>
          <w:lang w:val="es-ES_tradnl"/>
        </w:rPr>
        <w:t xml:space="preserve"> y las tradiciones de los Pueblos Indígenas minoritarios” es “preservar y fortalecer los valores espirituales y morales tradicionales y promover una imagen positiva de la mujer como madre y de la familia tradicional de los pueblos indígenas minoritarios”.</w:t>
      </w:r>
      <w:r w:rsidR="0009726F" w:rsidRPr="0009726F">
        <w:rPr>
          <w:lang w:val="es-ES_tradnl"/>
        </w:rPr>
        <w:t xml:space="preserve">  </w:t>
      </w:r>
      <w:r w:rsidR="0009726F" w:rsidRPr="0009726F">
        <w:rPr>
          <w:lang w:val="es-ES_tradnl"/>
        </w:rPr>
        <w:br w:type="page"/>
      </w:r>
    </w:p>
    <w:p w14:paraId="6159175F" w14:textId="77777777" w:rsidR="00FB0FCD" w:rsidRPr="00FB0FCD" w:rsidRDefault="00FB0FCD" w:rsidP="00736C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0FCD">
        <w:rPr>
          <w:lang w:val="es-ES_tradnl"/>
        </w:rPr>
        <w:tab/>
      </w:r>
      <w:r w:rsidRPr="00FB0FCD">
        <w:rPr>
          <w:lang w:val="es-ES_tradnl"/>
        </w:rPr>
        <w:tab/>
        <w:t>Parte IV</w:t>
      </w:r>
    </w:p>
    <w:p w14:paraId="01BE6D24" w14:textId="77777777" w:rsidR="00736C26" w:rsidRPr="00736C26" w:rsidRDefault="00736C26" w:rsidP="00736C26">
      <w:pPr>
        <w:pStyle w:val="SingleTxt"/>
        <w:spacing w:after="0" w:line="120" w:lineRule="exact"/>
        <w:rPr>
          <w:b/>
          <w:sz w:val="10"/>
          <w:lang w:val="es-ES_tradnl"/>
        </w:rPr>
      </w:pPr>
    </w:p>
    <w:p w14:paraId="67F9897E" w14:textId="77777777" w:rsidR="00736C26" w:rsidRPr="00736C26" w:rsidRDefault="00736C26" w:rsidP="00736C26">
      <w:pPr>
        <w:pStyle w:val="SingleTxt"/>
        <w:spacing w:after="0" w:line="120" w:lineRule="exact"/>
        <w:rPr>
          <w:b/>
          <w:sz w:val="10"/>
          <w:lang w:val="es-ES_tradnl"/>
        </w:rPr>
      </w:pPr>
    </w:p>
    <w:p w14:paraId="31E28C67" w14:textId="016DAFAF" w:rsidR="00FB0FCD" w:rsidRPr="00FB0FCD" w:rsidRDefault="00FB0FCD" w:rsidP="00736C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0FCD">
        <w:rPr>
          <w:lang w:val="es-ES_tradnl"/>
        </w:rPr>
        <w:tab/>
      </w:r>
      <w:r w:rsidRPr="00FB0FCD">
        <w:rPr>
          <w:lang w:val="es-ES_tradnl"/>
        </w:rPr>
        <w:tab/>
        <w:t>Artículo 15</w:t>
      </w:r>
    </w:p>
    <w:p w14:paraId="6060E541" w14:textId="77777777" w:rsidR="00736C26" w:rsidRPr="00736C26" w:rsidRDefault="00736C26" w:rsidP="00736C26">
      <w:pPr>
        <w:pStyle w:val="SingleTxt"/>
        <w:spacing w:after="0" w:line="120" w:lineRule="exact"/>
        <w:rPr>
          <w:b/>
          <w:sz w:val="10"/>
          <w:lang w:val="es-ES_tradnl"/>
        </w:rPr>
      </w:pPr>
    </w:p>
    <w:p w14:paraId="5DCD9135" w14:textId="77777777" w:rsidR="00736C26" w:rsidRPr="00736C26" w:rsidRDefault="00736C26" w:rsidP="00736C26">
      <w:pPr>
        <w:pStyle w:val="SingleTxt"/>
        <w:spacing w:after="0" w:line="120" w:lineRule="exact"/>
        <w:rPr>
          <w:b/>
          <w:sz w:val="10"/>
          <w:lang w:val="es-ES_tradnl"/>
        </w:rPr>
      </w:pPr>
    </w:p>
    <w:p w14:paraId="5B310CAE" w14:textId="0047CE9A" w:rsidR="00FB0FCD" w:rsidRPr="00FB0FCD" w:rsidRDefault="00FB0FCD" w:rsidP="00736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0FCD">
        <w:rPr>
          <w:lang w:val="es-ES_tradnl"/>
        </w:rPr>
        <w:tab/>
      </w:r>
      <w:r w:rsidRPr="00FB0FCD">
        <w:rPr>
          <w:lang w:val="es-ES_tradnl"/>
        </w:rPr>
        <w:tab/>
        <w:t>Párrafos 46 y 47 de las observaciones finales</w:t>
      </w:r>
    </w:p>
    <w:p w14:paraId="51CEA9FE" w14:textId="77777777" w:rsidR="00736C26" w:rsidRPr="00736C26" w:rsidRDefault="00736C26" w:rsidP="00736C26">
      <w:pPr>
        <w:pStyle w:val="SingleTxt"/>
        <w:spacing w:after="0" w:line="120" w:lineRule="exact"/>
        <w:rPr>
          <w:bCs/>
          <w:sz w:val="10"/>
          <w:lang w:val="es-ES_tradnl"/>
        </w:rPr>
      </w:pPr>
    </w:p>
    <w:p w14:paraId="03C05112" w14:textId="26FE10B8" w:rsidR="00FB0FCD" w:rsidRPr="00FB0FCD" w:rsidRDefault="00FB0FCD" w:rsidP="00736C26">
      <w:pPr>
        <w:pStyle w:val="SingleTxt"/>
        <w:numPr>
          <w:ilvl w:val="0"/>
          <w:numId w:val="26"/>
        </w:numPr>
        <w:ind w:left="1267"/>
        <w:rPr>
          <w:lang w:val="es-ES_tradnl"/>
        </w:rPr>
      </w:pPr>
      <w:r w:rsidRPr="00FB0FCD">
        <w:rPr>
          <w:lang w:val="es-ES_tradnl"/>
        </w:rPr>
        <w:t xml:space="preserve">En la Federación de Rusia se aplica de manera sistemática una política estatal destinada a preservar y fortalecer los valores tradicionales. Así, de conformidad con el Decreto del Presidente de la Federación de Rusia núm. 809, de 9 de noviembre de 2022, se entiende por valores tradicionales “los principios morales que conforman la cosmovisión de los ciudadanos de Rusia, transmitidos de generación en generación, que constituyen la base de la identidad civil común de toda Rusia y del espacio cultural único del país y fortalecen su unidad civil y que han encontrado su manifestación única y original en el desarrollo espiritual, histórico y cultural del pueblo multiétnico de Rusia”. </w:t>
      </w:r>
    </w:p>
    <w:p w14:paraId="03F2DB90" w14:textId="1AC8D5B6" w:rsidR="00FB0FCD" w:rsidRPr="00675AAD" w:rsidRDefault="00FB0FCD" w:rsidP="00736C26">
      <w:pPr>
        <w:pStyle w:val="SingleTxt"/>
        <w:numPr>
          <w:ilvl w:val="0"/>
          <w:numId w:val="26"/>
        </w:numPr>
        <w:ind w:left="1267"/>
        <w:rPr>
          <w:spacing w:val="3"/>
          <w:lang w:val="es-ES_tradnl"/>
        </w:rPr>
      </w:pPr>
      <w:r w:rsidRPr="00675AAD">
        <w:rPr>
          <w:spacing w:val="3"/>
          <w:lang w:val="es-ES_tradnl"/>
        </w:rPr>
        <w:t>En la Federación de Rusia, la protección jurídica de los valores mencionados se lleva a cabo mediante una serie de textos legislativos que abarcan ámbitos muy diversos. En particular, en el marco de una política estatal coherente de preservación de los valores tradicionales, cabe destacar la aprobación de la Ley Federal núm. 478-FZ relativa a la introducción de modificaciones en la Ley Federal sobre las tecnologías de la información y la protección de la información y en otros instrumentos legislativos de la Federación de Rusia, de 5 de diciembre de 2022, que prohíbe la difusión de información sobre la orientación sexual no tradicional y el cambio de sexo. No obstante, es importante señalar que, con excepción de la pedofilia, las preferencias sexuales en sí mismas no son objeto de persecución administrativa o penal.</w:t>
      </w:r>
    </w:p>
    <w:p w14:paraId="6FCEBD03" w14:textId="77777777" w:rsidR="00736C26" w:rsidRPr="00736C26" w:rsidRDefault="00736C26" w:rsidP="00736C26">
      <w:pPr>
        <w:pStyle w:val="SingleTxt"/>
        <w:spacing w:after="0" w:line="120" w:lineRule="exact"/>
        <w:rPr>
          <w:sz w:val="10"/>
          <w:lang w:val="es-ES_tradnl"/>
        </w:rPr>
      </w:pPr>
    </w:p>
    <w:p w14:paraId="16DDC362" w14:textId="77777777" w:rsidR="00FB0FCD" w:rsidRPr="00FB0FCD" w:rsidRDefault="00FB0FCD" w:rsidP="00736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0FCD">
        <w:rPr>
          <w:lang w:val="es-ES_tradnl"/>
        </w:rPr>
        <w:tab/>
      </w:r>
      <w:r w:rsidRPr="00FB0FCD">
        <w:rPr>
          <w:lang w:val="es-ES_tradnl"/>
        </w:rPr>
        <w:tab/>
        <w:t>Párrafos 50 y 51 de las observaciones finales</w:t>
      </w:r>
    </w:p>
    <w:p w14:paraId="48BD0318" w14:textId="77777777" w:rsidR="00736C26" w:rsidRPr="00736C26" w:rsidRDefault="00736C26" w:rsidP="00736C26">
      <w:pPr>
        <w:pStyle w:val="SingleTxt"/>
        <w:spacing w:after="0" w:line="120" w:lineRule="exact"/>
        <w:rPr>
          <w:bCs/>
          <w:sz w:val="10"/>
          <w:lang w:val="es-ES_tradnl"/>
        </w:rPr>
      </w:pPr>
    </w:p>
    <w:p w14:paraId="549D568D" w14:textId="2E01501B" w:rsidR="00FB0FCD" w:rsidRPr="00FB0FCD" w:rsidRDefault="00FB0FCD" w:rsidP="00736C26">
      <w:pPr>
        <w:pStyle w:val="SingleTxt"/>
        <w:numPr>
          <w:ilvl w:val="0"/>
          <w:numId w:val="26"/>
        </w:numPr>
        <w:ind w:left="1267"/>
        <w:rPr>
          <w:lang w:val="es-ES_tradnl"/>
        </w:rPr>
      </w:pPr>
      <w:r w:rsidRPr="00FB0FCD">
        <w:rPr>
          <w:lang w:val="es-ES_tradnl"/>
        </w:rPr>
        <w:t xml:space="preserve">De conformidad con el artículo 95 de la Ley Federal núm. 197-FZ relativa al servicio en los centros penitenciarios de la Federación de Rusia y la introducción de enmiendas en la Ley de la Federación de Rusia sobre las instituciones y entidades en las que se cumplen penas privativas de libertad, de 19 de julio de 2018, en el sistema penitenciario se lleva a cabo un control departamental y </w:t>
      </w:r>
      <w:proofErr w:type="spellStart"/>
      <w:r w:rsidRPr="00FB0FCD">
        <w:rPr>
          <w:lang w:val="es-ES_tradnl"/>
        </w:rPr>
        <w:t>extradepartamental</w:t>
      </w:r>
      <w:proofErr w:type="spellEnd"/>
      <w:r w:rsidRPr="00FB0FCD">
        <w:rPr>
          <w:lang w:val="es-ES_tradnl"/>
        </w:rPr>
        <w:t xml:space="preserve"> y una supervisión fiscal del cumplimiento de la legislación nacional sobre el servicio en el sistema penitenciario.</w:t>
      </w:r>
    </w:p>
    <w:p w14:paraId="330E31CB" w14:textId="5DC520B9" w:rsidR="00FB0FCD" w:rsidRPr="00FB0FCD" w:rsidRDefault="00FB0FCD" w:rsidP="00736C26">
      <w:pPr>
        <w:pStyle w:val="SingleTxt"/>
        <w:numPr>
          <w:ilvl w:val="0"/>
          <w:numId w:val="26"/>
        </w:numPr>
        <w:ind w:left="1267"/>
        <w:rPr>
          <w:lang w:val="es-ES_tradnl"/>
        </w:rPr>
      </w:pPr>
      <w:r w:rsidRPr="00FB0FCD">
        <w:rPr>
          <w:lang w:val="es-ES_tradnl"/>
        </w:rPr>
        <w:t xml:space="preserve">Con el fin de realizar las verificaciones necesarias, el Servicio Federal Penitenciario vigila la observancia de la legislación federal sobre el servicio en el sistema penitenciario por parte de sus funcionarios organizando inspecciones departamentales de la observancia de la legislación, recopilando información sobre su aplicación y adoptando medidas para subsanar las deficiencias detectadas en su cumplimiento. La supervisión fiscal sobre el cumplimiento de la legislación pertinente la llevan a cabo el </w:t>
      </w:r>
      <w:proofErr w:type="gramStart"/>
      <w:r w:rsidRPr="00FB0FCD">
        <w:rPr>
          <w:lang w:val="es-ES_tradnl"/>
        </w:rPr>
        <w:t>Fiscal General</w:t>
      </w:r>
      <w:proofErr w:type="gramEnd"/>
      <w:r w:rsidRPr="00FB0FCD">
        <w:rPr>
          <w:lang w:val="es-ES_tradnl"/>
        </w:rPr>
        <w:t xml:space="preserve"> de la Federación de Rusia y los fiscales subordinados a él, de conformidad con lo establecido en la ley.</w:t>
      </w:r>
    </w:p>
    <w:p w14:paraId="42991907" w14:textId="40C8ECC4" w:rsidR="00FB0FCD" w:rsidRPr="00FB0FCD" w:rsidRDefault="00FB0FCD" w:rsidP="00736C26">
      <w:pPr>
        <w:pStyle w:val="SingleTxt"/>
        <w:numPr>
          <w:ilvl w:val="0"/>
          <w:numId w:val="26"/>
        </w:numPr>
        <w:ind w:left="1267"/>
        <w:rPr>
          <w:lang w:val="es-ES_tradnl"/>
        </w:rPr>
      </w:pPr>
      <w:r w:rsidRPr="00FB0FCD">
        <w:rPr>
          <w:lang w:val="es-ES_tradnl"/>
        </w:rPr>
        <w:t xml:space="preserve">El control público del respeto de los derechos humanos en los establecimientos penitenciarios lo ejercen las comisiones públicas de observación creadas en las entidades constitutivas de la Federación de Rusia y sus miembros, sobre la base y en </w:t>
      </w:r>
      <w:r w:rsidRPr="00FB0FCD">
        <w:rPr>
          <w:lang w:val="es-ES_tradnl"/>
        </w:rPr>
        <w:lastRenderedPageBreak/>
        <w:t xml:space="preserve">la forma previstas en la ley. Para ejercer tal control público, las comisiones están facultadas para entrevistarse con los sospechosos, acusados y condenados bajo condiciones que permitan a los representantes de los centros penitenciarios </w:t>
      </w:r>
      <w:proofErr w:type="gramStart"/>
      <w:r w:rsidRPr="00FB0FCD">
        <w:rPr>
          <w:lang w:val="es-ES_tradnl"/>
        </w:rPr>
        <w:t>verlos</w:t>
      </w:r>
      <w:proofErr w:type="gramEnd"/>
      <w:r w:rsidRPr="00FB0FCD">
        <w:rPr>
          <w:lang w:val="es-ES_tradnl"/>
        </w:rPr>
        <w:t xml:space="preserve"> pero no escuchar lo que dicen.</w:t>
      </w:r>
    </w:p>
    <w:p w14:paraId="06620B0C" w14:textId="47CBF2C5" w:rsidR="00FB0FCD" w:rsidRPr="00FB0FCD" w:rsidRDefault="00FB0FCD" w:rsidP="00736C26">
      <w:pPr>
        <w:pStyle w:val="SingleTxt"/>
        <w:numPr>
          <w:ilvl w:val="0"/>
          <w:numId w:val="26"/>
        </w:numPr>
        <w:ind w:left="1267"/>
        <w:rPr>
          <w:lang w:val="es-ES_tradnl"/>
        </w:rPr>
      </w:pPr>
      <w:r w:rsidRPr="00FB0FCD">
        <w:rPr>
          <w:lang w:val="es-ES_tradnl"/>
        </w:rPr>
        <w:t xml:space="preserve">Además, el control de las actividades del sistema penitenciario de la Federación de Rusia lo ejercen la Asamblea Federal, el </w:t>
      </w:r>
      <w:proofErr w:type="gramStart"/>
      <w:r w:rsidRPr="00FB0FCD">
        <w:rPr>
          <w:lang w:val="es-ES_tradnl"/>
        </w:rPr>
        <w:t>Presidente</w:t>
      </w:r>
      <w:proofErr w:type="gramEnd"/>
      <w:r w:rsidRPr="00FB0FCD">
        <w:rPr>
          <w:lang w:val="es-ES_tradnl"/>
        </w:rPr>
        <w:t xml:space="preserve">, el Gobierno, los órganos legislativos y los órganos ejecutivos de las entidades constitutivas del país. </w:t>
      </w:r>
    </w:p>
    <w:p w14:paraId="7A4E753E" w14:textId="25BB62E9" w:rsidR="00FB0FCD" w:rsidRPr="00675AAD" w:rsidRDefault="00FB0FCD" w:rsidP="00736C26">
      <w:pPr>
        <w:pStyle w:val="SingleTxt"/>
        <w:numPr>
          <w:ilvl w:val="0"/>
          <w:numId w:val="26"/>
        </w:numPr>
        <w:ind w:left="1267"/>
        <w:rPr>
          <w:spacing w:val="3"/>
          <w:lang w:val="es-ES_tradnl"/>
        </w:rPr>
      </w:pPr>
      <w:r w:rsidRPr="00675AAD">
        <w:rPr>
          <w:spacing w:val="3"/>
          <w:lang w:val="es-ES_tradnl"/>
        </w:rPr>
        <w:t xml:space="preserve">De conformidad con la Ley de la Federación de Rusia núm. 5473-I relativa a los establecimientos y órganos del sistema penitenciario de la Federación de Rusia, de </w:t>
      </w:r>
      <w:r w:rsidR="004E5D3C" w:rsidRPr="00675AAD">
        <w:rPr>
          <w:spacing w:val="3"/>
          <w:lang w:val="es-ES_tradnl"/>
        </w:rPr>
        <w:t>21</w:t>
      </w:r>
      <w:r w:rsidR="004E5D3C">
        <w:rPr>
          <w:spacing w:val="3"/>
          <w:lang w:val="es-ES_tradnl"/>
        </w:rPr>
        <w:t> </w:t>
      </w:r>
      <w:r w:rsidRPr="00675AAD">
        <w:rPr>
          <w:spacing w:val="3"/>
          <w:lang w:val="es-ES_tradnl"/>
        </w:rPr>
        <w:t>de julio de 1993, se establece una lista de personas que tienen derecho a visitar sin autorización especial los establecimientos penitenciarios y los centros de detención preventiva para realizar actividades de control. También otras personas pueden visitar los centros penitenciarios y los centros de detención preventiva, previa autorización de la dirección de dichos centros o de los órganos territoriales pertinentes del sistema penitenciario, según el procedimiento establecido por el órgano federal ejecutivo encargado de elaborar y aplicar la política estatal y la normativa legal en materia de ejecución de penas.</w:t>
      </w:r>
    </w:p>
    <w:p w14:paraId="2EF4B9F8" w14:textId="7E560BE9" w:rsidR="00FB0FCD" w:rsidRPr="00FB0FCD" w:rsidRDefault="00FB0FCD" w:rsidP="00736C26">
      <w:pPr>
        <w:pStyle w:val="SingleTxt"/>
        <w:numPr>
          <w:ilvl w:val="0"/>
          <w:numId w:val="26"/>
        </w:numPr>
        <w:ind w:left="1267"/>
        <w:rPr>
          <w:lang w:val="es-ES_tradnl"/>
        </w:rPr>
      </w:pPr>
      <w:r w:rsidRPr="00FB0FCD">
        <w:rPr>
          <w:lang w:val="es-ES_tradnl"/>
        </w:rPr>
        <w:t>En el ejercicio de sus funciones, el Servicio Penitenciario Federal y los servicios penitenciarios de los sujetos de la Federación de Rusia tienen derecho a conversar con los condenados y las personas detenidas en privado, en condiciones que permitan al representante de la administración del centro penitenciario o del centro de detención preventiva ver a los conversadores, pero sin escuchar lo que dicen.</w:t>
      </w:r>
    </w:p>
    <w:p w14:paraId="7D8F2F0A" w14:textId="0599EDC0" w:rsidR="00FB0FCD" w:rsidRPr="00FB0FCD" w:rsidRDefault="00FB0FCD" w:rsidP="00736C26">
      <w:pPr>
        <w:pStyle w:val="SingleTxt"/>
        <w:numPr>
          <w:ilvl w:val="0"/>
          <w:numId w:val="26"/>
        </w:numPr>
        <w:ind w:left="1267"/>
        <w:rPr>
          <w:lang w:val="es-ES_tradnl"/>
        </w:rPr>
      </w:pPr>
      <w:r w:rsidRPr="00FB0FCD">
        <w:rPr>
          <w:lang w:val="es-ES_tradnl"/>
        </w:rPr>
        <w:t>Las bases jurídicas de la asistencia letrada gratuita estatal y no estatal en la Federación de Rusia quedaron establecidas en la Ley Federal núm. 324-FZ relativa a la asistencia letrada gratuita en la Federación de Rusia, de 21 de noviembre de 2011. El artículo 12.1 del Código de Administración Penal consagra el derecho de los condenados a recibir información sobre sus derechos y obligaciones, así como sobre el procedimiento y las condiciones de cumplimiento de la pena impuesta por el tribunal. Además, el artículo 95 del Código de Administración Penal regula el procedimiento de adquisición y conservación de material impreso y de escritura por parte de las personas condenadas a penas privativas de libertad.</w:t>
      </w:r>
    </w:p>
    <w:p w14:paraId="790C8B90" w14:textId="30DD1478" w:rsidR="00FB0FCD" w:rsidRDefault="00FB0FCD" w:rsidP="00736C26">
      <w:pPr>
        <w:pStyle w:val="SingleTxt"/>
        <w:numPr>
          <w:ilvl w:val="0"/>
          <w:numId w:val="26"/>
        </w:numPr>
        <w:ind w:left="1267"/>
        <w:rPr>
          <w:lang w:val="es-ES_tradnl"/>
        </w:rPr>
      </w:pPr>
      <w:r w:rsidRPr="00FB0FCD">
        <w:rPr>
          <w:lang w:val="es-ES_tradnl"/>
        </w:rPr>
        <w:t>De conformidad con el artículo 6 del Código de Procedimiento Civil, la justicia en materia civil está fundamentada en los principios de igualdad de todos los ciudadanos ante la ley y los tribunales, independientemente de su sexo, raza, nacionalidad, idioma, origen, situación patrimonial y profesional, lugar de residencia, religión, convicciones, pertenencia a asociaciones públicas y otras circunstancias.</w:t>
      </w:r>
    </w:p>
    <w:p w14:paraId="0AFF80B9" w14:textId="77777777" w:rsidR="00736C26" w:rsidRPr="00736C26" w:rsidRDefault="00736C26" w:rsidP="00736C26">
      <w:pPr>
        <w:pStyle w:val="SingleTxt"/>
        <w:spacing w:after="0" w:line="120" w:lineRule="exact"/>
        <w:rPr>
          <w:sz w:val="10"/>
          <w:lang w:val="es-ES_tradnl"/>
        </w:rPr>
      </w:pPr>
    </w:p>
    <w:p w14:paraId="3DA07FBF" w14:textId="77777777" w:rsidR="00736C26" w:rsidRPr="00736C26" w:rsidRDefault="00736C26" w:rsidP="00736C26">
      <w:pPr>
        <w:pStyle w:val="SingleTxt"/>
        <w:spacing w:after="0" w:line="120" w:lineRule="exact"/>
        <w:rPr>
          <w:sz w:val="10"/>
          <w:lang w:val="es-ES_tradnl"/>
        </w:rPr>
      </w:pPr>
    </w:p>
    <w:p w14:paraId="71531A1B" w14:textId="77777777" w:rsidR="00FB0FCD" w:rsidRPr="00FB0FCD" w:rsidRDefault="00FB0FCD" w:rsidP="00736C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0FCD">
        <w:rPr>
          <w:lang w:val="es-ES_tradnl"/>
        </w:rPr>
        <w:tab/>
      </w:r>
      <w:r w:rsidRPr="00FB0FCD">
        <w:rPr>
          <w:lang w:val="es-ES_tradnl"/>
        </w:rPr>
        <w:tab/>
        <w:t>Artículo 16</w:t>
      </w:r>
    </w:p>
    <w:p w14:paraId="4859BBE7" w14:textId="77777777" w:rsidR="00736C26" w:rsidRPr="00736C26" w:rsidRDefault="00736C26" w:rsidP="00736C26">
      <w:pPr>
        <w:pStyle w:val="SingleTxt"/>
        <w:spacing w:after="0" w:line="120" w:lineRule="exact"/>
        <w:rPr>
          <w:b/>
          <w:sz w:val="10"/>
          <w:lang w:val="es-ES_tradnl"/>
        </w:rPr>
      </w:pPr>
    </w:p>
    <w:p w14:paraId="1983B2ED" w14:textId="77777777" w:rsidR="00736C26" w:rsidRPr="00736C26" w:rsidRDefault="00736C26" w:rsidP="00736C26">
      <w:pPr>
        <w:pStyle w:val="SingleTxt"/>
        <w:spacing w:after="0" w:line="120" w:lineRule="exact"/>
        <w:rPr>
          <w:b/>
          <w:sz w:val="10"/>
          <w:lang w:val="es-ES_tradnl"/>
        </w:rPr>
      </w:pPr>
    </w:p>
    <w:p w14:paraId="1C1D7552" w14:textId="358A664F" w:rsidR="00FB0FCD" w:rsidRPr="00FB0FCD" w:rsidRDefault="00FB0FCD" w:rsidP="00736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0FCD">
        <w:rPr>
          <w:lang w:val="es-ES_tradnl"/>
        </w:rPr>
        <w:tab/>
      </w:r>
      <w:r w:rsidRPr="00FB0FCD">
        <w:rPr>
          <w:lang w:val="es-ES_tradnl"/>
        </w:rPr>
        <w:tab/>
        <w:t>Párrafo 57 de las observaciones finales</w:t>
      </w:r>
    </w:p>
    <w:p w14:paraId="3D03BB3A" w14:textId="77777777" w:rsidR="00736C26" w:rsidRPr="00736C26" w:rsidRDefault="00736C26" w:rsidP="00736C26">
      <w:pPr>
        <w:pStyle w:val="SingleTxt"/>
        <w:spacing w:after="0" w:line="120" w:lineRule="exact"/>
        <w:rPr>
          <w:bCs/>
          <w:sz w:val="10"/>
          <w:lang w:val="es-ES_tradnl"/>
        </w:rPr>
      </w:pPr>
    </w:p>
    <w:p w14:paraId="312A99D7" w14:textId="3CAD918A" w:rsidR="00FB0FCD" w:rsidRPr="00FB0FCD" w:rsidRDefault="00FB0FCD" w:rsidP="00736C26">
      <w:pPr>
        <w:pStyle w:val="SingleTxt"/>
        <w:numPr>
          <w:ilvl w:val="0"/>
          <w:numId w:val="26"/>
        </w:numPr>
        <w:ind w:left="1267"/>
        <w:rPr>
          <w:lang w:val="es-ES_tradnl"/>
        </w:rPr>
      </w:pPr>
      <w:r w:rsidRPr="00FB0FCD">
        <w:rPr>
          <w:lang w:val="es-ES_tradnl"/>
        </w:rPr>
        <w:t xml:space="preserve">El artículo 13 del Código Civil de la Federación de Rusia establece que la edad mínima para contraer matrimonio es de 18 años. De conformidad con el artículo 13.2 del Código Civil, si existen razones justificadas, las autoridades administrativas locales del lugar de residencia de las personas menores de 16 </w:t>
      </w:r>
      <w:proofErr w:type="gramStart"/>
      <w:r w:rsidRPr="00FB0FCD">
        <w:rPr>
          <w:lang w:val="es-ES_tradnl"/>
        </w:rPr>
        <w:t>años de edad</w:t>
      </w:r>
      <w:proofErr w:type="gramEnd"/>
      <w:r w:rsidRPr="00FB0FCD">
        <w:rPr>
          <w:lang w:val="es-ES_tradnl"/>
        </w:rPr>
        <w:t xml:space="preserve"> que deseen contraer matrimonio podrán, a petición de estas, autorizar su matrimonio. En la actualidad, en varias entidades constitutivas de la Federación de Rusia se han aprobado leyes que permiten, de forma excepcional y en circunstancias especiales, contraer matrimonio antes de cumplir los 16 años.</w:t>
      </w:r>
    </w:p>
    <w:p w14:paraId="4A5C98C8" w14:textId="5EB3606E" w:rsidR="00FB0FCD" w:rsidRPr="00FB0FCD" w:rsidRDefault="00FB0FCD" w:rsidP="00736C26">
      <w:pPr>
        <w:pStyle w:val="SingleTxt"/>
        <w:numPr>
          <w:ilvl w:val="0"/>
          <w:numId w:val="26"/>
        </w:numPr>
        <w:ind w:left="1267"/>
        <w:rPr>
          <w:lang w:val="es-ES_tradnl"/>
        </w:rPr>
      </w:pPr>
      <w:r w:rsidRPr="00FB0FCD">
        <w:rPr>
          <w:lang w:val="es-ES_tradnl"/>
        </w:rPr>
        <w:t xml:space="preserve">De conformidad con la posición del Tribunal Constitucional de la Federación de Rusia expresada en la decisión núm. 568-O-O, de 21 de octubre de 2008, el legislador </w:t>
      </w:r>
      <w:r w:rsidRPr="00FB0FCD">
        <w:rPr>
          <w:lang w:val="es-ES_tradnl"/>
        </w:rPr>
        <w:lastRenderedPageBreak/>
        <w:t xml:space="preserve">federal, basándose en el artículo </w:t>
      </w:r>
      <w:proofErr w:type="spellStart"/>
      <w:r w:rsidRPr="00FB0FCD">
        <w:rPr>
          <w:lang w:val="es-ES_tradnl"/>
        </w:rPr>
        <w:t>72.1.k</w:t>
      </w:r>
      <w:proofErr w:type="spellEnd"/>
      <w:r w:rsidRPr="00FB0FCD">
        <w:rPr>
          <w:lang w:val="es-ES_tradnl"/>
        </w:rPr>
        <w:t xml:space="preserve"> de la Constitución de la Federación de Rusia y teniendo en cuenta que la condición para contraer matrimonio es haber alcanzado la mayoría de edad, lo que supone haber llegado a la madurez biológica y psicológica, estableció en el artículo 13 del Código de Familia que la edad mínima para contraer matrimonio sería de 18 años, previendo al mismo tiempo que, en consonancia con los intereses de importancia constitucional en materia de protección de la familia y la infancia, las autoridades locales del lugar de residencia de las personas que deseen contraer matrimonio, a petición de estas y por razones justificadas, podrán autorizar el matrimonio de personas que hayan cumplido los 16 años de edad (apartados 1 y 2), así como el derecho de los sujetos de la Federación de Rusia a determinar en sus leyes el procedimiento y las condiciones en las que, de manera excepcional y teniendo en cuenta circunstancias especiales, se puede autorizar el matrimonio antes de cumplir los 16 años.</w:t>
      </w:r>
    </w:p>
    <w:p w14:paraId="5D5E1C07" w14:textId="6108D81D" w:rsidR="00FB0FCD" w:rsidRPr="00FB0FCD" w:rsidRDefault="00FB0FCD" w:rsidP="00736C26">
      <w:pPr>
        <w:pStyle w:val="SingleTxt"/>
        <w:numPr>
          <w:ilvl w:val="0"/>
          <w:numId w:val="26"/>
        </w:numPr>
        <w:ind w:left="1267"/>
        <w:rPr>
          <w:lang w:val="es-ES_tradnl"/>
        </w:rPr>
      </w:pPr>
      <w:r w:rsidRPr="00FB0FCD">
        <w:rPr>
          <w:lang w:val="es-ES_tradnl"/>
        </w:rPr>
        <w:t xml:space="preserve">Es competencia de las autoridades administrativas locales del lugar de residencia de las personas que deseen contraer matrimonio establecer los criterios para considerar si las razones aducidas por ellas constituyen motivos válidos que les permitan contraer matrimonio a partir de los 16 </w:t>
      </w:r>
      <w:proofErr w:type="gramStart"/>
      <w:r w:rsidRPr="00FB0FCD">
        <w:rPr>
          <w:lang w:val="es-ES_tradnl"/>
        </w:rPr>
        <w:t>años de edad</w:t>
      </w:r>
      <w:proofErr w:type="gramEnd"/>
      <w:r w:rsidRPr="00FB0FCD">
        <w:rPr>
          <w:lang w:val="es-ES_tradnl"/>
        </w:rPr>
        <w:t>. En la práctica, entre estas razones figuran el embarazo, el nacimiento de un hijo de las personas que desean contraer matrimonio y la amenaza inmediata para la vida de una de las personas que desean contraer matrimonio.</w:t>
      </w:r>
    </w:p>
    <w:p w14:paraId="7E661D8B" w14:textId="4255204C" w:rsidR="00FB0FCD" w:rsidRPr="00FB0FCD" w:rsidRDefault="00FB0FCD" w:rsidP="00736C26">
      <w:pPr>
        <w:pStyle w:val="SingleTxt"/>
        <w:numPr>
          <w:ilvl w:val="0"/>
          <w:numId w:val="26"/>
        </w:numPr>
        <w:ind w:left="1267"/>
        <w:rPr>
          <w:lang w:val="es-ES_tradnl"/>
        </w:rPr>
      </w:pPr>
      <w:r w:rsidRPr="00FB0FCD">
        <w:rPr>
          <w:lang w:val="es-ES_tradnl"/>
        </w:rPr>
        <w:t xml:space="preserve">De conformidad con el artículo 27 del Código Civil de la Federación de Rusia, un menor que haya cumplido los 16 </w:t>
      </w:r>
      <w:proofErr w:type="gramStart"/>
      <w:r w:rsidRPr="00FB0FCD">
        <w:rPr>
          <w:lang w:val="es-ES_tradnl"/>
        </w:rPr>
        <w:t>años de edad</w:t>
      </w:r>
      <w:proofErr w:type="gramEnd"/>
      <w:r w:rsidRPr="00FB0FCD">
        <w:rPr>
          <w:lang w:val="es-ES_tradnl"/>
        </w:rPr>
        <w:t xml:space="preserve"> puede ser declarado plenamente apto desde el punto de vista jurídico si trabaja con un acuerdo laboral, por ejemplo, un contrato, o si, con el consentimiento de sus padres biológicos o adoptivos o de sus tutores, se dedica a actividades empresariales. Asimismo, de conformidad con el artículo 56 del Código Civil, el niño tiene derecho a que sus derechos e intereses legítimos estén protegidos. Los menores de edad reconocidos como plenamente capaces por la ley antes de alcanzar la mayoría de edad tienen derecho a ejercer sus derechos y obligaciones de forma independiente, incluido el derecho a contraer matrimonio.</w:t>
      </w:r>
    </w:p>
    <w:p w14:paraId="2E885801" w14:textId="3ACD0CD7" w:rsidR="00FB0FCD" w:rsidRPr="00FB0FCD" w:rsidRDefault="00FB0FCD" w:rsidP="00736C26">
      <w:pPr>
        <w:pStyle w:val="SingleTxt"/>
        <w:numPr>
          <w:ilvl w:val="0"/>
          <w:numId w:val="26"/>
        </w:numPr>
        <w:ind w:left="1267"/>
        <w:rPr>
          <w:lang w:val="es-ES_tradnl"/>
        </w:rPr>
      </w:pPr>
      <w:r w:rsidRPr="00FB0FCD">
        <w:rPr>
          <w:lang w:val="es-ES_tradnl"/>
        </w:rPr>
        <w:t>El artículo 27 de la Ley Federal núm. 143-FZ relativa a los registros del estado civil, de 15 de noviembre de 1997, establece el procedimiento de registro estatal de los matrimonios en los órganos del Registro Civil, en el que es obligatorio que las personas que contraen matrimonio se encuentren presentes y que den su consentimiento mutuo y voluntario, lo que excluye la posibilidad de que se contraiga matrimonio por coacción en las oficinas del Registro Civil. En caso de que una de las personas que desean contraer matrimonio exprese su voluntad de no contraer matrimonio, no se llevará a cabo el registro estatal del matrimonio.</w:t>
      </w:r>
    </w:p>
    <w:p w14:paraId="3FA4F79A" w14:textId="20CE5C8A" w:rsidR="00FB0FCD" w:rsidRPr="00FB0FCD" w:rsidRDefault="00FB0FCD" w:rsidP="00736C26">
      <w:pPr>
        <w:pStyle w:val="SingleTxt"/>
        <w:numPr>
          <w:ilvl w:val="0"/>
          <w:numId w:val="26"/>
        </w:numPr>
        <w:ind w:left="1267"/>
        <w:rPr>
          <w:lang w:val="es-ES_tradnl"/>
        </w:rPr>
      </w:pPr>
      <w:r w:rsidRPr="00FB0FCD">
        <w:rPr>
          <w:lang w:val="es-ES_tradnl"/>
        </w:rPr>
        <w:t xml:space="preserve">Según se declara en el artículo 14.1 de la Constitución, la Federación de Rusia es un Estado laico. De las disposiciones interrelacionadas contenidas en el </w:t>
      </w:r>
      <w:r w:rsidR="007C44EE" w:rsidRPr="00FB0FCD">
        <w:rPr>
          <w:lang w:val="es-ES_tradnl"/>
        </w:rPr>
        <w:t>artículo</w:t>
      </w:r>
      <w:r w:rsidR="007C44EE">
        <w:rPr>
          <w:lang w:val="es-ES_tradnl"/>
        </w:rPr>
        <w:t> </w:t>
      </w:r>
      <w:r w:rsidRPr="00FB0FCD">
        <w:rPr>
          <w:lang w:val="es-ES_tradnl"/>
        </w:rPr>
        <w:t xml:space="preserve">12.1 del Código de Familia, que establece que para contraer matrimonio es necesario el consentimiento mutuo y voluntario del hombre y la mujer que contraen matrimonio y haber alcanzado la edad mínima para contraer matrimonio, y en el artículo 14.2 del Código de Familia, que establece que no se permitirá contraer matrimonio a una persona que ya esté casada con otra , se deduce que el Estado no reconoce la posibilidad de contraer matrimonios polígamos. </w:t>
      </w:r>
    </w:p>
    <w:p w14:paraId="36BBB599" w14:textId="5FED11BE" w:rsidR="00FB0FCD" w:rsidRPr="00675AAD" w:rsidRDefault="00FB0FCD" w:rsidP="00736C26">
      <w:pPr>
        <w:pStyle w:val="SingleTxt"/>
        <w:numPr>
          <w:ilvl w:val="0"/>
          <w:numId w:val="26"/>
        </w:numPr>
        <w:ind w:left="1267"/>
        <w:rPr>
          <w:spacing w:val="3"/>
          <w:lang w:val="es-ES_tradnl"/>
        </w:rPr>
      </w:pPr>
      <w:r w:rsidRPr="00675AAD">
        <w:rPr>
          <w:spacing w:val="3"/>
          <w:lang w:val="es-ES_tradnl"/>
        </w:rPr>
        <w:t xml:space="preserve">En consecuencia, basándose en el principio constitucional del carácter laico del Estado, el Tribunal Constitucional de la Federación de Rusia, al examinar la denuncia de un ciudadano al que se le había denegado el registro de su matrimonio con dos mujeres (novias), señaló que las instituciones y normas religiosas de otros Estados que permiten la poligamia en las uniones matrimoniales, así como otros enfoques para resolver esta cuestión, no pueden influir en la política estatal de la Federación de </w:t>
      </w:r>
      <w:r w:rsidRPr="00675AAD">
        <w:rPr>
          <w:spacing w:val="3"/>
          <w:lang w:val="es-ES_tradnl"/>
        </w:rPr>
        <w:lastRenderedPageBreak/>
        <w:t>Rusia en materia de relaciones familiares, que se caracteriza por el principio de matrimonio único (monogamia), en los que el matrimonio se entiende como la unión biológica de un solo hombre y una sola mujer, lo que no permite la existencia simultánea de varios matrimonios (decisión núm. 851-o-o, de 18 de diciembre de 2007).</w:t>
      </w:r>
    </w:p>
    <w:p w14:paraId="5A328293" w14:textId="0FC41995" w:rsidR="00FB0FCD" w:rsidRPr="00FB0FCD" w:rsidRDefault="00FB0FCD" w:rsidP="00736C26">
      <w:pPr>
        <w:pStyle w:val="SingleTxt"/>
        <w:numPr>
          <w:ilvl w:val="0"/>
          <w:numId w:val="26"/>
        </w:numPr>
        <w:ind w:left="1267"/>
        <w:rPr>
          <w:lang w:val="es-ES_tradnl"/>
        </w:rPr>
      </w:pPr>
      <w:r w:rsidRPr="00FB0FCD">
        <w:rPr>
          <w:lang w:val="es-ES_tradnl"/>
        </w:rPr>
        <w:t>Los conceptos de matrimonio plural o poligamia no están recogidos en la legislación. El Código Penal vigente no contiene normas sobre la responsabilidad penal en caso de bigamia o poligamia, que sí figuraban en el Código Penal de la República Socialista Federativa Soviética de Rusia de 1960 (capítulo 11, “Delitos que constituyen vestigios de costumbres locales”, artículo 235). Tampoco existe responsabilidad administrativa por contraer matrimonio sin haber disuelto el anterior.</w:t>
      </w:r>
    </w:p>
    <w:p w14:paraId="5EC832FE" w14:textId="27F74653" w:rsidR="00FB0FCD" w:rsidRDefault="00FB0FCD" w:rsidP="00736C26">
      <w:pPr>
        <w:pStyle w:val="SingleTxt"/>
        <w:numPr>
          <w:ilvl w:val="0"/>
          <w:numId w:val="26"/>
        </w:numPr>
        <w:ind w:left="1267"/>
        <w:rPr>
          <w:lang w:val="es-ES_tradnl"/>
        </w:rPr>
      </w:pPr>
      <w:r w:rsidRPr="00FB0FCD">
        <w:rPr>
          <w:lang w:val="es-ES_tradnl"/>
        </w:rPr>
        <w:t>Asimismo, si el primer cónyuge presenta una demanda, el nuevo matrimonio se declara nulo desde el momento de su celebración (Código de Familia, art. 27), con las correspondientes consecuencias derivadas del derecho civil.</w:t>
      </w:r>
    </w:p>
    <w:p w14:paraId="59A9DF72" w14:textId="77777777" w:rsidR="00736C26" w:rsidRPr="00736C26" w:rsidRDefault="00736C26" w:rsidP="00736C26">
      <w:pPr>
        <w:pStyle w:val="SingleTxt"/>
        <w:spacing w:after="0" w:line="120" w:lineRule="exact"/>
        <w:rPr>
          <w:sz w:val="10"/>
          <w:lang w:val="es-ES_tradnl"/>
        </w:rPr>
      </w:pPr>
    </w:p>
    <w:p w14:paraId="41592233" w14:textId="77777777" w:rsidR="00FB0FCD" w:rsidRPr="00FB0FCD" w:rsidRDefault="00FB0FCD" w:rsidP="00736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0FCD">
        <w:rPr>
          <w:lang w:val="es-ES_tradnl"/>
        </w:rPr>
        <w:tab/>
      </w:r>
      <w:r w:rsidRPr="00FB0FCD">
        <w:rPr>
          <w:lang w:val="es-ES_tradnl"/>
        </w:rPr>
        <w:tab/>
        <w:t>Párrafo 58 de las observaciones finales</w:t>
      </w:r>
    </w:p>
    <w:p w14:paraId="2DDF4647" w14:textId="77777777" w:rsidR="00736C26" w:rsidRPr="00736C26" w:rsidRDefault="00736C26" w:rsidP="00736C26">
      <w:pPr>
        <w:pStyle w:val="SingleTxt"/>
        <w:spacing w:after="0" w:line="120" w:lineRule="exact"/>
        <w:rPr>
          <w:bCs/>
          <w:sz w:val="10"/>
          <w:lang w:val="es-ES_tradnl"/>
        </w:rPr>
      </w:pPr>
    </w:p>
    <w:p w14:paraId="1381D5E6" w14:textId="57B60DFF" w:rsidR="00FB0FCD" w:rsidRDefault="00FB0FCD" w:rsidP="00736C26">
      <w:pPr>
        <w:pStyle w:val="SingleTxt"/>
        <w:numPr>
          <w:ilvl w:val="0"/>
          <w:numId w:val="26"/>
        </w:numPr>
        <w:ind w:left="1267"/>
        <w:rPr>
          <w:lang w:val="es-ES_tradnl"/>
        </w:rPr>
      </w:pPr>
      <w:r w:rsidRPr="00FB0FCD">
        <w:rPr>
          <w:lang w:val="es-ES_tradnl"/>
        </w:rPr>
        <w:t>En la Federación de Rusia se recopila información sobre la situación de la mujer de forma permanente (véase el anexo 2).</w:t>
      </w:r>
    </w:p>
    <w:p w14:paraId="09899F83" w14:textId="77777777" w:rsidR="00736C26" w:rsidRPr="00736C26" w:rsidRDefault="00736C26" w:rsidP="00736C26">
      <w:pPr>
        <w:pStyle w:val="SingleTxt"/>
        <w:spacing w:after="0" w:line="120" w:lineRule="exact"/>
        <w:rPr>
          <w:sz w:val="10"/>
          <w:lang w:val="es-ES_tradnl"/>
        </w:rPr>
      </w:pPr>
    </w:p>
    <w:p w14:paraId="76F78416" w14:textId="77777777" w:rsidR="00FB0FCD" w:rsidRPr="00FB0FCD" w:rsidRDefault="00FB0FCD" w:rsidP="00736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0FCD">
        <w:rPr>
          <w:lang w:val="es-ES_tradnl"/>
        </w:rPr>
        <w:tab/>
      </w:r>
      <w:r w:rsidRPr="00FB0FCD">
        <w:rPr>
          <w:lang w:val="es-ES_tradnl"/>
        </w:rPr>
        <w:tab/>
        <w:t>Párrafo 59 de las observaciones finales</w:t>
      </w:r>
    </w:p>
    <w:p w14:paraId="3B7E2B72" w14:textId="77777777" w:rsidR="00736C26" w:rsidRPr="00736C26" w:rsidRDefault="00736C26" w:rsidP="00736C26">
      <w:pPr>
        <w:pStyle w:val="SingleTxt"/>
        <w:spacing w:after="0" w:line="120" w:lineRule="exact"/>
        <w:rPr>
          <w:bCs/>
          <w:sz w:val="10"/>
          <w:lang w:val="es-ES_tradnl"/>
        </w:rPr>
      </w:pPr>
    </w:p>
    <w:p w14:paraId="10932E4A" w14:textId="27C0D015" w:rsidR="00FB0FCD" w:rsidRPr="00675AAD" w:rsidRDefault="00FB0FCD" w:rsidP="00736C26">
      <w:pPr>
        <w:pStyle w:val="SingleTxt"/>
        <w:numPr>
          <w:ilvl w:val="0"/>
          <w:numId w:val="26"/>
        </w:numPr>
        <w:ind w:left="1267"/>
        <w:rPr>
          <w:spacing w:val="3"/>
          <w:lang w:val="es-ES_tradnl"/>
        </w:rPr>
      </w:pPr>
      <w:r w:rsidRPr="00675AAD">
        <w:rPr>
          <w:spacing w:val="3"/>
          <w:lang w:val="es-ES_tradnl"/>
        </w:rPr>
        <w:t xml:space="preserve">Consideramos inaceptable que, después de haber examinado el octavo informe periódico, el Comité haya incluido en sus observaciones finales disposiciones que no fueron discutidas durante el examen de dicho documento. Tras la adopción de la resolución </w:t>
      </w:r>
      <w:hyperlink r:id="rId31" w:history="1">
        <w:r w:rsidRPr="00675AAD">
          <w:rPr>
            <w:rStyle w:val="Hyperlink"/>
            <w:spacing w:val="3"/>
            <w:lang w:val="es-ES_tradnl"/>
          </w:rPr>
          <w:t>68/268</w:t>
        </w:r>
      </w:hyperlink>
      <w:r w:rsidRPr="00675AAD">
        <w:rPr>
          <w:spacing w:val="3"/>
          <w:lang w:val="es-ES_tradnl"/>
        </w:rPr>
        <w:t xml:space="preserve"> de la Asamblea General, titulada “Fortalecimiento y mejora del funcionamiento eficaz del sistema de órganos creados en virtud de tratados de derechos humanos”, la enmienda al párrafo 1 del artículo 20 de la Convención perdió su relevancia y, por consiguiente, su ratificación dejó de ser necesaria. En los </w:t>
      </w:r>
      <w:r w:rsidR="007534FD" w:rsidRPr="00675AAD">
        <w:rPr>
          <w:spacing w:val="3"/>
          <w:lang w:val="es-ES_tradnl"/>
        </w:rPr>
        <w:t>párrafos</w:t>
      </w:r>
      <w:r w:rsidR="007534FD" w:rsidRPr="00675AAD">
        <w:rPr>
          <w:spacing w:val="3"/>
          <w:lang w:val="es-ES_tradnl"/>
        </w:rPr>
        <w:t> </w:t>
      </w:r>
      <w:r w:rsidRPr="00675AAD">
        <w:rPr>
          <w:spacing w:val="3"/>
          <w:lang w:val="es-ES_tradnl"/>
        </w:rPr>
        <w:t>26 y 27 de la resolución se describe detalladamente el procedimiento que se ha de seguir al asignar tiempo para la celebración de reuniones de los órganos creados en virtud de tratados.</w:t>
      </w:r>
    </w:p>
    <w:p w14:paraId="2C40CD64" w14:textId="77777777" w:rsidR="00736C26" w:rsidRPr="00736C26" w:rsidRDefault="00736C26" w:rsidP="00736C26">
      <w:pPr>
        <w:pStyle w:val="SingleTxt"/>
        <w:spacing w:after="0" w:line="120" w:lineRule="exact"/>
        <w:rPr>
          <w:sz w:val="10"/>
          <w:lang w:val="es-ES_tradnl"/>
        </w:rPr>
      </w:pPr>
    </w:p>
    <w:p w14:paraId="79638EBE" w14:textId="77777777" w:rsidR="00FB0FCD" w:rsidRPr="00FB0FCD" w:rsidRDefault="00FB0FCD" w:rsidP="00736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0FCD">
        <w:rPr>
          <w:lang w:val="es-ES_tradnl"/>
        </w:rPr>
        <w:tab/>
      </w:r>
      <w:r w:rsidRPr="00FB0FCD">
        <w:rPr>
          <w:lang w:val="es-ES_tradnl"/>
        </w:rPr>
        <w:tab/>
        <w:t>Párrafo 62 de las observaciones finales</w:t>
      </w:r>
    </w:p>
    <w:p w14:paraId="753FDBCD" w14:textId="77777777" w:rsidR="00736C26" w:rsidRPr="00736C26" w:rsidRDefault="00736C26" w:rsidP="00736C26">
      <w:pPr>
        <w:pStyle w:val="SingleTxt"/>
        <w:spacing w:after="0" w:line="120" w:lineRule="exact"/>
        <w:rPr>
          <w:bCs/>
          <w:sz w:val="10"/>
          <w:lang w:val="es-ES_tradnl"/>
        </w:rPr>
      </w:pPr>
    </w:p>
    <w:p w14:paraId="43FFDDA8" w14:textId="37CC9585" w:rsidR="00FB0FCD" w:rsidRPr="001B127E" w:rsidRDefault="00FB0FCD" w:rsidP="00736C26">
      <w:pPr>
        <w:pStyle w:val="SingleTxt"/>
        <w:numPr>
          <w:ilvl w:val="0"/>
          <w:numId w:val="26"/>
        </w:numPr>
        <w:ind w:left="1267"/>
        <w:rPr>
          <w:lang w:val="es-ES_tradnl"/>
        </w:rPr>
      </w:pPr>
      <w:r w:rsidRPr="001B127E">
        <w:rPr>
          <w:lang w:val="es-ES_tradnl"/>
        </w:rPr>
        <w:t>Al preparar los informes periódicos sobre la aplicación de las disposiciones de la Convención sobre la Eliminación de Todas las Formas de Discriminación contra la Mujer se han de tener en cuenta exclusivamente los artículos de dicho tratado internacional. Por lo tanto, la cuestión de la adhesión a otros tratados internacionales no es competencia del Comité para la Eliminación de la Discriminación contra la Mujer, ya que no entra en el ámbito de aplicación de las disposiciones de dicha convención.</w:t>
      </w:r>
    </w:p>
    <w:p w14:paraId="4A315328" w14:textId="58C62FC5" w:rsidR="00FB0FCD" w:rsidRPr="001B127E" w:rsidRDefault="00736C26" w:rsidP="00FB0FCD">
      <w:pPr>
        <w:pStyle w:val="SingleTxt"/>
        <w:rPr>
          <w:lang w:val="es-ES_tradnl"/>
        </w:rPr>
      </w:pPr>
      <w:r>
        <w:rPr>
          <w:noProof/>
          <w:w w:val="100"/>
          <w:lang w:val="es-ES_tradnl"/>
        </w:rPr>
        <mc:AlternateContent>
          <mc:Choice Requires="wps">
            <w:drawing>
              <wp:anchor distT="0" distB="0" distL="114300" distR="114300" simplePos="0" relativeHeight="251660288" behindDoc="0" locked="0" layoutInCell="1" allowOverlap="1" wp14:anchorId="462384B0" wp14:editId="0979BCB5">
                <wp:simplePos x="0" y="0"/>
                <wp:positionH relativeFrom="column">
                  <wp:posOffset>2669540</wp:posOffset>
                </wp:positionH>
                <wp:positionV relativeFrom="paragraph">
                  <wp:posOffset>304800</wp:posOffset>
                </wp:positionV>
                <wp:extent cx="914400" cy="0"/>
                <wp:effectExtent l="0" t="0" r="0" b="0"/>
                <wp:wrapNone/>
                <wp:docPr id="6918356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9C2DC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B0FCD" w:rsidRPr="001B127E" w:rsidSect="008166D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1-20T15:49:00Z" w:initials="Start">
    <w:p w14:paraId="50AC4B96" w14:textId="77777777" w:rsidR="00A84EF0" w:rsidRDefault="00A84EF0">
      <w:pPr>
        <w:pStyle w:val="CommentText"/>
      </w:pPr>
      <w:r>
        <w:rPr>
          <w:rStyle w:val="CommentReference"/>
        </w:rPr>
        <w:annotationRef/>
      </w:r>
      <w:r>
        <w:t>&lt;&lt;ODS JOB NO&gt;&gt;N2535153S&lt;&lt;ODS JOB NO&gt;&gt;</w:t>
      </w:r>
    </w:p>
    <w:p w14:paraId="3557B230" w14:textId="77777777" w:rsidR="00A84EF0" w:rsidRDefault="00A84EF0">
      <w:pPr>
        <w:pStyle w:val="CommentText"/>
      </w:pPr>
      <w:r>
        <w:t>&lt;&lt;ODS DOC SYMBOL1&gt;&gt;CEDAW/C/RUS/10&lt;&lt;ODS DOC SYMBOL1&gt;&gt;</w:t>
      </w:r>
    </w:p>
    <w:p w14:paraId="7DB4582F" w14:textId="005BBCC6" w:rsidR="00A84EF0" w:rsidRDefault="00A84EF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DB4582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C55BFA6" w16cex:dateUtc="2026-01-20T20: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DB4582F" w16cid:durableId="5C55BFA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D4B86" w14:textId="77777777" w:rsidR="00BD3449" w:rsidRDefault="00BD3449" w:rsidP="00331D20">
      <w:r>
        <w:separator/>
      </w:r>
    </w:p>
  </w:endnote>
  <w:endnote w:type="continuationSeparator" w:id="0">
    <w:p w14:paraId="21454174" w14:textId="77777777" w:rsidR="00BD3449" w:rsidRDefault="00BD344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A84EF0" w14:paraId="26C99647" w14:textId="77777777" w:rsidTr="00A84EF0">
      <w:tc>
        <w:tcPr>
          <w:tcW w:w="4920" w:type="dxa"/>
          <w:vAlign w:val="bottom"/>
        </w:tcPr>
        <w:p w14:paraId="0A476457" w14:textId="7E7EDD4B" w:rsidR="00A84EF0" w:rsidRPr="00A84EF0" w:rsidRDefault="00A84EF0" w:rsidP="00A84EF0">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6FE106AA" w14:textId="3E712460" w:rsidR="00A84EF0" w:rsidRPr="00A84EF0" w:rsidRDefault="00A84EF0" w:rsidP="00A84EF0">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25-20494</w:t>
          </w:r>
          <w:r>
            <w:rPr>
              <w:b w:val="0"/>
              <w:color w:val="000000"/>
              <w:sz w:val="14"/>
            </w:rPr>
            <w:fldChar w:fldCharType="end"/>
          </w:r>
        </w:p>
      </w:tc>
    </w:tr>
  </w:tbl>
  <w:p w14:paraId="10407396" w14:textId="77777777" w:rsidR="00A84EF0" w:rsidRPr="00A84EF0" w:rsidRDefault="00A84EF0" w:rsidP="00A84E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A84EF0" w14:paraId="4CBF54E9" w14:textId="77777777" w:rsidTr="00A84EF0">
      <w:tc>
        <w:tcPr>
          <w:tcW w:w="4920" w:type="dxa"/>
          <w:vAlign w:val="bottom"/>
        </w:tcPr>
        <w:p w14:paraId="3FF4F0EE" w14:textId="1CA50B9A" w:rsidR="00A84EF0" w:rsidRPr="00A84EF0" w:rsidRDefault="00A84EF0" w:rsidP="00A84EF0">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25-20494</w:t>
          </w:r>
          <w:r>
            <w:rPr>
              <w:b w:val="0"/>
              <w:color w:val="000000"/>
              <w:sz w:val="14"/>
            </w:rPr>
            <w:fldChar w:fldCharType="end"/>
          </w:r>
        </w:p>
      </w:tc>
      <w:tc>
        <w:tcPr>
          <w:tcW w:w="4920" w:type="dxa"/>
          <w:vAlign w:val="bottom"/>
        </w:tcPr>
        <w:p w14:paraId="32CBBA85" w14:textId="51F3857F" w:rsidR="00A84EF0" w:rsidRPr="00A84EF0" w:rsidRDefault="00A84EF0" w:rsidP="00A84EF0">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DC7D542" w14:textId="77777777" w:rsidR="00A84EF0" w:rsidRPr="00A84EF0" w:rsidRDefault="00A84EF0" w:rsidP="00A84E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62981" w14:textId="3078FDF7" w:rsidR="00A84EF0" w:rsidRPr="00A84EF0" w:rsidRDefault="00A84EF0" w:rsidP="00A84EF0">
    <w:pPr>
      <w:pStyle w:val="Footer"/>
      <w:spacing w:line="120" w:lineRule="exact"/>
      <w:rPr>
        <w:b w:val="0"/>
        <w:sz w:val="10"/>
      </w:rPr>
    </w:pPr>
    <w:r>
      <w:rPr>
        <w:b w:val="0"/>
        <w:sz w:val="10"/>
      </w:rPr>
      <w:drawing>
        <wp:anchor distT="0" distB="0" distL="114300" distR="114300" simplePos="0" relativeHeight="251658240" behindDoc="0" locked="0" layoutInCell="1" allowOverlap="1" wp14:anchorId="1ECB1E85" wp14:editId="2EA7FD7C">
          <wp:simplePos x="0" y="0"/>
          <wp:positionH relativeFrom="column">
            <wp:posOffset>5568315</wp:posOffset>
          </wp:positionH>
          <wp:positionV relativeFrom="paragraph">
            <wp:posOffset>-283210</wp:posOffset>
          </wp:positionV>
          <wp:extent cx="694690" cy="694690"/>
          <wp:effectExtent l="0" t="0" r="0" b="0"/>
          <wp:wrapNone/>
          <wp:docPr id="520936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84EF0" w14:paraId="09AC9791" w14:textId="77777777" w:rsidTr="00A84EF0">
      <w:tc>
        <w:tcPr>
          <w:tcW w:w="3830" w:type="dxa"/>
        </w:tcPr>
        <w:p w14:paraId="0F9BA154" w14:textId="25E5A80C" w:rsidR="00A84EF0" w:rsidRDefault="00A84EF0" w:rsidP="00A84EF0">
          <w:pPr>
            <w:pStyle w:val="ReleaseDate"/>
          </w:pPr>
          <w:r>
            <w:t>25-20494 (</w:t>
          </w:r>
          <w:proofErr w:type="gramStart"/>
          <w:r>
            <w:t xml:space="preserve">S)   </w:t>
          </w:r>
          <w:proofErr w:type="gramEnd"/>
          <w:r>
            <w:t xml:space="preserve"> </w:t>
          </w:r>
          <w:r w:rsidR="008166D6">
            <w:t>151225</w:t>
          </w:r>
          <w:r>
            <w:t xml:space="preserve">    </w:t>
          </w:r>
          <w:r w:rsidR="008166D6">
            <w:t>05</w:t>
          </w:r>
          <w:r>
            <w:t>0</w:t>
          </w:r>
          <w:r w:rsidR="008166D6">
            <w:t>2</w:t>
          </w:r>
          <w:r>
            <w:t>26</w:t>
          </w:r>
        </w:p>
        <w:p w14:paraId="47ACA4CD" w14:textId="6088CC62" w:rsidR="00A84EF0" w:rsidRPr="00A84EF0" w:rsidRDefault="00A84EF0" w:rsidP="00A84EF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*2520494*</w:t>
          </w:r>
        </w:p>
      </w:tc>
      <w:tc>
        <w:tcPr>
          <w:tcW w:w="4920" w:type="dxa"/>
          <w:vAlign w:val="bottom"/>
        </w:tcPr>
        <w:p w14:paraId="453B294F" w14:textId="0D72186F" w:rsidR="00A84EF0" w:rsidRDefault="00A84EF0" w:rsidP="00A84EF0">
          <w:pPr>
            <w:pStyle w:val="Footer"/>
            <w:ind w:right="115"/>
            <w:jc w:val="right"/>
            <w:rPr>
              <w:b w:val="0"/>
              <w:sz w:val="20"/>
            </w:rPr>
          </w:pPr>
          <w:r>
            <w:rPr>
              <w:b w:val="0"/>
              <w:sz w:val="20"/>
            </w:rPr>
            <w:drawing>
              <wp:inline distT="0" distB="0" distL="0" distR="0" wp14:anchorId="6D201D3C" wp14:editId="25F53260">
                <wp:extent cx="1082042" cy="231648"/>
                <wp:effectExtent l="0" t="0" r="3810" b="0"/>
                <wp:docPr id="298734991" name="Picture 2"/>
                <wp:cNvGraphicFramePr/>
                <a:graphic xmlns:a="http://schemas.openxmlformats.org/drawingml/2006/main">
                  <a:graphicData uri="http://schemas.openxmlformats.org/drawingml/2006/picture">
                    <pic:pic xmlns:pic="http://schemas.openxmlformats.org/drawingml/2006/picture">
                      <pic:nvPicPr>
                        <pic:cNvPr id="298734991"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E70A28A" w14:textId="77777777" w:rsidR="00A84EF0" w:rsidRPr="00A84EF0" w:rsidRDefault="00A84EF0" w:rsidP="00A84EF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A0816" w14:textId="77777777" w:rsidR="00BD3449" w:rsidRPr="00031E50" w:rsidRDefault="00BD3449" w:rsidP="00031E50">
      <w:pPr>
        <w:pStyle w:val="Footer"/>
        <w:spacing w:after="80"/>
        <w:ind w:left="792"/>
        <w:rPr>
          <w:sz w:val="16"/>
        </w:rPr>
      </w:pPr>
      <w:r w:rsidRPr="00031E50">
        <w:rPr>
          <w:sz w:val="16"/>
        </w:rPr>
        <w:t>__________________</w:t>
      </w:r>
    </w:p>
  </w:footnote>
  <w:footnote w:type="continuationSeparator" w:id="0">
    <w:p w14:paraId="5C7C5D1B" w14:textId="77777777" w:rsidR="00BD3449" w:rsidRPr="00031E50" w:rsidRDefault="00BD3449" w:rsidP="00031E50">
      <w:pPr>
        <w:pStyle w:val="Footer"/>
        <w:spacing w:after="80"/>
        <w:ind w:left="792"/>
        <w:rPr>
          <w:sz w:val="16"/>
        </w:rPr>
      </w:pPr>
      <w:r w:rsidRPr="00031E50">
        <w:rPr>
          <w:sz w:val="16"/>
        </w:rPr>
        <w:t>__________________</w:t>
      </w:r>
    </w:p>
  </w:footnote>
  <w:footnote w:id="1">
    <w:p w14:paraId="067C8426" w14:textId="1192EDBD" w:rsidR="00FB0FCD" w:rsidRPr="006F035D" w:rsidRDefault="00FB0FCD" w:rsidP="00031E50">
      <w:pPr>
        <w:pStyle w:val="FootnoteText"/>
        <w:tabs>
          <w:tab w:val="clear" w:pos="418"/>
          <w:tab w:val="right" w:pos="1195"/>
          <w:tab w:val="left" w:pos="1267"/>
          <w:tab w:val="left" w:pos="1742"/>
          <w:tab w:val="left" w:pos="2218"/>
          <w:tab w:val="left" w:pos="2693"/>
        </w:tabs>
        <w:ind w:left="1267" w:right="1267" w:hanging="432"/>
      </w:pPr>
      <w:r w:rsidRPr="00750FDE">
        <w:rPr>
          <w:szCs w:val="18"/>
        </w:rPr>
        <w:tab/>
      </w:r>
      <w:r w:rsidRPr="00750FDE">
        <w:rPr>
          <w:szCs w:val="18"/>
          <w:vertAlign w:val="superscript"/>
        </w:rPr>
        <w:footnoteRef/>
      </w:r>
      <w:r>
        <w:tab/>
        <w:t>El fundamento jurídico de la actividad que desarrollan los centros de crisis queda establecido en la Ley Federal núm. 442-FZ relativa a los fundamentos de la asistencia social prestada a los ciudadanos en la Federación de Rusia, de 28 de diciembre de 2013, y en las disposiciones legales de las entidades federadas de la Federación de Rusia en materia de servicios sociales y prevención de delitos.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84EF0" w14:paraId="4A5EF4D6" w14:textId="77777777" w:rsidTr="00A84EF0">
      <w:trPr>
        <w:trHeight w:hRule="exact" w:val="864"/>
      </w:trPr>
      <w:tc>
        <w:tcPr>
          <w:tcW w:w="4920" w:type="dxa"/>
          <w:vAlign w:val="bottom"/>
        </w:tcPr>
        <w:p w14:paraId="760555AE" w14:textId="7905AD55" w:rsidR="00A84EF0" w:rsidRPr="00A84EF0" w:rsidRDefault="00A84EF0" w:rsidP="00A84EF0">
          <w:pPr>
            <w:pStyle w:val="Header"/>
            <w:spacing w:after="80"/>
            <w:rPr>
              <w:b/>
            </w:rPr>
          </w:pPr>
          <w:r>
            <w:rPr>
              <w:b/>
            </w:rPr>
            <w:fldChar w:fldCharType="begin"/>
          </w:r>
          <w:r>
            <w:rPr>
              <w:b/>
            </w:rPr>
            <w:instrText xml:space="preserve"> DOCVARIABLE "Symbol1" \* MERGEFORMAT </w:instrText>
          </w:r>
          <w:r>
            <w:rPr>
              <w:b/>
            </w:rPr>
            <w:fldChar w:fldCharType="separate"/>
          </w:r>
          <w:r>
            <w:rPr>
              <w:b/>
            </w:rPr>
            <w:t>CEDAW/C/RUS/10</w:t>
          </w:r>
          <w:r>
            <w:rPr>
              <w:b/>
            </w:rPr>
            <w:fldChar w:fldCharType="end"/>
          </w:r>
        </w:p>
      </w:tc>
      <w:tc>
        <w:tcPr>
          <w:tcW w:w="4920" w:type="dxa"/>
          <w:vAlign w:val="bottom"/>
        </w:tcPr>
        <w:p w14:paraId="45B4F670" w14:textId="77777777" w:rsidR="00A84EF0" w:rsidRDefault="00A84EF0" w:rsidP="00A84EF0">
          <w:pPr>
            <w:pStyle w:val="Header"/>
          </w:pPr>
        </w:p>
      </w:tc>
    </w:tr>
  </w:tbl>
  <w:p w14:paraId="1594DAAB" w14:textId="77777777" w:rsidR="00A84EF0" w:rsidRPr="00A84EF0" w:rsidRDefault="00A84EF0" w:rsidP="00A84E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84EF0" w14:paraId="07CF8E13" w14:textId="77777777" w:rsidTr="00A84EF0">
      <w:trPr>
        <w:trHeight w:hRule="exact" w:val="864"/>
      </w:trPr>
      <w:tc>
        <w:tcPr>
          <w:tcW w:w="4920" w:type="dxa"/>
          <w:vAlign w:val="bottom"/>
        </w:tcPr>
        <w:p w14:paraId="5718CA66" w14:textId="77777777" w:rsidR="00A84EF0" w:rsidRDefault="00A84EF0" w:rsidP="00A84EF0">
          <w:pPr>
            <w:pStyle w:val="Header"/>
          </w:pPr>
        </w:p>
      </w:tc>
      <w:tc>
        <w:tcPr>
          <w:tcW w:w="4920" w:type="dxa"/>
          <w:vAlign w:val="bottom"/>
        </w:tcPr>
        <w:p w14:paraId="6D1989FD" w14:textId="4D8133C6" w:rsidR="00A84EF0" w:rsidRPr="00A84EF0" w:rsidRDefault="00A84EF0" w:rsidP="00A84EF0">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CEDAW/C/RUS/10</w:t>
          </w:r>
          <w:r>
            <w:rPr>
              <w:b/>
            </w:rPr>
            <w:fldChar w:fldCharType="end"/>
          </w:r>
        </w:p>
      </w:tc>
    </w:tr>
  </w:tbl>
  <w:p w14:paraId="247E8C80" w14:textId="77777777" w:rsidR="00A84EF0" w:rsidRPr="00A84EF0" w:rsidRDefault="00A84EF0" w:rsidP="00A84E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84EF0" w14:paraId="2F29DD1B" w14:textId="77777777" w:rsidTr="00A84EF0">
      <w:trPr>
        <w:gridAfter w:val="1"/>
        <w:wAfter w:w="15" w:type="dxa"/>
        <w:trHeight w:hRule="exact" w:val="864"/>
      </w:trPr>
      <w:tc>
        <w:tcPr>
          <w:tcW w:w="1267" w:type="dxa"/>
          <w:tcBorders>
            <w:bottom w:val="single" w:sz="4" w:space="0" w:color="auto"/>
          </w:tcBorders>
          <w:vAlign w:val="bottom"/>
        </w:tcPr>
        <w:p w14:paraId="335F77AB" w14:textId="77777777" w:rsidR="00A84EF0" w:rsidRDefault="00A84EF0" w:rsidP="00A84EF0">
          <w:pPr>
            <w:pStyle w:val="Header"/>
            <w:spacing w:after="120"/>
          </w:pPr>
        </w:p>
      </w:tc>
      <w:tc>
        <w:tcPr>
          <w:tcW w:w="2059" w:type="dxa"/>
          <w:tcBorders>
            <w:bottom w:val="single" w:sz="4" w:space="0" w:color="auto"/>
          </w:tcBorders>
          <w:vAlign w:val="bottom"/>
        </w:tcPr>
        <w:p w14:paraId="707E9AA8" w14:textId="3D38D2AA" w:rsidR="00A84EF0" w:rsidRPr="00A84EF0" w:rsidRDefault="00A84EF0" w:rsidP="00A84EF0">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4400206F" w14:textId="77777777" w:rsidR="00A84EF0" w:rsidRDefault="00A84EF0" w:rsidP="00A84EF0">
          <w:pPr>
            <w:pStyle w:val="Header"/>
            <w:spacing w:after="120"/>
          </w:pPr>
        </w:p>
      </w:tc>
      <w:tc>
        <w:tcPr>
          <w:tcW w:w="6480" w:type="dxa"/>
          <w:gridSpan w:val="3"/>
          <w:tcBorders>
            <w:bottom w:val="single" w:sz="4" w:space="0" w:color="auto"/>
          </w:tcBorders>
          <w:vAlign w:val="bottom"/>
        </w:tcPr>
        <w:p w14:paraId="53E91079" w14:textId="59E67551" w:rsidR="00A84EF0" w:rsidRPr="00A84EF0" w:rsidRDefault="00A84EF0" w:rsidP="00A84EF0">
          <w:pPr>
            <w:spacing w:after="80" w:line="240" w:lineRule="auto"/>
            <w:jc w:val="right"/>
            <w:rPr>
              <w:position w:val="-4"/>
            </w:rPr>
          </w:pPr>
          <w:r>
            <w:rPr>
              <w:position w:val="-4"/>
              <w:sz w:val="40"/>
            </w:rPr>
            <w:t>CEDAW</w:t>
          </w:r>
          <w:r>
            <w:rPr>
              <w:position w:val="-4"/>
            </w:rPr>
            <w:t>/C/RUS/10</w:t>
          </w:r>
        </w:p>
      </w:tc>
    </w:tr>
    <w:tr w:rsidR="00A84EF0" w:rsidRPr="00A84EF0" w14:paraId="5DA5D066" w14:textId="77777777" w:rsidTr="00A84EF0">
      <w:trPr>
        <w:trHeight w:hRule="exact" w:val="2880"/>
      </w:trPr>
      <w:tc>
        <w:tcPr>
          <w:tcW w:w="1267" w:type="dxa"/>
          <w:tcBorders>
            <w:top w:val="single" w:sz="4" w:space="0" w:color="auto"/>
            <w:bottom w:val="single" w:sz="12" w:space="0" w:color="auto"/>
          </w:tcBorders>
        </w:tcPr>
        <w:p w14:paraId="741424E7" w14:textId="543E8F6A" w:rsidR="00A84EF0" w:rsidRPr="00A84EF0" w:rsidRDefault="00A84EF0" w:rsidP="00A84EF0">
          <w:pPr>
            <w:pStyle w:val="Header"/>
            <w:spacing w:before="120"/>
            <w:jc w:val="center"/>
          </w:pPr>
          <w:r>
            <w:t xml:space="preserve"> </w:t>
          </w:r>
          <w:r>
            <w:drawing>
              <wp:inline distT="0" distB="0" distL="0" distR="0" wp14:anchorId="7F10B1F7" wp14:editId="17931486">
                <wp:extent cx="713232" cy="597103"/>
                <wp:effectExtent l="0" t="0" r="0" b="0"/>
                <wp:docPr id="358852731" name="Picture 1"/>
                <wp:cNvGraphicFramePr/>
                <a:graphic xmlns:a="http://schemas.openxmlformats.org/drawingml/2006/main">
                  <a:graphicData uri="http://schemas.openxmlformats.org/drawingml/2006/picture">
                    <pic:pic xmlns:pic="http://schemas.openxmlformats.org/drawingml/2006/picture">
                      <pic:nvPicPr>
                        <pic:cNvPr id="35885273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43D8B8CA" w14:textId="008711B4" w:rsidR="00A84EF0" w:rsidRPr="00A84EF0" w:rsidRDefault="00A84EF0" w:rsidP="00A84EF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6C35F56C" w14:textId="77777777" w:rsidR="00A84EF0" w:rsidRPr="008166D6" w:rsidRDefault="00A84EF0" w:rsidP="00A84EF0">
          <w:pPr>
            <w:pStyle w:val="Header"/>
            <w:spacing w:before="109"/>
            <w:rPr>
              <w:lang w:val="es-ES"/>
            </w:rPr>
          </w:pPr>
        </w:p>
      </w:tc>
      <w:tc>
        <w:tcPr>
          <w:tcW w:w="3140" w:type="dxa"/>
          <w:gridSpan w:val="2"/>
          <w:tcBorders>
            <w:top w:val="single" w:sz="4" w:space="0" w:color="auto"/>
            <w:bottom w:val="single" w:sz="12" w:space="0" w:color="auto"/>
          </w:tcBorders>
        </w:tcPr>
        <w:p w14:paraId="29AF60E0" w14:textId="77777777" w:rsidR="00A84EF0" w:rsidRDefault="00A84EF0" w:rsidP="00A84EF0">
          <w:pPr>
            <w:pStyle w:val="Distribution"/>
            <w:spacing w:before="240"/>
          </w:pPr>
          <w:proofErr w:type="spellStart"/>
          <w:r>
            <w:t>Distr</w:t>
          </w:r>
          <w:proofErr w:type="spellEnd"/>
          <w:r>
            <w:t>. general</w:t>
          </w:r>
        </w:p>
        <w:p w14:paraId="366D3874" w14:textId="77777777" w:rsidR="00A84EF0" w:rsidRDefault="00A84EF0" w:rsidP="00A84EF0">
          <w:pPr>
            <w:pStyle w:val="Publication"/>
          </w:pPr>
          <w:r>
            <w:t>15 de diciembre de 2025</w:t>
          </w:r>
        </w:p>
        <w:p w14:paraId="7C509C8D" w14:textId="77777777" w:rsidR="00943021" w:rsidRPr="00943021" w:rsidRDefault="00943021" w:rsidP="00943021"/>
        <w:p w14:paraId="458752EF" w14:textId="77777777" w:rsidR="00A84EF0" w:rsidRDefault="00A84EF0" w:rsidP="00A84EF0">
          <w:r>
            <w:t>Español</w:t>
          </w:r>
        </w:p>
        <w:p w14:paraId="67726A1B" w14:textId="77777777" w:rsidR="00A84EF0" w:rsidRDefault="00A84EF0" w:rsidP="00A84EF0">
          <w:pPr>
            <w:pStyle w:val="Original"/>
          </w:pPr>
          <w:r>
            <w:t>Original: ruso</w:t>
          </w:r>
        </w:p>
        <w:p w14:paraId="6D151A7B" w14:textId="0AED153E" w:rsidR="00A84EF0" w:rsidRPr="00A84EF0" w:rsidRDefault="00943021" w:rsidP="00A84EF0">
          <w:r w:rsidRPr="000F7C55">
            <w:rPr>
              <w:color w:val="000000"/>
            </w:rPr>
            <w:t>Español, francés, inglés y ruso únicamente</w:t>
          </w:r>
        </w:p>
      </w:tc>
    </w:tr>
  </w:tbl>
  <w:p w14:paraId="795A9319" w14:textId="77777777" w:rsidR="00A84EF0" w:rsidRPr="00943021" w:rsidRDefault="00A84EF0" w:rsidP="00A84EF0">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2A2111D"/>
    <w:multiLevelType w:val="singleLevel"/>
    <w:tmpl w:val="532E5DE6"/>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6ED6D61"/>
    <w:multiLevelType w:val="hybridMultilevel"/>
    <w:tmpl w:val="AE966084"/>
    <w:lvl w:ilvl="0" w:tplc="3AF8AC40">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78397580">
    <w:abstractNumId w:val="6"/>
  </w:num>
  <w:num w:numId="27" w16cid:durableId="1881017211">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20494*"/>
    <w:docVar w:name="CreationDt" w:val="20/01/2026 15:49:05"/>
    <w:docVar w:name="DocCategory" w:val="Doc"/>
    <w:docVar w:name="DocType" w:val="Final"/>
    <w:docVar w:name="DutyStation" w:val="New York"/>
    <w:docVar w:name="FooterJN" w:val="25-20494"/>
    <w:docVar w:name="jobn" w:val="25-20494 (S)"/>
    <w:docVar w:name="jobnDT" w:val="25-20494 (S)   200126"/>
    <w:docVar w:name="jobnDTDT" w:val="25-20494 (S)   200126   200126"/>
    <w:docVar w:name="JobNo" w:val="2520494S"/>
    <w:docVar w:name="JobNo2" w:val="253515315:49:05"/>
    <w:docVar w:name="LocalDrive" w:val="-1"/>
    <w:docVar w:name="OandT" w:val="JMártin/Guillermo Siminiani"/>
    <w:docVar w:name="sss1" w:val="CEDAW/C/RUS/10"/>
    <w:docVar w:name="sss2" w:val="-"/>
    <w:docVar w:name="Symbol1" w:val="CEDAW/C/RUS/10"/>
    <w:docVar w:name="Symbol2" w:val="-"/>
    <w:docVar w:name="Title1" w:val="_x0009__x0009_Décimo informe periódico que la Federación de Rusia debía presentar en 2025 en virtud del artículo 18 de la Convención*,**_x000d_"/>
  </w:docVars>
  <w:rsids>
    <w:rsidRoot w:val="009A37A0"/>
    <w:rsid w:val="00001169"/>
    <w:rsid w:val="00001967"/>
    <w:rsid w:val="00016E82"/>
    <w:rsid w:val="00020C1D"/>
    <w:rsid w:val="000265DF"/>
    <w:rsid w:val="00031D11"/>
    <w:rsid w:val="00031E50"/>
    <w:rsid w:val="000364BC"/>
    <w:rsid w:val="00040122"/>
    <w:rsid w:val="00042B06"/>
    <w:rsid w:val="000452CA"/>
    <w:rsid w:val="00070B69"/>
    <w:rsid w:val="00070D95"/>
    <w:rsid w:val="00086D31"/>
    <w:rsid w:val="0009726F"/>
    <w:rsid w:val="000A4A2C"/>
    <w:rsid w:val="000B0062"/>
    <w:rsid w:val="000B2070"/>
    <w:rsid w:val="000B49F0"/>
    <w:rsid w:val="000B5FF9"/>
    <w:rsid w:val="000B7C59"/>
    <w:rsid w:val="000E2DF8"/>
    <w:rsid w:val="000F15D3"/>
    <w:rsid w:val="000F2016"/>
    <w:rsid w:val="000F5A6C"/>
    <w:rsid w:val="00105618"/>
    <w:rsid w:val="00113CAD"/>
    <w:rsid w:val="00115F06"/>
    <w:rsid w:val="00116C5B"/>
    <w:rsid w:val="0012032B"/>
    <w:rsid w:val="001325B0"/>
    <w:rsid w:val="00137867"/>
    <w:rsid w:val="00137E45"/>
    <w:rsid w:val="00144E98"/>
    <w:rsid w:val="00151F81"/>
    <w:rsid w:val="00152849"/>
    <w:rsid w:val="001628F0"/>
    <w:rsid w:val="001642BB"/>
    <w:rsid w:val="00167822"/>
    <w:rsid w:val="00170730"/>
    <w:rsid w:val="00170C34"/>
    <w:rsid w:val="00171CDD"/>
    <w:rsid w:val="00176C65"/>
    <w:rsid w:val="001978D5"/>
    <w:rsid w:val="001B06A3"/>
    <w:rsid w:val="001B127E"/>
    <w:rsid w:val="001B16A4"/>
    <w:rsid w:val="001B43C4"/>
    <w:rsid w:val="001B6C91"/>
    <w:rsid w:val="001B7AA7"/>
    <w:rsid w:val="001C611F"/>
    <w:rsid w:val="001D2441"/>
    <w:rsid w:val="001D7826"/>
    <w:rsid w:val="001D79C4"/>
    <w:rsid w:val="001E217A"/>
    <w:rsid w:val="001E3DA6"/>
    <w:rsid w:val="001E490A"/>
    <w:rsid w:val="001E6191"/>
    <w:rsid w:val="001F35B4"/>
    <w:rsid w:val="00203D0A"/>
    <w:rsid w:val="0021514B"/>
    <w:rsid w:val="00220A20"/>
    <w:rsid w:val="00247400"/>
    <w:rsid w:val="00252FF7"/>
    <w:rsid w:val="00257E93"/>
    <w:rsid w:val="002705E2"/>
    <w:rsid w:val="0027492E"/>
    <w:rsid w:val="00276211"/>
    <w:rsid w:val="002817B4"/>
    <w:rsid w:val="00282630"/>
    <w:rsid w:val="002842A7"/>
    <w:rsid w:val="002853E6"/>
    <w:rsid w:val="002877F8"/>
    <w:rsid w:val="002A1C25"/>
    <w:rsid w:val="002A2EA6"/>
    <w:rsid w:val="002B1287"/>
    <w:rsid w:val="002B6713"/>
    <w:rsid w:val="002B7088"/>
    <w:rsid w:val="002C09E7"/>
    <w:rsid w:val="002C1C34"/>
    <w:rsid w:val="002C5272"/>
    <w:rsid w:val="002C7B7E"/>
    <w:rsid w:val="002D4A61"/>
    <w:rsid w:val="002D7FB0"/>
    <w:rsid w:val="002E7146"/>
    <w:rsid w:val="00307643"/>
    <w:rsid w:val="00317682"/>
    <w:rsid w:val="0032265B"/>
    <w:rsid w:val="00331D20"/>
    <w:rsid w:val="00333450"/>
    <w:rsid w:val="00333DAD"/>
    <w:rsid w:val="00334C18"/>
    <w:rsid w:val="00336322"/>
    <w:rsid w:val="0034391E"/>
    <w:rsid w:val="00344F65"/>
    <w:rsid w:val="00347182"/>
    <w:rsid w:val="00355FC1"/>
    <w:rsid w:val="0036277B"/>
    <w:rsid w:val="00365FD7"/>
    <w:rsid w:val="00375E43"/>
    <w:rsid w:val="00383592"/>
    <w:rsid w:val="003977B0"/>
    <w:rsid w:val="003B6294"/>
    <w:rsid w:val="003C228E"/>
    <w:rsid w:val="003D23DC"/>
    <w:rsid w:val="003E5E54"/>
    <w:rsid w:val="003E74D4"/>
    <w:rsid w:val="003F22F9"/>
    <w:rsid w:val="003F75F8"/>
    <w:rsid w:val="0041353A"/>
    <w:rsid w:val="00421425"/>
    <w:rsid w:val="00421796"/>
    <w:rsid w:val="00421A6C"/>
    <w:rsid w:val="00427F90"/>
    <w:rsid w:val="00430219"/>
    <w:rsid w:val="00437288"/>
    <w:rsid w:val="00455275"/>
    <w:rsid w:val="0045554C"/>
    <w:rsid w:val="0045763E"/>
    <w:rsid w:val="00460FDF"/>
    <w:rsid w:val="00462C90"/>
    <w:rsid w:val="00475D97"/>
    <w:rsid w:val="0047638E"/>
    <w:rsid w:val="00491B39"/>
    <w:rsid w:val="00495E7B"/>
    <w:rsid w:val="0049669D"/>
    <w:rsid w:val="004A48AF"/>
    <w:rsid w:val="004A700E"/>
    <w:rsid w:val="004C270D"/>
    <w:rsid w:val="004C47DD"/>
    <w:rsid w:val="004D6860"/>
    <w:rsid w:val="004D73A0"/>
    <w:rsid w:val="004E5D3C"/>
    <w:rsid w:val="004F1263"/>
    <w:rsid w:val="004F2E92"/>
    <w:rsid w:val="004F5722"/>
    <w:rsid w:val="0054025B"/>
    <w:rsid w:val="0054211F"/>
    <w:rsid w:val="005511C0"/>
    <w:rsid w:val="00552AA9"/>
    <w:rsid w:val="005610B1"/>
    <w:rsid w:val="005705D9"/>
    <w:rsid w:val="005912D5"/>
    <w:rsid w:val="005A30F9"/>
    <w:rsid w:val="005A39DC"/>
    <w:rsid w:val="005A518A"/>
    <w:rsid w:val="005B0C4E"/>
    <w:rsid w:val="005B100F"/>
    <w:rsid w:val="005C0B5D"/>
    <w:rsid w:val="005C1843"/>
    <w:rsid w:val="005C54BF"/>
    <w:rsid w:val="005D15C9"/>
    <w:rsid w:val="005D2901"/>
    <w:rsid w:val="005D4F00"/>
    <w:rsid w:val="005E0757"/>
    <w:rsid w:val="005E1C60"/>
    <w:rsid w:val="005E3E53"/>
    <w:rsid w:val="00605209"/>
    <w:rsid w:val="0061076A"/>
    <w:rsid w:val="00612047"/>
    <w:rsid w:val="0062003B"/>
    <w:rsid w:val="00640ACC"/>
    <w:rsid w:val="00647760"/>
    <w:rsid w:val="00653499"/>
    <w:rsid w:val="0065439C"/>
    <w:rsid w:val="00657B7F"/>
    <w:rsid w:val="006624DE"/>
    <w:rsid w:val="00675AAD"/>
    <w:rsid w:val="00686767"/>
    <w:rsid w:val="0069077F"/>
    <w:rsid w:val="006921DC"/>
    <w:rsid w:val="006B081D"/>
    <w:rsid w:val="006B1F59"/>
    <w:rsid w:val="006C036B"/>
    <w:rsid w:val="006C5C65"/>
    <w:rsid w:val="006C7738"/>
    <w:rsid w:val="006D04F9"/>
    <w:rsid w:val="006D7E9F"/>
    <w:rsid w:val="006E4035"/>
    <w:rsid w:val="006E7D2C"/>
    <w:rsid w:val="006F213B"/>
    <w:rsid w:val="006F5D64"/>
    <w:rsid w:val="006F654D"/>
    <w:rsid w:val="00705ED2"/>
    <w:rsid w:val="00706AA4"/>
    <w:rsid w:val="007073CD"/>
    <w:rsid w:val="0070769F"/>
    <w:rsid w:val="00712EF1"/>
    <w:rsid w:val="00716BCA"/>
    <w:rsid w:val="007225F7"/>
    <w:rsid w:val="00722C89"/>
    <w:rsid w:val="00727155"/>
    <w:rsid w:val="007355BC"/>
    <w:rsid w:val="00736C26"/>
    <w:rsid w:val="00737A64"/>
    <w:rsid w:val="0074002C"/>
    <w:rsid w:val="00740E48"/>
    <w:rsid w:val="007534FD"/>
    <w:rsid w:val="00755675"/>
    <w:rsid w:val="00756EFB"/>
    <w:rsid w:val="007633C9"/>
    <w:rsid w:val="007729CB"/>
    <w:rsid w:val="00774F12"/>
    <w:rsid w:val="00776731"/>
    <w:rsid w:val="007770D4"/>
    <w:rsid w:val="00777D47"/>
    <w:rsid w:val="00777D58"/>
    <w:rsid w:val="00794787"/>
    <w:rsid w:val="007A384C"/>
    <w:rsid w:val="007A434C"/>
    <w:rsid w:val="007A4F58"/>
    <w:rsid w:val="007B4CD6"/>
    <w:rsid w:val="007B5CCD"/>
    <w:rsid w:val="007C44EE"/>
    <w:rsid w:val="007C61DB"/>
    <w:rsid w:val="007D0573"/>
    <w:rsid w:val="007F79EB"/>
    <w:rsid w:val="0080050B"/>
    <w:rsid w:val="00801C01"/>
    <w:rsid w:val="008138CB"/>
    <w:rsid w:val="008166D6"/>
    <w:rsid w:val="00820691"/>
    <w:rsid w:val="0082117D"/>
    <w:rsid w:val="008234F8"/>
    <w:rsid w:val="00841A4D"/>
    <w:rsid w:val="008429DB"/>
    <w:rsid w:val="00845DBD"/>
    <w:rsid w:val="00860322"/>
    <w:rsid w:val="00863195"/>
    <w:rsid w:val="00871053"/>
    <w:rsid w:val="00876A3C"/>
    <w:rsid w:val="00877270"/>
    <w:rsid w:val="0088056D"/>
    <w:rsid w:val="008851AF"/>
    <w:rsid w:val="0089613D"/>
    <w:rsid w:val="00896C4B"/>
    <w:rsid w:val="008A15A0"/>
    <w:rsid w:val="008A2590"/>
    <w:rsid w:val="008A4B73"/>
    <w:rsid w:val="008A6B58"/>
    <w:rsid w:val="008B0610"/>
    <w:rsid w:val="008B0807"/>
    <w:rsid w:val="008B29F5"/>
    <w:rsid w:val="008B55ED"/>
    <w:rsid w:val="008C2CC0"/>
    <w:rsid w:val="008D347F"/>
    <w:rsid w:val="008E46C0"/>
    <w:rsid w:val="008F10D4"/>
    <w:rsid w:val="008F11CA"/>
    <w:rsid w:val="008F4669"/>
    <w:rsid w:val="009039B5"/>
    <w:rsid w:val="00916B55"/>
    <w:rsid w:val="00921B0F"/>
    <w:rsid w:val="009330FC"/>
    <w:rsid w:val="00936BE9"/>
    <w:rsid w:val="00943021"/>
    <w:rsid w:val="009549C7"/>
    <w:rsid w:val="009562D0"/>
    <w:rsid w:val="00970FFC"/>
    <w:rsid w:val="00973A40"/>
    <w:rsid w:val="0098346E"/>
    <w:rsid w:val="009838C5"/>
    <w:rsid w:val="00983E4A"/>
    <w:rsid w:val="0099240E"/>
    <w:rsid w:val="0099299B"/>
    <w:rsid w:val="00995550"/>
    <w:rsid w:val="009978B9"/>
    <w:rsid w:val="009A37A0"/>
    <w:rsid w:val="009A6211"/>
    <w:rsid w:val="009A6226"/>
    <w:rsid w:val="009B00E9"/>
    <w:rsid w:val="009B64A6"/>
    <w:rsid w:val="009C6AE6"/>
    <w:rsid w:val="009C77A6"/>
    <w:rsid w:val="009D327E"/>
    <w:rsid w:val="009D56BA"/>
    <w:rsid w:val="009E13EB"/>
    <w:rsid w:val="009E3451"/>
    <w:rsid w:val="009F049A"/>
    <w:rsid w:val="009F12F7"/>
    <w:rsid w:val="00A0120C"/>
    <w:rsid w:val="00A10478"/>
    <w:rsid w:val="00A160A6"/>
    <w:rsid w:val="00A265DA"/>
    <w:rsid w:val="00A3318C"/>
    <w:rsid w:val="00A3444A"/>
    <w:rsid w:val="00A356BE"/>
    <w:rsid w:val="00A47834"/>
    <w:rsid w:val="00A57ACC"/>
    <w:rsid w:val="00A626B7"/>
    <w:rsid w:val="00A7235A"/>
    <w:rsid w:val="00A72797"/>
    <w:rsid w:val="00A7648D"/>
    <w:rsid w:val="00A84EF0"/>
    <w:rsid w:val="00A9545B"/>
    <w:rsid w:val="00A9700F"/>
    <w:rsid w:val="00AA1595"/>
    <w:rsid w:val="00AA29EE"/>
    <w:rsid w:val="00AA3406"/>
    <w:rsid w:val="00AF5EA0"/>
    <w:rsid w:val="00AF7F71"/>
    <w:rsid w:val="00B125A0"/>
    <w:rsid w:val="00B208FB"/>
    <w:rsid w:val="00B25EF7"/>
    <w:rsid w:val="00B272FA"/>
    <w:rsid w:val="00B27698"/>
    <w:rsid w:val="00B30D55"/>
    <w:rsid w:val="00B43769"/>
    <w:rsid w:val="00B46DE7"/>
    <w:rsid w:val="00B47164"/>
    <w:rsid w:val="00B51954"/>
    <w:rsid w:val="00B57F2F"/>
    <w:rsid w:val="00B6020A"/>
    <w:rsid w:val="00B6364A"/>
    <w:rsid w:val="00B7299C"/>
    <w:rsid w:val="00B80DC6"/>
    <w:rsid w:val="00B825BC"/>
    <w:rsid w:val="00B901FD"/>
    <w:rsid w:val="00BA5D31"/>
    <w:rsid w:val="00BB1369"/>
    <w:rsid w:val="00BB169E"/>
    <w:rsid w:val="00BB3635"/>
    <w:rsid w:val="00BC26E4"/>
    <w:rsid w:val="00BC2C8A"/>
    <w:rsid w:val="00BC2D84"/>
    <w:rsid w:val="00BD3449"/>
    <w:rsid w:val="00BD6621"/>
    <w:rsid w:val="00BD74DB"/>
    <w:rsid w:val="00BE256D"/>
    <w:rsid w:val="00BF251F"/>
    <w:rsid w:val="00BF5091"/>
    <w:rsid w:val="00C050B4"/>
    <w:rsid w:val="00C12A82"/>
    <w:rsid w:val="00C16A02"/>
    <w:rsid w:val="00C16D72"/>
    <w:rsid w:val="00C174A0"/>
    <w:rsid w:val="00C229F5"/>
    <w:rsid w:val="00C358FE"/>
    <w:rsid w:val="00C60123"/>
    <w:rsid w:val="00C6119A"/>
    <w:rsid w:val="00C73074"/>
    <w:rsid w:val="00C86D4B"/>
    <w:rsid w:val="00C92040"/>
    <w:rsid w:val="00CA2697"/>
    <w:rsid w:val="00CB7D8C"/>
    <w:rsid w:val="00CB7EE6"/>
    <w:rsid w:val="00CC2D86"/>
    <w:rsid w:val="00CD3737"/>
    <w:rsid w:val="00CD41CA"/>
    <w:rsid w:val="00CD4E96"/>
    <w:rsid w:val="00CE35F9"/>
    <w:rsid w:val="00CE7ADF"/>
    <w:rsid w:val="00CF239C"/>
    <w:rsid w:val="00CF2F98"/>
    <w:rsid w:val="00CF3749"/>
    <w:rsid w:val="00D0166F"/>
    <w:rsid w:val="00D12BFC"/>
    <w:rsid w:val="00D174D1"/>
    <w:rsid w:val="00D22781"/>
    <w:rsid w:val="00D23FFB"/>
    <w:rsid w:val="00D24608"/>
    <w:rsid w:val="00D263EA"/>
    <w:rsid w:val="00D32988"/>
    <w:rsid w:val="00D3634A"/>
    <w:rsid w:val="00D36AE6"/>
    <w:rsid w:val="00D36B34"/>
    <w:rsid w:val="00D409D0"/>
    <w:rsid w:val="00D41C10"/>
    <w:rsid w:val="00D466D0"/>
    <w:rsid w:val="00D50C76"/>
    <w:rsid w:val="00D5311D"/>
    <w:rsid w:val="00D566B1"/>
    <w:rsid w:val="00D64A01"/>
    <w:rsid w:val="00D74AA8"/>
    <w:rsid w:val="00D86DC4"/>
    <w:rsid w:val="00D902FB"/>
    <w:rsid w:val="00D924A1"/>
    <w:rsid w:val="00DA37C7"/>
    <w:rsid w:val="00DB0712"/>
    <w:rsid w:val="00DB5F63"/>
    <w:rsid w:val="00DB652C"/>
    <w:rsid w:val="00DB66FE"/>
    <w:rsid w:val="00DB70B2"/>
    <w:rsid w:val="00DB7DF0"/>
    <w:rsid w:val="00DD0360"/>
    <w:rsid w:val="00DE254A"/>
    <w:rsid w:val="00DF06C0"/>
    <w:rsid w:val="00DF4905"/>
    <w:rsid w:val="00E03ABC"/>
    <w:rsid w:val="00E068C7"/>
    <w:rsid w:val="00E1512E"/>
    <w:rsid w:val="00E26B8F"/>
    <w:rsid w:val="00E31EED"/>
    <w:rsid w:val="00E36140"/>
    <w:rsid w:val="00E46C57"/>
    <w:rsid w:val="00E51A4E"/>
    <w:rsid w:val="00E51B70"/>
    <w:rsid w:val="00E5357A"/>
    <w:rsid w:val="00E548DF"/>
    <w:rsid w:val="00E8036E"/>
    <w:rsid w:val="00E82DB2"/>
    <w:rsid w:val="00E87F96"/>
    <w:rsid w:val="00E90A28"/>
    <w:rsid w:val="00E931CA"/>
    <w:rsid w:val="00E93ACB"/>
    <w:rsid w:val="00EA1709"/>
    <w:rsid w:val="00EA456B"/>
    <w:rsid w:val="00EB3013"/>
    <w:rsid w:val="00EB55B4"/>
    <w:rsid w:val="00EC0ECE"/>
    <w:rsid w:val="00EE314B"/>
    <w:rsid w:val="00EE5047"/>
    <w:rsid w:val="00EF0EC6"/>
    <w:rsid w:val="00F001C2"/>
    <w:rsid w:val="00F05AC4"/>
    <w:rsid w:val="00F06A1D"/>
    <w:rsid w:val="00F42FBC"/>
    <w:rsid w:val="00F450D9"/>
    <w:rsid w:val="00F52070"/>
    <w:rsid w:val="00F65F4F"/>
    <w:rsid w:val="00F70DE8"/>
    <w:rsid w:val="00F730B3"/>
    <w:rsid w:val="00F81DB3"/>
    <w:rsid w:val="00F8249E"/>
    <w:rsid w:val="00F84219"/>
    <w:rsid w:val="00F854EE"/>
    <w:rsid w:val="00F9256D"/>
    <w:rsid w:val="00F95E56"/>
    <w:rsid w:val="00F960BA"/>
    <w:rsid w:val="00F9616B"/>
    <w:rsid w:val="00FA4D33"/>
    <w:rsid w:val="00FA54CE"/>
    <w:rsid w:val="00FA7551"/>
    <w:rsid w:val="00FB0FCD"/>
    <w:rsid w:val="00FB1D81"/>
    <w:rsid w:val="00FB66C6"/>
    <w:rsid w:val="00FC290D"/>
    <w:rsid w:val="00FD1B9D"/>
    <w:rsid w:val="00FD69D7"/>
    <w:rsid w:val="00FF2250"/>
    <w:rsid w:val="00FF3FF6"/>
    <w:rsid w:val="00FF55EC"/>
    <w:rsid w:val="00FF5C82"/>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7E55C4"/>
  <w15:chartTrackingRefBased/>
  <w15:docId w15:val="{E960FCC2-BFFD-4A4F-9AAC-8AA84CB24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9A37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7A0"/>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9A37A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37A0"/>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9A37A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A37A0"/>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9A37A0"/>
    <w:pPr>
      <w:ind w:left="720"/>
      <w:contextualSpacing/>
    </w:pPr>
  </w:style>
  <w:style w:type="character" w:styleId="IntenseEmphasis">
    <w:name w:val="Intense Emphasis"/>
    <w:basedOn w:val="DefaultParagraphFont"/>
    <w:uiPriority w:val="21"/>
    <w:qFormat/>
    <w:rsid w:val="009A37A0"/>
    <w:rPr>
      <w:i/>
      <w:iCs/>
      <w:color w:val="2F5496" w:themeColor="accent1" w:themeShade="BF"/>
    </w:rPr>
  </w:style>
  <w:style w:type="paragraph" w:styleId="IntenseQuote">
    <w:name w:val="Intense Quote"/>
    <w:basedOn w:val="Normal"/>
    <w:next w:val="Normal"/>
    <w:link w:val="IntenseQuoteChar"/>
    <w:uiPriority w:val="30"/>
    <w:qFormat/>
    <w:rsid w:val="009A37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37A0"/>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9A37A0"/>
    <w:rPr>
      <w:b/>
      <w:bCs/>
      <w:smallCaps/>
      <w:color w:val="2F5496" w:themeColor="accent1" w:themeShade="BF"/>
      <w:spacing w:val="5"/>
    </w:rPr>
  </w:style>
  <w:style w:type="paragraph" w:styleId="CommentText">
    <w:name w:val="annotation text"/>
    <w:basedOn w:val="Normal"/>
    <w:link w:val="CommentTextChar"/>
    <w:uiPriority w:val="99"/>
    <w:unhideWhenUsed/>
    <w:rsid w:val="00A84EF0"/>
    <w:pPr>
      <w:spacing w:line="240" w:lineRule="auto"/>
    </w:pPr>
    <w:rPr>
      <w:szCs w:val="20"/>
    </w:rPr>
  </w:style>
  <w:style w:type="character" w:customStyle="1" w:styleId="CommentTextChar">
    <w:name w:val="Comment Text Char"/>
    <w:basedOn w:val="DefaultParagraphFont"/>
    <w:link w:val="CommentText"/>
    <w:uiPriority w:val="99"/>
    <w:rsid w:val="00A84EF0"/>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84EF0"/>
    <w:rPr>
      <w:b/>
      <w:bCs/>
    </w:rPr>
  </w:style>
  <w:style w:type="character" w:customStyle="1" w:styleId="CommentSubjectChar">
    <w:name w:val="Comment Subject Char"/>
    <w:basedOn w:val="CommentTextChar"/>
    <w:link w:val="CommentSubject"/>
    <w:uiPriority w:val="99"/>
    <w:semiHidden/>
    <w:rsid w:val="00A84EF0"/>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686767"/>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s/S/RES/1325(2000)" TargetMode="External"/><Relationship Id="rId3" Type="http://schemas.openxmlformats.org/officeDocument/2006/relationships/customXml" Target="../customXml/item3.xml"/><Relationship Id="rId21" Type="http://schemas.openxmlformats.org/officeDocument/2006/relationships/hyperlink" Target="https://docs.un.org/es/A/RES/68/268"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s/A/RES/75/29"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HRI/GEN/2/Rev.6" TargetMode="External"/><Relationship Id="rId29" Type="http://schemas.openxmlformats.org/officeDocument/2006/relationships/hyperlink" Target="https://&#1091;&#1088;&#1086;&#1082;&#1094;&#1080;&#1092;&#1088;&#1099;.&#1088;&#109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A/RES/75/192"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womenofrussia.online" TargetMode="External"/><Relationship Id="rId28" Type="http://schemas.openxmlformats.org/officeDocument/2006/relationships/hyperlink" Target="https://digital-likbez.datalesson.ru/"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s/A/RES/68/26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RUS/CO/9" TargetMode="External"/><Relationship Id="rId27" Type="http://schemas.openxmlformats.org/officeDocument/2006/relationships/hyperlink" Target="https://docs.un.org/es/S/RES/1325(2000)" TargetMode="External"/><Relationship Id="rId30" Type="http://schemas.openxmlformats.org/officeDocument/2006/relationships/hyperlink" Target="https://&#1091;&#1088;&#1086;&#1082;&#1094;&#1080;&#1092;&#1088;&#1099;.&#1088;&#1092;/camp)"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73</TotalTime>
  <Pages>27</Pages>
  <Words>14384</Words>
  <Characters>81991</Characters>
  <Application>Microsoft Office Word</Application>
  <DocSecurity>0</DocSecurity>
  <Lines>683</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Jorge Martin Bejarano</cp:lastModifiedBy>
  <cp:revision>29</cp:revision>
  <dcterms:created xsi:type="dcterms:W3CDTF">2026-01-20T21:23:00Z</dcterms:created>
  <dcterms:modified xsi:type="dcterms:W3CDTF">2026-01-21T17:30:00Z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2520494</vt:lpwstr>
  </property>
  <property fmtid="{D5CDD505-2E9C-101B-9397-08002B2CF9AE}" pid="3" name="ODSRefJobNo">
    <vt:lpwstr>2535153S</vt:lpwstr>
  </property>
  <property fmtid="{D5CDD505-2E9C-101B-9397-08002B2CF9AE}" pid="4" name="Symbol1">
    <vt:lpwstr>CEDAW/C/RUS/10</vt:lpwstr>
  </property>
  <property fmtid="{D5CDD505-2E9C-101B-9397-08002B2CF9AE}" pid="5" name="Symbol2">
    <vt:lpwstr/>
  </property>
  <property fmtid="{D5CDD505-2E9C-101B-9397-08002B2CF9AE}" pid="6" name="Translator">
    <vt:lpwstr>Guillermo Siminiani</vt:lpwstr>
  </property>
  <property fmtid="{D5CDD505-2E9C-101B-9397-08002B2CF9AE}" pid="7" name="Operator">
    <vt:lpwstr>JMártin</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Décimo informe periódico que la Federación de Rusia debía presentar en 2025 en virtud del artículo 18 de la Convención*,**_x000d_</vt:lpwstr>
  </property>
</Properties>
</file>