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E4DFD">
        <w:trPr>
          <w:trHeight w:hRule="exact" w:val="851"/>
        </w:trPr>
        <w:tc>
          <w:tcPr>
            <w:tcW w:w="1280" w:type="dxa"/>
            <w:tcBorders>
              <w:bottom w:val="single" w:sz="4" w:space="0" w:color="auto"/>
            </w:tcBorders>
          </w:tcPr>
          <w:p w:rsidR="00CE4DFD" w:rsidRDefault="00CE4DFD">
            <w:pPr>
              <w:rPr>
                <w:rFonts w:hint="eastAsia"/>
              </w:rPr>
            </w:pPr>
          </w:p>
        </w:tc>
        <w:tc>
          <w:tcPr>
            <w:tcW w:w="2273" w:type="dxa"/>
            <w:tcBorders>
              <w:bottom w:val="single" w:sz="4" w:space="0" w:color="auto"/>
            </w:tcBorders>
            <w:vAlign w:val="bottom"/>
          </w:tcPr>
          <w:p w:rsidR="00CE4DFD" w:rsidRDefault="00CE4DF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E4DFD" w:rsidRDefault="00CE4DFD">
            <w:pPr>
              <w:spacing w:line="240" w:lineRule="atLeast"/>
              <w:jc w:val="right"/>
              <w:rPr>
                <w:rFonts w:hint="eastAsia"/>
                <w:szCs w:val="21"/>
              </w:rPr>
            </w:pPr>
            <w:r>
              <w:rPr>
                <w:sz w:val="40"/>
                <w:szCs w:val="40"/>
              </w:rPr>
              <w:t>CRPD</w:t>
            </w:r>
            <w:r>
              <w:rPr>
                <w:sz w:val="20"/>
              </w:rPr>
              <w:t>/C/CRI/1</w:t>
            </w:r>
          </w:p>
        </w:tc>
      </w:tr>
      <w:tr w:rsidR="00CE4DFD">
        <w:trPr>
          <w:trHeight w:hRule="exact" w:val="2835"/>
        </w:trPr>
        <w:tc>
          <w:tcPr>
            <w:tcW w:w="1280" w:type="dxa"/>
            <w:tcBorders>
              <w:top w:val="single" w:sz="4" w:space="0" w:color="auto"/>
              <w:bottom w:val="single" w:sz="12" w:space="0" w:color="auto"/>
            </w:tcBorders>
          </w:tcPr>
          <w:p w:rsidR="00CE4DFD" w:rsidRDefault="00CE4DFD">
            <w:pPr>
              <w:spacing w:line="120" w:lineRule="atLeast"/>
              <w:rPr>
                <w:sz w:val="10"/>
                <w:szCs w:val="10"/>
              </w:rPr>
            </w:pPr>
          </w:p>
          <w:p w:rsidR="00CE4DFD" w:rsidRDefault="00CE4DF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E4DFD" w:rsidRDefault="00CE4DFD">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CE4DFD" w:rsidRDefault="00CE4DFD">
            <w:pPr>
              <w:spacing w:before="240" w:line="240" w:lineRule="atLeast"/>
              <w:rPr>
                <w:sz w:val="20"/>
              </w:rPr>
            </w:pPr>
            <w:r>
              <w:rPr>
                <w:sz w:val="20"/>
              </w:rPr>
              <w:t>Distr.: General</w:t>
            </w:r>
          </w:p>
          <w:p w:rsidR="00CE4DFD" w:rsidRDefault="00CE4DFD">
            <w:pPr>
              <w:spacing w:line="240" w:lineRule="atLeast"/>
              <w:rPr>
                <w:sz w:val="20"/>
              </w:rPr>
            </w:pPr>
            <w:r>
              <w:rPr>
                <w:sz w:val="20"/>
              </w:rPr>
              <w:t>18 February 20</w:t>
            </w:r>
            <w:r>
              <w:rPr>
                <w:rFonts w:hint="eastAsia"/>
                <w:sz w:val="20"/>
              </w:rPr>
              <w:t>1</w:t>
            </w:r>
            <w:r>
              <w:rPr>
                <w:sz w:val="20"/>
              </w:rPr>
              <w:t>3</w:t>
            </w:r>
          </w:p>
          <w:p w:rsidR="00CE4DFD" w:rsidRDefault="00CE4DFD">
            <w:pPr>
              <w:spacing w:line="240" w:lineRule="atLeast"/>
              <w:rPr>
                <w:sz w:val="20"/>
              </w:rPr>
            </w:pPr>
            <w:r>
              <w:rPr>
                <w:sz w:val="20"/>
              </w:rPr>
              <w:t>Chinese</w:t>
            </w:r>
          </w:p>
          <w:p w:rsidR="00CE4DFD" w:rsidRDefault="00CE4DFD">
            <w:pPr>
              <w:spacing w:line="240" w:lineRule="atLeast"/>
              <w:rPr>
                <w:rFonts w:hint="eastAsia"/>
                <w:sz w:val="20"/>
              </w:rPr>
            </w:pPr>
            <w:r>
              <w:rPr>
                <w:sz w:val="20"/>
              </w:rPr>
              <w:t>Original: Spanish</w:t>
            </w:r>
          </w:p>
        </w:tc>
      </w:tr>
    </w:tbl>
    <w:p w:rsidR="00CE4DFD" w:rsidRDefault="00CE4DFD">
      <w:pPr>
        <w:spacing w:before="120"/>
        <w:rPr>
          <w:rFonts w:eastAsia="SimHei" w:hint="eastAsia"/>
          <w:sz w:val="24"/>
          <w:szCs w:val="24"/>
          <w:lang w:val="fr-CH"/>
        </w:rPr>
      </w:pPr>
      <w:r>
        <w:rPr>
          <w:rFonts w:eastAsia="SimHei" w:hint="eastAsia"/>
          <w:sz w:val="24"/>
          <w:szCs w:val="24"/>
          <w:lang w:val="fr-CH"/>
        </w:rPr>
        <w:t>残疾人权利委员会</w:t>
      </w:r>
    </w:p>
    <w:p w:rsidR="00CE4DFD" w:rsidRDefault="00CE4DFD">
      <w:pPr>
        <w:pStyle w:val="HMGC"/>
      </w:pPr>
      <w:r>
        <w:rPr>
          <w:rFonts w:hint="eastAsia"/>
        </w:rPr>
        <w:tab/>
      </w:r>
      <w:r>
        <w:rPr>
          <w:rFonts w:hint="eastAsia"/>
        </w:rPr>
        <w:tab/>
      </w:r>
      <w:bookmarkStart w:id="0" w:name="_Toc352758958"/>
      <w:r>
        <w:rPr>
          <w:rFonts w:hint="eastAsia"/>
        </w:rPr>
        <w:t>《残疾人权利公约》的实施情况</w:t>
      </w:r>
      <w:bookmarkEnd w:id="0"/>
    </w:p>
    <w:p w:rsidR="00CE4DFD" w:rsidRDefault="00CE4DFD">
      <w:pPr>
        <w:pStyle w:val="HChGC"/>
      </w:pPr>
      <w:r>
        <w:rPr>
          <w:rFonts w:hint="eastAsia"/>
        </w:rPr>
        <w:tab/>
      </w:r>
      <w:r>
        <w:rPr>
          <w:rFonts w:hint="eastAsia"/>
        </w:rPr>
        <w:tab/>
      </w:r>
      <w:bookmarkStart w:id="1" w:name="_Toc352758959"/>
      <w:r>
        <w:rPr>
          <w:rFonts w:hint="eastAsia"/>
        </w:rPr>
        <w:t>缔约国按照《公约》</w:t>
      </w:r>
      <w:r>
        <w:t>第</w:t>
      </w:r>
      <w:r>
        <w:rPr>
          <w:rFonts w:hint="eastAsia"/>
        </w:rPr>
        <w:t>三十五</w:t>
      </w:r>
      <w:r>
        <w:t>条提</w:t>
      </w:r>
      <w:r>
        <w:rPr>
          <w:rFonts w:hint="eastAsia"/>
        </w:rPr>
        <w:t>交的初次报告</w:t>
      </w:r>
      <w:bookmarkEnd w:id="1"/>
    </w:p>
    <w:p w:rsidR="00CE4DFD" w:rsidRDefault="00CE4DFD">
      <w:pPr>
        <w:pStyle w:val="HMGC"/>
        <w:rPr>
          <w:rStyle w:val="FootnoteReference"/>
        </w:rPr>
      </w:pPr>
      <w:r>
        <w:tab/>
      </w:r>
      <w:r>
        <w:tab/>
      </w:r>
      <w:bookmarkStart w:id="2" w:name="_Toc352758960"/>
      <w:r>
        <w:rPr>
          <w:rFonts w:hint="eastAsia"/>
        </w:rPr>
        <w:t>哥斯达黎加</w:t>
      </w:r>
      <w:r>
        <w:rPr>
          <w:rStyle w:val="FootnoteReference"/>
          <w:position w:val="6"/>
          <w:sz w:val="28"/>
          <w:szCs w:val="28"/>
          <w:vertAlign w:val="baseline"/>
        </w:rPr>
        <w:footnoteReference w:customMarkFollows="1" w:id="1"/>
        <w:t>*</w:t>
      </w:r>
      <w:bookmarkEnd w:id="2"/>
    </w:p>
    <w:p w:rsidR="00CE4DFD" w:rsidRDefault="00CE4DFD">
      <w:pPr>
        <w:pStyle w:val="SingleTxtGC"/>
        <w:jc w:val="right"/>
      </w:pPr>
      <w:r>
        <w:rPr>
          <w:rFonts w:hint="eastAsia"/>
        </w:rPr>
        <w:t>［</w:t>
      </w:r>
      <w:smartTag w:uri="urn:schemas-microsoft-com:office:smarttags" w:element="chsdate">
        <w:smartTagPr>
          <w:attr w:name="Year" w:val="2011"/>
          <w:attr w:name="Month" w:val="3"/>
          <w:attr w:name="Day" w:val="23"/>
          <w:attr w:name="IsLunarDate" w:val="False"/>
          <w:attr w:name="IsROCDate" w:val="False"/>
        </w:smartTagPr>
        <w:r>
          <w:rPr>
            <w:rFonts w:hint="eastAsia"/>
          </w:rPr>
          <w:t>2011</w:t>
        </w:r>
        <w:r>
          <w:rPr>
            <w:rFonts w:hint="eastAsia"/>
          </w:rPr>
          <w:t>年</w:t>
        </w:r>
        <w:r>
          <w:rPr>
            <w:rFonts w:hint="eastAsia"/>
          </w:rPr>
          <w:t>3</w:t>
        </w:r>
        <w:r>
          <w:rPr>
            <w:rFonts w:hint="eastAsia"/>
          </w:rPr>
          <w:t>月</w:t>
        </w:r>
        <w:r>
          <w:rPr>
            <w:rFonts w:hint="eastAsia"/>
          </w:rPr>
          <w:t>23</w:t>
        </w:r>
        <w:r>
          <w:rPr>
            <w:rFonts w:hint="eastAsia"/>
          </w:rPr>
          <w:t>日</w:t>
        </w:r>
      </w:smartTag>
      <w:r>
        <w:rPr>
          <w:rFonts w:hint="eastAsia"/>
        </w:rPr>
        <w:t>］</w:t>
      </w:r>
    </w:p>
    <w:p w:rsidR="00CE4DFD" w:rsidRDefault="00CE4DFD">
      <w:pPr>
        <w:pStyle w:val="SingleTxtGC"/>
        <w:rPr>
          <w:rFonts w:hint="eastAsia"/>
        </w:rPr>
      </w:pPr>
    </w:p>
    <w:p w:rsidR="00CE4DFD" w:rsidRDefault="00CE4DFD">
      <w:pPr>
        <w:pStyle w:val="SingleTxtGC"/>
        <w:rPr>
          <w:rFonts w:hint="eastAsia"/>
          <w:lang w:val="fr-CH"/>
        </w:rPr>
      </w:pPr>
    </w:p>
    <w:p w:rsidR="00CE4DFD" w:rsidRDefault="00CE4DFD">
      <w:pPr>
        <w:pStyle w:val="SingleTxtGC"/>
        <w:rPr>
          <w:rFonts w:hint="eastAsia"/>
        </w:rPr>
      </w:pPr>
    </w:p>
    <w:p w:rsidR="00CE4DFD" w:rsidRDefault="00CE4DFD">
      <w:pPr>
        <w:spacing w:after="120"/>
        <w:rPr>
          <w:sz w:val="28"/>
          <w:szCs w:val="28"/>
        </w:rPr>
      </w:pPr>
      <w:r>
        <w:br w:type="page"/>
      </w:r>
      <w:r>
        <w:rPr>
          <w:rFonts w:hint="eastAsia"/>
          <w:sz w:val="28"/>
          <w:szCs w:val="28"/>
        </w:rPr>
        <w:t>目录</w:t>
      </w:r>
    </w:p>
    <w:p w:rsidR="00CE4DFD" w:rsidRDefault="00CE4DFD">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CE4DFD" w:rsidRDefault="00CE4DFD">
      <w:pPr>
        <w:pStyle w:val="a4"/>
        <w:ind w:right="2488"/>
      </w:pPr>
      <w:r>
        <w:tab/>
      </w:r>
      <w:r>
        <w:tab/>
      </w:r>
      <w:r>
        <w:rPr>
          <w:rFonts w:hint="eastAsia"/>
        </w:rPr>
        <w:t>缩略语</w:t>
      </w:r>
      <w:r>
        <w:rPr>
          <w:rFonts w:hint="eastAsia"/>
        </w:rPr>
        <w:tab/>
      </w:r>
      <w:r>
        <w:rPr>
          <w:rFonts w:hint="eastAsia"/>
        </w:rPr>
        <w:tab/>
      </w:r>
      <w:r>
        <w:tab/>
        <w:t>3</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pPr>
      <w:r>
        <w:rPr>
          <w:rFonts w:hint="eastAsia"/>
        </w:rPr>
        <w:tab/>
      </w:r>
      <w:r>
        <w:rPr>
          <w:rFonts w:hint="eastAsia"/>
        </w:rPr>
        <w:t>一</w:t>
      </w:r>
      <w:r>
        <w:rPr>
          <w:rFonts w:hint="eastAsia"/>
        </w:rPr>
        <w:t>.</w:t>
      </w:r>
      <w:r>
        <w:rPr>
          <w:rFonts w:hint="eastAsia"/>
        </w:rPr>
        <w:tab/>
      </w:r>
      <w:r>
        <w:rPr>
          <w:rFonts w:hint="eastAsia"/>
        </w:rPr>
        <w:t>基本资料</w:t>
      </w:r>
      <w:r>
        <w:rPr>
          <w:rFonts w:hint="eastAsia"/>
        </w:rPr>
        <w:tab/>
      </w:r>
      <w:r>
        <w:rPr>
          <w:rFonts w:hint="eastAsia"/>
        </w:rPr>
        <w:tab/>
        <w:t>1-15</w:t>
      </w:r>
      <w:r>
        <w:rPr>
          <w:rFonts w:hint="eastAsia"/>
        </w:rPr>
        <w:tab/>
      </w:r>
      <w:r>
        <w:t>5</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A.</w:t>
      </w:r>
      <w:r>
        <w:rPr>
          <w:rFonts w:hint="eastAsia"/>
        </w:rPr>
        <w:tab/>
      </w:r>
      <w:r>
        <w:rPr>
          <w:rFonts w:hint="eastAsia"/>
        </w:rPr>
        <w:t>报告涉及范围：采用的程序和方法</w:t>
      </w:r>
      <w:r>
        <w:rPr>
          <w:rFonts w:hint="eastAsia"/>
        </w:rPr>
        <w:tab/>
      </w:r>
      <w:r>
        <w:rPr>
          <w:rFonts w:hint="eastAsia"/>
        </w:rPr>
        <w:tab/>
        <w:t>1-5</w:t>
      </w:r>
      <w:r>
        <w:rPr>
          <w:rFonts w:hint="eastAsia"/>
        </w:rPr>
        <w:tab/>
      </w:r>
      <w:r>
        <w:t>5</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B.</w:t>
      </w:r>
      <w:r>
        <w:rPr>
          <w:rFonts w:hint="eastAsia"/>
        </w:rPr>
        <w:tab/>
      </w:r>
      <w:r>
        <w:rPr>
          <w:rFonts w:hint="eastAsia"/>
        </w:rPr>
        <w:t>在报告起草工作中的社会参与</w:t>
      </w:r>
      <w:r>
        <w:rPr>
          <w:rFonts w:hint="eastAsia"/>
        </w:rPr>
        <w:tab/>
      </w:r>
      <w:r>
        <w:rPr>
          <w:rFonts w:hint="eastAsia"/>
        </w:rPr>
        <w:tab/>
        <w:t>6-9</w:t>
      </w:r>
      <w:r>
        <w:rPr>
          <w:rFonts w:hint="eastAsia"/>
        </w:rPr>
        <w:tab/>
      </w:r>
      <w:r>
        <w:t>6</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C.</w:t>
      </w:r>
      <w:r>
        <w:rPr>
          <w:rFonts w:hint="eastAsia"/>
        </w:rPr>
        <w:tab/>
      </w:r>
      <w:r>
        <w:rPr>
          <w:rFonts w:hint="eastAsia"/>
        </w:rPr>
        <w:t>关于报告的考虑事项</w:t>
      </w:r>
      <w:r>
        <w:rPr>
          <w:rFonts w:hint="eastAsia"/>
        </w:rPr>
        <w:tab/>
      </w:r>
      <w:r>
        <w:rPr>
          <w:rFonts w:hint="eastAsia"/>
        </w:rPr>
        <w:tab/>
        <w:t>10-15</w:t>
      </w:r>
      <w:r>
        <w:rPr>
          <w:rFonts w:hint="eastAsia"/>
        </w:rPr>
        <w:tab/>
      </w:r>
      <w:r>
        <w:t>6</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pPr>
      <w:r>
        <w:rPr>
          <w:rFonts w:hint="eastAsia"/>
        </w:rPr>
        <w:tab/>
      </w:r>
      <w:r>
        <w:rPr>
          <w:rFonts w:hint="eastAsia"/>
        </w:rPr>
        <w:t>二</w:t>
      </w:r>
      <w:r>
        <w:rPr>
          <w:rFonts w:hint="eastAsia"/>
        </w:rPr>
        <w:t>.</w:t>
      </w:r>
      <w:r>
        <w:rPr>
          <w:rFonts w:hint="eastAsia"/>
        </w:rPr>
        <w:tab/>
      </w:r>
      <w:r>
        <w:rPr>
          <w:rFonts w:hint="eastAsia"/>
        </w:rPr>
        <w:t>国家机构和地方机构的评估结果</w:t>
      </w:r>
      <w:r>
        <w:tab/>
      </w:r>
      <w:r>
        <w:tab/>
      </w:r>
      <w:r>
        <w:rPr>
          <w:rFonts w:hint="eastAsia"/>
        </w:rPr>
        <w:t>16</w:t>
      </w:r>
      <w:r>
        <w:t>-233</w:t>
      </w:r>
      <w:r>
        <w:rPr>
          <w:rFonts w:hint="eastAsia"/>
        </w:rPr>
        <w:tab/>
      </w:r>
      <w:r>
        <w:t>7</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A.</w:t>
      </w:r>
      <w:r>
        <w:rPr>
          <w:rFonts w:hint="eastAsia"/>
        </w:rPr>
        <w:tab/>
      </w:r>
      <w:r>
        <w:rPr>
          <w:rFonts w:hint="eastAsia"/>
        </w:rPr>
        <w:t>获得司法保护权、自由权和人身安全</w:t>
      </w:r>
      <w:r>
        <w:rPr>
          <w:rFonts w:hint="eastAsia"/>
        </w:rPr>
        <w:tab/>
      </w:r>
      <w:r>
        <w:rPr>
          <w:rFonts w:hint="eastAsia"/>
        </w:rPr>
        <w:tab/>
        <w:t>16-33</w:t>
      </w:r>
      <w:r>
        <w:rPr>
          <w:rFonts w:hint="eastAsia"/>
        </w:rPr>
        <w:tab/>
      </w:r>
      <w:r>
        <w:t>7</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B.</w:t>
      </w:r>
      <w:r>
        <w:rPr>
          <w:rFonts w:hint="eastAsia"/>
        </w:rPr>
        <w:tab/>
      </w:r>
      <w:r>
        <w:rPr>
          <w:rFonts w:hint="eastAsia"/>
        </w:rPr>
        <w:t>健康权</w:t>
      </w:r>
      <w:r>
        <w:rPr>
          <w:rFonts w:hint="eastAsia"/>
        </w:rPr>
        <w:tab/>
      </w:r>
      <w:r>
        <w:rPr>
          <w:rFonts w:hint="eastAsia"/>
        </w:rPr>
        <w:tab/>
        <w:t>34-49</w:t>
      </w:r>
      <w:r>
        <w:rPr>
          <w:rFonts w:hint="eastAsia"/>
        </w:rPr>
        <w:tab/>
      </w:r>
      <w:r>
        <w:t>10</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C.</w:t>
      </w:r>
      <w:r>
        <w:rPr>
          <w:rFonts w:hint="eastAsia"/>
        </w:rPr>
        <w:tab/>
      </w:r>
      <w:r>
        <w:rPr>
          <w:rFonts w:hint="eastAsia"/>
        </w:rPr>
        <w:t>教育权</w:t>
      </w:r>
      <w:r>
        <w:rPr>
          <w:rFonts w:hint="eastAsia"/>
        </w:rPr>
        <w:tab/>
      </w:r>
      <w:r>
        <w:rPr>
          <w:rFonts w:hint="eastAsia"/>
        </w:rPr>
        <w:tab/>
        <w:t>50-74</w:t>
      </w:r>
      <w:r>
        <w:rPr>
          <w:rFonts w:hint="eastAsia"/>
        </w:rPr>
        <w:tab/>
      </w:r>
      <w:r>
        <w:t>13</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D.</w:t>
      </w:r>
      <w:r>
        <w:rPr>
          <w:rFonts w:hint="eastAsia"/>
        </w:rPr>
        <w:tab/>
      </w:r>
      <w:r>
        <w:rPr>
          <w:rFonts w:hint="eastAsia"/>
        </w:rPr>
        <w:t>劳动和就业权利</w:t>
      </w:r>
      <w:r>
        <w:rPr>
          <w:rFonts w:hint="eastAsia"/>
        </w:rPr>
        <w:tab/>
      </w:r>
      <w:r>
        <w:rPr>
          <w:rFonts w:hint="eastAsia"/>
        </w:rPr>
        <w:tab/>
        <w:t>75-89</w:t>
      </w:r>
      <w:r>
        <w:rPr>
          <w:rFonts w:hint="eastAsia"/>
        </w:rPr>
        <w:tab/>
      </w:r>
      <w:r>
        <w:t>17</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E.</w:t>
      </w:r>
      <w:r>
        <w:rPr>
          <w:rFonts w:hint="eastAsia"/>
        </w:rPr>
        <w:tab/>
      </w:r>
      <w:r>
        <w:rPr>
          <w:rFonts w:hint="eastAsia"/>
        </w:rPr>
        <w:t>最低生活保障和社会保护</w:t>
      </w:r>
      <w:r>
        <w:rPr>
          <w:rFonts w:hint="eastAsia"/>
        </w:rPr>
        <w:tab/>
      </w:r>
      <w:r>
        <w:rPr>
          <w:rFonts w:hint="eastAsia"/>
        </w:rPr>
        <w:tab/>
        <w:t>90-131</w:t>
      </w:r>
      <w:r>
        <w:rPr>
          <w:rFonts w:hint="eastAsia"/>
        </w:rPr>
        <w:tab/>
      </w:r>
      <w:r>
        <w:t>20</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F.</w:t>
      </w:r>
      <w:r>
        <w:rPr>
          <w:rFonts w:hint="eastAsia"/>
        </w:rPr>
        <w:tab/>
      </w:r>
      <w:r>
        <w:rPr>
          <w:rFonts w:hint="eastAsia"/>
        </w:rPr>
        <w:t>参与政治和公共生活的权利</w:t>
      </w:r>
      <w:r>
        <w:rPr>
          <w:rFonts w:hint="eastAsia"/>
        </w:rPr>
        <w:tab/>
      </w:r>
      <w:r>
        <w:rPr>
          <w:rFonts w:hint="eastAsia"/>
        </w:rPr>
        <w:tab/>
        <w:t>132-175</w:t>
      </w:r>
      <w:r>
        <w:rPr>
          <w:rFonts w:hint="eastAsia"/>
        </w:rPr>
        <w:tab/>
      </w:r>
      <w:r>
        <w:t>25</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G.</w:t>
      </w:r>
      <w:r>
        <w:rPr>
          <w:rFonts w:hint="eastAsia"/>
        </w:rPr>
        <w:tab/>
      </w:r>
      <w:r>
        <w:rPr>
          <w:rFonts w:hint="eastAsia"/>
        </w:rPr>
        <w:t>参与文化生活、娱乐活动、休闲和体育的权利</w:t>
      </w:r>
      <w:r>
        <w:rPr>
          <w:rFonts w:hint="eastAsia"/>
        </w:rPr>
        <w:tab/>
      </w:r>
      <w:r>
        <w:rPr>
          <w:rFonts w:hint="eastAsia"/>
        </w:rPr>
        <w:tab/>
        <w:t>176-203</w:t>
      </w:r>
      <w:r>
        <w:rPr>
          <w:rFonts w:hint="eastAsia"/>
        </w:rPr>
        <w:tab/>
      </w:r>
      <w:r>
        <w:t>31</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H.</w:t>
      </w:r>
      <w:r>
        <w:rPr>
          <w:rFonts w:hint="eastAsia"/>
        </w:rPr>
        <w:tab/>
      </w:r>
      <w:r>
        <w:rPr>
          <w:rFonts w:hint="eastAsia"/>
        </w:rPr>
        <w:t>国际合作</w:t>
      </w:r>
      <w:r>
        <w:rPr>
          <w:rFonts w:hint="eastAsia"/>
        </w:rPr>
        <w:tab/>
      </w:r>
      <w:r>
        <w:rPr>
          <w:rFonts w:hint="eastAsia"/>
        </w:rPr>
        <w:tab/>
        <w:t>204-222</w:t>
      </w:r>
      <w:r>
        <w:rPr>
          <w:rFonts w:hint="eastAsia"/>
        </w:rPr>
        <w:tab/>
      </w:r>
      <w:r>
        <w:t>35</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pPr>
      <w:r>
        <w:rPr>
          <w:rFonts w:hint="eastAsia"/>
        </w:rPr>
        <w:tab/>
      </w:r>
      <w:r>
        <w:rPr>
          <w:rFonts w:hint="eastAsia"/>
        </w:rPr>
        <w:tab/>
        <w:t>I.</w:t>
      </w:r>
      <w:r>
        <w:rPr>
          <w:rFonts w:hint="eastAsia"/>
        </w:rPr>
        <w:tab/>
      </w:r>
      <w:r>
        <w:rPr>
          <w:rFonts w:hint="eastAsia"/>
        </w:rPr>
        <w:t>监督和推动《公约》的实施</w:t>
      </w:r>
      <w:r>
        <w:rPr>
          <w:rFonts w:hint="eastAsia"/>
        </w:rPr>
        <w:tab/>
      </w:r>
      <w:r>
        <w:rPr>
          <w:rFonts w:hint="eastAsia"/>
        </w:rPr>
        <w:tab/>
        <w:t>223-233</w:t>
      </w:r>
      <w:r>
        <w:rPr>
          <w:rFonts w:hint="eastAsia"/>
        </w:rPr>
        <w:tab/>
      </w:r>
      <w:r>
        <w:t>37</w:t>
      </w:r>
    </w:p>
    <w:p w:rsidR="00CE4DFD" w:rsidRDefault="00CE4DF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pPr>
      <w:r>
        <w:rPr>
          <w:rFonts w:hint="eastAsia"/>
        </w:rPr>
        <w:tab/>
      </w:r>
      <w:r>
        <w:rPr>
          <w:rFonts w:hint="eastAsia"/>
        </w:rPr>
        <w:t>三</w:t>
      </w:r>
      <w:r>
        <w:rPr>
          <w:rFonts w:hint="eastAsia"/>
        </w:rPr>
        <w:t>.</w:t>
      </w:r>
      <w:r>
        <w:rPr>
          <w:rFonts w:hint="eastAsia"/>
        </w:rPr>
        <w:tab/>
      </w:r>
      <w:r>
        <w:rPr>
          <w:rFonts w:hint="eastAsia"/>
        </w:rPr>
        <w:t>总体结论</w:t>
      </w:r>
      <w:r>
        <w:rPr>
          <w:rFonts w:hint="eastAsia"/>
        </w:rPr>
        <w:tab/>
      </w:r>
      <w:r>
        <w:rPr>
          <w:rFonts w:hint="eastAsia"/>
        </w:rPr>
        <w:tab/>
        <w:t>234-241</w:t>
      </w:r>
      <w:r>
        <w:rPr>
          <w:rFonts w:hint="eastAsia"/>
        </w:rPr>
        <w:tab/>
      </w:r>
      <w:r>
        <w:t>39</w:t>
      </w:r>
    </w:p>
    <w:p w:rsidR="00CE4DFD" w:rsidRDefault="00CE4DFD">
      <w:pPr>
        <w:pStyle w:val="a3"/>
        <w:rPr>
          <w:rFonts w:hint="eastAsia"/>
        </w:rPr>
      </w:pPr>
      <w:r>
        <w:rPr>
          <w:rFonts w:hint="eastAsia"/>
        </w:rPr>
        <w:tab/>
      </w:r>
      <w:r>
        <w:rPr>
          <w:rFonts w:hint="eastAsia"/>
        </w:rPr>
        <w:t>附件</w:t>
      </w:r>
      <w:r>
        <w:rPr>
          <w:rStyle w:val="FootnoteReference"/>
          <w:vertAlign w:val="baseline"/>
        </w:rPr>
        <w:footnoteReference w:customMarkFollows="1" w:id="2"/>
        <w:t>**</w:t>
      </w:r>
    </w:p>
    <w:p w:rsidR="00CE4DFD" w:rsidRDefault="00CE4DFD">
      <w:pPr>
        <w:pStyle w:val="H1GC"/>
        <w:rPr>
          <w:rFonts w:hint="eastAsia"/>
          <w:lang w:val="en-GB"/>
        </w:rPr>
      </w:pPr>
      <w:r>
        <w:rPr>
          <w:lang w:val="en-GB"/>
        </w:rPr>
        <w:br w:type="page"/>
      </w:r>
      <w:bookmarkStart w:id="3" w:name="_Toc341278104"/>
      <w:r>
        <w:rPr>
          <w:lang w:val="en-GB"/>
        </w:rPr>
        <w:tab/>
      </w:r>
      <w:r>
        <w:rPr>
          <w:lang w:val="en-GB"/>
        </w:rPr>
        <w:tab/>
      </w:r>
      <w:bookmarkStart w:id="4" w:name="_Toc352758961"/>
      <w:r>
        <w:rPr>
          <w:rFonts w:hint="eastAsia"/>
          <w:lang w:val="en-GB"/>
        </w:rPr>
        <w:t>缩略语</w:t>
      </w:r>
      <w:bookmarkEnd w:id="4"/>
    </w:p>
    <w:p w:rsidR="00CE4DFD" w:rsidRDefault="00CE4DFD">
      <w:pPr>
        <w:pStyle w:val="SingleTxtGC"/>
        <w:tabs>
          <w:tab w:val="clear" w:pos="1565"/>
          <w:tab w:val="clear" w:pos="1996"/>
          <w:tab w:val="clear" w:pos="2427"/>
          <w:tab w:val="left" w:pos="3380"/>
        </w:tabs>
        <w:rPr>
          <w:lang w:val="en-GB"/>
        </w:rPr>
      </w:pPr>
      <w:r>
        <w:rPr>
          <w:lang w:val="en-GB"/>
        </w:rPr>
        <w:t>CAIPAD</w:t>
      </w:r>
      <w:r>
        <w:rPr>
          <w:lang w:val="en-GB"/>
        </w:rPr>
        <w:tab/>
      </w:r>
      <w:r>
        <w:rPr>
          <w:rFonts w:hint="eastAsia"/>
          <w:lang w:val="en-GB"/>
        </w:rPr>
        <w:t>残疾人综合服务中心</w:t>
      </w:r>
    </w:p>
    <w:p w:rsidR="00CE4DFD" w:rsidRDefault="00CE4DFD">
      <w:pPr>
        <w:pStyle w:val="SingleTxtGC"/>
        <w:tabs>
          <w:tab w:val="clear" w:pos="1565"/>
          <w:tab w:val="clear" w:pos="1996"/>
          <w:tab w:val="clear" w:pos="2427"/>
          <w:tab w:val="left" w:pos="3380"/>
        </w:tabs>
        <w:rPr>
          <w:rFonts w:hint="eastAsia"/>
          <w:lang w:val="es-MX"/>
        </w:rPr>
      </w:pPr>
      <w:r>
        <w:rPr>
          <w:lang w:val="es-MX"/>
        </w:rPr>
        <w:t>CCSS</w:t>
      </w:r>
      <w:r>
        <w:rPr>
          <w:lang w:val="es-MX"/>
        </w:rPr>
        <w:tab/>
      </w:r>
      <w:r>
        <w:rPr>
          <w:rFonts w:hint="eastAsia"/>
          <w:lang w:val="es-MX"/>
        </w:rPr>
        <w:t>哥斯达黎加社会保险局</w:t>
      </w:r>
    </w:p>
    <w:p w:rsidR="00CE4DFD" w:rsidRDefault="00CE4DFD">
      <w:pPr>
        <w:pStyle w:val="SingleTxtGC"/>
        <w:tabs>
          <w:tab w:val="clear" w:pos="1565"/>
          <w:tab w:val="clear" w:pos="1996"/>
          <w:tab w:val="clear" w:pos="2427"/>
          <w:tab w:val="left" w:pos="3380"/>
        </w:tabs>
        <w:rPr>
          <w:rFonts w:hint="eastAsia"/>
          <w:lang w:val="es-MX"/>
        </w:rPr>
      </w:pPr>
      <w:r>
        <w:rPr>
          <w:lang w:val="es-MX"/>
        </w:rPr>
        <w:t>CENARE</w:t>
      </w:r>
      <w:r>
        <w:rPr>
          <w:lang w:val="es-MX"/>
        </w:rPr>
        <w:tab/>
      </w:r>
      <w:r>
        <w:rPr>
          <w:rFonts w:hint="eastAsia"/>
          <w:lang w:val="es-MX"/>
        </w:rPr>
        <w:t>国家康复中心</w:t>
      </w:r>
    </w:p>
    <w:p w:rsidR="00CE4DFD" w:rsidRDefault="00CE4DFD">
      <w:pPr>
        <w:pStyle w:val="SingleTxtGC"/>
        <w:tabs>
          <w:tab w:val="clear" w:pos="1565"/>
          <w:tab w:val="clear" w:pos="1996"/>
          <w:tab w:val="clear" w:pos="2427"/>
          <w:tab w:val="left" w:pos="3380"/>
        </w:tabs>
        <w:rPr>
          <w:rFonts w:hint="eastAsia"/>
          <w:lang w:val="es-MX"/>
        </w:rPr>
      </w:pPr>
      <w:r>
        <w:rPr>
          <w:lang w:val="es-MX"/>
        </w:rPr>
        <w:t>CENAREC</w:t>
      </w:r>
      <w:r>
        <w:rPr>
          <w:lang w:val="es-MX"/>
        </w:rPr>
        <w:tab/>
      </w:r>
      <w:r>
        <w:rPr>
          <w:rFonts w:hint="eastAsia"/>
          <w:lang w:val="es-MX"/>
        </w:rPr>
        <w:t>国家全纳教育资源中心</w:t>
      </w:r>
    </w:p>
    <w:p w:rsidR="00CE4DFD" w:rsidRDefault="00CE4DFD">
      <w:pPr>
        <w:pStyle w:val="SingleTxtGC"/>
        <w:tabs>
          <w:tab w:val="clear" w:pos="1565"/>
          <w:tab w:val="clear" w:pos="1996"/>
          <w:tab w:val="clear" w:pos="2427"/>
          <w:tab w:val="left" w:pos="3380"/>
        </w:tabs>
        <w:rPr>
          <w:lang w:val="es-MX"/>
        </w:rPr>
      </w:pPr>
      <w:r>
        <w:rPr>
          <w:lang w:val="es-MX"/>
        </w:rPr>
        <w:t>CIAES</w:t>
      </w:r>
      <w:r>
        <w:rPr>
          <w:lang w:val="es-MX"/>
        </w:rPr>
        <w:tab/>
      </w:r>
      <w:r>
        <w:rPr>
          <w:rFonts w:hint="eastAsia"/>
          <w:lang w:val="es-MX"/>
        </w:rPr>
        <w:t>无障碍</w:t>
      </w:r>
      <w:r>
        <w:rPr>
          <w:rFonts w:hint="eastAsia"/>
          <w:lang w:val="es-CR"/>
        </w:rPr>
        <w:t>高等教育高校委员会</w:t>
      </w:r>
    </w:p>
    <w:p w:rsidR="00CE4DFD" w:rsidRDefault="00CE4DFD">
      <w:pPr>
        <w:pStyle w:val="SingleTxtGC"/>
        <w:tabs>
          <w:tab w:val="clear" w:pos="1565"/>
          <w:tab w:val="clear" w:pos="1996"/>
          <w:tab w:val="clear" w:pos="2427"/>
          <w:tab w:val="left" w:pos="3380"/>
        </w:tabs>
        <w:rPr>
          <w:lang w:val="en-GB"/>
        </w:rPr>
      </w:pPr>
      <w:r>
        <w:rPr>
          <w:lang w:val="en-GB"/>
        </w:rPr>
        <w:t>CIF</w:t>
      </w:r>
      <w:r>
        <w:rPr>
          <w:lang w:val="en-GB"/>
        </w:rPr>
        <w:tab/>
      </w:r>
      <w:r>
        <w:rPr>
          <w:rFonts w:hint="eastAsia"/>
          <w:lang w:val="en-GB"/>
        </w:rPr>
        <w:t>国际功能、残疾和健康分类</w:t>
      </w:r>
    </w:p>
    <w:p w:rsidR="00CE4DFD" w:rsidRDefault="00CE4DFD">
      <w:pPr>
        <w:pStyle w:val="SingleTxtGC"/>
        <w:tabs>
          <w:tab w:val="clear" w:pos="1565"/>
          <w:tab w:val="clear" w:pos="1996"/>
          <w:tab w:val="clear" w:pos="2427"/>
          <w:tab w:val="left" w:pos="3380"/>
        </w:tabs>
        <w:rPr>
          <w:lang w:val="en-GB"/>
        </w:rPr>
      </w:pPr>
      <w:r>
        <w:rPr>
          <w:lang w:val="en-GB"/>
        </w:rPr>
        <w:t>CIMAD</w:t>
      </w:r>
      <w:r>
        <w:rPr>
          <w:lang w:val="en-GB"/>
        </w:rPr>
        <w:tab/>
      </w:r>
      <w:r>
        <w:rPr>
          <w:rFonts w:hint="eastAsia"/>
          <w:lang w:val="en-GB"/>
        </w:rPr>
        <w:t>无障碍和残疾事务委员会</w:t>
      </w:r>
    </w:p>
    <w:p w:rsidR="00CE4DFD" w:rsidRDefault="00CE4DFD">
      <w:pPr>
        <w:pStyle w:val="SingleTxtGC"/>
        <w:tabs>
          <w:tab w:val="clear" w:pos="1565"/>
          <w:tab w:val="clear" w:pos="1996"/>
          <w:tab w:val="clear" w:pos="2427"/>
          <w:tab w:val="left" w:pos="3380"/>
        </w:tabs>
        <w:rPr>
          <w:rFonts w:hint="eastAsia"/>
          <w:lang w:val="es-MX"/>
        </w:rPr>
      </w:pPr>
      <w:r>
        <w:rPr>
          <w:lang w:val="es-MX"/>
        </w:rPr>
        <w:t>CNE</w:t>
      </w:r>
      <w:r>
        <w:rPr>
          <w:lang w:val="es-MX"/>
        </w:rPr>
        <w:tab/>
      </w:r>
      <w:r>
        <w:rPr>
          <w:rFonts w:hint="eastAsia"/>
          <w:lang w:val="es-MX"/>
        </w:rPr>
        <w:t>国家紧急情况委员会</w:t>
      </w:r>
    </w:p>
    <w:p w:rsidR="00CE4DFD" w:rsidRDefault="00CE4DFD">
      <w:pPr>
        <w:pStyle w:val="SingleTxtGC"/>
        <w:tabs>
          <w:tab w:val="clear" w:pos="1565"/>
          <w:tab w:val="clear" w:pos="1996"/>
          <w:tab w:val="clear" w:pos="2427"/>
          <w:tab w:val="left" w:pos="3380"/>
        </w:tabs>
        <w:rPr>
          <w:rFonts w:hint="eastAsia"/>
          <w:lang w:val="es-MX"/>
        </w:rPr>
      </w:pPr>
      <w:r>
        <w:rPr>
          <w:lang w:val="es-MX"/>
        </w:rPr>
        <w:t>CNREE</w:t>
      </w:r>
      <w:r>
        <w:rPr>
          <w:lang w:val="es-MX"/>
        </w:rPr>
        <w:tab/>
      </w:r>
      <w:r>
        <w:rPr>
          <w:rFonts w:hint="eastAsia"/>
          <w:lang w:val="es-MX"/>
        </w:rPr>
        <w:t>全国康复和特殊教育委员会</w:t>
      </w:r>
    </w:p>
    <w:p w:rsidR="00CE4DFD" w:rsidRDefault="00CE4DFD">
      <w:pPr>
        <w:pStyle w:val="SingleTxtGC"/>
        <w:tabs>
          <w:tab w:val="clear" w:pos="1565"/>
          <w:tab w:val="clear" w:pos="1996"/>
          <w:tab w:val="clear" w:pos="2427"/>
          <w:tab w:val="left" w:pos="3380"/>
        </w:tabs>
        <w:rPr>
          <w:rFonts w:hint="eastAsia"/>
          <w:lang w:val="en-GB"/>
        </w:rPr>
      </w:pPr>
      <w:r>
        <w:rPr>
          <w:lang w:val="en-GB"/>
        </w:rPr>
        <w:t>COMAD</w:t>
      </w:r>
      <w:r>
        <w:rPr>
          <w:lang w:val="en-GB"/>
        </w:rPr>
        <w:tab/>
      </w:r>
      <w:r>
        <w:rPr>
          <w:rFonts w:hint="eastAsia"/>
          <w:lang w:val="en-GB"/>
        </w:rPr>
        <w:t>城市无障碍委员会</w:t>
      </w:r>
    </w:p>
    <w:p w:rsidR="00CE4DFD" w:rsidRDefault="00CE4DFD">
      <w:pPr>
        <w:pStyle w:val="SingleTxtGC"/>
        <w:tabs>
          <w:tab w:val="clear" w:pos="1565"/>
          <w:tab w:val="clear" w:pos="1996"/>
          <w:tab w:val="clear" w:pos="2427"/>
          <w:tab w:val="left" w:pos="3380"/>
        </w:tabs>
        <w:rPr>
          <w:lang w:val="es-MX"/>
        </w:rPr>
      </w:pPr>
      <w:r>
        <w:rPr>
          <w:lang w:val="es-MX"/>
        </w:rPr>
        <w:t>CONAPAM</w:t>
      </w:r>
      <w:r>
        <w:rPr>
          <w:lang w:val="es-MX"/>
        </w:rPr>
        <w:tab/>
      </w:r>
      <w:r>
        <w:rPr>
          <w:rFonts w:hint="eastAsia"/>
          <w:lang w:val="es-MX"/>
        </w:rPr>
        <w:t>全国老年残疾人委员会</w:t>
      </w:r>
    </w:p>
    <w:p w:rsidR="00CE4DFD" w:rsidRDefault="00CE4DFD">
      <w:pPr>
        <w:pStyle w:val="SingleTxtGC"/>
        <w:tabs>
          <w:tab w:val="clear" w:pos="1565"/>
          <w:tab w:val="clear" w:pos="1996"/>
          <w:tab w:val="clear" w:pos="2427"/>
          <w:tab w:val="left" w:pos="3380"/>
        </w:tabs>
        <w:rPr>
          <w:rFonts w:hint="eastAsia"/>
          <w:lang w:val="es-MX"/>
        </w:rPr>
      </w:pPr>
      <w:r>
        <w:rPr>
          <w:lang w:val="es-MX"/>
        </w:rPr>
        <w:t>CONARE</w:t>
      </w:r>
      <w:r>
        <w:rPr>
          <w:lang w:val="es-MX"/>
        </w:rPr>
        <w:tab/>
      </w:r>
      <w:r>
        <w:rPr>
          <w:rFonts w:hint="eastAsia"/>
          <w:lang w:val="es-MX"/>
        </w:rPr>
        <w:t>全国大学校长委员会</w:t>
      </w:r>
    </w:p>
    <w:p w:rsidR="00CE4DFD" w:rsidRDefault="00CE4DFD">
      <w:pPr>
        <w:pStyle w:val="SingleTxtGC"/>
        <w:tabs>
          <w:tab w:val="clear" w:pos="1565"/>
          <w:tab w:val="clear" w:pos="1996"/>
          <w:tab w:val="clear" w:pos="2427"/>
          <w:tab w:val="left" w:pos="3380"/>
        </w:tabs>
        <w:rPr>
          <w:rFonts w:hint="eastAsia"/>
          <w:lang w:val="es-MX"/>
        </w:rPr>
      </w:pPr>
      <w:r>
        <w:rPr>
          <w:lang w:val="es-MX"/>
        </w:rPr>
        <w:t>CTP</w:t>
      </w:r>
      <w:r>
        <w:rPr>
          <w:lang w:val="es-MX"/>
        </w:rPr>
        <w:tab/>
      </w:r>
      <w:r>
        <w:rPr>
          <w:rFonts w:hint="eastAsia"/>
          <w:lang w:val="es-MX"/>
        </w:rPr>
        <w:t>公共交通委员会</w:t>
      </w:r>
    </w:p>
    <w:p w:rsidR="00CE4DFD" w:rsidRDefault="00CE4DFD">
      <w:pPr>
        <w:pStyle w:val="SingleTxtGC"/>
        <w:tabs>
          <w:tab w:val="clear" w:pos="1565"/>
          <w:tab w:val="clear" w:pos="1996"/>
          <w:tab w:val="clear" w:pos="2427"/>
          <w:tab w:val="left" w:pos="3380"/>
        </w:tabs>
        <w:rPr>
          <w:lang w:val="es-MX"/>
        </w:rPr>
      </w:pPr>
      <w:r>
        <w:rPr>
          <w:lang w:val="es-MX"/>
        </w:rPr>
        <w:t>DH</w:t>
      </w:r>
      <w:r>
        <w:rPr>
          <w:lang w:val="es-MX"/>
        </w:rPr>
        <w:tab/>
      </w:r>
      <w:r>
        <w:rPr>
          <w:rFonts w:hint="eastAsia"/>
          <w:lang w:val="es-MX"/>
        </w:rPr>
        <w:t>监察专员办公室</w:t>
      </w:r>
    </w:p>
    <w:p w:rsidR="00CE4DFD" w:rsidRDefault="00CE4DFD">
      <w:pPr>
        <w:pStyle w:val="SingleTxtGC"/>
        <w:tabs>
          <w:tab w:val="clear" w:pos="1565"/>
          <w:tab w:val="clear" w:pos="1996"/>
          <w:tab w:val="clear" w:pos="2427"/>
          <w:tab w:val="left" w:pos="3380"/>
        </w:tabs>
        <w:rPr>
          <w:rFonts w:hint="eastAsia"/>
          <w:lang w:val="en-GB"/>
        </w:rPr>
      </w:pPr>
      <w:r>
        <w:rPr>
          <w:lang w:val="en-GB"/>
        </w:rPr>
        <w:t>EBAIS</w:t>
      </w:r>
      <w:r>
        <w:rPr>
          <w:lang w:val="en-GB"/>
        </w:rPr>
        <w:tab/>
      </w:r>
      <w:r>
        <w:rPr>
          <w:rFonts w:hint="eastAsia"/>
          <w:lang w:val="en-GB"/>
        </w:rPr>
        <w:t>基层医疗服务队</w:t>
      </w:r>
    </w:p>
    <w:p w:rsidR="00CE4DFD" w:rsidRDefault="00CE4DFD">
      <w:pPr>
        <w:pStyle w:val="SingleTxtGC"/>
        <w:tabs>
          <w:tab w:val="clear" w:pos="1565"/>
          <w:tab w:val="clear" w:pos="1996"/>
          <w:tab w:val="clear" w:pos="2427"/>
          <w:tab w:val="left" w:pos="3380"/>
        </w:tabs>
        <w:rPr>
          <w:lang w:val="es-MX"/>
        </w:rPr>
      </w:pPr>
      <w:r>
        <w:rPr>
          <w:lang w:val="es-MX"/>
        </w:rPr>
        <w:t>FODESAF</w:t>
      </w:r>
      <w:r>
        <w:rPr>
          <w:lang w:val="es-MX"/>
        </w:rPr>
        <w:tab/>
      </w:r>
      <w:r>
        <w:rPr>
          <w:rFonts w:hint="eastAsia"/>
          <w:lang w:val="es-MX"/>
        </w:rPr>
        <w:t>社会发展和家庭津贴基金</w:t>
      </w:r>
    </w:p>
    <w:p w:rsidR="00CE4DFD" w:rsidRDefault="00CE4DFD">
      <w:pPr>
        <w:pStyle w:val="SingleTxtGC"/>
        <w:tabs>
          <w:tab w:val="clear" w:pos="1565"/>
          <w:tab w:val="clear" w:pos="1996"/>
          <w:tab w:val="clear" w:pos="2427"/>
          <w:tab w:val="left" w:pos="3380"/>
        </w:tabs>
        <w:rPr>
          <w:rFonts w:hint="eastAsia"/>
          <w:lang w:val="es-MX"/>
        </w:rPr>
      </w:pPr>
      <w:r>
        <w:rPr>
          <w:lang w:val="es-MX"/>
        </w:rPr>
        <w:t>FONABE</w:t>
      </w:r>
      <w:r>
        <w:rPr>
          <w:lang w:val="es-MX"/>
        </w:rPr>
        <w:tab/>
      </w:r>
      <w:r>
        <w:rPr>
          <w:rFonts w:hint="eastAsia"/>
          <w:lang w:val="es-MX"/>
        </w:rPr>
        <w:t>国家奖学金基金</w:t>
      </w:r>
    </w:p>
    <w:p w:rsidR="00CE4DFD" w:rsidRDefault="00CE4DFD">
      <w:pPr>
        <w:pStyle w:val="SingleTxtGC"/>
        <w:tabs>
          <w:tab w:val="clear" w:pos="1565"/>
          <w:tab w:val="clear" w:pos="1996"/>
          <w:tab w:val="clear" w:pos="2427"/>
          <w:tab w:val="left" w:pos="3380"/>
        </w:tabs>
        <w:rPr>
          <w:lang w:val="es-MX"/>
        </w:rPr>
      </w:pPr>
      <w:r>
        <w:rPr>
          <w:lang w:val="es-MX"/>
        </w:rPr>
        <w:t>ICODER</w:t>
      </w:r>
      <w:r>
        <w:rPr>
          <w:lang w:val="es-MX"/>
        </w:rPr>
        <w:tab/>
      </w:r>
      <w:r>
        <w:rPr>
          <w:rFonts w:hint="eastAsia"/>
          <w:lang w:val="es-MX"/>
        </w:rPr>
        <w:t>哥斯达黎加体育局</w:t>
      </w:r>
    </w:p>
    <w:p w:rsidR="00CE4DFD" w:rsidRDefault="00CE4DFD">
      <w:pPr>
        <w:pStyle w:val="SingleTxtGC"/>
        <w:tabs>
          <w:tab w:val="clear" w:pos="1565"/>
          <w:tab w:val="clear" w:pos="1996"/>
          <w:tab w:val="clear" w:pos="2427"/>
          <w:tab w:val="left" w:pos="3380"/>
        </w:tabs>
        <w:rPr>
          <w:rFonts w:hint="eastAsia"/>
          <w:lang w:val="es-MX"/>
        </w:rPr>
      </w:pPr>
      <w:r>
        <w:rPr>
          <w:lang w:val="es-MX"/>
        </w:rPr>
        <w:t>ICT</w:t>
      </w:r>
      <w:r>
        <w:rPr>
          <w:lang w:val="es-MX"/>
        </w:rPr>
        <w:tab/>
      </w:r>
      <w:r>
        <w:rPr>
          <w:rFonts w:hint="eastAsia"/>
          <w:lang w:val="es-MX"/>
        </w:rPr>
        <w:t>哥斯达黎加旅游局</w:t>
      </w:r>
    </w:p>
    <w:p w:rsidR="00CE4DFD" w:rsidRDefault="00CE4DFD">
      <w:pPr>
        <w:pStyle w:val="SingleTxtGC"/>
        <w:tabs>
          <w:tab w:val="clear" w:pos="1565"/>
          <w:tab w:val="clear" w:pos="1996"/>
          <w:tab w:val="clear" w:pos="2427"/>
          <w:tab w:val="left" w:pos="3380"/>
        </w:tabs>
        <w:rPr>
          <w:rFonts w:hint="eastAsia"/>
          <w:lang w:val="es-MX"/>
        </w:rPr>
      </w:pPr>
      <w:r>
        <w:rPr>
          <w:lang w:val="es-MX"/>
        </w:rPr>
        <w:t>IFAM</w:t>
      </w:r>
      <w:r>
        <w:rPr>
          <w:lang w:val="es-MX"/>
        </w:rPr>
        <w:tab/>
      </w:r>
      <w:r>
        <w:rPr>
          <w:rFonts w:hint="eastAsia"/>
          <w:lang w:val="es-MX"/>
        </w:rPr>
        <w:t>城市发展局</w:t>
      </w:r>
    </w:p>
    <w:p w:rsidR="00CE4DFD" w:rsidRDefault="00CE4DFD">
      <w:pPr>
        <w:pStyle w:val="SingleTxtGC"/>
        <w:tabs>
          <w:tab w:val="clear" w:pos="1565"/>
          <w:tab w:val="clear" w:pos="1996"/>
          <w:tab w:val="clear" w:pos="2427"/>
          <w:tab w:val="left" w:pos="3380"/>
        </w:tabs>
        <w:rPr>
          <w:lang w:val="es-MX"/>
        </w:rPr>
      </w:pPr>
      <w:r>
        <w:rPr>
          <w:lang w:val="es-MX"/>
        </w:rPr>
        <w:t>IMAS</w:t>
      </w:r>
      <w:r>
        <w:rPr>
          <w:lang w:val="es-MX"/>
        </w:rPr>
        <w:tab/>
      </w:r>
      <w:r>
        <w:rPr>
          <w:rFonts w:hint="eastAsia"/>
          <w:lang w:val="es-MX"/>
        </w:rPr>
        <w:t>社会救助联合委员会</w:t>
      </w:r>
    </w:p>
    <w:p w:rsidR="00CE4DFD" w:rsidRDefault="00CE4DFD">
      <w:pPr>
        <w:pStyle w:val="SingleTxtGC"/>
        <w:tabs>
          <w:tab w:val="clear" w:pos="1565"/>
          <w:tab w:val="clear" w:pos="1996"/>
          <w:tab w:val="clear" w:pos="2427"/>
          <w:tab w:val="left" w:pos="3380"/>
        </w:tabs>
        <w:rPr>
          <w:rFonts w:hint="eastAsia"/>
          <w:lang w:val="es-MX"/>
        </w:rPr>
      </w:pPr>
      <w:r>
        <w:rPr>
          <w:lang w:val="es-MX"/>
        </w:rPr>
        <w:t>INA</w:t>
      </w:r>
      <w:r>
        <w:rPr>
          <w:lang w:val="es-MX"/>
        </w:rPr>
        <w:tab/>
      </w:r>
      <w:r>
        <w:rPr>
          <w:rFonts w:hint="eastAsia"/>
          <w:lang w:val="es-MX"/>
        </w:rPr>
        <w:t>国家职业学院</w:t>
      </w:r>
    </w:p>
    <w:p w:rsidR="00CE4DFD" w:rsidRDefault="00CE4DFD">
      <w:pPr>
        <w:pStyle w:val="SingleTxtGC"/>
        <w:tabs>
          <w:tab w:val="clear" w:pos="1565"/>
          <w:tab w:val="clear" w:pos="1996"/>
          <w:tab w:val="clear" w:pos="2427"/>
          <w:tab w:val="left" w:pos="3380"/>
        </w:tabs>
        <w:rPr>
          <w:rFonts w:hint="eastAsia"/>
          <w:lang w:val="es-MX"/>
        </w:rPr>
      </w:pPr>
      <w:r>
        <w:rPr>
          <w:lang w:val="es-MX"/>
        </w:rPr>
        <w:t>INAMU</w:t>
      </w:r>
      <w:r>
        <w:rPr>
          <w:lang w:val="es-MX"/>
        </w:rPr>
        <w:tab/>
      </w:r>
      <w:r>
        <w:rPr>
          <w:rFonts w:hint="eastAsia"/>
          <w:lang w:val="es-MX"/>
        </w:rPr>
        <w:t>全国妇女协会</w:t>
      </w:r>
    </w:p>
    <w:p w:rsidR="00CE4DFD" w:rsidRDefault="00CE4DFD">
      <w:pPr>
        <w:pStyle w:val="SingleTxtGC"/>
        <w:tabs>
          <w:tab w:val="clear" w:pos="1565"/>
          <w:tab w:val="clear" w:pos="1996"/>
          <w:tab w:val="clear" w:pos="2427"/>
          <w:tab w:val="left" w:pos="3380"/>
        </w:tabs>
        <w:rPr>
          <w:rFonts w:hint="eastAsia"/>
          <w:lang w:val="es-MX"/>
        </w:rPr>
      </w:pPr>
      <w:r>
        <w:rPr>
          <w:lang w:val="es-MX"/>
        </w:rPr>
        <w:t>INS</w:t>
      </w:r>
      <w:r>
        <w:rPr>
          <w:lang w:val="es-MX"/>
        </w:rPr>
        <w:tab/>
      </w:r>
      <w:r>
        <w:rPr>
          <w:rFonts w:hint="eastAsia"/>
          <w:lang w:val="es-MX"/>
        </w:rPr>
        <w:t>国家保险公司</w:t>
      </w:r>
    </w:p>
    <w:p w:rsidR="00CE4DFD" w:rsidRDefault="00CE4DFD">
      <w:pPr>
        <w:pStyle w:val="SingleTxtGC"/>
        <w:tabs>
          <w:tab w:val="clear" w:pos="1565"/>
          <w:tab w:val="clear" w:pos="1996"/>
          <w:tab w:val="clear" w:pos="2427"/>
          <w:tab w:val="left" w:pos="3380"/>
        </w:tabs>
        <w:rPr>
          <w:rFonts w:hint="eastAsia"/>
          <w:lang w:val="es-MX"/>
        </w:rPr>
      </w:pPr>
      <w:r>
        <w:rPr>
          <w:lang w:val="es-MX"/>
        </w:rPr>
        <w:t>INVU</w:t>
      </w:r>
      <w:r>
        <w:rPr>
          <w:lang w:val="es-MX"/>
        </w:rPr>
        <w:tab/>
      </w:r>
      <w:r>
        <w:rPr>
          <w:rFonts w:hint="eastAsia"/>
          <w:lang w:val="es-MX"/>
        </w:rPr>
        <w:t>住房和城市规划局</w:t>
      </w:r>
    </w:p>
    <w:p w:rsidR="00CE4DFD" w:rsidRDefault="00CE4DFD">
      <w:pPr>
        <w:pStyle w:val="SingleTxtGC"/>
        <w:tabs>
          <w:tab w:val="clear" w:pos="1565"/>
          <w:tab w:val="clear" w:pos="1996"/>
          <w:tab w:val="clear" w:pos="2427"/>
          <w:tab w:val="left" w:pos="3380"/>
        </w:tabs>
        <w:rPr>
          <w:rFonts w:hint="eastAsia"/>
          <w:lang w:val="es-MX"/>
        </w:rPr>
      </w:pPr>
      <w:r>
        <w:rPr>
          <w:lang w:val="es-MX"/>
        </w:rPr>
        <w:t>ITCR</w:t>
      </w:r>
      <w:r>
        <w:rPr>
          <w:lang w:val="es-MX"/>
        </w:rPr>
        <w:tab/>
      </w:r>
      <w:r>
        <w:rPr>
          <w:rFonts w:hint="eastAsia"/>
          <w:lang w:val="es-MX"/>
        </w:rPr>
        <w:t>哥斯达黎加理工学院</w:t>
      </w:r>
    </w:p>
    <w:p w:rsidR="00CE4DFD" w:rsidRDefault="00CE4DFD">
      <w:pPr>
        <w:pStyle w:val="SingleTxtGC"/>
        <w:tabs>
          <w:tab w:val="clear" w:pos="1565"/>
          <w:tab w:val="clear" w:pos="1996"/>
          <w:tab w:val="clear" w:pos="2427"/>
          <w:tab w:val="left" w:pos="3380"/>
        </w:tabs>
        <w:rPr>
          <w:rFonts w:hint="eastAsia"/>
          <w:lang w:val="en-GB"/>
        </w:rPr>
      </w:pPr>
      <w:r>
        <w:rPr>
          <w:lang w:val="en-GB"/>
        </w:rPr>
        <w:t>JICA</w:t>
      </w:r>
      <w:r>
        <w:rPr>
          <w:lang w:val="en-GB"/>
        </w:rPr>
        <w:tab/>
      </w:r>
      <w:r>
        <w:rPr>
          <w:rFonts w:hint="eastAsia"/>
          <w:lang w:val="en-GB"/>
        </w:rPr>
        <w:t>日本国际协力机构</w:t>
      </w:r>
    </w:p>
    <w:p w:rsidR="00CE4DFD" w:rsidRDefault="00CE4DFD">
      <w:pPr>
        <w:pStyle w:val="SingleTxtGC"/>
        <w:tabs>
          <w:tab w:val="clear" w:pos="1565"/>
          <w:tab w:val="clear" w:pos="1996"/>
          <w:tab w:val="clear" w:pos="2427"/>
          <w:tab w:val="left" w:pos="3380"/>
        </w:tabs>
        <w:rPr>
          <w:rFonts w:hint="eastAsia"/>
          <w:lang w:val="es-MX"/>
        </w:rPr>
      </w:pPr>
      <w:r>
        <w:rPr>
          <w:lang w:val="es-MX"/>
        </w:rPr>
        <w:t>JPS</w:t>
      </w:r>
      <w:r>
        <w:rPr>
          <w:lang w:val="es-MX"/>
        </w:rPr>
        <w:tab/>
      </w:r>
      <w:r>
        <w:rPr>
          <w:rFonts w:hint="eastAsia"/>
          <w:lang w:val="es-MX"/>
        </w:rPr>
        <w:t>社会保护委员会</w:t>
      </w:r>
    </w:p>
    <w:p w:rsidR="00CE4DFD" w:rsidRDefault="00CE4DFD">
      <w:pPr>
        <w:pStyle w:val="SingleTxtGC"/>
        <w:tabs>
          <w:tab w:val="clear" w:pos="1565"/>
          <w:tab w:val="clear" w:pos="1996"/>
          <w:tab w:val="clear" w:pos="2427"/>
          <w:tab w:val="left" w:pos="3380"/>
        </w:tabs>
        <w:rPr>
          <w:rFonts w:hint="eastAsia"/>
          <w:lang w:val="es-MX"/>
        </w:rPr>
      </w:pPr>
      <w:r>
        <w:rPr>
          <w:lang w:val="es-MX"/>
        </w:rPr>
        <w:t>LESCO</w:t>
      </w:r>
      <w:r>
        <w:rPr>
          <w:lang w:val="es-MX"/>
        </w:rPr>
        <w:tab/>
      </w:r>
      <w:r>
        <w:rPr>
          <w:rFonts w:hint="eastAsia"/>
          <w:lang w:val="es-MX"/>
        </w:rPr>
        <w:t>哥斯达黎加手语</w:t>
      </w:r>
    </w:p>
    <w:p w:rsidR="00CE4DFD" w:rsidRDefault="00CE4DFD">
      <w:pPr>
        <w:pStyle w:val="SingleTxtGC"/>
        <w:tabs>
          <w:tab w:val="clear" w:pos="1565"/>
          <w:tab w:val="clear" w:pos="1996"/>
          <w:tab w:val="clear" w:pos="2427"/>
          <w:tab w:val="left" w:pos="3380"/>
        </w:tabs>
        <w:rPr>
          <w:rFonts w:hint="eastAsia"/>
          <w:lang w:val="es-MX"/>
        </w:rPr>
      </w:pPr>
      <w:r>
        <w:rPr>
          <w:lang w:val="es-MX"/>
        </w:rPr>
        <w:t>MCJ</w:t>
      </w:r>
      <w:r>
        <w:rPr>
          <w:lang w:val="es-MX"/>
        </w:rPr>
        <w:tab/>
      </w:r>
      <w:r>
        <w:rPr>
          <w:rFonts w:hint="eastAsia"/>
          <w:lang w:val="es-MX"/>
        </w:rPr>
        <w:t>文化和青年部</w:t>
      </w:r>
    </w:p>
    <w:p w:rsidR="00CE4DFD" w:rsidRDefault="00CE4DFD">
      <w:pPr>
        <w:pStyle w:val="SingleTxtGC"/>
        <w:tabs>
          <w:tab w:val="clear" w:pos="1565"/>
          <w:tab w:val="clear" w:pos="1996"/>
          <w:tab w:val="clear" w:pos="2427"/>
          <w:tab w:val="left" w:pos="3380"/>
        </w:tabs>
        <w:rPr>
          <w:lang w:val="es-MX"/>
        </w:rPr>
      </w:pPr>
      <w:r>
        <w:rPr>
          <w:lang w:val="es-MX"/>
        </w:rPr>
        <w:t>MEIC</w:t>
      </w:r>
      <w:r>
        <w:rPr>
          <w:lang w:val="es-MX"/>
        </w:rPr>
        <w:tab/>
      </w:r>
      <w:r>
        <w:rPr>
          <w:rFonts w:hint="eastAsia"/>
          <w:lang w:val="es-MX"/>
        </w:rPr>
        <w:t>经济、工业和贸易部</w:t>
      </w:r>
    </w:p>
    <w:p w:rsidR="00CE4DFD" w:rsidRDefault="00CE4DFD">
      <w:pPr>
        <w:pStyle w:val="SingleTxtGC"/>
        <w:tabs>
          <w:tab w:val="clear" w:pos="1565"/>
          <w:tab w:val="clear" w:pos="1996"/>
          <w:tab w:val="clear" w:pos="2427"/>
          <w:tab w:val="left" w:pos="3380"/>
        </w:tabs>
        <w:rPr>
          <w:rFonts w:hint="eastAsia"/>
          <w:lang w:val="es-MX"/>
        </w:rPr>
      </w:pPr>
      <w:r>
        <w:rPr>
          <w:lang w:val="es-MX"/>
        </w:rPr>
        <w:t>MEP</w:t>
      </w:r>
      <w:r>
        <w:rPr>
          <w:lang w:val="es-MX"/>
        </w:rPr>
        <w:tab/>
      </w:r>
      <w:r>
        <w:rPr>
          <w:rFonts w:hint="eastAsia"/>
          <w:lang w:val="es-MX"/>
        </w:rPr>
        <w:t>公共教育部</w:t>
      </w:r>
    </w:p>
    <w:p w:rsidR="00CE4DFD" w:rsidRDefault="00CE4DFD">
      <w:pPr>
        <w:pStyle w:val="SingleTxtGC"/>
        <w:tabs>
          <w:tab w:val="clear" w:pos="1565"/>
          <w:tab w:val="clear" w:pos="1996"/>
          <w:tab w:val="clear" w:pos="2427"/>
          <w:tab w:val="left" w:pos="3380"/>
        </w:tabs>
        <w:rPr>
          <w:rFonts w:hint="eastAsia"/>
          <w:lang w:val="es-MX"/>
        </w:rPr>
      </w:pPr>
      <w:r>
        <w:rPr>
          <w:lang w:val="es-MX"/>
        </w:rPr>
        <w:t>MIDEPLAN</w:t>
      </w:r>
      <w:r>
        <w:rPr>
          <w:lang w:val="es-MX"/>
        </w:rPr>
        <w:tab/>
      </w:r>
      <w:r>
        <w:rPr>
          <w:rFonts w:hint="eastAsia"/>
          <w:lang w:val="en-GB"/>
        </w:rPr>
        <w:t>国家规划与经济政策部</w:t>
      </w:r>
    </w:p>
    <w:p w:rsidR="00CE4DFD" w:rsidRDefault="00CE4DFD">
      <w:pPr>
        <w:pStyle w:val="SingleTxtGC"/>
        <w:tabs>
          <w:tab w:val="clear" w:pos="1565"/>
          <w:tab w:val="clear" w:pos="1996"/>
          <w:tab w:val="clear" w:pos="2427"/>
          <w:tab w:val="left" w:pos="3380"/>
        </w:tabs>
        <w:rPr>
          <w:rFonts w:hint="eastAsia"/>
          <w:lang w:val="es-MX"/>
        </w:rPr>
      </w:pPr>
      <w:r>
        <w:rPr>
          <w:lang w:val="es-MX"/>
        </w:rPr>
        <w:t>MJP</w:t>
      </w:r>
      <w:r>
        <w:rPr>
          <w:lang w:val="es-MX"/>
        </w:rPr>
        <w:tab/>
      </w:r>
      <w:r>
        <w:rPr>
          <w:rFonts w:hint="eastAsia"/>
          <w:lang w:val="es-MX"/>
        </w:rPr>
        <w:t>司法与和平部</w:t>
      </w:r>
    </w:p>
    <w:p w:rsidR="00CE4DFD" w:rsidRDefault="00CE4DFD">
      <w:pPr>
        <w:pStyle w:val="SingleTxtGC"/>
        <w:tabs>
          <w:tab w:val="clear" w:pos="1565"/>
          <w:tab w:val="clear" w:pos="1996"/>
          <w:tab w:val="clear" w:pos="2427"/>
          <w:tab w:val="left" w:pos="3380"/>
        </w:tabs>
        <w:rPr>
          <w:rFonts w:hint="eastAsia"/>
          <w:lang w:val="es-MX"/>
        </w:rPr>
      </w:pPr>
      <w:r>
        <w:rPr>
          <w:lang w:val="es-MX"/>
        </w:rPr>
        <w:t>MOPT</w:t>
      </w:r>
      <w:r>
        <w:rPr>
          <w:lang w:val="es-MX"/>
        </w:rPr>
        <w:tab/>
      </w:r>
      <w:r>
        <w:rPr>
          <w:rFonts w:hint="eastAsia"/>
          <w:lang w:val="es-MX"/>
        </w:rPr>
        <w:t>公共工程和交通部</w:t>
      </w:r>
    </w:p>
    <w:p w:rsidR="00CE4DFD" w:rsidRDefault="00CE4DFD">
      <w:pPr>
        <w:pStyle w:val="SingleTxtGC"/>
        <w:tabs>
          <w:tab w:val="clear" w:pos="1565"/>
          <w:tab w:val="clear" w:pos="1996"/>
          <w:tab w:val="clear" w:pos="2427"/>
          <w:tab w:val="left" w:pos="3380"/>
        </w:tabs>
        <w:rPr>
          <w:rFonts w:hint="eastAsia"/>
          <w:lang w:val="es-MX"/>
        </w:rPr>
      </w:pPr>
      <w:r>
        <w:rPr>
          <w:lang w:val="es-MX"/>
        </w:rPr>
        <w:t>MS</w:t>
      </w:r>
      <w:r>
        <w:rPr>
          <w:lang w:val="es-MX"/>
        </w:rPr>
        <w:tab/>
      </w:r>
      <w:r>
        <w:rPr>
          <w:rFonts w:hint="eastAsia"/>
          <w:lang w:val="es-MX"/>
        </w:rPr>
        <w:t>卫生部</w:t>
      </w:r>
    </w:p>
    <w:p w:rsidR="00CE4DFD" w:rsidRDefault="00CE4DFD">
      <w:pPr>
        <w:pStyle w:val="SingleTxtGC"/>
        <w:tabs>
          <w:tab w:val="clear" w:pos="1565"/>
          <w:tab w:val="clear" w:pos="1996"/>
          <w:tab w:val="clear" w:pos="2427"/>
          <w:tab w:val="left" w:pos="3380"/>
        </w:tabs>
        <w:rPr>
          <w:rFonts w:hint="eastAsia"/>
          <w:lang w:val="es-MX"/>
        </w:rPr>
      </w:pPr>
      <w:r>
        <w:rPr>
          <w:lang w:val="es-MX"/>
        </w:rPr>
        <w:t>MSP</w:t>
      </w:r>
      <w:r>
        <w:rPr>
          <w:lang w:val="es-MX"/>
        </w:rPr>
        <w:tab/>
      </w:r>
      <w:r>
        <w:rPr>
          <w:rFonts w:hint="eastAsia"/>
          <w:lang w:val="es-MX"/>
        </w:rPr>
        <w:t>公共安全部</w:t>
      </w:r>
    </w:p>
    <w:p w:rsidR="00CE4DFD" w:rsidRDefault="00CE4DFD">
      <w:pPr>
        <w:pStyle w:val="SingleTxtGC"/>
        <w:tabs>
          <w:tab w:val="clear" w:pos="1565"/>
          <w:tab w:val="clear" w:pos="1996"/>
          <w:tab w:val="clear" w:pos="2427"/>
          <w:tab w:val="left" w:pos="3380"/>
        </w:tabs>
        <w:rPr>
          <w:rFonts w:hint="eastAsia"/>
          <w:lang w:val="es-MX"/>
        </w:rPr>
      </w:pPr>
      <w:r>
        <w:rPr>
          <w:lang w:val="es-MX"/>
        </w:rPr>
        <w:t>MTSS</w:t>
      </w:r>
      <w:r>
        <w:rPr>
          <w:lang w:val="es-MX"/>
        </w:rPr>
        <w:tab/>
      </w:r>
      <w:r>
        <w:rPr>
          <w:rFonts w:hint="eastAsia"/>
          <w:lang w:val="es-MX"/>
        </w:rPr>
        <w:t>劳动和社会保障部</w:t>
      </w:r>
    </w:p>
    <w:p w:rsidR="00CE4DFD" w:rsidRDefault="00CE4DFD">
      <w:pPr>
        <w:pStyle w:val="SingleTxtGC"/>
        <w:tabs>
          <w:tab w:val="clear" w:pos="1565"/>
          <w:tab w:val="clear" w:pos="1996"/>
          <w:tab w:val="clear" w:pos="2427"/>
          <w:tab w:val="left" w:pos="3380"/>
        </w:tabs>
        <w:rPr>
          <w:rFonts w:hint="eastAsia"/>
          <w:lang w:val="es-MX"/>
        </w:rPr>
      </w:pPr>
      <w:r>
        <w:rPr>
          <w:lang w:val="es-MX"/>
        </w:rPr>
        <w:t>ONG</w:t>
      </w:r>
      <w:r>
        <w:rPr>
          <w:lang w:val="es-MX"/>
        </w:rPr>
        <w:tab/>
      </w:r>
      <w:r>
        <w:rPr>
          <w:rFonts w:hint="eastAsia"/>
          <w:lang w:val="es-MX"/>
        </w:rPr>
        <w:t>非政府组织</w:t>
      </w:r>
    </w:p>
    <w:p w:rsidR="00CE4DFD" w:rsidRDefault="00CE4DFD">
      <w:pPr>
        <w:pStyle w:val="SingleTxtGC"/>
        <w:tabs>
          <w:tab w:val="clear" w:pos="1565"/>
          <w:tab w:val="clear" w:pos="1996"/>
          <w:tab w:val="clear" w:pos="2427"/>
          <w:tab w:val="left" w:pos="3380"/>
        </w:tabs>
        <w:rPr>
          <w:rFonts w:hint="eastAsia"/>
          <w:lang w:val="es-MX"/>
        </w:rPr>
      </w:pPr>
      <w:r>
        <w:rPr>
          <w:lang w:val="es-MX"/>
        </w:rPr>
        <w:t>PANACI</w:t>
      </w:r>
      <w:r>
        <w:rPr>
          <w:lang w:val="es-MX"/>
        </w:rPr>
        <w:tab/>
      </w:r>
      <w:r>
        <w:rPr>
          <w:rFonts w:hint="eastAsia"/>
          <w:lang w:val="en-GB"/>
        </w:rPr>
        <w:t>全国盲人</w:t>
      </w:r>
      <w:r>
        <w:rPr>
          <w:rFonts w:hint="eastAsia"/>
          <w:lang w:val="es-MX"/>
        </w:rPr>
        <w:t>慈善基金会</w:t>
      </w:r>
    </w:p>
    <w:p w:rsidR="00CE4DFD" w:rsidRDefault="00CE4DFD">
      <w:pPr>
        <w:pStyle w:val="SingleTxtGC"/>
        <w:tabs>
          <w:tab w:val="clear" w:pos="1565"/>
          <w:tab w:val="clear" w:pos="1996"/>
          <w:tab w:val="clear" w:pos="2427"/>
          <w:tab w:val="left" w:pos="3380"/>
        </w:tabs>
        <w:rPr>
          <w:lang w:val="es-MX"/>
        </w:rPr>
      </w:pPr>
      <w:r>
        <w:rPr>
          <w:lang w:val="es-MX"/>
        </w:rPr>
        <w:t>PANARE</w:t>
      </w:r>
      <w:r>
        <w:rPr>
          <w:lang w:val="es-MX"/>
        </w:rPr>
        <w:tab/>
      </w:r>
      <w:r>
        <w:rPr>
          <w:rFonts w:hint="eastAsia"/>
          <w:lang w:val="en-GB"/>
        </w:rPr>
        <w:t>全国康复</w:t>
      </w:r>
      <w:r>
        <w:rPr>
          <w:rFonts w:hint="eastAsia"/>
          <w:lang w:val="es-MX"/>
        </w:rPr>
        <w:t>慈善基金会</w:t>
      </w:r>
    </w:p>
    <w:p w:rsidR="00CE4DFD" w:rsidRDefault="00CE4DFD">
      <w:pPr>
        <w:pStyle w:val="SingleTxtGC"/>
        <w:tabs>
          <w:tab w:val="clear" w:pos="1565"/>
          <w:tab w:val="clear" w:pos="1996"/>
          <w:tab w:val="clear" w:pos="2427"/>
          <w:tab w:val="left" w:pos="3380"/>
        </w:tabs>
        <w:rPr>
          <w:lang w:val="es-MX"/>
        </w:rPr>
      </w:pPr>
      <w:r>
        <w:rPr>
          <w:lang w:val="es-MX"/>
        </w:rPr>
        <w:t>PANI</w:t>
      </w:r>
      <w:r>
        <w:rPr>
          <w:lang w:val="es-MX"/>
        </w:rPr>
        <w:tab/>
      </w:r>
      <w:r>
        <w:rPr>
          <w:rFonts w:hint="eastAsia"/>
          <w:lang w:val="es-MX"/>
        </w:rPr>
        <w:t>全国儿童慈善基金会</w:t>
      </w:r>
    </w:p>
    <w:p w:rsidR="00CE4DFD" w:rsidRDefault="00CE4DFD">
      <w:pPr>
        <w:pStyle w:val="SingleTxtGC"/>
        <w:tabs>
          <w:tab w:val="clear" w:pos="1565"/>
          <w:tab w:val="clear" w:pos="1996"/>
          <w:tab w:val="clear" w:pos="2427"/>
          <w:tab w:val="left" w:pos="3380"/>
        </w:tabs>
        <w:rPr>
          <w:rFonts w:hint="eastAsia"/>
          <w:lang w:val="es-MX"/>
        </w:rPr>
      </w:pPr>
      <w:r>
        <w:rPr>
          <w:lang w:val="es-MX"/>
        </w:rPr>
        <w:t>PJ</w:t>
      </w:r>
      <w:r>
        <w:rPr>
          <w:lang w:val="es-MX"/>
        </w:rPr>
        <w:tab/>
      </w:r>
      <w:r>
        <w:rPr>
          <w:rFonts w:hint="eastAsia"/>
          <w:lang w:val="es-MX"/>
        </w:rPr>
        <w:t>司法机构</w:t>
      </w:r>
    </w:p>
    <w:p w:rsidR="00CE4DFD" w:rsidRDefault="00CE4DFD">
      <w:pPr>
        <w:pStyle w:val="SingleTxtGC"/>
        <w:tabs>
          <w:tab w:val="clear" w:pos="1565"/>
          <w:tab w:val="clear" w:pos="1996"/>
          <w:tab w:val="clear" w:pos="2427"/>
          <w:tab w:val="left" w:pos="3380"/>
        </w:tabs>
        <w:rPr>
          <w:rFonts w:hint="eastAsia"/>
          <w:lang w:val="en-GB"/>
        </w:rPr>
      </w:pPr>
      <w:r>
        <w:rPr>
          <w:lang w:val="en-GB"/>
        </w:rPr>
        <w:t>RBC</w:t>
      </w:r>
      <w:r>
        <w:rPr>
          <w:lang w:val="en-GB"/>
        </w:rPr>
        <w:tab/>
      </w:r>
      <w:r>
        <w:rPr>
          <w:rFonts w:hint="eastAsia"/>
          <w:lang w:val="en-GB"/>
        </w:rPr>
        <w:t>社区基层康复</w:t>
      </w:r>
    </w:p>
    <w:p w:rsidR="00CE4DFD" w:rsidRDefault="00CE4DFD">
      <w:pPr>
        <w:pStyle w:val="SingleTxtGC"/>
        <w:tabs>
          <w:tab w:val="clear" w:pos="1565"/>
          <w:tab w:val="clear" w:pos="1996"/>
          <w:tab w:val="clear" w:pos="2427"/>
          <w:tab w:val="left" w:pos="3380"/>
        </w:tabs>
        <w:rPr>
          <w:lang w:val="es-MX"/>
        </w:rPr>
      </w:pPr>
      <w:r>
        <w:rPr>
          <w:lang w:val="es-MX"/>
        </w:rPr>
        <w:t>UCR</w:t>
      </w:r>
      <w:r>
        <w:rPr>
          <w:lang w:val="es-MX"/>
        </w:rPr>
        <w:tab/>
      </w:r>
      <w:r>
        <w:rPr>
          <w:rFonts w:hint="eastAsia"/>
          <w:lang w:val="es-MX"/>
        </w:rPr>
        <w:t>哥斯达黎加大学</w:t>
      </w:r>
    </w:p>
    <w:p w:rsidR="00CE4DFD" w:rsidRDefault="00CE4DFD">
      <w:pPr>
        <w:pStyle w:val="SingleTxtGC"/>
        <w:tabs>
          <w:tab w:val="clear" w:pos="1565"/>
          <w:tab w:val="clear" w:pos="1996"/>
          <w:tab w:val="clear" w:pos="2427"/>
          <w:tab w:val="left" w:pos="3380"/>
        </w:tabs>
        <w:rPr>
          <w:lang w:val="es-MX"/>
        </w:rPr>
      </w:pPr>
      <w:r>
        <w:rPr>
          <w:lang w:val="es-MX"/>
        </w:rPr>
        <w:t>UNA</w:t>
      </w:r>
      <w:r>
        <w:rPr>
          <w:lang w:val="es-MX"/>
        </w:rPr>
        <w:tab/>
      </w:r>
      <w:r>
        <w:rPr>
          <w:rFonts w:hint="eastAsia"/>
          <w:lang w:val="es-MX"/>
        </w:rPr>
        <w:t>国立大学</w:t>
      </w:r>
    </w:p>
    <w:p w:rsidR="00CE4DFD" w:rsidRDefault="00CE4DFD">
      <w:pPr>
        <w:pStyle w:val="SingleTxtGC"/>
        <w:tabs>
          <w:tab w:val="clear" w:pos="1565"/>
          <w:tab w:val="clear" w:pos="1996"/>
          <w:tab w:val="clear" w:pos="2427"/>
          <w:tab w:val="left" w:pos="3380"/>
        </w:tabs>
        <w:rPr>
          <w:lang w:val="es-MX"/>
        </w:rPr>
      </w:pPr>
      <w:r>
        <w:rPr>
          <w:lang w:val="es-MX"/>
        </w:rPr>
        <w:t>UNED</w:t>
      </w:r>
      <w:r>
        <w:rPr>
          <w:lang w:val="es-MX"/>
        </w:rPr>
        <w:tab/>
      </w:r>
      <w:r>
        <w:rPr>
          <w:rFonts w:hint="eastAsia"/>
          <w:lang w:val="es-MX"/>
        </w:rPr>
        <w:t>国家远程教育大学</w:t>
      </w:r>
    </w:p>
    <w:p w:rsidR="00CE4DFD" w:rsidRDefault="00CE4DFD">
      <w:pPr>
        <w:pStyle w:val="HChGC"/>
        <w:rPr>
          <w:rFonts w:hint="eastAsia"/>
          <w:lang w:val="es-MX"/>
        </w:rPr>
      </w:pPr>
      <w:r>
        <w:br w:type="page"/>
      </w:r>
      <w:r>
        <w:tab/>
      </w:r>
      <w:r>
        <w:rPr>
          <w:rFonts w:hint="eastAsia"/>
        </w:rPr>
        <w:t>一</w:t>
      </w:r>
      <w:r>
        <w:rPr>
          <w:rFonts w:hint="eastAsia"/>
        </w:rPr>
        <w:t>.</w:t>
      </w:r>
      <w:r>
        <w:rPr>
          <w:rFonts w:hint="eastAsia"/>
        </w:rPr>
        <w:tab/>
      </w:r>
      <w:bookmarkStart w:id="5" w:name="_Toc352758962"/>
      <w:bookmarkEnd w:id="3"/>
      <w:r>
        <w:rPr>
          <w:rFonts w:hint="eastAsia"/>
          <w:lang w:val="es-MX"/>
        </w:rPr>
        <w:t>基本资料</w:t>
      </w:r>
      <w:bookmarkEnd w:id="5"/>
    </w:p>
    <w:p w:rsidR="00CE4DFD" w:rsidRDefault="00CE4DFD">
      <w:pPr>
        <w:pStyle w:val="H1GC"/>
      </w:pPr>
      <w:r>
        <w:tab/>
        <w:t>A.</w:t>
      </w:r>
      <w:r>
        <w:rPr>
          <w:rFonts w:ascii="SimSun" w:eastAsia="SimSun" w:hAnsi="SimSun" w:cs="SimSun" w:hint="eastAsia"/>
        </w:rPr>
        <w:tab/>
      </w:r>
      <w:bookmarkStart w:id="6" w:name="_Toc287347901"/>
      <w:bookmarkStart w:id="7" w:name="_Toc352758963"/>
      <w:r>
        <w:rPr>
          <w:rFonts w:hint="eastAsia"/>
        </w:rPr>
        <w:t>报告涉及范围：采用的程序和方法</w:t>
      </w:r>
      <w:bookmarkEnd w:id="6"/>
      <w:bookmarkEnd w:id="7"/>
    </w:p>
    <w:p w:rsidR="00CE4DFD" w:rsidRDefault="00CE4DFD">
      <w:pPr>
        <w:pStyle w:val="SingleTxtGC"/>
        <w:rPr>
          <w:lang w:val="en-GB"/>
        </w:rPr>
      </w:pPr>
      <w:r>
        <w:rPr>
          <w:lang w:val="en-GB"/>
        </w:rPr>
        <w:t xml:space="preserve">1.  </w:t>
      </w:r>
      <w:r>
        <w:rPr>
          <w:rFonts w:hint="eastAsia"/>
          <w:lang w:val="en-GB"/>
        </w:rPr>
        <w:t>以下我们要介绍的是，针对哥斯达黎加国家执行《残疾人权利公约》</w:t>
      </w:r>
      <w:r>
        <w:rPr>
          <w:rFonts w:hint="eastAsia"/>
          <w:lang w:val="en-GB"/>
        </w:rPr>
        <w:t>(</w:t>
      </w:r>
      <w:r>
        <w:rPr>
          <w:rFonts w:hint="eastAsia"/>
          <w:lang w:val="en-GB"/>
        </w:rPr>
        <w:t>第</w:t>
      </w:r>
      <w:r>
        <w:rPr>
          <w:rFonts w:hint="eastAsia"/>
          <w:lang w:val="en-GB"/>
        </w:rPr>
        <w:t>8661</w:t>
      </w:r>
      <w:r>
        <w:rPr>
          <w:rFonts w:hint="eastAsia"/>
          <w:lang w:val="en-GB"/>
        </w:rPr>
        <w:t>号法律</w:t>
      </w:r>
      <w:r>
        <w:rPr>
          <w:rFonts w:hint="eastAsia"/>
          <w:lang w:val="en-GB"/>
        </w:rPr>
        <w:t>)</w:t>
      </w:r>
      <w:r>
        <w:rPr>
          <w:rFonts w:hint="eastAsia"/>
          <w:lang w:val="en-GB"/>
        </w:rPr>
        <w:t>有关规定的初步调查分析情况，哥斯达黎加各级国家机关部门为起草本报告提供了有关资料、意见和信息。</w:t>
      </w:r>
    </w:p>
    <w:p w:rsidR="00CE4DFD" w:rsidRDefault="00CE4DFD">
      <w:pPr>
        <w:pStyle w:val="SingleTxtGC"/>
        <w:rPr>
          <w:lang w:val="es-MX"/>
        </w:rPr>
      </w:pPr>
      <w:r>
        <w:rPr>
          <w:lang w:val="es-MX"/>
        </w:rPr>
        <w:t xml:space="preserve">2.  </w:t>
      </w:r>
      <w:r>
        <w:rPr>
          <w:rFonts w:hint="eastAsia"/>
          <w:lang w:val="es-MX"/>
        </w:rPr>
        <w:t>在编制报告期间，专门制作了一份手册，将《公约》的各项条款</w:t>
      </w:r>
      <w:r>
        <w:rPr>
          <w:rFonts w:hint="eastAsia"/>
          <w:lang w:val="es-MX"/>
        </w:rPr>
        <w:t>(</w:t>
      </w:r>
      <w:r>
        <w:rPr>
          <w:rFonts w:hint="eastAsia"/>
          <w:lang w:val="es-MX"/>
        </w:rPr>
        <w:t>第一条至第三十三条</w:t>
      </w:r>
      <w:r>
        <w:rPr>
          <w:rFonts w:hint="eastAsia"/>
          <w:lang w:val="es-MX"/>
        </w:rPr>
        <w:t>)</w:t>
      </w:r>
      <w:r>
        <w:rPr>
          <w:rFonts w:hint="eastAsia"/>
          <w:lang w:val="es-MX"/>
        </w:rPr>
        <w:t>分类，根据经济权利、社会权利、文化权利以及有关的其他权利和领域，比如监督与国际合作问题，进行评估。具体评估事项包括如下：</w:t>
      </w:r>
    </w:p>
    <w:p w:rsidR="00CE4DFD" w:rsidRDefault="00CE4DFD">
      <w:pPr>
        <w:pStyle w:val="SingleTxtGC"/>
        <w:numPr>
          <w:ilvl w:val="0"/>
          <w:numId w:val="17"/>
        </w:numPr>
        <w:rPr>
          <w:rFonts w:hint="eastAsia"/>
          <w:lang w:val="es-MX"/>
        </w:rPr>
      </w:pPr>
      <w:r>
        <w:rPr>
          <w:rFonts w:hint="eastAsia"/>
          <w:lang w:val="es-MX"/>
        </w:rPr>
        <w:t>获得司法保护权、自由权和人身安全；</w:t>
      </w:r>
    </w:p>
    <w:p w:rsidR="00CE4DFD" w:rsidRDefault="00CE4DFD">
      <w:pPr>
        <w:pStyle w:val="SingleTxtGC"/>
        <w:numPr>
          <w:ilvl w:val="0"/>
          <w:numId w:val="17"/>
        </w:numPr>
        <w:rPr>
          <w:rFonts w:hint="eastAsia"/>
          <w:lang w:val="es-MX"/>
        </w:rPr>
      </w:pPr>
      <w:r>
        <w:rPr>
          <w:rFonts w:hint="eastAsia"/>
          <w:lang w:val="es-MX"/>
        </w:rPr>
        <w:t>健康；</w:t>
      </w:r>
    </w:p>
    <w:p w:rsidR="00CE4DFD" w:rsidRDefault="00CE4DFD">
      <w:pPr>
        <w:pStyle w:val="SingleTxtGC"/>
        <w:numPr>
          <w:ilvl w:val="0"/>
          <w:numId w:val="17"/>
        </w:numPr>
        <w:rPr>
          <w:rFonts w:hint="eastAsia"/>
          <w:lang w:val="es-MX"/>
        </w:rPr>
      </w:pPr>
      <w:r>
        <w:rPr>
          <w:rFonts w:hint="eastAsia"/>
          <w:lang w:val="es-MX"/>
        </w:rPr>
        <w:t>教育；</w:t>
      </w:r>
    </w:p>
    <w:p w:rsidR="00CE4DFD" w:rsidRDefault="00CE4DFD">
      <w:pPr>
        <w:pStyle w:val="SingleTxtGC"/>
        <w:numPr>
          <w:ilvl w:val="0"/>
          <w:numId w:val="17"/>
        </w:numPr>
        <w:rPr>
          <w:rFonts w:hint="eastAsia"/>
          <w:lang w:val="es-MX"/>
        </w:rPr>
      </w:pPr>
      <w:r>
        <w:rPr>
          <w:rFonts w:hint="eastAsia"/>
          <w:lang w:val="es-MX"/>
        </w:rPr>
        <w:t>劳动和就业；</w:t>
      </w:r>
    </w:p>
    <w:p w:rsidR="00CE4DFD" w:rsidRDefault="00CE4DFD">
      <w:pPr>
        <w:pStyle w:val="SingleTxtGC"/>
        <w:numPr>
          <w:ilvl w:val="0"/>
          <w:numId w:val="17"/>
        </w:numPr>
        <w:rPr>
          <w:rFonts w:hint="eastAsia"/>
          <w:lang w:val="es-MX"/>
        </w:rPr>
      </w:pPr>
      <w:r>
        <w:rPr>
          <w:rFonts w:hint="eastAsia"/>
          <w:lang w:val="es-MX"/>
        </w:rPr>
        <w:t>适足生活水平和社会保护；</w:t>
      </w:r>
    </w:p>
    <w:p w:rsidR="00CE4DFD" w:rsidRDefault="00CE4DFD">
      <w:pPr>
        <w:pStyle w:val="SingleTxtGC"/>
        <w:numPr>
          <w:ilvl w:val="0"/>
          <w:numId w:val="17"/>
        </w:numPr>
        <w:rPr>
          <w:rFonts w:hint="eastAsia"/>
          <w:lang w:val="es-MX"/>
        </w:rPr>
      </w:pPr>
      <w:r>
        <w:rPr>
          <w:rFonts w:hint="eastAsia"/>
          <w:lang w:val="es-MX"/>
        </w:rPr>
        <w:t>参与政治和公共生活；</w:t>
      </w:r>
    </w:p>
    <w:p w:rsidR="00CE4DFD" w:rsidRDefault="00CE4DFD">
      <w:pPr>
        <w:pStyle w:val="SingleTxtGC"/>
        <w:numPr>
          <w:ilvl w:val="0"/>
          <w:numId w:val="17"/>
        </w:numPr>
        <w:rPr>
          <w:rFonts w:hint="eastAsia"/>
          <w:lang w:val="es-MX"/>
        </w:rPr>
      </w:pPr>
      <w:r>
        <w:rPr>
          <w:rFonts w:hint="eastAsia"/>
          <w:lang w:val="es-MX"/>
        </w:rPr>
        <w:t>参与文化生活、娱乐、休闲和体育活动；</w:t>
      </w:r>
    </w:p>
    <w:p w:rsidR="00CE4DFD" w:rsidRDefault="00CE4DFD">
      <w:pPr>
        <w:pStyle w:val="SingleTxtGC"/>
        <w:numPr>
          <w:ilvl w:val="0"/>
          <w:numId w:val="17"/>
        </w:numPr>
        <w:rPr>
          <w:rFonts w:hint="eastAsia"/>
          <w:lang w:val="es-MX"/>
        </w:rPr>
      </w:pPr>
      <w:r>
        <w:rPr>
          <w:rFonts w:hint="eastAsia"/>
          <w:lang w:val="es-MX"/>
        </w:rPr>
        <w:t>国际合作；</w:t>
      </w:r>
    </w:p>
    <w:p w:rsidR="00CE4DFD" w:rsidRDefault="00CE4DFD">
      <w:pPr>
        <w:pStyle w:val="SingleTxtGC"/>
        <w:numPr>
          <w:ilvl w:val="0"/>
          <w:numId w:val="17"/>
        </w:numPr>
        <w:rPr>
          <w:rFonts w:hint="eastAsia"/>
          <w:lang w:val="es-MX"/>
        </w:rPr>
      </w:pPr>
      <w:r>
        <w:rPr>
          <w:rFonts w:hint="eastAsia"/>
          <w:lang w:val="es-MX"/>
        </w:rPr>
        <w:t>监督与推动实施。</w:t>
      </w:r>
    </w:p>
    <w:p w:rsidR="00CE4DFD" w:rsidRDefault="00CE4DFD">
      <w:pPr>
        <w:pStyle w:val="SingleTxtGC"/>
        <w:rPr>
          <w:lang w:val="es-MX"/>
        </w:rPr>
      </w:pPr>
      <w:r>
        <w:rPr>
          <w:lang w:val="es-MX"/>
        </w:rPr>
        <w:t xml:space="preserve">3.  </w:t>
      </w:r>
      <w:r>
        <w:rPr>
          <w:rFonts w:hint="eastAsia"/>
          <w:lang w:val="es-MX"/>
        </w:rPr>
        <w:t>确定了需要评估的事项之后，对那些按照各自的属性应当提供关于《公约》执行方面的情报的国家机构进行了梳理，在报告中专门把这些机构划分为两个层面，一是国家机构层面，二是地方政府层面，也就是涉及市政府的层面，并制作了一份说明和图表，转发各个相关机构，以便收集我们需要的材料</w:t>
      </w:r>
      <w:r>
        <w:rPr>
          <w:rFonts w:hint="eastAsia"/>
          <w:lang w:val="es-MX"/>
        </w:rPr>
        <w:t>(</w:t>
      </w:r>
      <w:r>
        <w:rPr>
          <w:rFonts w:hint="eastAsia"/>
          <w:lang w:val="es-MX"/>
        </w:rPr>
        <w:t>参见附件</w:t>
      </w:r>
      <w:r>
        <w:rPr>
          <w:rFonts w:hint="eastAsia"/>
          <w:lang w:val="es-MX"/>
        </w:rPr>
        <w:t>1</w:t>
      </w:r>
      <w:r>
        <w:rPr>
          <w:rFonts w:hint="eastAsia"/>
          <w:lang w:val="es-MX"/>
        </w:rPr>
        <w:t>和附件</w:t>
      </w:r>
      <w:r>
        <w:rPr>
          <w:rFonts w:hint="eastAsia"/>
          <w:lang w:val="es-MX"/>
        </w:rPr>
        <w:t>2)</w:t>
      </w:r>
      <w:r>
        <w:rPr>
          <w:rFonts w:hint="eastAsia"/>
          <w:lang w:val="es-MX"/>
        </w:rPr>
        <w:t>。</w:t>
      </w:r>
    </w:p>
    <w:p w:rsidR="00CE4DFD" w:rsidRDefault="00CE4DFD">
      <w:pPr>
        <w:pStyle w:val="SingleTxtGC"/>
        <w:rPr>
          <w:i/>
          <w:lang w:val="es-MX"/>
        </w:rPr>
      </w:pPr>
      <w:r>
        <w:rPr>
          <w:lang w:val="es-MX"/>
        </w:rPr>
        <w:t xml:space="preserve">4.  </w:t>
      </w:r>
      <w:r>
        <w:rPr>
          <w:rFonts w:hint="eastAsia"/>
          <w:lang w:val="es-MX"/>
        </w:rPr>
        <w:t>报告编制过程分为三个部分。在前期阶段，与国家和地方各级相关单位连续举行了三次会议，期间就《公约》的涉及范围、起草报告的指导方针以及相关说明做出了解释，并就如何编制报告的问题进行了答疑解惑。第二阶段工作是编制初步报告，期间收录了向各级机构和地方政府主管征集的信息，起草了报告，并针对各级机构汇报的《公约》执行情况邀请残疾人代表进行了分析和协商。最后一个阶段的工作是起草最终报告，其中包括了残疾人代表针对国家报告内容提出的意见。</w:t>
      </w:r>
    </w:p>
    <w:p w:rsidR="00CE4DFD" w:rsidRDefault="00CE4DFD">
      <w:pPr>
        <w:pStyle w:val="SingleTxtGC"/>
        <w:rPr>
          <w:i/>
          <w:lang w:val="es-MX"/>
        </w:rPr>
      </w:pPr>
      <w:r>
        <w:rPr>
          <w:lang w:val="es-MX"/>
        </w:rPr>
        <w:t xml:space="preserve">5.  </w:t>
      </w:r>
      <w:r>
        <w:rPr>
          <w:rFonts w:hint="eastAsia"/>
          <w:lang w:val="es-MX"/>
        </w:rPr>
        <w:t>具体到地方政府层面，考虑到地方政府的工作性质和范围，我们只提及了九个评估领域中的三个，即：适足生活水平、参与政治和公共生活、参与文化生活、娱乐、休闲和体育活动。至于其他国家机构，则按照这些机构与报告主题的相关性，分门别类予以介绍。</w:t>
      </w:r>
    </w:p>
    <w:p w:rsidR="00CE4DFD" w:rsidRDefault="00CE4DFD">
      <w:pPr>
        <w:pStyle w:val="H1GC"/>
      </w:pPr>
      <w:r>
        <w:tab/>
        <w:t>B.</w:t>
      </w:r>
      <w:r>
        <w:rPr>
          <w:rFonts w:ascii="SimSun" w:eastAsia="SimSun" w:hAnsi="SimSun" w:cs="SimSun" w:hint="eastAsia"/>
        </w:rPr>
        <w:tab/>
      </w:r>
      <w:bookmarkStart w:id="8" w:name="_Toc287347902"/>
      <w:bookmarkStart w:id="9" w:name="_Toc352758964"/>
      <w:r>
        <w:rPr>
          <w:rFonts w:hint="eastAsia"/>
        </w:rPr>
        <w:t>在报告起草工作中的社会参与</w:t>
      </w:r>
      <w:bookmarkEnd w:id="8"/>
      <w:bookmarkEnd w:id="9"/>
    </w:p>
    <w:p w:rsidR="00CE4DFD" w:rsidRDefault="00CE4DFD">
      <w:pPr>
        <w:pStyle w:val="SingleTxtGC"/>
        <w:rPr>
          <w:rFonts w:hint="eastAsia"/>
          <w:lang w:val="es-MX"/>
        </w:rPr>
      </w:pPr>
      <w:r>
        <w:rPr>
          <w:lang w:val="es-MX"/>
        </w:rPr>
        <w:t xml:space="preserve">6.  </w:t>
      </w:r>
      <w:r>
        <w:rPr>
          <w:rFonts w:hint="eastAsia"/>
          <w:lang w:val="es-MX"/>
        </w:rPr>
        <w:t>关于民间社会参与报告起草工作的问题，按照《公约》第四条第三款、第三十三条以及第三十五条的规定，全国康复和特殊教育委员会于</w:t>
      </w:r>
      <w:smartTag w:uri="urn:schemas-microsoft-com:office:smarttags" w:element="chsdate">
        <w:smartTagPr>
          <w:attr w:name="Year" w:val="2010"/>
          <w:attr w:name="Month" w:val="10"/>
          <w:attr w:name="Day" w:val="29"/>
          <w:attr w:name="IsLunarDate" w:val="False"/>
          <w:attr w:name="IsROCDate" w:val="False"/>
        </w:smartTagPr>
        <w:r>
          <w:rPr>
            <w:rFonts w:hint="eastAsia"/>
            <w:lang w:val="es-MX"/>
          </w:rPr>
          <w:t>2010</w:t>
        </w:r>
        <w:r>
          <w:rPr>
            <w:rFonts w:hint="eastAsia"/>
            <w:lang w:val="es-MX"/>
          </w:rPr>
          <w:t>年</w:t>
        </w:r>
        <w:r>
          <w:rPr>
            <w:rFonts w:hint="eastAsia"/>
            <w:lang w:val="es-MX"/>
          </w:rPr>
          <w:t>10</w:t>
        </w:r>
        <w:r>
          <w:rPr>
            <w:rFonts w:hint="eastAsia"/>
            <w:lang w:val="es-MX"/>
          </w:rPr>
          <w:t>月</w:t>
        </w:r>
        <w:r>
          <w:rPr>
            <w:rFonts w:hint="eastAsia"/>
            <w:lang w:val="es-MX"/>
          </w:rPr>
          <w:t>29</w:t>
        </w:r>
        <w:r>
          <w:rPr>
            <w:rFonts w:hint="eastAsia"/>
            <w:lang w:val="es-MX"/>
          </w:rPr>
          <w:t>日</w:t>
        </w:r>
      </w:smartTag>
      <w:r>
        <w:rPr>
          <w:rFonts w:hint="eastAsia"/>
          <w:lang w:val="es-MX"/>
        </w:rPr>
        <w:t>举办了一次协商活动，通过书面形式以及电话邀约的方式，邀请了</w:t>
      </w:r>
      <w:r>
        <w:rPr>
          <w:rFonts w:hint="eastAsia"/>
          <w:lang w:val="es-MX"/>
        </w:rPr>
        <w:t>93</w:t>
      </w:r>
      <w:r>
        <w:rPr>
          <w:rFonts w:hint="eastAsia"/>
          <w:lang w:val="es-MX"/>
        </w:rPr>
        <w:t>家残疾人组织以及致力于残疾人事业的组织，在一份全国各地都有发行的报纸上通报了举行协商活动的地点、日期和目的，并为那些经济社会状况不佳、无力负担费用的人士提供交通和住宿方面的便利</w:t>
      </w:r>
      <w:r>
        <w:rPr>
          <w:rFonts w:hint="eastAsia"/>
          <w:lang w:val="es-MX"/>
        </w:rPr>
        <w:t>(</w:t>
      </w:r>
      <w:r>
        <w:rPr>
          <w:rFonts w:hint="eastAsia"/>
          <w:lang w:val="es-MX"/>
        </w:rPr>
        <w:t>参见附件</w:t>
      </w:r>
      <w:r>
        <w:rPr>
          <w:rFonts w:hint="eastAsia"/>
          <w:lang w:val="es-MX"/>
        </w:rPr>
        <w:t>3)</w:t>
      </w:r>
      <w:r>
        <w:rPr>
          <w:rFonts w:hint="eastAsia"/>
          <w:lang w:val="es-MX"/>
        </w:rPr>
        <w:t>。</w:t>
      </w:r>
    </w:p>
    <w:p w:rsidR="00CE4DFD" w:rsidRDefault="00CE4DFD">
      <w:pPr>
        <w:pStyle w:val="SingleTxtGC"/>
        <w:rPr>
          <w:rFonts w:hint="eastAsia"/>
          <w:lang w:val="es-MX"/>
        </w:rPr>
      </w:pPr>
      <w:r>
        <w:rPr>
          <w:lang w:val="es-MX"/>
        </w:rPr>
        <w:t xml:space="preserve">7.  </w:t>
      </w:r>
      <w:r>
        <w:rPr>
          <w:rFonts w:hint="eastAsia"/>
          <w:lang w:val="es-MX"/>
        </w:rPr>
        <w:t>全国康复和特殊教育委员会既是残疾事务的主管部门，也是起草报告的负责单位，据统计，共有来自全国各地的</w:t>
      </w:r>
      <w:r>
        <w:rPr>
          <w:rFonts w:hint="eastAsia"/>
          <w:lang w:val="es-MX"/>
        </w:rPr>
        <w:t>44</w:t>
      </w:r>
      <w:r>
        <w:rPr>
          <w:rFonts w:hint="eastAsia"/>
          <w:lang w:val="es-MX"/>
        </w:rPr>
        <w:t>位残疾人组织和残疾人事业组织的代表人士参加了全国康复和特殊教育委员会召集的活动</w:t>
      </w:r>
      <w:r>
        <w:rPr>
          <w:rFonts w:hint="eastAsia"/>
          <w:lang w:val="es-MX"/>
        </w:rPr>
        <w:t>(</w:t>
      </w:r>
      <w:r>
        <w:rPr>
          <w:rFonts w:hint="eastAsia"/>
          <w:lang w:val="es-MX"/>
        </w:rPr>
        <w:t>参见附件</w:t>
      </w:r>
      <w:r>
        <w:rPr>
          <w:rFonts w:hint="eastAsia"/>
          <w:lang w:val="es-MX"/>
        </w:rPr>
        <w:t>4)</w:t>
      </w:r>
      <w:r>
        <w:rPr>
          <w:rFonts w:hint="eastAsia"/>
          <w:lang w:val="es-MX"/>
        </w:rPr>
        <w:t>。</w:t>
      </w:r>
    </w:p>
    <w:p w:rsidR="00CE4DFD" w:rsidRDefault="00CE4DFD">
      <w:pPr>
        <w:pStyle w:val="SingleTxtGC"/>
        <w:rPr>
          <w:lang w:val="es-MX"/>
        </w:rPr>
      </w:pPr>
      <w:r>
        <w:rPr>
          <w:lang w:val="es-MX"/>
        </w:rPr>
        <w:t xml:space="preserve">8.  </w:t>
      </w:r>
      <w:r>
        <w:rPr>
          <w:rFonts w:hint="eastAsia"/>
          <w:lang w:val="es-MX"/>
        </w:rPr>
        <w:t>为了使这一进程普及到千家万户，活动采用了可参与性的方法，第一时间公开报告结果，之后开始进行分组工作，对国家机构在截至协商活动之日按照要求所提供的信息进行分析，在此基础上，由参与活动的人员结合自己的实际经历提出具体意见。在开展工作的时候，向参与活动的人员提供了所需的材料，其中包括印刷版和盲文版的方法详解、工作指南、公约文本和已经起草的报告，此外还应一些人的要求提供了数字形式的材料，聘请手语翻译人员提供手语翻译服务，为的是方便聋哑人了解相关信息，并且为来自偏远地区的残疾人及其陪护人员的交通提供经济资助。</w:t>
      </w:r>
    </w:p>
    <w:p w:rsidR="00CE4DFD" w:rsidRDefault="00CE4DFD">
      <w:pPr>
        <w:pStyle w:val="SingleTxtGC"/>
        <w:rPr>
          <w:lang w:val="es-MX"/>
        </w:rPr>
      </w:pPr>
      <w:r>
        <w:rPr>
          <w:lang w:val="es-MX"/>
        </w:rPr>
        <w:t xml:space="preserve">9.  </w:t>
      </w:r>
      <w:r>
        <w:rPr>
          <w:rFonts w:hint="eastAsia"/>
          <w:lang w:val="es-MX"/>
        </w:rPr>
        <w:t>另外，经过为期两周的面对面协商之后，应到场的各个组织的要求，在全国康复和特殊教育委员会官方网站开设了一个论坛，并上传了在协商活动中使用的文件，以便让更多的人查阅这些文件，包括那些没有参加协商活动的人。</w:t>
      </w:r>
    </w:p>
    <w:p w:rsidR="00CE4DFD" w:rsidRDefault="00CE4DFD">
      <w:pPr>
        <w:pStyle w:val="H1GC"/>
      </w:pPr>
      <w:r>
        <w:tab/>
        <w:t>C.</w:t>
      </w:r>
      <w:r>
        <w:rPr>
          <w:rFonts w:ascii="SimSun" w:eastAsia="SimSun" w:hAnsi="SimSun" w:cs="SimSun" w:hint="eastAsia"/>
        </w:rPr>
        <w:tab/>
      </w:r>
      <w:bookmarkStart w:id="10" w:name="_Toc287347903"/>
      <w:bookmarkStart w:id="11" w:name="_Toc352758965"/>
      <w:r>
        <w:rPr>
          <w:rFonts w:hint="eastAsia"/>
        </w:rPr>
        <w:t>关于报告的考虑事项</w:t>
      </w:r>
      <w:bookmarkEnd w:id="10"/>
      <w:bookmarkEnd w:id="11"/>
    </w:p>
    <w:p w:rsidR="00CE4DFD" w:rsidRDefault="00CE4DFD">
      <w:pPr>
        <w:pStyle w:val="SingleTxtGC"/>
        <w:rPr>
          <w:lang w:val="es-MX"/>
        </w:rPr>
      </w:pPr>
      <w:r>
        <w:rPr>
          <w:lang w:val="es-MX"/>
        </w:rPr>
        <w:t xml:space="preserve">10.  </w:t>
      </w:r>
      <w:r>
        <w:rPr>
          <w:rFonts w:hint="eastAsia"/>
          <w:lang w:val="es-MX"/>
        </w:rPr>
        <w:t>起草报告时考虑了残疾人权利委员会指导方针中阐明的各个方面，为此，要求所有相关机构参考在用来收集信息的表格中所提到的条款并提供现有的预算和统计资料。</w:t>
      </w:r>
    </w:p>
    <w:p w:rsidR="00CE4DFD" w:rsidRDefault="00CE4DFD">
      <w:pPr>
        <w:pStyle w:val="SingleTxtGC"/>
        <w:rPr>
          <w:lang w:val="es-MX"/>
        </w:rPr>
      </w:pPr>
      <w:r>
        <w:rPr>
          <w:lang w:val="es-MX"/>
        </w:rPr>
        <w:t xml:space="preserve">11.  </w:t>
      </w:r>
      <w:r>
        <w:rPr>
          <w:rFonts w:hint="eastAsia"/>
          <w:lang w:val="es-MX"/>
        </w:rPr>
        <w:t>在提供信息方面，应当注意到，并非所有情况下都能按照相关主管机构的要求提供专门的统计和预算资料，之所以会这样，是因为在大多数情况下，没有按照《公约》规定设立用于处理与残疾人境遇有关事务的专项财政预算资金，而是把这一项目列入机构的合并总预算当中，比如无障碍通道投资，该投资被列入一般施工和改建项目当中。同样，在某些情况下，预算信息资料可以反映出预算情况，但并非总是能够反映出实际执行情况。</w:t>
      </w:r>
    </w:p>
    <w:p w:rsidR="00CE4DFD" w:rsidRDefault="00CE4DFD">
      <w:pPr>
        <w:pStyle w:val="SingleTxtGC"/>
        <w:rPr>
          <w:lang w:val="es-MX"/>
        </w:rPr>
      </w:pPr>
      <w:r>
        <w:rPr>
          <w:lang w:val="es-MX"/>
        </w:rPr>
        <w:t xml:space="preserve">12.  </w:t>
      </w:r>
      <w:r>
        <w:rPr>
          <w:rFonts w:hint="eastAsia"/>
          <w:lang w:val="es-MX"/>
        </w:rPr>
        <w:t>关于国家投资方面的信息资料，一直是用哥斯达黎加科朗以及美元来具体标注金额，为此，我们以哥斯达黎加中央银行于</w:t>
      </w:r>
      <w:smartTag w:uri="urn:schemas-microsoft-com:office:smarttags" w:element="chsdate">
        <w:smartTagPr>
          <w:attr w:name="Year" w:val="2010"/>
          <w:attr w:name="Month" w:val="10"/>
          <w:attr w:name="Day" w:val="21"/>
          <w:attr w:name="IsLunarDate" w:val="False"/>
          <w:attr w:name="IsROCDate" w:val="False"/>
        </w:smartTagPr>
        <w:r>
          <w:rPr>
            <w:rFonts w:hint="eastAsia"/>
            <w:lang w:val="es-MX"/>
          </w:rPr>
          <w:t>2010</w:t>
        </w:r>
        <w:r>
          <w:rPr>
            <w:rFonts w:hint="eastAsia"/>
            <w:lang w:val="es-MX"/>
          </w:rPr>
          <w:t>年</w:t>
        </w:r>
        <w:r>
          <w:rPr>
            <w:rFonts w:hint="eastAsia"/>
            <w:lang w:val="es-MX"/>
          </w:rPr>
          <w:t>10</w:t>
        </w:r>
        <w:r>
          <w:rPr>
            <w:rFonts w:hint="eastAsia"/>
            <w:lang w:val="es-MX"/>
          </w:rPr>
          <w:t>月</w:t>
        </w:r>
        <w:r>
          <w:rPr>
            <w:rFonts w:hint="eastAsia"/>
            <w:lang w:val="es-MX"/>
          </w:rPr>
          <w:t>21</w:t>
        </w:r>
        <w:r>
          <w:rPr>
            <w:rFonts w:hint="eastAsia"/>
            <w:lang w:val="es-MX"/>
          </w:rPr>
          <w:t>日</w:t>
        </w:r>
      </w:smartTag>
      <w:r>
        <w:rPr>
          <w:rFonts w:hint="eastAsia"/>
          <w:lang w:val="es-MX"/>
        </w:rPr>
        <w:t>公布的汇率为准，即</w:t>
      </w:r>
      <w:r>
        <w:rPr>
          <w:rFonts w:hint="eastAsia"/>
          <w:lang w:val="es-MX"/>
        </w:rPr>
        <w:t>1</w:t>
      </w:r>
      <w:r>
        <w:rPr>
          <w:rFonts w:hint="eastAsia"/>
          <w:lang w:val="es-MX"/>
        </w:rPr>
        <w:t>美元兑换</w:t>
      </w:r>
      <w:r>
        <w:rPr>
          <w:rFonts w:hint="eastAsia"/>
          <w:lang w:val="es-MX"/>
        </w:rPr>
        <w:t>504.91</w:t>
      </w:r>
      <w:r>
        <w:rPr>
          <w:rFonts w:hint="eastAsia"/>
          <w:lang w:val="es-MX"/>
        </w:rPr>
        <w:t>科朗。</w:t>
      </w:r>
    </w:p>
    <w:p w:rsidR="00CE4DFD" w:rsidRDefault="00CE4DFD">
      <w:pPr>
        <w:pStyle w:val="SingleTxtGC"/>
        <w:rPr>
          <w:lang w:val="es-MX"/>
        </w:rPr>
      </w:pPr>
      <w:r>
        <w:rPr>
          <w:lang w:val="es-MX"/>
        </w:rPr>
        <w:t xml:space="preserve">13.  </w:t>
      </w:r>
      <w:r>
        <w:rPr>
          <w:rFonts w:hint="eastAsia"/>
          <w:lang w:val="es-MX"/>
        </w:rPr>
        <w:t>关于特定人口的统计数据方面，情况就更加复杂一些，这是因为，在国内没有一项关于残疾人口状况的资料信息统一登记系统。</w:t>
      </w:r>
    </w:p>
    <w:p w:rsidR="00CE4DFD" w:rsidRDefault="00CE4DFD">
      <w:pPr>
        <w:pStyle w:val="SingleTxtGC"/>
        <w:rPr>
          <w:rFonts w:hint="eastAsia"/>
          <w:lang w:val="es-MX"/>
        </w:rPr>
      </w:pPr>
      <w:r>
        <w:rPr>
          <w:lang w:val="es-MX"/>
        </w:rPr>
        <w:t xml:space="preserve">14.  </w:t>
      </w:r>
      <w:r>
        <w:rPr>
          <w:rFonts w:hint="eastAsia"/>
          <w:lang w:val="es-MX"/>
        </w:rPr>
        <w:t>也就是说，预算和统计数据属于能够大体反映出相关投资情况以及受益人口情况的数据，但这并不影响所提供信息的真实性，因为，这些预算和统计数据是一次重要的初步调查分析，今后将以此为基础，在报告中完善细节内容，更为重要的是，哥斯达黎加将在此基础上进行必要的调整，以便在各个方面执行《公约》的规定。</w:t>
      </w:r>
    </w:p>
    <w:p w:rsidR="00CE4DFD" w:rsidRDefault="00CE4DFD">
      <w:pPr>
        <w:pStyle w:val="SingleTxtGC"/>
        <w:rPr>
          <w:lang w:val="es-MX"/>
        </w:rPr>
      </w:pPr>
      <w:r>
        <w:rPr>
          <w:lang w:val="es-MX"/>
        </w:rPr>
        <w:t xml:space="preserve">15.  </w:t>
      </w:r>
      <w:r>
        <w:rPr>
          <w:rFonts w:hint="eastAsia"/>
          <w:lang w:val="es-MX"/>
        </w:rPr>
        <w:t>最后，在信息方面不仅汇集国家机构在全国范围收集的数据资料，还包括地方政府，也就是市政府专门提供的地方范围的数据资料，其中，按照地方政府的属性，共涉及三大具体领域，即：适足生活水平和社会保护、参与政治和公共生活、参与娱乐和文化生活。</w:t>
      </w:r>
    </w:p>
    <w:p w:rsidR="00CE4DFD" w:rsidRDefault="00CE4DFD">
      <w:pPr>
        <w:pStyle w:val="HChGC"/>
      </w:pPr>
      <w:r>
        <w:tab/>
      </w:r>
      <w:r>
        <w:rPr>
          <w:rFonts w:hint="eastAsia"/>
        </w:rPr>
        <w:t>二</w:t>
      </w:r>
      <w:r>
        <w:rPr>
          <w:rFonts w:hint="eastAsia"/>
        </w:rPr>
        <w:t>.</w:t>
      </w:r>
      <w:r>
        <w:rPr>
          <w:rFonts w:hint="eastAsia"/>
        </w:rPr>
        <w:tab/>
      </w:r>
      <w:bookmarkStart w:id="12" w:name="_Toc287347904"/>
      <w:bookmarkStart w:id="13" w:name="_Toc352758966"/>
      <w:r>
        <w:rPr>
          <w:rFonts w:hint="eastAsia"/>
        </w:rPr>
        <w:t>国家机构和地方机构的评估结果</w:t>
      </w:r>
      <w:bookmarkEnd w:id="12"/>
      <w:bookmarkEnd w:id="13"/>
    </w:p>
    <w:p w:rsidR="00CE4DFD" w:rsidRDefault="00CE4DFD">
      <w:pPr>
        <w:pStyle w:val="H1GC"/>
      </w:pPr>
      <w:r>
        <w:tab/>
        <w:t>A.</w:t>
      </w:r>
      <w:r>
        <w:rPr>
          <w:rFonts w:ascii="SimSun" w:eastAsia="SimSun" w:hAnsi="SimSun" w:cs="SimSun" w:hint="eastAsia"/>
        </w:rPr>
        <w:tab/>
      </w:r>
      <w:bookmarkStart w:id="14" w:name="_Toc287347905"/>
      <w:bookmarkStart w:id="15" w:name="_Toc352758967"/>
      <w:r>
        <w:rPr>
          <w:rFonts w:hint="eastAsia"/>
        </w:rPr>
        <w:t>获得司法保护权、自由权和人身安全</w:t>
      </w:r>
      <w:bookmarkEnd w:id="14"/>
      <w:bookmarkEnd w:id="15"/>
    </w:p>
    <w:p w:rsidR="00CE4DFD" w:rsidRDefault="00CE4DFD">
      <w:pPr>
        <w:pStyle w:val="SingleTxtGC"/>
        <w:rPr>
          <w:rFonts w:hint="eastAsia"/>
          <w:lang w:val="en-GB"/>
        </w:rPr>
      </w:pPr>
      <w:r>
        <w:rPr>
          <w:lang w:val="en-GB"/>
        </w:rPr>
        <w:t xml:space="preserve">16.  </w:t>
      </w:r>
      <w:r>
        <w:rPr>
          <w:rFonts w:hint="eastAsia"/>
          <w:lang w:val="en-GB"/>
        </w:rPr>
        <w:t>在司法和安全问题上，哥斯达黎加设有各级相关主管机构，也就是说，不存在一个机构全面负责秩序、安全和法律的情况，而是由共和国三大权力机构分别负责。对于我们正在讨论的情况而言，考虑由以下机构进行相关领域的分析工作：司法权力机构，监察专员办公室，司法与和平部，内政、公安和警察部。我们针对上述这些机构收集了相关信息，但是未能对与司法部有关的内容进行协商，原因是，相关信息是在进行协商活动之后提交的。同样，根据《公约》中涉及获得司法保护权、自主权和人身安全的第十三条和第十四条，我们也讨论了这个问题。结合这些条款，我们还就第五条</w:t>
      </w:r>
      <w:r>
        <w:rPr>
          <w:rFonts w:hint="eastAsia"/>
          <w:lang w:val="en-GB"/>
        </w:rPr>
        <w:t>(</w:t>
      </w:r>
      <w:r>
        <w:rPr>
          <w:rFonts w:hint="eastAsia"/>
          <w:lang w:val="en-GB"/>
        </w:rPr>
        <w:t>平等和不歧视</w:t>
      </w:r>
      <w:r>
        <w:rPr>
          <w:rFonts w:hint="eastAsia"/>
          <w:lang w:val="en-GB"/>
        </w:rPr>
        <w:t>)</w:t>
      </w:r>
      <w:r>
        <w:rPr>
          <w:rFonts w:hint="eastAsia"/>
          <w:lang w:val="en-GB"/>
        </w:rPr>
        <w:t>、第九条</w:t>
      </w:r>
      <w:r>
        <w:rPr>
          <w:rFonts w:hint="eastAsia"/>
          <w:lang w:val="en-GB"/>
        </w:rPr>
        <w:t>(</w:t>
      </w:r>
      <w:r>
        <w:rPr>
          <w:rFonts w:hint="eastAsia"/>
          <w:lang w:val="en-GB"/>
        </w:rPr>
        <w:t>无障碍</w:t>
      </w:r>
      <w:r>
        <w:rPr>
          <w:rFonts w:hint="eastAsia"/>
          <w:lang w:val="en-GB"/>
        </w:rPr>
        <w:t>)</w:t>
      </w:r>
      <w:r>
        <w:rPr>
          <w:rFonts w:hint="eastAsia"/>
          <w:lang w:val="en-GB"/>
        </w:rPr>
        <w:t>、第十条</w:t>
      </w:r>
      <w:r>
        <w:rPr>
          <w:rFonts w:hint="eastAsia"/>
          <w:lang w:val="en-GB"/>
        </w:rPr>
        <w:t>(</w:t>
      </w:r>
      <w:r>
        <w:rPr>
          <w:rFonts w:hint="eastAsia"/>
          <w:lang w:val="en-GB"/>
        </w:rPr>
        <w:t>生命权</w:t>
      </w:r>
      <w:r>
        <w:rPr>
          <w:rFonts w:hint="eastAsia"/>
          <w:lang w:val="en-GB"/>
        </w:rPr>
        <w:t>)</w:t>
      </w:r>
      <w:r>
        <w:rPr>
          <w:rFonts w:hint="eastAsia"/>
          <w:lang w:val="en-GB"/>
        </w:rPr>
        <w:t>、第十五条</w:t>
      </w:r>
      <w:r>
        <w:rPr>
          <w:rFonts w:hint="eastAsia"/>
          <w:lang w:val="en-GB"/>
        </w:rPr>
        <w:t>(</w:t>
      </w:r>
      <w:r>
        <w:rPr>
          <w:rFonts w:hint="eastAsia"/>
          <w:lang w:val="en-GB"/>
        </w:rPr>
        <w:t>免于酷刑或残忍、不人道或有辱人格的待遇或处罚</w:t>
      </w:r>
      <w:r>
        <w:rPr>
          <w:rFonts w:hint="eastAsia"/>
          <w:lang w:val="en-GB"/>
        </w:rPr>
        <w:t>)</w:t>
      </w:r>
      <w:r>
        <w:rPr>
          <w:rFonts w:hint="eastAsia"/>
          <w:lang w:val="en-GB"/>
        </w:rPr>
        <w:t>、第十六条</w:t>
      </w:r>
      <w:r>
        <w:rPr>
          <w:rFonts w:hint="eastAsia"/>
          <w:lang w:val="en-GB"/>
        </w:rPr>
        <w:t>(</w:t>
      </w:r>
      <w:r>
        <w:rPr>
          <w:rFonts w:hint="eastAsia"/>
          <w:lang w:val="en-GB"/>
        </w:rPr>
        <w:t>免于剥削、暴力和凌虐</w:t>
      </w:r>
      <w:r>
        <w:rPr>
          <w:rFonts w:hint="eastAsia"/>
          <w:lang w:val="en-GB"/>
        </w:rPr>
        <w:t>)</w:t>
      </w:r>
      <w:r>
        <w:rPr>
          <w:rFonts w:hint="eastAsia"/>
          <w:lang w:val="en-GB"/>
        </w:rPr>
        <w:t>、第十七条</w:t>
      </w:r>
      <w:r>
        <w:rPr>
          <w:rFonts w:hint="eastAsia"/>
          <w:lang w:val="en-GB"/>
        </w:rPr>
        <w:t>(</w:t>
      </w:r>
      <w:r>
        <w:rPr>
          <w:rFonts w:hint="eastAsia"/>
          <w:lang w:val="en-GB"/>
        </w:rPr>
        <w:t>保护人身完整性</w:t>
      </w:r>
      <w:r>
        <w:rPr>
          <w:rFonts w:hint="eastAsia"/>
          <w:lang w:val="en-GB"/>
        </w:rPr>
        <w:t>)</w:t>
      </w:r>
      <w:r>
        <w:rPr>
          <w:rFonts w:hint="eastAsia"/>
          <w:lang w:val="en-GB"/>
        </w:rPr>
        <w:t>和第三十三条第二款</w:t>
      </w:r>
      <w:r>
        <w:rPr>
          <w:rFonts w:hint="eastAsia"/>
          <w:lang w:val="en-GB"/>
        </w:rPr>
        <w:t>(</w:t>
      </w:r>
      <w:r>
        <w:rPr>
          <w:rFonts w:hint="eastAsia"/>
          <w:lang w:val="en-GB"/>
        </w:rPr>
        <w:t>国家实施和监测</w:t>
      </w:r>
      <w:r>
        <w:rPr>
          <w:rFonts w:hint="eastAsia"/>
          <w:lang w:val="en-GB"/>
        </w:rPr>
        <w:t>)</w:t>
      </w:r>
      <w:r>
        <w:rPr>
          <w:rFonts w:hint="eastAsia"/>
          <w:lang w:val="en-GB"/>
        </w:rPr>
        <w:t>的规定进行了阐述。</w:t>
      </w:r>
    </w:p>
    <w:p w:rsidR="00CE4DFD" w:rsidRDefault="00CE4DFD">
      <w:pPr>
        <w:pStyle w:val="H23GC"/>
      </w:pPr>
      <w:r>
        <w:tab/>
        <w:t>1.</w:t>
      </w:r>
      <w:r>
        <w:rPr>
          <w:rFonts w:ascii="SimSun" w:eastAsia="SimSun" w:hAnsi="SimSun" w:cs="SimSun" w:hint="eastAsia"/>
        </w:rPr>
        <w:tab/>
      </w:r>
      <w:bookmarkStart w:id="16" w:name="_Toc352758968"/>
      <w:r>
        <w:rPr>
          <w:rFonts w:hint="eastAsia"/>
        </w:rPr>
        <w:t>实施的行动和专项资金</w:t>
      </w:r>
      <w:bookmarkEnd w:id="16"/>
    </w:p>
    <w:p w:rsidR="00CE4DFD" w:rsidRDefault="00CE4DFD">
      <w:pPr>
        <w:pStyle w:val="SingleTxtGC"/>
        <w:rPr>
          <w:lang w:val="en-GB"/>
        </w:rPr>
      </w:pPr>
      <w:r>
        <w:rPr>
          <w:lang w:val="en-GB"/>
        </w:rPr>
        <w:t xml:space="preserve">17.  </w:t>
      </w:r>
      <w:r>
        <w:rPr>
          <w:rFonts w:hint="eastAsia"/>
          <w:lang w:val="en-GB"/>
        </w:rPr>
        <w:t>作为法治社会国家，哥斯达黎加努力保障所有人能够获得司法保护权、自由权和人身安全，并且采取行动，旨在建立一个监管框架，为尊重人们的权利提供司法保障。该司法框架包括《哥斯达黎加政治宪法》、共和国各项法律、签署的各项国际条约、以及旨在捍卫全体哥斯达黎加人民的人权的指导方针和专项政策。</w:t>
      </w:r>
    </w:p>
    <w:p w:rsidR="00CE4DFD" w:rsidRDefault="00CE4DFD">
      <w:pPr>
        <w:pStyle w:val="SingleTxtGC"/>
        <w:rPr>
          <w:lang w:val="en-GB"/>
        </w:rPr>
      </w:pPr>
      <w:r>
        <w:rPr>
          <w:lang w:val="en-GB"/>
        </w:rPr>
        <w:t xml:space="preserve">18.  </w:t>
      </w:r>
      <w:r>
        <w:rPr>
          <w:rFonts w:hint="eastAsia"/>
          <w:lang w:val="en-GB"/>
        </w:rPr>
        <w:t>在这方面，为了在总体上保障尊重人权，哥斯达黎加采取了一项重大举措，设立了宪法法院，其根本动机是尊重并保护《哥斯达黎加政治宪法》不会受到侵犯，为此，可以允许人们提起保护令，也就是任何公民都可以提起控诉，指控涉嫌侵犯《宪法》规定权利的行为。宪法法院做出的判决具有约束力，必须遵守。</w:t>
      </w:r>
    </w:p>
    <w:p w:rsidR="00CE4DFD" w:rsidRDefault="00CE4DFD">
      <w:pPr>
        <w:pStyle w:val="SingleTxtGC"/>
        <w:rPr>
          <w:rFonts w:hint="eastAsia"/>
          <w:lang w:val="en-GB"/>
        </w:rPr>
      </w:pPr>
      <w:r>
        <w:rPr>
          <w:lang w:val="en-GB"/>
        </w:rPr>
        <w:t xml:space="preserve">19.  </w:t>
      </w:r>
      <w:r>
        <w:rPr>
          <w:rFonts w:hint="eastAsia"/>
          <w:lang w:val="en-GB"/>
        </w:rPr>
        <w:t>在</w:t>
      </w:r>
      <w:r>
        <w:rPr>
          <w:rFonts w:hint="eastAsia"/>
          <w:lang w:val="en-GB"/>
        </w:rPr>
        <w:t>2008</w:t>
      </w:r>
      <w:r>
        <w:rPr>
          <w:rFonts w:hint="eastAsia"/>
          <w:lang w:val="en-GB"/>
        </w:rPr>
        <w:t>至</w:t>
      </w:r>
      <w:r>
        <w:rPr>
          <w:rFonts w:hint="eastAsia"/>
          <w:lang w:val="en-GB"/>
        </w:rPr>
        <w:t>2011</w:t>
      </w:r>
      <w:r>
        <w:rPr>
          <w:rFonts w:hint="eastAsia"/>
          <w:lang w:val="en-GB"/>
        </w:rPr>
        <w:t>年期间，宪法法院共计做出</w:t>
      </w:r>
      <w:r>
        <w:rPr>
          <w:rFonts w:hint="eastAsia"/>
          <w:lang w:val="en-GB"/>
        </w:rPr>
        <w:t>141</w:t>
      </w:r>
      <w:r>
        <w:rPr>
          <w:rFonts w:hint="eastAsia"/>
          <w:lang w:val="en-GB"/>
        </w:rPr>
        <w:t>项直接涉及《公约》规定的判决。细分来说，其中两项判决与旅游有关，</w:t>
      </w:r>
      <w:r>
        <w:rPr>
          <w:rFonts w:hint="eastAsia"/>
          <w:lang w:val="en-GB"/>
        </w:rPr>
        <w:t>48</w:t>
      </w:r>
      <w:r>
        <w:rPr>
          <w:rFonts w:hint="eastAsia"/>
          <w:lang w:val="en-GB"/>
        </w:rPr>
        <w:t>项判决涉及地方政府问题，</w:t>
      </w:r>
      <w:r>
        <w:rPr>
          <w:rFonts w:hint="eastAsia"/>
          <w:lang w:val="en-GB"/>
        </w:rPr>
        <w:t>79</w:t>
      </w:r>
      <w:r>
        <w:rPr>
          <w:rFonts w:hint="eastAsia"/>
          <w:lang w:val="en-GB"/>
        </w:rPr>
        <w:t>项判决涉及国家公共部门、</w:t>
      </w:r>
      <w:r>
        <w:rPr>
          <w:rFonts w:hint="eastAsia"/>
          <w:lang w:val="en-GB"/>
        </w:rPr>
        <w:t>12</w:t>
      </w:r>
      <w:r>
        <w:rPr>
          <w:rFonts w:hint="eastAsia"/>
          <w:lang w:val="en-GB"/>
        </w:rPr>
        <w:t>项判决与私有部门有关。其中大部分归为以下几大类：公民权利和政治权利，其次是经济、社会和文化权利，还有很少量的特别关照群体或特殊状况问题。最终，大部分情况被指缺少无障碍通道和基础设施，特别是人行道、坡道、停车场入口或其他私人或公共设施</w:t>
      </w:r>
      <w:r>
        <w:rPr>
          <w:rFonts w:hint="eastAsia"/>
          <w:lang w:val="en-GB"/>
        </w:rPr>
        <w:t>(</w:t>
      </w:r>
      <w:r>
        <w:rPr>
          <w:rFonts w:hint="eastAsia"/>
          <w:lang w:val="en-GB"/>
        </w:rPr>
        <w:t>参见附件</w:t>
      </w:r>
      <w:r>
        <w:rPr>
          <w:rFonts w:hint="eastAsia"/>
          <w:lang w:val="en-GB"/>
        </w:rPr>
        <w:t>9)</w:t>
      </w:r>
      <w:r>
        <w:rPr>
          <w:rFonts w:hint="eastAsia"/>
          <w:lang w:val="en-GB"/>
        </w:rPr>
        <w:t>。</w:t>
      </w:r>
    </w:p>
    <w:p w:rsidR="00CE4DFD" w:rsidRDefault="00CE4DFD">
      <w:pPr>
        <w:pStyle w:val="SingleTxtGC"/>
        <w:rPr>
          <w:rFonts w:hint="eastAsia"/>
          <w:lang w:val="en-GB"/>
        </w:rPr>
      </w:pPr>
      <w:r>
        <w:rPr>
          <w:lang w:val="es-CR"/>
        </w:rPr>
        <w:t xml:space="preserve">20.  </w:t>
      </w:r>
      <w:r>
        <w:rPr>
          <w:rFonts w:hint="eastAsia"/>
          <w:lang w:val="es-CR"/>
        </w:rPr>
        <w:t>针对平等和不歧视问题，我们有《确保公共演出专设残疾人区域法》。其他需要关注的重要法律有《残疾人机会平等法》及其实施条例</w:t>
      </w:r>
      <w:r>
        <w:rPr>
          <w:rFonts w:hint="eastAsia"/>
          <w:lang w:val="es-CR"/>
        </w:rPr>
        <w:t>(</w:t>
      </w:r>
      <w:r>
        <w:rPr>
          <w:rFonts w:hint="eastAsia"/>
          <w:lang w:val="es-CR"/>
        </w:rPr>
        <w:t>第</w:t>
      </w:r>
      <w:r>
        <w:rPr>
          <w:rFonts w:hint="eastAsia"/>
          <w:lang w:val="es-CR"/>
        </w:rPr>
        <w:t>7600</w:t>
      </w:r>
      <w:r>
        <w:rPr>
          <w:rFonts w:hint="eastAsia"/>
          <w:lang w:val="es-CR"/>
        </w:rPr>
        <w:t>号法律</w:t>
      </w:r>
      <w:r>
        <w:rPr>
          <w:rFonts w:hint="eastAsia"/>
          <w:lang w:val="es-CR"/>
        </w:rPr>
        <w:t>)</w:t>
      </w:r>
      <w:r>
        <w:rPr>
          <w:rFonts w:hint="eastAsia"/>
          <w:lang w:val="es-CR"/>
        </w:rPr>
        <w:t>、《全国康复和特殊教育委员会成立法》该委员会是目前残疾方面的领导机构、《监察专员办公室组织法》、《警察基本法》</w:t>
      </w:r>
      <w:r>
        <w:rPr>
          <w:rFonts w:hint="eastAsia"/>
          <w:lang w:val="es-CR"/>
        </w:rPr>
        <w:t>(</w:t>
      </w:r>
      <w:r>
        <w:rPr>
          <w:rFonts w:hint="eastAsia"/>
          <w:lang w:val="es-CR"/>
        </w:rPr>
        <w:t>第</w:t>
      </w:r>
      <w:r>
        <w:rPr>
          <w:rFonts w:hint="eastAsia"/>
          <w:lang w:val="es-CR"/>
        </w:rPr>
        <w:t>10</w:t>
      </w:r>
      <w:r>
        <w:rPr>
          <w:rFonts w:hint="eastAsia"/>
          <w:lang w:val="es-CR"/>
        </w:rPr>
        <w:t>条、第</w:t>
      </w:r>
      <w:r>
        <w:rPr>
          <w:rFonts w:hint="eastAsia"/>
          <w:lang w:val="es-CR"/>
        </w:rPr>
        <w:t>16</w:t>
      </w:r>
      <w:r>
        <w:rPr>
          <w:rFonts w:hint="eastAsia"/>
          <w:lang w:val="es-CR"/>
        </w:rPr>
        <w:t>条和第</w:t>
      </w:r>
      <w:r>
        <w:rPr>
          <w:rFonts w:hint="eastAsia"/>
          <w:lang w:val="es-CR"/>
        </w:rPr>
        <w:t>17</w:t>
      </w:r>
      <w:r>
        <w:rPr>
          <w:rFonts w:hint="eastAsia"/>
          <w:lang w:val="es-CR"/>
        </w:rPr>
        <w:t>条</w:t>
      </w:r>
      <w:r>
        <w:rPr>
          <w:rFonts w:hint="eastAsia"/>
          <w:lang w:val="es-CR"/>
        </w:rPr>
        <w:t>)</w:t>
      </w:r>
      <w:r>
        <w:rPr>
          <w:rFonts w:hint="eastAsia"/>
          <w:lang w:val="es-CR"/>
        </w:rPr>
        <w:t>。</w:t>
      </w:r>
    </w:p>
    <w:p w:rsidR="00CE4DFD" w:rsidRDefault="00CE4DFD">
      <w:pPr>
        <w:pStyle w:val="SingleTxtGC"/>
        <w:rPr>
          <w:lang w:val="en-GB"/>
        </w:rPr>
      </w:pPr>
      <w:r>
        <w:rPr>
          <w:lang w:val="en-GB"/>
        </w:rPr>
        <w:t xml:space="preserve">21.  </w:t>
      </w:r>
      <w:r>
        <w:rPr>
          <w:rFonts w:hint="eastAsia"/>
          <w:lang w:val="en-GB"/>
        </w:rPr>
        <w:t>在确保获得司法保护方面，在</w:t>
      </w:r>
      <w:r>
        <w:rPr>
          <w:rFonts w:hint="eastAsia"/>
          <w:lang w:val="en-GB"/>
        </w:rPr>
        <w:t>2008</w:t>
      </w:r>
      <w:r>
        <w:rPr>
          <w:rFonts w:hint="eastAsia"/>
          <w:lang w:val="en-GB"/>
        </w:rPr>
        <w:t>年到</w:t>
      </w:r>
      <w:r>
        <w:rPr>
          <w:rFonts w:hint="eastAsia"/>
          <w:lang w:val="en-GB"/>
        </w:rPr>
        <w:t>2010</w:t>
      </w:r>
      <w:r>
        <w:rPr>
          <w:rFonts w:hint="eastAsia"/>
          <w:lang w:val="en-GB"/>
        </w:rPr>
        <w:t>年期间，一些机构采取了主要针对培训和无障碍的行动。例如，关于培训方面的问题，已经完成了针对全国各地区司法领域相关机构工作人员的</w:t>
      </w:r>
      <w:r>
        <w:rPr>
          <w:rFonts w:hint="eastAsia"/>
          <w:lang w:val="en-GB"/>
        </w:rPr>
        <w:t>14</w:t>
      </w:r>
      <w:r>
        <w:rPr>
          <w:rFonts w:hint="eastAsia"/>
          <w:lang w:val="en-GB"/>
        </w:rPr>
        <w:t>项社会教育活动。这些活动包括研讨会、座谈会、讲座和培训班，其中值得一提的是：关于指导方针有效性的研讨会，旨在避免残疾儿童、青少年和老年人受到二次伤害；关于制定非常预防措施的研讨会，旨在受理侵犯老年人和残疾人的案件；关于性别、无障碍、人权和司法管理的讨论会；面向司法人员和民间社会举办关于无障碍和残疾问题的系列讲座；关于地区管理者在残疾和无障碍方面提高认识的研讨会，目的是提高对残疾人用户的服务质量。</w:t>
      </w:r>
    </w:p>
    <w:p w:rsidR="00CE4DFD" w:rsidRDefault="00CE4DFD">
      <w:pPr>
        <w:pStyle w:val="SingleTxtGC"/>
        <w:rPr>
          <w:lang w:val="en-GB"/>
        </w:rPr>
      </w:pPr>
      <w:r>
        <w:rPr>
          <w:lang w:val="es-MX"/>
        </w:rPr>
        <w:t xml:space="preserve">22.  </w:t>
      </w:r>
      <w:r>
        <w:rPr>
          <w:rFonts w:hint="eastAsia"/>
          <w:lang w:val="es-MX"/>
        </w:rPr>
        <w:t>关于无障碍问题，重点关注两个方面，无障碍物理环境，以及通过技术采购实施交流和无障碍获取信息。其中要强调的是，国家司法机构在现有</w:t>
      </w:r>
      <w:r>
        <w:rPr>
          <w:rFonts w:hint="eastAsia"/>
          <w:lang w:val="es-MX"/>
        </w:rPr>
        <w:t>15</w:t>
      </w:r>
      <w:r>
        <w:rPr>
          <w:rFonts w:hint="eastAsia"/>
          <w:lang w:val="es-MX"/>
        </w:rPr>
        <w:t>个司法管辖区中的</w:t>
      </w:r>
      <w:r>
        <w:rPr>
          <w:rFonts w:hint="eastAsia"/>
          <w:lang w:val="es-MX"/>
        </w:rPr>
        <w:t>12</w:t>
      </w:r>
      <w:r>
        <w:rPr>
          <w:rFonts w:hint="eastAsia"/>
          <w:lang w:val="es-MX"/>
        </w:rPr>
        <w:t>个实施了建筑物改造工程，对公共服务区和卫生设施进行改造，修建坡道，安装电梯，与此同时，公共安全部也对九个警局实施了改造，并按照《残疾人机会平等法》规定的标准完成其他</w:t>
      </w:r>
      <w:r>
        <w:rPr>
          <w:rFonts w:hint="eastAsia"/>
          <w:lang w:val="es-MX"/>
        </w:rPr>
        <w:t>10</w:t>
      </w:r>
      <w:r>
        <w:rPr>
          <w:rFonts w:hint="eastAsia"/>
          <w:lang w:val="es-MX"/>
        </w:rPr>
        <w:t>个警局的建设任务。</w:t>
      </w:r>
    </w:p>
    <w:p w:rsidR="00CE4DFD" w:rsidRDefault="00CE4DFD">
      <w:pPr>
        <w:pStyle w:val="SingleTxtGC"/>
        <w:rPr>
          <w:rFonts w:hint="eastAsia"/>
          <w:lang w:val="en-GB"/>
        </w:rPr>
      </w:pPr>
      <w:r>
        <w:rPr>
          <w:lang w:val="es-MX"/>
        </w:rPr>
        <w:t xml:space="preserve">23.  </w:t>
      </w:r>
      <w:r>
        <w:rPr>
          <w:rFonts w:hint="eastAsia"/>
          <w:lang w:val="es-MX"/>
        </w:rPr>
        <w:t>在无障碍交流和获取信息方面，进行了技术投资，比如</w:t>
      </w:r>
      <w:r>
        <w:rPr>
          <w:lang w:val="en-GB"/>
        </w:rPr>
        <w:t>Jaws</w:t>
      </w:r>
      <w:r>
        <w:rPr>
          <w:rFonts w:hint="eastAsia"/>
          <w:lang w:val="en-GB"/>
        </w:rPr>
        <w:t>(</w:t>
      </w:r>
      <w:r>
        <w:rPr>
          <w:rFonts w:hint="eastAsia"/>
          <w:lang w:val="en-GB"/>
        </w:rPr>
        <w:t>阅读软件</w:t>
      </w:r>
      <w:r>
        <w:rPr>
          <w:rFonts w:hint="eastAsia"/>
          <w:lang w:val="en-GB"/>
        </w:rPr>
        <w:t>)</w:t>
      </w:r>
      <w:r>
        <w:rPr>
          <w:rFonts w:hint="eastAsia"/>
          <w:lang w:val="en-GB"/>
        </w:rPr>
        <w:t>、</w:t>
      </w:r>
      <w:r>
        <w:rPr>
          <w:lang w:val="en-GB"/>
        </w:rPr>
        <w:t>Audiotesti 3.2</w:t>
      </w:r>
      <w:r>
        <w:rPr>
          <w:rFonts w:hint="eastAsia"/>
          <w:lang w:val="en-GB"/>
        </w:rPr>
        <w:t>(</w:t>
      </w:r>
      <w:r>
        <w:rPr>
          <w:rFonts w:hint="eastAsia"/>
          <w:lang w:val="en-GB"/>
        </w:rPr>
        <w:t>文本文档转换成</w:t>
      </w:r>
      <w:r>
        <w:rPr>
          <w:rFonts w:hint="eastAsia"/>
          <w:lang w:val="en-GB"/>
        </w:rPr>
        <w:t>MP3</w:t>
      </w:r>
      <w:r>
        <w:rPr>
          <w:rFonts w:hint="eastAsia"/>
          <w:lang w:val="en-GB"/>
        </w:rPr>
        <w:t>格式的音频文档</w:t>
      </w:r>
      <w:r>
        <w:rPr>
          <w:rFonts w:hint="eastAsia"/>
          <w:lang w:val="en-GB"/>
        </w:rPr>
        <w:t>)</w:t>
      </w:r>
      <w:r>
        <w:rPr>
          <w:rFonts w:hint="eastAsia"/>
          <w:lang w:val="en-GB"/>
        </w:rPr>
        <w:t>、</w:t>
      </w:r>
      <w:r>
        <w:rPr>
          <w:lang w:val="en-GB"/>
        </w:rPr>
        <w:t>Omnipage Pro</w:t>
      </w:r>
      <w:r>
        <w:rPr>
          <w:rFonts w:hint="eastAsia"/>
          <w:lang w:val="en-GB"/>
        </w:rPr>
        <w:t>(</w:t>
      </w:r>
      <w:r>
        <w:rPr>
          <w:rFonts w:hint="eastAsia"/>
          <w:lang w:val="en-GB"/>
        </w:rPr>
        <w:t>可以把书面文件和</w:t>
      </w:r>
      <w:r>
        <w:rPr>
          <w:rFonts w:hint="eastAsia"/>
          <w:lang w:val="en-GB"/>
        </w:rPr>
        <w:t>PDF</w:t>
      </w:r>
      <w:r>
        <w:rPr>
          <w:rFonts w:hint="eastAsia"/>
          <w:lang w:val="en-GB"/>
        </w:rPr>
        <w:t>格式文档转换成电子文档，具备搜索和共享功能</w:t>
      </w:r>
      <w:r>
        <w:rPr>
          <w:rFonts w:hint="eastAsia"/>
          <w:lang w:val="en-GB"/>
        </w:rPr>
        <w:t>)</w:t>
      </w:r>
      <w:r>
        <w:rPr>
          <w:rFonts w:hint="eastAsia"/>
          <w:lang w:val="en-GB"/>
        </w:rPr>
        <w:t>、超大字体键盘、助听器、扫描仪、以及在司法图书馆采用的其他设备。</w:t>
      </w:r>
    </w:p>
    <w:p w:rsidR="00CE4DFD" w:rsidRDefault="00CE4DFD">
      <w:pPr>
        <w:pStyle w:val="SingleTxtGC"/>
        <w:rPr>
          <w:lang w:val="en-GB"/>
        </w:rPr>
      </w:pPr>
      <w:r>
        <w:rPr>
          <w:lang w:val="en-GB"/>
        </w:rPr>
        <w:t xml:space="preserve">24.  </w:t>
      </w:r>
      <w:r>
        <w:rPr>
          <w:rFonts w:hint="eastAsia"/>
          <w:lang w:val="en-GB"/>
        </w:rPr>
        <w:t>另外，在</w:t>
      </w:r>
      <w:r>
        <w:rPr>
          <w:rFonts w:hint="eastAsia"/>
          <w:lang w:val="en-GB"/>
        </w:rPr>
        <w:t>2010</w:t>
      </w:r>
      <w:r>
        <w:rPr>
          <w:rFonts w:hint="eastAsia"/>
          <w:lang w:val="en-GB"/>
        </w:rPr>
        <w:t>年，启动了名为“戈伊科切亚第二司法管辖区大楼可复制信号模型”的项目，在现有信息系统的基础上，并且依据第</w:t>
      </w:r>
      <w:r>
        <w:rPr>
          <w:rFonts w:hint="eastAsia"/>
          <w:lang w:val="en-GB"/>
        </w:rPr>
        <w:t>7600</w:t>
      </w:r>
      <w:r>
        <w:rPr>
          <w:rFonts w:hint="eastAsia"/>
          <w:lang w:val="en-GB"/>
        </w:rPr>
        <w:t>号法律《残疾人机会平等法》的规定，该模型可适用于通用信号系统，其中还把信号媒介与信息媒介结合在一起，让残疾人可以享受司法便民服务。该项目是由无障碍委员会发起的，并且还在紧急出口、接待处、绿色通道、楼梯、电梯等地方安设了可供视力有缺陷用户或盲人辨识的地垫、荧光信号装置和声音信号装置。同样，还设置了用于大楼内部定位的立体模型。</w:t>
      </w:r>
    </w:p>
    <w:p w:rsidR="00CE4DFD" w:rsidRDefault="00CE4DFD">
      <w:pPr>
        <w:pStyle w:val="SingleTxtGC"/>
        <w:rPr>
          <w:rFonts w:hint="eastAsia"/>
          <w:lang w:val="en-GB"/>
        </w:rPr>
      </w:pPr>
      <w:r>
        <w:rPr>
          <w:lang w:val="en-GB"/>
        </w:rPr>
        <w:t xml:space="preserve">25.  </w:t>
      </w:r>
      <w:r>
        <w:rPr>
          <w:rFonts w:hint="eastAsia"/>
          <w:lang w:val="en-GB"/>
        </w:rPr>
        <w:t>各机构采取的其他专项行动还包括，国家司法机构制定针对残疾人的无障碍政策，以及发布指导方针、公告，机构守则，其中值得一提的是有针对地区行政机关、总检察院行政管理部门和律师事务所的《第</w:t>
      </w:r>
      <w:r>
        <w:rPr>
          <w:rFonts w:hint="eastAsia"/>
          <w:lang w:val="en-GB"/>
        </w:rPr>
        <w:t>5-09</w:t>
      </w:r>
      <w:r>
        <w:rPr>
          <w:rFonts w:hint="eastAsia"/>
          <w:lang w:val="en-GB"/>
        </w:rPr>
        <w:t>号公告》，执行局公布的关于向哥斯达黎加手语翻译支付报酬的规定，名为“重新安排工作模式”的协议书，该协议书规定了当劳务人员暂时或永久性出现生理缺陷的时候应当遵循的政策方针，以及针对地区行政机关和相关行政管理办事处的守则，即“关于为有视力缺陷用户安装并使用放大镜灯具的守则”。</w:t>
      </w:r>
    </w:p>
    <w:p w:rsidR="00CE4DFD" w:rsidRDefault="00CE4DFD">
      <w:pPr>
        <w:pStyle w:val="SingleTxtGC"/>
        <w:rPr>
          <w:rFonts w:hint="eastAsia"/>
          <w:lang w:val="en-GB"/>
        </w:rPr>
      </w:pPr>
      <w:r>
        <w:rPr>
          <w:lang w:val="en-GB"/>
        </w:rPr>
        <w:t xml:space="preserve">26.  </w:t>
      </w:r>
      <w:r>
        <w:rPr>
          <w:rFonts w:hint="eastAsia"/>
          <w:lang w:val="en-GB"/>
        </w:rPr>
        <w:t>最后需要着重指出的是，已经向立法大会提交了两份法律草案，即《关于修改著作权法草案》，该草案涉及多个问题，其中包括与生理缺陷、信息和教育有关的法律免责条款，经过举行多场关于其有效性的研讨会，使该项法案获得支持；《残疾人独立自主法草案》，该法案是与各个相关机构联合起草的，目的是落实《联合国公约》，以及促进残疾人自主发展，以便残疾人能够根据自身特殊情况，自己做出决定。该法案打算废除监护人的称谓，</w:t>
      </w:r>
      <w:r>
        <w:rPr>
          <w:rFonts w:hint="eastAsia"/>
          <w:lang w:val="en-GB"/>
        </w:rPr>
        <w:t>2009</w:t>
      </w:r>
      <w:r>
        <w:rPr>
          <w:rFonts w:hint="eastAsia"/>
          <w:lang w:val="en-GB"/>
        </w:rPr>
        <w:t>年</w:t>
      </w:r>
      <w:r>
        <w:rPr>
          <w:rFonts w:hint="eastAsia"/>
          <w:lang w:val="en-GB"/>
        </w:rPr>
        <w:t>3</w:t>
      </w:r>
      <w:r>
        <w:rPr>
          <w:rFonts w:hint="eastAsia"/>
          <w:lang w:val="en-GB"/>
        </w:rPr>
        <w:t>月该法案被提交到立法大会。</w:t>
      </w:r>
    </w:p>
    <w:p w:rsidR="00CE4DFD" w:rsidRDefault="00CE4DFD">
      <w:pPr>
        <w:pStyle w:val="SingleTxtGC"/>
        <w:rPr>
          <w:lang w:val="en-GB"/>
        </w:rPr>
      </w:pPr>
      <w:r>
        <w:rPr>
          <w:lang w:val="en-GB"/>
        </w:rPr>
        <w:t xml:space="preserve">27.  </w:t>
      </w:r>
      <w:r>
        <w:rPr>
          <w:rFonts w:hint="eastAsia"/>
          <w:lang w:val="en-GB"/>
        </w:rPr>
        <w:t>关于国家在相关领域的投资问题，目前掌握的是国家立法机构方面的数据，涉及为国内用户购买治疗器具和设备，以及在手语翻译服务方面的投入，共计</w:t>
      </w:r>
      <w:r>
        <w:rPr>
          <w:rFonts w:hint="eastAsia"/>
          <w:lang w:val="en-GB"/>
        </w:rPr>
        <w:t>83,262,200</w:t>
      </w:r>
      <w:r>
        <w:rPr>
          <w:rFonts w:hint="eastAsia"/>
          <w:lang w:val="en-GB"/>
        </w:rPr>
        <w:t>科朗，折合</w:t>
      </w:r>
      <w:r>
        <w:rPr>
          <w:rFonts w:hint="eastAsia"/>
          <w:lang w:val="en-GB"/>
        </w:rPr>
        <w:t>164,90</w:t>
      </w:r>
      <w:r>
        <w:rPr>
          <w:lang w:val="en-GB"/>
        </w:rPr>
        <w:t>5</w:t>
      </w:r>
      <w:r>
        <w:rPr>
          <w:rFonts w:hint="eastAsia"/>
          <w:lang w:val="en-GB"/>
        </w:rPr>
        <w:t>.03</w:t>
      </w:r>
      <w:r>
        <w:rPr>
          <w:rFonts w:hint="eastAsia"/>
          <w:lang w:val="en-GB"/>
        </w:rPr>
        <w:t>美元。</w:t>
      </w:r>
    </w:p>
    <w:p w:rsidR="00CE4DFD" w:rsidRDefault="00CE4DFD">
      <w:pPr>
        <w:pStyle w:val="H23GC"/>
      </w:pPr>
      <w:r>
        <w:tab/>
        <w:t>2.</w:t>
      </w:r>
      <w:r>
        <w:rPr>
          <w:rFonts w:ascii="SimSun" w:eastAsia="SimSun" w:hAnsi="SimSun" w:cs="SimSun" w:hint="eastAsia"/>
        </w:rPr>
        <w:tab/>
      </w:r>
      <w:bookmarkStart w:id="17" w:name="_Toc352758969"/>
      <w:r>
        <w:rPr>
          <w:rFonts w:hint="eastAsia"/>
        </w:rPr>
        <w:t>有待采取的行动、制约因素和改进措施</w:t>
      </w:r>
      <w:bookmarkEnd w:id="17"/>
    </w:p>
    <w:p w:rsidR="00CE4DFD" w:rsidRDefault="00CE4DFD">
      <w:pPr>
        <w:pStyle w:val="SingleTxtGC"/>
        <w:rPr>
          <w:rFonts w:hint="eastAsia"/>
          <w:lang w:val="en-GB"/>
        </w:rPr>
      </w:pPr>
      <w:r>
        <w:rPr>
          <w:lang w:val="es-MX"/>
        </w:rPr>
        <w:t xml:space="preserve">28.  </w:t>
      </w:r>
      <w:r>
        <w:rPr>
          <w:rFonts w:hint="eastAsia"/>
          <w:lang w:val="es-MX"/>
        </w:rPr>
        <w:t>在有待采取的主要行动当中，其中一部分旨在通过总体的无障碍服务以及更新现有服务方面的资料，提高服务质量，为此已经确认，有必要继续调整物理环境，对人员进行手语使用的培训，以便更好地接待那些有需要的人，立法大会全会还要批准关于规范司法机构翻译人员、专家和执行人员职责、以及装配或购买能够让残疾人行动自如的警用装置的条例草案。</w:t>
      </w:r>
    </w:p>
    <w:p w:rsidR="00CE4DFD" w:rsidRDefault="00CE4DFD">
      <w:pPr>
        <w:pStyle w:val="SingleTxtGC"/>
        <w:rPr>
          <w:lang w:val="en-GB"/>
        </w:rPr>
      </w:pPr>
      <w:r>
        <w:rPr>
          <w:lang w:val="en-GB"/>
        </w:rPr>
        <w:t xml:space="preserve">29.  </w:t>
      </w:r>
      <w:r>
        <w:rPr>
          <w:rFonts w:hint="eastAsia"/>
          <w:lang w:val="en-GB"/>
        </w:rPr>
        <w:t>妨碍《公约》实施的制约因素包括：在采取行动、合理调整以及组织文化方面缺少人力和物力。例如，在国家司法机构人事方面，缺少能够依法为残疾人提供保护的保安人员，并且在人力资源方面，不具备能够纳入人力资源管理政策的关于无障碍问题的技术知识和经验。关于物力方面，存在对使用交通工具进行现场调查的制度约束，从而增加了进行验证的时限，并且增加了递交鉴定报告的时限。另一方面，公共安全部表示，没有一种有利于开展教育活动以便获得通用无障碍观念的组织文化或环境，正因为如此，近几年来这一问题被人们抛在脑后，此外，还缺少资金，无法持续性地解决与无障碍有关的问题。</w:t>
      </w:r>
    </w:p>
    <w:p w:rsidR="00CE4DFD" w:rsidRDefault="00CE4DFD">
      <w:pPr>
        <w:pStyle w:val="SingleTxtGC"/>
        <w:rPr>
          <w:lang w:val="en-GB"/>
        </w:rPr>
      </w:pPr>
      <w:r>
        <w:rPr>
          <w:lang w:val="en-GB"/>
        </w:rPr>
        <w:t xml:space="preserve">30.  </w:t>
      </w:r>
      <w:r>
        <w:rPr>
          <w:rFonts w:hint="eastAsia"/>
          <w:lang w:val="en-GB"/>
        </w:rPr>
        <w:t>为克服这些制约因素，提出了若干措施建议，国家司法机构表示要把当前正在采取的行动坚持下去，比如实行宣传和培训活动，与其他相关机构建立战略联盟，对改善无障碍物理环境行动执行预算资金的优化和倾斜，另外，按照计划，努力争取让一部分保安人员从</w:t>
      </w:r>
      <w:r>
        <w:rPr>
          <w:rFonts w:hint="eastAsia"/>
          <w:lang w:val="en-GB"/>
        </w:rPr>
        <w:t>2010</w:t>
      </w:r>
      <w:r>
        <w:rPr>
          <w:rFonts w:hint="eastAsia"/>
          <w:lang w:val="en-GB"/>
        </w:rPr>
        <w:t>年</w:t>
      </w:r>
      <w:r>
        <w:rPr>
          <w:rFonts w:hint="eastAsia"/>
          <w:lang w:val="en-GB"/>
        </w:rPr>
        <w:t>9</w:t>
      </w:r>
      <w:r>
        <w:rPr>
          <w:rFonts w:hint="eastAsia"/>
          <w:lang w:val="en-GB"/>
        </w:rPr>
        <w:t>月开始上岗履职。另一方面，公共安全部建议进一步发挥残疾问题机构委员会的作用，以便通过该机构推动落实必要的改进措施。</w:t>
      </w:r>
    </w:p>
    <w:p w:rsidR="00CE4DFD" w:rsidRDefault="00CE4DFD">
      <w:pPr>
        <w:pStyle w:val="H23GC"/>
        <w:rPr>
          <w:rFonts w:hint="eastAsia"/>
        </w:rPr>
      </w:pPr>
      <w:r>
        <w:tab/>
        <w:t>3.</w:t>
      </w:r>
      <w:r>
        <w:rPr>
          <w:rFonts w:ascii="SimSun" w:eastAsia="SimSun" w:hAnsi="SimSun" w:cs="SimSun" w:hint="eastAsia"/>
        </w:rPr>
        <w:tab/>
      </w:r>
      <w:bookmarkStart w:id="18" w:name="_Toc352758970"/>
      <w:r>
        <w:rPr>
          <w:rFonts w:hint="eastAsia"/>
        </w:rPr>
        <w:t>民间社会的意见</w:t>
      </w:r>
      <w:bookmarkEnd w:id="18"/>
    </w:p>
    <w:p w:rsidR="00CE4DFD" w:rsidRDefault="00CE4DFD">
      <w:pPr>
        <w:pStyle w:val="SingleTxtGC"/>
        <w:rPr>
          <w:lang w:val="es-CR"/>
        </w:rPr>
      </w:pPr>
      <w:r>
        <w:rPr>
          <w:lang w:val="es-CR"/>
        </w:rPr>
        <w:t xml:space="preserve">31.  </w:t>
      </w:r>
      <w:r>
        <w:rPr>
          <w:rFonts w:hint="eastAsia"/>
          <w:lang w:val="es-CR"/>
        </w:rPr>
        <w:t>就国家采取行动保障残疾人</w:t>
      </w:r>
      <w:r>
        <w:rPr>
          <w:rFonts w:hint="eastAsia"/>
          <w:lang w:val="es-MX"/>
        </w:rPr>
        <w:t>获得司法保护、自由权和人身安全的问题，参加协商活动的代表们指出，大部分行动都集中在基础设施或物理环境无障碍方面，而忽视了对于实际有效获得司法和相关机构保护来说非常重要的其他诸多方面，比如关于通过多种形式获得信息的问题，以及使用能够获取信息的技术工具问题。</w:t>
      </w:r>
    </w:p>
    <w:p w:rsidR="00CE4DFD" w:rsidRDefault="00CE4DFD">
      <w:pPr>
        <w:pStyle w:val="SingleTxtGC"/>
        <w:rPr>
          <w:lang w:val="es-CR"/>
        </w:rPr>
      </w:pPr>
      <w:r>
        <w:rPr>
          <w:lang w:val="es-CR"/>
        </w:rPr>
        <w:t xml:space="preserve">32.  </w:t>
      </w:r>
      <w:r>
        <w:rPr>
          <w:rFonts w:hint="eastAsia"/>
          <w:lang w:val="es-CR"/>
        </w:rPr>
        <w:t>按照相同的思路，需要指出的是，在司法领域，欠缺在人力资源方面的组织结构，难以就关注残疾人问题开展人员培训工作，并且在相关机构方面，需要在行动中进一步加强联系，例如，为保障平等和不歧视权利不受到侵犯而进行的审计工作。人们还指出，在残疾人集体内部存在侵犯弱势群体的状况，比如妇女、儿童、移民和原住民，因此人们提出，必须承认残疾人作为公民的地位，这样人们才会尊重他们的权利，并且还要求遵守《公约》的规定，以及在媒体上展开更加有力的宣传报导活动，以便让更多人知道应当按照第</w:t>
      </w:r>
      <w:r>
        <w:rPr>
          <w:rFonts w:hint="eastAsia"/>
          <w:lang w:val="es-CR"/>
        </w:rPr>
        <w:t>7600</w:t>
      </w:r>
      <w:r>
        <w:rPr>
          <w:rFonts w:hint="eastAsia"/>
          <w:lang w:val="es-CR"/>
        </w:rPr>
        <w:t>号法律以及《公约》展开行动。另一方面，人们还强调提供技术帮助的重要性，因为这样可以促进各领域人们的自由与独立。</w:t>
      </w:r>
    </w:p>
    <w:p w:rsidR="00CE4DFD" w:rsidRDefault="00CE4DFD">
      <w:pPr>
        <w:pStyle w:val="SingleTxtGC"/>
        <w:rPr>
          <w:lang w:val="es-CR"/>
        </w:rPr>
      </w:pPr>
      <w:r>
        <w:rPr>
          <w:lang w:val="es-CR"/>
        </w:rPr>
        <w:t xml:space="preserve">33.  </w:t>
      </w:r>
      <w:r>
        <w:rPr>
          <w:rFonts w:hint="eastAsia"/>
          <w:lang w:val="es-CR"/>
        </w:rPr>
        <w:t>关于采取行动保障公民安全的问题，我们认识到，这方面的工作有所欠缺，并且还存在较多的问题，这种状况给残疾人造成不利影响，并且反映出哥斯达黎加社会形势中存在的结构问题，其中也涉及到残疾人这样的弱势群体。</w:t>
      </w:r>
    </w:p>
    <w:p w:rsidR="00CE4DFD" w:rsidRDefault="00CE4DFD">
      <w:pPr>
        <w:pStyle w:val="H1GC"/>
      </w:pPr>
      <w:bookmarkStart w:id="19" w:name="_Toc287347906"/>
      <w:r>
        <w:tab/>
        <w:t>B.</w:t>
      </w:r>
      <w:bookmarkEnd w:id="19"/>
      <w:r>
        <w:rPr>
          <w:rFonts w:ascii="SimSun" w:eastAsia="SimSun" w:hAnsi="SimSun" w:cs="SimSun" w:hint="eastAsia"/>
        </w:rPr>
        <w:tab/>
      </w:r>
      <w:bookmarkStart w:id="20" w:name="_Toc352758971"/>
      <w:r>
        <w:rPr>
          <w:rFonts w:hint="eastAsia"/>
        </w:rPr>
        <w:t>健康权</w:t>
      </w:r>
      <w:bookmarkEnd w:id="20"/>
    </w:p>
    <w:p w:rsidR="00CE4DFD" w:rsidRDefault="00CE4DFD">
      <w:pPr>
        <w:pStyle w:val="SingleTxtGC"/>
        <w:rPr>
          <w:lang w:val="es-CR"/>
        </w:rPr>
      </w:pPr>
      <w:r>
        <w:rPr>
          <w:lang w:val="es-MX"/>
        </w:rPr>
        <w:t xml:space="preserve">34.  </w:t>
      </w:r>
      <w:r>
        <w:rPr>
          <w:rFonts w:hint="eastAsia"/>
          <w:lang w:val="es-MX"/>
        </w:rPr>
        <w:t>与健康权有关的问题，是依据《公约》第二十五条的规定，此外还涉及</w:t>
      </w:r>
      <w:r>
        <w:rPr>
          <w:rFonts w:hint="eastAsia"/>
          <w:lang w:val="en-GB"/>
        </w:rPr>
        <w:t>第五条</w:t>
      </w:r>
      <w:r>
        <w:rPr>
          <w:rFonts w:hint="eastAsia"/>
          <w:lang w:val="en-GB"/>
        </w:rPr>
        <w:t>(</w:t>
      </w:r>
      <w:r>
        <w:rPr>
          <w:rFonts w:hint="eastAsia"/>
          <w:lang w:val="en-GB"/>
        </w:rPr>
        <w:t>平等和不歧视</w:t>
      </w:r>
      <w:r>
        <w:rPr>
          <w:rFonts w:hint="eastAsia"/>
          <w:lang w:val="en-GB"/>
        </w:rPr>
        <w:t>)</w:t>
      </w:r>
      <w:r>
        <w:rPr>
          <w:rFonts w:hint="eastAsia"/>
          <w:lang w:val="en-GB"/>
        </w:rPr>
        <w:t>、第九条</w:t>
      </w:r>
      <w:r>
        <w:rPr>
          <w:rFonts w:hint="eastAsia"/>
          <w:lang w:val="en-GB"/>
        </w:rPr>
        <w:t>(</w:t>
      </w:r>
      <w:r>
        <w:rPr>
          <w:rFonts w:hint="eastAsia"/>
          <w:lang w:val="en-GB"/>
        </w:rPr>
        <w:t>无障碍</w:t>
      </w:r>
      <w:r>
        <w:rPr>
          <w:rFonts w:hint="eastAsia"/>
          <w:lang w:val="en-GB"/>
        </w:rPr>
        <w:t>)</w:t>
      </w:r>
      <w:r>
        <w:rPr>
          <w:rFonts w:hint="eastAsia"/>
          <w:lang w:val="en-GB"/>
        </w:rPr>
        <w:t>、第十条</w:t>
      </w:r>
      <w:r>
        <w:rPr>
          <w:rFonts w:hint="eastAsia"/>
          <w:lang w:val="en-GB"/>
        </w:rPr>
        <w:t>(</w:t>
      </w:r>
      <w:r>
        <w:rPr>
          <w:rFonts w:hint="eastAsia"/>
          <w:lang w:val="en-GB"/>
        </w:rPr>
        <w:t>生命权</w:t>
      </w:r>
      <w:r>
        <w:rPr>
          <w:rFonts w:hint="eastAsia"/>
          <w:lang w:val="en-GB"/>
        </w:rPr>
        <w:t>)</w:t>
      </w:r>
      <w:r>
        <w:rPr>
          <w:rFonts w:hint="eastAsia"/>
          <w:lang w:val="en-GB"/>
        </w:rPr>
        <w:t>、第二十六条</w:t>
      </w:r>
      <w:r>
        <w:rPr>
          <w:rFonts w:hint="eastAsia"/>
          <w:lang w:val="en-GB"/>
        </w:rPr>
        <w:t>(</w:t>
      </w:r>
      <w:r>
        <w:rPr>
          <w:rFonts w:hint="eastAsia"/>
          <w:lang w:val="en-GB"/>
        </w:rPr>
        <w:t>适应训练和康复</w:t>
      </w:r>
      <w:r>
        <w:rPr>
          <w:rFonts w:hint="eastAsia"/>
          <w:lang w:val="en-GB"/>
        </w:rPr>
        <w:t>)</w:t>
      </w:r>
      <w:r>
        <w:rPr>
          <w:rFonts w:hint="eastAsia"/>
          <w:lang w:val="en-GB"/>
        </w:rPr>
        <w:t>、第二十八条</w:t>
      </w:r>
      <w:r>
        <w:rPr>
          <w:rFonts w:hint="eastAsia"/>
          <w:lang w:val="en-GB"/>
        </w:rPr>
        <w:t>(</w:t>
      </w:r>
      <w:r>
        <w:rPr>
          <w:rFonts w:hint="eastAsia"/>
          <w:lang w:val="en-GB"/>
        </w:rPr>
        <w:t>适足的生活水平和社会保护</w:t>
      </w:r>
      <w:r>
        <w:rPr>
          <w:rFonts w:hint="eastAsia"/>
          <w:lang w:val="en-GB"/>
        </w:rPr>
        <w:t>)</w:t>
      </w:r>
      <w:r>
        <w:rPr>
          <w:rFonts w:hint="eastAsia"/>
          <w:lang w:val="en-GB"/>
        </w:rPr>
        <w:t>。国家相关机构包括，主管卫生事务的卫生部以及哥斯达黎加社会保险局，这两家机构负责国家医院和诊室的领导工作，国家保险公司，主要负责销售保险并向因工伤致残的人提供康复服务</w:t>
      </w:r>
      <w:r>
        <w:rPr>
          <w:rFonts w:hint="eastAsia"/>
          <w:lang w:val="es-CR"/>
        </w:rPr>
        <w:t>。需要指出的是，在起草报告期间，我们只获取了卫生部、隶属哥斯达黎加社会保险局的全国康复中心以及国家保险公司提供的信息。对于国家保险公司来说，在起草报告的时候，只考虑与健康相关的问题，而不考虑商业领域的情况。</w:t>
      </w:r>
    </w:p>
    <w:p w:rsidR="00CE4DFD" w:rsidRDefault="00CE4DFD">
      <w:pPr>
        <w:pStyle w:val="H23GC"/>
      </w:pPr>
      <w:r>
        <w:tab/>
        <w:t>1.</w:t>
      </w:r>
      <w:r>
        <w:rPr>
          <w:rFonts w:ascii="SimSun" w:eastAsia="SimSun" w:hAnsi="SimSun" w:cs="SimSun" w:hint="eastAsia"/>
        </w:rPr>
        <w:tab/>
      </w:r>
      <w:bookmarkStart w:id="21" w:name="_Toc352758972"/>
      <w:r>
        <w:rPr>
          <w:rFonts w:hint="eastAsia"/>
        </w:rPr>
        <w:t>实施的行动和专项资金</w:t>
      </w:r>
      <w:bookmarkEnd w:id="21"/>
    </w:p>
    <w:p w:rsidR="00CE4DFD" w:rsidRDefault="00CE4DFD">
      <w:pPr>
        <w:pStyle w:val="SingleTxtGC"/>
        <w:rPr>
          <w:lang w:val="es-CR"/>
        </w:rPr>
      </w:pPr>
      <w:r>
        <w:rPr>
          <w:lang w:val="en-GB"/>
        </w:rPr>
        <w:t xml:space="preserve">35.  </w:t>
      </w:r>
      <w:r>
        <w:rPr>
          <w:rFonts w:hint="eastAsia"/>
          <w:lang w:val="en-GB"/>
        </w:rPr>
        <w:t>在政治和战略方面，哥斯达黎加制定了《国家卫生政策》、《</w:t>
      </w:r>
      <w:r>
        <w:rPr>
          <w:rFonts w:hint="eastAsia"/>
          <w:lang w:val="en-GB"/>
        </w:rPr>
        <w:t>2010-2021</w:t>
      </w:r>
      <w:r>
        <w:rPr>
          <w:rFonts w:hint="eastAsia"/>
          <w:lang w:val="en-GB"/>
        </w:rPr>
        <w:t>年国家卫生计划》以及《</w:t>
      </w:r>
      <w:r>
        <w:rPr>
          <w:rFonts w:hint="eastAsia"/>
          <w:lang w:val="en-GB"/>
        </w:rPr>
        <w:t>2010-2015</w:t>
      </w:r>
      <w:r>
        <w:rPr>
          <w:rFonts w:hint="eastAsia"/>
          <w:lang w:val="en-GB"/>
        </w:rPr>
        <w:t>年国家卫生战略计划》，把残疾问题纳入到国家战略计划当中，此外，还有《</w:t>
      </w:r>
      <w:r>
        <w:rPr>
          <w:rFonts w:hint="eastAsia"/>
          <w:lang w:val="en-GB"/>
        </w:rPr>
        <w:t>2006-2010</w:t>
      </w:r>
      <w:r>
        <w:rPr>
          <w:rFonts w:hint="eastAsia"/>
          <w:lang w:val="en-GB"/>
        </w:rPr>
        <w:t>年国家艾滋病毒和艾滋病战略计划》以及《</w:t>
      </w:r>
      <w:r>
        <w:rPr>
          <w:rFonts w:hint="eastAsia"/>
          <w:lang w:val="en-GB"/>
        </w:rPr>
        <w:t>2006-2015</w:t>
      </w:r>
      <w:r>
        <w:rPr>
          <w:rFonts w:hint="eastAsia"/>
          <w:lang w:val="en-GB"/>
        </w:rPr>
        <w:t>年国家艾滋病毒和艾滋病政策》，其主旨原则是尊重多样性和差异性</w:t>
      </w:r>
      <w:r>
        <w:rPr>
          <w:rFonts w:hint="eastAsia"/>
          <w:lang w:val="en-GB"/>
        </w:rPr>
        <w:t>(</w:t>
      </w:r>
      <w:r>
        <w:rPr>
          <w:rFonts w:hint="eastAsia"/>
          <w:lang w:val="en-GB"/>
        </w:rPr>
        <w:t>性别、种族、文化、残疾等等</w:t>
      </w:r>
      <w:r>
        <w:rPr>
          <w:rFonts w:hint="eastAsia"/>
          <w:lang w:val="en-GB"/>
        </w:rPr>
        <w:t>)</w:t>
      </w:r>
      <w:r>
        <w:rPr>
          <w:rFonts w:hint="eastAsia"/>
          <w:lang w:val="en-GB"/>
        </w:rPr>
        <w:t>，并确保弱势人群</w:t>
      </w:r>
      <w:r>
        <w:rPr>
          <w:rFonts w:hint="eastAsia"/>
          <w:lang w:val="en-GB"/>
        </w:rPr>
        <w:t>(</w:t>
      </w:r>
      <w:r>
        <w:rPr>
          <w:rFonts w:hint="eastAsia"/>
          <w:lang w:val="en-GB"/>
        </w:rPr>
        <w:t>包括所有人口，但重点还在残疾人等弱势人群</w:t>
      </w:r>
      <w:r>
        <w:rPr>
          <w:rFonts w:hint="eastAsia"/>
          <w:lang w:val="en-GB"/>
        </w:rPr>
        <w:t>)</w:t>
      </w:r>
      <w:r>
        <w:rPr>
          <w:rFonts w:hint="eastAsia"/>
          <w:lang w:val="en-GB"/>
        </w:rPr>
        <w:t>能够享受这些政策带来的好处。此外，还制定了一项《关于对妇女暴力问题的国家计划》，将属于弱势群体的残疾妇女的问题纳入到计划当中。</w:t>
      </w:r>
      <w:r>
        <w:rPr>
          <w:rFonts w:hint="eastAsia"/>
          <w:lang w:val="es-CR"/>
        </w:rPr>
        <w:t>同样，我们还正在制定一项《国家健身活动计划》，在计划中会把残疾人口作为重点群体加以考虑，还有就是《关于性健康和生殖健康权利的国家政策》，该政策是从横向角度来看待相关问题。</w:t>
      </w:r>
    </w:p>
    <w:p w:rsidR="00CE4DFD" w:rsidRDefault="00CE4DFD">
      <w:pPr>
        <w:pStyle w:val="SingleTxtGC"/>
        <w:rPr>
          <w:lang w:val="es-CR"/>
        </w:rPr>
      </w:pPr>
      <w:r>
        <w:rPr>
          <w:lang w:val="es-CR"/>
        </w:rPr>
        <w:t xml:space="preserve">36.  </w:t>
      </w:r>
      <w:r>
        <w:rPr>
          <w:rFonts w:hint="eastAsia"/>
          <w:lang w:val="es-CR"/>
        </w:rPr>
        <w:t>按照哥斯达黎加的制度规范，我们承认并保护残疾人在与其他人同等的条件下享有生命权和生存权；然而，并没有对残疾人问题进行单独说明，而是按照弱势群体对待。</w:t>
      </w:r>
    </w:p>
    <w:p w:rsidR="00CE4DFD" w:rsidRDefault="00CE4DFD">
      <w:pPr>
        <w:pStyle w:val="SingleTxtGC"/>
        <w:rPr>
          <w:lang w:val="es-CR"/>
        </w:rPr>
      </w:pPr>
      <w:r>
        <w:rPr>
          <w:lang w:val="es-MX"/>
        </w:rPr>
        <w:t xml:space="preserve">37.  </w:t>
      </w:r>
      <w:r>
        <w:rPr>
          <w:rFonts w:hint="eastAsia"/>
          <w:lang w:val="es-MX"/>
        </w:rPr>
        <w:t>关于无障碍问题，相关行动主要集中在无障碍设施方面，比如改造或新建项目，其中包括，对国家康复中心进行改造，以及在卫生部的</w:t>
      </w:r>
      <w:r>
        <w:rPr>
          <w:rFonts w:hint="eastAsia"/>
          <w:lang w:val="es-MX"/>
        </w:rPr>
        <w:t>34</w:t>
      </w:r>
      <w:r>
        <w:rPr>
          <w:rFonts w:hint="eastAsia"/>
          <w:lang w:val="es-MX"/>
        </w:rPr>
        <w:t>栋建筑中修建无障碍设施，这些改造项目包括卫生设施、坡道、指示标志、电梯</w:t>
      </w:r>
      <w:r>
        <w:rPr>
          <w:rFonts w:hint="eastAsia"/>
          <w:lang w:val="es-MX"/>
        </w:rPr>
        <w:t>(</w:t>
      </w:r>
      <w:r>
        <w:rPr>
          <w:rFonts w:hint="eastAsia"/>
          <w:lang w:val="es-MX"/>
        </w:rPr>
        <w:t>采用可供残疾人使用的技术</w:t>
      </w:r>
      <w:r>
        <w:rPr>
          <w:rFonts w:hint="eastAsia"/>
          <w:lang w:val="es-MX"/>
        </w:rPr>
        <w:t>)</w:t>
      </w:r>
      <w:r>
        <w:rPr>
          <w:rFonts w:hint="eastAsia"/>
          <w:lang w:val="es-MX"/>
        </w:rPr>
        <w:t>和其他供残疾人使用的无障碍工程。另外，《</w:t>
      </w:r>
      <w:r>
        <w:rPr>
          <w:rFonts w:hint="eastAsia"/>
          <w:lang w:val="es-MX"/>
        </w:rPr>
        <w:t>2010-2021</w:t>
      </w:r>
      <w:r>
        <w:rPr>
          <w:rFonts w:hint="eastAsia"/>
          <w:lang w:val="es-MX"/>
        </w:rPr>
        <w:t>年国家健康计划》主张，人人享有公平进入安全且符合通用设计要求的基础设施的权利，这对于民众的健康和生活质量具有决定性意义。与无障碍问题有关的其他行动包括，通过语音信息系统提供相关服务，以及建立国家保险公司信息中心，配备盲文打印机、阅读器、图像放大设备、</w:t>
      </w:r>
      <w:r>
        <w:rPr>
          <w:lang w:val="es-CR"/>
        </w:rPr>
        <w:t>Jaws</w:t>
      </w:r>
      <w:r>
        <w:rPr>
          <w:rFonts w:hint="eastAsia"/>
          <w:lang w:val="en-GB"/>
        </w:rPr>
        <w:t>软件等专业设备。此外，为实现无障碍交通，准备了</w:t>
      </w:r>
      <w:r>
        <w:rPr>
          <w:rFonts w:hint="eastAsia"/>
          <w:lang w:val="en-GB"/>
        </w:rPr>
        <w:t>5</w:t>
      </w:r>
      <w:r>
        <w:rPr>
          <w:rFonts w:hint="eastAsia"/>
          <w:lang w:val="en-GB"/>
        </w:rPr>
        <w:t>台专用车辆，其中</w:t>
      </w:r>
      <w:r>
        <w:rPr>
          <w:rFonts w:hint="eastAsia"/>
          <w:lang w:val="en-GB"/>
        </w:rPr>
        <w:t>2</w:t>
      </w:r>
      <w:r>
        <w:rPr>
          <w:rFonts w:hint="eastAsia"/>
          <w:lang w:val="en-GB"/>
        </w:rPr>
        <w:t>台配有坡道，</w:t>
      </w:r>
      <w:r>
        <w:rPr>
          <w:rFonts w:hint="eastAsia"/>
          <w:lang w:val="en-GB"/>
        </w:rPr>
        <w:t>3</w:t>
      </w:r>
      <w:r>
        <w:rPr>
          <w:rFonts w:hint="eastAsia"/>
          <w:lang w:val="en-GB"/>
        </w:rPr>
        <w:t>台配有担架车。</w:t>
      </w:r>
    </w:p>
    <w:p w:rsidR="00CE4DFD" w:rsidRDefault="00CE4DFD">
      <w:pPr>
        <w:pStyle w:val="SingleTxtGC"/>
        <w:rPr>
          <w:lang w:val="es-CR"/>
        </w:rPr>
      </w:pPr>
      <w:r>
        <w:rPr>
          <w:lang w:val="es-MX"/>
        </w:rPr>
        <w:t xml:space="preserve">38.  </w:t>
      </w:r>
      <w:r>
        <w:rPr>
          <w:rFonts w:hint="eastAsia"/>
          <w:lang w:val="es-MX"/>
        </w:rPr>
        <w:t>那些可以提供面对面服务的机构，主要致力于适应训练和康复工作，其中包括在</w:t>
      </w:r>
      <w:r>
        <w:rPr>
          <w:rFonts w:hint="eastAsia"/>
          <w:lang w:val="es-MX"/>
        </w:rPr>
        <w:t>25</w:t>
      </w:r>
      <w:r>
        <w:rPr>
          <w:rFonts w:hint="eastAsia"/>
          <w:lang w:val="es-MX"/>
        </w:rPr>
        <w:t>个地区医疗中心和</w:t>
      </w:r>
      <w:r>
        <w:rPr>
          <w:rFonts w:hint="eastAsia"/>
          <w:lang w:val="es-MX"/>
        </w:rPr>
        <w:t>208</w:t>
      </w:r>
      <w:r>
        <w:rPr>
          <w:rFonts w:hint="eastAsia"/>
          <w:lang w:val="es-MX"/>
        </w:rPr>
        <w:t>个职业医疗诊所</w:t>
      </w:r>
      <w:r>
        <w:rPr>
          <w:rFonts w:hint="eastAsia"/>
          <w:lang w:val="es-MX"/>
        </w:rPr>
        <w:t>(</w:t>
      </w:r>
      <w:r>
        <w:rPr>
          <w:rFonts w:hint="eastAsia"/>
          <w:lang w:val="es-MX"/>
        </w:rPr>
        <w:t>企业</w:t>
      </w:r>
      <w:r>
        <w:rPr>
          <w:rFonts w:hint="eastAsia"/>
          <w:lang w:val="es-MX"/>
        </w:rPr>
        <w:t>)</w:t>
      </w:r>
      <w:r>
        <w:rPr>
          <w:rFonts w:hint="eastAsia"/>
          <w:lang w:val="es-MX"/>
        </w:rPr>
        <w:t>进行的残疾人关爱行动，以及国家保险公司地区医疗中心管理局的工作人员在全国范围内开展的</w:t>
      </w:r>
      <w:r>
        <w:rPr>
          <w:rFonts w:hint="eastAsia"/>
          <w:lang w:val="es-MX"/>
        </w:rPr>
        <w:t>7</w:t>
      </w:r>
      <w:r>
        <w:rPr>
          <w:lang w:val="es-MX"/>
        </w:rPr>
        <w:t>,</w:t>
      </w:r>
      <w:r>
        <w:rPr>
          <w:rFonts w:hint="eastAsia"/>
          <w:lang w:val="es-MX"/>
        </w:rPr>
        <w:t>209</w:t>
      </w:r>
      <w:r>
        <w:rPr>
          <w:rFonts w:hint="eastAsia"/>
          <w:lang w:val="es-MX"/>
        </w:rPr>
        <w:t>次上门服务。另一方面，通过实施智利、日本和哥斯达黎加于</w:t>
      </w:r>
      <w:r>
        <w:rPr>
          <w:rFonts w:hint="eastAsia"/>
          <w:lang w:val="es-MX"/>
        </w:rPr>
        <w:t>2006</w:t>
      </w:r>
      <w:r>
        <w:rPr>
          <w:rFonts w:hint="eastAsia"/>
          <w:lang w:val="es-MX"/>
        </w:rPr>
        <w:t>年签署的《国际合作协议项目》，国家康复中心委托职业康复联络委员会为残疾人提供陪伴服务，帮助他们接受培训或职业教育，以便让他们具备参加工作的能力。</w:t>
      </w:r>
    </w:p>
    <w:p w:rsidR="00CE4DFD" w:rsidRDefault="00CE4DFD">
      <w:pPr>
        <w:pStyle w:val="SingleTxtGC"/>
        <w:rPr>
          <w:lang w:val="es-CR"/>
        </w:rPr>
      </w:pPr>
      <w:r>
        <w:rPr>
          <w:lang w:val="es-CR"/>
        </w:rPr>
        <w:t xml:space="preserve">39.  </w:t>
      </w:r>
      <w:r>
        <w:rPr>
          <w:rFonts w:hint="eastAsia"/>
          <w:lang w:val="es-CR"/>
        </w:rPr>
        <w:t>根据情况需要，国家保险公司负责提供整形外科设备和器材，并提供必要的设备维护服务，以便让接受治疗的人们获得更好的生活质量。另一方面，根据用户的残疾程度，对其居家情况进行检查，如果不能达到最低限度的无障碍条件，将提供经济资助，以便按照一些新的要求进行改造。对那些打算回归居家生活或者打算重新参加工作的人进行培训，帮助他们学习新的手艺。同样，国家康复中心还举办技术帮扶研讨会，并且开展相关学术研究工作，以便能够自行制作夹板，而不必像以前那样向第三方购买夹板。举办研讨会的目的是为了在制定技术规范以及器材鉴定和制作方面提高质量，此外，为用户提供享受一种新型服务的机会，用户可以向专家进行更有针对性的咨询，以便使其生活质量得到改善。仅在</w:t>
      </w:r>
      <w:r>
        <w:rPr>
          <w:rFonts w:hint="eastAsia"/>
          <w:lang w:val="es-CR"/>
        </w:rPr>
        <w:t>2008</w:t>
      </w:r>
      <w:r>
        <w:rPr>
          <w:rFonts w:hint="eastAsia"/>
          <w:lang w:val="es-CR"/>
        </w:rPr>
        <w:t>年，国家康复中心就为门诊患者制作了</w:t>
      </w:r>
      <w:r>
        <w:rPr>
          <w:rFonts w:hint="eastAsia"/>
          <w:lang w:val="es-CR"/>
        </w:rPr>
        <w:t>516</w:t>
      </w:r>
      <w:r>
        <w:rPr>
          <w:rFonts w:hint="eastAsia"/>
          <w:lang w:val="es-CR"/>
        </w:rPr>
        <w:t>副夹板，为住院患者制作了</w:t>
      </w:r>
      <w:r>
        <w:rPr>
          <w:rFonts w:hint="eastAsia"/>
          <w:lang w:val="es-CR"/>
        </w:rPr>
        <w:t>114</w:t>
      </w:r>
      <w:r>
        <w:rPr>
          <w:rFonts w:hint="eastAsia"/>
          <w:lang w:val="es-CR"/>
        </w:rPr>
        <w:t>副夹板，而在</w:t>
      </w:r>
      <w:r>
        <w:rPr>
          <w:rFonts w:hint="eastAsia"/>
          <w:lang w:val="es-CR"/>
        </w:rPr>
        <w:t>2009</w:t>
      </w:r>
      <w:r>
        <w:rPr>
          <w:rFonts w:hint="eastAsia"/>
          <w:lang w:val="es-CR"/>
        </w:rPr>
        <w:t>年，为门诊患者制作了</w:t>
      </w:r>
      <w:r>
        <w:rPr>
          <w:rFonts w:hint="eastAsia"/>
          <w:lang w:val="es-CR"/>
        </w:rPr>
        <w:t>584</w:t>
      </w:r>
      <w:r>
        <w:rPr>
          <w:rFonts w:hint="eastAsia"/>
          <w:lang w:val="es-CR"/>
        </w:rPr>
        <w:t>副夹板，为住院患者制作了</w:t>
      </w:r>
      <w:r>
        <w:rPr>
          <w:rFonts w:hint="eastAsia"/>
          <w:lang w:val="es-CR"/>
        </w:rPr>
        <w:t>128</w:t>
      </w:r>
      <w:r>
        <w:rPr>
          <w:rFonts w:hint="eastAsia"/>
          <w:lang w:val="es-CR"/>
        </w:rPr>
        <w:t>副夹板。</w:t>
      </w:r>
    </w:p>
    <w:p w:rsidR="00CE4DFD" w:rsidRDefault="00CE4DFD">
      <w:pPr>
        <w:pStyle w:val="SingleTxtGC"/>
        <w:rPr>
          <w:rFonts w:hint="eastAsia"/>
          <w:lang w:val="es-CR"/>
        </w:rPr>
      </w:pPr>
      <w:r>
        <w:rPr>
          <w:lang w:val="es-CR"/>
        </w:rPr>
        <w:t xml:space="preserve">40.  </w:t>
      </w:r>
      <w:r>
        <w:rPr>
          <w:rFonts w:hint="eastAsia"/>
          <w:lang w:val="es-CR"/>
        </w:rPr>
        <w:t>关于适应训练和康复问题，采取了一些旨在确保残疾人适足生活水平和享受社会保护的行动，依据劳动风险制度</w:t>
      </w:r>
      <w:r>
        <w:rPr>
          <w:rFonts w:hint="eastAsia"/>
          <w:lang w:val="es-CR"/>
        </w:rPr>
        <w:t>(</w:t>
      </w:r>
      <w:r>
        <w:rPr>
          <w:rFonts w:hint="eastAsia"/>
          <w:lang w:val="es-CR"/>
        </w:rPr>
        <w:t>《劳动法》第四编</w:t>
      </w:r>
      <w:r>
        <w:rPr>
          <w:rFonts w:hint="eastAsia"/>
          <w:lang w:val="es-CR"/>
        </w:rPr>
        <w:t>)</w:t>
      </w:r>
      <w:r>
        <w:rPr>
          <w:rFonts w:hint="eastAsia"/>
          <w:lang w:val="es-CR"/>
        </w:rPr>
        <w:t>，为因工致残的人提供医疗卫生服务以及康复服务并承担全额费用，并对当事人遭受的损失进行赔偿，根据残疾的程度</w:t>
      </w:r>
      <w:r>
        <w:rPr>
          <w:rFonts w:hint="eastAsia"/>
          <w:lang w:val="es-CR"/>
        </w:rPr>
        <w:t>(</w:t>
      </w:r>
      <w:r>
        <w:rPr>
          <w:rFonts w:hint="eastAsia"/>
          <w:lang w:val="es-CR"/>
        </w:rPr>
        <w:t>暂时丧失能力、永久性轻微残疾、永久性局部残疾、永久性全身残疾和严重残疾</w:t>
      </w:r>
      <w:r>
        <w:rPr>
          <w:rFonts w:hint="eastAsia"/>
          <w:lang w:val="es-CR"/>
        </w:rPr>
        <w:t>)</w:t>
      </w:r>
      <w:r>
        <w:rPr>
          <w:rFonts w:hint="eastAsia"/>
          <w:lang w:val="es-CR"/>
        </w:rPr>
        <w:t>支付相应数额的赔偿金。</w:t>
      </w:r>
    </w:p>
    <w:p w:rsidR="00CE4DFD" w:rsidRDefault="00CE4DFD">
      <w:pPr>
        <w:pStyle w:val="SingleTxtGC"/>
        <w:rPr>
          <w:lang w:val="es-CR"/>
        </w:rPr>
      </w:pPr>
      <w:r>
        <w:rPr>
          <w:lang w:val="es-CR"/>
        </w:rPr>
        <w:t xml:space="preserve">41.  </w:t>
      </w:r>
      <w:r>
        <w:rPr>
          <w:rFonts w:hint="eastAsia"/>
          <w:lang w:val="es-CR"/>
        </w:rPr>
        <w:t>在提高认识方面</w:t>
      </w:r>
      <w:r>
        <w:rPr>
          <w:rFonts w:hint="eastAsia"/>
          <w:lang w:val="es-CR"/>
        </w:rPr>
        <w:t>(</w:t>
      </w:r>
      <w:r>
        <w:rPr>
          <w:rFonts w:hint="eastAsia"/>
          <w:lang w:val="es-CR"/>
        </w:rPr>
        <w:t>《公约》第八条</w:t>
      </w:r>
      <w:r>
        <w:rPr>
          <w:rFonts w:hint="eastAsia"/>
          <w:lang w:val="es-CR"/>
        </w:rPr>
        <w:t>)</w:t>
      </w:r>
      <w:r>
        <w:rPr>
          <w:rFonts w:hint="eastAsia"/>
          <w:lang w:val="es-CR"/>
        </w:rPr>
        <w:t>，卫生部在</w:t>
      </w:r>
      <w:r>
        <w:rPr>
          <w:rFonts w:hint="eastAsia"/>
          <w:lang w:val="es-CR"/>
        </w:rPr>
        <w:t>2008</w:t>
      </w:r>
      <w:r>
        <w:rPr>
          <w:rFonts w:hint="eastAsia"/>
          <w:lang w:val="es-CR"/>
        </w:rPr>
        <w:t>年针对三级管理工作人员开展了培训活动。培训的主要题目是：学习哥斯达黎加手语</w:t>
      </w:r>
      <w:r>
        <w:rPr>
          <w:rFonts w:hint="eastAsia"/>
          <w:lang w:val="es-CR"/>
        </w:rPr>
        <w:t>(179</w:t>
      </w:r>
      <w:r>
        <w:rPr>
          <w:rFonts w:hint="eastAsia"/>
          <w:lang w:val="es-CR"/>
        </w:rPr>
        <w:t>人参加</w:t>
      </w:r>
      <w:r>
        <w:rPr>
          <w:rFonts w:hint="eastAsia"/>
          <w:lang w:val="es-CR"/>
        </w:rPr>
        <w:t>)</w:t>
      </w:r>
      <w:r>
        <w:rPr>
          <w:rFonts w:hint="eastAsia"/>
          <w:lang w:val="es-CR"/>
        </w:rPr>
        <w:t>；关注残疾患者研讨会</w:t>
      </w:r>
      <w:r>
        <w:rPr>
          <w:rFonts w:hint="eastAsia"/>
          <w:lang w:val="es-CR"/>
        </w:rPr>
        <w:t>(37</w:t>
      </w:r>
      <w:r>
        <w:rPr>
          <w:rFonts w:hint="eastAsia"/>
          <w:lang w:val="es-CR"/>
        </w:rPr>
        <w:t>人参加</w:t>
      </w:r>
      <w:r>
        <w:rPr>
          <w:rFonts w:hint="eastAsia"/>
          <w:lang w:val="es-CR"/>
        </w:rPr>
        <w:t>)</w:t>
      </w:r>
      <w:r>
        <w:rPr>
          <w:rFonts w:hint="eastAsia"/>
          <w:lang w:val="es-CR"/>
        </w:rPr>
        <w:t>，就第</w:t>
      </w:r>
      <w:r>
        <w:rPr>
          <w:rFonts w:hint="eastAsia"/>
          <w:lang w:val="es-CR"/>
        </w:rPr>
        <w:t>7600</w:t>
      </w:r>
      <w:r>
        <w:rPr>
          <w:rFonts w:hint="eastAsia"/>
          <w:lang w:val="es-CR"/>
        </w:rPr>
        <w:t>号法律的相关问题举行了四个小时的研讨会。除了开展培训活动之外，还设立了残疾事务委员会，负责推进并监督各机构对残疾人包容方面的工作。</w:t>
      </w:r>
    </w:p>
    <w:p w:rsidR="00CE4DFD" w:rsidRDefault="00CE4DFD">
      <w:pPr>
        <w:pStyle w:val="SingleTxtGC"/>
        <w:rPr>
          <w:bCs/>
          <w:lang w:val="en-GB"/>
        </w:rPr>
      </w:pPr>
      <w:r>
        <w:rPr>
          <w:lang w:val="es-CR"/>
        </w:rPr>
        <w:t xml:space="preserve">42.  </w:t>
      </w:r>
      <w:r>
        <w:rPr>
          <w:rFonts w:hint="eastAsia"/>
          <w:lang w:val="es-CR"/>
        </w:rPr>
        <w:t>关于在保障残疾人享有健康权利方面的投资情况，需要说明的是，其中不包括与哥斯达黎加社会保险局有关的信息，在此只提及卫生部和国家保险公司提供的资料，这表现出在相关国家投入方面的重要趋势。从获取的资料中可以了解到，主要投资方向是无障碍物理环境建设以及采购与康复服务相关的医疗设备，其中，在</w:t>
      </w:r>
      <w:r>
        <w:rPr>
          <w:rFonts w:hint="eastAsia"/>
          <w:lang w:val="es-CR"/>
        </w:rPr>
        <w:t>2008</w:t>
      </w:r>
      <w:r>
        <w:rPr>
          <w:rFonts w:hint="eastAsia"/>
          <w:lang w:val="es-CR"/>
        </w:rPr>
        <w:t>年至</w:t>
      </w:r>
      <w:r>
        <w:rPr>
          <w:rFonts w:hint="eastAsia"/>
          <w:lang w:val="es-CR"/>
        </w:rPr>
        <w:t>2010</w:t>
      </w:r>
      <w:r>
        <w:rPr>
          <w:rFonts w:hint="eastAsia"/>
          <w:lang w:val="es-CR"/>
        </w:rPr>
        <w:t>年期间，共计投资</w:t>
      </w:r>
      <w:r>
        <w:rPr>
          <w:lang w:val="en-GB"/>
        </w:rPr>
        <w:t>1,477,289,469</w:t>
      </w:r>
      <w:r>
        <w:rPr>
          <w:rFonts w:hint="eastAsia"/>
          <w:lang w:val="en-GB"/>
        </w:rPr>
        <w:t>.</w:t>
      </w:r>
      <w:r>
        <w:rPr>
          <w:lang w:val="en-GB"/>
        </w:rPr>
        <w:t>00</w:t>
      </w:r>
      <w:r>
        <w:rPr>
          <w:rFonts w:hint="eastAsia"/>
          <w:lang w:val="en-GB"/>
        </w:rPr>
        <w:t>科朗，约合</w:t>
      </w:r>
      <w:r>
        <w:rPr>
          <w:bCs/>
          <w:lang w:val="en-GB"/>
        </w:rPr>
        <w:t>2,915,533</w:t>
      </w:r>
      <w:r>
        <w:rPr>
          <w:rFonts w:hint="eastAsia"/>
          <w:bCs/>
          <w:lang w:val="en-GB"/>
        </w:rPr>
        <w:t>.</w:t>
      </w:r>
      <w:r>
        <w:rPr>
          <w:bCs/>
          <w:lang w:val="en-GB"/>
        </w:rPr>
        <w:t>12</w:t>
      </w:r>
      <w:r>
        <w:rPr>
          <w:rFonts w:hint="eastAsia"/>
          <w:bCs/>
          <w:lang w:val="en-GB"/>
        </w:rPr>
        <w:t>美元。</w:t>
      </w:r>
    </w:p>
    <w:p w:rsidR="00CE4DFD" w:rsidRDefault="00CE4DFD">
      <w:pPr>
        <w:pStyle w:val="H23GC"/>
      </w:pPr>
      <w:r>
        <w:tab/>
        <w:t>2.</w:t>
      </w:r>
      <w:r>
        <w:rPr>
          <w:rFonts w:ascii="SimSun" w:eastAsia="SimSun" w:hAnsi="SimSun" w:cs="SimSun" w:hint="eastAsia"/>
        </w:rPr>
        <w:tab/>
      </w:r>
      <w:bookmarkStart w:id="22" w:name="_Toc352758973"/>
      <w:r>
        <w:rPr>
          <w:rFonts w:hint="eastAsia"/>
        </w:rPr>
        <w:t>有待采取的行动、制约因素和改进措施</w:t>
      </w:r>
      <w:bookmarkEnd w:id="22"/>
    </w:p>
    <w:p w:rsidR="00CE4DFD" w:rsidRDefault="00CE4DFD">
      <w:pPr>
        <w:pStyle w:val="SingleTxtGC"/>
        <w:rPr>
          <w:lang w:val="es-CR"/>
        </w:rPr>
      </w:pPr>
      <w:r>
        <w:rPr>
          <w:lang w:val="es-CR"/>
        </w:rPr>
        <w:t xml:space="preserve">43.  </w:t>
      </w:r>
      <w:r>
        <w:rPr>
          <w:rFonts w:hint="eastAsia"/>
          <w:lang w:val="es-CR"/>
        </w:rPr>
        <w:t>需要采取的主要行动包括，把残疾问题纳入到《</w:t>
      </w:r>
      <w:r>
        <w:rPr>
          <w:rFonts w:hint="eastAsia"/>
          <w:lang w:val="es-CR"/>
        </w:rPr>
        <w:t>2010-2015</w:t>
      </w:r>
      <w:r>
        <w:rPr>
          <w:rFonts w:hint="eastAsia"/>
          <w:lang w:val="es-CR"/>
        </w:rPr>
        <w:t>年国家战略计划》当中，使之成为贯穿各项具体行动的轴线，同时我们正在对《</w:t>
      </w:r>
      <w:r>
        <w:rPr>
          <w:rFonts w:hint="eastAsia"/>
          <w:lang w:val="es-CR"/>
        </w:rPr>
        <w:t>2010-2015</w:t>
      </w:r>
      <w:r>
        <w:rPr>
          <w:rFonts w:hint="eastAsia"/>
          <w:lang w:val="es-CR"/>
        </w:rPr>
        <w:t>年国家艾滋病毒和艾滋病战略计划》进行更新，因此，我们要做的就是，把涉及残疾问题的内容和指标纳入到该项国家计划当中。</w:t>
      </w:r>
    </w:p>
    <w:p w:rsidR="00CE4DFD" w:rsidRDefault="00CE4DFD">
      <w:pPr>
        <w:pStyle w:val="SingleTxtGC"/>
        <w:rPr>
          <w:lang w:val="es-CR"/>
        </w:rPr>
      </w:pPr>
      <w:r>
        <w:rPr>
          <w:lang w:val="es-CR"/>
        </w:rPr>
        <w:t xml:space="preserve">44.  </w:t>
      </w:r>
      <w:r>
        <w:rPr>
          <w:rFonts w:hint="eastAsia"/>
          <w:lang w:val="es-CR"/>
        </w:rPr>
        <w:t>在提高认识方面，我们的行动目标尚未实现，即，在发展全新形式的关爱模式方面，提高有关机构的认识和能力，在发展社区范围内的关爱精神健康方面，提高卫生服务工作人员以及民众的认识和能力，此外，还要扩大培训的覆盖范围，包括在参加培训人员的数量方面，以及开展培训活动的地区方面，争取使培训活动延伸到国内的各个地区。</w:t>
      </w:r>
    </w:p>
    <w:p w:rsidR="00CE4DFD" w:rsidRDefault="00CE4DFD">
      <w:pPr>
        <w:pStyle w:val="SingleTxtGC"/>
        <w:rPr>
          <w:lang w:val="es-CR"/>
        </w:rPr>
      </w:pPr>
      <w:r>
        <w:rPr>
          <w:lang w:val="es-CR"/>
        </w:rPr>
        <w:t xml:space="preserve">45.  </w:t>
      </w:r>
      <w:r>
        <w:rPr>
          <w:rFonts w:hint="eastAsia"/>
          <w:lang w:val="es-CR"/>
        </w:rPr>
        <w:t>关于无障碍问题，需要针对无障碍物理环境</w:t>
      </w:r>
      <w:r>
        <w:rPr>
          <w:rFonts w:hint="eastAsia"/>
          <w:lang w:val="es-CR"/>
        </w:rPr>
        <w:t>(</w:t>
      </w:r>
      <w:r>
        <w:rPr>
          <w:rFonts w:hint="eastAsia"/>
          <w:lang w:val="es-CR"/>
        </w:rPr>
        <w:t>涉及卫生部的</w:t>
      </w:r>
      <w:r>
        <w:rPr>
          <w:rFonts w:hint="eastAsia"/>
          <w:lang w:val="es-CR"/>
        </w:rPr>
        <w:t>56</w:t>
      </w:r>
      <w:r>
        <w:rPr>
          <w:rFonts w:hint="eastAsia"/>
          <w:lang w:val="es-CR"/>
        </w:rPr>
        <w:t>栋建筑物</w:t>
      </w:r>
      <w:r>
        <w:rPr>
          <w:rFonts w:hint="eastAsia"/>
          <w:lang w:val="es-CR"/>
        </w:rPr>
        <w:t>)</w:t>
      </w:r>
      <w:r>
        <w:rPr>
          <w:rFonts w:hint="eastAsia"/>
          <w:lang w:val="es-CR"/>
        </w:rPr>
        <w:t>以及无障碍获取信息方面实施相应的行动，具体来说就是，对基础设施进行必要的改造，并加装用于播放健康消息和建筑物标识的盲文和手语通信系统，此外，还将为用户提供必要的技术帮助，以方便他们进行阅读，并且提倡按照方便阅读的标准印制书籍、手册等材料。</w:t>
      </w:r>
    </w:p>
    <w:p w:rsidR="00CE4DFD" w:rsidRDefault="00CE4DFD">
      <w:pPr>
        <w:pStyle w:val="SingleTxtGC"/>
        <w:rPr>
          <w:lang w:val="es-CR"/>
        </w:rPr>
      </w:pPr>
      <w:r>
        <w:rPr>
          <w:lang w:val="es-CR"/>
        </w:rPr>
        <w:t xml:space="preserve">46.  </w:t>
      </w:r>
      <w:r>
        <w:rPr>
          <w:rFonts w:hint="eastAsia"/>
          <w:lang w:val="es-CR"/>
        </w:rPr>
        <w:t>为克服诸多制约因素，落实尚未采取的行动，我们考虑采取下列措施：</w:t>
      </w:r>
    </w:p>
    <w:p w:rsidR="00CE4DFD" w:rsidRDefault="00CE4DFD">
      <w:pPr>
        <w:pStyle w:val="SingleTxtGC"/>
        <w:numPr>
          <w:ilvl w:val="0"/>
          <w:numId w:val="19"/>
        </w:numPr>
        <w:rPr>
          <w:rFonts w:hint="eastAsia"/>
          <w:lang w:val="es-CR"/>
        </w:rPr>
      </w:pPr>
      <w:r>
        <w:rPr>
          <w:rFonts w:hint="eastAsia"/>
          <w:lang w:val="es-CR"/>
        </w:rPr>
        <w:t>向机构宣传办公室以及健康宣传处传达《卫生部指导方针》，目的是在卫生部的所有宣传活动中，增加可用盲文阅读和书写的印刷材料以及用手语表达的可视材料</w:t>
      </w:r>
      <w:r>
        <w:rPr>
          <w:rFonts w:hint="eastAsia"/>
          <w:lang w:val="es-CR"/>
        </w:rPr>
        <w:t>(</w:t>
      </w:r>
      <w:r>
        <w:rPr>
          <w:rFonts w:hint="eastAsia"/>
          <w:lang w:val="es-CR"/>
        </w:rPr>
        <w:t>电视节目、视频</w:t>
      </w:r>
      <w:r>
        <w:rPr>
          <w:rFonts w:hint="eastAsia"/>
          <w:lang w:val="es-CR"/>
        </w:rPr>
        <w:t>)</w:t>
      </w:r>
      <w:r>
        <w:rPr>
          <w:rFonts w:hint="eastAsia"/>
          <w:lang w:val="es-CR"/>
        </w:rPr>
        <w:t>，比如在节目中添加字幕或手语翻译，最终使残疾人获得信息和交流的权利得到以实现</w:t>
      </w:r>
      <w:r>
        <w:rPr>
          <w:rFonts w:hint="eastAsia"/>
          <w:lang w:val="es-CR"/>
        </w:rPr>
        <w:t>(</w:t>
      </w:r>
      <w:r>
        <w:rPr>
          <w:lang w:val="es-CR"/>
        </w:rPr>
        <w:t>2010</w:t>
      </w:r>
      <w:r>
        <w:rPr>
          <w:rFonts w:hint="eastAsia"/>
          <w:lang w:val="es-CR"/>
        </w:rPr>
        <w:t>年、</w:t>
      </w:r>
      <w:r>
        <w:rPr>
          <w:lang w:val="es-CR"/>
        </w:rPr>
        <w:t>2012</w:t>
      </w:r>
      <w:r>
        <w:rPr>
          <w:rFonts w:hint="eastAsia"/>
          <w:lang w:val="es-CR"/>
        </w:rPr>
        <w:t>年</w:t>
      </w:r>
      <w:r>
        <w:rPr>
          <w:rFonts w:hint="eastAsia"/>
          <w:lang w:val="es-CR"/>
        </w:rPr>
        <w:t>)</w:t>
      </w:r>
      <w:r>
        <w:rPr>
          <w:rFonts w:hint="eastAsia"/>
          <w:lang w:val="es-CR"/>
        </w:rPr>
        <w:t>；</w:t>
      </w:r>
    </w:p>
    <w:p w:rsidR="00CE4DFD" w:rsidRDefault="00CE4DFD">
      <w:pPr>
        <w:pStyle w:val="SingleTxtGC"/>
        <w:numPr>
          <w:ilvl w:val="0"/>
          <w:numId w:val="19"/>
        </w:numPr>
        <w:rPr>
          <w:lang w:val="es-CR"/>
        </w:rPr>
      </w:pPr>
      <w:r>
        <w:rPr>
          <w:rFonts w:hint="eastAsia"/>
          <w:lang w:val="es-CR"/>
        </w:rPr>
        <w:t>为了在</w:t>
      </w:r>
      <w:r>
        <w:rPr>
          <w:rFonts w:hint="eastAsia"/>
          <w:lang w:val="es-CR"/>
        </w:rPr>
        <w:t>2011</w:t>
      </w:r>
      <w:r>
        <w:rPr>
          <w:rFonts w:hint="eastAsia"/>
          <w:lang w:val="es-CR"/>
        </w:rPr>
        <w:t>年搞好宣传运动，将编制相应的资金预算；为此，需要在各项年度工作计划以及机构项目中引进与残疾问题有关的内容，并贯穿始终，这样就可以克服各种制约因素；</w:t>
      </w:r>
    </w:p>
    <w:p w:rsidR="00CE4DFD" w:rsidRDefault="00CE4DFD">
      <w:pPr>
        <w:pStyle w:val="SingleTxtGC"/>
        <w:numPr>
          <w:ilvl w:val="0"/>
          <w:numId w:val="19"/>
        </w:numPr>
        <w:rPr>
          <w:lang w:val="es-CR"/>
        </w:rPr>
      </w:pPr>
      <w:r>
        <w:rPr>
          <w:rFonts w:hint="eastAsia"/>
          <w:lang w:val="es-CR"/>
        </w:rPr>
        <w:t>完成剩余的改造任务。重点是对相关技术标准以及指导方针进行修改和调整，以便确认并消除在公共行业和私人行业中存在的困难和障碍，并制定相应的国家计划。</w:t>
      </w:r>
    </w:p>
    <w:p w:rsidR="00CE4DFD" w:rsidRDefault="00CE4DFD">
      <w:pPr>
        <w:pStyle w:val="H23GC"/>
        <w:rPr>
          <w:rFonts w:hint="eastAsia"/>
        </w:rPr>
      </w:pPr>
      <w:r>
        <w:tab/>
        <w:t>3.</w:t>
      </w:r>
      <w:r>
        <w:rPr>
          <w:rFonts w:ascii="SimSun" w:eastAsia="SimSun" w:hAnsi="SimSun" w:cs="SimSun" w:hint="eastAsia"/>
        </w:rPr>
        <w:tab/>
      </w:r>
      <w:bookmarkStart w:id="23" w:name="_Toc352758974"/>
      <w:r>
        <w:rPr>
          <w:rFonts w:hint="eastAsia"/>
        </w:rPr>
        <w:t>民间社会的意见</w:t>
      </w:r>
      <w:bookmarkEnd w:id="23"/>
    </w:p>
    <w:p w:rsidR="00CE4DFD" w:rsidRDefault="00CE4DFD">
      <w:pPr>
        <w:pStyle w:val="SingleTxtGC"/>
        <w:rPr>
          <w:lang w:val="en-GB"/>
        </w:rPr>
      </w:pPr>
      <w:r>
        <w:rPr>
          <w:lang w:val="en-GB"/>
        </w:rPr>
        <w:t xml:space="preserve">44.  </w:t>
      </w:r>
      <w:r>
        <w:rPr>
          <w:rFonts w:hint="eastAsia"/>
          <w:lang w:val="en-GB"/>
        </w:rPr>
        <w:t>总体来看，相对于其他问题，在残疾人健康问题上取得了更加长足的进步，特别是在基层医疗服务队和部分诊所的基础设施方面，这是因为，过去人们更多地是按照第</w:t>
      </w:r>
      <w:r>
        <w:rPr>
          <w:rFonts w:hint="eastAsia"/>
          <w:lang w:val="en-GB"/>
        </w:rPr>
        <w:t>7600</w:t>
      </w:r>
      <w:r>
        <w:rPr>
          <w:rFonts w:hint="eastAsia"/>
          <w:lang w:val="en-GB"/>
        </w:rPr>
        <w:t>号法律而非《公约》采取行动，而现在这种情形发生了变化。</w:t>
      </w:r>
    </w:p>
    <w:p w:rsidR="00CE4DFD" w:rsidRDefault="00CE4DFD">
      <w:pPr>
        <w:pStyle w:val="SingleTxtGC"/>
        <w:rPr>
          <w:lang w:val="en-GB"/>
        </w:rPr>
      </w:pPr>
      <w:r>
        <w:rPr>
          <w:lang w:val="en-GB"/>
        </w:rPr>
        <w:t xml:space="preserve">48.  </w:t>
      </w:r>
      <w:r>
        <w:rPr>
          <w:rFonts w:hint="eastAsia"/>
          <w:lang w:val="en-GB"/>
        </w:rPr>
        <w:t>在提高认识方面，参加协商活动的代表们有不同的看法，他们认为，在这方面还需要做更多工作，特别是对于那些为残疾人提供服务的单位，要在如何对待残疾人以及卫生服务利用方面提高认识，比如关于救护车的问题。人们还指出缺少宣传以及经济和技术帮扶等问题，对于各种残疾人来说，意味着他们无法获得包容性信息。另外，人们分析指出，国内各地提供服务的情况千差万别</w:t>
      </w:r>
      <w:r>
        <w:rPr>
          <w:rFonts w:hint="eastAsia"/>
          <w:lang w:val="en-GB"/>
        </w:rPr>
        <w:t>(</w:t>
      </w:r>
      <w:r>
        <w:rPr>
          <w:rFonts w:hint="eastAsia"/>
          <w:lang w:val="en-GB"/>
        </w:rPr>
        <w:t>城乡地区之间的差别</w:t>
      </w:r>
      <w:r>
        <w:rPr>
          <w:rFonts w:hint="eastAsia"/>
          <w:lang w:val="en-GB"/>
        </w:rPr>
        <w:t>)</w:t>
      </w:r>
      <w:r>
        <w:rPr>
          <w:rFonts w:hint="eastAsia"/>
          <w:lang w:val="en-GB"/>
        </w:rPr>
        <w:t>，其中最严重的问题之一是，对于某些残疾人来说，缺少用于专门治疗的医用材料。</w:t>
      </w:r>
    </w:p>
    <w:p w:rsidR="00CE4DFD" w:rsidRDefault="00CE4DFD">
      <w:pPr>
        <w:pStyle w:val="SingleTxtGC"/>
        <w:rPr>
          <w:rFonts w:hint="eastAsia"/>
          <w:lang w:val="en-GB"/>
        </w:rPr>
      </w:pPr>
      <w:r>
        <w:rPr>
          <w:lang w:val="en-GB"/>
        </w:rPr>
        <w:t xml:space="preserve">49.  </w:t>
      </w:r>
      <w:r>
        <w:rPr>
          <w:rFonts w:hint="eastAsia"/>
          <w:lang w:val="en-GB"/>
        </w:rPr>
        <w:t>另一个较为关键的问题是，在被视为基本权利的性权利和生殖权利方面，缺少针对残疾人的信息。</w:t>
      </w:r>
    </w:p>
    <w:p w:rsidR="00CE4DFD" w:rsidRDefault="00CE4DFD">
      <w:pPr>
        <w:pStyle w:val="H1GC"/>
        <w:rPr>
          <w:rFonts w:hint="eastAsia"/>
        </w:rPr>
      </w:pPr>
      <w:bookmarkStart w:id="24" w:name="_Toc287347907"/>
      <w:r>
        <w:tab/>
        <w:t>C.</w:t>
      </w:r>
      <w:bookmarkEnd w:id="24"/>
      <w:r>
        <w:rPr>
          <w:rFonts w:ascii="SimSun" w:eastAsia="SimSun" w:hAnsi="SimSun" w:cs="SimSun" w:hint="eastAsia"/>
        </w:rPr>
        <w:tab/>
      </w:r>
      <w:bookmarkStart w:id="25" w:name="_Toc352758975"/>
      <w:r>
        <w:rPr>
          <w:rFonts w:hint="eastAsia"/>
        </w:rPr>
        <w:t>教育权</w:t>
      </w:r>
      <w:bookmarkEnd w:id="25"/>
    </w:p>
    <w:p w:rsidR="00CE4DFD" w:rsidRDefault="00CE4DFD">
      <w:pPr>
        <w:pStyle w:val="SingleTxtGC"/>
        <w:rPr>
          <w:rFonts w:hint="eastAsia"/>
          <w:lang w:val="es-CR"/>
        </w:rPr>
      </w:pPr>
      <w:r>
        <w:rPr>
          <w:lang w:val="es-MX"/>
        </w:rPr>
        <w:t xml:space="preserve">50.  </w:t>
      </w:r>
      <w:r>
        <w:rPr>
          <w:rFonts w:hint="eastAsia"/>
          <w:lang w:val="es-MX"/>
        </w:rPr>
        <w:t>保障残疾人接受教育的权利，主要依据的是《公约》第二十四条，其他相关条款包括第五条</w:t>
      </w:r>
      <w:r>
        <w:rPr>
          <w:rFonts w:hint="eastAsia"/>
          <w:lang w:val="es-MX"/>
        </w:rPr>
        <w:t>(</w:t>
      </w:r>
      <w:r>
        <w:rPr>
          <w:rFonts w:hint="eastAsia"/>
          <w:lang w:val="es-MX"/>
        </w:rPr>
        <w:t>平等和不歧视</w:t>
      </w:r>
      <w:r>
        <w:rPr>
          <w:rFonts w:hint="eastAsia"/>
          <w:lang w:val="es-MX"/>
        </w:rPr>
        <w:t>)</w:t>
      </w:r>
      <w:r>
        <w:rPr>
          <w:rFonts w:hint="eastAsia"/>
          <w:lang w:val="es-MX"/>
        </w:rPr>
        <w:t>、第九条</w:t>
      </w:r>
      <w:r>
        <w:rPr>
          <w:rFonts w:hint="eastAsia"/>
          <w:lang w:val="es-MX"/>
        </w:rPr>
        <w:t>(</w:t>
      </w:r>
      <w:r>
        <w:rPr>
          <w:rFonts w:hint="eastAsia"/>
          <w:lang w:val="es-MX"/>
        </w:rPr>
        <w:t>无障碍</w:t>
      </w:r>
      <w:r>
        <w:rPr>
          <w:rFonts w:hint="eastAsia"/>
          <w:lang w:val="es-MX"/>
        </w:rPr>
        <w:t>)</w:t>
      </w:r>
      <w:r>
        <w:rPr>
          <w:rFonts w:hint="eastAsia"/>
          <w:lang w:val="es-MX"/>
        </w:rPr>
        <w:t>和第二十六条</w:t>
      </w:r>
      <w:r>
        <w:rPr>
          <w:rFonts w:hint="eastAsia"/>
          <w:lang w:val="es-MX"/>
        </w:rPr>
        <w:t>(</w:t>
      </w:r>
      <w:r>
        <w:rPr>
          <w:rFonts w:hint="eastAsia"/>
          <w:lang w:val="es-MX"/>
        </w:rPr>
        <w:t>适应训练和康复</w:t>
      </w:r>
      <w:r>
        <w:rPr>
          <w:rFonts w:hint="eastAsia"/>
          <w:lang w:val="es-MX"/>
        </w:rPr>
        <w:t>)</w:t>
      </w:r>
      <w:r>
        <w:rPr>
          <w:rFonts w:hint="eastAsia"/>
          <w:lang w:val="es-MX"/>
        </w:rPr>
        <w:t>。相关国家机构包括，主管教育方面事务的公共教育部，四所国立大学</w:t>
      </w:r>
      <w:r>
        <w:rPr>
          <w:rFonts w:hint="eastAsia"/>
          <w:lang w:val="es-MX"/>
        </w:rPr>
        <w:t>(</w:t>
      </w:r>
      <w:r>
        <w:rPr>
          <w:rFonts w:hint="eastAsia"/>
          <w:lang w:val="es-MX"/>
        </w:rPr>
        <w:t>哥斯达黎加大学、国立大学、国家远程教育大学、哥斯达黎加理工学院</w:t>
      </w:r>
      <w:r>
        <w:rPr>
          <w:rFonts w:hint="eastAsia"/>
          <w:lang w:val="es-MX"/>
        </w:rPr>
        <w:t>)</w:t>
      </w:r>
      <w:r>
        <w:rPr>
          <w:rFonts w:hint="eastAsia"/>
          <w:lang w:val="es-MX"/>
        </w:rPr>
        <w:t>，全国大学校长委员会，以及国家职业学院。</w:t>
      </w:r>
    </w:p>
    <w:p w:rsidR="00CE4DFD" w:rsidRDefault="00CE4DFD">
      <w:pPr>
        <w:pStyle w:val="H23GC"/>
      </w:pPr>
      <w:r>
        <w:tab/>
        <w:t>1.</w:t>
      </w:r>
      <w:r>
        <w:rPr>
          <w:rFonts w:ascii="SimSun" w:eastAsia="SimSun" w:hAnsi="SimSun" w:cs="SimSun" w:hint="eastAsia"/>
        </w:rPr>
        <w:tab/>
      </w:r>
      <w:bookmarkStart w:id="26" w:name="_Toc352758976"/>
      <w:r>
        <w:t>实施的行动和专项资金</w:t>
      </w:r>
      <w:bookmarkEnd w:id="26"/>
    </w:p>
    <w:p w:rsidR="00CE4DFD" w:rsidRDefault="00CE4DFD">
      <w:pPr>
        <w:pStyle w:val="SingleTxtGC"/>
        <w:rPr>
          <w:lang w:val="en-GB"/>
        </w:rPr>
      </w:pPr>
      <w:r>
        <w:rPr>
          <w:lang w:val="es-MX"/>
        </w:rPr>
        <w:t xml:space="preserve">51.  </w:t>
      </w:r>
      <w:r>
        <w:rPr>
          <w:rFonts w:hint="eastAsia"/>
          <w:lang w:val="es-MX"/>
        </w:rPr>
        <w:t>在相关国家政策和战略方面，哥斯达黎加制定了国家教育政策，包括针对有特殊教育需要的大学生制定了关于享受教育机会的若干政策，在这其中，素质教育中心成为哥斯达黎加教育的核心力量，致力于包容性全面培养工作，确定首先通过早期干预接纳有特殊教育需要的学生，此外，通过提供支持、技术、材料和人力方面的服务，让他们在正规教育机构接受义务教育，此举旨在执行《公约》第五条的规定，确保做到平等和不歧视。</w:t>
      </w:r>
    </w:p>
    <w:p w:rsidR="00CE4DFD" w:rsidRDefault="00CE4DFD">
      <w:pPr>
        <w:pStyle w:val="SingleTxtGC"/>
        <w:rPr>
          <w:lang w:val="en-GB"/>
        </w:rPr>
      </w:pPr>
      <w:r>
        <w:rPr>
          <w:lang w:val="en-GB"/>
        </w:rPr>
        <w:t xml:space="preserve">52.  </w:t>
      </w:r>
      <w:r>
        <w:rPr>
          <w:rFonts w:hint="eastAsia"/>
          <w:lang w:val="en-GB"/>
        </w:rPr>
        <w:t>另外还有以包容和公平为核心的《国立大学高等教育国家计划》，按照计划推进实施各种项目，争取为残疾人上大学创造更好的条件，而无障碍高等教育高校委员会的工作目标是，协调各种旨在实现无障碍地接受高等教育政策，包括在入学和就读过程中，让那些有教育需要的人或者残疾人能够获得平等的机会。此外，各种培训机构也有专门的计划方针、规章制定和行动措施，比如国立大学制定的《</w:t>
      </w:r>
      <w:r>
        <w:rPr>
          <w:rFonts w:hint="eastAsia"/>
          <w:lang w:val="en-GB"/>
        </w:rPr>
        <w:t>2004-2011</w:t>
      </w:r>
      <w:r>
        <w:rPr>
          <w:rFonts w:hint="eastAsia"/>
          <w:lang w:val="en-GB"/>
        </w:rPr>
        <w:t>年总体计划》、国家职业学院制定的《教育支持条例》、国家远程教育大学成立的机会平等委员会。</w:t>
      </w:r>
    </w:p>
    <w:p w:rsidR="00CE4DFD" w:rsidRDefault="00CE4DFD">
      <w:pPr>
        <w:pStyle w:val="SingleTxtGC"/>
        <w:rPr>
          <w:lang w:val="en-GB"/>
        </w:rPr>
      </w:pPr>
      <w:r>
        <w:rPr>
          <w:lang w:val="es-CR"/>
        </w:rPr>
        <w:t xml:space="preserve">53.  </w:t>
      </w:r>
      <w:r>
        <w:rPr>
          <w:rFonts w:hint="eastAsia"/>
          <w:lang w:val="es-CR"/>
        </w:rPr>
        <w:t>为争取在高等教育方面实现平等和不歧视，正在制定《针对有特殊教育需要大学生的服务计划》；从</w:t>
      </w:r>
      <w:r>
        <w:rPr>
          <w:rFonts w:hint="eastAsia"/>
          <w:lang w:val="es-CR"/>
        </w:rPr>
        <w:t>2008</w:t>
      </w:r>
      <w:r>
        <w:rPr>
          <w:rFonts w:hint="eastAsia"/>
          <w:lang w:val="es-CR"/>
        </w:rPr>
        <w:t>至</w:t>
      </w:r>
      <w:r>
        <w:rPr>
          <w:rFonts w:hint="eastAsia"/>
          <w:lang w:val="es-CR"/>
        </w:rPr>
        <w:t>2010</w:t>
      </w:r>
      <w:r>
        <w:rPr>
          <w:rFonts w:hint="eastAsia"/>
          <w:lang w:val="es-CR"/>
        </w:rPr>
        <w:t>年，有</w:t>
      </w:r>
      <w:r>
        <w:rPr>
          <w:rFonts w:hint="eastAsia"/>
          <w:lang w:val="es-CR"/>
        </w:rPr>
        <w:t>92</w:t>
      </w:r>
      <w:r>
        <w:rPr>
          <w:rFonts w:hint="eastAsia"/>
          <w:lang w:val="es-CR"/>
        </w:rPr>
        <w:t>名大学生经过向</w:t>
      </w:r>
      <w:r>
        <w:rPr>
          <w:rFonts w:hint="eastAsia"/>
          <w:lang w:val="en-GB"/>
        </w:rPr>
        <w:t>无障碍高等教育高校委员会申请入学资格考试，进入国立大学就读，目前接受后续跟踪的已经达到</w:t>
      </w:r>
      <w:r>
        <w:rPr>
          <w:rFonts w:hint="eastAsia"/>
          <w:lang w:val="en-GB"/>
        </w:rPr>
        <w:t>216</w:t>
      </w:r>
      <w:r>
        <w:rPr>
          <w:rFonts w:hint="eastAsia"/>
          <w:lang w:val="en-GB"/>
        </w:rPr>
        <w:t>名大学生；</w:t>
      </w:r>
      <w:r>
        <w:rPr>
          <w:rFonts w:hint="eastAsia"/>
          <w:lang w:val="es-CR"/>
        </w:rPr>
        <w:t>另外，正在就接收入学资格考试申请程序对入学和登记部门的工作人员进行培训。同样，一些高等教育机构也设立了各种机构，负责执行对包括残疾人在内的大学生不歧视的政策，其中包括国立大学设立的残疾大学生咨询服务中心，以及国家远程教育大学设立的高等院校理事会、司法办公室、大学生监察员办公室、大学生事务处、平等和性别计划、机会平等委员会。</w:t>
      </w:r>
    </w:p>
    <w:p w:rsidR="00CE4DFD" w:rsidRDefault="00CE4DFD">
      <w:pPr>
        <w:pStyle w:val="SingleTxtGC"/>
        <w:rPr>
          <w:rFonts w:hint="eastAsia"/>
          <w:lang w:val="es-CR"/>
        </w:rPr>
      </w:pPr>
      <w:r>
        <w:rPr>
          <w:lang w:val="es-CR"/>
        </w:rPr>
        <w:t xml:space="preserve">54.  </w:t>
      </w:r>
      <w:r>
        <w:rPr>
          <w:rFonts w:hint="eastAsia"/>
          <w:lang w:val="es-CR"/>
        </w:rPr>
        <w:t>关于此前介绍的适应训练和康复方面的问题，在一些高等教育机构购买了大学图书馆专用技术设备，此外，为残疾大学生使用通信和信息技术提供方便，比如在台式电脑和笔记本电脑上安装适用程序：</w:t>
      </w:r>
      <w:r>
        <w:rPr>
          <w:rFonts w:hint="eastAsia"/>
          <w:lang w:val="es-CR"/>
        </w:rPr>
        <w:t>JAWS</w:t>
      </w:r>
      <w:r>
        <w:rPr>
          <w:rFonts w:hint="eastAsia"/>
          <w:lang w:val="es-CR"/>
        </w:rPr>
        <w:t>屏幕阅览器；</w:t>
      </w:r>
      <w:r>
        <w:rPr>
          <w:lang w:val="es-CR"/>
        </w:rPr>
        <w:t>Dragon Naturally Speaking</w:t>
      </w:r>
      <w:r>
        <w:rPr>
          <w:rFonts w:hint="eastAsia"/>
          <w:lang w:val="es-CR"/>
        </w:rPr>
        <w:t>语音翻译软件；</w:t>
      </w:r>
      <w:r>
        <w:rPr>
          <w:lang w:val="es-CR"/>
        </w:rPr>
        <w:t xml:space="preserve">Magic </w:t>
      </w:r>
      <w:r>
        <w:rPr>
          <w:rFonts w:hint="eastAsia"/>
          <w:lang w:val="es-CR"/>
        </w:rPr>
        <w:t>图片放大软件；</w:t>
      </w:r>
      <w:r>
        <w:rPr>
          <w:lang w:val="es-CR"/>
        </w:rPr>
        <w:t>Digital Voice Editor</w:t>
      </w:r>
      <w:r>
        <w:rPr>
          <w:rFonts w:hint="eastAsia"/>
          <w:lang w:val="es-CR"/>
        </w:rPr>
        <w:t>录音软件；</w:t>
      </w:r>
      <w:r>
        <w:rPr>
          <w:lang w:val="es-CR"/>
        </w:rPr>
        <w:t>Goodfeel</w:t>
      </w:r>
      <w:r>
        <w:rPr>
          <w:rFonts w:hint="eastAsia"/>
          <w:lang w:val="es-CR"/>
        </w:rPr>
        <w:t>盲文乐谱翻译软件和</w:t>
      </w:r>
      <w:r>
        <w:rPr>
          <w:lang w:val="es-CR"/>
        </w:rPr>
        <w:t>Duxbury</w:t>
      </w:r>
      <w:r>
        <w:rPr>
          <w:rFonts w:hint="eastAsia"/>
          <w:lang w:val="es-CR"/>
        </w:rPr>
        <w:t>盲文翻译软件，等等。</w:t>
      </w:r>
    </w:p>
    <w:p w:rsidR="00CE4DFD" w:rsidRDefault="00CE4DFD">
      <w:pPr>
        <w:pStyle w:val="SingleTxtGC"/>
        <w:rPr>
          <w:lang w:val="en-GB"/>
        </w:rPr>
      </w:pPr>
      <w:r>
        <w:rPr>
          <w:lang w:val="es-CR"/>
        </w:rPr>
        <w:t xml:space="preserve">55.  </w:t>
      </w:r>
      <w:r>
        <w:rPr>
          <w:rFonts w:hint="eastAsia"/>
          <w:lang w:val="es-CR"/>
        </w:rPr>
        <w:t>关于上述问题，公共教育部专门为那些在正规教育机构和特殊教育机构注册的学生提供支助服务。由一些在听力和语言、多种残疾、智力残疾、学习障碍、情绪和行为失常、视力残疾、盲聋残疾方面的专业教学人员为这些学生提供服务。大部分教学人员在普通基础教育第一阶段和第二阶段从事教学工作。不过，在特殊教育机构和其他某些机构还为有视力残疾的学生提供固定或者流动的支助服务，在中等教育机构则提供听力和语言方面</w:t>
      </w:r>
      <w:r>
        <w:rPr>
          <w:rFonts w:hint="eastAsia"/>
          <w:lang w:val="es-CR"/>
        </w:rPr>
        <w:t>(</w:t>
      </w:r>
      <w:r>
        <w:rPr>
          <w:rFonts w:hint="eastAsia"/>
          <w:lang w:val="es-CR"/>
        </w:rPr>
        <w:t>针对耳聋残疾学生</w:t>
      </w:r>
      <w:r>
        <w:rPr>
          <w:rFonts w:hint="eastAsia"/>
          <w:lang w:val="es-CR"/>
        </w:rPr>
        <w:t>)</w:t>
      </w:r>
      <w:r>
        <w:rPr>
          <w:rFonts w:hint="eastAsia"/>
          <w:lang w:val="es-CR"/>
        </w:rPr>
        <w:t>的支助服务。</w:t>
      </w:r>
      <w:r>
        <w:rPr>
          <w:rFonts w:hint="eastAsia"/>
          <w:lang w:val="en-GB"/>
        </w:rPr>
        <w:t>此外，我们还正在摸索为智力残疾人提供相应服务的经验。</w:t>
      </w:r>
    </w:p>
    <w:p w:rsidR="00CE4DFD" w:rsidRDefault="00CE4DFD">
      <w:pPr>
        <w:pStyle w:val="SingleTxtGC"/>
        <w:rPr>
          <w:lang w:val="en-GB"/>
        </w:rPr>
      </w:pPr>
      <w:r>
        <w:rPr>
          <w:lang w:val="en-GB"/>
        </w:rPr>
        <w:t xml:space="preserve">56.  </w:t>
      </w:r>
      <w:r>
        <w:rPr>
          <w:rFonts w:hint="eastAsia"/>
          <w:lang w:val="en-GB"/>
        </w:rPr>
        <w:t>根据公共教育部提供的资料，</w:t>
      </w:r>
      <w:r>
        <w:rPr>
          <w:rFonts w:hint="eastAsia"/>
          <w:lang w:val="en-GB"/>
        </w:rPr>
        <w:t>2008</w:t>
      </w:r>
      <w:r>
        <w:rPr>
          <w:rFonts w:hint="eastAsia"/>
          <w:lang w:val="es-CR"/>
        </w:rPr>
        <w:t>至</w:t>
      </w:r>
      <w:r>
        <w:rPr>
          <w:rFonts w:hint="eastAsia"/>
          <w:lang w:val="en-GB"/>
        </w:rPr>
        <w:t>2010</w:t>
      </w:r>
      <w:r>
        <w:rPr>
          <w:rFonts w:hint="eastAsia"/>
          <w:lang w:val="en-GB"/>
        </w:rPr>
        <w:t>年期间，在校注册人口</w:t>
      </w:r>
      <w:r>
        <w:rPr>
          <w:rFonts w:hint="eastAsia"/>
          <w:lang w:val="en-GB"/>
        </w:rPr>
        <w:t>(</w:t>
      </w:r>
      <w:r>
        <w:rPr>
          <w:rFonts w:hint="eastAsia"/>
          <w:lang w:val="en-GB"/>
        </w:rPr>
        <w:t>不包括大学</w:t>
      </w:r>
      <w:r>
        <w:rPr>
          <w:rFonts w:hint="eastAsia"/>
          <w:lang w:val="en-GB"/>
        </w:rPr>
        <w:t>)</w:t>
      </w:r>
      <w:r>
        <w:rPr>
          <w:rFonts w:hint="eastAsia"/>
          <w:lang w:val="en-GB"/>
        </w:rPr>
        <w:t>分别为，</w:t>
      </w:r>
      <w:r>
        <w:rPr>
          <w:rFonts w:hint="eastAsia"/>
          <w:lang w:val="en-GB"/>
        </w:rPr>
        <w:t>2008</w:t>
      </w:r>
      <w:r>
        <w:rPr>
          <w:rFonts w:hint="eastAsia"/>
          <w:lang w:val="en-GB"/>
        </w:rPr>
        <w:t>年</w:t>
      </w:r>
      <w:r>
        <w:rPr>
          <w:lang w:val="en-GB"/>
        </w:rPr>
        <w:t>1,061,047</w:t>
      </w:r>
      <w:r>
        <w:rPr>
          <w:rFonts w:hint="eastAsia"/>
          <w:lang w:val="en-GB"/>
        </w:rPr>
        <w:t>人，</w:t>
      </w:r>
      <w:r>
        <w:rPr>
          <w:rFonts w:hint="eastAsia"/>
          <w:lang w:val="en-GB"/>
        </w:rPr>
        <w:t>2009</w:t>
      </w:r>
      <w:r>
        <w:rPr>
          <w:rFonts w:hint="eastAsia"/>
          <w:lang w:val="en-GB"/>
        </w:rPr>
        <w:t>年</w:t>
      </w:r>
      <w:r>
        <w:rPr>
          <w:lang w:val="en-GB"/>
        </w:rPr>
        <w:t>1,083,586</w:t>
      </w:r>
      <w:r>
        <w:rPr>
          <w:rFonts w:hint="eastAsia"/>
          <w:lang w:val="en-GB"/>
        </w:rPr>
        <w:t>人，</w:t>
      </w:r>
      <w:r>
        <w:rPr>
          <w:rFonts w:hint="eastAsia"/>
          <w:lang w:val="en-GB"/>
        </w:rPr>
        <w:t>2010</w:t>
      </w:r>
      <w:r>
        <w:rPr>
          <w:rFonts w:hint="eastAsia"/>
          <w:lang w:val="en-GB"/>
        </w:rPr>
        <w:t>年</w:t>
      </w:r>
      <w:r>
        <w:rPr>
          <w:lang w:val="en-GB"/>
        </w:rPr>
        <w:t>1,082,070</w:t>
      </w:r>
      <w:r>
        <w:rPr>
          <w:rFonts w:hint="eastAsia"/>
          <w:lang w:val="en-GB"/>
        </w:rPr>
        <w:t>人，其中残疾人口分别占到总数的</w:t>
      </w:r>
      <w:r>
        <w:rPr>
          <w:rFonts w:hint="eastAsia"/>
          <w:lang w:val="en-GB"/>
        </w:rPr>
        <w:t>9.27%</w:t>
      </w:r>
      <w:r>
        <w:rPr>
          <w:rFonts w:hint="eastAsia"/>
          <w:lang w:val="en-GB"/>
        </w:rPr>
        <w:t>、</w:t>
      </w:r>
      <w:r>
        <w:rPr>
          <w:rFonts w:hint="eastAsia"/>
          <w:lang w:val="en-GB"/>
        </w:rPr>
        <w:t>9.8%</w:t>
      </w:r>
      <w:r>
        <w:rPr>
          <w:rFonts w:hint="eastAsia"/>
          <w:lang w:val="en-GB"/>
        </w:rPr>
        <w:t>和</w:t>
      </w:r>
      <w:r>
        <w:rPr>
          <w:rFonts w:hint="eastAsia"/>
          <w:lang w:val="en-GB"/>
        </w:rPr>
        <w:t>9.40%(</w:t>
      </w:r>
      <w:r>
        <w:rPr>
          <w:rFonts w:hint="eastAsia"/>
          <w:lang w:val="en-GB"/>
        </w:rPr>
        <w:t>参见附件</w:t>
      </w:r>
      <w:r>
        <w:rPr>
          <w:rFonts w:hint="eastAsia"/>
          <w:lang w:val="en-GB"/>
        </w:rPr>
        <w:t>5)</w:t>
      </w:r>
      <w:r>
        <w:rPr>
          <w:rFonts w:hint="eastAsia"/>
          <w:lang w:val="en-GB"/>
        </w:rPr>
        <w:t>。</w:t>
      </w:r>
    </w:p>
    <w:p w:rsidR="00CE4DFD" w:rsidRDefault="00CE4DFD">
      <w:pPr>
        <w:pStyle w:val="SingleTxtGC"/>
        <w:rPr>
          <w:rFonts w:hint="eastAsia"/>
          <w:lang w:val="en-GB"/>
        </w:rPr>
      </w:pPr>
      <w:r>
        <w:rPr>
          <w:lang w:val="en-GB"/>
        </w:rPr>
        <w:t xml:space="preserve">57.  </w:t>
      </w:r>
      <w:r>
        <w:rPr>
          <w:rFonts w:hint="eastAsia"/>
          <w:lang w:val="en-GB"/>
        </w:rPr>
        <w:t>这三年当中，接受支助服务的注册学生数量分别为：</w:t>
      </w:r>
      <w:r>
        <w:rPr>
          <w:rFonts w:hint="eastAsia"/>
          <w:lang w:val="en-GB"/>
        </w:rPr>
        <w:t>2008</w:t>
      </w:r>
      <w:r>
        <w:rPr>
          <w:rFonts w:hint="eastAsia"/>
          <w:lang w:val="en-GB"/>
        </w:rPr>
        <w:t>年</w:t>
      </w:r>
      <w:r>
        <w:rPr>
          <w:rFonts w:hint="eastAsia"/>
          <w:lang w:val="en-GB"/>
        </w:rPr>
        <w:t>82,986</w:t>
      </w:r>
      <w:r>
        <w:rPr>
          <w:rFonts w:hint="eastAsia"/>
          <w:lang w:val="en-GB"/>
        </w:rPr>
        <w:t>人、</w:t>
      </w:r>
      <w:r>
        <w:rPr>
          <w:rFonts w:hint="eastAsia"/>
          <w:lang w:val="en-GB"/>
        </w:rPr>
        <w:t>2009</w:t>
      </w:r>
      <w:r>
        <w:rPr>
          <w:rFonts w:hint="eastAsia"/>
          <w:lang w:val="en-GB"/>
        </w:rPr>
        <w:t>年</w:t>
      </w:r>
      <w:r>
        <w:rPr>
          <w:lang w:val="en-GB"/>
        </w:rPr>
        <w:t>90,349</w:t>
      </w:r>
      <w:r>
        <w:rPr>
          <w:rFonts w:hint="eastAsia"/>
          <w:lang w:val="en-GB"/>
        </w:rPr>
        <w:t>人、</w:t>
      </w:r>
      <w:r>
        <w:rPr>
          <w:rFonts w:hint="eastAsia"/>
          <w:lang w:val="en-GB"/>
        </w:rPr>
        <w:t>2010</w:t>
      </w:r>
      <w:r>
        <w:rPr>
          <w:rFonts w:hint="eastAsia"/>
          <w:lang w:val="en-GB"/>
        </w:rPr>
        <w:t>年为</w:t>
      </w:r>
      <w:r>
        <w:rPr>
          <w:lang w:val="en-GB"/>
        </w:rPr>
        <w:t>85,505</w:t>
      </w:r>
      <w:r>
        <w:rPr>
          <w:rFonts w:hint="eastAsia"/>
          <w:lang w:val="en-GB"/>
        </w:rPr>
        <w:t>人。</w:t>
      </w:r>
    </w:p>
    <w:p w:rsidR="00CE4DFD" w:rsidRDefault="00CE4DFD">
      <w:pPr>
        <w:pStyle w:val="SingleTxtGC"/>
        <w:rPr>
          <w:lang w:val="en-GB"/>
        </w:rPr>
      </w:pPr>
      <w:r>
        <w:rPr>
          <w:lang w:val="en-GB"/>
        </w:rPr>
        <w:t xml:space="preserve">58.  </w:t>
      </w:r>
      <w:r>
        <w:rPr>
          <w:rFonts w:hint="eastAsia"/>
          <w:lang w:val="en-GB"/>
        </w:rPr>
        <w:t>在正规教育机构，有从事特殊教育的教学人员提供专门的服务</w:t>
      </w:r>
      <w:r>
        <w:rPr>
          <w:rFonts w:hint="eastAsia"/>
          <w:lang w:val="en-GB"/>
        </w:rPr>
        <w:t>(</w:t>
      </w:r>
      <w:r>
        <w:rPr>
          <w:rFonts w:hint="eastAsia"/>
          <w:lang w:val="en-GB"/>
        </w:rPr>
        <w:t>直接照顾</w:t>
      </w:r>
      <w:r>
        <w:rPr>
          <w:rFonts w:hint="eastAsia"/>
          <w:lang w:val="en-GB"/>
        </w:rPr>
        <w:t>)</w:t>
      </w:r>
      <w:r>
        <w:rPr>
          <w:rFonts w:hint="eastAsia"/>
          <w:lang w:val="en-GB"/>
        </w:rPr>
        <w:t>，这些教学人员负责照顾残疾学生这一特殊群体。服务内容包括早期干预、普通基础教育第一阶段和第二阶段教学、以及多样化教育。此类注册学生的数量分别是，</w:t>
      </w:r>
      <w:r>
        <w:rPr>
          <w:rFonts w:hint="eastAsia"/>
          <w:lang w:val="en-GB"/>
        </w:rPr>
        <w:t>2008</w:t>
      </w:r>
      <w:r>
        <w:rPr>
          <w:rFonts w:hint="eastAsia"/>
          <w:lang w:val="en-GB"/>
        </w:rPr>
        <w:t>年</w:t>
      </w:r>
      <w:r>
        <w:rPr>
          <w:rFonts w:hint="eastAsia"/>
          <w:lang w:val="en-GB"/>
        </w:rPr>
        <w:t>9,362</w:t>
      </w:r>
      <w:r>
        <w:rPr>
          <w:rFonts w:hint="eastAsia"/>
          <w:lang w:val="en-GB"/>
        </w:rPr>
        <w:t>人，</w:t>
      </w:r>
      <w:r>
        <w:rPr>
          <w:rFonts w:hint="eastAsia"/>
          <w:lang w:val="en-GB"/>
        </w:rPr>
        <w:t>2009</w:t>
      </w:r>
      <w:r>
        <w:rPr>
          <w:rFonts w:hint="eastAsia"/>
          <w:lang w:val="en-GB"/>
        </w:rPr>
        <w:t>年</w:t>
      </w:r>
      <w:r>
        <w:rPr>
          <w:rFonts w:hint="eastAsia"/>
          <w:lang w:val="en-GB"/>
        </w:rPr>
        <w:t>9,731</w:t>
      </w:r>
      <w:r>
        <w:rPr>
          <w:rFonts w:hint="eastAsia"/>
          <w:lang w:val="en-GB"/>
        </w:rPr>
        <w:t>人，</w:t>
      </w:r>
      <w:r>
        <w:rPr>
          <w:rFonts w:hint="eastAsia"/>
          <w:lang w:val="en-GB"/>
        </w:rPr>
        <w:t>2010</w:t>
      </w:r>
      <w:r>
        <w:rPr>
          <w:rFonts w:hint="eastAsia"/>
          <w:lang w:val="en-GB"/>
        </w:rPr>
        <w:t>年</w:t>
      </w:r>
      <w:r>
        <w:rPr>
          <w:rFonts w:hint="eastAsia"/>
          <w:lang w:val="en-GB"/>
        </w:rPr>
        <w:t>9,784</w:t>
      </w:r>
      <w:r>
        <w:rPr>
          <w:rFonts w:hint="eastAsia"/>
          <w:lang w:val="en-GB"/>
        </w:rPr>
        <w:t>人。</w:t>
      </w:r>
    </w:p>
    <w:p w:rsidR="00CE4DFD" w:rsidRDefault="00CE4DFD">
      <w:pPr>
        <w:pStyle w:val="SingleTxtGC"/>
        <w:rPr>
          <w:lang w:val="en-GB"/>
        </w:rPr>
      </w:pPr>
      <w:r>
        <w:rPr>
          <w:lang w:val="en-GB"/>
        </w:rPr>
        <w:t xml:space="preserve">59.  </w:t>
      </w:r>
      <w:r>
        <w:rPr>
          <w:rFonts w:hint="eastAsia"/>
          <w:lang w:val="en-GB"/>
        </w:rPr>
        <w:t>目前，在国内各地区共有</w:t>
      </w:r>
      <w:r>
        <w:rPr>
          <w:rFonts w:hint="eastAsia"/>
          <w:lang w:val="en-GB"/>
        </w:rPr>
        <w:t>22</w:t>
      </w:r>
      <w:r>
        <w:rPr>
          <w:rFonts w:hint="eastAsia"/>
          <w:lang w:val="en-GB"/>
        </w:rPr>
        <w:t>所特殊教育中心。这些教育中心全部接纳有各种残疾的人，他们的年龄在</w:t>
      </w:r>
      <w:r>
        <w:rPr>
          <w:rFonts w:hint="eastAsia"/>
          <w:lang w:val="en-GB"/>
        </w:rPr>
        <w:t>0</w:t>
      </w:r>
      <w:r>
        <w:rPr>
          <w:rFonts w:hint="eastAsia"/>
          <w:lang w:val="en-GB"/>
        </w:rPr>
        <w:t>岁至</w:t>
      </w:r>
      <w:r>
        <w:rPr>
          <w:rFonts w:hint="eastAsia"/>
          <w:lang w:val="en-GB"/>
        </w:rPr>
        <w:t>21</w:t>
      </w:r>
      <w:r>
        <w:rPr>
          <w:rFonts w:hint="eastAsia"/>
          <w:lang w:val="en-GB"/>
        </w:rPr>
        <w:t>岁之间。三年来注册学生的数量分别为：</w:t>
      </w:r>
      <w:r>
        <w:rPr>
          <w:rFonts w:hint="eastAsia"/>
          <w:lang w:val="en-GB"/>
        </w:rPr>
        <w:t>2008</w:t>
      </w:r>
      <w:r>
        <w:rPr>
          <w:rFonts w:hint="eastAsia"/>
          <w:lang w:val="en-GB"/>
        </w:rPr>
        <w:t>年</w:t>
      </w:r>
      <w:r>
        <w:rPr>
          <w:rFonts w:hint="eastAsia"/>
          <w:lang w:val="en-GB"/>
        </w:rPr>
        <w:t>4,939</w:t>
      </w:r>
      <w:r>
        <w:rPr>
          <w:rFonts w:hint="eastAsia"/>
          <w:lang w:val="en-GB"/>
        </w:rPr>
        <w:t>人，</w:t>
      </w:r>
      <w:r>
        <w:rPr>
          <w:rFonts w:hint="eastAsia"/>
          <w:lang w:val="en-GB"/>
        </w:rPr>
        <w:t>2009</w:t>
      </w:r>
      <w:r>
        <w:rPr>
          <w:rFonts w:hint="eastAsia"/>
          <w:lang w:val="en-GB"/>
        </w:rPr>
        <w:t>年</w:t>
      </w:r>
      <w:r>
        <w:rPr>
          <w:rFonts w:hint="eastAsia"/>
          <w:lang w:val="en-GB"/>
        </w:rPr>
        <w:t>5,063</w:t>
      </w:r>
      <w:r>
        <w:rPr>
          <w:rFonts w:hint="eastAsia"/>
          <w:lang w:val="en-GB"/>
        </w:rPr>
        <w:t>人，</w:t>
      </w:r>
      <w:r>
        <w:rPr>
          <w:rFonts w:hint="eastAsia"/>
          <w:lang w:val="en-GB"/>
        </w:rPr>
        <w:t>2010</w:t>
      </w:r>
      <w:r>
        <w:rPr>
          <w:rFonts w:hint="eastAsia"/>
          <w:lang w:val="en-GB"/>
        </w:rPr>
        <w:t>年</w:t>
      </w:r>
      <w:r>
        <w:rPr>
          <w:rFonts w:hint="eastAsia"/>
          <w:lang w:val="en-GB"/>
        </w:rPr>
        <w:t>5,165</w:t>
      </w:r>
      <w:r>
        <w:rPr>
          <w:rFonts w:hint="eastAsia"/>
          <w:lang w:val="en-GB"/>
        </w:rPr>
        <w:t>人。</w:t>
      </w:r>
    </w:p>
    <w:p w:rsidR="00CE4DFD" w:rsidRDefault="00CE4DFD">
      <w:pPr>
        <w:pStyle w:val="SingleTxtGC"/>
        <w:rPr>
          <w:lang w:val="en-GB"/>
        </w:rPr>
      </w:pPr>
      <w:r>
        <w:rPr>
          <w:lang w:val="en-GB"/>
        </w:rPr>
        <w:t xml:space="preserve">60.  </w:t>
      </w:r>
      <w:r>
        <w:rPr>
          <w:rFonts w:hint="eastAsia"/>
          <w:lang w:val="en-GB"/>
        </w:rPr>
        <w:t>另外，残疾人综合服务中心还接纳那些年龄在</w:t>
      </w:r>
      <w:r>
        <w:rPr>
          <w:rFonts w:hint="eastAsia"/>
          <w:lang w:val="en-GB"/>
        </w:rPr>
        <w:t>18</w:t>
      </w:r>
      <w:r>
        <w:rPr>
          <w:rFonts w:hint="eastAsia"/>
          <w:lang w:val="en-GB"/>
        </w:rPr>
        <w:t>岁以上并且在个人能力、就业能力或劳动能力方面需要长期帮扶的残疾人。公共教育部通过向非政府组织发放补贴来帮助这些中心运营。目前正在运营的此类机构共有</w:t>
      </w:r>
      <w:r>
        <w:rPr>
          <w:rFonts w:hint="eastAsia"/>
          <w:lang w:val="en-GB"/>
        </w:rPr>
        <w:t>28</w:t>
      </w:r>
      <w:r>
        <w:rPr>
          <w:rFonts w:hint="eastAsia"/>
          <w:lang w:val="en-GB"/>
        </w:rPr>
        <w:t>家。在</w:t>
      </w:r>
      <w:r>
        <w:rPr>
          <w:rFonts w:hint="eastAsia"/>
          <w:lang w:val="en-GB"/>
        </w:rPr>
        <w:t>2008</w:t>
      </w:r>
      <w:r>
        <w:rPr>
          <w:rFonts w:hint="eastAsia"/>
          <w:lang w:val="en-GB"/>
        </w:rPr>
        <w:t>年、</w:t>
      </w:r>
      <w:r>
        <w:rPr>
          <w:rFonts w:hint="eastAsia"/>
          <w:lang w:val="en-GB"/>
        </w:rPr>
        <w:t>2009</w:t>
      </w:r>
      <w:r>
        <w:rPr>
          <w:rFonts w:hint="eastAsia"/>
          <w:lang w:val="en-GB"/>
        </w:rPr>
        <w:t>年和</w:t>
      </w:r>
      <w:r>
        <w:rPr>
          <w:rFonts w:hint="eastAsia"/>
          <w:lang w:val="en-GB"/>
        </w:rPr>
        <w:t>2010</w:t>
      </w:r>
      <w:r>
        <w:rPr>
          <w:rFonts w:hint="eastAsia"/>
          <w:lang w:val="en-GB"/>
        </w:rPr>
        <w:t>年期间，分别为</w:t>
      </w:r>
      <w:r>
        <w:rPr>
          <w:rFonts w:hint="eastAsia"/>
          <w:lang w:val="en-GB"/>
        </w:rPr>
        <w:t>1,058</w:t>
      </w:r>
      <w:r>
        <w:rPr>
          <w:rFonts w:hint="eastAsia"/>
          <w:lang w:val="en-GB"/>
        </w:rPr>
        <w:t>人、</w:t>
      </w:r>
      <w:r>
        <w:rPr>
          <w:rFonts w:hint="eastAsia"/>
          <w:lang w:val="en-GB"/>
        </w:rPr>
        <w:t>1,107</w:t>
      </w:r>
      <w:r>
        <w:rPr>
          <w:rFonts w:hint="eastAsia"/>
          <w:lang w:val="en-GB"/>
        </w:rPr>
        <w:t>人和</w:t>
      </w:r>
      <w:r>
        <w:rPr>
          <w:rFonts w:hint="eastAsia"/>
          <w:lang w:val="en-GB"/>
        </w:rPr>
        <w:t>1,308</w:t>
      </w:r>
      <w:r>
        <w:rPr>
          <w:rFonts w:hint="eastAsia"/>
          <w:lang w:val="en-GB"/>
        </w:rPr>
        <w:t>人提供了服务。</w:t>
      </w:r>
    </w:p>
    <w:p w:rsidR="00CE4DFD" w:rsidRDefault="00CE4DFD">
      <w:pPr>
        <w:pStyle w:val="SingleTxtGC"/>
        <w:rPr>
          <w:lang w:val="en-GB"/>
        </w:rPr>
      </w:pPr>
      <w:r>
        <w:rPr>
          <w:lang w:val="en-GB"/>
        </w:rPr>
        <w:t xml:space="preserve">61.  </w:t>
      </w:r>
      <w:r>
        <w:rPr>
          <w:rFonts w:hint="eastAsia"/>
          <w:lang w:val="en-GB"/>
        </w:rPr>
        <w:t>在</w:t>
      </w:r>
      <w:r>
        <w:rPr>
          <w:rFonts w:hint="eastAsia"/>
          <w:lang w:val="en-GB"/>
        </w:rPr>
        <w:t>2010</w:t>
      </w:r>
      <w:r>
        <w:rPr>
          <w:rFonts w:hint="eastAsia"/>
          <w:lang w:val="en-GB"/>
        </w:rPr>
        <w:t>年，接受普通基础教育以及多样化教育的注册残疾学生共计有</w:t>
      </w:r>
      <w:r>
        <w:rPr>
          <w:rFonts w:hint="eastAsia"/>
          <w:lang w:val="en-GB"/>
        </w:rPr>
        <w:t xml:space="preserve"> 100,454</w:t>
      </w:r>
      <w:r>
        <w:rPr>
          <w:rFonts w:hint="eastAsia"/>
          <w:lang w:val="en-GB"/>
        </w:rPr>
        <w:t>人，他们有的是接受直接服务，还有的是接受支助服务，考虑到这种情况，可以说上述信息是非常引人注目的。此外，我们还发现一种趋势，就是</w:t>
      </w:r>
      <w:r>
        <w:rPr>
          <w:rFonts w:hint="eastAsia"/>
          <w:lang w:val="es-MX"/>
        </w:rPr>
        <w:t>正</w:t>
      </w:r>
      <w:r>
        <w:rPr>
          <w:rFonts w:hint="eastAsia"/>
          <w:lang w:val="en-GB"/>
        </w:rPr>
        <w:t>在接受正规教育服务的残疾学生越来越多，这表明，人们乐于在国民教育体系中采取更具包容性的实际行动。</w:t>
      </w:r>
    </w:p>
    <w:p w:rsidR="00CE4DFD" w:rsidRDefault="00CE4DFD">
      <w:pPr>
        <w:pStyle w:val="SingleTxtGC"/>
        <w:rPr>
          <w:lang w:val="en-GB"/>
        </w:rPr>
      </w:pPr>
      <w:r>
        <w:rPr>
          <w:lang w:val="en-GB"/>
        </w:rPr>
        <w:t xml:space="preserve">62.  </w:t>
      </w:r>
      <w:r>
        <w:rPr>
          <w:rFonts w:hint="eastAsia"/>
          <w:lang w:val="en-GB"/>
        </w:rPr>
        <w:t>另一方面，作为技术培训机构的国家职业学院报告称，在</w:t>
      </w:r>
      <w:r>
        <w:rPr>
          <w:rFonts w:hint="eastAsia"/>
          <w:lang w:val="en-GB"/>
        </w:rPr>
        <w:t>2008</w:t>
      </w:r>
      <w:r>
        <w:rPr>
          <w:rFonts w:hint="eastAsia"/>
          <w:lang w:val="en-GB"/>
        </w:rPr>
        <w:t>至</w:t>
      </w:r>
      <w:r>
        <w:rPr>
          <w:rFonts w:hint="eastAsia"/>
          <w:lang w:val="en-GB"/>
        </w:rPr>
        <w:t>2010</w:t>
      </w:r>
      <w:r>
        <w:rPr>
          <w:rFonts w:hint="eastAsia"/>
          <w:lang w:val="en-GB"/>
        </w:rPr>
        <w:t>年期间，注册学生共计</w:t>
      </w:r>
      <w:r>
        <w:rPr>
          <w:rFonts w:hint="eastAsia"/>
          <w:lang w:val="en-GB"/>
        </w:rPr>
        <w:t>5,194</w:t>
      </w:r>
      <w:r>
        <w:rPr>
          <w:rFonts w:hint="eastAsia"/>
          <w:lang w:val="en-GB"/>
        </w:rPr>
        <w:t>人，其中</w:t>
      </w:r>
      <w:r>
        <w:rPr>
          <w:rFonts w:hint="eastAsia"/>
          <w:lang w:val="en-GB"/>
        </w:rPr>
        <w:t>2,050</w:t>
      </w:r>
      <w:r>
        <w:rPr>
          <w:rFonts w:hint="eastAsia"/>
          <w:lang w:val="en-GB"/>
        </w:rPr>
        <w:t>人是残疾人或者在课堂上有特殊支助需要的人。</w:t>
      </w:r>
    </w:p>
    <w:p w:rsidR="00CE4DFD" w:rsidRDefault="00CE4DFD">
      <w:pPr>
        <w:pStyle w:val="SingleTxtGC"/>
        <w:rPr>
          <w:lang w:val="es-CR"/>
        </w:rPr>
      </w:pPr>
      <w:r>
        <w:rPr>
          <w:lang w:val="es-CR"/>
        </w:rPr>
        <w:t xml:space="preserve">63.  </w:t>
      </w:r>
      <w:r>
        <w:rPr>
          <w:rFonts w:hint="eastAsia"/>
          <w:lang w:val="es-CR"/>
        </w:rPr>
        <w:t>为确保在教育领域实现无障碍而采取的相关行动，主要是针对信息技术问题，利用可以增大字体的应用程序，让视力低下的人也能登陆各种网站，查询网站上提供的信息。</w:t>
      </w:r>
    </w:p>
    <w:p w:rsidR="00CE4DFD" w:rsidRDefault="00CE4DFD">
      <w:pPr>
        <w:pStyle w:val="SingleTxtGC"/>
        <w:rPr>
          <w:lang w:val="en-GB"/>
        </w:rPr>
      </w:pPr>
      <w:r>
        <w:rPr>
          <w:lang w:val="es-CR"/>
        </w:rPr>
        <w:t xml:space="preserve">64.  </w:t>
      </w:r>
      <w:r>
        <w:rPr>
          <w:rFonts w:hint="eastAsia"/>
          <w:lang w:val="es-CR"/>
        </w:rPr>
        <w:t>在无障碍物理环境方面所做的努力包括，修建坡道、改造卫生设施、加宽出入口、安装用于紧急救助的声光报警系统，以及在国家远程教育大学和哥斯达黎加理工学院安装电梯。此外，国家职业学院在各个地区分校也实施了多项重要行动，并且对</w:t>
      </w:r>
      <w:r>
        <w:rPr>
          <w:lang w:val="es-CR"/>
        </w:rPr>
        <w:t>Danilo Jiménez Veiga</w:t>
      </w:r>
      <w:r>
        <w:rPr>
          <w:rFonts w:hint="eastAsia"/>
          <w:lang w:val="es-CR"/>
        </w:rPr>
        <w:t>礼堂进行了改造。同样，在一些面向残疾人的中等教育机构实施了各种专项建筑工程，为保障残疾学生获得无障碍物理环境，仅在最近三年就重建了</w:t>
      </w:r>
      <w:r>
        <w:rPr>
          <w:rFonts w:hint="eastAsia"/>
          <w:lang w:val="es-CR"/>
        </w:rPr>
        <w:t>359</w:t>
      </w:r>
      <w:r>
        <w:rPr>
          <w:rFonts w:hint="eastAsia"/>
          <w:lang w:val="es-CR"/>
        </w:rPr>
        <w:t>所符合相关要求的教育中心。</w:t>
      </w:r>
    </w:p>
    <w:p w:rsidR="00CE4DFD" w:rsidRDefault="00CE4DFD">
      <w:pPr>
        <w:pStyle w:val="SingleTxtGC"/>
        <w:rPr>
          <w:lang w:val="en-GB"/>
        </w:rPr>
      </w:pPr>
      <w:r>
        <w:rPr>
          <w:lang w:val="es-CR"/>
        </w:rPr>
        <w:t xml:space="preserve">65.  </w:t>
      </w:r>
      <w:r>
        <w:rPr>
          <w:rFonts w:hint="eastAsia"/>
          <w:lang w:val="es-CR"/>
        </w:rPr>
        <w:t>其他重要行动包括，对教学人员、残疾人及其父母进行培训。从</w:t>
      </w:r>
      <w:r>
        <w:rPr>
          <w:rFonts w:hint="eastAsia"/>
          <w:lang w:val="es-CR"/>
        </w:rPr>
        <w:t>2003</w:t>
      </w:r>
      <w:r>
        <w:rPr>
          <w:rFonts w:hint="eastAsia"/>
          <w:lang w:val="es-CR"/>
        </w:rPr>
        <w:t>年至</w:t>
      </w:r>
      <w:r>
        <w:rPr>
          <w:rFonts w:hint="eastAsia"/>
          <w:lang w:val="es-CR"/>
        </w:rPr>
        <w:t>2010</w:t>
      </w:r>
      <w:r>
        <w:rPr>
          <w:rFonts w:hint="eastAsia"/>
          <w:lang w:val="es-CR"/>
        </w:rPr>
        <w:t>年</w:t>
      </w:r>
      <w:r>
        <w:rPr>
          <w:rFonts w:hint="eastAsia"/>
          <w:lang w:val="es-CR"/>
        </w:rPr>
        <w:t>3</w:t>
      </w:r>
      <w:r>
        <w:rPr>
          <w:rFonts w:hint="eastAsia"/>
          <w:lang w:val="es-CR"/>
        </w:rPr>
        <w:t>月份，公共教育部下属的国家全纳教育资源中心为教学人员、残疾人及其父母开办了</w:t>
      </w:r>
      <w:r>
        <w:rPr>
          <w:rFonts w:hint="eastAsia"/>
          <w:lang w:val="es-CR"/>
        </w:rPr>
        <w:t>675</w:t>
      </w:r>
      <w:r>
        <w:rPr>
          <w:rFonts w:hint="eastAsia"/>
          <w:lang w:val="es-CR"/>
        </w:rPr>
        <w:t>期培训班，涉及各类专题达</w:t>
      </w:r>
      <w:r>
        <w:rPr>
          <w:rFonts w:hint="eastAsia"/>
          <w:lang w:val="es-CR"/>
        </w:rPr>
        <w:t>65</w:t>
      </w:r>
      <w:r>
        <w:rPr>
          <w:rFonts w:hint="eastAsia"/>
          <w:lang w:val="es-CR"/>
        </w:rPr>
        <w:t>项。这些培训课程共分为三大项，即包容性教育、残疾问题和方法策略，这三大项又细分为</w:t>
      </w:r>
      <w:r>
        <w:rPr>
          <w:rFonts w:hint="eastAsia"/>
          <w:lang w:val="es-CR"/>
        </w:rPr>
        <w:t>57</w:t>
      </w:r>
      <w:r>
        <w:rPr>
          <w:rFonts w:hint="eastAsia"/>
          <w:lang w:val="es-CR"/>
        </w:rPr>
        <w:t>个专题，而第三大项的方法策略指的是机构活动，比如研讨会和讲习班。同样，教育领域的其他相关机构，也就使用手语以及照顾残疾人特殊需要问题开展了人员培训活动。</w:t>
      </w:r>
    </w:p>
    <w:p w:rsidR="00CE4DFD" w:rsidRDefault="00CE4DFD">
      <w:pPr>
        <w:pStyle w:val="SingleTxtGC"/>
        <w:rPr>
          <w:lang w:val="en-GB"/>
        </w:rPr>
      </w:pPr>
      <w:r>
        <w:rPr>
          <w:lang w:val="es-CR"/>
        </w:rPr>
        <w:t xml:space="preserve">66.  </w:t>
      </w:r>
      <w:r>
        <w:rPr>
          <w:rFonts w:hint="eastAsia"/>
          <w:lang w:val="es-CR"/>
        </w:rPr>
        <w:t>从</w:t>
      </w:r>
      <w:r>
        <w:rPr>
          <w:rFonts w:hint="eastAsia"/>
          <w:lang w:val="es-CR"/>
        </w:rPr>
        <w:t>2008</w:t>
      </w:r>
      <w:r>
        <w:rPr>
          <w:rFonts w:hint="eastAsia"/>
          <w:lang w:val="es-CR"/>
        </w:rPr>
        <w:t>至</w:t>
      </w:r>
      <w:r>
        <w:rPr>
          <w:rFonts w:hint="eastAsia"/>
          <w:lang w:val="es-CR"/>
        </w:rPr>
        <w:t>2010</w:t>
      </w:r>
      <w:r>
        <w:rPr>
          <w:rFonts w:hint="eastAsia"/>
          <w:lang w:val="es-CR"/>
        </w:rPr>
        <w:t>年期间，经济投入总计达到</w:t>
      </w:r>
      <w:r>
        <w:rPr>
          <w:lang w:val="en-GB"/>
        </w:rPr>
        <w:t>44,800,468,595</w:t>
      </w:r>
      <w:r>
        <w:rPr>
          <w:rFonts w:hint="eastAsia"/>
          <w:lang w:val="en-GB"/>
        </w:rPr>
        <w:t>.</w:t>
      </w:r>
      <w:r>
        <w:rPr>
          <w:lang w:val="en-GB"/>
        </w:rPr>
        <w:t>09</w:t>
      </w:r>
      <w:r>
        <w:rPr>
          <w:rFonts w:hint="eastAsia"/>
          <w:lang w:val="en-GB"/>
        </w:rPr>
        <w:t>科朗，折合</w:t>
      </w:r>
      <w:r>
        <w:rPr>
          <w:lang w:val="en-GB"/>
        </w:rPr>
        <w:t xml:space="preserve"> 86,881,544</w:t>
      </w:r>
      <w:r>
        <w:rPr>
          <w:rFonts w:hint="eastAsia"/>
          <w:lang w:val="en-GB"/>
        </w:rPr>
        <w:t>.</w:t>
      </w:r>
      <w:r>
        <w:rPr>
          <w:lang w:val="en-GB"/>
        </w:rPr>
        <w:t>84</w:t>
      </w:r>
      <w:r>
        <w:rPr>
          <w:rFonts w:hint="eastAsia"/>
          <w:lang w:val="en-GB"/>
        </w:rPr>
        <w:t>美元，专门用于与教育条款</w:t>
      </w:r>
      <w:r>
        <w:rPr>
          <w:rFonts w:hint="eastAsia"/>
          <w:lang w:val="en-GB"/>
        </w:rPr>
        <w:t>(</w:t>
      </w:r>
      <w:r>
        <w:rPr>
          <w:rFonts w:hint="eastAsia"/>
          <w:lang w:val="en-GB"/>
        </w:rPr>
        <w:t>第五条、第九条、第二十六条和第二十四条</w:t>
      </w:r>
      <w:r>
        <w:rPr>
          <w:rFonts w:hint="eastAsia"/>
          <w:lang w:val="en-GB"/>
        </w:rPr>
        <w:t>)</w:t>
      </w:r>
      <w:r>
        <w:rPr>
          <w:rFonts w:hint="eastAsia"/>
          <w:lang w:val="en-GB"/>
        </w:rPr>
        <w:t>有直接关系的行动。在这方面，我们以公共教育部提供的资料为准，其中主要涉及：对与残疾人一起工作的人员进行培训；公共教育机构的无障碍物理环境问题；针对残疾人的社会计划；获得技术帮助；以及聘请专人照顾残疾人。</w:t>
      </w:r>
    </w:p>
    <w:p w:rsidR="00CE4DFD" w:rsidRDefault="00CE4DFD">
      <w:pPr>
        <w:pStyle w:val="SingleTxtGC"/>
        <w:rPr>
          <w:lang w:val="en-GB"/>
        </w:rPr>
      </w:pPr>
      <w:r>
        <w:rPr>
          <w:lang w:val="en-GB"/>
        </w:rPr>
        <w:t xml:space="preserve">67.  </w:t>
      </w:r>
      <w:r>
        <w:rPr>
          <w:rFonts w:hint="eastAsia"/>
          <w:lang w:val="en-GB"/>
        </w:rPr>
        <w:t>另外，除了公共教育部的投资之外，按照全国大学校长委员会、国家职业学院以及一些公立大学提供的资料，还有其他约</w:t>
      </w:r>
      <w:r>
        <w:rPr>
          <w:lang w:val="en-GB"/>
        </w:rPr>
        <w:t>9,856,149,</w:t>
      </w:r>
      <w:r>
        <w:rPr>
          <w:lang w:val="es-CR"/>
        </w:rPr>
        <w:t>612</w:t>
      </w:r>
      <w:r>
        <w:rPr>
          <w:rFonts w:hint="eastAsia"/>
          <w:lang w:val="en-GB"/>
        </w:rPr>
        <w:t>.</w:t>
      </w:r>
      <w:r>
        <w:rPr>
          <w:lang w:val="en-GB"/>
        </w:rPr>
        <w:t>35</w:t>
      </w:r>
      <w:r>
        <w:rPr>
          <w:rFonts w:hint="eastAsia"/>
          <w:lang w:val="en-GB"/>
        </w:rPr>
        <w:t>科朗的投资，折合</w:t>
      </w:r>
      <w:r>
        <w:rPr>
          <w:lang w:val="en-GB"/>
        </w:rPr>
        <w:t xml:space="preserve"> 19,520,606</w:t>
      </w:r>
      <w:r>
        <w:rPr>
          <w:rFonts w:hint="eastAsia"/>
          <w:lang w:val="en-GB"/>
        </w:rPr>
        <w:t>.</w:t>
      </w:r>
      <w:r>
        <w:rPr>
          <w:lang w:val="en-GB"/>
        </w:rPr>
        <w:t>87</w:t>
      </w:r>
      <w:r>
        <w:rPr>
          <w:rFonts w:hint="eastAsia"/>
          <w:lang w:val="en-GB"/>
        </w:rPr>
        <w:t>美元，由于上述机构提供的数据较为笼统，并且无法一一核对是否专门用于残疾事业，因此我们只能另作他论。综合这两项投资，用于保障残疾人接受教育的投资总额达到</w:t>
      </w:r>
      <w:r>
        <w:rPr>
          <w:lang w:val="en-GB"/>
        </w:rPr>
        <w:t>54,656,618,207</w:t>
      </w:r>
      <w:r>
        <w:rPr>
          <w:rFonts w:hint="eastAsia"/>
          <w:lang w:val="en-GB"/>
        </w:rPr>
        <w:t>.</w:t>
      </w:r>
      <w:r>
        <w:rPr>
          <w:lang w:val="en-GB"/>
        </w:rPr>
        <w:t>44</w:t>
      </w:r>
      <w:r>
        <w:rPr>
          <w:rFonts w:hint="eastAsia"/>
          <w:lang w:val="en-GB"/>
        </w:rPr>
        <w:t>科朗，折合</w:t>
      </w:r>
      <w:r>
        <w:rPr>
          <w:lang w:val="en-GB"/>
        </w:rPr>
        <w:t>108,250,219</w:t>
      </w:r>
      <w:r>
        <w:rPr>
          <w:rFonts w:hint="eastAsia"/>
          <w:lang w:val="en-GB"/>
        </w:rPr>
        <w:t>.</w:t>
      </w:r>
      <w:r>
        <w:rPr>
          <w:lang w:val="en-GB"/>
        </w:rPr>
        <w:t>26</w:t>
      </w:r>
      <w:r>
        <w:rPr>
          <w:rFonts w:hint="eastAsia"/>
          <w:lang w:val="en-GB"/>
        </w:rPr>
        <w:t>美元。</w:t>
      </w:r>
    </w:p>
    <w:p w:rsidR="00CE4DFD" w:rsidRDefault="00CE4DFD">
      <w:pPr>
        <w:pStyle w:val="H23GC"/>
      </w:pPr>
      <w:r>
        <w:tab/>
        <w:t>2.</w:t>
      </w:r>
      <w:r>
        <w:rPr>
          <w:rFonts w:ascii="SimSun" w:eastAsia="SimSun" w:hAnsi="SimSun" w:cs="SimSun" w:hint="eastAsia"/>
        </w:rPr>
        <w:tab/>
      </w:r>
      <w:bookmarkStart w:id="27" w:name="_Toc352758977"/>
      <w:r>
        <w:rPr>
          <w:rFonts w:hint="eastAsia"/>
        </w:rPr>
        <w:t>有待采取的行动、制约因素和改进措施</w:t>
      </w:r>
      <w:bookmarkEnd w:id="27"/>
    </w:p>
    <w:p w:rsidR="00CE4DFD" w:rsidRDefault="00CE4DFD">
      <w:pPr>
        <w:pStyle w:val="SingleTxtGC"/>
        <w:rPr>
          <w:lang w:val="es-MX"/>
        </w:rPr>
      </w:pPr>
      <w:r>
        <w:rPr>
          <w:lang w:val="es-MX"/>
        </w:rPr>
        <w:t xml:space="preserve">68.  </w:t>
      </w:r>
      <w:r>
        <w:rPr>
          <w:rFonts w:hint="eastAsia"/>
          <w:lang w:val="es-MX"/>
        </w:rPr>
        <w:t>从相关机构提供的信息中可以看出，在残疾人享有教育机会问题上还需要采取下列主要行动：</w:t>
      </w:r>
    </w:p>
    <w:p w:rsidR="00CE4DFD" w:rsidRDefault="00CE4DFD">
      <w:pPr>
        <w:pStyle w:val="SingleTxtGC"/>
        <w:numPr>
          <w:ilvl w:val="0"/>
          <w:numId w:val="21"/>
        </w:numPr>
        <w:ind w:left="1134"/>
        <w:rPr>
          <w:rFonts w:hint="eastAsia"/>
          <w:lang w:val="es-CR"/>
        </w:rPr>
      </w:pPr>
      <w:r>
        <w:rPr>
          <w:rFonts w:hint="eastAsia"/>
          <w:lang w:val="es-MX"/>
        </w:rPr>
        <w:t>完善教育系统和相关单位的统计制度，以便掌握国内关于教育系统接纳残疾人情况的系统性资料；</w:t>
      </w:r>
    </w:p>
    <w:p w:rsidR="00CE4DFD" w:rsidRDefault="00CE4DFD">
      <w:pPr>
        <w:pStyle w:val="SingleTxtGC"/>
        <w:numPr>
          <w:ilvl w:val="0"/>
          <w:numId w:val="21"/>
        </w:numPr>
        <w:ind w:left="1134"/>
        <w:rPr>
          <w:lang w:val="es-CR"/>
        </w:rPr>
      </w:pPr>
      <w:r>
        <w:rPr>
          <w:rFonts w:hint="eastAsia"/>
          <w:lang w:val="es-CR"/>
        </w:rPr>
        <w:t>加强教育领域内机构间的协作，使国家计划与各级教育机构</w:t>
      </w:r>
      <w:r>
        <w:rPr>
          <w:rFonts w:hint="eastAsia"/>
          <w:lang w:val="es-CR"/>
        </w:rPr>
        <w:t>(</w:t>
      </w:r>
      <w:r>
        <w:rPr>
          <w:rFonts w:hint="eastAsia"/>
          <w:lang w:val="es-CR"/>
        </w:rPr>
        <w:t>初等教育、中等教育和高等教育</w:t>
      </w:r>
      <w:r>
        <w:rPr>
          <w:rFonts w:hint="eastAsia"/>
          <w:lang w:val="es-CR"/>
        </w:rPr>
        <w:t>)</w:t>
      </w:r>
      <w:r>
        <w:rPr>
          <w:rFonts w:hint="eastAsia"/>
          <w:lang w:val="es-CR"/>
        </w:rPr>
        <w:t>制定的战略和组织计划更加紧密地联系在一起，并且尽量投入更多的资金，用于照顾残疾人在整个教育领域内的需要；</w:t>
      </w:r>
    </w:p>
    <w:p w:rsidR="00CE4DFD" w:rsidRDefault="00CE4DFD">
      <w:pPr>
        <w:pStyle w:val="SingleTxtGC"/>
        <w:numPr>
          <w:ilvl w:val="0"/>
          <w:numId w:val="21"/>
        </w:numPr>
        <w:ind w:left="1134"/>
        <w:rPr>
          <w:rFonts w:hint="eastAsia"/>
          <w:lang w:val="es-CR"/>
        </w:rPr>
      </w:pPr>
      <w:r>
        <w:rPr>
          <w:rFonts w:hint="eastAsia"/>
          <w:lang w:val="es-CR"/>
        </w:rPr>
        <w:t>重点在三个方面提高教育无障碍程度，即无障碍获得信息、无障碍物理环境、以及提供起码的技术帮助，以便使残疾人在社会教育进程中获得发展；</w:t>
      </w:r>
    </w:p>
    <w:p w:rsidR="00CE4DFD" w:rsidRDefault="00CE4DFD">
      <w:pPr>
        <w:pStyle w:val="SingleTxtGC"/>
        <w:numPr>
          <w:ilvl w:val="0"/>
          <w:numId w:val="21"/>
        </w:numPr>
        <w:ind w:left="1134"/>
        <w:rPr>
          <w:rFonts w:hint="eastAsia"/>
          <w:lang w:val="en-GB"/>
        </w:rPr>
      </w:pPr>
      <w:r>
        <w:rPr>
          <w:rFonts w:hint="eastAsia"/>
          <w:lang w:val="es-CR"/>
        </w:rPr>
        <w:t>就提高残疾人形象以及促进残疾人权利等问题，改进并增加针对教学人员、教育行业行政管理人员、残疾人及其家庭的培训活动</w:t>
      </w:r>
      <w:r>
        <w:rPr>
          <w:rFonts w:hint="eastAsia"/>
          <w:lang w:val="en-GB"/>
        </w:rPr>
        <w:t>；</w:t>
      </w:r>
    </w:p>
    <w:p w:rsidR="00CE4DFD" w:rsidRDefault="00CE4DFD">
      <w:pPr>
        <w:pStyle w:val="SingleTxtGC"/>
        <w:numPr>
          <w:ilvl w:val="0"/>
          <w:numId w:val="21"/>
        </w:numPr>
        <w:ind w:left="1134"/>
        <w:rPr>
          <w:lang w:val="en-GB"/>
        </w:rPr>
      </w:pPr>
      <w:r>
        <w:rPr>
          <w:rFonts w:hint="eastAsia"/>
          <w:lang w:val="en-GB"/>
        </w:rPr>
        <w:t>把针对残疾学生的支助服务延伸到中等教育当中，并加强农村地区的支助服务。</w:t>
      </w:r>
    </w:p>
    <w:p w:rsidR="00CE4DFD" w:rsidRDefault="00CE4DFD">
      <w:pPr>
        <w:pStyle w:val="SingleTxtGC"/>
        <w:rPr>
          <w:lang w:val="en-GB"/>
        </w:rPr>
      </w:pPr>
      <w:r>
        <w:rPr>
          <w:lang w:val="en-GB"/>
        </w:rPr>
        <w:t xml:space="preserve">69.  </w:t>
      </w:r>
      <w:r>
        <w:rPr>
          <w:rFonts w:hint="eastAsia"/>
          <w:lang w:val="en-GB"/>
        </w:rPr>
        <w:t>制约我们全面执行《公约》规定的主要因素包括：</w:t>
      </w:r>
    </w:p>
    <w:p w:rsidR="00CE4DFD" w:rsidRDefault="00CE4DFD">
      <w:pPr>
        <w:pStyle w:val="SingleTxtGC"/>
        <w:numPr>
          <w:ilvl w:val="1"/>
          <w:numId w:val="21"/>
        </w:numPr>
        <w:ind w:left="1134"/>
        <w:rPr>
          <w:lang w:val="en-GB"/>
        </w:rPr>
      </w:pPr>
      <w:r>
        <w:rPr>
          <w:rFonts w:hint="eastAsia"/>
          <w:lang w:val="en-GB"/>
        </w:rPr>
        <w:t>缺少关于教育系统接纳残疾人情况的信息；</w:t>
      </w:r>
    </w:p>
    <w:p w:rsidR="00CE4DFD" w:rsidRDefault="00CE4DFD">
      <w:pPr>
        <w:pStyle w:val="SingleTxtGC"/>
        <w:numPr>
          <w:ilvl w:val="1"/>
          <w:numId w:val="21"/>
        </w:numPr>
        <w:ind w:left="1134"/>
        <w:rPr>
          <w:lang w:val="en-GB"/>
        </w:rPr>
      </w:pPr>
      <w:r>
        <w:rPr>
          <w:rFonts w:hint="eastAsia"/>
          <w:lang w:val="en-GB"/>
        </w:rPr>
        <w:t>难以在行业内各类教育机构之间进行适当的协调工作；</w:t>
      </w:r>
    </w:p>
    <w:p w:rsidR="00CE4DFD" w:rsidRDefault="00CE4DFD">
      <w:pPr>
        <w:pStyle w:val="SingleTxtGC"/>
        <w:numPr>
          <w:ilvl w:val="1"/>
          <w:numId w:val="21"/>
        </w:numPr>
        <w:ind w:left="1134"/>
        <w:rPr>
          <w:lang w:val="en-GB"/>
        </w:rPr>
      </w:pPr>
      <w:r>
        <w:rPr>
          <w:rFonts w:hint="eastAsia"/>
          <w:lang w:val="en-GB"/>
        </w:rPr>
        <w:t>高层决策部门之间缺乏对残疾问题的明确认识，这些决策部门更应当把残疾问题理解为包容性问题，而不是身体功能的问题；</w:t>
      </w:r>
    </w:p>
    <w:p w:rsidR="00CE4DFD" w:rsidRDefault="00CE4DFD">
      <w:pPr>
        <w:pStyle w:val="SingleTxtGC"/>
        <w:numPr>
          <w:ilvl w:val="1"/>
          <w:numId w:val="21"/>
        </w:numPr>
        <w:ind w:left="1134"/>
        <w:rPr>
          <w:lang w:val="en-GB"/>
        </w:rPr>
      </w:pPr>
      <w:r>
        <w:rPr>
          <w:rFonts w:hint="eastAsia"/>
          <w:lang w:val="en-GB"/>
        </w:rPr>
        <w:t>正因为对残疾问题缺乏明确的认识，所以没有重视关于残疾人状况的问题；</w:t>
      </w:r>
    </w:p>
    <w:p w:rsidR="00CE4DFD" w:rsidRDefault="00CE4DFD">
      <w:pPr>
        <w:pStyle w:val="SingleTxtGC"/>
        <w:numPr>
          <w:ilvl w:val="1"/>
          <w:numId w:val="21"/>
        </w:numPr>
        <w:ind w:left="1134"/>
        <w:rPr>
          <w:rFonts w:hint="eastAsia"/>
          <w:lang w:val="en-GB"/>
        </w:rPr>
      </w:pPr>
      <w:r>
        <w:rPr>
          <w:rFonts w:hint="eastAsia"/>
          <w:lang w:val="en-GB"/>
        </w:rPr>
        <w:t>关于接纳残疾人接受教育的问题，普遍存在态度上的障碍。</w:t>
      </w:r>
    </w:p>
    <w:p w:rsidR="00CE4DFD" w:rsidRDefault="00CE4DFD">
      <w:pPr>
        <w:pStyle w:val="SingleTxtGC"/>
        <w:rPr>
          <w:lang w:val="en-GB"/>
        </w:rPr>
      </w:pPr>
      <w:r>
        <w:rPr>
          <w:lang w:val="en-GB"/>
        </w:rPr>
        <w:t xml:space="preserve">70.  </w:t>
      </w:r>
      <w:r>
        <w:rPr>
          <w:rFonts w:hint="eastAsia"/>
          <w:lang w:val="en-GB"/>
        </w:rPr>
        <w:t>最后要强调的是，负责保障教育权利的机构提出需要采取的行动包括：在无障碍物理环境和增加预算方面采取行动，以及为照顾残疾学生的特殊需要实施专项行动。</w:t>
      </w:r>
    </w:p>
    <w:p w:rsidR="00CE4DFD" w:rsidRDefault="00CE4DFD">
      <w:pPr>
        <w:pStyle w:val="H23GC"/>
        <w:rPr>
          <w:rFonts w:hint="eastAsia"/>
        </w:rPr>
      </w:pPr>
      <w:r>
        <w:tab/>
        <w:t>3.</w:t>
      </w:r>
      <w:r>
        <w:rPr>
          <w:rFonts w:ascii="SimSun" w:eastAsia="SimSun" w:hAnsi="SimSun" w:cs="SimSun" w:hint="eastAsia"/>
        </w:rPr>
        <w:tab/>
      </w:r>
      <w:bookmarkStart w:id="28" w:name="_Toc352758978"/>
      <w:r>
        <w:rPr>
          <w:rFonts w:hint="eastAsia"/>
        </w:rPr>
        <w:t>民间社会的意见</w:t>
      </w:r>
      <w:bookmarkEnd w:id="28"/>
    </w:p>
    <w:p w:rsidR="00CE4DFD" w:rsidRDefault="00CE4DFD">
      <w:pPr>
        <w:pStyle w:val="SingleTxtGC"/>
        <w:rPr>
          <w:lang w:val="es-CR"/>
        </w:rPr>
      </w:pPr>
      <w:r>
        <w:rPr>
          <w:lang w:val="es-CR"/>
        </w:rPr>
        <w:t xml:space="preserve">71.  </w:t>
      </w:r>
      <w:r>
        <w:rPr>
          <w:rFonts w:hint="eastAsia"/>
          <w:lang w:val="es-CR"/>
        </w:rPr>
        <w:t>关于教育权问题以及国家采取相关保障行动方面，民间社会表示，有必要制定相应的教育战略，顺应《公约》就包容性以及教育机构不排拒残疾人方面提出的要求。</w:t>
      </w:r>
    </w:p>
    <w:p w:rsidR="00CE4DFD" w:rsidRDefault="00CE4DFD">
      <w:pPr>
        <w:pStyle w:val="SingleTxtGC"/>
        <w:rPr>
          <w:lang w:val="en-GB"/>
        </w:rPr>
      </w:pPr>
      <w:r>
        <w:rPr>
          <w:lang w:val="en-GB"/>
        </w:rPr>
        <w:t xml:space="preserve">72.  </w:t>
      </w:r>
      <w:r>
        <w:rPr>
          <w:rFonts w:hint="eastAsia"/>
          <w:lang w:val="en-GB"/>
        </w:rPr>
        <w:t>针对国家实施的行动，民间社会指出，这些行动无外乎就是修筑一些坡道，也就是说，从相关机构提供的信息中可以看出，只在某些方面采取了正确的行动，还缺少关于教育质量以及为残疾人提供服务方面的情况，此外，还缺少经过良好培训的专业人员，在无障碍问题上采取的行动只涉及到无障碍物理环境问题，而没有涉及其他方面的无障碍问题，也没有涉及与包容性发展以及通用设计有关的问题；同样，这些行动更多的是遵循第</w:t>
      </w:r>
      <w:r>
        <w:rPr>
          <w:rFonts w:hint="eastAsia"/>
          <w:lang w:val="en-GB"/>
        </w:rPr>
        <w:t>7600</w:t>
      </w:r>
      <w:r>
        <w:rPr>
          <w:rFonts w:hint="eastAsia"/>
          <w:lang w:val="en-GB"/>
        </w:rPr>
        <w:t>号法律，而没有按照《公约》自身的规定行事。</w:t>
      </w:r>
    </w:p>
    <w:p w:rsidR="00CE4DFD" w:rsidRDefault="00CE4DFD">
      <w:pPr>
        <w:pStyle w:val="SingleTxtGC"/>
        <w:rPr>
          <w:iCs/>
          <w:lang w:val="es-CR"/>
        </w:rPr>
      </w:pPr>
      <w:r>
        <w:rPr>
          <w:lang w:val="en-GB"/>
        </w:rPr>
        <w:t xml:space="preserve">73.  </w:t>
      </w:r>
      <w:r>
        <w:rPr>
          <w:rFonts w:hint="eastAsia"/>
          <w:lang w:val="en-GB"/>
        </w:rPr>
        <w:t>尽管在国家制定的行动方案中提及，要为解决残疾人交通问题提供经济资助，但人们认为，在交通方面还缺少其他一些支持措施，例如针对残疾学生的支持措施。相对于中部山谷地区，在国内各个地区存在巨大的差距，特别是在信息软件设施选择问题上，人们认为存在互联网接入服务方面的欠缺。</w:t>
      </w:r>
    </w:p>
    <w:p w:rsidR="00CE4DFD" w:rsidRDefault="00CE4DFD">
      <w:pPr>
        <w:pStyle w:val="SingleTxtGC"/>
        <w:rPr>
          <w:iCs/>
          <w:lang w:val="es-CR"/>
        </w:rPr>
      </w:pPr>
      <w:r>
        <w:rPr>
          <w:lang w:val="en-GB"/>
        </w:rPr>
        <w:t xml:space="preserve">74.  </w:t>
      </w:r>
      <w:r>
        <w:rPr>
          <w:rFonts w:hint="eastAsia"/>
          <w:lang w:val="en-GB"/>
        </w:rPr>
        <w:t>最后，参与协商活动的代表明确指出，在大学范围内需要有相应的行动计划，以便能够从包容性角度培养专业人员，并使人们更加尊重其他人，特别是尊重残疾人，并且还应当加上针对家长的教育，以便他们能够积极地参与子女的教育过程。</w:t>
      </w:r>
    </w:p>
    <w:p w:rsidR="00CE4DFD" w:rsidRDefault="00CE4DFD">
      <w:pPr>
        <w:pStyle w:val="H1GC"/>
        <w:rPr>
          <w:rFonts w:hint="eastAsia"/>
        </w:rPr>
      </w:pPr>
      <w:bookmarkStart w:id="29" w:name="_Toc287347908"/>
      <w:r>
        <w:tab/>
        <w:t>D.</w:t>
      </w:r>
      <w:bookmarkEnd w:id="29"/>
      <w:r>
        <w:rPr>
          <w:rFonts w:ascii="SimSun" w:eastAsia="SimSun" w:hAnsi="SimSun" w:cs="SimSun" w:hint="eastAsia"/>
        </w:rPr>
        <w:tab/>
      </w:r>
      <w:bookmarkStart w:id="30" w:name="_Toc352758979"/>
      <w:r>
        <w:rPr>
          <w:rFonts w:hint="eastAsia"/>
        </w:rPr>
        <w:t>劳动和就业权利</w:t>
      </w:r>
      <w:bookmarkEnd w:id="30"/>
    </w:p>
    <w:p w:rsidR="00CE4DFD" w:rsidRDefault="00CE4DFD">
      <w:pPr>
        <w:pStyle w:val="SingleTxtGC"/>
        <w:rPr>
          <w:rFonts w:hint="eastAsia"/>
          <w:lang w:val="en-GB"/>
        </w:rPr>
      </w:pPr>
      <w:r>
        <w:rPr>
          <w:lang w:val="es-MX"/>
        </w:rPr>
        <w:t xml:space="preserve">75.  </w:t>
      </w:r>
      <w:r>
        <w:rPr>
          <w:rFonts w:hint="eastAsia"/>
          <w:lang w:val="es-MX"/>
        </w:rPr>
        <w:t>负责保障劳动和就业权利</w:t>
      </w:r>
      <w:r>
        <w:rPr>
          <w:rFonts w:hint="eastAsia"/>
          <w:lang w:val="es-MX"/>
        </w:rPr>
        <w:t>(</w:t>
      </w:r>
      <w:r>
        <w:rPr>
          <w:rFonts w:hint="eastAsia"/>
          <w:lang w:val="es-MX"/>
        </w:rPr>
        <w:t>《公约》第二十七条</w:t>
      </w:r>
      <w:r>
        <w:rPr>
          <w:rFonts w:hint="eastAsia"/>
          <w:lang w:val="es-MX"/>
        </w:rPr>
        <w:t>)</w:t>
      </w:r>
      <w:r>
        <w:rPr>
          <w:rFonts w:hint="eastAsia"/>
          <w:lang w:val="es-MX"/>
        </w:rPr>
        <w:t>的机构包括，经济、工业和贸易部，劳动和社会保障部。其他相关条款还包括第二十六条</w:t>
      </w:r>
      <w:r>
        <w:rPr>
          <w:rFonts w:hint="eastAsia"/>
          <w:lang w:val="es-MX"/>
        </w:rPr>
        <w:t>(</w:t>
      </w:r>
      <w:r>
        <w:rPr>
          <w:rFonts w:hint="eastAsia"/>
          <w:lang w:val="es-MX"/>
        </w:rPr>
        <w:t>适应训练和康复</w:t>
      </w:r>
      <w:r>
        <w:rPr>
          <w:rFonts w:hint="eastAsia"/>
          <w:lang w:val="es-MX"/>
        </w:rPr>
        <w:t>)</w:t>
      </w:r>
      <w:r>
        <w:rPr>
          <w:rFonts w:hint="eastAsia"/>
          <w:lang w:val="es-MX"/>
        </w:rPr>
        <w:t>和第九条</w:t>
      </w:r>
      <w:r>
        <w:rPr>
          <w:rFonts w:hint="eastAsia"/>
          <w:lang w:val="es-MX"/>
        </w:rPr>
        <w:t>(</w:t>
      </w:r>
      <w:r>
        <w:rPr>
          <w:rFonts w:hint="eastAsia"/>
          <w:lang w:val="es-MX"/>
        </w:rPr>
        <w:t>无障碍</w:t>
      </w:r>
      <w:r>
        <w:rPr>
          <w:rFonts w:hint="eastAsia"/>
          <w:lang w:val="es-MX"/>
        </w:rPr>
        <w:t>)</w:t>
      </w:r>
      <w:r>
        <w:rPr>
          <w:rFonts w:hint="eastAsia"/>
          <w:lang w:val="es-MX"/>
        </w:rPr>
        <w:t>。</w:t>
      </w:r>
    </w:p>
    <w:p w:rsidR="00CE4DFD" w:rsidRDefault="00CE4DFD">
      <w:pPr>
        <w:pStyle w:val="SingleTxtGC"/>
        <w:rPr>
          <w:lang w:val="en-GB"/>
        </w:rPr>
      </w:pPr>
      <w:r>
        <w:rPr>
          <w:lang w:val="en-GB"/>
        </w:rPr>
        <w:t xml:space="preserve">76.  </w:t>
      </w:r>
      <w:r>
        <w:rPr>
          <w:rFonts w:hint="eastAsia"/>
          <w:lang w:val="en-GB"/>
        </w:rPr>
        <w:t>在法律框架内，现存并且旨在争取残疾人就业权利的法律包括：《劳动法》</w:t>
      </w:r>
      <w:r>
        <w:rPr>
          <w:rFonts w:hint="eastAsia"/>
          <w:lang w:val="en-GB"/>
        </w:rPr>
        <w:t>(</w:t>
      </w:r>
      <w:r>
        <w:rPr>
          <w:rFonts w:hint="eastAsia"/>
          <w:lang w:val="en-GB"/>
        </w:rPr>
        <w:t>第</w:t>
      </w:r>
      <w:r>
        <w:rPr>
          <w:rFonts w:hint="eastAsia"/>
          <w:lang w:val="en-GB"/>
        </w:rPr>
        <w:t>30391</w:t>
      </w:r>
      <w:r>
        <w:rPr>
          <w:rFonts w:hint="eastAsia"/>
          <w:lang w:val="en-GB"/>
        </w:rPr>
        <w:t>号行政令</w:t>
      </w:r>
      <w:r>
        <w:rPr>
          <w:rFonts w:hint="eastAsia"/>
          <w:lang w:val="en-GB"/>
        </w:rPr>
        <w:t>)</w:t>
      </w:r>
      <w:r>
        <w:rPr>
          <w:rFonts w:hint="eastAsia"/>
          <w:lang w:val="en-GB"/>
        </w:rPr>
        <w:t>，依据该法律成立了残疾人机会平等办公室，并最终制定了目前的《残疾人在公共部门就业和劳动保护法》</w:t>
      </w:r>
      <w:r>
        <w:rPr>
          <w:rFonts w:hint="eastAsia"/>
          <w:lang w:val="en-GB"/>
        </w:rPr>
        <w:t>(</w:t>
      </w:r>
      <w:r>
        <w:rPr>
          <w:rFonts w:hint="eastAsia"/>
          <w:lang w:val="en-GB"/>
        </w:rPr>
        <w:t>第</w:t>
      </w:r>
      <w:r>
        <w:rPr>
          <w:rFonts w:hint="eastAsia"/>
          <w:lang w:val="en-GB"/>
        </w:rPr>
        <w:t>8862</w:t>
      </w:r>
      <w:r>
        <w:rPr>
          <w:rFonts w:hint="eastAsia"/>
          <w:lang w:val="en-GB"/>
        </w:rPr>
        <w:t>号法律</w:t>
      </w:r>
      <w:r>
        <w:rPr>
          <w:rFonts w:hint="eastAsia"/>
          <w:lang w:val="en-GB"/>
        </w:rPr>
        <w:t>)</w:t>
      </w:r>
      <w:r>
        <w:rPr>
          <w:rFonts w:hint="eastAsia"/>
          <w:lang w:val="en-GB"/>
        </w:rPr>
        <w:t>及其条例，目前总统府正在准备公布该条例。除此之外，劳动和社会保障部于</w:t>
      </w:r>
      <w:r>
        <w:rPr>
          <w:rFonts w:hint="eastAsia"/>
          <w:lang w:val="en-GB"/>
        </w:rPr>
        <w:t>2007</w:t>
      </w:r>
      <w:r>
        <w:rPr>
          <w:rFonts w:hint="eastAsia"/>
          <w:lang w:val="en-GB"/>
        </w:rPr>
        <w:t>年</w:t>
      </w:r>
      <w:r>
        <w:rPr>
          <w:rFonts w:hint="eastAsia"/>
          <w:lang w:val="en-GB"/>
        </w:rPr>
        <w:t>1</w:t>
      </w:r>
      <w:r>
        <w:rPr>
          <w:rFonts w:hint="eastAsia"/>
          <w:lang w:val="en-GB"/>
        </w:rPr>
        <w:t>月发布第</w:t>
      </w:r>
      <w:r>
        <w:rPr>
          <w:rFonts w:hint="eastAsia"/>
          <w:lang w:val="en-GB"/>
        </w:rPr>
        <w:t>14</w:t>
      </w:r>
      <w:r>
        <w:rPr>
          <w:rFonts w:hint="eastAsia"/>
          <w:lang w:val="en-GB"/>
        </w:rPr>
        <w:t>号指示，成立了残疾人就业问题机构间技术委员会，目的是协调行动，对残疾人进行技术培训并使残疾人具备就业能力。</w:t>
      </w:r>
    </w:p>
    <w:p w:rsidR="00CE4DFD" w:rsidRDefault="00CE4DFD">
      <w:pPr>
        <w:pStyle w:val="H23GC"/>
      </w:pPr>
      <w:r>
        <w:tab/>
        <w:t>1.</w:t>
      </w:r>
      <w:r>
        <w:rPr>
          <w:rFonts w:ascii="SimSun" w:eastAsia="SimSun" w:hAnsi="SimSun" w:cs="SimSun" w:hint="eastAsia"/>
        </w:rPr>
        <w:tab/>
      </w:r>
      <w:bookmarkStart w:id="31" w:name="_Toc352758980"/>
      <w:r>
        <w:t>实施的行动和专项资金</w:t>
      </w:r>
      <w:bookmarkEnd w:id="31"/>
    </w:p>
    <w:p w:rsidR="00CE4DFD" w:rsidRDefault="00CE4DFD">
      <w:pPr>
        <w:pStyle w:val="SingleTxtGC"/>
        <w:rPr>
          <w:lang w:val="en-GB"/>
        </w:rPr>
      </w:pPr>
      <w:r>
        <w:rPr>
          <w:lang w:val="en-GB"/>
        </w:rPr>
        <w:t xml:space="preserve">77.  </w:t>
      </w:r>
      <w:r>
        <w:rPr>
          <w:rFonts w:hint="eastAsia"/>
          <w:lang w:val="en-GB"/>
        </w:rPr>
        <w:t>根据劳动和社会保障部所做的汇报，国家采取的主要行动是，劳动和社会保障部下属的机会平等办公室，就残疾方面的立法、财政鼓励政策、机会平等、无障碍、劳动权利、社会包容等问题，向各种社会主体、雇主、专业人员、大学生和普通民众提供咨询意见并开展培训活动，比如，就制定劳动和残疾方面的政策、战略和行动措施问题，为劳动和社会保障部高级官员提供咨询意见并开展培训活动。</w:t>
      </w:r>
    </w:p>
    <w:p w:rsidR="00CE4DFD" w:rsidRDefault="00CE4DFD">
      <w:pPr>
        <w:pStyle w:val="SingleTxtGC"/>
        <w:rPr>
          <w:lang w:val="en-GB"/>
        </w:rPr>
      </w:pPr>
      <w:r>
        <w:rPr>
          <w:lang w:val="en-GB"/>
        </w:rPr>
        <w:t xml:space="preserve">78.  </w:t>
      </w:r>
      <w:r>
        <w:rPr>
          <w:rFonts w:hint="eastAsia"/>
          <w:lang w:val="en-GB"/>
        </w:rPr>
        <w:t>其中，</w:t>
      </w:r>
      <w:r>
        <w:rPr>
          <w:rFonts w:hint="eastAsia"/>
          <w:lang w:val="en-GB"/>
        </w:rPr>
        <w:t>2008</w:t>
      </w:r>
      <w:r>
        <w:rPr>
          <w:rFonts w:hint="eastAsia"/>
          <w:lang w:val="en-GB"/>
        </w:rPr>
        <w:t>年期间，就残疾和劳动问题，对包括雇主、专业人员和大学生在内的</w:t>
      </w:r>
      <w:r>
        <w:rPr>
          <w:rFonts w:hint="eastAsia"/>
          <w:lang w:val="en-GB"/>
        </w:rPr>
        <w:t>196</w:t>
      </w:r>
      <w:r>
        <w:rPr>
          <w:rFonts w:hint="eastAsia"/>
          <w:lang w:val="en-GB"/>
        </w:rPr>
        <w:t>人进行了培训，并且通过面对面或打电话的方式接待了</w:t>
      </w:r>
      <w:r>
        <w:rPr>
          <w:rFonts w:hint="eastAsia"/>
          <w:lang w:val="en-GB"/>
        </w:rPr>
        <w:t>220</w:t>
      </w:r>
      <w:r>
        <w:rPr>
          <w:rFonts w:hint="eastAsia"/>
          <w:lang w:val="en-GB"/>
        </w:rPr>
        <w:t>名残疾人，就社会劳动问题为这些人提供了咨询服务。</w:t>
      </w:r>
    </w:p>
    <w:p w:rsidR="00CE4DFD" w:rsidRDefault="00CE4DFD">
      <w:pPr>
        <w:pStyle w:val="SingleTxtGC"/>
        <w:rPr>
          <w:lang w:val="en-GB"/>
        </w:rPr>
      </w:pPr>
      <w:r>
        <w:rPr>
          <w:lang w:val="en-GB"/>
        </w:rPr>
        <w:t xml:space="preserve">79.  </w:t>
      </w:r>
      <w:r>
        <w:rPr>
          <w:rFonts w:hint="eastAsia"/>
          <w:lang w:val="en-GB"/>
        </w:rPr>
        <w:t>为了促进残疾人参加工作，我们与温贝托·阿拉亚·罗哈斯国家康复中心进行了合作，目的是完成残疾人职业评估工作，以便了解残疾人的职业概况，争取让他们今后有更多机会获得聘任，目前这项工作已经成为</w:t>
      </w:r>
      <w:r>
        <w:rPr>
          <w:rFonts w:hint="eastAsia"/>
          <w:lang w:val="es-MX"/>
        </w:rPr>
        <w:t>全国康复和特殊教育委员会以及</w:t>
      </w:r>
      <w:r>
        <w:rPr>
          <w:rFonts w:hint="eastAsia"/>
          <w:lang w:val="en-GB"/>
        </w:rPr>
        <w:t>日本国际协力机构</w:t>
      </w:r>
      <w:r>
        <w:rPr>
          <w:rFonts w:hint="eastAsia"/>
          <w:lang w:val="en-GB"/>
        </w:rPr>
        <w:t>(JICA)</w:t>
      </w:r>
      <w:r>
        <w:rPr>
          <w:rFonts w:hint="eastAsia"/>
          <w:lang w:val="en-GB"/>
        </w:rPr>
        <w:t>在哥斯达黎加南部地区执行的</w:t>
      </w:r>
      <w:r>
        <w:rPr>
          <w:rFonts w:hint="eastAsia"/>
          <w:lang w:val="es-MX"/>
        </w:rPr>
        <w:t>卡洛依项目的一部分，</w:t>
      </w:r>
      <w:r>
        <w:rPr>
          <w:rFonts w:hint="eastAsia"/>
          <w:lang w:val="en-GB"/>
        </w:rPr>
        <w:t>该项目旨在促进和鼓励残疾人加入到经济活跃人口行列，其中最突出的成果是，机会平等办公室一位负责残疾人事务的官员长期参与项目的执行工作，使劳动和社会保障部地区代表处的职能得到加强。</w:t>
      </w:r>
    </w:p>
    <w:p w:rsidR="00CE4DFD" w:rsidRDefault="00CE4DFD">
      <w:pPr>
        <w:pStyle w:val="SingleTxtGC"/>
        <w:rPr>
          <w:lang w:val="en-GB"/>
        </w:rPr>
      </w:pPr>
      <w:r>
        <w:rPr>
          <w:lang w:val="en-GB"/>
        </w:rPr>
        <w:t xml:space="preserve">80.  </w:t>
      </w:r>
      <w:r>
        <w:rPr>
          <w:rFonts w:hint="eastAsia"/>
          <w:lang w:val="en-GB"/>
        </w:rPr>
        <w:t>其他促进行动还包括，与</w:t>
      </w:r>
      <w:r>
        <w:rPr>
          <w:lang w:val="en-GB"/>
        </w:rPr>
        <w:t>Medias Casino</w:t>
      </w:r>
      <w:r>
        <w:rPr>
          <w:rFonts w:hint="eastAsia"/>
          <w:lang w:val="en-GB"/>
        </w:rPr>
        <w:t>、</w:t>
      </w:r>
      <w:r>
        <w:rPr>
          <w:lang w:val="en-GB"/>
        </w:rPr>
        <w:t>Irex de Costa Rica</w:t>
      </w:r>
      <w:r>
        <w:rPr>
          <w:rFonts w:hint="eastAsia"/>
          <w:lang w:val="en-GB"/>
        </w:rPr>
        <w:t>和</w:t>
      </w:r>
      <w:r>
        <w:rPr>
          <w:lang w:val="en-GB"/>
        </w:rPr>
        <w:t>INYCO</w:t>
      </w:r>
      <w:r>
        <w:rPr>
          <w:rFonts w:hint="eastAsia"/>
          <w:lang w:val="en-GB"/>
        </w:rPr>
        <w:t>这三家企业一起执行《残疾人务工试点计划》，利用从中获得的经验，针对在引导残疾人参加工作过程中存在的残疾人问题、如何让残疾人融入社会、以及如何为残疾企业家以及残疾工人提供陪护服务等问题，为企业提供咨询意见，通过努力，最终有</w:t>
      </w:r>
      <w:r>
        <w:rPr>
          <w:rFonts w:hint="eastAsia"/>
          <w:lang w:val="en-GB"/>
        </w:rPr>
        <w:t>32</w:t>
      </w:r>
      <w:r>
        <w:rPr>
          <w:rFonts w:hint="eastAsia"/>
          <w:lang w:val="en-GB"/>
        </w:rPr>
        <w:t>名残疾人获得聘用，并且还制作了一个视频，由企业家们述说对残疾人务工问题的看法，今后我们将利用这种方式，进一步提高企业界以及其他重要社会主体对残疾人务工问题的认识。</w:t>
      </w:r>
    </w:p>
    <w:p w:rsidR="00CE4DFD" w:rsidRDefault="00CE4DFD">
      <w:pPr>
        <w:pStyle w:val="SingleTxtGC"/>
        <w:rPr>
          <w:rFonts w:hint="eastAsia"/>
          <w:lang w:val="en-GB"/>
        </w:rPr>
      </w:pPr>
      <w:r>
        <w:rPr>
          <w:lang w:val="en-GB"/>
        </w:rPr>
        <w:t xml:space="preserve">81.  </w:t>
      </w:r>
      <w:r>
        <w:rPr>
          <w:rFonts w:hint="eastAsia"/>
          <w:lang w:val="en-GB"/>
        </w:rPr>
        <w:t>除此之外，还应当重点强调，私营部门在国际合作范围内并结合相关国家机构提供的咨询意见所采取的各项举措，具体来说，就是利用《以技术换就业计划》</w:t>
      </w:r>
      <w:r>
        <w:rPr>
          <w:rFonts w:hint="eastAsia"/>
          <w:lang w:val="en-GB"/>
        </w:rPr>
        <w:t>(POETA</w:t>
      </w:r>
      <w:r>
        <w:rPr>
          <w:rFonts w:hint="eastAsia"/>
          <w:lang w:val="en-GB"/>
        </w:rPr>
        <w:t>项目</w:t>
      </w:r>
      <w:r>
        <w:rPr>
          <w:rFonts w:hint="eastAsia"/>
          <w:lang w:val="en-GB"/>
        </w:rPr>
        <w:t>)</w:t>
      </w:r>
      <w:r>
        <w:rPr>
          <w:rFonts w:hint="eastAsia"/>
          <w:lang w:val="en-GB"/>
        </w:rPr>
        <w:t>实施的行动，因为这是一个国际合作项目，所以我们将在本报告第八点</w:t>
      </w:r>
      <w:r>
        <w:rPr>
          <w:rFonts w:hint="eastAsia"/>
          <w:lang w:val="en-GB"/>
        </w:rPr>
        <w:t>(</w:t>
      </w:r>
      <w:r>
        <w:rPr>
          <w:rFonts w:hint="eastAsia"/>
          <w:lang w:val="en-GB"/>
        </w:rPr>
        <w:t>关于国际合计项目和残疾问题</w:t>
      </w:r>
      <w:r>
        <w:rPr>
          <w:rFonts w:hint="eastAsia"/>
          <w:lang w:val="en-GB"/>
        </w:rPr>
        <w:t>)</w:t>
      </w:r>
      <w:r>
        <w:rPr>
          <w:rFonts w:hint="eastAsia"/>
          <w:lang w:val="en-GB"/>
        </w:rPr>
        <w:t>中做具体介绍。</w:t>
      </w:r>
    </w:p>
    <w:p w:rsidR="00CE4DFD" w:rsidRDefault="00CE4DFD">
      <w:pPr>
        <w:pStyle w:val="SingleTxtGC"/>
        <w:rPr>
          <w:lang w:val="en-GB"/>
        </w:rPr>
      </w:pPr>
      <w:r>
        <w:rPr>
          <w:lang w:val="en-GB"/>
        </w:rPr>
        <w:t xml:space="preserve">82.  </w:t>
      </w:r>
      <w:r>
        <w:rPr>
          <w:rFonts w:hint="eastAsia"/>
          <w:lang w:val="en-GB"/>
        </w:rPr>
        <w:t>所有这些行动不仅有助于残疾人参加工作，同时还是进一步树立残疾人积极形象的有效措施。</w:t>
      </w:r>
    </w:p>
    <w:p w:rsidR="00CE4DFD" w:rsidRDefault="00CE4DFD">
      <w:pPr>
        <w:pStyle w:val="H23GC"/>
      </w:pPr>
      <w:r>
        <w:tab/>
        <w:t>2.</w:t>
      </w:r>
      <w:r>
        <w:rPr>
          <w:rFonts w:ascii="SimSun" w:eastAsia="SimSun" w:hAnsi="SimSun" w:cs="SimSun" w:hint="eastAsia"/>
        </w:rPr>
        <w:tab/>
      </w:r>
      <w:bookmarkStart w:id="32" w:name="_Toc352758981"/>
      <w:r>
        <w:rPr>
          <w:rFonts w:hint="eastAsia"/>
        </w:rPr>
        <w:t>有待采取的行动、制约因素和改进措施</w:t>
      </w:r>
      <w:bookmarkEnd w:id="32"/>
    </w:p>
    <w:p w:rsidR="00CE4DFD" w:rsidRDefault="00CE4DFD">
      <w:pPr>
        <w:pStyle w:val="SingleTxtGC"/>
        <w:rPr>
          <w:lang w:val="en-GB"/>
        </w:rPr>
      </w:pPr>
      <w:r>
        <w:rPr>
          <w:lang w:val="en-GB"/>
        </w:rPr>
        <w:t xml:space="preserve">83.  </w:t>
      </w:r>
      <w:r>
        <w:rPr>
          <w:rFonts w:hint="eastAsia"/>
          <w:lang w:val="en-GB"/>
        </w:rPr>
        <w:t>尽管相关机构未提及需要进一步采取行动，但残疾人代表在协商过程中提出了各种意见，表示需要采取另外一些行动。</w:t>
      </w:r>
    </w:p>
    <w:p w:rsidR="00CE4DFD" w:rsidRDefault="00CE4DFD">
      <w:pPr>
        <w:pStyle w:val="SingleTxtGC"/>
        <w:rPr>
          <w:lang w:val="en-GB"/>
        </w:rPr>
      </w:pPr>
      <w:r>
        <w:rPr>
          <w:lang w:val="en-GB"/>
        </w:rPr>
        <w:t xml:space="preserve">84.  </w:t>
      </w:r>
      <w:r>
        <w:rPr>
          <w:rFonts w:hint="eastAsia"/>
          <w:lang w:val="en-GB"/>
        </w:rPr>
        <w:t>在全面执行《公约》过程中所遇到的主要制约因素，涉及劳动和社会保障部内部结构性方面的问题，其中包括，机会平等办公室存在人力、技术和资金不足的问题，无论在关注残疾人方面，还是在制定、落实和监督相关机构政策方面，以及在制定条文、设立登记、建立数据库、开展研究等等能够为决策提供素材的问题上，都无法满足当前的需要。其他一些制约因素还包括，在处理劳动和残疾问题时缺乏制度上的联系，此外缺少分门别类的统计登记，并且在维权行动和社会劳动服务所需的人力和财力问题上，对资金投入估计不足。</w:t>
      </w:r>
    </w:p>
    <w:p w:rsidR="00CE4DFD" w:rsidRDefault="00CE4DFD">
      <w:pPr>
        <w:pStyle w:val="SingleTxtGC"/>
        <w:rPr>
          <w:rFonts w:hint="eastAsia"/>
          <w:lang w:val="en-GB"/>
        </w:rPr>
      </w:pPr>
      <w:r>
        <w:rPr>
          <w:lang w:val="en-GB"/>
        </w:rPr>
        <w:t xml:space="preserve">85.  </w:t>
      </w:r>
      <w:r>
        <w:rPr>
          <w:rFonts w:hint="eastAsia"/>
          <w:lang w:val="en-GB"/>
        </w:rPr>
        <w:t>为克服这些制约因素，人们建议采取下列主要行动：</w:t>
      </w:r>
    </w:p>
    <w:p w:rsidR="00CE4DFD" w:rsidRDefault="00CE4DFD">
      <w:pPr>
        <w:pStyle w:val="SingleTxtGC"/>
        <w:numPr>
          <w:ilvl w:val="0"/>
          <w:numId w:val="23"/>
        </w:numPr>
        <w:ind w:left="1134"/>
        <w:rPr>
          <w:rFonts w:hint="eastAsia"/>
          <w:lang w:val="en-GB"/>
        </w:rPr>
      </w:pPr>
      <w:r>
        <w:rPr>
          <w:rFonts w:hint="eastAsia"/>
          <w:lang w:val="en-GB"/>
        </w:rPr>
        <w:t>为机会平等办公室至少申请到开办一个残疾人活动广场的预算；</w:t>
      </w:r>
    </w:p>
    <w:p w:rsidR="00CE4DFD" w:rsidRDefault="00CE4DFD">
      <w:pPr>
        <w:pStyle w:val="SingleTxtGC"/>
        <w:numPr>
          <w:ilvl w:val="0"/>
          <w:numId w:val="23"/>
        </w:numPr>
        <w:ind w:left="1134"/>
        <w:rPr>
          <w:rFonts w:hint="eastAsia"/>
          <w:lang w:val="en-GB"/>
        </w:rPr>
      </w:pPr>
      <w:r>
        <w:rPr>
          <w:rFonts w:hint="eastAsia"/>
          <w:lang w:val="en-GB"/>
        </w:rPr>
        <w:t>强化无障碍和残疾事务委员会的职能；</w:t>
      </w:r>
    </w:p>
    <w:p w:rsidR="00CE4DFD" w:rsidRDefault="00CE4DFD">
      <w:pPr>
        <w:pStyle w:val="SingleTxtGC"/>
        <w:numPr>
          <w:ilvl w:val="0"/>
          <w:numId w:val="23"/>
        </w:numPr>
        <w:ind w:left="1134"/>
        <w:rPr>
          <w:lang w:val="en-GB"/>
        </w:rPr>
      </w:pPr>
      <w:r>
        <w:rPr>
          <w:rFonts w:hint="eastAsia"/>
          <w:lang w:val="en-GB"/>
        </w:rPr>
        <w:t>针对劳动和社会保障部估算在维护劳动权利以及社会劳动服务方面的资金投入，征求相应的咨询意见。</w:t>
      </w:r>
    </w:p>
    <w:p w:rsidR="00CE4DFD" w:rsidRDefault="00CE4DFD">
      <w:pPr>
        <w:pStyle w:val="H23GC"/>
      </w:pPr>
      <w:r>
        <w:tab/>
        <w:t>3.</w:t>
      </w:r>
      <w:r>
        <w:rPr>
          <w:rFonts w:ascii="SimSun" w:eastAsia="SimSun" w:hAnsi="SimSun" w:cs="SimSun" w:hint="eastAsia"/>
        </w:rPr>
        <w:tab/>
      </w:r>
      <w:bookmarkStart w:id="33" w:name="_Toc352758982"/>
      <w:r>
        <w:t>民间社会的意见</w:t>
      </w:r>
      <w:bookmarkEnd w:id="33"/>
    </w:p>
    <w:p w:rsidR="00CE4DFD" w:rsidRDefault="00CE4DFD">
      <w:pPr>
        <w:pStyle w:val="SingleTxtGC"/>
        <w:rPr>
          <w:iCs/>
          <w:lang w:val="es-CR"/>
        </w:rPr>
      </w:pPr>
      <w:r>
        <w:rPr>
          <w:lang w:val="es-MX"/>
        </w:rPr>
        <w:t xml:space="preserve">86.  </w:t>
      </w:r>
      <w:r>
        <w:rPr>
          <w:rFonts w:hint="eastAsia"/>
          <w:lang w:val="es-MX"/>
        </w:rPr>
        <w:t>经济、工业和贸易部没有按照要求提供相关信息，而劳动和社会保障部也没有在负责起草报告的残疾问题主管机构要求的日期之前提供信息，因此，我们主要就以下三个问题进行了协商：</w:t>
      </w:r>
      <w:r>
        <w:rPr>
          <w:lang w:val="es-MX"/>
        </w:rPr>
        <w:t xml:space="preserve">(a) </w:t>
      </w:r>
      <w:r>
        <w:rPr>
          <w:rFonts w:hint="eastAsia"/>
          <w:lang w:val="es-MX"/>
        </w:rPr>
        <w:t>残疾人在劳动和就业权利方面的境况如何？</w:t>
      </w:r>
      <w:r>
        <w:rPr>
          <w:lang w:val="es-MX"/>
        </w:rPr>
        <w:t xml:space="preserve">(b) </w:t>
      </w:r>
      <w:r>
        <w:rPr>
          <w:rFonts w:hint="eastAsia"/>
          <w:lang w:val="es-MX"/>
        </w:rPr>
        <w:t>是否认为人们能够遵守哥斯达黎加的相关法律？</w:t>
      </w:r>
      <w:r>
        <w:rPr>
          <w:lang w:val="es-MX"/>
        </w:rPr>
        <w:t xml:space="preserve">(c) </w:t>
      </w:r>
      <w:r>
        <w:rPr>
          <w:rFonts w:hint="eastAsia"/>
          <w:iCs/>
          <w:lang w:val="en-GB"/>
        </w:rPr>
        <w:t>为了落实参加劳动和就业的权利需要实施什么样的行动？鉴于此，民间社会认为，相关机构没有按时提供信息，说明这些机构对此漠不关心。</w:t>
      </w:r>
    </w:p>
    <w:p w:rsidR="00CE4DFD" w:rsidRDefault="00CE4DFD">
      <w:pPr>
        <w:pStyle w:val="SingleTxtGC"/>
        <w:rPr>
          <w:lang w:val="en-GB"/>
        </w:rPr>
      </w:pPr>
      <w:r>
        <w:rPr>
          <w:lang w:val="es-CR"/>
        </w:rPr>
        <w:t xml:space="preserve">87.  </w:t>
      </w:r>
      <w:r>
        <w:rPr>
          <w:rFonts w:hint="eastAsia"/>
          <w:lang w:val="es-CR"/>
        </w:rPr>
        <w:t>关于劳动和就业权利，人们具体指出，不应当只考虑与创造劳动机会有直接关系的问题，还应当考虑关于改善公共交通服务等方面问题，以便让人们有更多的出行机会，并且树立一种全面无障碍的观念。对于残疾人来说，就业和失业状况被认为是一个非常重要的问题，正是因为失业才导致一系列的贫困、歧视以及因无法获得工作而陷入颓废状态的问题，而就业是让这一群体提高生活质量的多种因素之一，因此，国家需要付出更大的努力，以提高残疾人的劳动能力。</w:t>
      </w:r>
    </w:p>
    <w:p w:rsidR="00CE4DFD" w:rsidRDefault="00CE4DFD">
      <w:pPr>
        <w:pStyle w:val="SingleTxtGC"/>
        <w:rPr>
          <w:lang w:val="en-GB"/>
        </w:rPr>
      </w:pPr>
      <w:r>
        <w:rPr>
          <w:lang w:val="es-CR"/>
        </w:rPr>
        <w:t xml:space="preserve">88.  </w:t>
      </w:r>
      <w:r>
        <w:rPr>
          <w:rFonts w:hint="eastAsia"/>
          <w:lang w:val="es-CR"/>
        </w:rPr>
        <w:t>人们还表示，残疾人并不能享有同等的工作条件，并且存在严重的歧视问题，因为残疾人不可能在同等条件下与正常人竞争，再加上缺少职业发展方面的培训，更加剧了这种情况，此外，人们没有提供必要的技术帮助，也没有开展广泛的宣传活动，无法在劳动领域实现进一步融合，因此使之成为最严重的问题之一。从这种意义上讲，应当改革教育过程，进一步提高残疾人参加工作的能力，不仅要在城市地区做到这一点，而且要在全国各地都做到这一点。</w:t>
      </w:r>
    </w:p>
    <w:p w:rsidR="00CE4DFD" w:rsidRDefault="00CE4DFD">
      <w:pPr>
        <w:pStyle w:val="SingleTxtGC"/>
        <w:rPr>
          <w:lang w:val="es-CR"/>
        </w:rPr>
      </w:pPr>
      <w:r>
        <w:rPr>
          <w:lang w:val="es-CR"/>
        </w:rPr>
        <w:t xml:space="preserve">89.  </w:t>
      </w:r>
      <w:r>
        <w:rPr>
          <w:rFonts w:hint="eastAsia"/>
          <w:lang w:val="es-CR"/>
        </w:rPr>
        <w:t>其他影响残疾人进入劳务市场的制约因素包括：</w:t>
      </w:r>
    </w:p>
    <w:p w:rsidR="00CE4DFD" w:rsidRDefault="00CE4DFD">
      <w:pPr>
        <w:pStyle w:val="SingleTxtGC"/>
        <w:numPr>
          <w:ilvl w:val="0"/>
          <w:numId w:val="25"/>
        </w:numPr>
        <w:ind w:left="1134"/>
        <w:rPr>
          <w:lang w:val="es-CR"/>
        </w:rPr>
      </w:pPr>
      <w:r>
        <w:rPr>
          <w:rFonts w:hint="eastAsia"/>
          <w:lang w:val="es-CR"/>
        </w:rPr>
        <w:t>人们对技术帮助、服务类动物以及残疾人携带这些动物出入工作场所等问题缺乏了解；</w:t>
      </w:r>
    </w:p>
    <w:p w:rsidR="00CE4DFD" w:rsidRDefault="00CE4DFD">
      <w:pPr>
        <w:pStyle w:val="SingleTxtGC"/>
        <w:numPr>
          <w:ilvl w:val="0"/>
          <w:numId w:val="25"/>
        </w:numPr>
        <w:ind w:left="1134"/>
        <w:rPr>
          <w:rFonts w:hint="eastAsia"/>
          <w:lang w:val="es-CR"/>
        </w:rPr>
      </w:pPr>
      <w:r>
        <w:rPr>
          <w:rFonts w:hint="eastAsia"/>
          <w:lang w:val="es-CR"/>
        </w:rPr>
        <w:t>缺少针对雇主以及务工条件方面的信息，特别是在基础设施和技术帮助方面，致使残疾人无法获得工作，而且降低了工作环境方面的质量；</w:t>
      </w:r>
    </w:p>
    <w:p w:rsidR="00CE4DFD" w:rsidRDefault="00CE4DFD">
      <w:pPr>
        <w:pStyle w:val="SingleTxtGC"/>
        <w:numPr>
          <w:ilvl w:val="0"/>
          <w:numId w:val="25"/>
        </w:numPr>
        <w:ind w:left="1134"/>
        <w:rPr>
          <w:lang w:val="es-CR"/>
        </w:rPr>
      </w:pPr>
      <w:r>
        <w:rPr>
          <w:rFonts w:hint="eastAsia"/>
          <w:lang w:val="es-CR"/>
        </w:rPr>
        <w:t>缺乏残疾人就业和失业方面的统计数据；</w:t>
      </w:r>
    </w:p>
    <w:p w:rsidR="00CE4DFD" w:rsidRDefault="00CE4DFD">
      <w:pPr>
        <w:pStyle w:val="SingleTxtGC"/>
        <w:numPr>
          <w:ilvl w:val="0"/>
          <w:numId w:val="25"/>
        </w:numPr>
        <w:ind w:left="1134"/>
        <w:rPr>
          <w:rFonts w:hint="eastAsia"/>
          <w:lang w:val="es-CR"/>
        </w:rPr>
      </w:pPr>
      <w:r>
        <w:rPr>
          <w:rFonts w:hint="eastAsia"/>
          <w:lang w:val="es-CR"/>
        </w:rPr>
        <w:t>需要落实法律规定，也就是，要有</w:t>
      </w:r>
      <w:r>
        <w:rPr>
          <w:rFonts w:hint="eastAsia"/>
          <w:lang w:val="es-CR"/>
        </w:rPr>
        <w:t>5%</w:t>
      </w:r>
      <w:r>
        <w:rPr>
          <w:rFonts w:hint="eastAsia"/>
          <w:lang w:val="es-CR"/>
        </w:rPr>
        <w:t>的工作岗位留给残疾人，为此，需要借助新闻媒体的力量，揭发那些因为某种残疾而产生歧视的现象；</w:t>
      </w:r>
    </w:p>
    <w:p w:rsidR="00CE4DFD" w:rsidRDefault="00CE4DFD">
      <w:pPr>
        <w:pStyle w:val="SingleTxtGC"/>
        <w:numPr>
          <w:ilvl w:val="0"/>
          <w:numId w:val="25"/>
        </w:numPr>
        <w:ind w:left="1134"/>
        <w:rPr>
          <w:rFonts w:hint="eastAsia"/>
          <w:lang w:val="en-GB"/>
        </w:rPr>
      </w:pPr>
      <w:r>
        <w:rPr>
          <w:rFonts w:hint="eastAsia"/>
          <w:lang w:val="es-CR"/>
        </w:rPr>
        <w:t>企业和国家没有充分利用残疾劳工在各方面带来的好处，比如第</w:t>
      </w:r>
      <w:r>
        <w:rPr>
          <w:rFonts w:hint="eastAsia"/>
          <w:lang w:val="es-CR"/>
        </w:rPr>
        <w:t>7092</w:t>
      </w:r>
      <w:r>
        <w:rPr>
          <w:rFonts w:hint="eastAsia"/>
          <w:lang w:val="es-CR"/>
        </w:rPr>
        <w:t>号法律就规定，对企业为了让残疾人任职而在改善无障碍条件方面投入的费用免征税款。</w:t>
      </w:r>
    </w:p>
    <w:p w:rsidR="00CE4DFD" w:rsidRDefault="00CE4DFD">
      <w:pPr>
        <w:pStyle w:val="H1GC"/>
      </w:pPr>
      <w:r>
        <w:tab/>
        <w:t>E.</w:t>
      </w:r>
      <w:r>
        <w:rPr>
          <w:rFonts w:ascii="SimSun" w:eastAsia="SimSun" w:hAnsi="SimSun" w:cs="SimSun" w:hint="eastAsia"/>
        </w:rPr>
        <w:tab/>
      </w:r>
      <w:bookmarkStart w:id="34" w:name="_Toc287347909"/>
      <w:bookmarkStart w:id="35" w:name="_Toc352758983"/>
      <w:r>
        <w:rPr>
          <w:rFonts w:hint="eastAsia"/>
        </w:rPr>
        <w:t>最低生活保障和社会保护</w:t>
      </w:r>
      <w:bookmarkEnd w:id="34"/>
      <w:bookmarkEnd w:id="35"/>
    </w:p>
    <w:p w:rsidR="00CE4DFD" w:rsidRDefault="00CE4DFD">
      <w:pPr>
        <w:pStyle w:val="SingleTxtGC"/>
        <w:rPr>
          <w:rFonts w:hint="eastAsia"/>
          <w:lang w:val="en-GB"/>
        </w:rPr>
      </w:pPr>
      <w:r>
        <w:rPr>
          <w:lang w:val="es-MX"/>
        </w:rPr>
        <w:t xml:space="preserve">90.  </w:t>
      </w:r>
      <w:r>
        <w:rPr>
          <w:rFonts w:hint="eastAsia"/>
          <w:lang w:val="es-MX"/>
        </w:rPr>
        <w:t>最低生活保障和社会保护方面的问题牵涉到两级机构，一级是中央政府机构，另一级是地方政府，也称为市政府。我们共向九个国家机构索要了资料，最终只得到其中七个机构的答复，即：社会救助联合委员会，国家奖学金基金会，国家紧急情况委员会，住房和城市规划局，社会保护委员会，全国康复和特殊教育委员会和全国儿童慈善基金会，此外，我们还向</w:t>
      </w:r>
      <w:r>
        <w:rPr>
          <w:rFonts w:hint="eastAsia"/>
          <w:lang w:val="es-MX"/>
        </w:rPr>
        <w:t>81</w:t>
      </w:r>
      <w:r>
        <w:rPr>
          <w:rFonts w:hint="eastAsia"/>
          <w:lang w:val="es-MX"/>
        </w:rPr>
        <w:t>个市政府提出要求，其中有</w:t>
      </w:r>
      <w:r>
        <w:rPr>
          <w:rFonts w:hint="eastAsia"/>
          <w:lang w:val="es-MX"/>
        </w:rPr>
        <w:t>37</w:t>
      </w:r>
      <w:r>
        <w:rPr>
          <w:rFonts w:hint="eastAsia"/>
          <w:lang w:val="es-MX"/>
        </w:rPr>
        <w:t>个市提供了相关信息，占到地方政府总数的</w:t>
      </w:r>
      <w:r>
        <w:rPr>
          <w:rFonts w:hint="eastAsia"/>
          <w:lang w:val="es-MX"/>
        </w:rPr>
        <w:t>45%</w:t>
      </w:r>
      <w:r>
        <w:rPr>
          <w:rFonts w:hint="eastAsia"/>
          <w:lang w:val="es-MX"/>
        </w:rPr>
        <w:t>。该方面问题的依据是《公约》第二十八条，此外还涉及第六条</w:t>
      </w:r>
      <w:r>
        <w:rPr>
          <w:rFonts w:hint="eastAsia"/>
          <w:lang w:val="es-MX"/>
        </w:rPr>
        <w:t>(</w:t>
      </w:r>
      <w:r>
        <w:rPr>
          <w:rFonts w:hint="eastAsia"/>
          <w:lang w:val="es-MX"/>
        </w:rPr>
        <w:t>残疾妇女</w:t>
      </w:r>
      <w:r>
        <w:rPr>
          <w:rFonts w:hint="eastAsia"/>
          <w:lang w:val="es-MX"/>
        </w:rPr>
        <w:t>)</w:t>
      </w:r>
      <w:r>
        <w:rPr>
          <w:rFonts w:hint="eastAsia"/>
          <w:lang w:val="es-MX"/>
        </w:rPr>
        <w:t>、第七条</w:t>
      </w:r>
      <w:r>
        <w:rPr>
          <w:rFonts w:hint="eastAsia"/>
          <w:lang w:val="es-MX"/>
        </w:rPr>
        <w:t>(</w:t>
      </w:r>
      <w:r>
        <w:rPr>
          <w:rFonts w:hint="eastAsia"/>
          <w:lang w:val="es-MX"/>
        </w:rPr>
        <w:t>残疾儿童</w:t>
      </w:r>
      <w:r>
        <w:rPr>
          <w:rFonts w:hint="eastAsia"/>
          <w:lang w:val="es-MX"/>
        </w:rPr>
        <w:t>)</w:t>
      </w:r>
      <w:r>
        <w:rPr>
          <w:rFonts w:hint="eastAsia"/>
          <w:lang w:val="es-MX"/>
        </w:rPr>
        <w:t>、第十条</w:t>
      </w:r>
      <w:r>
        <w:rPr>
          <w:rFonts w:hint="eastAsia"/>
          <w:lang w:val="es-MX"/>
        </w:rPr>
        <w:t>(</w:t>
      </w:r>
      <w:r>
        <w:rPr>
          <w:rFonts w:hint="eastAsia"/>
          <w:lang w:val="es-MX"/>
        </w:rPr>
        <w:t>生命权</w:t>
      </w:r>
      <w:r>
        <w:rPr>
          <w:rFonts w:hint="eastAsia"/>
          <w:lang w:val="es-MX"/>
        </w:rPr>
        <w:t>)</w:t>
      </w:r>
      <w:r>
        <w:rPr>
          <w:rFonts w:hint="eastAsia"/>
          <w:lang w:val="es-MX"/>
        </w:rPr>
        <w:t>、第十一条</w:t>
      </w:r>
      <w:r>
        <w:rPr>
          <w:rFonts w:hint="eastAsia"/>
          <w:lang w:val="es-MX"/>
        </w:rPr>
        <w:t>(</w:t>
      </w:r>
      <w:r>
        <w:rPr>
          <w:rFonts w:hint="eastAsia"/>
          <w:lang w:val="es-MX"/>
        </w:rPr>
        <w:t>危难形势和人道主义紧急情况</w:t>
      </w:r>
      <w:r>
        <w:rPr>
          <w:rFonts w:hint="eastAsia"/>
          <w:lang w:val="es-MX"/>
        </w:rPr>
        <w:t>)</w:t>
      </w:r>
      <w:r>
        <w:rPr>
          <w:rFonts w:hint="eastAsia"/>
          <w:lang w:val="es-MX"/>
        </w:rPr>
        <w:t>、第十六条</w:t>
      </w:r>
      <w:r>
        <w:rPr>
          <w:rFonts w:hint="eastAsia"/>
          <w:lang w:val="es-MX"/>
        </w:rPr>
        <w:t>(</w:t>
      </w:r>
      <w:r>
        <w:rPr>
          <w:rFonts w:hint="eastAsia"/>
          <w:lang w:val="es-MX"/>
        </w:rPr>
        <w:t>免于剥削、暴力和凌虐</w:t>
      </w:r>
      <w:r>
        <w:rPr>
          <w:rFonts w:hint="eastAsia"/>
          <w:lang w:val="es-MX"/>
        </w:rPr>
        <w:t>)</w:t>
      </w:r>
      <w:r>
        <w:rPr>
          <w:rFonts w:hint="eastAsia"/>
          <w:lang w:val="es-MX"/>
        </w:rPr>
        <w:t>、第十七条</w:t>
      </w:r>
      <w:r>
        <w:rPr>
          <w:rFonts w:hint="eastAsia"/>
          <w:lang w:val="es-MX"/>
        </w:rPr>
        <w:t>(</w:t>
      </w:r>
      <w:r>
        <w:rPr>
          <w:rFonts w:hint="eastAsia"/>
          <w:lang w:val="es-MX"/>
        </w:rPr>
        <w:t>保护人身完整性</w:t>
      </w:r>
      <w:r>
        <w:rPr>
          <w:rFonts w:hint="eastAsia"/>
          <w:lang w:val="es-MX"/>
        </w:rPr>
        <w:t>)</w:t>
      </w:r>
      <w:r>
        <w:rPr>
          <w:rFonts w:hint="eastAsia"/>
          <w:lang w:val="es-MX"/>
        </w:rPr>
        <w:t>、第十九条</w:t>
      </w:r>
      <w:r>
        <w:rPr>
          <w:rFonts w:hint="eastAsia"/>
          <w:lang w:val="es-MX"/>
        </w:rPr>
        <w:t>(</w:t>
      </w:r>
      <w:r>
        <w:rPr>
          <w:rFonts w:hint="eastAsia"/>
          <w:lang w:val="es-MX"/>
        </w:rPr>
        <w:t>独立生活和融入社会的权利</w:t>
      </w:r>
      <w:r>
        <w:rPr>
          <w:rFonts w:hint="eastAsia"/>
          <w:lang w:val="es-MX"/>
        </w:rPr>
        <w:t>)</w:t>
      </w:r>
      <w:r>
        <w:rPr>
          <w:rFonts w:hint="eastAsia"/>
          <w:lang w:val="es-MX"/>
        </w:rPr>
        <w:t>和第二十三条</w:t>
      </w:r>
      <w:r>
        <w:rPr>
          <w:rFonts w:hint="eastAsia"/>
          <w:lang w:val="es-MX"/>
        </w:rPr>
        <w:t>(</w:t>
      </w:r>
      <w:r>
        <w:rPr>
          <w:rFonts w:hint="eastAsia"/>
          <w:lang w:val="es-MX"/>
        </w:rPr>
        <w:t>尊重家居和家庭</w:t>
      </w:r>
      <w:r>
        <w:rPr>
          <w:rFonts w:hint="eastAsia"/>
          <w:lang w:val="es-MX"/>
        </w:rPr>
        <w:t>)</w:t>
      </w:r>
      <w:r>
        <w:rPr>
          <w:rFonts w:hint="eastAsia"/>
          <w:lang w:val="en-GB"/>
        </w:rPr>
        <w:t>。</w:t>
      </w:r>
    </w:p>
    <w:p w:rsidR="00CE4DFD" w:rsidRDefault="00CE4DFD">
      <w:pPr>
        <w:pStyle w:val="H23GC"/>
      </w:pPr>
      <w:r>
        <w:tab/>
        <w:t>1.</w:t>
      </w:r>
      <w:r>
        <w:rPr>
          <w:rFonts w:ascii="SimSun" w:eastAsia="SimSun" w:hAnsi="SimSun" w:cs="SimSun" w:hint="eastAsia"/>
        </w:rPr>
        <w:tab/>
      </w:r>
      <w:bookmarkStart w:id="36" w:name="_Toc352758984"/>
      <w:r>
        <w:t>实施的行动和专项资金</w:t>
      </w:r>
      <w:bookmarkEnd w:id="36"/>
    </w:p>
    <w:p w:rsidR="00CE4DFD" w:rsidRDefault="00CE4DFD">
      <w:pPr>
        <w:pStyle w:val="SingleTxtGC"/>
        <w:rPr>
          <w:rFonts w:hint="eastAsia"/>
          <w:lang w:val="en-GB"/>
        </w:rPr>
      </w:pPr>
      <w:r>
        <w:rPr>
          <w:lang w:val="es-MX"/>
        </w:rPr>
        <w:t xml:space="preserve">91.  </w:t>
      </w:r>
      <w:r>
        <w:rPr>
          <w:rFonts w:hint="eastAsia"/>
          <w:lang w:val="es-MX"/>
        </w:rPr>
        <w:t>为了确保国内残疾人达到最低生活水平并获得社会保护，哥斯达黎加国家在《共和国政治宪法》第</w:t>
      </w:r>
      <w:r>
        <w:rPr>
          <w:rFonts w:hint="eastAsia"/>
          <w:lang w:val="es-MX"/>
        </w:rPr>
        <w:t>51</w:t>
      </w:r>
      <w:r>
        <w:rPr>
          <w:rFonts w:hint="eastAsia"/>
          <w:lang w:val="es-MX"/>
        </w:rPr>
        <w:t>条做出规定：“……</w:t>
      </w:r>
      <w:r>
        <w:rPr>
          <w:lang w:val="es-MX"/>
        </w:rPr>
        <w:t>家庭是自然的基本社会组合单元，有权获得国家的</w:t>
      </w:r>
      <w:r>
        <w:rPr>
          <w:rFonts w:hint="eastAsia"/>
          <w:lang w:val="es-MX"/>
        </w:rPr>
        <w:t>特殊</w:t>
      </w:r>
      <w:r>
        <w:rPr>
          <w:lang w:val="es-MX"/>
        </w:rPr>
        <w:t>保护</w:t>
      </w:r>
      <w:r>
        <w:rPr>
          <w:rFonts w:hint="eastAsia"/>
          <w:lang w:val="es-MX"/>
        </w:rPr>
        <w:t>。母亲、儿童、老人和无能为力的病人同样有权获得这种保护</w:t>
      </w:r>
      <w:r>
        <w:rPr>
          <w:rStyle w:val="FootnoteReference"/>
        </w:rPr>
        <w:footnoteReference w:id="3"/>
      </w:r>
      <w:r>
        <w:rPr>
          <w:rFonts w:hint="eastAsia"/>
          <w:lang w:val="en-GB"/>
        </w:rPr>
        <w:t>”。同样，第</w:t>
      </w:r>
      <w:r>
        <w:rPr>
          <w:rFonts w:hint="eastAsia"/>
          <w:lang w:val="en-GB"/>
        </w:rPr>
        <w:t>7092</w:t>
      </w:r>
      <w:r>
        <w:rPr>
          <w:rFonts w:hint="eastAsia"/>
          <w:lang w:val="en-GB"/>
        </w:rPr>
        <w:t>号法律</w:t>
      </w:r>
      <w:r>
        <w:rPr>
          <w:rFonts w:hint="eastAsia"/>
          <w:spacing w:val="-60"/>
          <w:lang w:val="en-GB"/>
        </w:rPr>
        <w:t>―</w:t>
      </w:r>
      <w:r>
        <w:rPr>
          <w:rFonts w:hint="eastAsia"/>
          <w:spacing w:val="10"/>
          <w:lang w:val="en-GB"/>
        </w:rPr>
        <w:t>―</w:t>
      </w:r>
      <w:r>
        <w:rPr>
          <w:rFonts w:hint="eastAsia"/>
          <w:lang w:val="en-GB"/>
        </w:rPr>
        <w:t>《所得税法》规定：“将向全国康复和特殊教育委员会划拨</w:t>
      </w:r>
      <w:r>
        <w:rPr>
          <w:rFonts w:hint="eastAsia"/>
          <w:lang w:val="en-GB"/>
        </w:rPr>
        <w:t>5%</w:t>
      </w:r>
      <w:r>
        <w:rPr>
          <w:rFonts w:hint="eastAsia"/>
          <w:lang w:val="en-GB"/>
        </w:rPr>
        <w:t>的资金，用于由公共或私人机构部门实施的针对上年纪残疾人的关爱计划、住宿计划、康复计划或治疗计划”</w:t>
      </w:r>
      <w:r>
        <w:rPr>
          <w:rFonts w:hint="eastAsia"/>
          <w:lang w:val="en-GB"/>
        </w:rPr>
        <w:t>(</w:t>
      </w:r>
      <w:r>
        <w:rPr>
          <w:rFonts w:hint="eastAsia"/>
          <w:lang w:val="en-GB"/>
        </w:rPr>
        <w:t>第</w:t>
      </w:r>
      <w:r>
        <w:rPr>
          <w:rFonts w:hint="eastAsia"/>
          <w:lang w:val="en-GB"/>
        </w:rPr>
        <w:t>15</w:t>
      </w:r>
      <w:r>
        <w:rPr>
          <w:rFonts w:hint="eastAsia"/>
          <w:lang w:val="en-GB"/>
        </w:rPr>
        <w:t>条</w:t>
      </w:r>
      <w:r>
        <w:t>f</w:t>
      </w:r>
      <w:r>
        <w:rPr>
          <w:rFonts w:hint="eastAsia"/>
          <w:lang w:val="en-GB"/>
        </w:rPr>
        <w:t>款</w:t>
      </w:r>
      <w:r>
        <w:rPr>
          <w:rFonts w:hint="eastAsia"/>
          <w:lang w:val="en-GB"/>
        </w:rPr>
        <w:t>)</w:t>
      </w:r>
      <w:r>
        <w:rPr>
          <w:rFonts w:hint="eastAsia"/>
          <w:lang w:val="en-GB"/>
        </w:rPr>
        <w:t>。</w:t>
      </w:r>
    </w:p>
    <w:p w:rsidR="00CE4DFD" w:rsidRDefault="00CE4DFD">
      <w:pPr>
        <w:pStyle w:val="SingleTxtGC"/>
        <w:rPr>
          <w:i/>
          <w:lang w:val="en-GB"/>
        </w:rPr>
      </w:pPr>
      <w:r>
        <w:rPr>
          <w:lang w:val="en-GB"/>
        </w:rPr>
        <w:t xml:space="preserve">92.  </w:t>
      </w:r>
      <w:r>
        <w:rPr>
          <w:rFonts w:hint="eastAsia"/>
          <w:lang w:val="en-GB"/>
        </w:rPr>
        <w:t>为了改变残疾人贫困以及受到遗弃的处境，实施了一些有针对性的行动，主要是通过国家提供经济资助</w:t>
      </w:r>
      <w:r>
        <w:rPr>
          <w:rFonts w:hint="eastAsia"/>
          <w:lang w:val="en-GB"/>
        </w:rPr>
        <w:t>(</w:t>
      </w:r>
      <w:r>
        <w:rPr>
          <w:rFonts w:hint="eastAsia"/>
          <w:lang w:val="en-GB"/>
        </w:rPr>
        <w:t>补贴</w:t>
      </w:r>
      <w:r>
        <w:rPr>
          <w:rFonts w:hint="eastAsia"/>
          <w:lang w:val="en-GB"/>
        </w:rPr>
        <w:t>)</w:t>
      </w:r>
      <w:r>
        <w:rPr>
          <w:rFonts w:hint="eastAsia"/>
          <w:lang w:val="en-GB"/>
        </w:rPr>
        <w:t>来满足残疾人的各种基本需要，为此，好多机构利用各种各样的融资渠道实施社会援助计划，比如第</w:t>
      </w:r>
      <w:r>
        <w:rPr>
          <w:rFonts w:hint="eastAsia"/>
          <w:lang w:val="en-GB"/>
        </w:rPr>
        <w:t>7972</w:t>
      </w:r>
      <w:r>
        <w:rPr>
          <w:rFonts w:hint="eastAsia"/>
          <w:lang w:val="en-GB"/>
        </w:rPr>
        <w:t>号法律就规定将烟酒税用于实施《社会保护计划》，此外还有共和国经常性预算、社会发展和家庭津贴基金、社会保护委员会等等，</w:t>
      </w:r>
      <w:r>
        <w:rPr>
          <w:rFonts w:hint="eastAsia"/>
          <w:lang w:val="es-MX"/>
        </w:rPr>
        <w:t>全国康复和特殊教育委员会是社会援助计划的主要执行机构。</w:t>
      </w:r>
    </w:p>
    <w:p w:rsidR="00CE4DFD" w:rsidRDefault="00CE4DFD">
      <w:pPr>
        <w:pStyle w:val="SingleTxtGC"/>
        <w:rPr>
          <w:rFonts w:hint="eastAsia"/>
          <w:i/>
          <w:lang w:val="en-GB"/>
        </w:rPr>
      </w:pPr>
      <w:r>
        <w:rPr>
          <w:lang w:val="es-MX"/>
        </w:rPr>
        <w:t xml:space="preserve">93.  </w:t>
      </w:r>
      <w:r>
        <w:rPr>
          <w:rFonts w:hint="eastAsia"/>
          <w:lang w:val="es-MX"/>
        </w:rPr>
        <w:t>社会救助联合委员会负责执行这些援助计划以及相应的行动，为生活贫困的人以及相关非政府组织提供经济补贴。国家还利用国家奖学金基金为贫困大学生提供经济资助，帮助他们继续完成学业，而不会脱离教育，在某些情况下，为那些有教育需要的残疾学生提供交通助学金等经济资助。</w:t>
      </w:r>
    </w:p>
    <w:p w:rsidR="00CE4DFD" w:rsidRDefault="00CE4DFD">
      <w:pPr>
        <w:pStyle w:val="SingleTxtGC"/>
        <w:rPr>
          <w:lang w:val="es-MX"/>
        </w:rPr>
      </w:pPr>
      <w:r>
        <w:rPr>
          <w:lang w:val="es-MX"/>
        </w:rPr>
        <w:t xml:space="preserve">94.  </w:t>
      </w:r>
      <w:r>
        <w:rPr>
          <w:rFonts w:hint="eastAsia"/>
          <w:lang w:val="es-MX"/>
        </w:rPr>
        <w:t>在一系列针对弱势群体的社会援助计划当中，全国康复和特殊教育委员会始终致力于实施《扶贫和助残计划》，该计划涉及两大中心问题：一是解决贫困问题，通过发放钱款资助贫困人口；二是保护问题，针对那些处境堪忧以及遭到遗弃的残疾人采取行动，通过提供经济资助，满足这部分残疾人在住房方面的各种支出需求。</w:t>
      </w:r>
    </w:p>
    <w:p w:rsidR="00CE4DFD" w:rsidRDefault="00CE4DFD">
      <w:pPr>
        <w:pStyle w:val="SingleTxtGC"/>
        <w:rPr>
          <w:lang w:val="es-MX"/>
        </w:rPr>
      </w:pPr>
      <w:r>
        <w:rPr>
          <w:lang w:val="es-MX"/>
        </w:rPr>
        <w:t xml:space="preserve">95.  </w:t>
      </w:r>
      <w:r>
        <w:rPr>
          <w:rFonts w:hint="eastAsia"/>
          <w:lang w:val="es-MX"/>
        </w:rPr>
        <w:t>除此之外，还包括其他方面的需要，比如，全国康复和特殊教育委员会设立了一项残疾人菜篮子工程，不仅提供基本生活品，还提供残疾人可能需要的最起码的生活必需品。在最近三年为贫困人口提供服务的情况是，</w:t>
      </w:r>
      <w:r>
        <w:rPr>
          <w:rFonts w:hint="eastAsia"/>
          <w:lang w:val="es-MX"/>
        </w:rPr>
        <w:t>2008</w:t>
      </w:r>
      <w:r>
        <w:rPr>
          <w:rFonts w:hint="eastAsia"/>
          <w:lang w:val="es-MX"/>
        </w:rPr>
        <w:t>年达到</w:t>
      </w:r>
      <w:r>
        <w:rPr>
          <w:rFonts w:hint="eastAsia"/>
          <w:lang w:val="es-MX"/>
        </w:rPr>
        <w:t>2,802</w:t>
      </w:r>
      <w:r>
        <w:rPr>
          <w:rFonts w:hint="eastAsia"/>
          <w:lang w:val="es-MX"/>
        </w:rPr>
        <w:t>人次，</w:t>
      </w:r>
      <w:r>
        <w:rPr>
          <w:rFonts w:hint="eastAsia"/>
          <w:lang w:val="es-MX"/>
        </w:rPr>
        <w:t>2009</w:t>
      </w:r>
      <w:r>
        <w:rPr>
          <w:rFonts w:hint="eastAsia"/>
          <w:lang w:val="es-MX"/>
        </w:rPr>
        <w:t>年达到</w:t>
      </w:r>
      <w:r>
        <w:rPr>
          <w:rFonts w:hint="eastAsia"/>
          <w:lang w:val="es-MX"/>
        </w:rPr>
        <w:t>2,685</w:t>
      </w:r>
      <w:r>
        <w:rPr>
          <w:rFonts w:hint="eastAsia"/>
          <w:lang w:val="es-MX"/>
        </w:rPr>
        <w:t>人次，截止到</w:t>
      </w:r>
      <w:r>
        <w:rPr>
          <w:rFonts w:hint="eastAsia"/>
          <w:lang w:val="es-MX"/>
        </w:rPr>
        <w:t>2010</w:t>
      </w:r>
      <w:r>
        <w:rPr>
          <w:rFonts w:hint="eastAsia"/>
          <w:lang w:val="es-MX"/>
        </w:rPr>
        <w:t>年上半年达到</w:t>
      </w:r>
      <w:r>
        <w:rPr>
          <w:rFonts w:hint="eastAsia"/>
          <w:lang w:val="es-MX"/>
        </w:rPr>
        <w:t>2,526</w:t>
      </w:r>
      <w:r>
        <w:rPr>
          <w:rFonts w:hint="eastAsia"/>
          <w:lang w:val="es-MX"/>
        </w:rPr>
        <w:t>人次。另一方面，受到照顾的那些被遗弃的</w:t>
      </w:r>
      <w:r>
        <w:rPr>
          <w:rFonts w:hint="eastAsia"/>
          <w:lang w:val="es-MX"/>
        </w:rPr>
        <w:t>18</w:t>
      </w:r>
      <w:r>
        <w:rPr>
          <w:rFonts w:hint="eastAsia"/>
          <w:lang w:val="es-MX"/>
        </w:rPr>
        <w:t>岁以上残疾人，在</w:t>
      </w:r>
      <w:r>
        <w:rPr>
          <w:rFonts w:hint="eastAsia"/>
          <w:lang w:val="es-MX"/>
        </w:rPr>
        <w:t>2008</w:t>
      </w:r>
      <w:r>
        <w:rPr>
          <w:rFonts w:hint="eastAsia"/>
          <w:lang w:val="es-MX"/>
        </w:rPr>
        <w:t>年达到</w:t>
      </w:r>
      <w:r>
        <w:rPr>
          <w:rFonts w:hint="eastAsia"/>
          <w:lang w:val="es-MX"/>
        </w:rPr>
        <w:t>648</w:t>
      </w:r>
      <w:r>
        <w:rPr>
          <w:rFonts w:hint="eastAsia"/>
          <w:lang w:val="es-MX"/>
        </w:rPr>
        <w:t>人，</w:t>
      </w:r>
      <w:r>
        <w:rPr>
          <w:rFonts w:hint="eastAsia"/>
          <w:lang w:val="es-MX"/>
        </w:rPr>
        <w:t>2009</w:t>
      </w:r>
      <w:r>
        <w:rPr>
          <w:rFonts w:hint="eastAsia"/>
          <w:lang w:val="es-MX"/>
        </w:rPr>
        <w:t>年达到</w:t>
      </w:r>
      <w:r>
        <w:rPr>
          <w:rFonts w:hint="eastAsia"/>
          <w:lang w:val="es-MX"/>
        </w:rPr>
        <w:t>863</w:t>
      </w:r>
      <w:r>
        <w:rPr>
          <w:rFonts w:hint="eastAsia"/>
          <w:lang w:val="es-MX"/>
        </w:rPr>
        <w:t>人，截止到</w:t>
      </w:r>
      <w:r>
        <w:rPr>
          <w:rFonts w:hint="eastAsia"/>
          <w:lang w:val="es-MX"/>
        </w:rPr>
        <w:t>2010</w:t>
      </w:r>
      <w:r>
        <w:rPr>
          <w:rFonts w:hint="eastAsia"/>
          <w:lang w:val="es-MX"/>
        </w:rPr>
        <w:t>年上半年达到</w:t>
      </w:r>
      <w:r>
        <w:rPr>
          <w:rFonts w:hint="eastAsia"/>
          <w:lang w:val="es-MX"/>
        </w:rPr>
        <w:t>1,009</w:t>
      </w:r>
      <w:r>
        <w:rPr>
          <w:rFonts w:hint="eastAsia"/>
          <w:lang w:val="es-MX"/>
        </w:rPr>
        <w:t>人。</w:t>
      </w:r>
    </w:p>
    <w:p w:rsidR="00CE4DFD" w:rsidRDefault="00CE4DFD">
      <w:pPr>
        <w:pStyle w:val="SingleTxtGC"/>
        <w:rPr>
          <w:lang w:val="es-MX"/>
        </w:rPr>
      </w:pPr>
      <w:r>
        <w:rPr>
          <w:lang w:val="es-MX"/>
        </w:rPr>
        <w:t xml:space="preserve">96.  </w:t>
      </w:r>
      <w:r>
        <w:rPr>
          <w:rFonts w:hint="eastAsia"/>
          <w:lang w:val="es-MX"/>
        </w:rPr>
        <w:t>关于无障碍问题，人们采取了一些针对无障碍物理环境和信息技术的行动，目的是保障残疾人能够享受这些服务。</w:t>
      </w:r>
    </w:p>
    <w:p w:rsidR="00CE4DFD" w:rsidRDefault="00CE4DFD">
      <w:pPr>
        <w:pStyle w:val="SingleTxtGC"/>
        <w:rPr>
          <w:rFonts w:hint="eastAsia"/>
          <w:i/>
          <w:lang w:val="en-GB"/>
        </w:rPr>
      </w:pPr>
      <w:r>
        <w:rPr>
          <w:lang w:val="es-CR"/>
        </w:rPr>
        <w:t xml:space="preserve">97.  </w:t>
      </w:r>
      <w:r>
        <w:rPr>
          <w:rFonts w:hint="eastAsia"/>
          <w:lang w:val="es-CR"/>
        </w:rPr>
        <w:t>在适足生活水平和社会保护方面投资的大致情况是，卫生部致力于提高残疾人生活质量和社会保护力度，为相关政府部门提供预算资金，其中，</w:t>
      </w:r>
      <w:r>
        <w:rPr>
          <w:rFonts w:hint="eastAsia"/>
          <w:lang w:val="es-CR"/>
        </w:rPr>
        <w:t>2010</w:t>
      </w:r>
      <w:r>
        <w:rPr>
          <w:rFonts w:hint="eastAsia"/>
          <w:lang w:val="es-CR"/>
        </w:rPr>
        <w:t>年在预算内为</w:t>
      </w:r>
      <w:r>
        <w:rPr>
          <w:rFonts w:hint="eastAsia"/>
          <w:lang w:val="en-GB"/>
        </w:rPr>
        <w:t>全国盲人</w:t>
      </w:r>
      <w:r>
        <w:rPr>
          <w:rFonts w:hint="eastAsia"/>
          <w:lang w:val="es-MX"/>
        </w:rPr>
        <w:t>慈善基金会安排了</w:t>
      </w:r>
      <w:r>
        <w:rPr>
          <w:lang w:val="en-GB"/>
        </w:rPr>
        <w:t>112,853,000</w:t>
      </w:r>
      <w:r>
        <w:rPr>
          <w:rFonts w:hint="eastAsia"/>
          <w:lang w:val="en-GB"/>
        </w:rPr>
        <w:t>科朗的业务支出费用，为全国康复</w:t>
      </w:r>
      <w:r>
        <w:rPr>
          <w:rFonts w:hint="eastAsia"/>
          <w:lang w:val="es-MX"/>
        </w:rPr>
        <w:t>慈善基金会安排了</w:t>
      </w:r>
      <w:r>
        <w:rPr>
          <w:lang w:val="en-GB"/>
        </w:rPr>
        <w:t>61,400,000</w:t>
      </w:r>
      <w:r>
        <w:rPr>
          <w:rFonts w:hint="eastAsia"/>
          <w:lang w:val="en-GB"/>
        </w:rPr>
        <w:t>科朗的业务支出费用。</w:t>
      </w:r>
    </w:p>
    <w:p w:rsidR="00CE4DFD" w:rsidRDefault="00CE4DFD">
      <w:pPr>
        <w:pStyle w:val="SingleTxtGC"/>
        <w:rPr>
          <w:lang w:val="en-GB"/>
        </w:rPr>
      </w:pPr>
      <w:r>
        <w:rPr>
          <w:lang w:val="en-GB"/>
        </w:rPr>
        <w:t xml:space="preserve">98.  </w:t>
      </w:r>
      <w:r>
        <w:rPr>
          <w:rFonts w:hint="eastAsia"/>
          <w:lang w:val="en-GB"/>
        </w:rPr>
        <w:t>另外，在</w:t>
      </w:r>
      <w:r>
        <w:rPr>
          <w:rFonts w:hint="eastAsia"/>
          <w:lang w:val="en-GB"/>
        </w:rPr>
        <w:t>2008</w:t>
      </w:r>
      <w:r>
        <w:rPr>
          <w:rFonts w:hint="eastAsia"/>
          <w:lang w:val="en-GB"/>
        </w:rPr>
        <w:t>年，</w:t>
      </w:r>
      <w:r>
        <w:rPr>
          <w:rFonts w:hint="eastAsia"/>
          <w:lang w:val="es-MX"/>
        </w:rPr>
        <w:t>社会救助联合委员会向残疾人协会提供了总计</w:t>
      </w:r>
      <w:r>
        <w:rPr>
          <w:lang w:val="es-CR"/>
        </w:rPr>
        <w:t>11,500,000</w:t>
      </w:r>
      <w:r>
        <w:rPr>
          <w:rFonts w:hint="eastAsia"/>
          <w:lang w:val="es-CR"/>
        </w:rPr>
        <w:t>.</w:t>
      </w:r>
      <w:r>
        <w:rPr>
          <w:lang w:val="es-CR"/>
        </w:rPr>
        <w:t>00</w:t>
      </w:r>
      <w:r>
        <w:rPr>
          <w:rFonts w:hint="eastAsia"/>
          <w:lang w:val="es-CR"/>
        </w:rPr>
        <w:t>科朗，用于配备基本器材。此外，同年又向布伦卡地区的特殊教育学校提供了</w:t>
      </w:r>
      <w:r>
        <w:rPr>
          <w:lang w:val="es-CR"/>
        </w:rPr>
        <w:t>19,000,000</w:t>
      </w:r>
      <w:r>
        <w:rPr>
          <w:rFonts w:hint="eastAsia"/>
          <w:lang w:val="es-CR"/>
        </w:rPr>
        <w:t>.00</w:t>
      </w:r>
      <w:r>
        <w:rPr>
          <w:rFonts w:hint="eastAsia"/>
          <w:lang w:val="es-CR"/>
        </w:rPr>
        <w:t>科朗，用于学校设施改造。</w:t>
      </w:r>
      <w:r>
        <w:rPr>
          <w:rFonts w:hint="eastAsia"/>
          <w:lang w:val="es-CR"/>
        </w:rPr>
        <w:t>2009</w:t>
      </w:r>
      <w:r>
        <w:rPr>
          <w:rFonts w:hint="eastAsia"/>
          <w:lang w:val="es-CR"/>
        </w:rPr>
        <w:t>年，乌帕拉残疾人协会从</w:t>
      </w:r>
      <w:r>
        <w:rPr>
          <w:rFonts w:hint="eastAsia"/>
          <w:lang w:val="es-MX"/>
        </w:rPr>
        <w:t>社会救助联合委员会获得</w:t>
      </w:r>
      <w:r>
        <w:rPr>
          <w:lang w:val="es-CR"/>
        </w:rPr>
        <w:t>50,000,000</w:t>
      </w:r>
      <w:r>
        <w:rPr>
          <w:rFonts w:hint="eastAsia"/>
          <w:lang w:val="es-CR"/>
        </w:rPr>
        <w:t>.</w:t>
      </w:r>
      <w:r>
        <w:rPr>
          <w:lang w:val="es-CR"/>
        </w:rPr>
        <w:t>00</w:t>
      </w:r>
      <w:r>
        <w:rPr>
          <w:rFonts w:hint="eastAsia"/>
          <w:lang w:val="es-CR"/>
        </w:rPr>
        <w:t>科朗，用于残疾人综合服务中心的建设，另外，在</w:t>
      </w:r>
      <w:r>
        <w:rPr>
          <w:rFonts w:hint="eastAsia"/>
          <w:lang w:val="es-CR"/>
        </w:rPr>
        <w:t>2010</w:t>
      </w:r>
      <w:r>
        <w:rPr>
          <w:rFonts w:hint="eastAsia"/>
          <w:lang w:val="es-CR"/>
        </w:rPr>
        <w:t>年的预算中向救世军协会划拨</w:t>
      </w:r>
      <w:r>
        <w:rPr>
          <w:lang w:val="es-CR"/>
        </w:rPr>
        <w:t>3,443,800</w:t>
      </w:r>
      <w:r>
        <w:rPr>
          <w:rFonts w:hint="eastAsia"/>
          <w:lang w:val="es-CR"/>
        </w:rPr>
        <w:t>.</w:t>
      </w:r>
      <w:r>
        <w:rPr>
          <w:lang w:val="es-CR"/>
        </w:rPr>
        <w:t>00</w:t>
      </w:r>
      <w:r>
        <w:rPr>
          <w:rFonts w:hint="eastAsia"/>
          <w:lang w:val="es-CR"/>
        </w:rPr>
        <w:t>科朗，用于配备基本器材。另一方面，在</w:t>
      </w:r>
      <w:r>
        <w:rPr>
          <w:rFonts w:hint="eastAsia"/>
          <w:lang w:val="es-CR"/>
        </w:rPr>
        <w:t>2009</w:t>
      </w:r>
      <w:r>
        <w:rPr>
          <w:rFonts w:hint="eastAsia"/>
          <w:lang w:val="es-CR"/>
        </w:rPr>
        <w:t>年和</w:t>
      </w:r>
      <w:r>
        <w:rPr>
          <w:rFonts w:hint="eastAsia"/>
          <w:lang w:val="es-CR"/>
        </w:rPr>
        <w:t>2010</w:t>
      </w:r>
      <w:r>
        <w:rPr>
          <w:rFonts w:hint="eastAsia"/>
          <w:lang w:val="es-CR"/>
        </w:rPr>
        <w:t>年期间，</w:t>
      </w:r>
      <w:r>
        <w:rPr>
          <w:rFonts w:hint="eastAsia"/>
          <w:lang w:val="es-MX"/>
        </w:rPr>
        <w:t>为实施针对那些处于贫困、危难和被抛弃境遇的人的关爱计划，全国康复和特殊教育委员会共计投入了</w:t>
      </w:r>
      <w:r>
        <w:rPr>
          <w:lang w:val="en-GB"/>
        </w:rPr>
        <w:t>4,117,275,543</w:t>
      </w:r>
      <w:r>
        <w:rPr>
          <w:rFonts w:hint="eastAsia"/>
          <w:lang w:val="en-GB"/>
        </w:rPr>
        <w:t>.</w:t>
      </w:r>
      <w:r>
        <w:rPr>
          <w:lang w:val="en-GB"/>
        </w:rPr>
        <w:t>00</w:t>
      </w:r>
      <w:r>
        <w:rPr>
          <w:rFonts w:hint="eastAsia"/>
          <w:lang w:val="en-GB"/>
        </w:rPr>
        <w:t>科朗。</w:t>
      </w:r>
    </w:p>
    <w:p w:rsidR="00CE4DFD" w:rsidRDefault="00CE4DFD">
      <w:pPr>
        <w:pStyle w:val="SingleTxtGC"/>
        <w:rPr>
          <w:lang w:val="es-CR"/>
        </w:rPr>
      </w:pPr>
      <w:r>
        <w:rPr>
          <w:lang w:val="en-GB"/>
        </w:rPr>
        <w:t xml:space="preserve">99.  </w:t>
      </w:r>
      <w:r>
        <w:rPr>
          <w:rFonts w:hint="eastAsia"/>
          <w:lang w:val="en-GB"/>
        </w:rPr>
        <w:t>另一方面，为了关注残疾人的住房问题，社会保护委员会在</w:t>
      </w:r>
      <w:r>
        <w:rPr>
          <w:rFonts w:hint="eastAsia"/>
          <w:lang w:val="en-GB"/>
        </w:rPr>
        <w:t>2009</w:t>
      </w:r>
      <w:r>
        <w:rPr>
          <w:rFonts w:hint="eastAsia"/>
          <w:lang w:val="en-GB"/>
        </w:rPr>
        <w:t>年和</w:t>
      </w:r>
      <w:r>
        <w:rPr>
          <w:rFonts w:hint="eastAsia"/>
          <w:lang w:val="en-GB"/>
        </w:rPr>
        <w:t>2010</w:t>
      </w:r>
      <w:r>
        <w:rPr>
          <w:rFonts w:hint="eastAsia"/>
          <w:lang w:val="en-GB"/>
        </w:rPr>
        <w:t>年期间投资了</w:t>
      </w:r>
      <w:r>
        <w:rPr>
          <w:lang w:val="en-GB"/>
        </w:rPr>
        <w:t>2,380,924,546</w:t>
      </w:r>
      <w:r>
        <w:rPr>
          <w:rFonts w:hint="eastAsia"/>
          <w:lang w:val="en-GB"/>
        </w:rPr>
        <w:t>.</w:t>
      </w:r>
      <w:r>
        <w:rPr>
          <w:lang w:val="en-GB"/>
        </w:rPr>
        <w:t>00</w:t>
      </w:r>
      <w:r>
        <w:rPr>
          <w:rFonts w:hint="eastAsia"/>
          <w:lang w:val="en-GB"/>
        </w:rPr>
        <w:t>科朗，提供了</w:t>
      </w:r>
      <w:r>
        <w:rPr>
          <w:rFonts w:hint="eastAsia"/>
          <w:lang w:val="en-GB"/>
        </w:rPr>
        <w:t>315</w:t>
      </w:r>
      <w:r>
        <w:rPr>
          <w:rFonts w:hint="eastAsia"/>
          <w:lang w:val="en-GB"/>
        </w:rPr>
        <w:t>项技术支助，为</w:t>
      </w:r>
      <w:r>
        <w:rPr>
          <w:rFonts w:hint="eastAsia"/>
          <w:lang w:val="en-GB"/>
        </w:rPr>
        <w:t>21</w:t>
      </w:r>
      <w:r>
        <w:rPr>
          <w:rFonts w:hint="eastAsia"/>
          <w:lang w:val="en-GB"/>
        </w:rPr>
        <w:t>家特殊教育中心和</w:t>
      </w:r>
      <w:r>
        <w:rPr>
          <w:rFonts w:hint="eastAsia"/>
          <w:lang w:val="en-GB"/>
        </w:rPr>
        <w:t>20</w:t>
      </w:r>
      <w:r>
        <w:rPr>
          <w:rFonts w:hint="eastAsia"/>
          <w:lang w:val="en-GB"/>
        </w:rPr>
        <w:t>家残疾人综合服务中心提供管理支助。通过这种方式，国家为争取使残疾人享有适足生活水平和社会保护，共计投资超过</w:t>
      </w:r>
      <w:r>
        <w:rPr>
          <w:lang w:val="en-GB"/>
        </w:rPr>
        <w:t>6,756,396,889</w:t>
      </w:r>
      <w:r>
        <w:rPr>
          <w:rFonts w:hint="eastAsia"/>
          <w:lang w:val="en-GB"/>
        </w:rPr>
        <w:t>.</w:t>
      </w:r>
      <w:r>
        <w:rPr>
          <w:lang w:val="en-GB"/>
        </w:rPr>
        <w:t>00</w:t>
      </w:r>
      <w:r>
        <w:rPr>
          <w:rFonts w:hint="eastAsia"/>
          <w:lang w:val="en-GB"/>
        </w:rPr>
        <w:t>科朗，折合</w:t>
      </w:r>
      <w:r>
        <w:rPr>
          <w:lang w:val="es-CR"/>
        </w:rPr>
        <w:t>13,381,388</w:t>
      </w:r>
      <w:r>
        <w:rPr>
          <w:rFonts w:hint="eastAsia"/>
          <w:lang w:val="es-CR"/>
        </w:rPr>
        <w:t>.</w:t>
      </w:r>
      <w:r>
        <w:rPr>
          <w:lang w:val="es-CR"/>
        </w:rPr>
        <w:t>54</w:t>
      </w:r>
      <w:r>
        <w:rPr>
          <w:rFonts w:hint="eastAsia"/>
          <w:lang w:val="es-CR"/>
        </w:rPr>
        <w:t>美元。</w:t>
      </w:r>
    </w:p>
    <w:p w:rsidR="00CE4DFD" w:rsidRDefault="00CE4DFD">
      <w:pPr>
        <w:pStyle w:val="SingleTxtGC"/>
        <w:rPr>
          <w:rFonts w:hint="eastAsia"/>
          <w:lang w:val="en-GB"/>
        </w:rPr>
      </w:pPr>
      <w:r>
        <w:rPr>
          <w:lang w:val="en-GB"/>
        </w:rPr>
        <w:t xml:space="preserve">100.  </w:t>
      </w:r>
      <w:r>
        <w:rPr>
          <w:rFonts w:hint="eastAsia"/>
          <w:lang w:val="en-GB"/>
        </w:rPr>
        <w:t>在各个地方，市政府采取的主要行动是提供经济支助、无障碍物理环境、无障碍获取信息以及促进残疾人发展方面的服务。</w:t>
      </w:r>
    </w:p>
    <w:p w:rsidR="00CE4DFD" w:rsidRDefault="00CE4DFD">
      <w:pPr>
        <w:pStyle w:val="SingleTxtGC"/>
        <w:rPr>
          <w:i/>
          <w:lang w:val="en-GB"/>
        </w:rPr>
      </w:pPr>
      <w:r>
        <w:rPr>
          <w:lang w:val="es-MX"/>
        </w:rPr>
        <w:t xml:space="preserve">101.  </w:t>
      </w:r>
      <w:r>
        <w:rPr>
          <w:rFonts w:hint="eastAsia"/>
          <w:lang w:val="es-MX"/>
        </w:rPr>
        <w:t>提供经济资助是为了照顾残疾人的各种需要，比如送医送药、发放免费补助金、为残疾人家庭办理住房救济券、提供技术帮助；设计无障碍住房；给残疾儿童发放助学金</w:t>
      </w:r>
      <w:r>
        <w:rPr>
          <w:rFonts w:hint="eastAsia"/>
          <w:lang w:val="es-MX"/>
        </w:rPr>
        <w:t>(</w:t>
      </w:r>
      <w:r>
        <w:rPr>
          <w:rFonts w:hint="eastAsia"/>
          <w:lang w:val="es-MX"/>
        </w:rPr>
        <w:t>文具、校服、食物救济</w:t>
      </w:r>
      <w:r>
        <w:rPr>
          <w:rFonts w:hint="eastAsia"/>
          <w:lang w:val="es-MX"/>
        </w:rPr>
        <w:t>)</w:t>
      </w:r>
      <w:r>
        <w:rPr>
          <w:rFonts w:hint="eastAsia"/>
          <w:lang w:val="es-MX"/>
        </w:rPr>
        <w:t>；在日间护理中心照顾残疾老人；让儿童与残疾父母一起参加儿童活动中心的活动；建一所具备紧急安全功能的无障碍儿童活动中心，对县市教育机构以及娱乐场所的基础设施进行改造，为社区项目管理提供支持，保障人们获得饮用水、住房以及社会保护；为教育机构和娱乐场所的基础设施改造提供支持。这些行动得以实施，靠的是社会救助联合委员会、哥斯达黎加社会保险局以及非政府组织等机构的配合。</w:t>
      </w:r>
    </w:p>
    <w:p w:rsidR="00CE4DFD" w:rsidRDefault="00CE4DFD">
      <w:pPr>
        <w:pStyle w:val="SingleTxtGC"/>
        <w:rPr>
          <w:i/>
          <w:lang w:val="en-GB"/>
        </w:rPr>
      </w:pPr>
      <w:r>
        <w:rPr>
          <w:lang w:val="en-GB"/>
        </w:rPr>
        <w:t xml:space="preserve">102.  </w:t>
      </w:r>
      <w:r>
        <w:rPr>
          <w:rFonts w:hint="eastAsia"/>
          <w:lang w:val="en-GB"/>
        </w:rPr>
        <w:t>另外，在无障碍物理环境以及无障碍获取信息方面，一些市政府建立了市政府服务平台，优先照顾那些有这方面需要的人们，各县市方面还做过一些调查分析，目的是收集关于残疾人口需求和状况的数据资料；在无障碍物理环境问题上，对公共机构、私营机构、公共场所、社区服务、卫生和教育方面的无障碍情况进行了检查；另外还实施了人行道改造工程。</w:t>
      </w:r>
    </w:p>
    <w:p w:rsidR="00CE4DFD" w:rsidRDefault="00CE4DFD">
      <w:pPr>
        <w:pStyle w:val="SingleTxtGC"/>
        <w:rPr>
          <w:i/>
          <w:lang w:val="en-GB"/>
        </w:rPr>
      </w:pPr>
      <w:r>
        <w:rPr>
          <w:lang w:val="en-GB"/>
        </w:rPr>
        <w:t xml:space="preserve">103.  </w:t>
      </w:r>
      <w:r>
        <w:rPr>
          <w:rFonts w:hint="eastAsia"/>
          <w:lang w:val="en-GB"/>
        </w:rPr>
        <w:t>关于促进残疾人发展的问题，确认与之相关的行动包括，每年举办女性微型企业推介会，组织年青妈妈、大学生和残疾成年人参加关于企业问题的培训活动；为残疾人协会提供支持；对残疾运动员进行表彰；开展妇女人权宣传运动；此外，我们还为残疾人参加工作提供了便利；为不能视物的人们捐赠了计算机设备和软件。同样，我们还重点针对公民参与、以及关注和预防针对残疾人暴力等问题开展了相关培训活动；为使残疾和性别问题贯穿到市政管理工作当中，对地方政府的人员进行了相关培训。</w:t>
      </w:r>
    </w:p>
    <w:p w:rsidR="00CE4DFD" w:rsidRDefault="00CE4DFD">
      <w:pPr>
        <w:pStyle w:val="SingleTxtGC"/>
        <w:rPr>
          <w:lang w:val="en-GB"/>
        </w:rPr>
      </w:pPr>
      <w:r>
        <w:rPr>
          <w:lang w:val="en-GB"/>
        </w:rPr>
        <w:t xml:space="preserve">104.  </w:t>
      </w:r>
      <w:r>
        <w:rPr>
          <w:rFonts w:hint="eastAsia"/>
          <w:lang w:val="en-GB"/>
        </w:rPr>
        <w:t>除了前面提到的情况外，我们还针对在紧急情况下照顾残疾人问题实施了相关行动，为此已经执行了多项应急方案，并且制定了一份灾难事件应急条例，目的是在发生紧急事件的情况下优先照顾残疾人，为遭受自然灾害的残疾人及其家庭提供直接帮扶服务。</w:t>
      </w:r>
    </w:p>
    <w:p w:rsidR="00CE4DFD" w:rsidRDefault="00CE4DFD">
      <w:pPr>
        <w:pStyle w:val="H23GC"/>
      </w:pPr>
      <w:r>
        <w:tab/>
        <w:t>2.</w:t>
      </w:r>
      <w:r>
        <w:rPr>
          <w:rFonts w:ascii="SimSun" w:eastAsia="SimSun" w:hAnsi="SimSun" w:cs="SimSun" w:hint="eastAsia"/>
        </w:rPr>
        <w:tab/>
      </w:r>
      <w:bookmarkStart w:id="37" w:name="_Toc352758985"/>
      <w:r>
        <w:rPr>
          <w:rFonts w:hint="eastAsia"/>
        </w:rPr>
        <w:t>有待采取的行动、制约因素和改进措施</w:t>
      </w:r>
      <w:bookmarkEnd w:id="37"/>
    </w:p>
    <w:p w:rsidR="00CE4DFD" w:rsidRDefault="00CE4DFD">
      <w:pPr>
        <w:pStyle w:val="SingleTxtGC"/>
        <w:rPr>
          <w:rFonts w:hint="eastAsia"/>
          <w:lang w:val="en-GB"/>
        </w:rPr>
      </w:pPr>
      <w:r>
        <w:rPr>
          <w:lang w:val="en-GB"/>
        </w:rPr>
        <w:t xml:space="preserve">105.  </w:t>
      </w:r>
      <w:r>
        <w:rPr>
          <w:rFonts w:hint="eastAsia"/>
          <w:lang w:val="en-GB"/>
        </w:rPr>
        <w:t>在全国范围内需要采取的主要行动包括，起草关于在发生自然灾害、以及家庭内外虐待或暴力等紧急事态时救助残疾人的议定书。</w:t>
      </w:r>
    </w:p>
    <w:p w:rsidR="00CE4DFD" w:rsidRDefault="00CE4DFD">
      <w:pPr>
        <w:pStyle w:val="SingleTxtGC"/>
        <w:rPr>
          <w:lang w:val="en-GB"/>
        </w:rPr>
      </w:pPr>
      <w:r>
        <w:rPr>
          <w:lang w:val="en-GB"/>
        </w:rPr>
        <w:t xml:space="preserve">106.  </w:t>
      </w:r>
      <w:r>
        <w:rPr>
          <w:rFonts w:hint="eastAsia"/>
          <w:lang w:val="en-GB"/>
        </w:rPr>
        <w:t>在保障残疾人享有适当生活水平方面遇到的主要制约因素包括预算方面的限制、缺少人力和无法满足残疾人提出的多种要求，我们发现，人们总是从一种福利范式的角度来处理这一问题，导致公共机构的行动孤立且分散，此外，在基础设施以及公共服务方面存在障碍。</w:t>
      </w:r>
    </w:p>
    <w:p w:rsidR="00CE4DFD" w:rsidRDefault="00CE4DFD">
      <w:pPr>
        <w:pStyle w:val="SingleTxtGC"/>
        <w:rPr>
          <w:lang w:val="en-GB"/>
        </w:rPr>
      </w:pPr>
      <w:r>
        <w:rPr>
          <w:lang w:val="en-GB"/>
        </w:rPr>
        <w:t xml:space="preserve">107.  </w:t>
      </w:r>
      <w:r>
        <w:rPr>
          <w:rFonts w:hint="eastAsia"/>
          <w:lang w:val="en-GB"/>
        </w:rPr>
        <w:t>关于残疾儿童收养问题，据悉有非政府组织不接受残疾人。</w:t>
      </w:r>
    </w:p>
    <w:p w:rsidR="00CE4DFD" w:rsidRDefault="00CE4DFD">
      <w:pPr>
        <w:pStyle w:val="SingleTxtGC"/>
        <w:rPr>
          <w:lang w:val="en-GB"/>
        </w:rPr>
      </w:pPr>
      <w:r>
        <w:rPr>
          <w:lang w:val="en-GB"/>
        </w:rPr>
        <w:t xml:space="preserve">108.  </w:t>
      </w:r>
      <w:r>
        <w:rPr>
          <w:rFonts w:hint="eastAsia"/>
          <w:lang w:val="en-GB"/>
        </w:rPr>
        <w:t>在城市规划问题上，《国家分区建设和城市化控制条例》有许多限制规定。具体来说，涉及到该条例关于是否可以有限行街道的规定，也就是宽度为</w:t>
      </w:r>
      <w:smartTag w:uri="urn:schemas-microsoft-com:office:smarttags" w:element="chmetcnv">
        <w:smartTagPr>
          <w:attr w:name="UnitName" w:val="米"/>
          <w:attr w:name="SourceValue" w:val="7"/>
          <w:attr w:name="HasSpace" w:val="False"/>
          <w:attr w:name="Negative" w:val="False"/>
          <w:attr w:name="NumberType" w:val="1"/>
          <w:attr w:name="TCSC" w:val="0"/>
        </w:smartTagPr>
        <w:r>
          <w:rPr>
            <w:rFonts w:hint="eastAsia"/>
            <w:lang w:val="en-GB"/>
          </w:rPr>
          <w:t>7</w:t>
        </w:r>
        <w:r>
          <w:rPr>
            <w:rFonts w:hint="eastAsia"/>
            <w:lang w:val="en-GB"/>
          </w:rPr>
          <w:t>米</w:t>
        </w:r>
      </w:smartTag>
      <w:r>
        <w:rPr>
          <w:rFonts w:hint="eastAsia"/>
          <w:lang w:val="en-GB"/>
        </w:rPr>
        <w:t>的道路通行权问题，其中包括</w:t>
      </w:r>
      <w:smartTag w:uri="urn:schemas-microsoft-com:office:smarttags" w:element="chmetcnv">
        <w:smartTagPr>
          <w:attr w:name="UnitName" w:val="米"/>
          <w:attr w:name="SourceValue" w:val="5"/>
          <w:attr w:name="HasSpace" w:val="False"/>
          <w:attr w:name="Negative" w:val="False"/>
          <w:attr w:name="NumberType" w:val="1"/>
          <w:attr w:name="TCSC" w:val="0"/>
        </w:smartTagPr>
        <w:r>
          <w:rPr>
            <w:rFonts w:hint="eastAsia"/>
            <w:lang w:val="en-GB"/>
          </w:rPr>
          <w:t>5</w:t>
        </w:r>
        <w:r>
          <w:rPr>
            <w:rFonts w:hint="eastAsia"/>
            <w:lang w:val="en-GB"/>
          </w:rPr>
          <w:t>米</w:t>
        </w:r>
      </w:smartTag>
      <w:r>
        <w:rPr>
          <w:rFonts w:hint="eastAsia"/>
          <w:lang w:val="en-GB"/>
        </w:rPr>
        <w:t>宽的行车道和</w:t>
      </w:r>
      <w:smartTag w:uri="urn:schemas-microsoft-com:office:smarttags" w:element="chmetcnv">
        <w:smartTagPr>
          <w:attr w:name="UnitName" w:val="米"/>
          <w:attr w:name="SourceValue" w:val="1"/>
          <w:attr w:name="HasSpace" w:val="False"/>
          <w:attr w:name="Negative" w:val="False"/>
          <w:attr w:name="NumberType" w:val="1"/>
          <w:attr w:name="TCSC" w:val="0"/>
        </w:smartTagPr>
        <w:r>
          <w:rPr>
            <w:rFonts w:hint="eastAsia"/>
            <w:lang w:val="en-GB"/>
          </w:rPr>
          <w:t>1</w:t>
        </w:r>
        <w:r>
          <w:rPr>
            <w:rFonts w:hint="eastAsia"/>
            <w:lang w:val="en-GB"/>
          </w:rPr>
          <w:t>米</w:t>
        </w:r>
      </w:smartTag>
      <w:r>
        <w:rPr>
          <w:rFonts w:hint="eastAsia"/>
          <w:lang w:val="en-GB"/>
        </w:rPr>
        <w:t>宽的人行道，而实际上应当对这一规定进行修改，把人行道宽度增加至</w:t>
      </w:r>
      <w:smartTag w:uri="urn:schemas-microsoft-com:office:smarttags" w:element="chmetcnv">
        <w:smartTagPr>
          <w:attr w:name="UnitName" w:val="米"/>
          <w:attr w:name="SourceValue" w:val="1.2"/>
          <w:attr w:name="HasSpace" w:val="False"/>
          <w:attr w:name="Negative" w:val="False"/>
          <w:attr w:name="NumberType" w:val="1"/>
          <w:attr w:name="TCSC" w:val="0"/>
        </w:smartTagPr>
        <w:r>
          <w:rPr>
            <w:rFonts w:hint="eastAsia"/>
            <w:lang w:val="en-GB"/>
          </w:rPr>
          <w:t>1.2</w:t>
        </w:r>
        <w:r>
          <w:rPr>
            <w:rFonts w:hint="eastAsia"/>
            <w:lang w:val="en-GB"/>
          </w:rPr>
          <w:t>米</w:t>
        </w:r>
      </w:smartTag>
      <w:r>
        <w:rPr>
          <w:rFonts w:hint="eastAsia"/>
          <w:lang w:val="en-GB"/>
        </w:rPr>
        <w:t>，设定为</w:t>
      </w:r>
      <w:smartTag w:uri="urn:schemas-microsoft-com:office:smarttags" w:element="chmetcnv">
        <w:smartTagPr>
          <w:attr w:name="UnitName" w:val="米"/>
          <w:attr w:name="SourceValue" w:val="7.4"/>
          <w:attr w:name="HasSpace" w:val="False"/>
          <w:attr w:name="Negative" w:val="False"/>
          <w:attr w:name="NumberType" w:val="1"/>
          <w:attr w:name="TCSC" w:val="0"/>
        </w:smartTagPr>
        <w:r>
          <w:rPr>
            <w:rFonts w:hint="eastAsia"/>
            <w:lang w:val="en-GB"/>
          </w:rPr>
          <w:t>7.4</w:t>
        </w:r>
        <w:r>
          <w:rPr>
            <w:rFonts w:hint="eastAsia"/>
            <w:lang w:val="en-GB"/>
          </w:rPr>
          <w:t>米</w:t>
        </w:r>
      </w:smartTag>
      <w:r>
        <w:rPr>
          <w:rFonts w:hint="eastAsia"/>
          <w:lang w:val="en-GB"/>
        </w:rPr>
        <w:t>宽的道路通行权。此外，在共管地问题上，也没有专门针对这些特殊群体的条例规定。从这种意义上来说，现行条例规定存在空白，从而限制了在公共道路上实现物理环境无障碍。</w:t>
      </w:r>
    </w:p>
    <w:p w:rsidR="00CE4DFD" w:rsidRDefault="00CE4DFD">
      <w:pPr>
        <w:pStyle w:val="SingleTxtGC"/>
        <w:rPr>
          <w:lang w:val="en-GB"/>
        </w:rPr>
      </w:pPr>
      <w:r>
        <w:rPr>
          <w:lang w:val="en-GB"/>
        </w:rPr>
        <w:t xml:space="preserve">109.  </w:t>
      </w:r>
      <w:r>
        <w:rPr>
          <w:rFonts w:hint="eastAsia"/>
          <w:lang w:val="en-GB"/>
        </w:rPr>
        <w:t>关于婚姻权利、计划生育权利以及未成年人继续留在家庭的权利，哥斯达黎加的法律法规没有做出与残疾人有关的特别规定，然而，考虑到这是人的基本权利，国家应当争取让所有人都能够无限制的行使这些权利。</w:t>
      </w:r>
    </w:p>
    <w:p w:rsidR="00CE4DFD" w:rsidRDefault="00CE4DFD">
      <w:pPr>
        <w:pStyle w:val="SingleTxtGC"/>
        <w:rPr>
          <w:lang w:val="en-GB"/>
        </w:rPr>
      </w:pPr>
      <w:r>
        <w:rPr>
          <w:lang w:val="en-GB"/>
        </w:rPr>
        <w:t xml:space="preserve">110.  </w:t>
      </w:r>
      <w:r>
        <w:rPr>
          <w:rFonts w:hint="eastAsia"/>
          <w:lang w:val="en-GB"/>
        </w:rPr>
        <w:t>为了克服这些制约因素，需要进行评价之后采取相应的措施，其中包括，形成一整套国家保护制度，整合官方以及民间的各种临时性或长期性保护措施，使相关法律法规同等适用于非政府组织以及公共机构</w:t>
      </w:r>
      <w:r>
        <w:rPr>
          <w:rFonts w:hint="eastAsia"/>
          <w:lang w:val="en-GB"/>
        </w:rPr>
        <w:t>(</w:t>
      </w:r>
      <w:r>
        <w:rPr>
          <w:rFonts w:hint="eastAsia"/>
          <w:lang w:val="es-MX"/>
        </w:rPr>
        <w:t>全国儿童慈善基金会、公共教育部、以及卫生部下属的儿童全面营养中心</w:t>
      </w:r>
      <w:r>
        <w:rPr>
          <w:rFonts w:hint="eastAsia"/>
          <w:lang w:val="en-GB"/>
        </w:rPr>
        <w:t>)</w:t>
      </w:r>
      <w:r>
        <w:rPr>
          <w:rFonts w:hint="eastAsia"/>
          <w:lang w:val="en-GB"/>
        </w:rPr>
        <w:t>，在</w:t>
      </w:r>
      <w:r>
        <w:rPr>
          <w:rFonts w:hint="eastAsia"/>
          <w:lang w:val="es-MX"/>
        </w:rPr>
        <w:t>全国儿童慈善基金会的倡导下，正在通过联席理事会开展相应的工作。</w:t>
      </w:r>
    </w:p>
    <w:p w:rsidR="00CE4DFD" w:rsidRDefault="00CE4DFD">
      <w:pPr>
        <w:pStyle w:val="SingleTxtGC"/>
        <w:rPr>
          <w:lang w:val="en-GB"/>
        </w:rPr>
      </w:pPr>
      <w:r>
        <w:rPr>
          <w:lang w:val="en-GB"/>
        </w:rPr>
        <w:t xml:space="preserve">111.  </w:t>
      </w:r>
      <w:r>
        <w:rPr>
          <w:rFonts w:hint="eastAsia"/>
          <w:lang w:val="en-GB"/>
        </w:rPr>
        <w:t>另一项措施就是对执行贫困人口和社会高危人群救助计划的人员以及从事直接服务的人员进行培训，让他们明白残疾问题不仅仅是职责范围内的事务，而且应当从包容性和人权角度看待残疾问题，因此要提出各种解决方案来提高残疾人的生活质量。此外人们提出，需要根据实际情况并在获得相关机构同意的情况下，对现行法律进行适当修改。</w:t>
      </w:r>
    </w:p>
    <w:p w:rsidR="00CE4DFD" w:rsidRDefault="00CE4DFD">
      <w:pPr>
        <w:pStyle w:val="SingleTxtGC"/>
        <w:rPr>
          <w:lang w:val="en-GB"/>
        </w:rPr>
      </w:pPr>
      <w:r>
        <w:rPr>
          <w:lang w:val="en-GB"/>
        </w:rPr>
        <w:t xml:space="preserve">112.  </w:t>
      </w:r>
      <w:r>
        <w:rPr>
          <w:rFonts w:hint="eastAsia"/>
          <w:lang w:val="en-GB"/>
        </w:rPr>
        <w:t>在地方层面上，需要采取的主要行动包括，解决残疾人及其家庭的贫困问题；确保在平等条件下执行助学金以及经济救助计划；落实《城市无障碍计划》；设立专门用于关心照顾残疾人的场所；进行社会经济研究，对残疾人及其家庭的社会经济状况进行评估；提供无障碍交通服务；提供关于市政服务的无障碍信息；对公共建筑无障碍情况进行检查；完成市政建筑无障碍改造工程。</w:t>
      </w:r>
    </w:p>
    <w:p w:rsidR="00CE4DFD" w:rsidRDefault="00CE4DFD">
      <w:pPr>
        <w:pStyle w:val="SingleTxtGC"/>
        <w:rPr>
          <w:lang w:val="en-GB"/>
        </w:rPr>
      </w:pPr>
      <w:r>
        <w:rPr>
          <w:lang w:val="en-GB"/>
        </w:rPr>
        <w:t xml:space="preserve">113.  </w:t>
      </w:r>
      <w:r>
        <w:rPr>
          <w:rFonts w:hint="eastAsia"/>
          <w:lang w:val="en-GB"/>
        </w:rPr>
        <w:t>此外，还需要采取相关具体行动，创造就业机会，让残疾人过上有意义有价值的生活，并且与大学院校进行协作，建立残疾人就业信息系统。</w:t>
      </w:r>
    </w:p>
    <w:p w:rsidR="00CE4DFD" w:rsidRDefault="00CE4DFD">
      <w:pPr>
        <w:pStyle w:val="SingleTxtGC"/>
        <w:rPr>
          <w:lang w:val="en-GB"/>
        </w:rPr>
      </w:pPr>
      <w:r>
        <w:rPr>
          <w:lang w:val="en-GB"/>
        </w:rPr>
        <w:t xml:space="preserve">114.  </w:t>
      </w:r>
      <w:r>
        <w:rPr>
          <w:rFonts w:hint="eastAsia"/>
          <w:lang w:val="en-GB"/>
        </w:rPr>
        <w:t>在某些方面仍然欠缺行动，比如通过使用无障碍语言实现无障碍获取信息，以及建立一个数据库，了解有多少残疾人能够获得社会方面的服务，是否需要其他服务项目，哪些残疾人因为遭受自然灾害或者发生其他紧急情况而面临困境；制定一项在公共机构就业的政策。</w:t>
      </w:r>
    </w:p>
    <w:p w:rsidR="00CE4DFD" w:rsidRDefault="00CE4DFD">
      <w:pPr>
        <w:pStyle w:val="SingleTxtGC"/>
        <w:rPr>
          <w:lang w:val="en-GB"/>
        </w:rPr>
      </w:pPr>
      <w:r>
        <w:rPr>
          <w:lang w:val="en-GB"/>
        </w:rPr>
        <w:t xml:space="preserve">115.  </w:t>
      </w:r>
      <w:r>
        <w:rPr>
          <w:rFonts w:hint="eastAsia"/>
          <w:lang w:val="en-GB"/>
        </w:rPr>
        <w:t>针对在紧急状况下救助残疾人的问题，尚需采取一些行动，为此，需要把该问题纳入到《县市紧急救助方案》当中；对市政人员进行培训，学习如何救助遭受灾害的残疾人；掌握残疾人住户的所在位置；了解县市面临的风险。</w:t>
      </w:r>
    </w:p>
    <w:p w:rsidR="00CE4DFD" w:rsidRDefault="00CE4DFD">
      <w:pPr>
        <w:pStyle w:val="SingleTxtGC"/>
        <w:rPr>
          <w:lang w:val="en-GB"/>
        </w:rPr>
      </w:pPr>
      <w:r>
        <w:rPr>
          <w:lang w:val="en-GB"/>
        </w:rPr>
        <w:t xml:space="preserve">116.  </w:t>
      </w:r>
      <w:r>
        <w:rPr>
          <w:rFonts w:hint="eastAsia"/>
          <w:lang w:val="en-GB"/>
        </w:rPr>
        <w:t>有必要加强市政监督和检查工作，以便让市政建设项目开发企业把房子先分配给残疾人，并且有必要在地方紧急情况委员会、消防队以及红十字会之间建立一种纽带，以便对残疾人进行重新安置。</w:t>
      </w:r>
    </w:p>
    <w:p w:rsidR="00CE4DFD" w:rsidRDefault="00CE4DFD">
      <w:pPr>
        <w:pStyle w:val="SingleTxtGC"/>
        <w:rPr>
          <w:lang w:val="en-GB"/>
        </w:rPr>
      </w:pPr>
      <w:r>
        <w:rPr>
          <w:lang w:val="en-GB"/>
        </w:rPr>
        <w:t xml:space="preserve">117.  </w:t>
      </w:r>
      <w:r>
        <w:rPr>
          <w:rFonts w:hint="eastAsia"/>
          <w:lang w:val="en-GB"/>
        </w:rPr>
        <w:t>最主要的制约因素还是地方缺少人力和财力的问题，难以及时满足人们的需要。在人力资源方面，需要在人权以及从人权角度看待残疾人处境的问题上，加大对地方官员的培训力度。</w:t>
      </w:r>
    </w:p>
    <w:p w:rsidR="00CE4DFD" w:rsidRDefault="00CE4DFD">
      <w:pPr>
        <w:pStyle w:val="SingleTxtGC"/>
        <w:rPr>
          <w:lang w:val="en-GB"/>
        </w:rPr>
      </w:pPr>
      <w:r>
        <w:rPr>
          <w:lang w:val="en-GB"/>
        </w:rPr>
        <w:t xml:space="preserve">118.  </w:t>
      </w:r>
      <w:r>
        <w:rPr>
          <w:rFonts w:hint="eastAsia"/>
          <w:lang w:val="en-GB"/>
        </w:rPr>
        <w:t>缺少无障碍物理环境仍然是一种制约因素，加上在实施社会救助计划过程中反映出来的官僚作风，使残疾人很难有机会享受这些服务。</w:t>
      </w:r>
    </w:p>
    <w:p w:rsidR="00CE4DFD" w:rsidRDefault="00CE4DFD">
      <w:pPr>
        <w:pStyle w:val="SingleTxtGC"/>
        <w:rPr>
          <w:lang w:val="en-GB"/>
        </w:rPr>
      </w:pPr>
      <w:r>
        <w:rPr>
          <w:lang w:val="en-GB"/>
        </w:rPr>
        <w:t xml:space="preserve">119.  </w:t>
      </w:r>
      <w:r>
        <w:rPr>
          <w:rFonts w:hint="eastAsia"/>
          <w:lang w:val="en-GB"/>
        </w:rPr>
        <w:t>缺乏机构间协调成为另一种制约因素，特别是在预防和处理剥削、暴力和虐待问题上；与那些共同负责县市周边无障碍保障工作的单位沟通不畅；对相关法律知之甚少。</w:t>
      </w:r>
    </w:p>
    <w:p w:rsidR="00CE4DFD" w:rsidRDefault="00CE4DFD">
      <w:pPr>
        <w:pStyle w:val="SingleTxtGC"/>
        <w:rPr>
          <w:rFonts w:hint="eastAsia"/>
          <w:lang w:val="en-GB"/>
        </w:rPr>
      </w:pPr>
      <w:r>
        <w:rPr>
          <w:lang w:val="en-GB"/>
        </w:rPr>
        <w:t xml:space="preserve">120.  </w:t>
      </w:r>
      <w:r>
        <w:rPr>
          <w:rFonts w:hint="eastAsia"/>
          <w:lang w:val="en-GB"/>
        </w:rPr>
        <w:t>在法律方面，对于在颁发许可证和专利过程中对无障碍情况进行监督的问题，有些市政府少有明确的法律规定；县市境内的地形存在一定程度上的不规整问题，此外，在许多情况下显示出，缺少把残疾人问题列入地方政府优先工作中的政治意愿。</w:t>
      </w:r>
    </w:p>
    <w:p w:rsidR="00CE4DFD" w:rsidRDefault="00CE4DFD">
      <w:pPr>
        <w:pStyle w:val="SingleTxtGC"/>
        <w:rPr>
          <w:rFonts w:hint="eastAsia"/>
          <w:lang w:val="en-GB"/>
        </w:rPr>
      </w:pPr>
      <w:r>
        <w:rPr>
          <w:lang w:val="en-GB"/>
        </w:rPr>
        <w:t xml:space="preserve">121.  </w:t>
      </w:r>
      <w:r>
        <w:rPr>
          <w:rFonts w:hint="eastAsia"/>
          <w:lang w:val="en-GB"/>
        </w:rPr>
        <w:t>县市登记工作存在欠缺，不能掌握残疾人住所、需求以及其他方面的信息，因而也就无法制定旨在提高残疾人生活质量的支助和服务计划。</w:t>
      </w:r>
    </w:p>
    <w:p w:rsidR="00CE4DFD" w:rsidRDefault="00CE4DFD">
      <w:pPr>
        <w:pStyle w:val="SingleTxtGC"/>
        <w:rPr>
          <w:rFonts w:hint="eastAsia"/>
          <w:lang w:val="en-GB"/>
        </w:rPr>
      </w:pPr>
      <w:r>
        <w:rPr>
          <w:lang w:val="en-GB"/>
        </w:rPr>
        <w:t xml:space="preserve">122.  </w:t>
      </w:r>
      <w:r>
        <w:rPr>
          <w:rFonts w:hint="eastAsia"/>
          <w:lang w:val="en-GB"/>
        </w:rPr>
        <w:t>为克服各种制约因素而提出的解决方案，更多指的是倡议，而非具体行动，之所有在此谈及这些，是为了不忽视那些有可能用来指引行动的路线方针。</w:t>
      </w:r>
    </w:p>
    <w:p w:rsidR="00CE4DFD" w:rsidRDefault="00CE4DFD">
      <w:pPr>
        <w:pStyle w:val="SingleTxtGC"/>
        <w:rPr>
          <w:lang w:val="en-GB"/>
        </w:rPr>
      </w:pPr>
      <w:r>
        <w:rPr>
          <w:lang w:val="en-GB"/>
        </w:rPr>
        <w:t xml:space="preserve">123.  </w:t>
      </w:r>
      <w:r>
        <w:rPr>
          <w:rFonts w:hint="eastAsia"/>
          <w:lang w:val="en-GB"/>
        </w:rPr>
        <w:t>主要的一些倡议包括：</w:t>
      </w:r>
    </w:p>
    <w:p w:rsidR="00CE4DFD" w:rsidRDefault="00CE4DFD">
      <w:pPr>
        <w:pStyle w:val="SingleTxtGC"/>
        <w:numPr>
          <w:ilvl w:val="0"/>
          <w:numId w:val="27"/>
        </w:numPr>
        <w:ind w:left="1134"/>
        <w:rPr>
          <w:lang w:val="en-GB"/>
        </w:rPr>
      </w:pPr>
      <w:r>
        <w:rPr>
          <w:rFonts w:hint="eastAsia"/>
          <w:lang w:val="en-GB"/>
        </w:rPr>
        <w:t>在各项市政条例中引进无障碍和残疾概念；</w:t>
      </w:r>
    </w:p>
    <w:p w:rsidR="00CE4DFD" w:rsidRDefault="00CE4DFD">
      <w:pPr>
        <w:pStyle w:val="SingleTxtGC"/>
        <w:numPr>
          <w:ilvl w:val="0"/>
          <w:numId w:val="27"/>
        </w:numPr>
        <w:ind w:left="1134"/>
        <w:rPr>
          <w:lang w:val="en-GB"/>
        </w:rPr>
      </w:pPr>
      <w:r>
        <w:rPr>
          <w:rFonts w:hint="eastAsia"/>
          <w:lang w:val="en-GB"/>
        </w:rPr>
        <w:t>与相关主管机构以及生产部门进行协调，促进残疾人就业以及对贫困残疾人家庭的救助；</w:t>
      </w:r>
    </w:p>
    <w:p w:rsidR="00CE4DFD" w:rsidRDefault="00CE4DFD">
      <w:pPr>
        <w:pStyle w:val="SingleTxtGC"/>
        <w:numPr>
          <w:ilvl w:val="0"/>
          <w:numId w:val="27"/>
        </w:numPr>
        <w:ind w:left="1134"/>
        <w:rPr>
          <w:lang w:val="en-GB"/>
        </w:rPr>
      </w:pPr>
      <w:r>
        <w:rPr>
          <w:rFonts w:hint="eastAsia"/>
          <w:lang w:val="en-GB"/>
        </w:rPr>
        <w:t>增加市政预算；</w:t>
      </w:r>
    </w:p>
    <w:p w:rsidR="00CE4DFD" w:rsidRDefault="00CE4DFD">
      <w:pPr>
        <w:pStyle w:val="SingleTxtGC"/>
        <w:numPr>
          <w:ilvl w:val="0"/>
          <w:numId w:val="27"/>
        </w:numPr>
        <w:ind w:left="1134"/>
        <w:rPr>
          <w:lang w:val="en-GB"/>
        </w:rPr>
      </w:pPr>
      <w:r>
        <w:rPr>
          <w:rFonts w:hint="eastAsia"/>
          <w:lang w:val="en-GB"/>
        </w:rPr>
        <w:t>分析并调整保护残疾人权利的法律法规；</w:t>
      </w:r>
    </w:p>
    <w:p w:rsidR="00CE4DFD" w:rsidRDefault="00CE4DFD">
      <w:pPr>
        <w:pStyle w:val="SingleTxtGC"/>
        <w:numPr>
          <w:ilvl w:val="0"/>
          <w:numId w:val="27"/>
        </w:numPr>
        <w:ind w:left="1134"/>
        <w:rPr>
          <w:lang w:val="en-GB"/>
        </w:rPr>
      </w:pPr>
      <w:r>
        <w:rPr>
          <w:rFonts w:hint="eastAsia"/>
          <w:lang w:val="en-GB"/>
        </w:rPr>
        <w:t>组织面向市政部门以及工作人员的宣传和培训活动；</w:t>
      </w:r>
    </w:p>
    <w:p w:rsidR="00CE4DFD" w:rsidRDefault="00CE4DFD">
      <w:pPr>
        <w:pStyle w:val="SingleTxtGC"/>
        <w:numPr>
          <w:ilvl w:val="0"/>
          <w:numId w:val="27"/>
        </w:numPr>
        <w:ind w:left="1134"/>
        <w:rPr>
          <w:lang w:val="en-GB"/>
        </w:rPr>
      </w:pPr>
      <w:r>
        <w:rPr>
          <w:rFonts w:hint="eastAsia"/>
          <w:lang w:val="en-GB"/>
        </w:rPr>
        <w:t>对各个年龄段残疾人的特点和需求进行研究，包括县市一级提供服务的情况以及相关要求；</w:t>
      </w:r>
    </w:p>
    <w:p w:rsidR="00CE4DFD" w:rsidRDefault="00CE4DFD">
      <w:pPr>
        <w:pStyle w:val="SingleTxtGC"/>
        <w:numPr>
          <w:ilvl w:val="0"/>
          <w:numId w:val="27"/>
        </w:numPr>
        <w:ind w:left="1134"/>
        <w:rPr>
          <w:lang w:val="en-GB"/>
        </w:rPr>
      </w:pPr>
      <w:r>
        <w:rPr>
          <w:rFonts w:hint="eastAsia"/>
          <w:lang w:val="en-GB"/>
        </w:rPr>
        <w:t>促进残疾人的权利；</w:t>
      </w:r>
    </w:p>
    <w:p w:rsidR="00CE4DFD" w:rsidRDefault="00CE4DFD">
      <w:pPr>
        <w:pStyle w:val="SingleTxtGC"/>
        <w:numPr>
          <w:ilvl w:val="0"/>
          <w:numId w:val="27"/>
        </w:numPr>
        <w:ind w:left="1134"/>
        <w:rPr>
          <w:rFonts w:hint="eastAsia"/>
          <w:lang w:val="en-GB"/>
        </w:rPr>
      </w:pPr>
      <w:r>
        <w:rPr>
          <w:rFonts w:hint="eastAsia"/>
          <w:lang w:val="en-GB"/>
        </w:rPr>
        <w:t>对住房供应情况进行研究，以便对残疾人进行重新安置；</w:t>
      </w:r>
    </w:p>
    <w:p w:rsidR="00CE4DFD" w:rsidRDefault="00CE4DFD">
      <w:pPr>
        <w:pStyle w:val="SingleTxtGC"/>
        <w:numPr>
          <w:ilvl w:val="0"/>
          <w:numId w:val="27"/>
        </w:numPr>
        <w:ind w:left="1134"/>
        <w:rPr>
          <w:rFonts w:hint="eastAsia"/>
          <w:lang w:val="en-GB"/>
        </w:rPr>
      </w:pPr>
      <w:r>
        <w:rPr>
          <w:rFonts w:hint="eastAsia"/>
          <w:lang w:val="en-GB"/>
        </w:rPr>
        <w:t>聘请专业人员为残疾人提供服务；</w:t>
      </w:r>
    </w:p>
    <w:p w:rsidR="00CE4DFD" w:rsidRDefault="00CE4DFD">
      <w:pPr>
        <w:pStyle w:val="SingleTxtGC"/>
        <w:numPr>
          <w:ilvl w:val="0"/>
          <w:numId w:val="27"/>
        </w:numPr>
        <w:ind w:left="1134"/>
        <w:rPr>
          <w:rFonts w:hint="eastAsia"/>
          <w:lang w:val="en-GB"/>
        </w:rPr>
      </w:pPr>
      <w:r>
        <w:rPr>
          <w:rFonts w:hint="eastAsia"/>
          <w:lang w:val="en-GB"/>
        </w:rPr>
        <w:t>为人力资源的教育和培训开辟无障碍空间；</w:t>
      </w:r>
    </w:p>
    <w:p w:rsidR="00CE4DFD" w:rsidRDefault="00CE4DFD">
      <w:pPr>
        <w:pStyle w:val="SingleTxtGC"/>
        <w:numPr>
          <w:ilvl w:val="0"/>
          <w:numId w:val="27"/>
        </w:numPr>
        <w:ind w:left="1134"/>
        <w:rPr>
          <w:lang w:val="en-GB"/>
        </w:rPr>
      </w:pPr>
      <w:r>
        <w:rPr>
          <w:rFonts w:hint="eastAsia"/>
          <w:lang w:val="en-GB"/>
        </w:rPr>
        <w:t>绘制一幅标注有危险地点和残疾人住宅位置的地图；</w:t>
      </w:r>
    </w:p>
    <w:p w:rsidR="00CE4DFD" w:rsidRDefault="00CE4DFD">
      <w:pPr>
        <w:pStyle w:val="SingleTxtGC"/>
        <w:numPr>
          <w:ilvl w:val="0"/>
          <w:numId w:val="27"/>
        </w:numPr>
        <w:ind w:left="1134"/>
        <w:rPr>
          <w:rFonts w:hint="eastAsia"/>
          <w:lang w:val="en-GB"/>
        </w:rPr>
      </w:pPr>
      <w:r>
        <w:rPr>
          <w:rFonts w:hint="eastAsia"/>
          <w:lang w:val="en-GB"/>
        </w:rPr>
        <w:t>对致力于维护残疾人权利的政策、理论、法律以及业务方面的各界人士进行培训。</w:t>
      </w:r>
    </w:p>
    <w:p w:rsidR="00CE4DFD" w:rsidRDefault="00CE4DFD">
      <w:pPr>
        <w:pStyle w:val="SingleTxtGC"/>
        <w:rPr>
          <w:lang w:val="en-GB"/>
        </w:rPr>
      </w:pPr>
      <w:r>
        <w:rPr>
          <w:lang w:val="en-GB"/>
        </w:rPr>
        <w:t xml:space="preserve">124.  </w:t>
      </w:r>
      <w:r>
        <w:rPr>
          <w:rFonts w:hint="eastAsia"/>
          <w:lang w:val="en-GB"/>
        </w:rPr>
        <w:t>同样，人们还建议开展初级卫生保健方面的宣传活动；市议会和政府为无障碍委员会提供支持；使《国家行政机构向市政府移交权责法》落到实处。</w:t>
      </w:r>
    </w:p>
    <w:p w:rsidR="00CE4DFD" w:rsidRDefault="00CE4DFD">
      <w:pPr>
        <w:pStyle w:val="SingleTxtGC"/>
        <w:rPr>
          <w:rFonts w:hint="eastAsia"/>
          <w:lang w:val="en-GB"/>
        </w:rPr>
      </w:pPr>
      <w:r>
        <w:rPr>
          <w:lang w:val="en-GB"/>
        </w:rPr>
        <w:t xml:space="preserve">125.  </w:t>
      </w:r>
      <w:r>
        <w:rPr>
          <w:rFonts w:hint="eastAsia"/>
          <w:lang w:val="en-GB"/>
        </w:rPr>
        <w:t>与负责保障残疾人全面发展的政府部门协调开展努力；划拨预算；认清残疾人的需要，并鼓励残疾人参与力所能及的事务。</w:t>
      </w:r>
    </w:p>
    <w:p w:rsidR="00CE4DFD" w:rsidRDefault="00CE4DFD">
      <w:pPr>
        <w:pStyle w:val="SingleTxtGC"/>
        <w:rPr>
          <w:rFonts w:hint="eastAsia"/>
          <w:lang w:val="en-GB"/>
        </w:rPr>
      </w:pPr>
      <w:r>
        <w:rPr>
          <w:lang w:val="en-GB"/>
        </w:rPr>
        <w:t xml:space="preserve">126.  </w:t>
      </w:r>
      <w:r>
        <w:rPr>
          <w:rFonts w:hint="eastAsia"/>
          <w:lang w:val="en-GB"/>
        </w:rPr>
        <w:t>建议恢复或者整合市级无障碍和残疾委员会的职能；并对各市县的组织管理工作进行审查。除了实行《国家行政机构向市政府移交权责法》之外，还要设立了一个负责保障现行法规执行的单位，对残疾人权利问题进行干预；设立一个市级社会发展办公室，负责与</w:t>
      </w:r>
      <w:r>
        <w:rPr>
          <w:rFonts w:hint="eastAsia"/>
          <w:lang w:val="es-MX"/>
        </w:rPr>
        <w:t>全国儿童慈善基金会、全国妇女协会、国家紧急情况委员会、全国康复和特殊教育委员会等机构进行协调</w:t>
      </w:r>
      <w:r>
        <w:rPr>
          <w:rFonts w:hint="eastAsia"/>
          <w:lang w:val="en-GB"/>
        </w:rPr>
        <w:t>。</w:t>
      </w:r>
    </w:p>
    <w:p w:rsidR="00CE4DFD" w:rsidRDefault="00CE4DFD">
      <w:pPr>
        <w:pStyle w:val="SingleTxtGC"/>
        <w:rPr>
          <w:lang w:val="en-GB"/>
        </w:rPr>
      </w:pPr>
      <w:r>
        <w:rPr>
          <w:lang w:val="en-GB"/>
        </w:rPr>
        <w:t xml:space="preserve">127.  </w:t>
      </w:r>
      <w:r>
        <w:rPr>
          <w:rFonts w:hint="eastAsia"/>
          <w:lang w:val="en-GB"/>
        </w:rPr>
        <w:t>最后需要指出的是，已经向市议会提交了关于依法提供政策和经济支持以及为开辟其他资金渠道建立战略联盟的项目方案。</w:t>
      </w:r>
    </w:p>
    <w:p w:rsidR="00CE4DFD" w:rsidRDefault="00CE4DFD">
      <w:pPr>
        <w:pStyle w:val="H23GC"/>
      </w:pPr>
      <w:r>
        <w:tab/>
        <w:t>3.</w:t>
      </w:r>
      <w:r>
        <w:rPr>
          <w:rFonts w:ascii="SimSun" w:eastAsia="SimSun" w:hAnsi="SimSun" w:cs="SimSun" w:hint="eastAsia"/>
        </w:rPr>
        <w:tab/>
      </w:r>
      <w:bookmarkStart w:id="38" w:name="_Toc352758986"/>
      <w:r>
        <w:t>民间社会的意见</w:t>
      </w:r>
      <w:bookmarkEnd w:id="38"/>
    </w:p>
    <w:p w:rsidR="00CE4DFD" w:rsidRDefault="00CE4DFD">
      <w:pPr>
        <w:pStyle w:val="SingleTxtGC"/>
        <w:rPr>
          <w:lang w:val="en-GB"/>
        </w:rPr>
      </w:pPr>
      <w:r>
        <w:rPr>
          <w:lang w:val="en-GB"/>
        </w:rPr>
        <w:t xml:space="preserve">128.  </w:t>
      </w:r>
      <w:r>
        <w:rPr>
          <w:rFonts w:hint="eastAsia"/>
          <w:lang w:val="en-GB"/>
        </w:rPr>
        <w:t>在谈及那些为保障残疾人获得适当生活水平以及社会保护而采取的行动的时候，人们表达了各种意见，其中包括，在某些地方缺少残疾人参与的空间，没有能够更好地使用预算资金，许多帮扶政策没有落实到那些真正需要帮助的人身上。此外，在帮助残疾人行使独立生活权利的问题上缺少实际行动。</w:t>
      </w:r>
    </w:p>
    <w:p w:rsidR="00CE4DFD" w:rsidRDefault="00CE4DFD">
      <w:pPr>
        <w:pStyle w:val="SingleTxtGC"/>
        <w:rPr>
          <w:lang w:val="en-GB"/>
        </w:rPr>
      </w:pPr>
      <w:r>
        <w:rPr>
          <w:lang w:val="en-GB"/>
        </w:rPr>
        <w:t xml:space="preserve">129.  </w:t>
      </w:r>
      <w:r>
        <w:rPr>
          <w:rFonts w:hint="eastAsia"/>
          <w:lang w:val="en-GB"/>
        </w:rPr>
        <w:t>无障碍物理环境是一个贯穿始终的问题，而在适足生活水平问题上，尤为重要的是，让那些因社会经济状况问题而处于最弱势地位的残疾人能够获得国家的扶持，在这方面需要指出的是，各市县在建筑无障碍以及环境问题上还有许多工作要做。另一方面，各种应急处理方案没有把残疾人包括在内，并且评估认为各个市政府之间没有开展协作。人们报怨最多的问题之一是，没有顾及那些处于双重弱势地位的群体，也就是残疾移民。</w:t>
      </w:r>
    </w:p>
    <w:p w:rsidR="00CE4DFD" w:rsidRDefault="00CE4DFD">
      <w:pPr>
        <w:pStyle w:val="SingleTxtGC"/>
        <w:rPr>
          <w:lang w:val="en-GB"/>
        </w:rPr>
      </w:pPr>
      <w:r>
        <w:rPr>
          <w:lang w:val="en-GB"/>
        </w:rPr>
        <w:t xml:space="preserve">130.  </w:t>
      </w:r>
      <w:r>
        <w:rPr>
          <w:rFonts w:hint="eastAsia"/>
          <w:lang w:val="en-GB"/>
        </w:rPr>
        <w:t>需要考虑的另一项因素是，参加协商活动的代表们表示，需要进一步开展针对残疾人的各项培训工作，让更多的残疾人可以居家工作，并且加大对计划执行情况的监督和审查。</w:t>
      </w:r>
    </w:p>
    <w:p w:rsidR="00CE4DFD" w:rsidRDefault="00CE4DFD">
      <w:pPr>
        <w:pStyle w:val="SingleTxtGC"/>
        <w:rPr>
          <w:lang w:val="en-GB"/>
        </w:rPr>
      </w:pPr>
      <w:r>
        <w:rPr>
          <w:lang w:val="en-GB"/>
        </w:rPr>
        <w:t xml:space="preserve">131.  </w:t>
      </w:r>
      <w:r>
        <w:rPr>
          <w:rFonts w:hint="eastAsia"/>
          <w:lang w:val="en-GB"/>
        </w:rPr>
        <w:t>尽管人们提出许多意见，但还是应当提一提</w:t>
      </w:r>
      <w:r>
        <w:rPr>
          <w:rFonts w:hint="eastAsia"/>
          <w:lang w:val="es-MX"/>
        </w:rPr>
        <w:t>全国康复和特殊教育委员会卓有成效的努力，也就是致力于帮助残疾人获得更大的独立性。</w:t>
      </w:r>
    </w:p>
    <w:p w:rsidR="00CE4DFD" w:rsidRDefault="00CE4DFD">
      <w:pPr>
        <w:pStyle w:val="H1GC"/>
      </w:pPr>
      <w:r>
        <w:tab/>
        <w:t>F.</w:t>
      </w:r>
      <w:r>
        <w:rPr>
          <w:rFonts w:ascii="SimSun" w:eastAsia="SimSun" w:hAnsi="SimSun" w:cs="SimSun" w:hint="eastAsia"/>
        </w:rPr>
        <w:tab/>
      </w:r>
      <w:bookmarkStart w:id="39" w:name="_Toc352758987"/>
      <w:bookmarkStart w:id="40" w:name="_Toc287347910"/>
      <w:r>
        <w:rPr>
          <w:rFonts w:hint="eastAsia"/>
        </w:rPr>
        <w:t>参与政治和公共生活的权利</w:t>
      </w:r>
      <w:bookmarkEnd w:id="39"/>
      <w:bookmarkEnd w:id="40"/>
    </w:p>
    <w:p w:rsidR="00CE4DFD" w:rsidRDefault="00CE4DFD">
      <w:pPr>
        <w:pStyle w:val="SingleTxtGC"/>
        <w:rPr>
          <w:lang w:val="es-CR"/>
        </w:rPr>
      </w:pPr>
      <w:r>
        <w:rPr>
          <w:lang w:val="es-MX"/>
        </w:rPr>
        <w:t xml:space="preserve">132.  </w:t>
      </w:r>
      <w:r>
        <w:rPr>
          <w:rFonts w:hint="eastAsia"/>
          <w:lang w:val="es-MX"/>
        </w:rPr>
        <w:t>关于残疾人参与政治和公共生活的权利，主要涉及以下机构：最高选举法院、全国康复和特殊教育委员会、科学和技术部、国家统计局、全国大学校长委员会。之所有把最后这三家机构列入本章节内容中，是因为它们所具备的调查性质，其重要性在于，可以生成信息，让人们在政治和公共生活中建立决策标准。</w:t>
      </w:r>
      <w:r>
        <w:rPr>
          <w:rFonts w:hint="eastAsia"/>
          <w:lang w:val="en-GB"/>
        </w:rPr>
        <w:t>在分析中涉及的相关条款包括：第二十九条</w:t>
      </w:r>
      <w:r>
        <w:rPr>
          <w:rFonts w:hint="eastAsia"/>
          <w:lang w:val="en-GB"/>
        </w:rPr>
        <w:t>(</w:t>
      </w:r>
      <w:r>
        <w:rPr>
          <w:rFonts w:hint="eastAsia"/>
          <w:lang w:val="en-GB"/>
        </w:rPr>
        <w:t>参与政治和公共生活</w:t>
      </w:r>
      <w:r>
        <w:rPr>
          <w:rFonts w:hint="eastAsia"/>
          <w:lang w:val="en-GB"/>
        </w:rPr>
        <w:t>)</w:t>
      </w:r>
      <w:r>
        <w:rPr>
          <w:rFonts w:hint="eastAsia"/>
          <w:lang w:val="en-GB"/>
        </w:rPr>
        <w:t>、第九条</w:t>
      </w:r>
      <w:r>
        <w:rPr>
          <w:rFonts w:hint="eastAsia"/>
          <w:lang w:val="en-GB"/>
        </w:rPr>
        <w:t>(</w:t>
      </w:r>
      <w:r>
        <w:rPr>
          <w:rFonts w:hint="eastAsia"/>
          <w:lang w:val="en-GB"/>
        </w:rPr>
        <w:t>无障碍</w:t>
      </w:r>
      <w:r>
        <w:rPr>
          <w:rFonts w:hint="eastAsia"/>
          <w:lang w:val="en-GB"/>
        </w:rPr>
        <w:t>)</w:t>
      </w:r>
      <w:r>
        <w:rPr>
          <w:rFonts w:hint="eastAsia"/>
          <w:lang w:val="en-GB"/>
        </w:rPr>
        <w:t>、第十二条</w:t>
      </w:r>
      <w:r>
        <w:rPr>
          <w:rFonts w:hint="eastAsia"/>
          <w:lang w:val="en-GB"/>
        </w:rPr>
        <w:t>(</w:t>
      </w:r>
      <w:r>
        <w:rPr>
          <w:rFonts w:hint="eastAsia"/>
          <w:lang w:val="en-GB"/>
        </w:rPr>
        <w:t>在法律面前获得平等承认</w:t>
      </w:r>
      <w:r>
        <w:rPr>
          <w:rFonts w:hint="eastAsia"/>
          <w:lang w:val="en-GB"/>
        </w:rPr>
        <w:t>)</w:t>
      </w:r>
      <w:r>
        <w:rPr>
          <w:rFonts w:hint="eastAsia"/>
          <w:lang w:val="en-GB"/>
        </w:rPr>
        <w:t>、第十八条</w:t>
      </w:r>
      <w:r>
        <w:rPr>
          <w:rFonts w:hint="eastAsia"/>
          <w:lang w:val="en-GB"/>
        </w:rPr>
        <w:t>(</w:t>
      </w:r>
      <w:r>
        <w:rPr>
          <w:rFonts w:hint="eastAsia"/>
          <w:lang w:val="en-GB"/>
        </w:rPr>
        <w:t>迁徙自由和国籍</w:t>
      </w:r>
      <w:r>
        <w:rPr>
          <w:rFonts w:hint="eastAsia"/>
          <w:lang w:val="en-GB"/>
        </w:rPr>
        <w:t>)</w:t>
      </w:r>
      <w:r>
        <w:rPr>
          <w:rFonts w:hint="eastAsia"/>
          <w:lang w:val="en-GB"/>
        </w:rPr>
        <w:t>、第二十条</w:t>
      </w:r>
      <w:r>
        <w:rPr>
          <w:rFonts w:hint="eastAsia"/>
          <w:lang w:val="en-GB"/>
        </w:rPr>
        <w:t>(</w:t>
      </w:r>
      <w:r>
        <w:rPr>
          <w:rFonts w:hint="eastAsia"/>
          <w:lang w:val="en-GB"/>
        </w:rPr>
        <w:t>个人行动能力</w:t>
      </w:r>
      <w:r>
        <w:rPr>
          <w:rFonts w:hint="eastAsia"/>
          <w:lang w:val="en-GB"/>
        </w:rPr>
        <w:t>)</w:t>
      </w:r>
      <w:r>
        <w:rPr>
          <w:rFonts w:hint="eastAsia"/>
          <w:lang w:val="en-GB"/>
        </w:rPr>
        <w:t>、第二十一条</w:t>
      </w:r>
      <w:r>
        <w:rPr>
          <w:rFonts w:hint="eastAsia"/>
          <w:lang w:val="en-GB"/>
        </w:rPr>
        <w:t>(</w:t>
      </w:r>
      <w:r>
        <w:rPr>
          <w:rFonts w:hint="eastAsia"/>
          <w:lang w:val="en-GB"/>
        </w:rPr>
        <w:t>表达意见的自由和获得信息的机会</w:t>
      </w:r>
      <w:r>
        <w:rPr>
          <w:rFonts w:hint="eastAsia"/>
          <w:lang w:val="en-GB"/>
        </w:rPr>
        <w:t>)</w:t>
      </w:r>
      <w:r>
        <w:rPr>
          <w:rFonts w:hint="eastAsia"/>
          <w:lang w:val="en-GB"/>
        </w:rPr>
        <w:t>和第三十一条</w:t>
      </w:r>
      <w:r>
        <w:rPr>
          <w:rFonts w:hint="eastAsia"/>
          <w:lang w:val="en-GB"/>
        </w:rPr>
        <w:t>(</w:t>
      </w:r>
      <w:r>
        <w:rPr>
          <w:rFonts w:hint="eastAsia"/>
          <w:lang w:val="en-GB"/>
        </w:rPr>
        <w:t>数据收集和统计</w:t>
      </w:r>
      <w:r>
        <w:rPr>
          <w:rFonts w:hint="eastAsia"/>
          <w:lang w:val="en-GB"/>
        </w:rPr>
        <w:t>)</w:t>
      </w:r>
      <w:r>
        <w:rPr>
          <w:rFonts w:hint="eastAsia"/>
          <w:lang w:val="en-GB"/>
        </w:rPr>
        <w:t>。在全部被问及的机构当中，只获得了三家机构提供的信息：全国康复和特殊教育委员会、国家统计局和最高选举法院。</w:t>
      </w:r>
    </w:p>
    <w:p w:rsidR="00CE4DFD" w:rsidRDefault="00CE4DFD">
      <w:pPr>
        <w:pStyle w:val="SingleTxtGC"/>
        <w:rPr>
          <w:rFonts w:hint="eastAsia"/>
          <w:lang w:val="es-CR"/>
        </w:rPr>
      </w:pPr>
      <w:r>
        <w:rPr>
          <w:lang w:val="es-MX"/>
        </w:rPr>
        <w:t xml:space="preserve">133.  </w:t>
      </w:r>
      <w:r>
        <w:rPr>
          <w:rFonts w:hint="eastAsia"/>
          <w:lang w:val="es-MX"/>
        </w:rPr>
        <w:t>为保障残疾人口全面参与政治和公共生活，国家实施了各种各样的行动，从制度上维护自由迁徙和国籍以及言论自主。关于自由迁徙和国籍问题，《哥斯达黎加政治宪法》规定：“只要不存在责任问题，所有哥斯达黎加人都可以迁移并定居在共和国境内外的任何地方，并且可以视情况返回原地。不得对哥斯达黎加人提出入境方面的条件限制</w:t>
      </w:r>
      <w:r>
        <w:rPr>
          <w:rFonts w:hint="eastAsia"/>
          <w:lang w:val="es-MX"/>
        </w:rPr>
        <w:t>(</w:t>
      </w:r>
      <w:r>
        <w:rPr>
          <w:rFonts w:hint="eastAsia"/>
          <w:lang w:val="es-MX"/>
        </w:rPr>
        <w:t>第</w:t>
      </w:r>
      <w:r>
        <w:rPr>
          <w:rFonts w:hint="eastAsia"/>
          <w:lang w:val="es-MX"/>
        </w:rPr>
        <w:t>22</w:t>
      </w:r>
      <w:r>
        <w:rPr>
          <w:rFonts w:hint="eastAsia"/>
          <w:lang w:val="es-MX"/>
        </w:rPr>
        <w:t>条</w:t>
      </w:r>
      <w:r>
        <w:rPr>
          <w:rFonts w:hint="eastAsia"/>
          <w:lang w:val="es-MX"/>
        </w:rPr>
        <w:t>)</w:t>
      </w:r>
      <w:r>
        <w:rPr>
          <w:rFonts w:hint="eastAsia"/>
          <w:lang w:val="es-MX"/>
        </w:rPr>
        <w:t>”。关于言论自由问题，《宪法》第</w:t>
      </w:r>
      <w:r>
        <w:rPr>
          <w:rFonts w:hint="eastAsia"/>
          <w:lang w:val="es-MX"/>
        </w:rPr>
        <w:t>28</w:t>
      </w:r>
      <w:r>
        <w:rPr>
          <w:rFonts w:hint="eastAsia"/>
          <w:lang w:val="es-MX"/>
        </w:rPr>
        <w:t>条和第</w:t>
      </w:r>
      <w:r>
        <w:rPr>
          <w:rFonts w:hint="eastAsia"/>
          <w:lang w:val="es-MX"/>
        </w:rPr>
        <w:t>29</w:t>
      </w:r>
      <w:r>
        <w:rPr>
          <w:rFonts w:hint="eastAsia"/>
          <w:lang w:val="es-MX"/>
        </w:rPr>
        <w:t>条也做出规定：“任何人都不能因为表达反对意见或者因为任何不违反法律的行为而受到滋扰和迫害”，“所有人都可以口头或者书面表达自己的思想，并且可以不经过审查就公开自己的思想；但是要对行使这项权利时犯下的不法行为负责”。</w:t>
      </w:r>
    </w:p>
    <w:p w:rsidR="00CE4DFD" w:rsidRDefault="00CE4DFD">
      <w:pPr>
        <w:pStyle w:val="H23GC"/>
      </w:pPr>
      <w:r>
        <w:tab/>
        <w:t>1.</w:t>
      </w:r>
      <w:r>
        <w:rPr>
          <w:rFonts w:ascii="SimSun" w:eastAsia="SimSun" w:hAnsi="SimSun" w:cs="SimSun" w:hint="eastAsia"/>
        </w:rPr>
        <w:tab/>
      </w:r>
      <w:bookmarkStart w:id="41" w:name="_Toc352758988"/>
      <w:r>
        <w:t>实施的行动和专项资金</w:t>
      </w:r>
      <w:bookmarkEnd w:id="41"/>
    </w:p>
    <w:p w:rsidR="00CE4DFD" w:rsidRDefault="00CE4DFD">
      <w:pPr>
        <w:pStyle w:val="SingleTxtGC"/>
        <w:spacing w:before="240"/>
        <w:rPr>
          <w:rFonts w:hint="eastAsia"/>
          <w:lang w:val="es-MX"/>
        </w:rPr>
      </w:pPr>
      <w:r>
        <w:rPr>
          <w:lang w:val="es-MX"/>
        </w:rPr>
        <w:t xml:space="preserve">134.  </w:t>
      </w:r>
      <w:r>
        <w:rPr>
          <w:rFonts w:hint="eastAsia"/>
          <w:lang w:val="es-MX"/>
        </w:rPr>
        <w:t>为保障残疾人口全面参与国内政治和公共生活，国家采取了多项行动，比如：</w:t>
      </w:r>
      <w:r>
        <w:rPr>
          <w:lang w:val="es-MX"/>
        </w:rPr>
        <w:t>(</w:t>
      </w:r>
      <w:r>
        <w:rPr>
          <w:rFonts w:hint="eastAsia"/>
          <w:lang w:val="es-MX"/>
        </w:rPr>
        <w:t>a</w:t>
      </w:r>
      <w:r>
        <w:rPr>
          <w:lang w:val="es-MX"/>
        </w:rPr>
        <w:t xml:space="preserve">) </w:t>
      </w:r>
      <w:r>
        <w:rPr>
          <w:rFonts w:hint="eastAsia"/>
          <w:lang w:val="es-MX"/>
        </w:rPr>
        <w:t>为残疾人参加选举活动创造更好的条件；</w:t>
      </w:r>
      <w:r>
        <w:rPr>
          <w:lang w:val="es-MX"/>
        </w:rPr>
        <w:t>(</w:t>
      </w:r>
      <w:r>
        <w:rPr>
          <w:rFonts w:hint="eastAsia"/>
          <w:lang w:val="es-MX"/>
        </w:rPr>
        <w:t>b</w:t>
      </w:r>
      <w:r>
        <w:rPr>
          <w:lang w:val="es-MX"/>
        </w:rPr>
        <w:t xml:space="preserve">) </w:t>
      </w:r>
      <w:r>
        <w:rPr>
          <w:rFonts w:hint="eastAsia"/>
          <w:lang w:val="es-MX"/>
        </w:rPr>
        <w:t>加强残疾人政策宣导工作；</w:t>
      </w:r>
      <w:r>
        <w:rPr>
          <w:lang w:val="es-MX"/>
        </w:rPr>
        <w:t>(</w:t>
      </w:r>
      <w:r>
        <w:rPr>
          <w:rFonts w:hint="eastAsia"/>
          <w:lang w:val="es-MX"/>
        </w:rPr>
        <w:t xml:space="preserve">c) </w:t>
      </w:r>
      <w:r>
        <w:rPr>
          <w:rFonts w:hint="eastAsia"/>
          <w:lang w:val="es-MX"/>
        </w:rPr>
        <w:t>健全相关人口资料的统计整理机制。</w:t>
      </w:r>
    </w:p>
    <w:p w:rsidR="00CE4DFD" w:rsidRDefault="00CE4DFD">
      <w:pPr>
        <w:pStyle w:val="SingleTxtGC"/>
        <w:rPr>
          <w:rFonts w:hint="eastAsia"/>
          <w:lang w:val="es-MX"/>
        </w:rPr>
      </w:pPr>
      <w:r>
        <w:rPr>
          <w:lang w:val="es-MX"/>
        </w:rPr>
        <w:t xml:space="preserve">135.  </w:t>
      </w:r>
      <w:r>
        <w:rPr>
          <w:rFonts w:hint="eastAsia"/>
          <w:lang w:val="es-MX"/>
        </w:rPr>
        <w:t>关于保障残疾人口参加总统选举活动的问题，我们针对下列问题采取了一些行动：无障碍获取信息、培训以及选举监督。</w:t>
      </w:r>
    </w:p>
    <w:p w:rsidR="00CE4DFD" w:rsidRDefault="00CE4DFD">
      <w:pPr>
        <w:pStyle w:val="SingleTxtGC"/>
        <w:rPr>
          <w:lang w:val="es-MX"/>
        </w:rPr>
      </w:pPr>
      <w:r>
        <w:rPr>
          <w:lang w:val="es-MX"/>
        </w:rPr>
        <w:t xml:space="preserve">136.  </w:t>
      </w:r>
      <w:r>
        <w:rPr>
          <w:rFonts w:hint="eastAsia"/>
          <w:lang w:val="es-MX"/>
        </w:rPr>
        <w:t>在无障碍获取信息方面，从</w:t>
      </w:r>
      <w:r>
        <w:rPr>
          <w:rFonts w:hint="eastAsia"/>
          <w:lang w:val="es-MX"/>
        </w:rPr>
        <w:t>2010</w:t>
      </w:r>
      <w:r>
        <w:rPr>
          <w:rFonts w:hint="eastAsia"/>
          <w:lang w:val="es-MX"/>
        </w:rPr>
        <w:t>年开始最高选举法院就做出规定，在所有身份证件上都要有盲文标记，以便那些有某种视力缺陷的人可以辨认。另外，在总统选举期间，为照顾到残疾人的需要，还准备了多种辅助材料，比如：印制供视力低下选民阅读选票和宣传册的盲文模板，购买大尺寸放大镜、彩票式印刷机、以及其他办公和计算用的器材用品，供残疾人在投票站使用。</w:t>
      </w:r>
    </w:p>
    <w:p w:rsidR="00CE4DFD" w:rsidRDefault="00CE4DFD">
      <w:pPr>
        <w:pStyle w:val="SingleTxtGC"/>
        <w:rPr>
          <w:lang w:val="en-GB"/>
        </w:rPr>
      </w:pPr>
      <w:r>
        <w:rPr>
          <w:lang w:val="es-MX"/>
        </w:rPr>
        <w:t xml:space="preserve">137.  </w:t>
      </w:r>
      <w:r>
        <w:rPr>
          <w:rFonts w:hint="eastAsia"/>
          <w:lang w:val="es-MX"/>
        </w:rPr>
        <w:t>关于培训问题，在</w:t>
      </w:r>
      <w:r>
        <w:rPr>
          <w:rFonts w:hint="eastAsia"/>
          <w:lang w:val="es-MX"/>
        </w:rPr>
        <w:t>2010</w:t>
      </w:r>
      <w:r>
        <w:rPr>
          <w:rFonts w:hint="eastAsia"/>
          <w:lang w:val="es-MX"/>
        </w:rPr>
        <w:t>年</w:t>
      </w:r>
      <w:r>
        <w:rPr>
          <w:rFonts w:hint="eastAsia"/>
          <w:lang w:val="es-MX"/>
        </w:rPr>
        <w:t>2</w:t>
      </w:r>
      <w:r>
        <w:rPr>
          <w:rFonts w:hint="eastAsia"/>
          <w:lang w:val="es-MX"/>
        </w:rPr>
        <w:t>月进行的总统选举期间，修订并执行了名为《哥斯达黎加残疾人和老年人无障碍选举程序》的文件</w:t>
      </w:r>
      <w:r>
        <w:rPr>
          <w:rFonts w:hint="eastAsia"/>
          <w:lang w:val="es-MX"/>
        </w:rPr>
        <w:t>(</w:t>
      </w:r>
      <w:r>
        <w:rPr>
          <w:rFonts w:hint="eastAsia"/>
          <w:lang w:val="es-MX"/>
        </w:rPr>
        <w:t>第</w:t>
      </w:r>
      <w:r>
        <w:rPr>
          <w:rFonts w:hint="eastAsia"/>
          <w:lang w:val="es-MX"/>
        </w:rPr>
        <w:t>2</w:t>
      </w:r>
      <w:r>
        <w:rPr>
          <w:rFonts w:hint="eastAsia"/>
          <w:lang w:val="es-MX"/>
        </w:rPr>
        <w:t>版</w:t>
      </w:r>
      <w:r>
        <w:rPr>
          <w:rFonts w:hint="eastAsia"/>
          <w:lang w:val="es-MX"/>
        </w:rPr>
        <w:t>)</w:t>
      </w:r>
      <w:r>
        <w:rPr>
          <w:rFonts w:hint="eastAsia"/>
          <w:lang w:val="es-MX"/>
        </w:rPr>
        <w:t>，全国康复和特殊教育委员会与最高选举法院按照《同等条件下行使投票权》方案，共同起草了这份文件，其中指出，“有必要通报并告知人们关于应当对哥斯达黎加选举程序进行必要改革的情况，目的是进一步消除各种障碍，避免在选举过程中出现因残疾或年龄而产生歧视的问题，同样也可以使这两家机构实际负起应尽的责任”。</w:t>
      </w:r>
    </w:p>
    <w:p w:rsidR="00CE4DFD" w:rsidRDefault="00CE4DFD">
      <w:pPr>
        <w:pStyle w:val="SingleTxtGC"/>
        <w:rPr>
          <w:lang w:val="es-MX"/>
        </w:rPr>
      </w:pPr>
      <w:r>
        <w:rPr>
          <w:lang w:val="es-MX"/>
        </w:rPr>
        <w:t xml:space="preserve">138.  </w:t>
      </w:r>
      <w:r>
        <w:rPr>
          <w:rFonts w:hint="eastAsia"/>
          <w:lang w:val="es-MX"/>
        </w:rPr>
        <w:t>为了做到投票无障碍，专门对</w:t>
      </w:r>
      <w:r>
        <w:rPr>
          <w:rFonts w:hint="eastAsia"/>
          <w:lang w:val="es-MX"/>
        </w:rPr>
        <w:t>57</w:t>
      </w:r>
      <w:r>
        <w:rPr>
          <w:rFonts w:hint="eastAsia"/>
          <w:lang w:val="es-MX"/>
        </w:rPr>
        <w:t>名工作人员、</w:t>
      </w:r>
      <w:r>
        <w:rPr>
          <w:rFonts w:hint="eastAsia"/>
          <w:lang w:val="es-MX"/>
        </w:rPr>
        <w:t>93</w:t>
      </w:r>
      <w:r>
        <w:rPr>
          <w:rFonts w:hint="eastAsia"/>
          <w:lang w:val="es-MX"/>
        </w:rPr>
        <w:t>名选举咨询人员以及最高选举法院的</w:t>
      </w:r>
      <w:r>
        <w:rPr>
          <w:rFonts w:hint="eastAsia"/>
          <w:lang w:val="es-MX"/>
        </w:rPr>
        <w:t>70</w:t>
      </w:r>
      <w:r>
        <w:rPr>
          <w:rFonts w:hint="eastAsia"/>
          <w:lang w:val="es-MX"/>
        </w:rPr>
        <w:t>名咨询人员进行了培训，培训题目是“关于如何满足残疾人在行使投票权时的各种需要”。</w:t>
      </w:r>
    </w:p>
    <w:p w:rsidR="00CE4DFD" w:rsidRDefault="00CE4DFD">
      <w:pPr>
        <w:pStyle w:val="SingleTxtGC"/>
        <w:rPr>
          <w:lang w:val="es-MX"/>
        </w:rPr>
      </w:pPr>
      <w:r>
        <w:rPr>
          <w:lang w:val="es-MX"/>
        </w:rPr>
        <w:t xml:space="preserve">139.  </w:t>
      </w:r>
      <w:r>
        <w:rPr>
          <w:rFonts w:hint="eastAsia"/>
          <w:lang w:val="es-MX"/>
        </w:rPr>
        <w:t>与选举活动有关的另一项重要行动是，对选举过程进行监督，为此，一些残疾人作为最高选举法院授权的观察员积极参与了监督工作。为了实施这项监督任务，全国康复和特殊教育委员会对有关人员进行了培训，让他们学习使用专门制作用来衡量各选区物理环境无障碍情况的工具，以及观察在行使投票权的时候残疾人权利是否得到尊重，最后还向他们颁发了观察员委任状。接受培训的人员共计</w:t>
      </w:r>
      <w:r>
        <w:rPr>
          <w:rFonts w:hint="eastAsia"/>
          <w:lang w:val="es-MX"/>
        </w:rPr>
        <w:t>78</w:t>
      </w:r>
      <w:r>
        <w:rPr>
          <w:rFonts w:hint="eastAsia"/>
          <w:lang w:val="es-MX"/>
        </w:rPr>
        <w:t>人，其中</w:t>
      </w:r>
      <w:r>
        <w:rPr>
          <w:rFonts w:hint="eastAsia"/>
          <w:lang w:val="es-MX"/>
        </w:rPr>
        <w:t>40</w:t>
      </w:r>
      <w:r>
        <w:rPr>
          <w:rFonts w:hint="eastAsia"/>
          <w:lang w:val="es-MX"/>
        </w:rPr>
        <w:t>人是全国康复和特殊教育委员会的工作人员，其余</w:t>
      </w:r>
      <w:r>
        <w:rPr>
          <w:rFonts w:hint="eastAsia"/>
          <w:lang w:val="es-MX"/>
        </w:rPr>
        <w:t>38</w:t>
      </w:r>
      <w:r>
        <w:rPr>
          <w:rFonts w:hint="eastAsia"/>
          <w:lang w:val="es-MX"/>
        </w:rPr>
        <w:t>人是残疾人以及相关非政府组织的代表。</w:t>
      </w:r>
    </w:p>
    <w:p w:rsidR="00CE4DFD" w:rsidRDefault="00CE4DFD">
      <w:pPr>
        <w:pStyle w:val="SingleTxtGC"/>
        <w:rPr>
          <w:rFonts w:hint="eastAsia"/>
          <w:i/>
          <w:lang w:val="es-MX"/>
        </w:rPr>
      </w:pPr>
      <w:r>
        <w:rPr>
          <w:lang w:val="es-MX"/>
        </w:rPr>
        <w:t xml:space="preserve">140.  </w:t>
      </w:r>
      <w:r>
        <w:rPr>
          <w:rFonts w:hint="eastAsia"/>
          <w:lang w:val="es-MX"/>
        </w:rPr>
        <w:t>关于促进残疾人政策宣导问题，全国康复和特殊教育委员会从两个方面采取了一些行动：一是群众参与制定《</w:t>
      </w:r>
      <w:r>
        <w:rPr>
          <w:rFonts w:hint="eastAsia"/>
          <w:lang w:val="es-MX"/>
        </w:rPr>
        <w:t>2011-2021</w:t>
      </w:r>
      <w:r>
        <w:rPr>
          <w:rFonts w:hint="eastAsia"/>
          <w:lang w:val="es-MX"/>
        </w:rPr>
        <w:t>年残疾事业公共政策》，二是促进公民参与和主张权利。</w:t>
      </w:r>
    </w:p>
    <w:p w:rsidR="00CE4DFD" w:rsidRDefault="00CE4DFD">
      <w:pPr>
        <w:pStyle w:val="SingleTxtGC"/>
        <w:rPr>
          <w:i/>
          <w:lang w:val="es-MX"/>
        </w:rPr>
      </w:pPr>
      <w:r>
        <w:rPr>
          <w:lang w:val="es-MX"/>
        </w:rPr>
        <w:t xml:space="preserve">141.  </w:t>
      </w:r>
      <w:r>
        <w:rPr>
          <w:rFonts w:hint="eastAsia"/>
          <w:lang w:val="es-MX"/>
        </w:rPr>
        <w:t>关于制定公共政策的情况，必须强调的是，无论是在政策调整过程中，还是在国内协商过程中，都要有残疾人的参与，为此，共组建了</w:t>
      </w:r>
      <w:r>
        <w:rPr>
          <w:rFonts w:hint="eastAsia"/>
          <w:lang w:val="es-MX"/>
        </w:rPr>
        <w:t>8</w:t>
      </w:r>
      <w:r>
        <w:rPr>
          <w:rFonts w:hint="eastAsia"/>
          <w:lang w:val="es-MX"/>
        </w:rPr>
        <w:t>个核心工作组，每组由来自全国康复和特殊教育委员会八个辖区</w:t>
      </w:r>
      <w:r>
        <w:rPr>
          <w:rFonts w:hint="eastAsia"/>
          <w:lang w:val="es-MX"/>
        </w:rPr>
        <w:t>(</w:t>
      </w:r>
      <w:r>
        <w:rPr>
          <w:rFonts w:hint="eastAsia"/>
          <w:lang w:val="es-MX"/>
        </w:rPr>
        <w:t>布伦卡地区、乔罗特加地区、中太平洋地区、中部地区、中东部地区、中西部地区、北乌艾塔地区、大西洋乌艾塔地区</w:t>
      </w:r>
      <w:r>
        <w:rPr>
          <w:rFonts w:hint="eastAsia"/>
          <w:lang w:val="es-MX"/>
        </w:rPr>
        <w:t>)</w:t>
      </w:r>
      <w:r>
        <w:rPr>
          <w:rFonts w:hint="eastAsia"/>
          <w:lang w:val="es-MX"/>
        </w:rPr>
        <w:t>的</w:t>
      </w:r>
      <w:r>
        <w:rPr>
          <w:rFonts w:hint="eastAsia"/>
          <w:lang w:val="es-MX"/>
        </w:rPr>
        <w:t>12</w:t>
      </w:r>
      <w:r>
        <w:rPr>
          <w:rFonts w:hint="eastAsia"/>
          <w:lang w:val="es-MX"/>
        </w:rPr>
        <w:t>个人组成。分别由六名残疾人、三名相关非政府组织的人员以及三名社区成员行使这些核心工作组的代表资格。核心工作组成员共计有</w:t>
      </w:r>
      <w:r>
        <w:rPr>
          <w:rFonts w:hint="eastAsia"/>
          <w:lang w:val="es-MX"/>
        </w:rPr>
        <w:t>96</w:t>
      </w:r>
      <w:r>
        <w:rPr>
          <w:rFonts w:hint="eastAsia"/>
          <w:lang w:val="es-MX"/>
        </w:rPr>
        <w:t>人，其中</w:t>
      </w:r>
      <w:r>
        <w:rPr>
          <w:rFonts w:hint="eastAsia"/>
          <w:lang w:val="es-MX"/>
        </w:rPr>
        <w:t>46</w:t>
      </w:r>
      <w:r>
        <w:rPr>
          <w:rFonts w:hint="eastAsia"/>
          <w:lang w:val="es-MX"/>
        </w:rPr>
        <w:t>人是残疾人，</w:t>
      </w:r>
      <w:r>
        <w:rPr>
          <w:rFonts w:hint="eastAsia"/>
          <w:lang w:val="es-MX"/>
        </w:rPr>
        <w:t>24</w:t>
      </w:r>
      <w:r>
        <w:rPr>
          <w:rFonts w:hint="eastAsia"/>
          <w:lang w:val="es-MX"/>
        </w:rPr>
        <w:t>人是非政府组织成员，另外</w:t>
      </w:r>
      <w:r>
        <w:rPr>
          <w:rFonts w:hint="eastAsia"/>
          <w:lang w:val="es-MX"/>
        </w:rPr>
        <w:t>24</w:t>
      </w:r>
      <w:r>
        <w:rPr>
          <w:rFonts w:hint="eastAsia"/>
          <w:lang w:val="es-MX"/>
        </w:rPr>
        <w:t>人是社区成员。之后，与受到邀请的</w:t>
      </w:r>
      <w:r>
        <w:rPr>
          <w:rFonts w:hint="eastAsia"/>
          <w:lang w:val="es-MX"/>
        </w:rPr>
        <w:t>74</w:t>
      </w:r>
      <w:r>
        <w:rPr>
          <w:rFonts w:hint="eastAsia"/>
          <w:lang w:val="es-MX"/>
        </w:rPr>
        <w:t>家公共机构中的</w:t>
      </w:r>
      <w:r>
        <w:rPr>
          <w:rFonts w:hint="eastAsia"/>
          <w:lang w:val="es-MX"/>
        </w:rPr>
        <w:t>40</w:t>
      </w:r>
      <w:r>
        <w:rPr>
          <w:rFonts w:hint="eastAsia"/>
          <w:lang w:val="es-MX"/>
        </w:rPr>
        <w:t>家进行了协商，代表这些机构的是无</w:t>
      </w:r>
      <w:r>
        <w:rPr>
          <w:rFonts w:hint="eastAsia"/>
          <w:lang w:val="en-GB"/>
        </w:rPr>
        <w:t>障碍和残疾事务委员会的成员。</w:t>
      </w:r>
    </w:p>
    <w:p w:rsidR="00CE4DFD" w:rsidRDefault="00CE4DFD">
      <w:pPr>
        <w:pStyle w:val="SingleTxtGC"/>
        <w:rPr>
          <w:lang w:val="es-MX"/>
        </w:rPr>
      </w:pPr>
      <w:r>
        <w:rPr>
          <w:lang w:val="es-MX"/>
        </w:rPr>
        <w:t xml:space="preserve">142.  </w:t>
      </w:r>
      <w:r>
        <w:rPr>
          <w:rFonts w:hint="eastAsia"/>
          <w:lang w:val="es-MX"/>
        </w:rPr>
        <w:t>通过上述努力，最终出台了一项以人权为基础的《国家残疾问题政策》，重点关注包容性发展、性别平等、社会管理等方面的问题。该政策所追求的特点是，具有普遍性、包容性、关联性、参与性、战略性、整体性和灵活性，并且包含五大核心问题：</w:t>
      </w:r>
      <w:r>
        <w:rPr>
          <w:lang w:val="es-MX"/>
        </w:rPr>
        <w:t xml:space="preserve">(a) </w:t>
      </w:r>
      <w:r>
        <w:rPr>
          <w:rFonts w:hint="eastAsia"/>
          <w:lang w:val="es-MX"/>
        </w:rPr>
        <w:t>民主体制；</w:t>
      </w:r>
      <w:r>
        <w:rPr>
          <w:lang w:val="es-MX"/>
        </w:rPr>
        <w:t xml:space="preserve">(b) </w:t>
      </w:r>
      <w:r>
        <w:rPr>
          <w:rFonts w:hint="eastAsia"/>
          <w:lang w:val="es-MX"/>
        </w:rPr>
        <w:t>健康；</w:t>
      </w:r>
      <w:r>
        <w:rPr>
          <w:lang w:val="es-MX"/>
        </w:rPr>
        <w:t xml:space="preserve">(c) </w:t>
      </w:r>
      <w:r>
        <w:rPr>
          <w:rFonts w:hint="eastAsia"/>
          <w:lang w:val="es-MX"/>
        </w:rPr>
        <w:t>教育；</w:t>
      </w:r>
      <w:r>
        <w:rPr>
          <w:lang w:val="es-MX"/>
        </w:rPr>
        <w:t xml:space="preserve">(d) </w:t>
      </w:r>
      <w:r>
        <w:rPr>
          <w:rFonts w:hint="eastAsia"/>
          <w:lang w:val="es-MX"/>
        </w:rPr>
        <w:t>劳动和就业；</w:t>
      </w:r>
      <w:r>
        <w:rPr>
          <w:lang w:val="es-MX"/>
        </w:rPr>
        <w:t xml:space="preserve">(e) </w:t>
      </w:r>
      <w:r>
        <w:rPr>
          <w:rFonts w:hint="eastAsia"/>
          <w:lang w:val="es-MX"/>
        </w:rPr>
        <w:t>人员、组织和包容性环境。共和国总统阁下以及有关部门负责人共同签署了《国家残疾问题政策颁布令》。</w:t>
      </w:r>
    </w:p>
    <w:p w:rsidR="00CE4DFD" w:rsidRDefault="00CE4DFD">
      <w:pPr>
        <w:pStyle w:val="SingleTxtGC"/>
        <w:rPr>
          <w:i/>
          <w:lang w:val="es-MX"/>
        </w:rPr>
      </w:pPr>
      <w:r>
        <w:rPr>
          <w:lang w:val="es-MX"/>
        </w:rPr>
        <w:t xml:space="preserve">143.  </w:t>
      </w:r>
      <w:r>
        <w:rPr>
          <w:rFonts w:hint="eastAsia"/>
          <w:lang w:val="es-MX"/>
        </w:rPr>
        <w:t>关于促进公民参与和主张权利的问题，已经就主张落实各项权利问题进行了公民教育活动，在此期间就残疾人政策宣导问题完成了培训和咨询活动，比如在全国八个地区举行公民听证会，约有</w:t>
      </w:r>
      <w:r>
        <w:rPr>
          <w:rFonts w:hint="eastAsia"/>
          <w:lang w:val="es-MX"/>
        </w:rPr>
        <w:t>200</w:t>
      </w:r>
      <w:r>
        <w:rPr>
          <w:rFonts w:hint="eastAsia"/>
          <w:lang w:val="es-MX"/>
        </w:rPr>
        <w:t>人参加。另外，还开展了一项关于促进残疾人参与的活动，主要目的是增加残疾人、其家属以及相关组织关于公民参与和主张权利的能力和知识，培养这方面的培训人员。来自全国八个地区的</w:t>
      </w:r>
      <w:r>
        <w:rPr>
          <w:rFonts w:hint="eastAsia"/>
          <w:lang w:val="es-MX"/>
        </w:rPr>
        <w:t>200</w:t>
      </w:r>
      <w:r>
        <w:rPr>
          <w:rFonts w:hint="eastAsia"/>
          <w:lang w:val="es-MX"/>
        </w:rPr>
        <w:t>人参加了这项活动。</w:t>
      </w:r>
    </w:p>
    <w:p w:rsidR="00CE4DFD" w:rsidRDefault="00CE4DFD">
      <w:pPr>
        <w:pStyle w:val="SingleTxtGC"/>
        <w:rPr>
          <w:i/>
          <w:lang w:val="es-MX"/>
        </w:rPr>
      </w:pPr>
      <w:r>
        <w:rPr>
          <w:lang w:val="es-MX"/>
        </w:rPr>
        <w:t xml:space="preserve">144.  </w:t>
      </w:r>
      <w:r>
        <w:rPr>
          <w:rFonts w:hint="eastAsia"/>
          <w:lang w:val="es-MX"/>
        </w:rPr>
        <w:t>另外，与立法大会的各党派议员、市长、国家和地方重大决策部门举行会议，把有关残疾人的各种问题纳入到政治议程当中，不过，虽然有这些行动，但今后还要在监视和实施方面开展更为广泛的工作。</w:t>
      </w:r>
    </w:p>
    <w:p w:rsidR="00CE4DFD" w:rsidRDefault="00CE4DFD">
      <w:pPr>
        <w:pStyle w:val="SingleTxtGC"/>
        <w:rPr>
          <w:lang w:val="en-GB"/>
        </w:rPr>
      </w:pPr>
      <w:r>
        <w:rPr>
          <w:lang w:val="es-MX"/>
        </w:rPr>
        <w:t xml:space="preserve">145.  </w:t>
      </w:r>
      <w:r>
        <w:rPr>
          <w:rFonts w:hint="eastAsia"/>
          <w:lang w:val="es-MX"/>
        </w:rPr>
        <w:t>关于扩大和完善残疾人相关资料统计整理机制的问题，我们在</w:t>
      </w:r>
      <w:r>
        <w:rPr>
          <w:rFonts w:hint="eastAsia"/>
          <w:lang w:val="es-MX"/>
        </w:rPr>
        <w:t>2011</w:t>
      </w:r>
      <w:r>
        <w:rPr>
          <w:rFonts w:hint="eastAsia"/>
          <w:lang w:val="es-MX"/>
        </w:rPr>
        <w:t>年试点调查和全国人口普查中</w:t>
      </w:r>
      <w:r>
        <w:rPr>
          <w:rFonts w:hint="eastAsia"/>
          <w:lang w:val="es-MX"/>
        </w:rPr>
        <w:t>(</w:t>
      </w:r>
      <w:r>
        <w:rPr>
          <w:rFonts w:hint="eastAsia"/>
          <w:lang w:val="es-MX"/>
        </w:rPr>
        <w:t>参见附件</w:t>
      </w:r>
      <w:r>
        <w:rPr>
          <w:rFonts w:hint="eastAsia"/>
          <w:lang w:val="es-MX"/>
        </w:rPr>
        <w:t>8)</w:t>
      </w:r>
      <w:r>
        <w:rPr>
          <w:rFonts w:hint="eastAsia"/>
          <w:lang w:val="es-MX"/>
        </w:rPr>
        <w:t>增加了一个问题，该问题涉及到确定残疾人身份，以及保障言论自由权，包括在平等条件下寻求、接受、传递信息和思想的自由。</w:t>
      </w:r>
    </w:p>
    <w:p w:rsidR="00CE4DFD" w:rsidRDefault="00CE4DFD">
      <w:pPr>
        <w:pStyle w:val="SingleTxtGC"/>
        <w:rPr>
          <w:i/>
          <w:lang w:val="es-MX"/>
        </w:rPr>
      </w:pPr>
      <w:r>
        <w:rPr>
          <w:lang w:val="es-MX"/>
        </w:rPr>
        <w:t xml:space="preserve">146.  </w:t>
      </w:r>
      <w:r>
        <w:rPr>
          <w:rFonts w:hint="eastAsia"/>
          <w:lang w:val="es-MX"/>
        </w:rPr>
        <w:t>另一方面，在保障残疾人参与政治和公共生活的权利方面，大约投资了</w:t>
      </w:r>
      <w:r>
        <w:rPr>
          <w:lang w:val="es-MX"/>
        </w:rPr>
        <w:t xml:space="preserve"> 21,200,000</w:t>
      </w:r>
      <w:r>
        <w:rPr>
          <w:rFonts w:hint="eastAsia"/>
          <w:lang w:val="es-MX"/>
        </w:rPr>
        <w:t>.</w:t>
      </w:r>
      <w:r>
        <w:rPr>
          <w:lang w:val="es-MX"/>
        </w:rPr>
        <w:t>00</w:t>
      </w:r>
      <w:r>
        <w:rPr>
          <w:rFonts w:hint="eastAsia"/>
          <w:lang w:val="es-MX"/>
        </w:rPr>
        <w:t>科朗，折合</w:t>
      </w:r>
      <w:r>
        <w:rPr>
          <w:lang w:val="es-MX"/>
        </w:rPr>
        <w:t>41,987</w:t>
      </w:r>
      <w:r>
        <w:rPr>
          <w:rFonts w:hint="eastAsia"/>
          <w:lang w:val="es-MX"/>
        </w:rPr>
        <w:t>.</w:t>
      </w:r>
      <w:r>
        <w:rPr>
          <w:lang w:val="es-MX"/>
        </w:rPr>
        <w:t>68</w:t>
      </w:r>
      <w:r>
        <w:rPr>
          <w:rFonts w:hint="eastAsia"/>
          <w:lang w:val="es-MX"/>
        </w:rPr>
        <w:t>美元。但是，这一数字并不包括全国康复和特殊教育委员会为开展工作投入的资金，因为一般来说，该机构的性质决定了它的所有预算都会用于促进和保障残疾人的各项权利。</w:t>
      </w:r>
    </w:p>
    <w:p w:rsidR="00CE4DFD" w:rsidRDefault="00CE4DFD">
      <w:pPr>
        <w:pStyle w:val="SingleTxtGC"/>
        <w:rPr>
          <w:lang w:val="en-GB"/>
        </w:rPr>
      </w:pPr>
      <w:r>
        <w:rPr>
          <w:lang w:val="en-GB"/>
        </w:rPr>
        <w:t xml:space="preserve">147.  </w:t>
      </w:r>
      <w:r>
        <w:rPr>
          <w:rFonts w:hint="eastAsia"/>
          <w:lang w:val="en-GB"/>
        </w:rPr>
        <w:t>在地方一级，我们特别要指出地方政府汇报的情况，按照地方政府的汇报，已经在下列问题上采取了行动：促进公民参与，无障碍，政策、规范和程序，培训和宣传。</w:t>
      </w:r>
    </w:p>
    <w:p w:rsidR="00CE4DFD" w:rsidRDefault="00CE4DFD">
      <w:pPr>
        <w:pStyle w:val="SingleTxtGC"/>
        <w:rPr>
          <w:lang w:val="en-GB"/>
        </w:rPr>
      </w:pPr>
      <w:r>
        <w:rPr>
          <w:lang w:val="en-GB"/>
        </w:rPr>
        <w:t xml:space="preserve">148.  </w:t>
      </w:r>
      <w:r>
        <w:rPr>
          <w:rFonts w:hint="eastAsia"/>
          <w:lang w:val="en-GB"/>
        </w:rPr>
        <w:t>在促进公民参与方面，经过在</w:t>
      </w:r>
      <w:r>
        <w:rPr>
          <w:rFonts w:hint="eastAsia"/>
          <w:lang w:val="en-GB"/>
        </w:rPr>
        <w:t>2010</w:t>
      </w:r>
      <w:r>
        <w:rPr>
          <w:rFonts w:hint="eastAsia"/>
          <w:lang w:val="en-GB"/>
        </w:rPr>
        <w:t>年</w:t>
      </w:r>
      <w:r>
        <w:rPr>
          <w:rFonts w:hint="eastAsia"/>
          <w:lang w:val="en-GB"/>
        </w:rPr>
        <w:t>2</w:t>
      </w:r>
      <w:r>
        <w:rPr>
          <w:rFonts w:hint="eastAsia"/>
          <w:lang w:val="en-GB"/>
        </w:rPr>
        <w:t>月进行的选举，一些残疾人当选进入了市议会，此外还有一些残疾人进入到市级无障碍委员会以及民间社会组织任职。</w:t>
      </w:r>
    </w:p>
    <w:p w:rsidR="00CE4DFD" w:rsidRDefault="00CE4DFD">
      <w:pPr>
        <w:pStyle w:val="SingleTxtGC"/>
        <w:rPr>
          <w:lang w:val="en-GB"/>
        </w:rPr>
      </w:pPr>
      <w:r>
        <w:rPr>
          <w:lang w:val="en-GB"/>
        </w:rPr>
        <w:t xml:space="preserve">149.  </w:t>
      </w:r>
      <w:r>
        <w:rPr>
          <w:rFonts w:hint="eastAsia"/>
          <w:lang w:val="en-GB"/>
        </w:rPr>
        <w:t>同样，我们还获悉关于残疾妇女政策宣导的培训活动；鼓励残疾人参加公共汽车票价听证会，参加县市人力发展计划的起草工作，参加市长选举活动，参加市级无障碍和残疾委员会以及地方组织的工作，审议针对县市无障碍情况的调查结果。</w:t>
      </w:r>
    </w:p>
    <w:p w:rsidR="00CE4DFD" w:rsidRDefault="00CE4DFD">
      <w:pPr>
        <w:pStyle w:val="SingleTxtGC"/>
        <w:rPr>
          <w:lang w:val="en-GB"/>
        </w:rPr>
      </w:pPr>
      <w:r>
        <w:rPr>
          <w:lang w:val="en-GB"/>
        </w:rPr>
        <w:t xml:space="preserve">150.  </w:t>
      </w:r>
      <w:r>
        <w:rPr>
          <w:rFonts w:hint="eastAsia"/>
          <w:lang w:val="en-GB"/>
        </w:rPr>
        <w:t>关于无障碍问题，据悉在学校、公园、基层医疗服务队、儿童乐园、教堂以及诊所周围修建了坡道；安装了有声交通信号灯；修建了无障碍市政建筑；修建了市图书馆大楼；并在图书馆安装了无障碍信息程序。</w:t>
      </w:r>
    </w:p>
    <w:p w:rsidR="00CE4DFD" w:rsidRDefault="00CE4DFD">
      <w:pPr>
        <w:pStyle w:val="SingleTxtGC"/>
        <w:rPr>
          <w:lang w:val="en-GB"/>
        </w:rPr>
      </w:pPr>
      <w:r>
        <w:rPr>
          <w:lang w:val="en-GB"/>
        </w:rPr>
        <w:t xml:space="preserve">151.  </w:t>
      </w:r>
      <w:r>
        <w:rPr>
          <w:rFonts w:hint="eastAsia"/>
          <w:lang w:val="en-GB"/>
        </w:rPr>
        <w:t>在相关政策、规章和程序方面，据悉出台了《市政无障碍政策》，并把该政策纳入到《市政发展计划》之中。同样，依据经过修订的《城市法》关于设立城市无障碍委员会作为常设机构的规定，在全国总共</w:t>
      </w:r>
      <w:r>
        <w:rPr>
          <w:rFonts w:hint="eastAsia"/>
          <w:lang w:val="en-GB"/>
        </w:rPr>
        <w:t>81</w:t>
      </w:r>
      <w:r>
        <w:rPr>
          <w:rFonts w:hint="eastAsia"/>
          <w:lang w:val="en-GB"/>
        </w:rPr>
        <w:t>个市政府和</w:t>
      </w:r>
      <w:r>
        <w:rPr>
          <w:rFonts w:hint="eastAsia"/>
          <w:lang w:val="en-GB"/>
        </w:rPr>
        <w:t>8</w:t>
      </w:r>
      <w:r>
        <w:rPr>
          <w:rFonts w:hint="eastAsia"/>
          <w:lang w:val="en-GB"/>
        </w:rPr>
        <w:t>个区政府当中，有</w:t>
      </w:r>
      <w:r>
        <w:rPr>
          <w:rFonts w:hint="eastAsia"/>
          <w:lang w:val="en-GB"/>
        </w:rPr>
        <w:t>58</w:t>
      </w:r>
      <w:r>
        <w:rPr>
          <w:rFonts w:hint="eastAsia"/>
          <w:lang w:val="en-GB"/>
        </w:rPr>
        <w:t>个已经组建了自己的无障碍委员会，另外</w:t>
      </w:r>
      <w:r>
        <w:rPr>
          <w:rFonts w:hint="eastAsia"/>
          <w:lang w:val="en-GB"/>
        </w:rPr>
        <w:t>31</w:t>
      </w:r>
      <w:r>
        <w:rPr>
          <w:rFonts w:hint="eastAsia"/>
          <w:lang w:val="en-GB"/>
        </w:rPr>
        <w:t>个尚未组建无障碍委员会</w:t>
      </w:r>
      <w:r>
        <w:rPr>
          <w:rFonts w:hint="eastAsia"/>
          <w:lang w:val="en-GB"/>
        </w:rPr>
        <w:t>(</w:t>
      </w:r>
      <w:r>
        <w:rPr>
          <w:rFonts w:hint="eastAsia"/>
          <w:lang w:val="en-GB"/>
        </w:rPr>
        <w:t>参见附件</w:t>
      </w:r>
      <w:r>
        <w:rPr>
          <w:rFonts w:hint="eastAsia"/>
          <w:lang w:val="en-GB"/>
        </w:rPr>
        <w:t>10)</w:t>
      </w:r>
      <w:r>
        <w:rPr>
          <w:rFonts w:hint="eastAsia"/>
          <w:lang w:val="en-GB"/>
        </w:rPr>
        <w:t>。在此之前，无障碍委员会一直属于非常设机构。此外，我们正在努力把残疾和无障碍问题引进商业专利审批程序当中。</w:t>
      </w:r>
    </w:p>
    <w:p w:rsidR="00CE4DFD" w:rsidRDefault="00CE4DFD">
      <w:pPr>
        <w:pStyle w:val="SingleTxtGC"/>
        <w:rPr>
          <w:rFonts w:hint="eastAsia"/>
          <w:lang w:val="en-GB"/>
        </w:rPr>
      </w:pPr>
      <w:r>
        <w:rPr>
          <w:lang w:val="en-GB"/>
        </w:rPr>
        <w:t xml:space="preserve">152.  </w:t>
      </w:r>
      <w:r>
        <w:rPr>
          <w:rFonts w:hint="eastAsia"/>
          <w:lang w:val="en-GB"/>
        </w:rPr>
        <w:t>在培训和宣传方面，已经就残疾问题对市政人员进行了培训；组织了对第</w:t>
      </w:r>
      <w:r>
        <w:rPr>
          <w:rFonts w:hint="eastAsia"/>
          <w:lang w:val="en-GB"/>
        </w:rPr>
        <w:t>7600</w:t>
      </w:r>
      <w:r>
        <w:rPr>
          <w:rFonts w:hint="eastAsia"/>
          <w:lang w:val="en-GB"/>
        </w:rPr>
        <w:t>号法律的宣传活动，并且进行了市政人员的手语和盲文培训。</w:t>
      </w:r>
    </w:p>
    <w:p w:rsidR="00CE4DFD" w:rsidRDefault="00CE4DFD">
      <w:pPr>
        <w:pStyle w:val="SingleTxtGC"/>
        <w:rPr>
          <w:rFonts w:hint="eastAsia"/>
          <w:lang w:val="en-GB"/>
        </w:rPr>
      </w:pPr>
      <w:r>
        <w:rPr>
          <w:lang w:val="en-GB"/>
        </w:rPr>
        <w:t xml:space="preserve">153.  </w:t>
      </w:r>
      <w:r>
        <w:rPr>
          <w:rFonts w:hint="eastAsia"/>
          <w:lang w:val="en-GB"/>
        </w:rPr>
        <w:t>其他行动还涉及到，支助外国残疾人；在市政府建立在职注册残疾人数据库；还有各种市政信息工具，可以通过各种残疾指标对残疾人进行鉴别。</w:t>
      </w:r>
    </w:p>
    <w:p w:rsidR="00CE4DFD" w:rsidRDefault="00CE4DFD">
      <w:pPr>
        <w:pStyle w:val="H23GC"/>
      </w:pPr>
      <w:r>
        <w:tab/>
        <w:t>2.</w:t>
      </w:r>
      <w:r>
        <w:rPr>
          <w:rFonts w:ascii="SimSun" w:eastAsia="SimSun" w:hAnsi="SimSun" w:cs="SimSun" w:hint="eastAsia"/>
        </w:rPr>
        <w:tab/>
      </w:r>
      <w:bookmarkStart w:id="42" w:name="_Toc352758989"/>
      <w:r>
        <w:rPr>
          <w:rFonts w:hint="eastAsia"/>
        </w:rPr>
        <w:t>有待采取的行动、制约因素和改进措施</w:t>
      </w:r>
      <w:bookmarkEnd w:id="42"/>
    </w:p>
    <w:p w:rsidR="00CE4DFD" w:rsidRDefault="00CE4DFD">
      <w:pPr>
        <w:pStyle w:val="SingleTxtGC"/>
        <w:rPr>
          <w:lang w:val="en-GB"/>
        </w:rPr>
      </w:pPr>
      <w:r>
        <w:rPr>
          <w:lang w:val="es-MX"/>
        </w:rPr>
        <w:t xml:space="preserve">154.  </w:t>
      </w:r>
      <w:r>
        <w:rPr>
          <w:rFonts w:hint="eastAsia"/>
          <w:lang w:val="es-MX"/>
        </w:rPr>
        <w:t>为保障残疾人参与政治和公共生活，需要采取的行动以及面临的制约因素主要涉及到无障碍获取信息、无障碍地进出物理环境以及个人行动能力的问题，所有这些问题相互之间都密切关联。在无障碍获取信息问题上，有必要就残疾问题进行全民调查，为此，需要获得一些国际合作机构的财力支持，这是因为，实施全民调查费时费力，并且没有足够的资金来完成这项工作，而全民调查将从人权角度为我们提供关于哥斯达黎加残疾人口状况的可靠数据，从而将有助于我们通过内容统一的信息渠道来制定全面的政策和行动方案。需要考虑的其他因素包括，一些新闻媒体和机构不遵守第</w:t>
      </w:r>
      <w:r>
        <w:rPr>
          <w:rFonts w:hint="eastAsia"/>
          <w:lang w:val="es-MX"/>
        </w:rPr>
        <w:t>7600</w:t>
      </w:r>
      <w:r>
        <w:rPr>
          <w:rFonts w:hint="eastAsia"/>
          <w:lang w:val="es-MX"/>
        </w:rPr>
        <w:t>号法律及其条例关于在节目中使用手语的规定以及网站无障碍的原则，但却没有受到处罚。</w:t>
      </w:r>
    </w:p>
    <w:p w:rsidR="00CE4DFD" w:rsidRDefault="00CE4DFD">
      <w:pPr>
        <w:pStyle w:val="SingleTxtGC"/>
        <w:rPr>
          <w:lang w:val="en-GB"/>
        </w:rPr>
      </w:pPr>
      <w:r>
        <w:rPr>
          <w:lang w:val="es-MX"/>
        </w:rPr>
        <w:t xml:space="preserve">155.  </w:t>
      </w:r>
      <w:r>
        <w:rPr>
          <w:rFonts w:hint="eastAsia"/>
          <w:lang w:val="es-MX"/>
        </w:rPr>
        <w:t>按照在</w:t>
      </w:r>
      <w:r>
        <w:rPr>
          <w:rFonts w:hint="eastAsia"/>
          <w:lang w:val="es-MX"/>
        </w:rPr>
        <w:t>2010</w:t>
      </w:r>
      <w:r>
        <w:rPr>
          <w:rFonts w:hint="eastAsia"/>
          <w:lang w:val="es-MX"/>
        </w:rPr>
        <w:t>年总统大选期间针对无障碍物理环境问题的检查结果，可以明显看出，进入投票站并不方便，因为在投票站附近的人行道以及过街横道等处有妨碍残疾人使用或出入的建筑，缺少残疾人专用停车场以及无障碍卫生设施，这些情况会限制残疾人参加投票，需要指出的是，这些投票站都设在了公共教育机构。同样，残疾事务主管部门也没有就物理空间和公共交通无障碍标准做出明确规定，因而也就无法开展适当的督查工作，这是因为目前没有相关的官方标准。</w:t>
      </w:r>
    </w:p>
    <w:p w:rsidR="00CE4DFD" w:rsidRDefault="00CE4DFD">
      <w:pPr>
        <w:pStyle w:val="SingleTxtGC"/>
        <w:rPr>
          <w:lang w:val="en-GB"/>
        </w:rPr>
      </w:pPr>
      <w:r>
        <w:rPr>
          <w:lang w:val="es-MX"/>
        </w:rPr>
        <w:t xml:space="preserve">156.  </w:t>
      </w:r>
      <w:r>
        <w:rPr>
          <w:rFonts w:hint="eastAsia"/>
          <w:lang w:val="es-MX"/>
        </w:rPr>
        <w:t>关于个人行动能力问题，应当指出的是，公共交通以及人行道路况问题仍然是限制残疾人独立出行的一项因素，据证实，截至到</w:t>
      </w:r>
      <w:r>
        <w:rPr>
          <w:rFonts w:hint="eastAsia"/>
          <w:lang w:val="es-MX"/>
        </w:rPr>
        <w:t>2009</w:t>
      </w:r>
      <w:r>
        <w:rPr>
          <w:rFonts w:hint="eastAsia"/>
          <w:lang w:val="es-MX"/>
        </w:rPr>
        <w:t>年底，在总共</w:t>
      </w:r>
      <w:r>
        <w:rPr>
          <w:rFonts w:hint="eastAsia"/>
          <w:lang w:val="es-MX"/>
        </w:rPr>
        <w:t>4,544</w:t>
      </w:r>
      <w:r>
        <w:rPr>
          <w:rFonts w:hint="eastAsia"/>
          <w:lang w:val="es-MX"/>
        </w:rPr>
        <w:t>台公交车当中，只有</w:t>
      </w:r>
      <w:r>
        <w:rPr>
          <w:rFonts w:hint="eastAsia"/>
          <w:lang w:val="es-MX"/>
        </w:rPr>
        <w:t>1,862</w:t>
      </w:r>
      <w:r>
        <w:rPr>
          <w:rFonts w:hint="eastAsia"/>
          <w:lang w:val="es-MX"/>
        </w:rPr>
        <w:t>台配置了坡道，占总数的</w:t>
      </w:r>
      <w:r>
        <w:rPr>
          <w:rFonts w:hint="eastAsia"/>
          <w:lang w:val="es-MX"/>
        </w:rPr>
        <w:t>41%(</w:t>
      </w:r>
      <w:r>
        <w:rPr>
          <w:rFonts w:hint="eastAsia"/>
          <w:lang w:val="es-MX"/>
        </w:rPr>
        <w:t>根据《</w:t>
      </w:r>
      <w:r>
        <w:rPr>
          <w:rFonts w:hint="eastAsia"/>
          <w:lang w:val="es-MX"/>
        </w:rPr>
        <w:t>2010</w:t>
      </w:r>
      <w:r>
        <w:rPr>
          <w:rFonts w:hint="eastAsia"/>
          <w:lang w:val="es-MX"/>
        </w:rPr>
        <w:t>年公共交通委员会第</w:t>
      </w:r>
      <w:r>
        <w:rPr>
          <w:rFonts w:hint="eastAsia"/>
          <w:lang w:val="es-MX"/>
        </w:rPr>
        <w:t>1416</w:t>
      </w:r>
      <w:r>
        <w:rPr>
          <w:rFonts w:hint="eastAsia"/>
          <w:lang w:val="es-MX"/>
        </w:rPr>
        <w:t>号报告》</w:t>
      </w:r>
      <w:r>
        <w:rPr>
          <w:rFonts w:hint="eastAsia"/>
          <w:lang w:val="es-MX"/>
        </w:rPr>
        <w:t>)</w:t>
      </w:r>
      <w:r>
        <w:rPr>
          <w:rFonts w:hint="eastAsia"/>
          <w:lang w:val="es-MX"/>
        </w:rPr>
        <w:t>，然而依据第</w:t>
      </w:r>
      <w:r>
        <w:rPr>
          <w:rFonts w:hint="eastAsia"/>
          <w:lang w:val="es-MX"/>
        </w:rPr>
        <w:t>7600</w:t>
      </w:r>
      <w:r>
        <w:rPr>
          <w:rFonts w:hint="eastAsia"/>
          <w:lang w:val="es-MX"/>
        </w:rPr>
        <w:t>号法律之规定，到</w:t>
      </w:r>
      <w:r>
        <w:rPr>
          <w:rFonts w:hint="eastAsia"/>
          <w:lang w:val="es-MX"/>
        </w:rPr>
        <w:t>2009</w:t>
      </w:r>
      <w:r>
        <w:rPr>
          <w:rFonts w:hint="eastAsia"/>
          <w:lang w:val="es-MX"/>
        </w:rPr>
        <w:t>年时无障碍公交车比例应当达到</w:t>
      </w:r>
      <w:r>
        <w:rPr>
          <w:rFonts w:hint="eastAsia"/>
          <w:lang w:val="es-MX"/>
        </w:rPr>
        <w:t>45%</w:t>
      </w:r>
      <w:r>
        <w:rPr>
          <w:rFonts w:hint="eastAsia"/>
          <w:lang w:val="es-MX"/>
        </w:rPr>
        <w:t>，另外，还需要检查这些公交车的车况是否良好。</w:t>
      </w:r>
    </w:p>
    <w:p w:rsidR="00CE4DFD" w:rsidRDefault="00CE4DFD">
      <w:pPr>
        <w:pStyle w:val="SingleTxtGC"/>
        <w:rPr>
          <w:lang w:val="en-GB"/>
        </w:rPr>
      </w:pPr>
      <w:r>
        <w:rPr>
          <w:lang w:val="en-GB"/>
        </w:rPr>
        <w:t xml:space="preserve">157.  </w:t>
      </w:r>
      <w:r>
        <w:rPr>
          <w:rFonts w:hint="eastAsia"/>
          <w:lang w:val="en-GB"/>
        </w:rPr>
        <w:t>在地方上，经确认，需要加强与那些负责保障无障碍公共交通、公共道路无障碍以及道路标志的公共部门与私营部门进行协调，以及进一步做好城市无障碍委员会与残疾人的协调工作。另外，需要建立与最高选举法院的协调机制，并推动《城市法》改革，以方便残疾人在城市范围内到投票站参加选举活动。</w:t>
      </w:r>
    </w:p>
    <w:p w:rsidR="00CE4DFD" w:rsidRDefault="00CE4DFD">
      <w:pPr>
        <w:pStyle w:val="SingleTxtGC"/>
        <w:rPr>
          <w:lang w:val="en-GB"/>
        </w:rPr>
      </w:pPr>
      <w:r>
        <w:rPr>
          <w:lang w:val="en-GB"/>
        </w:rPr>
        <w:t xml:space="preserve">158.  </w:t>
      </w:r>
      <w:r>
        <w:rPr>
          <w:rFonts w:hint="eastAsia"/>
          <w:lang w:val="en-GB"/>
        </w:rPr>
        <w:t>在培训和宣传方面，应当继续面向所有残疾人、家庭、学生以及社区开展关于第</w:t>
      </w:r>
      <w:r>
        <w:rPr>
          <w:rFonts w:hint="eastAsia"/>
          <w:lang w:val="en-GB"/>
        </w:rPr>
        <w:t>8661</w:t>
      </w:r>
      <w:r>
        <w:rPr>
          <w:rFonts w:hint="eastAsia"/>
          <w:lang w:val="en-GB"/>
        </w:rPr>
        <w:t>号法律、第</w:t>
      </w:r>
      <w:r>
        <w:rPr>
          <w:rFonts w:hint="eastAsia"/>
          <w:lang w:val="en-GB"/>
        </w:rPr>
        <w:t>7600</w:t>
      </w:r>
      <w:r>
        <w:rPr>
          <w:rFonts w:hint="eastAsia"/>
          <w:lang w:val="en-GB"/>
        </w:rPr>
        <w:t>号法律以及残疾人权利的报道和宣传活动，以及在手语、盲文等无障碍信息和通信方面对市政工作人员进行培训，并鼓励残疾人积极参与相关宣传和维权行动。</w:t>
      </w:r>
    </w:p>
    <w:p w:rsidR="00CE4DFD" w:rsidRDefault="00CE4DFD">
      <w:pPr>
        <w:pStyle w:val="SingleTxtGC"/>
        <w:rPr>
          <w:i/>
          <w:lang w:val="en-GB"/>
        </w:rPr>
      </w:pPr>
      <w:r>
        <w:rPr>
          <w:lang w:val="en-GB"/>
        </w:rPr>
        <w:t xml:space="preserve">159.  </w:t>
      </w:r>
      <w:r>
        <w:rPr>
          <w:rFonts w:hint="eastAsia"/>
          <w:lang w:val="en-GB"/>
        </w:rPr>
        <w:t>在无障碍方面，有必要在以下三个方面开展工作：交通无障碍、物理空间无障碍、获取信息无障碍。在交通无障碍和物理空间无障碍方面，需要促进无障碍交通的发展，并争取使投票站达到</w:t>
      </w:r>
      <w:r>
        <w:rPr>
          <w:rFonts w:hint="eastAsia"/>
          <w:lang w:val="en-GB"/>
        </w:rPr>
        <w:t>100%</w:t>
      </w:r>
      <w:r>
        <w:rPr>
          <w:rFonts w:hint="eastAsia"/>
          <w:lang w:val="en-GB"/>
        </w:rPr>
        <w:t>无障碍的程度，而在获取信息无障碍方面，有必要通过各种途径提供关于无障碍投票方面的信息；为市议会残疾议员提供能够方便他们履职的设备和文件资料，在今后的公共活动中采用能够方便所有人使用的文件格式，并且聘请手语翻译。关于哥斯达黎加手语问题，必须指出的是，在如何学习手语方面存在空白，这也导致了在培养手语翻译方面的困难，因而也没有对这个问题进行任何调查。</w:t>
      </w:r>
    </w:p>
    <w:p w:rsidR="00CE4DFD" w:rsidRDefault="00CE4DFD">
      <w:pPr>
        <w:pStyle w:val="SingleTxtGC"/>
        <w:rPr>
          <w:lang w:val="en-GB"/>
        </w:rPr>
      </w:pPr>
      <w:r>
        <w:rPr>
          <w:lang w:val="en-GB"/>
        </w:rPr>
        <w:t xml:space="preserve">160.  </w:t>
      </w:r>
      <w:r>
        <w:rPr>
          <w:rFonts w:hint="eastAsia"/>
          <w:lang w:val="en-GB"/>
        </w:rPr>
        <w:t>另外，各个市政府普遍需要在服务平台上采用无障碍技术；利用适当的技术资源开设一站式服务窗口；改造卫生设施，并继续进行完善物理环境的工作，比如安装电梯等等。</w:t>
      </w:r>
    </w:p>
    <w:p w:rsidR="00CE4DFD" w:rsidRDefault="00CE4DFD">
      <w:pPr>
        <w:pStyle w:val="SingleTxtGC"/>
        <w:rPr>
          <w:rFonts w:hint="eastAsia"/>
          <w:lang w:val="en-GB"/>
        </w:rPr>
      </w:pPr>
      <w:r>
        <w:rPr>
          <w:lang w:val="en-GB"/>
        </w:rPr>
        <w:t xml:space="preserve">161.  </w:t>
      </w:r>
      <w:r>
        <w:rPr>
          <w:rFonts w:hint="eastAsia"/>
          <w:lang w:val="en-GB"/>
        </w:rPr>
        <w:t>在相关政策、规章和程序方面需要采取的行动包括，制定并落实城市无障碍政策和计划，以及组建或恢复城市无障碍委员会。</w:t>
      </w:r>
    </w:p>
    <w:p w:rsidR="00CE4DFD" w:rsidRDefault="00CE4DFD">
      <w:pPr>
        <w:pStyle w:val="SingleTxtGC"/>
        <w:rPr>
          <w:lang w:val="en-GB"/>
        </w:rPr>
      </w:pPr>
      <w:r>
        <w:rPr>
          <w:lang w:val="en-GB"/>
        </w:rPr>
        <w:t xml:space="preserve">162.  </w:t>
      </w:r>
      <w:r>
        <w:rPr>
          <w:rFonts w:hint="eastAsia"/>
          <w:lang w:val="en-GB"/>
        </w:rPr>
        <w:t>在督查方面，必须对投票站</w:t>
      </w:r>
      <w:r>
        <w:rPr>
          <w:rFonts w:hint="eastAsia"/>
          <w:lang w:val="en-GB"/>
        </w:rPr>
        <w:t>(</w:t>
      </w:r>
      <w:r>
        <w:rPr>
          <w:rFonts w:hint="eastAsia"/>
          <w:lang w:val="en-GB"/>
        </w:rPr>
        <w:t>教育机构</w:t>
      </w:r>
      <w:r>
        <w:rPr>
          <w:rFonts w:hint="eastAsia"/>
          <w:lang w:val="en-GB"/>
        </w:rPr>
        <w:t>)</w:t>
      </w:r>
      <w:r>
        <w:rPr>
          <w:rFonts w:hint="eastAsia"/>
          <w:lang w:val="en-GB"/>
        </w:rPr>
        <w:t>进行督查，确保达到无障碍要求；由市政府出面向各区县的公共单位和私营单位发出通知，告知在保障对所有人无障碍方面以及在训练手语和盲文服务能力方面的个体责任和集体责任。</w:t>
      </w:r>
    </w:p>
    <w:p w:rsidR="00CE4DFD" w:rsidRDefault="00CE4DFD">
      <w:pPr>
        <w:pStyle w:val="SingleTxtGC"/>
        <w:rPr>
          <w:lang w:val="en-GB"/>
        </w:rPr>
      </w:pPr>
      <w:r>
        <w:rPr>
          <w:lang w:val="en-GB"/>
        </w:rPr>
        <w:t xml:space="preserve">163.  </w:t>
      </w:r>
      <w:r>
        <w:rPr>
          <w:rFonts w:hint="eastAsia"/>
          <w:lang w:val="en-GB"/>
        </w:rPr>
        <w:t>另一项需要由地方政府实施的行动，主要涉及卫生和信息问题：在卫生方面，具体来说就是，在卫生领域推广专门针对残疾人的服务；关于信息问题，人们指出，需要编制市县人口登记册，以确定各县残疾人的数量、特点以及需求；建立一个数据库，收录与无障碍和残疾人权利问题有关的立法决议。</w:t>
      </w:r>
    </w:p>
    <w:p w:rsidR="00CE4DFD" w:rsidRDefault="00CE4DFD">
      <w:pPr>
        <w:pStyle w:val="SingleTxtGC"/>
        <w:rPr>
          <w:lang w:val="en-GB"/>
        </w:rPr>
      </w:pPr>
      <w:r>
        <w:rPr>
          <w:lang w:val="en-GB"/>
        </w:rPr>
        <w:t xml:space="preserve">164.  </w:t>
      </w:r>
      <w:r>
        <w:rPr>
          <w:rFonts w:hint="eastAsia"/>
          <w:lang w:val="en-GB"/>
        </w:rPr>
        <w:t>在地方上，始终影响执行《公约》相关规定的主要制约因素包括，好多投票站设在很远的地方；缺少能够为视力残疾的人提供选举方面无障碍信息的技术；各县领导人不重视残疾人问题，并且机构之间缺乏协调。</w:t>
      </w:r>
    </w:p>
    <w:p w:rsidR="00CE4DFD" w:rsidRDefault="00CE4DFD">
      <w:pPr>
        <w:pStyle w:val="SingleTxtGC"/>
        <w:rPr>
          <w:lang w:val="en-GB"/>
        </w:rPr>
      </w:pPr>
      <w:r>
        <w:rPr>
          <w:lang w:val="en-GB"/>
        </w:rPr>
        <w:t xml:space="preserve">165.  </w:t>
      </w:r>
      <w:r>
        <w:rPr>
          <w:rFonts w:hint="eastAsia"/>
          <w:lang w:val="en-GB"/>
        </w:rPr>
        <w:t>市政府缺少资金也是一项制约因素；法律法规没有得到落实；市政当局缺少使建议得以实施的政治意愿；没有一项让第</w:t>
      </w:r>
      <w:r>
        <w:rPr>
          <w:rFonts w:hint="eastAsia"/>
          <w:lang w:val="en-GB"/>
        </w:rPr>
        <w:t>8661</w:t>
      </w:r>
      <w:r>
        <w:rPr>
          <w:rFonts w:hint="eastAsia"/>
          <w:lang w:val="en-GB"/>
        </w:rPr>
        <w:t>号法律切实可行的政策；《国家行政机构向市政府移交权责法》涉及范围有限，只包括卫生、安全、道路基础设施维护以及校舍维护问题。</w:t>
      </w:r>
    </w:p>
    <w:p w:rsidR="00CE4DFD" w:rsidRDefault="00CE4DFD">
      <w:pPr>
        <w:pStyle w:val="SingleTxtGC"/>
        <w:rPr>
          <w:rFonts w:hint="eastAsia"/>
          <w:lang w:val="en-GB"/>
        </w:rPr>
      </w:pPr>
      <w:r>
        <w:rPr>
          <w:lang w:val="en-GB"/>
        </w:rPr>
        <w:t xml:space="preserve">166.  </w:t>
      </w:r>
      <w:r>
        <w:rPr>
          <w:rFonts w:hint="eastAsia"/>
          <w:lang w:val="en-GB"/>
        </w:rPr>
        <w:t>最后需要指出，交通成本太高并且不成比例，这就限制了生活贫困的残疾人的出行。在实时执行工程方面缺少规划。其他问题还包括，利益攸关者兴趣不高，以及对法律的不了解。</w:t>
      </w:r>
    </w:p>
    <w:p w:rsidR="00CE4DFD" w:rsidRDefault="00CE4DFD">
      <w:pPr>
        <w:pStyle w:val="SingleTxtGC"/>
        <w:rPr>
          <w:rFonts w:hint="eastAsia"/>
          <w:lang w:val="es-MX"/>
        </w:rPr>
      </w:pPr>
      <w:r>
        <w:rPr>
          <w:lang w:val="es-MX"/>
        </w:rPr>
        <w:t xml:space="preserve">167.  </w:t>
      </w:r>
      <w:r>
        <w:rPr>
          <w:rFonts w:hint="eastAsia"/>
          <w:lang w:val="es-MX"/>
        </w:rPr>
        <w:t>在全国范围内，全国康复和特殊教育委员会提出，为克服各种制约因素，要在今后的选举活动中采取下列主要措施：</w:t>
      </w:r>
    </w:p>
    <w:p w:rsidR="00CE4DFD" w:rsidRDefault="00CE4DFD">
      <w:pPr>
        <w:pStyle w:val="SingleTxtGC"/>
        <w:numPr>
          <w:ilvl w:val="0"/>
          <w:numId w:val="29"/>
        </w:numPr>
        <w:ind w:left="1134"/>
        <w:rPr>
          <w:lang w:val="es-MX"/>
        </w:rPr>
      </w:pPr>
      <w:r>
        <w:rPr>
          <w:rFonts w:hint="eastAsia"/>
          <w:lang w:val="es-MX"/>
        </w:rPr>
        <w:t>谋求在社区本身设立其他更加方便的基础设施；</w:t>
      </w:r>
    </w:p>
    <w:p w:rsidR="00CE4DFD" w:rsidRDefault="00CE4DFD">
      <w:pPr>
        <w:pStyle w:val="SingleTxtGC"/>
        <w:numPr>
          <w:ilvl w:val="0"/>
          <w:numId w:val="29"/>
        </w:numPr>
        <w:ind w:left="1134"/>
        <w:rPr>
          <w:lang w:val="es-MX"/>
        </w:rPr>
      </w:pPr>
      <w:r>
        <w:rPr>
          <w:rFonts w:hint="eastAsia"/>
          <w:lang w:val="es-MX"/>
        </w:rPr>
        <w:t>与公共教育部所属教育机构的管理层进行协调，以改善这些机构的无障碍状况；</w:t>
      </w:r>
    </w:p>
    <w:p w:rsidR="00CE4DFD" w:rsidRDefault="00CE4DFD">
      <w:pPr>
        <w:pStyle w:val="SingleTxtGC"/>
        <w:numPr>
          <w:ilvl w:val="0"/>
          <w:numId w:val="29"/>
        </w:numPr>
        <w:ind w:left="1134"/>
        <w:rPr>
          <w:rFonts w:hint="eastAsia"/>
          <w:lang w:val="en-GB"/>
        </w:rPr>
      </w:pPr>
      <w:r>
        <w:rPr>
          <w:rFonts w:hint="eastAsia"/>
          <w:lang w:val="es-MX"/>
        </w:rPr>
        <w:t>最高选举法院应当制定相应的政策措施，准确地向选民传达信息，因为选民们要求针对那些可能参加投票的人以及引导人员进行更多的培训；</w:t>
      </w:r>
    </w:p>
    <w:p w:rsidR="00CE4DFD" w:rsidRDefault="00CE4DFD">
      <w:pPr>
        <w:pStyle w:val="SingleTxtGC"/>
        <w:numPr>
          <w:ilvl w:val="0"/>
          <w:numId w:val="29"/>
        </w:numPr>
        <w:ind w:left="1134"/>
        <w:rPr>
          <w:rFonts w:hint="eastAsia"/>
          <w:lang w:val="en-GB"/>
        </w:rPr>
      </w:pPr>
      <w:r>
        <w:rPr>
          <w:rFonts w:hint="eastAsia"/>
          <w:lang w:val="en-GB"/>
        </w:rPr>
        <w:t>关于在报告中指出的公开投票和协助投票的问题，</w:t>
      </w:r>
      <w:r>
        <w:rPr>
          <w:rFonts w:hint="eastAsia"/>
          <w:lang w:val="es-MX"/>
        </w:rPr>
        <w:t>全国康复和特殊教育委员会向最高选举法院提出建议，应当义务向包括残疾人在内的所有选民进行解释，并让选民自己决定用什么方式投票；</w:t>
      </w:r>
    </w:p>
    <w:p w:rsidR="00CE4DFD" w:rsidRDefault="00CE4DFD">
      <w:pPr>
        <w:pStyle w:val="SingleTxtGC"/>
        <w:numPr>
          <w:ilvl w:val="0"/>
          <w:numId w:val="29"/>
        </w:numPr>
        <w:ind w:left="1134"/>
        <w:rPr>
          <w:rFonts w:hint="eastAsia"/>
          <w:lang w:val="en-GB"/>
        </w:rPr>
      </w:pPr>
      <w:r>
        <w:rPr>
          <w:rFonts w:hint="eastAsia"/>
          <w:lang w:val="en-GB"/>
        </w:rPr>
        <w:t>作为主管单位，</w:t>
      </w:r>
      <w:r>
        <w:rPr>
          <w:rFonts w:hint="eastAsia"/>
          <w:lang w:val="es-MX"/>
        </w:rPr>
        <w:t>全国康复和特殊教育委员会应当修改或重新设计对投票站设施无障碍情况进行监督检查的方式，以便更好地完成监督检查工作，提高获取的数据资料的质量，以便日后进行分析；</w:t>
      </w:r>
    </w:p>
    <w:p w:rsidR="00CE4DFD" w:rsidRDefault="00CE4DFD">
      <w:pPr>
        <w:pStyle w:val="SingleTxtGC"/>
        <w:numPr>
          <w:ilvl w:val="0"/>
          <w:numId w:val="29"/>
        </w:numPr>
        <w:ind w:left="1134"/>
        <w:rPr>
          <w:lang w:val="en-GB"/>
        </w:rPr>
      </w:pPr>
      <w:r>
        <w:rPr>
          <w:rFonts w:hint="eastAsia"/>
          <w:lang w:val="en-GB"/>
        </w:rPr>
        <w:t>最后一条，应当在</w:t>
      </w:r>
      <w:r>
        <w:rPr>
          <w:rFonts w:hint="eastAsia"/>
          <w:lang w:val="en-GB"/>
        </w:rPr>
        <w:t>2010</w:t>
      </w:r>
      <w:r>
        <w:rPr>
          <w:rFonts w:hint="eastAsia"/>
          <w:lang w:val="en-GB"/>
        </w:rPr>
        <w:t>年选举之前，而不是在选举当天对投票站设施的无障碍情况进行监督检查。</w:t>
      </w:r>
    </w:p>
    <w:p w:rsidR="00CE4DFD" w:rsidRDefault="00CE4DFD">
      <w:pPr>
        <w:pStyle w:val="SingleTxtGC"/>
        <w:rPr>
          <w:lang w:val="en-GB"/>
        </w:rPr>
      </w:pPr>
      <w:r>
        <w:rPr>
          <w:lang w:val="en-GB"/>
        </w:rPr>
        <w:t xml:space="preserve">168.  </w:t>
      </w:r>
      <w:r>
        <w:rPr>
          <w:rFonts w:hint="eastAsia"/>
          <w:lang w:val="en-GB"/>
        </w:rPr>
        <w:t>地方上提出的建议主要涉及，增加预算；加强与残疾人的协调；衡量各方意见，举行公开议事会，制定总体计划；开展关于残疾人权利问题的宣传普及活动；促进残疾人的公民参与度；对正在实施的行动进行跟踪。</w:t>
      </w:r>
    </w:p>
    <w:p w:rsidR="00CE4DFD" w:rsidRDefault="00CE4DFD">
      <w:pPr>
        <w:pStyle w:val="SingleTxtGC"/>
        <w:rPr>
          <w:rFonts w:hint="eastAsia"/>
          <w:lang w:val="en-GB"/>
        </w:rPr>
      </w:pPr>
      <w:r>
        <w:rPr>
          <w:lang w:val="en-GB"/>
        </w:rPr>
        <w:t xml:space="preserve">169.  </w:t>
      </w:r>
      <w:r>
        <w:rPr>
          <w:rFonts w:hint="eastAsia"/>
          <w:lang w:val="en-GB"/>
        </w:rPr>
        <w:t>我们计划制定一项通过市政府执行的政策，按照新的《移交权责法》，要求人们遵守在整个法律规则体系中的规定；与私营部门和机构部门进行协调并建立联盟，以便获得更多的资源，此外还要就通过上述法律达成一致。</w:t>
      </w:r>
    </w:p>
    <w:p w:rsidR="00CE4DFD" w:rsidRDefault="00CE4DFD">
      <w:pPr>
        <w:pStyle w:val="SingleTxtGC"/>
        <w:rPr>
          <w:lang w:val="en-GB"/>
        </w:rPr>
      </w:pPr>
      <w:r>
        <w:rPr>
          <w:lang w:val="en-GB"/>
        </w:rPr>
        <w:t xml:space="preserve">170.  </w:t>
      </w:r>
      <w:r>
        <w:rPr>
          <w:rFonts w:hint="eastAsia"/>
          <w:lang w:val="en-GB"/>
        </w:rPr>
        <w:t>人们还建议提高市政资金募集工作的效率和效力；为改善市县无障碍状况划拨部分经常性预算和非经常性预算；让社会意识到尊重残疾人在公共交通中的优先权、以及在公共服务机构、停车场以及其他地方优先照顾残疾人的重要性。</w:t>
      </w:r>
    </w:p>
    <w:p w:rsidR="00CE4DFD" w:rsidRDefault="00CE4DFD">
      <w:pPr>
        <w:pStyle w:val="SingleTxtGC"/>
        <w:rPr>
          <w:rFonts w:hint="eastAsia"/>
          <w:lang w:val="en-GB"/>
        </w:rPr>
      </w:pPr>
      <w:r>
        <w:rPr>
          <w:lang w:val="en-GB"/>
        </w:rPr>
        <w:t xml:space="preserve">171.  </w:t>
      </w:r>
      <w:r>
        <w:rPr>
          <w:rFonts w:hint="eastAsia"/>
          <w:lang w:val="en-GB"/>
        </w:rPr>
        <w:t>应当着手把无障碍以及残疾问题纳入到一般计划、战略计划以及城市发展计划当中，以及制定关于争取残疾人平等和不受歧视的城市政策。</w:t>
      </w:r>
    </w:p>
    <w:p w:rsidR="00CE4DFD" w:rsidRDefault="00CE4DFD">
      <w:pPr>
        <w:pStyle w:val="H23GC"/>
      </w:pPr>
      <w:r>
        <w:tab/>
        <w:t>3.</w:t>
      </w:r>
      <w:r>
        <w:rPr>
          <w:rFonts w:ascii="SimSun" w:eastAsia="SimSun" w:hAnsi="SimSun" w:cs="SimSun" w:hint="eastAsia"/>
        </w:rPr>
        <w:tab/>
      </w:r>
      <w:bookmarkStart w:id="43" w:name="_Toc352758990"/>
      <w:r>
        <w:t>民间社会的意见</w:t>
      </w:r>
      <w:bookmarkEnd w:id="43"/>
    </w:p>
    <w:p w:rsidR="00CE4DFD" w:rsidRDefault="00CE4DFD">
      <w:pPr>
        <w:pStyle w:val="SingleTxtGC"/>
        <w:rPr>
          <w:lang w:val="en-GB"/>
        </w:rPr>
      </w:pPr>
      <w:r>
        <w:rPr>
          <w:lang w:val="en-GB"/>
        </w:rPr>
        <w:t xml:space="preserve">172.  </w:t>
      </w:r>
      <w:r>
        <w:rPr>
          <w:rFonts w:hint="eastAsia"/>
          <w:lang w:val="en-GB"/>
        </w:rPr>
        <w:t>关于参与政治生活的问题，参加协商活动的代表们表示，从原则上讲，无论是最高选举法院，还是</w:t>
      </w:r>
      <w:r>
        <w:rPr>
          <w:rFonts w:hint="eastAsia"/>
          <w:lang w:val="es-MX"/>
        </w:rPr>
        <w:t>全国康复和特殊教育委员会，都在与选举有关的方面做了有益的工作</w:t>
      </w:r>
      <w:r>
        <w:rPr>
          <w:rFonts w:hint="eastAsia"/>
          <w:lang w:val="en-GB"/>
        </w:rPr>
        <w:t>。然而人们强调指出，还缺少许多关于残疾人方面的数据资料，因此需要把这个问题纳入到即将进行的</w:t>
      </w:r>
      <w:r>
        <w:rPr>
          <w:rFonts w:hint="eastAsia"/>
          <w:lang w:val="en-GB"/>
        </w:rPr>
        <w:t>2011</w:t>
      </w:r>
      <w:r>
        <w:rPr>
          <w:rFonts w:hint="eastAsia"/>
          <w:lang w:val="en-GB"/>
        </w:rPr>
        <w:t>年人口普查工作当中，此外还要争取让更多的残疾人加入到各种社区团体以及协会当中，不仅在政治团体中扩大残疾人的参与度，而且还要更多地参与社会和社区生活。</w:t>
      </w:r>
    </w:p>
    <w:p w:rsidR="00CE4DFD" w:rsidRDefault="00CE4DFD">
      <w:pPr>
        <w:pStyle w:val="SingleTxtGC"/>
        <w:rPr>
          <w:lang w:val="en-GB"/>
        </w:rPr>
      </w:pPr>
      <w:r>
        <w:rPr>
          <w:lang w:val="en-GB"/>
        </w:rPr>
        <w:t xml:space="preserve">173.  </w:t>
      </w:r>
      <w:r>
        <w:rPr>
          <w:rFonts w:hint="eastAsia"/>
          <w:lang w:val="en-GB"/>
        </w:rPr>
        <w:t>关于无障碍获取信息问题，有必要在各种文件以及法律工具当中采取更多的无障碍形式，而且还有一项更为艰巨的工作，就是要让新闻媒体遵守现行法律。按照相同的思路，还应当注重整个过程中的信息无障碍问题，而不是仅仅考虑结果，需要加强对广告的监督检查，并且支持新闻媒体为人们自由表达意见提供方便，这也是进展较慢的问题之一，而在个人行动能力问题上，还需要改善交通服务，因为这是让人们实现社会、文化和政治参与的重要因素之一。</w:t>
      </w:r>
    </w:p>
    <w:p w:rsidR="00CE4DFD" w:rsidRDefault="00CE4DFD">
      <w:pPr>
        <w:pStyle w:val="SingleTxtGC"/>
        <w:rPr>
          <w:lang w:val="en-GB"/>
        </w:rPr>
      </w:pPr>
      <w:r>
        <w:rPr>
          <w:lang w:val="en-GB"/>
        </w:rPr>
        <w:t xml:space="preserve">174.  </w:t>
      </w:r>
      <w:r>
        <w:rPr>
          <w:rFonts w:hint="eastAsia"/>
          <w:lang w:val="en-GB"/>
        </w:rPr>
        <w:t>参加协商活动的残疾人代表还指出，需要对</w:t>
      </w:r>
      <w:r>
        <w:rPr>
          <w:rFonts w:hint="eastAsia"/>
          <w:lang w:val="es-MX"/>
        </w:rPr>
        <w:t>城市无障碍委员会的工作进行跟踪，并且要确保这些机构尽职尽责，此外还要确保这些机构开展促进公民参与的工作。</w:t>
      </w:r>
    </w:p>
    <w:p w:rsidR="00CE4DFD" w:rsidRDefault="00CE4DFD">
      <w:pPr>
        <w:pStyle w:val="SingleTxtGC"/>
        <w:rPr>
          <w:lang w:val="en-GB"/>
        </w:rPr>
      </w:pPr>
      <w:r>
        <w:rPr>
          <w:lang w:val="en-GB"/>
        </w:rPr>
        <w:t xml:space="preserve">175.  </w:t>
      </w:r>
      <w:r>
        <w:rPr>
          <w:rFonts w:hint="eastAsia"/>
          <w:lang w:val="en-GB"/>
        </w:rPr>
        <w:t>资料显示相关机构没有意识到残疾人政治参与的重要性，并且需要为</w:t>
      </w:r>
      <w:r>
        <w:rPr>
          <w:rFonts w:hint="eastAsia"/>
          <w:lang w:val="es-MX"/>
        </w:rPr>
        <w:t>全国康复和特殊教育委员会提供更多的工具，以便对各级国家机关进行更加有力的监督，并且还可以通过新闻媒体在无障碍获取信息方面进行宣传引导。</w:t>
      </w:r>
    </w:p>
    <w:p w:rsidR="00CE4DFD" w:rsidRDefault="00CE4DFD">
      <w:pPr>
        <w:pStyle w:val="H1GC"/>
      </w:pPr>
      <w:r>
        <w:tab/>
        <w:t>G.</w:t>
      </w:r>
      <w:r>
        <w:rPr>
          <w:rFonts w:ascii="SimSun" w:eastAsia="SimSun" w:hAnsi="SimSun" w:cs="SimSun" w:hint="eastAsia"/>
        </w:rPr>
        <w:tab/>
      </w:r>
      <w:bookmarkStart w:id="44" w:name="_Toc287347911"/>
      <w:bookmarkStart w:id="45" w:name="_Toc352758991"/>
      <w:r>
        <w:rPr>
          <w:rFonts w:hint="eastAsia"/>
        </w:rPr>
        <w:t>参与文化生活、娱乐活动、休闲和体育的权利</w:t>
      </w:r>
      <w:bookmarkEnd w:id="44"/>
      <w:bookmarkEnd w:id="45"/>
    </w:p>
    <w:p w:rsidR="00CE4DFD" w:rsidRDefault="00CE4DFD">
      <w:pPr>
        <w:pStyle w:val="SingleTxtGC"/>
        <w:rPr>
          <w:lang w:val="en-GB"/>
        </w:rPr>
      </w:pPr>
      <w:r>
        <w:rPr>
          <w:lang w:val="es-MX"/>
        </w:rPr>
        <w:t xml:space="preserve">176.  </w:t>
      </w:r>
      <w:r>
        <w:rPr>
          <w:rFonts w:hint="eastAsia"/>
          <w:lang w:val="es-MX"/>
        </w:rPr>
        <w:t>关于残疾人参与文化生活、娱乐活动、休闲和体育的问题，主要考虑了《公约》第三十条的规定，此外还涉及第九条</w:t>
      </w:r>
      <w:r>
        <w:rPr>
          <w:rFonts w:hint="eastAsia"/>
          <w:lang w:val="es-MX"/>
        </w:rPr>
        <w:t>(</w:t>
      </w:r>
      <w:r>
        <w:rPr>
          <w:rFonts w:hint="eastAsia"/>
          <w:lang w:val="es-MX"/>
        </w:rPr>
        <w:t>无障碍</w:t>
      </w:r>
      <w:r>
        <w:rPr>
          <w:rFonts w:hint="eastAsia"/>
          <w:lang w:val="es-MX"/>
        </w:rPr>
        <w:t>)</w:t>
      </w:r>
      <w:r>
        <w:rPr>
          <w:rFonts w:hint="eastAsia"/>
          <w:lang w:val="es-MX"/>
        </w:rPr>
        <w:t>和第二十条</w:t>
      </w:r>
      <w:r>
        <w:rPr>
          <w:rFonts w:hint="eastAsia"/>
          <w:lang w:val="es-MX"/>
        </w:rPr>
        <w:t>(</w:t>
      </w:r>
      <w:r>
        <w:rPr>
          <w:rFonts w:hint="eastAsia"/>
          <w:lang w:val="es-MX"/>
        </w:rPr>
        <w:t>个人行动能力</w:t>
      </w:r>
      <w:r>
        <w:rPr>
          <w:rFonts w:hint="eastAsia"/>
          <w:lang w:val="es-MX"/>
        </w:rPr>
        <w:t>)</w:t>
      </w:r>
      <w:r>
        <w:rPr>
          <w:rFonts w:hint="eastAsia"/>
          <w:lang w:val="es-MX"/>
        </w:rPr>
        <w:t>，这是因为，这两项条款对于保障公民的参与是必不可少的。涉及到该问题的相关机构包括：文化和青年部、哥斯达黎加体育局、哥斯达黎加旅游局、公共工程和交通部、城市发展局、全国儿童慈善基金会和全国妇女协会。然而，只有哥斯达黎加体育局、城市发展局和全国儿童慈善基金会就相关问询做出了答复。</w:t>
      </w:r>
    </w:p>
    <w:p w:rsidR="00CE4DFD" w:rsidRDefault="00CE4DFD">
      <w:pPr>
        <w:pStyle w:val="H23GC"/>
      </w:pPr>
      <w:r>
        <w:tab/>
        <w:t>1.</w:t>
      </w:r>
      <w:r>
        <w:rPr>
          <w:rFonts w:ascii="SimSun" w:eastAsia="SimSun" w:hAnsi="SimSun" w:cs="SimSun" w:hint="eastAsia"/>
        </w:rPr>
        <w:tab/>
      </w:r>
      <w:bookmarkStart w:id="46" w:name="_Toc352758992"/>
      <w:r>
        <w:t>实施的行动和专项资金</w:t>
      </w:r>
      <w:bookmarkEnd w:id="46"/>
    </w:p>
    <w:p w:rsidR="00CE4DFD" w:rsidRDefault="00CE4DFD">
      <w:pPr>
        <w:pStyle w:val="SingleTxtGC"/>
        <w:rPr>
          <w:lang w:val="es-CR"/>
        </w:rPr>
      </w:pPr>
      <w:r>
        <w:rPr>
          <w:lang w:val="es-CR"/>
        </w:rPr>
        <w:t xml:space="preserve">177.  </w:t>
      </w:r>
      <w:r>
        <w:rPr>
          <w:rFonts w:hint="eastAsia"/>
          <w:lang w:val="es-CR"/>
        </w:rPr>
        <w:t>为促进并使残疾人确实能够参与文化生活、娱乐、休闲和体育活动，哥斯达黎加体育局和旅游局采取了一些重要行动。其中，哥斯达黎加体育局实施的行动包括，为让残疾人参加娱乐活动而设立的平等机会联欢活动项目，在体育局管辖的</w:t>
      </w:r>
      <w:r>
        <w:rPr>
          <w:rFonts w:hint="eastAsia"/>
          <w:lang w:val="es-CR"/>
        </w:rPr>
        <w:t>10</w:t>
      </w:r>
      <w:r>
        <w:rPr>
          <w:rFonts w:hint="eastAsia"/>
          <w:lang w:val="es-CR"/>
        </w:rPr>
        <w:t>个地区各举办一次联欢活动；哥斯达黎加旅游局方面在</w:t>
      </w:r>
      <w:r>
        <w:rPr>
          <w:rFonts w:hint="eastAsia"/>
          <w:lang w:val="es-CR"/>
        </w:rPr>
        <w:t>2010</w:t>
      </w:r>
      <w:r>
        <w:rPr>
          <w:rFonts w:hint="eastAsia"/>
          <w:lang w:val="es-CR"/>
        </w:rPr>
        <w:t>年开展了关于获取信息方面的人员培训活动，并开始编写盲文版的哥斯达黎加旅游信息手册。</w:t>
      </w:r>
    </w:p>
    <w:p w:rsidR="00CE4DFD" w:rsidRDefault="00CE4DFD">
      <w:pPr>
        <w:pStyle w:val="SingleTxtGC"/>
        <w:rPr>
          <w:lang w:val="es-CR"/>
        </w:rPr>
      </w:pPr>
      <w:r>
        <w:rPr>
          <w:lang w:val="es-CR"/>
        </w:rPr>
        <w:t xml:space="preserve">178.  </w:t>
      </w:r>
      <w:r>
        <w:rPr>
          <w:rFonts w:hint="eastAsia"/>
          <w:lang w:val="es-CR"/>
        </w:rPr>
        <w:t>哥斯达黎加旅游局实施的其他行动包括，对在哥斯达黎加境内提供服务的旅游公司进行无障碍情况检查，计划在</w:t>
      </w:r>
      <w:r>
        <w:rPr>
          <w:rFonts w:hint="eastAsia"/>
          <w:lang w:val="es-CR"/>
        </w:rPr>
        <w:t>2010</w:t>
      </w:r>
      <w:r>
        <w:rPr>
          <w:rFonts w:hint="eastAsia"/>
          <w:lang w:val="es-CR"/>
        </w:rPr>
        <w:t>年对</w:t>
      </w:r>
      <w:r>
        <w:rPr>
          <w:rFonts w:hint="eastAsia"/>
          <w:lang w:val="es-CR"/>
        </w:rPr>
        <w:t>80%</w:t>
      </w:r>
      <w:r>
        <w:rPr>
          <w:rFonts w:hint="eastAsia"/>
          <w:lang w:val="es-CR"/>
        </w:rPr>
        <w:t>的旅游公司进行检查，截止到同年七月份，已经完成了</w:t>
      </w:r>
      <w:r>
        <w:rPr>
          <w:rFonts w:hint="eastAsia"/>
          <w:lang w:val="es-CR"/>
        </w:rPr>
        <w:t>41.01%</w:t>
      </w:r>
      <w:r>
        <w:rPr>
          <w:rFonts w:hint="eastAsia"/>
          <w:lang w:val="es-CR"/>
        </w:rPr>
        <w:t>的检查任务，共计进行了</w:t>
      </w:r>
      <w:r>
        <w:rPr>
          <w:rFonts w:hint="eastAsia"/>
          <w:lang w:val="es-CR"/>
        </w:rPr>
        <w:t>121</w:t>
      </w:r>
      <w:r>
        <w:rPr>
          <w:rFonts w:hint="eastAsia"/>
          <w:lang w:val="es-CR"/>
        </w:rPr>
        <w:t>次检查。</w:t>
      </w:r>
    </w:p>
    <w:p w:rsidR="00CE4DFD" w:rsidRDefault="00CE4DFD">
      <w:pPr>
        <w:pStyle w:val="SingleTxtGC"/>
        <w:rPr>
          <w:rFonts w:hint="eastAsia"/>
          <w:lang w:val="es-CR"/>
        </w:rPr>
      </w:pPr>
      <w:r>
        <w:rPr>
          <w:lang w:val="es-CR"/>
        </w:rPr>
        <w:t xml:space="preserve">179.  </w:t>
      </w:r>
      <w:r>
        <w:rPr>
          <w:rFonts w:hint="eastAsia"/>
          <w:lang w:val="es-CR"/>
        </w:rPr>
        <w:t>在机构方面，各机构起草并通过了关于无障碍物理环境问题的机构政策，并在机构办公场所以及休闲娱乐场所实施了相应的行动，比如在和平公园修建残疾人卫生设施，对国家体育馆一层和二层的卫生设施和更衣室进行改造，以方便残疾人使用，对现有的残疾人通道进行维修。此外，目前正在弗赖哈内斯公园修建供残疾人住宿的简易木屋。</w:t>
      </w:r>
    </w:p>
    <w:p w:rsidR="00CE4DFD" w:rsidRDefault="00CE4DFD">
      <w:pPr>
        <w:pStyle w:val="SingleTxtGC"/>
        <w:rPr>
          <w:lang w:val="es-CR"/>
        </w:rPr>
      </w:pPr>
      <w:r>
        <w:rPr>
          <w:lang w:val="es-CR"/>
        </w:rPr>
        <w:t xml:space="preserve">180.  </w:t>
      </w:r>
      <w:r>
        <w:rPr>
          <w:rFonts w:hint="eastAsia"/>
          <w:lang w:val="es-CR"/>
        </w:rPr>
        <w:t>另外，需要强调指出的是，关于新建国家体育场的问题，无论是在设计中还是在施工中，都尽力满足所有无障碍方面的要求。为此，</w:t>
      </w:r>
      <w:r>
        <w:rPr>
          <w:rFonts w:hint="eastAsia"/>
          <w:lang w:val="es-MX"/>
        </w:rPr>
        <w:t>全国康复和特殊教育委员会与哥斯达黎加体育局建筑设计师和施工企业代表举行了两次会议，目的是提出体育场无障碍方面的建议，此外还对施工图纸提出了意见并进行了修改。在完成施工之后并在举行落成典礼之前对体育场进行了两次检查，在检查中就建筑本身的无障碍状况以及应当采取的改进措施提出了相关意见，今后将继续与体育场管理部门一起进行第二阶段的工作，</w:t>
      </w:r>
      <w:r>
        <w:rPr>
          <w:rFonts w:hint="eastAsia"/>
          <w:lang w:val="es-CR"/>
        </w:rPr>
        <w:t>并且对提出的意见进行跟踪。上述行动属于</w:t>
      </w:r>
      <w:r>
        <w:rPr>
          <w:rFonts w:hint="eastAsia"/>
          <w:lang w:val="es-MX"/>
        </w:rPr>
        <w:t>全国康复和特殊教育委员会监察工作范畴，之所有要在这里介绍这些工作，是为了使人们能够理解报告的内容。</w:t>
      </w:r>
    </w:p>
    <w:p w:rsidR="00CE4DFD" w:rsidRDefault="00CE4DFD">
      <w:pPr>
        <w:pStyle w:val="SingleTxtGC"/>
        <w:rPr>
          <w:lang w:val="es-CR"/>
        </w:rPr>
      </w:pPr>
      <w:r>
        <w:rPr>
          <w:lang w:val="es-CR"/>
        </w:rPr>
        <w:t xml:space="preserve">181.  </w:t>
      </w:r>
      <w:r>
        <w:rPr>
          <w:rFonts w:hint="eastAsia"/>
          <w:lang w:val="es-CR"/>
        </w:rPr>
        <w:t>关于实施上述行动所需的投资问题，已经向特殊奥林匹克体育协会提供了相应的资金，该协会负责开展针对各类残疾运动员的体育项目以及参加国际比赛，这些资金用在了出国旅行和购买体育服装方面。</w:t>
      </w:r>
    </w:p>
    <w:p w:rsidR="00CE4DFD" w:rsidRDefault="00CE4DFD">
      <w:pPr>
        <w:pStyle w:val="SingleTxtGC"/>
        <w:rPr>
          <w:lang w:val="es-CR"/>
        </w:rPr>
      </w:pPr>
      <w:r>
        <w:rPr>
          <w:lang w:val="es-CR"/>
        </w:rPr>
        <w:t xml:space="preserve">182.  </w:t>
      </w:r>
      <w:r>
        <w:rPr>
          <w:rFonts w:hint="eastAsia"/>
          <w:lang w:val="es-CR"/>
        </w:rPr>
        <w:t>在中美洲地峡体育和娱乐理事会的推动下，哥斯达黎加参加了中美洲残疾大学生运动会。首届赛事于</w:t>
      </w:r>
      <w:r>
        <w:rPr>
          <w:rFonts w:hint="eastAsia"/>
          <w:lang w:val="es-CR"/>
        </w:rPr>
        <w:t>2007</w:t>
      </w:r>
      <w:r>
        <w:rPr>
          <w:rFonts w:hint="eastAsia"/>
          <w:lang w:val="es-CR"/>
        </w:rPr>
        <w:t>年在危地马拉举行，哥斯达黎加派出一个由八人组成的代表团参加了该届运动会。第二届运动会于</w:t>
      </w:r>
      <w:r>
        <w:rPr>
          <w:rFonts w:hint="eastAsia"/>
          <w:lang w:val="es-CR"/>
        </w:rPr>
        <w:t>2008</w:t>
      </w:r>
      <w:r>
        <w:rPr>
          <w:rFonts w:hint="eastAsia"/>
          <w:lang w:val="es-CR"/>
        </w:rPr>
        <w:t>年在尼加拉瓜举行，哥斯达黎加代表团人数达到</w:t>
      </w:r>
      <w:r>
        <w:rPr>
          <w:rFonts w:hint="eastAsia"/>
          <w:lang w:val="es-CR"/>
        </w:rPr>
        <w:t>35</w:t>
      </w:r>
      <w:r>
        <w:rPr>
          <w:rFonts w:hint="eastAsia"/>
          <w:lang w:val="es-CR"/>
        </w:rPr>
        <w:t>人，在此之前，我们进行了选拔赛，最终确定了由</w:t>
      </w:r>
      <w:r>
        <w:rPr>
          <w:rFonts w:hint="eastAsia"/>
          <w:lang w:val="es-CR"/>
        </w:rPr>
        <w:t>80</w:t>
      </w:r>
      <w:r>
        <w:rPr>
          <w:rFonts w:hint="eastAsia"/>
          <w:lang w:val="es-CR"/>
        </w:rPr>
        <w:t>名大学生参加的队伍，第三届比赛计划于</w:t>
      </w:r>
      <w:r>
        <w:rPr>
          <w:rFonts w:hint="eastAsia"/>
          <w:lang w:val="es-CR"/>
        </w:rPr>
        <w:t>2010</w:t>
      </w:r>
      <w:r>
        <w:rPr>
          <w:rFonts w:hint="eastAsia"/>
          <w:lang w:val="es-CR"/>
        </w:rPr>
        <w:t>年</w:t>
      </w:r>
      <w:r>
        <w:rPr>
          <w:rFonts w:hint="eastAsia"/>
          <w:lang w:val="es-CR"/>
        </w:rPr>
        <w:t>11</w:t>
      </w:r>
      <w:r>
        <w:rPr>
          <w:rFonts w:hint="eastAsia"/>
          <w:lang w:val="es-CR"/>
        </w:rPr>
        <w:t>月在巴拿马举行。</w:t>
      </w:r>
    </w:p>
    <w:p w:rsidR="00CE4DFD" w:rsidRDefault="00CE4DFD">
      <w:pPr>
        <w:pStyle w:val="SingleTxtGC"/>
        <w:rPr>
          <w:lang w:val="es-CR"/>
        </w:rPr>
      </w:pPr>
      <w:r>
        <w:rPr>
          <w:lang w:val="es-CR"/>
        </w:rPr>
        <w:t xml:space="preserve">183.  </w:t>
      </w:r>
      <w:r>
        <w:rPr>
          <w:rFonts w:hint="eastAsia"/>
          <w:lang w:val="es-CR"/>
        </w:rPr>
        <w:t>总体来说，为保障残疾人参与文化生活、娱乐、休闲和体育活动，已实现投资大约超过</w:t>
      </w:r>
      <w:r>
        <w:rPr>
          <w:lang w:val="es-CR"/>
        </w:rPr>
        <w:t>152,300,000</w:t>
      </w:r>
      <w:r>
        <w:rPr>
          <w:rFonts w:hint="eastAsia"/>
          <w:lang w:val="es-CR"/>
        </w:rPr>
        <w:t>.</w:t>
      </w:r>
      <w:r>
        <w:rPr>
          <w:lang w:val="es-CR"/>
        </w:rPr>
        <w:t>00</w:t>
      </w:r>
      <w:r>
        <w:rPr>
          <w:rFonts w:hint="eastAsia"/>
          <w:lang w:val="es-CR"/>
        </w:rPr>
        <w:t>科朗，折合</w:t>
      </w:r>
      <w:r>
        <w:rPr>
          <w:lang w:val="es-CR"/>
        </w:rPr>
        <w:t>301,637</w:t>
      </w:r>
      <w:r>
        <w:rPr>
          <w:rFonts w:hint="eastAsia"/>
          <w:lang w:val="es-CR"/>
        </w:rPr>
        <w:t>.</w:t>
      </w:r>
      <w:r>
        <w:rPr>
          <w:lang w:val="es-CR"/>
        </w:rPr>
        <w:t>92</w:t>
      </w:r>
      <w:r>
        <w:rPr>
          <w:rFonts w:hint="eastAsia"/>
          <w:lang w:val="es-CR"/>
        </w:rPr>
        <w:t>美元。</w:t>
      </w:r>
    </w:p>
    <w:p w:rsidR="00CE4DFD" w:rsidRDefault="00CE4DFD">
      <w:pPr>
        <w:pStyle w:val="SingleTxtGC"/>
        <w:rPr>
          <w:lang w:val="es-MX"/>
        </w:rPr>
      </w:pPr>
      <w:r>
        <w:rPr>
          <w:lang w:val="es-MX"/>
        </w:rPr>
        <w:t xml:space="preserve">184.  </w:t>
      </w:r>
      <w:r>
        <w:rPr>
          <w:rFonts w:hint="eastAsia"/>
          <w:lang w:val="es-MX"/>
        </w:rPr>
        <w:t>关于残疾人在各地参与文化生活、娱乐、休闲和体育活动的情况，根据地方政府的报告，只有为数不多已经完成的行动，其中值得一提的是：关于促进参与以及无障碍物理环境的几项行动。</w:t>
      </w:r>
    </w:p>
    <w:p w:rsidR="00CE4DFD" w:rsidRDefault="00CE4DFD">
      <w:pPr>
        <w:pStyle w:val="SingleTxtGC"/>
        <w:rPr>
          <w:lang w:val="es-CR"/>
        </w:rPr>
      </w:pPr>
      <w:r>
        <w:rPr>
          <w:lang w:val="en-GB"/>
        </w:rPr>
        <w:t xml:space="preserve">185.  </w:t>
      </w:r>
      <w:r>
        <w:rPr>
          <w:rFonts w:hint="eastAsia"/>
          <w:lang w:val="en-GB"/>
        </w:rPr>
        <w:t>关于促进残疾人参与的问题，主要活动包括，通过残疾人协会和各县市体委组织文体活动，在某些情况下还会提供交通便利，为的是让残疾人能够参加老年运动会和特奥会。不过，并没有提供关于活动数量以及残疾人参加人数的资料。</w:t>
      </w:r>
    </w:p>
    <w:p w:rsidR="00CE4DFD" w:rsidRDefault="00CE4DFD">
      <w:pPr>
        <w:pStyle w:val="SingleTxtGC"/>
        <w:rPr>
          <w:lang w:val="es-CR"/>
        </w:rPr>
      </w:pPr>
      <w:r>
        <w:rPr>
          <w:lang w:val="en-GB"/>
        </w:rPr>
        <w:t xml:space="preserve">186.  </w:t>
      </w:r>
      <w:r>
        <w:rPr>
          <w:rFonts w:hint="eastAsia"/>
          <w:lang w:val="en-GB"/>
        </w:rPr>
        <w:t>另一方面，为了让残疾人融入并参与丰富多彩的活动，无障碍物理环境也是一项重要因素，为此实施的相关行动包括，对公共场所</w:t>
      </w:r>
      <w:r>
        <w:rPr>
          <w:rFonts w:hint="eastAsia"/>
          <w:lang w:val="en-GB"/>
        </w:rPr>
        <w:t>(</w:t>
      </w:r>
      <w:r>
        <w:rPr>
          <w:rFonts w:hint="eastAsia"/>
          <w:lang w:val="en-GB"/>
        </w:rPr>
        <w:t>剧院、阶段教室、公园、博物馆建筑、城市图书馆、社区活动站、文化宫、自行车道、综合运动场、林阴道</w:t>
      </w:r>
      <w:r>
        <w:rPr>
          <w:rFonts w:hint="eastAsia"/>
          <w:lang w:val="en-GB"/>
        </w:rPr>
        <w:t>)</w:t>
      </w:r>
      <w:r>
        <w:rPr>
          <w:rFonts w:hint="eastAsia"/>
          <w:lang w:val="en-GB"/>
        </w:rPr>
        <w:t>进行调整，检查这些场所是否符合无障碍物理环境标准。就这一问题，某些市政府对社区体育和娱乐场馆的建设执行了无障碍标准；为改造教育和体育设施提供支持，以确保这些设施具备无障碍条件。</w:t>
      </w:r>
    </w:p>
    <w:p w:rsidR="00CE4DFD" w:rsidRDefault="00CE4DFD">
      <w:pPr>
        <w:pStyle w:val="H23GC"/>
      </w:pPr>
      <w:r>
        <w:tab/>
        <w:t>2.</w:t>
      </w:r>
      <w:r>
        <w:rPr>
          <w:rFonts w:ascii="SimSun" w:eastAsia="SimSun" w:hAnsi="SimSun" w:cs="SimSun" w:hint="eastAsia"/>
        </w:rPr>
        <w:tab/>
      </w:r>
      <w:bookmarkStart w:id="47" w:name="_Toc352758993"/>
      <w:r>
        <w:rPr>
          <w:rFonts w:hint="eastAsia"/>
        </w:rPr>
        <w:t>有待采取的行动、制约因素和改进措施</w:t>
      </w:r>
      <w:bookmarkEnd w:id="47"/>
    </w:p>
    <w:p w:rsidR="00CE4DFD" w:rsidRDefault="00CE4DFD">
      <w:pPr>
        <w:pStyle w:val="SingleTxtGC"/>
        <w:rPr>
          <w:lang w:val="es-CR"/>
        </w:rPr>
      </w:pPr>
      <w:r>
        <w:rPr>
          <w:lang w:val="es-CR"/>
        </w:rPr>
        <w:t xml:space="preserve">187.  </w:t>
      </w:r>
      <w:r>
        <w:rPr>
          <w:rFonts w:hint="eastAsia"/>
          <w:lang w:val="es-CR"/>
        </w:rPr>
        <w:t>在全国范围内需要采取的行动包括，在哥斯达黎加体育局的七个游乐场修建更多样式的卫生设施，根据社会发展和家庭津贴基金会的收入情况，在</w:t>
      </w:r>
      <w:r>
        <w:rPr>
          <w:rFonts w:hint="eastAsia"/>
          <w:lang w:val="es-CR"/>
        </w:rPr>
        <w:t>2010</w:t>
      </w:r>
      <w:r>
        <w:rPr>
          <w:rFonts w:hint="eastAsia"/>
          <w:lang w:val="es-CR"/>
        </w:rPr>
        <w:t>年的时候向特殊奥林匹克协会划拨资金，完成国家体育场的建设，制定一份更系统和更长久的项目方案，以便为残疾人参与文娱活动创造条件。</w:t>
      </w:r>
    </w:p>
    <w:p w:rsidR="00CE4DFD" w:rsidRDefault="00CE4DFD">
      <w:pPr>
        <w:pStyle w:val="SingleTxtGC"/>
        <w:rPr>
          <w:lang w:val="es-CR"/>
        </w:rPr>
      </w:pPr>
      <w:r>
        <w:rPr>
          <w:lang w:val="es-CR"/>
        </w:rPr>
        <w:t xml:space="preserve">188.  </w:t>
      </w:r>
      <w:r>
        <w:rPr>
          <w:rFonts w:hint="eastAsia"/>
          <w:lang w:val="es-CR"/>
        </w:rPr>
        <w:t>为落实董事会方面提出的无障碍政策，城市发展局有必要批准相应的行动方案，与</w:t>
      </w:r>
      <w:r>
        <w:rPr>
          <w:rFonts w:hint="eastAsia"/>
          <w:lang w:val="es-MX"/>
        </w:rPr>
        <w:t>全国康复和特殊教育委员会联合组织针对</w:t>
      </w:r>
      <w:r>
        <w:rPr>
          <w:rFonts w:hint="eastAsia"/>
          <w:lang w:val="en-GB"/>
        </w:rPr>
        <w:t>无障碍和残疾事务委员会的培训和咨询工作，在办公大楼每层各修建一个残疾人卫生间，在办公大楼东门加装一套自动开门系统，安装无障碍标志，改造和修建出入口坡道，在接待处更换适合残疾人使用的家具，至少安装一部电梯，以方便残疾人使用，按照相关标准和规定，坚持信息更新工作。</w:t>
      </w:r>
    </w:p>
    <w:p w:rsidR="00CE4DFD" w:rsidRDefault="00CE4DFD">
      <w:pPr>
        <w:pStyle w:val="SingleTxtGC"/>
        <w:rPr>
          <w:lang w:val="es-CR"/>
        </w:rPr>
      </w:pPr>
      <w:r>
        <w:rPr>
          <w:lang w:val="es-CR"/>
        </w:rPr>
        <w:t xml:space="preserve">189.  </w:t>
      </w:r>
      <w:r>
        <w:rPr>
          <w:rFonts w:hint="eastAsia"/>
          <w:lang w:val="es-CR"/>
        </w:rPr>
        <w:t>关于无障碍获取信息问题，需要采用必要的技术，让所有公众都能够无障碍登陆城市发展局的官方网站，把正在实施互联网项目与市政发展项目结合在一起，在相关用户提出要求的情况下，用盲文抄录该机构的信息资料，与国家远程教育大学以及内部培训委员会联合开展针对工作人员的手语培训活动，另外，就无障碍问题，对负责新闻工作的人员、领导人员、编辑委员会主任和委员们进行培训并提供咨询服务。</w:t>
      </w:r>
    </w:p>
    <w:p w:rsidR="00CE4DFD" w:rsidRDefault="00CE4DFD">
      <w:pPr>
        <w:pStyle w:val="SingleTxtGC"/>
        <w:rPr>
          <w:lang w:val="es-CR"/>
        </w:rPr>
      </w:pPr>
      <w:r>
        <w:rPr>
          <w:lang w:val="en-GB"/>
        </w:rPr>
        <w:t xml:space="preserve">190.  </w:t>
      </w:r>
      <w:r>
        <w:rPr>
          <w:rFonts w:hint="eastAsia"/>
          <w:lang w:val="en-GB"/>
        </w:rPr>
        <w:t>对于各地方而言，需要开展的工作主要包括，为促进残疾人参加文化活动，与各县市体育委员会联合采取更为具体的行动。</w:t>
      </w:r>
    </w:p>
    <w:p w:rsidR="00CE4DFD" w:rsidRDefault="00CE4DFD">
      <w:pPr>
        <w:pStyle w:val="SingleTxtGC"/>
        <w:rPr>
          <w:lang w:val="es-CR"/>
        </w:rPr>
      </w:pPr>
      <w:r>
        <w:rPr>
          <w:lang w:val="en-GB"/>
        </w:rPr>
        <w:t xml:space="preserve">191.  </w:t>
      </w:r>
      <w:r>
        <w:rPr>
          <w:rFonts w:hint="eastAsia"/>
          <w:lang w:val="en-GB"/>
        </w:rPr>
        <w:t>应当拓展无障碍理念，不局限于无障碍物理环境方面，还要涉及诸如信息、交通以及信息技术等其他方面。也就是说，需要在相关活动场所安装无障碍标识，以及制定行动计划，使各县市体育娱乐设施存在的无障碍问题得到缓解。</w:t>
      </w:r>
    </w:p>
    <w:p w:rsidR="00CE4DFD" w:rsidRDefault="00CE4DFD">
      <w:pPr>
        <w:pStyle w:val="SingleTxtGC"/>
        <w:rPr>
          <w:lang w:val="es-CR"/>
        </w:rPr>
      </w:pPr>
      <w:r>
        <w:rPr>
          <w:lang w:val="en-GB"/>
        </w:rPr>
        <w:t xml:space="preserve">192.  </w:t>
      </w:r>
      <w:r>
        <w:rPr>
          <w:rFonts w:hint="eastAsia"/>
          <w:lang w:val="en-GB"/>
        </w:rPr>
        <w:t>还有一项需要完成的任务是，促进无障碍旅游，特别是在这方面需求量较大的地区，可以借助旅游公司的力量，为残疾人提供享受无障碍旅游的机会。</w:t>
      </w:r>
    </w:p>
    <w:p w:rsidR="00CE4DFD" w:rsidRDefault="00CE4DFD">
      <w:pPr>
        <w:pStyle w:val="SingleTxtGC"/>
        <w:rPr>
          <w:lang w:val="es-CR"/>
        </w:rPr>
      </w:pPr>
      <w:r>
        <w:rPr>
          <w:lang w:val="es-CR"/>
        </w:rPr>
        <w:t xml:space="preserve">193.  </w:t>
      </w:r>
      <w:r>
        <w:rPr>
          <w:rFonts w:hint="eastAsia"/>
          <w:lang w:val="es-CR"/>
        </w:rPr>
        <w:t>在执行《公约》的过程中，存在预算和人力资源方面的制约因素，此外还包括专题培训方面的问题，为了克服这些困难，人们提出把一些专项活动纳入到机构工作计划当中，划拨下一期的预算，把这些问题纳入到工作日程当中，与</w:t>
      </w:r>
      <w:r>
        <w:rPr>
          <w:rFonts w:hint="eastAsia"/>
          <w:lang w:val="es-MX"/>
        </w:rPr>
        <w:t>全国康复和特殊教育委员会联合开展相应的培训活动，确定机构预算重点，设立无障碍方面的专项预算。</w:t>
      </w:r>
    </w:p>
    <w:p w:rsidR="00CE4DFD" w:rsidRDefault="00CE4DFD">
      <w:pPr>
        <w:pStyle w:val="SingleTxtGC"/>
        <w:rPr>
          <w:lang w:val="es-CR"/>
        </w:rPr>
      </w:pPr>
      <w:r>
        <w:rPr>
          <w:lang w:val="en-GB"/>
        </w:rPr>
        <w:t xml:space="preserve">194.  </w:t>
      </w:r>
      <w:r>
        <w:rPr>
          <w:rFonts w:hint="eastAsia"/>
          <w:lang w:val="en-GB"/>
        </w:rPr>
        <w:t>我们还面临着规划不合理的问题，具体来说就是，缺少针对无障碍项目的行动和预算内容，这种情况与市政当局的态度有直接关系，因为市政当局缺乏把残疾人需要当作头等大事的政治意愿。</w:t>
      </w:r>
    </w:p>
    <w:p w:rsidR="00CE4DFD" w:rsidRDefault="00CE4DFD">
      <w:pPr>
        <w:pStyle w:val="SingleTxtGC"/>
        <w:rPr>
          <w:lang w:val="es-CR"/>
        </w:rPr>
      </w:pPr>
      <w:r>
        <w:rPr>
          <w:lang w:val="en-GB"/>
        </w:rPr>
        <w:t xml:space="preserve">195.  </w:t>
      </w:r>
      <w:r>
        <w:rPr>
          <w:rFonts w:hint="eastAsia"/>
          <w:lang w:val="en-GB"/>
        </w:rPr>
        <w:t>与休闲娱乐和体育运动相关的部分组织以及地方政府官员，对残疾人权利以及无障碍和残疾方面的法律法规知之甚少。</w:t>
      </w:r>
    </w:p>
    <w:p w:rsidR="00CE4DFD" w:rsidRDefault="00CE4DFD">
      <w:pPr>
        <w:pStyle w:val="SingleTxtGC"/>
        <w:rPr>
          <w:lang w:val="en-GB"/>
        </w:rPr>
      </w:pPr>
      <w:r>
        <w:rPr>
          <w:lang w:val="en-GB"/>
        </w:rPr>
        <w:t xml:space="preserve">196.  </w:t>
      </w:r>
      <w:r>
        <w:rPr>
          <w:rFonts w:hint="eastAsia"/>
          <w:lang w:val="en-GB"/>
        </w:rPr>
        <w:t>需要指出的是，在执行《公约》时，也就是执行《公约》第三十条的相关规定时，我们遇到的一个严重问题是，</w:t>
      </w:r>
      <w:r>
        <w:rPr>
          <w:rFonts w:hint="eastAsia"/>
          <w:lang w:val="en-GB"/>
        </w:rPr>
        <w:t>2009</w:t>
      </w:r>
      <w:r>
        <w:rPr>
          <w:rFonts w:hint="eastAsia"/>
          <w:lang w:val="en-GB"/>
        </w:rPr>
        <w:t>年</w:t>
      </w:r>
      <w:r>
        <w:rPr>
          <w:rFonts w:hint="eastAsia"/>
          <w:lang w:val="en-GB"/>
        </w:rPr>
        <w:t>9</w:t>
      </w:r>
      <w:r>
        <w:rPr>
          <w:rFonts w:hint="eastAsia"/>
          <w:lang w:val="en-GB"/>
        </w:rPr>
        <w:t>月颁布的《第</w:t>
      </w:r>
      <w:r>
        <w:rPr>
          <w:lang w:val="en-GB"/>
        </w:rPr>
        <w:t>35479-MP-MEIC-H-TUR</w:t>
      </w:r>
      <w:r>
        <w:rPr>
          <w:rFonts w:hint="eastAsia"/>
          <w:lang w:val="en-GB"/>
        </w:rPr>
        <w:t>号命令》，允许宾馆酒店不必把所有房间都安排成无障碍房间，这违反了哥斯达黎加的法律规定，比如《残疾人机会平等法》</w:t>
      </w:r>
      <w:r>
        <w:rPr>
          <w:rFonts w:hint="eastAsia"/>
          <w:lang w:val="en-GB"/>
        </w:rPr>
        <w:t>(</w:t>
      </w:r>
      <w:r>
        <w:rPr>
          <w:rFonts w:hint="eastAsia"/>
          <w:lang w:val="en-GB"/>
        </w:rPr>
        <w:t>第</w:t>
      </w:r>
      <w:r>
        <w:rPr>
          <w:rFonts w:hint="eastAsia"/>
          <w:lang w:val="en-GB"/>
        </w:rPr>
        <w:t>7600</w:t>
      </w:r>
      <w:r>
        <w:rPr>
          <w:rFonts w:hint="eastAsia"/>
          <w:lang w:val="en-GB"/>
        </w:rPr>
        <w:t>号法律</w:t>
      </w:r>
      <w:r>
        <w:rPr>
          <w:rFonts w:hint="eastAsia"/>
          <w:lang w:val="en-GB"/>
        </w:rPr>
        <w:t>)</w:t>
      </w:r>
      <w:r>
        <w:rPr>
          <w:rFonts w:hint="eastAsia"/>
          <w:lang w:val="en-GB"/>
        </w:rPr>
        <w:t>的实施条例第</w:t>
      </w:r>
      <w:r>
        <w:rPr>
          <w:rFonts w:hint="eastAsia"/>
          <w:lang w:val="en-GB"/>
        </w:rPr>
        <w:t>154</w:t>
      </w:r>
      <w:r>
        <w:rPr>
          <w:rFonts w:hint="eastAsia"/>
          <w:lang w:val="en-GB"/>
        </w:rPr>
        <w:t>条就规定，所有设施都必须具备无障碍功能。</w:t>
      </w:r>
      <w:r>
        <w:rPr>
          <w:rStyle w:val="FootnoteReference"/>
        </w:rPr>
        <w:footnoteReference w:id="4"/>
      </w:r>
      <w:r>
        <w:rPr>
          <w:rStyle w:val="FootnoteReference"/>
        </w:rPr>
        <w:t xml:space="preserve"> </w:t>
      </w:r>
      <w:r>
        <w:rPr>
          <w:rFonts w:hint="eastAsia"/>
          <w:lang w:val="en-GB"/>
        </w:rPr>
        <w:t>在这种情况下，本来要求</w:t>
      </w:r>
      <w:r>
        <w:rPr>
          <w:rFonts w:hint="eastAsia"/>
          <w:lang w:val="en-GB"/>
        </w:rPr>
        <w:t>100%</w:t>
      </w:r>
      <w:r>
        <w:rPr>
          <w:rFonts w:hint="eastAsia"/>
          <w:lang w:val="en-GB"/>
        </w:rPr>
        <w:t>是无障碍房间，现在变成了只要求有很少数的无障碍房间，举例来说，规模为</w:t>
      </w:r>
      <w:r>
        <w:rPr>
          <w:rFonts w:hint="eastAsia"/>
          <w:lang w:val="en-GB"/>
        </w:rPr>
        <w:t>1</w:t>
      </w:r>
      <w:r>
        <w:rPr>
          <w:rFonts w:hint="eastAsia"/>
          <w:lang w:val="en-GB"/>
        </w:rPr>
        <w:t>到</w:t>
      </w:r>
      <w:r>
        <w:rPr>
          <w:rFonts w:hint="eastAsia"/>
          <w:lang w:val="en-GB"/>
        </w:rPr>
        <w:t>25</w:t>
      </w:r>
      <w:r>
        <w:rPr>
          <w:rFonts w:hint="eastAsia"/>
          <w:lang w:val="en-GB"/>
        </w:rPr>
        <w:t>个房间的宾馆，只需要有一个房间必须是无障碍房间；如果宾馆有</w:t>
      </w:r>
      <w:r>
        <w:rPr>
          <w:rFonts w:hint="eastAsia"/>
          <w:lang w:val="en-GB"/>
        </w:rPr>
        <w:t>26</w:t>
      </w:r>
      <w:r>
        <w:rPr>
          <w:rFonts w:hint="eastAsia"/>
          <w:lang w:val="en-GB"/>
        </w:rPr>
        <w:t>到</w:t>
      </w:r>
      <w:r>
        <w:rPr>
          <w:rFonts w:hint="eastAsia"/>
          <w:lang w:val="en-GB"/>
        </w:rPr>
        <w:t>50</w:t>
      </w:r>
      <w:r>
        <w:rPr>
          <w:rFonts w:hint="eastAsia"/>
          <w:lang w:val="en-GB"/>
        </w:rPr>
        <w:t>个房间，就要设两个无障碍房间；如果宾馆有</w:t>
      </w:r>
      <w:r>
        <w:rPr>
          <w:rFonts w:hint="eastAsia"/>
          <w:lang w:val="en-GB"/>
        </w:rPr>
        <w:t>400</w:t>
      </w:r>
      <w:r>
        <w:rPr>
          <w:rFonts w:hint="eastAsia"/>
          <w:lang w:val="en-GB"/>
        </w:rPr>
        <w:t>个房间，只有八个房间必须是无障碍房间；对于那些有</w:t>
      </w:r>
      <w:r>
        <w:rPr>
          <w:rFonts w:hint="eastAsia"/>
          <w:lang w:val="en-GB"/>
        </w:rPr>
        <w:t>501</w:t>
      </w:r>
      <w:r>
        <w:rPr>
          <w:rFonts w:hint="eastAsia"/>
          <w:lang w:val="en-GB"/>
        </w:rPr>
        <w:t>到</w:t>
      </w:r>
      <w:r>
        <w:rPr>
          <w:rFonts w:hint="eastAsia"/>
          <w:lang w:val="en-GB"/>
        </w:rPr>
        <w:t>1,000</w:t>
      </w:r>
      <w:r>
        <w:rPr>
          <w:rFonts w:hint="eastAsia"/>
          <w:lang w:val="en-GB"/>
        </w:rPr>
        <w:t>个房间的宾馆，只有</w:t>
      </w:r>
      <w:r>
        <w:rPr>
          <w:rFonts w:hint="eastAsia"/>
          <w:lang w:val="en-GB"/>
        </w:rPr>
        <w:t>2%</w:t>
      </w:r>
      <w:r>
        <w:rPr>
          <w:rFonts w:hint="eastAsia"/>
          <w:lang w:val="en-GB"/>
        </w:rPr>
        <w:t>的房间必须是无障碍房间。</w:t>
      </w:r>
    </w:p>
    <w:p w:rsidR="00CE4DFD" w:rsidRDefault="00CE4DFD">
      <w:pPr>
        <w:pStyle w:val="SingleTxtGC"/>
        <w:rPr>
          <w:lang w:val="es-CR"/>
        </w:rPr>
      </w:pPr>
      <w:r>
        <w:rPr>
          <w:lang w:val="en-GB"/>
        </w:rPr>
        <w:t xml:space="preserve">197.  </w:t>
      </w:r>
      <w:r>
        <w:rPr>
          <w:rFonts w:hint="eastAsia"/>
          <w:lang w:val="en-GB"/>
        </w:rPr>
        <w:t>地方各界提出的措施进一步响应了需要落实的倡议或思想，因此，为克服我们面临的制约因素，应当更加注重执行提出的措施，而不是尚未采取的行动；但是，在此我们要尊重地方政府汇报的情况。其中提出的主要“措施”包括：</w:t>
      </w:r>
    </w:p>
    <w:p w:rsidR="00CE4DFD" w:rsidRDefault="00CE4DFD">
      <w:pPr>
        <w:pStyle w:val="SingleTxtGC"/>
        <w:rPr>
          <w:rFonts w:hint="eastAsia"/>
          <w:lang w:val="es-CR"/>
        </w:rPr>
      </w:pPr>
      <w:r>
        <w:rPr>
          <w:lang w:val="en-GB"/>
        </w:rPr>
        <w:t xml:space="preserve">198.  </w:t>
      </w:r>
      <w:r>
        <w:rPr>
          <w:rFonts w:hint="eastAsia"/>
          <w:lang w:val="en-GB"/>
        </w:rPr>
        <w:t>应当针对民众和地方政府管理层开展工作以清除建筑障碍和态度上的障碍；对市政府以及公私联营机构的收入情况进行跟踪，目的是建立关于残疾人权利的公共意识，以及解决缺少资金的问题；设立机构间协调委员会，可以把落实残疾人权利问题纳入到县市工作日程当中，并开展相关工作。</w:t>
      </w:r>
    </w:p>
    <w:p w:rsidR="00CE4DFD" w:rsidRDefault="00CE4DFD">
      <w:pPr>
        <w:pStyle w:val="H23GC"/>
      </w:pPr>
      <w:r>
        <w:tab/>
        <w:t>3.</w:t>
      </w:r>
      <w:r>
        <w:rPr>
          <w:rFonts w:ascii="SimSun" w:eastAsia="SimSun" w:hAnsi="SimSun" w:cs="SimSun" w:hint="eastAsia"/>
        </w:rPr>
        <w:tab/>
      </w:r>
      <w:bookmarkStart w:id="48" w:name="_Toc352758994"/>
      <w:r>
        <w:t>民间社会的意见</w:t>
      </w:r>
      <w:bookmarkEnd w:id="48"/>
    </w:p>
    <w:p w:rsidR="00CE4DFD" w:rsidRDefault="00CE4DFD">
      <w:pPr>
        <w:pStyle w:val="SingleTxtGC"/>
        <w:rPr>
          <w:lang w:val="es-CR"/>
        </w:rPr>
      </w:pPr>
      <w:r>
        <w:rPr>
          <w:lang w:val="es-CR"/>
        </w:rPr>
        <w:t xml:space="preserve">199.  </w:t>
      </w:r>
      <w:r>
        <w:rPr>
          <w:rFonts w:hint="eastAsia"/>
          <w:lang w:val="es-CR"/>
        </w:rPr>
        <w:t>民间社会根据哥斯达黎加体育局和各个地方政府汇报的内容发表了意见，其中未涉及哥斯达黎加旅游局方面的情况，因为该机构没有及时向协商会议提交资料。</w:t>
      </w:r>
    </w:p>
    <w:p w:rsidR="00CE4DFD" w:rsidRDefault="00CE4DFD">
      <w:pPr>
        <w:pStyle w:val="SingleTxtGC"/>
        <w:rPr>
          <w:lang w:val="es-CR"/>
        </w:rPr>
      </w:pPr>
      <w:r>
        <w:rPr>
          <w:lang w:val="en-GB"/>
        </w:rPr>
        <w:t xml:space="preserve">200.  </w:t>
      </w:r>
      <w:r>
        <w:rPr>
          <w:rFonts w:hint="eastAsia"/>
          <w:lang w:val="en-GB"/>
        </w:rPr>
        <w:t>民间社会的主要意见表明，有必要为残疾人享有文化权利创造更大的空间，特别是在离哥斯达黎加中部地区较为偏远的社区，因为在这些地方，残疾人很少有机会参与文化活动，此外，应当鼓励残疾人通过特定艺术表现方式进行文化展示。</w:t>
      </w:r>
    </w:p>
    <w:p w:rsidR="00CE4DFD" w:rsidRDefault="00CE4DFD">
      <w:pPr>
        <w:pStyle w:val="SingleTxtGC"/>
        <w:rPr>
          <w:lang w:val="es-CR"/>
        </w:rPr>
      </w:pPr>
      <w:r>
        <w:rPr>
          <w:lang w:val="en-GB"/>
        </w:rPr>
        <w:t xml:space="preserve">201.  </w:t>
      </w:r>
      <w:r>
        <w:rPr>
          <w:rFonts w:hint="eastAsia"/>
          <w:lang w:val="en-GB"/>
        </w:rPr>
        <w:t>应当完善并制定新的行动措施，旨在促进无障碍旅游的发展，例如，鼓励残疾人就业以及创造更大的包容空间，还应当鼓励人们创造残疾人项目，以便残疾人可以创造自己的旅游项目。</w:t>
      </w:r>
    </w:p>
    <w:p w:rsidR="00CE4DFD" w:rsidRDefault="00CE4DFD">
      <w:pPr>
        <w:pStyle w:val="SingleTxtGC"/>
        <w:rPr>
          <w:lang w:val="es-CR"/>
        </w:rPr>
      </w:pPr>
      <w:r>
        <w:rPr>
          <w:lang w:val="en-GB"/>
        </w:rPr>
        <w:t xml:space="preserve">202.  </w:t>
      </w:r>
      <w:r>
        <w:rPr>
          <w:rFonts w:hint="eastAsia"/>
          <w:lang w:val="en-GB"/>
        </w:rPr>
        <w:t>在政策方面，民间社会表示，哥斯达黎加还没有一项包容性体育政策，而特殊奥林匹克运动会仅仅着眼于特定的残疾人群。</w:t>
      </w:r>
    </w:p>
    <w:p w:rsidR="00CE4DFD" w:rsidRDefault="00CE4DFD">
      <w:pPr>
        <w:pStyle w:val="SingleTxtGC"/>
        <w:rPr>
          <w:lang w:val="es-CR"/>
        </w:rPr>
      </w:pPr>
      <w:r>
        <w:rPr>
          <w:lang w:val="en-GB"/>
        </w:rPr>
        <w:t xml:space="preserve">203.  </w:t>
      </w:r>
      <w:r>
        <w:rPr>
          <w:rFonts w:hint="eastAsia"/>
          <w:lang w:val="en-GB"/>
        </w:rPr>
        <w:t>关于促进残疾人参与文化娱乐活动的信息和宣传方面，民间社会表示，存在缺少相关活动信息的问题，并且需要为残疾人创造更大的休闲娱乐空间，为此，各地方体育委员会应当开展残疾人可以参与的活动，此外，还要把这些问题作为残疾人社会发展的重要组成部分纳入到工作当中。</w:t>
      </w:r>
    </w:p>
    <w:p w:rsidR="00CE4DFD" w:rsidRDefault="00CE4DFD">
      <w:pPr>
        <w:pStyle w:val="H1GC"/>
        <w:rPr>
          <w:rFonts w:hint="eastAsia"/>
        </w:rPr>
      </w:pPr>
      <w:bookmarkStart w:id="49" w:name="_Toc287347912"/>
      <w:r>
        <w:tab/>
        <w:t>H.</w:t>
      </w:r>
      <w:bookmarkEnd w:id="49"/>
      <w:r>
        <w:rPr>
          <w:rFonts w:ascii="SimSun" w:eastAsia="SimSun" w:hAnsi="SimSun" w:cs="SimSun" w:hint="eastAsia"/>
        </w:rPr>
        <w:tab/>
      </w:r>
      <w:bookmarkStart w:id="50" w:name="_Toc352758995"/>
      <w:r>
        <w:rPr>
          <w:rFonts w:hint="eastAsia"/>
        </w:rPr>
        <w:t>国际合作</w:t>
      </w:r>
      <w:bookmarkEnd w:id="50"/>
    </w:p>
    <w:p w:rsidR="00CE4DFD" w:rsidRDefault="00CE4DFD">
      <w:pPr>
        <w:pStyle w:val="SingleTxtGC"/>
        <w:rPr>
          <w:lang w:val="es-MX"/>
        </w:rPr>
      </w:pPr>
      <w:r>
        <w:rPr>
          <w:lang w:val="es-MX"/>
        </w:rPr>
        <w:t xml:space="preserve">204.  </w:t>
      </w:r>
      <w:r>
        <w:rPr>
          <w:rFonts w:hint="eastAsia"/>
          <w:lang w:val="es-MX"/>
        </w:rPr>
        <w:t>关于国际合作的问题，我们就《公约》第三十二条</w:t>
      </w:r>
      <w:r>
        <w:rPr>
          <w:rFonts w:hint="eastAsia"/>
          <w:lang w:val="es-MX"/>
        </w:rPr>
        <w:t>(</w:t>
      </w:r>
      <w:r>
        <w:rPr>
          <w:rFonts w:hint="eastAsia"/>
          <w:lang w:val="es-MX"/>
        </w:rPr>
        <w:t>国际合作</w:t>
      </w:r>
      <w:r>
        <w:rPr>
          <w:rFonts w:hint="eastAsia"/>
          <w:lang w:val="es-MX"/>
        </w:rPr>
        <w:t>)</w:t>
      </w:r>
      <w:r>
        <w:rPr>
          <w:rFonts w:hint="eastAsia"/>
          <w:lang w:val="es-MX"/>
        </w:rPr>
        <w:t>和第九条</w:t>
      </w:r>
      <w:r>
        <w:rPr>
          <w:rFonts w:hint="eastAsia"/>
          <w:lang w:val="es-MX"/>
        </w:rPr>
        <w:t>(</w:t>
      </w:r>
      <w:r>
        <w:rPr>
          <w:rFonts w:hint="eastAsia"/>
          <w:lang w:val="es-MX"/>
        </w:rPr>
        <w:t>无障碍</w:t>
      </w:r>
      <w:r>
        <w:rPr>
          <w:rFonts w:hint="eastAsia"/>
          <w:lang w:val="es-MX"/>
        </w:rPr>
        <w:t>)</w:t>
      </w:r>
      <w:r>
        <w:rPr>
          <w:rFonts w:hint="eastAsia"/>
          <w:lang w:val="es-MX"/>
        </w:rPr>
        <w:t>的规定，向国家规划与经济政策部以及财政部提出了索取信息的要求。然而，只收到规划与经济政策部提供的信息。</w:t>
      </w:r>
    </w:p>
    <w:p w:rsidR="00CE4DFD" w:rsidRDefault="00CE4DFD">
      <w:pPr>
        <w:pStyle w:val="H23GC"/>
      </w:pPr>
      <w:r>
        <w:tab/>
        <w:t>1.</w:t>
      </w:r>
      <w:r>
        <w:rPr>
          <w:rFonts w:ascii="SimSun" w:eastAsia="SimSun" w:hAnsi="SimSun" w:cs="SimSun" w:hint="eastAsia"/>
        </w:rPr>
        <w:tab/>
      </w:r>
      <w:bookmarkStart w:id="51" w:name="_Toc352758996"/>
      <w:r>
        <w:t>实施的行动和专项资金</w:t>
      </w:r>
      <w:bookmarkEnd w:id="51"/>
    </w:p>
    <w:p w:rsidR="00CE4DFD" w:rsidRDefault="00CE4DFD">
      <w:pPr>
        <w:pStyle w:val="SingleTxtGC"/>
        <w:rPr>
          <w:lang w:val="es-MX"/>
        </w:rPr>
      </w:pPr>
      <w:r>
        <w:rPr>
          <w:lang w:val="es-MX"/>
        </w:rPr>
        <w:t xml:space="preserve">205.  </w:t>
      </w:r>
      <w:r>
        <w:rPr>
          <w:rFonts w:hint="eastAsia"/>
          <w:lang w:val="es-MX"/>
        </w:rPr>
        <w:t>在这方面，仅有的几项记录在案的行动包括，全国康复和特殊教育委员会实施的与利蒙市港口项目有关的行动，由美洲开发银行通过与日本国际协力机构联合实施的卡洛依项目为该项目提供资金，另外还有一项涉及</w:t>
      </w:r>
      <w:r>
        <w:rPr>
          <w:rFonts w:hint="eastAsia"/>
          <w:lang w:val="es-MX"/>
        </w:rPr>
        <w:t>POETA</w:t>
      </w:r>
      <w:r>
        <w:rPr>
          <w:rFonts w:hint="eastAsia"/>
          <w:lang w:val="es-MX"/>
        </w:rPr>
        <w:t>项目的民间举措，关于该项目，我们已经在与劳务有关的章节进行了介绍。</w:t>
      </w:r>
    </w:p>
    <w:p w:rsidR="00CE4DFD" w:rsidRDefault="00CE4DFD">
      <w:pPr>
        <w:pStyle w:val="SingleTxtGC"/>
        <w:rPr>
          <w:lang w:val="es-MX"/>
        </w:rPr>
      </w:pPr>
      <w:r>
        <w:rPr>
          <w:lang w:val="es-MX"/>
        </w:rPr>
        <w:t xml:space="preserve">206.  </w:t>
      </w:r>
      <w:r>
        <w:rPr>
          <w:rFonts w:hint="eastAsia"/>
          <w:lang w:val="es-MX"/>
        </w:rPr>
        <w:t>利蒙市港口项目的目标是，以各个港口为主轴线，通过对该地区各个战略要点进行建设和改造，实现利蒙市的经济、社会和文化发展。该项目对于残疾人口来说意义重大，也就是说，为确保在所有正在实施的工程中达到无障碍要求，我们已经加强了与项目负责人开展联合工作的力度，此外包括能够给残疾人带来福祉的无障碍旅游问题，这是我们正在积极鼓励的两个方面，为的是使该项目成为无障碍的典范，特别是成为整个地区发展的驱动力。</w:t>
      </w:r>
    </w:p>
    <w:p w:rsidR="00CE4DFD" w:rsidRDefault="00CE4DFD">
      <w:pPr>
        <w:pStyle w:val="SingleTxtGC"/>
        <w:rPr>
          <w:lang w:val="es-MX"/>
        </w:rPr>
      </w:pPr>
      <w:r>
        <w:rPr>
          <w:lang w:val="es-MX"/>
        </w:rPr>
        <w:t xml:space="preserve">207.  </w:t>
      </w:r>
      <w:r>
        <w:rPr>
          <w:rFonts w:hint="eastAsia"/>
          <w:lang w:val="es-MX"/>
        </w:rPr>
        <w:t>从规模上来讲，该项目被视为重大战略之一，为的是能够带动地区发展，并因此能够在无障碍标准下并按照各项法律和要求实施这项创举，如果证明这一切能够在各个方面给任何国家或地区带来好处，就会成为今后制定此类战略时应当考虑的一项因素。</w:t>
      </w:r>
    </w:p>
    <w:p w:rsidR="00CE4DFD" w:rsidRDefault="00CE4DFD">
      <w:pPr>
        <w:pStyle w:val="SingleTxtGC"/>
        <w:rPr>
          <w:lang w:val="es-MX"/>
        </w:rPr>
      </w:pPr>
      <w:r>
        <w:rPr>
          <w:lang w:val="es-MX"/>
        </w:rPr>
        <w:t xml:space="preserve">208.  </w:t>
      </w:r>
      <w:r>
        <w:rPr>
          <w:rFonts w:hint="eastAsia"/>
          <w:lang w:val="es-MX"/>
        </w:rPr>
        <w:t>另一方面，在哥斯达黎加南部地区，全国康复和特殊教育委员会正在与日本国际协力机构合作实施卡洛依项目，该项目的主要目标是，通过在布伦卡地区实施全面康复行动，加强帮扶制度的建设，争取让残疾人参与到社会生活当中，而已经实施的行动主要是为了获得以下成果：</w:t>
      </w:r>
    </w:p>
    <w:p w:rsidR="00CE4DFD" w:rsidRDefault="00CE4DFD">
      <w:pPr>
        <w:pStyle w:val="SingleTxtGC"/>
        <w:numPr>
          <w:ilvl w:val="0"/>
          <w:numId w:val="31"/>
        </w:numPr>
        <w:ind w:left="1134"/>
        <w:rPr>
          <w:lang w:val="es-MX"/>
        </w:rPr>
      </w:pPr>
      <w:r>
        <w:rPr>
          <w:rFonts w:hint="eastAsia"/>
          <w:lang w:val="es-MX"/>
        </w:rPr>
        <w:t>加强机构之间和部门之间的协调工作以及信息交流；</w:t>
      </w:r>
    </w:p>
    <w:p w:rsidR="00CE4DFD" w:rsidRDefault="00CE4DFD">
      <w:pPr>
        <w:pStyle w:val="SingleTxtGC"/>
        <w:numPr>
          <w:ilvl w:val="0"/>
          <w:numId w:val="31"/>
        </w:numPr>
        <w:ind w:left="1134"/>
        <w:rPr>
          <w:rFonts w:hint="eastAsia"/>
          <w:lang w:val="es-MX"/>
        </w:rPr>
      </w:pPr>
      <w:r>
        <w:rPr>
          <w:rFonts w:hint="eastAsia"/>
          <w:lang w:val="es-MX"/>
        </w:rPr>
        <w:t>加强康复服务工作；</w:t>
      </w:r>
    </w:p>
    <w:p w:rsidR="00CE4DFD" w:rsidRDefault="00CE4DFD">
      <w:pPr>
        <w:pStyle w:val="SingleTxtGC"/>
        <w:numPr>
          <w:ilvl w:val="0"/>
          <w:numId w:val="31"/>
        </w:numPr>
        <w:ind w:left="1134"/>
        <w:rPr>
          <w:rFonts w:hint="eastAsia"/>
          <w:lang w:val="es-MX"/>
        </w:rPr>
      </w:pPr>
      <w:r>
        <w:rPr>
          <w:rFonts w:hint="eastAsia"/>
          <w:lang w:val="es-MX"/>
        </w:rPr>
        <w:t>增加残疾人的就业机会；</w:t>
      </w:r>
    </w:p>
    <w:p w:rsidR="00CE4DFD" w:rsidRDefault="00CE4DFD">
      <w:pPr>
        <w:pStyle w:val="SingleTxtGC"/>
        <w:numPr>
          <w:ilvl w:val="0"/>
          <w:numId w:val="31"/>
        </w:numPr>
        <w:ind w:left="1134"/>
        <w:rPr>
          <w:rFonts w:hint="eastAsia"/>
          <w:lang w:val="es-MX"/>
        </w:rPr>
      </w:pPr>
      <w:r>
        <w:rPr>
          <w:rFonts w:hint="eastAsia"/>
          <w:lang w:val="es-MX"/>
        </w:rPr>
        <w:t>促进发展以社区为基础的康复工作；</w:t>
      </w:r>
    </w:p>
    <w:p w:rsidR="00CE4DFD" w:rsidRDefault="00CE4DFD">
      <w:pPr>
        <w:pStyle w:val="SingleTxtGC"/>
        <w:numPr>
          <w:ilvl w:val="0"/>
          <w:numId w:val="31"/>
        </w:numPr>
        <w:ind w:left="1134"/>
        <w:rPr>
          <w:lang w:val="es-MX"/>
        </w:rPr>
      </w:pPr>
      <w:r>
        <w:rPr>
          <w:rFonts w:hint="eastAsia"/>
          <w:lang w:val="es-MX"/>
        </w:rPr>
        <w:t>为赋予残疾人权能提供便利。</w:t>
      </w:r>
    </w:p>
    <w:p w:rsidR="00CE4DFD" w:rsidRDefault="00CE4DFD">
      <w:pPr>
        <w:pStyle w:val="SingleTxtGC"/>
        <w:rPr>
          <w:lang w:val="es-MX"/>
        </w:rPr>
      </w:pPr>
      <w:r>
        <w:rPr>
          <w:lang w:val="es-MX"/>
        </w:rPr>
        <w:t xml:space="preserve">209.  </w:t>
      </w:r>
      <w:r>
        <w:rPr>
          <w:rFonts w:hint="eastAsia"/>
          <w:lang w:val="es-MX"/>
        </w:rPr>
        <w:t>为执行上述项目，我们在日本和其他国家进行了培训，并且还在哥斯达黎加进行了培训，参加培训的是全国各地有关机构的工作人员以及项目所在地布伦卡地区自己的工作人员。</w:t>
      </w:r>
    </w:p>
    <w:p w:rsidR="00CE4DFD" w:rsidRDefault="00CE4DFD">
      <w:pPr>
        <w:pStyle w:val="SingleTxtGC"/>
        <w:rPr>
          <w:rFonts w:hint="eastAsia"/>
          <w:lang w:val="es-MX"/>
        </w:rPr>
      </w:pPr>
      <w:r>
        <w:rPr>
          <w:lang w:val="es-MX"/>
        </w:rPr>
        <w:t xml:space="preserve">210.  </w:t>
      </w:r>
      <w:r>
        <w:rPr>
          <w:rFonts w:hint="eastAsia"/>
          <w:lang w:val="es-MX"/>
        </w:rPr>
        <w:t>在日本进行的培训主要针对政策与残疾、康复、劳务培训、强化非政府组织、培养残疾人领袖、部门间协调、公共政策等题目。在哥伦比亚、墨西哥、洪都拉斯、阿根廷等国家进行的培训中，涉及的题目包括社区基层康复、康复政策、公共政策、独立生活、以及执行《国际功能、残疾和健康分类》。</w:t>
      </w:r>
    </w:p>
    <w:p w:rsidR="00CE4DFD" w:rsidRDefault="00CE4DFD">
      <w:pPr>
        <w:pStyle w:val="SingleTxtGC"/>
        <w:rPr>
          <w:lang w:val="es-MX"/>
        </w:rPr>
      </w:pPr>
      <w:r>
        <w:rPr>
          <w:lang w:val="es-MX"/>
        </w:rPr>
        <w:t xml:space="preserve">211.  </w:t>
      </w:r>
      <w:r>
        <w:rPr>
          <w:rFonts w:hint="eastAsia"/>
          <w:lang w:val="es-MX"/>
        </w:rPr>
        <w:t>在哥斯达黎加进行的主要培训活动包括：举办国际研讨会，在会上人们讨论了与执行《国际功能、残疾和健康分类》、社区基层康复、残疾人务工和出行有关的问题、以及残疾人管理和政策问题，与日本专家就残疾人出行和政策方面的经验举行座谈会，举办社区基层康复工作讲习班，就残疾人独立生活问题开展培训</w:t>
      </w:r>
      <w:r>
        <w:rPr>
          <w:rFonts w:hint="eastAsia"/>
          <w:lang w:val="es-MX"/>
        </w:rPr>
        <w:t>(</w:t>
      </w:r>
      <w:r>
        <w:rPr>
          <w:rFonts w:hint="eastAsia"/>
          <w:lang w:val="es-MX"/>
        </w:rPr>
        <w:t>残疾人独立生活研究小组做学术讲座</w:t>
      </w:r>
      <w:r>
        <w:rPr>
          <w:rFonts w:hint="eastAsia"/>
          <w:lang w:val="es-MX"/>
        </w:rPr>
        <w:t>)</w:t>
      </w:r>
      <w:r>
        <w:rPr>
          <w:rFonts w:hint="eastAsia"/>
          <w:lang w:val="es-MX"/>
        </w:rPr>
        <w:t>，各地区就社区基层康复工作举行研讨会</w:t>
      </w:r>
      <w:r>
        <w:rPr>
          <w:rFonts w:hint="eastAsia"/>
          <w:lang w:val="es-MX"/>
        </w:rPr>
        <w:t>(</w:t>
      </w:r>
      <w:r>
        <w:rPr>
          <w:rFonts w:hint="eastAsia"/>
          <w:lang w:val="es-MX"/>
        </w:rPr>
        <w:t>强化非政府组织职能、培养残疾人领袖、基层康复工作经验、残疾人出行、建立社会网络</w:t>
      </w:r>
      <w:r>
        <w:rPr>
          <w:rFonts w:hint="eastAsia"/>
          <w:lang w:val="es-MX"/>
        </w:rPr>
        <w:t>)</w:t>
      </w:r>
      <w:r>
        <w:rPr>
          <w:rFonts w:hint="eastAsia"/>
          <w:lang w:val="es-MX"/>
        </w:rPr>
        <w:t>等等。</w:t>
      </w:r>
    </w:p>
    <w:p w:rsidR="00CE4DFD" w:rsidRDefault="00CE4DFD">
      <w:pPr>
        <w:pStyle w:val="SingleTxtGC"/>
        <w:rPr>
          <w:lang w:val="es-MX"/>
        </w:rPr>
      </w:pPr>
      <w:r>
        <w:rPr>
          <w:lang w:val="es-MX"/>
        </w:rPr>
        <w:t xml:space="preserve">212.  </w:t>
      </w:r>
      <w:r>
        <w:rPr>
          <w:rFonts w:hint="eastAsia"/>
          <w:lang w:val="es-MX"/>
        </w:rPr>
        <w:t>通过</w:t>
      </w:r>
      <w:r>
        <w:rPr>
          <w:rFonts w:hint="eastAsia"/>
          <w:lang w:val="es-MX"/>
        </w:rPr>
        <w:t>2010</w:t>
      </w:r>
      <w:r>
        <w:rPr>
          <w:rFonts w:hint="eastAsia"/>
          <w:lang w:val="es-MX"/>
        </w:rPr>
        <w:t>年在该地区实施各项行动，目前已有三个社区开展了社区基层康复工作，并且经过培训和实习，组成了一支由</w:t>
      </w:r>
      <w:r>
        <w:rPr>
          <w:rFonts w:hint="eastAsia"/>
          <w:lang w:val="es-MX"/>
        </w:rPr>
        <w:t>11</w:t>
      </w:r>
      <w:r>
        <w:rPr>
          <w:rFonts w:hint="eastAsia"/>
          <w:lang w:val="es-MX"/>
        </w:rPr>
        <w:t>名残疾人辅导师组成的队伍，这些辅导师开展了各种培训活动，以促进残疾人的权利和独立生活。</w:t>
      </w:r>
    </w:p>
    <w:p w:rsidR="00CE4DFD" w:rsidRDefault="00CE4DFD">
      <w:pPr>
        <w:pStyle w:val="SingleTxtGC"/>
        <w:rPr>
          <w:lang w:val="es-MX"/>
        </w:rPr>
      </w:pPr>
      <w:r>
        <w:rPr>
          <w:lang w:val="es-MX"/>
        </w:rPr>
        <w:t xml:space="preserve">213.  </w:t>
      </w:r>
      <w:r>
        <w:rPr>
          <w:rFonts w:hint="eastAsia"/>
          <w:lang w:val="es-MX"/>
        </w:rPr>
        <w:t>同样，通过实施该项目，我们基于《国际功能、残疾和健康分类》建立了一种被称为“基础核心”的机制，目的是收集有关残疾人口的数据，以便从最全面的角度了解残疾人的状况。</w:t>
      </w:r>
    </w:p>
    <w:p w:rsidR="00CE4DFD" w:rsidRDefault="00CE4DFD">
      <w:pPr>
        <w:pStyle w:val="SingleTxtGC"/>
        <w:rPr>
          <w:lang w:val="es-MX"/>
        </w:rPr>
      </w:pPr>
      <w:r>
        <w:rPr>
          <w:lang w:val="es-MX"/>
        </w:rPr>
        <w:t xml:space="preserve">214.  </w:t>
      </w:r>
      <w:r>
        <w:rPr>
          <w:rFonts w:hint="eastAsia"/>
          <w:lang w:val="es-MX"/>
        </w:rPr>
        <w:t>关于投资问题，资料显示，大约为</w:t>
      </w:r>
      <w:r>
        <w:rPr>
          <w:lang w:val="es-MX"/>
        </w:rPr>
        <w:t>196,774,646</w:t>
      </w:r>
      <w:r>
        <w:rPr>
          <w:rFonts w:hint="eastAsia"/>
          <w:lang w:val="es-MX"/>
        </w:rPr>
        <w:t>.</w:t>
      </w:r>
      <w:r>
        <w:rPr>
          <w:lang w:val="es-MX"/>
        </w:rPr>
        <w:t>10</w:t>
      </w:r>
      <w:r>
        <w:rPr>
          <w:rFonts w:hint="eastAsia"/>
          <w:lang w:val="es-MX"/>
        </w:rPr>
        <w:t>科朗，折合</w:t>
      </w:r>
      <w:r>
        <w:rPr>
          <w:lang w:val="es-MX"/>
        </w:rPr>
        <w:t>389,722</w:t>
      </w:r>
      <w:r>
        <w:rPr>
          <w:rFonts w:hint="eastAsia"/>
          <w:lang w:val="es-MX"/>
        </w:rPr>
        <w:t>.</w:t>
      </w:r>
      <w:r>
        <w:rPr>
          <w:lang w:val="es-MX"/>
        </w:rPr>
        <w:t>72</w:t>
      </w:r>
      <w:r>
        <w:rPr>
          <w:rFonts w:hint="eastAsia"/>
          <w:lang w:val="es-MX"/>
        </w:rPr>
        <w:t>美元，专门用于执行卡洛依项目，具体来说，涉及日本国际协力机构在培训方便的资助、业务开支、聘请专家的费用。</w:t>
      </w:r>
    </w:p>
    <w:p w:rsidR="00CE4DFD" w:rsidRDefault="00CE4DFD">
      <w:pPr>
        <w:pStyle w:val="SingleTxtGC"/>
        <w:rPr>
          <w:lang w:val="es-MX"/>
        </w:rPr>
      </w:pPr>
      <w:r>
        <w:rPr>
          <w:lang w:val="en-GB"/>
        </w:rPr>
        <w:t xml:space="preserve">215.  </w:t>
      </w:r>
      <w:r>
        <w:rPr>
          <w:rFonts w:hint="eastAsia"/>
          <w:lang w:val="en-GB"/>
        </w:rPr>
        <w:t>最后关于</w:t>
      </w:r>
      <w:r>
        <w:rPr>
          <w:rFonts w:hint="eastAsia"/>
          <w:lang w:val="en-GB"/>
        </w:rPr>
        <w:t>POETA</w:t>
      </w:r>
      <w:r>
        <w:rPr>
          <w:rFonts w:hint="eastAsia"/>
          <w:lang w:val="en-GB"/>
        </w:rPr>
        <w:t>项目需要指出的是，该项目的执行单位是美洲国家组织的分支机构美洲信托基金会，赞助单位有美国劳工部、微软公司、哥斯达黎加与美国合作基金会。该项目历时</w:t>
      </w:r>
      <w:r>
        <w:rPr>
          <w:rFonts w:hint="eastAsia"/>
          <w:lang w:val="en-GB"/>
        </w:rPr>
        <w:t>24</w:t>
      </w:r>
      <w:r>
        <w:rPr>
          <w:rFonts w:hint="eastAsia"/>
          <w:lang w:val="en-GB"/>
        </w:rPr>
        <w:t>个月</w:t>
      </w:r>
      <w:r>
        <w:rPr>
          <w:rFonts w:hint="eastAsia"/>
          <w:lang w:val="en-GB"/>
        </w:rPr>
        <w:t>(2008</w:t>
      </w:r>
      <w:r>
        <w:rPr>
          <w:rFonts w:hint="eastAsia"/>
          <w:lang w:val="en-GB"/>
        </w:rPr>
        <w:t>年</w:t>
      </w:r>
      <w:r>
        <w:rPr>
          <w:rFonts w:hint="eastAsia"/>
          <w:lang w:val="en-GB"/>
        </w:rPr>
        <w:t>9</w:t>
      </w:r>
      <w:r>
        <w:rPr>
          <w:rFonts w:hint="eastAsia"/>
          <w:lang w:val="en-GB"/>
        </w:rPr>
        <w:t>月至</w:t>
      </w:r>
      <w:r>
        <w:rPr>
          <w:rFonts w:hint="eastAsia"/>
          <w:lang w:val="en-GB"/>
        </w:rPr>
        <w:t>2010</w:t>
      </w:r>
      <w:r>
        <w:rPr>
          <w:rFonts w:hint="eastAsia"/>
          <w:lang w:val="en-GB"/>
        </w:rPr>
        <w:t>年</w:t>
      </w:r>
      <w:r>
        <w:rPr>
          <w:rFonts w:hint="eastAsia"/>
          <w:lang w:val="en-GB"/>
        </w:rPr>
        <w:t>9</w:t>
      </w:r>
      <w:r>
        <w:rPr>
          <w:rFonts w:hint="eastAsia"/>
          <w:lang w:val="en-GB"/>
        </w:rPr>
        <w:t>月</w:t>
      </w:r>
      <w:r>
        <w:rPr>
          <w:rFonts w:hint="eastAsia"/>
          <w:lang w:val="en-GB"/>
        </w:rPr>
        <w:t>)</w:t>
      </w:r>
      <w:r>
        <w:rPr>
          <w:rFonts w:hint="eastAsia"/>
          <w:lang w:val="en-GB"/>
        </w:rPr>
        <w:t>，目的是对残疾人进行就业培训，培训内容有三个主要组成部分，即就业能力、劳务中介、提高认识。</w:t>
      </w:r>
    </w:p>
    <w:p w:rsidR="00CE4DFD" w:rsidRDefault="00CE4DFD">
      <w:pPr>
        <w:pStyle w:val="SingleTxtGC"/>
        <w:rPr>
          <w:rFonts w:hint="eastAsia"/>
          <w:lang w:val="es-MX"/>
        </w:rPr>
      </w:pPr>
      <w:r>
        <w:rPr>
          <w:lang w:val="es-MX"/>
        </w:rPr>
        <w:t xml:space="preserve">216.  </w:t>
      </w:r>
      <w:r>
        <w:rPr>
          <w:rFonts w:hint="eastAsia"/>
          <w:lang w:val="es-MX"/>
        </w:rPr>
        <w:t>该项目获得国家以及社会各界的广泛参与。其中私营部门主要包括：企业发展协会，通过该协会建立了哥斯达黎加包容性企业网络；圣保拉大学，负责提供网站管理服务；就业网</w:t>
      </w:r>
      <w:r>
        <w:rPr>
          <w:rFonts w:hint="eastAsia"/>
          <w:lang w:val="es-MX"/>
        </w:rPr>
        <w:t>(</w:t>
      </w:r>
      <w:r>
        <w:rPr>
          <w:lang w:val="es-MX"/>
        </w:rPr>
        <w:t>Empleo.com</w:t>
      </w:r>
      <w:r>
        <w:rPr>
          <w:rFonts w:hint="eastAsia"/>
          <w:lang w:val="es-MX"/>
        </w:rPr>
        <w:t>)</w:t>
      </w:r>
      <w:r>
        <w:rPr>
          <w:rFonts w:hint="eastAsia"/>
          <w:lang w:val="es-MX"/>
        </w:rPr>
        <w:t>，为新建网站以及在线发布就业信息提供技术咨询服务，此外还有奥马尔·登戈基金会、世界宣明会、争取世界和平</w:t>
      </w:r>
      <w:r>
        <w:rPr>
          <w:rFonts w:hint="eastAsia"/>
          <w:lang w:val="es-MX"/>
        </w:rPr>
        <w:t>S</w:t>
      </w:r>
      <w:r>
        <w:t>.</w:t>
      </w:r>
      <w:r>
        <w:rPr>
          <w:rFonts w:hint="eastAsia"/>
          <w:lang w:val="es-MX"/>
        </w:rPr>
        <w:t>O</w:t>
      </w:r>
      <w:r>
        <w:rPr>
          <w:lang w:val="es-MX"/>
        </w:rPr>
        <w:t>.</w:t>
      </w:r>
      <w:r>
        <w:rPr>
          <w:rFonts w:hint="eastAsia"/>
          <w:lang w:val="es-MX"/>
        </w:rPr>
        <w:t>S</w:t>
      </w:r>
      <w:r>
        <w:rPr>
          <w:rFonts w:hint="eastAsia"/>
          <w:lang w:val="es-MX"/>
        </w:rPr>
        <w:t>基金会、哥斯达黎加工人运动工会、</w:t>
      </w:r>
      <w:r>
        <w:rPr>
          <w:rFonts w:hint="eastAsia"/>
          <w:lang w:val="en-GB"/>
        </w:rPr>
        <w:t>全国盲人</w:t>
      </w:r>
      <w:r>
        <w:rPr>
          <w:rFonts w:hint="eastAsia"/>
          <w:lang w:val="es-MX"/>
        </w:rPr>
        <w:t>慈善基金会</w:t>
      </w:r>
      <w:r>
        <w:rPr>
          <w:rFonts w:hint="eastAsia"/>
          <w:lang w:val="es-MX"/>
        </w:rPr>
        <w:t>(</w:t>
      </w:r>
      <w:r>
        <w:rPr>
          <w:rFonts w:hint="eastAsia"/>
          <w:lang w:val="es-MX"/>
        </w:rPr>
        <w:t>与该基金会合作建立了六个</w:t>
      </w:r>
      <w:r>
        <w:rPr>
          <w:rFonts w:hint="eastAsia"/>
          <w:lang w:val="en-GB"/>
        </w:rPr>
        <w:t>POETA</w:t>
      </w:r>
      <w:r>
        <w:rPr>
          <w:rFonts w:hint="eastAsia"/>
          <w:lang w:val="en-GB"/>
        </w:rPr>
        <w:t>中心</w:t>
      </w:r>
      <w:r>
        <w:rPr>
          <w:rFonts w:hint="eastAsia"/>
          <w:lang w:val="es-MX"/>
        </w:rPr>
        <w:t>)</w:t>
      </w:r>
      <w:r>
        <w:rPr>
          <w:rFonts w:hint="eastAsia"/>
          <w:lang w:val="es-MX"/>
        </w:rPr>
        <w:t>等等。在国家方面，我们得到了全国康复和特殊教育委员会的支持，该委员会派出三名专家做了三场专题报告，报告的主要内容包括残疾工作范式和残疾问题管理：针对雇主进行的政策、规章和程序分析，针对提供劳务中介服务的地方组织的关于就业和残疾问题的法律框架。</w:t>
      </w:r>
    </w:p>
    <w:p w:rsidR="00CE4DFD" w:rsidRDefault="00CE4DFD">
      <w:pPr>
        <w:pStyle w:val="SingleTxtGC"/>
        <w:rPr>
          <w:lang w:val="es-MX"/>
        </w:rPr>
      </w:pPr>
      <w:r>
        <w:rPr>
          <w:lang w:val="es-MX"/>
        </w:rPr>
        <w:t xml:space="preserve">217.  </w:t>
      </w:r>
      <w:r>
        <w:rPr>
          <w:rFonts w:hint="eastAsia"/>
          <w:lang w:val="es-MX"/>
        </w:rPr>
        <w:t>已经实施的主要行动涉及培训、咨询、职业评估、建立数据库、促进残疾人就业、为提高私营部门在雇佣残疾人方面的认识而进行的研究工作、印制出版关于劳务市场包容性问题的宣传材料，此外还包括，协助劳动和社会保障部、社会救助联合委员会、国家远程教育大学以及哥斯达黎加理工学院对符合职业治疗师资格的残疾人选进行鉴定。</w:t>
      </w:r>
    </w:p>
    <w:p w:rsidR="00CE4DFD" w:rsidRDefault="00CE4DFD">
      <w:pPr>
        <w:pStyle w:val="SingleTxtGC"/>
        <w:rPr>
          <w:rFonts w:hint="eastAsia"/>
          <w:lang w:val="es-MX"/>
        </w:rPr>
      </w:pPr>
      <w:r>
        <w:rPr>
          <w:lang w:val="es-MX"/>
        </w:rPr>
        <w:t xml:space="preserve">218.  </w:t>
      </w:r>
      <w:r>
        <w:rPr>
          <w:rFonts w:hint="eastAsia"/>
          <w:lang w:val="es-MX"/>
        </w:rPr>
        <w:t>获得的主要成果包括：建成包容性企业网络，开设六个</w:t>
      </w:r>
      <w:r>
        <w:rPr>
          <w:rFonts w:hint="eastAsia"/>
          <w:lang w:val="es-MX"/>
        </w:rPr>
        <w:t>POETA</w:t>
      </w:r>
      <w:r>
        <w:rPr>
          <w:rFonts w:hint="eastAsia"/>
          <w:lang w:val="es-MX"/>
        </w:rPr>
        <w:t>计划培训中心，对</w:t>
      </w:r>
      <w:r>
        <w:rPr>
          <w:rFonts w:hint="eastAsia"/>
          <w:lang w:val="es-MX"/>
        </w:rPr>
        <w:t>750</w:t>
      </w:r>
      <w:r>
        <w:rPr>
          <w:rFonts w:hint="eastAsia"/>
          <w:lang w:val="es-MX"/>
        </w:rPr>
        <w:t>名残疾人、</w:t>
      </w:r>
      <w:r>
        <w:rPr>
          <w:rFonts w:hint="eastAsia"/>
          <w:lang w:val="es-MX"/>
        </w:rPr>
        <w:t>35</w:t>
      </w:r>
      <w:r>
        <w:rPr>
          <w:rFonts w:hint="eastAsia"/>
          <w:lang w:val="es-MX"/>
        </w:rPr>
        <w:t>个涉及劳务中介方面的地方组织以及</w:t>
      </w:r>
      <w:r>
        <w:rPr>
          <w:rFonts w:hint="eastAsia"/>
          <w:lang w:val="es-MX"/>
        </w:rPr>
        <w:t>61</w:t>
      </w:r>
      <w:r>
        <w:rPr>
          <w:rFonts w:hint="eastAsia"/>
          <w:lang w:val="es-MX"/>
        </w:rPr>
        <w:t>名已就业或就读的残疾人进行了培训，建立一个数据库，对</w:t>
      </w:r>
      <w:r>
        <w:rPr>
          <w:rFonts w:hint="eastAsia"/>
          <w:lang w:val="es-MX"/>
        </w:rPr>
        <w:t>250</w:t>
      </w:r>
      <w:r>
        <w:rPr>
          <w:rFonts w:hint="eastAsia"/>
          <w:lang w:val="es-MX"/>
        </w:rPr>
        <w:t>名有就业能力的残疾人做了登记，此外还包括，在网站上发布就业信息，为雇主们聘用残疾人提供便利，与圣保拉大学</w:t>
      </w:r>
      <w:r>
        <w:rPr>
          <w:rFonts w:hint="eastAsia"/>
          <w:lang w:val="es-MX"/>
        </w:rPr>
        <w:t>(</w:t>
      </w:r>
      <w:r>
        <w:rPr>
          <w:rFonts w:hint="eastAsia"/>
          <w:lang w:val="es-MX"/>
        </w:rPr>
        <w:t>网站管理者</w:t>
      </w:r>
      <w:r>
        <w:rPr>
          <w:rFonts w:hint="eastAsia"/>
          <w:lang w:val="es-MX"/>
        </w:rPr>
        <w:t>)</w:t>
      </w:r>
      <w:r>
        <w:rPr>
          <w:rFonts w:hint="eastAsia"/>
          <w:lang w:val="es-MX"/>
        </w:rPr>
        <w:t>联合开办网站。在投资方面，共计达到</w:t>
      </w:r>
      <w:r>
        <w:rPr>
          <w:lang w:val="es-MX"/>
        </w:rPr>
        <w:t>513,950</w:t>
      </w:r>
      <w:r>
        <w:rPr>
          <w:rFonts w:hint="eastAsia"/>
          <w:lang w:val="es-MX"/>
        </w:rPr>
        <w:t>.</w:t>
      </w:r>
      <w:r>
        <w:rPr>
          <w:lang w:val="es-MX"/>
        </w:rPr>
        <w:t>00</w:t>
      </w:r>
      <w:r>
        <w:rPr>
          <w:rFonts w:hint="eastAsia"/>
          <w:lang w:val="es-MX"/>
        </w:rPr>
        <w:t>美元。</w:t>
      </w:r>
    </w:p>
    <w:p w:rsidR="00CE4DFD" w:rsidRDefault="00CE4DFD">
      <w:pPr>
        <w:pStyle w:val="SingleTxtGC"/>
        <w:rPr>
          <w:rFonts w:hint="eastAsia"/>
          <w:lang w:val="es-MX"/>
        </w:rPr>
      </w:pPr>
      <w:r>
        <w:rPr>
          <w:lang w:val="es-MX"/>
        </w:rPr>
        <w:t xml:space="preserve">219.  </w:t>
      </w:r>
      <w:r>
        <w:rPr>
          <w:rFonts w:hint="eastAsia"/>
          <w:lang w:val="es-MX"/>
        </w:rPr>
        <w:t>通过国际合作开展的其他活动包括，对公共部门职员进行培训，比如</w:t>
      </w:r>
      <w:r>
        <w:rPr>
          <w:rFonts w:hint="eastAsia"/>
          <w:lang w:val="es-MX"/>
        </w:rPr>
        <w:t>2008</w:t>
      </w:r>
      <w:r>
        <w:rPr>
          <w:rFonts w:hint="eastAsia"/>
          <w:lang w:val="es-MX"/>
        </w:rPr>
        <w:t>年，全国康复和特殊教育委员会与伊比利亚美洲政府间技术合作网一起，就了解残疾人状况等问题组织了多期培训，最近一次是在</w:t>
      </w:r>
      <w:r>
        <w:rPr>
          <w:rFonts w:hint="eastAsia"/>
          <w:lang w:val="es-MX"/>
        </w:rPr>
        <w:t>2010</w:t>
      </w:r>
      <w:r>
        <w:rPr>
          <w:rFonts w:hint="eastAsia"/>
          <w:lang w:val="es-MX"/>
        </w:rPr>
        <w:t>年，就从整体角度对待残疾人状况问题进行了一期培训，培训的题目名为“国际功能、残疾和健康分类</w:t>
      </w:r>
      <w:r>
        <w:rPr>
          <w:rFonts w:hint="eastAsia"/>
          <w:lang w:val="es-MX"/>
        </w:rPr>
        <w:t xml:space="preserve"> </w:t>
      </w:r>
      <w:r>
        <w:rPr>
          <w:lang w:val="es-MX"/>
        </w:rPr>
        <w:t>–</w:t>
      </w:r>
      <w:r>
        <w:rPr>
          <w:rFonts w:hint="eastAsia"/>
          <w:lang w:val="es-MX"/>
        </w:rPr>
        <w:t xml:space="preserve"> </w:t>
      </w:r>
      <w:r>
        <w:rPr>
          <w:rFonts w:hint="eastAsia"/>
          <w:lang w:val="es-MX"/>
        </w:rPr>
        <w:t>改变观念和全新展望”。参加此次培训的有来自心理学、社会工作、物理治疗、医学等领域的</w:t>
      </w:r>
      <w:r>
        <w:rPr>
          <w:rFonts w:hint="eastAsia"/>
          <w:lang w:val="es-MX"/>
        </w:rPr>
        <w:t>35</w:t>
      </w:r>
      <w:r>
        <w:rPr>
          <w:rFonts w:hint="eastAsia"/>
          <w:lang w:val="es-MX"/>
        </w:rPr>
        <w:t>名专业人员，他们分别在全国老年残疾人委员会、全国儿童慈善基金会、全国康复和特殊教育委员会、卫生部、公共教育部等机构从事救助残疾人的工作</w:t>
      </w:r>
      <w:r>
        <w:rPr>
          <w:rFonts w:hint="eastAsia"/>
          <w:lang w:val="en-GB"/>
        </w:rPr>
        <w:t>。</w:t>
      </w:r>
    </w:p>
    <w:p w:rsidR="00CE4DFD" w:rsidRDefault="00CE4DFD">
      <w:pPr>
        <w:pStyle w:val="H23GC"/>
      </w:pPr>
      <w:r>
        <w:tab/>
        <w:t>2.</w:t>
      </w:r>
      <w:r>
        <w:rPr>
          <w:rFonts w:ascii="SimSun" w:eastAsia="SimSun" w:hAnsi="SimSun" w:cs="SimSun" w:hint="eastAsia"/>
        </w:rPr>
        <w:tab/>
      </w:r>
      <w:bookmarkStart w:id="52" w:name="_Toc352758997"/>
      <w:r>
        <w:rPr>
          <w:rFonts w:hint="eastAsia"/>
        </w:rPr>
        <w:t>有待采取的行动、制约因素和改进措施</w:t>
      </w:r>
      <w:bookmarkEnd w:id="52"/>
    </w:p>
    <w:p w:rsidR="00CE4DFD" w:rsidRDefault="00CE4DFD">
      <w:pPr>
        <w:pStyle w:val="SingleTxtGC"/>
        <w:rPr>
          <w:lang w:val="en-GB"/>
        </w:rPr>
      </w:pPr>
      <w:r>
        <w:rPr>
          <w:lang w:val="es-MX"/>
        </w:rPr>
        <w:t xml:space="preserve">220.  </w:t>
      </w:r>
      <w:r>
        <w:rPr>
          <w:rFonts w:hint="eastAsia"/>
          <w:lang w:val="es-MX"/>
        </w:rPr>
        <w:t>国际合作是国内工作中最薄弱的环节之一，目前正如国家</w:t>
      </w:r>
      <w:r>
        <w:rPr>
          <w:rFonts w:hint="eastAsia"/>
          <w:lang w:val="en-GB"/>
        </w:rPr>
        <w:t>规划与经济政策部所指出的那样：“在哥斯达黎加，没有任何关于在保障公约方面进行国际合作的法律规定，而第</w:t>
      </w:r>
      <w:r>
        <w:rPr>
          <w:rFonts w:hint="eastAsia"/>
          <w:lang w:val="en-GB"/>
        </w:rPr>
        <w:t>5525</w:t>
      </w:r>
      <w:r>
        <w:rPr>
          <w:rFonts w:hint="eastAsia"/>
          <w:lang w:val="en-GB"/>
        </w:rPr>
        <w:t>号法律《国家规划法》第</w:t>
      </w:r>
      <w:r>
        <w:rPr>
          <w:rFonts w:hint="eastAsia"/>
          <w:lang w:val="en-GB"/>
        </w:rPr>
        <w:t>11</w:t>
      </w:r>
      <w:r>
        <w:rPr>
          <w:rFonts w:hint="eastAsia"/>
          <w:lang w:val="en-GB"/>
        </w:rPr>
        <w:t>条是在</w:t>
      </w:r>
      <w:r>
        <w:rPr>
          <w:rFonts w:hint="eastAsia"/>
          <w:lang w:val="en-GB"/>
        </w:rPr>
        <w:t>1974</w:t>
      </w:r>
      <w:r>
        <w:rPr>
          <w:rFonts w:hint="eastAsia"/>
          <w:lang w:val="en-GB"/>
        </w:rPr>
        <w:t>年制定的。按照刚刚发布的法令，该法律第</w:t>
      </w:r>
      <w:r>
        <w:rPr>
          <w:rFonts w:hint="eastAsia"/>
          <w:lang w:val="en-GB"/>
        </w:rPr>
        <w:t>11</w:t>
      </w:r>
      <w:r>
        <w:rPr>
          <w:rFonts w:hint="eastAsia"/>
          <w:lang w:val="en-GB"/>
        </w:rPr>
        <w:t>条也没有在这方面做出任何规定，这是因为我们是几个月之前刚刚获知有这项《公约》以及《公约》第三十二条关于国际合作的内容”</w:t>
      </w:r>
    </w:p>
    <w:p w:rsidR="00CE4DFD" w:rsidRDefault="00CE4DFD">
      <w:pPr>
        <w:pStyle w:val="SingleTxtGC"/>
        <w:rPr>
          <w:i/>
          <w:lang w:val="en-GB"/>
        </w:rPr>
      </w:pPr>
      <w:r>
        <w:rPr>
          <w:lang w:val="en-GB"/>
        </w:rPr>
        <w:t xml:space="preserve">221.  </w:t>
      </w:r>
      <w:r>
        <w:rPr>
          <w:rFonts w:hint="eastAsia"/>
          <w:lang w:val="en-GB"/>
        </w:rPr>
        <w:t>从国家规划和经济政策部提交的报告还发现其他方面的问题，也就是，很少有人把残疾问题看成是与包容性和人权有关的事情，因而难以就改变这种状况提出具体的行动方案。</w:t>
      </w:r>
    </w:p>
    <w:p w:rsidR="00CE4DFD" w:rsidRDefault="00CE4DFD">
      <w:pPr>
        <w:pStyle w:val="SingleTxtGC"/>
        <w:rPr>
          <w:i/>
          <w:lang w:val="en-GB"/>
        </w:rPr>
      </w:pPr>
      <w:r>
        <w:rPr>
          <w:lang w:val="en-GB"/>
        </w:rPr>
        <w:t xml:space="preserve">222.  </w:t>
      </w:r>
      <w:r>
        <w:rPr>
          <w:rFonts w:hint="eastAsia"/>
          <w:lang w:val="en-GB"/>
        </w:rPr>
        <w:t>有待采取的行动包括，在这四年当中，残疾事务主管部门应当继续与国家规划与经济政策部和外交部进行商议，针对包容性问题提出能够有利于残疾人的具体行动方案。</w:t>
      </w:r>
    </w:p>
    <w:p w:rsidR="00CE4DFD" w:rsidRDefault="00CE4DFD">
      <w:pPr>
        <w:pStyle w:val="H1GC"/>
      </w:pPr>
      <w:r>
        <w:tab/>
        <w:t>I.</w:t>
      </w:r>
      <w:r>
        <w:rPr>
          <w:rFonts w:ascii="SimSun" w:eastAsia="SimSun" w:hAnsi="SimSun" w:cs="SimSun" w:hint="eastAsia"/>
        </w:rPr>
        <w:tab/>
      </w:r>
      <w:bookmarkStart w:id="53" w:name="_Toc287347913"/>
      <w:bookmarkStart w:id="54" w:name="_Toc352758998"/>
      <w:r>
        <w:rPr>
          <w:rFonts w:hint="eastAsia"/>
        </w:rPr>
        <w:t>监督和推动《公约》的实施</w:t>
      </w:r>
      <w:bookmarkEnd w:id="53"/>
      <w:bookmarkEnd w:id="54"/>
    </w:p>
    <w:p w:rsidR="00CE4DFD" w:rsidRDefault="00CE4DFD">
      <w:pPr>
        <w:pStyle w:val="SingleTxtGC"/>
        <w:rPr>
          <w:lang w:val="es-MX"/>
        </w:rPr>
      </w:pPr>
      <w:r>
        <w:rPr>
          <w:lang w:val="es-MX"/>
        </w:rPr>
        <w:t xml:space="preserve">223.  </w:t>
      </w:r>
      <w:r>
        <w:rPr>
          <w:rFonts w:hint="eastAsia"/>
          <w:lang w:val="es-MX"/>
        </w:rPr>
        <w:t>我们将依据《公约》第三十三条</w:t>
      </w:r>
      <w:r>
        <w:rPr>
          <w:rFonts w:hint="eastAsia"/>
          <w:lang w:val="es-MX"/>
        </w:rPr>
        <w:t>(</w:t>
      </w:r>
      <w:r>
        <w:rPr>
          <w:rFonts w:hint="eastAsia"/>
          <w:lang w:val="es-MX"/>
        </w:rPr>
        <w:t>国家实施和监测</w:t>
      </w:r>
      <w:r>
        <w:rPr>
          <w:rFonts w:hint="eastAsia"/>
          <w:lang w:val="es-MX"/>
        </w:rPr>
        <w:t>)</w:t>
      </w:r>
      <w:r>
        <w:rPr>
          <w:rFonts w:hint="eastAsia"/>
          <w:lang w:val="es-MX"/>
        </w:rPr>
        <w:t>的规定开展相关工作，并且已经责成全国康复和特殊教育委员会提交报告。</w:t>
      </w:r>
    </w:p>
    <w:p w:rsidR="00CE4DFD" w:rsidRDefault="00CE4DFD">
      <w:pPr>
        <w:pStyle w:val="H23GC"/>
      </w:pPr>
      <w:r>
        <w:tab/>
        <w:t>1.</w:t>
      </w:r>
      <w:r>
        <w:rPr>
          <w:rFonts w:ascii="SimSun" w:eastAsia="SimSun" w:hAnsi="SimSun" w:cs="SimSun" w:hint="eastAsia"/>
        </w:rPr>
        <w:tab/>
      </w:r>
      <w:bookmarkStart w:id="55" w:name="_Toc352758999"/>
      <w:r>
        <w:t>实施的行动和专项资金</w:t>
      </w:r>
      <w:bookmarkEnd w:id="55"/>
    </w:p>
    <w:p w:rsidR="00CE4DFD" w:rsidRDefault="00CE4DFD">
      <w:pPr>
        <w:pStyle w:val="SingleTxtGC"/>
        <w:rPr>
          <w:rFonts w:hint="eastAsia"/>
          <w:lang w:val="es-MX"/>
        </w:rPr>
      </w:pPr>
      <w:r>
        <w:rPr>
          <w:lang w:val="es-MX"/>
        </w:rPr>
        <w:t xml:space="preserve">224.  </w:t>
      </w:r>
      <w:r>
        <w:rPr>
          <w:rFonts w:hint="eastAsia"/>
          <w:lang w:val="es-MX"/>
        </w:rPr>
        <w:t>在监督和推动《公约》实施方面，只有全国康复和特殊教育委员会报告的相关行动情况，目前该机构还负责对残疾人权利的监查、促进和保护工作，因此，报告的内容主要涉及围绕《公约》第三十三条第</w:t>
      </w:r>
      <w:r>
        <w:rPr>
          <w:rFonts w:hint="eastAsia"/>
          <w:lang w:val="es-MX"/>
        </w:rPr>
        <w:t>1</w:t>
      </w:r>
      <w:r>
        <w:rPr>
          <w:rFonts w:hint="eastAsia"/>
          <w:lang w:val="es-MX"/>
        </w:rPr>
        <w:t>款和第</w:t>
      </w:r>
      <w:r>
        <w:rPr>
          <w:rFonts w:hint="eastAsia"/>
          <w:lang w:val="es-MX"/>
        </w:rPr>
        <w:t>3</w:t>
      </w:r>
      <w:r>
        <w:rPr>
          <w:rFonts w:hint="eastAsia"/>
          <w:lang w:val="es-MX"/>
        </w:rPr>
        <w:t>款规定采取的行动。</w:t>
      </w:r>
    </w:p>
    <w:p w:rsidR="00CE4DFD" w:rsidRDefault="00CE4DFD">
      <w:pPr>
        <w:pStyle w:val="SingleTxtGC"/>
        <w:rPr>
          <w:rFonts w:hint="eastAsia"/>
          <w:lang w:val="es-MX"/>
        </w:rPr>
      </w:pPr>
      <w:r>
        <w:rPr>
          <w:lang w:val="es-MX"/>
        </w:rPr>
        <w:t xml:space="preserve">225.  </w:t>
      </w:r>
      <w:r>
        <w:rPr>
          <w:rFonts w:hint="eastAsia"/>
          <w:lang w:val="es-MX"/>
        </w:rPr>
        <w:t>在这方面采取的主要行动，涉及与保障残疾人参与政治和公共生活权利有关的领域，重点集中在陪护、咨询以及对</w:t>
      </w:r>
      <w:r>
        <w:rPr>
          <w:rFonts w:hint="eastAsia"/>
          <w:lang w:val="es-MX"/>
        </w:rPr>
        <w:t>2010</w:t>
      </w:r>
      <w:r>
        <w:rPr>
          <w:rFonts w:hint="eastAsia"/>
          <w:lang w:val="es-MX"/>
        </w:rPr>
        <w:t>年选举活动进行监查。具体来说，就相关监察工作对各方面的人员进行了培训，让他们成为最高选举法院授权的观察员。这项行动主要从两方面入手：一是投票站物理环境无障碍，二是检查残疾人在行使投票权的时候权利是否得到尊重，在进行监查工作之前，对全国所有收到观察员委任状的人员进行了一次培训，并且来自全国各地的</w:t>
      </w:r>
      <w:r>
        <w:rPr>
          <w:rFonts w:hint="eastAsia"/>
          <w:lang w:val="es-MX"/>
        </w:rPr>
        <w:t>38</w:t>
      </w:r>
      <w:r>
        <w:rPr>
          <w:rFonts w:hint="eastAsia"/>
          <w:lang w:val="es-MX"/>
        </w:rPr>
        <w:t>位残疾人也积极参加了全程培训。</w:t>
      </w:r>
    </w:p>
    <w:p w:rsidR="00CE4DFD" w:rsidRDefault="00CE4DFD">
      <w:pPr>
        <w:pStyle w:val="SingleTxtGC"/>
        <w:rPr>
          <w:lang w:val="es-MX"/>
        </w:rPr>
      </w:pPr>
      <w:r>
        <w:rPr>
          <w:lang w:val="es-MX"/>
        </w:rPr>
        <w:t xml:space="preserve">226.  </w:t>
      </w:r>
      <w:r>
        <w:rPr>
          <w:rFonts w:hint="eastAsia"/>
          <w:lang w:val="es-MX"/>
        </w:rPr>
        <w:t>同样，正如在关于参与政治和公共生活的篇章中所指出的，相关主管机构针对国家和地方重要决策部门</w:t>
      </w:r>
      <w:r>
        <w:rPr>
          <w:rFonts w:hint="eastAsia"/>
          <w:lang w:val="es-MX"/>
        </w:rPr>
        <w:t>(</w:t>
      </w:r>
      <w:r>
        <w:rPr>
          <w:rFonts w:hint="eastAsia"/>
          <w:lang w:val="es-MX"/>
        </w:rPr>
        <w:t>本届立法大会中各派别的议员、各部委主管领导、各市市长以及候选人</w:t>
      </w:r>
      <w:r>
        <w:rPr>
          <w:rFonts w:hint="eastAsia"/>
          <w:lang w:val="es-MX"/>
        </w:rPr>
        <w:t>)</w:t>
      </w:r>
      <w:r>
        <w:rPr>
          <w:rFonts w:hint="eastAsia"/>
          <w:lang w:val="es-MX"/>
        </w:rPr>
        <w:t>也采取了行动，为的是把残疾人的各种需要纳入到政治工作日程当中。</w:t>
      </w:r>
    </w:p>
    <w:p w:rsidR="00CE4DFD" w:rsidRDefault="00CE4DFD">
      <w:pPr>
        <w:pStyle w:val="SingleTxtGC"/>
        <w:rPr>
          <w:rFonts w:hint="eastAsia"/>
          <w:lang w:val="es-MX"/>
        </w:rPr>
      </w:pPr>
      <w:r>
        <w:rPr>
          <w:lang w:val="es-MX"/>
        </w:rPr>
        <w:t xml:space="preserve">227.  </w:t>
      </w:r>
      <w:r>
        <w:rPr>
          <w:rFonts w:hint="eastAsia"/>
          <w:lang w:val="es-MX"/>
        </w:rPr>
        <w:t>对这些部门开展了直接宣导工作，其中《残疾人权利公约》成为各种会议的中心议题之一，在会上不仅向这些部门分发了《公约》文本，还就《公约》的适用范围进行了解释，在这期间，始终把恢复残疾人权利以及推进改善全体公民生活质量的行动当作中心内容。</w:t>
      </w:r>
    </w:p>
    <w:p w:rsidR="00CE4DFD" w:rsidRDefault="00CE4DFD">
      <w:pPr>
        <w:pStyle w:val="SingleTxtGC"/>
        <w:rPr>
          <w:lang w:val="es-MX"/>
        </w:rPr>
      </w:pPr>
      <w:r>
        <w:rPr>
          <w:lang w:val="es-MX"/>
        </w:rPr>
        <w:t xml:space="preserve">228.  </w:t>
      </w:r>
      <w:r>
        <w:rPr>
          <w:rFonts w:hint="eastAsia"/>
          <w:lang w:val="es-MX"/>
        </w:rPr>
        <w:t>正如此前所指出的，这些行动主要面向哥斯达黎加不同层次的政治派系，希望有更多的团体意识到，在政治日程中很少涉及到残疾问题，并因此懂得《公约》的重要性，因为它是产生国家责任的因素之一。</w:t>
      </w:r>
    </w:p>
    <w:p w:rsidR="00CE4DFD" w:rsidRDefault="00CE4DFD">
      <w:pPr>
        <w:pStyle w:val="SingleTxtGC"/>
        <w:rPr>
          <w:lang w:val="es-MX"/>
        </w:rPr>
      </w:pPr>
      <w:r>
        <w:rPr>
          <w:lang w:val="es-MX"/>
        </w:rPr>
        <w:t xml:space="preserve">229.  </w:t>
      </w:r>
      <w:r>
        <w:rPr>
          <w:rFonts w:hint="eastAsia"/>
          <w:lang w:val="es-MX"/>
        </w:rPr>
        <w:t>在前期阶段取得的主要成果包括：把残疾问题纳入到立法大会正在讨论的各项议案当中，通过《国家发展计划》进行直接宣导，加强全国康复和特殊教育委员会的领导职能，与决策者们面对面开展工作，并确定应当把残疾问题贯穿到各种国家项目当中，在惠及残疾人的专项任务中保持机构之间的联系和工作，除此之外，还确立了新闻媒体对于在公民当中产生反响的重要作用，这也使得人们能够理解，应当把残疾问题纳入到国家政治日程当中。</w:t>
      </w:r>
    </w:p>
    <w:p w:rsidR="00CE4DFD" w:rsidRDefault="00CE4DFD">
      <w:pPr>
        <w:pStyle w:val="SingleTxtGC"/>
        <w:rPr>
          <w:lang w:val="es-MX"/>
        </w:rPr>
      </w:pPr>
      <w:r>
        <w:rPr>
          <w:lang w:val="es-MX"/>
        </w:rPr>
        <w:t xml:space="preserve">230.  </w:t>
      </w:r>
      <w:r>
        <w:rPr>
          <w:rFonts w:hint="eastAsia"/>
          <w:lang w:val="es-MX"/>
        </w:rPr>
        <w:t>必须指出的是，在对《公约》实施情况进行监督方面，特别是涉及到第三十三条的问题，哥斯达黎加正在审批一份法令，关于批准全国康复和特殊教育委员会负责实施监督工作并起草相关国家报告。</w:t>
      </w:r>
    </w:p>
    <w:p w:rsidR="00CE4DFD" w:rsidRDefault="00CE4DFD">
      <w:pPr>
        <w:pStyle w:val="SingleTxtGC"/>
        <w:rPr>
          <w:lang w:val="en-GB"/>
        </w:rPr>
      </w:pPr>
      <w:r>
        <w:rPr>
          <w:lang w:val="es-MX"/>
        </w:rPr>
        <w:t xml:space="preserve">231.  </w:t>
      </w:r>
      <w:r>
        <w:rPr>
          <w:rFonts w:hint="eastAsia"/>
          <w:lang w:val="es-MX"/>
        </w:rPr>
        <w:t>此外，针对《公约》第三十一条的要求，哥斯达黎加取得了重要成果，也就是，在</w:t>
      </w:r>
      <w:r>
        <w:rPr>
          <w:rFonts w:hint="eastAsia"/>
          <w:lang w:val="es-MX"/>
        </w:rPr>
        <w:t>2011</w:t>
      </w:r>
      <w:r>
        <w:rPr>
          <w:rFonts w:hint="eastAsia"/>
          <w:lang w:val="es-MX"/>
        </w:rPr>
        <w:t>年</w:t>
      </w:r>
      <w:r>
        <w:rPr>
          <w:rFonts w:hint="eastAsia"/>
          <w:lang w:val="es-MX"/>
        </w:rPr>
        <w:t>2</w:t>
      </w:r>
      <w:r>
        <w:rPr>
          <w:rFonts w:hint="eastAsia"/>
          <w:lang w:val="es-MX"/>
        </w:rPr>
        <w:t>月批准通过了关于建立国家残疾人统计登记制度的法令。同样，哥斯达黎加还打算按照《残疾人权利公约》以及《</w:t>
      </w:r>
      <w:r>
        <w:rPr>
          <w:rFonts w:hint="eastAsia"/>
          <w:lang w:val="en-GB"/>
        </w:rPr>
        <w:t>国际功能、残疾和健康分类</w:t>
      </w:r>
      <w:r>
        <w:rPr>
          <w:rFonts w:hint="eastAsia"/>
          <w:lang w:val="es-MX"/>
        </w:rPr>
        <w:t>》，设计一种以个人能力为基准的统计方式，希望以此来解决社会包容性问题。</w:t>
      </w:r>
      <w:r>
        <w:rPr>
          <w:rFonts w:hint="eastAsia"/>
          <w:lang w:val="en-GB"/>
        </w:rPr>
        <w:t>有了这项规定，将提升相关信息的数量和质量，可以说，这比《公约》提出的要求更进一步。</w:t>
      </w:r>
    </w:p>
    <w:p w:rsidR="00CE4DFD" w:rsidRDefault="00CE4DFD">
      <w:pPr>
        <w:pStyle w:val="H23GC"/>
      </w:pPr>
      <w:r>
        <w:tab/>
        <w:t>2.</w:t>
      </w:r>
      <w:r>
        <w:rPr>
          <w:rFonts w:ascii="SimSun" w:eastAsia="SimSun" w:hAnsi="SimSun" w:cs="SimSun" w:hint="eastAsia"/>
        </w:rPr>
        <w:tab/>
      </w:r>
      <w:bookmarkStart w:id="56" w:name="_Toc352759000"/>
      <w:r>
        <w:t>民间社会的意见</w:t>
      </w:r>
      <w:bookmarkEnd w:id="56"/>
    </w:p>
    <w:p w:rsidR="00CE4DFD" w:rsidRDefault="00CE4DFD">
      <w:pPr>
        <w:pStyle w:val="SingleTxtGC"/>
        <w:rPr>
          <w:rFonts w:hint="eastAsia"/>
          <w:lang w:val="es-MX"/>
        </w:rPr>
      </w:pPr>
      <w:r>
        <w:rPr>
          <w:lang w:val="es-MX"/>
        </w:rPr>
        <w:t xml:space="preserve">232.  </w:t>
      </w:r>
      <w:r>
        <w:rPr>
          <w:rFonts w:hint="eastAsia"/>
          <w:lang w:val="es-MX"/>
        </w:rPr>
        <w:t>代表民间社会的非政府组织提出的中心问题是，需要强化全国康复和特殊教育委员会的领导职能，通过这种方法可以更好的改进国家正在实施的监督工作，这是因为，没有人去了解相关组织需要什么，同样也没有对国家机构以及市政府正在实施的行动进行监督。人们指出，全国康复和特殊教育委员会一直以来都担负着重要的领导工作，但在执行公约以及实施监督的时候，却得不到国家的全力支持。</w:t>
      </w:r>
    </w:p>
    <w:p w:rsidR="00CE4DFD" w:rsidRDefault="00CE4DFD">
      <w:pPr>
        <w:pStyle w:val="SingleTxtGC"/>
        <w:rPr>
          <w:lang w:val="es-MX"/>
        </w:rPr>
      </w:pPr>
      <w:r>
        <w:rPr>
          <w:lang w:val="es-MX"/>
        </w:rPr>
        <w:t xml:space="preserve">233.  </w:t>
      </w:r>
      <w:r>
        <w:rPr>
          <w:rFonts w:hint="eastAsia"/>
          <w:lang w:val="es-MX"/>
        </w:rPr>
        <w:t>随着全国康复和特殊教育委员会的职能得到加强，人们希望在尊重并宣传《公约》以及残疾人权利方面加大对各相关机构的监督力度。</w:t>
      </w:r>
    </w:p>
    <w:p w:rsidR="00CE4DFD" w:rsidRDefault="00CE4DFD">
      <w:pPr>
        <w:pStyle w:val="HChGC"/>
        <w:rPr>
          <w:rFonts w:hint="eastAsia"/>
        </w:rPr>
      </w:pPr>
      <w:bookmarkStart w:id="57" w:name="_Toc287347914"/>
      <w:r>
        <w:tab/>
      </w:r>
      <w:r>
        <w:rPr>
          <w:rFonts w:hint="eastAsia"/>
        </w:rPr>
        <w:t>三</w:t>
      </w:r>
      <w:r>
        <w:t>.</w:t>
      </w:r>
      <w:bookmarkEnd w:id="57"/>
      <w:r>
        <w:rPr>
          <w:rFonts w:ascii="SimSun" w:eastAsia="SimSun" w:hAnsi="SimSun" w:cs="SimSun" w:hint="eastAsia"/>
        </w:rPr>
        <w:tab/>
      </w:r>
      <w:bookmarkStart w:id="58" w:name="_Toc352759001"/>
      <w:r>
        <w:rPr>
          <w:rFonts w:hint="eastAsia"/>
        </w:rPr>
        <w:t>总体结论</w:t>
      </w:r>
      <w:bookmarkEnd w:id="58"/>
    </w:p>
    <w:p w:rsidR="00CE4DFD" w:rsidRDefault="00CE4DFD">
      <w:pPr>
        <w:pStyle w:val="SingleTxtGC"/>
        <w:rPr>
          <w:lang w:val="es-MX"/>
        </w:rPr>
      </w:pPr>
      <w:r>
        <w:rPr>
          <w:lang w:val="es-MX"/>
        </w:rPr>
        <w:t xml:space="preserve">234.  </w:t>
      </w:r>
      <w:r>
        <w:rPr>
          <w:rFonts w:hint="eastAsia"/>
          <w:lang w:val="es-MX"/>
        </w:rPr>
        <w:t>考虑到本报告结论的重要性，我们认为最好把总体结论篇章放到特定文件当中，而不是放到附件里，因此，利用下面的篇幅介绍其中一些结论。</w:t>
      </w:r>
    </w:p>
    <w:p w:rsidR="00CE4DFD" w:rsidRDefault="00CE4DFD">
      <w:pPr>
        <w:pStyle w:val="SingleTxtGC"/>
        <w:rPr>
          <w:rFonts w:hint="eastAsia"/>
          <w:lang w:val="es-MX"/>
        </w:rPr>
      </w:pPr>
      <w:r>
        <w:rPr>
          <w:lang w:val="es-MX"/>
        </w:rPr>
        <w:t xml:space="preserve">235.  </w:t>
      </w:r>
      <w:r>
        <w:rPr>
          <w:rFonts w:hint="eastAsia"/>
          <w:lang w:val="es-MX"/>
        </w:rPr>
        <w:t>总体来说，为执行关于残疾问题的有关规定以及提高残疾人的生活条件，哥斯达黎加各相关国家机构付出了巨大努力，然而，这些努力更多地是着眼于执行那些与物理环境无障碍有关的要求，其次关注的是获得信息无障碍的问题，但把那些需要按照《公约》要求加以考虑的其他重要部分抛到一边，之所以会这样，是因为这些行动为的是执行</w:t>
      </w:r>
      <w:r>
        <w:rPr>
          <w:rFonts w:hint="eastAsia"/>
          <w:lang w:val="es-MX"/>
        </w:rPr>
        <w:t>1996</w:t>
      </w:r>
      <w:r>
        <w:rPr>
          <w:rFonts w:hint="eastAsia"/>
          <w:lang w:val="es-MX"/>
        </w:rPr>
        <w:t>年颁布的《残疾人机会平等法》</w:t>
      </w:r>
      <w:r>
        <w:rPr>
          <w:rFonts w:hint="eastAsia"/>
          <w:lang w:val="es-MX"/>
        </w:rPr>
        <w:t>(</w:t>
      </w:r>
      <w:r>
        <w:rPr>
          <w:rFonts w:hint="eastAsia"/>
          <w:lang w:val="es-MX"/>
        </w:rPr>
        <w:t>第</w:t>
      </w:r>
      <w:r>
        <w:rPr>
          <w:rFonts w:hint="eastAsia"/>
          <w:lang w:val="es-MX"/>
        </w:rPr>
        <w:t>7600</w:t>
      </w:r>
      <w:r>
        <w:rPr>
          <w:rFonts w:hint="eastAsia"/>
          <w:lang w:val="es-MX"/>
        </w:rPr>
        <w:t>号法律</w:t>
      </w:r>
      <w:r>
        <w:rPr>
          <w:rFonts w:hint="eastAsia"/>
          <w:lang w:val="es-MX"/>
        </w:rPr>
        <w:t>)</w:t>
      </w:r>
      <w:r>
        <w:rPr>
          <w:rFonts w:hint="eastAsia"/>
          <w:lang w:val="es-MX"/>
        </w:rPr>
        <w:t>，而很少是为了执行针对《公约》颁布的第</w:t>
      </w:r>
      <w:r>
        <w:rPr>
          <w:rFonts w:hint="eastAsia"/>
          <w:lang w:val="es-MX"/>
        </w:rPr>
        <w:t>8661</w:t>
      </w:r>
      <w:r>
        <w:rPr>
          <w:rFonts w:hint="eastAsia"/>
          <w:lang w:val="es-MX"/>
        </w:rPr>
        <w:t>号法律，这反映出，人们还保持着从医学角度看待残疾问题的观念，只把残疾人状况聚焦到主体功能问题上，完全没有从多样性以及通用设计方面，考虑与国家和机构的包容性政策有关的其他问题。</w:t>
      </w:r>
    </w:p>
    <w:p w:rsidR="00CE4DFD" w:rsidRDefault="00CE4DFD">
      <w:pPr>
        <w:pStyle w:val="SingleTxtGC"/>
        <w:rPr>
          <w:lang w:val="es-MX"/>
        </w:rPr>
      </w:pPr>
      <w:r>
        <w:rPr>
          <w:lang w:val="es-MX"/>
        </w:rPr>
        <w:t xml:space="preserve">236.  </w:t>
      </w:r>
      <w:r>
        <w:rPr>
          <w:rFonts w:hint="eastAsia"/>
          <w:lang w:val="es-MX"/>
        </w:rPr>
        <w:t>在教育、卫生以及司法领域取得了较大进展，但是，在教育方面还需要对教育体制进行全面检讨，应当更多地从多样性角度而非一致性角度考虑问题，增强自我能力和潜力，这意味着，要从人类整体角度看待教育制度，使教育事业逐步获得发展。</w:t>
      </w:r>
    </w:p>
    <w:p w:rsidR="00CE4DFD" w:rsidRDefault="00CE4DFD">
      <w:pPr>
        <w:pStyle w:val="SingleTxtGC"/>
        <w:rPr>
          <w:lang w:val="es-MX"/>
        </w:rPr>
      </w:pPr>
      <w:r>
        <w:rPr>
          <w:lang w:val="es-MX"/>
        </w:rPr>
        <w:t xml:space="preserve">237.  </w:t>
      </w:r>
      <w:r>
        <w:rPr>
          <w:rFonts w:hint="eastAsia"/>
          <w:lang w:val="es-MX"/>
        </w:rPr>
        <w:t>显而易见的是，无论是在总体方面，还是在就业、卫生、经济和社会状况等特定方面，都缺少关于残疾人实际生活状况以及各种需要的数据资料。这主要表现在，大部分机构都没有提供关于针对各种残疾、年龄段和性别的残疾人实施行动的信息。此外，要强调在国内进行投资的必要性，并且有必要完成一次关于残疾问题的调查，通过调查可以获得有用的数据资料和信息，从而可以为解决残疾人状况问题做好短期、中期和长期的规划。</w:t>
      </w:r>
    </w:p>
    <w:p w:rsidR="00CE4DFD" w:rsidRDefault="00CE4DFD">
      <w:pPr>
        <w:pStyle w:val="SingleTxtGC"/>
        <w:rPr>
          <w:rFonts w:hint="eastAsia"/>
          <w:lang w:val="es-MX"/>
        </w:rPr>
      </w:pPr>
      <w:r>
        <w:rPr>
          <w:lang w:val="es-MX"/>
        </w:rPr>
        <w:t xml:space="preserve">238.  </w:t>
      </w:r>
      <w:r>
        <w:rPr>
          <w:rFonts w:hint="eastAsia"/>
          <w:lang w:val="es-MX"/>
        </w:rPr>
        <w:t>需要对残疾人的家庭问题进行更多的干预，因为一般来说，如果残疾人遭到社会排斥，那么残疾人的家庭也会面临同样的困扰，因此，为提高残疾人的生活质量，在行动中必须考虑周围环境因素，从一个整体角度来说，首先要从残疾人的家庭核心地位入手，并且要做到以人为本，为贫困残疾人提供经济资助，是为了满足他们最起码的需要，以便可以独立地发展。</w:t>
      </w:r>
    </w:p>
    <w:p w:rsidR="00CE4DFD" w:rsidRDefault="00CE4DFD">
      <w:pPr>
        <w:pStyle w:val="SingleTxtGC"/>
        <w:rPr>
          <w:lang w:val="es-MX"/>
        </w:rPr>
      </w:pPr>
      <w:r>
        <w:rPr>
          <w:lang w:val="es-MX"/>
        </w:rPr>
        <w:t xml:space="preserve">239.  </w:t>
      </w:r>
      <w:r>
        <w:rPr>
          <w:rFonts w:hint="eastAsia"/>
          <w:lang w:val="es-MX"/>
        </w:rPr>
        <w:t>根据各国家机构提供的数据资料，我们可以证实，对残疾人的服务是到位的，但从效果上来看，并没有实现哥斯达黎加残疾人口的发展和融合。例如，在</w:t>
      </w:r>
      <w:r>
        <w:rPr>
          <w:rFonts w:hint="eastAsia"/>
          <w:lang w:val="es-MX"/>
        </w:rPr>
        <w:t>2008</w:t>
      </w:r>
      <w:r>
        <w:rPr>
          <w:rFonts w:hint="eastAsia"/>
          <w:lang w:val="es-MX"/>
        </w:rPr>
        <w:t>至</w:t>
      </w:r>
      <w:r>
        <w:rPr>
          <w:rFonts w:hint="eastAsia"/>
          <w:lang w:val="es-MX"/>
        </w:rPr>
        <w:t>2010</w:t>
      </w:r>
      <w:r>
        <w:rPr>
          <w:rFonts w:hint="eastAsia"/>
          <w:lang w:val="es-MX"/>
        </w:rPr>
        <w:t>年期间，为解决残疾人状况问题，国家投入的资金为</w:t>
      </w:r>
      <w:r>
        <w:rPr>
          <w:lang w:val="es-MX"/>
        </w:rPr>
        <w:t>65,456,888,764</w:t>
      </w:r>
      <w:r>
        <w:rPr>
          <w:rFonts w:hint="eastAsia"/>
          <w:lang w:val="es-MX"/>
        </w:rPr>
        <w:t>.</w:t>
      </w:r>
      <w:r>
        <w:rPr>
          <w:lang w:val="es-MX"/>
        </w:rPr>
        <w:t>04</w:t>
      </w:r>
      <w:r>
        <w:rPr>
          <w:rFonts w:hint="eastAsia"/>
          <w:lang w:val="es-MX"/>
        </w:rPr>
        <w:t>科朗，折合</w:t>
      </w:r>
      <w:r>
        <w:rPr>
          <w:lang w:val="es-MX"/>
        </w:rPr>
        <w:t>129,004,895</w:t>
      </w:r>
      <w:r>
        <w:rPr>
          <w:rFonts w:hint="eastAsia"/>
          <w:lang w:val="es-MX"/>
        </w:rPr>
        <w:t>.</w:t>
      </w:r>
      <w:r>
        <w:rPr>
          <w:lang w:val="es-MX"/>
        </w:rPr>
        <w:t>57</w:t>
      </w:r>
      <w:r>
        <w:rPr>
          <w:rFonts w:hint="eastAsia"/>
          <w:lang w:val="es-MX"/>
        </w:rPr>
        <w:t>美元，其中在保障最低生活水平方面，投资额大约达到</w:t>
      </w:r>
      <w:r>
        <w:rPr>
          <w:lang w:val="es-MX"/>
        </w:rPr>
        <w:t>7,290,579,453</w:t>
      </w:r>
      <w:r>
        <w:rPr>
          <w:rFonts w:hint="eastAsia"/>
          <w:lang w:val="es-MX"/>
        </w:rPr>
        <w:t>.</w:t>
      </w:r>
      <w:r>
        <w:rPr>
          <w:lang w:val="es-MX"/>
        </w:rPr>
        <w:t>51</w:t>
      </w:r>
      <w:r>
        <w:rPr>
          <w:rFonts w:hint="eastAsia"/>
          <w:lang w:val="es-MX"/>
        </w:rPr>
        <w:t>科朗，折合</w:t>
      </w:r>
      <w:r>
        <w:rPr>
          <w:lang w:val="es-MX"/>
        </w:rPr>
        <w:t>14,227,445</w:t>
      </w:r>
      <w:r>
        <w:rPr>
          <w:rFonts w:hint="eastAsia"/>
          <w:lang w:val="es-MX"/>
        </w:rPr>
        <w:t>.</w:t>
      </w:r>
      <w:r>
        <w:rPr>
          <w:lang w:val="es-MX"/>
        </w:rPr>
        <w:t>39</w:t>
      </w:r>
      <w:r>
        <w:rPr>
          <w:rFonts w:hint="eastAsia"/>
          <w:lang w:val="es-MX"/>
        </w:rPr>
        <w:t>美元。然而，同期哥斯达黎加贫困人口比例从</w:t>
      </w:r>
      <w:r>
        <w:rPr>
          <w:rFonts w:hint="eastAsia"/>
          <w:lang w:val="es-MX"/>
        </w:rPr>
        <w:t>21%</w:t>
      </w:r>
      <w:r>
        <w:rPr>
          <w:rFonts w:hint="eastAsia"/>
          <w:lang w:val="es-MX"/>
        </w:rPr>
        <w:t>上升到</w:t>
      </w:r>
      <w:r>
        <w:rPr>
          <w:rFonts w:hint="eastAsia"/>
          <w:lang w:val="es-MX"/>
        </w:rPr>
        <w:t>24%</w:t>
      </w:r>
      <w:r>
        <w:rPr>
          <w:rFonts w:hint="eastAsia"/>
          <w:lang w:val="es-MX"/>
        </w:rPr>
        <w:t>，如果考虑残疾</w:t>
      </w:r>
      <w:r>
        <w:rPr>
          <w:rFonts w:hint="eastAsia"/>
          <w:spacing w:val="-50"/>
          <w:lang w:val="es-MX"/>
        </w:rPr>
        <w:t>―</w:t>
      </w:r>
      <w:r>
        <w:rPr>
          <w:rFonts w:hint="eastAsia"/>
          <w:lang w:val="es-MX"/>
        </w:rPr>
        <w:t>―排斥</w:t>
      </w:r>
      <w:r>
        <w:rPr>
          <w:rFonts w:hint="eastAsia"/>
          <w:spacing w:val="-50"/>
          <w:lang w:val="es-MX"/>
        </w:rPr>
        <w:t>―</w:t>
      </w:r>
      <w:r>
        <w:rPr>
          <w:rFonts w:hint="eastAsia"/>
          <w:lang w:val="es-MX"/>
        </w:rPr>
        <w:t>―贫穷这三者之间的直接联系，就得出这样的结论，这部分人口的处境更加脆弱无助。</w:t>
      </w:r>
    </w:p>
    <w:p w:rsidR="00CE4DFD" w:rsidRDefault="00CE4DFD">
      <w:pPr>
        <w:pStyle w:val="SingleTxtGC"/>
        <w:rPr>
          <w:rFonts w:hint="eastAsia"/>
          <w:lang w:val="es-MX"/>
        </w:rPr>
      </w:pPr>
      <w:r>
        <w:rPr>
          <w:lang w:val="es-MX"/>
        </w:rPr>
        <w:t xml:space="preserve">240.  </w:t>
      </w:r>
      <w:r>
        <w:rPr>
          <w:rFonts w:hint="eastAsia"/>
          <w:lang w:val="es-MX"/>
        </w:rPr>
        <w:t>由此可见，残疾人的现状基本上归因于以下三大因素：</w:t>
      </w:r>
      <w:r>
        <w:rPr>
          <w:lang w:val="es-MX"/>
        </w:rPr>
        <w:t>(</w:t>
      </w:r>
      <w:r>
        <w:rPr>
          <w:rFonts w:hint="eastAsia"/>
          <w:lang w:val="es-MX"/>
        </w:rPr>
        <w:t>a)</w:t>
      </w:r>
      <w:r>
        <w:rPr>
          <w:lang w:val="es-MX"/>
        </w:rPr>
        <w:t xml:space="preserve"> </w:t>
      </w:r>
      <w:r>
        <w:rPr>
          <w:rFonts w:hint="eastAsia"/>
          <w:lang w:val="es-MX"/>
        </w:rPr>
        <w:t>缺少一项从权利角度出发、需要较少援助并且囊括各种专项政策</w:t>
      </w:r>
      <w:r>
        <w:rPr>
          <w:rFonts w:hint="eastAsia"/>
          <w:lang w:val="es-MX"/>
        </w:rPr>
        <w:t>(</w:t>
      </w:r>
      <w:r>
        <w:rPr>
          <w:rFonts w:hint="eastAsia"/>
          <w:lang w:val="es-MX"/>
        </w:rPr>
        <w:t>卫生、就业、教育</w:t>
      </w:r>
      <w:r>
        <w:rPr>
          <w:rFonts w:hint="eastAsia"/>
          <w:lang w:val="es-MX"/>
        </w:rPr>
        <w:t>)</w:t>
      </w:r>
      <w:r>
        <w:rPr>
          <w:rFonts w:hint="eastAsia"/>
          <w:lang w:val="es-MX"/>
        </w:rPr>
        <w:t>的国家残疾政策，因而难以实施一些旨在使残疾人获得全面发展、提高生活质量并融入社会的行动；</w:t>
      </w:r>
      <w:r>
        <w:rPr>
          <w:lang w:val="es-MX"/>
        </w:rPr>
        <w:t>(</w:t>
      </w:r>
      <w:r>
        <w:rPr>
          <w:rFonts w:hint="eastAsia"/>
          <w:lang w:val="es-MX"/>
        </w:rPr>
        <w:t>b)</w:t>
      </w:r>
      <w:r>
        <w:rPr>
          <w:lang w:val="es-MX"/>
        </w:rPr>
        <w:t xml:space="preserve"> </w:t>
      </w:r>
      <w:r>
        <w:rPr>
          <w:rFonts w:hint="eastAsia"/>
          <w:lang w:val="es-MX"/>
        </w:rPr>
        <w:t>各行各业在实施行动过程中存在严重脱节的问题，因而无法在残疾人发展以及提高生活质量方面有更大的效果；</w:t>
      </w:r>
      <w:r>
        <w:rPr>
          <w:lang w:val="es-MX"/>
        </w:rPr>
        <w:t>(</w:t>
      </w:r>
      <w:r>
        <w:rPr>
          <w:rFonts w:hint="eastAsia"/>
          <w:lang w:val="es-MX"/>
        </w:rPr>
        <w:t>c)</w:t>
      </w:r>
      <w:r>
        <w:rPr>
          <w:lang w:val="es-MX"/>
        </w:rPr>
        <w:t xml:space="preserve"> </w:t>
      </w:r>
      <w:r>
        <w:rPr>
          <w:rFonts w:hint="eastAsia"/>
          <w:lang w:val="es-MX"/>
        </w:rPr>
        <w:t>尽管最近两年全国康复和特殊教育委员会作为残疾问题主管机构的地位明显得到提升，但需要进一步强化其内部组织结构，因为，地位的提升可能使该机构的责任超过原有的工作能力，特别是在为满足相关机构和民众的需要进行监督、提供咨询、及时有效地协调有利于残疾人发展和融合的各项行动的时候。</w:t>
      </w:r>
    </w:p>
    <w:p w:rsidR="00CE4DFD" w:rsidRDefault="00CE4DFD">
      <w:pPr>
        <w:pStyle w:val="SingleTxtGC"/>
        <w:rPr>
          <w:rFonts w:hint="eastAsia"/>
          <w:lang w:val="es-MX"/>
        </w:rPr>
      </w:pPr>
      <w:r>
        <w:rPr>
          <w:lang w:val="es-MX"/>
        </w:rPr>
        <w:t xml:space="preserve">241.  </w:t>
      </w:r>
      <w:r>
        <w:rPr>
          <w:rFonts w:hint="eastAsia"/>
          <w:lang w:val="es-MX"/>
        </w:rPr>
        <w:t>最后需要指出的是，在起草本报告的过程中，民间社会参与对各机构提供的信息进行审议和分析，这一点是非常重要的，不仅能够因此让我们做到过程透明，而且可以从他们的经验和实际情况当中了解到关于残疾人生活处境的重要信息，而由于残疾问题的复杂性，多数情况下我们很难认清事实并进行量化，这是因为需要考虑的因素太多了。民间社会的参与为我们指明了方向，不仅能够让我们验证国家相关行动的效果，而且就像过滤器一样，可以看看国家在建立包容性社会方面做的好不好，此外还为我们今后提出行动方案划定了路线。</w:t>
      </w:r>
    </w:p>
    <w:p w:rsidR="00CE4DFD" w:rsidRDefault="00CE4DFD">
      <w:pPr>
        <w:pStyle w:val="Bullet1GC"/>
        <w:numPr>
          <w:ilvl w:val="0"/>
          <w:numId w:val="0"/>
        </w:numPr>
        <w:ind w:left="1616"/>
      </w:pPr>
    </w:p>
    <w:p w:rsidR="00CE4DFD" w:rsidRDefault="00CE4DFD">
      <w:pPr>
        <w:spacing w:before="240"/>
        <w:jc w:val="center"/>
      </w:pPr>
      <w:r>
        <w:rPr>
          <w:rFonts w:hint="eastAsia"/>
          <w:u w:val="single"/>
        </w:rPr>
        <w:tab/>
      </w:r>
      <w:r>
        <w:rPr>
          <w:rFonts w:hint="eastAsia"/>
          <w:u w:val="single"/>
        </w:rPr>
        <w:tab/>
      </w:r>
      <w:r>
        <w:rPr>
          <w:rFonts w:hint="eastAsia"/>
          <w:u w:val="single"/>
        </w:rPr>
        <w:tab/>
      </w:r>
      <w:r>
        <w:rPr>
          <w:u w:val="single"/>
        </w:rPr>
        <w:tab/>
      </w:r>
    </w:p>
    <w:sectPr w:rsidR="00CE4DF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DFD" w:rsidRDefault="00CE4DF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E4DFD" w:rsidRDefault="00CE4DFD">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54F" w:rsidRDefault="008A254F">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7411B">
      <w:rPr>
        <w:rStyle w:val="PageNumber"/>
        <w:noProof/>
      </w:rPr>
      <w:t>8</w:t>
    </w:r>
    <w:r>
      <w:rPr>
        <w:rStyle w:val="PageNumber"/>
      </w:rPr>
      <w:fldChar w:fldCharType="end"/>
    </w:r>
    <w:r>
      <w:rPr>
        <w:rStyle w:val="PageNumber"/>
        <w:rFonts w:hint="eastAsia"/>
        <w:lang w:eastAsia="zh-CN"/>
      </w:rPr>
      <w:tab/>
    </w:r>
    <w:r>
      <w:rPr>
        <w:lang w:eastAsia="zh-CN"/>
      </w:rPr>
      <w:t>GE.13-41089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54F" w:rsidRDefault="008A254F">
    <w:pPr>
      <w:pStyle w:val="Footer"/>
      <w:tabs>
        <w:tab w:val="right" w:pos="9639"/>
      </w:tabs>
    </w:pPr>
    <w:r>
      <w:rPr>
        <w:lang w:eastAsia="zh-CN"/>
      </w:rPr>
      <w:t>GE.13-41089 (EXT)</w:t>
    </w:r>
    <w:r>
      <w:tab/>
    </w:r>
    <w:r>
      <w:rPr>
        <w:rStyle w:val="PageNumber"/>
      </w:rPr>
      <w:fldChar w:fldCharType="begin"/>
    </w:r>
    <w:r>
      <w:rPr>
        <w:rStyle w:val="PageNumber"/>
      </w:rPr>
      <w:instrText xml:space="preserve"> PAGE </w:instrText>
    </w:r>
    <w:r>
      <w:rPr>
        <w:rStyle w:val="PageNumber"/>
      </w:rPr>
      <w:fldChar w:fldCharType="separate"/>
    </w:r>
    <w:r w:rsidR="0027411B">
      <w:rPr>
        <w:rStyle w:val="PageNumber"/>
        <w:noProof/>
      </w:rPr>
      <w:t>39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54F" w:rsidRDefault="008A254F">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3-41089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DFD" w:rsidRDefault="00CE4DF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CE4DFD" w:rsidRDefault="00CE4DF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8A254F" w:rsidRDefault="008A254F">
      <w:pPr>
        <w:pStyle w:val="FootnoteText"/>
      </w:pPr>
      <w:r>
        <w:tab/>
      </w:r>
      <w:r>
        <w:rPr>
          <w:rStyle w:val="FootnoteReference"/>
          <w:vertAlign w:val="baseline"/>
        </w:rPr>
        <w:t>*</w:t>
      </w:r>
      <w:r>
        <w:rPr>
          <w:rStyle w:val="FootnoteReference"/>
          <w:vertAlign w:val="baseline"/>
        </w:rPr>
        <w:tab/>
      </w:r>
      <w:r>
        <w:t>按照已通知各缔约国的报告处理方法，本文件在送交联合国翻译部门前未经正式编辑。</w:t>
      </w:r>
    </w:p>
  </w:footnote>
  <w:footnote w:id="2">
    <w:p w:rsidR="008A254F" w:rsidRDefault="008A254F">
      <w:pPr>
        <w:pStyle w:val="FootnoteText"/>
      </w:pPr>
      <w:r>
        <w:tab/>
      </w:r>
      <w:r>
        <w:rPr>
          <w:rStyle w:val="FootnoteReference"/>
          <w:vertAlign w:val="baseline"/>
        </w:rPr>
        <w:t>**</w:t>
      </w:r>
      <w:r>
        <w:tab/>
      </w:r>
      <w:r>
        <w:rPr>
          <w:rFonts w:hint="eastAsia"/>
          <w:szCs w:val="18"/>
        </w:rPr>
        <w:t>附件部分可参考秘书处的相关档案。</w:t>
      </w:r>
    </w:p>
  </w:footnote>
  <w:footnote w:id="3">
    <w:p w:rsidR="008A254F" w:rsidRDefault="008A254F">
      <w:pPr>
        <w:pStyle w:val="FootnoteText"/>
      </w:pPr>
      <w:r>
        <w:tab/>
      </w:r>
      <w:r>
        <w:rPr>
          <w:rStyle w:val="FootnoteReference"/>
        </w:rPr>
        <w:footnoteRef/>
      </w:r>
      <w:r>
        <w:rPr>
          <w:rStyle w:val="FootnoteReference"/>
          <w:vertAlign w:val="baseline"/>
        </w:rPr>
        <w:tab/>
      </w:r>
      <w:r>
        <w:rPr>
          <w:rFonts w:hint="eastAsia"/>
        </w:rPr>
        <w:t>依据《公约》规定，在《宪法》中所说的无能为力的病人，应当被理解为残疾人。早在</w:t>
      </w:r>
      <w:r>
        <w:rPr>
          <w:rFonts w:hint="eastAsia"/>
        </w:rPr>
        <w:t>1949</w:t>
      </w:r>
      <w:r>
        <w:rPr>
          <w:rFonts w:hint="eastAsia"/>
        </w:rPr>
        <w:t>年，《哥斯达黎加政治宪法》就有这样的表述，因此才援引了当时的一些概念。然而，我们注意到，《宪法》的精神实质是对所有人都予以包容。</w:t>
      </w:r>
    </w:p>
  </w:footnote>
  <w:footnote w:id="4">
    <w:p w:rsidR="008A254F" w:rsidRDefault="008A254F">
      <w:pPr>
        <w:pStyle w:val="FootnoteText"/>
        <w:rPr>
          <w:rFonts w:hint="eastAsia"/>
        </w:rPr>
      </w:pPr>
      <w:r>
        <w:tab/>
      </w:r>
      <w:r>
        <w:rPr>
          <w:rStyle w:val="FootnoteReference"/>
        </w:rPr>
        <w:footnoteRef/>
      </w:r>
      <w:r>
        <w:rPr>
          <w:rStyle w:val="FootnoteReference"/>
          <w:vertAlign w:val="baseline"/>
        </w:rPr>
        <w:tab/>
      </w:r>
      <w:r>
        <w:rPr>
          <w:rFonts w:hint="eastAsia"/>
        </w:rPr>
        <w:t>旅游主管部门将确保宾馆酒店和相关设施的所有房间都成为无障碍房间。另外，这些宾馆酒店必须符合本条例的规定</w:t>
      </w:r>
      <w:r>
        <w:rPr>
          <w:rFonts w:hint="eastAsia"/>
        </w:rPr>
        <w:t>(</w:t>
      </w:r>
      <w:r>
        <w:rPr>
          <w:rFonts w:hint="eastAsia"/>
        </w:rPr>
        <w:t>《条例》第</w:t>
      </w:r>
      <w:r>
        <w:rPr>
          <w:rFonts w:hint="eastAsia"/>
        </w:rPr>
        <w:t>154</w:t>
      </w:r>
      <w:r>
        <w:rPr>
          <w:rFonts w:hint="eastAsia"/>
        </w:rPr>
        <w:t>条</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54F" w:rsidRDefault="008A254F">
    <w:pPr>
      <w:pStyle w:val="Header"/>
    </w:pPr>
    <w:r>
      <w:t>CRPD/C/CRI/1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54F" w:rsidRDefault="008A254F">
    <w:pPr>
      <w:pStyle w:val="Header"/>
      <w:jc w:val="right"/>
      <w:rPr>
        <w:rFonts w:hint="eastAsia"/>
        <w:lang w:eastAsia="zh-CN"/>
      </w:rPr>
    </w:pPr>
    <w:r>
      <w:rPr>
        <w:lang w:eastAsia="zh-CN"/>
      </w:rPr>
      <w:t>CRPD/C/CRI/1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10C49F8"/>
    <w:multiLevelType w:val="hybridMultilevel"/>
    <w:tmpl w:val="FFD08D26"/>
    <w:lvl w:ilvl="0" w:tplc="FFFFFFFF">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EDD6AEB"/>
    <w:multiLevelType w:val="hybridMultilevel"/>
    <w:tmpl w:val="F0CC7432"/>
    <w:lvl w:ilvl="0" w:tplc="61EE6008">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965991"/>
    <w:multiLevelType w:val="hybridMultilevel"/>
    <w:tmpl w:val="50649D4E"/>
    <w:lvl w:ilvl="0" w:tplc="B6209B0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221B2C8E"/>
    <w:multiLevelType w:val="hybridMultilevel"/>
    <w:tmpl w:val="B5F6211E"/>
    <w:lvl w:ilvl="0" w:tplc="41E45B80">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1">
    <w:nsid w:val="25881989"/>
    <w:multiLevelType w:val="hybridMultilevel"/>
    <w:tmpl w:val="F496E142"/>
    <w:lvl w:ilvl="0" w:tplc="E92256E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90373F"/>
    <w:multiLevelType w:val="hybridMultilevel"/>
    <w:tmpl w:val="7B4EC28E"/>
    <w:lvl w:ilvl="0" w:tplc="E92256EC">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61EE6008">
      <w:start w:val="1"/>
      <w:numFmt w:val="lowerLetter"/>
      <w:lvlRestart w:val="0"/>
      <w:lvlText w:val="(%2)"/>
      <w:lvlJc w:val="left"/>
      <w:pPr>
        <w:tabs>
          <w:tab w:val="num" w:pos="2415"/>
        </w:tabs>
        <w:ind w:left="1123" w:firstLine="431"/>
      </w:pPr>
      <w:rPr>
        <w:rFonts w:ascii="Times New Roman" w:hAnsi="Times New Roman" w:cs="Times New Roman"/>
        <w:b w:val="0"/>
        <w:i w:val="0"/>
        <w:color w:val="auto"/>
        <w:sz w:val="20"/>
        <w:u w:val="none"/>
      </w:rPr>
    </w:lvl>
    <w:lvl w:ilvl="2" w:tplc="E5C8C876">
      <w:start w:val="1"/>
      <w:numFmt w:val="lowerLetter"/>
      <w:lvlText w:val="%3)"/>
      <w:lvlJc w:val="left"/>
      <w:pPr>
        <w:tabs>
          <w:tab w:val="num" w:pos="2334"/>
        </w:tabs>
        <w:ind w:left="2334" w:hanging="360"/>
      </w:pPr>
      <w:rPr>
        <w:rFonts w:hint="default"/>
      </w:r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3">
    <w:nsid w:val="318212FD"/>
    <w:multiLevelType w:val="hybridMultilevel"/>
    <w:tmpl w:val="4E6C0C42"/>
    <w:lvl w:ilvl="0" w:tplc="61EE6008">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5">
    <w:nsid w:val="3AC010E6"/>
    <w:multiLevelType w:val="hybridMultilevel"/>
    <w:tmpl w:val="F1B664BA"/>
    <w:lvl w:ilvl="0" w:tplc="61EE6008">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6">
    <w:nsid w:val="3FFF5778"/>
    <w:multiLevelType w:val="hybridMultilevel"/>
    <w:tmpl w:val="5C606C12"/>
    <w:lvl w:ilvl="0" w:tplc="22F454B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8">
    <w:nsid w:val="50DC60D1"/>
    <w:multiLevelType w:val="hybridMultilevel"/>
    <w:tmpl w:val="DE4215E0"/>
    <w:lvl w:ilvl="0" w:tplc="61EE6008">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9">
    <w:nsid w:val="51114172"/>
    <w:multiLevelType w:val="hybridMultilevel"/>
    <w:tmpl w:val="BAA27EC2"/>
    <w:lvl w:ilvl="0" w:tplc="9E96739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0">
    <w:nsid w:val="52F247AC"/>
    <w:multiLevelType w:val="hybridMultilevel"/>
    <w:tmpl w:val="6E820482"/>
    <w:lvl w:ilvl="0" w:tplc="661003BA">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57F04EDA"/>
    <w:multiLevelType w:val="hybridMultilevel"/>
    <w:tmpl w:val="37867DFE"/>
    <w:lvl w:ilvl="0" w:tplc="359E4B8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2">
    <w:nsid w:val="5A3E3CF3"/>
    <w:multiLevelType w:val="hybridMultilevel"/>
    <w:tmpl w:val="0F1CE5EE"/>
    <w:lvl w:ilvl="0" w:tplc="B2FAD4BE">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3">
    <w:nsid w:val="5B5C21E9"/>
    <w:multiLevelType w:val="hybridMultilevel"/>
    <w:tmpl w:val="414EC860"/>
    <w:lvl w:ilvl="0" w:tplc="EC005EA4">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4">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D7E5BDB"/>
    <w:multiLevelType w:val="hybridMultilevel"/>
    <w:tmpl w:val="3B8AA45A"/>
    <w:lvl w:ilvl="0" w:tplc="61EE6008">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8">
    <w:nsid w:val="6FF44389"/>
    <w:multiLevelType w:val="hybridMultilevel"/>
    <w:tmpl w:val="4E52065C"/>
    <w:lvl w:ilvl="0" w:tplc="FFFFFFFF">
      <w:start w:val="1"/>
      <w:numFmt w:val="bullet"/>
      <w:pStyle w:val="4"/>
      <w:lvlText w:val=""/>
      <w:lvlJc w:val="left"/>
      <w:pPr>
        <w:ind w:left="2121" w:hanging="420"/>
      </w:pPr>
      <w:rPr>
        <w:rFonts w:ascii="Wingdings" w:hAnsi="Wingdings" w:hint="default"/>
      </w:rPr>
    </w:lvl>
    <w:lvl w:ilvl="1" w:tplc="FFFFFFFF" w:tentative="1">
      <w:start w:val="1"/>
      <w:numFmt w:val="bullet"/>
      <w:lvlText w:val=""/>
      <w:lvlJc w:val="left"/>
      <w:pPr>
        <w:ind w:left="2541" w:hanging="420"/>
      </w:pPr>
      <w:rPr>
        <w:rFonts w:ascii="Wingdings" w:hAnsi="Wingdings" w:hint="default"/>
      </w:rPr>
    </w:lvl>
    <w:lvl w:ilvl="2" w:tplc="FFFFFFFF" w:tentative="1">
      <w:start w:val="1"/>
      <w:numFmt w:val="bullet"/>
      <w:lvlText w:val=""/>
      <w:lvlJc w:val="left"/>
      <w:pPr>
        <w:ind w:left="2961" w:hanging="420"/>
      </w:pPr>
      <w:rPr>
        <w:rFonts w:ascii="Wingdings" w:hAnsi="Wingdings" w:hint="default"/>
      </w:rPr>
    </w:lvl>
    <w:lvl w:ilvl="3" w:tplc="FFFFFFFF" w:tentative="1">
      <w:start w:val="1"/>
      <w:numFmt w:val="bullet"/>
      <w:lvlText w:val=""/>
      <w:lvlJc w:val="left"/>
      <w:pPr>
        <w:ind w:left="3381" w:hanging="420"/>
      </w:pPr>
      <w:rPr>
        <w:rFonts w:ascii="Wingdings" w:hAnsi="Wingdings" w:hint="default"/>
      </w:rPr>
    </w:lvl>
    <w:lvl w:ilvl="4" w:tplc="FFFFFFFF" w:tentative="1">
      <w:start w:val="1"/>
      <w:numFmt w:val="bullet"/>
      <w:lvlText w:val=""/>
      <w:lvlJc w:val="left"/>
      <w:pPr>
        <w:ind w:left="3801" w:hanging="420"/>
      </w:pPr>
      <w:rPr>
        <w:rFonts w:ascii="Wingdings" w:hAnsi="Wingdings" w:hint="default"/>
      </w:rPr>
    </w:lvl>
    <w:lvl w:ilvl="5" w:tplc="FFFFFFFF" w:tentative="1">
      <w:start w:val="1"/>
      <w:numFmt w:val="bullet"/>
      <w:lvlText w:val=""/>
      <w:lvlJc w:val="left"/>
      <w:pPr>
        <w:ind w:left="4221" w:hanging="420"/>
      </w:pPr>
      <w:rPr>
        <w:rFonts w:ascii="Wingdings" w:hAnsi="Wingdings" w:hint="default"/>
      </w:rPr>
    </w:lvl>
    <w:lvl w:ilvl="6" w:tplc="FFFFFFFF" w:tentative="1">
      <w:start w:val="1"/>
      <w:numFmt w:val="bullet"/>
      <w:lvlText w:val=""/>
      <w:lvlJc w:val="left"/>
      <w:pPr>
        <w:ind w:left="4641" w:hanging="420"/>
      </w:pPr>
      <w:rPr>
        <w:rFonts w:ascii="Wingdings" w:hAnsi="Wingdings" w:hint="default"/>
      </w:rPr>
    </w:lvl>
    <w:lvl w:ilvl="7" w:tplc="FFFFFFFF" w:tentative="1">
      <w:start w:val="1"/>
      <w:numFmt w:val="bullet"/>
      <w:lvlText w:val=""/>
      <w:lvlJc w:val="left"/>
      <w:pPr>
        <w:ind w:left="5061" w:hanging="420"/>
      </w:pPr>
      <w:rPr>
        <w:rFonts w:ascii="Wingdings" w:hAnsi="Wingdings" w:hint="default"/>
      </w:rPr>
    </w:lvl>
    <w:lvl w:ilvl="8" w:tplc="FFFFFFFF" w:tentative="1">
      <w:start w:val="1"/>
      <w:numFmt w:val="bullet"/>
      <w:lvlText w:val=""/>
      <w:lvlJc w:val="left"/>
      <w:pPr>
        <w:ind w:left="5481" w:hanging="420"/>
      </w:pPr>
      <w:rPr>
        <w:rFonts w:ascii="Wingdings" w:hAnsi="Wingdings" w:hint="default"/>
      </w:rPr>
    </w:lvl>
  </w:abstractNum>
  <w:abstractNum w:abstractNumId="29">
    <w:nsid w:val="729B6448"/>
    <w:multiLevelType w:val="hybridMultilevel"/>
    <w:tmpl w:val="B47A43CA"/>
    <w:lvl w:ilvl="0" w:tplc="D076FC62">
      <w:start w:val="1"/>
      <w:numFmt w:val="lowerLetter"/>
      <w:lvlRestart w:val="0"/>
      <w:lvlText w:val="(%1)"/>
      <w:lvlJc w:val="left"/>
      <w:pPr>
        <w:tabs>
          <w:tab w:val="num" w:pos="2211"/>
        </w:tabs>
        <w:ind w:left="2211" w:hanging="646"/>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5"/>
  </w:num>
  <w:num w:numId="4">
    <w:abstractNumId w:val="26"/>
  </w:num>
  <w:num w:numId="5">
    <w:abstractNumId w:val="6"/>
  </w:num>
  <w:num w:numId="6">
    <w:abstractNumId w:val="9"/>
  </w:num>
  <w:num w:numId="7">
    <w:abstractNumId w:val="2"/>
  </w:num>
  <w:num w:numId="8">
    <w:abstractNumId w:val="25"/>
  </w:num>
  <w:num w:numId="9">
    <w:abstractNumId w:val="8"/>
  </w:num>
  <w:num w:numId="10">
    <w:abstractNumId w:val="3"/>
  </w:num>
  <w:num w:numId="11">
    <w:abstractNumId w:val="28"/>
  </w:num>
  <w:num w:numId="12">
    <w:abstractNumId w:val="17"/>
  </w:num>
  <w:num w:numId="13">
    <w:abstractNumId w:val="14"/>
  </w:num>
  <w:num w:numId="14">
    <w:abstractNumId w:val="24"/>
  </w:num>
  <w:num w:numId="15">
    <w:abstractNumId w:val="5"/>
  </w:num>
  <w:num w:numId="16">
    <w:abstractNumId w:val="5"/>
  </w:num>
  <w:num w:numId="17">
    <w:abstractNumId w:val="29"/>
  </w:num>
  <w:num w:numId="18">
    <w:abstractNumId w:val="7"/>
  </w:num>
  <w:num w:numId="19">
    <w:abstractNumId w:val="11"/>
  </w:num>
  <w:num w:numId="20">
    <w:abstractNumId w:val="16"/>
  </w:num>
  <w:num w:numId="21">
    <w:abstractNumId w:val="12"/>
  </w:num>
  <w:num w:numId="22">
    <w:abstractNumId w:val="19"/>
  </w:num>
  <w:num w:numId="23">
    <w:abstractNumId w:val="15"/>
  </w:num>
  <w:num w:numId="24">
    <w:abstractNumId w:val="20"/>
  </w:num>
  <w:num w:numId="25">
    <w:abstractNumId w:val="13"/>
  </w:num>
  <w:num w:numId="26">
    <w:abstractNumId w:val="22"/>
  </w:num>
  <w:num w:numId="27">
    <w:abstractNumId w:val="18"/>
  </w:num>
  <w:num w:numId="28">
    <w:abstractNumId w:val="21"/>
  </w:num>
  <w:num w:numId="29">
    <w:abstractNumId w:val="4"/>
  </w:num>
  <w:num w:numId="30">
    <w:abstractNumId w:val="10"/>
  </w:num>
  <w:num w:numId="31">
    <w:abstractNumId w:val="27"/>
  </w:num>
  <w:num w:numId="32">
    <w:abstractNumId w:val="2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260F"/>
    <w:rsid w:val="0027411B"/>
    <w:rsid w:val="003D260F"/>
    <w:rsid w:val="004C7373"/>
    <w:rsid w:val="008A254F"/>
    <w:rsid w:val="00CE4D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5"/>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1">
    <w:name w:val="缩进正文"/>
    <w:basedOn w:val="SingleTxtGC"/>
    <w:pPr>
      <w:ind w:left="1565"/>
    </w:pPr>
  </w:style>
  <w:style w:type="paragraph" w:styleId="EndnoteText">
    <w:name w:val="endnote text"/>
    <w:basedOn w:val="FootnoteText"/>
    <w:link w:val="EndnoteTextChar"/>
    <w:pPr>
      <w:keepLines w:val="0"/>
      <w:tabs>
        <w:tab w:val="right" w:pos="1021"/>
      </w:tabs>
    </w:pPr>
  </w:style>
  <w:style w:type="character" w:styleId="EndnoteReference">
    <w:name w:val="endnote reference"/>
    <w:basedOn w:val="FootnoteReference"/>
  </w:style>
  <w:style w:type="paragraph" w:customStyle="1" w:styleId="a2">
    <w:name w:val="表中标题"/>
    <w:basedOn w:val="SingleTxtGC"/>
    <w:pPr>
      <w:spacing w:before="80" w:after="80" w:line="200" w:lineRule="exact"/>
      <w:ind w:left="0" w:right="113"/>
    </w:pPr>
    <w:rPr>
      <w:rFonts w:eastAsia="KaiTi_GB2312"/>
      <w:sz w:val="18"/>
    </w:rPr>
  </w:style>
  <w:style w:type="paragraph" w:customStyle="1" w:styleId="a3">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5">
    <w:name w:val="悬挂"/>
    <w:basedOn w:val="SingleTxtGC"/>
    <w:pPr>
      <w:ind w:left="1565" w:hanging="431"/>
    </w:pPr>
  </w:style>
  <w:style w:type="paragraph" w:customStyle="1" w:styleId="a6">
    <w:name w:val="表中文字"/>
    <w:basedOn w:val="SingleTxtGC"/>
    <w:pPr>
      <w:spacing w:before="40" w:line="240" w:lineRule="atLeast"/>
      <w:ind w:left="0" w:right="113"/>
    </w:pPr>
    <w:rPr>
      <w:sz w:val="18"/>
    </w:rPr>
  </w:style>
  <w:style w:type="paragraph" w:customStyle="1" w:styleId="a7">
    <w:name w:val="表数文字"/>
    <w:basedOn w:val="SingleTxtGC"/>
    <w:pPr>
      <w:spacing w:before="40" w:after="40" w:line="240" w:lineRule="atLeast"/>
      <w:ind w:left="0" w:right="113"/>
    </w:pPr>
    <w:rPr>
      <w:sz w:val="18"/>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pPr>
      <w:numPr>
        <w:numId w:val="7"/>
      </w:numPr>
      <w:tabs>
        <w:tab w:val="clear" w:pos="0"/>
        <w:tab w:val="num" w:pos="780"/>
        <w:tab w:val="num" w:pos="1440"/>
      </w:tabs>
      <w:ind w:left="0" w:hanging="360"/>
    </w:pPr>
  </w:style>
  <w:style w:type="paragraph" w:customStyle="1" w:styleId="SingleTxtG">
    <w:name w:val="_ Single Txt_G"/>
    <w:basedOn w:val="Normal"/>
    <w:link w:val="SingleTxtGCar"/>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
    <w:name w:val="Body Text"/>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1"/>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numPr>
        <w:numId w:val="6"/>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8"/>
      </w:numPr>
    </w:pPr>
  </w:style>
  <w:style w:type="numbering" w:styleId="1ai">
    <w:name w:val="Outline List 1"/>
    <w:basedOn w:val="NoList"/>
    <w:semiHidden/>
    <w:pPr>
      <w:numPr>
        <w:numId w:val="9"/>
      </w:numPr>
    </w:pPr>
  </w:style>
  <w:style w:type="numbering" w:styleId="ArticleSection">
    <w:name w:val="Outline List 3"/>
    <w:basedOn w:val="NoList"/>
    <w:semiHidden/>
    <w:pPr>
      <w:numPr>
        <w:numId w:val="10"/>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paragraph" w:styleId="NormalWeb">
    <w:name w:val="Normal (Web)"/>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TOC1">
    <w:name w:val="toc 1"/>
    <w:basedOn w:val="Normal"/>
    <w:next w:val="Normal"/>
    <w:autoRedefine/>
    <w:pPr>
      <w:tabs>
        <w:tab w:val="clear" w:pos="431"/>
        <w:tab w:val="left" w:pos="1276"/>
        <w:tab w:val="right" w:leader="dot" w:pos="7797"/>
        <w:tab w:val="center" w:pos="8647"/>
        <w:tab w:val="right" w:pos="9638"/>
      </w:tabs>
      <w:spacing w:before="120" w:afterLines="50"/>
      <w:ind w:leftChars="619" w:left="1302" w:hanging="2"/>
      <w:jc w:val="left"/>
    </w:pPr>
    <w:rPr>
      <w:rFonts w:ascii="Calibri" w:hAnsi="Calibri" w:cs="Calibri"/>
      <w:b/>
      <w:bCs/>
      <w:caps/>
      <w:sz w:val="20"/>
    </w:rPr>
  </w:style>
  <w:style w:type="character" w:customStyle="1" w:styleId="FootnoteTextChar">
    <w:name w:val="Footnote Text Char"/>
    <w:link w:val="FootnoteText"/>
    <w:locked/>
    <w:rPr>
      <w:rFonts w:eastAsia="SimSun"/>
      <w:snapToGrid w:val="0"/>
      <w:sz w:val="18"/>
      <w:lang w:val="en-US" w:eastAsia="zh-CN" w:bidi="ar-SA"/>
    </w:rPr>
  </w:style>
  <w:style w:type="paragraph" w:styleId="BalloonText">
    <w:name w:val="Balloon Text"/>
    <w:basedOn w:val="Normal"/>
    <w:link w:val="BalloonTextChar"/>
    <w:semiHidden/>
    <w:pPr>
      <w:tabs>
        <w:tab w:val="clear" w:pos="431"/>
      </w:tabs>
      <w:suppressAutoHyphens/>
      <w:overflowPunct/>
      <w:adjustRightInd/>
      <w:snapToGrid/>
      <w:spacing w:line="240" w:lineRule="atLeast"/>
      <w:jc w:val="left"/>
    </w:pPr>
    <w:rPr>
      <w:rFonts w:ascii="Tahoma" w:hAnsi="Tahoma"/>
      <w:snapToGrid/>
      <w:sz w:val="16"/>
      <w:szCs w:val="16"/>
      <w:lang w:val="en-GB" w:eastAsia="en-US"/>
    </w:rPr>
  </w:style>
  <w:style w:type="character" w:customStyle="1" w:styleId="trans">
    <w:name w:val="trans"/>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link w:val="Heading2"/>
    <w:rPr>
      <w:rFonts w:eastAsia="SimSun"/>
      <w:snapToGrid w:val="0"/>
      <w:kern w:val="28"/>
      <w:sz w:val="28"/>
      <w:lang w:val="en-US" w:eastAsia="zh-CN" w:bidi="ar-SA"/>
    </w:rPr>
  </w:style>
  <w:style w:type="character" w:customStyle="1" w:styleId="Heading3Char">
    <w:name w:val="Heading 3 Char"/>
    <w:link w:val="Heading3"/>
    <w:rPr>
      <w:rFonts w:eastAsia="SimSun"/>
      <w:snapToGrid w:val="0"/>
      <w:kern w:val="28"/>
      <w:sz w:val="21"/>
      <w:u w:val="single"/>
      <w:lang w:val="en-US" w:eastAsia="zh-CN" w:bidi="ar-SA"/>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PlainTextChar">
    <w:name w:val="Plain Text Char"/>
    <w:link w:val="PlainText"/>
    <w:semiHidden/>
    <w:rPr>
      <w:rFonts w:eastAsia="SimSun"/>
      <w:lang w:val="en-GB" w:eastAsia="en-US" w:bidi="ar-SA"/>
    </w:rPr>
  </w:style>
  <w:style w:type="character" w:customStyle="1" w:styleId="BodyTextChar">
    <w:name w:val="Body Text Char"/>
    <w:link w:val="BodyText"/>
    <w:rPr>
      <w:rFonts w:eastAsia="SimSun"/>
      <w:lang w:val="en-GB" w:eastAsia="en-US" w:bidi="ar-SA"/>
    </w:rPr>
  </w:style>
  <w:style w:type="character" w:customStyle="1" w:styleId="BodyTextIndentChar">
    <w:name w:val="Body Text Indent Char"/>
    <w:link w:val="BodyTextIndent"/>
    <w:semiHidden/>
    <w:rPr>
      <w:rFonts w:eastAsia="SimSun"/>
      <w:lang w:val="en-GB" w:eastAsia="en-US" w:bidi="ar-SA"/>
    </w:rPr>
  </w:style>
  <w:style w:type="character" w:customStyle="1" w:styleId="EndnoteTextChar">
    <w:name w:val="Endnote Text Char"/>
    <w:link w:val="EndnoteText"/>
    <w:rPr>
      <w:rFonts w:eastAsia="SimSun"/>
      <w:snapToGrid w:val="0"/>
      <w:sz w:val="18"/>
      <w:lang w:val="en-US" w:eastAsia="zh-CN" w:bidi="ar-SA"/>
    </w:rPr>
  </w:style>
  <w:style w:type="character" w:customStyle="1" w:styleId="CommentTextChar">
    <w:name w:val="Comment Text Char"/>
    <w:link w:val="CommentText"/>
    <w:semiHidden/>
    <w:rPr>
      <w:rFonts w:eastAsia="SimSun"/>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3Char">
    <w:name w:val="Body Text 3 Char"/>
    <w:link w:val="BodyText3"/>
    <w:semiHidden/>
    <w:rPr>
      <w:rFonts w:eastAsia="SimSun"/>
      <w:sz w:val="16"/>
      <w:szCs w:val="16"/>
      <w:lang w:val="en-GB" w:eastAsia="en-US" w:bidi="ar-SA"/>
    </w:rPr>
  </w:style>
  <w:style w:type="character" w:customStyle="1" w:styleId="BodyTextFirstIndentChar">
    <w:name w:val="Body Text First Indent Char"/>
    <w:link w:val="BodyTextFirstIndent"/>
    <w:semiHidden/>
    <w:rPr>
      <w:rFonts w:eastAsia="SimSun"/>
      <w:lang w:val="en-GB" w:eastAsia="en-US" w:bidi="ar-SA"/>
    </w:rPr>
  </w:style>
  <w:style w:type="character" w:customStyle="1" w:styleId="BodyTextFirstIndent2Char">
    <w:name w:val="Body Text First Indent 2 Char"/>
    <w:link w:val="BodyTextFirstIndent2"/>
    <w:semiHidden/>
    <w:rPr>
      <w:rFonts w:eastAsia="SimSun"/>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losingChar">
    <w:name w:val="Closing Char"/>
    <w:link w:val="Closing"/>
    <w:semiHidden/>
    <w:rPr>
      <w:rFonts w:eastAsia="SimSun"/>
      <w:lang w:val="en-GB" w:eastAsia="en-US" w:bidi="ar-SA"/>
    </w:rPr>
  </w:style>
  <w:style w:type="character" w:customStyle="1" w:styleId="DateChar">
    <w:name w:val="Date Char"/>
    <w:link w:val="Date"/>
    <w:semiHidden/>
    <w:rPr>
      <w:rFonts w:eastAsia="SimSun"/>
      <w:lang w:val="en-GB" w:eastAsia="en-US" w:bidi="ar-SA"/>
    </w:rPr>
  </w:style>
  <w:style w:type="character" w:customStyle="1" w:styleId="E-mailSignatureChar">
    <w:name w:val="E-mail Signature Char"/>
    <w:link w:val="E-mailSignature"/>
    <w:semiHidden/>
    <w:rPr>
      <w:rFonts w:eastAsia="SimSun"/>
      <w:lang w:val="en-GB" w:eastAsia="en-US" w:bidi="ar-SA"/>
    </w:rPr>
  </w:style>
  <w:style w:type="character" w:customStyle="1" w:styleId="HTMLAddressChar">
    <w:name w:val="HTML Address Char"/>
    <w:link w:val="HTMLAddress"/>
    <w:semiHidden/>
    <w:rPr>
      <w:rFonts w:eastAsia="SimSun"/>
      <w:i/>
      <w:iCs/>
      <w:lang w:val="en-GB" w:eastAsia="en-US" w:bidi="ar-SA"/>
    </w:rPr>
  </w:style>
  <w:style w:type="character" w:customStyle="1" w:styleId="HTMLPreformattedChar">
    <w:name w:val="HTML Preformatted Char"/>
    <w:link w:val="HTMLPreformatted"/>
    <w:semiHidden/>
    <w:rPr>
      <w:rFonts w:ascii="Courier New" w:eastAsia="SimSun" w:hAnsi="Courier New"/>
      <w:lang w:val="en-GB" w:eastAsia="en-US" w:bidi="ar-SA"/>
    </w:rPr>
  </w:style>
  <w:style w:type="character" w:customStyle="1" w:styleId="MessageHeaderChar">
    <w:name w:val="Message Header Char"/>
    <w:link w:val="MessageHeader"/>
    <w:semiHidden/>
    <w:rPr>
      <w:rFonts w:ascii="Arial" w:eastAsia="SimSun" w:hAnsi="Arial"/>
      <w:sz w:val="24"/>
      <w:szCs w:val="24"/>
      <w:lang w:val="en-GB" w:eastAsia="en-US" w:bidi="ar-SA"/>
    </w:rPr>
  </w:style>
  <w:style w:type="character" w:customStyle="1" w:styleId="NoteHeadingChar">
    <w:name w:val="Note Heading Char"/>
    <w:link w:val="NoteHeading"/>
    <w:semiHidden/>
    <w:rPr>
      <w:rFonts w:eastAsia="SimSun"/>
      <w:lang w:val="en-GB" w:eastAsia="en-US" w:bidi="ar-SA"/>
    </w:rPr>
  </w:style>
  <w:style w:type="character" w:customStyle="1" w:styleId="SalutationChar">
    <w:name w:val="Salutation Char"/>
    <w:link w:val="Salutation"/>
    <w:semiHidden/>
    <w:rPr>
      <w:rFonts w:eastAsia="SimSun"/>
      <w:lang w:val="en-GB" w:eastAsia="en-US" w:bidi="ar-SA"/>
    </w:rPr>
  </w:style>
  <w:style w:type="character" w:customStyle="1" w:styleId="SignatureChar">
    <w:name w:val="Signature Char"/>
    <w:link w:val="Signature"/>
    <w:semiHidden/>
    <w:rPr>
      <w:rFonts w:eastAsia="SimSun"/>
      <w:lang w:val="en-GB" w:eastAsia="en-US" w:bidi="ar-SA"/>
    </w:rPr>
  </w:style>
  <w:style w:type="character" w:customStyle="1" w:styleId="SubtitleChar">
    <w:name w:val="Subtitle Char"/>
    <w:link w:val="Subtitle"/>
    <w:rPr>
      <w:rFonts w:ascii="Arial" w:eastAsia="SimSun" w:hAnsi="Arial"/>
      <w:sz w:val="24"/>
      <w:szCs w:val="24"/>
      <w:lang w:val="en-GB" w:eastAsia="en-US"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FooterChar">
    <w:name w:val="Footer Char"/>
    <w:link w:val="Footer"/>
    <w:rPr>
      <w:snapToGrid w:val="0"/>
      <w:sz w:val="16"/>
      <w:lang w:val="en-GB" w:eastAsia="en-US" w:bidi="ar-SA"/>
    </w:rPr>
  </w:style>
  <w:style w:type="character" w:customStyle="1" w:styleId="HeaderChar">
    <w:name w:val="Header Char"/>
    <w:link w:val="Header"/>
    <w:rPr>
      <w:rFonts w:eastAsia="SimSun"/>
      <w:b/>
      <w:snapToGrid w:val="0"/>
      <w:sz w:val="18"/>
      <w:lang w:val="en-GB" w:eastAsia="en-US" w:bidi="ar-SA"/>
    </w:rPr>
  </w:style>
  <w:style w:type="character" w:customStyle="1" w:styleId="BalloonTextChar">
    <w:name w:val="Balloon Text Char"/>
    <w:link w:val="BalloonText"/>
    <w:semiHidden/>
    <w:rPr>
      <w:rFonts w:ascii="Tahoma" w:eastAsia="SimSun" w:hAnsi="Tahoma"/>
      <w:sz w:val="16"/>
      <w:szCs w:val="16"/>
      <w:lang w:val="en-GB" w:eastAsia="en-US" w:bidi="ar-SA"/>
    </w:rPr>
  </w:style>
  <w:style w:type="paragraph" w:customStyle="1" w:styleId="SingleTxt">
    <w:name w:val="__Single Txt"/>
    <w:basedOn w:val="Normal"/>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character" w:customStyle="1" w:styleId="SingleTxtGCar">
    <w:name w:val="_ Single Txt_G Car"/>
    <w:link w:val="SingleTxtG"/>
    <w:rPr>
      <w:rFonts w:eastAsia="SimSun"/>
      <w:lang w:val="en-GB" w:eastAsia="en-US" w:bidi="ar-SA"/>
    </w:rPr>
  </w:style>
  <w:style w:type="character" w:customStyle="1" w:styleId="longtext">
    <w:name w:val="long_text"/>
  </w:style>
  <w:style w:type="character" w:customStyle="1" w:styleId="hps">
    <w:name w:val="hps"/>
  </w:style>
  <w:style w:type="character" w:customStyle="1" w:styleId="st">
    <w:name w:val="st"/>
  </w:style>
  <w:style w:type="character" w:customStyle="1" w:styleId="apple-style-span">
    <w:name w:val="apple-style-span"/>
  </w:style>
  <w:style w:type="paragraph" w:customStyle="1" w:styleId="1">
    <w:name w:val="1"/>
    <w:qFormat/>
    <w:pPr>
      <w:spacing w:before="360" w:after="240" w:line="300" w:lineRule="exact"/>
      <w:ind w:left="1134" w:right="1134" w:hanging="567"/>
    </w:pPr>
    <w:rPr>
      <w:rFonts w:eastAsia="SimHei"/>
      <w:sz w:val="28"/>
      <w:lang w:val="en-GB" w:eastAsia="zh-CN"/>
    </w:rPr>
  </w:style>
  <w:style w:type="paragraph" w:customStyle="1" w:styleId="2">
    <w:name w:val="2"/>
    <w:qFormat/>
    <w:pPr>
      <w:spacing w:before="360" w:after="240" w:line="270" w:lineRule="exact"/>
      <w:ind w:left="1134" w:right="1134" w:hanging="567"/>
    </w:pPr>
    <w:rPr>
      <w:rFonts w:eastAsia="SimHei"/>
      <w:sz w:val="24"/>
      <w:lang w:val="en-GB" w:eastAsia="zh-CN"/>
    </w:rPr>
  </w:style>
  <w:style w:type="paragraph" w:customStyle="1" w:styleId="3">
    <w:name w:val="3"/>
    <w:qFormat/>
    <w:pPr>
      <w:spacing w:before="240" w:after="120" w:line="240" w:lineRule="exact"/>
      <w:ind w:left="1134" w:right="1134" w:hanging="567"/>
    </w:pPr>
    <w:rPr>
      <w:rFonts w:eastAsia="SimHei"/>
      <w:sz w:val="21"/>
      <w:lang w:val="en-GB" w:eastAsia="zh-CN"/>
    </w:rPr>
  </w:style>
  <w:style w:type="paragraph" w:customStyle="1" w:styleId="4">
    <w:name w:val="4"/>
    <w:qFormat/>
    <w:pPr>
      <w:numPr>
        <w:numId w:val="11"/>
      </w:numPr>
      <w:spacing w:after="120" w:line="320" w:lineRule="atLeast"/>
      <w:ind w:right="1134"/>
    </w:pPr>
    <w:rPr>
      <w:sz w:val="21"/>
      <w:szCs w:val="21"/>
      <w:lang w:val="en-GB" w:eastAsia="zh-CN"/>
    </w:rPr>
  </w:style>
  <w:style w:type="paragraph" w:styleId="TOC2">
    <w:name w:val="toc 2"/>
    <w:basedOn w:val="Normal"/>
    <w:next w:val="Normal"/>
    <w:autoRedefine/>
    <w:pPr>
      <w:tabs>
        <w:tab w:val="clear" w:pos="431"/>
      </w:tabs>
      <w:ind w:left="210"/>
      <w:jc w:val="left"/>
    </w:pPr>
    <w:rPr>
      <w:rFonts w:ascii="Calibri" w:hAnsi="Calibri" w:cs="Calibri"/>
      <w:smallCaps/>
      <w:sz w:val="20"/>
    </w:rPr>
  </w:style>
  <w:style w:type="paragraph" w:styleId="TOC3">
    <w:name w:val="toc 3"/>
    <w:basedOn w:val="Normal"/>
    <w:next w:val="Normal"/>
    <w:autoRedefine/>
    <w:pPr>
      <w:tabs>
        <w:tab w:val="clear" w:pos="431"/>
      </w:tabs>
      <w:ind w:left="420"/>
      <w:jc w:val="left"/>
    </w:pPr>
    <w:rPr>
      <w:rFonts w:ascii="Calibri" w:hAnsi="Calibri" w:cs="Calibri"/>
      <w:i/>
      <w:iCs/>
      <w:sz w:val="20"/>
    </w:rPr>
  </w:style>
  <w:style w:type="paragraph" w:styleId="TOC4">
    <w:name w:val="toc 4"/>
    <w:basedOn w:val="Normal"/>
    <w:next w:val="Normal"/>
    <w:autoRedefine/>
    <w:pPr>
      <w:tabs>
        <w:tab w:val="clear" w:pos="431"/>
      </w:tabs>
      <w:ind w:left="630"/>
      <w:jc w:val="left"/>
    </w:pPr>
    <w:rPr>
      <w:rFonts w:ascii="Calibri" w:hAnsi="Calibri" w:cs="Calibri"/>
      <w:sz w:val="18"/>
      <w:szCs w:val="18"/>
    </w:rPr>
  </w:style>
  <w:style w:type="paragraph" w:styleId="TOC5">
    <w:name w:val="toc 5"/>
    <w:basedOn w:val="Normal"/>
    <w:next w:val="Normal"/>
    <w:autoRedefine/>
    <w:pPr>
      <w:tabs>
        <w:tab w:val="clear" w:pos="431"/>
      </w:tabs>
      <w:ind w:left="840"/>
      <w:jc w:val="left"/>
    </w:pPr>
    <w:rPr>
      <w:rFonts w:ascii="Calibri" w:hAnsi="Calibri" w:cs="Calibri"/>
      <w:sz w:val="18"/>
      <w:szCs w:val="18"/>
    </w:rPr>
  </w:style>
  <w:style w:type="paragraph" w:styleId="TOC6">
    <w:name w:val="toc 6"/>
    <w:basedOn w:val="Normal"/>
    <w:next w:val="Normal"/>
    <w:autoRedefine/>
    <w:pPr>
      <w:tabs>
        <w:tab w:val="clear" w:pos="431"/>
      </w:tabs>
      <w:ind w:left="1050"/>
      <w:jc w:val="left"/>
    </w:pPr>
    <w:rPr>
      <w:rFonts w:ascii="Calibri" w:hAnsi="Calibri" w:cs="Calibri"/>
      <w:sz w:val="18"/>
      <w:szCs w:val="18"/>
    </w:rPr>
  </w:style>
  <w:style w:type="paragraph" w:styleId="TOC7">
    <w:name w:val="toc 7"/>
    <w:basedOn w:val="Normal"/>
    <w:next w:val="Normal"/>
    <w:autoRedefine/>
    <w:pPr>
      <w:tabs>
        <w:tab w:val="clear" w:pos="431"/>
      </w:tabs>
      <w:ind w:left="1260"/>
      <w:jc w:val="left"/>
    </w:pPr>
    <w:rPr>
      <w:rFonts w:ascii="Calibri" w:hAnsi="Calibri" w:cs="Calibri"/>
      <w:sz w:val="18"/>
      <w:szCs w:val="18"/>
    </w:rPr>
  </w:style>
  <w:style w:type="paragraph" w:styleId="TOC8">
    <w:name w:val="toc 8"/>
    <w:basedOn w:val="Normal"/>
    <w:next w:val="Normal"/>
    <w:autoRedefine/>
    <w:pPr>
      <w:tabs>
        <w:tab w:val="clear" w:pos="431"/>
      </w:tabs>
      <w:ind w:left="1470"/>
      <w:jc w:val="left"/>
    </w:pPr>
    <w:rPr>
      <w:rFonts w:ascii="Calibri" w:hAnsi="Calibri" w:cs="Calibri"/>
      <w:sz w:val="18"/>
      <w:szCs w:val="18"/>
    </w:rPr>
  </w:style>
  <w:style w:type="paragraph" w:styleId="TOC9">
    <w:name w:val="toc 9"/>
    <w:basedOn w:val="Normal"/>
    <w:next w:val="Normal"/>
    <w:autoRedefine/>
    <w:pPr>
      <w:tabs>
        <w:tab w:val="clear" w:pos="431"/>
      </w:tabs>
      <w:ind w:left="1680"/>
      <w:jc w:val="left"/>
    </w:pPr>
    <w:rPr>
      <w:rFonts w:ascii="Calibri" w:hAnsi="Calibri" w:cs="Calibri"/>
      <w:sz w:val="18"/>
      <w:szCs w:val="18"/>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paragraph" w:customStyle="1" w:styleId="a0">
    <w:name w:val="悬挂符号－"/>
    <w:basedOn w:val="Normal"/>
    <w:pPr>
      <w:numPr>
        <w:numId w:val="12"/>
      </w:numPr>
      <w:tabs>
        <w:tab w:val="clear" w:pos="431"/>
      </w:tabs>
      <w:spacing w:line="336" w:lineRule="auto"/>
    </w:pPr>
    <w:rPr>
      <w:spacing w:val="10"/>
      <w:sz w:val="24"/>
    </w:rPr>
  </w:style>
  <w:style w:type="paragraph" w:customStyle="1" w:styleId="a">
    <w:name w:val="悬挂符号●"/>
    <w:basedOn w:val="Normal"/>
    <w:pPr>
      <w:numPr>
        <w:numId w:val="13"/>
      </w:numPr>
      <w:tabs>
        <w:tab w:val="clear" w:pos="431"/>
      </w:tabs>
      <w:spacing w:line="336" w:lineRule="auto"/>
    </w:pPr>
    <w:rPr>
      <w:spacing w:val="10"/>
      <w:sz w:val="24"/>
    </w:rPr>
  </w:style>
  <w:style w:type="paragraph" w:customStyle="1" w:styleId="ParaNoGR">
    <w:name w:val="_ParaNo._GR"/>
    <w:basedOn w:val="Normal"/>
    <w:next w:val="Normal"/>
    <w:pPr>
      <w:numPr>
        <w:numId w:val="14"/>
      </w:numPr>
      <w:tabs>
        <w:tab w:val="clear" w:pos="431"/>
        <w:tab w:val="left" w:pos="567"/>
      </w:tabs>
      <w:overflowPunct/>
      <w:adjustRightInd/>
      <w:snapToGrid/>
      <w:spacing w:after="120" w:line="240" w:lineRule="atLeast"/>
      <w:ind w:right="1134"/>
      <w:outlineLvl w:val="0"/>
    </w:pPr>
    <w:rPr>
      <w:rFonts w:eastAsia="Times New Roman"/>
      <w:snapToGrid/>
      <w:spacing w:val="4"/>
      <w:w w:val="103"/>
      <w:kern w:val="14"/>
      <w:sz w:val="20"/>
      <w:lang w:val="ru-RU" w:eastAsia="ru-RU"/>
    </w:rPr>
  </w:style>
  <w:style w:type="paragraph" w:customStyle="1" w:styleId="Figuras">
    <w:name w:val="Figuras"/>
    <w:basedOn w:val="Normal"/>
    <w:link w:val="FigurasCar"/>
    <w:pPr>
      <w:tabs>
        <w:tab w:val="clear" w:pos="431"/>
      </w:tabs>
      <w:overflowPunct/>
      <w:adjustRightInd/>
      <w:snapToGrid/>
      <w:spacing w:line="360" w:lineRule="auto"/>
    </w:pPr>
    <w:rPr>
      <w:rFonts w:ascii="Arial" w:eastAsia="Calibri" w:hAnsi="Arial"/>
      <w:b/>
      <w:bCs/>
      <w:snapToGrid/>
      <w:sz w:val="22"/>
      <w:szCs w:val="24"/>
      <w:lang w:val="es-ES" w:eastAsia="es-ES"/>
    </w:rPr>
  </w:style>
  <w:style w:type="paragraph" w:customStyle="1" w:styleId="Cuadros">
    <w:name w:val="Cuadros"/>
    <w:basedOn w:val="Normal"/>
    <w:pPr>
      <w:tabs>
        <w:tab w:val="clear" w:pos="431"/>
      </w:tabs>
      <w:overflowPunct/>
      <w:adjustRightInd/>
      <w:snapToGrid/>
      <w:spacing w:line="360" w:lineRule="auto"/>
      <w:jc w:val="left"/>
    </w:pPr>
    <w:rPr>
      <w:rFonts w:ascii="Arial" w:eastAsia="Calibri" w:hAnsi="Arial"/>
      <w:b/>
      <w:snapToGrid/>
      <w:sz w:val="22"/>
      <w:szCs w:val="24"/>
      <w:lang w:val="es-ES" w:eastAsia="es-ES"/>
    </w:rPr>
  </w:style>
  <w:style w:type="character" w:customStyle="1" w:styleId="FigurasCar">
    <w:name w:val="Figuras Car"/>
    <w:link w:val="Figuras"/>
    <w:locked/>
    <w:rPr>
      <w:rFonts w:ascii="Arial" w:eastAsia="Calibri" w:hAnsi="Arial"/>
      <w:b/>
      <w:bCs/>
      <w:sz w:val="22"/>
      <w:szCs w:val="24"/>
      <w:lang w:val="es-ES" w:eastAsia="es-ES" w:bidi="ar-SA"/>
    </w:rPr>
  </w:style>
  <w:style w:type="paragraph" w:customStyle="1" w:styleId="Default">
    <w:name w:val="Default"/>
    <w:pPr>
      <w:autoSpaceDE w:val="0"/>
      <w:autoSpaceDN w:val="0"/>
      <w:adjustRightInd w:val="0"/>
    </w:pPr>
    <w:rPr>
      <w:color w:val="000000"/>
      <w:sz w:val="24"/>
      <w:szCs w:val="24"/>
      <w:lang w:val="es-CR"/>
    </w:rPr>
  </w:style>
  <w:style w:type="paragraph" w:customStyle="1" w:styleId="Listavistosa-nfasis11">
    <w:name w:val="Lista vistosa - Énfasis 11"/>
    <w:basedOn w:val="Normal"/>
    <w:pPr>
      <w:tabs>
        <w:tab w:val="clear" w:pos="431"/>
      </w:tabs>
      <w:overflowPunct/>
      <w:adjustRightInd/>
      <w:snapToGrid/>
      <w:spacing w:line="240" w:lineRule="auto"/>
      <w:ind w:left="720"/>
      <w:jc w:val="left"/>
    </w:pPr>
    <w:rPr>
      <w:rFonts w:eastAsia="Calibri"/>
      <w:snapToGrid/>
      <w:sz w:val="24"/>
      <w:szCs w:val="24"/>
      <w:lang w:val="es-ES" w:eastAsia="es-ES"/>
    </w:rPr>
  </w:style>
  <w:style w:type="paragraph" w:customStyle="1" w:styleId="TtulodeTDC1">
    <w:name w:val="Título de TDC1"/>
    <w:basedOn w:val="Heading1"/>
    <w:next w:val="Normal"/>
    <w:semiHidden/>
    <w:pPr>
      <w:widowControl/>
      <w:tabs>
        <w:tab w:val="clear" w:pos="431"/>
      </w:tabs>
      <w:overflowPunct/>
      <w:adjustRightInd/>
      <w:snapToGrid/>
      <w:spacing w:before="480" w:after="0" w:line="276" w:lineRule="auto"/>
      <w:jc w:val="left"/>
      <w:outlineLvl w:val="9"/>
    </w:pPr>
    <w:rPr>
      <w:rFonts w:ascii="Cambria" w:eastAsia="Calibri" w:hAnsi="Cambria"/>
      <w:bCs/>
      <w:color w:val="365F91"/>
      <w:kern w:val="0"/>
      <w:sz w:val="28"/>
      <w:szCs w:val="28"/>
      <w:lang w:val="es-ES" w:eastAsia="en-US"/>
    </w:rPr>
  </w:style>
  <w:style w:type="character" w:customStyle="1" w:styleId="FigurasCarCar">
    <w:name w:val="Figuras Car Car"/>
    <w:rPr>
      <w:rFonts w:ascii="Arial" w:hAnsi="Arial"/>
      <w:b/>
      <w:sz w:val="24"/>
      <w:lang w:val="es-ES" w:eastAsia="es-ES"/>
    </w:rPr>
  </w:style>
  <w:style w:type="paragraph" w:styleId="ListParagraph">
    <w:name w:val="List Paragraph"/>
    <w:basedOn w:val="Normal"/>
    <w:qFormat/>
    <w:pPr>
      <w:widowControl w:val="0"/>
      <w:tabs>
        <w:tab w:val="clear" w:pos="431"/>
      </w:tabs>
      <w:overflowPunct/>
      <w:autoSpaceDE w:val="0"/>
      <w:autoSpaceDN w:val="0"/>
      <w:adjustRightInd/>
      <w:snapToGrid/>
      <w:spacing w:line="240" w:lineRule="auto"/>
      <w:ind w:left="720"/>
      <w:jc w:val="left"/>
    </w:pPr>
    <w:rPr>
      <w:rFonts w:ascii="Univers" w:eastAsia="Calibri" w:hAnsi="Univers"/>
      <w:snapToGrid/>
      <w:sz w:val="20"/>
      <w:szCs w:val="24"/>
      <w:lang w:val="es-ES" w:eastAsia="es-ES"/>
    </w:rPr>
  </w:style>
  <w:style w:type="paragraph" w:styleId="TOCHeading">
    <w:name w:val="TOC Heading"/>
    <w:basedOn w:val="Heading1"/>
    <w:next w:val="Normal"/>
    <w:qFormat/>
    <w:pPr>
      <w:keepLines w:val="0"/>
      <w:widowControl/>
      <w:tabs>
        <w:tab w:val="clear" w:pos="431"/>
      </w:tabs>
      <w:overflowPunct/>
      <w:adjustRightInd/>
      <w:snapToGrid/>
      <w:spacing w:before="240" w:after="60" w:line="240" w:lineRule="auto"/>
      <w:jc w:val="left"/>
      <w:outlineLvl w:val="9"/>
    </w:pPr>
    <w:rPr>
      <w:rFonts w:ascii="Cambria" w:eastAsia="Calibri" w:hAnsi="Cambria"/>
      <w:bCs/>
      <w:sz w:val="32"/>
      <w:szCs w:val="32"/>
      <w:lang w:val="es-ES" w:eastAsia="es-ES"/>
    </w:rPr>
  </w:style>
  <w:style w:type="paragraph" w:styleId="Caption">
    <w:name w:val="caption"/>
    <w:basedOn w:val="Normal"/>
    <w:next w:val="Normal"/>
    <w:qFormat/>
    <w:pPr>
      <w:tabs>
        <w:tab w:val="clear" w:pos="431"/>
      </w:tabs>
      <w:overflowPunct/>
      <w:adjustRightInd/>
      <w:snapToGrid/>
      <w:spacing w:line="240" w:lineRule="auto"/>
      <w:jc w:val="left"/>
    </w:pPr>
    <w:rPr>
      <w:b/>
      <w:bCs/>
      <w:snapToGrid/>
      <w:sz w:val="20"/>
      <w:lang w:val="es-CR" w:eastAsia="es-ES"/>
    </w:rPr>
  </w:style>
  <w:style w:type="paragraph" w:styleId="NoSpacing">
    <w:name w:val="No Spacing"/>
    <w:link w:val="NoSpacingChar"/>
    <w:qFormat/>
    <w:rPr>
      <w:rFonts w:ascii="Calibri" w:eastAsia="Calibri" w:hAnsi="Calibri"/>
      <w:sz w:val="22"/>
      <w:szCs w:val="22"/>
      <w:lang w:val="es-ES"/>
    </w:rPr>
  </w:style>
  <w:style w:type="character" w:customStyle="1" w:styleId="NoSpacingChar">
    <w:name w:val="No Spacing Char"/>
    <w:link w:val="NoSpacing"/>
    <w:locked/>
    <w:rPr>
      <w:rFonts w:ascii="Calibri" w:eastAsia="Calibri" w:hAnsi="Calibri"/>
      <w:sz w:val="22"/>
      <w:szCs w:val="22"/>
      <w:lang w:val="es-ES" w:eastAsia="en-US" w:bidi="ar-SA"/>
    </w:rPr>
  </w:style>
  <w:style w:type="paragraph" w:styleId="CommentSubject">
    <w:name w:val="annotation subject"/>
    <w:basedOn w:val="CommentText"/>
    <w:next w:val="CommentText"/>
    <w:link w:val="CommentSubjectChar"/>
    <w:pPr>
      <w:suppressAutoHyphens w:val="0"/>
      <w:spacing w:line="240" w:lineRule="auto"/>
    </w:pPr>
    <w:rPr>
      <w:rFonts w:eastAsia="Calibri"/>
      <w:b/>
      <w:bCs/>
      <w:lang w:val="es-ES" w:eastAsia="es-ES"/>
    </w:rPr>
  </w:style>
  <w:style w:type="character" w:customStyle="1" w:styleId="CommentSubjectChar">
    <w:name w:val="Comment Subject Char"/>
    <w:basedOn w:val="CommentTextChar"/>
    <w:link w:val="CommentSubject"/>
    <w:rPr>
      <w:rFonts w:eastAsia="Calibri"/>
      <w:b/>
      <w:bCs/>
      <w:lang w:val="es-ES" w:eastAsia="es-ES"/>
    </w:rPr>
  </w:style>
  <w:style w:type="paragraph" w:styleId="Revision">
    <w:name w:val="Revision"/>
    <w:hidden/>
    <w:semiHidden/>
    <w:rPr>
      <w:rFonts w:eastAsia="Calibri"/>
      <w:sz w:val="24"/>
      <w:szCs w:val="24"/>
      <w:lang w:val="es-ES" w:eastAsia="es-ES"/>
    </w:rPr>
  </w:style>
  <w:style w:type="character" w:customStyle="1" w:styleId="st1">
    <w:name w:val="st1"/>
    <w:basedOn w:val="DefaultParagraphFont"/>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7</TotalTime>
  <Pages>1</Pages>
  <Words>6008</Words>
  <Characters>34246</Characters>
  <Application>Microsoft Office Outlook</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6</cp:revision>
  <cp:lastPrinted>2013-06-20T13:06:00Z</cp:lastPrinted>
  <dcterms:created xsi:type="dcterms:W3CDTF">2013-06-20T12:59:00Z</dcterms:created>
  <dcterms:modified xsi:type="dcterms:W3CDTF">2013-06-20T13:06:00Z</dcterms:modified>
</cp:coreProperties>
</file>