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4E03DC" w14:paraId="1A9B374F" w14:textId="77777777" w:rsidTr="0054149D">
        <w:trPr>
          <w:trHeight w:hRule="exact" w:val="851"/>
        </w:trPr>
        <w:tc>
          <w:tcPr>
            <w:tcW w:w="1274" w:type="dxa"/>
            <w:tcBorders>
              <w:bottom w:val="single" w:sz="4" w:space="0" w:color="auto"/>
            </w:tcBorders>
          </w:tcPr>
          <w:p w14:paraId="42536338" w14:textId="77777777" w:rsidR="006B3E27" w:rsidRPr="004E03DC" w:rsidRDefault="006B3E27" w:rsidP="00AA6360">
            <w:pPr>
              <w:kinsoku w:val="0"/>
              <w:overflowPunct w:val="0"/>
              <w:autoSpaceDE w:val="0"/>
              <w:autoSpaceDN w:val="0"/>
              <w:bidi w:val="0"/>
              <w:adjustRightInd w:val="0"/>
              <w:snapToGrid w:val="0"/>
              <w:jc w:val="right"/>
            </w:pPr>
          </w:p>
        </w:tc>
        <w:tc>
          <w:tcPr>
            <w:tcW w:w="4254" w:type="dxa"/>
            <w:tcBorders>
              <w:bottom w:val="single" w:sz="4" w:space="0" w:color="auto"/>
            </w:tcBorders>
            <w:vAlign w:val="bottom"/>
          </w:tcPr>
          <w:p w14:paraId="14123423" w14:textId="77777777" w:rsidR="006B3E27" w:rsidRPr="004E03DC" w:rsidRDefault="006B3E27" w:rsidP="00803632">
            <w:pPr>
              <w:spacing w:after="80" w:line="480" w:lineRule="exact"/>
              <w:ind w:left="57"/>
              <w:jc w:val="left"/>
              <w:rPr>
                <w:sz w:val="30"/>
                <w:szCs w:val="30"/>
                <w:rtl/>
              </w:rPr>
            </w:pPr>
            <w:r w:rsidRPr="004E03DC">
              <w:rPr>
                <w:rFonts w:hint="cs"/>
                <w:sz w:val="30"/>
                <w:szCs w:val="30"/>
                <w:rtl/>
              </w:rPr>
              <w:t>الأمم المتحدة</w:t>
            </w:r>
          </w:p>
        </w:tc>
        <w:tc>
          <w:tcPr>
            <w:tcW w:w="4111" w:type="dxa"/>
            <w:tcBorders>
              <w:bottom w:val="single" w:sz="4" w:space="0" w:color="auto"/>
            </w:tcBorders>
            <w:vAlign w:val="bottom"/>
          </w:tcPr>
          <w:p w14:paraId="1966DF8F" w14:textId="2F18EC3C" w:rsidR="006B3E27" w:rsidRPr="004E03DC" w:rsidRDefault="00BD45E7" w:rsidP="00BD45E7">
            <w:pPr>
              <w:bidi w:val="0"/>
              <w:jc w:val="left"/>
            </w:pPr>
            <w:r w:rsidRPr="004E03DC">
              <w:rPr>
                <w:sz w:val="40"/>
              </w:rPr>
              <w:t>CRPD</w:t>
            </w:r>
            <w:r w:rsidRPr="004E03DC">
              <w:t>/C/31/2</w:t>
            </w:r>
          </w:p>
        </w:tc>
      </w:tr>
      <w:tr w:rsidR="006B3E27" w:rsidRPr="004E03DC" w14:paraId="4718E7AC" w14:textId="77777777" w:rsidTr="0054149D">
        <w:trPr>
          <w:trHeight w:hRule="exact" w:val="2835"/>
        </w:trPr>
        <w:tc>
          <w:tcPr>
            <w:tcW w:w="1274" w:type="dxa"/>
            <w:tcBorders>
              <w:top w:val="single" w:sz="4" w:space="0" w:color="auto"/>
              <w:bottom w:val="single" w:sz="12" w:space="0" w:color="auto"/>
            </w:tcBorders>
          </w:tcPr>
          <w:p w14:paraId="4FA59AAE" w14:textId="77777777" w:rsidR="006B3E27" w:rsidRPr="004E03DC" w:rsidRDefault="0059622A" w:rsidP="00E86F91">
            <w:pPr>
              <w:spacing w:before="120"/>
              <w:jc w:val="center"/>
              <w:rPr>
                <w:sz w:val="56"/>
                <w:szCs w:val="56"/>
                <w:rtl/>
              </w:rPr>
            </w:pPr>
            <w:r w:rsidRPr="004E03DC">
              <w:rPr>
                <w:noProof/>
                <w:sz w:val="56"/>
                <w:szCs w:val="56"/>
              </w:rPr>
              <w:drawing>
                <wp:inline distT="0" distB="0" distL="0" distR="0" wp14:anchorId="43A32DAF" wp14:editId="661C6FDC">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14:paraId="1F2BDBE8" w14:textId="77777777" w:rsidR="006B3E27" w:rsidRPr="004E03DC" w:rsidRDefault="00606EDF" w:rsidP="00803632">
            <w:pPr>
              <w:spacing w:before="120" w:after="40" w:line="640" w:lineRule="exact"/>
              <w:ind w:left="57"/>
              <w:jc w:val="left"/>
              <w:rPr>
                <w:b/>
                <w:bCs/>
                <w:sz w:val="50"/>
                <w:szCs w:val="50"/>
                <w:rtl/>
              </w:rPr>
            </w:pPr>
            <w:r w:rsidRPr="004E03DC">
              <w:rPr>
                <w:rFonts w:hint="cs"/>
                <w:b/>
                <w:bCs/>
                <w:sz w:val="50"/>
                <w:szCs w:val="50"/>
                <w:rtl/>
              </w:rPr>
              <w:t>اتفاق</w:t>
            </w:r>
            <w:r w:rsidR="007541BA" w:rsidRPr="004E03DC">
              <w:rPr>
                <w:rFonts w:hint="cs"/>
                <w:b/>
                <w:bCs/>
                <w:sz w:val="50"/>
                <w:szCs w:val="50"/>
                <w:rtl/>
              </w:rPr>
              <w:t>ية</w:t>
            </w:r>
            <w:r w:rsidRPr="004E03DC">
              <w:rPr>
                <w:rFonts w:hint="cs"/>
                <w:b/>
                <w:bCs/>
                <w:sz w:val="50"/>
                <w:szCs w:val="50"/>
                <w:rtl/>
              </w:rPr>
              <w:t xml:space="preserve"> حقوق الأشخاص ذوي الإعاقة</w:t>
            </w:r>
          </w:p>
        </w:tc>
        <w:tc>
          <w:tcPr>
            <w:tcW w:w="4111" w:type="dxa"/>
            <w:tcBorders>
              <w:top w:val="single" w:sz="4" w:space="0" w:color="auto"/>
              <w:bottom w:val="single" w:sz="12" w:space="0" w:color="auto"/>
            </w:tcBorders>
          </w:tcPr>
          <w:p w14:paraId="6191AE88" w14:textId="77777777" w:rsidR="006B3E27" w:rsidRPr="004E03DC" w:rsidRDefault="00BD45E7" w:rsidP="00397C83">
            <w:pPr>
              <w:bidi w:val="0"/>
              <w:spacing w:before="240"/>
              <w:jc w:val="left"/>
            </w:pPr>
            <w:r w:rsidRPr="004E03DC">
              <w:t>Distr.: General</w:t>
            </w:r>
          </w:p>
          <w:p w14:paraId="67BFF106" w14:textId="54F4D423" w:rsidR="00BD45E7" w:rsidRPr="004E03DC" w:rsidRDefault="00766F91" w:rsidP="00BD45E7">
            <w:pPr>
              <w:bidi w:val="0"/>
              <w:spacing w:line="240" w:lineRule="exact"/>
              <w:jc w:val="left"/>
            </w:pPr>
            <w:r w:rsidRPr="004E03DC">
              <w:t xml:space="preserve">11 October </w:t>
            </w:r>
            <w:r w:rsidR="00BD45E7" w:rsidRPr="004E03DC">
              <w:t>2024</w:t>
            </w:r>
          </w:p>
          <w:p w14:paraId="55D93335" w14:textId="77777777" w:rsidR="00BD45E7" w:rsidRPr="004E03DC" w:rsidRDefault="00BD45E7" w:rsidP="00BD45E7">
            <w:pPr>
              <w:bidi w:val="0"/>
              <w:spacing w:line="240" w:lineRule="exact"/>
              <w:jc w:val="left"/>
            </w:pPr>
            <w:r w:rsidRPr="004E03DC">
              <w:t>Arabic</w:t>
            </w:r>
          </w:p>
          <w:p w14:paraId="70A00CD3" w14:textId="55A2C364" w:rsidR="00BD45E7" w:rsidRPr="004E03DC" w:rsidRDefault="00BD45E7" w:rsidP="00BD45E7">
            <w:pPr>
              <w:bidi w:val="0"/>
              <w:spacing w:line="240" w:lineRule="exact"/>
              <w:jc w:val="left"/>
            </w:pPr>
            <w:r w:rsidRPr="004E03DC">
              <w:t>Original: English</w:t>
            </w:r>
          </w:p>
        </w:tc>
      </w:tr>
    </w:tbl>
    <w:p w14:paraId="1D53B28B" w14:textId="77777777" w:rsidR="00766F91" w:rsidRPr="004E03DC" w:rsidRDefault="00766F91" w:rsidP="00766F91">
      <w:pPr>
        <w:pStyle w:val="SingleTxtGA"/>
        <w:spacing w:before="120" w:after="0"/>
        <w:ind w:left="0" w:right="283"/>
        <w:jc w:val="left"/>
        <w:rPr>
          <w:b/>
          <w:bCs/>
          <w:sz w:val="26"/>
          <w:szCs w:val="26"/>
          <w:lang w:val="en-US" w:eastAsia="zh-TW"/>
        </w:rPr>
      </w:pPr>
      <w:r w:rsidRPr="004E03DC">
        <w:rPr>
          <w:b/>
          <w:bCs/>
          <w:sz w:val="26"/>
          <w:szCs w:val="26"/>
          <w:rtl/>
          <w:lang w:val="en-US"/>
        </w:rPr>
        <w:t>اللجنة المعنية بحقوق الأشخاص ذوي الإعاقة</w:t>
      </w:r>
    </w:p>
    <w:p w14:paraId="2EF54FF2" w14:textId="77777777" w:rsidR="00766F91" w:rsidRPr="004E03DC" w:rsidRDefault="00766F91" w:rsidP="004E03DC">
      <w:pPr>
        <w:pStyle w:val="HChGA"/>
        <w:rPr>
          <w:lang w:eastAsia="zh-TW"/>
        </w:rPr>
      </w:pPr>
      <w:r w:rsidRPr="004E03DC">
        <w:rPr>
          <w:rtl/>
        </w:rPr>
        <w:tab/>
      </w:r>
      <w:r w:rsidRPr="004E03DC">
        <w:rPr>
          <w:rtl/>
        </w:rPr>
        <w:tab/>
        <w:t>تقرير اللجنة المعنية بحقوق الأشخاص ذوي الإعاقة عن دورتها الحادية والثلاثين (12 آب/أغسطس - 5 أيلول/سبتمبر 2024)</w:t>
      </w:r>
    </w:p>
    <w:p w14:paraId="1408BB67" w14:textId="6705022E" w:rsidR="00766F91" w:rsidRPr="004E03DC" w:rsidRDefault="00766F91" w:rsidP="004E03DC">
      <w:pPr>
        <w:pStyle w:val="HChGA"/>
        <w:rPr>
          <w:rtl/>
          <w:lang w:eastAsia="zh-TW"/>
        </w:rPr>
      </w:pPr>
      <w:r w:rsidRPr="004E03DC">
        <w:rPr>
          <w:rtl/>
        </w:rPr>
        <w:tab/>
        <w:t>أولا</w:t>
      </w:r>
      <w:r w:rsidRPr="004E03DC">
        <w:rPr>
          <w:rFonts w:hint="cs"/>
          <w:rtl/>
        </w:rPr>
        <w:t>ً</w:t>
      </w:r>
      <w:r w:rsidRPr="004E03DC">
        <w:rPr>
          <w:rtl/>
        </w:rPr>
        <w:t>-</w:t>
      </w:r>
      <w:r w:rsidRPr="004E03DC">
        <w:rPr>
          <w:rtl/>
        </w:rPr>
        <w:tab/>
        <w:t>الدول الأطراف في الاتفاقية وبروتوكولها الاختياري</w:t>
      </w:r>
    </w:p>
    <w:p w14:paraId="2E0A12A5" w14:textId="77777777" w:rsidR="00766F91" w:rsidRPr="004E03DC" w:rsidRDefault="00766F91" w:rsidP="00766F91">
      <w:pPr>
        <w:pStyle w:val="SingleTxtGA"/>
        <w:rPr>
          <w:rFonts w:eastAsiaTheme="minorEastAsia"/>
          <w:rtl/>
          <w:lang w:val="en-US" w:eastAsia="zh-TW"/>
        </w:rPr>
      </w:pPr>
      <w:r w:rsidRPr="004E03DC">
        <w:rPr>
          <w:rFonts w:eastAsiaTheme="minorEastAsia"/>
          <w:rtl/>
          <w:lang w:val="en-US"/>
        </w:rPr>
        <w:t>1-</w:t>
      </w:r>
      <w:r w:rsidRPr="004E03DC">
        <w:rPr>
          <w:rFonts w:eastAsiaTheme="minorEastAsia"/>
          <w:rtl/>
          <w:lang w:val="en-US"/>
        </w:rPr>
        <w:tab/>
        <w:t>حتى 5 أيلول/سبتمبر 2024، وهو تاريخ اختتام الدورة الحادية والثلاثين، بلغ عدد الدول الأطراف في اتفاقية حقوق الأشخاص ذوي الإعاقة 191 دولة وعدد الدول في بروتوكولها الاختياري 106 دول. ويمكن الاطلاع على قائمتي الدول الأطراف في هذين الصكين في الموقع الشبكي لمكتب الشؤون القانونية التابع للأمانة العامة.</w:t>
      </w:r>
    </w:p>
    <w:p w14:paraId="537A0E92" w14:textId="22C37576" w:rsidR="00766F91" w:rsidRPr="004E03DC" w:rsidRDefault="00766F91" w:rsidP="00766F91">
      <w:pPr>
        <w:pStyle w:val="HChGA"/>
        <w:rPr>
          <w:lang w:val="en-US" w:eastAsia="zh-TW"/>
        </w:rPr>
      </w:pPr>
      <w:r w:rsidRPr="004E03DC">
        <w:rPr>
          <w:rtl/>
          <w:lang w:val="en-US"/>
        </w:rPr>
        <w:tab/>
        <w:t>ثانيا</w:t>
      </w:r>
      <w:r w:rsidRPr="004E03DC">
        <w:rPr>
          <w:rFonts w:hint="cs"/>
          <w:rtl/>
          <w:lang w:val="en-US"/>
        </w:rPr>
        <w:t>ً</w:t>
      </w:r>
      <w:r w:rsidRPr="004E03DC">
        <w:rPr>
          <w:rtl/>
          <w:lang w:val="en-US"/>
        </w:rPr>
        <w:t>-</w:t>
      </w:r>
      <w:r w:rsidRPr="004E03DC">
        <w:rPr>
          <w:rtl/>
          <w:lang w:val="en-US"/>
        </w:rPr>
        <w:tab/>
        <w:t>افتتاح الدورة الحادية والثلاثين للجنة</w:t>
      </w:r>
    </w:p>
    <w:p w14:paraId="0C8DCD96" w14:textId="77777777" w:rsidR="00766F91" w:rsidRPr="004E03DC" w:rsidRDefault="00766F91" w:rsidP="00766F91">
      <w:pPr>
        <w:pStyle w:val="SingleTxtGA"/>
        <w:rPr>
          <w:rFonts w:eastAsiaTheme="minorEastAsia"/>
          <w:u w:color="000000"/>
          <w:bdr w:val="nil"/>
          <w:lang w:val="en-US" w:eastAsia="zh-TW"/>
        </w:rPr>
      </w:pPr>
      <w:r w:rsidRPr="004E03DC">
        <w:rPr>
          <w:rFonts w:eastAsiaTheme="minorEastAsia"/>
          <w:rtl/>
          <w:lang w:val="en-US"/>
        </w:rPr>
        <w:t>2-</w:t>
      </w:r>
      <w:r w:rsidRPr="004E03DC">
        <w:rPr>
          <w:rFonts w:eastAsiaTheme="minorEastAsia"/>
          <w:rtl/>
          <w:lang w:val="en-US"/>
        </w:rPr>
        <w:tab/>
        <w:t>افتتح الدورةَ الحادية الثلاثين، بكلمة ترحيب خلال جلسة عامة، ممثلُ الأمين العام، رئيس قسم الفئات موضع التركيز في فرع معاهدات حقوق الإنسان، بشعبة آليات مجلس حقوق الإنسان وآليات المعاهدات بمفوضية الأمم المتحدة السامية لحقوق الإنسان. ويمكن الاطلاع على كلمة الترحيب في موقع اللجنة على شبكة الإنترنت.</w:t>
      </w:r>
    </w:p>
    <w:p w14:paraId="37149F1A" w14:textId="3B0C6CED" w:rsidR="00766F91" w:rsidRPr="004E03DC" w:rsidRDefault="00766F91" w:rsidP="00766F91">
      <w:pPr>
        <w:pStyle w:val="SingleTxtGA"/>
        <w:rPr>
          <w:rFonts w:eastAsiaTheme="minorEastAsia"/>
          <w:u w:color="000000"/>
          <w:bdr w:val="nil"/>
          <w:lang w:val="en-US" w:eastAsia="zh-TW"/>
        </w:rPr>
      </w:pPr>
      <w:r w:rsidRPr="004E03DC">
        <w:rPr>
          <w:rFonts w:eastAsiaTheme="minorEastAsia"/>
          <w:rtl/>
          <w:lang w:val="en-US"/>
        </w:rPr>
        <w:t>3-</w:t>
      </w:r>
      <w:r w:rsidRPr="004E03DC">
        <w:rPr>
          <w:rFonts w:eastAsiaTheme="minorEastAsia"/>
          <w:rtl/>
          <w:lang w:val="en-US"/>
        </w:rPr>
        <w:tab/>
        <w:t>واستعرضت اللجنة وأقرت جدول الأعمال</w:t>
      </w:r>
      <w:r w:rsidRPr="004E03DC">
        <w:rPr>
          <w:rStyle w:val="FootnoteReference"/>
          <w:sz w:val="22"/>
          <w:rtl/>
          <w:lang w:val="en-US"/>
        </w:rPr>
        <w:t>(</w:t>
      </w:r>
      <w:r w:rsidRPr="004E03DC">
        <w:rPr>
          <w:rStyle w:val="FootnoteReference"/>
          <w:sz w:val="22"/>
          <w:rtl/>
          <w:lang w:val="en-US"/>
        </w:rPr>
        <w:footnoteReference w:id="1"/>
      </w:r>
      <w:r w:rsidRPr="004E03DC">
        <w:rPr>
          <w:rStyle w:val="FootnoteReference"/>
          <w:sz w:val="22"/>
          <w:rtl/>
          <w:lang w:val="en-US"/>
        </w:rPr>
        <w:t>)</w:t>
      </w:r>
      <w:r w:rsidRPr="004E03DC">
        <w:rPr>
          <w:rFonts w:eastAsiaTheme="minorEastAsia"/>
          <w:rtl/>
          <w:lang w:val="en-US"/>
        </w:rPr>
        <w:t> وبرنامج العمل المؤقتين للدورة الحادية والثلاثين.</w:t>
      </w:r>
    </w:p>
    <w:p w14:paraId="2D287759" w14:textId="5F364E38" w:rsidR="00766F91" w:rsidRPr="004E03DC" w:rsidRDefault="00766F91" w:rsidP="00766F91">
      <w:pPr>
        <w:pStyle w:val="HChGA"/>
        <w:rPr>
          <w:lang w:val="en-US" w:eastAsia="zh-TW"/>
        </w:rPr>
      </w:pPr>
      <w:r w:rsidRPr="004E03DC">
        <w:rPr>
          <w:rtl/>
          <w:lang w:val="en-US"/>
        </w:rPr>
        <w:tab/>
        <w:t>ثالثا</w:t>
      </w:r>
      <w:r w:rsidRPr="004E03DC">
        <w:rPr>
          <w:rFonts w:hint="cs"/>
          <w:rtl/>
          <w:lang w:val="en-US"/>
        </w:rPr>
        <w:t>ً</w:t>
      </w:r>
      <w:r w:rsidRPr="004E03DC">
        <w:rPr>
          <w:rtl/>
          <w:lang w:val="en-US"/>
        </w:rPr>
        <w:t>-</w:t>
      </w:r>
      <w:r w:rsidRPr="004E03DC">
        <w:rPr>
          <w:rtl/>
          <w:lang w:val="en-US"/>
        </w:rPr>
        <w:tab/>
        <w:t>عضوية اللجنة</w:t>
      </w:r>
    </w:p>
    <w:p w14:paraId="04774F14" w14:textId="77777777" w:rsidR="00766F91" w:rsidRPr="004E03DC" w:rsidRDefault="00766F91" w:rsidP="00766F91">
      <w:pPr>
        <w:pStyle w:val="SingleTxtGA"/>
        <w:rPr>
          <w:rFonts w:eastAsiaTheme="minorEastAsia"/>
          <w:bdr w:val="nil"/>
          <w:lang w:val="en-US" w:eastAsia="zh-TW"/>
        </w:rPr>
      </w:pPr>
      <w:r w:rsidRPr="004E03DC">
        <w:rPr>
          <w:rFonts w:eastAsiaTheme="minorEastAsia"/>
          <w:rtl/>
          <w:lang w:val="en-US"/>
        </w:rPr>
        <w:t>4-</w:t>
      </w:r>
      <w:r w:rsidRPr="004E03DC">
        <w:rPr>
          <w:rFonts w:eastAsiaTheme="minorEastAsia"/>
          <w:rtl/>
          <w:lang w:val="en-US"/>
        </w:rPr>
        <w:tab/>
        <w:t>يمكن الاطلاع في الموقع الشبكي للجنة على قائمة أعضائها، حتى 5 أيلول/سبتمبر 2024، التي تشير إلى مدة ولايتهم.</w:t>
      </w:r>
    </w:p>
    <w:p w14:paraId="70215927" w14:textId="71A74292" w:rsidR="00766F91" w:rsidRPr="004E03DC" w:rsidRDefault="00766F91" w:rsidP="00766F91">
      <w:pPr>
        <w:pStyle w:val="HChGA"/>
        <w:rPr>
          <w:lang w:val="en-US" w:eastAsia="zh-TW"/>
        </w:rPr>
      </w:pPr>
      <w:r w:rsidRPr="004E03DC">
        <w:rPr>
          <w:rtl/>
          <w:lang w:val="en-US"/>
        </w:rPr>
        <w:tab/>
        <w:t>رابعا</w:t>
      </w:r>
      <w:r w:rsidRPr="004E03DC">
        <w:rPr>
          <w:rFonts w:hint="cs"/>
          <w:rtl/>
          <w:lang w:val="en-US"/>
        </w:rPr>
        <w:t>ً</w:t>
      </w:r>
      <w:r w:rsidRPr="004E03DC">
        <w:rPr>
          <w:rtl/>
          <w:lang w:val="en-US"/>
        </w:rPr>
        <w:t>-</w:t>
      </w:r>
      <w:r w:rsidRPr="004E03DC">
        <w:rPr>
          <w:rtl/>
          <w:lang w:val="en-US"/>
        </w:rPr>
        <w:tab/>
        <w:t>أساليب العمل</w:t>
      </w:r>
    </w:p>
    <w:p w14:paraId="4A66116C" w14:textId="12F4C926" w:rsidR="00766F91" w:rsidRPr="004E03DC" w:rsidRDefault="00766F91" w:rsidP="00766F91">
      <w:pPr>
        <w:pStyle w:val="SingleTxtGA"/>
        <w:rPr>
          <w:rFonts w:eastAsiaTheme="minorEastAsia"/>
          <w:lang w:val="en-US" w:eastAsia="zh-TW"/>
        </w:rPr>
      </w:pPr>
      <w:r w:rsidRPr="004E03DC">
        <w:rPr>
          <w:rFonts w:eastAsiaTheme="minorEastAsia"/>
          <w:rtl/>
          <w:lang w:val="en-US"/>
        </w:rPr>
        <w:t>5-</w:t>
      </w:r>
      <w:r w:rsidRPr="004E03DC">
        <w:rPr>
          <w:rFonts w:eastAsiaTheme="minorEastAsia"/>
          <w:rtl/>
          <w:lang w:val="en-US"/>
        </w:rPr>
        <w:tab/>
        <w:t>ناقشت اللجنة مختلف المسائل المتصلة بأساليب عملها وقررت مواصلة تحديث وتبسيط هذه الأساليب خلال فترة ما بين الدورتين. وواصلت استخدام فرق العمل في الحوارات مع الدول الأطراف. وناقشت أيض</w:t>
      </w:r>
      <w:r w:rsidR="00404F21" w:rsidRPr="004E03DC">
        <w:rPr>
          <w:rFonts w:eastAsiaTheme="minorEastAsia"/>
          <w:rtl/>
          <w:lang w:val="en-US"/>
        </w:rPr>
        <w:t xml:space="preserve">اً </w:t>
      </w:r>
      <w:r w:rsidRPr="004E03DC">
        <w:rPr>
          <w:rFonts w:eastAsiaTheme="minorEastAsia"/>
          <w:rtl/>
          <w:lang w:val="en-US"/>
        </w:rPr>
        <w:t xml:space="preserve">المسائل المتعلقة بتنفيذ المبادئ التوجيهية بشأن استقلال وحياد أعضاء هيئات معاهدات حقوق الإنسان (مبادئ أديس أبابا التوجيهية). </w:t>
      </w:r>
      <w:bookmarkStart w:id="0" w:name="_Hlk177744293"/>
      <w:bookmarkEnd w:id="0"/>
    </w:p>
    <w:p w14:paraId="48B73792" w14:textId="1723EEA7" w:rsidR="00766F91" w:rsidRPr="004E03DC" w:rsidRDefault="00766F91" w:rsidP="00766F91">
      <w:pPr>
        <w:pStyle w:val="HChGA"/>
        <w:rPr>
          <w:lang w:val="en-US" w:eastAsia="zh-TW"/>
        </w:rPr>
      </w:pPr>
      <w:r w:rsidRPr="004E03DC">
        <w:rPr>
          <w:rtl/>
          <w:lang w:val="en-US"/>
        </w:rPr>
        <w:tab/>
        <w:t>خامسا</w:t>
      </w:r>
      <w:r w:rsidRPr="004E03DC">
        <w:rPr>
          <w:rFonts w:hint="cs"/>
          <w:rtl/>
          <w:lang w:val="en-US"/>
        </w:rPr>
        <w:t>ً</w:t>
      </w:r>
      <w:r w:rsidRPr="004E03DC">
        <w:rPr>
          <w:rtl/>
          <w:lang w:val="en-US"/>
        </w:rPr>
        <w:t>-</w:t>
      </w:r>
      <w:r w:rsidRPr="004E03DC">
        <w:rPr>
          <w:rtl/>
          <w:lang w:val="en-US"/>
        </w:rPr>
        <w:tab/>
        <w:t>الأنشطة المتصلة بالتعليقات العامة</w:t>
      </w:r>
    </w:p>
    <w:p w14:paraId="37DBC5FD" w14:textId="115DCAB0" w:rsidR="00766F91" w:rsidRPr="004E03DC" w:rsidRDefault="00766F91" w:rsidP="00766F91">
      <w:pPr>
        <w:pStyle w:val="SingleTxtGA"/>
        <w:rPr>
          <w:rFonts w:eastAsiaTheme="minorEastAsia"/>
          <w:u w:color="000000"/>
          <w:bdr w:val="nil"/>
          <w:lang w:val="en-US" w:eastAsia="zh-TW"/>
        </w:rPr>
      </w:pPr>
      <w:r w:rsidRPr="004E03DC">
        <w:rPr>
          <w:rFonts w:eastAsiaTheme="minorEastAsia"/>
          <w:rtl/>
          <w:lang w:val="en-US"/>
        </w:rPr>
        <w:t>6-</w:t>
      </w:r>
      <w:r w:rsidRPr="004E03DC">
        <w:rPr>
          <w:rFonts w:eastAsiaTheme="minorEastAsia"/>
          <w:rtl/>
          <w:lang w:val="en-US"/>
        </w:rPr>
        <w:tab/>
        <w:t>واصلت اللجنة، في إطار جلسات مغلقة، عملها المتعلق بوضع مشروع تعليق عام بشأن المادة</w:t>
      </w:r>
      <w:r w:rsidRPr="004E03DC">
        <w:rPr>
          <w:rFonts w:eastAsiaTheme="minorEastAsia" w:hint="cs"/>
          <w:rtl/>
          <w:lang w:val="en-US"/>
        </w:rPr>
        <w:t> </w:t>
      </w:r>
      <w:r w:rsidRPr="004E03DC">
        <w:rPr>
          <w:rFonts w:eastAsiaTheme="minorEastAsia"/>
          <w:rtl/>
          <w:lang w:val="en-US"/>
        </w:rPr>
        <w:t>11 من الاتفاقية. وقررت إنشاء فريق عامل لصياغة تعليق عام على المادة 29 من الاتفاقية.</w:t>
      </w:r>
    </w:p>
    <w:p w14:paraId="05474E9C" w14:textId="5934403C" w:rsidR="00766F91" w:rsidRPr="004E03DC" w:rsidRDefault="00766F91" w:rsidP="00766F91">
      <w:pPr>
        <w:pStyle w:val="HChGA"/>
        <w:rPr>
          <w:lang w:val="en-US" w:eastAsia="zh-TW"/>
        </w:rPr>
      </w:pPr>
      <w:r w:rsidRPr="004E03DC">
        <w:rPr>
          <w:rtl/>
          <w:lang w:val="en-US"/>
        </w:rPr>
        <w:tab/>
        <w:t>سادسا</w:t>
      </w:r>
      <w:r w:rsidRPr="004E03DC">
        <w:rPr>
          <w:rFonts w:hint="cs"/>
          <w:rtl/>
          <w:lang w:val="en-US"/>
        </w:rPr>
        <w:t>ً</w:t>
      </w:r>
      <w:r w:rsidRPr="004E03DC">
        <w:rPr>
          <w:rtl/>
          <w:lang w:val="en-US"/>
        </w:rPr>
        <w:t>-</w:t>
      </w:r>
      <w:r w:rsidRPr="004E03DC">
        <w:rPr>
          <w:rtl/>
          <w:lang w:val="en-US"/>
        </w:rPr>
        <w:tab/>
        <w:t>الأنشطة المتصلة بالبروتوكول الاختياري</w:t>
      </w:r>
    </w:p>
    <w:p w14:paraId="1B9F6607" w14:textId="5CB6A962" w:rsidR="00766F91" w:rsidRPr="004E03DC" w:rsidRDefault="00766F91" w:rsidP="00766F91">
      <w:pPr>
        <w:pStyle w:val="SingleTxtGA"/>
        <w:rPr>
          <w:rFonts w:eastAsiaTheme="minorEastAsia"/>
          <w:i/>
          <w:iCs/>
          <w:spacing w:val="2"/>
          <w:lang w:val="en-US" w:eastAsia="zh-TW"/>
        </w:rPr>
      </w:pPr>
      <w:r w:rsidRPr="004E03DC">
        <w:rPr>
          <w:rFonts w:eastAsiaTheme="minorEastAsia"/>
          <w:spacing w:val="2"/>
          <w:rtl/>
          <w:lang w:val="en-US"/>
        </w:rPr>
        <w:t>7-</w:t>
      </w:r>
      <w:r w:rsidRPr="004E03DC">
        <w:rPr>
          <w:rFonts w:eastAsiaTheme="minorEastAsia"/>
          <w:spacing w:val="2"/>
          <w:rtl/>
          <w:lang w:val="en-US"/>
        </w:rPr>
        <w:tab/>
        <w:t xml:space="preserve">درست اللجنة ستة بلاغات قُدمت إليها للنظر فيها بموجب البروتوكول الاختياري للاتفاقية. ووجدت انتهاكات للاتفاقية في اثنتين منها: </w:t>
      </w:r>
      <w:r w:rsidRPr="004E03DC">
        <w:rPr>
          <w:rFonts w:eastAsiaTheme="minorEastAsia"/>
          <w:i/>
          <w:iCs/>
          <w:spacing w:val="2"/>
          <w:rtl/>
          <w:lang w:val="en-US"/>
        </w:rPr>
        <w:t>رويز سواريز ضد إسبانيا</w:t>
      </w:r>
      <w:r w:rsidRPr="004E03DC">
        <w:rPr>
          <w:rStyle w:val="FootnoteReference"/>
          <w:spacing w:val="2"/>
          <w:sz w:val="22"/>
          <w:rtl/>
          <w:lang w:val="en-US"/>
        </w:rPr>
        <w:t>(</w:t>
      </w:r>
      <w:r w:rsidRPr="004E03DC">
        <w:rPr>
          <w:rStyle w:val="FootnoteReference"/>
          <w:spacing w:val="2"/>
          <w:sz w:val="22"/>
          <w:rtl/>
          <w:lang w:val="en-US"/>
        </w:rPr>
        <w:footnoteReference w:id="2"/>
      </w:r>
      <w:r w:rsidRPr="004E03DC">
        <w:rPr>
          <w:rStyle w:val="FootnoteReference"/>
          <w:spacing w:val="2"/>
          <w:sz w:val="22"/>
          <w:rtl/>
          <w:lang w:val="en-US"/>
        </w:rPr>
        <w:t>)</w:t>
      </w:r>
      <w:r w:rsidRPr="004E03DC">
        <w:rPr>
          <w:rFonts w:eastAsiaTheme="minorEastAsia" w:hint="cs"/>
          <w:spacing w:val="2"/>
          <w:rtl/>
          <w:lang w:val="en-US"/>
        </w:rPr>
        <w:t>،</w:t>
      </w:r>
      <w:r w:rsidRPr="004E03DC">
        <w:rPr>
          <w:rFonts w:eastAsiaTheme="minorEastAsia"/>
          <w:spacing w:val="2"/>
          <w:rtl/>
          <w:lang w:val="en-US"/>
        </w:rPr>
        <w:t> بشأن عدم توفير الترتيبات التيسيرية الإجرائية لشخص ذي إعاقة ذهنية في الإجراءات الجنائية المتخذة ضده، و</w:t>
      </w:r>
      <w:r w:rsidRPr="004E03DC">
        <w:rPr>
          <w:rFonts w:eastAsiaTheme="minorEastAsia"/>
          <w:i/>
          <w:iCs/>
          <w:spacing w:val="2"/>
          <w:rtl/>
          <w:lang w:val="en-US"/>
        </w:rPr>
        <w:t>إ. أُ. ج. وآخرون ضد السويد</w:t>
      </w:r>
      <w:r w:rsidRPr="004E03DC">
        <w:rPr>
          <w:rStyle w:val="FootnoteReference"/>
          <w:spacing w:val="2"/>
          <w:sz w:val="22"/>
          <w:rtl/>
          <w:lang w:val="en-US"/>
        </w:rPr>
        <w:t>(</w:t>
      </w:r>
      <w:r w:rsidRPr="004E03DC">
        <w:rPr>
          <w:rStyle w:val="FootnoteReference"/>
          <w:spacing w:val="2"/>
          <w:sz w:val="22"/>
          <w:rtl/>
          <w:lang w:val="en-US"/>
        </w:rPr>
        <w:footnoteReference w:id="3"/>
      </w:r>
      <w:r w:rsidRPr="004E03DC">
        <w:rPr>
          <w:rStyle w:val="FootnoteReference"/>
          <w:spacing w:val="2"/>
          <w:sz w:val="22"/>
          <w:rtl/>
          <w:lang w:val="en-US"/>
        </w:rPr>
        <w:t>)</w:t>
      </w:r>
      <w:r w:rsidRPr="004E03DC">
        <w:rPr>
          <w:rFonts w:eastAsiaTheme="minorEastAsia" w:hint="cs"/>
          <w:spacing w:val="2"/>
          <w:rtl/>
          <w:lang w:val="en-US"/>
        </w:rPr>
        <w:t>،</w:t>
      </w:r>
      <w:r w:rsidRPr="004E03DC">
        <w:rPr>
          <w:rFonts w:eastAsiaTheme="minorEastAsia"/>
          <w:spacing w:val="2"/>
          <w:rtl/>
          <w:lang w:val="en-US"/>
        </w:rPr>
        <w:t xml:space="preserve"> بشأن إبعاد طفلين من ذوي الإعاقة الذهنية والنفسية الاجتماعية وشقيقهما ووالديهم إلى نيجيريا. وخلصت اللجنة إلى أن الوقائع المعروضة عليها لا تكشف عن وجود انتهاك للاتفاقية في قضية </w:t>
      </w:r>
      <w:r w:rsidRPr="004E03DC">
        <w:rPr>
          <w:rFonts w:eastAsiaTheme="minorEastAsia"/>
          <w:i/>
          <w:iCs/>
          <w:spacing w:val="2"/>
          <w:rtl/>
          <w:lang w:val="en-US"/>
        </w:rPr>
        <w:t>ز. ر. ضد السويد</w:t>
      </w:r>
      <w:r w:rsidRPr="004E03DC">
        <w:rPr>
          <w:rStyle w:val="FootnoteReference"/>
          <w:spacing w:val="2"/>
          <w:sz w:val="22"/>
          <w:rtl/>
          <w:lang w:val="en-US"/>
        </w:rPr>
        <w:t>(</w:t>
      </w:r>
      <w:r w:rsidRPr="004E03DC">
        <w:rPr>
          <w:rStyle w:val="FootnoteReference"/>
          <w:spacing w:val="2"/>
          <w:sz w:val="22"/>
          <w:rtl/>
          <w:lang w:val="en-US"/>
        </w:rPr>
        <w:footnoteReference w:id="4"/>
      </w:r>
      <w:r w:rsidRPr="004E03DC">
        <w:rPr>
          <w:rStyle w:val="FootnoteReference"/>
          <w:spacing w:val="2"/>
          <w:sz w:val="22"/>
          <w:rtl/>
          <w:lang w:val="en-US"/>
        </w:rPr>
        <w:t>)</w:t>
      </w:r>
      <w:r w:rsidRPr="004E03DC">
        <w:rPr>
          <w:rFonts w:eastAsiaTheme="minorEastAsia"/>
          <w:spacing w:val="2"/>
          <w:rtl/>
          <w:lang w:val="en-US"/>
        </w:rPr>
        <w:t>، المتعلقة بإبعاد فتاة ذات إعاقة ووالدتها إلى كوسوفو</w:t>
      </w:r>
      <w:r w:rsidRPr="004E03DC">
        <w:rPr>
          <w:rStyle w:val="FootnoteReference"/>
          <w:spacing w:val="2"/>
          <w:sz w:val="22"/>
          <w:rtl/>
          <w:lang w:val="en-US"/>
        </w:rPr>
        <w:t>(</w:t>
      </w:r>
      <w:r w:rsidRPr="004E03DC">
        <w:rPr>
          <w:rStyle w:val="FootnoteReference"/>
          <w:spacing w:val="2"/>
          <w:sz w:val="22"/>
          <w:rtl/>
          <w:lang w:val="en-US"/>
        </w:rPr>
        <w:footnoteReference w:id="5"/>
      </w:r>
      <w:r w:rsidRPr="004E03DC">
        <w:rPr>
          <w:rStyle w:val="FootnoteReference"/>
          <w:spacing w:val="2"/>
          <w:sz w:val="22"/>
          <w:rtl/>
          <w:lang w:val="en-US"/>
        </w:rPr>
        <w:t>)</w:t>
      </w:r>
      <w:r w:rsidRPr="004E03DC">
        <w:rPr>
          <w:rStyle w:val="FootnoteReference"/>
          <w:rFonts w:hint="cs"/>
          <w:spacing w:val="2"/>
          <w:sz w:val="22"/>
          <w:vertAlign w:val="baseline"/>
          <w:rtl/>
          <w:lang w:val="en-US"/>
        </w:rPr>
        <w:t>.</w:t>
      </w:r>
      <w:r w:rsidRPr="004E03DC">
        <w:rPr>
          <w:rFonts w:eastAsiaTheme="minorEastAsia"/>
          <w:spacing w:val="2"/>
          <w:rtl/>
          <w:lang w:val="en-US"/>
        </w:rPr>
        <w:t xml:space="preserve"> وقررت اللجنة وقف النظر في البلاغات الثلاثة الأخرى: </w:t>
      </w:r>
      <w:r w:rsidRPr="004E03DC">
        <w:rPr>
          <w:rFonts w:eastAsiaTheme="minorEastAsia"/>
          <w:i/>
          <w:iCs/>
          <w:spacing w:val="2"/>
          <w:rtl/>
          <w:lang w:val="en-US"/>
        </w:rPr>
        <w:t>س.</w:t>
      </w:r>
      <w:r w:rsidRPr="004E03DC">
        <w:rPr>
          <w:rFonts w:eastAsiaTheme="minorEastAsia" w:hint="cs"/>
          <w:i/>
          <w:iCs/>
          <w:spacing w:val="2"/>
          <w:rtl/>
          <w:lang w:val="en-US"/>
        </w:rPr>
        <w:t xml:space="preserve"> </w:t>
      </w:r>
      <w:r w:rsidRPr="004E03DC">
        <w:rPr>
          <w:rFonts w:eastAsiaTheme="minorEastAsia"/>
          <w:i/>
          <w:iCs/>
          <w:spacing w:val="2"/>
          <w:rtl/>
          <w:lang w:val="en-US"/>
        </w:rPr>
        <w:t>ق</w:t>
      </w:r>
      <w:r w:rsidRPr="004E03DC">
        <w:rPr>
          <w:rFonts w:eastAsiaTheme="minorEastAsia" w:hint="cs"/>
          <w:i/>
          <w:iCs/>
          <w:spacing w:val="2"/>
          <w:rtl/>
          <w:lang w:val="en-US"/>
        </w:rPr>
        <w:t>.</w:t>
      </w:r>
      <w:r w:rsidRPr="004E03DC">
        <w:rPr>
          <w:rFonts w:eastAsiaTheme="minorEastAsia"/>
          <w:i/>
          <w:iCs/>
          <w:spacing w:val="2"/>
          <w:rtl/>
          <w:lang w:val="en-US"/>
        </w:rPr>
        <w:t xml:space="preserve"> ضد السويد</w:t>
      </w:r>
      <w:r w:rsidRPr="004E03DC">
        <w:rPr>
          <w:rStyle w:val="FootnoteReference"/>
          <w:spacing w:val="2"/>
          <w:sz w:val="22"/>
          <w:rtl/>
          <w:lang w:val="en-US"/>
        </w:rPr>
        <w:t>(</w:t>
      </w:r>
      <w:r w:rsidRPr="004E03DC">
        <w:rPr>
          <w:rStyle w:val="FootnoteReference"/>
          <w:spacing w:val="2"/>
          <w:sz w:val="22"/>
          <w:rtl/>
          <w:lang w:val="en-US"/>
        </w:rPr>
        <w:footnoteReference w:id="6"/>
      </w:r>
      <w:r w:rsidRPr="004E03DC">
        <w:rPr>
          <w:rStyle w:val="FootnoteReference"/>
          <w:spacing w:val="2"/>
          <w:sz w:val="22"/>
          <w:rtl/>
          <w:lang w:val="en-US"/>
        </w:rPr>
        <w:t>)</w:t>
      </w:r>
      <w:r w:rsidRPr="004E03DC">
        <w:rPr>
          <w:rFonts w:eastAsiaTheme="minorEastAsia"/>
          <w:spacing w:val="2"/>
          <w:rtl/>
          <w:lang w:val="en-US"/>
        </w:rPr>
        <w:t>، بشأن إبعاد شخص ذي إعاقة إلى العراق؛ و</w:t>
      </w:r>
      <w:r w:rsidRPr="004E03DC">
        <w:rPr>
          <w:rFonts w:eastAsiaTheme="minorEastAsia"/>
          <w:i/>
          <w:iCs/>
          <w:spacing w:val="2"/>
          <w:rtl/>
          <w:lang w:val="en-US"/>
        </w:rPr>
        <w:t>م.</w:t>
      </w:r>
      <w:r w:rsidRPr="004E03DC">
        <w:rPr>
          <w:rFonts w:eastAsiaTheme="minorEastAsia" w:hint="cs"/>
          <w:i/>
          <w:iCs/>
          <w:spacing w:val="2"/>
          <w:rtl/>
          <w:lang w:val="en-US"/>
        </w:rPr>
        <w:t xml:space="preserve"> </w:t>
      </w:r>
      <w:r w:rsidRPr="004E03DC">
        <w:rPr>
          <w:rFonts w:eastAsiaTheme="minorEastAsia"/>
          <w:i/>
          <w:iCs/>
          <w:spacing w:val="2"/>
          <w:rtl/>
          <w:lang w:val="en-US"/>
        </w:rPr>
        <w:t>أ.</w:t>
      </w:r>
      <w:r w:rsidRPr="004E03DC">
        <w:rPr>
          <w:rFonts w:eastAsiaTheme="minorEastAsia" w:hint="cs"/>
          <w:i/>
          <w:iCs/>
          <w:spacing w:val="2"/>
          <w:rtl/>
          <w:lang w:val="en-US"/>
        </w:rPr>
        <w:t xml:space="preserve"> </w:t>
      </w:r>
      <w:r w:rsidRPr="004E03DC">
        <w:rPr>
          <w:rFonts w:eastAsiaTheme="minorEastAsia"/>
          <w:i/>
          <w:iCs/>
          <w:spacing w:val="2"/>
          <w:rtl/>
          <w:lang w:val="en-US"/>
        </w:rPr>
        <w:t>ر.</w:t>
      </w:r>
      <w:r w:rsidRPr="004E03DC">
        <w:rPr>
          <w:rFonts w:eastAsiaTheme="minorEastAsia" w:hint="cs"/>
          <w:i/>
          <w:iCs/>
          <w:spacing w:val="2"/>
          <w:rtl/>
          <w:lang w:val="en-US"/>
        </w:rPr>
        <w:t xml:space="preserve"> </w:t>
      </w:r>
      <w:r w:rsidRPr="004E03DC">
        <w:rPr>
          <w:rFonts w:eastAsiaTheme="minorEastAsia"/>
          <w:i/>
          <w:iCs/>
          <w:spacing w:val="2"/>
          <w:rtl/>
          <w:lang w:val="en-US"/>
        </w:rPr>
        <w:t>ج. ضد إسبانيا</w:t>
      </w:r>
      <w:r w:rsidRPr="004E03DC">
        <w:rPr>
          <w:rStyle w:val="FootnoteReference"/>
          <w:spacing w:val="2"/>
          <w:sz w:val="22"/>
          <w:rtl/>
          <w:lang w:val="en-US"/>
        </w:rPr>
        <w:t>(</w:t>
      </w:r>
      <w:r w:rsidRPr="004E03DC">
        <w:rPr>
          <w:rStyle w:val="FootnoteReference"/>
          <w:spacing w:val="2"/>
          <w:sz w:val="22"/>
          <w:rtl/>
          <w:lang w:val="en-US"/>
        </w:rPr>
        <w:footnoteReference w:id="7"/>
      </w:r>
      <w:r w:rsidRPr="004E03DC">
        <w:rPr>
          <w:rStyle w:val="FootnoteReference"/>
          <w:spacing w:val="2"/>
          <w:sz w:val="22"/>
          <w:rtl/>
          <w:lang w:val="en-US"/>
        </w:rPr>
        <w:t>)</w:t>
      </w:r>
      <w:r w:rsidRPr="004E03DC">
        <w:rPr>
          <w:rFonts w:eastAsiaTheme="minorEastAsia"/>
          <w:spacing w:val="2"/>
          <w:rtl/>
          <w:lang w:val="en-US"/>
        </w:rPr>
        <w:t>، بشأن الحق في العمل والحق في الحصول على الضمان الاجتماعي لشخص أصيب بإعاقة أثناء العمل؛ و</w:t>
      </w:r>
      <w:r w:rsidRPr="004E03DC">
        <w:rPr>
          <w:rFonts w:eastAsiaTheme="minorEastAsia"/>
          <w:i/>
          <w:iCs/>
          <w:spacing w:val="2"/>
          <w:rtl/>
          <w:lang w:val="en-US"/>
        </w:rPr>
        <w:t>غونزاليز أوتيرو وآخرون ضد إسبانيا</w:t>
      </w:r>
      <w:r w:rsidRPr="004E03DC">
        <w:rPr>
          <w:rStyle w:val="FootnoteReference"/>
          <w:spacing w:val="2"/>
          <w:sz w:val="22"/>
          <w:rtl/>
          <w:lang w:val="en-US"/>
        </w:rPr>
        <w:t>(</w:t>
      </w:r>
      <w:r w:rsidRPr="004E03DC">
        <w:rPr>
          <w:rStyle w:val="FootnoteReference"/>
          <w:spacing w:val="2"/>
          <w:sz w:val="22"/>
          <w:rtl/>
          <w:lang w:val="en-US"/>
        </w:rPr>
        <w:footnoteReference w:id="8"/>
      </w:r>
      <w:r w:rsidRPr="004E03DC">
        <w:rPr>
          <w:rStyle w:val="FootnoteReference"/>
          <w:spacing w:val="2"/>
          <w:sz w:val="22"/>
          <w:rtl/>
          <w:lang w:val="en-US"/>
        </w:rPr>
        <w:t>)</w:t>
      </w:r>
      <w:r w:rsidRPr="004E03DC">
        <w:rPr>
          <w:rFonts w:eastAsiaTheme="minorEastAsia"/>
          <w:spacing w:val="2"/>
          <w:rtl/>
          <w:lang w:val="en-US"/>
        </w:rPr>
        <w:t> بشأن الحق في عدم التمييز في الحصول على تراخيص تشغيل ألعاب اليانصيب.</w:t>
      </w:r>
    </w:p>
    <w:p w14:paraId="4D19EC97" w14:textId="668CF183" w:rsidR="00766F91" w:rsidRPr="004E03DC" w:rsidRDefault="00766F91" w:rsidP="00766F91">
      <w:pPr>
        <w:pStyle w:val="SingleTxtGA"/>
        <w:rPr>
          <w:rStyle w:val="FootnoteReference"/>
          <w:rFonts w:eastAsiaTheme="minorEastAsia"/>
          <w:sz w:val="22"/>
          <w:lang w:val="en-US" w:eastAsia="zh-TW"/>
        </w:rPr>
      </w:pPr>
      <w:r w:rsidRPr="004E03DC">
        <w:rPr>
          <w:rFonts w:eastAsiaTheme="minorEastAsia"/>
          <w:rtl/>
          <w:lang w:val="en-US"/>
        </w:rPr>
        <w:t>8-</w:t>
      </w:r>
      <w:r w:rsidRPr="004E03DC">
        <w:rPr>
          <w:rFonts w:eastAsiaTheme="minorEastAsia"/>
          <w:rtl/>
          <w:lang w:val="en-US"/>
        </w:rPr>
        <w:tab/>
        <w:t>واعتمدت اللجنة مبادئها التوجيهية لتدخلات الأطراف الثالثة في البلاغات المقدمة بموجب البروتوكول الاختياري للاتفاقية</w:t>
      </w:r>
      <w:r w:rsidRPr="004E03DC">
        <w:rPr>
          <w:rStyle w:val="FootnoteReference"/>
          <w:sz w:val="22"/>
          <w:rtl/>
          <w:lang w:val="en-US"/>
        </w:rPr>
        <w:t>(</w:t>
      </w:r>
      <w:r w:rsidRPr="004E03DC">
        <w:rPr>
          <w:rStyle w:val="FootnoteReference"/>
          <w:sz w:val="22"/>
          <w:rtl/>
          <w:lang w:val="en-US"/>
        </w:rPr>
        <w:footnoteReference w:id="9"/>
      </w:r>
      <w:r w:rsidRPr="004E03DC">
        <w:rPr>
          <w:rStyle w:val="FootnoteReference"/>
          <w:sz w:val="22"/>
          <w:rtl/>
          <w:lang w:val="en-US"/>
        </w:rPr>
        <w:t>)</w:t>
      </w:r>
      <w:bookmarkStart w:id="2" w:name="_Hlk175908090"/>
      <w:bookmarkEnd w:id="2"/>
      <w:r w:rsidRPr="004E03DC">
        <w:rPr>
          <w:rFonts w:eastAsiaTheme="minorEastAsia" w:hint="cs"/>
          <w:rtl/>
          <w:lang w:val="en-US" w:eastAsia="zh-TW"/>
        </w:rPr>
        <w:t>.</w:t>
      </w:r>
    </w:p>
    <w:p w14:paraId="769632B8" w14:textId="23ECD69D" w:rsidR="00766F91" w:rsidRPr="004E03DC" w:rsidRDefault="00766F91" w:rsidP="00766F91">
      <w:pPr>
        <w:pStyle w:val="SingleTxtGA"/>
        <w:rPr>
          <w:rFonts w:eastAsiaTheme="minorEastAsia"/>
          <w:lang w:val="en-US" w:eastAsia="zh-TW"/>
        </w:rPr>
      </w:pPr>
      <w:r w:rsidRPr="004E03DC">
        <w:rPr>
          <w:rFonts w:eastAsiaTheme="minorEastAsia"/>
          <w:rtl/>
          <w:lang w:val="en-US"/>
        </w:rPr>
        <w:t>9-</w:t>
      </w:r>
      <w:r w:rsidRPr="004E03DC">
        <w:rPr>
          <w:rFonts w:eastAsiaTheme="minorEastAsia"/>
          <w:rtl/>
          <w:lang w:val="en-US"/>
        </w:rPr>
        <w:tab/>
        <w:t>وأحيلت الآراء والقرارات التي اعتمدتها اللجنة بشأن البلاغات إلى الأطراف في أقرب وقت ممكن، وأُتيحت بعد ذلك على نظام الوثائق الرسمية</w:t>
      </w:r>
      <w:r w:rsidRPr="004E03DC">
        <w:rPr>
          <w:rStyle w:val="FootnoteReference"/>
          <w:sz w:val="22"/>
          <w:rtl/>
          <w:lang w:val="en-US"/>
        </w:rPr>
        <w:t>(</w:t>
      </w:r>
      <w:r w:rsidRPr="004E03DC">
        <w:rPr>
          <w:rStyle w:val="FootnoteReference"/>
          <w:sz w:val="22"/>
          <w:rtl/>
          <w:lang w:val="en-US"/>
        </w:rPr>
        <w:footnoteReference w:id="10"/>
      </w:r>
      <w:r w:rsidRPr="004E03DC">
        <w:rPr>
          <w:rStyle w:val="FootnoteReference"/>
          <w:sz w:val="22"/>
          <w:rtl/>
          <w:lang w:val="en-US"/>
        </w:rPr>
        <w:t>)</w:t>
      </w:r>
      <w:r w:rsidRPr="004E03DC">
        <w:rPr>
          <w:rFonts w:eastAsiaTheme="minorEastAsia"/>
          <w:rtl/>
          <w:lang w:val="en-US"/>
        </w:rPr>
        <w:t xml:space="preserve"> وموقع اللجنة على الإنترنت. ويمكن الاطلاع في المرفق الثالث لهذا التقرير على موجز للآراء والقرارات التي اعتمدتها اللجنة في دورتها الحادية والثلاثين. </w:t>
      </w:r>
    </w:p>
    <w:p w14:paraId="7B24C330" w14:textId="5AA163CB" w:rsidR="00766F91" w:rsidRPr="004E03DC" w:rsidRDefault="00766F91" w:rsidP="00766F91">
      <w:pPr>
        <w:pStyle w:val="SingleTxtGA"/>
        <w:rPr>
          <w:rFonts w:eastAsiaTheme="minorEastAsia"/>
          <w:lang w:val="en-US" w:eastAsia="zh-TW"/>
          <w14:ligatures w14:val="standardContextual"/>
        </w:rPr>
      </w:pPr>
      <w:r w:rsidRPr="004E03DC">
        <w:rPr>
          <w:rFonts w:eastAsiaTheme="minorEastAsia"/>
          <w:rtl/>
          <w:lang w:val="en-US"/>
        </w:rPr>
        <w:t>10-</w:t>
      </w:r>
      <w:r w:rsidRPr="004E03DC">
        <w:rPr>
          <w:rFonts w:eastAsiaTheme="minorEastAsia"/>
          <w:rtl/>
          <w:lang w:val="en-US"/>
        </w:rPr>
        <w:tab/>
        <w:t>ونظرت اللجنة في المسائل المتعلِّقة بإجراءات التحقيق عملاً بالمادتين 6 و7 من البروتوكول</w:t>
      </w:r>
      <w:r w:rsidRPr="004E03DC">
        <w:rPr>
          <w:rFonts w:eastAsiaTheme="minorEastAsia" w:hint="cs"/>
          <w:rtl/>
          <w:lang w:val="en-US"/>
        </w:rPr>
        <w:t> </w:t>
      </w:r>
      <w:r w:rsidRPr="004E03DC">
        <w:rPr>
          <w:rFonts w:eastAsiaTheme="minorEastAsia"/>
          <w:rtl/>
          <w:lang w:val="en-US"/>
        </w:rPr>
        <w:t>الاختياري.</w:t>
      </w:r>
    </w:p>
    <w:p w14:paraId="4C60FC80" w14:textId="12A1EFC3" w:rsidR="00766F91" w:rsidRPr="004E03DC" w:rsidRDefault="00766F91" w:rsidP="00766F91">
      <w:pPr>
        <w:pStyle w:val="HChGA"/>
        <w:rPr>
          <w:lang w:val="en-US" w:eastAsia="zh-TW"/>
        </w:rPr>
      </w:pPr>
      <w:r w:rsidRPr="004E03DC">
        <w:rPr>
          <w:rtl/>
          <w:lang w:val="en-US"/>
        </w:rPr>
        <w:tab/>
        <w:t>سابعا</w:t>
      </w:r>
      <w:r w:rsidRPr="004E03DC">
        <w:rPr>
          <w:rFonts w:hint="cs"/>
          <w:rtl/>
          <w:lang w:val="en-US"/>
        </w:rPr>
        <w:t>ً</w:t>
      </w:r>
      <w:r w:rsidRPr="004E03DC">
        <w:rPr>
          <w:rtl/>
          <w:lang w:val="en-US"/>
        </w:rPr>
        <w:t>-</w:t>
      </w:r>
      <w:r w:rsidRPr="004E03DC">
        <w:rPr>
          <w:rtl/>
          <w:lang w:val="en-US"/>
        </w:rPr>
        <w:tab/>
        <w:t>الدورات المقبلة</w:t>
      </w:r>
    </w:p>
    <w:p w14:paraId="3FC3A247" w14:textId="56DC4B41" w:rsidR="00766F91" w:rsidRPr="004E03DC" w:rsidRDefault="00766F91" w:rsidP="004E03DC">
      <w:pPr>
        <w:pStyle w:val="SingleTxtGA"/>
        <w:spacing w:line="354" w:lineRule="exact"/>
        <w:rPr>
          <w:rFonts w:eastAsiaTheme="minorEastAsia"/>
          <w:lang w:val="en-US" w:eastAsia="zh-TW"/>
        </w:rPr>
      </w:pPr>
      <w:bookmarkStart w:id="3" w:name="_Hlk113219885"/>
      <w:r w:rsidRPr="004E03DC">
        <w:rPr>
          <w:rFonts w:eastAsiaTheme="minorEastAsia"/>
          <w:rtl/>
          <w:lang w:val="en-US"/>
        </w:rPr>
        <w:t>11-</w:t>
      </w:r>
      <w:r w:rsidRPr="004E03DC">
        <w:rPr>
          <w:rFonts w:eastAsiaTheme="minorEastAsia"/>
          <w:rtl/>
          <w:lang w:val="en-US"/>
        </w:rPr>
        <w:tab/>
        <w:t>رهناً بتوافر الموارد المالية، من المقرر مبدئياً عقد الدورة الثانية والثلاثين للجنة في جنيف في الفترة من 3 إلى 21 آذار/مارس 2025 وسيليها الاجتماع العشرون للفريق العامل لما قبل الدورة في الفترة من 24 إلى 28 آذار/مارس 2025.</w:t>
      </w:r>
      <w:bookmarkStart w:id="4" w:name="_Hlk175907166"/>
      <w:bookmarkEnd w:id="3"/>
      <w:bookmarkEnd w:id="4"/>
    </w:p>
    <w:p w14:paraId="4F354739" w14:textId="7BEF80FD" w:rsidR="00766F91" w:rsidRPr="004E03DC" w:rsidRDefault="00766F91" w:rsidP="00766F91">
      <w:pPr>
        <w:pStyle w:val="HChGA"/>
        <w:rPr>
          <w:lang w:val="en-US" w:eastAsia="zh-TW"/>
        </w:rPr>
      </w:pPr>
      <w:r w:rsidRPr="004E03DC">
        <w:rPr>
          <w:rtl/>
          <w:lang w:val="en-US"/>
        </w:rPr>
        <w:tab/>
        <w:t>ثامنا</w:t>
      </w:r>
      <w:r w:rsidRPr="004E03DC">
        <w:rPr>
          <w:rFonts w:hint="cs"/>
          <w:rtl/>
          <w:lang w:val="en-US"/>
        </w:rPr>
        <w:t>ً-</w:t>
      </w:r>
      <w:r w:rsidRPr="004E03DC">
        <w:rPr>
          <w:rtl/>
          <w:lang w:val="en-US"/>
        </w:rPr>
        <w:tab/>
        <w:t>تيسير المشاركة في جلسات اللجنة</w:t>
      </w:r>
    </w:p>
    <w:p w14:paraId="49FA2FD8" w14:textId="77777777" w:rsidR="00766F91" w:rsidRPr="004E03DC" w:rsidRDefault="00766F91" w:rsidP="004E03DC">
      <w:pPr>
        <w:pStyle w:val="SingleTxtGA"/>
        <w:spacing w:line="354" w:lineRule="exact"/>
        <w:rPr>
          <w:rFonts w:eastAsiaTheme="minorEastAsia"/>
          <w:bdr w:val="nil"/>
          <w:lang w:val="en-US" w:eastAsia="zh-TW"/>
        </w:rPr>
      </w:pPr>
      <w:r w:rsidRPr="004E03DC">
        <w:rPr>
          <w:rFonts w:eastAsiaTheme="minorEastAsia"/>
          <w:rtl/>
          <w:lang w:val="en-US"/>
        </w:rPr>
        <w:t>12-</w:t>
      </w:r>
      <w:r w:rsidRPr="004E03DC">
        <w:rPr>
          <w:rFonts w:eastAsiaTheme="minorEastAsia"/>
          <w:rtl/>
          <w:lang w:val="en-US"/>
        </w:rPr>
        <w:tab/>
        <w:t xml:space="preserve">عُقدت الدورة الحادية الثلاثون للجنة في جنيف بمشاركة أعضائها ووفود الدول الأطراف حضورياً. وفي الحوارات مع غانا وموريشيوس، طلبت الدولتان الطرفان مشاركة بعض أعضاء وفديهما عبر الإنترنت، وهو ما وافقت عليه خدمات المؤتمرات. وشاركت الجهات المعنية، ومنها منظمات الأشخاص ذوي الإعاقة، ومنظمات المجتمع المدني، والمؤسسات الوطنية لحقوق الإنسان، والوكالات المتخصصة، وغيرها من هيئات الأمم المتحدة، في الحوار حضورياً. وأُتيحت الترجمة الفورية إلى لغة الإشارة الدولية ولغة الإشارة الوطنية ومنهما وتقنية العرض النصي عن بعد (خلال الحوارات مع بوركينا فاسو وغانا). وبُثَّت الجلسات العلنية على شبكة الإنترنت. ولم تُتَح أثناء الدورة أي نسخ من الوثائق باللغة المبسطة أو الصيغة السهلة القراءة. ولم تكن البرمجيات المستخدمة لتسجيل المشاركين في الجلسات ميسرة بالكامل للمشاركين ذوي العاهات البصرية. واستمرت العقبات التي تشكلها البروتوكولات الحالية المتعلقة بدخول المركبات قصر الأمم بالنسبة للمشاركين ذوي الإعاقة الذين يحتاجون إلى وسائل نقل مستوفية لمعايير إمكانية الوصول. واستمر تطوير الترتيبات التيسيرية المعقولة، بما في ذلك في مجال تنظيم سفر أعضاء اللجنة ذوي الإعاقة. </w:t>
      </w:r>
    </w:p>
    <w:p w14:paraId="1E0A5F04" w14:textId="2D5E9AB2" w:rsidR="00766F91" w:rsidRPr="004E03DC" w:rsidRDefault="00766F91" w:rsidP="00766F91">
      <w:pPr>
        <w:pStyle w:val="HChGA"/>
        <w:rPr>
          <w:lang w:val="en-US" w:eastAsia="zh-TW"/>
        </w:rPr>
      </w:pPr>
      <w:r w:rsidRPr="004E03DC">
        <w:rPr>
          <w:rtl/>
          <w:lang w:val="en-US"/>
        </w:rPr>
        <w:tab/>
        <w:t>تاسعا</w:t>
      </w:r>
      <w:r w:rsidRPr="004E03DC">
        <w:rPr>
          <w:rFonts w:hint="cs"/>
          <w:rtl/>
          <w:lang w:val="en-US"/>
        </w:rPr>
        <w:t>ً</w:t>
      </w:r>
      <w:r w:rsidRPr="004E03DC">
        <w:rPr>
          <w:rtl/>
          <w:lang w:val="en-US"/>
        </w:rPr>
        <w:t>-</w:t>
      </w:r>
      <w:r w:rsidRPr="004E03DC">
        <w:rPr>
          <w:rtl/>
          <w:lang w:val="en-US"/>
        </w:rPr>
        <w:tab/>
        <w:t>التعاون مع الهيئات ذات الصلة</w:t>
      </w:r>
    </w:p>
    <w:p w14:paraId="0EEBE55D" w14:textId="216167A5" w:rsidR="00766F91" w:rsidRPr="004E03DC" w:rsidRDefault="00766F91" w:rsidP="00766F91">
      <w:pPr>
        <w:pStyle w:val="H1GA"/>
        <w:rPr>
          <w:lang w:val="en-US" w:eastAsia="zh-TW"/>
        </w:rPr>
      </w:pPr>
      <w:r w:rsidRPr="004E03DC">
        <w:rPr>
          <w:rtl/>
          <w:lang w:val="en-US"/>
        </w:rPr>
        <w:tab/>
        <w:t>ألف-</w:t>
      </w:r>
      <w:r w:rsidRPr="004E03DC">
        <w:rPr>
          <w:rtl/>
          <w:lang w:val="en-US"/>
        </w:rPr>
        <w:tab/>
        <w:t>التعاون مع أجهزة الأمم المتحدة ووكالاتها المتخصِّصة</w:t>
      </w:r>
    </w:p>
    <w:p w14:paraId="0ACACA26" w14:textId="77777777" w:rsidR="00766F91" w:rsidRPr="004E03DC" w:rsidRDefault="00766F91" w:rsidP="004E03DC">
      <w:pPr>
        <w:pStyle w:val="SingleTxtGA"/>
        <w:spacing w:line="354" w:lineRule="exact"/>
        <w:rPr>
          <w:rFonts w:eastAsiaTheme="minorEastAsia"/>
          <w:bdr w:val="nil"/>
          <w:lang w:val="en-US" w:eastAsia="zh-TW"/>
        </w:rPr>
      </w:pPr>
      <w:r w:rsidRPr="004E03DC">
        <w:rPr>
          <w:rFonts w:eastAsiaTheme="minorEastAsia"/>
          <w:rtl/>
          <w:lang w:val="en-US"/>
        </w:rPr>
        <w:t>13-</w:t>
      </w:r>
      <w:r w:rsidRPr="004E03DC">
        <w:rPr>
          <w:rFonts w:eastAsiaTheme="minorEastAsia"/>
          <w:rtl/>
          <w:lang w:val="en-US"/>
        </w:rPr>
        <w:tab/>
        <w:t xml:space="preserve">في الجلسة الافتتاحية للدورة، أدلى الممثل الدائم لنيوزيلندا لدى مكتب الأمم المتحدة والمنظمات الدولية الأخرى في جنيف وأحد أعضاء اللجنة ببيانين في ذكرى السير روبرت مارتن، عضو اللجنة وأول شخص ذي إعاقة ذهنية يُنتخب عضواً في هيئة من هيئات المعاهدات، والذي وافته المنية في 30 نيسان/أبريل 2024. واستمعت اللجنة إلى بيانات أدلى بها كل من الممثل الدائم لهندوراس لدى مكتب الأمم المتحدة والمنظمات الدولية الأخرى في جنيف ورئيس فرقة العمل المعنية بخدمات الأمانة، وتيسير إمكانية الوصول أمام الأشخاص ذوي الإعاقة، واستخدام تكنولوجيا المعلومات التابعة لمجلس حقوق الإنسان، ورئيس اللجنة الفرعية لمنع التعذيب وغيره من ضروب المعاملة أو العقوبة القاسية أو اللاإنسانية أو المهينة، وممثل مفوضية الأمم المتحدة لشؤون اللاجئين. واجتمع الفريق العامل المعني بالنساء والفتيات ذوات الإعاقة التابع للجنة على انفراد مع ممثلي هيئة الأمم المتحدة للمساواة بين الجنسين وتمكين المرأة (هيئة الأمم المتحدة للمرأة). وفي الجلسة الختامية للدورة، ألقى رئيس اللجنة المعنية بحماية حقوق جميع العمال المهاجرين وأفراد أسرهم كلمة أمام اللجنة. </w:t>
      </w:r>
      <w:bookmarkStart w:id="5" w:name="_Hlk179294484"/>
      <w:bookmarkEnd w:id="5"/>
    </w:p>
    <w:p w14:paraId="20B9D179" w14:textId="30D1FBA2" w:rsidR="00766F91" w:rsidRPr="004E03DC" w:rsidRDefault="00766F91" w:rsidP="00766F91">
      <w:pPr>
        <w:pStyle w:val="H1GA"/>
        <w:rPr>
          <w:lang w:val="en-US" w:eastAsia="zh-TW"/>
        </w:rPr>
      </w:pPr>
      <w:r w:rsidRPr="004E03DC">
        <w:rPr>
          <w:rtl/>
          <w:lang w:val="en-US"/>
        </w:rPr>
        <w:lastRenderedPageBreak/>
        <w:tab/>
        <w:t>باء-</w:t>
      </w:r>
      <w:r w:rsidRPr="004E03DC">
        <w:rPr>
          <w:rtl/>
          <w:lang w:val="en-US"/>
        </w:rPr>
        <w:tab/>
        <w:t>التعاون مع المنظمات غير الحكومية والهيئات الأخرى</w:t>
      </w:r>
    </w:p>
    <w:p w14:paraId="13A5D53E" w14:textId="77777777" w:rsidR="00766F91" w:rsidRPr="004E03DC" w:rsidRDefault="00766F91" w:rsidP="004E03DC">
      <w:pPr>
        <w:pStyle w:val="SingleTxtGA"/>
        <w:spacing w:line="354" w:lineRule="exact"/>
        <w:rPr>
          <w:rFonts w:eastAsiaTheme="minorEastAsia"/>
          <w:lang w:val="en-US" w:eastAsia="zh-TW"/>
        </w:rPr>
      </w:pPr>
      <w:bookmarkStart w:id="6" w:name="_Hlk116468294"/>
      <w:r w:rsidRPr="004E03DC">
        <w:rPr>
          <w:rFonts w:eastAsiaTheme="minorEastAsia"/>
          <w:rtl/>
          <w:lang w:val="en-US"/>
        </w:rPr>
        <w:t>14-</w:t>
      </w:r>
      <w:r w:rsidRPr="004E03DC">
        <w:rPr>
          <w:rFonts w:eastAsiaTheme="minorEastAsia"/>
          <w:rtl/>
          <w:lang w:val="en-US"/>
        </w:rPr>
        <w:tab/>
        <w:t xml:space="preserve">في الجلسة الافتتاحية للدورة، ألقى كلمات أمام اللجنة ممثلو التحالف الدولي المعني بقضايا الإعاقة؛ ومركز حقوق الإنسان لمستخدمي الطب النفسي والناجين منه؛ والجمعية المكسيكية لضعاف السمع؛ ومركز مورفو في كوستاريكا؛ والسلطات القضائية في مقاطعة بوينس آيرس؛ والمنظمة الدولية لحماية الخصوصية. </w:t>
      </w:r>
      <w:bookmarkEnd w:id="6"/>
    </w:p>
    <w:p w14:paraId="5BF26D89" w14:textId="0E72DC0B" w:rsidR="00766F91" w:rsidRPr="004E03DC" w:rsidRDefault="00766F91" w:rsidP="00766F91">
      <w:pPr>
        <w:pStyle w:val="SingleTxtGA"/>
        <w:rPr>
          <w:rFonts w:eastAsiaTheme="minorEastAsia"/>
          <w:lang w:val="en-US" w:eastAsia="zh-TW"/>
        </w:rPr>
      </w:pPr>
      <w:r w:rsidRPr="004E03DC">
        <w:rPr>
          <w:rFonts w:eastAsiaTheme="minorEastAsia"/>
          <w:rtl/>
          <w:lang w:val="en-US"/>
        </w:rPr>
        <w:t>15-</w:t>
      </w:r>
      <w:r w:rsidRPr="004E03DC">
        <w:rPr>
          <w:rFonts w:eastAsiaTheme="minorEastAsia"/>
          <w:rtl/>
          <w:lang w:val="en-US"/>
        </w:rPr>
        <w:tab/>
        <w:t>وفي 28 آب/أغسطس 2024، عقدت اللجنة اجتماع</w:t>
      </w:r>
      <w:r w:rsidR="00404F21" w:rsidRPr="004E03DC">
        <w:rPr>
          <w:rFonts w:eastAsiaTheme="minorEastAsia"/>
          <w:rtl/>
          <w:lang w:val="en-US"/>
        </w:rPr>
        <w:t xml:space="preserve">اً </w:t>
      </w:r>
      <w:r w:rsidRPr="004E03DC">
        <w:rPr>
          <w:rFonts w:eastAsiaTheme="minorEastAsia"/>
          <w:rtl/>
          <w:lang w:val="en-US"/>
        </w:rPr>
        <w:t>علني</w:t>
      </w:r>
      <w:r w:rsidR="00404F21" w:rsidRPr="004E03DC">
        <w:rPr>
          <w:rFonts w:eastAsiaTheme="minorEastAsia"/>
          <w:rtl/>
          <w:lang w:val="en-US"/>
        </w:rPr>
        <w:t xml:space="preserve">اً </w:t>
      </w:r>
      <w:r w:rsidRPr="004E03DC">
        <w:rPr>
          <w:rFonts w:eastAsiaTheme="minorEastAsia"/>
          <w:rtl/>
          <w:lang w:val="en-US"/>
        </w:rPr>
        <w:t xml:space="preserve">للاحتفال بالذكرى السنوية الثانية لاعتمادها في عام 2022 لمبادئها التوجيهية بشأن إنهاء الإيداع في مؤسسات الرعاية بما في ذلك في حالات الطوارئ. وخاطب اللجنةَ ممثلون عن التحالف العالمي المعني بإنهاء الإيداع في مؤسسات الرعاية، ومنظمة تحويل المجتمعات المحلية من أجل الإدماج، والمنتدى الكوري للإعاقة، ومركز حقوق الإنسان لمستخدمي الطب النفسي والناجين منه، ومركز حقوق الإنسان لمستخدمي الطب النفسي والناجين منه. </w:t>
      </w:r>
    </w:p>
    <w:p w14:paraId="7E60FB94" w14:textId="77777777" w:rsidR="00766F91" w:rsidRPr="004E03DC" w:rsidRDefault="00766F91" w:rsidP="00766F91">
      <w:pPr>
        <w:pStyle w:val="SingleTxtGA"/>
        <w:rPr>
          <w:rFonts w:eastAsiaTheme="minorEastAsia"/>
          <w:lang w:val="en-US" w:eastAsia="zh-TW"/>
        </w:rPr>
      </w:pPr>
      <w:r w:rsidRPr="004E03DC">
        <w:rPr>
          <w:rFonts w:eastAsiaTheme="minorEastAsia"/>
          <w:rtl/>
          <w:lang w:val="en-US"/>
        </w:rPr>
        <w:t>16-</w:t>
      </w:r>
      <w:r w:rsidRPr="004E03DC">
        <w:rPr>
          <w:rFonts w:eastAsiaTheme="minorEastAsia"/>
          <w:rtl/>
          <w:lang w:val="en-US"/>
        </w:rPr>
        <w:tab/>
        <w:t>وفي الجلسة الختامية للدورة، ألقى ممثل التحالف الدولي المعني بقضايا الإعاقة كلمة أمام اللجنة</w:t>
      </w:r>
      <w:bookmarkStart w:id="7" w:name="_Hlk177744116"/>
      <w:bookmarkEnd w:id="7"/>
    </w:p>
    <w:p w14:paraId="69A062A9" w14:textId="6E75AF01" w:rsidR="00766F91" w:rsidRPr="004E03DC" w:rsidRDefault="00766F91" w:rsidP="00766F91">
      <w:pPr>
        <w:pStyle w:val="HChGA"/>
        <w:rPr>
          <w:lang w:eastAsia="zh-TW"/>
        </w:rPr>
      </w:pPr>
      <w:r w:rsidRPr="004E03DC">
        <w:rPr>
          <w:rtl/>
        </w:rPr>
        <w:tab/>
        <w:t>عاشرا</w:t>
      </w:r>
      <w:r w:rsidRPr="004E03DC">
        <w:rPr>
          <w:rFonts w:hint="cs"/>
          <w:rtl/>
        </w:rPr>
        <w:t>ً</w:t>
      </w:r>
      <w:r w:rsidRPr="004E03DC">
        <w:rPr>
          <w:rtl/>
        </w:rPr>
        <w:t>-</w:t>
      </w:r>
      <w:r w:rsidRPr="004E03DC">
        <w:rPr>
          <w:rtl/>
        </w:rPr>
        <w:tab/>
        <w:t>النظر في التقارير المقدمة بموجب المادة 35 من الاتفاقية</w:t>
      </w:r>
    </w:p>
    <w:p w14:paraId="48F5DE03" w14:textId="0B9D75AC" w:rsidR="00766F91" w:rsidRPr="004E03DC" w:rsidRDefault="00766F91" w:rsidP="00766F91">
      <w:pPr>
        <w:pStyle w:val="SingleTxtGA"/>
        <w:rPr>
          <w:rFonts w:eastAsiaTheme="minorEastAsia"/>
          <w:lang w:val="en-US" w:eastAsia="zh-TW"/>
        </w:rPr>
      </w:pPr>
      <w:r w:rsidRPr="004E03DC">
        <w:rPr>
          <w:rFonts w:eastAsiaTheme="minorEastAsia"/>
          <w:rtl/>
          <w:lang w:val="en-US"/>
        </w:rPr>
        <w:t>17-</w:t>
      </w:r>
      <w:r w:rsidRPr="004E03DC">
        <w:rPr>
          <w:rFonts w:eastAsiaTheme="minorEastAsia"/>
          <w:rtl/>
          <w:lang w:val="en-US"/>
        </w:rPr>
        <w:tab/>
        <w:t>عقدت اللجنة تسعة حوارات بناءة، كلها حضورية. ونظرت اللجنة في التقارير الأولية لبنن وبوركينا فاسو وبيلاروس وغانا وهولندا (مملكة)</w:t>
      </w:r>
      <w:r w:rsidRPr="004E03DC">
        <w:rPr>
          <w:rStyle w:val="FootnoteReference"/>
          <w:sz w:val="22"/>
          <w:rtl/>
          <w:lang w:val="en-US"/>
        </w:rPr>
        <w:t>(</w:t>
      </w:r>
      <w:r w:rsidRPr="004E03DC">
        <w:rPr>
          <w:rStyle w:val="FootnoteReference"/>
          <w:sz w:val="22"/>
          <w:rtl/>
          <w:lang w:val="en-US"/>
        </w:rPr>
        <w:footnoteReference w:id="11"/>
      </w:r>
      <w:r w:rsidRPr="004E03DC">
        <w:rPr>
          <w:rStyle w:val="FootnoteReference"/>
          <w:sz w:val="22"/>
          <w:rtl/>
          <w:lang w:val="en-US"/>
        </w:rPr>
        <w:t>)</w:t>
      </w:r>
      <w:r w:rsidRPr="004E03DC">
        <w:rPr>
          <w:rFonts w:eastAsiaTheme="minorEastAsia"/>
          <w:rtl/>
          <w:lang w:val="en-US"/>
        </w:rPr>
        <w:t> وفي التقرير الجامع للتقريرين الدوريين الثاني والثالث لأوكرانيا وبلجيكا والدانمرك وموريشيوس</w:t>
      </w:r>
      <w:r w:rsidRPr="004E03DC">
        <w:rPr>
          <w:rStyle w:val="FootnoteReference"/>
          <w:sz w:val="22"/>
          <w:rtl/>
          <w:lang w:val="en-US"/>
        </w:rPr>
        <w:t>(</w:t>
      </w:r>
      <w:r w:rsidRPr="004E03DC">
        <w:rPr>
          <w:rStyle w:val="FootnoteReference"/>
          <w:sz w:val="22"/>
          <w:rtl/>
          <w:lang w:val="en-US"/>
        </w:rPr>
        <w:footnoteReference w:id="12"/>
      </w:r>
      <w:r w:rsidRPr="004E03DC">
        <w:rPr>
          <w:rStyle w:val="FootnoteReference"/>
          <w:sz w:val="22"/>
          <w:rtl/>
          <w:lang w:val="en-US"/>
        </w:rPr>
        <w:t>)</w:t>
      </w:r>
      <w:r w:rsidRPr="004E03DC">
        <w:rPr>
          <w:rFonts w:eastAsiaTheme="minorEastAsia" w:hint="cs"/>
          <w:rtl/>
          <w:lang w:val="en-US"/>
        </w:rPr>
        <w:t>.</w:t>
      </w:r>
      <w:r w:rsidRPr="004E03DC">
        <w:rPr>
          <w:rFonts w:eastAsiaTheme="minorEastAsia"/>
          <w:rtl/>
          <w:lang w:val="en-US"/>
        </w:rPr>
        <w:t xml:space="preserve"> واعتمدت اللجنة ملاحظات ختامية بشأن هذه التقارير</w:t>
      </w:r>
      <w:r w:rsidRPr="004E03DC">
        <w:rPr>
          <w:rStyle w:val="FootnoteReference"/>
          <w:sz w:val="22"/>
          <w:rtl/>
          <w:lang w:val="en-US"/>
        </w:rPr>
        <w:t>(</w:t>
      </w:r>
      <w:r w:rsidRPr="004E03DC">
        <w:rPr>
          <w:rStyle w:val="FootnoteReference"/>
          <w:sz w:val="22"/>
          <w:rtl/>
          <w:lang w:val="en-US"/>
        </w:rPr>
        <w:footnoteReference w:id="13"/>
      </w:r>
      <w:r w:rsidRPr="004E03DC">
        <w:rPr>
          <w:rStyle w:val="FootnoteReference"/>
          <w:sz w:val="22"/>
          <w:rtl/>
          <w:lang w:val="en-US"/>
        </w:rPr>
        <w:t>)</w:t>
      </w:r>
      <w:r w:rsidRPr="004E03DC">
        <w:rPr>
          <w:rFonts w:eastAsiaTheme="minorEastAsia"/>
          <w:rtl/>
          <w:lang w:val="en-US"/>
        </w:rPr>
        <w:t>. ويمكن الاطلاع في المرفق الثاني لهذا التقرير على قائمة الدول الأطراف التي تأخرت في تقديم تقاريرها الأولية أكثر من خمس سنوات.</w:t>
      </w:r>
      <w:bookmarkStart w:id="8" w:name="_Hlk116475971"/>
      <w:bookmarkStart w:id="9" w:name="_Hlk116475963"/>
      <w:bookmarkEnd w:id="8"/>
      <w:bookmarkEnd w:id="9"/>
    </w:p>
    <w:p w14:paraId="1B52F328" w14:textId="02AF55C4" w:rsidR="00766F91" w:rsidRPr="004E03DC" w:rsidRDefault="00766F91" w:rsidP="00766F91">
      <w:pPr>
        <w:pStyle w:val="HChGA"/>
        <w:rPr>
          <w:lang w:val="en-US" w:eastAsia="zh-TW"/>
        </w:rPr>
      </w:pPr>
      <w:r w:rsidRPr="004E03DC">
        <w:rPr>
          <w:rtl/>
          <w:lang w:val="en-US"/>
        </w:rPr>
        <w:tab/>
      </w:r>
      <w:r w:rsidRPr="004E03DC">
        <w:rPr>
          <w:sz w:val="28"/>
          <w:szCs w:val="28"/>
          <w:rtl/>
          <w:lang w:val="en-US"/>
        </w:rPr>
        <w:t>حادي عشر-</w:t>
      </w:r>
      <w:r w:rsidRPr="004E03DC">
        <w:rPr>
          <w:sz w:val="28"/>
          <w:szCs w:val="28"/>
          <w:rtl/>
          <w:lang w:val="en-US"/>
        </w:rPr>
        <w:tab/>
        <w:t>قرارات أخرى</w:t>
      </w:r>
    </w:p>
    <w:p w14:paraId="584705BE" w14:textId="77777777" w:rsidR="00766F91" w:rsidRPr="004E03DC" w:rsidRDefault="00766F91" w:rsidP="00766F91">
      <w:pPr>
        <w:pStyle w:val="SingleTxtGA"/>
        <w:rPr>
          <w:rFonts w:eastAsiaTheme="minorEastAsia"/>
          <w:bdr w:val="nil"/>
          <w:lang w:val="en-US" w:eastAsia="zh-TW"/>
        </w:rPr>
      </w:pPr>
      <w:r w:rsidRPr="004E03DC">
        <w:rPr>
          <w:rFonts w:eastAsiaTheme="minorEastAsia"/>
          <w:rtl/>
          <w:lang w:val="en-US"/>
        </w:rPr>
        <w:t>18-</w:t>
      </w:r>
      <w:r w:rsidRPr="004E03DC">
        <w:rPr>
          <w:rFonts w:eastAsiaTheme="minorEastAsia"/>
          <w:rtl/>
          <w:lang w:val="en-US"/>
        </w:rPr>
        <w:tab/>
        <w:t>اعتمدت اللجنة هذا التقرير عن دورتها الحادية والثلاثين.</w:t>
      </w:r>
    </w:p>
    <w:p w14:paraId="37B43D6A" w14:textId="77777777" w:rsidR="00766F91" w:rsidRPr="004E03DC" w:rsidRDefault="00766F91" w:rsidP="00766F91">
      <w:pPr>
        <w:pStyle w:val="SingleTxtGA"/>
        <w:rPr>
          <w:rFonts w:eastAsiaTheme="minorEastAsia"/>
          <w:bdr w:val="nil"/>
          <w:lang w:val="en-US" w:eastAsia="zh-TW"/>
        </w:rPr>
      </w:pPr>
      <w:r w:rsidRPr="004E03DC">
        <w:rPr>
          <w:rFonts w:eastAsiaTheme="minorEastAsia"/>
          <w:rtl/>
          <w:lang w:val="en-US"/>
        </w:rPr>
        <w:t>19-</w:t>
      </w:r>
      <w:r w:rsidRPr="004E03DC">
        <w:rPr>
          <w:rFonts w:eastAsiaTheme="minorEastAsia"/>
          <w:rtl/>
          <w:lang w:val="en-US"/>
        </w:rPr>
        <w:tab/>
        <w:t>ويمكن الاطلاع في المرفق الأول لهذا التقرير على القائمة الكاملة للقرارات التي اعتمدتها اللجنة.</w:t>
      </w:r>
    </w:p>
    <w:p w14:paraId="18A4DADC" w14:textId="77777777" w:rsidR="00766F91" w:rsidRPr="004E03DC" w:rsidRDefault="00766F91" w:rsidP="00766F91">
      <w:pPr>
        <w:pStyle w:val="SingleTxtGA"/>
        <w:rPr>
          <w:rFonts w:eastAsiaTheme="minorEastAsia"/>
          <w:bdr w:val="nil"/>
          <w:lang w:val="en-US" w:eastAsia="en-GB"/>
        </w:rPr>
      </w:pPr>
      <w:r w:rsidRPr="004E03DC">
        <w:rPr>
          <w:rFonts w:eastAsiaTheme="minorEastAsia"/>
          <w:bdr w:val="nil"/>
          <w:lang w:val="en-US" w:eastAsia="en-GB"/>
        </w:rPr>
        <w:br w:type="page"/>
      </w:r>
    </w:p>
    <w:p w14:paraId="076CEB1D" w14:textId="77777777" w:rsidR="00766F91" w:rsidRPr="004E03DC" w:rsidRDefault="00766F91" w:rsidP="00766F91">
      <w:pPr>
        <w:pStyle w:val="HChGA"/>
        <w:rPr>
          <w:lang w:val="en-US" w:eastAsia="zh-TW"/>
        </w:rPr>
      </w:pPr>
      <w:r w:rsidRPr="004E03DC">
        <w:rPr>
          <w:rtl/>
          <w:lang w:val="en-US"/>
        </w:rPr>
        <w:lastRenderedPageBreak/>
        <w:tab/>
        <w:t>المرفق الأول</w:t>
      </w:r>
    </w:p>
    <w:p w14:paraId="78846C0F" w14:textId="77777777" w:rsidR="00766F91" w:rsidRPr="004E03DC" w:rsidRDefault="00766F91" w:rsidP="00766F91">
      <w:pPr>
        <w:pStyle w:val="HChGA"/>
        <w:rPr>
          <w:lang w:val="en-US" w:eastAsia="zh-TW"/>
        </w:rPr>
      </w:pPr>
      <w:r w:rsidRPr="004E03DC">
        <w:rPr>
          <w:rtl/>
          <w:lang w:val="en-US"/>
        </w:rPr>
        <w:tab/>
      </w:r>
      <w:r w:rsidRPr="004E03DC">
        <w:rPr>
          <w:rtl/>
          <w:lang w:val="en-US"/>
        </w:rPr>
        <w:tab/>
        <w:t>القرارات التي اعتمدتها اللجنة في دورتها الحادية والثلاثين</w:t>
      </w:r>
    </w:p>
    <w:p w14:paraId="0B3261F4" w14:textId="6E16D737" w:rsidR="00766F91" w:rsidRPr="004E03DC" w:rsidRDefault="00766F91" w:rsidP="004E03DC">
      <w:pPr>
        <w:pStyle w:val="SingleTxtGA"/>
        <w:spacing w:line="380" w:lineRule="exact"/>
        <w:rPr>
          <w:rFonts w:eastAsiaTheme="minorEastAsia"/>
          <w:lang w:val="en-US" w:eastAsia="zh-TW"/>
        </w:rPr>
      </w:pPr>
      <w:r w:rsidRPr="004E03DC">
        <w:rPr>
          <w:rFonts w:eastAsiaTheme="minorEastAsia"/>
          <w:rtl/>
          <w:lang w:val="en-US"/>
        </w:rPr>
        <w:t>1-</w:t>
      </w:r>
      <w:r w:rsidRPr="004E03DC">
        <w:rPr>
          <w:rFonts w:eastAsiaTheme="minorEastAsia"/>
          <w:rtl/>
          <w:lang w:val="en-US"/>
        </w:rPr>
        <w:tab/>
        <w:t>اعتمدت اللجنة ملاحظات ختامية تتعلق بالتقارير الأولية لبنن وبوركينا فاسو وبيلاروس وغانا</w:t>
      </w:r>
      <w:r w:rsidRPr="004E03DC">
        <w:rPr>
          <w:rFonts w:eastAsiaTheme="minorEastAsia" w:hint="cs"/>
          <w:rtl/>
          <w:lang w:val="en-US"/>
        </w:rPr>
        <w:t> </w:t>
      </w:r>
      <w:r w:rsidRPr="004E03DC">
        <w:rPr>
          <w:rFonts w:eastAsiaTheme="minorEastAsia"/>
          <w:rtl/>
          <w:lang w:val="en-US"/>
        </w:rPr>
        <w:t>وهولندا (مملكة) وفي التقرير الجامع للتقريرين الدوريين الثاني والثالث لأوكرانيا وبلجيكا والدانمرك</w:t>
      </w:r>
      <w:r w:rsidRPr="004E03DC">
        <w:rPr>
          <w:rFonts w:eastAsiaTheme="minorEastAsia" w:hint="cs"/>
          <w:rtl/>
          <w:lang w:val="en-US"/>
        </w:rPr>
        <w:t> </w:t>
      </w:r>
      <w:r w:rsidRPr="004E03DC">
        <w:rPr>
          <w:rFonts w:eastAsiaTheme="minorEastAsia"/>
          <w:rtl/>
          <w:lang w:val="en-US"/>
        </w:rPr>
        <w:t xml:space="preserve">وموريشيوس. </w:t>
      </w:r>
    </w:p>
    <w:p w14:paraId="26E493B3" w14:textId="732A0EE7" w:rsidR="00766F91" w:rsidRPr="004E03DC" w:rsidRDefault="00766F91" w:rsidP="004E03DC">
      <w:pPr>
        <w:pStyle w:val="SingleTxtGA"/>
        <w:spacing w:line="380" w:lineRule="exact"/>
        <w:rPr>
          <w:rFonts w:eastAsiaTheme="minorEastAsia"/>
          <w:lang w:val="en-US" w:eastAsia="zh-TW"/>
        </w:rPr>
      </w:pPr>
      <w:r w:rsidRPr="004E03DC">
        <w:rPr>
          <w:rFonts w:eastAsiaTheme="minorEastAsia"/>
          <w:rtl/>
          <w:lang w:val="en-US"/>
        </w:rPr>
        <w:t>2-</w:t>
      </w:r>
      <w:r w:rsidRPr="004E03DC">
        <w:rPr>
          <w:rFonts w:eastAsiaTheme="minorEastAsia"/>
          <w:rtl/>
          <w:lang w:val="en-US"/>
        </w:rPr>
        <w:tab/>
        <w:t xml:space="preserve">ودرست اللجنة ستة بلاغات فردية قُدمت إليها للنظر فيها بموجب البروتوكول الاختياري للاتفاقية. وخلصت إلى انتهاك الاتفاقية في قضيتين منها، وإلى عدم وجود انتهاك في قضية أخرى انطلاقاً من الوقائع المعروضة عليها، وقررت وقف النظر في القضايا الثلاث المتبقية. ويمكن الاطلاع في المرفق الثالث لهذا التقرير على موجز لآراء اللجنة وقراراتها. وستحيل اللجنة آراءها وقراراتها إلى الأطراف المعنية في أقرب وقت ممكن وستُعمِّمها فيما بعد. واعتمدت اللجنة مبادئها التوجيهية لتدخلات الأطراف الثالثة في البلاغات المقدمة بموجب البروتوكول الاختياري للاتفاقية. </w:t>
      </w:r>
    </w:p>
    <w:p w14:paraId="2A030D80" w14:textId="77777777" w:rsidR="00766F91" w:rsidRPr="004E03DC" w:rsidRDefault="00766F91" w:rsidP="004E03DC">
      <w:pPr>
        <w:pStyle w:val="SingleTxtGA"/>
        <w:spacing w:line="380" w:lineRule="exact"/>
        <w:rPr>
          <w:rFonts w:eastAsiaTheme="minorEastAsia"/>
          <w:lang w:val="en-US" w:eastAsia="zh-TW"/>
        </w:rPr>
      </w:pPr>
      <w:r w:rsidRPr="004E03DC">
        <w:rPr>
          <w:rFonts w:eastAsiaTheme="minorEastAsia"/>
          <w:rtl/>
          <w:lang w:val="en-US"/>
        </w:rPr>
        <w:t>3-</w:t>
      </w:r>
      <w:r w:rsidRPr="004E03DC">
        <w:rPr>
          <w:rFonts w:eastAsiaTheme="minorEastAsia"/>
          <w:rtl/>
          <w:lang w:val="en-US"/>
        </w:rPr>
        <w:tab/>
        <w:t xml:space="preserve">ونظرت اللجنة في المسائل المتعلِّقة بإجراءات التحقيق عملاً بالبروتوكول الاختياري. </w:t>
      </w:r>
    </w:p>
    <w:p w14:paraId="5229A850" w14:textId="77777777" w:rsidR="00766F91" w:rsidRPr="004E03DC" w:rsidRDefault="00766F91" w:rsidP="004E03DC">
      <w:pPr>
        <w:pStyle w:val="SingleTxtGA"/>
        <w:spacing w:line="380" w:lineRule="exact"/>
        <w:rPr>
          <w:rFonts w:eastAsiaTheme="minorEastAsia"/>
          <w:lang w:val="en-US" w:eastAsia="zh-TW"/>
        </w:rPr>
      </w:pPr>
      <w:r w:rsidRPr="004E03DC">
        <w:rPr>
          <w:rFonts w:eastAsiaTheme="minorEastAsia"/>
          <w:rtl/>
          <w:lang w:val="en-US"/>
        </w:rPr>
        <w:t>4-</w:t>
      </w:r>
      <w:r w:rsidRPr="004E03DC">
        <w:rPr>
          <w:rFonts w:eastAsiaTheme="minorEastAsia"/>
          <w:rtl/>
          <w:lang w:val="en-US"/>
        </w:rPr>
        <w:tab/>
        <w:t xml:space="preserve">وواصلت اللجنة عملية وضع مشروع تعليقها العام رقم 9 بشأن المادة 11 من الاتفاقية. وقررت إنشاء فريق عامل لصياغة تعليق عام على المادة 29 من الاتفاقية. </w:t>
      </w:r>
    </w:p>
    <w:p w14:paraId="232AE379" w14:textId="7D4B49AB" w:rsidR="00766F91" w:rsidRPr="004E03DC" w:rsidRDefault="00766F91" w:rsidP="004E03DC">
      <w:pPr>
        <w:pStyle w:val="SingleTxtGA"/>
        <w:spacing w:line="380" w:lineRule="exact"/>
        <w:rPr>
          <w:rFonts w:eastAsiaTheme="minorEastAsia"/>
          <w:lang w:val="en-US" w:eastAsia="zh-TW"/>
        </w:rPr>
      </w:pPr>
      <w:r w:rsidRPr="004E03DC">
        <w:rPr>
          <w:rFonts w:eastAsiaTheme="minorEastAsia"/>
          <w:rtl/>
          <w:lang w:val="en-US"/>
        </w:rPr>
        <w:t>5-</w:t>
      </w:r>
      <w:r w:rsidRPr="004E03DC">
        <w:rPr>
          <w:rFonts w:eastAsiaTheme="minorEastAsia"/>
          <w:rtl/>
          <w:lang w:val="en-US"/>
        </w:rPr>
        <w:tab/>
        <w:t>وقررت اللجنة أن الدورة الثانية والثلاثين للجنة، ورهناً بتوافر الموارد المالية، ستعقد في جنيف في الفترة من 3 إلى 21 آذار/مارس 2025 وسيليها الاجتماع العشرون للفريق العامل لما قبل الدورة في الفترة من 24 إلى 28 آذار/مارس 2025.</w:t>
      </w:r>
    </w:p>
    <w:p w14:paraId="3F656DB4" w14:textId="77777777" w:rsidR="00766F91" w:rsidRPr="004E03DC" w:rsidRDefault="00766F91" w:rsidP="004E03DC">
      <w:pPr>
        <w:pStyle w:val="SingleTxtGA"/>
        <w:spacing w:line="380" w:lineRule="exact"/>
        <w:rPr>
          <w:rFonts w:eastAsiaTheme="minorEastAsia"/>
          <w:lang w:val="en-US" w:eastAsia="zh-TW"/>
        </w:rPr>
      </w:pPr>
      <w:r w:rsidRPr="004E03DC">
        <w:rPr>
          <w:rFonts w:eastAsiaTheme="minorEastAsia"/>
          <w:rtl/>
          <w:lang w:val="en-US"/>
        </w:rPr>
        <w:t>6-</w:t>
      </w:r>
      <w:r w:rsidRPr="004E03DC">
        <w:rPr>
          <w:rFonts w:eastAsiaTheme="minorEastAsia"/>
          <w:rtl/>
          <w:lang w:val="en-US"/>
        </w:rPr>
        <w:tab/>
        <w:t>وقررت اللجنة مواصلة العمل مع مكتب الأمم المتحدة في جنيف ومفوضية الأمم المتحدة السامية لحقوق الإنسان من أجل تحسين مستوى توفير خدمات المؤتمرات المستوفية لمعايير إمكانية الوصول والترتيبات التيسيرية المعقولة لأعضاء اللجنة والمشاركين ذوي الإعاقة في اجتماعاتها.</w:t>
      </w:r>
    </w:p>
    <w:p w14:paraId="312E5694" w14:textId="77777777" w:rsidR="00766F91" w:rsidRPr="004E03DC" w:rsidRDefault="00766F91" w:rsidP="004E03DC">
      <w:pPr>
        <w:pStyle w:val="SingleTxtGA"/>
        <w:spacing w:line="380" w:lineRule="exact"/>
        <w:rPr>
          <w:rFonts w:eastAsiaTheme="minorEastAsia"/>
          <w:lang w:val="en-US" w:eastAsia="zh-TW"/>
        </w:rPr>
      </w:pPr>
      <w:r w:rsidRPr="004E03DC">
        <w:rPr>
          <w:rFonts w:eastAsiaTheme="minorEastAsia"/>
          <w:rtl/>
          <w:lang w:val="en-US"/>
        </w:rPr>
        <w:t>7-</w:t>
      </w:r>
      <w:r w:rsidRPr="004E03DC">
        <w:rPr>
          <w:rFonts w:eastAsiaTheme="minorEastAsia"/>
          <w:rtl/>
          <w:lang w:val="en-US"/>
        </w:rPr>
        <w:tab/>
        <w:t>واعتمدت اللجنة بيانات بشأن الأشخاص ذوي الإعاقة المتضررين من الكوارث وبشأن إدماج الأشخاص ذوي الإعاقة في الوثائق الختامية لمؤتمر قمة المستقبل.</w:t>
      </w:r>
    </w:p>
    <w:p w14:paraId="59BC2A7B" w14:textId="77777777" w:rsidR="00766F91" w:rsidRPr="004E03DC" w:rsidRDefault="00766F91" w:rsidP="004E03DC">
      <w:pPr>
        <w:pStyle w:val="SingleTxtGA"/>
        <w:spacing w:line="380" w:lineRule="exact"/>
        <w:rPr>
          <w:rFonts w:eastAsiaTheme="minorEastAsia"/>
          <w:lang w:val="en-US" w:eastAsia="zh-TW"/>
        </w:rPr>
      </w:pPr>
      <w:r w:rsidRPr="004E03DC">
        <w:rPr>
          <w:rFonts w:eastAsiaTheme="minorEastAsia"/>
          <w:rtl/>
          <w:lang w:val="en-US"/>
        </w:rPr>
        <w:t>8-</w:t>
      </w:r>
      <w:r w:rsidRPr="004E03DC">
        <w:rPr>
          <w:rFonts w:eastAsiaTheme="minorEastAsia"/>
          <w:rtl/>
          <w:lang w:val="en-US"/>
        </w:rPr>
        <w:tab/>
        <w:t>ونظرت اللجنة في المسائل واعتمدت قراراً يتعلق بتنفيذ المبادئ التوجيهية بشأن استقلال وحياد أعضاء هيئات معاهدات حقوق الإنسان (مبادئ أديس أبابا التوجيهية).</w:t>
      </w:r>
    </w:p>
    <w:p w14:paraId="22B68BCC" w14:textId="77777777" w:rsidR="00766F91" w:rsidRPr="004E03DC" w:rsidRDefault="00766F91" w:rsidP="004E03DC">
      <w:pPr>
        <w:pStyle w:val="SingleTxtGA"/>
        <w:spacing w:line="380" w:lineRule="exact"/>
        <w:rPr>
          <w:rFonts w:eastAsiaTheme="minorEastAsia"/>
          <w:lang w:val="en-US" w:eastAsia="zh-TW"/>
        </w:rPr>
      </w:pPr>
      <w:r w:rsidRPr="004E03DC">
        <w:rPr>
          <w:rFonts w:eastAsiaTheme="minorEastAsia"/>
          <w:rtl/>
          <w:lang w:val="en-US"/>
        </w:rPr>
        <w:t xml:space="preserve">9- </w:t>
      </w:r>
      <w:r w:rsidRPr="004E03DC">
        <w:rPr>
          <w:rFonts w:eastAsiaTheme="minorEastAsia"/>
          <w:rtl/>
          <w:lang w:val="en-US"/>
        </w:rPr>
        <w:tab/>
        <w:t xml:space="preserve">ولاحظت اللجنة أن الاتفاقية هي ثاني أكثر معاهدات حقوق الإنسان تصديقاً من حيث عدد الدول الأطراف فيها حيث بلغ عدد الدول الأطراف فيها 191 دولة. لكنها أعربت من جديد عن قلقها من أن ارتفاع معدل التصديق العالي لا يوازيه الوقت المخصص للاجتماعات والموارد المخصصة للجنة. ولذلك، دعت اللجنة الدول الأعضاء وجميع هيئات الأمم المتحدة المختصة إلى تصحيح هذا الوضع بزيادة وقت الاجتماعات والموارد المخصصة للجنة بعقد دورة ثالثة مدتها ثلاثة أسابيع على الأقل. </w:t>
      </w:r>
    </w:p>
    <w:p w14:paraId="501DE627" w14:textId="77777777" w:rsidR="00766F91" w:rsidRPr="004E03DC" w:rsidRDefault="00766F91" w:rsidP="004E03DC">
      <w:pPr>
        <w:pStyle w:val="SingleTxtGA"/>
        <w:spacing w:line="380" w:lineRule="exact"/>
        <w:rPr>
          <w:rFonts w:eastAsiaTheme="minorEastAsia"/>
          <w:lang w:val="en-US" w:eastAsia="zh-TW"/>
        </w:rPr>
      </w:pPr>
      <w:r w:rsidRPr="004E03DC">
        <w:rPr>
          <w:rFonts w:eastAsiaTheme="minorEastAsia"/>
          <w:rtl/>
          <w:lang w:val="en-US"/>
        </w:rPr>
        <w:t>10-</w:t>
      </w:r>
      <w:r w:rsidRPr="004E03DC">
        <w:rPr>
          <w:rFonts w:eastAsiaTheme="minorEastAsia"/>
          <w:rtl/>
          <w:lang w:val="en-US"/>
        </w:rPr>
        <w:tab/>
        <w:t xml:space="preserve">وبالنظر إلى استمرار قلق اللجنة إزاء تزايد عدد التقارير الأولية والدورية المعروضة عليها للنظر فيها، فقد دعت الدولَ الأعضاء والهيئات المعنية إلى منحها ما يكفي من الوقت والموارد لمعالجة مشكلة تراكم التقارير. </w:t>
      </w:r>
    </w:p>
    <w:p w14:paraId="2613463A" w14:textId="77777777" w:rsidR="00766F91" w:rsidRPr="004E03DC" w:rsidRDefault="00766F91" w:rsidP="004E03DC">
      <w:pPr>
        <w:pStyle w:val="SingleTxtGA"/>
        <w:spacing w:line="380" w:lineRule="exact"/>
        <w:rPr>
          <w:rFonts w:eastAsiaTheme="minorEastAsia"/>
          <w:lang w:val="en-US" w:eastAsia="zh-TW"/>
        </w:rPr>
      </w:pPr>
      <w:r w:rsidRPr="004E03DC">
        <w:rPr>
          <w:rFonts w:eastAsiaTheme="minorEastAsia"/>
          <w:rtl/>
          <w:lang w:val="en-US"/>
        </w:rPr>
        <w:t>11-</w:t>
      </w:r>
      <w:r w:rsidRPr="004E03DC">
        <w:rPr>
          <w:rFonts w:eastAsiaTheme="minorEastAsia"/>
          <w:rtl/>
          <w:lang w:val="en-US"/>
        </w:rPr>
        <w:tab/>
        <w:t xml:space="preserve">ودعت اللجنة الدول الأطراف التي تأخرت كثيراً في تقديم تقاريرها الأولية، على النحو الوارد في المرفق الثاني لهذا التقرير، إلى تقديم تقاريرها في أقرب وقت ممكن. وقررت اللجنة العمل بنشاط مع الدول </w:t>
      </w:r>
      <w:r w:rsidRPr="004E03DC">
        <w:rPr>
          <w:rFonts w:eastAsiaTheme="minorEastAsia"/>
          <w:rtl/>
          <w:lang w:val="en-US"/>
        </w:rPr>
        <w:lastRenderedPageBreak/>
        <w:t xml:space="preserve">الأطراف التي تأخرت في تقديم تقاريرها الأولية أكثر من 10 سنوات من أجل بناء قدراتها في مجال تقديم التقارير، وذلك بالتنسيق مع برنامج بناء القدرات لهيئات المعاهدات التابع لفرع معاهدات حقوق الإنسان بمفوضية الأمم المتحدة السامية لحقوق الإنسان. </w:t>
      </w:r>
    </w:p>
    <w:p w14:paraId="5C7087B4" w14:textId="77777777" w:rsidR="00C13537" w:rsidRPr="004E03DC" w:rsidRDefault="00766F91" w:rsidP="004E03DC">
      <w:pPr>
        <w:pStyle w:val="SingleTxtGA"/>
        <w:spacing w:line="380" w:lineRule="exact"/>
        <w:rPr>
          <w:rFonts w:eastAsiaTheme="minorEastAsia"/>
          <w:rtl/>
          <w:lang w:val="en-US" w:eastAsia="zh-TW"/>
        </w:rPr>
        <w:sectPr w:rsidR="00C13537" w:rsidRPr="004E03DC" w:rsidSect="00BD45E7">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567" w:gutter="0"/>
          <w:cols w:space="720"/>
          <w:titlePg/>
          <w:bidi/>
          <w:docGrid w:linePitch="360"/>
        </w:sectPr>
      </w:pPr>
      <w:r w:rsidRPr="004E03DC">
        <w:rPr>
          <w:rFonts w:eastAsiaTheme="minorEastAsia"/>
          <w:rtl/>
          <w:lang w:val="en-US"/>
        </w:rPr>
        <w:t>12-</w:t>
      </w:r>
      <w:r w:rsidRPr="004E03DC">
        <w:rPr>
          <w:rFonts w:eastAsiaTheme="minorEastAsia"/>
          <w:rtl/>
          <w:lang w:val="en-US"/>
        </w:rPr>
        <w:tab/>
        <w:t>واعتمدت اللجنة التقرير المتعلق بدورتها الحادية والثلاثين.</w:t>
      </w:r>
    </w:p>
    <w:p w14:paraId="09F30C79" w14:textId="45BC1B4F" w:rsidR="00766F91" w:rsidRPr="004E03DC" w:rsidRDefault="00766F91" w:rsidP="00ED7206">
      <w:pPr>
        <w:pStyle w:val="HChGA"/>
        <w:spacing w:before="120"/>
        <w:rPr>
          <w:u w:val="single"/>
          <w:lang w:eastAsia="zh-TW"/>
        </w:rPr>
      </w:pPr>
      <w:r w:rsidRPr="004E03DC">
        <w:rPr>
          <w:rtl/>
        </w:rPr>
        <w:lastRenderedPageBreak/>
        <w:tab/>
        <w:t>المرفق الثاني</w:t>
      </w:r>
    </w:p>
    <w:p w14:paraId="4C323208" w14:textId="77777777" w:rsidR="00766F91" w:rsidRPr="004E03DC" w:rsidRDefault="00766F91" w:rsidP="00766F91">
      <w:pPr>
        <w:pStyle w:val="HChGA"/>
        <w:spacing w:before="240"/>
        <w:rPr>
          <w:lang w:val="en-US" w:eastAsia="zh-TW"/>
        </w:rPr>
      </w:pPr>
      <w:r w:rsidRPr="004E03DC">
        <w:rPr>
          <w:rtl/>
          <w:lang w:val="en-US"/>
        </w:rPr>
        <w:tab/>
      </w:r>
      <w:r w:rsidRPr="004E03DC">
        <w:rPr>
          <w:rtl/>
          <w:lang w:val="en-US"/>
        </w:rPr>
        <w:tab/>
        <w:t>الدول الأطراف التي تأخرت في تقديم تقاريرها الأولية أكثر من خمس سنوات</w:t>
      </w:r>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4"/>
        <w:gridCol w:w="3686"/>
      </w:tblGrid>
      <w:tr w:rsidR="00766F91" w:rsidRPr="004E03DC" w14:paraId="16A66C65" w14:textId="77777777" w:rsidTr="0020402D">
        <w:trPr>
          <w:tblHeader/>
        </w:trPr>
        <w:tc>
          <w:tcPr>
            <w:tcW w:w="3684" w:type="dxa"/>
            <w:tcBorders>
              <w:top w:val="single" w:sz="4" w:space="0" w:color="auto"/>
              <w:bottom w:val="single" w:sz="12" w:space="0" w:color="auto"/>
            </w:tcBorders>
            <w:shd w:val="clear" w:color="auto" w:fill="auto"/>
            <w:vAlign w:val="bottom"/>
          </w:tcPr>
          <w:p w14:paraId="3CB63FF6" w14:textId="77777777" w:rsidR="00766F91" w:rsidRPr="004E03DC" w:rsidRDefault="00766F91" w:rsidP="00766F91">
            <w:pPr>
              <w:pStyle w:val="SingleTxtGA"/>
              <w:spacing w:after="80" w:line="320" w:lineRule="exact"/>
              <w:ind w:left="6" w:firstLine="181"/>
              <w:rPr>
                <w:rFonts w:eastAsiaTheme="minorEastAsia"/>
                <w:i/>
                <w:lang w:val="en-US" w:eastAsia="zh-TW"/>
              </w:rPr>
            </w:pPr>
            <w:r w:rsidRPr="004E03DC">
              <w:rPr>
                <w:rFonts w:eastAsiaTheme="minorEastAsia"/>
                <w:i/>
                <w:iCs/>
                <w:rtl/>
                <w:lang w:val="en-US"/>
              </w:rPr>
              <w:t>الدولة الطرف</w:t>
            </w:r>
          </w:p>
        </w:tc>
        <w:tc>
          <w:tcPr>
            <w:tcW w:w="3686" w:type="dxa"/>
            <w:tcBorders>
              <w:top w:val="single" w:sz="4" w:space="0" w:color="auto"/>
              <w:bottom w:val="single" w:sz="12" w:space="0" w:color="auto"/>
            </w:tcBorders>
            <w:shd w:val="clear" w:color="auto" w:fill="auto"/>
            <w:vAlign w:val="bottom"/>
          </w:tcPr>
          <w:p w14:paraId="36C09F27" w14:textId="77777777" w:rsidR="00766F91" w:rsidRPr="004E03DC" w:rsidRDefault="00766F91" w:rsidP="00766F91">
            <w:pPr>
              <w:pStyle w:val="SingleTxtGA"/>
              <w:spacing w:after="80" w:line="320" w:lineRule="exact"/>
              <w:ind w:left="6" w:firstLine="181"/>
              <w:rPr>
                <w:rFonts w:eastAsiaTheme="minorEastAsia"/>
                <w:i/>
                <w:lang w:val="en-US" w:eastAsia="zh-TW"/>
              </w:rPr>
            </w:pPr>
            <w:r w:rsidRPr="004E03DC">
              <w:rPr>
                <w:rFonts w:eastAsiaTheme="minorEastAsia"/>
                <w:i/>
                <w:iCs/>
                <w:rtl/>
                <w:lang w:val="en-US"/>
              </w:rPr>
              <w:t>الموعد المحدد لتقديم التقرير</w:t>
            </w:r>
          </w:p>
        </w:tc>
      </w:tr>
      <w:tr w:rsidR="00766F91" w:rsidRPr="004E03DC" w14:paraId="60350D52" w14:textId="77777777" w:rsidTr="0020402D">
        <w:tc>
          <w:tcPr>
            <w:tcW w:w="3684" w:type="dxa"/>
            <w:tcBorders>
              <w:top w:val="single" w:sz="12" w:space="0" w:color="auto"/>
            </w:tcBorders>
            <w:shd w:val="clear" w:color="auto" w:fill="auto"/>
          </w:tcPr>
          <w:p w14:paraId="09990E46" w14:textId="77777777" w:rsidR="00766F91" w:rsidRPr="004E03DC" w:rsidRDefault="00766F91" w:rsidP="00766F91">
            <w:pPr>
              <w:pStyle w:val="SingleTxtGA"/>
              <w:spacing w:after="80" w:line="300" w:lineRule="exact"/>
              <w:ind w:left="7" w:firstLine="182"/>
              <w:rPr>
                <w:rFonts w:eastAsiaTheme="minorEastAsia"/>
                <w:lang w:val="en-US" w:eastAsia="zh-TW"/>
              </w:rPr>
            </w:pPr>
            <w:r w:rsidRPr="004E03DC">
              <w:rPr>
                <w:rFonts w:eastAsiaTheme="minorEastAsia"/>
                <w:rtl/>
                <w:lang w:val="en-US"/>
              </w:rPr>
              <w:t>غينيا</w:t>
            </w:r>
          </w:p>
        </w:tc>
        <w:tc>
          <w:tcPr>
            <w:tcW w:w="3686" w:type="dxa"/>
            <w:tcBorders>
              <w:top w:val="single" w:sz="12" w:space="0" w:color="auto"/>
            </w:tcBorders>
            <w:shd w:val="clear" w:color="auto" w:fill="auto"/>
          </w:tcPr>
          <w:p w14:paraId="4FC55404" w14:textId="77777777" w:rsidR="00766F91" w:rsidRPr="004E03DC" w:rsidRDefault="00766F91" w:rsidP="00766F91">
            <w:pPr>
              <w:pStyle w:val="SingleTxtGA"/>
              <w:spacing w:after="80" w:line="300" w:lineRule="exact"/>
              <w:ind w:left="7" w:firstLine="182"/>
              <w:rPr>
                <w:rFonts w:eastAsiaTheme="minorEastAsia"/>
                <w:lang w:val="en-US" w:eastAsia="zh-TW"/>
              </w:rPr>
            </w:pPr>
            <w:r w:rsidRPr="004E03DC">
              <w:rPr>
                <w:rFonts w:eastAsiaTheme="minorEastAsia"/>
                <w:rtl/>
                <w:lang w:val="en-US"/>
              </w:rPr>
              <w:t>8 آذار/مارس 2010</w:t>
            </w:r>
          </w:p>
        </w:tc>
      </w:tr>
      <w:tr w:rsidR="00766F91" w:rsidRPr="004E03DC" w14:paraId="38DDC3C1" w14:textId="77777777" w:rsidTr="0020402D">
        <w:tc>
          <w:tcPr>
            <w:tcW w:w="3684" w:type="dxa"/>
            <w:shd w:val="clear" w:color="auto" w:fill="auto"/>
          </w:tcPr>
          <w:p w14:paraId="6E4CE3E5" w14:textId="77777777" w:rsidR="00766F91" w:rsidRPr="004E03DC" w:rsidRDefault="00766F91" w:rsidP="00766F91">
            <w:pPr>
              <w:pStyle w:val="SingleTxtGA"/>
              <w:spacing w:after="80" w:line="300" w:lineRule="exact"/>
              <w:ind w:left="7" w:firstLine="182"/>
              <w:rPr>
                <w:rFonts w:eastAsiaTheme="minorEastAsia"/>
                <w:lang w:val="en-US" w:eastAsia="zh-TW"/>
              </w:rPr>
            </w:pPr>
            <w:r w:rsidRPr="004E03DC">
              <w:rPr>
                <w:rFonts w:eastAsiaTheme="minorEastAsia"/>
                <w:rtl/>
                <w:lang w:val="en-US"/>
              </w:rPr>
              <w:t>سان مارينو</w:t>
            </w:r>
          </w:p>
        </w:tc>
        <w:tc>
          <w:tcPr>
            <w:tcW w:w="3686" w:type="dxa"/>
            <w:shd w:val="clear" w:color="auto" w:fill="auto"/>
          </w:tcPr>
          <w:p w14:paraId="16CFB19E" w14:textId="77777777" w:rsidR="00766F91" w:rsidRPr="004E03DC" w:rsidRDefault="00766F91" w:rsidP="00766F91">
            <w:pPr>
              <w:pStyle w:val="SingleTxtGA"/>
              <w:spacing w:after="80" w:line="300" w:lineRule="exact"/>
              <w:ind w:left="7" w:firstLine="182"/>
              <w:rPr>
                <w:rFonts w:eastAsiaTheme="minorEastAsia"/>
                <w:lang w:val="en-US" w:eastAsia="zh-TW"/>
              </w:rPr>
            </w:pPr>
            <w:r w:rsidRPr="004E03DC">
              <w:rPr>
                <w:rFonts w:eastAsiaTheme="minorEastAsia"/>
                <w:rtl/>
                <w:lang w:val="en-US"/>
              </w:rPr>
              <w:t>22 آذار/مارس 2010</w:t>
            </w:r>
          </w:p>
        </w:tc>
      </w:tr>
      <w:tr w:rsidR="00766F91" w:rsidRPr="004E03DC" w14:paraId="35041C2F" w14:textId="77777777" w:rsidTr="0020402D">
        <w:tc>
          <w:tcPr>
            <w:tcW w:w="3684" w:type="dxa"/>
            <w:shd w:val="clear" w:color="auto" w:fill="auto"/>
          </w:tcPr>
          <w:p w14:paraId="2EAB9649" w14:textId="77777777" w:rsidR="00766F91" w:rsidRPr="004E03DC" w:rsidRDefault="00766F91" w:rsidP="00766F91">
            <w:pPr>
              <w:pStyle w:val="SingleTxtGA"/>
              <w:spacing w:after="80" w:line="300" w:lineRule="exact"/>
              <w:ind w:left="7" w:firstLine="182"/>
              <w:rPr>
                <w:rFonts w:eastAsiaTheme="minorEastAsia"/>
                <w:lang w:val="en-US" w:eastAsia="zh-TW"/>
              </w:rPr>
            </w:pPr>
            <w:r w:rsidRPr="004E03DC">
              <w:rPr>
                <w:rFonts w:eastAsiaTheme="minorEastAsia"/>
                <w:rtl/>
                <w:lang w:val="en-US"/>
              </w:rPr>
              <w:t>ليسوتو</w:t>
            </w:r>
          </w:p>
        </w:tc>
        <w:tc>
          <w:tcPr>
            <w:tcW w:w="3686" w:type="dxa"/>
            <w:shd w:val="clear" w:color="auto" w:fill="auto"/>
          </w:tcPr>
          <w:p w14:paraId="07B139D4" w14:textId="77777777" w:rsidR="00766F91" w:rsidRPr="004E03DC" w:rsidRDefault="00766F91" w:rsidP="00766F91">
            <w:pPr>
              <w:pStyle w:val="SingleTxtGA"/>
              <w:spacing w:after="80" w:line="300" w:lineRule="exact"/>
              <w:ind w:left="7" w:firstLine="182"/>
              <w:rPr>
                <w:rFonts w:eastAsiaTheme="minorEastAsia"/>
                <w:lang w:val="en-US" w:eastAsia="zh-TW"/>
              </w:rPr>
            </w:pPr>
            <w:r w:rsidRPr="004E03DC">
              <w:rPr>
                <w:rFonts w:eastAsiaTheme="minorEastAsia"/>
                <w:rtl/>
                <w:lang w:val="en-US"/>
              </w:rPr>
              <w:t>2 كانون الثاني/يناير 2011</w:t>
            </w:r>
          </w:p>
        </w:tc>
      </w:tr>
      <w:tr w:rsidR="00766F91" w:rsidRPr="004E03DC" w14:paraId="0FCA3060" w14:textId="77777777" w:rsidTr="0020402D">
        <w:tc>
          <w:tcPr>
            <w:tcW w:w="3684" w:type="dxa"/>
            <w:shd w:val="clear" w:color="auto" w:fill="auto"/>
          </w:tcPr>
          <w:p w14:paraId="79BA0A51" w14:textId="77777777" w:rsidR="00766F91" w:rsidRPr="004E03DC" w:rsidRDefault="00766F91" w:rsidP="00766F91">
            <w:pPr>
              <w:pStyle w:val="SingleTxtGA"/>
              <w:spacing w:after="80" w:line="300" w:lineRule="exact"/>
              <w:ind w:left="7" w:firstLine="182"/>
              <w:rPr>
                <w:rFonts w:eastAsiaTheme="minorEastAsia"/>
                <w:lang w:val="en-US" w:eastAsia="zh-TW"/>
              </w:rPr>
            </w:pPr>
            <w:r w:rsidRPr="004E03DC">
              <w:rPr>
                <w:rFonts w:eastAsiaTheme="minorEastAsia"/>
                <w:rtl/>
                <w:lang w:val="en-US"/>
              </w:rPr>
              <w:t>اليمن</w:t>
            </w:r>
          </w:p>
        </w:tc>
        <w:tc>
          <w:tcPr>
            <w:tcW w:w="3686" w:type="dxa"/>
            <w:shd w:val="clear" w:color="auto" w:fill="auto"/>
          </w:tcPr>
          <w:p w14:paraId="712ABE0F" w14:textId="77777777" w:rsidR="00766F91" w:rsidRPr="004E03DC" w:rsidRDefault="00766F91" w:rsidP="00766F91">
            <w:pPr>
              <w:pStyle w:val="SingleTxtGA"/>
              <w:spacing w:after="80" w:line="300" w:lineRule="exact"/>
              <w:ind w:left="7" w:firstLine="182"/>
              <w:rPr>
                <w:rFonts w:eastAsiaTheme="minorEastAsia"/>
                <w:lang w:val="en-US" w:eastAsia="zh-TW"/>
              </w:rPr>
            </w:pPr>
            <w:r w:rsidRPr="004E03DC">
              <w:rPr>
                <w:rFonts w:eastAsiaTheme="minorEastAsia"/>
                <w:rtl/>
                <w:lang w:val="en-US"/>
              </w:rPr>
              <w:t>26 نيسان/أبريل 2011</w:t>
            </w:r>
          </w:p>
        </w:tc>
      </w:tr>
      <w:tr w:rsidR="00766F91" w:rsidRPr="004E03DC" w14:paraId="2DCD802B" w14:textId="77777777" w:rsidTr="0020402D">
        <w:tc>
          <w:tcPr>
            <w:tcW w:w="3684" w:type="dxa"/>
            <w:shd w:val="clear" w:color="auto" w:fill="auto"/>
          </w:tcPr>
          <w:p w14:paraId="5AAE8E24" w14:textId="77777777" w:rsidR="00766F91" w:rsidRPr="004E03DC" w:rsidRDefault="00766F91" w:rsidP="00766F91">
            <w:pPr>
              <w:pStyle w:val="SingleTxtGA"/>
              <w:spacing w:after="80" w:line="300" w:lineRule="exact"/>
              <w:ind w:left="7" w:firstLine="182"/>
              <w:rPr>
                <w:rFonts w:eastAsiaTheme="minorEastAsia"/>
                <w:lang w:val="en-US" w:eastAsia="zh-TW"/>
              </w:rPr>
            </w:pPr>
            <w:r w:rsidRPr="004E03DC">
              <w:rPr>
                <w:rFonts w:eastAsiaTheme="minorEastAsia"/>
                <w:rtl/>
                <w:lang w:val="en-US"/>
              </w:rPr>
              <w:t>الجمهورية العربية السورية</w:t>
            </w:r>
          </w:p>
        </w:tc>
        <w:tc>
          <w:tcPr>
            <w:tcW w:w="3686" w:type="dxa"/>
            <w:shd w:val="clear" w:color="auto" w:fill="auto"/>
          </w:tcPr>
          <w:p w14:paraId="758FEEEA" w14:textId="77777777" w:rsidR="00766F91" w:rsidRPr="004E03DC" w:rsidRDefault="00766F91" w:rsidP="00766F91">
            <w:pPr>
              <w:pStyle w:val="SingleTxtGA"/>
              <w:spacing w:after="80" w:line="300" w:lineRule="exact"/>
              <w:ind w:left="7" w:firstLine="182"/>
              <w:rPr>
                <w:rFonts w:eastAsiaTheme="minorEastAsia"/>
                <w:lang w:val="en-US" w:eastAsia="zh-TW"/>
              </w:rPr>
            </w:pPr>
            <w:r w:rsidRPr="004E03DC">
              <w:rPr>
                <w:rFonts w:eastAsiaTheme="minorEastAsia"/>
                <w:rtl/>
                <w:lang w:val="en-US"/>
              </w:rPr>
              <w:t>10 آب/أغسطس 2011</w:t>
            </w:r>
          </w:p>
        </w:tc>
      </w:tr>
      <w:tr w:rsidR="00766F91" w:rsidRPr="004E03DC" w14:paraId="7E96067B" w14:textId="77777777" w:rsidTr="0020402D">
        <w:tc>
          <w:tcPr>
            <w:tcW w:w="3684" w:type="dxa"/>
            <w:shd w:val="clear" w:color="auto" w:fill="auto"/>
          </w:tcPr>
          <w:p w14:paraId="3FBAC085" w14:textId="77777777" w:rsidR="00766F91" w:rsidRPr="004E03DC" w:rsidRDefault="00766F91" w:rsidP="00766F91">
            <w:pPr>
              <w:pStyle w:val="SingleTxtGA"/>
              <w:spacing w:after="80" w:line="300" w:lineRule="exact"/>
              <w:ind w:left="7" w:firstLine="182"/>
              <w:rPr>
                <w:rFonts w:eastAsiaTheme="minorEastAsia"/>
                <w:lang w:val="en-US" w:eastAsia="zh-TW"/>
              </w:rPr>
            </w:pPr>
            <w:r w:rsidRPr="004E03DC">
              <w:rPr>
                <w:rFonts w:eastAsiaTheme="minorEastAsia"/>
                <w:rtl/>
                <w:lang w:val="en-US"/>
              </w:rPr>
              <w:t>جمهورية تنزانيا المتحدة</w:t>
            </w:r>
          </w:p>
        </w:tc>
        <w:tc>
          <w:tcPr>
            <w:tcW w:w="3686" w:type="dxa"/>
            <w:shd w:val="clear" w:color="auto" w:fill="auto"/>
          </w:tcPr>
          <w:p w14:paraId="7A78926B" w14:textId="77777777" w:rsidR="00766F91" w:rsidRPr="004E03DC" w:rsidRDefault="00766F91" w:rsidP="00766F91">
            <w:pPr>
              <w:pStyle w:val="SingleTxtGA"/>
              <w:spacing w:after="80" w:line="300" w:lineRule="exact"/>
              <w:ind w:left="7" w:firstLine="182"/>
              <w:rPr>
                <w:rFonts w:eastAsiaTheme="minorEastAsia"/>
                <w:lang w:val="en-US" w:eastAsia="zh-TW"/>
              </w:rPr>
            </w:pPr>
            <w:r w:rsidRPr="004E03DC">
              <w:rPr>
                <w:rFonts w:eastAsiaTheme="minorEastAsia"/>
                <w:rtl/>
                <w:lang w:val="en-US"/>
              </w:rPr>
              <w:t>10 كانون الأول/ديسمبر 2011</w:t>
            </w:r>
          </w:p>
        </w:tc>
      </w:tr>
      <w:tr w:rsidR="00766F91" w:rsidRPr="004E03DC" w14:paraId="6EE01AAA" w14:textId="77777777" w:rsidTr="0020402D">
        <w:tc>
          <w:tcPr>
            <w:tcW w:w="3684" w:type="dxa"/>
            <w:shd w:val="clear" w:color="auto" w:fill="auto"/>
          </w:tcPr>
          <w:p w14:paraId="5C83A760" w14:textId="77777777" w:rsidR="00766F91" w:rsidRPr="004E03DC" w:rsidRDefault="00766F91" w:rsidP="00766F91">
            <w:pPr>
              <w:pStyle w:val="SingleTxtGA"/>
              <w:spacing w:after="80" w:line="300" w:lineRule="exact"/>
              <w:ind w:left="7" w:firstLine="182"/>
              <w:rPr>
                <w:rFonts w:eastAsiaTheme="minorEastAsia"/>
                <w:lang w:val="en-US" w:eastAsia="zh-TW"/>
              </w:rPr>
            </w:pPr>
            <w:r w:rsidRPr="004E03DC">
              <w:rPr>
                <w:rFonts w:eastAsiaTheme="minorEastAsia"/>
                <w:rtl/>
                <w:lang w:val="en-US"/>
              </w:rPr>
              <w:t>ماليزيا</w:t>
            </w:r>
          </w:p>
        </w:tc>
        <w:tc>
          <w:tcPr>
            <w:tcW w:w="3686" w:type="dxa"/>
            <w:shd w:val="clear" w:color="auto" w:fill="auto"/>
          </w:tcPr>
          <w:p w14:paraId="41B8F01B" w14:textId="77777777" w:rsidR="00766F91" w:rsidRPr="004E03DC" w:rsidRDefault="00766F91" w:rsidP="00766F91">
            <w:pPr>
              <w:pStyle w:val="SingleTxtGA"/>
              <w:spacing w:after="80" w:line="300" w:lineRule="exact"/>
              <w:ind w:left="7" w:firstLine="182"/>
              <w:rPr>
                <w:rFonts w:eastAsiaTheme="minorEastAsia"/>
                <w:lang w:val="en-US" w:eastAsia="zh-TW"/>
              </w:rPr>
            </w:pPr>
            <w:r w:rsidRPr="004E03DC">
              <w:rPr>
                <w:rFonts w:eastAsiaTheme="minorEastAsia"/>
                <w:rtl/>
                <w:lang w:val="en-US"/>
              </w:rPr>
              <w:t>19 آب/أغسطس 2012</w:t>
            </w:r>
          </w:p>
        </w:tc>
      </w:tr>
      <w:tr w:rsidR="00766F91" w:rsidRPr="004E03DC" w14:paraId="0E45354D" w14:textId="77777777" w:rsidTr="0020402D">
        <w:tc>
          <w:tcPr>
            <w:tcW w:w="3684" w:type="dxa"/>
            <w:shd w:val="clear" w:color="auto" w:fill="auto"/>
          </w:tcPr>
          <w:p w14:paraId="266BEA50" w14:textId="77777777" w:rsidR="00766F91" w:rsidRPr="004E03DC" w:rsidRDefault="00766F91" w:rsidP="00766F91">
            <w:pPr>
              <w:pStyle w:val="SingleTxtGA"/>
              <w:spacing w:after="80" w:line="300" w:lineRule="exact"/>
              <w:ind w:left="7" w:firstLine="182"/>
              <w:rPr>
                <w:rFonts w:eastAsiaTheme="minorEastAsia"/>
                <w:lang w:val="en-US" w:eastAsia="zh-TW"/>
              </w:rPr>
            </w:pPr>
            <w:r w:rsidRPr="004E03DC">
              <w:rPr>
                <w:rFonts w:eastAsiaTheme="minorEastAsia"/>
                <w:rtl/>
                <w:lang w:val="en-US"/>
              </w:rPr>
              <w:t>سانت فنسنت وجزر غرينادين</w:t>
            </w:r>
          </w:p>
        </w:tc>
        <w:tc>
          <w:tcPr>
            <w:tcW w:w="3686" w:type="dxa"/>
            <w:shd w:val="clear" w:color="auto" w:fill="auto"/>
          </w:tcPr>
          <w:p w14:paraId="1508D0F6" w14:textId="77777777" w:rsidR="00766F91" w:rsidRPr="004E03DC" w:rsidRDefault="00766F91" w:rsidP="00766F91">
            <w:pPr>
              <w:pStyle w:val="SingleTxtGA"/>
              <w:spacing w:after="80" w:line="300" w:lineRule="exact"/>
              <w:ind w:left="7" w:firstLine="182"/>
              <w:rPr>
                <w:rFonts w:eastAsiaTheme="minorEastAsia"/>
                <w:lang w:val="en-US" w:eastAsia="zh-TW"/>
              </w:rPr>
            </w:pPr>
            <w:r w:rsidRPr="004E03DC">
              <w:rPr>
                <w:rFonts w:eastAsiaTheme="minorEastAsia"/>
                <w:rtl/>
                <w:lang w:val="en-US"/>
              </w:rPr>
              <w:t>29 تشرين الثاني/نوفمبر 2012</w:t>
            </w:r>
          </w:p>
        </w:tc>
      </w:tr>
      <w:tr w:rsidR="00766F91" w:rsidRPr="004E03DC" w14:paraId="5599272C" w14:textId="77777777" w:rsidTr="0020402D">
        <w:tc>
          <w:tcPr>
            <w:tcW w:w="3684" w:type="dxa"/>
            <w:shd w:val="clear" w:color="auto" w:fill="auto"/>
          </w:tcPr>
          <w:p w14:paraId="101A8CD6" w14:textId="77777777" w:rsidR="00766F91" w:rsidRPr="004E03DC" w:rsidRDefault="00766F91" w:rsidP="00766F91">
            <w:pPr>
              <w:pStyle w:val="SingleTxtGA"/>
              <w:spacing w:after="80" w:line="300" w:lineRule="exact"/>
              <w:ind w:left="7" w:firstLine="182"/>
              <w:rPr>
                <w:rFonts w:eastAsiaTheme="minorEastAsia"/>
                <w:lang w:val="en-US" w:eastAsia="zh-TW"/>
              </w:rPr>
            </w:pPr>
            <w:r w:rsidRPr="004E03DC">
              <w:rPr>
                <w:rFonts w:eastAsiaTheme="minorEastAsia"/>
                <w:rtl/>
                <w:lang w:val="en-US"/>
              </w:rPr>
              <w:t>بليز</w:t>
            </w:r>
          </w:p>
        </w:tc>
        <w:tc>
          <w:tcPr>
            <w:tcW w:w="3686" w:type="dxa"/>
            <w:shd w:val="clear" w:color="auto" w:fill="auto"/>
          </w:tcPr>
          <w:p w14:paraId="6599BA9E" w14:textId="77777777" w:rsidR="00766F91" w:rsidRPr="004E03DC" w:rsidRDefault="00766F91" w:rsidP="00766F91">
            <w:pPr>
              <w:pStyle w:val="SingleTxtGA"/>
              <w:spacing w:after="80" w:line="300" w:lineRule="exact"/>
              <w:ind w:left="7" w:firstLine="182"/>
              <w:rPr>
                <w:rFonts w:eastAsiaTheme="minorEastAsia"/>
                <w:lang w:val="en-US" w:eastAsia="zh-TW"/>
              </w:rPr>
            </w:pPr>
            <w:r w:rsidRPr="004E03DC">
              <w:rPr>
                <w:rFonts w:eastAsiaTheme="minorEastAsia"/>
                <w:rtl/>
                <w:lang w:val="en-US"/>
              </w:rPr>
              <w:t>2 تموز/يوليه 2013</w:t>
            </w:r>
          </w:p>
        </w:tc>
      </w:tr>
      <w:tr w:rsidR="00766F91" w:rsidRPr="004E03DC" w14:paraId="2C9BA795" w14:textId="77777777" w:rsidTr="0020402D">
        <w:tc>
          <w:tcPr>
            <w:tcW w:w="3684" w:type="dxa"/>
            <w:shd w:val="clear" w:color="auto" w:fill="auto"/>
          </w:tcPr>
          <w:p w14:paraId="6F80B2C6" w14:textId="77777777" w:rsidR="00766F91" w:rsidRPr="004E03DC" w:rsidRDefault="00766F91" w:rsidP="00766F91">
            <w:pPr>
              <w:pStyle w:val="SingleTxtGA"/>
              <w:spacing w:after="80" w:line="300" w:lineRule="exact"/>
              <w:ind w:left="7" w:firstLine="182"/>
              <w:rPr>
                <w:rFonts w:eastAsiaTheme="minorEastAsia"/>
                <w:lang w:val="en-US" w:eastAsia="zh-TW"/>
              </w:rPr>
            </w:pPr>
            <w:r w:rsidRPr="004E03DC">
              <w:rPr>
                <w:rFonts w:eastAsiaTheme="minorEastAsia"/>
                <w:rtl/>
                <w:lang w:val="en-US"/>
              </w:rPr>
              <w:t>كابو فيردي</w:t>
            </w:r>
          </w:p>
        </w:tc>
        <w:tc>
          <w:tcPr>
            <w:tcW w:w="3686" w:type="dxa"/>
            <w:shd w:val="clear" w:color="auto" w:fill="auto"/>
          </w:tcPr>
          <w:p w14:paraId="3757566F" w14:textId="77777777" w:rsidR="00766F91" w:rsidRPr="004E03DC" w:rsidRDefault="00766F91" w:rsidP="00766F91">
            <w:pPr>
              <w:pStyle w:val="SingleTxtGA"/>
              <w:spacing w:after="80" w:line="300" w:lineRule="exact"/>
              <w:ind w:left="7" w:firstLine="182"/>
              <w:rPr>
                <w:rFonts w:eastAsiaTheme="minorEastAsia"/>
                <w:lang w:val="en-US" w:eastAsia="zh-TW"/>
              </w:rPr>
            </w:pPr>
            <w:r w:rsidRPr="004E03DC">
              <w:rPr>
                <w:rFonts w:eastAsiaTheme="minorEastAsia"/>
                <w:rtl/>
                <w:lang w:val="en-US"/>
              </w:rPr>
              <w:t>10 تشرين الثاني/نوفمبر 2013</w:t>
            </w:r>
          </w:p>
        </w:tc>
      </w:tr>
      <w:tr w:rsidR="00766F91" w:rsidRPr="004E03DC" w14:paraId="1558FC23" w14:textId="77777777" w:rsidTr="0020402D">
        <w:tc>
          <w:tcPr>
            <w:tcW w:w="3684" w:type="dxa"/>
            <w:shd w:val="clear" w:color="auto" w:fill="auto"/>
          </w:tcPr>
          <w:p w14:paraId="6A78CF00" w14:textId="77777777" w:rsidR="00766F91" w:rsidRPr="004E03DC" w:rsidRDefault="00766F91" w:rsidP="00766F91">
            <w:pPr>
              <w:pStyle w:val="SingleTxtGA"/>
              <w:spacing w:after="80" w:line="300" w:lineRule="exact"/>
              <w:ind w:left="7" w:firstLine="182"/>
              <w:rPr>
                <w:rFonts w:eastAsiaTheme="minorEastAsia"/>
                <w:lang w:val="en-US" w:eastAsia="zh-TW"/>
              </w:rPr>
            </w:pPr>
            <w:r w:rsidRPr="004E03DC">
              <w:rPr>
                <w:rFonts w:eastAsiaTheme="minorEastAsia"/>
                <w:rtl/>
                <w:lang w:val="en-US"/>
              </w:rPr>
              <w:t>ناورو</w:t>
            </w:r>
          </w:p>
        </w:tc>
        <w:tc>
          <w:tcPr>
            <w:tcW w:w="3686" w:type="dxa"/>
            <w:shd w:val="clear" w:color="auto" w:fill="auto"/>
          </w:tcPr>
          <w:p w14:paraId="37AA24F7" w14:textId="77777777" w:rsidR="00766F91" w:rsidRPr="004E03DC" w:rsidRDefault="00766F91" w:rsidP="00766F91">
            <w:pPr>
              <w:pStyle w:val="SingleTxtGA"/>
              <w:spacing w:after="80" w:line="300" w:lineRule="exact"/>
              <w:ind w:left="7" w:firstLine="182"/>
              <w:rPr>
                <w:rFonts w:eastAsiaTheme="minorEastAsia"/>
                <w:lang w:val="en-US" w:eastAsia="zh-TW"/>
              </w:rPr>
            </w:pPr>
            <w:r w:rsidRPr="004E03DC">
              <w:rPr>
                <w:rFonts w:eastAsiaTheme="minorEastAsia"/>
                <w:rtl/>
                <w:lang w:val="en-US"/>
              </w:rPr>
              <w:t>27 تموز/يوليه 2014</w:t>
            </w:r>
          </w:p>
        </w:tc>
      </w:tr>
      <w:tr w:rsidR="00766F91" w:rsidRPr="004E03DC" w14:paraId="0202300C" w14:textId="77777777" w:rsidTr="0020402D">
        <w:tc>
          <w:tcPr>
            <w:tcW w:w="3684" w:type="dxa"/>
            <w:shd w:val="clear" w:color="auto" w:fill="auto"/>
          </w:tcPr>
          <w:p w14:paraId="11CD8D7B" w14:textId="77777777" w:rsidR="00766F91" w:rsidRPr="004E03DC" w:rsidRDefault="00766F91" w:rsidP="00766F91">
            <w:pPr>
              <w:pStyle w:val="SingleTxtGA"/>
              <w:spacing w:after="80" w:line="300" w:lineRule="exact"/>
              <w:ind w:left="7" w:firstLine="182"/>
              <w:rPr>
                <w:rFonts w:eastAsiaTheme="minorEastAsia"/>
                <w:lang w:val="en-US" w:eastAsia="zh-TW"/>
              </w:rPr>
            </w:pPr>
            <w:r w:rsidRPr="004E03DC">
              <w:rPr>
                <w:rFonts w:eastAsiaTheme="minorEastAsia"/>
                <w:rtl/>
                <w:lang w:val="en-US"/>
              </w:rPr>
              <w:t xml:space="preserve">إسواتيني </w:t>
            </w:r>
          </w:p>
        </w:tc>
        <w:tc>
          <w:tcPr>
            <w:tcW w:w="3686" w:type="dxa"/>
            <w:shd w:val="clear" w:color="auto" w:fill="auto"/>
          </w:tcPr>
          <w:p w14:paraId="15B95518" w14:textId="77777777" w:rsidR="00766F91" w:rsidRPr="004E03DC" w:rsidRDefault="00766F91" w:rsidP="00766F91">
            <w:pPr>
              <w:pStyle w:val="SingleTxtGA"/>
              <w:spacing w:after="80" w:line="300" w:lineRule="exact"/>
              <w:ind w:left="7" w:firstLine="182"/>
              <w:rPr>
                <w:rFonts w:eastAsiaTheme="minorEastAsia"/>
                <w:lang w:val="en-US" w:eastAsia="zh-TW"/>
              </w:rPr>
            </w:pPr>
            <w:r w:rsidRPr="004E03DC">
              <w:rPr>
                <w:rFonts w:eastAsiaTheme="minorEastAsia"/>
                <w:rtl/>
                <w:lang w:val="en-US"/>
              </w:rPr>
              <w:t>24 تشرين الأول/أكتوبر 2014</w:t>
            </w:r>
          </w:p>
        </w:tc>
      </w:tr>
      <w:tr w:rsidR="00766F91" w:rsidRPr="004E03DC" w14:paraId="29112C49" w14:textId="77777777" w:rsidTr="0020402D">
        <w:tc>
          <w:tcPr>
            <w:tcW w:w="3684" w:type="dxa"/>
            <w:shd w:val="clear" w:color="auto" w:fill="auto"/>
          </w:tcPr>
          <w:p w14:paraId="28F9E3EC" w14:textId="77777777" w:rsidR="00766F91" w:rsidRPr="004E03DC" w:rsidRDefault="00766F91" w:rsidP="00766F91">
            <w:pPr>
              <w:pStyle w:val="SingleTxtGA"/>
              <w:spacing w:after="80" w:line="300" w:lineRule="exact"/>
              <w:ind w:left="7" w:firstLine="182"/>
              <w:rPr>
                <w:rFonts w:eastAsiaTheme="minorEastAsia"/>
                <w:lang w:val="en-US" w:eastAsia="zh-TW"/>
              </w:rPr>
            </w:pPr>
            <w:r w:rsidRPr="004E03DC">
              <w:rPr>
                <w:rFonts w:eastAsiaTheme="minorEastAsia"/>
                <w:rtl/>
                <w:lang w:val="en-US"/>
              </w:rPr>
              <w:t>دومينيكا</w:t>
            </w:r>
          </w:p>
        </w:tc>
        <w:tc>
          <w:tcPr>
            <w:tcW w:w="3686" w:type="dxa"/>
            <w:shd w:val="clear" w:color="auto" w:fill="auto"/>
          </w:tcPr>
          <w:p w14:paraId="15A9AAFB" w14:textId="77777777" w:rsidR="00766F91" w:rsidRPr="004E03DC" w:rsidRDefault="00766F91" w:rsidP="00766F91">
            <w:pPr>
              <w:pStyle w:val="SingleTxtGA"/>
              <w:spacing w:after="80" w:line="300" w:lineRule="exact"/>
              <w:ind w:left="7" w:firstLine="182"/>
              <w:rPr>
                <w:rFonts w:eastAsiaTheme="minorEastAsia"/>
                <w:lang w:val="en-US" w:eastAsia="zh-TW"/>
              </w:rPr>
            </w:pPr>
            <w:r w:rsidRPr="004E03DC">
              <w:rPr>
                <w:rFonts w:eastAsiaTheme="minorEastAsia"/>
                <w:rtl/>
                <w:lang w:val="en-US"/>
              </w:rPr>
              <w:t>1 تشرين الثاني/نوفمبر 2014</w:t>
            </w:r>
          </w:p>
        </w:tc>
      </w:tr>
      <w:tr w:rsidR="00766F91" w:rsidRPr="004E03DC" w14:paraId="2F54C640" w14:textId="77777777" w:rsidTr="0020402D">
        <w:tc>
          <w:tcPr>
            <w:tcW w:w="3684" w:type="dxa"/>
            <w:shd w:val="clear" w:color="auto" w:fill="auto"/>
          </w:tcPr>
          <w:p w14:paraId="12DCC2D7" w14:textId="77777777" w:rsidR="00766F91" w:rsidRPr="004E03DC" w:rsidRDefault="00766F91" w:rsidP="00766F91">
            <w:pPr>
              <w:pStyle w:val="SingleTxtGA"/>
              <w:spacing w:after="80" w:line="300" w:lineRule="exact"/>
              <w:ind w:left="7" w:firstLine="182"/>
              <w:rPr>
                <w:rFonts w:eastAsiaTheme="minorEastAsia"/>
                <w:lang w:val="en-US" w:eastAsia="zh-TW"/>
              </w:rPr>
            </w:pPr>
            <w:r w:rsidRPr="004E03DC">
              <w:rPr>
                <w:rFonts w:eastAsiaTheme="minorEastAsia"/>
                <w:rtl/>
                <w:lang w:val="en-US"/>
              </w:rPr>
              <w:t>كمبوديا</w:t>
            </w:r>
          </w:p>
        </w:tc>
        <w:tc>
          <w:tcPr>
            <w:tcW w:w="3686" w:type="dxa"/>
            <w:shd w:val="clear" w:color="auto" w:fill="auto"/>
          </w:tcPr>
          <w:p w14:paraId="3A2B6F2C" w14:textId="77777777" w:rsidR="00766F91" w:rsidRPr="004E03DC" w:rsidRDefault="00766F91" w:rsidP="00766F91">
            <w:pPr>
              <w:pStyle w:val="SingleTxtGA"/>
              <w:spacing w:after="80" w:line="300" w:lineRule="exact"/>
              <w:ind w:left="7" w:firstLine="182"/>
              <w:rPr>
                <w:rFonts w:eastAsiaTheme="minorEastAsia"/>
                <w:lang w:val="en-US" w:eastAsia="zh-TW"/>
              </w:rPr>
            </w:pPr>
            <w:r w:rsidRPr="004E03DC">
              <w:rPr>
                <w:rFonts w:eastAsiaTheme="minorEastAsia"/>
                <w:rtl/>
                <w:lang w:val="en-US"/>
              </w:rPr>
              <w:t>20 كانون الثاني/يناير 2015</w:t>
            </w:r>
          </w:p>
        </w:tc>
      </w:tr>
      <w:tr w:rsidR="00766F91" w:rsidRPr="004E03DC" w14:paraId="592CDF93" w14:textId="77777777" w:rsidTr="0020402D">
        <w:tc>
          <w:tcPr>
            <w:tcW w:w="3684" w:type="dxa"/>
            <w:shd w:val="clear" w:color="auto" w:fill="auto"/>
          </w:tcPr>
          <w:p w14:paraId="624641DD" w14:textId="77777777" w:rsidR="00766F91" w:rsidRPr="004E03DC" w:rsidRDefault="00766F91" w:rsidP="00766F91">
            <w:pPr>
              <w:pStyle w:val="SingleTxtGA"/>
              <w:spacing w:after="80" w:line="300" w:lineRule="exact"/>
              <w:ind w:left="7" w:firstLine="182"/>
              <w:rPr>
                <w:rFonts w:eastAsiaTheme="minorEastAsia"/>
                <w:lang w:val="en-US" w:eastAsia="zh-TW"/>
              </w:rPr>
            </w:pPr>
            <w:r w:rsidRPr="004E03DC">
              <w:rPr>
                <w:rFonts w:eastAsiaTheme="minorEastAsia"/>
                <w:rtl/>
                <w:lang w:val="en-US"/>
              </w:rPr>
              <w:t>بربادوس</w:t>
            </w:r>
          </w:p>
        </w:tc>
        <w:tc>
          <w:tcPr>
            <w:tcW w:w="3686" w:type="dxa"/>
            <w:shd w:val="clear" w:color="auto" w:fill="auto"/>
          </w:tcPr>
          <w:p w14:paraId="3C59B977" w14:textId="77777777" w:rsidR="00766F91" w:rsidRPr="004E03DC" w:rsidRDefault="00766F91" w:rsidP="00766F91">
            <w:pPr>
              <w:pStyle w:val="SingleTxtGA"/>
              <w:spacing w:after="80" w:line="300" w:lineRule="exact"/>
              <w:ind w:left="7" w:firstLine="182"/>
              <w:rPr>
                <w:rFonts w:eastAsiaTheme="minorEastAsia"/>
                <w:lang w:val="en-US" w:eastAsia="zh-TW"/>
              </w:rPr>
            </w:pPr>
            <w:r w:rsidRPr="004E03DC">
              <w:rPr>
                <w:rFonts w:eastAsiaTheme="minorEastAsia"/>
                <w:rtl/>
                <w:lang w:val="en-US"/>
              </w:rPr>
              <w:t>27 آذار/مارس 2015</w:t>
            </w:r>
          </w:p>
        </w:tc>
      </w:tr>
      <w:tr w:rsidR="00766F91" w:rsidRPr="004E03DC" w14:paraId="332EF3C9" w14:textId="77777777" w:rsidTr="0020402D">
        <w:tc>
          <w:tcPr>
            <w:tcW w:w="3684" w:type="dxa"/>
            <w:shd w:val="clear" w:color="auto" w:fill="auto"/>
          </w:tcPr>
          <w:p w14:paraId="2989DFF9" w14:textId="77777777" w:rsidR="00766F91" w:rsidRPr="004E03DC" w:rsidRDefault="00766F91" w:rsidP="00766F91">
            <w:pPr>
              <w:pStyle w:val="SingleTxtGA"/>
              <w:spacing w:after="80" w:line="300" w:lineRule="exact"/>
              <w:ind w:left="7" w:firstLine="182"/>
              <w:rPr>
                <w:rFonts w:eastAsiaTheme="minorEastAsia"/>
                <w:lang w:val="en-US" w:eastAsia="zh-TW"/>
              </w:rPr>
            </w:pPr>
            <w:r w:rsidRPr="004E03DC">
              <w:rPr>
                <w:rFonts w:eastAsiaTheme="minorEastAsia"/>
                <w:rtl/>
                <w:lang w:val="en-US"/>
              </w:rPr>
              <w:t>بابوا غينيا الجديدة</w:t>
            </w:r>
          </w:p>
        </w:tc>
        <w:tc>
          <w:tcPr>
            <w:tcW w:w="3686" w:type="dxa"/>
            <w:shd w:val="clear" w:color="auto" w:fill="auto"/>
          </w:tcPr>
          <w:p w14:paraId="29621792" w14:textId="77777777" w:rsidR="00766F91" w:rsidRPr="004E03DC" w:rsidRDefault="00766F91" w:rsidP="00766F91">
            <w:pPr>
              <w:pStyle w:val="SingleTxtGA"/>
              <w:spacing w:after="80" w:line="300" w:lineRule="exact"/>
              <w:ind w:left="7" w:firstLine="182"/>
              <w:rPr>
                <w:rFonts w:eastAsiaTheme="minorEastAsia"/>
                <w:lang w:val="en-US" w:eastAsia="zh-TW"/>
              </w:rPr>
            </w:pPr>
            <w:r w:rsidRPr="004E03DC">
              <w:rPr>
                <w:rFonts w:eastAsiaTheme="minorEastAsia"/>
                <w:rtl/>
                <w:lang w:val="en-US"/>
              </w:rPr>
              <w:t>26 تشرين الأول/أكتوبر 2015</w:t>
            </w:r>
          </w:p>
        </w:tc>
      </w:tr>
      <w:tr w:rsidR="00766F91" w:rsidRPr="004E03DC" w14:paraId="5700E4BC" w14:textId="77777777" w:rsidTr="0020402D">
        <w:tc>
          <w:tcPr>
            <w:tcW w:w="3684" w:type="dxa"/>
            <w:shd w:val="clear" w:color="auto" w:fill="auto"/>
          </w:tcPr>
          <w:p w14:paraId="2B4B4541" w14:textId="77777777" w:rsidR="00766F91" w:rsidRPr="004E03DC" w:rsidRDefault="00766F91" w:rsidP="00766F91">
            <w:pPr>
              <w:pStyle w:val="SingleTxtGA"/>
              <w:spacing w:after="80" w:line="300" w:lineRule="exact"/>
              <w:ind w:left="7" w:firstLine="182"/>
              <w:rPr>
                <w:rFonts w:eastAsiaTheme="minorEastAsia"/>
                <w:lang w:val="en-US" w:eastAsia="zh-TW"/>
              </w:rPr>
            </w:pPr>
            <w:r w:rsidRPr="004E03DC">
              <w:rPr>
                <w:rFonts w:eastAsiaTheme="minorEastAsia"/>
                <w:rtl/>
                <w:lang w:val="en-US"/>
              </w:rPr>
              <w:t>كوت ديفوار</w:t>
            </w:r>
          </w:p>
        </w:tc>
        <w:tc>
          <w:tcPr>
            <w:tcW w:w="3686" w:type="dxa"/>
            <w:shd w:val="clear" w:color="auto" w:fill="auto"/>
          </w:tcPr>
          <w:p w14:paraId="01ACA349" w14:textId="77777777" w:rsidR="00766F91" w:rsidRPr="004E03DC" w:rsidRDefault="00766F91" w:rsidP="00766F91">
            <w:pPr>
              <w:pStyle w:val="SingleTxtGA"/>
              <w:spacing w:after="80" w:line="300" w:lineRule="exact"/>
              <w:ind w:left="7" w:firstLine="182"/>
              <w:rPr>
                <w:rFonts w:eastAsiaTheme="minorEastAsia"/>
                <w:lang w:val="en-US" w:eastAsia="zh-TW"/>
              </w:rPr>
            </w:pPr>
            <w:r w:rsidRPr="004E03DC">
              <w:rPr>
                <w:rFonts w:eastAsiaTheme="minorEastAsia"/>
                <w:rtl/>
                <w:lang w:val="en-US"/>
              </w:rPr>
              <w:t>10 شباط/فبراير 2016</w:t>
            </w:r>
          </w:p>
        </w:tc>
      </w:tr>
      <w:tr w:rsidR="00766F91" w:rsidRPr="004E03DC" w14:paraId="58A8ED3C" w14:textId="77777777" w:rsidTr="0020402D">
        <w:tc>
          <w:tcPr>
            <w:tcW w:w="3684" w:type="dxa"/>
            <w:shd w:val="clear" w:color="auto" w:fill="auto"/>
          </w:tcPr>
          <w:p w14:paraId="5853E97F" w14:textId="77777777" w:rsidR="00766F91" w:rsidRPr="004E03DC" w:rsidRDefault="00766F91" w:rsidP="00766F91">
            <w:pPr>
              <w:pStyle w:val="SingleTxtGA"/>
              <w:spacing w:after="80" w:line="300" w:lineRule="exact"/>
              <w:ind w:left="7" w:firstLine="182"/>
              <w:rPr>
                <w:rFonts w:eastAsiaTheme="minorEastAsia"/>
                <w:lang w:val="en-US" w:eastAsia="zh-TW"/>
              </w:rPr>
            </w:pPr>
            <w:r w:rsidRPr="004E03DC">
              <w:rPr>
                <w:rFonts w:eastAsiaTheme="minorEastAsia"/>
                <w:rtl/>
                <w:lang w:val="en-US"/>
              </w:rPr>
              <w:t>غرينادا</w:t>
            </w:r>
          </w:p>
        </w:tc>
        <w:tc>
          <w:tcPr>
            <w:tcW w:w="3686" w:type="dxa"/>
            <w:shd w:val="clear" w:color="auto" w:fill="auto"/>
          </w:tcPr>
          <w:p w14:paraId="26319EE1" w14:textId="77777777" w:rsidR="00766F91" w:rsidRPr="004E03DC" w:rsidRDefault="00766F91" w:rsidP="00766F91">
            <w:pPr>
              <w:pStyle w:val="SingleTxtGA"/>
              <w:spacing w:after="80" w:line="300" w:lineRule="exact"/>
              <w:ind w:left="7" w:firstLine="182"/>
              <w:rPr>
                <w:rFonts w:eastAsiaTheme="minorEastAsia"/>
                <w:lang w:val="en-US" w:eastAsia="zh-TW"/>
              </w:rPr>
            </w:pPr>
            <w:r w:rsidRPr="004E03DC">
              <w:rPr>
                <w:rFonts w:eastAsiaTheme="minorEastAsia"/>
                <w:rtl/>
                <w:lang w:val="en-US"/>
              </w:rPr>
              <w:t>17 أيلول/سبتمبر 2016</w:t>
            </w:r>
          </w:p>
        </w:tc>
      </w:tr>
      <w:tr w:rsidR="00766F91" w:rsidRPr="004E03DC" w14:paraId="4ABE7582" w14:textId="77777777" w:rsidTr="0020402D">
        <w:tc>
          <w:tcPr>
            <w:tcW w:w="3684" w:type="dxa"/>
            <w:shd w:val="clear" w:color="auto" w:fill="auto"/>
          </w:tcPr>
          <w:p w14:paraId="63A20C48" w14:textId="77777777" w:rsidR="00766F91" w:rsidRPr="004E03DC" w:rsidRDefault="00766F91" w:rsidP="00766F91">
            <w:pPr>
              <w:pStyle w:val="SingleTxtGA"/>
              <w:spacing w:after="80" w:line="300" w:lineRule="exact"/>
              <w:ind w:left="7" w:firstLine="182"/>
              <w:rPr>
                <w:rFonts w:eastAsiaTheme="minorEastAsia"/>
                <w:lang w:val="en-US" w:eastAsia="zh-TW"/>
              </w:rPr>
            </w:pPr>
            <w:r w:rsidRPr="004E03DC">
              <w:rPr>
                <w:rFonts w:eastAsiaTheme="minorEastAsia"/>
                <w:rtl/>
                <w:lang w:val="en-US"/>
              </w:rPr>
              <w:t>الكونغو</w:t>
            </w:r>
          </w:p>
        </w:tc>
        <w:tc>
          <w:tcPr>
            <w:tcW w:w="3686" w:type="dxa"/>
            <w:shd w:val="clear" w:color="auto" w:fill="auto"/>
          </w:tcPr>
          <w:p w14:paraId="5ABE1F2A" w14:textId="77777777" w:rsidR="00766F91" w:rsidRPr="004E03DC" w:rsidRDefault="00766F91" w:rsidP="00766F91">
            <w:pPr>
              <w:pStyle w:val="SingleTxtGA"/>
              <w:spacing w:after="80" w:line="300" w:lineRule="exact"/>
              <w:ind w:left="7" w:firstLine="182"/>
              <w:rPr>
                <w:rFonts w:eastAsiaTheme="minorEastAsia"/>
                <w:lang w:val="en-US" w:eastAsia="zh-TW"/>
              </w:rPr>
            </w:pPr>
            <w:r w:rsidRPr="004E03DC">
              <w:rPr>
                <w:rFonts w:eastAsiaTheme="minorEastAsia"/>
                <w:rtl/>
                <w:lang w:val="en-US"/>
              </w:rPr>
              <w:t>2 تشرين الأول/أكتوبر 2016</w:t>
            </w:r>
          </w:p>
        </w:tc>
      </w:tr>
      <w:tr w:rsidR="00766F91" w:rsidRPr="004E03DC" w14:paraId="542FE062" w14:textId="77777777" w:rsidTr="0020402D">
        <w:tc>
          <w:tcPr>
            <w:tcW w:w="3684" w:type="dxa"/>
            <w:shd w:val="clear" w:color="auto" w:fill="auto"/>
          </w:tcPr>
          <w:p w14:paraId="07AEE19C" w14:textId="77777777" w:rsidR="00766F91" w:rsidRPr="004E03DC" w:rsidRDefault="00766F91" w:rsidP="00766F91">
            <w:pPr>
              <w:pStyle w:val="SingleTxtGA"/>
              <w:spacing w:after="80" w:line="300" w:lineRule="exact"/>
              <w:ind w:left="7" w:firstLine="182"/>
              <w:rPr>
                <w:rFonts w:eastAsiaTheme="minorEastAsia"/>
                <w:lang w:val="en-US" w:eastAsia="zh-TW"/>
              </w:rPr>
            </w:pPr>
            <w:r w:rsidRPr="004E03DC">
              <w:rPr>
                <w:rFonts w:eastAsiaTheme="minorEastAsia"/>
                <w:rtl/>
                <w:lang w:val="en-US"/>
              </w:rPr>
              <w:t>غيانا</w:t>
            </w:r>
          </w:p>
        </w:tc>
        <w:tc>
          <w:tcPr>
            <w:tcW w:w="3686" w:type="dxa"/>
            <w:shd w:val="clear" w:color="auto" w:fill="auto"/>
          </w:tcPr>
          <w:p w14:paraId="5B11C7EE" w14:textId="77777777" w:rsidR="00766F91" w:rsidRPr="004E03DC" w:rsidRDefault="00766F91" w:rsidP="00766F91">
            <w:pPr>
              <w:pStyle w:val="SingleTxtGA"/>
              <w:spacing w:after="80" w:line="300" w:lineRule="exact"/>
              <w:ind w:left="7" w:firstLine="182"/>
              <w:rPr>
                <w:rFonts w:eastAsiaTheme="minorEastAsia"/>
                <w:lang w:val="en-US" w:eastAsia="zh-TW"/>
              </w:rPr>
            </w:pPr>
            <w:r w:rsidRPr="004E03DC">
              <w:rPr>
                <w:rFonts w:eastAsiaTheme="minorEastAsia"/>
                <w:rtl/>
                <w:lang w:val="en-US"/>
              </w:rPr>
              <w:t>10 تشرين الأول/أكتوبر 2016</w:t>
            </w:r>
          </w:p>
        </w:tc>
      </w:tr>
      <w:tr w:rsidR="00766F91" w:rsidRPr="004E03DC" w14:paraId="3D7EDE56" w14:textId="77777777" w:rsidTr="0020402D">
        <w:tc>
          <w:tcPr>
            <w:tcW w:w="3684" w:type="dxa"/>
            <w:shd w:val="clear" w:color="auto" w:fill="auto"/>
          </w:tcPr>
          <w:p w14:paraId="4BBFF128" w14:textId="77777777" w:rsidR="00766F91" w:rsidRPr="004E03DC" w:rsidRDefault="00766F91" w:rsidP="00766F91">
            <w:pPr>
              <w:pStyle w:val="SingleTxtGA"/>
              <w:spacing w:after="80" w:line="300" w:lineRule="exact"/>
              <w:ind w:left="7" w:firstLine="182"/>
              <w:rPr>
                <w:rFonts w:eastAsiaTheme="minorEastAsia"/>
                <w:lang w:val="en-US" w:eastAsia="zh-TW"/>
              </w:rPr>
            </w:pPr>
            <w:r w:rsidRPr="004E03DC">
              <w:rPr>
                <w:rFonts w:eastAsiaTheme="minorEastAsia"/>
                <w:rtl/>
                <w:lang w:val="en-US"/>
              </w:rPr>
              <w:t>غينيا - بيساو</w:t>
            </w:r>
          </w:p>
        </w:tc>
        <w:tc>
          <w:tcPr>
            <w:tcW w:w="3686" w:type="dxa"/>
            <w:shd w:val="clear" w:color="auto" w:fill="auto"/>
          </w:tcPr>
          <w:p w14:paraId="1D937868" w14:textId="77777777" w:rsidR="00766F91" w:rsidRPr="004E03DC" w:rsidRDefault="00766F91" w:rsidP="00766F91">
            <w:pPr>
              <w:pStyle w:val="SingleTxtGA"/>
              <w:spacing w:after="80" w:line="300" w:lineRule="exact"/>
              <w:ind w:left="7" w:firstLine="182"/>
              <w:rPr>
                <w:rFonts w:eastAsiaTheme="minorEastAsia"/>
                <w:lang w:val="en-US" w:eastAsia="zh-TW"/>
              </w:rPr>
            </w:pPr>
            <w:r w:rsidRPr="004E03DC">
              <w:rPr>
                <w:rFonts w:eastAsiaTheme="minorEastAsia"/>
                <w:rtl/>
                <w:lang w:val="en-US"/>
              </w:rPr>
              <w:t>24 تشرين الأول/أكتوبر 2016</w:t>
            </w:r>
          </w:p>
        </w:tc>
      </w:tr>
      <w:tr w:rsidR="00766F91" w:rsidRPr="004E03DC" w14:paraId="6A68F9FB" w14:textId="77777777" w:rsidTr="0020402D">
        <w:trPr>
          <w:trHeight w:val="461"/>
        </w:trPr>
        <w:tc>
          <w:tcPr>
            <w:tcW w:w="3684" w:type="dxa"/>
            <w:shd w:val="clear" w:color="auto" w:fill="auto"/>
          </w:tcPr>
          <w:p w14:paraId="472457B1" w14:textId="77777777" w:rsidR="00766F91" w:rsidRPr="004E03DC" w:rsidRDefault="00766F91" w:rsidP="00766F91">
            <w:pPr>
              <w:pStyle w:val="SingleTxtGA"/>
              <w:spacing w:after="80" w:line="300" w:lineRule="exact"/>
              <w:ind w:left="7" w:firstLine="182"/>
              <w:rPr>
                <w:rFonts w:eastAsiaTheme="minorEastAsia"/>
                <w:lang w:val="en-US" w:eastAsia="zh-TW"/>
              </w:rPr>
            </w:pPr>
            <w:r w:rsidRPr="004E03DC">
              <w:rPr>
                <w:rFonts w:eastAsiaTheme="minorEastAsia"/>
                <w:rtl/>
                <w:lang w:val="en-US"/>
              </w:rPr>
              <w:t>مدغشقر</w:t>
            </w:r>
          </w:p>
        </w:tc>
        <w:tc>
          <w:tcPr>
            <w:tcW w:w="3686" w:type="dxa"/>
            <w:shd w:val="clear" w:color="auto" w:fill="auto"/>
          </w:tcPr>
          <w:p w14:paraId="584501F5" w14:textId="77777777" w:rsidR="00766F91" w:rsidRPr="004E03DC" w:rsidRDefault="00766F91" w:rsidP="00766F91">
            <w:pPr>
              <w:pStyle w:val="SingleTxtGA"/>
              <w:spacing w:after="80" w:line="300" w:lineRule="exact"/>
              <w:ind w:left="7" w:firstLine="182"/>
              <w:rPr>
                <w:rFonts w:eastAsiaTheme="minorEastAsia"/>
                <w:lang w:val="en-US" w:eastAsia="zh-TW"/>
              </w:rPr>
            </w:pPr>
            <w:r w:rsidRPr="004E03DC">
              <w:rPr>
                <w:rFonts w:eastAsiaTheme="minorEastAsia"/>
                <w:rtl/>
                <w:lang w:val="en-US"/>
              </w:rPr>
              <w:t xml:space="preserve">12 تموز/يوليه 2017 </w:t>
            </w:r>
          </w:p>
        </w:tc>
      </w:tr>
      <w:tr w:rsidR="00766F91" w:rsidRPr="004E03DC" w14:paraId="235D61AB" w14:textId="77777777" w:rsidTr="0020402D">
        <w:tc>
          <w:tcPr>
            <w:tcW w:w="3684" w:type="dxa"/>
            <w:shd w:val="clear" w:color="auto" w:fill="auto"/>
          </w:tcPr>
          <w:p w14:paraId="584AF430" w14:textId="77777777" w:rsidR="00766F91" w:rsidRPr="004E03DC" w:rsidRDefault="00766F91" w:rsidP="00766F91">
            <w:pPr>
              <w:pStyle w:val="SingleTxtGA"/>
              <w:spacing w:after="80" w:line="300" w:lineRule="exact"/>
              <w:ind w:left="7" w:firstLine="182"/>
              <w:rPr>
                <w:rFonts w:eastAsiaTheme="minorEastAsia"/>
                <w:lang w:val="en-US" w:eastAsia="zh-TW"/>
              </w:rPr>
            </w:pPr>
            <w:r w:rsidRPr="004E03DC">
              <w:rPr>
                <w:rFonts w:eastAsiaTheme="minorEastAsia"/>
                <w:rtl/>
                <w:lang w:val="en-US"/>
              </w:rPr>
              <w:t>غامبيا</w:t>
            </w:r>
          </w:p>
        </w:tc>
        <w:tc>
          <w:tcPr>
            <w:tcW w:w="3686" w:type="dxa"/>
            <w:shd w:val="clear" w:color="auto" w:fill="auto"/>
          </w:tcPr>
          <w:p w14:paraId="4E86C5C1" w14:textId="77777777" w:rsidR="00766F91" w:rsidRPr="004E03DC" w:rsidRDefault="00766F91" w:rsidP="00766F91">
            <w:pPr>
              <w:pStyle w:val="SingleTxtGA"/>
              <w:spacing w:after="80" w:line="300" w:lineRule="exact"/>
              <w:ind w:left="7" w:firstLine="182"/>
              <w:rPr>
                <w:rFonts w:eastAsiaTheme="minorEastAsia"/>
                <w:lang w:val="en-US" w:eastAsia="zh-TW"/>
              </w:rPr>
            </w:pPr>
            <w:r w:rsidRPr="004E03DC">
              <w:rPr>
                <w:rFonts w:eastAsiaTheme="minorEastAsia"/>
                <w:rtl/>
                <w:lang w:val="en-US"/>
              </w:rPr>
              <w:t>6 آب/أغسطس 2017</w:t>
            </w:r>
          </w:p>
        </w:tc>
      </w:tr>
      <w:tr w:rsidR="00766F91" w:rsidRPr="004E03DC" w14:paraId="65AB5B5C" w14:textId="77777777" w:rsidTr="0020402D">
        <w:tc>
          <w:tcPr>
            <w:tcW w:w="3684" w:type="dxa"/>
            <w:shd w:val="clear" w:color="auto" w:fill="auto"/>
          </w:tcPr>
          <w:p w14:paraId="5078ADD1" w14:textId="77777777" w:rsidR="00766F91" w:rsidRPr="004E03DC" w:rsidRDefault="00766F91" w:rsidP="00766F91">
            <w:pPr>
              <w:pStyle w:val="SingleTxtGA"/>
              <w:spacing w:after="80" w:line="300" w:lineRule="exact"/>
              <w:ind w:left="7" w:firstLine="182"/>
              <w:rPr>
                <w:rFonts w:eastAsiaTheme="minorEastAsia"/>
                <w:lang w:val="en-US" w:eastAsia="zh-TW"/>
              </w:rPr>
            </w:pPr>
            <w:r w:rsidRPr="004E03DC">
              <w:rPr>
                <w:rFonts w:eastAsiaTheme="minorEastAsia"/>
                <w:rtl/>
                <w:lang w:val="en-US"/>
              </w:rPr>
              <w:t>جزر البهاما</w:t>
            </w:r>
          </w:p>
        </w:tc>
        <w:tc>
          <w:tcPr>
            <w:tcW w:w="3686" w:type="dxa"/>
            <w:shd w:val="clear" w:color="auto" w:fill="auto"/>
          </w:tcPr>
          <w:p w14:paraId="40B11CD1" w14:textId="77777777" w:rsidR="00766F91" w:rsidRPr="004E03DC" w:rsidRDefault="00766F91" w:rsidP="00766F91">
            <w:pPr>
              <w:pStyle w:val="SingleTxtGA"/>
              <w:spacing w:after="80" w:line="300" w:lineRule="exact"/>
              <w:ind w:left="7" w:firstLine="182"/>
              <w:rPr>
                <w:rFonts w:eastAsiaTheme="minorEastAsia"/>
                <w:lang w:val="en-US" w:eastAsia="zh-TW"/>
              </w:rPr>
            </w:pPr>
            <w:r w:rsidRPr="004E03DC">
              <w:rPr>
                <w:rFonts w:eastAsiaTheme="minorEastAsia"/>
                <w:rtl/>
                <w:lang w:val="en-US"/>
              </w:rPr>
              <w:t>28 تشرين الأول/أكتوبر 2017</w:t>
            </w:r>
          </w:p>
        </w:tc>
      </w:tr>
      <w:tr w:rsidR="00766F91" w:rsidRPr="004E03DC" w14:paraId="53F21C3C" w14:textId="77777777" w:rsidTr="0020402D">
        <w:tc>
          <w:tcPr>
            <w:tcW w:w="3684" w:type="dxa"/>
            <w:shd w:val="clear" w:color="auto" w:fill="auto"/>
          </w:tcPr>
          <w:p w14:paraId="79DCC5AA" w14:textId="77777777" w:rsidR="00766F91" w:rsidRPr="004E03DC" w:rsidRDefault="00766F91" w:rsidP="00766F91">
            <w:pPr>
              <w:pStyle w:val="SingleTxtGA"/>
              <w:spacing w:after="80" w:line="300" w:lineRule="exact"/>
              <w:ind w:left="7" w:firstLine="182"/>
              <w:rPr>
                <w:rFonts w:eastAsiaTheme="minorEastAsia"/>
                <w:lang w:val="en-US" w:eastAsia="zh-TW"/>
              </w:rPr>
            </w:pPr>
            <w:r w:rsidRPr="004E03DC">
              <w:rPr>
                <w:rFonts w:eastAsiaTheme="minorEastAsia"/>
                <w:rtl/>
                <w:lang w:val="en-US"/>
              </w:rPr>
              <w:t xml:space="preserve">سان تومي وبرينسيبي </w:t>
            </w:r>
          </w:p>
        </w:tc>
        <w:tc>
          <w:tcPr>
            <w:tcW w:w="3686" w:type="dxa"/>
            <w:shd w:val="clear" w:color="auto" w:fill="auto"/>
          </w:tcPr>
          <w:p w14:paraId="25980485" w14:textId="77777777" w:rsidR="00766F91" w:rsidRPr="004E03DC" w:rsidRDefault="00766F91" w:rsidP="00766F91">
            <w:pPr>
              <w:pStyle w:val="SingleTxtGA"/>
              <w:spacing w:after="80" w:line="300" w:lineRule="exact"/>
              <w:ind w:left="7" w:firstLine="182"/>
              <w:rPr>
                <w:rFonts w:eastAsiaTheme="minorEastAsia"/>
                <w:lang w:val="en-US" w:eastAsia="zh-TW"/>
              </w:rPr>
            </w:pPr>
            <w:r w:rsidRPr="004E03DC">
              <w:rPr>
                <w:rFonts w:eastAsiaTheme="minorEastAsia"/>
                <w:rtl/>
                <w:lang w:val="en-US"/>
              </w:rPr>
              <w:t>5 كانون الأول/ديسمبر 2017</w:t>
            </w:r>
          </w:p>
        </w:tc>
      </w:tr>
      <w:tr w:rsidR="00766F91" w:rsidRPr="004E03DC" w14:paraId="30E23201" w14:textId="77777777" w:rsidTr="0020402D">
        <w:tc>
          <w:tcPr>
            <w:tcW w:w="3684" w:type="dxa"/>
            <w:shd w:val="clear" w:color="auto" w:fill="auto"/>
          </w:tcPr>
          <w:p w14:paraId="0A32134D" w14:textId="77777777" w:rsidR="00766F91" w:rsidRPr="004E03DC" w:rsidRDefault="00766F91" w:rsidP="00766F91">
            <w:pPr>
              <w:pStyle w:val="SingleTxtGA"/>
              <w:spacing w:after="80" w:line="300" w:lineRule="exact"/>
              <w:ind w:left="7" w:firstLine="182"/>
              <w:rPr>
                <w:rFonts w:eastAsiaTheme="minorEastAsia"/>
                <w:lang w:val="en-US" w:eastAsia="zh-TW"/>
              </w:rPr>
            </w:pPr>
            <w:r w:rsidRPr="004E03DC">
              <w:rPr>
                <w:rFonts w:eastAsiaTheme="minorEastAsia"/>
                <w:rtl/>
                <w:lang w:val="en-US"/>
              </w:rPr>
              <w:t>أنتيغوا وبربودا</w:t>
            </w:r>
          </w:p>
        </w:tc>
        <w:tc>
          <w:tcPr>
            <w:tcW w:w="3686" w:type="dxa"/>
            <w:shd w:val="clear" w:color="auto" w:fill="auto"/>
          </w:tcPr>
          <w:p w14:paraId="3E1B1ADC" w14:textId="77777777" w:rsidR="00766F91" w:rsidRPr="004E03DC" w:rsidRDefault="00766F91" w:rsidP="00766F91">
            <w:pPr>
              <w:pStyle w:val="SingleTxtGA"/>
              <w:spacing w:after="80" w:line="300" w:lineRule="exact"/>
              <w:ind w:left="7" w:firstLine="182"/>
              <w:rPr>
                <w:rFonts w:eastAsiaTheme="minorEastAsia"/>
                <w:lang w:val="en-US" w:eastAsia="zh-TW"/>
              </w:rPr>
            </w:pPr>
            <w:r w:rsidRPr="004E03DC">
              <w:rPr>
                <w:rFonts w:eastAsiaTheme="minorEastAsia"/>
                <w:rtl/>
                <w:lang w:val="en-US"/>
              </w:rPr>
              <w:t>7 شباط/فبراير 2018</w:t>
            </w:r>
          </w:p>
        </w:tc>
      </w:tr>
      <w:tr w:rsidR="00766F91" w:rsidRPr="004E03DC" w14:paraId="7F9BA659" w14:textId="77777777" w:rsidTr="0020402D">
        <w:tc>
          <w:tcPr>
            <w:tcW w:w="3684" w:type="dxa"/>
            <w:shd w:val="clear" w:color="auto" w:fill="auto"/>
          </w:tcPr>
          <w:p w14:paraId="70A52029" w14:textId="77777777" w:rsidR="00766F91" w:rsidRPr="004E03DC" w:rsidRDefault="00766F91" w:rsidP="00766F91">
            <w:pPr>
              <w:pStyle w:val="SingleTxtGA"/>
              <w:spacing w:after="80" w:line="300" w:lineRule="exact"/>
              <w:ind w:left="7" w:firstLine="182"/>
              <w:rPr>
                <w:rFonts w:eastAsiaTheme="minorEastAsia"/>
                <w:lang w:val="en-US" w:eastAsia="zh-TW"/>
              </w:rPr>
            </w:pPr>
            <w:r w:rsidRPr="004E03DC">
              <w:rPr>
                <w:rFonts w:eastAsiaTheme="minorEastAsia"/>
                <w:rtl/>
                <w:lang w:val="en-US"/>
              </w:rPr>
              <w:t>بروني دار السلام</w:t>
            </w:r>
          </w:p>
        </w:tc>
        <w:tc>
          <w:tcPr>
            <w:tcW w:w="3686" w:type="dxa"/>
            <w:shd w:val="clear" w:color="auto" w:fill="auto"/>
          </w:tcPr>
          <w:p w14:paraId="09CFAFE5" w14:textId="77777777" w:rsidR="00766F91" w:rsidRPr="004E03DC" w:rsidRDefault="00766F91" w:rsidP="00766F91">
            <w:pPr>
              <w:pStyle w:val="SingleTxtGA"/>
              <w:spacing w:after="80" w:line="300" w:lineRule="exact"/>
              <w:ind w:left="7" w:firstLine="182"/>
              <w:rPr>
                <w:rFonts w:eastAsiaTheme="minorEastAsia"/>
                <w:lang w:val="en-US" w:eastAsia="zh-TW"/>
              </w:rPr>
            </w:pPr>
            <w:r w:rsidRPr="004E03DC">
              <w:rPr>
                <w:rFonts w:eastAsiaTheme="minorEastAsia"/>
                <w:rtl/>
                <w:lang w:val="en-US"/>
              </w:rPr>
              <w:t>11 أيار/مايو 2018</w:t>
            </w:r>
          </w:p>
        </w:tc>
      </w:tr>
      <w:tr w:rsidR="00766F91" w:rsidRPr="004E03DC" w14:paraId="6F18F16C" w14:textId="77777777" w:rsidTr="0020402D">
        <w:tc>
          <w:tcPr>
            <w:tcW w:w="3684" w:type="dxa"/>
            <w:shd w:val="clear" w:color="auto" w:fill="auto"/>
          </w:tcPr>
          <w:p w14:paraId="1149B373" w14:textId="77777777" w:rsidR="00766F91" w:rsidRPr="004E03DC" w:rsidRDefault="00766F91" w:rsidP="00766F91">
            <w:pPr>
              <w:pStyle w:val="SingleTxtGA"/>
              <w:spacing w:after="80" w:line="300" w:lineRule="exact"/>
              <w:ind w:left="7" w:firstLine="182"/>
              <w:rPr>
                <w:rFonts w:eastAsiaTheme="minorEastAsia"/>
                <w:lang w:val="en-US" w:eastAsia="zh-TW"/>
              </w:rPr>
            </w:pPr>
            <w:r w:rsidRPr="004E03DC">
              <w:rPr>
                <w:rFonts w:eastAsiaTheme="minorEastAsia"/>
                <w:rtl/>
                <w:lang w:val="en-US"/>
              </w:rPr>
              <w:t>جزر القمر</w:t>
            </w:r>
          </w:p>
        </w:tc>
        <w:tc>
          <w:tcPr>
            <w:tcW w:w="3686" w:type="dxa"/>
            <w:shd w:val="clear" w:color="auto" w:fill="auto"/>
          </w:tcPr>
          <w:p w14:paraId="5375F3DB" w14:textId="77777777" w:rsidR="00766F91" w:rsidRPr="004E03DC" w:rsidRDefault="00766F91" w:rsidP="00766F91">
            <w:pPr>
              <w:pStyle w:val="SingleTxtGA"/>
              <w:spacing w:after="80" w:line="300" w:lineRule="exact"/>
              <w:ind w:left="7" w:firstLine="182"/>
              <w:rPr>
                <w:rFonts w:eastAsiaTheme="minorEastAsia"/>
                <w:lang w:val="en-US" w:eastAsia="zh-TW"/>
              </w:rPr>
            </w:pPr>
            <w:r w:rsidRPr="004E03DC">
              <w:rPr>
                <w:rFonts w:eastAsiaTheme="minorEastAsia"/>
                <w:rtl/>
                <w:lang w:val="en-US"/>
              </w:rPr>
              <w:t>16 تموز/يوليه 2018</w:t>
            </w:r>
          </w:p>
        </w:tc>
      </w:tr>
      <w:tr w:rsidR="00766F91" w:rsidRPr="004E03DC" w14:paraId="663E74D3" w14:textId="77777777" w:rsidTr="0020402D">
        <w:tc>
          <w:tcPr>
            <w:tcW w:w="3684" w:type="dxa"/>
          </w:tcPr>
          <w:p w14:paraId="2AF2A669" w14:textId="77777777" w:rsidR="00766F91" w:rsidRPr="004E03DC" w:rsidRDefault="00766F91" w:rsidP="00766F91">
            <w:pPr>
              <w:pStyle w:val="SingleTxtGA"/>
              <w:spacing w:after="80" w:line="300" w:lineRule="exact"/>
              <w:ind w:left="7" w:firstLine="182"/>
              <w:rPr>
                <w:rFonts w:eastAsiaTheme="minorEastAsia"/>
                <w:lang w:val="en-US" w:eastAsia="zh-TW"/>
              </w:rPr>
            </w:pPr>
            <w:r w:rsidRPr="004E03DC">
              <w:rPr>
                <w:rFonts w:eastAsiaTheme="minorEastAsia"/>
                <w:rtl/>
                <w:lang w:val="en-US"/>
              </w:rPr>
              <w:t>جمهورية أفريقيا الوسطى</w:t>
            </w:r>
          </w:p>
        </w:tc>
        <w:tc>
          <w:tcPr>
            <w:tcW w:w="3686" w:type="dxa"/>
          </w:tcPr>
          <w:p w14:paraId="39E6CC75" w14:textId="77777777" w:rsidR="00766F91" w:rsidRPr="004E03DC" w:rsidRDefault="00766F91" w:rsidP="00766F91">
            <w:pPr>
              <w:pStyle w:val="SingleTxtGA"/>
              <w:spacing w:after="80" w:line="300" w:lineRule="exact"/>
              <w:ind w:left="7" w:firstLine="182"/>
              <w:rPr>
                <w:rFonts w:eastAsiaTheme="minorEastAsia"/>
                <w:lang w:val="en-US" w:eastAsia="zh-TW"/>
              </w:rPr>
            </w:pPr>
            <w:r w:rsidRPr="004E03DC">
              <w:rPr>
                <w:rFonts w:eastAsiaTheme="minorEastAsia"/>
                <w:rtl/>
                <w:lang w:val="en-US"/>
              </w:rPr>
              <w:t>11 تشرين الثاني/نوفمبر 2018</w:t>
            </w:r>
          </w:p>
        </w:tc>
      </w:tr>
      <w:tr w:rsidR="00766F91" w:rsidRPr="004E03DC" w14:paraId="47C6A991" w14:textId="77777777" w:rsidTr="0020402D">
        <w:tc>
          <w:tcPr>
            <w:tcW w:w="3684" w:type="dxa"/>
          </w:tcPr>
          <w:p w14:paraId="0514B812" w14:textId="77777777" w:rsidR="00766F91" w:rsidRPr="004E03DC" w:rsidRDefault="00766F91" w:rsidP="00766F91">
            <w:pPr>
              <w:pStyle w:val="SingleTxtGA"/>
              <w:spacing w:after="80" w:line="300" w:lineRule="exact"/>
              <w:ind w:left="7" w:firstLine="182"/>
              <w:rPr>
                <w:rFonts w:eastAsiaTheme="minorEastAsia"/>
                <w:lang w:val="en-US" w:eastAsia="zh-TW"/>
              </w:rPr>
            </w:pPr>
            <w:r w:rsidRPr="004E03DC">
              <w:rPr>
                <w:rFonts w:eastAsiaTheme="minorEastAsia"/>
                <w:rtl/>
                <w:lang w:val="en-US"/>
              </w:rPr>
              <w:t>ساموا</w:t>
            </w:r>
          </w:p>
        </w:tc>
        <w:tc>
          <w:tcPr>
            <w:tcW w:w="3686" w:type="dxa"/>
          </w:tcPr>
          <w:p w14:paraId="06E62FDB" w14:textId="77777777" w:rsidR="00766F91" w:rsidRPr="004E03DC" w:rsidRDefault="00766F91" w:rsidP="00766F91">
            <w:pPr>
              <w:pStyle w:val="SingleTxtGA"/>
              <w:spacing w:after="80" w:line="300" w:lineRule="exact"/>
              <w:ind w:left="7" w:firstLine="182"/>
              <w:rPr>
                <w:rFonts w:eastAsiaTheme="minorEastAsia"/>
                <w:lang w:val="en-US" w:eastAsia="zh-TW"/>
              </w:rPr>
            </w:pPr>
            <w:r w:rsidRPr="004E03DC">
              <w:rPr>
                <w:rFonts w:eastAsiaTheme="minorEastAsia"/>
                <w:rtl/>
                <w:lang w:val="en-US"/>
              </w:rPr>
              <w:t>2 كانون الثاني/يناير 2019</w:t>
            </w:r>
          </w:p>
        </w:tc>
      </w:tr>
      <w:tr w:rsidR="00766F91" w:rsidRPr="004E03DC" w14:paraId="23018B3A" w14:textId="77777777" w:rsidTr="0020402D">
        <w:tc>
          <w:tcPr>
            <w:tcW w:w="3684" w:type="dxa"/>
          </w:tcPr>
          <w:p w14:paraId="2B6404AE" w14:textId="77777777" w:rsidR="00766F91" w:rsidRPr="004E03DC" w:rsidRDefault="00766F91" w:rsidP="00766F91">
            <w:pPr>
              <w:pStyle w:val="SingleTxtGA"/>
              <w:spacing w:after="80" w:line="300" w:lineRule="exact"/>
              <w:ind w:left="7" w:firstLine="182"/>
              <w:rPr>
                <w:rFonts w:eastAsiaTheme="minorEastAsia"/>
                <w:lang w:val="en-US" w:eastAsia="zh-TW"/>
              </w:rPr>
            </w:pPr>
            <w:r w:rsidRPr="004E03DC">
              <w:rPr>
                <w:rFonts w:eastAsiaTheme="minorEastAsia"/>
                <w:rtl/>
                <w:lang w:val="en-US"/>
              </w:rPr>
              <w:t>سورينام</w:t>
            </w:r>
          </w:p>
        </w:tc>
        <w:tc>
          <w:tcPr>
            <w:tcW w:w="3686" w:type="dxa"/>
          </w:tcPr>
          <w:p w14:paraId="37145B5B" w14:textId="77777777" w:rsidR="00766F91" w:rsidRPr="004E03DC" w:rsidRDefault="00766F91" w:rsidP="00766F91">
            <w:pPr>
              <w:pStyle w:val="SingleTxtGA"/>
              <w:spacing w:after="80" w:line="300" w:lineRule="exact"/>
              <w:ind w:left="7" w:firstLine="182"/>
              <w:rPr>
                <w:rFonts w:eastAsiaTheme="minorEastAsia"/>
                <w:lang w:val="en-US" w:eastAsia="zh-TW"/>
              </w:rPr>
            </w:pPr>
            <w:r w:rsidRPr="004E03DC">
              <w:rPr>
                <w:rFonts w:eastAsiaTheme="minorEastAsia"/>
                <w:rtl/>
                <w:lang w:val="en-US"/>
              </w:rPr>
              <w:t>29 نيسان/أبريل 2019</w:t>
            </w:r>
          </w:p>
        </w:tc>
      </w:tr>
      <w:tr w:rsidR="00766F91" w:rsidRPr="004E03DC" w14:paraId="3363D545" w14:textId="77777777" w:rsidTr="0020402D">
        <w:tc>
          <w:tcPr>
            <w:tcW w:w="3684" w:type="dxa"/>
          </w:tcPr>
          <w:p w14:paraId="0D46E965" w14:textId="77777777" w:rsidR="00766F91" w:rsidRPr="004E03DC" w:rsidRDefault="00766F91" w:rsidP="00766F91">
            <w:pPr>
              <w:pStyle w:val="SingleTxtGA"/>
              <w:spacing w:after="80" w:line="300" w:lineRule="exact"/>
              <w:ind w:left="7" w:firstLine="182"/>
              <w:rPr>
                <w:rFonts w:eastAsiaTheme="minorEastAsia"/>
                <w:lang w:val="en-US" w:eastAsia="zh-TW"/>
              </w:rPr>
            </w:pPr>
            <w:r w:rsidRPr="004E03DC">
              <w:rPr>
                <w:rFonts w:eastAsiaTheme="minorEastAsia"/>
                <w:rtl/>
                <w:lang w:val="en-US"/>
              </w:rPr>
              <w:t>فيجي</w:t>
            </w:r>
          </w:p>
        </w:tc>
        <w:tc>
          <w:tcPr>
            <w:tcW w:w="3686" w:type="dxa"/>
          </w:tcPr>
          <w:p w14:paraId="74747971" w14:textId="77777777" w:rsidR="00766F91" w:rsidRPr="004E03DC" w:rsidRDefault="00766F91" w:rsidP="00766F91">
            <w:pPr>
              <w:pStyle w:val="SingleTxtGA"/>
              <w:spacing w:after="80" w:line="300" w:lineRule="exact"/>
              <w:ind w:left="7" w:firstLine="182"/>
              <w:rPr>
                <w:rFonts w:eastAsiaTheme="minorEastAsia"/>
                <w:lang w:val="en-US" w:eastAsia="zh-TW"/>
              </w:rPr>
            </w:pPr>
            <w:r w:rsidRPr="004E03DC">
              <w:rPr>
                <w:rFonts w:eastAsiaTheme="minorEastAsia"/>
                <w:rtl/>
                <w:lang w:val="en-US"/>
              </w:rPr>
              <w:t>7 تموز/يوليه 2019</w:t>
            </w:r>
          </w:p>
        </w:tc>
      </w:tr>
    </w:tbl>
    <w:p w14:paraId="5945E6A5" w14:textId="5FE4897C" w:rsidR="00766F91" w:rsidRPr="004E03DC" w:rsidRDefault="00766F91" w:rsidP="00766F91">
      <w:pPr>
        <w:pStyle w:val="HChGA"/>
        <w:rPr>
          <w:u w:val="single"/>
          <w:lang w:val="en-US" w:eastAsia="zh-TW"/>
        </w:rPr>
      </w:pPr>
      <w:r w:rsidRPr="004E03DC">
        <w:rPr>
          <w:rtl/>
          <w:lang w:val="en-US"/>
        </w:rPr>
        <w:lastRenderedPageBreak/>
        <w:t>المرفق الثالث</w:t>
      </w:r>
    </w:p>
    <w:p w14:paraId="69AE3A34" w14:textId="77777777" w:rsidR="00766F91" w:rsidRPr="004E03DC" w:rsidRDefault="00766F91" w:rsidP="00766F91">
      <w:pPr>
        <w:pStyle w:val="HChGA"/>
        <w:rPr>
          <w:lang w:val="en-US" w:eastAsia="zh-TW"/>
        </w:rPr>
      </w:pPr>
      <w:r w:rsidRPr="004E03DC">
        <w:rPr>
          <w:rtl/>
          <w:lang w:val="en-US"/>
        </w:rPr>
        <w:tab/>
      </w:r>
      <w:r w:rsidRPr="004E03DC">
        <w:rPr>
          <w:rtl/>
          <w:lang w:val="en-US"/>
        </w:rPr>
        <w:tab/>
        <w:t>موجز الآراء والقرارات التي اعتمدتها اللجنة بشأن بلاغات فردية</w:t>
      </w:r>
    </w:p>
    <w:p w14:paraId="5BFBDD2B" w14:textId="77777777" w:rsidR="00766F91" w:rsidRPr="004E03DC" w:rsidRDefault="00766F91" w:rsidP="00766F91">
      <w:pPr>
        <w:pStyle w:val="H4GA"/>
        <w:rPr>
          <w:lang w:val="en-US" w:eastAsia="zh-TW"/>
        </w:rPr>
      </w:pPr>
      <w:r w:rsidRPr="004E03DC">
        <w:rPr>
          <w:rtl/>
          <w:lang w:val="en-US"/>
        </w:rPr>
        <w:tab/>
      </w:r>
      <w:r w:rsidRPr="004E03DC">
        <w:rPr>
          <w:rtl/>
          <w:lang w:val="en-US"/>
        </w:rPr>
        <w:tab/>
        <w:t>رويز سواريز ضد إسبانيا</w:t>
      </w:r>
    </w:p>
    <w:p w14:paraId="68609342" w14:textId="52BFAD9C" w:rsidR="00766F91" w:rsidRPr="004E03DC" w:rsidRDefault="00766F91" w:rsidP="00766F91">
      <w:pPr>
        <w:pStyle w:val="SingleTxtGA"/>
        <w:rPr>
          <w:rFonts w:eastAsiaTheme="minorEastAsia"/>
          <w:lang w:val="en-US" w:eastAsia="zh-TW"/>
        </w:rPr>
      </w:pPr>
      <w:r w:rsidRPr="004E03DC">
        <w:rPr>
          <w:rFonts w:eastAsiaTheme="minorEastAsia"/>
          <w:rtl/>
          <w:lang w:val="en-US"/>
        </w:rPr>
        <w:t>1-</w:t>
      </w:r>
      <w:r w:rsidRPr="004E03DC">
        <w:rPr>
          <w:rFonts w:eastAsiaTheme="minorEastAsia"/>
          <w:rtl/>
          <w:lang w:val="en-US"/>
        </w:rPr>
        <w:tab/>
        <w:t>نظرت اللجنة في بلاغ قضية</w:t>
      </w:r>
      <w:r w:rsidRPr="004E03DC">
        <w:rPr>
          <w:rFonts w:eastAsiaTheme="minorEastAsia"/>
          <w:i/>
          <w:iCs/>
          <w:rtl/>
          <w:lang w:val="en-US"/>
        </w:rPr>
        <w:t xml:space="preserve"> رويز سواريز ضد إسبانيا</w:t>
      </w:r>
      <w:r w:rsidRPr="004E03DC">
        <w:rPr>
          <w:rStyle w:val="FootnoteReference"/>
          <w:sz w:val="22"/>
          <w:rtl/>
          <w:lang w:val="en-US"/>
        </w:rPr>
        <w:t>(</w:t>
      </w:r>
      <w:r w:rsidRPr="004E03DC">
        <w:rPr>
          <w:rStyle w:val="FootnoteReference"/>
          <w:sz w:val="22"/>
          <w:rtl/>
          <w:lang w:val="en-US"/>
        </w:rPr>
        <w:footnoteReference w:id="14"/>
      </w:r>
      <w:r w:rsidRPr="004E03DC">
        <w:rPr>
          <w:rStyle w:val="FootnoteReference"/>
          <w:sz w:val="22"/>
          <w:rtl/>
          <w:lang w:val="en-US"/>
        </w:rPr>
        <w:t>)</w:t>
      </w:r>
      <w:r w:rsidRPr="004E03DC">
        <w:rPr>
          <w:rFonts w:eastAsiaTheme="minorEastAsia"/>
          <w:rtl/>
          <w:lang w:val="en-US"/>
        </w:rPr>
        <w:t>. صاحب البلاغ هو إستيبان رويث سواريث، وهو مواطن إسباني، وُلد في 23 تموز/يوليه</w:t>
      </w:r>
      <w:r w:rsidR="00C13537" w:rsidRPr="004E03DC">
        <w:rPr>
          <w:rFonts w:eastAsiaTheme="minorEastAsia" w:hint="cs"/>
          <w:rtl/>
          <w:lang w:val="en-US"/>
        </w:rPr>
        <w:t xml:space="preserve"> </w:t>
      </w:r>
      <w:r w:rsidRPr="004E03DC">
        <w:rPr>
          <w:rFonts w:eastAsiaTheme="minorEastAsia"/>
          <w:rtl/>
          <w:lang w:val="en-US"/>
        </w:rPr>
        <w:t>1980. وادعى أنه كان ضحية انتهاكات الدولة الطرف لحقوقه بموجب المادة 13، مقروءة بالاقتران مع المواد 5 و9 و12 و14 و21 من الاتفاقية، لأن الدولة الطرف لم توفر له التدابير التيسيرية الإجرائية والدعم أثناء الإجراءات الجنائية المتخذة ضده.</w:t>
      </w:r>
    </w:p>
    <w:p w14:paraId="5BFE469B" w14:textId="5928E480" w:rsidR="00766F91" w:rsidRPr="004E03DC" w:rsidRDefault="00766F91" w:rsidP="00766F91">
      <w:pPr>
        <w:pStyle w:val="SingleTxtGA"/>
        <w:rPr>
          <w:rFonts w:eastAsiaTheme="minorEastAsia"/>
          <w:lang w:val="en-US" w:eastAsia="zh-TW"/>
        </w:rPr>
      </w:pPr>
      <w:r w:rsidRPr="004E03DC">
        <w:rPr>
          <w:rFonts w:eastAsiaTheme="minorEastAsia"/>
          <w:rtl/>
          <w:lang w:val="en-US"/>
        </w:rPr>
        <w:t>2-</w:t>
      </w:r>
      <w:r w:rsidRPr="004E03DC">
        <w:rPr>
          <w:rFonts w:eastAsiaTheme="minorEastAsia"/>
          <w:rtl/>
          <w:lang w:val="en-US"/>
        </w:rPr>
        <w:tab/>
        <w:t>وصاحب البلاغ شخص ذو إعاقة ذهنية. ووفق</w:t>
      </w:r>
      <w:r w:rsidR="00404F21" w:rsidRPr="004E03DC">
        <w:rPr>
          <w:rFonts w:eastAsiaTheme="minorEastAsia"/>
          <w:rtl/>
          <w:lang w:val="en-US"/>
        </w:rPr>
        <w:t xml:space="preserve">اً </w:t>
      </w:r>
      <w:r w:rsidRPr="004E03DC">
        <w:rPr>
          <w:rFonts w:eastAsiaTheme="minorEastAsia"/>
          <w:rtl/>
          <w:lang w:val="en-US"/>
        </w:rPr>
        <w:t>للتقييم الرسمي للعجز، حُددت نسبة العجز، وفقا</w:t>
      </w:r>
      <w:r w:rsidR="00C13537" w:rsidRPr="004E03DC">
        <w:rPr>
          <w:rFonts w:eastAsiaTheme="minorEastAsia" w:hint="cs"/>
          <w:rtl/>
          <w:lang w:val="en-US"/>
        </w:rPr>
        <w:t>ً</w:t>
      </w:r>
      <w:r w:rsidRPr="004E03DC">
        <w:rPr>
          <w:rFonts w:eastAsiaTheme="minorEastAsia"/>
          <w:rtl/>
          <w:lang w:val="en-US"/>
        </w:rPr>
        <w:t xml:space="preserve"> للوائح الإسبانية، بـ 73 في المائة. وفي 5 آذار/مارس 2013، حاول ثلاثة أشخاص مقنعين سرقة منزل في بلدة كاربيو ديل تاخو، طليطلة. وكانت عائلة مكونة من ثلاثة أفراد متواجدة في المنزل وقت محاولة السطو، وفي المشادة التي أعقبت ذلك، أصيب الابن والأب بجروح خطيرة، وتوفي الابن فيما بعد. وفي</w:t>
      </w:r>
      <w:r w:rsidR="00C13537" w:rsidRPr="004E03DC">
        <w:rPr>
          <w:rFonts w:eastAsiaTheme="minorEastAsia" w:hint="cs"/>
          <w:rtl/>
          <w:lang w:val="en-US"/>
        </w:rPr>
        <w:t> </w:t>
      </w:r>
      <w:r w:rsidRPr="004E03DC">
        <w:rPr>
          <w:rFonts w:eastAsiaTheme="minorEastAsia"/>
          <w:rtl/>
          <w:lang w:val="en-US"/>
        </w:rPr>
        <w:t>26 تموز/يوليه 2013، ألقى أفراد الحرس المدني القبض على صاحب البلاغ بدعوى تورطه في الوقائع. وفي 22 و23 نيسان/أبريل 2015، خضع صاحب البلاغ للمحاكمة أمام محكمة طليطلة الإقليمية، التي لم تأخذ خلالها إعاقته في الاعتبار، رغم علمها بها. وفي 5 أيار/مايو 2015، حكمت محكمة طليطلة الإقليمية على صاحب البلاغ بالسجن مدة</w:t>
      </w:r>
      <w:r w:rsidR="00C13537" w:rsidRPr="004E03DC">
        <w:rPr>
          <w:rFonts w:eastAsiaTheme="minorEastAsia" w:hint="cs"/>
          <w:rtl/>
          <w:lang w:val="en-US"/>
        </w:rPr>
        <w:t xml:space="preserve"> </w:t>
      </w:r>
      <w:r w:rsidRPr="004E03DC">
        <w:rPr>
          <w:rFonts w:eastAsiaTheme="minorEastAsia"/>
          <w:rtl/>
          <w:lang w:val="en-US"/>
        </w:rPr>
        <w:t>25 سنة و8 أشهر بتهمة ارتكاب جريمة القتل المقترنة بظرف التشديد المتمثل في التنكر، وجريمة محاولة القتل المقترنة بظرف التشديد ذاته، وجريمة محاولة سرقة منزل مأهول باستخدام العنف المقترنة بظرفي التشديد المتمثلين في استخدام أسلحة أو أدوات خطيرة والتنكر. وادّعى صاحب البلاغ أن عدم إتاحة إمكانية الوصول والترتيبات التيسيرية الإجرائية ووسائل الدعم أثناء الإجراءات الجنائية المباشَرة ضده شكَّل انتهاكاً لحقوقه المكفولة بموجب المادة 13، مقروءة بالاقتران مع المواد 5، و9، و12، و14، و21 من الاتفاقية. وادَّعى صاحب البلاغ أن إعاقته الذهنية لم تؤخذ في الاعتبار خلال جزء من الإجراءات الجنائية، رغم أنه لم يكن من الصعب ملاحظتها، على ما يبدو، وكان من المفروض أيضاً أن يكتشفها موظفو نظام العدالة. وخلص إلى أن تصرف مختلف موظفي نظام العدالة على هذا النحو يدل بوضوح على أنهم لم يتلقوا نهائياً أي تدريب في مجال الإعاقة. وادعى صاحب البلاغ أن كل ما تقدم ناجم عن قانون منقوص. وأشار صاحب البلاغ إلى أن القوانين الإجرائية بصفة عامة، وبصفة خاصة عندما يتعلق الأمر بالأشخاص ذوي الإعاقة الذهنية الخاضعين للتحقيق أو المتهمين في إطار الإجراءات القضائية الجنائية، لا تستوفي المقتضيات الواردة في المادة</w:t>
      </w:r>
      <w:r w:rsidR="00C13537" w:rsidRPr="004E03DC">
        <w:rPr>
          <w:rFonts w:eastAsiaTheme="minorEastAsia" w:hint="cs"/>
          <w:rtl/>
          <w:lang w:val="en-US"/>
        </w:rPr>
        <w:t> </w:t>
      </w:r>
      <w:r w:rsidRPr="004E03DC">
        <w:rPr>
          <w:rFonts w:eastAsiaTheme="minorEastAsia"/>
          <w:rtl/>
          <w:lang w:val="en-US"/>
        </w:rPr>
        <w:t>13(1)، مقروءة بالاقتران مع المواد 5، و9، و12، و21 من الاتفاقية.</w:t>
      </w:r>
    </w:p>
    <w:p w14:paraId="44E79D46" w14:textId="77777777" w:rsidR="00766F91" w:rsidRPr="004E03DC" w:rsidRDefault="00766F91" w:rsidP="00766F91">
      <w:pPr>
        <w:pStyle w:val="SingleTxtGA"/>
        <w:rPr>
          <w:rFonts w:eastAsiaTheme="minorEastAsia"/>
          <w:lang w:val="en-US" w:eastAsia="zh-TW"/>
        </w:rPr>
      </w:pPr>
      <w:r w:rsidRPr="004E03DC">
        <w:rPr>
          <w:rFonts w:eastAsiaTheme="minorEastAsia"/>
          <w:rtl/>
          <w:lang w:val="en-US"/>
        </w:rPr>
        <w:t>3-</w:t>
      </w:r>
      <w:r w:rsidRPr="004E03DC">
        <w:rPr>
          <w:rFonts w:eastAsiaTheme="minorEastAsia"/>
          <w:rtl/>
          <w:lang w:val="en-US"/>
        </w:rPr>
        <w:tab/>
        <w:t xml:space="preserve">ورأت اللجنة أنه كان ينبغي لسلطات الدولة الطرف أن تتصرف بحكم منصبها وفي إطار مبدأ بذل العناية الواجبة بمجرد علمها بإعاقة صاحب البلاغ، وكان عليها أن تحدد، من خلال التحاور معه على نحو فعال وبمشاركة مهنيين متعددي التخصصات، الترتيبات التيسيرية الإجرائية ووسائل الدعم اللازمة، وأن تراجعها طوال الإجراءات الجنائية. ورأت اللجنة أيضاً أنه كان ينبغي للدولة الطرف أن تكفل توافر معايير إمكانية الوصول في المعلومات المقدمة إلى صاحب البلاغ وفي أساليبها للتواصل معه، بالنظر إلى إعاقته الذهنية. وبالإضافة إلى ذلك، خلصت اللجنة إلى أن الدولة الطرف لم تثبت أن العاملين في مجال إقامة العدل تلقوا تدريباً في المسائل المتعلقة بالإعاقة الذهنية. وأخيراً، لم تثبت الدولة الطرف أن </w:t>
      </w:r>
      <w:r w:rsidRPr="004E03DC">
        <w:rPr>
          <w:rFonts w:eastAsiaTheme="minorEastAsia"/>
          <w:rtl/>
          <w:lang w:val="en-US"/>
        </w:rPr>
        <w:lastRenderedPageBreak/>
        <w:t>لديها تشريعات وسياسات تضمن توفير الترتيبات التيسيرية الإجرائية ووسائل الدعم في حالات مماثلة لحالة صاحب البلاغ. وعليه، خلصت اللجنة إلى أن عدم ضمان توافر معايير إمكانية الوصول في المعلومات وأساليب التواصل وعدم توفير الترتيبات التيسيرية الإجرائية ووسائل الدعم اللازمة عاملان حرما صاحب البلاغ من الدفاع عن نفسه، مما أدى إلى انتهاك حقوقه المكفولة بموجب المادة 13، مقروءة بمفردها وبالاقتران مع المادة 9 من الاتفاقية.</w:t>
      </w:r>
    </w:p>
    <w:p w14:paraId="04894EAA" w14:textId="64FFF351" w:rsidR="00766F91" w:rsidRPr="004E03DC" w:rsidRDefault="00766F91" w:rsidP="00766F91">
      <w:pPr>
        <w:pStyle w:val="SingleTxtGA"/>
        <w:rPr>
          <w:rFonts w:eastAsiaTheme="minorEastAsia"/>
          <w:lang w:val="en-US" w:eastAsia="zh-TW"/>
        </w:rPr>
      </w:pPr>
      <w:r w:rsidRPr="004E03DC">
        <w:rPr>
          <w:rFonts w:eastAsiaTheme="minorEastAsia"/>
          <w:rtl/>
          <w:lang w:val="en-US"/>
        </w:rPr>
        <w:t>4-</w:t>
      </w:r>
      <w:r w:rsidRPr="004E03DC">
        <w:rPr>
          <w:rFonts w:eastAsiaTheme="minorEastAsia"/>
          <w:rtl/>
          <w:lang w:val="en-US"/>
        </w:rPr>
        <w:tab/>
        <w:t>وأوصت اللجنة بأن تقدم الدولة الطرف لصاحب البلاغ تعويضاً مناسباً، بما في ذلك تعويض عن أي تكاليف قانونية تكبدها في تقديم البلاغ، وأن تكفل لصاحب البلاغ محاكمة عادلة مع توفير جميع الضمانات له، ومع توفير ما يلزم من ترتيبات تيسيرية إجرائية ودعم وفقاً لآراء اللجنة والاتفاقية. وأوصت اللجنة أيضاً بأن تتخذ الدولة الطرف تدابير لمنع حدوث انتهاكات مماثلة في المستقبل، بما في ذلك: (أ)</w:t>
      </w:r>
      <w:r w:rsidR="00C13537" w:rsidRPr="004E03DC">
        <w:rPr>
          <w:rFonts w:eastAsiaTheme="minorEastAsia" w:hint="cs"/>
          <w:rtl/>
          <w:lang w:val="en-US"/>
        </w:rPr>
        <w:t> </w:t>
      </w:r>
      <w:r w:rsidRPr="004E03DC">
        <w:rPr>
          <w:rFonts w:eastAsiaTheme="minorEastAsia"/>
          <w:rtl/>
          <w:lang w:val="en-US"/>
        </w:rPr>
        <w:t>اعتماد تشريعات وسياسات لإزالة الحواجز التي يواجهها الأشخاص ذوو الإعاقة في اللجوء إلى القضاء، وضمان توفير الترتيبات التيسيرية الإجرائية الملائمة جنسانياً وعمرياً، ووضع ضمانات مناسبة لتمكين الأشخاص ذوي الإعاقة من المشاركة في جميع الإجراءات القضائية على قدم المساواة مع الآخرين، من خلال تيسير استخدام وسيلة التواصل التي يختارونها في تعاملهم مع القضاء، بما في ذلك لغة الإشارة، وطريقة براي، والصيغة السهلة القراءة، وتقنية العرض النصي، وطرق التواصل المعززة والبديلة، وجميع وسائل وطرق وأشكال التواصل الأخرى المتاحة؛ (ب) تنفيذ برامج دائمة للتدريب وتنظيم حملات منتظمة للتوعية والإعلام لفائدة المحامين، والموظفين القضائيين، والقضاة، والمدعين العامين، وموظفي إنفاذ القانون، بمن فيهم أفراد الشرطة وموظفو السجون، بشأن ضرورة كفالة إمكانية لجوء الأشخاص ذوي الإعاقة إلى القضاء.</w:t>
      </w:r>
    </w:p>
    <w:p w14:paraId="229B8722" w14:textId="4A265E31" w:rsidR="00766F91" w:rsidRPr="004E03DC" w:rsidRDefault="00766F91" w:rsidP="00766F91">
      <w:pPr>
        <w:pStyle w:val="H4GA"/>
        <w:rPr>
          <w:lang w:val="en-US" w:eastAsia="zh-TW"/>
        </w:rPr>
      </w:pPr>
      <w:r w:rsidRPr="004E03DC">
        <w:rPr>
          <w:rtl/>
          <w:lang w:val="en-US"/>
        </w:rPr>
        <w:tab/>
      </w:r>
      <w:r w:rsidRPr="004E03DC">
        <w:rPr>
          <w:rtl/>
          <w:lang w:val="en-US"/>
        </w:rPr>
        <w:tab/>
        <w:t>قضية ز.</w:t>
      </w:r>
      <w:r w:rsidR="00C13537" w:rsidRPr="004E03DC">
        <w:rPr>
          <w:rFonts w:hint="cs"/>
          <w:rtl/>
          <w:lang w:val="en-US"/>
        </w:rPr>
        <w:t xml:space="preserve"> </w:t>
      </w:r>
      <w:r w:rsidRPr="004E03DC">
        <w:rPr>
          <w:rtl/>
          <w:lang w:val="en-US"/>
        </w:rPr>
        <w:t>ر. ضد السويد</w:t>
      </w:r>
    </w:p>
    <w:p w14:paraId="439BDFBE" w14:textId="33B64FDF" w:rsidR="00766F91" w:rsidRPr="004E03DC" w:rsidRDefault="00766F91" w:rsidP="00766F91">
      <w:pPr>
        <w:pStyle w:val="SingleTxtGA"/>
        <w:rPr>
          <w:rFonts w:eastAsiaTheme="minorEastAsia"/>
          <w:lang w:val="en-US" w:eastAsia="zh-TW"/>
        </w:rPr>
      </w:pPr>
      <w:r w:rsidRPr="004E03DC">
        <w:rPr>
          <w:rFonts w:eastAsiaTheme="minorEastAsia"/>
          <w:rtl/>
          <w:lang w:val="en-US"/>
        </w:rPr>
        <w:t>5-</w:t>
      </w:r>
      <w:r w:rsidRPr="004E03DC">
        <w:rPr>
          <w:rFonts w:eastAsiaTheme="minorEastAsia"/>
          <w:rtl/>
          <w:lang w:val="en-US"/>
        </w:rPr>
        <w:tab/>
        <w:t xml:space="preserve">نظرت اللجنة في بلاغ قضية </w:t>
      </w:r>
      <w:r w:rsidRPr="004E03DC">
        <w:rPr>
          <w:rFonts w:eastAsiaTheme="minorEastAsia"/>
          <w:i/>
          <w:iCs/>
          <w:rtl/>
          <w:lang w:val="en-US"/>
        </w:rPr>
        <w:t>ز.</w:t>
      </w:r>
      <w:r w:rsidR="00C13537" w:rsidRPr="004E03DC">
        <w:rPr>
          <w:rFonts w:eastAsiaTheme="minorEastAsia" w:hint="cs"/>
          <w:i/>
          <w:iCs/>
          <w:rtl/>
          <w:lang w:val="en-US"/>
        </w:rPr>
        <w:t xml:space="preserve"> </w:t>
      </w:r>
      <w:r w:rsidRPr="004E03DC">
        <w:rPr>
          <w:rFonts w:eastAsiaTheme="minorEastAsia"/>
          <w:i/>
          <w:iCs/>
          <w:rtl/>
          <w:lang w:val="en-US"/>
        </w:rPr>
        <w:t>ر. ضد السويد</w:t>
      </w:r>
      <w:r w:rsidRPr="004E03DC">
        <w:rPr>
          <w:rStyle w:val="FootnoteReference"/>
          <w:sz w:val="22"/>
          <w:rtl/>
          <w:lang w:val="en-US"/>
        </w:rPr>
        <w:t>(</w:t>
      </w:r>
      <w:r w:rsidRPr="004E03DC">
        <w:rPr>
          <w:rStyle w:val="FootnoteReference"/>
          <w:sz w:val="22"/>
          <w:rtl/>
          <w:lang w:val="en-US"/>
        </w:rPr>
        <w:footnoteReference w:id="15"/>
      </w:r>
      <w:r w:rsidRPr="004E03DC">
        <w:rPr>
          <w:rStyle w:val="FootnoteReference"/>
          <w:sz w:val="22"/>
          <w:rtl/>
          <w:lang w:val="en-US"/>
        </w:rPr>
        <w:t>)</w:t>
      </w:r>
      <w:r w:rsidRPr="004E03DC">
        <w:rPr>
          <w:rFonts w:eastAsiaTheme="minorEastAsia"/>
          <w:rtl/>
          <w:lang w:val="en-US"/>
        </w:rPr>
        <w:t>. صاحبتا البلاغ هما ز. ر. ووالدتها</w:t>
      </w:r>
      <w:r w:rsidR="004E03DC" w:rsidRPr="004E03DC">
        <w:rPr>
          <w:rFonts w:hint="cs"/>
          <w:rtl/>
        </w:rPr>
        <w:t> </w:t>
      </w:r>
      <w:r w:rsidRPr="004E03DC">
        <w:rPr>
          <w:rFonts w:eastAsiaTheme="minorEastAsia"/>
          <w:rtl/>
          <w:lang w:val="en-US"/>
        </w:rPr>
        <w:t>س.</w:t>
      </w:r>
      <w:r w:rsidR="00C13537" w:rsidRPr="004E03DC">
        <w:rPr>
          <w:rFonts w:eastAsiaTheme="minorEastAsia" w:hint="cs"/>
          <w:rtl/>
          <w:lang w:val="en-US"/>
        </w:rPr>
        <w:t> </w:t>
      </w:r>
      <w:r w:rsidRPr="004E03DC">
        <w:rPr>
          <w:rFonts w:eastAsiaTheme="minorEastAsia"/>
          <w:rtl/>
          <w:lang w:val="en-US"/>
        </w:rPr>
        <w:t>ر.، وهما مواطنتان من كوسوفو</w:t>
      </w:r>
      <w:r w:rsidRPr="004E03DC">
        <w:rPr>
          <w:rStyle w:val="FootnoteReference"/>
          <w:sz w:val="22"/>
          <w:rtl/>
          <w:lang w:val="en-US"/>
        </w:rPr>
        <w:t>(</w:t>
      </w:r>
      <w:r w:rsidRPr="004E03DC">
        <w:rPr>
          <w:rStyle w:val="FootnoteReference"/>
          <w:sz w:val="22"/>
          <w:rtl/>
          <w:lang w:val="en-US"/>
        </w:rPr>
        <w:footnoteReference w:id="16"/>
      </w:r>
      <w:r w:rsidRPr="004E03DC">
        <w:rPr>
          <w:rStyle w:val="FootnoteReference"/>
          <w:sz w:val="22"/>
          <w:rtl/>
          <w:lang w:val="en-US"/>
        </w:rPr>
        <w:t>)</w:t>
      </w:r>
      <w:r w:rsidRPr="004E03DC">
        <w:rPr>
          <w:rFonts w:eastAsiaTheme="minorEastAsia"/>
          <w:rtl/>
          <w:lang w:val="en-US"/>
        </w:rPr>
        <w:t> وتنتميان إلى أقلية الروما. ويتعلق البلاغ بقرار سلطات الدولة الطرف ترحيل أصحاب البلاغ إلى كوسوفو بعد رفض طلباتهم للحصول على تصاريح إقامة. وكانت ز. ر. تعاني من اضطراب حاد في صحتها النفسية، بما في ذلك اضطراب الكرب المعقد التالي للرضح ومتلازمة الانعزال، بسبب تجاربها الصادمة في كوسوفو، حيث تعرضت هي وس. ر. للاعتداء الجنسي. وكانت صاحبتا البلاغ وأسرتهما قد تقدمتا بطلب لجوء في الدولة الطرف في عام 2012، لكن وكالة شؤون الهجرة رفضت طلبهما ورأت أن السلطات في كوسوفو كانت راغبة في حمايتهما وقادرة على ذلك. وكانت سلطات الهجرة قد رفضت أيضاً طلباتهما اللاحقة للحصول على تصاريح إقامة استناداً إلى عوائق تحول دون إنفاذ ترحيلهما، حيث ادعت صاحبتا البلاغ أن ز. ر. لن تتلقى المعاملة المطلوبة في كوسوفو. وقد فقدت ز.</w:t>
      </w:r>
      <w:r w:rsidR="00C13537" w:rsidRPr="004E03DC">
        <w:rPr>
          <w:rFonts w:eastAsiaTheme="minorEastAsia" w:hint="cs"/>
          <w:rtl/>
          <w:lang w:val="en-US"/>
        </w:rPr>
        <w:t xml:space="preserve"> </w:t>
      </w:r>
      <w:r w:rsidRPr="004E03DC">
        <w:rPr>
          <w:rFonts w:eastAsiaTheme="minorEastAsia"/>
          <w:rtl/>
          <w:lang w:val="en-US"/>
        </w:rPr>
        <w:t>ر. العديد من وظائف جسمها وكانت تحتاج إلى حفاضات. وفي كانون الثاني/يناير 2016، انفجرت زائدتها الدودية. وكانت قد خضعت لعملية جراحية في الدولة الطرف، لكنها ظلت بحاجة إلى جراحة ترميمية في جدار البطن. في شباط/فبراير 2018، تم ترحيل صاحبتي البلاغ وأسرتهما إلى كوسوفو، لكنهما عادتا إلى الدولة الطرف بعد ذلك بوقت قصير. ودفعت صاحبتا البلاغ في بلاغهما المقدم إلى اللجنة، بأن ترحيلهما إلى كوسوفو سيؤدي إلى خطر حقيقي يتمثل في تعرض ز.</w:t>
      </w:r>
      <w:r w:rsidR="00C13537" w:rsidRPr="004E03DC">
        <w:rPr>
          <w:rFonts w:eastAsiaTheme="minorEastAsia" w:hint="cs"/>
          <w:rtl/>
          <w:lang w:val="en-US"/>
        </w:rPr>
        <w:t xml:space="preserve"> </w:t>
      </w:r>
      <w:r w:rsidRPr="004E03DC">
        <w:rPr>
          <w:rFonts w:eastAsiaTheme="minorEastAsia"/>
          <w:rtl/>
          <w:lang w:val="en-US"/>
        </w:rPr>
        <w:t xml:space="preserve">ر. لتدهور خطير وسريع ودائم في حالتها الصحية، لأنها لن تتمكن من الحصول على الرعاية الصحية المطلوبة أو الاستفادة منها، مما يشكل انتهاكاً لحقوقها بموجب المادتين 10 و15 من الاتفاقية. وادعتا أن الدولة </w:t>
      </w:r>
      <w:r w:rsidRPr="004E03DC">
        <w:rPr>
          <w:rFonts w:eastAsiaTheme="minorEastAsia"/>
          <w:rtl/>
          <w:lang w:val="en-US"/>
        </w:rPr>
        <w:lastRenderedPageBreak/>
        <w:t>الطرف لم تتحقق بما فيه الكفاية مما إذا كانت الكفاءة الطبية المطلوبة والقدرة على التنسيق بين مختلف مقدمي الرعاية الصحية موجودة في كوسوفو، وما هي "فرصها الفعلية" في الحصول على الرعاية الصحية هناك باعتبارها امرأة من</w:t>
      </w:r>
      <w:r w:rsidRPr="004E03DC">
        <w:rPr>
          <w:rFonts w:eastAsiaTheme="minorEastAsia" w:hint="cs"/>
          <w:rtl/>
          <w:lang w:val="en-US"/>
        </w:rPr>
        <w:t> </w:t>
      </w:r>
      <w:r w:rsidRPr="004E03DC">
        <w:rPr>
          <w:rFonts w:eastAsiaTheme="minorEastAsia"/>
          <w:rtl/>
          <w:lang w:val="en-US"/>
        </w:rPr>
        <w:t>الروما.</w:t>
      </w:r>
    </w:p>
    <w:p w14:paraId="4DE3654C" w14:textId="7BE19F7E" w:rsidR="00766F91" w:rsidRPr="004E03DC" w:rsidRDefault="00766F91" w:rsidP="00766F91">
      <w:pPr>
        <w:pStyle w:val="SingleTxtGA"/>
        <w:rPr>
          <w:rFonts w:eastAsiaTheme="minorEastAsia"/>
          <w:lang w:val="en-US" w:eastAsia="zh-TW"/>
        </w:rPr>
      </w:pPr>
      <w:r w:rsidRPr="004E03DC">
        <w:rPr>
          <w:rFonts w:eastAsiaTheme="minorEastAsia"/>
          <w:rtl/>
          <w:lang w:val="en-US"/>
        </w:rPr>
        <w:t>6-</w:t>
      </w:r>
      <w:r w:rsidRPr="004E03DC">
        <w:rPr>
          <w:rFonts w:eastAsiaTheme="minorEastAsia"/>
          <w:rtl/>
          <w:lang w:val="en-US"/>
        </w:rPr>
        <w:tab/>
        <w:t>ورأت الدولة الطرف أنه ينبغي اعتبار البلاغ غير مقبول، وادعت، فيما يتعلق بالأسس الموضوعية، أن سلطاتها لم تنتهك حقوق ز.</w:t>
      </w:r>
      <w:r w:rsidR="00C13537" w:rsidRPr="004E03DC">
        <w:rPr>
          <w:rFonts w:eastAsiaTheme="minorEastAsia" w:hint="cs"/>
          <w:rtl/>
          <w:lang w:val="en-US"/>
        </w:rPr>
        <w:t xml:space="preserve"> </w:t>
      </w:r>
      <w:r w:rsidRPr="004E03DC">
        <w:rPr>
          <w:rFonts w:eastAsiaTheme="minorEastAsia"/>
          <w:rtl/>
          <w:lang w:val="en-US"/>
        </w:rPr>
        <w:t>ر. المكفولة بموجب الاتفاقية عندما قررت ترحيلها مع</w:t>
      </w:r>
      <w:r w:rsidR="004E03DC" w:rsidRPr="004E03DC">
        <w:rPr>
          <w:rFonts w:eastAsiaTheme="minorEastAsia" w:hint="cs"/>
          <w:rtl/>
          <w:lang w:val="en-US"/>
        </w:rPr>
        <w:t> </w:t>
      </w:r>
      <w:r w:rsidRPr="004E03DC">
        <w:rPr>
          <w:rFonts w:eastAsiaTheme="minorEastAsia"/>
          <w:rtl/>
          <w:lang w:val="en-US"/>
        </w:rPr>
        <w:t>س.</w:t>
      </w:r>
      <w:r w:rsidR="00C13537" w:rsidRPr="004E03DC">
        <w:rPr>
          <w:rFonts w:eastAsiaTheme="minorEastAsia" w:hint="eastAsia"/>
          <w:rtl/>
          <w:lang w:val="en-US"/>
        </w:rPr>
        <w:t> </w:t>
      </w:r>
      <w:r w:rsidRPr="004E03DC">
        <w:rPr>
          <w:rFonts w:eastAsiaTheme="minorEastAsia"/>
          <w:rtl/>
          <w:lang w:val="en-US"/>
        </w:rPr>
        <w:t>ر. إلى كوسوفو.</w:t>
      </w:r>
    </w:p>
    <w:p w14:paraId="27B1F651" w14:textId="2A98C6D8" w:rsidR="00766F91" w:rsidRPr="004E03DC" w:rsidRDefault="00766F91" w:rsidP="00766F91">
      <w:pPr>
        <w:pStyle w:val="SingleTxtGA"/>
        <w:rPr>
          <w:rFonts w:eastAsiaTheme="minorEastAsia"/>
          <w:lang w:val="en-US" w:eastAsia="zh-TW"/>
        </w:rPr>
      </w:pPr>
      <w:r w:rsidRPr="004E03DC">
        <w:rPr>
          <w:rFonts w:eastAsiaTheme="minorEastAsia"/>
          <w:rtl/>
          <w:lang w:val="en-US"/>
        </w:rPr>
        <w:t>7-</w:t>
      </w:r>
      <w:r w:rsidRPr="004E03DC">
        <w:rPr>
          <w:rFonts w:eastAsiaTheme="minorEastAsia"/>
          <w:rtl/>
          <w:lang w:val="en-US"/>
        </w:rPr>
        <w:tab/>
        <w:t xml:space="preserve">ولاحظت اللجنة السوابق القضائية للمحكمة الأوروبية لحقوق الإنسان في قضية </w:t>
      </w:r>
      <w:r w:rsidRPr="004E03DC">
        <w:rPr>
          <w:rFonts w:eastAsiaTheme="minorEastAsia"/>
          <w:i/>
          <w:iCs/>
          <w:rtl/>
          <w:lang w:val="en-US"/>
        </w:rPr>
        <w:t>بابوشفيلي ضد بلجيكا</w:t>
      </w:r>
      <w:r w:rsidRPr="004E03DC">
        <w:rPr>
          <w:rStyle w:val="FootnoteReference"/>
          <w:sz w:val="22"/>
          <w:rtl/>
          <w:lang w:val="en-US"/>
        </w:rPr>
        <w:t>(</w:t>
      </w:r>
      <w:r w:rsidRPr="004E03DC">
        <w:rPr>
          <w:rStyle w:val="FootnoteReference"/>
          <w:sz w:val="22"/>
          <w:rtl/>
          <w:lang w:val="en-US"/>
        </w:rPr>
        <w:footnoteReference w:id="17"/>
      </w:r>
      <w:r w:rsidRPr="004E03DC">
        <w:rPr>
          <w:rStyle w:val="FootnoteReference"/>
          <w:sz w:val="22"/>
          <w:rtl/>
          <w:lang w:val="en-US"/>
        </w:rPr>
        <w:t>)</w:t>
      </w:r>
      <w:r w:rsidRPr="004E03DC">
        <w:rPr>
          <w:rFonts w:eastAsiaTheme="minorEastAsia"/>
          <w:rtl/>
          <w:lang w:val="en-US"/>
        </w:rPr>
        <w:t> التي لاحظت فيها المحكمة أن إبعاد شخص يحتاج إلى رعاية طبية مستمرة يمكن أن يطرح في "حالات استثنائية للغاية" إشكالية في إطار المادة 3 من اتفاقية حماية حقوق الإنسان والحريات الأساسية (الاتفاقية الأوروبية لحقوق الإنسان). ولاحظت اللجنة أنه ينبغي، وفقا للمحكمة، فهم عبارة "ظروف استثنائية جداً" بأنها تشير إلى الحالات التي يتعلق فيها الأمر بترحيل شخص مصاب بمرض خطير وثبت فيها وجود أسباب وجيهة للاعتقاد بأنه، وإن لم يكن معرضاً على نحو وشيك لخطر الوفاة، سيواجه، بسبب عدم توافر العلاج المناسب أو إمكانية الحصول عليه في البلد المستقبل، خطراً حقيقياً يتمثل في تعرض حالته الصحية لتدهور خطير وسريع ولا رجعة فيه، يؤدي إلى معاناة شديدة أو إلى انخفاض كبير في عمره المتوقع. وفي هذه القضية، لاحظت اللجنة أن السلطات المحلية حصلت على تقريرين يتضمنان معلومات طبية عن بلد المنشأ، استناداً إلى استنتاجها أن العلاج المطلوب كان متاحاً وميسورا لـ ز.</w:t>
      </w:r>
      <w:r w:rsidR="00404F21" w:rsidRPr="004E03DC">
        <w:rPr>
          <w:rFonts w:eastAsiaTheme="minorEastAsia" w:hint="cs"/>
          <w:rtl/>
          <w:lang w:val="en-US"/>
        </w:rPr>
        <w:t xml:space="preserve"> </w:t>
      </w:r>
      <w:r w:rsidRPr="004E03DC">
        <w:rPr>
          <w:rFonts w:eastAsiaTheme="minorEastAsia"/>
          <w:rtl/>
          <w:lang w:val="en-US"/>
        </w:rPr>
        <w:t>ر. في كوسوفو ورأت اللجنة أن صاحبي البلاغ لم يثبتا أن التقييمات التي أجرتها الدولة الطرف كانت تعسفية بشكل واضح أو أنها ترقى إلى حد إنكار العدالة. ورأت اللجنة أنه لا يمكنها، أن تخلص إلى أن إبعاد ز.</w:t>
      </w:r>
      <w:r w:rsidR="004E03DC" w:rsidRPr="004E03DC">
        <w:rPr>
          <w:rFonts w:eastAsiaTheme="minorEastAsia" w:hint="cs"/>
          <w:rtl/>
          <w:lang w:val="en-US"/>
        </w:rPr>
        <w:t> </w:t>
      </w:r>
      <w:r w:rsidRPr="004E03DC">
        <w:rPr>
          <w:rFonts w:eastAsiaTheme="minorEastAsia"/>
          <w:rtl/>
          <w:lang w:val="en-US"/>
        </w:rPr>
        <w:t>ر. إلى كوسوفو يشكل انتهاكاً لحقوقها المكفولة بموجب المادتين 10 أو 15 من الاتفاقية.</w:t>
      </w:r>
    </w:p>
    <w:p w14:paraId="714355DE" w14:textId="1777E065" w:rsidR="00766F91" w:rsidRPr="004E03DC" w:rsidRDefault="00766F91" w:rsidP="00766F91">
      <w:pPr>
        <w:pStyle w:val="H4GA"/>
        <w:rPr>
          <w:lang w:val="en-US" w:eastAsia="zh-TW"/>
        </w:rPr>
      </w:pPr>
      <w:r w:rsidRPr="004E03DC">
        <w:rPr>
          <w:rtl/>
          <w:lang w:val="en-US"/>
        </w:rPr>
        <w:tab/>
      </w:r>
      <w:r w:rsidRPr="004E03DC">
        <w:rPr>
          <w:rtl/>
          <w:lang w:val="en-US"/>
        </w:rPr>
        <w:tab/>
        <w:t>إ.</w:t>
      </w:r>
      <w:r w:rsidRPr="004E03DC">
        <w:rPr>
          <w:rFonts w:hint="cs"/>
          <w:rtl/>
          <w:lang w:val="en-US"/>
        </w:rPr>
        <w:t xml:space="preserve"> </w:t>
      </w:r>
      <w:r w:rsidRPr="004E03DC">
        <w:rPr>
          <w:rtl/>
          <w:lang w:val="en-US"/>
        </w:rPr>
        <w:t>أ.</w:t>
      </w:r>
      <w:r w:rsidRPr="004E03DC">
        <w:rPr>
          <w:rFonts w:hint="cs"/>
          <w:rtl/>
          <w:lang w:val="en-US"/>
        </w:rPr>
        <w:t xml:space="preserve"> </w:t>
      </w:r>
      <w:r w:rsidRPr="004E03DC">
        <w:rPr>
          <w:rtl/>
          <w:lang w:val="en-US"/>
        </w:rPr>
        <w:t>ج. وآخرون ضد السويد</w:t>
      </w:r>
    </w:p>
    <w:p w14:paraId="3F421AB0" w14:textId="1CB27366" w:rsidR="00766F91" w:rsidRPr="004E03DC" w:rsidRDefault="00766F91" w:rsidP="00766F91">
      <w:pPr>
        <w:pStyle w:val="SingleTxtGA"/>
        <w:rPr>
          <w:rFonts w:eastAsiaTheme="minorEastAsia"/>
          <w:lang w:val="en-US" w:eastAsia="zh-TW"/>
        </w:rPr>
      </w:pPr>
      <w:r w:rsidRPr="004E03DC">
        <w:rPr>
          <w:rFonts w:eastAsiaTheme="minorEastAsia"/>
          <w:rtl/>
          <w:lang w:val="en-US"/>
        </w:rPr>
        <w:t>8-</w:t>
      </w:r>
      <w:r w:rsidRPr="004E03DC">
        <w:rPr>
          <w:rFonts w:eastAsiaTheme="minorEastAsia"/>
          <w:rtl/>
          <w:lang w:val="en-US"/>
        </w:rPr>
        <w:tab/>
        <w:t xml:space="preserve">نظرت اللجنة في بلاغ قضية </w:t>
      </w:r>
      <w:r w:rsidRPr="004E03DC">
        <w:rPr>
          <w:rFonts w:eastAsiaTheme="minorEastAsia"/>
          <w:i/>
          <w:iCs/>
          <w:rtl/>
          <w:lang w:val="en-US"/>
        </w:rPr>
        <w:t>إ.</w:t>
      </w:r>
      <w:r w:rsidR="00C13537" w:rsidRPr="004E03DC">
        <w:rPr>
          <w:rFonts w:eastAsiaTheme="minorEastAsia" w:hint="cs"/>
          <w:i/>
          <w:iCs/>
          <w:rtl/>
          <w:lang w:val="en-US"/>
        </w:rPr>
        <w:t xml:space="preserve"> </w:t>
      </w:r>
      <w:r w:rsidRPr="004E03DC">
        <w:rPr>
          <w:rFonts w:eastAsiaTheme="minorEastAsia"/>
          <w:i/>
          <w:iCs/>
          <w:rtl/>
          <w:lang w:val="en-US"/>
        </w:rPr>
        <w:t>أ.</w:t>
      </w:r>
      <w:r w:rsidR="00C13537" w:rsidRPr="004E03DC">
        <w:rPr>
          <w:rFonts w:eastAsiaTheme="minorEastAsia" w:hint="cs"/>
          <w:i/>
          <w:iCs/>
          <w:rtl/>
          <w:lang w:val="en-US"/>
        </w:rPr>
        <w:t xml:space="preserve"> </w:t>
      </w:r>
      <w:r w:rsidRPr="004E03DC">
        <w:rPr>
          <w:rFonts w:eastAsiaTheme="minorEastAsia"/>
          <w:i/>
          <w:iCs/>
          <w:rtl/>
          <w:lang w:val="en-US"/>
        </w:rPr>
        <w:t>ج. وآخرون ضد السويد</w:t>
      </w:r>
      <w:r w:rsidRPr="004E03DC">
        <w:rPr>
          <w:rStyle w:val="FootnoteReference"/>
          <w:sz w:val="22"/>
          <w:rtl/>
          <w:lang w:val="en-US"/>
        </w:rPr>
        <w:t>(</w:t>
      </w:r>
      <w:r w:rsidRPr="004E03DC">
        <w:rPr>
          <w:rStyle w:val="FootnoteReference"/>
          <w:sz w:val="22"/>
          <w:rtl/>
          <w:lang w:val="en-US"/>
        </w:rPr>
        <w:footnoteReference w:id="18"/>
      </w:r>
      <w:r w:rsidRPr="004E03DC">
        <w:rPr>
          <w:rStyle w:val="FootnoteReference"/>
          <w:sz w:val="22"/>
          <w:rtl/>
          <w:lang w:val="en-US"/>
        </w:rPr>
        <w:t>)</w:t>
      </w:r>
      <w:r w:rsidRPr="004E03DC">
        <w:rPr>
          <w:rFonts w:eastAsiaTheme="minorEastAsia"/>
          <w:rtl/>
          <w:lang w:val="en-US"/>
        </w:rPr>
        <w:t>. وصاحبة البلاغ هي ف.</w:t>
      </w:r>
      <w:r w:rsidR="00C13537" w:rsidRPr="004E03DC">
        <w:rPr>
          <w:rFonts w:eastAsiaTheme="minorEastAsia" w:hint="cs"/>
          <w:rtl/>
          <w:lang w:val="en-US"/>
        </w:rPr>
        <w:t xml:space="preserve"> </w:t>
      </w:r>
      <w:r w:rsidRPr="004E03DC">
        <w:rPr>
          <w:rFonts w:eastAsiaTheme="minorEastAsia"/>
          <w:rtl/>
          <w:lang w:val="en-US"/>
        </w:rPr>
        <w:t>إ.</w:t>
      </w:r>
      <w:r w:rsidR="00C13537" w:rsidRPr="004E03DC">
        <w:rPr>
          <w:rFonts w:eastAsiaTheme="minorEastAsia" w:hint="cs"/>
          <w:rtl/>
          <w:lang w:val="en-US"/>
        </w:rPr>
        <w:t xml:space="preserve"> </w:t>
      </w:r>
      <w:r w:rsidRPr="004E03DC">
        <w:rPr>
          <w:rFonts w:eastAsiaTheme="minorEastAsia"/>
          <w:rtl/>
          <w:lang w:val="en-US"/>
        </w:rPr>
        <w:t>ج.، التي قدمت البلاغ بالنيابة عن أطفالها إ.</w:t>
      </w:r>
      <w:r w:rsidR="00C13537" w:rsidRPr="004E03DC">
        <w:rPr>
          <w:rFonts w:eastAsiaTheme="minorEastAsia" w:hint="cs"/>
          <w:rtl/>
          <w:lang w:val="en-US"/>
        </w:rPr>
        <w:t xml:space="preserve"> </w:t>
      </w:r>
      <w:r w:rsidRPr="004E03DC">
        <w:rPr>
          <w:rFonts w:eastAsiaTheme="minorEastAsia"/>
          <w:rtl/>
          <w:lang w:val="en-US"/>
        </w:rPr>
        <w:t>أ.</w:t>
      </w:r>
      <w:r w:rsidR="00C13537" w:rsidRPr="004E03DC">
        <w:rPr>
          <w:rFonts w:eastAsiaTheme="minorEastAsia" w:hint="cs"/>
          <w:rtl/>
          <w:lang w:val="en-US"/>
        </w:rPr>
        <w:t xml:space="preserve"> </w:t>
      </w:r>
      <w:r w:rsidRPr="004E03DC">
        <w:rPr>
          <w:rFonts w:eastAsiaTheme="minorEastAsia"/>
          <w:rtl/>
          <w:lang w:val="en-US"/>
        </w:rPr>
        <w:t>ج. وس.</w:t>
      </w:r>
      <w:r w:rsidR="00C13537" w:rsidRPr="004E03DC">
        <w:rPr>
          <w:rFonts w:eastAsiaTheme="minorEastAsia" w:hint="cs"/>
          <w:rtl/>
          <w:lang w:val="en-US"/>
        </w:rPr>
        <w:t xml:space="preserve"> </w:t>
      </w:r>
      <w:r w:rsidRPr="004E03DC">
        <w:rPr>
          <w:rFonts w:eastAsiaTheme="minorEastAsia"/>
          <w:rtl/>
          <w:lang w:val="en-US"/>
        </w:rPr>
        <w:t>ج. وإ.</w:t>
      </w:r>
      <w:r w:rsidR="00C13537" w:rsidRPr="004E03DC">
        <w:rPr>
          <w:rFonts w:eastAsiaTheme="minorEastAsia" w:hint="cs"/>
          <w:rtl/>
          <w:lang w:val="en-US"/>
        </w:rPr>
        <w:t xml:space="preserve"> </w:t>
      </w:r>
      <w:r w:rsidRPr="004E03DC">
        <w:rPr>
          <w:rFonts w:eastAsiaTheme="minorEastAsia"/>
          <w:rtl/>
          <w:lang w:val="en-US"/>
        </w:rPr>
        <w:t>ج.. وزوجها أ.</w:t>
      </w:r>
      <w:r w:rsidR="00C13537" w:rsidRPr="004E03DC">
        <w:rPr>
          <w:rFonts w:eastAsiaTheme="minorEastAsia" w:hint="cs"/>
          <w:rtl/>
          <w:lang w:val="en-US"/>
        </w:rPr>
        <w:t xml:space="preserve"> </w:t>
      </w:r>
      <w:r w:rsidRPr="004E03DC">
        <w:rPr>
          <w:rFonts w:eastAsiaTheme="minorEastAsia"/>
          <w:rtl/>
          <w:lang w:val="en-US"/>
        </w:rPr>
        <w:t>أ.</w:t>
      </w:r>
      <w:r w:rsidR="00C13537" w:rsidRPr="004E03DC">
        <w:rPr>
          <w:rFonts w:eastAsiaTheme="minorEastAsia" w:hint="cs"/>
          <w:rtl/>
          <w:lang w:val="en-US"/>
        </w:rPr>
        <w:t xml:space="preserve"> </w:t>
      </w:r>
      <w:r w:rsidRPr="004E03DC">
        <w:rPr>
          <w:rFonts w:eastAsiaTheme="minorEastAsia"/>
          <w:rtl/>
          <w:lang w:val="en-US"/>
        </w:rPr>
        <w:t>ج</w:t>
      </w:r>
      <w:r w:rsidR="00C13537" w:rsidRPr="004E03DC">
        <w:rPr>
          <w:rFonts w:eastAsiaTheme="minorEastAsia" w:hint="cs"/>
          <w:rtl/>
          <w:lang w:val="en-US"/>
        </w:rPr>
        <w:t>.</w:t>
      </w:r>
      <w:r w:rsidRPr="004E03DC">
        <w:rPr>
          <w:rFonts w:eastAsiaTheme="minorEastAsia"/>
          <w:rtl/>
          <w:lang w:val="en-US"/>
        </w:rPr>
        <w:t xml:space="preserve"> وجميعهم من نيجيريا وقد صدر قرار من سلطات الدولة الطرف بترحيلهم إلى نيجيريا. وشُخصت إصابة إ.</w:t>
      </w:r>
      <w:r w:rsidR="00C13537" w:rsidRPr="004E03DC">
        <w:rPr>
          <w:rFonts w:eastAsiaTheme="minorEastAsia" w:hint="cs"/>
          <w:rtl/>
          <w:lang w:val="en-US"/>
        </w:rPr>
        <w:t xml:space="preserve"> </w:t>
      </w:r>
      <w:r w:rsidRPr="004E03DC">
        <w:rPr>
          <w:rFonts w:eastAsiaTheme="minorEastAsia"/>
          <w:rtl/>
          <w:lang w:val="en-US"/>
        </w:rPr>
        <w:t>أ.</w:t>
      </w:r>
      <w:r w:rsidR="00C13537" w:rsidRPr="004E03DC">
        <w:rPr>
          <w:rFonts w:eastAsiaTheme="minorEastAsia" w:hint="cs"/>
          <w:rtl/>
          <w:lang w:val="en-US"/>
        </w:rPr>
        <w:t xml:space="preserve"> </w:t>
      </w:r>
      <w:r w:rsidRPr="004E03DC">
        <w:rPr>
          <w:rFonts w:eastAsiaTheme="minorEastAsia"/>
          <w:rtl/>
          <w:lang w:val="en-US"/>
        </w:rPr>
        <w:t>ج. وإ.</w:t>
      </w:r>
      <w:r w:rsidR="00C13537" w:rsidRPr="004E03DC">
        <w:rPr>
          <w:rFonts w:eastAsiaTheme="minorEastAsia" w:hint="cs"/>
          <w:rtl/>
          <w:lang w:val="en-US"/>
        </w:rPr>
        <w:t xml:space="preserve"> </w:t>
      </w:r>
      <w:r w:rsidRPr="004E03DC">
        <w:rPr>
          <w:rFonts w:eastAsiaTheme="minorEastAsia"/>
          <w:rtl/>
          <w:lang w:val="en-US"/>
        </w:rPr>
        <w:t>ج. بالتوحد في عامي 2013 و2020 على التوالي وبإعاقات ذهنية. وعلاوة على ذلك، كان إ.</w:t>
      </w:r>
      <w:r w:rsidRPr="004E03DC">
        <w:rPr>
          <w:rFonts w:eastAsiaTheme="minorEastAsia" w:hint="cs"/>
          <w:rtl/>
          <w:lang w:val="en-US"/>
        </w:rPr>
        <w:t xml:space="preserve"> </w:t>
      </w:r>
      <w:r w:rsidRPr="004E03DC">
        <w:rPr>
          <w:rFonts w:eastAsiaTheme="minorEastAsia"/>
          <w:rtl/>
          <w:lang w:val="en-US"/>
        </w:rPr>
        <w:t>أ.</w:t>
      </w:r>
      <w:r w:rsidRPr="004E03DC">
        <w:rPr>
          <w:rFonts w:eastAsiaTheme="minorEastAsia" w:hint="cs"/>
          <w:rtl/>
          <w:lang w:val="en-US"/>
        </w:rPr>
        <w:t xml:space="preserve"> </w:t>
      </w:r>
      <w:r w:rsidRPr="004E03DC">
        <w:rPr>
          <w:rFonts w:eastAsiaTheme="minorEastAsia"/>
          <w:rtl/>
          <w:lang w:val="en-US"/>
        </w:rPr>
        <w:t>ج. يعاني من اضطراب نقص الانتباه وفرط النشاط، كما كان إ.</w:t>
      </w:r>
      <w:r w:rsidRPr="004E03DC">
        <w:rPr>
          <w:rFonts w:eastAsiaTheme="minorEastAsia" w:hint="cs"/>
          <w:rtl/>
          <w:lang w:val="en-US"/>
        </w:rPr>
        <w:t xml:space="preserve"> </w:t>
      </w:r>
      <w:r w:rsidRPr="004E03DC">
        <w:rPr>
          <w:rFonts w:eastAsiaTheme="minorEastAsia"/>
          <w:rtl/>
          <w:lang w:val="en-US"/>
        </w:rPr>
        <w:t>ج</w:t>
      </w:r>
      <w:r w:rsidRPr="004E03DC">
        <w:rPr>
          <w:rFonts w:eastAsiaTheme="minorEastAsia" w:hint="cs"/>
          <w:rtl/>
          <w:lang w:val="en-US"/>
        </w:rPr>
        <w:t>.</w:t>
      </w:r>
      <w:r w:rsidRPr="004E03DC">
        <w:rPr>
          <w:rFonts w:eastAsiaTheme="minorEastAsia"/>
          <w:rtl/>
          <w:lang w:val="en-US"/>
        </w:rPr>
        <w:t xml:space="preserve"> يعاني من ضعف السمع في كلتا الأذنين. ولم يكن إ. ج قادرا على نطق أي كلام معبّر، ولم يُظهر أي فهم للكلام وكان يحتاج إلى دعم مكثف في حياته اليومية. وكانت اللجنة قد نظرت في 18 آب/أغسطس 2017، في دورتها الثامنة عشرة، في بلاغ سابق قدمته الأسرة بالنيابة عن إ. أ. ج.، وخلصت إلى عدم مقبوليته لعدم استنفاد سبل الانتصاف المحلية</w:t>
      </w:r>
      <w:r w:rsidRPr="004E03DC">
        <w:rPr>
          <w:rStyle w:val="FootnoteReference"/>
          <w:sz w:val="22"/>
          <w:rtl/>
          <w:lang w:val="en-US"/>
        </w:rPr>
        <w:t>(</w:t>
      </w:r>
      <w:r w:rsidRPr="004E03DC">
        <w:rPr>
          <w:rStyle w:val="FootnoteReference"/>
          <w:sz w:val="22"/>
          <w:rtl/>
          <w:lang w:val="en-US"/>
        </w:rPr>
        <w:footnoteReference w:id="19"/>
      </w:r>
      <w:r w:rsidRPr="004E03DC">
        <w:rPr>
          <w:rStyle w:val="FootnoteReference"/>
          <w:sz w:val="22"/>
          <w:rtl/>
          <w:lang w:val="en-US"/>
        </w:rPr>
        <w:t>)</w:t>
      </w:r>
      <w:r w:rsidRPr="004E03DC">
        <w:rPr>
          <w:rFonts w:eastAsiaTheme="minorEastAsia"/>
          <w:rtl/>
          <w:lang w:val="en-US"/>
        </w:rPr>
        <w:t>. وفي 8 تموز/يوليه 2019، رفضت مصلحة الهجرة طلب</w:t>
      </w:r>
      <w:r w:rsidR="00404F21" w:rsidRPr="004E03DC">
        <w:rPr>
          <w:rFonts w:eastAsiaTheme="minorEastAsia"/>
          <w:rtl/>
          <w:lang w:val="en-US"/>
        </w:rPr>
        <w:t xml:space="preserve">اً </w:t>
      </w:r>
      <w:r w:rsidRPr="004E03DC">
        <w:rPr>
          <w:rFonts w:eastAsiaTheme="minorEastAsia"/>
          <w:rtl/>
          <w:lang w:val="en-US"/>
        </w:rPr>
        <w:t>جديد</w:t>
      </w:r>
      <w:r w:rsidR="00404F21" w:rsidRPr="004E03DC">
        <w:rPr>
          <w:rFonts w:eastAsiaTheme="minorEastAsia"/>
          <w:rtl/>
          <w:lang w:val="en-US"/>
        </w:rPr>
        <w:t xml:space="preserve">اً </w:t>
      </w:r>
      <w:r w:rsidRPr="004E03DC">
        <w:rPr>
          <w:rFonts w:eastAsiaTheme="minorEastAsia"/>
          <w:rtl/>
          <w:lang w:val="en-US"/>
        </w:rPr>
        <w:t>للحصول على الإقامة، مع الإشارة إلى تقرير يتضمن معلومات طبية عن بلد المنشأ فيما يتعلق بتوفر الرعاية للأطفال المصابين بالتوحد في نيجيريا. وأيدت القرار محكمةُ قضايا الهجرة ومحكمةُ استئناف قضايا الهجرة. ورفضت سلطات الهجرة أيض</w:t>
      </w:r>
      <w:r w:rsidR="00404F21" w:rsidRPr="004E03DC">
        <w:rPr>
          <w:rFonts w:eastAsiaTheme="minorEastAsia"/>
          <w:rtl/>
          <w:lang w:val="en-US"/>
        </w:rPr>
        <w:t xml:space="preserve">اً </w:t>
      </w:r>
      <w:r w:rsidRPr="004E03DC">
        <w:rPr>
          <w:rFonts w:eastAsiaTheme="minorEastAsia"/>
          <w:rtl/>
          <w:lang w:val="en-US"/>
        </w:rPr>
        <w:t xml:space="preserve">الطلبات اللاحقة للحصول على تصاريح الإقامة التي تم تقديمها نيابة عن الأسرة. وادعت صاحبة البلاغ أن الدولة الطرف انتهكت حقوق إ. أُ. ج. وإ. ج. المكفولة بموجب الاتفاقية بقرارها ترحيلهما </w:t>
      </w:r>
      <w:r w:rsidRPr="004E03DC">
        <w:rPr>
          <w:rFonts w:eastAsiaTheme="minorEastAsia"/>
          <w:rtl/>
          <w:lang w:val="en-US"/>
        </w:rPr>
        <w:lastRenderedPageBreak/>
        <w:t>مع أسرتهما، بالنظر إلى العواقب على صحتهما ورفاههما ونموهما النفسي وحياتهما. وجادلت صاحبة البلاغ بأن سلطات الهجرة لم تأخذ في الاعتبار بشكل كافٍ عدم توافر الرعاية الصحية والدعم للأطفال المصابين بالتوحد في نيجيريا وعدم حصولهم على الرعاية الصحية والدعم، ومصالح إ.أ.ج. وإ.ج. الفضلى وقوة روابطهما الاجتماعية والثقافية والأسرية في السويد حيث ولدا.</w:t>
      </w:r>
    </w:p>
    <w:p w14:paraId="6606A149" w14:textId="77777777" w:rsidR="00766F91" w:rsidRPr="004E03DC" w:rsidRDefault="00766F91" w:rsidP="00766F91">
      <w:pPr>
        <w:pStyle w:val="SingleTxtGA"/>
        <w:rPr>
          <w:rFonts w:eastAsiaTheme="minorEastAsia"/>
          <w:lang w:val="en-US" w:eastAsia="zh-TW"/>
        </w:rPr>
      </w:pPr>
      <w:r w:rsidRPr="004E03DC">
        <w:rPr>
          <w:rFonts w:eastAsiaTheme="minorEastAsia"/>
          <w:rtl/>
          <w:lang w:val="en-US"/>
        </w:rPr>
        <w:t>9-</w:t>
      </w:r>
      <w:r w:rsidRPr="004E03DC">
        <w:rPr>
          <w:rFonts w:eastAsiaTheme="minorEastAsia"/>
          <w:rtl/>
          <w:lang w:val="en-US"/>
        </w:rPr>
        <w:tab/>
        <w:t>ودفعت الدولة الطرف في ملاحظاتها بأن البلاغ غير مقبول أو، بدلاً من ذلك، بأنه لا يستند إلى أسس موضوعية.</w:t>
      </w:r>
    </w:p>
    <w:p w14:paraId="27665512" w14:textId="1E52E184" w:rsidR="00766F91" w:rsidRPr="004E03DC" w:rsidRDefault="00766F91" w:rsidP="00766F91">
      <w:pPr>
        <w:pStyle w:val="SingleTxtGA"/>
        <w:rPr>
          <w:rFonts w:eastAsiaTheme="minorEastAsia"/>
          <w:lang w:val="en-US" w:eastAsia="zh-TW"/>
        </w:rPr>
      </w:pPr>
      <w:r w:rsidRPr="004E03DC">
        <w:rPr>
          <w:rFonts w:eastAsiaTheme="minorEastAsia"/>
          <w:rtl/>
          <w:lang w:val="en-US"/>
        </w:rPr>
        <w:t>10-</w:t>
      </w:r>
      <w:r w:rsidRPr="004E03DC">
        <w:rPr>
          <w:rFonts w:eastAsiaTheme="minorEastAsia"/>
          <w:rtl/>
          <w:lang w:val="en-US"/>
        </w:rPr>
        <w:tab/>
        <w:t>وخلصت اللجنة، عند النظر في المقبولية، إلى أن البلاغ غير مقبول فيما يتعلق بـ س. ج.، لأن</w:t>
      </w:r>
      <w:r w:rsidR="00404F21" w:rsidRPr="004E03DC">
        <w:rPr>
          <w:rFonts w:eastAsiaTheme="minorEastAsia" w:hint="cs"/>
          <w:rtl/>
          <w:lang w:val="en-US"/>
        </w:rPr>
        <w:t> </w:t>
      </w:r>
      <w:r w:rsidRPr="004E03DC">
        <w:rPr>
          <w:rFonts w:eastAsiaTheme="minorEastAsia"/>
          <w:rtl/>
          <w:lang w:val="en-US"/>
        </w:rPr>
        <w:t>صاحبة البلاغ لم تحتج بأنها من ذوي إعاقة. ولاحظت اللجنة أن سلطات الدولة الطرف قد نظرت في حالتي إ. أ. ج وإ. ج</w:t>
      </w:r>
      <w:r w:rsidR="00C13537" w:rsidRPr="004E03DC">
        <w:rPr>
          <w:rFonts w:eastAsiaTheme="minorEastAsia" w:hint="cs"/>
          <w:rtl/>
          <w:lang w:val="en-US"/>
        </w:rPr>
        <w:t>.</w:t>
      </w:r>
      <w:r w:rsidRPr="004E03DC">
        <w:rPr>
          <w:rFonts w:eastAsiaTheme="minorEastAsia"/>
          <w:rtl/>
          <w:lang w:val="en-US"/>
        </w:rPr>
        <w:t xml:space="preserve"> ورأت أن الرعاية النفسية والاجتماعية والوصول إلى التعليم ما قبل المدرسي متوفرة</w:t>
      </w:r>
      <w:r w:rsidR="00C13537" w:rsidRPr="004E03DC">
        <w:rPr>
          <w:rFonts w:eastAsiaTheme="minorEastAsia" w:hint="cs"/>
          <w:rtl/>
          <w:lang w:val="en-US"/>
        </w:rPr>
        <w:t> </w:t>
      </w:r>
      <w:r w:rsidRPr="004E03DC">
        <w:rPr>
          <w:rFonts w:eastAsiaTheme="minorEastAsia"/>
          <w:rtl/>
          <w:lang w:val="en-US"/>
        </w:rPr>
        <w:t>للأطفال المصابين بالتوحد في نيجيريا، وأنه لا يوجد ما يشير إلى أن الرعاية والدعم اللذين يحتاجهما إ. أ. ج. وإ. ج. لا يمكن توفيرهما. ولذلك رأت اللجنة أن هذه الادعاءات غير مقبولة لأنها غير مدعَّمة بأدلة كافية. ومع ذلك، خلصت اللجنة إلى أن ادعاء صاحبة البلاغ بأن محكمة قضايا الهجرة لم</w:t>
      </w:r>
      <w:r w:rsidR="00404F21" w:rsidRPr="004E03DC">
        <w:rPr>
          <w:rFonts w:eastAsiaTheme="minorEastAsia" w:hint="cs"/>
          <w:rtl/>
          <w:lang w:val="en-US"/>
        </w:rPr>
        <w:t> </w:t>
      </w:r>
      <w:r w:rsidRPr="004E03DC">
        <w:rPr>
          <w:rFonts w:eastAsiaTheme="minorEastAsia"/>
          <w:rtl/>
          <w:lang w:val="en-US"/>
        </w:rPr>
        <w:t>تستمع إلى إ.</w:t>
      </w:r>
      <w:r w:rsidR="00C13537" w:rsidRPr="004E03DC">
        <w:rPr>
          <w:rFonts w:eastAsiaTheme="minorEastAsia" w:hint="cs"/>
          <w:rtl/>
          <w:lang w:val="en-US"/>
        </w:rPr>
        <w:t xml:space="preserve"> </w:t>
      </w:r>
      <w:r w:rsidRPr="004E03DC">
        <w:rPr>
          <w:rFonts w:eastAsiaTheme="minorEastAsia"/>
          <w:rtl/>
          <w:lang w:val="en-US"/>
        </w:rPr>
        <w:t>أ.</w:t>
      </w:r>
      <w:r w:rsidR="00C13537" w:rsidRPr="004E03DC">
        <w:rPr>
          <w:rFonts w:eastAsiaTheme="minorEastAsia" w:hint="cs"/>
          <w:rtl/>
          <w:lang w:val="en-US"/>
        </w:rPr>
        <w:t xml:space="preserve"> </w:t>
      </w:r>
      <w:r w:rsidRPr="004E03DC">
        <w:rPr>
          <w:rFonts w:eastAsiaTheme="minorEastAsia"/>
          <w:rtl/>
          <w:lang w:val="en-US"/>
        </w:rPr>
        <w:t>ج. رغم طلبها، مقبول.</w:t>
      </w:r>
    </w:p>
    <w:p w14:paraId="1BDA6E6E" w14:textId="576912CE" w:rsidR="00766F91" w:rsidRPr="004E03DC" w:rsidRDefault="00766F91" w:rsidP="00766F91">
      <w:pPr>
        <w:pStyle w:val="SingleTxtGA"/>
        <w:rPr>
          <w:rFonts w:eastAsiaTheme="minorEastAsia"/>
          <w:lang w:val="en-US" w:eastAsia="zh-TW"/>
        </w:rPr>
      </w:pPr>
      <w:r w:rsidRPr="004E03DC">
        <w:rPr>
          <w:rFonts w:eastAsiaTheme="minorEastAsia"/>
          <w:rtl/>
          <w:lang w:val="en-US"/>
        </w:rPr>
        <w:t>11-</w:t>
      </w:r>
      <w:r w:rsidRPr="004E03DC">
        <w:rPr>
          <w:rFonts w:eastAsiaTheme="minorEastAsia"/>
          <w:rtl/>
          <w:lang w:val="en-US"/>
        </w:rPr>
        <w:tab/>
        <w:t>ورأت اللجنة أن الدول الأطراف ينبغي أن تمنح الأطفال ذوي الإعاقة الحق في الاستماع إليهم في أي إجراءات قضائية أو إدارية تمسهم، إما مباشرة أو من خلال ممثل. ولاحظت اللجنة أن محكمة قضايا الهجرة لم تستمع إلى إ.</w:t>
      </w:r>
      <w:r w:rsidR="00C13537" w:rsidRPr="004E03DC">
        <w:rPr>
          <w:rFonts w:eastAsiaTheme="minorEastAsia" w:hint="cs"/>
          <w:rtl/>
          <w:lang w:val="en-US"/>
        </w:rPr>
        <w:t xml:space="preserve"> </w:t>
      </w:r>
      <w:r w:rsidRPr="004E03DC">
        <w:rPr>
          <w:rFonts w:eastAsiaTheme="minorEastAsia"/>
          <w:rtl/>
          <w:lang w:val="en-US"/>
        </w:rPr>
        <w:t>أ.</w:t>
      </w:r>
      <w:r w:rsidR="00C13537" w:rsidRPr="004E03DC">
        <w:rPr>
          <w:rFonts w:eastAsiaTheme="minorEastAsia" w:hint="cs"/>
          <w:rtl/>
          <w:lang w:val="en-US"/>
        </w:rPr>
        <w:t xml:space="preserve"> </w:t>
      </w:r>
      <w:r w:rsidRPr="004E03DC">
        <w:rPr>
          <w:rFonts w:eastAsiaTheme="minorEastAsia"/>
          <w:rtl/>
          <w:lang w:val="en-US"/>
        </w:rPr>
        <w:t>ج</w:t>
      </w:r>
      <w:r w:rsidR="00C13537" w:rsidRPr="004E03DC">
        <w:rPr>
          <w:rFonts w:eastAsiaTheme="minorEastAsia" w:hint="cs"/>
          <w:rtl/>
          <w:lang w:val="en-US"/>
        </w:rPr>
        <w:t>.</w:t>
      </w:r>
      <w:r w:rsidRPr="004E03DC">
        <w:rPr>
          <w:rFonts w:eastAsiaTheme="minorEastAsia"/>
          <w:rtl/>
          <w:lang w:val="en-US"/>
        </w:rPr>
        <w:t xml:space="preserve"> رغم طلب صاحبة البلاغ، وأنه كان في السابعة من عمره عند بدء الإجراءات المحلية و12 سنة عند تقديم البلاغ، وكان ينبغي أن يكون قادراً تماماً على تكوين رأي بشأن عودته إلى نيجيريا. ولذلك رأت اللجنة أن الدولة الطرف قد انتهكت حقوق إ.</w:t>
      </w:r>
      <w:r w:rsidR="00C13537" w:rsidRPr="004E03DC">
        <w:rPr>
          <w:rFonts w:eastAsiaTheme="minorEastAsia" w:hint="cs"/>
          <w:rtl/>
          <w:lang w:val="en-US"/>
        </w:rPr>
        <w:t xml:space="preserve"> </w:t>
      </w:r>
      <w:r w:rsidRPr="004E03DC">
        <w:rPr>
          <w:rFonts w:eastAsiaTheme="minorEastAsia"/>
          <w:rtl/>
          <w:lang w:val="en-US"/>
        </w:rPr>
        <w:t>أ.</w:t>
      </w:r>
      <w:r w:rsidR="00C13537" w:rsidRPr="004E03DC">
        <w:rPr>
          <w:rFonts w:eastAsiaTheme="minorEastAsia" w:hint="cs"/>
          <w:rtl/>
          <w:lang w:val="en-US"/>
        </w:rPr>
        <w:t xml:space="preserve"> </w:t>
      </w:r>
      <w:r w:rsidRPr="004E03DC">
        <w:rPr>
          <w:rFonts w:eastAsiaTheme="minorEastAsia"/>
          <w:rtl/>
          <w:lang w:val="en-US"/>
        </w:rPr>
        <w:t>ج. المكفولة في الفقرة 3 من المادة 7 من الاتفاقية.</w:t>
      </w:r>
    </w:p>
    <w:p w14:paraId="25CB321A" w14:textId="6EF07CCC" w:rsidR="00766F91" w:rsidRPr="004E03DC" w:rsidRDefault="00766F91" w:rsidP="00766F91">
      <w:pPr>
        <w:pStyle w:val="SingleTxtGA"/>
        <w:rPr>
          <w:rFonts w:eastAsiaTheme="minorEastAsia"/>
          <w:lang w:val="en-US" w:eastAsia="zh-TW"/>
        </w:rPr>
      </w:pPr>
      <w:r w:rsidRPr="004E03DC">
        <w:rPr>
          <w:rFonts w:eastAsiaTheme="minorEastAsia"/>
          <w:rtl/>
          <w:lang w:val="en-US"/>
        </w:rPr>
        <w:t>12-</w:t>
      </w:r>
      <w:r w:rsidRPr="004E03DC">
        <w:rPr>
          <w:rFonts w:eastAsiaTheme="minorEastAsia"/>
          <w:rtl/>
          <w:lang w:val="en-US"/>
        </w:rPr>
        <w:tab/>
        <w:t>وأوصت اللجنة بأن توفر الدولة الطرف سبيل انتصاف فعالاً لـ إ.</w:t>
      </w:r>
      <w:r w:rsidR="00C13537" w:rsidRPr="004E03DC">
        <w:rPr>
          <w:rFonts w:eastAsiaTheme="minorEastAsia" w:hint="cs"/>
          <w:rtl/>
          <w:lang w:val="en-US"/>
        </w:rPr>
        <w:t xml:space="preserve"> </w:t>
      </w:r>
      <w:r w:rsidRPr="004E03DC">
        <w:rPr>
          <w:rFonts w:eastAsiaTheme="minorEastAsia"/>
          <w:rtl/>
          <w:lang w:val="en-US"/>
        </w:rPr>
        <w:t>أ.</w:t>
      </w:r>
      <w:r w:rsidR="00C13537" w:rsidRPr="004E03DC">
        <w:rPr>
          <w:rFonts w:eastAsiaTheme="minorEastAsia" w:hint="cs"/>
          <w:rtl/>
          <w:lang w:val="en-US"/>
        </w:rPr>
        <w:t xml:space="preserve"> </w:t>
      </w:r>
      <w:r w:rsidRPr="004E03DC">
        <w:rPr>
          <w:rFonts w:eastAsiaTheme="minorEastAsia"/>
          <w:rtl/>
          <w:lang w:val="en-US"/>
        </w:rPr>
        <w:t>ج</w:t>
      </w:r>
      <w:r w:rsidR="00C13537" w:rsidRPr="004E03DC">
        <w:rPr>
          <w:rFonts w:eastAsiaTheme="minorEastAsia" w:hint="cs"/>
          <w:rtl/>
          <w:lang w:val="en-US"/>
        </w:rPr>
        <w:t>.</w:t>
      </w:r>
      <w:r w:rsidRPr="004E03DC">
        <w:rPr>
          <w:rFonts w:eastAsiaTheme="minorEastAsia"/>
          <w:rtl/>
          <w:lang w:val="en-US"/>
        </w:rPr>
        <w:t>، بما في ذلك إلغاء أمر الإبعاد الحالي الصادر ضده وضد أسرته، وإعادة تقييم طلب اللجوء الذي قدمه بعد الاستماع إليه، ومنحه تعويضاً مناسباً، ونشر آراء اللجنة وتعميمها على نطاق واسع في أشكال يسهل الاطلاع عليها بحيث تكون متاحة لجميع قطاعات السكان. وأوصت اللجنة أيضاً بأن تتخذ الدولة الطرف تدابير لمنع حدوث انتهاكات مماثلة في المستقبل، بما في ذلك ضمان تطور قدرات الأطفال ذوي الإعاقة لضمان قدرتهم على تكوين آرائهم الخاصة والتعبير عنها بحرية في جميع المسائل التي تهمهم، بما في ذلك في الإجراءات الجنائية وإجراءات اللجوء، وضمان إيلاء آرائهم الاعتبار الواجب وفقاً لسنهم ومستوى نضجهم؛ وأن تكفل حصولهم على الدعم المناسب للإعاقة والعمر لإعمال حقهم في الاستماع إليهم.</w:t>
      </w:r>
    </w:p>
    <w:p w14:paraId="7F4DD580" w14:textId="22538654" w:rsidR="00766F91" w:rsidRPr="004E03DC" w:rsidRDefault="00766F91" w:rsidP="00766F91">
      <w:pPr>
        <w:pStyle w:val="H4GA"/>
        <w:rPr>
          <w:lang w:val="en-US" w:eastAsia="zh-TW"/>
        </w:rPr>
      </w:pPr>
      <w:r w:rsidRPr="004E03DC">
        <w:rPr>
          <w:rtl/>
          <w:lang w:val="en-US"/>
        </w:rPr>
        <w:tab/>
      </w:r>
      <w:r w:rsidRPr="004E03DC">
        <w:rPr>
          <w:rtl/>
          <w:lang w:val="en-US"/>
        </w:rPr>
        <w:tab/>
        <w:t>س.</w:t>
      </w:r>
      <w:r w:rsidRPr="004E03DC">
        <w:rPr>
          <w:rFonts w:hint="cs"/>
          <w:rtl/>
          <w:lang w:val="en-US"/>
        </w:rPr>
        <w:t xml:space="preserve"> </w:t>
      </w:r>
      <w:r w:rsidRPr="004E03DC">
        <w:rPr>
          <w:rtl/>
          <w:lang w:val="en-US"/>
        </w:rPr>
        <w:t>ق. ضد السويد</w:t>
      </w:r>
    </w:p>
    <w:p w14:paraId="68048955" w14:textId="00F4DDD9" w:rsidR="00766F91" w:rsidRPr="004E03DC" w:rsidRDefault="00766F91" w:rsidP="00766F91">
      <w:pPr>
        <w:pStyle w:val="SingleTxtGA"/>
        <w:rPr>
          <w:rFonts w:eastAsiaTheme="minorEastAsia"/>
          <w:lang w:val="en-US" w:eastAsia="zh-TW"/>
        </w:rPr>
      </w:pPr>
      <w:r w:rsidRPr="004E03DC">
        <w:rPr>
          <w:rFonts w:eastAsiaTheme="minorEastAsia"/>
          <w:rtl/>
          <w:lang w:val="en-US"/>
        </w:rPr>
        <w:t>13-</w:t>
      </w:r>
      <w:r w:rsidRPr="004E03DC">
        <w:rPr>
          <w:rFonts w:eastAsiaTheme="minorEastAsia"/>
          <w:rtl/>
          <w:lang w:val="en-US"/>
        </w:rPr>
        <w:tab/>
        <w:t xml:space="preserve">قررت اللجنة وقف نظرها في بلاغ القضية </w:t>
      </w:r>
      <w:r w:rsidRPr="004E03DC">
        <w:rPr>
          <w:rFonts w:eastAsiaTheme="minorEastAsia"/>
          <w:i/>
          <w:iCs/>
          <w:rtl/>
          <w:lang w:val="en-US"/>
        </w:rPr>
        <w:t>س.</w:t>
      </w:r>
      <w:r w:rsidR="00C13537" w:rsidRPr="004E03DC">
        <w:rPr>
          <w:rFonts w:eastAsiaTheme="minorEastAsia" w:hint="cs"/>
          <w:i/>
          <w:iCs/>
          <w:rtl/>
          <w:lang w:val="en-US"/>
        </w:rPr>
        <w:t xml:space="preserve"> </w:t>
      </w:r>
      <w:r w:rsidRPr="004E03DC">
        <w:rPr>
          <w:rFonts w:eastAsiaTheme="minorEastAsia"/>
          <w:i/>
          <w:iCs/>
          <w:rtl/>
          <w:lang w:val="en-US"/>
        </w:rPr>
        <w:t>ق. ضد السويد</w:t>
      </w:r>
      <w:r w:rsidRPr="004E03DC">
        <w:rPr>
          <w:rStyle w:val="FootnoteReference"/>
          <w:sz w:val="22"/>
          <w:rtl/>
          <w:lang w:val="en-US"/>
        </w:rPr>
        <w:t>(</w:t>
      </w:r>
      <w:r w:rsidRPr="004E03DC">
        <w:rPr>
          <w:rStyle w:val="FootnoteReference"/>
          <w:sz w:val="22"/>
          <w:rtl/>
          <w:lang w:val="en-US"/>
        </w:rPr>
        <w:footnoteReference w:id="20"/>
      </w:r>
      <w:r w:rsidRPr="004E03DC">
        <w:rPr>
          <w:rStyle w:val="FootnoteReference"/>
          <w:sz w:val="22"/>
          <w:rtl/>
          <w:lang w:val="en-US"/>
        </w:rPr>
        <w:t>)</w:t>
      </w:r>
      <w:r w:rsidR="00C13537" w:rsidRPr="004E03DC">
        <w:rPr>
          <w:rFonts w:eastAsiaTheme="minorEastAsia" w:hint="cs"/>
          <w:rtl/>
          <w:lang w:val="en-US"/>
        </w:rPr>
        <w:t>،</w:t>
      </w:r>
      <w:r w:rsidRPr="004E03DC">
        <w:rPr>
          <w:rFonts w:eastAsiaTheme="minorEastAsia"/>
          <w:rtl/>
          <w:lang w:val="en-US"/>
        </w:rPr>
        <w:t> فيما يتعلق بإبعاد صاحب البلاغ إلى العراق. فقد أصبح قرار طرد صاحب البلاغ ساقطاً بالتقادم وتمكن من تقديم طلب لجوء جديد.</w:t>
      </w:r>
    </w:p>
    <w:p w14:paraId="11156935" w14:textId="4BF6FA3B" w:rsidR="00766F91" w:rsidRPr="004E03DC" w:rsidRDefault="00766F91" w:rsidP="00766F91">
      <w:pPr>
        <w:pStyle w:val="H4GA"/>
        <w:rPr>
          <w:lang w:val="en-US" w:eastAsia="zh-TW"/>
        </w:rPr>
      </w:pPr>
      <w:r w:rsidRPr="004E03DC">
        <w:rPr>
          <w:rtl/>
          <w:lang w:val="en-US"/>
        </w:rPr>
        <w:tab/>
      </w:r>
      <w:r w:rsidRPr="004E03DC">
        <w:rPr>
          <w:rtl/>
          <w:lang w:val="en-US"/>
        </w:rPr>
        <w:tab/>
        <w:t>م.</w:t>
      </w:r>
      <w:r w:rsidRPr="004E03DC">
        <w:rPr>
          <w:rFonts w:hint="cs"/>
          <w:rtl/>
          <w:lang w:val="en-US"/>
        </w:rPr>
        <w:t xml:space="preserve"> </w:t>
      </w:r>
      <w:r w:rsidRPr="004E03DC">
        <w:rPr>
          <w:rtl/>
          <w:lang w:val="en-US"/>
        </w:rPr>
        <w:t>أ.</w:t>
      </w:r>
      <w:r w:rsidRPr="004E03DC">
        <w:rPr>
          <w:rFonts w:hint="cs"/>
          <w:rtl/>
          <w:lang w:val="en-US"/>
        </w:rPr>
        <w:t xml:space="preserve"> </w:t>
      </w:r>
      <w:r w:rsidRPr="004E03DC">
        <w:rPr>
          <w:rtl/>
          <w:lang w:val="en-US"/>
        </w:rPr>
        <w:t>ر.</w:t>
      </w:r>
      <w:r w:rsidRPr="004E03DC">
        <w:rPr>
          <w:rFonts w:hint="cs"/>
          <w:rtl/>
          <w:lang w:val="en-US"/>
        </w:rPr>
        <w:t xml:space="preserve"> </w:t>
      </w:r>
      <w:r w:rsidRPr="004E03DC">
        <w:rPr>
          <w:rtl/>
          <w:lang w:val="en-US"/>
        </w:rPr>
        <w:t>ج. ضد إسبانيا</w:t>
      </w:r>
    </w:p>
    <w:p w14:paraId="7D71DC3C" w14:textId="2B192770" w:rsidR="00766F91" w:rsidRPr="004E03DC" w:rsidRDefault="00766F91" w:rsidP="00766F91">
      <w:pPr>
        <w:pStyle w:val="SingleTxtGA"/>
        <w:rPr>
          <w:rFonts w:eastAsiaTheme="minorEastAsia"/>
          <w:lang w:val="en-US" w:eastAsia="zh-TW"/>
        </w:rPr>
      </w:pPr>
      <w:r w:rsidRPr="004E03DC">
        <w:rPr>
          <w:rFonts w:eastAsiaTheme="minorEastAsia"/>
          <w:rtl/>
          <w:lang w:val="en-US"/>
        </w:rPr>
        <w:t>14-</w:t>
      </w:r>
      <w:r w:rsidRPr="004E03DC">
        <w:rPr>
          <w:rFonts w:eastAsiaTheme="minorEastAsia"/>
          <w:rtl/>
          <w:lang w:val="en-US"/>
        </w:rPr>
        <w:tab/>
        <w:t xml:space="preserve">قررت اللجنة وقف نظرها في قضية </w:t>
      </w:r>
      <w:r w:rsidRPr="004E03DC">
        <w:rPr>
          <w:rFonts w:eastAsiaTheme="minorEastAsia"/>
          <w:i/>
          <w:iCs/>
          <w:rtl/>
          <w:lang w:val="en-US"/>
        </w:rPr>
        <w:t>م.</w:t>
      </w:r>
      <w:r w:rsidR="00C13537" w:rsidRPr="004E03DC">
        <w:rPr>
          <w:rFonts w:eastAsiaTheme="minorEastAsia" w:hint="cs"/>
          <w:i/>
          <w:iCs/>
          <w:rtl/>
          <w:lang w:val="en-US"/>
        </w:rPr>
        <w:t xml:space="preserve"> </w:t>
      </w:r>
      <w:r w:rsidRPr="004E03DC">
        <w:rPr>
          <w:rFonts w:eastAsiaTheme="minorEastAsia"/>
          <w:i/>
          <w:iCs/>
          <w:rtl/>
          <w:lang w:val="en-US"/>
        </w:rPr>
        <w:t>أ.</w:t>
      </w:r>
      <w:r w:rsidR="00C13537" w:rsidRPr="004E03DC">
        <w:rPr>
          <w:rFonts w:eastAsiaTheme="minorEastAsia" w:hint="cs"/>
          <w:i/>
          <w:iCs/>
          <w:rtl/>
          <w:lang w:val="en-US"/>
        </w:rPr>
        <w:t xml:space="preserve"> </w:t>
      </w:r>
      <w:r w:rsidRPr="004E03DC">
        <w:rPr>
          <w:rFonts w:eastAsiaTheme="minorEastAsia"/>
          <w:i/>
          <w:iCs/>
          <w:rtl/>
          <w:lang w:val="en-US"/>
        </w:rPr>
        <w:t>ر.</w:t>
      </w:r>
      <w:r w:rsidR="00C13537" w:rsidRPr="004E03DC">
        <w:rPr>
          <w:rFonts w:eastAsiaTheme="minorEastAsia" w:hint="cs"/>
          <w:i/>
          <w:iCs/>
          <w:rtl/>
          <w:lang w:val="en-US"/>
        </w:rPr>
        <w:t xml:space="preserve"> </w:t>
      </w:r>
      <w:r w:rsidRPr="004E03DC">
        <w:rPr>
          <w:rFonts w:eastAsiaTheme="minorEastAsia"/>
          <w:i/>
          <w:iCs/>
          <w:rtl/>
          <w:lang w:val="en-US"/>
        </w:rPr>
        <w:t>ج. ضد إسبانيا</w:t>
      </w:r>
      <w:r w:rsidRPr="004E03DC">
        <w:rPr>
          <w:rStyle w:val="FootnoteReference"/>
          <w:sz w:val="22"/>
          <w:rtl/>
          <w:lang w:val="en-US"/>
        </w:rPr>
        <w:t>(</w:t>
      </w:r>
      <w:r w:rsidRPr="004E03DC">
        <w:rPr>
          <w:rStyle w:val="FootnoteReference"/>
          <w:sz w:val="22"/>
          <w:rtl/>
          <w:lang w:val="en-US"/>
        </w:rPr>
        <w:footnoteReference w:id="21"/>
      </w:r>
      <w:r w:rsidRPr="004E03DC">
        <w:rPr>
          <w:rStyle w:val="FootnoteReference"/>
          <w:sz w:val="22"/>
          <w:rtl/>
          <w:lang w:val="en-US"/>
        </w:rPr>
        <w:t>)</w:t>
      </w:r>
      <w:r w:rsidR="00C13537" w:rsidRPr="004E03DC">
        <w:rPr>
          <w:rFonts w:eastAsiaTheme="minorEastAsia" w:hint="cs"/>
          <w:rtl/>
          <w:lang w:val="en-US"/>
        </w:rPr>
        <w:t>،</w:t>
      </w:r>
      <w:r w:rsidRPr="004E03DC">
        <w:rPr>
          <w:rFonts w:eastAsiaTheme="minorEastAsia"/>
          <w:rtl/>
          <w:lang w:val="en-US"/>
        </w:rPr>
        <w:t xml:space="preserve"> بشأن الحق في عدم التمييز في البقاء أو الاستمرار في العمل. ولاحظت اللجنة أن صاحب البلاغ قد عُيّن في وظيفة فني دعم غير </w:t>
      </w:r>
      <w:r w:rsidRPr="004E03DC">
        <w:rPr>
          <w:rFonts w:eastAsiaTheme="minorEastAsia"/>
          <w:rtl/>
          <w:lang w:val="en-US"/>
        </w:rPr>
        <w:lastRenderedPageBreak/>
        <w:t>شرطي وأنه حصل على تعويض. ورأت اللجنة أن التدابير التي اتخذتها الدولة الطرف لصالح صاحب البلاغ تجعل البلاغ دون أي غرض.</w:t>
      </w:r>
    </w:p>
    <w:p w14:paraId="141ADCAA" w14:textId="77777777" w:rsidR="00766F91" w:rsidRPr="004E03DC" w:rsidRDefault="00766F91" w:rsidP="00766F91">
      <w:pPr>
        <w:pStyle w:val="H4GA"/>
        <w:rPr>
          <w:lang w:val="en-US" w:eastAsia="zh-TW"/>
        </w:rPr>
      </w:pPr>
      <w:r w:rsidRPr="004E03DC">
        <w:rPr>
          <w:rtl/>
          <w:lang w:val="en-US"/>
        </w:rPr>
        <w:tab/>
      </w:r>
      <w:r w:rsidRPr="004E03DC">
        <w:rPr>
          <w:rtl/>
          <w:lang w:val="en-US"/>
        </w:rPr>
        <w:tab/>
        <w:t>غونزاليس أوتيرو وآخرون ضد إسبانيا</w:t>
      </w:r>
    </w:p>
    <w:p w14:paraId="65902AC4" w14:textId="203E169E" w:rsidR="00766F91" w:rsidRPr="004E03DC" w:rsidRDefault="00766F91" w:rsidP="00766F91">
      <w:pPr>
        <w:pStyle w:val="SingleTxtGA"/>
        <w:rPr>
          <w:rFonts w:eastAsiaTheme="minorEastAsia"/>
          <w:lang w:val="en-US" w:eastAsia="zh-TW"/>
        </w:rPr>
      </w:pPr>
      <w:r w:rsidRPr="004E03DC">
        <w:rPr>
          <w:rFonts w:eastAsiaTheme="minorEastAsia"/>
          <w:rtl/>
          <w:lang w:val="en-US"/>
        </w:rPr>
        <w:t>15-</w:t>
      </w:r>
      <w:r w:rsidRPr="004E03DC">
        <w:rPr>
          <w:rFonts w:eastAsiaTheme="minorEastAsia"/>
          <w:rtl/>
          <w:lang w:val="en-US"/>
        </w:rPr>
        <w:tab/>
        <w:t xml:space="preserve">قررت اللجنة وقف نظرها في البلاغ في قضية </w:t>
      </w:r>
      <w:r w:rsidRPr="004E03DC">
        <w:rPr>
          <w:rFonts w:eastAsiaTheme="minorEastAsia"/>
          <w:i/>
          <w:iCs/>
          <w:rtl/>
          <w:lang w:val="en-US"/>
        </w:rPr>
        <w:t>غونزاليس أوتيرو وآخرون ضد إسبانيا</w:t>
      </w:r>
      <w:r w:rsidRPr="004E03DC">
        <w:rPr>
          <w:rStyle w:val="FootnoteReference"/>
          <w:sz w:val="22"/>
          <w:rtl/>
          <w:lang w:val="en-US"/>
        </w:rPr>
        <w:t>(</w:t>
      </w:r>
      <w:r w:rsidRPr="004E03DC">
        <w:rPr>
          <w:rStyle w:val="FootnoteReference"/>
          <w:sz w:val="22"/>
          <w:rtl/>
          <w:lang w:val="en-US"/>
        </w:rPr>
        <w:footnoteReference w:id="22"/>
      </w:r>
      <w:r w:rsidRPr="004E03DC">
        <w:rPr>
          <w:rStyle w:val="FootnoteReference"/>
          <w:sz w:val="22"/>
          <w:rtl/>
          <w:lang w:val="en-US"/>
        </w:rPr>
        <w:t>)</w:t>
      </w:r>
      <w:r w:rsidRPr="004E03DC">
        <w:rPr>
          <w:rFonts w:eastAsiaTheme="minorEastAsia" w:hint="cs"/>
          <w:rtl/>
          <w:lang w:val="en-US"/>
        </w:rPr>
        <w:t>،</w:t>
      </w:r>
      <w:r w:rsidRPr="004E03DC">
        <w:rPr>
          <w:rFonts w:eastAsiaTheme="minorEastAsia"/>
          <w:rtl/>
          <w:lang w:val="en-US"/>
        </w:rPr>
        <w:t> بشأن الحق في عدم التمييز في الحصول على تراخيص تشغيل ألعاب اليانصيب. فقد رأت اللجنة أن الأمانة فقدت الاتصال بصاحب البلاغ، لأنه لم يقدم تعليقاته على طلب الدولة الطرف وقف النظر في البلاغ، رغم تذكيرها له بذلك</w:t>
      </w:r>
      <w:r w:rsidR="00695545" w:rsidRPr="004E03DC">
        <w:rPr>
          <w:rFonts w:eastAsiaTheme="minorEastAsia" w:hint="cs"/>
          <w:rtl/>
          <w:lang w:val="en-US"/>
        </w:rPr>
        <w:t>.</w:t>
      </w:r>
    </w:p>
    <w:p w14:paraId="72E7FD9A" w14:textId="48F8FA73" w:rsidR="00766F91" w:rsidRPr="004E03DC" w:rsidRDefault="00766F91" w:rsidP="00766F91">
      <w:pPr>
        <w:pStyle w:val="SingleTxtGA"/>
        <w:jc w:val="center"/>
        <w:rPr>
          <w:u w:val="single"/>
          <w:rtl/>
          <w:lang w:val="en-US" w:eastAsia="zh-TW"/>
        </w:rPr>
      </w:pPr>
      <w:r w:rsidRPr="004E03DC">
        <w:rPr>
          <w:u w:val="single"/>
          <w:rtl/>
          <w:lang w:val="en-US" w:eastAsia="zh-TW"/>
        </w:rPr>
        <w:tab/>
      </w:r>
      <w:r w:rsidRPr="004E03DC">
        <w:rPr>
          <w:u w:val="single"/>
          <w:rtl/>
          <w:lang w:val="en-US" w:eastAsia="zh-TW"/>
        </w:rPr>
        <w:tab/>
      </w:r>
      <w:r w:rsidRPr="004E03DC">
        <w:rPr>
          <w:u w:val="single"/>
          <w:rtl/>
          <w:lang w:val="en-US" w:eastAsia="zh-TW"/>
        </w:rPr>
        <w:tab/>
      </w:r>
    </w:p>
    <w:sectPr w:rsidR="00766F91" w:rsidRPr="004E03DC" w:rsidSect="00BD45E7">
      <w:headerReference w:type="first" r:id="rId15"/>
      <w:footerReference w:type="first" r:id="rId16"/>
      <w:footnotePr>
        <w:numRestart w:val="eachSect"/>
      </w:footnotePr>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FC9AE0" w14:textId="77777777" w:rsidR="00FC5F47" w:rsidRPr="002901D9" w:rsidRDefault="00FC5F47" w:rsidP="006A5EE7">
      <w:pPr>
        <w:spacing w:after="60" w:line="240" w:lineRule="auto"/>
        <w:ind w:left="57"/>
        <w:rPr>
          <w:i/>
          <w:iCs/>
        </w:rPr>
      </w:pPr>
      <w:r>
        <w:rPr>
          <w:rFonts w:hint="cs"/>
          <w:i/>
          <w:iCs/>
          <w:rtl/>
        </w:rPr>
        <w:t>الحواشي</w:t>
      </w:r>
    </w:p>
  </w:endnote>
  <w:endnote w:type="continuationSeparator" w:id="0">
    <w:p w14:paraId="0EB885B8" w14:textId="77777777" w:rsidR="00FC5F47" w:rsidRDefault="00FC5F47"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04A73E" w14:textId="2785B697" w:rsidR="00AA6360" w:rsidRPr="00AA6360" w:rsidRDefault="00AA6360" w:rsidP="00AA6360">
    <w:pPr>
      <w:pStyle w:val="Footer"/>
      <w:tabs>
        <w:tab w:val="right" w:pos="9638"/>
      </w:tabs>
      <w:rPr>
        <w:b/>
        <w:sz w:val="18"/>
        <w:lang w:val="en-US"/>
      </w:rPr>
    </w:pPr>
    <w:r>
      <w:rPr>
        <w:lang w:val="en-US"/>
      </w:rPr>
      <w:t>GE.24-17277</w:t>
    </w:r>
    <w:r>
      <w:rPr>
        <w:lang w:val="en-US"/>
      </w:rPr>
      <w:tab/>
    </w:r>
    <w:r w:rsidRPr="00AA6360">
      <w:rPr>
        <w:b/>
        <w:sz w:val="18"/>
        <w:lang w:val="en-US"/>
      </w:rPr>
      <w:fldChar w:fldCharType="begin"/>
    </w:r>
    <w:r w:rsidRPr="00AA6360">
      <w:rPr>
        <w:b/>
        <w:sz w:val="18"/>
        <w:lang w:val="en-US"/>
      </w:rPr>
      <w:instrText xml:space="preserve"> PAGE  \* MERGEFORMAT </w:instrText>
    </w:r>
    <w:r w:rsidRPr="00AA6360">
      <w:rPr>
        <w:b/>
        <w:sz w:val="18"/>
        <w:lang w:val="en-US"/>
      </w:rPr>
      <w:fldChar w:fldCharType="separate"/>
    </w:r>
    <w:r w:rsidRPr="00AA6360">
      <w:rPr>
        <w:b/>
        <w:noProof/>
        <w:sz w:val="18"/>
        <w:lang w:val="en-US"/>
      </w:rPr>
      <w:t>2</w:t>
    </w:r>
    <w:r w:rsidRPr="00AA6360">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416131" w14:textId="6EA74493" w:rsidR="006959B0" w:rsidRPr="00AA6360" w:rsidRDefault="00AA6360" w:rsidP="00AA6360">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GE.24-17277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E63F85" w14:textId="4163164F" w:rsidR="00114439" w:rsidRPr="00AA6360" w:rsidRDefault="00AA6360" w:rsidP="00AA6360">
    <w:pPr>
      <w:pStyle w:val="Footer"/>
      <w:spacing w:before="600"/>
      <w:ind w:left="567"/>
      <w:jc w:val="right"/>
      <w:rPr>
        <w:sz w:val="20"/>
        <w:lang w:val="en-US"/>
      </w:rPr>
    </w:pPr>
    <w:r>
      <w:rPr>
        <w:sz w:val="20"/>
        <w:lang w:val="en-US"/>
      </w:rPr>
      <w:t>GE.</w:t>
    </w:r>
    <w:r w:rsidR="006163CA">
      <w:rPr>
        <w:noProof/>
      </w:rPr>
      <w:drawing>
        <wp:anchor distT="0" distB="0" distL="114300" distR="114300" simplePos="0" relativeHeight="251658240" behindDoc="1" locked="1" layoutInCell="0" allowOverlap="1" wp14:anchorId="31908295" wp14:editId="4D723624">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24-17277 </w:t>
    </w:r>
    <w:r w:rsidR="007B39D3">
      <w:rPr>
        <w:sz w:val="20"/>
        <w:lang w:val="en-US"/>
      </w:rPr>
      <w:t>(A)    281024    301024</w:t>
    </w:r>
    <w:r>
      <w:rPr>
        <w:noProof/>
        <w:sz w:val="20"/>
        <w:lang w:val="en-US"/>
      </w:rPr>
      <w:drawing>
        <wp:anchor distT="0" distB="0" distL="114300" distR="114300" simplePos="0" relativeHeight="251659264" behindDoc="0" locked="0" layoutInCell="1" allowOverlap="1" wp14:anchorId="64193E98" wp14:editId="795C5CDC">
          <wp:simplePos x="0" y="0"/>
          <wp:positionH relativeFrom="margin">
            <wp:posOffset>0</wp:posOffset>
          </wp:positionH>
          <wp:positionV relativeFrom="margin">
            <wp:posOffset>8891905</wp:posOffset>
          </wp:positionV>
          <wp:extent cx="628650" cy="628650"/>
          <wp:effectExtent l="0" t="0" r="0" b="0"/>
          <wp:wrapNone/>
          <wp:docPr id="2033488732"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3488732"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EFD71B" w14:textId="77777777" w:rsidR="00C13537" w:rsidRPr="00AA6360" w:rsidRDefault="00C13537" w:rsidP="00C13537">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sz w:val="18"/>
        <w:lang w:val="en-US"/>
      </w:rPr>
      <w:t>5</w:t>
    </w:r>
    <w:r>
      <w:rPr>
        <w:b/>
        <w:sz w:val="18"/>
        <w:lang w:val="en-US"/>
      </w:rPr>
      <w:fldChar w:fldCharType="end"/>
    </w:r>
    <w:r>
      <w:rPr>
        <w:b/>
        <w:sz w:val="18"/>
        <w:lang w:val="en-US"/>
      </w:rPr>
      <w:tab/>
    </w:r>
    <w:r>
      <w:rPr>
        <w:lang w:val="en-US"/>
      </w:rPr>
      <w:t>GE.24-17277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FC2A3A" w14:textId="77777777" w:rsidR="00FC5F47" w:rsidRPr="00801A14" w:rsidRDefault="00FC5F47" w:rsidP="00801A14">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74829312" w14:textId="77777777" w:rsidR="00FC5F47" w:rsidRDefault="00FC5F47" w:rsidP="00656392">
      <w:pPr>
        <w:spacing w:line="240" w:lineRule="auto"/>
      </w:pPr>
      <w:r>
        <w:continuationSeparator/>
      </w:r>
    </w:p>
  </w:footnote>
  <w:footnote w:id="1">
    <w:p w14:paraId="66BB8674" w14:textId="31FE3E0C" w:rsidR="00766F91" w:rsidRPr="004E03DC" w:rsidRDefault="00766F91" w:rsidP="00766F91">
      <w:pPr>
        <w:pStyle w:val="FootnoteText1"/>
        <w:textDirection w:val="tbRlV"/>
        <w:rPr>
          <w:lang w:eastAsia="zh-TW"/>
        </w:rPr>
      </w:pPr>
      <w:r w:rsidRPr="004E03DC">
        <w:rPr>
          <w:rtl/>
        </w:rPr>
        <w:t>(</w:t>
      </w:r>
      <w:r w:rsidRPr="004E03DC">
        <w:rPr>
          <w:rStyle w:val="FootnoteReference"/>
          <w:vertAlign w:val="baseline"/>
        </w:rPr>
        <w:footnoteRef/>
      </w:r>
      <w:r w:rsidRPr="004E03DC">
        <w:rPr>
          <w:rStyle w:val="FootnoteReference"/>
          <w:vertAlign w:val="baseline"/>
          <w:rtl/>
        </w:rPr>
        <w:t>)</w:t>
      </w:r>
      <w:r w:rsidRPr="004E03DC">
        <w:rPr>
          <w:rtl/>
        </w:rPr>
        <w:tab/>
      </w:r>
      <w:hyperlink r:id="rId1" w:history="1">
        <w:r w:rsidRPr="004E03DC">
          <w:rPr>
            <w:rStyle w:val="Hyperlink"/>
          </w:rPr>
          <w:t>CRPD/C/31/1</w:t>
        </w:r>
      </w:hyperlink>
      <w:r w:rsidRPr="004E03DC">
        <w:rPr>
          <w:rtl/>
        </w:rPr>
        <w:t>.</w:t>
      </w:r>
    </w:p>
  </w:footnote>
  <w:footnote w:id="2">
    <w:p w14:paraId="57EEFDD4" w14:textId="6EC20B60" w:rsidR="00766F91" w:rsidRPr="004E03DC" w:rsidRDefault="00766F91" w:rsidP="00766F91">
      <w:pPr>
        <w:pStyle w:val="FootnoteText1"/>
        <w:textDirection w:val="tbRlV"/>
        <w:rPr>
          <w:lang w:eastAsia="zh-TW"/>
        </w:rPr>
      </w:pPr>
      <w:r w:rsidRPr="004E03DC">
        <w:rPr>
          <w:rtl/>
        </w:rPr>
        <w:t>(</w:t>
      </w:r>
      <w:r w:rsidRPr="004E03DC">
        <w:rPr>
          <w:rStyle w:val="FootnoteReference"/>
          <w:vertAlign w:val="baseline"/>
        </w:rPr>
        <w:footnoteRef/>
      </w:r>
      <w:r w:rsidRPr="004E03DC">
        <w:rPr>
          <w:rStyle w:val="FootnoteReference"/>
          <w:vertAlign w:val="baseline"/>
          <w:rtl/>
        </w:rPr>
        <w:t>)</w:t>
      </w:r>
      <w:r w:rsidRPr="004E03DC">
        <w:rPr>
          <w:rtl/>
        </w:rPr>
        <w:tab/>
      </w:r>
      <w:hyperlink r:id="rId2" w:history="1">
        <w:r w:rsidRPr="004E03DC">
          <w:rPr>
            <w:rStyle w:val="Hyperlink"/>
          </w:rPr>
          <w:t>CRPD/C/31/D/69/2019</w:t>
        </w:r>
      </w:hyperlink>
      <w:r w:rsidRPr="004E03DC">
        <w:rPr>
          <w:rtl/>
        </w:rPr>
        <w:t>.</w:t>
      </w:r>
    </w:p>
  </w:footnote>
  <w:footnote w:id="3">
    <w:p w14:paraId="65509604" w14:textId="3B013178" w:rsidR="00766F91" w:rsidRPr="004E03DC" w:rsidRDefault="00766F91" w:rsidP="00766F91">
      <w:pPr>
        <w:pStyle w:val="FootnoteText1"/>
        <w:textDirection w:val="tbRlV"/>
        <w:rPr>
          <w:lang w:eastAsia="zh-TW"/>
        </w:rPr>
      </w:pPr>
      <w:r w:rsidRPr="004E03DC">
        <w:rPr>
          <w:rtl/>
        </w:rPr>
        <w:t>(</w:t>
      </w:r>
      <w:r w:rsidRPr="004E03DC">
        <w:rPr>
          <w:rStyle w:val="FootnoteReference"/>
          <w:vertAlign w:val="baseline"/>
        </w:rPr>
        <w:footnoteRef/>
      </w:r>
      <w:r w:rsidRPr="004E03DC">
        <w:rPr>
          <w:rStyle w:val="FootnoteReference"/>
          <w:vertAlign w:val="baseline"/>
          <w:rtl/>
        </w:rPr>
        <w:t>)</w:t>
      </w:r>
      <w:r w:rsidRPr="004E03DC">
        <w:rPr>
          <w:rtl/>
        </w:rPr>
        <w:tab/>
      </w:r>
      <w:hyperlink r:id="rId3" w:history="1">
        <w:r w:rsidRPr="004E03DC">
          <w:rPr>
            <w:rStyle w:val="Hyperlink"/>
          </w:rPr>
          <w:t>CRPD/C/31/D/104/2023</w:t>
        </w:r>
      </w:hyperlink>
      <w:r w:rsidRPr="004E03DC">
        <w:rPr>
          <w:rtl/>
        </w:rPr>
        <w:t>.</w:t>
      </w:r>
    </w:p>
  </w:footnote>
  <w:footnote w:id="4">
    <w:p w14:paraId="46F9A20B" w14:textId="78F8D2BB" w:rsidR="00766F91" w:rsidRPr="004E03DC" w:rsidRDefault="00766F91" w:rsidP="00766F91">
      <w:pPr>
        <w:pStyle w:val="FootnoteText1"/>
        <w:textDirection w:val="tbRlV"/>
        <w:rPr>
          <w:lang w:eastAsia="zh-TW"/>
        </w:rPr>
      </w:pPr>
      <w:r w:rsidRPr="004E03DC">
        <w:rPr>
          <w:rtl/>
        </w:rPr>
        <w:t>(</w:t>
      </w:r>
      <w:r w:rsidRPr="004E03DC">
        <w:rPr>
          <w:rStyle w:val="FootnoteReference"/>
          <w:vertAlign w:val="baseline"/>
        </w:rPr>
        <w:footnoteRef/>
      </w:r>
      <w:r w:rsidRPr="004E03DC">
        <w:rPr>
          <w:rStyle w:val="FootnoteReference"/>
          <w:vertAlign w:val="baseline"/>
          <w:rtl/>
        </w:rPr>
        <w:t>)</w:t>
      </w:r>
      <w:r w:rsidRPr="004E03DC">
        <w:rPr>
          <w:rtl/>
        </w:rPr>
        <w:tab/>
      </w:r>
      <w:hyperlink r:id="rId4" w:history="1">
        <w:r w:rsidRPr="004E03DC">
          <w:rPr>
            <w:rStyle w:val="Hyperlink"/>
          </w:rPr>
          <w:t>CRPD/C/31/D/94/2021</w:t>
        </w:r>
      </w:hyperlink>
      <w:r w:rsidRPr="004E03DC">
        <w:rPr>
          <w:rtl/>
        </w:rPr>
        <w:t>.</w:t>
      </w:r>
    </w:p>
  </w:footnote>
  <w:footnote w:id="5">
    <w:p w14:paraId="31FBC354" w14:textId="570E2362" w:rsidR="00766F91" w:rsidRPr="004E03DC" w:rsidRDefault="00766F91" w:rsidP="00766F91">
      <w:pPr>
        <w:pStyle w:val="FootnoteText1"/>
        <w:textDirection w:val="tbRlV"/>
        <w:rPr>
          <w:lang w:eastAsia="zh-TW"/>
        </w:rPr>
      </w:pPr>
      <w:r w:rsidRPr="004E03DC">
        <w:rPr>
          <w:rtl/>
        </w:rPr>
        <w:t>(</w:t>
      </w:r>
      <w:r w:rsidRPr="004E03DC">
        <w:rPr>
          <w:rStyle w:val="FootnoteReference"/>
          <w:vertAlign w:val="baseline"/>
        </w:rPr>
        <w:footnoteRef/>
      </w:r>
      <w:r w:rsidRPr="004E03DC">
        <w:rPr>
          <w:rStyle w:val="FootnoteReference"/>
          <w:vertAlign w:val="baseline"/>
          <w:rtl/>
        </w:rPr>
        <w:t>)</w:t>
      </w:r>
      <w:r w:rsidRPr="004E03DC">
        <w:rPr>
          <w:rtl/>
        </w:rPr>
        <w:tab/>
        <w:t xml:space="preserve">تُفهم أي إشارة إلى كوسوفو بالمعنى الوارد في سياق قرار مجلس الأمن </w:t>
      </w:r>
      <w:hyperlink r:id="rId5" w:history="1">
        <w:r w:rsidRPr="004E03DC">
          <w:rPr>
            <w:rStyle w:val="Hyperlink"/>
            <w:rtl/>
          </w:rPr>
          <w:t>1244(1999)</w:t>
        </w:r>
      </w:hyperlink>
      <w:r w:rsidRPr="004E03DC">
        <w:rPr>
          <w:rtl/>
        </w:rPr>
        <w:t>.</w:t>
      </w:r>
    </w:p>
  </w:footnote>
  <w:footnote w:id="6">
    <w:p w14:paraId="199D48EC" w14:textId="4BD3587B" w:rsidR="00766F91" w:rsidRPr="004E03DC" w:rsidRDefault="00766F91" w:rsidP="00766F91">
      <w:pPr>
        <w:pStyle w:val="FootnoteText1"/>
        <w:textDirection w:val="tbRlV"/>
        <w:rPr>
          <w:lang w:eastAsia="zh-TW"/>
        </w:rPr>
      </w:pPr>
      <w:r w:rsidRPr="004E03DC">
        <w:rPr>
          <w:rtl/>
        </w:rPr>
        <w:t>(</w:t>
      </w:r>
      <w:r w:rsidRPr="004E03DC">
        <w:rPr>
          <w:rStyle w:val="FootnoteReference"/>
          <w:vertAlign w:val="baseline"/>
        </w:rPr>
        <w:footnoteRef/>
      </w:r>
      <w:r w:rsidRPr="004E03DC">
        <w:rPr>
          <w:rStyle w:val="FootnoteReference"/>
          <w:vertAlign w:val="baseline"/>
          <w:rtl/>
        </w:rPr>
        <w:t>)</w:t>
      </w:r>
      <w:r w:rsidRPr="004E03DC">
        <w:rPr>
          <w:rtl/>
        </w:rPr>
        <w:tab/>
      </w:r>
      <w:hyperlink r:id="rId6" w:history="1">
        <w:r w:rsidRPr="004E03DC">
          <w:rPr>
            <w:rStyle w:val="Hyperlink"/>
          </w:rPr>
          <w:t>CRPD/C/31/D/62/2019</w:t>
        </w:r>
      </w:hyperlink>
      <w:r w:rsidRPr="004E03DC">
        <w:rPr>
          <w:rtl/>
        </w:rPr>
        <w:t>.</w:t>
      </w:r>
      <w:bookmarkStart w:id="1" w:name="_Hlk179283331"/>
      <w:bookmarkEnd w:id="1"/>
    </w:p>
  </w:footnote>
  <w:footnote w:id="7">
    <w:p w14:paraId="6CCB7395" w14:textId="634D27BA" w:rsidR="00766F91" w:rsidRPr="004E03DC" w:rsidRDefault="00766F91" w:rsidP="00766F91">
      <w:pPr>
        <w:pStyle w:val="FootnoteText1"/>
        <w:textDirection w:val="tbRlV"/>
        <w:rPr>
          <w:lang w:eastAsia="zh-TW"/>
        </w:rPr>
      </w:pPr>
      <w:r w:rsidRPr="004E03DC">
        <w:rPr>
          <w:rtl/>
        </w:rPr>
        <w:t>(</w:t>
      </w:r>
      <w:r w:rsidRPr="004E03DC">
        <w:rPr>
          <w:rStyle w:val="FootnoteReference"/>
          <w:vertAlign w:val="baseline"/>
        </w:rPr>
        <w:footnoteRef/>
      </w:r>
      <w:r w:rsidRPr="004E03DC">
        <w:rPr>
          <w:rStyle w:val="FootnoteReference"/>
          <w:vertAlign w:val="baseline"/>
          <w:rtl/>
        </w:rPr>
        <w:t>)</w:t>
      </w:r>
      <w:r w:rsidRPr="004E03DC">
        <w:rPr>
          <w:rtl/>
        </w:rPr>
        <w:tab/>
      </w:r>
      <w:hyperlink r:id="rId7" w:history="1">
        <w:r w:rsidRPr="004E03DC">
          <w:rPr>
            <w:rStyle w:val="Hyperlink"/>
          </w:rPr>
          <w:t>CRPD/C/31/D/63/2019</w:t>
        </w:r>
      </w:hyperlink>
      <w:r w:rsidRPr="004E03DC">
        <w:rPr>
          <w:rtl/>
        </w:rPr>
        <w:t>.</w:t>
      </w:r>
    </w:p>
  </w:footnote>
  <w:footnote w:id="8">
    <w:p w14:paraId="66815CB9" w14:textId="2C1734DC" w:rsidR="00766F91" w:rsidRPr="004E03DC" w:rsidRDefault="00766F91" w:rsidP="00766F91">
      <w:pPr>
        <w:pStyle w:val="FootnoteText1"/>
        <w:textDirection w:val="tbRlV"/>
        <w:rPr>
          <w:lang w:eastAsia="zh-TW"/>
        </w:rPr>
      </w:pPr>
      <w:r w:rsidRPr="004E03DC">
        <w:rPr>
          <w:rtl/>
        </w:rPr>
        <w:t>(</w:t>
      </w:r>
      <w:r w:rsidRPr="004E03DC">
        <w:rPr>
          <w:rStyle w:val="FootnoteReference"/>
          <w:vertAlign w:val="baseline"/>
        </w:rPr>
        <w:footnoteRef/>
      </w:r>
      <w:r w:rsidRPr="004E03DC">
        <w:rPr>
          <w:rStyle w:val="FootnoteReference"/>
          <w:vertAlign w:val="baseline"/>
          <w:rtl/>
        </w:rPr>
        <w:t>)</w:t>
      </w:r>
      <w:r w:rsidRPr="004E03DC">
        <w:rPr>
          <w:rtl/>
        </w:rPr>
        <w:tab/>
      </w:r>
      <w:hyperlink r:id="rId8" w:history="1">
        <w:r w:rsidRPr="004E03DC">
          <w:rPr>
            <w:rStyle w:val="Hyperlink"/>
          </w:rPr>
          <w:t>CRPD/C/31/D/91/2021</w:t>
        </w:r>
      </w:hyperlink>
      <w:r w:rsidRPr="004E03DC">
        <w:rPr>
          <w:rtl/>
        </w:rPr>
        <w:t>.</w:t>
      </w:r>
    </w:p>
  </w:footnote>
  <w:footnote w:id="9">
    <w:p w14:paraId="0F0280A4" w14:textId="644D8E90" w:rsidR="00766F91" w:rsidRPr="004E03DC" w:rsidRDefault="00766F91" w:rsidP="00766F91">
      <w:pPr>
        <w:pStyle w:val="FootnoteText1"/>
        <w:textDirection w:val="tbRlV"/>
        <w:rPr>
          <w:lang w:eastAsia="zh-TW"/>
        </w:rPr>
      </w:pPr>
      <w:r w:rsidRPr="004E03DC">
        <w:rPr>
          <w:rtl/>
        </w:rPr>
        <w:t>(</w:t>
      </w:r>
      <w:r w:rsidRPr="004E03DC">
        <w:rPr>
          <w:rStyle w:val="FootnoteReference"/>
          <w:vertAlign w:val="baseline"/>
        </w:rPr>
        <w:footnoteRef/>
      </w:r>
      <w:r w:rsidRPr="004E03DC">
        <w:rPr>
          <w:rStyle w:val="FootnoteReference"/>
          <w:vertAlign w:val="baseline"/>
          <w:rtl/>
        </w:rPr>
        <w:t>)</w:t>
      </w:r>
      <w:r w:rsidRPr="004E03DC">
        <w:rPr>
          <w:rtl/>
        </w:rPr>
        <w:tab/>
      </w:r>
      <w:hyperlink r:id="rId9" w:history="1">
        <w:r w:rsidRPr="004E03DC">
          <w:rPr>
            <w:rStyle w:val="Hyperlink"/>
          </w:rPr>
          <w:t>CRPD/C/6</w:t>
        </w:r>
      </w:hyperlink>
      <w:r w:rsidRPr="004E03DC">
        <w:rPr>
          <w:rtl/>
        </w:rPr>
        <w:t>.</w:t>
      </w:r>
    </w:p>
  </w:footnote>
  <w:footnote w:id="10">
    <w:p w14:paraId="4FF21223" w14:textId="6A01D22B" w:rsidR="00766F91" w:rsidRPr="004E03DC" w:rsidRDefault="00766F91" w:rsidP="00766F91">
      <w:pPr>
        <w:pStyle w:val="FootnoteText1"/>
        <w:textDirection w:val="tbRlV"/>
        <w:rPr>
          <w:lang w:eastAsia="zh-TW"/>
        </w:rPr>
      </w:pPr>
      <w:r w:rsidRPr="004E03DC">
        <w:rPr>
          <w:rtl/>
        </w:rPr>
        <w:t>(</w:t>
      </w:r>
      <w:r w:rsidRPr="004E03DC">
        <w:rPr>
          <w:rStyle w:val="FootnoteReference"/>
          <w:vertAlign w:val="baseline"/>
        </w:rPr>
        <w:footnoteRef/>
      </w:r>
      <w:r w:rsidRPr="004E03DC">
        <w:rPr>
          <w:rStyle w:val="FootnoteReference"/>
          <w:vertAlign w:val="baseline"/>
          <w:rtl/>
        </w:rPr>
        <w:t>)</w:t>
      </w:r>
      <w:r w:rsidRPr="004E03DC">
        <w:rPr>
          <w:rtl/>
        </w:rPr>
        <w:tab/>
        <w:t xml:space="preserve">انظر </w:t>
      </w:r>
      <w:hyperlink r:id="rId10" w:history="1">
        <w:r w:rsidRPr="004E03DC">
          <w:rPr>
            <w:rStyle w:val="Hyperlink"/>
          </w:rPr>
          <w:t>https://documents.un.org</w:t>
        </w:r>
      </w:hyperlink>
      <w:r w:rsidRPr="004E03DC">
        <w:rPr>
          <w:rtl/>
        </w:rPr>
        <w:t>.</w:t>
      </w:r>
    </w:p>
  </w:footnote>
  <w:footnote w:id="11">
    <w:p w14:paraId="17EB00EE" w14:textId="23216D9E" w:rsidR="00766F91" w:rsidRPr="004E03DC" w:rsidRDefault="00766F91" w:rsidP="00766F91">
      <w:pPr>
        <w:pStyle w:val="FootnoteText1"/>
        <w:textDirection w:val="tbRlV"/>
        <w:rPr>
          <w:lang w:eastAsia="zh-TW"/>
        </w:rPr>
      </w:pPr>
      <w:r w:rsidRPr="004E03DC">
        <w:rPr>
          <w:rtl/>
        </w:rPr>
        <w:t>(</w:t>
      </w:r>
      <w:r w:rsidRPr="004E03DC">
        <w:rPr>
          <w:rStyle w:val="FootnoteReference"/>
          <w:vertAlign w:val="baseline"/>
        </w:rPr>
        <w:footnoteRef/>
      </w:r>
      <w:r w:rsidRPr="004E03DC">
        <w:rPr>
          <w:rStyle w:val="FootnoteReference"/>
          <w:vertAlign w:val="baseline"/>
          <w:rtl/>
        </w:rPr>
        <w:t>)</w:t>
      </w:r>
      <w:r w:rsidRPr="004E03DC">
        <w:rPr>
          <w:rtl/>
        </w:rPr>
        <w:tab/>
      </w:r>
      <w:hyperlink r:id="rId11" w:history="1">
        <w:r w:rsidRPr="004E03DC">
          <w:rPr>
            <w:rStyle w:val="Hyperlink"/>
          </w:rPr>
          <w:t>CRPD/C/BLR/1</w:t>
        </w:r>
      </w:hyperlink>
      <w:r w:rsidRPr="004E03DC">
        <w:rPr>
          <w:rtl/>
        </w:rPr>
        <w:t>، و</w:t>
      </w:r>
      <w:hyperlink r:id="rId12" w:history="1">
        <w:r w:rsidRPr="004E03DC">
          <w:rPr>
            <w:rStyle w:val="Hyperlink"/>
          </w:rPr>
          <w:t>CRPD/C/BEN/1</w:t>
        </w:r>
      </w:hyperlink>
      <w:r w:rsidRPr="004E03DC">
        <w:rPr>
          <w:rtl/>
        </w:rPr>
        <w:t>، و</w:t>
      </w:r>
      <w:hyperlink r:id="rId13" w:history="1">
        <w:r w:rsidRPr="004E03DC">
          <w:rPr>
            <w:rStyle w:val="Hyperlink"/>
          </w:rPr>
          <w:t>CRPD/C/BFA/1</w:t>
        </w:r>
      </w:hyperlink>
      <w:r w:rsidRPr="004E03DC">
        <w:rPr>
          <w:rtl/>
        </w:rPr>
        <w:t>، و</w:t>
      </w:r>
      <w:hyperlink r:id="rId14" w:history="1">
        <w:r w:rsidRPr="004E03DC">
          <w:rPr>
            <w:rStyle w:val="Hyperlink"/>
          </w:rPr>
          <w:t>CRPD/C/GHA/1</w:t>
        </w:r>
      </w:hyperlink>
      <w:r w:rsidRPr="004E03DC">
        <w:rPr>
          <w:rtl/>
        </w:rPr>
        <w:t>، و</w:t>
      </w:r>
      <w:hyperlink r:id="rId15" w:history="1">
        <w:r w:rsidRPr="004E03DC">
          <w:rPr>
            <w:rStyle w:val="Hyperlink"/>
          </w:rPr>
          <w:t>CRPD/C/NLD/1</w:t>
        </w:r>
      </w:hyperlink>
      <w:r w:rsidRPr="004E03DC">
        <w:rPr>
          <w:rtl/>
        </w:rPr>
        <w:t>.</w:t>
      </w:r>
    </w:p>
  </w:footnote>
  <w:footnote w:id="12">
    <w:p w14:paraId="5F939BB5" w14:textId="34FF818D" w:rsidR="00766F91" w:rsidRPr="004E03DC" w:rsidRDefault="00766F91" w:rsidP="00766F91">
      <w:pPr>
        <w:pStyle w:val="FootnoteText1"/>
        <w:textDirection w:val="tbRlV"/>
        <w:rPr>
          <w:lang w:eastAsia="zh-TW"/>
        </w:rPr>
      </w:pPr>
      <w:r w:rsidRPr="004E03DC">
        <w:rPr>
          <w:rtl/>
        </w:rPr>
        <w:t>(</w:t>
      </w:r>
      <w:r w:rsidRPr="004E03DC">
        <w:rPr>
          <w:rStyle w:val="FootnoteReference"/>
          <w:vertAlign w:val="baseline"/>
        </w:rPr>
        <w:footnoteRef/>
      </w:r>
      <w:r w:rsidRPr="004E03DC">
        <w:rPr>
          <w:rStyle w:val="FootnoteReference"/>
          <w:vertAlign w:val="baseline"/>
          <w:rtl/>
        </w:rPr>
        <w:t>)</w:t>
      </w:r>
      <w:r w:rsidRPr="004E03DC">
        <w:rPr>
          <w:rtl/>
        </w:rPr>
        <w:tab/>
      </w:r>
      <w:hyperlink r:id="rId16" w:history="1">
        <w:r w:rsidRPr="004E03DC">
          <w:rPr>
            <w:rStyle w:val="Hyperlink"/>
          </w:rPr>
          <w:t>CRPD/C/BEL/2-3</w:t>
        </w:r>
      </w:hyperlink>
      <w:r w:rsidRPr="004E03DC">
        <w:rPr>
          <w:rtl/>
        </w:rPr>
        <w:t xml:space="preserve"> و</w:t>
      </w:r>
      <w:hyperlink r:id="rId17" w:history="1">
        <w:r w:rsidRPr="004E03DC">
          <w:rPr>
            <w:rStyle w:val="Hyperlink"/>
          </w:rPr>
          <w:t>CRPD/C/DNK/2-3</w:t>
        </w:r>
      </w:hyperlink>
      <w:r w:rsidRPr="004E03DC">
        <w:rPr>
          <w:rtl/>
        </w:rPr>
        <w:t xml:space="preserve"> و</w:t>
      </w:r>
      <w:hyperlink r:id="rId18" w:history="1">
        <w:r w:rsidRPr="004E03DC">
          <w:rPr>
            <w:rStyle w:val="Hyperlink"/>
          </w:rPr>
          <w:t>CRPD/C/MUS/2-3</w:t>
        </w:r>
      </w:hyperlink>
      <w:r w:rsidRPr="004E03DC">
        <w:rPr>
          <w:rtl/>
        </w:rPr>
        <w:t xml:space="preserve"> و</w:t>
      </w:r>
      <w:hyperlink r:id="rId19" w:history="1">
        <w:r w:rsidRPr="004E03DC">
          <w:rPr>
            <w:rStyle w:val="Hyperlink"/>
          </w:rPr>
          <w:t>CRPD/C/UKR/2-3</w:t>
        </w:r>
      </w:hyperlink>
      <w:r w:rsidRPr="004E03DC">
        <w:rPr>
          <w:rtl/>
        </w:rPr>
        <w:t>.</w:t>
      </w:r>
    </w:p>
  </w:footnote>
  <w:footnote w:id="13">
    <w:p w14:paraId="204B6E13" w14:textId="62249434" w:rsidR="00766F91" w:rsidRPr="004E03DC" w:rsidRDefault="00766F91" w:rsidP="00766F91">
      <w:pPr>
        <w:pStyle w:val="FootnoteText1"/>
        <w:jc w:val="left"/>
        <w:textDirection w:val="tbRlV"/>
        <w:rPr>
          <w:rtl/>
          <w:lang w:eastAsia="zh-TW"/>
        </w:rPr>
      </w:pPr>
      <w:r w:rsidRPr="004E03DC">
        <w:rPr>
          <w:rtl/>
        </w:rPr>
        <w:t>(</w:t>
      </w:r>
      <w:r w:rsidRPr="004E03DC">
        <w:rPr>
          <w:rStyle w:val="FootnoteReference"/>
          <w:vertAlign w:val="baseline"/>
        </w:rPr>
        <w:footnoteRef/>
      </w:r>
      <w:r w:rsidRPr="004E03DC">
        <w:rPr>
          <w:rStyle w:val="FootnoteReference"/>
          <w:vertAlign w:val="baseline"/>
          <w:rtl/>
        </w:rPr>
        <w:t>)</w:t>
      </w:r>
      <w:r w:rsidRPr="004E03DC">
        <w:rPr>
          <w:rtl/>
        </w:rPr>
        <w:tab/>
      </w:r>
      <w:hyperlink r:id="rId20" w:history="1">
        <w:r w:rsidRPr="004E03DC">
          <w:rPr>
            <w:rStyle w:val="Hyperlink"/>
          </w:rPr>
          <w:t>CRPD/C/BLR/CO/1</w:t>
        </w:r>
      </w:hyperlink>
      <w:r w:rsidRPr="004E03DC">
        <w:rPr>
          <w:rtl/>
        </w:rPr>
        <w:t xml:space="preserve">، </w:t>
      </w:r>
      <w:hyperlink r:id="rId21" w:history="1">
        <w:r w:rsidRPr="004E03DC">
          <w:rPr>
            <w:rStyle w:val="Hyperlink"/>
          </w:rPr>
          <w:t>CRPD/C/BEL/CO/2-3</w:t>
        </w:r>
      </w:hyperlink>
      <w:r w:rsidRPr="004E03DC">
        <w:rPr>
          <w:rtl/>
        </w:rPr>
        <w:t xml:space="preserve">، </w:t>
      </w:r>
      <w:hyperlink r:id="rId22" w:history="1">
        <w:r w:rsidRPr="004E03DC">
          <w:rPr>
            <w:rStyle w:val="Hyperlink"/>
          </w:rPr>
          <w:t>CRPD/C/BEN/CO/1</w:t>
        </w:r>
      </w:hyperlink>
      <w:r w:rsidRPr="004E03DC">
        <w:rPr>
          <w:rtl/>
        </w:rPr>
        <w:t xml:space="preserve">، </w:t>
      </w:r>
      <w:hyperlink r:id="rId23" w:history="1">
        <w:r w:rsidRPr="004E03DC">
          <w:rPr>
            <w:rStyle w:val="Hyperlink"/>
          </w:rPr>
          <w:t>CRPD/C/BFA/CO/1</w:t>
        </w:r>
      </w:hyperlink>
      <w:r w:rsidRPr="004E03DC">
        <w:rPr>
          <w:rtl/>
        </w:rPr>
        <w:t xml:space="preserve"> </w:t>
      </w:r>
      <w:hyperlink r:id="rId24" w:history="1">
        <w:r w:rsidRPr="004E03DC">
          <w:rPr>
            <w:rStyle w:val="Hyperlink"/>
          </w:rPr>
          <w:t>CRPD/C/DNK/CO/2-3</w:t>
        </w:r>
      </w:hyperlink>
      <w:r w:rsidRPr="004E03DC">
        <w:rPr>
          <w:rtl/>
        </w:rPr>
        <w:t xml:space="preserve">، </w:t>
      </w:r>
      <w:hyperlink r:id="rId25" w:history="1">
        <w:r w:rsidRPr="004E03DC">
          <w:rPr>
            <w:rStyle w:val="Hyperlink"/>
          </w:rPr>
          <w:t>CRPD/C/GHA/CO/1</w:t>
        </w:r>
      </w:hyperlink>
      <w:r w:rsidRPr="004E03DC">
        <w:rPr>
          <w:rtl/>
        </w:rPr>
        <w:t xml:space="preserve">، </w:t>
      </w:r>
      <w:hyperlink r:id="rId26" w:history="1">
        <w:r w:rsidRPr="004E03DC">
          <w:rPr>
            <w:rStyle w:val="Hyperlink"/>
          </w:rPr>
          <w:t>CRPD/C/MUS/CO/2-3</w:t>
        </w:r>
      </w:hyperlink>
      <w:r w:rsidRPr="004E03DC">
        <w:rPr>
          <w:rtl/>
        </w:rPr>
        <w:t xml:space="preserve">، </w:t>
      </w:r>
      <w:hyperlink r:id="rId27" w:history="1">
        <w:r w:rsidRPr="004E03DC">
          <w:rPr>
            <w:rStyle w:val="Hyperlink"/>
          </w:rPr>
          <w:t>CRPD/C/NLD/CO/1</w:t>
        </w:r>
      </w:hyperlink>
      <w:r w:rsidRPr="004E03DC">
        <w:rPr>
          <w:rtl/>
        </w:rPr>
        <w:t xml:space="preserve">، </w:t>
      </w:r>
      <w:hyperlink r:id="rId28" w:history="1">
        <w:r w:rsidRPr="004E03DC">
          <w:rPr>
            <w:rStyle w:val="Hyperlink"/>
          </w:rPr>
          <w:t>CRPD/C/UKR/CO/2-3</w:t>
        </w:r>
      </w:hyperlink>
      <w:r w:rsidRPr="004E03DC">
        <w:rPr>
          <w:rtl/>
        </w:rPr>
        <w:t>.</w:t>
      </w:r>
    </w:p>
  </w:footnote>
  <w:footnote w:id="14">
    <w:p w14:paraId="420B0E77" w14:textId="0C0FA293" w:rsidR="00766F91" w:rsidRPr="004E03DC" w:rsidRDefault="00766F91" w:rsidP="00766F91">
      <w:pPr>
        <w:pStyle w:val="FootnoteText1"/>
        <w:textDirection w:val="tbRlV"/>
        <w:rPr>
          <w:lang w:eastAsia="zh-TW"/>
        </w:rPr>
      </w:pPr>
      <w:r w:rsidRPr="004E03DC">
        <w:rPr>
          <w:rtl/>
        </w:rPr>
        <w:t>(</w:t>
      </w:r>
      <w:r w:rsidRPr="004E03DC">
        <w:rPr>
          <w:rStyle w:val="FootnoteReference"/>
          <w:vertAlign w:val="baseline"/>
        </w:rPr>
        <w:footnoteRef/>
      </w:r>
      <w:r w:rsidRPr="004E03DC">
        <w:rPr>
          <w:rStyle w:val="FootnoteReference"/>
          <w:vertAlign w:val="baseline"/>
          <w:rtl/>
        </w:rPr>
        <w:t>)</w:t>
      </w:r>
      <w:r w:rsidRPr="004E03DC">
        <w:rPr>
          <w:rtl/>
        </w:rPr>
        <w:tab/>
      </w:r>
      <w:hyperlink r:id="rId29" w:history="1">
        <w:r w:rsidRPr="004E03DC">
          <w:rPr>
            <w:rStyle w:val="Hyperlink"/>
          </w:rPr>
          <w:t>CRPD/C/31/D/69/2019</w:t>
        </w:r>
      </w:hyperlink>
      <w:r w:rsidRPr="004E03DC">
        <w:rPr>
          <w:rtl/>
        </w:rPr>
        <w:t>.</w:t>
      </w:r>
    </w:p>
  </w:footnote>
  <w:footnote w:id="15">
    <w:p w14:paraId="77672E8E" w14:textId="467BA804" w:rsidR="00766F91" w:rsidRPr="004E03DC" w:rsidRDefault="00766F91" w:rsidP="00766F91">
      <w:pPr>
        <w:pStyle w:val="FootnoteText1"/>
        <w:textDirection w:val="tbRlV"/>
        <w:rPr>
          <w:lang w:eastAsia="zh-TW"/>
        </w:rPr>
      </w:pPr>
      <w:r w:rsidRPr="004E03DC">
        <w:rPr>
          <w:rtl/>
        </w:rPr>
        <w:t>(</w:t>
      </w:r>
      <w:r w:rsidRPr="004E03DC">
        <w:rPr>
          <w:rStyle w:val="FootnoteReference"/>
          <w:vertAlign w:val="baseline"/>
        </w:rPr>
        <w:footnoteRef/>
      </w:r>
      <w:r w:rsidRPr="004E03DC">
        <w:rPr>
          <w:rStyle w:val="FootnoteReference"/>
          <w:vertAlign w:val="baseline"/>
          <w:rtl/>
        </w:rPr>
        <w:t>)</w:t>
      </w:r>
      <w:r w:rsidRPr="004E03DC">
        <w:rPr>
          <w:rtl/>
        </w:rPr>
        <w:tab/>
      </w:r>
      <w:hyperlink r:id="rId30" w:history="1">
        <w:r w:rsidRPr="004E03DC">
          <w:rPr>
            <w:rStyle w:val="Hyperlink"/>
          </w:rPr>
          <w:t>CRPD/C/31/D/94/2021</w:t>
        </w:r>
      </w:hyperlink>
      <w:r w:rsidRPr="004E03DC">
        <w:rPr>
          <w:rtl/>
        </w:rPr>
        <w:t>.</w:t>
      </w:r>
    </w:p>
  </w:footnote>
  <w:footnote w:id="16">
    <w:p w14:paraId="0D593656" w14:textId="1C1DF25A" w:rsidR="00766F91" w:rsidRPr="004E03DC" w:rsidRDefault="00766F91" w:rsidP="00766F91">
      <w:pPr>
        <w:pStyle w:val="FootnoteText1"/>
        <w:textDirection w:val="tbRlV"/>
        <w:rPr>
          <w:lang w:eastAsia="zh-TW"/>
        </w:rPr>
      </w:pPr>
      <w:r w:rsidRPr="004E03DC">
        <w:rPr>
          <w:rtl/>
        </w:rPr>
        <w:t>(</w:t>
      </w:r>
      <w:r w:rsidRPr="004E03DC">
        <w:rPr>
          <w:rStyle w:val="FootnoteReference"/>
          <w:vertAlign w:val="baseline"/>
        </w:rPr>
        <w:footnoteRef/>
      </w:r>
      <w:r w:rsidRPr="004E03DC">
        <w:rPr>
          <w:rStyle w:val="FootnoteReference"/>
          <w:vertAlign w:val="baseline"/>
          <w:rtl/>
        </w:rPr>
        <w:t>)</w:t>
      </w:r>
      <w:r w:rsidRPr="004E03DC">
        <w:rPr>
          <w:rtl/>
        </w:rPr>
        <w:tab/>
        <w:t xml:space="preserve">تُفهم أي إشارة إلى كوسوفو بالمعنى الوارد في سياق قرار مجلس الأمن </w:t>
      </w:r>
      <w:hyperlink r:id="rId31" w:history="1">
        <w:r w:rsidRPr="004E03DC">
          <w:rPr>
            <w:rStyle w:val="Hyperlink"/>
            <w:rtl/>
          </w:rPr>
          <w:t>1244(1999)</w:t>
        </w:r>
      </w:hyperlink>
      <w:r w:rsidRPr="004E03DC">
        <w:rPr>
          <w:rtl/>
        </w:rPr>
        <w:t>.</w:t>
      </w:r>
    </w:p>
  </w:footnote>
  <w:footnote w:id="17">
    <w:p w14:paraId="7E0E13BE" w14:textId="0989602E" w:rsidR="00766F91" w:rsidRPr="004E03DC" w:rsidRDefault="00766F91" w:rsidP="00766F91">
      <w:pPr>
        <w:pStyle w:val="FootnoteText1"/>
        <w:textDirection w:val="tbRlV"/>
        <w:rPr>
          <w:lang w:eastAsia="zh-TW"/>
        </w:rPr>
      </w:pPr>
      <w:r w:rsidRPr="004E03DC">
        <w:rPr>
          <w:rtl/>
        </w:rPr>
        <w:t>(</w:t>
      </w:r>
      <w:r w:rsidRPr="004E03DC">
        <w:rPr>
          <w:rStyle w:val="FootnoteReference"/>
          <w:vertAlign w:val="baseline"/>
        </w:rPr>
        <w:footnoteRef/>
      </w:r>
      <w:r w:rsidRPr="004E03DC">
        <w:rPr>
          <w:rStyle w:val="FootnoteReference"/>
          <w:vertAlign w:val="baseline"/>
          <w:rtl/>
        </w:rPr>
        <w:t>)</w:t>
      </w:r>
      <w:r w:rsidRPr="004E03DC">
        <w:rPr>
          <w:rtl/>
        </w:rPr>
        <w:tab/>
        <w:t xml:space="preserve">المحكمة الأوروبية لحقوق الإنسان، قضية </w:t>
      </w:r>
      <w:r w:rsidRPr="004E03DC">
        <w:rPr>
          <w:i/>
          <w:iCs/>
          <w:rtl/>
        </w:rPr>
        <w:t>بابوشفيلي ضد بلجيكا</w:t>
      </w:r>
      <w:r w:rsidRPr="004E03DC">
        <w:rPr>
          <w:rtl/>
        </w:rPr>
        <w:t>، الطلب رقم 41738/10، الحكم المؤرخ 13 كانون الأول/ ديسمبر 2016.</w:t>
      </w:r>
    </w:p>
  </w:footnote>
  <w:footnote w:id="18">
    <w:p w14:paraId="7C2DA213" w14:textId="08A8FEE6" w:rsidR="00766F91" w:rsidRPr="004E03DC" w:rsidRDefault="00766F91" w:rsidP="00766F91">
      <w:pPr>
        <w:pStyle w:val="FootnoteText1"/>
        <w:textDirection w:val="tbRlV"/>
        <w:rPr>
          <w:lang w:eastAsia="zh-TW"/>
        </w:rPr>
      </w:pPr>
      <w:r w:rsidRPr="004E03DC">
        <w:rPr>
          <w:rtl/>
        </w:rPr>
        <w:t>(</w:t>
      </w:r>
      <w:r w:rsidRPr="004E03DC">
        <w:rPr>
          <w:rStyle w:val="FootnoteReference"/>
          <w:vertAlign w:val="baseline"/>
        </w:rPr>
        <w:footnoteRef/>
      </w:r>
      <w:r w:rsidRPr="004E03DC">
        <w:rPr>
          <w:rStyle w:val="FootnoteReference"/>
          <w:vertAlign w:val="baseline"/>
          <w:rtl/>
        </w:rPr>
        <w:t>)</w:t>
      </w:r>
      <w:r w:rsidRPr="004E03DC">
        <w:rPr>
          <w:rtl/>
        </w:rPr>
        <w:tab/>
      </w:r>
      <w:hyperlink r:id="rId32" w:history="1">
        <w:r w:rsidRPr="004E03DC">
          <w:rPr>
            <w:rStyle w:val="Hyperlink"/>
          </w:rPr>
          <w:t>CRPD/C/31/D/104/2023</w:t>
        </w:r>
      </w:hyperlink>
      <w:r w:rsidRPr="004E03DC">
        <w:rPr>
          <w:rtl/>
        </w:rPr>
        <w:t>.</w:t>
      </w:r>
    </w:p>
  </w:footnote>
  <w:footnote w:id="19">
    <w:p w14:paraId="782F27F8" w14:textId="38FA257A" w:rsidR="00766F91" w:rsidRPr="004E03DC" w:rsidRDefault="00766F91" w:rsidP="00766F91">
      <w:pPr>
        <w:pStyle w:val="FootnoteText1"/>
        <w:textDirection w:val="tbRlV"/>
        <w:rPr>
          <w:lang w:eastAsia="zh-TW"/>
        </w:rPr>
      </w:pPr>
      <w:r w:rsidRPr="004E03DC">
        <w:rPr>
          <w:rtl/>
        </w:rPr>
        <w:t>(</w:t>
      </w:r>
      <w:r w:rsidRPr="004E03DC">
        <w:rPr>
          <w:rStyle w:val="FootnoteReference"/>
          <w:vertAlign w:val="baseline"/>
        </w:rPr>
        <w:footnoteRef/>
      </w:r>
      <w:r w:rsidRPr="004E03DC">
        <w:rPr>
          <w:rStyle w:val="FootnoteReference"/>
          <w:vertAlign w:val="baseline"/>
          <w:rtl/>
        </w:rPr>
        <w:t>)</w:t>
      </w:r>
      <w:r w:rsidRPr="004E03DC">
        <w:rPr>
          <w:rtl/>
        </w:rPr>
        <w:tab/>
      </w:r>
      <w:r w:rsidRPr="004E03DC">
        <w:rPr>
          <w:i/>
          <w:iCs/>
          <w:rtl/>
        </w:rPr>
        <w:t>أُ. أُ. ج. ضد السويد</w:t>
      </w:r>
      <w:r w:rsidRPr="004E03DC">
        <w:rPr>
          <w:rtl/>
        </w:rPr>
        <w:t xml:space="preserve"> (</w:t>
      </w:r>
      <w:hyperlink r:id="rId33" w:history="1">
        <w:r w:rsidRPr="004E03DC">
          <w:rPr>
            <w:rStyle w:val="Hyperlink"/>
          </w:rPr>
          <w:t>CRPD/C/18/D/28/28/2015</w:t>
        </w:r>
      </w:hyperlink>
      <w:r w:rsidRPr="004E03DC">
        <w:rPr>
          <w:rtl/>
        </w:rPr>
        <w:t>).</w:t>
      </w:r>
    </w:p>
  </w:footnote>
  <w:footnote w:id="20">
    <w:p w14:paraId="513A460A" w14:textId="7F0ACE7F" w:rsidR="00766F91" w:rsidRPr="004E03DC" w:rsidRDefault="00766F91" w:rsidP="00766F91">
      <w:pPr>
        <w:pStyle w:val="FootnoteText1"/>
        <w:textDirection w:val="tbRlV"/>
        <w:rPr>
          <w:lang w:eastAsia="zh-TW"/>
        </w:rPr>
      </w:pPr>
      <w:r w:rsidRPr="004E03DC">
        <w:rPr>
          <w:rtl/>
        </w:rPr>
        <w:t>(</w:t>
      </w:r>
      <w:r w:rsidRPr="004E03DC">
        <w:rPr>
          <w:rStyle w:val="FootnoteReference"/>
          <w:vertAlign w:val="baseline"/>
        </w:rPr>
        <w:footnoteRef/>
      </w:r>
      <w:r w:rsidRPr="004E03DC">
        <w:rPr>
          <w:rStyle w:val="FootnoteReference"/>
          <w:vertAlign w:val="baseline"/>
          <w:rtl/>
        </w:rPr>
        <w:t>)</w:t>
      </w:r>
      <w:r w:rsidRPr="004E03DC">
        <w:rPr>
          <w:rtl/>
        </w:rPr>
        <w:tab/>
      </w:r>
      <w:hyperlink r:id="rId34" w:history="1">
        <w:r w:rsidRPr="004E03DC">
          <w:rPr>
            <w:rStyle w:val="Hyperlink"/>
          </w:rPr>
          <w:t>CRPD/C/31/D/62/2019</w:t>
        </w:r>
      </w:hyperlink>
      <w:r w:rsidRPr="004E03DC">
        <w:rPr>
          <w:rtl/>
        </w:rPr>
        <w:t>.</w:t>
      </w:r>
    </w:p>
  </w:footnote>
  <w:footnote w:id="21">
    <w:p w14:paraId="1E55023B" w14:textId="5CA0E408" w:rsidR="00766F91" w:rsidRPr="004E03DC" w:rsidRDefault="00766F91" w:rsidP="00766F91">
      <w:pPr>
        <w:pStyle w:val="FootnoteText1"/>
        <w:textDirection w:val="tbRlV"/>
        <w:rPr>
          <w:lang w:eastAsia="zh-TW"/>
        </w:rPr>
      </w:pPr>
      <w:r w:rsidRPr="004E03DC">
        <w:rPr>
          <w:rtl/>
        </w:rPr>
        <w:t>(</w:t>
      </w:r>
      <w:r w:rsidRPr="004E03DC">
        <w:rPr>
          <w:rStyle w:val="FootnoteReference"/>
          <w:vertAlign w:val="baseline"/>
        </w:rPr>
        <w:footnoteRef/>
      </w:r>
      <w:r w:rsidRPr="004E03DC">
        <w:rPr>
          <w:rStyle w:val="FootnoteReference"/>
          <w:vertAlign w:val="baseline"/>
          <w:rtl/>
        </w:rPr>
        <w:t>)</w:t>
      </w:r>
      <w:r w:rsidRPr="004E03DC">
        <w:rPr>
          <w:rtl/>
        </w:rPr>
        <w:tab/>
      </w:r>
      <w:hyperlink r:id="rId35" w:history="1">
        <w:r w:rsidRPr="004E03DC">
          <w:rPr>
            <w:rStyle w:val="Hyperlink"/>
          </w:rPr>
          <w:t>CRPD/C/31/D/63/2019</w:t>
        </w:r>
      </w:hyperlink>
      <w:r w:rsidRPr="004E03DC">
        <w:rPr>
          <w:rtl/>
        </w:rPr>
        <w:t>.</w:t>
      </w:r>
    </w:p>
  </w:footnote>
  <w:footnote w:id="22">
    <w:p w14:paraId="6B973788" w14:textId="1C3DDEA0" w:rsidR="00766F91" w:rsidRPr="004E03DC" w:rsidRDefault="00766F91" w:rsidP="00766F91">
      <w:pPr>
        <w:pStyle w:val="FootnoteText1"/>
        <w:textDirection w:val="tbRlV"/>
        <w:rPr>
          <w:lang w:eastAsia="zh-TW"/>
        </w:rPr>
      </w:pPr>
      <w:r w:rsidRPr="004E03DC">
        <w:rPr>
          <w:rtl/>
        </w:rPr>
        <w:t>(</w:t>
      </w:r>
      <w:r w:rsidRPr="004E03DC">
        <w:rPr>
          <w:rStyle w:val="FootnoteReference"/>
          <w:vertAlign w:val="baseline"/>
        </w:rPr>
        <w:footnoteRef/>
      </w:r>
      <w:r w:rsidRPr="004E03DC">
        <w:rPr>
          <w:rStyle w:val="FootnoteReference"/>
          <w:vertAlign w:val="baseline"/>
          <w:rtl/>
        </w:rPr>
        <w:t>)</w:t>
      </w:r>
      <w:r w:rsidRPr="004E03DC">
        <w:rPr>
          <w:rtl/>
        </w:rPr>
        <w:tab/>
      </w:r>
      <w:hyperlink r:id="rId36" w:history="1">
        <w:r w:rsidRPr="004E03DC">
          <w:rPr>
            <w:rStyle w:val="Hyperlink"/>
          </w:rPr>
          <w:t>CRPD/C/31/D/91/2021</w:t>
        </w:r>
      </w:hyperlink>
      <w:r w:rsidRPr="004E03DC">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98DB6E" w14:textId="5CCAF994" w:rsidR="00AA6360" w:rsidRPr="00AA6360" w:rsidRDefault="00AA6360" w:rsidP="00AA6360">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FC1520">
      <w:t>CRPD/C/31/2</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3D304B" w14:textId="2972B171" w:rsidR="00AA6360" w:rsidRPr="00AA6360" w:rsidRDefault="00AA6360" w:rsidP="00AA6360">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FC1520">
      <w:t>CRPD/C/31/2</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64D43B" w14:textId="77777777" w:rsidR="007B39D3" w:rsidRDefault="007B39D3">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AE4073" w14:textId="27481F0E" w:rsidR="00EE30E3" w:rsidRPr="00AA6360" w:rsidRDefault="00EE30E3" w:rsidP="00EE30E3">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FC1520">
      <w:t>CRPD/C/31/2</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2025013485">
    <w:abstractNumId w:val="15"/>
  </w:num>
  <w:num w:numId="2" w16cid:durableId="2120760390">
    <w:abstractNumId w:val="12"/>
  </w:num>
  <w:num w:numId="3" w16cid:durableId="1225919257">
    <w:abstractNumId w:val="2"/>
  </w:num>
  <w:num w:numId="4" w16cid:durableId="241527626">
    <w:abstractNumId w:val="11"/>
  </w:num>
  <w:num w:numId="5" w16cid:durableId="2072148752">
    <w:abstractNumId w:val="8"/>
  </w:num>
  <w:num w:numId="6" w16cid:durableId="2058167347">
    <w:abstractNumId w:val="5"/>
  </w:num>
  <w:num w:numId="7" w16cid:durableId="1371223423">
    <w:abstractNumId w:val="17"/>
  </w:num>
  <w:num w:numId="8" w16cid:durableId="680163979">
    <w:abstractNumId w:val="2"/>
  </w:num>
  <w:num w:numId="9" w16cid:durableId="339115698">
    <w:abstractNumId w:val="11"/>
  </w:num>
  <w:num w:numId="10" w16cid:durableId="855968614">
    <w:abstractNumId w:val="5"/>
  </w:num>
  <w:num w:numId="11" w16cid:durableId="479031862">
    <w:abstractNumId w:val="17"/>
  </w:num>
  <w:num w:numId="12" w16cid:durableId="939875021">
    <w:abstractNumId w:val="4"/>
  </w:num>
  <w:num w:numId="13" w16cid:durableId="1451164136">
    <w:abstractNumId w:val="3"/>
  </w:num>
  <w:num w:numId="14" w16cid:durableId="1894612447">
    <w:abstractNumId w:val="16"/>
  </w:num>
  <w:num w:numId="15" w16cid:durableId="1836220252">
    <w:abstractNumId w:val="13"/>
  </w:num>
  <w:num w:numId="16" w16cid:durableId="518740566">
    <w:abstractNumId w:val="1"/>
  </w:num>
  <w:num w:numId="17" w16cid:durableId="1964388494">
    <w:abstractNumId w:val="14"/>
  </w:num>
  <w:num w:numId="18" w16cid:durableId="29842760">
    <w:abstractNumId w:val="0"/>
  </w:num>
  <w:num w:numId="19" w16cid:durableId="294870059">
    <w:abstractNumId w:val="9"/>
  </w:num>
  <w:num w:numId="20" w16cid:durableId="590627428">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3580793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5124168">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2141416895">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1640526875">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888804117">
    <w:abstractNumId w:val="7"/>
  </w:num>
  <w:num w:numId="26" w16cid:durableId="97560024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207489077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40"/>
  <w:proofState w:spelling="clean" w:grammar="clean"/>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5F47"/>
    <w:rsid w:val="000076D5"/>
    <w:rsid w:val="000204DC"/>
    <w:rsid w:val="00037ED2"/>
    <w:rsid w:val="00043663"/>
    <w:rsid w:val="000505CF"/>
    <w:rsid w:val="0008448B"/>
    <w:rsid w:val="000A3A5F"/>
    <w:rsid w:val="000C3055"/>
    <w:rsid w:val="000D701C"/>
    <w:rsid w:val="000E2A71"/>
    <w:rsid w:val="00114439"/>
    <w:rsid w:val="0015497A"/>
    <w:rsid w:val="00160263"/>
    <w:rsid w:val="00181F96"/>
    <w:rsid w:val="00185BED"/>
    <w:rsid w:val="001867BF"/>
    <w:rsid w:val="001A1371"/>
    <w:rsid w:val="001B346A"/>
    <w:rsid w:val="001E1CAD"/>
    <w:rsid w:val="001E290D"/>
    <w:rsid w:val="001F201A"/>
    <w:rsid w:val="002144FA"/>
    <w:rsid w:val="0023469A"/>
    <w:rsid w:val="00241847"/>
    <w:rsid w:val="00243C8A"/>
    <w:rsid w:val="0026279F"/>
    <w:rsid w:val="002632E9"/>
    <w:rsid w:val="00267A0E"/>
    <w:rsid w:val="002901D9"/>
    <w:rsid w:val="002976C2"/>
    <w:rsid w:val="002B4C32"/>
    <w:rsid w:val="0032278B"/>
    <w:rsid w:val="003260FF"/>
    <w:rsid w:val="00343D95"/>
    <w:rsid w:val="00374341"/>
    <w:rsid w:val="00397C83"/>
    <w:rsid w:val="003D1062"/>
    <w:rsid w:val="003D5984"/>
    <w:rsid w:val="003D767A"/>
    <w:rsid w:val="003E3888"/>
    <w:rsid w:val="00404F21"/>
    <w:rsid w:val="004152C6"/>
    <w:rsid w:val="00420D7B"/>
    <w:rsid w:val="00450B21"/>
    <w:rsid w:val="00453B63"/>
    <w:rsid w:val="00455780"/>
    <w:rsid w:val="004653FA"/>
    <w:rsid w:val="0046736F"/>
    <w:rsid w:val="00476CEF"/>
    <w:rsid w:val="0049167B"/>
    <w:rsid w:val="004B0A1C"/>
    <w:rsid w:val="004D298E"/>
    <w:rsid w:val="004E03DC"/>
    <w:rsid w:val="004E4D42"/>
    <w:rsid w:val="00517BC9"/>
    <w:rsid w:val="0054149D"/>
    <w:rsid w:val="0054472E"/>
    <w:rsid w:val="005662A9"/>
    <w:rsid w:val="005771AA"/>
    <w:rsid w:val="005827D4"/>
    <w:rsid w:val="0059622A"/>
    <w:rsid w:val="005C5878"/>
    <w:rsid w:val="005C7CEA"/>
    <w:rsid w:val="005D3C0B"/>
    <w:rsid w:val="005E5217"/>
    <w:rsid w:val="005F0FA4"/>
    <w:rsid w:val="005F30EE"/>
    <w:rsid w:val="00600888"/>
    <w:rsid w:val="0060473A"/>
    <w:rsid w:val="00606EDF"/>
    <w:rsid w:val="00614B4E"/>
    <w:rsid w:val="006163CA"/>
    <w:rsid w:val="006333FB"/>
    <w:rsid w:val="00656392"/>
    <w:rsid w:val="0068781D"/>
    <w:rsid w:val="00695545"/>
    <w:rsid w:val="006959B0"/>
    <w:rsid w:val="006A5EE7"/>
    <w:rsid w:val="006B3E27"/>
    <w:rsid w:val="006B53DE"/>
    <w:rsid w:val="006B6507"/>
    <w:rsid w:val="006C104C"/>
    <w:rsid w:val="006F30EE"/>
    <w:rsid w:val="00702272"/>
    <w:rsid w:val="00726F9E"/>
    <w:rsid w:val="00733704"/>
    <w:rsid w:val="007541BA"/>
    <w:rsid w:val="00766F91"/>
    <w:rsid w:val="00770CD9"/>
    <w:rsid w:val="00780362"/>
    <w:rsid w:val="0078071A"/>
    <w:rsid w:val="007B39D3"/>
    <w:rsid w:val="007E3F4E"/>
    <w:rsid w:val="00801A14"/>
    <w:rsid w:val="00803632"/>
    <w:rsid w:val="00850B8E"/>
    <w:rsid w:val="00852A9A"/>
    <w:rsid w:val="008E21E6"/>
    <w:rsid w:val="008F49E1"/>
    <w:rsid w:val="0090370F"/>
    <w:rsid w:val="00911B4A"/>
    <w:rsid w:val="009269D2"/>
    <w:rsid w:val="00941975"/>
    <w:rsid w:val="00942135"/>
    <w:rsid w:val="009521B0"/>
    <w:rsid w:val="009A7E9F"/>
    <w:rsid w:val="009E1D62"/>
    <w:rsid w:val="009E5018"/>
    <w:rsid w:val="009F15BC"/>
    <w:rsid w:val="00A12B37"/>
    <w:rsid w:val="00A13D0C"/>
    <w:rsid w:val="00A32291"/>
    <w:rsid w:val="00A50EC0"/>
    <w:rsid w:val="00A54442"/>
    <w:rsid w:val="00AA3959"/>
    <w:rsid w:val="00AA6360"/>
    <w:rsid w:val="00AB0F58"/>
    <w:rsid w:val="00AB6758"/>
    <w:rsid w:val="00B13763"/>
    <w:rsid w:val="00B44067"/>
    <w:rsid w:val="00B45F89"/>
    <w:rsid w:val="00B477A4"/>
    <w:rsid w:val="00B54045"/>
    <w:rsid w:val="00B74F82"/>
    <w:rsid w:val="00BC4823"/>
    <w:rsid w:val="00BD45E7"/>
    <w:rsid w:val="00C04E25"/>
    <w:rsid w:val="00C13537"/>
    <w:rsid w:val="00C438D7"/>
    <w:rsid w:val="00C53FE8"/>
    <w:rsid w:val="00C81B50"/>
    <w:rsid w:val="00CD1801"/>
    <w:rsid w:val="00D077A7"/>
    <w:rsid w:val="00D10EF1"/>
    <w:rsid w:val="00D42810"/>
    <w:rsid w:val="00D73E76"/>
    <w:rsid w:val="00D914A7"/>
    <w:rsid w:val="00DD13C3"/>
    <w:rsid w:val="00DD596E"/>
    <w:rsid w:val="00DD621E"/>
    <w:rsid w:val="00DD74C6"/>
    <w:rsid w:val="00DF0575"/>
    <w:rsid w:val="00E17BB9"/>
    <w:rsid w:val="00E70E04"/>
    <w:rsid w:val="00E86F91"/>
    <w:rsid w:val="00EC05A7"/>
    <w:rsid w:val="00EC4B6B"/>
    <w:rsid w:val="00ED7206"/>
    <w:rsid w:val="00ED7442"/>
    <w:rsid w:val="00EE30E3"/>
    <w:rsid w:val="00EF1EE5"/>
    <w:rsid w:val="00F5023D"/>
    <w:rsid w:val="00F763B4"/>
    <w:rsid w:val="00F81F7B"/>
    <w:rsid w:val="00F900C3"/>
    <w:rsid w:val="00FB7F12"/>
    <w:rsid w:val="00FC1520"/>
    <w:rsid w:val="00FC5F47"/>
    <w:rsid w:val="00FD3EB5"/>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AA4CB4D"/>
  <w15:docId w15:val="{FB2A4C03-1949-49B8-931E-B058BD134D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53FA"/>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4653FA"/>
    <w:pPr>
      <w:bidi w:val="0"/>
      <w:outlineLvl w:val="0"/>
    </w:pPr>
  </w:style>
  <w:style w:type="paragraph" w:styleId="Heading2">
    <w:name w:val="heading 2"/>
    <w:basedOn w:val="Normal"/>
    <w:next w:val="Normal"/>
    <w:link w:val="Heading2Char"/>
    <w:uiPriority w:val="9"/>
    <w:unhideWhenUsed/>
    <w:rsid w:val="004653FA"/>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4653FA"/>
    <w:pPr>
      <w:keepNext/>
      <w:keepLines/>
      <w:spacing w:before="200"/>
      <w:outlineLvl w:val="2"/>
    </w:pPr>
    <w:rPr>
      <w:b/>
      <w:bCs/>
      <w:color w:val="4F81BD"/>
    </w:rPr>
  </w:style>
  <w:style w:type="paragraph" w:styleId="Heading4">
    <w:name w:val="heading 4"/>
    <w:basedOn w:val="Normal"/>
    <w:next w:val="Normal"/>
    <w:link w:val="Heading4Char"/>
    <w:uiPriority w:val="9"/>
    <w:unhideWhenUsed/>
    <w:rsid w:val="004653FA"/>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4653FA"/>
    <w:pPr>
      <w:keepNext/>
      <w:keepLines/>
      <w:spacing w:before="200"/>
      <w:outlineLvl w:val="4"/>
    </w:pPr>
    <w:rPr>
      <w:color w:val="243F60"/>
    </w:rPr>
  </w:style>
  <w:style w:type="paragraph" w:styleId="Heading6">
    <w:name w:val="heading 6"/>
    <w:basedOn w:val="Normal"/>
    <w:next w:val="Normal"/>
    <w:link w:val="Heading6Char"/>
    <w:uiPriority w:val="9"/>
    <w:unhideWhenUsed/>
    <w:rsid w:val="004653FA"/>
    <w:pPr>
      <w:keepNext/>
      <w:keepLines/>
      <w:spacing w:before="200"/>
      <w:outlineLvl w:val="5"/>
    </w:pPr>
    <w:rPr>
      <w:i/>
      <w:iCs/>
      <w:color w:val="243F60"/>
    </w:rPr>
  </w:style>
  <w:style w:type="paragraph" w:styleId="Heading7">
    <w:name w:val="heading 7"/>
    <w:basedOn w:val="Normal"/>
    <w:next w:val="Normal"/>
    <w:link w:val="Heading7Char"/>
    <w:uiPriority w:val="9"/>
    <w:unhideWhenUsed/>
    <w:rsid w:val="004653FA"/>
    <w:pPr>
      <w:keepNext/>
      <w:keepLines/>
      <w:spacing w:before="200"/>
      <w:outlineLvl w:val="6"/>
    </w:pPr>
    <w:rPr>
      <w:i/>
      <w:iCs/>
      <w:color w:val="404040"/>
    </w:rPr>
  </w:style>
  <w:style w:type="paragraph" w:styleId="Heading8">
    <w:name w:val="heading 8"/>
    <w:basedOn w:val="Normal"/>
    <w:next w:val="Normal"/>
    <w:link w:val="Heading8Char"/>
    <w:uiPriority w:val="9"/>
    <w:unhideWhenUsed/>
    <w:rsid w:val="004653FA"/>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4653FA"/>
    <w:pPr>
      <w:keepNext/>
      <w:keepLines/>
      <w:spacing w:before="200"/>
      <w:outlineLvl w:val="8"/>
    </w:pPr>
    <w:rPr>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4653FA"/>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4653FA"/>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4653FA"/>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4653FA"/>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4653FA"/>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4653FA"/>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4653FA"/>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4653FA"/>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4653FA"/>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4653FA"/>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4653FA"/>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4653FA"/>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4653FA"/>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4653FA"/>
    <w:pPr>
      <w:numPr>
        <w:numId w:val="5"/>
      </w:numPr>
      <w:bidi w:val="0"/>
    </w:pPr>
    <w:rPr>
      <w:lang w:val="en-US"/>
    </w:rPr>
  </w:style>
  <w:style w:type="paragraph" w:customStyle="1" w:styleId="Roman1GA">
    <w:name w:val="_Roman 1_GA"/>
    <w:basedOn w:val="Bullet1GA"/>
    <w:qFormat/>
    <w:rsid w:val="004653FA"/>
    <w:pPr>
      <w:numPr>
        <w:numId w:val="6"/>
      </w:numPr>
      <w:tabs>
        <w:tab w:val="clear" w:pos="2310"/>
        <w:tab w:val="left" w:pos="2486"/>
      </w:tabs>
      <w:ind w:left="2486" w:hanging="378"/>
    </w:pPr>
  </w:style>
  <w:style w:type="paragraph" w:customStyle="1" w:styleId="Roman2GA">
    <w:name w:val="_Roman 2_GA"/>
    <w:basedOn w:val="Bullet2GA"/>
    <w:qFormat/>
    <w:rsid w:val="004653FA"/>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4653FA"/>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4653FA"/>
    <w:rPr>
      <w:rFonts w:ascii="Times New Roman" w:eastAsia="PMingLiU" w:hAnsi="Times New Roman" w:cs="Simplified Arabic"/>
      <w:sz w:val="18"/>
      <w:szCs w:val="20"/>
      <w:lang w:val="en-GB"/>
    </w:rPr>
  </w:style>
  <w:style w:type="character" w:customStyle="1" w:styleId="EndtnoteReference">
    <w:name w:val="Endtnote Reference"/>
    <w:aliases w:val="1_GA"/>
    <w:qFormat/>
    <w:rsid w:val="004653FA"/>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uiPriority w:val="99"/>
    <w:qFormat/>
    <w:rsid w:val="004653FA"/>
    <w:pPr>
      <w:suppressAutoHyphens/>
      <w:bidi w:val="0"/>
      <w:spacing w:line="240" w:lineRule="auto"/>
    </w:pPr>
    <w:rPr>
      <w:sz w:val="16"/>
      <w:lang w:val="en-GB"/>
    </w:rPr>
  </w:style>
  <w:style w:type="character" w:customStyle="1" w:styleId="FooterChar">
    <w:name w:val="Footer Char"/>
    <w:aliases w:val="3_GA Char,3_G Char"/>
    <w:link w:val="Footer"/>
    <w:uiPriority w:val="99"/>
    <w:rsid w:val="004653FA"/>
    <w:rPr>
      <w:rFonts w:ascii="Times New Roman" w:eastAsia="PMingLiU" w:hAnsi="Times New Roman" w:cs="Simplified Arabic"/>
      <w:sz w:val="16"/>
      <w:lang w:val="en-GB"/>
    </w:rPr>
  </w:style>
  <w:style w:type="paragraph" w:customStyle="1" w:styleId="FootnoteText1">
    <w:name w:val="Footnote Text1"/>
    <w:aliases w:val="5_GA"/>
    <w:basedOn w:val="Normal"/>
    <w:qFormat/>
    <w:rsid w:val="004653FA"/>
    <w:pPr>
      <w:spacing w:after="60" w:line="280" w:lineRule="exact"/>
      <w:ind w:left="1247" w:right="1247" w:hanging="567"/>
    </w:pPr>
    <w:rPr>
      <w:sz w:val="18"/>
      <w:szCs w:val="18"/>
    </w:rPr>
  </w:style>
  <w:style w:type="paragraph" w:styleId="Header">
    <w:name w:val="header"/>
    <w:aliases w:val="6_GA,6_G"/>
    <w:basedOn w:val="Normal"/>
    <w:link w:val="HeaderChar"/>
    <w:qFormat/>
    <w:rsid w:val="004653FA"/>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rsid w:val="004653FA"/>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4653FA"/>
    <w:rPr>
      <w:rFonts w:ascii="Times New Roman" w:eastAsia="PMingLiU" w:hAnsi="Times New Roman" w:cs="Simplified Arabic"/>
      <w:lang w:val="en-GB"/>
    </w:rPr>
  </w:style>
  <w:style w:type="character" w:styleId="PageNumber">
    <w:name w:val="page number"/>
    <w:aliases w:val="7_GA,7_G"/>
    <w:qFormat/>
    <w:rsid w:val="004653FA"/>
    <w:rPr>
      <w:rFonts w:ascii="Times New Roman Bold" w:hAnsi="Times New Roman Bold"/>
      <w:b/>
      <w:i w:val="0"/>
      <w:sz w:val="18"/>
      <w:szCs w:val="18"/>
    </w:rPr>
  </w:style>
  <w:style w:type="paragraph" w:customStyle="1" w:styleId="XXLargeGA">
    <w:name w:val="XXLarge_GA"/>
    <w:basedOn w:val="Normal"/>
    <w:next w:val="SingleTxtGA"/>
    <w:qFormat/>
    <w:rsid w:val="004653FA"/>
    <w:pPr>
      <w:suppressAutoHyphens/>
      <w:spacing w:line="820" w:lineRule="exact"/>
    </w:pPr>
    <w:rPr>
      <w:spacing w:val="-8"/>
      <w:w w:val="96"/>
      <w:sz w:val="57"/>
      <w:szCs w:val="86"/>
      <w:lang w:val="en-GB"/>
    </w:rPr>
  </w:style>
  <w:style w:type="character" w:customStyle="1" w:styleId="Heading2Char">
    <w:name w:val="Heading 2 Char"/>
    <w:link w:val="Heading2"/>
    <w:uiPriority w:val="9"/>
    <w:rsid w:val="004653FA"/>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4653FA"/>
    <w:rPr>
      <w:rFonts w:ascii="Times New Roman" w:eastAsia="PMingLiU" w:hAnsi="Times New Roman" w:cs="Simplified Arabic"/>
      <w:b/>
      <w:bCs/>
      <w:color w:val="4F81BD"/>
      <w:sz w:val="20"/>
    </w:rPr>
  </w:style>
  <w:style w:type="character" w:customStyle="1" w:styleId="Heading4Char">
    <w:name w:val="Heading 4 Char"/>
    <w:link w:val="Heading4"/>
    <w:uiPriority w:val="9"/>
    <w:rsid w:val="004653FA"/>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4653FA"/>
    <w:rPr>
      <w:rFonts w:ascii="Times New Roman" w:eastAsia="PMingLiU" w:hAnsi="Times New Roman" w:cs="Simplified Arabic"/>
      <w:color w:val="243F60"/>
      <w:sz w:val="20"/>
    </w:rPr>
  </w:style>
  <w:style w:type="character" w:customStyle="1" w:styleId="Heading6Char">
    <w:name w:val="Heading 6 Char"/>
    <w:link w:val="Heading6"/>
    <w:uiPriority w:val="9"/>
    <w:rsid w:val="004653FA"/>
    <w:rPr>
      <w:rFonts w:ascii="Times New Roman" w:eastAsia="PMingLiU" w:hAnsi="Times New Roman" w:cs="Simplified Arabic"/>
      <w:i/>
      <w:iCs/>
      <w:color w:val="243F60"/>
      <w:sz w:val="20"/>
    </w:rPr>
  </w:style>
  <w:style w:type="character" w:customStyle="1" w:styleId="Heading7Char">
    <w:name w:val="Heading 7 Char"/>
    <w:link w:val="Heading7"/>
    <w:uiPriority w:val="9"/>
    <w:rsid w:val="004653FA"/>
    <w:rPr>
      <w:rFonts w:ascii="Times New Roman" w:eastAsia="PMingLiU" w:hAnsi="Times New Roman" w:cs="Simplified Arabic"/>
      <w:i/>
      <w:iCs/>
      <w:color w:val="404040"/>
      <w:sz w:val="20"/>
    </w:rPr>
  </w:style>
  <w:style w:type="character" w:customStyle="1" w:styleId="Heading8Char">
    <w:name w:val="Heading 8 Char"/>
    <w:link w:val="Heading8"/>
    <w:uiPriority w:val="9"/>
    <w:rsid w:val="004653FA"/>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4653FA"/>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4653FA"/>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4653FA"/>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4653FA"/>
    <w:pPr>
      <w:numPr>
        <w:ilvl w:val="1"/>
      </w:numPr>
    </w:pPr>
    <w:rPr>
      <w:i/>
      <w:iCs/>
      <w:color w:val="4F81BD"/>
      <w:spacing w:val="15"/>
      <w:sz w:val="24"/>
      <w:szCs w:val="24"/>
    </w:rPr>
  </w:style>
  <w:style w:type="character" w:customStyle="1" w:styleId="SubtitleChar">
    <w:name w:val="Subtitle Char"/>
    <w:link w:val="Subtitle"/>
    <w:uiPriority w:val="11"/>
    <w:rsid w:val="004653FA"/>
    <w:rPr>
      <w:rFonts w:ascii="Times New Roman" w:eastAsia="PMingLiU" w:hAnsi="Times New Roman" w:cs="Simplified Arabic"/>
      <w:i/>
      <w:iCs/>
      <w:color w:val="4F81BD"/>
      <w:spacing w:val="15"/>
      <w:sz w:val="24"/>
      <w:szCs w:val="24"/>
    </w:rPr>
  </w:style>
  <w:style w:type="character" w:styleId="Strong">
    <w:name w:val="Strong"/>
    <w:uiPriority w:val="22"/>
    <w:rsid w:val="004653FA"/>
    <w:rPr>
      <w:b/>
      <w:bCs/>
    </w:rPr>
  </w:style>
  <w:style w:type="table" w:styleId="TableGrid">
    <w:name w:val="Table Grid"/>
    <w:basedOn w:val="TableNormal"/>
    <w:rsid w:val="004653FA"/>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4653FA"/>
    <w:rPr>
      <w:color w:val="0000FF"/>
      <w:u w:val="none"/>
    </w:rPr>
  </w:style>
  <w:style w:type="paragraph" w:styleId="TOC1">
    <w:name w:val="toc 1"/>
    <w:basedOn w:val="Normal"/>
    <w:link w:val="TOC1Char"/>
    <w:autoRedefine/>
    <w:uiPriority w:val="39"/>
    <w:unhideWhenUsed/>
    <w:rsid w:val="004653FA"/>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4653FA"/>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4653FA"/>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4653FA"/>
    <w:rPr>
      <w:rFonts w:eastAsia="DengXian"/>
      <w:color w:val="auto"/>
      <w:sz w:val="20"/>
      <w:szCs w:val="20"/>
      <w:u w:val="none"/>
      <w:lang w:eastAsia="zh-CN" w:bidi="ar-EG"/>
    </w:rPr>
  </w:style>
  <w:style w:type="paragraph" w:styleId="TOC4">
    <w:name w:val="toc 4"/>
    <w:basedOn w:val="Normal"/>
    <w:link w:val="TOC4Char"/>
    <w:autoRedefine/>
    <w:uiPriority w:val="39"/>
    <w:unhideWhenUsed/>
    <w:rsid w:val="004653FA"/>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4653FA"/>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4653FA"/>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4653FA"/>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4653FA"/>
    <w:rPr>
      <w:rFonts w:ascii="Times New Roman" w:eastAsia="PMingLiU" w:hAnsi="Times New Roman" w:cs="Simplified Arabic"/>
      <w:lang w:val="en-GB"/>
    </w:rPr>
  </w:style>
  <w:style w:type="character" w:customStyle="1" w:styleId="TOC1Char">
    <w:name w:val="TOC 1 Char"/>
    <w:basedOn w:val="DefaultParagraphFont"/>
    <w:link w:val="TOC1"/>
    <w:uiPriority w:val="39"/>
    <w:rsid w:val="004653FA"/>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4653FA"/>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4653FA"/>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4653FA"/>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4653FA"/>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4653FA"/>
    <w:rPr>
      <w:rFonts w:ascii="Times New Roman" w:eastAsia="PMingLiU" w:hAnsi="Times New Roman" w:cs="Simplified Arabic"/>
      <w:sz w:val="20"/>
      <w:szCs w:val="20"/>
      <w:lang w:val="en-GB"/>
    </w:rPr>
  </w:style>
  <w:style w:type="paragraph" w:customStyle="1" w:styleId="NormalA">
    <w:name w:val="Normal_A"/>
    <w:basedOn w:val="Normal"/>
    <w:qFormat/>
    <w:rsid w:val="004653FA"/>
  </w:style>
  <w:style w:type="paragraph" w:customStyle="1" w:styleId="FootnoteGA">
    <w:name w:val="_Footnote_GA"/>
    <w:basedOn w:val="Normal"/>
    <w:qFormat/>
    <w:rsid w:val="004653FA"/>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4653FA"/>
    <w:rPr>
      <w:sz w:val="44"/>
      <w:szCs w:val="44"/>
      <w:lang w:val="en-US" w:bidi="ar-DZ"/>
    </w:rPr>
  </w:style>
  <w:style w:type="paragraph" w:customStyle="1" w:styleId="FootnoteGA0">
    <w:name w:val="Footnote_GA"/>
    <w:basedOn w:val="Normal"/>
    <w:qFormat/>
    <w:rsid w:val="004653FA"/>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4653FA"/>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4653FA"/>
    <w:pPr>
      <w:spacing w:line="240" w:lineRule="exact"/>
    </w:pPr>
    <w:rPr>
      <w:spacing w:val="6"/>
      <w:w w:val="106"/>
      <w:sz w:val="14"/>
      <w:szCs w:val="21"/>
    </w:rPr>
  </w:style>
  <w:style w:type="paragraph" w:customStyle="1" w:styleId="Original">
    <w:name w:val="Original"/>
    <w:basedOn w:val="Normal"/>
    <w:next w:val="Normal"/>
    <w:qFormat/>
    <w:rsid w:val="004653FA"/>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4653FA"/>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4653FA"/>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911B4A"/>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11B4A"/>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11B4A"/>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4653FA"/>
    <w:rPr>
      <w:lang w:val="en-US" w:eastAsia="zh-TW"/>
    </w:rPr>
  </w:style>
  <w:style w:type="paragraph" w:customStyle="1" w:styleId="STitleMGA">
    <w:name w:val="S_Title_M_GA"/>
    <w:basedOn w:val="SMGA"/>
    <w:qFormat/>
    <w:rsid w:val="004653FA"/>
    <w:rPr>
      <w:lang w:eastAsia="zh-TW"/>
    </w:rPr>
  </w:style>
  <w:style w:type="paragraph" w:customStyle="1" w:styleId="STitleSGA">
    <w:name w:val="S_Title_S_GA"/>
    <w:basedOn w:val="SSGA"/>
    <w:qFormat/>
    <w:rsid w:val="004653FA"/>
    <w:rPr>
      <w:lang w:eastAsia="zh-TW"/>
    </w:rPr>
  </w:style>
  <w:style w:type="paragraph" w:customStyle="1" w:styleId="HChG">
    <w:name w:val="_ H _Ch_G"/>
    <w:basedOn w:val="Normal"/>
    <w:next w:val="Normal"/>
    <w:rsid w:val="00766F91"/>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szCs w:val="30"/>
      <w:lang w:val="en-GB" w:eastAsia="zh-CN"/>
    </w:rPr>
  </w:style>
  <w:style w:type="paragraph" w:customStyle="1" w:styleId="H1G">
    <w:name w:val="_ H_1_G"/>
    <w:basedOn w:val="Normal"/>
    <w:next w:val="Normal"/>
    <w:rsid w:val="00766F91"/>
    <w:pPr>
      <w:keepNext/>
      <w:keepLines/>
      <w:tabs>
        <w:tab w:val="right" w:pos="851"/>
      </w:tabs>
      <w:suppressAutoHyphens/>
      <w:bidi w:val="0"/>
      <w:spacing w:before="360" w:after="240" w:line="270" w:lineRule="exact"/>
      <w:ind w:left="1134" w:right="1134" w:hanging="1134"/>
      <w:jc w:val="left"/>
      <w:outlineLvl w:val="2"/>
    </w:pPr>
    <w:rPr>
      <w:rFonts w:eastAsia="SimSun" w:hAnsiTheme="minorHAnsi" w:hint="cs"/>
      <w:b/>
      <w:sz w:val="24"/>
      <w:szCs w:val="30"/>
      <w:lang w:val="en-GB" w:eastAsia="zh-CN"/>
    </w:rPr>
  </w:style>
  <w:style w:type="paragraph" w:customStyle="1" w:styleId="H23G">
    <w:name w:val="_ H_2/3_G"/>
    <w:basedOn w:val="Normal"/>
    <w:next w:val="Normal"/>
    <w:rsid w:val="00766F91"/>
    <w:pPr>
      <w:keepNext/>
      <w:keepLines/>
      <w:tabs>
        <w:tab w:val="right" w:pos="851"/>
      </w:tabs>
      <w:suppressAutoHyphens/>
      <w:bidi w:val="0"/>
      <w:spacing w:before="240" w:after="120" w:line="240" w:lineRule="exact"/>
      <w:ind w:left="1134" w:right="1134" w:hanging="1134"/>
      <w:jc w:val="left"/>
      <w:outlineLvl w:val="3"/>
    </w:pPr>
    <w:rPr>
      <w:rFonts w:eastAsia="SimSun" w:hAnsiTheme="minorHAnsi" w:hint="cs"/>
      <w:b/>
      <w:szCs w:val="30"/>
      <w:lang w:val="en-GB" w:eastAsia="zh-CN"/>
    </w:rPr>
  </w:style>
  <w:style w:type="paragraph" w:customStyle="1" w:styleId="SingleTxtG">
    <w:name w:val="_ Single Txt_G"/>
    <w:basedOn w:val="Normal"/>
    <w:link w:val="SingleTxtGChar"/>
    <w:rsid w:val="00766F91"/>
    <w:pPr>
      <w:tabs>
        <w:tab w:val="left" w:pos="1701"/>
        <w:tab w:val="left" w:pos="2268"/>
      </w:tabs>
      <w:suppressAutoHyphens/>
      <w:bidi w:val="0"/>
      <w:spacing w:after="120"/>
      <w:ind w:left="1134" w:right="1134"/>
      <w:jc w:val="both"/>
    </w:pPr>
    <w:rPr>
      <w:rFonts w:eastAsia="SimSun" w:hAnsiTheme="minorHAnsi"/>
      <w:szCs w:val="30"/>
      <w:lang w:val="en-GB" w:eastAsia="zh-CN"/>
    </w:rPr>
  </w:style>
  <w:style w:type="paragraph" w:styleId="FootnoteText">
    <w:name w:val="footnote text"/>
    <w:aliases w:val="5_G"/>
    <w:basedOn w:val="Normal"/>
    <w:link w:val="FootnoteTextChar"/>
    <w:qFormat/>
    <w:rsid w:val="00766F91"/>
    <w:pPr>
      <w:tabs>
        <w:tab w:val="right" w:pos="1021"/>
        <w:tab w:val="left" w:pos="1134"/>
        <w:tab w:val="left" w:pos="1701"/>
        <w:tab w:val="left" w:pos="2268"/>
      </w:tabs>
      <w:suppressAutoHyphen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766F91"/>
    <w:rPr>
      <w:rFonts w:ascii="Times New Roman" w:eastAsia="SimSun" w:cs="Simplified Arabic"/>
      <w:sz w:val="18"/>
      <w:szCs w:val="30"/>
      <w:lang w:val="en-GB" w:eastAsia="zh-CN"/>
    </w:rPr>
  </w:style>
  <w:style w:type="character" w:styleId="FootnoteReference">
    <w:name w:val="footnote reference"/>
    <w:aliases w:val="4_G"/>
    <w:qFormat/>
    <w:rsid w:val="00766F91"/>
    <w:rPr>
      <w:rFonts w:ascii="Times New Roman" w:hAnsi="Times New Roman"/>
      <w:sz w:val="18"/>
      <w:vertAlign w:val="superscript"/>
    </w:rPr>
  </w:style>
  <w:style w:type="character" w:customStyle="1" w:styleId="SingleTxtGChar">
    <w:name w:val="_ Single Txt_G Char"/>
    <w:basedOn w:val="DefaultParagraphFont"/>
    <w:link w:val="SingleTxtG"/>
    <w:rsid w:val="00766F91"/>
    <w:rPr>
      <w:rFonts w:ascii="Times New Roman" w:eastAsia="SimSun" w:cs="Simplified Arabic"/>
      <w:sz w:val="20"/>
      <w:szCs w:val="30"/>
      <w:lang w:val="en-GB" w:eastAsia="zh-CN"/>
    </w:rPr>
  </w:style>
  <w:style w:type="character" w:styleId="UnresolvedMention">
    <w:name w:val="Unresolved Mention"/>
    <w:basedOn w:val="DefaultParagraphFont"/>
    <w:uiPriority w:val="99"/>
    <w:semiHidden/>
    <w:unhideWhenUsed/>
    <w:rsid w:val="00766F9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ar/CRPD/C/31/D/91/2021" TargetMode="External"/><Relationship Id="rId13" Type="http://schemas.openxmlformats.org/officeDocument/2006/relationships/hyperlink" Target="https://undocs.org/ar/CRPD/C/BFA/1" TargetMode="External"/><Relationship Id="rId18" Type="http://schemas.openxmlformats.org/officeDocument/2006/relationships/hyperlink" Target="https://undocs.org/ar/CRPD/C/MUS/2-3" TargetMode="External"/><Relationship Id="rId26" Type="http://schemas.openxmlformats.org/officeDocument/2006/relationships/hyperlink" Target="https://undocs.org/ar/CRPD/C/MUS/CO/2-3" TargetMode="External"/><Relationship Id="rId3" Type="http://schemas.openxmlformats.org/officeDocument/2006/relationships/hyperlink" Target="https://undocs.org/ar/CRPD/C/31/D/104/2023" TargetMode="External"/><Relationship Id="rId21" Type="http://schemas.openxmlformats.org/officeDocument/2006/relationships/hyperlink" Target="https://undocs.org/ar/CRPD/C/BEL/CO/2-3" TargetMode="External"/><Relationship Id="rId34" Type="http://schemas.openxmlformats.org/officeDocument/2006/relationships/hyperlink" Target="https://undocs.org/ar/CRPD/C/31/D/62/2019" TargetMode="External"/><Relationship Id="rId7" Type="http://schemas.openxmlformats.org/officeDocument/2006/relationships/hyperlink" Target="https://undocs.org/ar/CRPD/C/31/D/63/2019" TargetMode="External"/><Relationship Id="rId12" Type="http://schemas.openxmlformats.org/officeDocument/2006/relationships/hyperlink" Target="https://undocs.org/ar/CRPD/C/BEN/1" TargetMode="External"/><Relationship Id="rId17" Type="http://schemas.openxmlformats.org/officeDocument/2006/relationships/hyperlink" Target="https://undocs.org/ar/CRPD/C/DNK/2-3" TargetMode="External"/><Relationship Id="rId25" Type="http://schemas.openxmlformats.org/officeDocument/2006/relationships/hyperlink" Target="https://undocs.org/ar/CRPD/C/GHA/CO/1" TargetMode="External"/><Relationship Id="rId33" Type="http://schemas.openxmlformats.org/officeDocument/2006/relationships/hyperlink" Target="https://undocs.org/ar/CRPD/C/18/D/28/28/2015" TargetMode="External"/><Relationship Id="rId2" Type="http://schemas.openxmlformats.org/officeDocument/2006/relationships/hyperlink" Target="https://undocs.org/ar/CRPD/C/31/D/69/2019" TargetMode="External"/><Relationship Id="rId16" Type="http://schemas.openxmlformats.org/officeDocument/2006/relationships/hyperlink" Target="https://undocs.org/ar/CRPD/C/BEL/2-3" TargetMode="External"/><Relationship Id="rId20" Type="http://schemas.openxmlformats.org/officeDocument/2006/relationships/hyperlink" Target="https://undocs.org/ar/CRPD/C/BLR/CO/1" TargetMode="External"/><Relationship Id="rId29" Type="http://schemas.openxmlformats.org/officeDocument/2006/relationships/hyperlink" Target="https://undocs.org/ar/CRPD/C/31/D/69/2019" TargetMode="External"/><Relationship Id="rId1" Type="http://schemas.openxmlformats.org/officeDocument/2006/relationships/hyperlink" Target="https://undocs.org/ar/CRPD/C/31/1" TargetMode="External"/><Relationship Id="rId6" Type="http://schemas.openxmlformats.org/officeDocument/2006/relationships/hyperlink" Target="https://undocs.org/ar/CRPD/C/31/D/62/2019" TargetMode="External"/><Relationship Id="rId11" Type="http://schemas.openxmlformats.org/officeDocument/2006/relationships/hyperlink" Target="https://undocs.org/ar/CRPD/C/BLR/1" TargetMode="External"/><Relationship Id="rId24" Type="http://schemas.openxmlformats.org/officeDocument/2006/relationships/hyperlink" Target="https://undocs.org/ar/CRPD/C/DNK/CO/2-3" TargetMode="External"/><Relationship Id="rId32" Type="http://schemas.openxmlformats.org/officeDocument/2006/relationships/hyperlink" Target="https://undocs.org/ar/CRPD/C/31/D/104/2023" TargetMode="External"/><Relationship Id="rId5" Type="http://schemas.openxmlformats.org/officeDocument/2006/relationships/hyperlink" Target="https://undocs.org/ar/S/RES/1244(1999)" TargetMode="External"/><Relationship Id="rId15" Type="http://schemas.openxmlformats.org/officeDocument/2006/relationships/hyperlink" Target="https://undocs.org/ar/CRPD/C/NLD/1" TargetMode="External"/><Relationship Id="rId23" Type="http://schemas.openxmlformats.org/officeDocument/2006/relationships/hyperlink" Target="https://undocs.org/ar/CRPD/C/BFA/CO/1" TargetMode="External"/><Relationship Id="rId28" Type="http://schemas.openxmlformats.org/officeDocument/2006/relationships/hyperlink" Target="https://undocs.org/ar/CRPD/C/UKR/CO/2-3" TargetMode="External"/><Relationship Id="rId36" Type="http://schemas.openxmlformats.org/officeDocument/2006/relationships/hyperlink" Target="https://undocs.org/ar/CRPD/C/31/D/91/2021" TargetMode="External"/><Relationship Id="rId10" Type="http://schemas.openxmlformats.org/officeDocument/2006/relationships/hyperlink" Target="https://documents.un.org" TargetMode="External"/><Relationship Id="rId19" Type="http://schemas.openxmlformats.org/officeDocument/2006/relationships/hyperlink" Target="https://undocs.org/ar/CRPD/C/UKR/2-3" TargetMode="External"/><Relationship Id="rId31" Type="http://schemas.openxmlformats.org/officeDocument/2006/relationships/hyperlink" Target="https://undocs.org/ar/S/RES/1244(1999)" TargetMode="External"/><Relationship Id="rId4" Type="http://schemas.openxmlformats.org/officeDocument/2006/relationships/hyperlink" Target="https://undocs.org/ar/CRPD/C/31/D/94/2021" TargetMode="External"/><Relationship Id="rId9" Type="http://schemas.openxmlformats.org/officeDocument/2006/relationships/hyperlink" Target="https://undocs.org/ar/CRPD/C/6" TargetMode="External"/><Relationship Id="rId14" Type="http://schemas.openxmlformats.org/officeDocument/2006/relationships/hyperlink" Target="https://undocs.org/ar/CRPD/C/GHA/1" TargetMode="External"/><Relationship Id="rId22" Type="http://schemas.openxmlformats.org/officeDocument/2006/relationships/hyperlink" Target="https://undocs.org/ar/CRPD/C/BEN/CO/1" TargetMode="External"/><Relationship Id="rId27" Type="http://schemas.openxmlformats.org/officeDocument/2006/relationships/hyperlink" Target="https://undocs.org/ar/CRPD/C/NLD/CO/1" TargetMode="External"/><Relationship Id="rId30" Type="http://schemas.openxmlformats.org/officeDocument/2006/relationships/hyperlink" Target="https://undocs.org/ar/CRPD/C/31/D/94/2021" TargetMode="External"/><Relationship Id="rId35" Type="http://schemas.openxmlformats.org/officeDocument/2006/relationships/hyperlink" Target="https://undocs.org/ar/CRPD/C/31/D/63/201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286980-AF9E-49CF-931A-5A44A038B7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3629</Words>
  <Characters>19564</Characters>
  <Application>Microsoft Office Word</Application>
  <DocSecurity>0</DocSecurity>
  <Lines>355</Lines>
  <Paragraphs>139</Paragraphs>
  <ScaleCrop>false</ScaleCrop>
  <HeadingPairs>
    <vt:vector size="2" baseType="variant">
      <vt:variant>
        <vt:lpstr>Title</vt:lpstr>
      </vt:variant>
      <vt:variant>
        <vt:i4>1</vt:i4>
      </vt:variant>
    </vt:vector>
  </HeadingPairs>
  <TitlesOfParts>
    <vt:vector size="1" baseType="lpstr">
      <vt:lpstr>CRPD/C/31/2</vt:lpstr>
    </vt:vector>
  </TitlesOfParts>
  <Company>DCM</Company>
  <LinksUpToDate>false</LinksUpToDate>
  <CharactersWithSpaces>23054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CRPD/C/31/2</dc:title>
  <dc:subject>GE.2417277(A)</dc:subject>
  <dc:creator>Muntaha BUHNAM - Mustapha BAZZOUN</dc:creator>
  <cp:keywords>GE. 2417913(A)</cp:keywords>
  <dc:description>Distr.: General
11 October 2024
Arabic
Original: English</dc:description>
  <cp:lastModifiedBy>Jamila Chedad</cp:lastModifiedBy>
  <cp:revision>3</cp:revision>
  <cp:lastPrinted>2024-10-30T14:02:00Z</cp:lastPrinted>
  <dcterms:created xsi:type="dcterms:W3CDTF">2024-10-30T14:02:00Z</dcterms:created>
  <dcterms:modified xsi:type="dcterms:W3CDTF">2024-10-30T14:03:00Z</dcterms:modified>
</cp:coreProperties>
</file>