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47E" w:rsidRDefault="0097247E">
      <w:pPr>
        <w:spacing w:line="240" w:lineRule="auto"/>
        <w:rPr>
          <w:sz w:val="6"/>
        </w:rPr>
        <w:sectPr w:rsidR="0097247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97247E" w:rsidRDefault="0097247E">
      <w:pPr>
        <w:pStyle w:val="H1"/>
      </w:pPr>
      <w:r>
        <w:t>Comité para la Eliminación de la Discriminación</w:t>
      </w:r>
      <w:r>
        <w:br/>
        <w:t>contra la Mujer</w:t>
      </w:r>
    </w:p>
    <w:p w:rsidR="0097247E" w:rsidRDefault="0097247E">
      <w:pPr>
        <w:pStyle w:val="H23"/>
      </w:pPr>
      <w:r>
        <w:t>35° período de sesiones</w:t>
      </w:r>
    </w:p>
    <w:p w:rsidR="0097247E" w:rsidRDefault="0097247E">
      <w:pPr>
        <w:spacing w:line="240" w:lineRule="auto"/>
        <w:rPr>
          <w:sz w:val="12"/>
        </w:rPr>
      </w:pPr>
    </w:p>
    <w:p w:rsidR="0097247E" w:rsidRDefault="0097247E">
      <w:pPr>
        <w:pStyle w:val="H23"/>
      </w:pPr>
      <w:r>
        <w:t>Acta resumida de la 731ª sesión</w:t>
      </w:r>
    </w:p>
    <w:p w:rsidR="0097247E" w:rsidRDefault="0097247E">
      <w:r>
        <w:t>Celebrada en la Sede, Nueva York, el miércoles 24 de mayo de 2006, a las 10.00 horas</w:t>
      </w:r>
    </w:p>
    <w:p w:rsidR="0097247E" w:rsidRDefault="0097247E">
      <w:pPr>
        <w:spacing w:line="120" w:lineRule="exact"/>
        <w:rPr>
          <w:sz w:val="10"/>
        </w:rPr>
      </w:pPr>
    </w:p>
    <w:p w:rsidR="0097247E" w:rsidRDefault="0097247E">
      <w:pPr>
        <w:tabs>
          <w:tab w:val="right" w:pos="950"/>
          <w:tab w:val="left" w:pos="1267"/>
          <w:tab w:val="right" w:leader="dot" w:pos="8568"/>
        </w:tabs>
        <w:ind w:right="1267"/>
      </w:pPr>
      <w:r>
        <w:rPr>
          <w:i/>
        </w:rPr>
        <w:t>Presidenta:</w:t>
      </w:r>
      <w:r>
        <w:tab/>
        <w:t>Sra.</w:t>
      </w:r>
      <w:r>
        <w:rPr>
          <w:lang w:val="es-ES_tradnl"/>
        </w:rPr>
        <w:t xml:space="preserve"> Manalo</w:t>
      </w:r>
      <w:r>
        <w:t xml:space="preserve"> </w:t>
      </w:r>
    </w:p>
    <w:p w:rsidR="0097247E" w:rsidRDefault="0097247E">
      <w:pPr>
        <w:tabs>
          <w:tab w:val="right" w:pos="950"/>
          <w:tab w:val="left" w:pos="1267"/>
          <w:tab w:val="right" w:leader="dot" w:pos="8568"/>
        </w:tabs>
        <w:spacing w:line="120" w:lineRule="exact"/>
        <w:ind w:right="1267"/>
        <w:rPr>
          <w:sz w:val="10"/>
        </w:rPr>
      </w:pPr>
    </w:p>
    <w:p w:rsidR="0097247E" w:rsidRDefault="0097247E">
      <w:pPr>
        <w:tabs>
          <w:tab w:val="right" w:pos="950"/>
          <w:tab w:val="left" w:pos="1267"/>
          <w:tab w:val="right" w:leader="dot" w:pos="8568"/>
        </w:tabs>
        <w:spacing w:line="120" w:lineRule="exact"/>
        <w:ind w:right="1267"/>
        <w:rPr>
          <w:sz w:val="10"/>
        </w:rPr>
      </w:pPr>
    </w:p>
    <w:p w:rsidR="0097247E" w:rsidRDefault="0097247E">
      <w:pPr>
        <w:tabs>
          <w:tab w:val="right" w:pos="950"/>
          <w:tab w:val="left" w:pos="1267"/>
          <w:tab w:val="right" w:leader="dot" w:pos="8568"/>
        </w:tabs>
        <w:spacing w:line="120" w:lineRule="exact"/>
        <w:ind w:right="1267"/>
        <w:rPr>
          <w:sz w:val="10"/>
        </w:rPr>
      </w:pPr>
    </w:p>
    <w:p w:rsidR="0097247E" w:rsidRDefault="0097247E">
      <w:pPr>
        <w:pStyle w:val="HCh"/>
        <w:rPr>
          <w:b w:val="0"/>
        </w:rPr>
      </w:pPr>
      <w:r>
        <w:rPr>
          <w:b w:val="0"/>
        </w:rPr>
        <w:t>Sumario</w:t>
      </w:r>
    </w:p>
    <w:p w:rsidR="0097247E" w:rsidRDefault="0097247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97247E" w:rsidRDefault="0097247E">
      <w:pPr>
        <w:spacing w:line="120" w:lineRule="exact"/>
        <w:rPr>
          <w:sz w:val="10"/>
        </w:rPr>
      </w:pPr>
    </w:p>
    <w:p w:rsidR="0097247E" w:rsidRDefault="0097247E">
      <w:pPr>
        <w:pStyle w:val="SingleTxt"/>
        <w:jc w:val="left"/>
        <w:rPr>
          <w:b/>
        </w:rPr>
      </w:pPr>
      <w:r>
        <w:t>Examen de los informes presentados por los Estados Partes en virtud del artículo 18 de la Convención sobre la eliminación de todas las formas de discriminación contra la mujer (</w:t>
      </w:r>
      <w:r>
        <w:rPr>
          <w:i/>
        </w:rPr>
        <w:t>continuación</w:t>
      </w:r>
      <w:r>
        <w:t>)</w:t>
      </w:r>
    </w:p>
    <w:p w:rsidR="0097247E" w:rsidRDefault="0097247E">
      <w:pPr>
        <w:pStyle w:val="SingleTxt"/>
        <w:rPr>
          <w:i/>
          <w:iCs/>
          <w:lang w:val="es-ES_tradnl"/>
        </w:rPr>
      </w:pPr>
      <w:r>
        <w:tab/>
      </w:r>
      <w:r>
        <w:rPr>
          <w:i/>
          <w:iCs/>
        </w:rPr>
        <w:t>Informes periódicos combinados inicial y segundo de Mal</w:t>
      </w:r>
      <w:r>
        <w:rPr>
          <w:i/>
          <w:iCs/>
        </w:rPr>
        <w:t>a</w:t>
      </w:r>
      <w:r>
        <w:rPr>
          <w:i/>
          <w:iCs/>
        </w:rPr>
        <w:t>sia</w:t>
      </w:r>
    </w:p>
    <w:p w:rsidR="0097247E" w:rsidRDefault="0097247E">
      <w:pPr>
        <w:rPr>
          <w:lang w:val="es-ES_tradnl"/>
        </w:rPr>
      </w:pPr>
      <w:r>
        <w:rPr>
          <w:lang w:val="es-ES_tradnl"/>
        </w:rPr>
        <w:tab/>
      </w:r>
    </w:p>
    <w:p w:rsidR="0097247E" w:rsidRDefault="0097247E">
      <w:pPr>
        <w:pStyle w:val="SingleTxt"/>
        <w:tabs>
          <w:tab w:val="left" w:pos="5293"/>
        </w:tabs>
        <w:ind w:left="1742" w:hanging="475"/>
        <w:jc w:val="left"/>
        <w:rPr>
          <w:i/>
          <w:iCs/>
        </w:rPr>
      </w:pPr>
    </w:p>
    <w:p w:rsidR="0097247E" w:rsidRDefault="0097247E">
      <w:pPr>
        <w:pStyle w:val="SingleTxt"/>
        <w:suppressAutoHyphens/>
        <w:jc w:val="left"/>
        <w:sectPr w:rsidR="0097247E">
          <w:endnotePr>
            <w:numFmt w:val="decimal"/>
          </w:endnotePr>
          <w:type w:val="continuous"/>
          <w:pgSz w:w="12240" w:h="15840" w:code="1"/>
          <w:pgMar w:top="1742" w:right="1195" w:bottom="1898" w:left="1195" w:header="576" w:footer="1030" w:gutter="0"/>
          <w:pgNumType w:start="1"/>
          <w:cols w:space="720"/>
          <w:noEndnote/>
          <w:docGrid w:linePitch="209"/>
        </w:sectPr>
      </w:pPr>
    </w:p>
    <w:p w:rsidR="0097247E" w:rsidRDefault="0097247E">
      <w:pPr>
        <w:pStyle w:val="SingleTxt"/>
        <w:suppressAutoHyphens/>
        <w:spacing w:after="0" w:line="240" w:lineRule="auto"/>
        <w:jc w:val="left"/>
        <w:rPr>
          <w:sz w:val="2"/>
        </w:rPr>
        <w:sectPr w:rsidR="0097247E">
          <w:endnotePr>
            <w:numFmt w:val="decimal"/>
          </w:endnotePr>
          <w:pgSz w:w="12240" w:h="15840" w:code="1"/>
          <w:pgMar w:top="1742" w:right="1195" w:bottom="1898" w:left="1195" w:header="576" w:footer="1030" w:gutter="0"/>
          <w:cols w:space="720"/>
          <w:noEndnote/>
          <w:docGrid w:linePitch="209"/>
        </w:sect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97247E" w:rsidRDefault="0097247E">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97247E" w:rsidRDefault="0097247E">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97247E" w:rsidRDefault="0097247E">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Estados partes en virtud del artículo 18 de la Convención sobre la eliminación de todas las formas de discriminación contra la mujer </w:t>
      </w:r>
      <w:r>
        <w:rPr>
          <w:b w:val="0"/>
          <w:bCs/>
        </w:rPr>
        <w:t>(</w:t>
      </w:r>
      <w:r>
        <w:rPr>
          <w:b w:val="0"/>
          <w:bCs/>
          <w:i/>
          <w:iCs/>
        </w:rPr>
        <w:t>continuación</w:t>
      </w:r>
      <w:r>
        <w:rPr>
          <w:b w:val="0"/>
          <w:bCs/>
        </w:rPr>
        <w:t>)</w:t>
      </w:r>
    </w:p>
    <w:p w:rsidR="0097247E" w:rsidRDefault="0097247E">
      <w:pPr>
        <w:pStyle w:val="DualTxt"/>
        <w:spacing w:after="0" w:line="120" w:lineRule="exact"/>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combinados inicial y</w:t>
      </w:r>
      <w:r>
        <w:br/>
        <w:t xml:space="preserve">segundo de Malasia </w:t>
      </w:r>
      <w:r>
        <w:rPr>
          <w:i w:val="0"/>
          <w:iCs/>
          <w:szCs w:val="24"/>
        </w:rPr>
        <w:t>(CEDAW/C/MYS/1-2, CEDAW/C/MYS/Q/2 y Add.1)</w:t>
      </w:r>
      <w:r>
        <w:rPr>
          <w:i w:val="0"/>
          <w:iCs/>
        </w:rPr>
        <w:t xml:space="preserve"> </w:t>
      </w:r>
    </w:p>
    <w:p w:rsidR="0097247E" w:rsidRDefault="0097247E">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97247E" w:rsidRDefault="0097247E">
      <w:pPr>
        <w:pStyle w:val="DualTxt"/>
      </w:pPr>
      <w:r>
        <w:t>1.</w:t>
      </w:r>
      <w:r>
        <w:tab/>
      </w:r>
      <w:r>
        <w:rPr>
          <w:i/>
          <w:iCs/>
        </w:rPr>
        <w:t>La Presidenta invita a los miembros de la deleg</w:t>
      </w:r>
      <w:r>
        <w:rPr>
          <w:i/>
          <w:iCs/>
        </w:rPr>
        <w:t>a</w:t>
      </w:r>
      <w:r>
        <w:rPr>
          <w:i/>
          <w:iCs/>
        </w:rPr>
        <w:t>ción de Malasia a que tomen asiento a la mesa del Comité</w:t>
      </w:r>
      <w:r>
        <w:t>.</w:t>
      </w:r>
    </w:p>
    <w:p w:rsidR="0097247E" w:rsidRDefault="0097247E">
      <w:pPr>
        <w:pStyle w:val="DualTxt"/>
        <w:rPr>
          <w:spacing w:val="0"/>
        </w:rPr>
      </w:pPr>
      <w:r>
        <w:rPr>
          <w:spacing w:val="0"/>
        </w:rPr>
        <w:t>2.</w:t>
      </w:r>
      <w:r>
        <w:rPr>
          <w:spacing w:val="0"/>
        </w:rPr>
        <w:tab/>
      </w:r>
      <w:r>
        <w:rPr>
          <w:b/>
          <w:spacing w:val="0"/>
        </w:rPr>
        <w:t>La Sra. Faizah Mohd Tahir</w:t>
      </w:r>
      <w:r>
        <w:rPr>
          <w:spacing w:val="0"/>
        </w:rPr>
        <w:t xml:space="preserve"> (Malasia), tras prese</w:t>
      </w:r>
      <w:r>
        <w:rPr>
          <w:spacing w:val="0"/>
        </w:rPr>
        <w:t>n</w:t>
      </w:r>
      <w:r>
        <w:rPr>
          <w:spacing w:val="0"/>
        </w:rPr>
        <w:t>tar los informes periódicos combinados inicial y segundo de su país (CEDAW/C/MYS/1-2), realiza una present</w:t>
      </w:r>
      <w:r>
        <w:rPr>
          <w:spacing w:val="0"/>
        </w:rPr>
        <w:t>a</w:t>
      </w:r>
      <w:r>
        <w:rPr>
          <w:spacing w:val="0"/>
        </w:rPr>
        <w:t>ción en Power Point para mostrar los logros de Malasia en materia de adelanto de la mujer hasta 2005 en varias esf</w:t>
      </w:r>
      <w:r>
        <w:rPr>
          <w:spacing w:val="0"/>
        </w:rPr>
        <w:t>e</w:t>
      </w:r>
      <w:r>
        <w:rPr>
          <w:spacing w:val="0"/>
        </w:rPr>
        <w:t>ras prioritarias identificadas en la Convención. La t</w:t>
      </w:r>
      <w:r>
        <w:rPr>
          <w:spacing w:val="0"/>
        </w:rPr>
        <w:t>a</w:t>
      </w:r>
      <w:r>
        <w:rPr>
          <w:spacing w:val="0"/>
        </w:rPr>
        <w:t>sa de alfabetismo de los hombres y la de las mujeres aumentó desde 2004, principalmente porque mejoraron las posib</w:t>
      </w:r>
      <w:r>
        <w:rPr>
          <w:spacing w:val="0"/>
        </w:rPr>
        <w:t>i</w:t>
      </w:r>
      <w:r>
        <w:rPr>
          <w:spacing w:val="0"/>
        </w:rPr>
        <w:t>lidades de educación. En cuanto al empleo, subsiste un desequilibrio importante entre los hombres y las mujeres, especialmente en los grupos de los legisladores, los fu</w:t>
      </w:r>
      <w:r>
        <w:rPr>
          <w:spacing w:val="0"/>
        </w:rPr>
        <w:t>n</w:t>
      </w:r>
      <w:r>
        <w:rPr>
          <w:spacing w:val="0"/>
        </w:rPr>
        <w:t>cionarios superiores y los d</w:t>
      </w:r>
      <w:r>
        <w:rPr>
          <w:spacing w:val="0"/>
        </w:rPr>
        <w:t>i</w:t>
      </w:r>
      <w:r>
        <w:rPr>
          <w:spacing w:val="0"/>
        </w:rPr>
        <w:t>rectores. Las mujeres son más numerosas que los ho</w:t>
      </w:r>
      <w:r>
        <w:rPr>
          <w:spacing w:val="0"/>
        </w:rPr>
        <w:t>m</w:t>
      </w:r>
      <w:r>
        <w:rPr>
          <w:spacing w:val="0"/>
        </w:rPr>
        <w:t>bres sólo en el segmento de los trabajadores de oficina. En la educación, el Objetivo de Desarrollo del Milenio de igualdad en materia de género en los niveles primario y secundario para el año 2005 se ha cumplido. En el nivel terciario, la matrícula de est</w:t>
      </w:r>
      <w:r>
        <w:rPr>
          <w:spacing w:val="0"/>
        </w:rPr>
        <w:t>u</w:t>
      </w:r>
      <w:r>
        <w:rPr>
          <w:spacing w:val="0"/>
        </w:rPr>
        <w:t>diantes mujeres s</w:t>
      </w:r>
      <w:r>
        <w:rPr>
          <w:spacing w:val="0"/>
        </w:rPr>
        <w:t>u</w:t>
      </w:r>
      <w:r>
        <w:rPr>
          <w:spacing w:val="0"/>
        </w:rPr>
        <w:t>pera la de los varones. Sin embargo, las mujeres todavía están rezagadas con respecto a los ho</w:t>
      </w:r>
      <w:r>
        <w:rPr>
          <w:spacing w:val="0"/>
        </w:rPr>
        <w:t>m</w:t>
      </w:r>
      <w:r>
        <w:rPr>
          <w:spacing w:val="0"/>
        </w:rPr>
        <w:t>bres en el nivel de doctorado. Se alentará a las estudiantes a ingresar en los campos de la ciencia y la ingeniería en los que hoy su proporción es menor. En la esfera de la s</w:t>
      </w:r>
      <w:r>
        <w:rPr>
          <w:spacing w:val="0"/>
        </w:rPr>
        <w:t>a</w:t>
      </w:r>
      <w:r>
        <w:rPr>
          <w:spacing w:val="0"/>
        </w:rPr>
        <w:t>lud, las mujeres siguen aprovechando los beneficios der</w:t>
      </w:r>
      <w:r>
        <w:rPr>
          <w:spacing w:val="0"/>
        </w:rPr>
        <w:t>i</w:t>
      </w:r>
      <w:r>
        <w:rPr>
          <w:spacing w:val="0"/>
        </w:rPr>
        <w:t>vados de las mejoras de los servicios, especialme</w:t>
      </w:r>
      <w:r>
        <w:rPr>
          <w:spacing w:val="0"/>
        </w:rPr>
        <w:t>n</w:t>
      </w:r>
      <w:r>
        <w:rPr>
          <w:spacing w:val="0"/>
        </w:rPr>
        <w:t xml:space="preserve">te a través de la </w:t>
      </w:r>
      <w:r>
        <w:rPr>
          <w:rFonts w:ascii="TimesNewRoman" w:hAnsi="TimesNewRoman" w:cs="TimesNewRoman"/>
          <w:spacing w:val="0"/>
        </w:rPr>
        <w:t>Iniciativa para una Maternidad Segura, m</w:t>
      </w:r>
      <w:r>
        <w:rPr>
          <w:rFonts w:ascii="TimesNewRoman" w:hAnsi="TimesNewRoman" w:cs="TimesNewRoman"/>
          <w:spacing w:val="0"/>
        </w:rPr>
        <w:t>e</w:t>
      </w:r>
      <w:r>
        <w:rPr>
          <w:rFonts w:ascii="TimesNewRoman" w:hAnsi="TimesNewRoman" w:cs="TimesNewRoman"/>
          <w:spacing w:val="0"/>
        </w:rPr>
        <w:t xml:space="preserve">diante la cual se ha logrado reducir significativamente la tasa de </w:t>
      </w:r>
      <w:r>
        <w:rPr>
          <w:spacing w:val="0"/>
        </w:rPr>
        <w:t>mortalidad materna. Se ha hecho mayor hincapié en la prevención del VIH/SIDA, especialmente mediante campañas de sensibilización. Si bien, pese a los esfuerzos desplegados, el porcentaje de mujeres infectadas con el VIH ha aumentado, se ha registrado una disminución del 4% en la transmisión de la madre al hijo. Los programas de educación sanitaria y sensibilización han permitido mejorar considerablemente el nivel gen</w:t>
      </w:r>
      <w:r>
        <w:rPr>
          <w:spacing w:val="0"/>
        </w:rPr>
        <w:t>e</w:t>
      </w:r>
      <w:r>
        <w:rPr>
          <w:spacing w:val="0"/>
        </w:rPr>
        <w:t>ral de la salud de las mujeres.</w:t>
      </w:r>
    </w:p>
    <w:p w:rsidR="0097247E" w:rsidRDefault="0097247E">
      <w:pPr>
        <w:pStyle w:val="DualTxt"/>
      </w:pPr>
      <w:r>
        <w:t>3.</w:t>
      </w:r>
      <w:r>
        <w:tab/>
        <w:t>La delegada subraya que la proporción de muj</w:t>
      </w:r>
      <w:r>
        <w:t>e</w:t>
      </w:r>
      <w:r>
        <w:t>res en la fuerza de trabajo ha crecido en forma inint</w:t>
      </w:r>
      <w:r>
        <w:t>e</w:t>
      </w:r>
      <w:r>
        <w:t>rrumpida desde 1995 y su desempeño educativo ha aumentado. La mayoría de las mujeres ingresan a la fuerza de trabajo a una edad mayor que antes pues co</w:t>
      </w:r>
      <w:r>
        <w:t>n</w:t>
      </w:r>
      <w:r>
        <w:t>curren a la escuela durante más tiempo. Sin embargo, generalmente abandonan los estudios antes que los v</w:t>
      </w:r>
      <w:r>
        <w:t>a</w:t>
      </w:r>
      <w:r>
        <w:t xml:space="preserve">rones. Una encuesta realizada en 2002 demostró que más del 75% de las </w:t>
      </w:r>
      <w:r>
        <w:rPr>
          <w:rFonts w:ascii="TimesNewRoman" w:hAnsi="TimesNewRoman" w:cs="TimesNewRoman"/>
        </w:rPr>
        <w:t>t</w:t>
      </w:r>
      <w:r>
        <w:rPr>
          <w:rFonts w:ascii="TimesNewRoman" w:hAnsi="TimesNewRoman" w:cs="TimesNewRoman"/>
        </w:rPr>
        <w:t>a</w:t>
      </w:r>
      <w:r>
        <w:rPr>
          <w:rFonts w:ascii="TimesNewRoman" w:hAnsi="TimesNewRoman" w:cs="TimesNewRoman"/>
        </w:rPr>
        <w:t xml:space="preserve">reas de asistencia no remuneradas son realizadas por </w:t>
      </w:r>
      <w:r>
        <w:t>mujeres. Gracias a los programas de generación de ingresos y otros planes de erradicación de la pobreza puestos en marcha por el Gobierno, la i</w:t>
      </w:r>
      <w:r>
        <w:t>n</w:t>
      </w:r>
      <w:r>
        <w:t>cidencia de la pobreza en los hogares encabezados por mujeres ha disminuido. Entre 1990 y 2005 la represe</w:t>
      </w:r>
      <w:r>
        <w:t>n</w:t>
      </w:r>
      <w:r>
        <w:t>tación de la mujer en la vida política ha aumentado signif</w:t>
      </w:r>
      <w:r>
        <w:t>i</w:t>
      </w:r>
      <w:r>
        <w:t>cativamente, tanto en la Cámara Baja como en el Senado, y lo mismo ha ocurrido con el porcentaje de Ministras del Gabinete, Viceministras y secretarias pa</w:t>
      </w:r>
      <w:r>
        <w:t>r</w:t>
      </w:r>
      <w:r>
        <w:t>lamentarias. A fin de seguir avanzando en esta esfera el Gobierno ha adoptado una polít</w:t>
      </w:r>
      <w:r>
        <w:t>i</w:t>
      </w:r>
      <w:r>
        <w:t>ca encaminada a lograr una participación de por lo menos el 30% de las muj</w:t>
      </w:r>
      <w:r>
        <w:t>e</w:t>
      </w:r>
      <w:r>
        <w:t>res en los puestos decisorios. El Ministerio para el D</w:t>
      </w:r>
      <w:r>
        <w:t>e</w:t>
      </w:r>
      <w:r>
        <w:t>sarrollo de la Mujer, la Familia y la Comunidad está trabajando con el Programa de las Naciones Unidas p</w:t>
      </w:r>
      <w:r>
        <w:t>a</w:t>
      </w:r>
      <w:r>
        <w:t>ra el Desarrollo (PNUD) en un plan de acción con ese obj</w:t>
      </w:r>
      <w:r>
        <w:t>e</w:t>
      </w:r>
      <w:r>
        <w:t>tivo, en el que se aprovechará la experiencia de otros países. Las mujeres ya ocupan varios puestos de prestigio en el país, inclusive el de Vicecanciller de una universidad.</w:t>
      </w:r>
    </w:p>
    <w:p w:rsidR="0097247E" w:rsidRDefault="0097247E">
      <w:pPr>
        <w:pStyle w:val="DualTxt"/>
      </w:pPr>
      <w:r>
        <w:t>4.</w:t>
      </w:r>
      <w:r>
        <w:tab/>
        <w:t>En general la legislación no discrimina entre los hombres y las mujeres. Desde que Malasia adhirió a la Convención cualquier disposición legislativa incomp</w:t>
      </w:r>
      <w:r>
        <w:t>a</w:t>
      </w:r>
      <w:r>
        <w:t>tible con ella se ha modificado. Así, se enmendó el a</w:t>
      </w:r>
      <w:r>
        <w:t>r</w:t>
      </w:r>
      <w:r>
        <w:t>tículo 8.2 de la Constitución a fin de prohibir la di</w:t>
      </w:r>
      <w:r>
        <w:t>s</w:t>
      </w:r>
      <w:r>
        <w:t>criminación por motivo de género, además de la fund</w:t>
      </w:r>
      <w:r>
        <w:t>a</w:t>
      </w:r>
      <w:r>
        <w:t>da en la religión, la raza, la descendencia y el lugar de n</w:t>
      </w:r>
      <w:r>
        <w:t>a</w:t>
      </w:r>
      <w:r>
        <w:t xml:space="preserve">cimiento. Además de introducir esa enmienda, se han hecho esfuerzos por armonizar la legislación del país con la Convención. Se modificó la Ley de Pensiones con el objeto de proteger a las viudas y sus hijos. Se revisó la </w:t>
      </w:r>
      <w:r>
        <w:rPr>
          <w:rFonts w:ascii="TimesNewRoman" w:hAnsi="TimesNewRoman" w:cs="TimesNewRoman"/>
        </w:rPr>
        <w:t>Ley de Tierras (Zonas de Asentamiento C</w:t>
      </w:r>
      <w:r>
        <w:rPr>
          <w:rFonts w:ascii="TimesNewRoman" w:hAnsi="TimesNewRoman" w:cs="TimesNewRoman"/>
        </w:rPr>
        <w:t>o</w:t>
      </w:r>
      <w:r>
        <w:rPr>
          <w:rFonts w:ascii="TimesNewRoman" w:hAnsi="TimesNewRoman" w:cs="TimesNewRoman"/>
        </w:rPr>
        <w:t>lectivo) a fin de asegurar a la mujer la propiedad co</w:t>
      </w:r>
      <w:r>
        <w:rPr>
          <w:rFonts w:ascii="TimesNewRoman" w:hAnsi="TimesNewRoman" w:cs="TimesNewRoman"/>
        </w:rPr>
        <w:t>n</w:t>
      </w:r>
      <w:r>
        <w:rPr>
          <w:rFonts w:ascii="TimesNewRoman" w:hAnsi="TimesNewRoman" w:cs="TimesNewRoman"/>
        </w:rPr>
        <w:t>junta con el ho</w:t>
      </w:r>
      <w:r>
        <w:rPr>
          <w:rFonts w:ascii="TimesNewRoman" w:hAnsi="TimesNewRoman" w:cs="TimesNewRoman"/>
        </w:rPr>
        <w:t>m</w:t>
      </w:r>
      <w:r>
        <w:rPr>
          <w:rFonts w:ascii="TimesNewRoman" w:hAnsi="TimesNewRoman" w:cs="TimesNewRoman"/>
        </w:rPr>
        <w:t>bre de las tierras colonizadas.</w:t>
      </w:r>
      <w:r>
        <w:t xml:space="preserve"> Se han modificado el Código Penal y el Código de Proced</w:t>
      </w:r>
      <w:r>
        <w:t>i</w:t>
      </w:r>
      <w:r>
        <w:t>miento Penal para establecer penas más estrictas para los delitos sexuales. Se está revisando la Ley sobre Violencia en el Hogar de 1994. Las propuestas co</w:t>
      </w:r>
      <w:r>
        <w:t>m</w:t>
      </w:r>
      <w:r>
        <w:t>prenden y amplían la definición de violencia en el hogar así como disposiciones que establecen la máxima protección de las víctimas y su compensación. También se están adoptando medidas legislativas para proteger a las mujeres más eficazmente contra el acoso sexual en el lugar de trabajo. El Gobierno ha publicado un co</w:t>
      </w:r>
      <w:r>
        <w:t>n</w:t>
      </w:r>
      <w:r>
        <w:t>junto de directrices conexas para el sector público. La ley de familia islámica corresponde a la j</w:t>
      </w:r>
      <w:r>
        <w:t>u</w:t>
      </w:r>
      <w:r>
        <w:t>risdicción de los estados. Sin embargo, también es tema de interés del Gobierno Federal que, en consecuencia, elaboró una ley modelo a fin de salvaguardar los intereses y d</w:t>
      </w:r>
      <w:r>
        <w:t>e</w:t>
      </w:r>
      <w:r>
        <w:t>rechos de la mujer. No obstante, hubo algunos male</w:t>
      </w:r>
      <w:r>
        <w:t>n</w:t>
      </w:r>
      <w:r>
        <w:t>tendidos ya que algunas mujeres creyeron que, según la ley mod</w:t>
      </w:r>
      <w:r>
        <w:t>e</w:t>
      </w:r>
      <w:r>
        <w:t>lo, debían perder sus derechos de propiedad. En consecuencia, el Gobierno aceptó intercalar un nu</w:t>
      </w:r>
      <w:r>
        <w:t>e</w:t>
      </w:r>
      <w:r>
        <w:t>vo párrafo en el que se redefine el concepto de propi</w:t>
      </w:r>
      <w:r>
        <w:t>e</w:t>
      </w:r>
      <w:r>
        <w:t>dad conjunta. Se fortaleció el mecanismo nacional de adelanto de la mujer: se aumentaron los recursos asi</w:t>
      </w:r>
      <w:r>
        <w:t>g</w:t>
      </w:r>
      <w:r>
        <w:t>nados al Ministerio para el Desarrollo de la Mujer, la Familia y la Comunidad así como el presupuesto de t</w:t>
      </w:r>
      <w:r>
        <w:t>o</w:t>
      </w:r>
      <w:r>
        <w:t>das las demás dependencias pertinentes.</w:t>
      </w:r>
    </w:p>
    <w:p w:rsidR="0097247E" w:rsidRDefault="0097247E">
      <w:pPr>
        <w:pStyle w:val="DualTxt"/>
      </w:pPr>
      <w:r>
        <w:t>5.</w:t>
      </w:r>
      <w:r>
        <w:tab/>
        <w:t>Se seguirá trabajando en la revisión de las rese</w:t>
      </w:r>
      <w:r>
        <w:t>r</w:t>
      </w:r>
      <w:r>
        <w:t>vas de Malasia con respecto a los artículos 5 a), 7 b), 9 2), 16 1) a), c), f) y g), y 16 2), con vistas a retirarlas gradualmente, teniendo en cuenta las disposiciones constitucionales y el interés n</w:t>
      </w:r>
      <w:r>
        <w:t>a</w:t>
      </w:r>
      <w:r>
        <w:t>cional.</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97247E" w:rsidRDefault="0097247E">
      <w:pPr>
        <w:pStyle w:val="DualTxt"/>
        <w:spacing w:after="0" w:line="120" w:lineRule="exact"/>
        <w:rPr>
          <w:sz w:val="10"/>
        </w:rPr>
      </w:pPr>
    </w:p>
    <w:p w:rsidR="0097247E" w:rsidRDefault="0097247E">
      <w:pPr>
        <w:pStyle w:val="DualTxt"/>
      </w:pPr>
      <w:r>
        <w:t>6.</w:t>
      </w:r>
      <w:r>
        <w:tab/>
      </w:r>
      <w:r>
        <w:rPr>
          <w:b/>
        </w:rPr>
        <w:t>La Sra. Khan</w:t>
      </w:r>
      <w:r>
        <w:t xml:space="preserve"> dice que las medidas adoptadas para modificar las leyes de familia islámicas parecen haber dejado a las mujeres menos protegidas que antes. Se informa de que los hombres pueden practicar la p</w:t>
      </w:r>
      <w:r>
        <w:t>o</w:t>
      </w:r>
      <w:r>
        <w:t>ligamia con mayor facilidad y pretender los bienes de sus esposas, contrariando las disposiciones de la Co</w:t>
      </w:r>
      <w:r>
        <w:t>n</w:t>
      </w:r>
      <w:r>
        <w:t>vención. En cuanto a la enmienda al artículo 8 2) de la Constitución, no prohíbe la discriminación de las muj</w:t>
      </w:r>
      <w:r>
        <w:t>e</w:t>
      </w:r>
      <w:r>
        <w:t>res por los actores no estatales. Subraya que, de co</w:t>
      </w:r>
      <w:r>
        <w:t>n</w:t>
      </w:r>
      <w:r>
        <w:t>formidad con el artículo 2 e) de la Convención, el E</w:t>
      </w:r>
      <w:r>
        <w:t>s</w:t>
      </w:r>
      <w:r>
        <w:t>tado Parte está obligado a eliminar ese tipo de discr</w:t>
      </w:r>
      <w:r>
        <w:t>i</w:t>
      </w:r>
      <w:r>
        <w:t>minación por parte de cualquier pe</w:t>
      </w:r>
      <w:r>
        <w:t>r</w:t>
      </w:r>
      <w:r>
        <w:t>sona, organización o empresa. Desea saber por qué se ha aplicado una i</w:t>
      </w:r>
      <w:r>
        <w:t>n</w:t>
      </w:r>
      <w:r>
        <w:t>terpretación estrecha de la ley islámica como base para modificar las leyes, especialmente teniendo en cuenta la evolución favorable observada en varios países m</w:t>
      </w:r>
      <w:r>
        <w:t>u</w:t>
      </w:r>
      <w:r>
        <w:t>sulmanes en lo relativo a la adaptación de las leyes de familia islámicas a la realidad actual de la vida de las mujeres. Sería interesante saber qué otras m</w:t>
      </w:r>
      <w:r>
        <w:t>e</w:t>
      </w:r>
      <w:r>
        <w:t>didas puede estar previendo el Gobierno para lograr una m</w:t>
      </w:r>
      <w:r>
        <w:t>a</w:t>
      </w:r>
      <w:r>
        <w:t>yor armonización de la legislación de Malasia con la Convención.</w:t>
      </w:r>
    </w:p>
    <w:p w:rsidR="0097247E" w:rsidRDefault="0097247E">
      <w:pPr>
        <w:pStyle w:val="DualTxt"/>
      </w:pPr>
      <w:r>
        <w:t>7.</w:t>
      </w:r>
      <w:r>
        <w:tab/>
      </w:r>
      <w:r>
        <w:rPr>
          <w:b/>
        </w:rPr>
        <w:t>La Sra. Patten</w:t>
      </w:r>
      <w:r>
        <w:t xml:space="preserve"> pide mayor información concreta sobre el retiro de las reservas del Estado Parte, esp</w:t>
      </w:r>
      <w:r>
        <w:t>e</w:t>
      </w:r>
      <w:r>
        <w:t>cialmente en lo que se refiere a las consultas que pu</w:t>
      </w:r>
      <w:r>
        <w:t>e</w:t>
      </w:r>
      <w:r>
        <w:t>dan estar llevándose a cabo sobre el tema y los plazos probables para el retiro. En relación con la ley islám</w:t>
      </w:r>
      <w:r>
        <w:t>i</w:t>
      </w:r>
      <w:r>
        <w:t>ca, se agradecerá e</w:t>
      </w:r>
      <w:r>
        <w:t>s</w:t>
      </w:r>
      <w:r>
        <w:t>pecialmente al Estado Parte que proporcione mayores detalles sobre las reservas al art</w:t>
      </w:r>
      <w:r>
        <w:t>í</w:t>
      </w:r>
      <w:r>
        <w:t>culo 16. Se refiere al caso de Beatrice At Fernandez y pregunta qué medidas tiene intención de adoptar el Gobierno para enfrentar la negativa a invalidar un co</w:t>
      </w:r>
      <w:r>
        <w:t>n</w:t>
      </w:r>
      <w:r>
        <w:t>trato que discrimina contra las mujeres. Es indudable que tanto el Tribunal Federal como el de Apelaciones han omitido aplicar las normas de la Convención. C</w:t>
      </w:r>
      <w:r>
        <w:t>o</w:t>
      </w:r>
      <w:r>
        <w:t>mo las normas internacionales no se incorporan aut</w:t>
      </w:r>
      <w:r>
        <w:t>o</w:t>
      </w:r>
      <w:r>
        <w:t>máticamente a legislación nacional, la oradora se pr</w:t>
      </w:r>
      <w:r>
        <w:t>e</w:t>
      </w:r>
      <w:r>
        <w:t>gunta cómo va a asegurar el Gobierno la armonización de ambas, especia</w:t>
      </w:r>
      <w:r>
        <w:t>l</w:t>
      </w:r>
      <w:r>
        <w:t>mente a través de la inclusión de una definición de discriminación contra la mujer suficie</w:t>
      </w:r>
      <w:r>
        <w:t>n</w:t>
      </w:r>
      <w:r>
        <w:t>temente amplia.</w:t>
      </w:r>
    </w:p>
    <w:p w:rsidR="0097247E" w:rsidRDefault="0097247E">
      <w:pPr>
        <w:pStyle w:val="DualTxt"/>
      </w:pPr>
      <w:r>
        <w:t>8.</w:t>
      </w:r>
      <w:r>
        <w:tab/>
      </w:r>
      <w:r>
        <w:rPr>
          <w:b/>
        </w:rPr>
        <w:t>El Sr. Flinterman</w:t>
      </w:r>
      <w:r>
        <w:t>, refiriéndose al mismo caso, dice que en un sistema como el de Malasia corresponde a los tribunales tomar conocimiento de oficio de las obligaciones internacionales del Estado de que se trate. Sería interesante saber qué se está haciendo p</w:t>
      </w:r>
      <w:r>
        <w:t>a</w:t>
      </w:r>
      <w:r>
        <w:t>ra sensibilizar a la magistratura con respecto a estas obligaciones. En el caso objeto de examen, la clasific</w:t>
      </w:r>
      <w:r>
        <w:t>a</w:t>
      </w:r>
      <w:r>
        <w:t>ción por motivos de sexo es sospechosa, a menos que existan razones imperiosas para ello. Desea saber si el Gobie</w:t>
      </w:r>
      <w:r>
        <w:t>r</w:t>
      </w:r>
      <w:r>
        <w:t>no considera que la interpretación del principio de igualdad de los tribunales es compatible con la idea de igualdad consagrada en la Convención. Según la r</w:t>
      </w:r>
      <w:r>
        <w:t>e</w:t>
      </w:r>
      <w:r>
        <w:t>comendación general No. 25 del Comité, es preciso asegurar la igualdad tanto de facto como de jure, mie</w:t>
      </w:r>
      <w:r>
        <w:t>n</w:t>
      </w:r>
      <w:r>
        <w:t>tras que el concepto de discriminación comprende ta</w:t>
      </w:r>
      <w:r>
        <w:t>n</w:t>
      </w:r>
      <w:r>
        <w:t>to la discriminación directa como la indirecta, ind</w:t>
      </w:r>
      <w:r>
        <w:t>e</w:t>
      </w:r>
      <w:r>
        <w:t>pendientemente de que se practique en las esferas p</w:t>
      </w:r>
      <w:r>
        <w:t>ú</w:t>
      </w:r>
      <w:r>
        <w:t>blica o privada. Subraya la obligación del Estado Parte de incorporar las disposiciones de la Convención a la legislación nacional y sugiere que a esos efectos sería útil considerar la posibilidad de elaborar una ley gen</w:t>
      </w:r>
      <w:r>
        <w:t>e</w:t>
      </w:r>
      <w:r>
        <w:t>ral sobre la igualdad en materia de gén</w:t>
      </w:r>
      <w:r>
        <w:t>e</w:t>
      </w:r>
      <w:r>
        <w:t>ro.</w:t>
      </w:r>
    </w:p>
    <w:p w:rsidR="0097247E" w:rsidRDefault="0097247E">
      <w:pPr>
        <w:pStyle w:val="DualTxt"/>
      </w:pPr>
      <w:r>
        <w:t>9.</w:t>
      </w:r>
      <w:r>
        <w:tab/>
      </w:r>
      <w:r>
        <w:rPr>
          <w:b/>
        </w:rPr>
        <w:t>La Sra. Faizah Mohd Tahir</w:t>
      </w:r>
      <w:r>
        <w:t xml:space="preserve"> (Malasia) r</w:t>
      </w:r>
      <w:r>
        <w:t>e</w:t>
      </w:r>
      <w:r>
        <w:t>cuerda que la ley de familia islámica corresponde al ámbito de los estados pero que el Gobierno Federal también tiene participación en esa rama de la legislación. En tal se</w:t>
      </w:r>
      <w:r>
        <w:t>n</w:t>
      </w:r>
      <w:r>
        <w:t>tido se ha formulado una ley modelo, cuyo objeto es armonizar las 14 leyes estatales a fin de salvaguardar los intereses de las mujeres, entre otras cosas con re</w:t>
      </w:r>
      <w:r>
        <w:t>s</w:t>
      </w:r>
      <w:r>
        <w:t>pecto a la poligamia y la división de bienes adquiridos co</w:t>
      </w:r>
      <w:r>
        <w:t>n</w:t>
      </w:r>
      <w:r>
        <w:t>juntamente. En el proceso de elaboración de la ley modelo se celebraron diversas consultas con todas las partes interesadas, como las organizaciones no gube</w:t>
      </w:r>
      <w:r>
        <w:t>r</w:t>
      </w:r>
      <w:r>
        <w:t>namentales, y posteriormente se realizaron varias m</w:t>
      </w:r>
      <w:r>
        <w:t>o</w:t>
      </w:r>
      <w:r>
        <w:t xml:space="preserve">dificaciones para aclarar las disposiciones de la </w:t>
      </w:r>
      <w:r>
        <w:rPr>
          <w:rFonts w:ascii="TimesNewRoman" w:hAnsi="TimesNewRoman" w:cs="TimesNewRoman"/>
        </w:rPr>
        <w:t>Ley sobre el Derecho de la Familia Islámica (Territorios Federales) de 1984 que pudieran ser objeto de contr</w:t>
      </w:r>
      <w:r>
        <w:rPr>
          <w:rFonts w:ascii="TimesNewRoman" w:hAnsi="TimesNewRoman" w:cs="TimesNewRoman"/>
        </w:rPr>
        <w:t>o</w:t>
      </w:r>
      <w:r>
        <w:rPr>
          <w:rFonts w:ascii="TimesNewRoman" w:hAnsi="TimesNewRoman" w:cs="TimesNewRoman"/>
        </w:rPr>
        <w:t>versia.</w:t>
      </w:r>
    </w:p>
    <w:p w:rsidR="0097247E" w:rsidRDefault="0097247E">
      <w:pPr>
        <w:pStyle w:val="DualTxt"/>
      </w:pPr>
      <w:r>
        <w:t>10.</w:t>
      </w:r>
      <w:r>
        <w:tab/>
      </w:r>
      <w:r>
        <w:rPr>
          <w:b/>
        </w:rPr>
        <w:t>La Sra. Azailiza Mohd Ahad</w:t>
      </w:r>
      <w:r>
        <w:t xml:space="preserve"> (Malasia) dice que su país mantiene la firme decisión de asegurar que en la legislación nacional se respeten plenamente las obl</w:t>
      </w:r>
      <w:r>
        <w:t>i</w:t>
      </w:r>
      <w:r>
        <w:t>gaciones contraídas en virtud de los tratados intern</w:t>
      </w:r>
      <w:r>
        <w:t>a</w:t>
      </w:r>
      <w:r>
        <w:t>cionales. El Gobierno ha incluido elementos relativos al género en la nueva legislación e iniciado un proceso de revisión de las leyes vigentes, con el objeto de as</w:t>
      </w:r>
      <w:r>
        <w:t>e</w:t>
      </w:r>
      <w:r>
        <w:t>gurar la modificación de las disposiciones que puedan ser discriminat</w:t>
      </w:r>
      <w:r>
        <w:t>o</w:t>
      </w:r>
      <w:r>
        <w:t>rias. Del mismo modo, en relación con el caso de Beatrice At Fernandez, dice que el Gobierno está preocupado por las repercusiones del caso sobre las obligaciones contraídas en virtud de los tratados. En determinados círculos se considera que pueden ju</w:t>
      </w:r>
      <w:r>
        <w:t>s</w:t>
      </w:r>
      <w:r>
        <w:t>tificarse en cierta medida las críticas formuladas en el sentido de que la interpretación del tribunal fue dem</w:t>
      </w:r>
      <w:r>
        <w:t>a</w:t>
      </w:r>
      <w:r>
        <w:t>siado estrecha y el Gobierno está teniendo en cuenta el caso en la revisión en curso, en cumplimiento de las oblig</w:t>
      </w:r>
      <w:r>
        <w:t>a</w:t>
      </w:r>
      <w:r>
        <w:t>ciones contraídas en virtud de la Convención.</w:t>
      </w:r>
    </w:p>
    <w:p w:rsidR="0097247E" w:rsidRDefault="0097247E">
      <w:pPr>
        <w:pStyle w:val="DualTxt"/>
      </w:pPr>
      <w:r>
        <w:t>11.</w:t>
      </w:r>
      <w:r>
        <w:tab/>
        <w:t>Del mismo modo, se considera que es necesario asegurar una mayor coherencia entre las leyes y expl</w:t>
      </w:r>
      <w:r>
        <w:t>i</w:t>
      </w:r>
      <w:r>
        <w:t>car los principios rectores de la Convención a la op</w:t>
      </w:r>
      <w:r>
        <w:t>i</w:t>
      </w:r>
      <w:r>
        <w:t>nión pública, pues el Gobierno ha sido informado de que quizás el público no comprenda plenamente alg</w:t>
      </w:r>
      <w:r>
        <w:t>u</w:t>
      </w:r>
      <w:r>
        <w:t>nos conceptos relativos a la discriminación y la igua</w:t>
      </w:r>
      <w:r>
        <w:t>l</w:t>
      </w:r>
      <w:r>
        <w:t>dad en materia de género. Su país no puede prometer que podrá incorporar inmediatamente una definición del término “género” a las disposiciones constitucion</w:t>
      </w:r>
      <w:r>
        <w:t>a</w:t>
      </w:r>
      <w:r>
        <w:t>les, ya que esas modificaciones llevan mucho tiempo, pero puede asegurar al C</w:t>
      </w:r>
      <w:r>
        <w:t>o</w:t>
      </w:r>
      <w:r>
        <w:t>mité su voluntad de hacerlo y que está prestando atención al asunto.</w:t>
      </w:r>
    </w:p>
    <w:p w:rsidR="0097247E" w:rsidRDefault="0097247E">
      <w:pPr>
        <w:pStyle w:val="DualTxt"/>
      </w:pPr>
      <w:r>
        <w:t>12.</w:t>
      </w:r>
      <w:r>
        <w:tab/>
        <w:t>En cuanto a la sensibilización de la magi</w:t>
      </w:r>
      <w:r>
        <w:t>s</w:t>
      </w:r>
      <w:r>
        <w:t>tratura, coincide en que la legislación debe ser clara a fin de que los tribunales puedan interpretar las leyes de co</w:t>
      </w:r>
      <w:r>
        <w:t>n</w:t>
      </w:r>
      <w:r>
        <w:t>formidad con las obligaciones contraídas por Malasia en virtud de la Convención. No se ha iniciado un pr</w:t>
      </w:r>
      <w:r>
        <w:t>o</w:t>
      </w:r>
      <w:r>
        <w:t>ceso organizado de sensibilización de la magistratura sobre las cue</w:t>
      </w:r>
      <w:r>
        <w:t>s</w:t>
      </w:r>
      <w:r>
        <w:t>tiones pertinentes, pero el Gobierno tiene toda la intención de hacerlo.</w:t>
      </w:r>
    </w:p>
    <w:p w:rsidR="0097247E" w:rsidRDefault="0097247E">
      <w:pPr>
        <w:pStyle w:val="DualTxt"/>
      </w:pPr>
      <w:r>
        <w:t>13.</w:t>
      </w:r>
      <w:r>
        <w:tab/>
      </w:r>
      <w:r>
        <w:rPr>
          <w:b/>
        </w:rPr>
        <w:t>La Sra. Faizah Mohd Tahir</w:t>
      </w:r>
      <w:r>
        <w:t xml:space="preserve"> (Malasia) dice que se ha creado un comité interministerial para revisar las rese</w:t>
      </w:r>
      <w:r>
        <w:t>r</w:t>
      </w:r>
      <w:r>
        <w:t>vas de Malasia a la Convención, especialmente las que se refieren a los artículos 5 a) y 7 b). La revisión es un proceso exhaustivo, que supone la realización de amplias consultas con varios organismos y depart</w:t>
      </w:r>
      <w:r>
        <w:t>a</w:t>
      </w:r>
      <w:r>
        <w:t>mentos del G</w:t>
      </w:r>
      <w:r>
        <w:t>o</w:t>
      </w:r>
      <w:r>
        <w:t>bierno.</w:t>
      </w:r>
    </w:p>
    <w:p w:rsidR="0097247E" w:rsidRDefault="0097247E">
      <w:pPr>
        <w:pStyle w:val="DualTxt"/>
      </w:pPr>
      <w:r>
        <w:t>14.</w:t>
      </w:r>
      <w:r>
        <w:tab/>
      </w:r>
      <w:r>
        <w:rPr>
          <w:b/>
        </w:rPr>
        <w:t>La Sra. Schöpp-Schilling</w:t>
      </w:r>
      <w:r>
        <w:t xml:space="preserve"> acoge con agrado el hecho de que Malasia esté revisando su postura con respecto a las reservas pero dice que sigue perpleja por su posición sobre el artículo 5 a). P</w:t>
      </w:r>
      <w:r>
        <w:t>i</w:t>
      </w:r>
      <w:r>
        <w:t>de a la delegación que aclare el carácter de las reservas formuladas con respecto al artículo me</w:t>
      </w:r>
      <w:r>
        <w:t>n</w:t>
      </w:r>
      <w:r>
        <w:t>cionado y si dichas reservas se hacen extensivas a la interpretación general del artíc</w:t>
      </w:r>
      <w:r>
        <w:t>u</w:t>
      </w:r>
      <w:r>
        <w:t>lo, lo que de hecho constituiría una contradicción de las enmiendas constitucionales de Malasia a ese re</w:t>
      </w:r>
      <w:r>
        <w:t>s</w:t>
      </w:r>
      <w:r>
        <w:t>pecto.</w:t>
      </w:r>
    </w:p>
    <w:p w:rsidR="0097247E" w:rsidRDefault="0097247E">
      <w:pPr>
        <w:pStyle w:val="DualTxt"/>
      </w:pPr>
      <w:r>
        <w:t>15.</w:t>
      </w:r>
      <w:r>
        <w:tab/>
        <w:t>Coincide con las observaciones formuladas por el Sr. Flinterman sobre la clasificación e insta al Gobie</w:t>
      </w:r>
      <w:r>
        <w:t>r</w:t>
      </w:r>
      <w:r>
        <w:t>no a que revise su política relativa a la clasificación basada en el género, que parece contraponerse con el principio de la igualdad.</w:t>
      </w:r>
    </w:p>
    <w:p w:rsidR="0097247E" w:rsidRDefault="0097247E">
      <w:pPr>
        <w:pStyle w:val="DualTxt"/>
      </w:pPr>
      <w:r>
        <w:t>16.</w:t>
      </w:r>
      <w:r>
        <w:tab/>
        <w:t>Tras señalar que cabe al Gobierno la responsab</w:t>
      </w:r>
      <w:r>
        <w:t>i</w:t>
      </w:r>
      <w:r>
        <w:t>lidad de asegurar la coherencia en la armonización de la ley islámica, pregunta si existe un mecanismo pe</w:t>
      </w:r>
      <w:r>
        <w:t>r</w:t>
      </w:r>
      <w:r>
        <w:t>manente para asegurar la cohere</w:t>
      </w:r>
      <w:r>
        <w:t>n</w:t>
      </w:r>
      <w:r>
        <w:t>cia entre la leyes, las políticas y los programas formulados por el Gobierno relevantes a la igua</w:t>
      </w:r>
      <w:r>
        <w:t>l</w:t>
      </w:r>
      <w:r>
        <w:t>dad sustantiva de la mujer y, de ser así, cómo fu</w:t>
      </w:r>
      <w:r>
        <w:t>n</w:t>
      </w:r>
      <w:r>
        <w:t>ciona y qué otras cuestiones se abordarán más adelante.</w:t>
      </w:r>
    </w:p>
    <w:p w:rsidR="0097247E" w:rsidRDefault="0097247E">
      <w:pPr>
        <w:pStyle w:val="DualTxt"/>
      </w:pPr>
      <w:r>
        <w:t>17.</w:t>
      </w:r>
      <w:r>
        <w:tab/>
      </w:r>
      <w:r>
        <w:rPr>
          <w:b/>
        </w:rPr>
        <w:t>La Sra. Pimentel</w:t>
      </w:r>
      <w:r>
        <w:t xml:space="preserve"> pide mayores precisiones sobre la propuesta del Gobierno de asegurar la aplicación prá</w:t>
      </w:r>
      <w:r>
        <w:t>c</w:t>
      </w:r>
      <w:r>
        <w:t>tica de la Ley sobre Violencia en el Hogar de 1994 y la propuesta de soluciones tangibles para las víct</w:t>
      </w:r>
      <w:r>
        <w:t>i</w:t>
      </w:r>
      <w:r>
        <w:t>mas. Ta</w:t>
      </w:r>
      <w:r>
        <w:t>m</w:t>
      </w:r>
      <w:r>
        <w:t>bién desea saber si se incluyó el acoso sexual en la enmienda a dicha ley y si también se están cons</w:t>
      </w:r>
      <w:r>
        <w:t>i</w:t>
      </w:r>
      <w:r>
        <w:t>derando otras formas de violencia contra la mujer, c</w:t>
      </w:r>
      <w:r>
        <w:t>o</w:t>
      </w:r>
      <w:r>
        <w:t>mo la violación en el matrimonio y el acoso sexual en el sector no e</w:t>
      </w:r>
      <w:r>
        <w:t>s</w:t>
      </w:r>
      <w:r>
        <w:t>tructurado de la economía.</w:t>
      </w:r>
    </w:p>
    <w:p w:rsidR="0097247E" w:rsidRDefault="0097247E">
      <w:pPr>
        <w:pStyle w:val="DualTxt"/>
      </w:pPr>
      <w:r>
        <w:t>18.</w:t>
      </w:r>
      <w:r>
        <w:tab/>
      </w:r>
      <w:r>
        <w:rPr>
          <w:b/>
        </w:rPr>
        <w:t>La Sra. Gaspard</w:t>
      </w:r>
      <w:r>
        <w:t xml:space="preserve"> pregunta por qué el informe</w:t>
      </w:r>
      <w:r>
        <w:rPr>
          <w:b/>
        </w:rPr>
        <w:t xml:space="preserve"> </w:t>
      </w:r>
      <w:r>
        <w:t>de Malasia no se presentó antes. También señala que M</w:t>
      </w:r>
      <w:r>
        <w:t>a</w:t>
      </w:r>
      <w:r>
        <w:t>lasia no ha respondido íntegrame</w:t>
      </w:r>
      <w:r>
        <w:t>n</w:t>
      </w:r>
      <w:r>
        <w:t>te si el informe se ha presentado al Parlamento. Recuerda a la delegación que la aplicación efectiva de la Convención exige la aprobación de leyes y la adopción de otras medidas mediante la intervención del Parlamento. Haciéndose eco de la preocupación de la Sra. Schöpp-Schilling s</w:t>
      </w:r>
      <w:r>
        <w:t>o</w:t>
      </w:r>
      <w:r>
        <w:t>bre las reservas pendientes después de que Malasia r</w:t>
      </w:r>
      <w:r>
        <w:t>e</w:t>
      </w:r>
      <w:r>
        <w:t>tiró su reserva al artículo 2, señala que Malasia info</w:t>
      </w:r>
      <w:r>
        <w:t>r</w:t>
      </w:r>
      <w:r>
        <w:t>mó al Secretario General de las Naciones Unidas que quedan pendientes otros retiros pero que recientemente no se ha hecho mención de los avances logrados.</w:t>
      </w:r>
    </w:p>
    <w:p w:rsidR="0097247E" w:rsidRDefault="0097247E">
      <w:pPr>
        <w:pStyle w:val="DualTxt"/>
      </w:pPr>
      <w:r>
        <w:t>19.</w:t>
      </w:r>
      <w:r>
        <w:tab/>
      </w:r>
      <w:r>
        <w:rPr>
          <w:b/>
        </w:rPr>
        <w:t>La Sra. Faizah Mohd Tahir</w:t>
      </w:r>
      <w:r>
        <w:t xml:space="preserve"> (Malasia) dice que su país ha formulado una declaración en la que se e</w:t>
      </w:r>
      <w:r>
        <w:t>x</w:t>
      </w:r>
      <w:r>
        <w:t>plica que la reserva al artículo 5 a) de la Convención se limita a la disposición que está supeditada a la ley i</w:t>
      </w:r>
      <w:r>
        <w:t>s</w:t>
      </w:r>
      <w:r>
        <w:t>lámica s</w:t>
      </w:r>
      <w:r>
        <w:t>o</w:t>
      </w:r>
      <w:r>
        <w:t>bre la división de las propiedades heredadas. Además informa al Comité que el Gobierno está rev</w:t>
      </w:r>
      <w:r>
        <w:t>i</w:t>
      </w:r>
      <w:r>
        <w:t>sando el retiro de sus reservas a los artículos 5 a) y 7 b), pero todavía no ha comenzado a examinar las d</w:t>
      </w:r>
      <w:r>
        <w:t>e</w:t>
      </w:r>
      <w:r>
        <w:t>más reservas.</w:t>
      </w:r>
    </w:p>
    <w:p w:rsidR="0097247E" w:rsidRDefault="0097247E">
      <w:pPr>
        <w:pStyle w:val="DualTxt"/>
      </w:pPr>
      <w:r>
        <w:t>20.</w:t>
      </w:r>
      <w:r>
        <w:tab/>
        <w:t>Las enmiendas propuestas a la Ley sobre Viole</w:t>
      </w:r>
      <w:r>
        <w:t>n</w:t>
      </w:r>
      <w:r>
        <w:t>cia en el Hogar de 1994 están dirigidas a ampliar su a</w:t>
      </w:r>
      <w:r>
        <w:t>l</w:t>
      </w:r>
      <w:r>
        <w:t>cance e incorporar nuevas dispos</w:t>
      </w:r>
      <w:r>
        <w:t>i</w:t>
      </w:r>
      <w:r>
        <w:t>ciones para proteger mejor a las víctimas de la violencia en el hogar. Agrega que no se prevé incluir el acoso sexual en esas enmie</w:t>
      </w:r>
      <w:r>
        <w:t>n</w:t>
      </w:r>
      <w:r>
        <w:t>das. Más bien, la legislación sobre el acoso sexual está siendo redactada por el Ministerio de Recursos Hum</w:t>
      </w:r>
      <w:r>
        <w:t>a</w:t>
      </w:r>
      <w:r>
        <w:t xml:space="preserve">nos a fin de incorporarla a las enmiendas de las leyes vigentes, como la Ley de Empleo de 1955 (Ley 265) y la </w:t>
      </w:r>
      <w:r>
        <w:rPr>
          <w:rFonts w:ascii="TimesNewRoman" w:hAnsi="TimesNewRoman" w:cs="TimesNewRoman"/>
        </w:rPr>
        <w:t>Ley de Seguridad e Higi</w:t>
      </w:r>
      <w:r>
        <w:rPr>
          <w:rFonts w:ascii="TimesNewRoman" w:hAnsi="TimesNewRoman" w:cs="TimesNewRoman"/>
        </w:rPr>
        <w:t>e</w:t>
      </w:r>
      <w:r>
        <w:rPr>
          <w:rFonts w:ascii="TimesNewRoman" w:hAnsi="TimesNewRoman" w:cs="TimesNewRoman"/>
        </w:rPr>
        <w:t>ne Laborales de 1994 (Ley 514), entre otras.</w:t>
      </w:r>
    </w:p>
    <w:p w:rsidR="0097247E" w:rsidRDefault="0097247E">
      <w:pPr>
        <w:pStyle w:val="DualTxt"/>
      </w:pPr>
      <w:r>
        <w:t>21.</w:t>
      </w:r>
      <w:r>
        <w:tab/>
        <w:t>Con respecto al retraso en la presentación de la información, la delegada explica que, en efecto, el pr</w:t>
      </w:r>
      <w:r>
        <w:t>o</w:t>
      </w:r>
      <w:r>
        <w:t>ceso de preparación del informe fue largo pues se r</w:t>
      </w:r>
      <w:r>
        <w:t>e</w:t>
      </w:r>
      <w:r>
        <w:t>dactaron 14 borradores. Los mayores esfuerzos por completar el proceso fueron encabezados por el Mini</w:t>
      </w:r>
      <w:r>
        <w:t>s</w:t>
      </w:r>
      <w:r>
        <w:t>terio para el Desarrollo de la Mujer, la Familia y la Comunidad y post</w:t>
      </w:r>
      <w:r>
        <w:t>e</w:t>
      </w:r>
      <w:r>
        <w:t>riormente el informe fue presentado al Gabinete para su aprobación. Subraya que el informe no se presentó al Pa</w:t>
      </w:r>
      <w:r>
        <w:t>r</w:t>
      </w:r>
      <w:r>
        <w:t>lamento.</w:t>
      </w:r>
    </w:p>
    <w:p w:rsidR="0097247E" w:rsidRDefault="0097247E">
      <w:pPr>
        <w:pStyle w:val="DualTxt"/>
        <w:rPr>
          <w:spacing w:val="0"/>
        </w:rPr>
      </w:pPr>
      <w:r>
        <w:rPr>
          <w:spacing w:val="0"/>
        </w:rPr>
        <w:t>22.</w:t>
      </w:r>
      <w:r>
        <w:rPr>
          <w:spacing w:val="0"/>
        </w:rPr>
        <w:tab/>
        <w:t>Se han creado varios mecanismos gubernamentales de alto nivel, como un comité del Gabinete y varios gr</w:t>
      </w:r>
      <w:r>
        <w:rPr>
          <w:spacing w:val="0"/>
        </w:rPr>
        <w:t>u</w:t>
      </w:r>
      <w:r>
        <w:rPr>
          <w:spacing w:val="0"/>
        </w:rPr>
        <w:t>pos consultivos temáticos, para asegurar la igualdad en materia de género.</w:t>
      </w:r>
    </w:p>
    <w:p w:rsidR="0097247E" w:rsidRDefault="0097247E">
      <w:pPr>
        <w:pStyle w:val="DualTxt"/>
      </w:pPr>
      <w:r>
        <w:t>23.</w:t>
      </w:r>
      <w:r>
        <w:tab/>
      </w:r>
      <w:r>
        <w:rPr>
          <w:b/>
        </w:rPr>
        <w:t>La Sra. Azailiza Mohd Ahad</w:t>
      </w:r>
      <w:r>
        <w:t xml:space="preserve"> (Malasia), vo</w:t>
      </w:r>
      <w:r>
        <w:t>l</w:t>
      </w:r>
      <w:r>
        <w:t>viendo al tema de la clasificación, explica que para Malasia las disposiciones de la Convención imponen una prohibición absoluta a la discriminación y que la cuestión ha sido aclarada a través de dictámenes jud</w:t>
      </w:r>
      <w:r>
        <w:t>i</w:t>
      </w:r>
      <w:r>
        <w:t>ciales a esos efectos adoptados con anterioridad.</w:t>
      </w:r>
    </w:p>
    <w:p w:rsidR="0097247E" w:rsidRDefault="0097247E">
      <w:pPr>
        <w:pStyle w:val="DualTxt"/>
      </w:pPr>
      <w:r>
        <w:t>24.</w:t>
      </w:r>
      <w:r>
        <w:tab/>
      </w:r>
      <w:r>
        <w:rPr>
          <w:b/>
        </w:rPr>
        <w:t>El Sr. Ahmad Razif Mohd Sidek</w:t>
      </w:r>
      <w:r>
        <w:t xml:space="preserve"> (Malasia) dice que el tema de la violación en el matrimonio ha sido abordada en el proceso de examen de las enmiendas a los Códigos Penal y de Proced</w:t>
      </w:r>
      <w:r>
        <w:t>i</w:t>
      </w:r>
      <w:r>
        <w:t>mientos Penales y en la Ley sobre Violencia en el Hogar de 1994, y ha sido o</w:t>
      </w:r>
      <w:r>
        <w:t>b</w:t>
      </w:r>
      <w:r>
        <w:t>jeto de numerosos debates públicos y de las organiz</w:t>
      </w:r>
      <w:r>
        <w:t>a</w:t>
      </w:r>
      <w:r>
        <w:t>ciones no gubernamentales durante un año. Posterio</w:t>
      </w:r>
      <w:r>
        <w:t>r</w:t>
      </w:r>
      <w:r>
        <w:t>mente se presentó al Parlamento un informe para su consideración.</w:t>
      </w:r>
    </w:p>
    <w:p w:rsidR="0097247E" w:rsidRDefault="0097247E">
      <w:pPr>
        <w:pStyle w:val="DualTxt"/>
      </w:pPr>
      <w:r>
        <w:t>25.</w:t>
      </w:r>
      <w:r>
        <w:tab/>
      </w:r>
      <w:r>
        <w:rPr>
          <w:b/>
        </w:rPr>
        <w:t>La Sra. Šimonović</w:t>
      </w:r>
      <w:r>
        <w:t xml:space="preserve"> dice que es encomiable el r</w:t>
      </w:r>
      <w:r>
        <w:t>e</w:t>
      </w:r>
      <w:r>
        <w:t>tiro de las reservas a determinados artículos de la Co</w:t>
      </w:r>
      <w:r>
        <w:t>n</w:t>
      </w:r>
      <w:r>
        <w:t>vención</w:t>
      </w:r>
      <w:r>
        <w:rPr>
          <w:b/>
        </w:rPr>
        <w:t>.</w:t>
      </w:r>
      <w:r>
        <w:t xml:space="preserve"> Sin embargo, como quedan pendientes varias reservas, desea saber de qué manera Malasia transmite al público la idea de que la Convención es un instr</w:t>
      </w:r>
      <w:r>
        <w:t>u</w:t>
      </w:r>
      <w:r>
        <w:t>mento de derechos humanos jurídicamente vinculante.</w:t>
      </w:r>
    </w:p>
    <w:p w:rsidR="0097247E" w:rsidRDefault="0097247E">
      <w:pPr>
        <w:pStyle w:val="DualTxt"/>
      </w:pPr>
      <w:r>
        <w:t xml:space="preserve"> 26.</w:t>
      </w:r>
      <w:r>
        <w:tab/>
      </w:r>
      <w:r>
        <w:rPr>
          <w:b/>
        </w:rPr>
        <w:t>La Sra. Faizah Mohd Tahir</w:t>
      </w:r>
      <w:r>
        <w:t xml:space="preserve"> (Malasia) informa al Comité de que el informe fue distribuido ampli</w:t>
      </w:r>
      <w:r>
        <w:t>a</w:t>
      </w:r>
      <w:r>
        <w:t>mente a los departamentos y organismos del Gobierno y que éste está publicando un libro de texto sobre los principios de la Convención para que se distribuya en las escuelas.</w:t>
      </w:r>
    </w:p>
    <w:p w:rsidR="0097247E" w:rsidRDefault="0097247E">
      <w:pPr>
        <w:pStyle w:val="DualTxt"/>
      </w:pPr>
      <w:r>
        <w:t>27.</w:t>
      </w:r>
      <w:r>
        <w:tab/>
      </w:r>
      <w:r>
        <w:rPr>
          <w:b/>
        </w:rPr>
        <w:t>La Sra. Azailiza Mohd Ahad</w:t>
      </w:r>
      <w:r>
        <w:t xml:space="preserve"> (Malasia), respo</w:t>
      </w:r>
      <w:r>
        <w:t>n</w:t>
      </w:r>
      <w:r>
        <w:t>diendo a las observaciones formuladas por la Sra. Šimonović, dice que es necesario mejorar las activid</w:t>
      </w:r>
      <w:r>
        <w:t>a</w:t>
      </w:r>
      <w:r>
        <w:t>des de información pública y asegurar la igualdad en materia de género en las disposiciones jurídicas del p</w:t>
      </w:r>
      <w:r>
        <w:t>a</w:t>
      </w:r>
      <w:r>
        <w:t>ís. La creación de coordinadores de cuestiones relaci</w:t>
      </w:r>
      <w:r>
        <w:t>o</w:t>
      </w:r>
      <w:r>
        <w:t>nadas con el género es un paso en ese sentido y el G</w:t>
      </w:r>
      <w:r>
        <w:t>o</w:t>
      </w:r>
      <w:r>
        <w:t>bierno continuará haciendo un seguimiento de los pr</w:t>
      </w:r>
      <w:r>
        <w:t>o</w:t>
      </w:r>
      <w:r>
        <w:t>gresos alcanzados a fin de asegurar la coherencia y el cumplimiento con el objeto de mejorar la legislación relativa a la aplicación de la Convención y abordar el tema de las reservas existentes.</w:t>
      </w:r>
    </w:p>
    <w:p w:rsidR="0097247E" w:rsidRDefault="0097247E">
      <w:pPr>
        <w:pStyle w:val="DualTxt"/>
      </w:pPr>
      <w:r>
        <w:t>28.</w:t>
      </w:r>
      <w:r>
        <w:tab/>
      </w:r>
      <w:r>
        <w:rPr>
          <w:b/>
          <w:bCs/>
        </w:rPr>
        <w:t xml:space="preserve">La </w:t>
      </w:r>
      <w:r>
        <w:rPr>
          <w:b/>
        </w:rPr>
        <w:t>Presidenta</w:t>
      </w:r>
      <w:r>
        <w:t>, hablando en su condición de miembro del Comité solicita aclaraciones sobre el e</w:t>
      </w:r>
      <w:r>
        <w:t>s</w:t>
      </w:r>
      <w:r>
        <w:t>tado del examen de la definición de violación en el m</w:t>
      </w:r>
      <w:r>
        <w:t>a</w:t>
      </w:r>
      <w:r>
        <w:t>trimonio.</w:t>
      </w:r>
    </w:p>
    <w:p w:rsidR="0097247E" w:rsidRDefault="0097247E">
      <w:pPr>
        <w:pStyle w:val="DualTxt"/>
      </w:pPr>
      <w:r>
        <w:t>29.</w:t>
      </w:r>
      <w:r>
        <w:tab/>
      </w:r>
      <w:r>
        <w:rPr>
          <w:b/>
        </w:rPr>
        <w:t>El Sr. Ahmad Razif Mohd Sidek</w:t>
      </w:r>
      <w:r>
        <w:t xml:space="preserve"> (Malasia) e</w:t>
      </w:r>
      <w:r>
        <w:t>x</w:t>
      </w:r>
      <w:r>
        <w:t>plica que, tomando como base una iniciativa de las o</w:t>
      </w:r>
      <w:r>
        <w:t>r</w:t>
      </w:r>
      <w:r>
        <w:t>ganizaciones no gubernamentales formulada en a</w:t>
      </w:r>
      <w:r>
        <w:t>u</w:t>
      </w:r>
      <w:r>
        <w:t>diencias públicas realizadas en todo el país, el Parlamento está considerando la posibilidad de elaborar una defin</w:t>
      </w:r>
      <w:r>
        <w:t>i</w:t>
      </w:r>
      <w:r>
        <w:t>ción de violación en el matr</w:t>
      </w:r>
      <w:r>
        <w:t>i</w:t>
      </w:r>
      <w:r>
        <w:t>monio que se incluirá en la legislación existente. Un comité especial propuso que si los hombres emplean la fuerza para tener relaciones sexuales con sus cónyuges debe considerarse que han cometido un delito punible.</w:t>
      </w:r>
    </w:p>
    <w:p w:rsidR="0097247E" w:rsidRDefault="0097247E">
      <w:pPr>
        <w:pStyle w:val="DualTxt"/>
      </w:pPr>
      <w:r>
        <w:t>30.</w:t>
      </w:r>
      <w:r>
        <w:tab/>
      </w:r>
      <w:r>
        <w:rPr>
          <w:b/>
        </w:rPr>
        <w:t>La Presidenta</w:t>
      </w:r>
      <w:r>
        <w:t>, hablando en su calidad de mie</w:t>
      </w:r>
      <w:r>
        <w:t>m</w:t>
      </w:r>
      <w:r>
        <w:t>bro del Comité, dice que las organizaciones no gube</w:t>
      </w:r>
      <w:r>
        <w:t>r</w:t>
      </w:r>
      <w:r>
        <w:t>name</w:t>
      </w:r>
      <w:r>
        <w:t>n</w:t>
      </w:r>
      <w:r>
        <w:t>tales deben ejercer presión para asegurar la adopción de medidas rápidas que tipifiquen como del</w:t>
      </w:r>
      <w:r>
        <w:t>i</w:t>
      </w:r>
      <w:r>
        <w:t>to la violación en el matrimonio. Además, insta a M</w:t>
      </w:r>
      <w:r>
        <w:t>a</w:t>
      </w:r>
      <w:r>
        <w:t>lasia a adoptar medidas legislativas para definir clar</w:t>
      </w:r>
      <w:r>
        <w:t>a</w:t>
      </w:r>
      <w:r>
        <w:t>mente la discriminación y aprobar una ley sobre igua</w:t>
      </w:r>
      <w:r>
        <w:t>l</w:t>
      </w:r>
      <w:r>
        <w:t>dad en materia de género, más allá de las encomiables reformas en curso.</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31.</w:t>
      </w:r>
      <w:r>
        <w:tab/>
      </w:r>
      <w:r>
        <w:rPr>
          <w:b/>
        </w:rPr>
        <w:t>El Sr. Flinterman</w:t>
      </w:r>
      <w:r>
        <w:t>, haciéndose eco de los sent</w:t>
      </w:r>
      <w:r>
        <w:t>i</w:t>
      </w:r>
      <w:r>
        <w:t>mientos de la oradora anterior, pregunta si el Gobierno tiene la intención de incorporar la Convención a una ley sobre igualdad en materia de género. También le i</w:t>
      </w:r>
      <w:r>
        <w:t>n</w:t>
      </w:r>
      <w:r>
        <w:t>teresa saber cómo se distribuyen las cuotas entre los diversos grupos étn</w:t>
      </w:r>
      <w:r>
        <w:t>i</w:t>
      </w:r>
      <w:r>
        <w:t>cos.</w:t>
      </w:r>
    </w:p>
    <w:p w:rsidR="0097247E" w:rsidRDefault="0097247E">
      <w:pPr>
        <w:pStyle w:val="DualTxt"/>
      </w:pPr>
      <w:r>
        <w:t>32.</w:t>
      </w:r>
      <w:r>
        <w:tab/>
        <w:t>En relación con el tema de los refugiados, pr</w:t>
      </w:r>
      <w:r>
        <w:t>e</w:t>
      </w:r>
      <w:r>
        <w:t>gunta si Malasia ha considerado la posibilidad de apr</w:t>
      </w:r>
      <w:r>
        <w:t>o</w:t>
      </w:r>
      <w:r>
        <w:t>bar leyes sobre los refugiados y las personas que bu</w:t>
      </w:r>
      <w:r>
        <w:t>s</w:t>
      </w:r>
      <w:r>
        <w:t>can asilo, especialmente con respecto a la protección de las mujeres y las niñas que se encuentran en esa s</w:t>
      </w:r>
      <w:r>
        <w:t>i</w:t>
      </w:r>
      <w:r>
        <w:t>tuación. Se ha informado de que muchos refugiados y personas que buscan asilo han sido detenidos en cond</w:t>
      </w:r>
      <w:r>
        <w:t>i</w:t>
      </w:r>
      <w:r>
        <w:t>ciones deficientes y de hacinamiento por violar las l</w:t>
      </w:r>
      <w:r>
        <w:t>e</w:t>
      </w:r>
      <w:r>
        <w:t>yes de inmigración. En consecuencia, solicita mayor información sobre esa cuestión y dice que desea saber si se tiene previsto liberar y conceder condición juríd</w:t>
      </w:r>
      <w:r>
        <w:t>i</w:t>
      </w:r>
      <w:r>
        <w:t>ca a los solicitantes.</w:t>
      </w:r>
    </w:p>
    <w:p w:rsidR="0097247E" w:rsidRDefault="0097247E">
      <w:pPr>
        <w:pStyle w:val="DualTxt"/>
      </w:pPr>
      <w:r>
        <w:t>33.</w:t>
      </w:r>
      <w:r>
        <w:tab/>
      </w:r>
      <w:r>
        <w:rPr>
          <w:b/>
        </w:rPr>
        <w:t>La Sra. Faizah Mohd Tahir</w:t>
      </w:r>
      <w:r>
        <w:t xml:space="preserve"> (Malasia) dice que lamentablemente su delegación carece de datos sobre la distribución étnica solicitados por el Sr. Flinterman, pero tratará de proporcionarla en el próximo informe. Le complace informar al Comité de que existe un d</w:t>
      </w:r>
      <w:r>
        <w:t>e</w:t>
      </w:r>
      <w:r>
        <w:t>partamento especial del Gobierno que se ocupa de los asuntos indígenas y aborígenes y que es mucho lo que se ha avanzado en el suministro de servicios básicos y en el campo de la educación. Entre 2001 y 2005 la m</w:t>
      </w:r>
      <w:r>
        <w:t>a</w:t>
      </w:r>
      <w:r>
        <w:t>trícula de los estudiantes indígenas en los niveles pr</w:t>
      </w:r>
      <w:r>
        <w:t>i</w:t>
      </w:r>
      <w:r>
        <w:t>mario y secundario se duplicó.</w:t>
      </w:r>
    </w:p>
    <w:p w:rsidR="0097247E" w:rsidRDefault="0097247E">
      <w:pPr>
        <w:pStyle w:val="DualTxt"/>
      </w:pPr>
      <w:r>
        <w:t>34.</w:t>
      </w:r>
      <w:r>
        <w:tab/>
      </w:r>
      <w:r>
        <w:rPr>
          <w:b/>
        </w:rPr>
        <w:t>La Sra. Azailiza Mohd Ahad</w:t>
      </w:r>
      <w:r>
        <w:t xml:space="preserve"> (Malasia) dice que su país no es parte en ningún acuerdo internacional r</w:t>
      </w:r>
      <w:r>
        <w:t>e</w:t>
      </w:r>
      <w:r>
        <w:t>lativo a los refugiados y las pers</w:t>
      </w:r>
      <w:r>
        <w:t>o</w:t>
      </w:r>
      <w:r>
        <w:t>nas que buscan asilo y que la legislación nacional todavía no reconoce la condición de refugiado o de persona que busca asilo. No obstante, el G</w:t>
      </w:r>
      <w:r>
        <w:t>o</w:t>
      </w:r>
      <w:r>
        <w:t>bierno ha adoptado diversas medidas administrativas para asegurar la protección de las pe</w:t>
      </w:r>
      <w:r>
        <w:t>r</w:t>
      </w:r>
      <w:r>
        <w:t>sonas que buscan refugio en Malasia por motivos humanitarios y seguirá haciéndolo.</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4</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35.</w:t>
      </w:r>
      <w:r>
        <w:tab/>
      </w:r>
      <w:r>
        <w:rPr>
          <w:b/>
        </w:rPr>
        <w:t>La Sra. Schöpp-Schilling</w:t>
      </w:r>
      <w:r>
        <w:t xml:space="preserve"> subraya la impo</w:t>
      </w:r>
      <w:r>
        <w:t>r</w:t>
      </w:r>
      <w:r>
        <w:t>tancia que reviste la elaboración de una ley que se refiera concretamente a la lucha contra la discriminación y asegure que los hombres y las mujeres tengan las mi</w:t>
      </w:r>
      <w:r>
        <w:t>s</w:t>
      </w:r>
      <w:r>
        <w:t>mas oportunidades. Dicha ley también debe prever la aplicación de medidas e</w:t>
      </w:r>
      <w:r>
        <w:t>s</w:t>
      </w:r>
      <w:r>
        <w:t>peciales de carácter temporal, en el sentido que se le otorga al término en el artículo 4 de la Convención, y que en tal sentido señala a la ate</w:t>
      </w:r>
      <w:r>
        <w:t>n</w:t>
      </w:r>
      <w:r>
        <w:t>ción del Estado Parte la recomendación general No. 25. Asimismo, pregunta si la Constitución Fed</w:t>
      </w:r>
      <w:r>
        <w:t>e</w:t>
      </w:r>
      <w:r>
        <w:t>ral prevé la adopción de ese tipo de medidas.</w:t>
      </w:r>
    </w:p>
    <w:p w:rsidR="0097247E" w:rsidRDefault="0097247E">
      <w:pPr>
        <w:pStyle w:val="DualTxt"/>
      </w:pPr>
      <w:r>
        <w:t>36.</w:t>
      </w:r>
      <w:r>
        <w:tab/>
        <w:t>En cuanto a la reserva del Estado Parte con re</w:t>
      </w:r>
      <w:r>
        <w:t>s</w:t>
      </w:r>
      <w:r>
        <w:t>pecto al artículo 16 de la Convención, desea saber si el G</w:t>
      </w:r>
      <w:r>
        <w:t>o</w:t>
      </w:r>
      <w:r>
        <w:t>bierno ha fijado un plazo para retirarla. También desea saber si Malasia ha creado una estructura perm</w:t>
      </w:r>
      <w:r>
        <w:t>a</w:t>
      </w:r>
      <w:r>
        <w:t>nente a nivel Federal para asegurar la aplicación co</w:t>
      </w:r>
      <w:r>
        <w:t>n</w:t>
      </w:r>
      <w:r>
        <w:t>secuente de leyes, pol</w:t>
      </w:r>
      <w:r>
        <w:t>í</w:t>
      </w:r>
      <w:r>
        <w:t>ticas y programas relativos a los derechos de la mujer.</w:t>
      </w:r>
    </w:p>
    <w:p w:rsidR="0097247E" w:rsidRDefault="0097247E">
      <w:pPr>
        <w:pStyle w:val="DualTxt"/>
      </w:pPr>
      <w:r>
        <w:t>37.</w:t>
      </w:r>
      <w:r>
        <w:tab/>
      </w:r>
      <w:r>
        <w:rPr>
          <w:b/>
        </w:rPr>
        <w:t>La Sra. Faizah Mohd Tahir</w:t>
      </w:r>
      <w:r>
        <w:t xml:space="preserve"> (Malasia) dice que si bien el Gobierno no ha aplicado ninguna medida e</w:t>
      </w:r>
      <w:r>
        <w:t>s</w:t>
      </w:r>
      <w:r>
        <w:t>pecial de carácter temporal para acel</w:t>
      </w:r>
      <w:r>
        <w:t>e</w:t>
      </w:r>
      <w:r>
        <w:t>rar la igualdad de hecho entre los hombres y las mujeres, ha implantado varios programas especiales cuyo objeto es promover el adelanto de la mujer. No obstante, esta cuestión será revisada a la luz de las observaciones del Comité y agradecerá cualquier sugerencia con respecto a las m</w:t>
      </w:r>
      <w:r>
        <w:t>e</w:t>
      </w:r>
      <w:r>
        <w:t>didas especiales de carácter temporal que puedan resu</w:t>
      </w:r>
      <w:r>
        <w:t>l</w:t>
      </w:r>
      <w:r>
        <w:t>tar beneficiosas.</w:t>
      </w:r>
    </w:p>
    <w:p w:rsidR="0097247E" w:rsidRDefault="0097247E">
      <w:pPr>
        <w:pStyle w:val="DualTxt"/>
      </w:pPr>
      <w:r>
        <w:t>38.</w:t>
      </w:r>
      <w:r>
        <w:tab/>
        <w:t>Hasta el momento, no se ha fijado plazo alguno para retirar las reservas de Malasia al artíc</w:t>
      </w:r>
      <w:r>
        <w:t>u</w:t>
      </w:r>
      <w:r>
        <w:t>lo 16 de la Convención porque el Gobierno está negociando el t</w:t>
      </w:r>
      <w:r>
        <w:t>e</w:t>
      </w:r>
      <w:r>
        <w:t>ma con las partes interesadas.</w:t>
      </w:r>
    </w:p>
    <w:p w:rsidR="0097247E" w:rsidRDefault="0097247E">
      <w:pPr>
        <w:pStyle w:val="DualTxt"/>
      </w:pPr>
      <w:r>
        <w:t xml:space="preserve"> 39.</w:t>
      </w:r>
      <w:r>
        <w:tab/>
      </w:r>
      <w:r>
        <w:rPr>
          <w:b/>
        </w:rPr>
        <w:t>La Sra. Azailiza Mohd Ahad</w:t>
      </w:r>
      <w:r>
        <w:t xml:space="preserve"> (Malasia) d</w:t>
      </w:r>
      <w:r>
        <w:t>i</w:t>
      </w:r>
      <w:r>
        <w:t>ce que cada estado es responsable de legislar en la mayoría de las esferas relacionadas con el derecho de las personas. Si bien un grupo de mandatarios de los estados ha r</w:t>
      </w:r>
      <w:r>
        <w:t>e</w:t>
      </w:r>
      <w:r>
        <w:t>dactado leyes modelo sobre derechos humanos, éstas todavía deben ser aprobadas por las autoridades Fed</w:t>
      </w:r>
      <w:r>
        <w:t>e</w:t>
      </w:r>
      <w:r>
        <w:t>rales. Es pr</w:t>
      </w:r>
      <w:r>
        <w:t>e</w:t>
      </w:r>
      <w:r>
        <w:t>ciso hacer más en esa esfera.</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5</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40.</w:t>
      </w:r>
      <w:r>
        <w:tab/>
      </w:r>
      <w:r>
        <w:rPr>
          <w:b/>
        </w:rPr>
        <w:t>La Sra. Tavares da Silva</w:t>
      </w:r>
      <w:r>
        <w:t xml:space="preserve"> reconoce los esfuerzos realizados por el Estado Parte para eliminar los est</w:t>
      </w:r>
      <w:r>
        <w:t>e</w:t>
      </w:r>
      <w:r>
        <w:t>reotipos basados en el género, especialmente en la ed</w:t>
      </w:r>
      <w:r>
        <w:t>u</w:t>
      </w:r>
      <w:r>
        <w:t>cación, pero observa que dichos estereotipos siguen d</w:t>
      </w:r>
      <w:r>
        <w:t>i</w:t>
      </w:r>
      <w:r>
        <w:t>ficultando el adelanto de la mujer en Malasia. Si bien los cambios culturales sólo se logran a través de un proceso lento y difícil, el Gobierno debe adoptar med</w:t>
      </w:r>
      <w:r>
        <w:t>i</w:t>
      </w:r>
      <w:r>
        <w:t>das urgentes para eliminar las actitudes sexistas en t</w:t>
      </w:r>
      <w:r>
        <w:t>o</w:t>
      </w:r>
      <w:r>
        <w:t>das las esferas. Aunque las mujeres de Malasia tienen acc</w:t>
      </w:r>
      <w:r>
        <w:t>e</w:t>
      </w:r>
      <w:r>
        <w:t>so a los servicios de planificación familiar, no los aprovechan plenamente, como lo demue</w:t>
      </w:r>
      <w:r>
        <w:t>s</w:t>
      </w:r>
      <w:r>
        <w:t>tra la baja tasa de uso de anticonceptivos. Desea saber pregunta si esta situación se debe a los patrones y actitudes culturales y pregunta si una mujer casada necesita el consentimie</w:t>
      </w:r>
      <w:r>
        <w:t>n</w:t>
      </w:r>
      <w:r>
        <w:t>to de su cónyuge para utilizar anticonceptivos.</w:t>
      </w:r>
    </w:p>
    <w:p w:rsidR="0097247E" w:rsidRDefault="0097247E">
      <w:pPr>
        <w:pStyle w:val="DualTxt"/>
      </w:pPr>
      <w:r>
        <w:t>41.</w:t>
      </w:r>
      <w:r>
        <w:tab/>
      </w:r>
      <w:r>
        <w:rPr>
          <w:b/>
        </w:rPr>
        <w:t>La Sra. Simms</w:t>
      </w:r>
      <w:r>
        <w:t xml:space="preserve"> dice que las dificultades de un sistema administrativo de dos niveles se reflejan en las reservas del Estado Parte al artículo 5 a) de la Conve</w:t>
      </w:r>
      <w:r>
        <w:t>n</w:t>
      </w:r>
      <w:r>
        <w:t>ción. Todas las culturas han sido creadas por los ho</w:t>
      </w:r>
      <w:r>
        <w:t>m</w:t>
      </w:r>
      <w:r>
        <w:t>bres y éstos las seguirán co</w:t>
      </w:r>
      <w:r>
        <w:t>n</w:t>
      </w:r>
      <w:r>
        <w:t>trolando a menos que las mujeres se hagan cargo de romper con el mito de la dominación mascul</w:t>
      </w:r>
      <w:r>
        <w:t>i</w:t>
      </w:r>
      <w:r>
        <w:t>na.</w:t>
      </w:r>
    </w:p>
    <w:p w:rsidR="0097247E" w:rsidRDefault="0097247E">
      <w:pPr>
        <w:pStyle w:val="DualTxt"/>
      </w:pPr>
      <w:r>
        <w:t>42.</w:t>
      </w:r>
      <w:r>
        <w:tab/>
        <w:t>Con respecto a la educación sexual, tiene curios</w:t>
      </w:r>
      <w:r>
        <w:t>i</w:t>
      </w:r>
      <w:r>
        <w:t>dad por saber si los programas de estudio van más allá de los aspectos estrictamente biológicos del tema y abordan los elementos fundamentales, sociales y psic</w:t>
      </w:r>
      <w:r>
        <w:t>o</w:t>
      </w:r>
      <w:r>
        <w:t>lógicos, de la sexualidad humana, inclusive el somet</w:t>
      </w:r>
      <w:r>
        <w:t>i</w:t>
      </w:r>
      <w:r>
        <w:t>miento de la mujer.</w:t>
      </w:r>
    </w:p>
    <w:p w:rsidR="0097247E" w:rsidRDefault="0097247E">
      <w:pPr>
        <w:pStyle w:val="DualTxt"/>
      </w:pPr>
      <w:r>
        <w:t>43.</w:t>
      </w:r>
      <w:r>
        <w:tab/>
      </w:r>
      <w:r>
        <w:rPr>
          <w:b/>
        </w:rPr>
        <w:t xml:space="preserve">La Sra. Arocha Dominguez </w:t>
      </w:r>
      <w:r>
        <w:t>encomia al Gobie</w:t>
      </w:r>
      <w:r>
        <w:t>r</w:t>
      </w:r>
      <w:r>
        <w:t>no de Malasia por sus esfuerzos para integrar a la m</w:t>
      </w:r>
      <w:r>
        <w:t>u</w:t>
      </w:r>
      <w:r>
        <w:t>jer a la sociedad y eliminar las disparidades entre los sexos. Sin embargo, la experie</w:t>
      </w:r>
      <w:r>
        <w:t>n</w:t>
      </w:r>
      <w:r>
        <w:t>cia ha demostrado que no alcanza con mejorar la situación económica, social y política de la mujer para eliminar los estereotipos y los prejuicios y que el viraje ideológico necesario para lograr cambios perdurables en las actitudes lleva m</w:t>
      </w:r>
      <w:r>
        <w:t>u</w:t>
      </w:r>
      <w:r>
        <w:t>cho más tiempo que el correspondiente proceso legisl</w:t>
      </w:r>
      <w:r>
        <w:t>a</w:t>
      </w:r>
      <w:r>
        <w:t>tivo. El Estado Parte debe indicar si ha adoptado una estrategia integral dirigida a modificar los patrones s</w:t>
      </w:r>
      <w:r>
        <w:t>o</w:t>
      </w:r>
      <w:r>
        <w:t>ciales y culturales de conducta de los hombres y las mujeres.</w:t>
      </w:r>
    </w:p>
    <w:p w:rsidR="0097247E" w:rsidRDefault="0097247E">
      <w:pPr>
        <w:pStyle w:val="DualTxt"/>
      </w:pPr>
      <w:r>
        <w:t>44.</w:t>
      </w:r>
      <w:r>
        <w:tab/>
      </w:r>
      <w:r>
        <w:rPr>
          <w:b/>
        </w:rPr>
        <w:t>La Sra. Faizah Mohd Tahir</w:t>
      </w:r>
      <w:r>
        <w:t xml:space="preserve"> (Malasia) dice que comparte las inquietudes expresadas por la Sra. Tav</w:t>
      </w:r>
      <w:r>
        <w:t>a</w:t>
      </w:r>
      <w:r>
        <w:t>res da Silva. Además de las medidas enumeradas en el informe, el Gobierno ha adoptado varias otras para eliminar los estereotipos en materia de género, como la publicación de directrices para la elaboración de los l</w:t>
      </w:r>
      <w:r>
        <w:t>i</w:t>
      </w:r>
      <w:r>
        <w:t>bros escolares y la creación del Foro de Malasia sobre comunic</w:t>
      </w:r>
      <w:r>
        <w:t>a</w:t>
      </w:r>
      <w:r>
        <w:t>ciones y contenidos multimedios. Además, se ha desarrollado un curso para recién casados o par</w:t>
      </w:r>
      <w:r>
        <w:t>e</w:t>
      </w:r>
      <w:r>
        <w:t>jas comprometidas, denominado "SMARTSTART", con vistas a sensibilizarlos sobre la necesidad de compartir equitativamente las obligaciones y responsabilidades del hogar.</w:t>
      </w:r>
    </w:p>
    <w:p w:rsidR="0097247E" w:rsidRDefault="0097247E">
      <w:pPr>
        <w:pStyle w:val="DualTxt"/>
      </w:pPr>
      <w:r>
        <w:t>45.</w:t>
      </w:r>
      <w:r>
        <w:tab/>
        <w:t>En respuesta a la pregunta de la Sra. Simms, dice que el Ministerio para el Desarrollo de la Mujer, la Familia y la Comunidad, conjuntamente con el Mini</w:t>
      </w:r>
      <w:r>
        <w:t>s</w:t>
      </w:r>
      <w:r>
        <w:t>terio de Educación, han elaborado directrices nacion</w:t>
      </w:r>
      <w:r>
        <w:t>a</w:t>
      </w:r>
      <w:r>
        <w:t>les sobre ed</w:t>
      </w:r>
      <w:r>
        <w:t>u</w:t>
      </w:r>
      <w:r>
        <w:t>cación sexual con vistas a asegurar que las parejas jóvenes desarrollen una actitud sana con re</w:t>
      </w:r>
      <w:r>
        <w:t>s</w:t>
      </w:r>
      <w:r>
        <w:t>pecto a todos los aspectos de la sexualidad humana, i</w:t>
      </w:r>
      <w:r>
        <w:t>n</w:t>
      </w:r>
      <w:r>
        <w:t>clusive las relaciones, el matrimonio y la vida familiar y la s</w:t>
      </w:r>
      <w:r>
        <w:t>a</w:t>
      </w:r>
      <w:r>
        <w:t>lud reproductiva.</w:t>
      </w:r>
    </w:p>
    <w:p w:rsidR="0097247E" w:rsidRDefault="0097247E">
      <w:pPr>
        <w:pStyle w:val="DualTxt"/>
      </w:pPr>
      <w:r>
        <w:t>46.</w:t>
      </w:r>
      <w:r>
        <w:tab/>
        <w:t>En su carácter de principal mecanismo nacional para el adelanto de la mujer, el Ministerio para el Des</w:t>
      </w:r>
      <w:r>
        <w:t>a</w:t>
      </w:r>
      <w:r>
        <w:t>rrollo de la Mujer, la Familia y la Comunidad participa en las actividades de sensibilización, en todos sus niv</w:t>
      </w:r>
      <w:r>
        <w:t>e</w:t>
      </w:r>
      <w:r>
        <w:t>les. Se han designado coordinadores de cuestiones r</w:t>
      </w:r>
      <w:r>
        <w:t>e</w:t>
      </w:r>
      <w:r>
        <w:t>lacionadas con el género en 29 ministerios y depart</w:t>
      </w:r>
      <w:r>
        <w:t>a</w:t>
      </w:r>
      <w:r>
        <w:t>mentos y se organizaron varios cursos sobre la incorp</w:t>
      </w:r>
      <w:r>
        <w:t>o</w:t>
      </w:r>
      <w:r>
        <w:t>ración de las cuestiones de género. En un futuro cerc</w:t>
      </w:r>
      <w:r>
        <w:t>a</w:t>
      </w:r>
      <w:r>
        <w:t>no se llevará a cabo un seminario sobre igualdad en materia de género para dirigentes políticos y funcion</w:t>
      </w:r>
      <w:r>
        <w:t>a</w:t>
      </w:r>
      <w:r>
        <w:t>rios públicos y el Gobierno está alentando intensame</w:t>
      </w:r>
      <w:r>
        <w:t>n</w:t>
      </w:r>
      <w:r>
        <w:t>te a las organizaciones no gubernamentales a que de</w:t>
      </w:r>
      <w:r>
        <w:t>s</w:t>
      </w:r>
      <w:r>
        <w:t>arrollen programas educ</w:t>
      </w:r>
      <w:r>
        <w:t>a</w:t>
      </w:r>
      <w:r>
        <w:t>tivos sobre los derechos de la mujer.</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6</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47.</w:t>
      </w:r>
      <w:r>
        <w:tab/>
      </w:r>
      <w:r>
        <w:rPr>
          <w:b/>
        </w:rPr>
        <w:t>La Sra. Simms</w:t>
      </w:r>
      <w:r>
        <w:t xml:space="preserve"> dice que la trata es unos de los problemas más acuciantes que enfrenta el mundo m</w:t>
      </w:r>
      <w:r>
        <w:t>o</w:t>
      </w:r>
      <w:r>
        <w:t>derno. La mayoría de las víctimas son mujeres, poco valoradas como miembros de la sociedad, y por ende especialmente vulnerables a la explotación sexual y comercial. Tras señalar que Malasia no cuenta con l</w:t>
      </w:r>
      <w:r>
        <w:t>e</w:t>
      </w:r>
      <w:r>
        <w:t>gislación a nivel naci</w:t>
      </w:r>
      <w:r>
        <w:t>o</w:t>
      </w:r>
      <w:r>
        <w:t>nal sobre la trata, pregunta si el Gobierno proyecta hacer aprobar alguna ley en que se aborde este tema.</w:t>
      </w:r>
    </w:p>
    <w:p w:rsidR="0097247E" w:rsidRDefault="0097247E">
      <w:pPr>
        <w:pStyle w:val="DualTxt"/>
      </w:pPr>
      <w:r>
        <w:t>48.</w:t>
      </w:r>
      <w:r>
        <w:tab/>
      </w:r>
      <w:r>
        <w:rPr>
          <w:b/>
        </w:rPr>
        <w:t>La Sra. Azailiza Mohd Ahad</w:t>
      </w:r>
      <w:r>
        <w:t xml:space="preserve"> (Malasia) dice que en vista de las deficiencias de la legislación actual de Malasia en materia de trata, el Gobierno está exam</w:t>
      </w:r>
      <w:r>
        <w:t>i</w:t>
      </w:r>
      <w:r>
        <w:t>nando el tema con vistas a a</w:t>
      </w:r>
      <w:r>
        <w:t>d</w:t>
      </w:r>
      <w:r>
        <w:t>herir al Protocolo para prevenir, reprimir y sancionar la trata de personas, e</w:t>
      </w:r>
      <w:r>
        <w:t>s</w:t>
      </w:r>
      <w:r>
        <w:t>pecialmente mujeres y niños, que complementa la Convención de las Naciones Unidas contra la Deli</w:t>
      </w:r>
      <w:r>
        <w:t>n</w:t>
      </w:r>
      <w:r>
        <w:t>cuencia Organizada Transnacional. Resulta especia</w:t>
      </w:r>
      <w:r>
        <w:t>l</w:t>
      </w:r>
      <w:r>
        <w:t>mente importante establecer programas de protección de las víctimas y asegurar que se haga una distinción clara entre las víctimas genuinas y las personas cuya trata es voluntaria.</w:t>
      </w:r>
      <w:r>
        <w:cr/>
        <w:t>49.</w:t>
      </w:r>
      <w:r>
        <w:tab/>
      </w:r>
      <w:r>
        <w:rPr>
          <w:b/>
        </w:rPr>
        <w:t>La Sra. Faizah Mohd Tahir</w:t>
      </w:r>
      <w:r>
        <w:t xml:space="preserve"> (Malasia) dice que el Ministerio para el Desarrollo de la Mujer, la Familia y la Comunidad ha adoptado varias medidas para abo</w:t>
      </w:r>
      <w:r>
        <w:t>r</w:t>
      </w:r>
      <w:r>
        <w:t>dar el problema de la trata y ha iniciado conversaciones sobre ese tema con varios otros ministerios. De resultas de ello, el Ministerio de Seguridad Interior se ha co</w:t>
      </w:r>
      <w:r>
        <w:t>m</w:t>
      </w:r>
      <w:r>
        <w:t>prometido a crear alojamientos adecuados para las m</w:t>
      </w:r>
      <w:r>
        <w:t>u</w:t>
      </w:r>
      <w:r>
        <w:t>jeres en los centros de detención existentes. Además, los funcionarios de inmigraciones y los encargados de hacer cumplir la ley recibirán capac</w:t>
      </w:r>
      <w:r>
        <w:t>i</w:t>
      </w:r>
      <w:r>
        <w:t>tación en la esfera de la identificación de las víctimas con el objeto de asegurar que puedan di</w:t>
      </w:r>
      <w:r>
        <w:t>s</w:t>
      </w:r>
      <w:r>
        <w:t>tinguir entre las víctimas reales y las personas que son objeto de trata en forma volu</w:t>
      </w:r>
      <w:r>
        <w:t>n</w:t>
      </w:r>
      <w:r>
        <w:t>taria. También se está organizando un comité interinst</w:t>
      </w:r>
      <w:r>
        <w:t>i</w:t>
      </w:r>
      <w:r>
        <w:t>tucional sobre la trata.</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Artículos 7 y 8</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50.</w:t>
      </w:r>
      <w:r>
        <w:tab/>
      </w:r>
      <w:r>
        <w:rPr>
          <w:b/>
        </w:rPr>
        <w:t>La Sra. Zou</w:t>
      </w:r>
      <w:r>
        <w:t xml:space="preserve"> encomia al Estado Parte por haber adoptado una política que asegure una pa</w:t>
      </w:r>
      <w:r>
        <w:t>r</w:t>
      </w:r>
      <w:r>
        <w:t>ticipación de la mujer de por lo menos el 30% en los puestos decis</w:t>
      </w:r>
      <w:r>
        <w:t>o</w:t>
      </w:r>
      <w:r>
        <w:t>rios. En tal sentido, recibiría con agrado más inform</w:t>
      </w:r>
      <w:r>
        <w:t>a</w:t>
      </w:r>
      <w:r>
        <w:t>ción sobre el plan de acción elaborado conjuntamente con el PNUD y pregunta cuáles son sus metas y objet</w:t>
      </w:r>
      <w:r>
        <w:t>i</w:t>
      </w:r>
      <w:r>
        <w:t>vos estr</w:t>
      </w:r>
      <w:r>
        <w:t>a</w:t>
      </w:r>
      <w:r>
        <w:t>tégicos.</w:t>
      </w:r>
    </w:p>
    <w:p w:rsidR="0097247E" w:rsidRDefault="0097247E">
      <w:pPr>
        <w:pStyle w:val="DualTxt"/>
      </w:pPr>
      <w:r>
        <w:t>51.</w:t>
      </w:r>
      <w:r>
        <w:tab/>
        <w:t>Si bien Malasia es una sociedad multiétnica, el informe no proporciona información sobre la particip</w:t>
      </w:r>
      <w:r>
        <w:t>a</w:t>
      </w:r>
      <w:r>
        <w:t>ción de las mujeres indígenas en la vida política y p</w:t>
      </w:r>
      <w:r>
        <w:t>ú</w:t>
      </w:r>
      <w:r>
        <w:t>blica del país. Desea saber qué m</w:t>
      </w:r>
      <w:r>
        <w:t>e</w:t>
      </w:r>
      <w:r>
        <w:t>didas está adoptando el Gobierno para asegurar que las mujeres pertenecie</w:t>
      </w:r>
      <w:r>
        <w:t>n</w:t>
      </w:r>
      <w:r>
        <w:t>tes a las minorías étnicas puedan participar en la vida política, esp</w:t>
      </w:r>
      <w:r>
        <w:t>e</w:t>
      </w:r>
      <w:r>
        <w:t>cialmente si ha establecido un sistema de cuotas.</w:t>
      </w:r>
    </w:p>
    <w:p w:rsidR="0097247E" w:rsidRDefault="0097247E">
      <w:pPr>
        <w:pStyle w:val="DualTxt"/>
      </w:pPr>
      <w:r>
        <w:t>52.</w:t>
      </w:r>
      <w:r>
        <w:tab/>
      </w:r>
      <w:r>
        <w:rPr>
          <w:b/>
        </w:rPr>
        <w:t>La Sra. Belmihoub-Zerdani</w:t>
      </w:r>
      <w:r>
        <w:t>, recordando que la historia de Malasia ha sido complicada debido a las s</w:t>
      </w:r>
      <w:r>
        <w:t>u</w:t>
      </w:r>
      <w:r>
        <w:t>ces</w:t>
      </w:r>
      <w:r>
        <w:t>i</w:t>
      </w:r>
      <w:r>
        <w:t>vas ocupaciones que sufrió su territorio, subraya la importancia del artículo 7 de la Convención. La volu</w:t>
      </w:r>
      <w:r>
        <w:t>n</w:t>
      </w:r>
      <w:r>
        <w:t>tad pol</w:t>
      </w:r>
      <w:r>
        <w:t>í</w:t>
      </w:r>
      <w:r>
        <w:t>tica del Estado Parte de alcanzar la igualdad de género en la esfera de la adopción de decisiones es ev</w:t>
      </w:r>
      <w:r>
        <w:t>i</w:t>
      </w:r>
      <w:r>
        <w:t>dente, ya que 32,3% de los miembros del Parlamento Federal y 32% de los miembros del Senado son muj</w:t>
      </w:r>
      <w:r>
        <w:t>e</w:t>
      </w:r>
      <w:r>
        <w:t>res. En consecuencia, se pregunta si el Gobierno está considerando la posibilidad de retirar sus reservas al artículo 7 b) de la Convención. Es preciso hacer may</w:t>
      </w:r>
      <w:r>
        <w:t>o</w:t>
      </w:r>
      <w:r>
        <w:t>res esfuerzos en el plano local para asegurar que todas las mujeres, independientemente de la religión que pr</w:t>
      </w:r>
      <w:r>
        <w:t>o</w:t>
      </w:r>
      <w:r>
        <w:t>fesen, puedan participar efectivamente en la vida pol</w:t>
      </w:r>
      <w:r>
        <w:t>í</w:t>
      </w:r>
      <w:r>
        <w:t>tica del país.</w:t>
      </w:r>
    </w:p>
    <w:p w:rsidR="0097247E" w:rsidRDefault="0097247E">
      <w:pPr>
        <w:pStyle w:val="DualTxt"/>
      </w:pPr>
      <w:r>
        <w:t>53.</w:t>
      </w:r>
      <w:r>
        <w:tab/>
      </w:r>
      <w:r>
        <w:rPr>
          <w:b/>
        </w:rPr>
        <w:t>La Sra. Arocha Dominguez</w:t>
      </w:r>
      <w:r>
        <w:t xml:space="preserve"> dice que en lo que se refiere al aumento de la participación pol</w:t>
      </w:r>
      <w:r>
        <w:t>í</w:t>
      </w:r>
      <w:r>
        <w:t>tica de las muj</w:t>
      </w:r>
      <w:r>
        <w:t>e</w:t>
      </w:r>
      <w:r>
        <w:t>res en Malasia, los progresos han sido desparejos. De hecho, entre 2000 y 2005 se ha producido una lig</w:t>
      </w:r>
      <w:r>
        <w:t>e</w:t>
      </w:r>
      <w:r>
        <w:t>ra disminución en el número de mujeres elegidas a la Cámara de Represe</w:t>
      </w:r>
      <w:r>
        <w:t>n</w:t>
      </w:r>
      <w:r>
        <w:t>tantes. Se pregunta si ello se debe a la subsistencia de los estereotipos basados en el gén</w:t>
      </w:r>
      <w:r>
        <w:t>e</w:t>
      </w:r>
      <w:r>
        <w:t>ro y desea saber qué medidas se han adoptado para r</w:t>
      </w:r>
      <w:r>
        <w:t>e</w:t>
      </w:r>
      <w:r>
        <w:t>mediar esa s</w:t>
      </w:r>
      <w:r>
        <w:t>i</w:t>
      </w:r>
      <w:r>
        <w:t>tuación. También desea saber si se ha hecho tomar conciencia a los responsables de las d</w:t>
      </w:r>
      <w:r>
        <w:t>e</w:t>
      </w:r>
      <w:r>
        <w:t>signaciones políticas de la necesidad de aumentar la proporción mujeres en los distintos cargos existentes. Por último, el Estado Parte debe indicar cuántas muj</w:t>
      </w:r>
      <w:r>
        <w:t>e</w:t>
      </w:r>
      <w:r>
        <w:t>res pertenecientes a las minorías étnicas participan en los gobiernos loc</w:t>
      </w:r>
      <w:r>
        <w:t>a</w:t>
      </w:r>
      <w:r>
        <w:t>les.</w:t>
      </w:r>
    </w:p>
    <w:p w:rsidR="0097247E" w:rsidRDefault="0097247E">
      <w:pPr>
        <w:pStyle w:val="DualTxt"/>
      </w:pPr>
      <w:r>
        <w:t>54.</w:t>
      </w:r>
      <w:r>
        <w:tab/>
      </w:r>
      <w:r>
        <w:rPr>
          <w:b/>
        </w:rPr>
        <w:t>La Sra. Gaspard</w:t>
      </w:r>
      <w:r>
        <w:t xml:space="preserve"> pide aclaraciones sobre las r</w:t>
      </w:r>
      <w:r>
        <w:t>e</w:t>
      </w:r>
      <w:r>
        <w:t>servas de Malasia al artículo 7 b) de la Convención. Desea saber qué tipos de puestos políticos y de la a</w:t>
      </w:r>
      <w:r>
        <w:t>d</w:t>
      </w:r>
      <w:r>
        <w:t>ministración pública son objeto de dicha reserva.</w:t>
      </w:r>
    </w:p>
    <w:p w:rsidR="0097247E" w:rsidRDefault="0097247E">
      <w:pPr>
        <w:pStyle w:val="DualTxt"/>
      </w:pPr>
      <w:r>
        <w:t>55.</w:t>
      </w:r>
      <w:r>
        <w:tab/>
      </w:r>
      <w:r>
        <w:rPr>
          <w:b/>
        </w:rPr>
        <w:t>La Sra. Faizah Mohd Tahir</w:t>
      </w:r>
      <w:r>
        <w:t xml:space="preserve"> (Malasia) co</w:t>
      </w:r>
      <w:r>
        <w:t>n</w:t>
      </w:r>
      <w:r>
        <w:t>firma que el Ministerio para el Desarrollo de la Mujer, la Familia y la Comunidad está trabajando con el PNUD en la elaboración de un plan de acción cuyo objeto es lograr una representación de la mujer del 30% en los sectores público y priv</w:t>
      </w:r>
      <w:r>
        <w:t>a</w:t>
      </w:r>
      <w:r>
        <w:t>do para el año 2010. Participan en este proceso los sectores público y privado y a s</w:t>
      </w:r>
      <w:r>
        <w:t>o</w:t>
      </w:r>
      <w:r>
        <w:t>ciedad civil. En ese momento la delegación no puede propo</w:t>
      </w:r>
      <w:r>
        <w:t>r</w:t>
      </w:r>
      <w:r>
        <w:t>cionar datos desglosados por grupo étnico, pero éstos se remitirán más adelante.</w:t>
      </w:r>
    </w:p>
    <w:p w:rsidR="0097247E" w:rsidRDefault="0097247E">
      <w:pPr>
        <w:pStyle w:val="DualTxt"/>
      </w:pPr>
      <w:r>
        <w:t>56.</w:t>
      </w:r>
      <w:r>
        <w:tab/>
      </w:r>
      <w:r>
        <w:rPr>
          <w:b/>
        </w:rPr>
        <w:t>La Sra. Azailiza Mohd Ahad</w:t>
      </w:r>
      <w:r>
        <w:t xml:space="preserve"> (Malasia) dice que la reserva al artículo 7 b) tiene que ver e</w:t>
      </w:r>
      <w:r>
        <w:t>s</w:t>
      </w:r>
      <w:r>
        <w:t>pecíficamente con los puestos en la magistratura de la ley islámica, que no sólo son de carácter público sino también rel</w:t>
      </w:r>
      <w:r>
        <w:t>i</w:t>
      </w:r>
      <w:r>
        <w:t>giosos, y que entrañan entre otras cosas dirigir las pl</w:t>
      </w:r>
      <w:r>
        <w:t>e</w:t>
      </w:r>
      <w:r>
        <w:t>garias. Esa es una función que las mujeres no pueden cumplir. Sin embargo, es posible que la reserva se ret</w:t>
      </w:r>
      <w:r>
        <w:t>i</w:t>
      </w:r>
      <w:r>
        <w:t>re de t</w:t>
      </w:r>
      <w:r>
        <w:t>o</w:t>
      </w:r>
      <w:r>
        <w:t>das maneras.</w:t>
      </w:r>
    </w:p>
    <w:p w:rsidR="0097247E" w:rsidRDefault="0097247E">
      <w:pPr>
        <w:pStyle w:val="DualTxt"/>
      </w:pPr>
      <w:r>
        <w:t>57.</w:t>
      </w:r>
      <w:r>
        <w:tab/>
      </w:r>
      <w:r>
        <w:rPr>
          <w:b/>
        </w:rPr>
        <w:t>La Sra. Faizah Mohd Tahir</w:t>
      </w:r>
      <w:r>
        <w:t xml:space="preserve"> (Malasia) agrega que para aumentar la representación de las mujeres en los órganos electivos los partidos políticos están crea</w:t>
      </w:r>
      <w:r>
        <w:t>n</w:t>
      </w:r>
      <w:r>
        <w:t>do programas de capacitación para el liderazgo para mujeres j</w:t>
      </w:r>
      <w:r>
        <w:t>ó</w:t>
      </w:r>
      <w:r>
        <w:t>venes.</w:t>
      </w:r>
    </w:p>
    <w:p w:rsidR="0097247E" w:rsidRDefault="0097247E">
      <w:pPr>
        <w:pStyle w:val="DualTxt"/>
      </w:pPr>
      <w:r>
        <w:t>58.</w:t>
      </w:r>
      <w:r>
        <w:tab/>
      </w:r>
      <w:r>
        <w:rPr>
          <w:b/>
        </w:rPr>
        <w:t>La Presidenta</w:t>
      </w:r>
      <w:r>
        <w:t>, hablando en su calidad de mie</w:t>
      </w:r>
      <w:r>
        <w:t>m</w:t>
      </w:r>
      <w:r>
        <w:t>bro del Comité, pregunta por qué está llevando tanto tiempo para poner en marcha el plan de acción dirigido a lograr la meta del 30% en la representación de las mujeres en los sectores público y privado. Se pregunta si esa lentitud puede ser un indicador de falta de volu</w:t>
      </w:r>
      <w:r>
        <w:t>n</w:t>
      </w:r>
      <w:r>
        <w:t>tad política.</w:t>
      </w:r>
    </w:p>
    <w:p w:rsidR="0097247E" w:rsidRDefault="0097247E">
      <w:pPr>
        <w:pStyle w:val="DualTxt"/>
      </w:pPr>
      <w:r>
        <w:t>59.</w:t>
      </w:r>
      <w:r>
        <w:tab/>
      </w:r>
      <w:r>
        <w:rPr>
          <w:b/>
        </w:rPr>
        <w:t>La Sra. Faizah Mohd Tahir</w:t>
      </w:r>
      <w:r>
        <w:t xml:space="preserve"> (Malasia) explica que en realidad no está llevando tanto tie</w:t>
      </w:r>
      <w:r>
        <w:t>m</w:t>
      </w:r>
      <w:r>
        <w:t>po ya que la pr</w:t>
      </w:r>
      <w:r>
        <w:t>o</w:t>
      </w:r>
      <w:r>
        <w:t>puesta se elevó al gabinete a fines de 2005.</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9</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60.</w:t>
      </w:r>
      <w:r>
        <w:tab/>
      </w:r>
      <w:r>
        <w:rPr>
          <w:b/>
        </w:rPr>
        <w:t>La Sra. Belmihoub-Zerdani</w:t>
      </w:r>
      <w:r>
        <w:t xml:space="preserve"> dice que la r</w:t>
      </w:r>
      <w:r>
        <w:t>e</w:t>
      </w:r>
      <w:r>
        <w:t>serva al artículo 9</w:t>
      </w:r>
      <w:r>
        <w:rPr>
          <w:b/>
        </w:rPr>
        <w:t xml:space="preserve"> </w:t>
      </w:r>
      <w:r>
        <w:t>2) relativo a la igualdad entre los hombres y las mujeres en cuanto al otorgamiento de la nacion</w:t>
      </w:r>
      <w:r>
        <w:t>a</w:t>
      </w:r>
      <w:r>
        <w:t>lidad a los niños es un caso flagrante de discrimin</w:t>
      </w:r>
      <w:r>
        <w:t>a</w:t>
      </w:r>
      <w:r>
        <w:t>ción. No existe en el Islam obstáculo religioso alguno que impida la acept</w:t>
      </w:r>
      <w:r>
        <w:t>a</w:t>
      </w:r>
      <w:r>
        <w:t>ción de dicha medida. Muchos países islámicos han retirado la reserva a esa dispos</w:t>
      </w:r>
      <w:r>
        <w:t>i</w:t>
      </w:r>
      <w:r>
        <w:t>ción y modificado la legislación nacional a fin de cu</w:t>
      </w:r>
      <w:r>
        <w:t>m</w:t>
      </w:r>
      <w:r>
        <w:t>plir con ella.</w:t>
      </w:r>
    </w:p>
    <w:p w:rsidR="0097247E" w:rsidRDefault="0097247E">
      <w:pPr>
        <w:pStyle w:val="DualTxt"/>
      </w:pPr>
      <w:r>
        <w:t>61.</w:t>
      </w:r>
      <w:r>
        <w:tab/>
      </w:r>
      <w:r>
        <w:rPr>
          <w:b/>
        </w:rPr>
        <w:t>La Sra. Azailiza Mohd Ahad</w:t>
      </w:r>
      <w:r>
        <w:t xml:space="preserve"> (Malasia) coincide con la Sra. Belmihoub-Zerdani en que no existe imp</w:t>
      </w:r>
      <w:r>
        <w:t>e</w:t>
      </w:r>
      <w:r>
        <w:t>dimento religioso para aceptar la clá</w:t>
      </w:r>
      <w:r>
        <w:t>u</w:t>
      </w:r>
      <w:r>
        <w:t>sula mencionada. Es preciso someter a nuevo examen las reservas a fin de aseg</w:t>
      </w:r>
      <w:r>
        <w:t>u</w:t>
      </w:r>
      <w:r>
        <w:t>rar la igualdad de trato.</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10</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62.</w:t>
      </w:r>
      <w:r>
        <w:tab/>
      </w:r>
      <w:r>
        <w:rPr>
          <w:b/>
        </w:rPr>
        <w:t>La Sra. Tan</w:t>
      </w:r>
      <w:r>
        <w:t xml:space="preserve"> pide datos actualizados sobre las t</w:t>
      </w:r>
      <w:r>
        <w:t>a</w:t>
      </w:r>
      <w:r>
        <w:t>sas de alfabetización de las mujeres de las zonas rur</w:t>
      </w:r>
      <w:r>
        <w:t>a</w:t>
      </w:r>
      <w:r>
        <w:t>les. Sería útil contar con algunos ejemplos concretos sobre la forma en que se modificaron los libros de te</w:t>
      </w:r>
      <w:r>
        <w:t>x</w:t>
      </w:r>
      <w:r>
        <w:t>to escolares para eliminar los estereotipos en materia género y saber por qué un libro de educación moral de quinto grado refuerza la idea de que el lugar de la m</w:t>
      </w:r>
      <w:r>
        <w:t>u</w:t>
      </w:r>
      <w:r>
        <w:t>jer está en su casa. Desea saber si se capacita a los d</w:t>
      </w:r>
      <w:r>
        <w:t>o</w:t>
      </w:r>
      <w:r>
        <w:t>centes para reconocer los estereotipos en materia gén</w:t>
      </w:r>
      <w:r>
        <w:t>e</w:t>
      </w:r>
      <w:r>
        <w:t>ro y se les enseña la necesidad de eliminarlos de la e</w:t>
      </w:r>
      <w:r>
        <w:t>n</w:t>
      </w:r>
      <w:r>
        <w:t>señanza.</w:t>
      </w:r>
    </w:p>
    <w:p w:rsidR="0097247E" w:rsidRDefault="0097247E">
      <w:pPr>
        <w:pStyle w:val="DualTxt"/>
      </w:pPr>
      <w:r>
        <w:t>63.</w:t>
      </w:r>
      <w:r>
        <w:tab/>
      </w:r>
      <w:r>
        <w:rPr>
          <w:b/>
        </w:rPr>
        <w:t>El Sr. Hailibin Dolhan</w:t>
      </w:r>
      <w:r>
        <w:t xml:space="preserve"> (Malasia) responde que en las escuelas de capacitación docente hay cursos de reconocimiento de estereotipos en materia género. El libro sobre educación moral al que se hace referencia prob</w:t>
      </w:r>
      <w:r>
        <w:t>a</w:t>
      </w:r>
      <w:r>
        <w:t>blemente sea un caso aislado.</w:t>
      </w:r>
    </w:p>
    <w:p w:rsidR="0097247E" w:rsidRDefault="0097247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ab/>
        <w:t>Artículo 11</w:t>
      </w:r>
    </w:p>
    <w:p w:rsidR="0097247E" w:rsidRDefault="0097247E">
      <w:pPr>
        <w:pStyle w:val="PlainText"/>
        <w:spacing w:line="120" w:lineRule="exact"/>
        <w:rPr>
          <w:rFonts w:ascii="Times New Roman" w:hAnsi="Times New Roman" w:cs="Times New Roman"/>
          <w:sz w:val="10"/>
          <w:szCs w:val="24"/>
        </w:rPr>
      </w:pPr>
    </w:p>
    <w:p w:rsidR="0097247E" w:rsidRDefault="0097247E">
      <w:pPr>
        <w:pStyle w:val="DualTxt"/>
      </w:pPr>
      <w:r>
        <w:t>64.</w:t>
      </w:r>
      <w:r>
        <w:tab/>
      </w:r>
      <w:r>
        <w:rPr>
          <w:b/>
        </w:rPr>
        <w:t>La Sra. Khan</w:t>
      </w:r>
      <w:r>
        <w:t xml:space="preserve"> señala que si bien las mujeres de Malasia tienen un alto nivel de alfabetización, su part</w:t>
      </w:r>
      <w:r>
        <w:t>i</w:t>
      </w:r>
      <w:r>
        <w:t>cipación en la fuerza de trabajo es baja. Se las emplea principalmente en trabajos de bajo n</w:t>
      </w:r>
      <w:r>
        <w:t>i</w:t>
      </w:r>
      <w:r>
        <w:t>vel, sin funciones de dire</w:t>
      </w:r>
      <w:r>
        <w:t>c</w:t>
      </w:r>
      <w:r>
        <w:t>ción. Desea saber cuál es la situación de los trabajadores migrantes; cuál es su número exacto en el país y si la legislación vigente los protege de los ab</w:t>
      </w:r>
      <w:r>
        <w:t>u</w:t>
      </w:r>
      <w:r>
        <w:t>sos.</w:t>
      </w:r>
    </w:p>
    <w:p w:rsidR="0097247E" w:rsidRDefault="0097247E">
      <w:pPr>
        <w:pStyle w:val="DualTxt"/>
      </w:pPr>
      <w:r>
        <w:t>65.</w:t>
      </w:r>
      <w:r>
        <w:tab/>
      </w:r>
      <w:r>
        <w:rPr>
          <w:b/>
        </w:rPr>
        <w:t>La Sra. Patten</w:t>
      </w:r>
      <w:r>
        <w:t xml:space="preserve"> dice que las medidas especiales de carácter temporal son una manera de responder a la baja participación de las mujeres en la fuerza de trab</w:t>
      </w:r>
      <w:r>
        <w:t>a</w:t>
      </w:r>
      <w:r>
        <w:t>jo. Quizás el Gobierno desee considerar la posibilidad de adoptar medidas de ese tipo para los empleos públ</w:t>
      </w:r>
      <w:r>
        <w:t>i</w:t>
      </w:r>
      <w:r>
        <w:t>cos. Sería útil s</w:t>
      </w:r>
      <w:r>
        <w:t>a</w:t>
      </w:r>
      <w:r>
        <w:t>ber cuáles son las sanciones previstas cuando se transgreden las leyes laborales y cuál es su efic</w:t>
      </w:r>
      <w:r>
        <w:t>a</w:t>
      </w:r>
      <w:r>
        <w:t>cia. La oradora desea saber si se han revocado permisos cuando se han producido este tipo de tran</w:t>
      </w:r>
      <w:r>
        <w:t>s</w:t>
      </w:r>
      <w:r>
        <w:t>gresiones. En el informe se menciona la propuesta de elaborar legislación especial para los casos de acoso sexual. Se recibiría con satisfa</w:t>
      </w:r>
      <w:r>
        <w:t>c</w:t>
      </w:r>
      <w:r>
        <w:t>ción información sobre los progresos realizados en esa esfera.</w:t>
      </w:r>
    </w:p>
    <w:p w:rsidR="0097247E" w:rsidRDefault="0097247E">
      <w:pPr>
        <w:pStyle w:val="DualTxt"/>
      </w:pPr>
      <w:r>
        <w:t>66.</w:t>
      </w:r>
      <w:r>
        <w:tab/>
      </w:r>
      <w:r>
        <w:rPr>
          <w:b/>
        </w:rPr>
        <w:t>La Sra. Schöpp-Schilling</w:t>
      </w:r>
      <w:r>
        <w:t xml:space="preserve"> dice que no queda cl</w:t>
      </w:r>
      <w:r>
        <w:t>a</w:t>
      </w:r>
      <w:r>
        <w:t>ro cuántas mujeres que integran la fuerza de trabajo e</w:t>
      </w:r>
      <w:r>
        <w:t>s</w:t>
      </w:r>
      <w:r>
        <w:t>tán haciendo uso de las disposiciones especiales como los horarios flexibles de trabajo. Si bien se alienta a los empleadores a adoptar medidas especiales, no resulta claro si en realidad lo hacen. Si las mujeres que trab</w:t>
      </w:r>
      <w:r>
        <w:t>a</w:t>
      </w:r>
      <w:r>
        <w:t>jan en el sector público interrumpen su carrera para atender a sus hijos pierden su pensión. Este hecho hace que se pregunte si los hombres también pierden su pe</w:t>
      </w:r>
      <w:r>
        <w:t>n</w:t>
      </w:r>
      <w:r>
        <w:t>sión si por alguna razón interrumpen su carrera. Sería útil recibir más detalles sobre las disposiciones relat</w:t>
      </w:r>
      <w:r>
        <w:t>i</w:t>
      </w:r>
      <w:r>
        <w:t>vas a la maternidad. Desea saber qué mujeres reciben qué beneficios y en qué empleos. La carga de las pre</w:t>
      </w:r>
      <w:r>
        <w:t>s</w:t>
      </w:r>
      <w:r>
        <w:t>taciones por maternidad no debería recaer sólo sobre los empleadores. La s</w:t>
      </w:r>
      <w:r>
        <w:t>o</w:t>
      </w:r>
      <w:r>
        <w:t>ciedad en su conjunto debe hacerse responsable.</w:t>
      </w:r>
    </w:p>
    <w:p w:rsidR="0097247E" w:rsidRDefault="0097247E">
      <w:pPr>
        <w:pStyle w:val="DualTxt"/>
      </w:pPr>
      <w:r>
        <w:t>67.</w:t>
      </w:r>
      <w:r>
        <w:tab/>
      </w:r>
      <w:r>
        <w:rPr>
          <w:b/>
        </w:rPr>
        <w:t>La Presidenta</w:t>
      </w:r>
      <w:r>
        <w:t>, hablando en su condición de miembro del Comité, subraya que Malasia es uno de los países más prósperos de la región y por ese motivo atrae a muchos inmigrantes. Desea saber qué medidas se han adoptado para proteger a los trabajadores m</w:t>
      </w:r>
      <w:r>
        <w:t>i</w:t>
      </w:r>
      <w:r>
        <w:t>grantes.</w:t>
      </w:r>
    </w:p>
    <w:p w:rsidR="0097247E" w:rsidRDefault="0097247E">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97247E" w:rsidRDefault="0097247E">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rPr>
      </w:pPr>
    </w:p>
    <w:sectPr w:rsidR="0097247E">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7247E" w:rsidRDefault="0097247E">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NO&gt;&gt;N0635938S&lt;&lt;ODS JOB NO&gt;&gt;</w:t>
      </w:r>
    </w:p>
    <w:p w:rsidR="0097247E" w:rsidRDefault="0097247E">
      <w:pPr>
        <w:pStyle w:val="CommentText"/>
        <w:rPr>
          <w:lang w:val="en-US"/>
        </w:rPr>
      </w:pPr>
      <w:r>
        <w:rPr>
          <w:lang w:val="en-US"/>
        </w:rPr>
        <w:t>&lt;&lt;ODS DOC SYMBOL1&gt;&gt;CEDAW/C/SR.731&lt;&lt;ODS DOC SYMBOL1&gt;&gt;</w:t>
      </w:r>
    </w:p>
    <w:p w:rsidR="0097247E" w:rsidRDefault="0097247E">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47E" w:rsidRDefault="0097247E" w:rsidP="0097247E">
      <w:pPr>
        <w:pStyle w:val="Small"/>
      </w:pPr>
      <w:r>
        <w:separator/>
      </w:r>
    </w:p>
  </w:endnote>
  <w:endnote w:type="continuationSeparator" w:id="0">
    <w:p w:rsidR="0097247E" w:rsidRDefault="0097247E" w:rsidP="0097247E">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7247E">
      <w:tblPrEx>
        <w:tblCellMar>
          <w:top w:w="0" w:type="dxa"/>
          <w:bottom w:w="0" w:type="dxa"/>
        </w:tblCellMar>
      </w:tblPrEx>
      <w:tc>
        <w:tcPr>
          <w:tcW w:w="5033" w:type="dxa"/>
          <w:vAlign w:val="bottom"/>
        </w:tcPr>
        <w:p w:rsidR="0097247E" w:rsidRDefault="0097247E">
          <w:pPr>
            <w:pStyle w:val="Footer"/>
          </w:pPr>
          <w:r>
            <w:rPr>
              <w:rStyle w:val="PageNumber"/>
            </w:rPr>
            <w:fldChar w:fldCharType="begin"/>
          </w:r>
          <w:r>
            <w:rPr>
              <w:rStyle w:val="PageNumber"/>
            </w:rPr>
            <w:instrText xml:space="preserve"> PAGE </w:instrText>
          </w:r>
          <w:r>
            <w:rPr>
              <w:rStyle w:val="PageNumber"/>
            </w:rPr>
            <w:fldChar w:fldCharType="separate"/>
          </w:r>
          <w:r w:rsidR="004F0667">
            <w:rPr>
              <w:rStyle w:val="PageNumber"/>
            </w:rPr>
            <w:t>8</w:t>
          </w:r>
          <w:r>
            <w:rPr>
              <w:rStyle w:val="PageNumber"/>
            </w:rPr>
            <w:fldChar w:fldCharType="end"/>
          </w:r>
        </w:p>
      </w:tc>
      <w:tc>
        <w:tcPr>
          <w:tcW w:w="5033" w:type="dxa"/>
          <w:vAlign w:val="bottom"/>
        </w:tcPr>
        <w:p w:rsidR="0097247E" w:rsidRDefault="0097247E">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4F0667">
            <w:rPr>
              <w:b w:val="0"/>
              <w:sz w:val="14"/>
            </w:rPr>
            <w:t>0635938s.doc</w:t>
          </w:r>
          <w:r>
            <w:rPr>
              <w:b w:val="0"/>
              <w:sz w:val="14"/>
            </w:rPr>
            <w:fldChar w:fldCharType="end"/>
          </w:r>
        </w:p>
      </w:tc>
    </w:tr>
  </w:tbl>
  <w:p w:rsidR="0097247E" w:rsidRDefault="009724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7247E">
      <w:tblPrEx>
        <w:tblCellMar>
          <w:top w:w="0" w:type="dxa"/>
          <w:bottom w:w="0" w:type="dxa"/>
        </w:tblCellMar>
      </w:tblPrEx>
      <w:tc>
        <w:tcPr>
          <w:tcW w:w="5033" w:type="dxa"/>
          <w:vAlign w:val="bottom"/>
        </w:tcPr>
        <w:p w:rsidR="0097247E" w:rsidRDefault="0097247E">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F0667">
            <w:rPr>
              <w:b w:val="0"/>
              <w:sz w:val="14"/>
            </w:rPr>
            <w:t>0635938s.doc</w:t>
          </w:r>
          <w:r>
            <w:rPr>
              <w:b w:val="0"/>
              <w:sz w:val="14"/>
            </w:rPr>
            <w:fldChar w:fldCharType="end"/>
          </w:r>
        </w:p>
      </w:tc>
      <w:tc>
        <w:tcPr>
          <w:tcW w:w="5033" w:type="dxa"/>
          <w:vAlign w:val="bottom"/>
        </w:tcPr>
        <w:p w:rsidR="0097247E" w:rsidRDefault="0097247E">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4F0667">
            <w:rPr>
              <w:rStyle w:val="PageNumber"/>
            </w:rPr>
            <w:t>9</w:t>
          </w:r>
          <w:r>
            <w:rPr>
              <w:rStyle w:val="PageNumber"/>
            </w:rPr>
            <w:fldChar w:fldCharType="end"/>
          </w:r>
        </w:p>
      </w:tc>
    </w:tr>
  </w:tbl>
  <w:p w:rsidR="0097247E" w:rsidRDefault="009724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47E" w:rsidRDefault="0097247E">
    <w:pPr>
      <w:pStyle w:val="Footer"/>
      <w:pBdr>
        <w:top w:val="single" w:sz="2" w:space="1" w:color="auto"/>
      </w:pBdr>
      <w:rPr>
        <w:sz w:val="2"/>
      </w:rPr>
    </w:pPr>
  </w:p>
  <w:p w:rsidR="0097247E" w:rsidRDefault="009724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7247E" w:rsidRDefault="009724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7247E" w:rsidRDefault="009724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7247E" w:rsidRDefault="0097247E">
    <w:pPr>
      <w:pStyle w:val="FootnoteText"/>
      <w:spacing w:line="120" w:lineRule="exact"/>
      <w:ind w:left="1267" w:right="1267" w:firstLine="0"/>
      <w:rPr>
        <w:sz w:val="10"/>
      </w:rPr>
    </w:pPr>
  </w:p>
  <w:p w:rsidR="0097247E" w:rsidRDefault="0097247E">
    <w:pPr>
      <w:pStyle w:val="Footer"/>
      <w:rPr>
        <w:b w:val="0"/>
        <w:sz w:val="20"/>
      </w:rPr>
    </w:pPr>
    <w:r>
      <w:rPr>
        <w:b w:val="0"/>
        <w:sz w:val="20"/>
      </w:rPr>
      <w:t>06-35938 (S)</w:t>
    </w:r>
  </w:p>
  <w:p w:rsidR="0097247E" w:rsidRPr="004F0667" w:rsidRDefault="0097247E">
    <w:pPr>
      <w:pStyle w:val="Footer"/>
      <w:spacing w:before="60" w:line="200" w:lineRule="exact"/>
      <w:rPr>
        <w:rFonts w:ascii="Barcode 3 of 9 by request" w:hAnsi="Barcode 3 of 9 by request"/>
        <w:b w:val="0"/>
        <w:sz w:val="20"/>
      </w:rPr>
    </w:pPr>
    <w:r w:rsidRPr="004F0667">
      <w:rPr>
        <w:rFonts w:ascii="Barcode 3 of 9 by request" w:hAnsi="Barcode 3 of 9 by request"/>
        <w:b w:val="0"/>
        <w:sz w:val="20"/>
      </w:rPr>
      <w:t>*0635938*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47E" w:rsidRDefault="0097247E" w:rsidP="0097247E">
      <w:pPr>
        <w:pStyle w:val="Small"/>
      </w:pPr>
      <w:r>
        <w:separator/>
      </w:r>
    </w:p>
  </w:footnote>
  <w:footnote w:type="continuationSeparator" w:id="0">
    <w:p w:rsidR="0097247E" w:rsidRDefault="0097247E" w:rsidP="0097247E">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47E" w:rsidRDefault="0097247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7247E">
                  <w:tblPrEx>
                    <w:tblCellMar>
                      <w:top w:w="0" w:type="dxa"/>
                      <w:bottom w:w="0" w:type="dxa"/>
                    </w:tblCellMar>
                  </w:tblPrEx>
                  <w:trPr>
                    <w:trHeight w:hRule="exact" w:val="864"/>
                  </w:trPr>
                  <w:tc>
                    <w:tcPr>
                      <w:tcW w:w="4838" w:type="dxa"/>
                      <w:vAlign w:val="bottom"/>
                    </w:tcPr>
                    <w:p w:rsidR="0097247E" w:rsidRDefault="0097247E">
                      <w:pPr>
                        <w:pStyle w:val="Header"/>
                        <w:spacing w:after="80"/>
                        <w:rPr>
                          <w:b/>
                        </w:rPr>
                      </w:pPr>
                      <w:r>
                        <w:rPr>
                          <w:b/>
                        </w:rPr>
                        <w:t>CEDAW/C/SR.731</w:t>
                      </w:r>
                    </w:p>
                  </w:tc>
                  <w:tc>
                    <w:tcPr>
                      <w:tcW w:w="5048" w:type="dxa"/>
                      <w:vAlign w:val="bottom"/>
                    </w:tcPr>
                    <w:p w:rsidR="0097247E" w:rsidRDefault="0097247E">
                      <w:pPr>
                        <w:pStyle w:val="Header"/>
                      </w:pPr>
                    </w:p>
                  </w:tc>
                </w:tr>
              </w:tbl>
              <w:p w:rsidR="0097247E" w:rsidRDefault="0097247E">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47E" w:rsidRDefault="0097247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7247E">
                  <w:tblPrEx>
                    <w:tblCellMar>
                      <w:top w:w="0" w:type="dxa"/>
                      <w:bottom w:w="0" w:type="dxa"/>
                    </w:tblCellMar>
                  </w:tblPrEx>
                  <w:trPr>
                    <w:trHeight w:hRule="exact" w:val="864"/>
                  </w:trPr>
                  <w:tc>
                    <w:tcPr>
                      <w:tcW w:w="4838" w:type="dxa"/>
                      <w:vAlign w:val="bottom"/>
                    </w:tcPr>
                    <w:p w:rsidR="0097247E" w:rsidRDefault="0097247E">
                      <w:pPr>
                        <w:pStyle w:val="Header"/>
                      </w:pPr>
                    </w:p>
                  </w:tc>
                  <w:tc>
                    <w:tcPr>
                      <w:tcW w:w="5048" w:type="dxa"/>
                      <w:vAlign w:val="bottom"/>
                    </w:tcPr>
                    <w:p w:rsidR="0097247E" w:rsidRDefault="0097247E">
                      <w:pPr>
                        <w:pStyle w:val="Header"/>
                        <w:spacing w:after="80"/>
                        <w:jc w:val="right"/>
                        <w:rPr>
                          <w:b/>
                        </w:rPr>
                      </w:pPr>
                      <w:r>
                        <w:rPr>
                          <w:b/>
                        </w:rPr>
                        <w:t>CEDAW/C/SR.731</w:t>
                      </w:r>
                    </w:p>
                  </w:tc>
                </w:tr>
              </w:tbl>
              <w:p w:rsidR="0097247E" w:rsidRDefault="0097247E">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7247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7247E" w:rsidRDefault="0097247E">
          <w:pPr>
            <w:pStyle w:val="Header"/>
            <w:spacing w:after="120"/>
          </w:pPr>
        </w:p>
      </w:tc>
      <w:tc>
        <w:tcPr>
          <w:tcW w:w="2059" w:type="dxa"/>
          <w:tcBorders>
            <w:top w:val="nil"/>
            <w:left w:val="nil"/>
            <w:bottom w:val="single" w:sz="4" w:space="0" w:color="auto"/>
            <w:right w:val="nil"/>
          </w:tcBorders>
          <w:vAlign w:val="bottom"/>
        </w:tcPr>
        <w:p w:rsidR="0097247E" w:rsidRDefault="0097247E">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97247E" w:rsidRDefault="0097247E">
          <w:pPr>
            <w:pStyle w:val="Header"/>
            <w:spacing w:after="120"/>
          </w:pPr>
        </w:p>
      </w:tc>
      <w:tc>
        <w:tcPr>
          <w:tcW w:w="6523" w:type="dxa"/>
          <w:gridSpan w:val="3"/>
          <w:tcBorders>
            <w:top w:val="nil"/>
            <w:left w:val="nil"/>
            <w:bottom w:val="single" w:sz="4" w:space="0" w:color="auto"/>
            <w:right w:val="nil"/>
          </w:tcBorders>
          <w:vAlign w:val="bottom"/>
        </w:tcPr>
        <w:p w:rsidR="0097247E" w:rsidRDefault="0097247E">
          <w:pPr>
            <w:spacing w:after="80" w:line="240" w:lineRule="auto"/>
            <w:jc w:val="right"/>
            <w:rPr>
              <w:position w:val="-4"/>
            </w:rPr>
          </w:pPr>
          <w:r>
            <w:rPr>
              <w:position w:val="-4"/>
              <w:sz w:val="40"/>
            </w:rPr>
            <w:t>CEDAW</w:t>
          </w:r>
          <w:r>
            <w:rPr>
              <w:position w:val="-4"/>
            </w:rPr>
            <w:t>/C/SR.731</w:t>
          </w:r>
        </w:p>
      </w:tc>
    </w:tr>
    <w:tr w:rsidR="0097247E">
      <w:tblPrEx>
        <w:tblCellMar>
          <w:top w:w="0" w:type="dxa"/>
          <w:bottom w:w="0" w:type="dxa"/>
        </w:tblCellMar>
      </w:tblPrEx>
      <w:trPr>
        <w:trHeight w:hRule="exact" w:val="2880"/>
      </w:trPr>
      <w:tc>
        <w:tcPr>
          <w:tcW w:w="1267" w:type="dxa"/>
          <w:tcBorders>
            <w:left w:val="nil"/>
            <w:bottom w:val="single" w:sz="12" w:space="0" w:color="auto"/>
            <w:right w:val="nil"/>
          </w:tcBorders>
        </w:tcPr>
        <w:p w:rsidR="0097247E" w:rsidRDefault="0097247E">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247E" w:rsidRDefault="0097247E">
          <w:pPr>
            <w:pStyle w:val="Header"/>
            <w:spacing w:before="109"/>
            <w:rPr>
              <w:lang w:val="es-ES"/>
            </w:rPr>
          </w:pPr>
        </w:p>
      </w:tc>
      <w:tc>
        <w:tcPr>
          <w:tcW w:w="5227" w:type="dxa"/>
          <w:gridSpan w:val="3"/>
          <w:tcBorders>
            <w:left w:val="nil"/>
            <w:bottom w:val="single" w:sz="12" w:space="0" w:color="auto"/>
            <w:right w:val="nil"/>
          </w:tcBorders>
        </w:tcPr>
        <w:p w:rsidR="0097247E" w:rsidRDefault="009724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97247E" w:rsidRDefault="0097247E">
          <w:pPr>
            <w:pStyle w:val="Header"/>
            <w:spacing w:before="109"/>
            <w:rPr>
              <w:lang w:val="es-ES"/>
            </w:rPr>
          </w:pPr>
        </w:p>
      </w:tc>
      <w:tc>
        <w:tcPr>
          <w:tcW w:w="3180" w:type="dxa"/>
          <w:gridSpan w:val="2"/>
          <w:tcBorders>
            <w:left w:val="nil"/>
            <w:bottom w:val="single" w:sz="12" w:space="0" w:color="auto"/>
            <w:right w:val="nil"/>
          </w:tcBorders>
        </w:tcPr>
        <w:p w:rsidR="0097247E" w:rsidRDefault="0097247E">
          <w:pPr>
            <w:spacing w:before="240"/>
          </w:pPr>
          <w:r>
            <w:t>Distr. general</w:t>
          </w:r>
        </w:p>
        <w:p w:rsidR="0097247E" w:rsidRDefault="004F0667">
          <w:r>
            <w:t>17 de agosto de 2006</w:t>
          </w:r>
        </w:p>
        <w:p w:rsidR="0097247E" w:rsidRDefault="0097247E">
          <w:r>
            <w:t>Español</w:t>
          </w:r>
        </w:p>
        <w:p w:rsidR="0097247E" w:rsidRDefault="0097247E">
          <w:r>
            <w:t>Original: inglés</w:t>
          </w:r>
        </w:p>
      </w:tc>
    </w:tr>
  </w:tbl>
  <w:p w:rsidR="0097247E" w:rsidRDefault="0097247E">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97247E"/>
    <w:rsid w:val="004F0667"/>
    <w:rsid w:val="00972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PlainText">
    <w:name w:val="Plain Text"/>
    <w:basedOn w:val="Normal"/>
    <w:pPr>
      <w:suppressAutoHyphens w:val="0"/>
      <w:spacing w:line="240" w:lineRule="auto"/>
    </w:pPr>
    <w:rPr>
      <w:rFonts w:ascii="Courier New" w:hAnsi="Courier New" w:cs="Courier New"/>
      <w:spacing w:val="0"/>
      <w:w w:val="100"/>
      <w:kern w:val="0"/>
      <w:lang w:eastAsia="es-ES"/>
    </w:rPr>
  </w:style>
  <w:style w:type="paragraph" w:styleId="BalloonText">
    <w:name w:val="Balloon Text"/>
    <w:basedOn w:val="Normal"/>
    <w:semiHidden/>
    <w:rsid w:val="009724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6154</Words>
  <Characters>31453</Characters>
  <Application>Microsoft Office Word</Application>
  <DocSecurity>4</DocSecurity>
  <Lines>786</Lines>
  <Paragraphs>105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3</cp:revision>
  <cp:lastPrinted>2006-08-16T20:18:00Z</cp:lastPrinted>
  <dcterms:created xsi:type="dcterms:W3CDTF">2006-08-16T20:18:00Z</dcterms:created>
  <dcterms:modified xsi:type="dcterms:W3CDTF">2006-08-16T20:19:00Z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