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DB0" w:rsidRPr="00C75FAA" w:rsidRDefault="00AC2DB0" w:rsidP="00AC2DB0">
      <w:pPr>
        <w:spacing w:line="240" w:lineRule="auto"/>
        <w:rPr>
          <w:sz w:val="6"/>
        </w:rPr>
        <w:sectPr w:rsidR="00AC2DB0" w:rsidRPr="00C75FAA" w:rsidSect="000269D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C75FAA">
        <w:rPr>
          <w:rStyle w:val="CommentReference"/>
          <w:szCs w:val="20"/>
        </w:rPr>
        <w:commentReference w:id="0"/>
      </w:r>
      <w:bookmarkStart w:id="1" w:name="_GoBack"/>
      <w:bookmarkEnd w:id="1"/>
    </w:p>
    <w:p w:rsidR="00C75FAA" w:rsidRPr="005B10FF" w:rsidRDefault="00C75FAA" w:rsidP="00C75FAA">
      <w:pPr>
        <w:pStyle w:val="H1"/>
        <w:tabs>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rPr>
      </w:pPr>
      <w:r w:rsidRPr="005B10FF">
        <w:rPr>
          <w:lang w:val="es-ES_tradnl"/>
        </w:rPr>
        <w:lastRenderedPageBreak/>
        <w:t>Comité para la Eliminación de la Discriminación contra la Mujer</w:t>
      </w:r>
    </w:p>
    <w:p w:rsidR="00C75FAA" w:rsidRPr="005B10FF" w:rsidRDefault="00C75FAA" w:rsidP="00C75F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B10FF">
        <w:rPr>
          <w:lang w:val="es-ES_tradnl"/>
        </w:rPr>
        <w:t>63º período de sesiones</w:t>
      </w:r>
    </w:p>
    <w:p w:rsidR="00C75FAA" w:rsidRPr="005B10FF" w:rsidRDefault="00C75FAA" w:rsidP="00C75FAA">
      <w:pPr>
        <w:rPr>
          <w:lang w:val="es-ES_tradnl"/>
        </w:rPr>
      </w:pPr>
      <w:r w:rsidRPr="00A168C1">
        <w:rPr>
          <w:lang w:val="es-ES_tradnl"/>
        </w:rPr>
        <w:t>15 de febrero a 4 de marzo de 2016</w:t>
      </w:r>
    </w:p>
    <w:p w:rsidR="00C75FAA" w:rsidRPr="005B10FF" w:rsidRDefault="00C75FAA" w:rsidP="00C75FAA">
      <w:pPr>
        <w:rPr>
          <w:lang w:val="es-ES_tradnl"/>
        </w:rPr>
      </w:pPr>
      <w:r w:rsidRPr="00A168C1">
        <w:rPr>
          <w:lang w:val="es-ES_tradnl"/>
        </w:rPr>
        <w:t>Tema 2 del programa provisional</w:t>
      </w:r>
    </w:p>
    <w:p w:rsidR="00C75FAA" w:rsidRPr="005B10FF" w:rsidRDefault="00C75FAA" w:rsidP="00C75FAA">
      <w:pPr>
        <w:pStyle w:val="H23"/>
        <w:ind w:right="6060"/>
        <w:rPr>
          <w:lang w:val="es-ES_tradnl"/>
        </w:rPr>
      </w:pPr>
      <w:r w:rsidRPr="00A168C1">
        <w:rPr>
          <w:snapToGrid w:val="0"/>
          <w:lang w:val="es-ES_tradnl"/>
        </w:rPr>
        <w:t>Aprobación del programa y organización de los trabajos</w:t>
      </w:r>
    </w:p>
    <w:p w:rsidR="00C75FAA" w:rsidRPr="005B10FF" w:rsidRDefault="00C75FAA" w:rsidP="00C75FAA">
      <w:pPr>
        <w:pStyle w:val="SingleTxt"/>
        <w:spacing w:after="0" w:line="120" w:lineRule="exact"/>
        <w:rPr>
          <w:sz w:val="10"/>
          <w:lang w:val="es-ES_tradnl"/>
        </w:rPr>
      </w:pPr>
    </w:p>
    <w:p w:rsidR="00C75FAA" w:rsidRPr="005B10FF" w:rsidRDefault="00C75FAA" w:rsidP="00C75FAA">
      <w:pPr>
        <w:pStyle w:val="SingleTxt"/>
        <w:spacing w:after="0" w:line="120" w:lineRule="exact"/>
        <w:rPr>
          <w:sz w:val="10"/>
          <w:lang w:val="es-ES_tradnl"/>
        </w:rPr>
      </w:pPr>
    </w:p>
    <w:p w:rsidR="00C75FAA" w:rsidRPr="005B10FF" w:rsidRDefault="00C75FAA" w:rsidP="00C75FAA">
      <w:pPr>
        <w:pStyle w:val="SingleTxt"/>
        <w:spacing w:after="0" w:line="120" w:lineRule="exact"/>
        <w:rPr>
          <w:sz w:val="10"/>
          <w:lang w:val="es-ES_tradnl"/>
        </w:rPr>
      </w:pPr>
    </w:p>
    <w:p w:rsidR="00C75FAA" w:rsidRPr="005608A6" w:rsidRDefault="00C75FAA" w:rsidP="00C75FAA">
      <w:pPr>
        <w:framePr w:w="9792" w:h="432" w:hSpace="180" w:wrap="around" w:hAnchor="page" w:x="1210" w:yAlign="bottom"/>
        <w:spacing w:line="240" w:lineRule="auto"/>
        <w:rPr>
          <w:sz w:val="10"/>
        </w:rPr>
      </w:pPr>
    </w:p>
    <w:p w:rsidR="00C75FAA" w:rsidRPr="005608A6" w:rsidRDefault="00C75FAA" w:rsidP="00C75FAA">
      <w:pPr>
        <w:framePr w:w="9792" w:h="432" w:hSpace="180" w:wrap="around" w:hAnchor="page" w:x="1210" w:yAlign="bottom"/>
        <w:spacing w:line="240" w:lineRule="auto"/>
        <w:rPr>
          <w:sz w:val="6"/>
        </w:rPr>
      </w:pPr>
      <w:r>
        <w:rPr>
          <w:noProof/>
          <w:w w:val="100"/>
          <w:lang w:val="en-US"/>
        </w:rPr>
        <mc:AlternateContent>
          <mc:Choice Requires="wps">
            <w:drawing>
              <wp:anchor distT="4294967294" distB="4294967294" distL="114300" distR="114300" simplePos="0" relativeHeight="251660288"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p>
    <w:p w:rsidR="00C75FAA" w:rsidRDefault="00C75FAA" w:rsidP="00622B6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rPr>
      </w:pPr>
      <w:r w:rsidRPr="005608A6">
        <w:rPr>
          <w:sz w:val="17"/>
        </w:rPr>
        <w:tab/>
      </w:r>
      <w:r w:rsidRPr="002715DD">
        <w:rPr>
          <w:i/>
          <w:sz w:val="17"/>
        </w:rPr>
        <w:t>Nota:</w:t>
      </w:r>
      <w:r w:rsidRPr="005608A6">
        <w:rPr>
          <w:sz w:val="17"/>
        </w:rPr>
        <w:tab/>
      </w:r>
      <w:r w:rsidRPr="001224E6">
        <w:rPr>
          <w:sz w:val="17"/>
        </w:rPr>
        <w:t>El presente documento se distribuye en español, francés e inglés solamente</w:t>
      </w:r>
      <w:r w:rsidRPr="005608A6">
        <w:rPr>
          <w:sz w:val="17"/>
        </w:rPr>
        <w:t>.</w:t>
      </w:r>
    </w:p>
    <w:p w:rsidR="00C75FAA" w:rsidRPr="005B10FF" w:rsidRDefault="00C75FAA" w:rsidP="00C75F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5B10FF">
        <w:rPr>
          <w:lang w:val="es-ES_tradnl"/>
        </w:rPr>
        <w:tab/>
      </w:r>
      <w:r w:rsidRPr="005B10FF">
        <w:rPr>
          <w:lang w:val="es-ES_tradnl"/>
        </w:rPr>
        <w:tab/>
      </w:r>
      <w:r w:rsidRPr="00A168C1">
        <w:rPr>
          <w:lang w:val="es-ES_tradnl"/>
        </w:rPr>
        <w:t>Programa provisional anotado</w:t>
      </w:r>
    </w:p>
    <w:p w:rsidR="00C75FAA" w:rsidRPr="005B10FF" w:rsidRDefault="00C75FAA" w:rsidP="00C75FAA">
      <w:pPr>
        <w:pStyle w:val="SingleTxt"/>
        <w:spacing w:after="0" w:line="120" w:lineRule="exact"/>
        <w:rPr>
          <w:sz w:val="10"/>
          <w:lang w:val="es-ES_tradnl"/>
        </w:rPr>
      </w:pPr>
    </w:p>
    <w:p w:rsidR="00C75FAA" w:rsidRPr="005B10FF" w:rsidRDefault="00C75FAA" w:rsidP="00C75FAA">
      <w:pPr>
        <w:pStyle w:val="SingleTxt"/>
        <w:spacing w:after="0" w:line="120" w:lineRule="exact"/>
        <w:rPr>
          <w:sz w:val="10"/>
          <w:lang w:val="es-ES_tradnl"/>
        </w:rPr>
      </w:pPr>
    </w:p>
    <w:p w:rsidR="00C75FAA" w:rsidRPr="00A168C1" w:rsidRDefault="00C75FAA" w:rsidP="00C75F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168C1">
        <w:tab/>
      </w:r>
      <w:r w:rsidRPr="00A168C1">
        <w:tab/>
        <w:t>Programa provisional</w:t>
      </w:r>
    </w:p>
    <w:p w:rsidR="00C75FAA" w:rsidRPr="005B10FF" w:rsidRDefault="00C75FAA" w:rsidP="00C75FAA">
      <w:pPr>
        <w:pStyle w:val="SingleTxt"/>
        <w:spacing w:after="0" w:line="120" w:lineRule="exact"/>
        <w:rPr>
          <w:sz w:val="10"/>
          <w:lang w:val="es-ES_tradnl"/>
        </w:rPr>
      </w:pPr>
    </w:p>
    <w:p w:rsidR="00C75FAA" w:rsidRPr="005B10FF" w:rsidRDefault="00C75FAA" w:rsidP="00C75FAA">
      <w:pPr>
        <w:pStyle w:val="SingleTxt"/>
        <w:spacing w:after="0" w:line="120" w:lineRule="exact"/>
        <w:jc w:val="left"/>
        <w:rPr>
          <w:sz w:val="10"/>
          <w:lang w:val="es-ES_tradnl"/>
        </w:rPr>
      </w:pPr>
    </w:p>
    <w:p w:rsidR="00C75FAA" w:rsidRPr="00A168C1" w:rsidRDefault="00C75FAA" w:rsidP="00C75FAA">
      <w:pPr>
        <w:pStyle w:val="SingleTxt"/>
        <w:numPr>
          <w:ilvl w:val="0"/>
          <w:numId w:val="7"/>
        </w:numPr>
        <w:ind w:left="1742" w:hanging="475"/>
        <w:jc w:val="left"/>
      </w:pPr>
      <w:r w:rsidRPr="00A168C1">
        <w:t>Apertura del período de sesiones.</w:t>
      </w:r>
    </w:p>
    <w:p w:rsidR="00C75FAA" w:rsidRPr="00A168C1" w:rsidRDefault="00C75FAA" w:rsidP="00C75FAA">
      <w:pPr>
        <w:pStyle w:val="SingleTxt"/>
        <w:numPr>
          <w:ilvl w:val="0"/>
          <w:numId w:val="7"/>
        </w:numPr>
        <w:ind w:left="1742" w:hanging="475"/>
        <w:jc w:val="left"/>
      </w:pPr>
      <w:r w:rsidRPr="00A168C1">
        <w:t>Aprobación del programa y organización de los trabajos.</w:t>
      </w:r>
    </w:p>
    <w:p w:rsidR="00C75FAA" w:rsidRPr="00A168C1" w:rsidRDefault="00C75FAA" w:rsidP="00C75FAA">
      <w:pPr>
        <w:pStyle w:val="SingleTxt"/>
        <w:numPr>
          <w:ilvl w:val="0"/>
          <w:numId w:val="7"/>
        </w:numPr>
        <w:ind w:left="1742" w:hanging="475"/>
        <w:jc w:val="left"/>
      </w:pPr>
      <w:r w:rsidRPr="00A168C1">
        <w:t>Informe de la Presidencia sobre las actividades realizadas entre los períodos de sesiones 62º y 63º del Comité.</w:t>
      </w:r>
    </w:p>
    <w:p w:rsidR="00C75FAA" w:rsidRPr="00A168C1" w:rsidRDefault="00C75FAA" w:rsidP="00C75FAA">
      <w:pPr>
        <w:pStyle w:val="SingleTxt"/>
        <w:numPr>
          <w:ilvl w:val="0"/>
          <w:numId w:val="7"/>
        </w:numPr>
        <w:ind w:left="1742" w:hanging="475"/>
        <w:jc w:val="left"/>
      </w:pPr>
      <w:r w:rsidRPr="00A168C1">
        <w:t>Examen de los informes presentados por los Estados partes en virtud del artículo 18 de la Convención sobre la Eliminación de Todas las Formas de Discriminación contra la Mujer.</w:t>
      </w:r>
    </w:p>
    <w:p w:rsidR="00C75FAA" w:rsidRPr="00A168C1" w:rsidRDefault="00C75FAA" w:rsidP="00C75FAA">
      <w:pPr>
        <w:pStyle w:val="SingleTxt"/>
        <w:numPr>
          <w:ilvl w:val="0"/>
          <w:numId w:val="7"/>
        </w:numPr>
        <w:ind w:left="1742" w:hanging="475"/>
        <w:jc w:val="left"/>
      </w:pPr>
      <w:r w:rsidRPr="00A168C1">
        <w:t>Seguimiento del examen de los informes presentados por los Estados partes en virtud del artículo 18 de la Convención.</w:t>
      </w:r>
    </w:p>
    <w:p w:rsidR="00C75FAA" w:rsidRPr="00A168C1" w:rsidRDefault="00C75FAA" w:rsidP="00C75FAA">
      <w:pPr>
        <w:pStyle w:val="SingleTxt"/>
        <w:numPr>
          <w:ilvl w:val="0"/>
          <w:numId w:val="7"/>
        </w:numPr>
        <w:ind w:left="1742" w:hanging="475"/>
        <w:jc w:val="left"/>
      </w:pPr>
      <w:r w:rsidRPr="00A168C1">
        <w:t>Aplicación de los artículos 21 y 22 de la Convención.</w:t>
      </w:r>
    </w:p>
    <w:p w:rsidR="00C75FAA" w:rsidRPr="00A168C1" w:rsidRDefault="00C75FAA" w:rsidP="00C75FAA">
      <w:pPr>
        <w:pStyle w:val="SingleTxt"/>
        <w:numPr>
          <w:ilvl w:val="0"/>
          <w:numId w:val="7"/>
        </w:numPr>
        <w:ind w:left="1742" w:hanging="475"/>
        <w:jc w:val="left"/>
      </w:pPr>
      <w:r w:rsidRPr="00A168C1">
        <w:t>Medios de agilizar los trabajos del Comité.</w:t>
      </w:r>
    </w:p>
    <w:p w:rsidR="00C75FAA" w:rsidRPr="00A168C1" w:rsidRDefault="00C75FAA" w:rsidP="00C75FAA">
      <w:pPr>
        <w:pStyle w:val="SingleTxt"/>
        <w:numPr>
          <w:ilvl w:val="0"/>
          <w:numId w:val="7"/>
        </w:numPr>
        <w:ind w:left="1742" w:hanging="475"/>
        <w:jc w:val="left"/>
      </w:pPr>
      <w:r w:rsidRPr="00A168C1">
        <w:t>Actividades del Comité en relación con el Protocolo Facultativo de la Convención.</w:t>
      </w:r>
    </w:p>
    <w:p w:rsidR="00C75FAA" w:rsidRPr="00A168C1" w:rsidRDefault="00C75FAA" w:rsidP="00C75FAA">
      <w:pPr>
        <w:pStyle w:val="SingleTxt"/>
        <w:numPr>
          <w:ilvl w:val="0"/>
          <w:numId w:val="7"/>
        </w:numPr>
        <w:ind w:left="1742" w:hanging="475"/>
        <w:jc w:val="left"/>
      </w:pPr>
      <w:r w:rsidRPr="00A168C1">
        <w:t>Programa provisional del 64º período de sesiones del Comité.</w:t>
      </w:r>
    </w:p>
    <w:p w:rsidR="00C75FAA" w:rsidRDefault="00C75FAA" w:rsidP="00C75FAA">
      <w:pPr>
        <w:pStyle w:val="SingleTxt"/>
        <w:numPr>
          <w:ilvl w:val="0"/>
          <w:numId w:val="7"/>
        </w:numPr>
        <w:ind w:left="1742" w:hanging="475"/>
        <w:jc w:val="left"/>
      </w:pPr>
      <w:r w:rsidRPr="00A168C1">
        <w:t>Aprobación del informe del Comité sobre su 63º período de sesiones.</w:t>
      </w:r>
    </w:p>
    <w:p w:rsidR="00C75FAA" w:rsidRDefault="00C75FAA" w:rsidP="00C75FAA">
      <w:pPr>
        <w:pStyle w:val="SingleTxt"/>
        <w:spacing w:after="0" w:line="120" w:lineRule="exact"/>
        <w:rPr>
          <w:sz w:val="10"/>
          <w:lang w:val="es-ES_tradnl"/>
        </w:rPr>
      </w:pPr>
    </w:p>
    <w:p w:rsidR="00C75FAA" w:rsidRPr="007F74F5" w:rsidRDefault="00C75FAA" w:rsidP="00C75FAA">
      <w:pPr>
        <w:pStyle w:val="SingleTxt"/>
        <w:spacing w:after="0" w:line="120" w:lineRule="exact"/>
        <w:rPr>
          <w:sz w:val="10"/>
          <w:lang w:val="es-ES_tradnl"/>
        </w:rPr>
      </w:pPr>
    </w:p>
    <w:p w:rsidR="00C75FAA" w:rsidRDefault="00C75FAA" w:rsidP="00C75F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A168C1">
        <w:lastRenderedPageBreak/>
        <w:tab/>
      </w:r>
      <w:r w:rsidRPr="00A168C1">
        <w:tab/>
        <w:t>Anotaciones</w:t>
      </w:r>
    </w:p>
    <w:p w:rsidR="00C75FAA" w:rsidRDefault="00C75FAA" w:rsidP="00C75FAA">
      <w:pPr>
        <w:pStyle w:val="SingleTxt"/>
        <w:spacing w:after="0" w:line="120" w:lineRule="exact"/>
        <w:rPr>
          <w:sz w:val="10"/>
          <w:lang w:val="es-ES_tradnl"/>
        </w:rPr>
      </w:pPr>
    </w:p>
    <w:p w:rsidR="00C75FAA" w:rsidRPr="00045244" w:rsidRDefault="00C75FAA" w:rsidP="00C75FAA">
      <w:pPr>
        <w:pStyle w:val="SingleTxt"/>
        <w:spacing w:after="0" w:line="120" w:lineRule="exact"/>
        <w:rPr>
          <w:sz w:val="10"/>
          <w:lang w:val="es-ES_tradnl"/>
        </w:rPr>
      </w:pPr>
    </w:p>
    <w:p w:rsidR="00C75FAA" w:rsidRDefault="00C75FAA" w:rsidP="00C75F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68C1">
        <w:rPr>
          <w:lang w:val="es-ES_tradnl"/>
        </w:rPr>
        <w:tab/>
        <w:t>1.</w:t>
      </w:r>
      <w:r w:rsidRPr="00A168C1">
        <w:rPr>
          <w:lang w:val="es-ES_tradnl"/>
        </w:rPr>
        <w:tab/>
        <w:t>Apertura del período de sesiones</w:t>
      </w:r>
    </w:p>
    <w:p w:rsidR="00C75FAA" w:rsidRPr="00045244" w:rsidRDefault="00C75FAA" w:rsidP="00C75FAA">
      <w:pPr>
        <w:pStyle w:val="SingleTxt"/>
        <w:spacing w:after="0" w:line="120" w:lineRule="exact"/>
        <w:rPr>
          <w:sz w:val="10"/>
          <w:lang w:val="es-ES_tradnl"/>
        </w:rPr>
      </w:pPr>
    </w:p>
    <w:p w:rsidR="00C75FAA" w:rsidRPr="00346A07" w:rsidRDefault="00C75FAA" w:rsidP="00C75FAA">
      <w:pPr>
        <w:pStyle w:val="SingleTxt"/>
        <w:rPr>
          <w:rFonts w:eastAsia="Calibri"/>
        </w:rPr>
      </w:pPr>
      <w:r w:rsidRPr="00346A07">
        <w:rPr>
          <w:rFonts w:eastAsia="Calibri"/>
        </w:rPr>
        <w:t>La Presidenta del Comité inaugurará el 63º período de sesiones del Comité para la Eliminación de la Discriminación contra la Mujer.</w:t>
      </w:r>
    </w:p>
    <w:p w:rsidR="00C75FAA" w:rsidRPr="00045244" w:rsidRDefault="00C75FAA" w:rsidP="00C75FAA">
      <w:pPr>
        <w:pStyle w:val="SingleTxt"/>
        <w:spacing w:after="0" w:line="120" w:lineRule="exact"/>
        <w:rPr>
          <w:sz w:val="10"/>
          <w:lang w:val="es-ES_tradnl"/>
        </w:rPr>
      </w:pPr>
    </w:p>
    <w:p w:rsidR="00C75FAA" w:rsidRPr="00045244" w:rsidRDefault="00C75FAA" w:rsidP="00C75F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45244">
        <w:rPr>
          <w:lang w:val="es-ES_tradnl"/>
        </w:rPr>
        <w:tab/>
        <w:t>2.</w:t>
      </w:r>
      <w:r w:rsidRPr="00045244">
        <w:rPr>
          <w:lang w:val="es-ES_tradnl"/>
        </w:rPr>
        <w:tab/>
        <w:t>Aprobación del programa y organización de los trabajos</w:t>
      </w:r>
    </w:p>
    <w:p w:rsidR="00C75FAA" w:rsidRPr="00045244" w:rsidRDefault="00C75FAA" w:rsidP="00C75FAA">
      <w:pPr>
        <w:pStyle w:val="SingleTxt"/>
        <w:spacing w:after="0" w:line="120" w:lineRule="exact"/>
        <w:rPr>
          <w:sz w:val="10"/>
          <w:lang w:val="es-ES_tradnl"/>
        </w:rPr>
      </w:pPr>
    </w:p>
    <w:p w:rsidR="00C75FAA" w:rsidRPr="00346A07" w:rsidRDefault="00622B66" w:rsidP="00C75FAA">
      <w:pPr>
        <w:pStyle w:val="SingleTxt"/>
        <w:rPr>
          <w:rFonts w:eastAsia="Calibri"/>
        </w:rPr>
      </w:pPr>
      <w:r>
        <w:rPr>
          <w:rFonts w:eastAsia="Calibri"/>
        </w:rPr>
        <w:t xml:space="preserve">Según el artículo </w:t>
      </w:r>
      <w:r w:rsidR="00C75FAA" w:rsidRPr="00346A07">
        <w:rPr>
          <w:rFonts w:eastAsia="Calibri"/>
        </w:rPr>
        <w:t>9 del reglamento, la aprobación del programa será el primer tema sustantivo del programa provisional de cada período de sesiones. En el artículo 7 se establece que el Secretario General, en consulta con la Presidencia del Comité, preparará el programa provisional de cada período de sesiones de conformidad con las disposiciones pertinentes de los artículos 17 a 22 de la Convención.</w:t>
      </w:r>
    </w:p>
    <w:p w:rsidR="00C75FAA" w:rsidRPr="00346A07" w:rsidRDefault="00C75FAA" w:rsidP="00C75FAA">
      <w:pPr>
        <w:pStyle w:val="SingleTxt"/>
        <w:rPr>
          <w:rFonts w:eastAsia="Calibri"/>
        </w:rPr>
      </w:pPr>
      <w:r w:rsidRPr="00346A07">
        <w:rPr>
          <w:rFonts w:eastAsia="Calibri"/>
        </w:rPr>
        <w:tab/>
        <w:t>En su 62º período de sesiones, el Comité aprobó el programa provisional de su 63º período de sesiones.</w:t>
      </w:r>
    </w:p>
    <w:p w:rsidR="00C75FAA" w:rsidRPr="00045244" w:rsidRDefault="00C75FAA" w:rsidP="00C75FAA">
      <w:pPr>
        <w:pStyle w:val="SingleTxt"/>
        <w:spacing w:after="0" w:line="120" w:lineRule="exact"/>
        <w:rPr>
          <w:sz w:val="10"/>
          <w:lang w:val="es-ES_tradnl"/>
        </w:rPr>
      </w:pPr>
    </w:p>
    <w:p w:rsidR="00C75FAA" w:rsidRDefault="00C75FAA" w:rsidP="00C75F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es-ES_tradnl"/>
        </w:rPr>
      </w:pPr>
      <w:r w:rsidRPr="00045244">
        <w:rPr>
          <w:lang w:val="es-ES_tradnl"/>
        </w:rPr>
        <w:tab/>
        <w:t>3.</w:t>
      </w:r>
      <w:r w:rsidRPr="00045244">
        <w:rPr>
          <w:lang w:val="es-ES_tradnl"/>
        </w:rPr>
        <w:tab/>
        <w:t>Informe de la Presidencia sobre las actividades realizadas entre los períodos de sesiones 62º y 63º del Comité</w:t>
      </w:r>
    </w:p>
    <w:p w:rsidR="00C75FAA" w:rsidRPr="00045244" w:rsidRDefault="00C75FAA" w:rsidP="00C75FAA">
      <w:pPr>
        <w:pStyle w:val="SingleTxt"/>
        <w:spacing w:after="0" w:line="120" w:lineRule="exact"/>
        <w:rPr>
          <w:sz w:val="10"/>
          <w:lang w:val="es-ES_tradnl"/>
        </w:rPr>
      </w:pPr>
    </w:p>
    <w:p w:rsidR="00C75FAA" w:rsidRPr="00346A07" w:rsidRDefault="00C75FAA" w:rsidP="00C75FAA">
      <w:pPr>
        <w:pStyle w:val="SingleTxt"/>
        <w:rPr>
          <w:rFonts w:eastAsia="Calibri"/>
        </w:rPr>
      </w:pPr>
      <w:r w:rsidRPr="00346A07">
        <w:rPr>
          <w:rFonts w:eastAsia="Calibri"/>
        </w:rPr>
        <w:t>La Presidencia informará al Comité sobre las actividades y los acontecimientos relacionados con la labor del Comité que hayan ocurrido desde el período de sesiones anterior.</w:t>
      </w:r>
    </w:p>
    <w:p w:rsidR="00C75FAA" w:rsidRPr="00045244" w:rsidRDefault="00C75FAA" w:rsidP="00C75FAA">
      <w:pPr>
        <w:pStyle w:val="SingleTxt"/>
        <w:spacing w:after="0" w:line="120" w:lineRule="exact"/>
        <w:rPr>
          <w:sz w:val="10"/>
          <w:lang w:val="es-ES_tradnl"/>
        </w:rPr>
      </w:pPr>
    </w:p>
    <w:p w:rsidR="00C75FAA" w:rsidRDefault="00C75FAA" w:rsidP="00C75F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45244">
        <w:rPr>
          <w:lang w:val="es-ES_tradnl"/>
        </w:rPr>
        <w:tab/>
      </w:r>
      <w:r w:rsidRPr="00045244">
        <w:rPr>
          <w:lang w:val="es-ES_tradnl"/>
        </w:rPr>
        <w:tab/>
        <w:t>Documentación</w:t>
      </w:r>
    </w:p>
    <w:p w:rsidR="00C75FAA" w:rsidRPr="00045244" w:rsidRDefault="00C75FAA" w:rsidP="00C75FAA">
      <w:pPr>
        <w:pStyle w:val="SingleTxt"/>
        <w:spacing w:after="0" w:line="120" w:lineRule="exact"/>
        <w:rPr>
          <w:sz w:val="10"/>
          <w:lang w:val="es-ES_tradnl"/>
        </w:rPr>
      </w:pPr>
    </w:p>
    <w:p w:rsidR="00C75FAA" w:rsidRPr="00346A07" w:rsidRDefault="00C75FAA" w:rsidP="00C75FAA">
      <w:pPr>
        <w:pStyle w:val="SingleTxt"/>
        <w:rPr>
          <w:rFonts w:eastAsia="Calibri"/>
        </w:rPr>
      </w:pPr>
      <w:r w:rsidRPr="00346A07">
        <w:rPr>
          <w:rFonts w:eastAsia="Calibri"/>
        </w:rPr>
        <w:t>Programa provisional anotado (</w:t>
      </w:r>
      <w:hyperlink r:id="rId16" w:history="1">
        <w:r w:rsidRPr="004B3030">
          <w:rPr>
            <w:rStyle w:val="Hyperlink"/>
            <w:rFonts w:eastAsia="Calibri"/>
          </w:rPr>
          <w:t>CEDAW/C/63/1</w:t>
        </w:r>
      </w:hyperlink>
      <w:r w:rsidRPr="00346A07">
        <w:rPr>
          <w:rFonts w:eastAsia="Calibri"/>
        </w:rPr>
        <w:t>)</w:t>
      </w:r>
    </w:p>
    <w:p w:rsidR="00C75FAA" w:rsidRPr="00045244" w:rsidRDefault="00C75FAA" w:rsidP="00C75FAA">
      <w:pPr>
        <w:pStyle w:val="SingleTxt"/>
        <w:spacing w:after="0" w:line="120" w:lineRule="exact"/>
        <w:rPr>
          <w:sz w:val="10"/>
          <w:lang w:val="es-ES_tradnl"/>
        </w:rPr>
      </w:pPr>
    </w:p>
    <w:p w:rsidR="00C75FAA" w:rsidRDefault="00C75FAA" w:rsidP="00C75F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045244">
        <w:rPr>
          <w:lang w:val="es-ES_tradnl"/>
        </w:rPr>
        <w:tab/>
        <w:t>4.</w:t>
      </w:r>
      <w:r w:rsidRPr="00045244">
        <w:rPr>
          <w:lang w:val="es-ES_tradnl"/>
        </w:rPr>
        <w:tab/>
        <w:t>Examen de los informes presentados por los Estados partes en virtud del artículo 18 de la Convención sobre la Eliminación de Todas las Formas de Discriminación contra la Mujer</w:t>
      </w:r>
    </w:p>
    <w:p w:rsidR="00C75FAA" w:rsidRPr="00045244" w:rsidRDefault="00C75FAA" w:rsidP="00C75FAA">
      <w:pPr>
        <w:pStyle w:val="SingleTxt"/>
        <w:spacing w:after="0" w:line="120" w:lineRule="exact"/>
        <w:rPr>
          <w:sz w:val="10"/>
          <w:lang w:val="es-ES_tradnl"/>
        </w:rPr>
      </w:pPr>
    </w:p>
    <w:p w:rsidR="00C75FAA" w:rsidRPr="00346A07" w:rsidRDefault="00C75FAA" w:rsidP="00C75FAA">
      <w:pPr>
        <w:pStyle w:val="SingleTxt"/>
        <w:rPr>
          <w:rFonts w:eastAsia="Calibri"/>
        </w:rPr>
      </w:pPr>
      <w:r w:rsidRPr="00346A07">
        <w:rPr>
          <w:rFonts w:eastAsia="Calibri"/>
        </w:rPr>
        <w:t>Según lo dispuesto en el artículo 18 de la Convención, los Estados partes presentarán al Secretario General, para que lo examine el Comité, un informe sobre las medidas legislativas, judiciales, administrativas o de otra índole que hayan adoptado para hacer efectivas las disposiciones de la Convención y sobre los progresos realizados a ese respecto. Los informes deberán presentarse en el plazo de un año a partir de la entrada en vigor de la Convención para el Estado de que se trate y en lo sucesivo por lo menos cada cuatro años y, además, cuando el Comité lo solicite.</w:t>
      </w:r>
    </w:p>
    <w:p w:rsidR="00C75FAA" w:rsidRPr="00346A07" w:rsidRDefault="00C75FAA" w:rsidP="00C75FAA">
      <w:pPr>
        <w:pStyle w:val="SingleTxt"/>
        <w:rPr>
          <w:rFonts w:eastAsia="Calibri"/>
        </w:rPr>
      </w:pPr>
      <w:r w:rsidRPr="00346A07">
        <w:rPr>
          <w:rFonts w:eastAsia="Calibri"/>
        </w:rPr>
        <w:t>En el 63º período de sesiones del Comité está previsto que se examinen los informes de los siguientes Estados partes: Haití, Islandia, el Japón, Mongolia, la República Checa, la República Unida de Tanzanía, Suecia y Vanuatu.</w:t>
      </w:r>
    </w:p>
    <w:p w:rsidR="00C75FAA" w:rsidRPr="00346A07" w:rsidRDefault="00C75FAA" w:rsidP="00C75FAA">
      <w:pPr>
        <w:pStyle w:val="SingleTxt"/>
        <w:rPr>
          <w:rFonts w:eastAsia="Calibri"/>
        </w:rPr>
      </w:pPr>
      <w:r w:rsidRPr="00346A07">
        <w:rPr>
          <w:rFonts w:eastAsia="Calibri"/>
        </w:rPr>
        <w:t>Con arreglo a lo dispuesto en el artículo 51 del reglamento, los representantes de los Estados partes asistirán a las sesiones del Comité en las que se examinarán sus respectivos informes, participarán en las deliberaciones y responderán a las preguntas relativas a dicho informe.</w:t>
      </w:r>
    </w:p>
    <w:p w:rsidR="00C75FAA" w:rsidRPr="00346A07" w:rsidRDefault="00C75FAA" w:rsidP="00C75FAA">
      <w:pPr>
        <w:pStyle w:val="SingleTxt"/>
        <w:rPr>
          <w:rFonts w:eastAsia="Calibri"/>
        </w:rPr>
      </w:pPr>
      <w:bookmarkStart w:id="2" w:name="_Hlt374115004"/>
      <w:bookmarkStart w:id="3" w:name="_Hlt374115005"/>
      <w:r w:rsidRPr="00346A07">
        <w:rPr>
          <w:rFonts w:eastAsia="Calibri"/>
        </w:rPr>
        <w:t xml:space="preserve">En el artículo 49 del reglamento se establece que, en cada período de sesiones, el Secretario General notificará al Comité los casos en que no se hayan recibido los informes solicitados a un Estado parte en virtud del artículo 18 de la Convención. El Secretario General facilitará también al Comité una lista de los informes </w:t>
      </w:r>
      <w:r w:rsidRPr="00346A07">
        <w:rPr>
          <w:rFonts w:eastAsia="Calibri"/>
        </w:rPr>
        <w:lastRenderedPageBreak/>
        <w:t>presentados por los Estados partes en la Convención, así como una lista de los informes presentados por los Estados partes en la Convención que todavía no hayan sido examinados por el Comité.</w:t>
      </w:r>
    </w:p>
    <w:bookmarkEnd w:id="2"/>
    <w:bookmarkEnd w:id="3"/>
    <w:p w:rsidR="00C75FAA" w:rsidRPr="00346A07" w:rsidRDefault="00C75FAA" w:rsidP="00C75FAA">
      <w:pPr>
        <w:pStyle w:val="SingleTxt"/>
        <w:rPr>
          <w:rFonts w:eastAsia="Calibri"/>
        </w:rPr>
      </w:pPr>
      <w:r w:rsidRPr="00346A07">
        <w:rPr>
          <w:rFonts w:eastAsia="Calibri"/>
        </w:rPr>
        <w:t>Antes de cada período de sesiones se reúne un grupo de trabajo del Comité encargado de preparar una lista de cuestiones y preguntas relativas a los informes, que se transmite a los Estados partes antes de las sesiones reservadas para el examen de los informes. El grupo de trabajo anterior al 63º período de sesiones se reunió en Ginebra del 23 al 27 de noviembre de 2015. El Comité tendrá ante sí el informe del grupo de trabajo (</w:t>
      </w:r>
      <w:hyperlink r:id="rId17" w:history="1">
        <w:r w:rsidRPr="004B3030">
          <w:rPr>
            <w:rStyle w:val="Hyperlink"/>
            <w:rFonts w:eastAsia="Calibri"/>
          </w:rPr>
          <w:t>CEDAW/C/PSWG/63/1</w:t>
        </w:r>
      </w:hyperlink>
      <w:r w:rsidRPr="00346A07">
        <w:rPr>
          <w:rFonts w:eastAsia="Calibri"/>
        </w:rPr>
        <w:t>) y las respuestas de los Estados partes a las listas de cuestiones y preguntas.</w:t>
      </w:r>
    </w:p>
    <w:p w:rsidR="00C75FAA" w:rsidRPr="00045244" w:rsidRDefault="00C75FAA" w:rsidP="00C75FAA">
      <w:pPr>
        <w:pStyle w:val="SingleTxt"/>
        <w:spacing w:after="0" w:line="120" w:lineRule="exact"/>
        <w:rPr>
          <w:sz w:val="10"/>
          <w:lang w:val="es-ES_tradnl"/>
        </w:rPr>
      </w:pPr>
    </w:p>
    <w:p w:rsidR="00C75FAA" w:rsidRDefault="00C75FAA" w:rsidP="00C75F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45244">
        <w:rPr>
          <w:lang w:val="es-ES_tradnl"/>
        </w:rPr>
        <w:tab/>
      </w:r>
      <w:r w:rsidRPr="00045244">
        <w:rPr>
          <w:lang w:val="es-ES_tradnl"/>
        </w:rPr>
        <w:tab/>
        <w:t>Documentación</w:t>
      </w:r>
    </w:p>
    <w:p w:rsidR="00C75FAA" w:rsidRPr="00045244" w:rsidRDefault="00C75FAA" w:rsidP="00C75FAA">
      <w:pPr>
        <w:pStyle w:val="SingleTxt"/>
        <w:spacing w:after="0" w:line="120" w:lineRule="exact"/>
        <w:rPr>
          <w:sz w:val="10"/>
          <w:lang w:val="es-ES_tradnl"/>
        </w:rPr>
      </w:pPr>
    </w:p>
    <w:p w:rsidR="00C75FAA" w:rsidRPr="00C75FAA" w:rsidRDefault="00C75FAA" w:rsidP="00C75FA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0"/>
        </w:rPr>
      </w:pPr>
      <w:r w:rsidRPr="00C75FAA">
        <w:rPr>
          <w:rFonts w:eastAsia="Calibri"/>
          <w:szCs w:val="20"/>
        </w:rPr>
        <w:tab/>
      </w:r>
      <w:r w:rsidRPr="00C75FAA">
        <w:rPr>
          <w:rFonts w:eastAsia="Calibri"/>
          <w:szCs w:val="20"/>
        </w:rPr>
        <w:tab/>
        <w:t>Informes</w:t>
      </w:r>
    </w:p>
    <w:p w:rsidR="00C75FAA" w:rsidRPr="006E32BA" w:rsidRDefault="00C75FAA" w:rsidP="00C75FAA">
      <w:pPr>
        <w:pStyle w:val="SingleTxt"/>
        <w:spacing w:after="0" w:line="120" w:lineRule="exact"/>
        <w:jc w:val="left"/>
        <w:rPr>
          <w:sz w:val="10"/>
          <w:lang w:val="es-ES_tradnl"/>
        </w:rPr>
      </w:pPr>
    </w:p>
    <w:p w:rsidR="00C75FAA" w:rsidRPr="00346A07" w:rsidRDefault="00C75FAA" w:rsidP="00C75FAA">
      <w:pPr>
        <w:pStyle w:val="SingleTxt"/>
        <w:jc w:val="left"/>
        <w:rPr>
          <w:rFonts w:eastAsia="Calibri"/>
        </w:rPr>
      </w:pPr>
      <w:r w:rsidRPr="00346A07">
        <w:rPr>
          <w:rFonts w:eastAsia="Calibri"/>
        </w:rPr>
        <w:t>Sexto informe periódico de la República Checa (</w:t>
      </w:r>
      <w:hyperlink r:id="rId18" w:history="1">
        <w:r w:rsidRPr="00346A07">
          <w:rPr>
            <w:rFonts w:eastAsia="Calibri"/>
            <w:color w:val="0000FF"/>
          </w:rPr>
          <w:t>CEDAW/C/CZE/6</w:t>
        </w:r>
      </w:hyperlink>
      <w:r w:rsidRPr="00346A07">
        <w:rPr>
          <w:rFonts w:eastAsia="Calibri"/>
        </w:rPr>
        <w:t>)</w:t>
      </w:r>
      <w:hyperlink r:id="rId19" w:history="1">
        <w:r w:rsidR="00622B66" w:rsidRPr="00622B66">
          <w:rPr>
            <w:rStyle w:val="Hyperlink"/>
            <w:kern w:val="0"/>
          </w:rPr>
          <w:t>http://undocs.org/CEDAW/C/CMR/4</w:t>
        </w:r>
      </w:hyperlink>
    </w:p>
    <w:p w:rsidR="00C75FAA" w:rsidRPr="00346A07" w:rsidRDefault="00C75FAA" w:rsidP="00C75FAA">
      <w:pPr>
        <w:pStyle w:val="SingleTxt"/>
        <w:jc w:val="left"/>
        <w:rPr>
          <w:rFonts w:eastAsia="Calibri"/>
        </w:rPr>
      </w:pPr>
      <w:r w:rsidRPr="00346A07">
        <w:rPr>
          <w:rFonts w:eastAsia="Calibri"/>
        </w:rPr>
        <w:t xml:space="preserve">Informes periódicos octavo y noveno combinados de Haití </w:t>
      </w:r>
      <w:r w:rsidRPr="00346A07">
        <w:rPr>
          <w:rFonts w:eastAsia="Calibri"/>
        </w:rPr>
        <w:br/>
        <w:t>(</w:t>
      </w:r>
      <w:hyperlink r:id="rId20" w:history="1">
        <w:r w:rsidRPr="00346A07">
          <w:rPr>
            <w:rFonts w:eastAsia="Calibri"/>
            <w:color w:val="0000FF"/>
          </w:rPr>
          <w:t>CEDAW/C/HTI/8-9</w:t>
        </w:r>
      </w:hyperlink>
      <w:r w:rsidRPr="00346A07">
        <w:rPr>
          <w:rFonts w:eastAsia="Calibri"/>
        </w:rPr>
        <w:t>)</w:t>
      </w:r>
    </w:p>
    <w:p w:rsidR="00C75FAA" w:rsidRPr="00346A07" w:rsidRDefault="00C75FAA" w:rsidP="00C75FAA">
      <w:pPr>
        <w:pStyle w:val="SingleTxt"/>
        <w:jc w:val="left"/>
        <w:rPr>
          <w:rFonts w:eastAsia="Calibri"/>
        </w:rPr>
      </w:pPr>
      <w:r w:rsidRPr="00346A07">
        <w:rPr>
          <w:rFonts w:eastAsia="Calibri"/>
        </w:rPr>
        <w:t>Informes periódicos séptimo y octavo combinados de Islandia (</w:t>
      </w:r>
      <w:hyperlink r:id="rId21" w:history="1">
        <w:r w:rsidRPr="00346A07">
          <w:rPr>
            <w:rFonts w:eastAsia="Calibri"/>
            <w:color w:val="0000FF"/>
          </w:rPr>
          <w:t>CEDAW/C/ISL/7-8</w:t>
        </w:r>
      </w:hyperlink>
      <w:r w:rsidRPr="00346A07">
        <w:rPr>
          <w:rFonts w:eastAsia="Calibri"/>
        </w:rPr>
        <w:t>)</w:t>
      </w:r>
    </w:p>
    <w:p w:rsidR="00C75FAA" w:rsidRPr="00346A07" w:rsidRDefault="00C75FAA" w:rsidP="00C75FAA">
      <w:pPr>
        <w:pStyle w:val="SingleTxt"/>
        <w:jc w:val="left"/>
        <w:rPr>
          <w:rFonts w:eastAsia="Calibri"/>
        </w:rPr>
      </w:pPr>
      <w:r w:rsidRPr="00346A07">
        <w:rPr>
          <w:rFonts w:eastAsia="Calibri"/>
        </w:rPr>
        <w:t>Informes periódicos séptimo y octavo combinados del Japón (</w:t>
      </w:r>
      <w:hyperlink r:id="rId22" w:history="1">
        <w:r w:rsidRPr="00346A07">
          <w:rPr>
            <w:rFonts w:eastAsia="Calibri"/>
            <w:color w:val="0000FF"/>
          </w:rPr>
          <w:t>CEDAW/C/JPN/7-8</w:t>
        </w:r>
      </w:hyperlink>
      <w:r w:rsidRPr="00346A07">
        <w:rPr>
          <w:rFonts w:eastAsia="Calibri"/>
        </w:rPr>
        <w:t>)</w:t>
      </w:r>
    </w:p>
    <w:p w:rsidR="00C75FAA" w:rsidRPr="00346A07" w:rsidRDefault="00C75FAA" w:rsidP="00C75FAA">
      <w:pPr>
        <w:pStyle w:val="SingleTxt"/>
        <w:jc w:val="left"/>
        <w:rPr>
          <w:rFonts w:eastAsia="Calibri"/>
        </w:rPr>
      </w:pPr>
      <w:r w:rsidRPr="00346A07">
        <w:rPr>
          <w:rFonts w:eastAsia="Calibri"/>
        </w:rPr>
        <w:t>Informes periódicos octavo y noveno combinados de Mongolia (</w:t>
      </w:r>
      <w:hyperlink r:id="rId23" w:history="1">
        <w:r w:rsidRPr="00346A07">
          <w:rPr>
            <w:rFonts w:eastAsia="Calibri"/>
            <w:color w:val="0000FF"/>
          </w:rPr>
          <w:t>CEDAW/C/MNG/8-9</w:t>
        </w:r>
      </w:hyperlink>
      <w:r w:rsidRPr="00346A07">
        <w:rPr>
          <w:rFonts w:eastAsia="Calibri"/>
        </w:rPr>
        <w:t>)</w:t>
      </w:r>
    </w:p>
    <w:p w:rsidR="00C75FAA" w:rsidRPr="00346A07" w:rsidRDefault="00C75FAA" w:rsidP="00C75FAA">
      <w:pPr>
        <w:pStyle w:val="SingleTxt"/>
        <w:jc w:val="left"/>
        <w:rPr>
          <w:rFonts w:eastAsia="Calibri"/>
        </w:rPr>
      </w:pPr>
      <w:r w:rsidRPr="00346A07">
        <w:rPr>
          <w:rFonts w:eastAsia="Calibri"/>
        </w:rPr>
        <w:t xml:space="preserve">Informes periódicos octavo y noveno combinados de Suecia </w:t>
      </w:r>
      <w:hyperlink r:id="rId24" w:history="1">
        <w:r w:rsidRPr="00346A07">
          <w:rPr>
            <w:rFonts w:eastAsia="Calibri"/>
          </w:rPr>
          <w:t>(</w:t>
        </w:r>
        <w:r w:rsidRPr="00346A07">
          <w:rPr>
            <w:rFonts w:eastAsia="Calibri"/>
            <w:color w:val="0000FF"/>
          </w:rPr>
          <w:t>CEDAW/C/SWE/8-9</w:t>
        </w:r>
      </w:hyperlink>
      <w:r w:rsidRPr="00346A07">
        <w:rPr>
          <w:rFonts w:eastAsia="Calibri"/>
        </w:rPr>
        <w:t>)</w:t>
      </w:r>
    </w:p>
    <w:p w:rsidR="00C75FAA" w:rsidRPr="00346A07" w:rsidRDefault="00C75FAA" w:rsidP="00C75FAA">
      <w:pPr>
        <w:pStyle w:val="SingleTxt"/>
        <w:jc w:val="left"/>
        <w:rPr>
          <w:rFonts w:eastAsia="Calibri"/>
        </w:rPr>
      </w:pPr>
      <w:r w:rsidRPr="00346A07">
        <w:rPr>
          <w:rFonts w:eastAsia="Calibri"/>
        </w:rPr>
        <w:t>Informes periódicos séptimo y octavo combinados de la República Unida de Tanzanía (</w:t>
      </w:r>
      <w:hyperlink r:id="rId25" w:history="1">
        <w:r w:rsidRPr="00346A07">
          <w:rPr>
            <w:rFonts w:eastAsia="Calibri"/>
            <w:color w:val="0000FF"/>
          </w:rPr>
          <w:t>CEDAW/C/TZA/7-8</w:t>
        </w:r>
      </w:hyperlink>
      <w:r w:rsidRPr="00346A07">
        <w:rPr>
          <w:rFonts w:eastAsia="Calibri"/>
        </w:rPr>
        <w:t>)</w:t>
      </w:r>
    </w:p>
    <w:p w:rsidR="00C75FAA" w:rsidRPr="00346A07" w:rsidRDefault="00C75FAA" w:rsidP="00C75FAA">
      <w:pPr>
        <w:pStyle w:val="SingleTxt"/>
        <w:jc w:val="left"/>
        <w:rPr>
          <w:rFonts w:eastAsia="Calibri"/>
        </w:rPr>
      </w:pPr>
      <w:r w:rsidRPr="00346A07">
        <w:rPr>
          <w:rFonts w:eastAsia="Calibri"/>
        </w:rPr>
        <w:t>Informes periódicos cuarto y quinto combinados de Vanuatu (</w:t>
      </w:r>
      <w:hyperlink r:id="rId26" w:history="1">
        <w:r w:rsidRPr="00346A07">
          <w:rPr>
            <w:rFonts w:eastAsia="Calibri"/>
            <w:color w:val="0000FF"/>
          </w:rPr>
          <w:t>CEDAW/C/VUT/4-5</w:t>
        </w:r>
      </w:hyperlink>
      <w:r w:rsidRPr="00346A07">
        <w:rPr>
          <w:rFonts w:eastAsia="Calibri"/>
        </w:rPr>
        <w:t>)</w:t>
      </w:r>
    </w:p>
    <w:p w:rsidR="00C75FAA" w:rsidRPr="006E32BA" w:rsidRDefault="00C75FAA" w:rsidP="00C75FAA">
      <w:pPr>
        <w:pStyle w:val="SingleTxt"/>
        <w:spacing w:after="0" w:line="120" w:lineRule="exact"/>
        <w:jc w:val="left"/>
        <w:rPr>
          <w:sz w:val="10"/>
          <w:lang w:val="es-ES_tradnl"/>
        </w:rPr>
      </w:pPr>
    </w:p>
    <w:p w:rsidR="00C75FAA" w:rsidRPr="00346A07" w:rsidRDefault="00C75FAA" w:rsidP="00C75FA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0"/>
        </w:rPr>
      </w:pPr>
      <w:r w:rsidRPr="00346A07">
        <w:rPr>
          <w:rFonts w:eastAsia="Calibri"/>
          <w:szCs w:val="20"/>
        </w:rPr>
        <w:tab/>
      </w:r>
      <w:r w:rsidRPr="00346A07">
        <w:rPr>
          <w:rFonts w:eastAsia="Calibri"/>
          <w:szCs w:val="20"/>
        </w:rPr>
        <w:tab/>
        <w:t>Lista de cuestiones y preguntas</w:t>
      </w:r>
    </w:p>
    <w:p w:rsidR="00C75FAA" w:rsidRPr="006E32BA" w:rsidRDefault="00C75FAA" w:rsidP="00C75FAA">
      <w:pPr>
        <w:pStyle w:val="SingleTxt"/>
        <w:spacing w:after="0" w:line="120" w:lineRule="exact"/>
        <w:jc w:val="left"/>
        <w:rPr>
          <w:sz w:val="10"/>
          <w:lang w:val="es-ES_tradnl"/>
        </w:rPr>
      </w:pPr>
    </w:p>
    <w:p w:rsidR="00C75FAA" w:rsidRPr="0049013C" w:rsidRDefault="00C75FAA" w:rsidP="00C75FAA">
      <w:pPr>
        <w:pStyle w:val="SingleTxt"/>
        <w:jc w:val="left"/>
        <w:rPr>
          <w:rFonts w:eastAsia="Calibri"/>
        </w:rPr>
      </w:pPr>
      <w:r w:rsidRPr="0049013C">
        <w:rPr>
          <w:rFonts w:eastAsia="Calibri"/>
        </w:rPr>
        <w:t>República Checa (</w:t>
      </w:r>
      <w:hyperlink r:id="rId27" w:history="1">
        <w:r w:rsidRPr="0049013C">
          <w:rPr>
            <w:rFonts w:eastAsia="Calibri"/>
            <w:color w:val="0000FF"/>
          </w:rPr>
          <w:t>CEDAW/C/CZE/Q/6</w:t>
        </w:r>
      </w:hyperlink>
      <w:hyperlink r:id="rId28" w:history="1">
        <w:r w:rsidR="00622B66" w:rsidRPr="00622B66">
          <w:rPr>
            <w:rStyle w:val="Hyperlink"/>
            <w:kern w:val="0"/>
          </w:rPr>
          <w:t>http://undocs.org/CEDAW/C/CMR/4</w:t>
        </w:r>
      </w:hyperlink>
      <w:r w:rsidRPr="0049013C">
        <w:rPr>
          <w:rFonts w:eastAsia="Calibri"/>
        </w:rPr>
        <w:t>)</w:t>
      </w:r>
    </w:p>
    <w:p w:rsidR="00C75FAA" w:rsidRPr="00C75FAA" w:rsidRDefault="00C75FAA" w:rsidP="00C75FAA">
      <w:pPr>
        <w:pStyle w:val="SingleTxt"/>
        <w:jc w:val="left"/>
        <w:rPr>
          <w:rFonts w:eastAsia="Calibri"/>
          <w:lang w:val="en-GB"/>
        </w:rPr>
      </w:pPr>
      <w:r w:rsidRPr="00C75FAA">
        <w:rPr>
          <w:rFonts w:eastAsia="Calibri"/>
          <w:lang w:val="en-GB"/>
        </w:rPr>
        <w:t>Haití (</w:t>
      </w:r>
      <w:hyperlink r:id="rId29" w:history="1">
        <w:r w:rsidRPr="00C75FAA">
          <w:rPr>
            <w:rStyle w:val="Hyperlink"/>
            <w:lang w:val="en-GB"/>
          </w:rPr>
          <w:t>CEDAW/C/HTI/Q/8-9</w:t>
        </w:r>
      </w:hyperlink>
      <w:r w:rsidRPr="00C75FAA">
        <w:rPr>
          <w:rFonts w:eastAsia="Calibri"/>
          <w:lang w:val="en-GB"/>
        </w:rPr>
        <w:t>)</w:t>
      </w:r>
    </w:p>
    <w:p w:rsidR="00C75FAA" w:rsidRPr="00660117" w:rsidRDefault="00C75FAA" w:rsidP="00C75FAA">
      <w:pPr>
        <w:pStyle w:val="SingleTxt"/>
        <w:jc w:val="left"/>
        <w:rPr>
          <w:rFonts w:eastAsia="Calibri"/>
        </w:rPr>
      </w:pPr>
      <w:r w:rsidRPr="0049013C">
        <w:rPr>
          <w:rFonts w:eastAsia="Calibri"/>
        </w:rPr>
        <w:t>Islandia (</w:t>
      </w:r>
      <w:hyperlink r:id="rId30" w:history="1">
        <w:r w:rsidRPr="0049013C">
          <w:rPr>
            <w:rStyle w:val="Hyperlink"/>
          </w:rPr>
          <w:t>CEDAW/C/ISL/Q/7-8</w:t>
        </w:r>
      </w:hyperlink>
      <w:r w:rsidRPr="0049013C">
        <w:rPr>
          <w:rFonts w:eastAsia="Calibri"/>
        </w:rPr>
        <w:t>)</w:t>
      </w:r>
    </w:p>
    <w:p w:rsidR="00C75FAA" w:rsidRPr="00346A07" w:rsidRDefault="00C75FAA" w:rsidP="00C75FAA">
      <w:pPr>
        <w:pStyle w:val="SingleTxt"/>
        <w:jc w:val="left"/>
        <w:rPr>
          <w:rFonts w:eastAsia="Calibri"/>
        </w:rPr>
      </w:pPr>
      <w:r w:rsidRPr="00660117">
        <w:rPr>
          <w:rFonts w:eastAsia="Calibri"/>
        </w:rPr>
        <w:t>Japón (</w:t>
      </w:r>
      <w:hyperlink r:id="rId31" w:history="1">
        <w:r w:rsidRPr="00660117">
          <w:rPr>
            <w:rFonts w:eastAsia="Calibri"/>
            <w:color w:val="0000FF"/>
          </w:rPr>
          <w:t>CEDAW/C/JPN/Q/7-8</w:t>
        </w:r>
      </w:hyperlink>
      <w:r w:rsidRPr="00660117">
        <w:rPr>
          <w:rFonts w:eastAsia="Calibri"/>
        </w:rPr>
        <w:t>)</w:t>
      </w:r>
    </w:p>
    <w:p w:rsidR="00C75FAA" w:rsidRPr="00346A07" w:rsidRDefault="00C75FAA" w:rsidP="00C75FAA">
      <w:pPr>
        <w:pStyle w:val="SingleTxt"/>
        <w:jc w:val="left"/>
        <w:rPr>
          <w:rFonts w:eastAsia="Calibri"/>
          <w:lang w:val="it-IT"/>
        </w:rPr>
      </w:pPr>
      <w:r w:rsidRPr="00346A07">
        <w:rPr>
          <w:rFonts w:eastAsia="Calibri"/>
          <w:lang w:val="it-IT"/>
        </w:rPr>
        <w:t>Mongolia (</w:t>
      </w:r>
      <w:hyperlink r:id="rId32" w:history="1">
        <w:r w:rsidRPr="00346A07">
          <w:rPr>
            <w:rFonts w:eastAsia="Calibri"/>
            <w:color w:val="0000FF"/>
            <w:lang w:val="it-IT"/>
          </w:rPr>
          <w:t>CEDAW/C/MNG/Q/8-9</w:t>
        </w:r>
      </w:hyperlink>
      <w:r w:rsidRPr="00346A07">
        <w:rPr>
          <w:rFonts w:eastAsia="Calibri"/>
          <w:lang w:val="it-IT"/>
        </w:rPr>
        <w:t>)</w:t>
      </w:r>
    </w:p>
    <w:p w:rsidR="00C75FAA" w:rsidRPr="0049013C" w:rsidRDefault="00C75FAA" w:rsidP="00C75FAA">
      <w:pPr>
        <w:pStyle w:val="SingleTxt"/>
        <w:jc w:val="left"/>
        <w:rPr>
          <w:rFonts w:eastAsia="Calibri"/>
        </w:rPr>
      </w:pPr>
      <w:r w:rsidRPr="0049013C">
        <w:rPr>
          <w:rFonts w:eastAsia="Calibri"/>
        </w:rPr>
        <w:t>Suecia (</w:t>
      </w:r>
      <w:hyperlink r:id="rId33" w:history="1">
        <w:r w:rsidRPr="0049013C">
          <w:rPr>
            <w:rStyle w:val="Hyperlink"/>
          </w:rPr>
          <w:t>CEDAW/C/SWE/Q/8-9</w:t>
        </w:r>
      </w:hyperlink>
      <w:r w:rsidRPr="0049013C">
        <w:rPr>
          <w:rFonts w:eastAsia="Calibri"/>
        </w:rPr>
        <w:t>)</w:t>
      </w:r>
    </w:p>
    <w:p w:rsidR="00C75FAA" w:rsidRPr="0049013C" w:rsidRDefault="00C75FAA" w:rsidP="00C75FAA">
      <w:pPr>
        <w:pStyle w:val="SingleTxt"/>
        <w:rPr>
          <w:rFonts w:eastAsia="Calibri"/>
        </w:rPr>
      </w:pPr>
      <w:r w:rsidRPr="0049013C">
        <w:rPr>
          <w:rFonts w:eastAsia="Calibri"/>
        </w:rPr>
        <w:t>República Unida de Tanzanía (</w:t>
      </w:r>
      <w:hyperlink r:id="rId34" w:history="1">
        <w:r w:rsidRPr="0049013C">
          <w:rPr>
            <w:rStyle w:val="Hyperlink"/>
          </w:rPr>
          <w:t>CEDAW/C/TZA/Q/7-8</w:t>
        </w:r>
      </w:hyperlink>
      <w:r w:rsidRPr="0049013C">
        <w:rPr>
          <w:rFonts w:eastAsia="Calibri"/>
        </w:rPr>
        <w:t>)</w:t>
      </w:r>
    </w:p>
    <w:p w:rsidR="00C75FAA" w:rsidRPr="0049013C" w:rsidRDefault="00C75FAA" w:rsidP="00C75FAA">
      <w:pPr>
        <w:pStyle w:val="SingleTxt"/>
        <w:rPr>
          <w:rFonts w:eastAsia="Calibri"/>
        </w:rPr>
      </w:pPr>
      <w:r w:rsidRPr="0049013C">
        <w:rPr>
          <w:rFonts w:eastAsia="Calibri"/>
        </w:rPr>
        <w:t>Vanuatu (</w:t>
      </w:r>
      <w:hyperlink r:id="rId35" w:history="1">
        <w:r w:rsidRPr="0049013C">
          <w:rPr>
            <w:rFonts w:eastAsia="Calibri"/>
            <w:color w:val="0000FF"/>
          </w:rPr>
          <w:t>CEDAW/C/VUT/Q/4-5</w:t>
        </w:r>
      </w:hyperlink>
      <w:r w:rsidRPr="0049013C">
        <w:rPr>
          <w:rFonts w:eastAsia="Calibri"/>
        </w:rPr>
        <w:t>)</w:t>
      </w:r>
    </w:p>
    <w:p w:rsidR="00C75FAA" w:rsidRPr="0049013C" w:rsidRDefault="00C75FAA" w:rsidP="00C75FAA">
      <w:pPr>
        <w:pStyle w:val="SingleTxt"/>
        <w:spacing w:after="0" w:line="120" w:lineRule="exact"/>
        <w:rPr>
          <w:sz w:val="10"/>
          <w:lang w:val="es-ES_tradnl"/>
        </w:rPr>
      </w:pPr>
    </w:p>
    <w:p w:rsidR="00C75FAA" w:rsidRPr="0049013C" w:rsidRDefault="00C75FAA" w:rsidP="00C75FA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0"/>
        </w:rPr>
      </w:pPr>
      <w:r w:rsidRPr="00C75FAA">
        <w:rPr>
          <w:rFonts w:eastAsia="Calibri"/>
          <w:szCs w:val="20"/>
        </w:rPr>
        <w:tab/>
      </w:r>
      <w:r w:rsidRPr="00C75FAA">
        <w:rPr>
          <w:rFonts w:eastAsia="Calibri"/>
          <w:szCs w:val="20"/>
        </w:rPr>
        <w:tab/>
      </w:r>
      <w:r w:rsidRPr="0049013C">
        <w:rPr>
          <w:rFonts w:eastAsia="Calibri"/>
          <w:szCs w:val="20"/>
        </w:rPr>
        <w:t>Respuestas a la lista de cuestiones y preguntas</w:t>
      </w:r>
    </w:p>
    <w:p w:rsidR="00C75FAA" w:rsidRPr="0049013C" w:rsidRDefault="00C75FAA" w:rsidP="00C75FAA">
      <w:pPr>
        <w:pStyle w:val="SingleTxt"/>
        <w:spacing w:after="0" w:line="120" w:lineRule="exact"/>
        <w:rPr>
          <w:sz w:val="10"/>
          <w:lang w:val="es-ES_tradnl"/>
        </w:rPr>
      </w:pPr>
    </w:p>
    <w:p w:rsidR="00C75FAA" w:rsidRPr="0049013C" w:rsidRDefault="00C75FAA" w:rsidP="00C75FAA">
      <w:pPr>
        <w:pStyle w:val="SingleTxt"/>
        <w:rPr>
          <w:rFonts w:eastAsia="Calibri"/>
        </w:rPr>
      </w:pPr>
      <w:r w:rsidRPr="0049013C">
        <w:rPr>
          <w:rFonts w:eastAsia="Calibri"/>
        </w:rPr>
        <w:t>República Checa (</w:t>
      </w:r>
      <w:hyperlink r:id="rId36" w:history="1">
        <w:r w:rsidRPr="0049013C">
          <w:rPr>
            <w:rStyle w:val="Hyperlink"/>
            <w:rFonts w:eastAsia="Calibri"/>
          </w:rPr>
          <w:t>CEDAW/C/CZE/Q/6/Add.1</w:t>
        </w:r>
      </w:hyperlink>
      <w:r w:rsidRPr="0049013C">
        <w:rPr>
          <w:rFonts w:eastAsia="Calibri"/>
        </w:rPr>
        <w:t>)</w:t>
      </w:r>
    </w:p>
    <w:p w:rsidR="00C75FAA" w:rsidRPr="00C75FAA" w:rsidRDefault="00C75FAA" w:rsidP="00C75FAA">
      <w:pPr>
        <w:pStyle w:val="SingleTxt"/>
        <w:rPr>
          <w:rFonts w:eastAsia="Calibri"/>
          <w:lang w:val="en-GB"/>
        </w:rPr>
      </w:pPr>
      <w:r w:rsidRPr="00C75FAA">
        <w:rPr>
          <w:rFonts w:eastAsia="Calibri"/>
          <w:lang w:val="en-GB"/>
        </w:rPr>
        <w:t>Haití (</w:t>
      </w:r>
      <w:hyperlink r:id="rId37" w:history="1">
        <w:r w:rsidRPr="00C75FAA">
          <w:rPr>
            <w:rFonts w:eastAsia="Calibri"/>
            <w:color w:val="0000FF"/>
            <w:lang w:val="en-GB"/>
          </w:rPr>
          <w:t>CEDAW/C/HTI/Q/8-9/Add.1</w:t>
        </w:r>
      </w:hyperlink>
      <w:r w:rsidRPr="00C75FAA">
        <w:rPr>
          <w:rFonts w:eastAsia="Calibri"/>
          <w:lang w:val="en-GB"/>
        </w:rPr>
        <w:t>)</w:t>
      </w:r>
    </w:p>
    <w:p w:rsidR="00C75FAA" w:rsidRPr="00C75FAA" w:rsidRDefault="00C75FAA" w:rsidP="00C75FAA">
      <w:pPr>
        <w:pStyle w:val="SingleTxt"/>
        <w:rPr>
          <w:rFonts w:eastAsia="Calibri"/>
          <w:lang w:val="en-GB"/>
        </w:rPr>
      </w:pPr>
      <w:r w:rsidRPr="00C75FAA">
        <w:rPr>
          <w:rFonts w:eastAsia="Calibri"/>
          <w:lang w:val="en-GB"/>
        </w:rPr>
        <w:t>Islandia (</w:t>
      </w:r>
      <w:hyperlink r:id="rId38" w:history="1">
        <w:r w:rsidRPr="00C75FAA">
          <w:rPr>
            <w:rStyle w:val="Hyperlink"/>
            <w:lang w:val="en-GB"/>
          </w:rPr>
          <w:t>CEDAW/C/ISL/Q/7-8/Add.1</w:t>
        </w:r>
      </w:hyperlink>
      <w:r w:rsidRPr="00C75FAA">
        <w:rPr>
          <w:rFonts w:eastAsia="Calibri"/>
          <w:lang w:val="en-GB"/>
        </w:rPr>
        <w:t>)</w:t>
      </w:r>
    </w:p>
    <w:p w:rsidR="00C75FAA" w:rsidRPr="00C75FAA" w:rsidRDefault="00C75FAA" w:rsidP="00C75FAA">
      <w:pPr>
        <w:pStyle w:val="SingleTxt"/>
        <w:rPr>
          <w:rFonts w:eastAsia="Calibri"/>
          <w:lang w:val="en-GB"/>
        </w:rPr>
      </w:pPr>
      <w:r w:rsidRPr="00C75FAA">
        <w:rPr>
          <w:rFonts w:eastAsia="Calibri"/>
          <w:lang w:val="en-GB"/>
        </w:rPr>
        <w:t>Japón (</w:t>
      </w:r>
      <w:hyperlink r:id="rId39" w:history="1">
        <w:r w:rsidRPr="00C75FAA">
          <w:rPr>
            <w:rStyle w:val="Hyperlink"/>
            <w:lang w:val="en-GB"/>
          </w:rPr>
          <w:t>CEDAW/C/JPN/Q/7-8/Add.1</w:t>
        </w:r>
      </w:hyperlink>
      <w:r w:rsidRPr="00C75FAA">
        <w:rPr>
          <w:rFonts w:eastAsia="Calibri"/>
          <w:lang w:val="en-GB"/>
        </w:rPr>
        <w:t>)</w:t>
      </w:r>
    </w:p>
    <w:p w:rsidR="00C75FAA" w:rsidRPr="0049013C" w:rsidRDefault="00C75FAA" w:rsidP="00C75FAA">
      <w:pPr>
        <w:pStyle w:val="SingleTxt"/>
        <w:rPr>
          <w:rFonts w:eastAsia="Calibri"/>
          <w:lang w:val="it-IT"/>
        </w:rPr>
      </w:pPr>
      <w:r w:rsidRPr="0049013C">
        <w:rPr>
          <w:rFonts w:eastAsia="Calibri"/>
          <w:lang w:val="it-IT"/>
        </w:rPr>
        <w:t>Mongolia (</w:t>
      </w:r>
      <w:hyperlink r:id="rId40" w:history="1">
        <w:r w:rsidRPr="00C75FAA">
          <w:rPr>
            <w:rStyle w:val="Hyperlink"/>
            <w:lang w:val="en-GB"/>
          </w:rPr>
          <w:t>CEDAW/C/MNG/Q/8-9/Add.1</w:t>
        </w:r>
      </w:hyperlink>
      <w:r w:rsidRPr="0049013C">
        <w:rPr>
          <w:rFonts w:eastAsia="Calibri"/>
          <w:lang w:val="it-IT"/>
        </w:rPr>
        <w:t>)</w:t>
      </w:r>
    </w:p>
    <w:p w:rsidR="00C75FAA" w:rsidRPr="00C75FAA" w:rsidRDefault="00C75FAA" w:rsidP="00C75FAA">
      <w:pPr>
        <w:pStyle w:val="SingleTxt"/>
        <w:rPr>
          <w:rFonts w:eastAsia="Calibri"/>
        </w:rPr>
      </w:pPr>
      <w:r w:rsidRPr="00C75FAA">
        <w:rPr>
          <w:rFonts w:eastAsia="Calibri"/>
        </w:rPr>
        <w:t>Suecia (</w:t>
      </w:r>
      <w:hyperlink r:id="rId41" w:history="1">
        <w:r w:rsidRPr="0049013C">
          <w:rPr>
            <w:rStyle w:val="Hyperlink"/>
          </w:rPr>
          <w:t>CEDAW/C/SWE/Q/8-9/Add.1</w:t>
        </w:r>
      </w:hyperlink>
      <w:r w:rsidRPr="00C75FAA">
        <w:rPr>
          <w:rFonts w:eastAsia="Calibri"/>
        </w:rPr>
        <w:t>)</w:t>
      </w:r>
    </w:p>
    <w:p w:rsidR="00C75FAA" w:rsidRPr="0049013C" w:rsidRDefault="00C75FAA" w:rsidP="00C75FAA">
      <w:pPr>
        <w:pStyle w:val="SingleTxt"/>
        <w:rPr>
          <w:rFonts w:eastAsia="Calibri"/>
        </w:rPr>
      </w:pPr>
      <w:r w:rsidRPr="0049013C">
        <w:rPr>
          <w:rFonts w:eastAsia="Calibri"/>
        </w:rPr>
        <w:t>República Unida de Tanzanía (</w:t>
      </w:r>
      <w:hyperlink r:id="rId42" w:history="1">
        <w:r w:rsidRPr="0049013C">
          <w:rPr>
            <w:rStyle w:val="Hyperlink"/>
          </w:rPr>
          <w:t>CEDAW/C/TZA/Q/7-8/Add.1</w:t>
        </w:r>
      </w:hyperlink>
      <w:r w:rsidRPr="0049013C">
        <w:rPr>
          <w:rFonts w:eastAsia="Calibri"/>
        </w:rPr>
        <w:t>)</w:t>
      </w:r>
    </w:p>
    <w:p w:rsidR="00C75FAA" w:rsidRPr="00C75FAA" w:rsidRDefault="00C75FAA" w:rsidP="00C75FAA">
      <w:pPr>
        <w:pStyle w:val="SingleTxt"/>
        <w:rPr>
          <w:rFonts w:eastAsia="Calibri"/>
          <w:lang w:val="en-GB"/>
        </w:rPr>
      </w:pPr>
      <w:r w:rsidRPr="00C75FAA">
        <w:rPr>
          <w:rFonts w:eastAsia="Calibri"/>
          <w:lang w:val="en-GB"/>
        </w:rPr>
        <w:t>Vanuatu (</w:t>
      </w:r>
      <w:hyperlink r:id="rId43" w:history="1">
        <w:r w:rsidRPr="00C75FAA">
          <w:rPr>
            <w:rStyle w:val="Hyperlink"/>
            <w:rFonts w:eastAsia="Calibri"/>
            <w:lang w:val="en-GB"/>
          </w:rPr>
          <w:t>CEDAW/C/VUT/Q/4-5/Add.1</w:t>
        </w:r>
      </w:hyperlink>
      <w:r w:rsidRPr="00C75FAA">
        <w:rPr>
          <w:rFonts w:eastAsia="Calibri"/>
          <w:lang w:val="en-GB"/>
        </w:rPr>
        <w:t>)</w:t>
      </w:r>
    </w:p>
    <w:p w:rsidR="00C75FAA" w:rsidRPr="00C75FAA" w:rsidRDefault="00C75FAA" w:rsidP="00C75FAA">
      <w:pPr>
        <w:pStyle w:val="SingleTxt"/>
        <w:spacing w:after="0" w:line="120" w:lineRule="exact"/>
        <w:rPr>
          <w:sz w:val="10"/>
          <w:lang w:val="en-GB"/>
        </w:rPr>
      </w:pPr>
    </w:p>
    <w:p w:rsidR="00C75FAA" w:rsidRDefault="00C75FAA" w:rsidP="00622B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C75FAA">
        <w:rPr>
          <w:lang w:val="en-GB"/>
        </w:rPr>
        <w:tab/>
      </w:r>
      <w:r w:rsidRPr="00045244">
        <w:rPr>
          <w:lang w:val="es-ES_tradnl"/>
        </w:rPr>
        <w:t>5.</w:t>
      </w:r>
      <w:r w:rsidRPr="00045244">
        <w:rPr>
          <w:lang w:val="es-ES_tradnl"/>
        </w:rPr>
        <w:tab/>
        <w:t>Seguimiento del examen de los informes presentados por los Estados partes en virtud del artículo 18 de la Convención</w:t>
      </w:r>
    </w:p>
    <w:p w:rsidR="00C75FAA" w:rsidRPr="00D5400D" w:rsidRDefault="00C75FAA" w:rsidP="00C75FAA">
      <w:pPr>
        <w:pStyle w:val="SingleTxt"/>
        <w:spacing w:after="0" w:line="120" w:lineRule="exact"/>
        <w:rPr>
          <w:sz w:val="10"/>
          <w:lang w:val="es-ES_tradnl"/>
        </w:rPr>
      </w:pPr>
    </w:p>
    <w:p w:rsidR="00C75FAA" w:rsidRPr="00346A07" w:rsidRDefault="00C75FAA" w:rsidP="00C75FAA">
      <w:pPr>
        <w:pStyle w:val="SingleTxt"/>
        <w:rPr>
          <w:rFonts w:eastAsia="Calibri"/>
        </w:rPr>
      </w:pPr>
      <w:r w:rsidRPr="00346A07">
        <w:rPr>
          <w:rFonts w:eastAsia="Calibri"/>
        </w:rPr>
        <w:t>El Comité examinará cuestiones relacionadas con el seguimiento de las observaciones finales.</w:t>
      </w:r>
    </w:p>
    <w:p w:rsidR="00C75FAA" w:rsidRPr="00D5400D" w:rsidRDefault="00C75FAA" w:rsidP="00C75FAA">
      <w:pPr>
        <w:pStyle w:val="SingleTxt"/>
        <w:spacing w:after="0" w:line="120" w:lineRule="exact"/>
        <w:rPr>
          <w:sz w:val="10"/>
          <w:lang w:val="es-ES_tradnl"/>
        </w:rPr>
      </w:pPr>
    </w:p>
    <w:p w:rsidR="00C75FAA" w:rsidRPr="00045244" w:rsidRDefault="00C75FAA" w:rsidP="00C75F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45244">
        <w:rPr>
          <w:lang w:val="es-ES_tradnl"/>
        </w:rPr>
        <w:tab/>
        <w:t>6.</w:t>
      </w:r>
      <w:r w:rsidRPr="00045244">
        <w:rPr>
          <w:lang w:val="es-ES_tradnl"/>
        </w:rPr>
        <w:tab/>
        <w:t>Aplicación de los artículos 21 y 22 de la Convención</w:t>
      </w:r>
    </w:p>
    <w:p w:rsidR="00C75FAA" w:rsidRPr="00D5400D" w:rsidRDefault="00C75FAA" w:rsidP="00C75FAA">
      <w:pPr>
        <w:pStyle w:val="SingleTxt"/>
        <w:spacing w:after="0" w:line="120" w:lineRule="exact"/>
        <w:rPr>
          <w:sz w:val="10"/>
          <w:lang w:val="es-ES_tradnl"/>
        </w:rPr>
      </w:pPr>
    </w:p>
    <w:p w:rsidR="00C75FAA" w:rsidRPr="00346A07" w:rsidRDefault="00C75FAA" w:rsidP="00C75FAA">
      <w:pPr>
        <w:pStyle w:val="SingleTxt"/>
        <w:rPr>
          <w:rFonts w:eastAsia="Calibri"/>
        </w:rPr>
      </w:pPr>
      <w:r w:rsidRPr="00346A07">
        <w:rPr>
          <w:rFonts w:eastAsia="Calibri"/>
        </w:rPr>
        <w:t>En el artículo 21 de la Convención se establece que el Comité podrá formular sugerencias y recomendaciones de carácter general basadas en el examen de los informes y de los datos transmitidos por los Estados partes, y que esas sugerencias y recomendaciones de carácter general se incluirán en el informe del Comité a la Asamblea General junto con las observaciones, si las hubiere, de los Estados partes.</w:t>
      </w:r>
    </w:p>
    <w:p w:rsidR="00C75FAA" w:rsidRPr="00346A07" w:rsidRDefault="00C75FAA" w:rsidP="00C75FAA">
      <w:pPr>
        <w:pStyle w:val="SingleTxt"/>
        <w:rPr>
          <w:rFonts w:eastAsia="Calibri"/>
        </w:rPr>
      </w:pPr>
      <w:r w:rsidRPr="00346A07">
        <w:rPr>
          <w:rFonts w:eastAsia="Calibri"/>
        </w:rPr>
        <w:t>Según el artículo 22 de la Convención, los organismos especializados tendrán derecho a estar representados en el examen de la aplicación de las disposiciones de la Convención que correspondan a sus ámbitos de competencia y el Comité podrá invitar a esos organismos a que presenten informes sobre la aplicación de la Convención en dichos ámbitos.</w:t>
      </w:r>
    </w:p>
    <w:p w:rsidR="00C75FAA" w:rsidRPr="00D5400D" w:rsidRDefault="00C75FAA" w:rsidP="00C75FAA">
      <w:pPr>
        <w:pStyle w:val="SingleTxt"/>
        <w:spacing w:after="0" w:line="120" w:lineRule="exact"/>
        <w:rPr>
          <w:sz w:val="10"/>
          <w:lang w:val="es-ES_tradnl"/>
        </w:rPr>
      </w:pPr>
    </w:p>
    <w:p w:rsidR="00C75FAA" w:rsidRPr="00045244" w:rsidRDefault="00C75FAA" w:rsidP="00C75F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45244">
        <w:rPr>
          <w:lang w:val="es-ES_tradnl"/>
        </w:rPr>
        <w:tab/>
      </w:r>
      <w:r w:rsidRPr="00045244">
        <w:rPr>
          <w:lang w:val="es-ES_tradnl"/>
        </w:rPr>
        <w:tab/>
        <w:t>Documentación</w:t>
      </w:r>
    </w:p>
    <w:p w:rsidR="00C75FAA" w:rsidRPr="00D5400D" w:rsidRDefault="00C75FAA" w:rsidP="00C75FAA">
      <w:pPr>
        <w:pStyle w:val="SingleTxt"/>
        <w:spacing w:after="0" w:line="120" w:lineRule="exact"/>
        <w:rPr>
          <w:sz w:val="10"/>
          <w:lang w:val="es-ES_tradnl"/>
        </w:rPr>
      </w:pPr>
    </w:p>
    <w:p w:rsidR="00C75FAA" w:rsidRPr="00346A07" w:rsidRDefault="00C75FAA" w:rsidP="00C75FAA">
      <w:pPr>
        <w:pStyle w:val="SingleTxt"/>
        <w:rPr>
          <w:rFonts w:eastAsia="Calibri"/>
        </w:rPr>
      </w:pPr>
      <w:r w:rsidRPr="00346A07">
        <w:rPr>
          <w:rFonts w:eastAsia="Calibri"/>
        </w:rPr>
        <w:t>Informes presentados por los organismos especializados de las Naciones Unidas sobre la aplicación de la Convención en sus ámbitos de competencia.</w:t>
      </w:r>
    </w:p>
    <w:p w:rsidR="00C75FAA" w:rsidRPr="00D5400D" w:rsidRDefault="00C75FAA" w:rsidP="00C75FAA">
      <w:pPr>
        <w:pStyle w:val="SingleTxt"/>
        <w:spacing w:after="0" w:line="120" w:lineRule="exact"/>
        <w:rPr>
          <w:sz w:val="10"/>
          <w:lang w:val="es-ES_tradnl"/>
        </w:rPr>
      </w:pPr>
    </w:p>
    <w:p w:rsidR="00C75FAA" w:rsidRDefault="00C75FAA" w:rsidP="00C75F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45244">
        <w:rPr>
          <w:lang w:val="es-ES_tradnl"/>
        </w:rPr>
        <w:tab/>
        <w:t>7.</w:t>
      </w:r>
      <w:r w:rsidRPr="00045244">
        <w:rPr>
          <w:lang w:val="es-ES_tradnl"/>
        </w:rPr>
        <w:tab/>
        <w:t>Medios de agilizar los trabajos del Comité</w:t>
      </w:r>
    </w:p>
    <w:p w:rsidR="00C75FAA" w:rsidRPr="00D5400D" w:rsidRDefault="00C75FAA" w:rsidP="00C75FAA">
      <w:pPr>
        <w:pStyle w:val="SingleTxt"/>
        <w:spacing w:after="0" w:line="120" w:lineRule="exact"/>
        <w:rPr>
          <w:sz w:val="10"/>
          <w:lang w:val="es-ES_tradnl"/>
        </w:rPr>
      </w:pPr>
    </w:p>
    <w:p w:rsidR="00C75FAA" w:rsidRPr="00346A07" w:rsidRDefault="00C75FAA" w:rsidP="00C75FAA">
      <w:pPr>
        <w:pStyle w:val="SingleTxt"/>
        <w:rPr>
          <w:rFonts w:eastAsia="Calibri"/>
        </w:rPr>
      </w:pPr>
      <w:r w:rsidRPr="00346A07">
        <w:rPr>
          <w:rFonts w:eastAsia="Calibri"/>
        </w:rPr>
        <w:t>El Comité examinará cuestiones relacionadas con los métodos de trabajo.</w:t>
      </w:r>
    </w:p>
    <w:p w:rsidR="00C75FAA" w:rsidRPr="00D5400D" w:rsidRDefault="00C75FAA" w:rsidP="00C75FAA">
      <w:pPr>
        <w:pStyle w:val="SingleTxt"/>
        <w:spacing w:after="0" w:line="120" w:lineRule="exact"/>
        <w:rPr>
          <w:sz w:val="10"/>
          <w:lang w:val="es-ES_tradnl"/>
        </w:rPr>
      </w:pPr>
    </w:p>
    <w:p w:rsidR="00C75FAA" w:rsidRDefault="00C75FAA" w:rsidP="00622B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r w:rsidRPr="00045244">
        <w:rPr>
          <w:lang w:val="es-ES_tradnl"/>
        </w:rPr>
        <w:tab/>
        <w:t>8.</w:t>
      </w:r>
      <w:r w:rsidRPr="00045244">
        <w:rPr>
          <w:lang w:val="es-ES_tradnl"/>
        </w:rPr>
        <w:tab/>
        <w:t>Actividades del Comité en relación con el Protocolo Facultativo de la Convención</w:t>
      </w:r>
    </w:p>
    <w:p w:rsidR="00C75FAA" w:rsidRPr="00D5400D" w:rsidRDefault="00C75FAA" w:rsidP="00C75FAA">
      <w:pPr>
        <w:pStyle w:val="SingleTxt"/>
        <w:spacing w:after="0" w:line="120" w:lineRule="exact"/>
        <w:rPr>
          <w:sz w:val="10"/>
          <w:lang w:val="es-ES_tradnl"/>
        </w:rPr>
      </w:pPr>
    </w:p>
    <w:p w:rsidR="00C75FAA" w:rsidRPr="00346A07" w:rsidRDefault="00C75FAA" w:rsidP="00C75FAA">
      <w:pPr>
        <w:pStyle w:val="SingleTxt"/>
        <w:rPr>
          <w:rFonts w:eastAsia="Calibri"/>
        </w:rPr>
      </w:pPr>
      <w:r w:rsidRPr="00346A07">
        <w:rPr>
          <w:rFonts w:eastAsia="Calibri"/>
        </w:rPr>
        <w:t>El 34º período de sesiones del Grupo de Trabajo sobre las Comunicaciones Presentadas en virtud del Protocolo Facultativo se celebrará del 9 al 12 de febrero de 2016 en Ginebra.</w:t>
      </w:r>
    </w:p>
    <w:p w:rsidR="00C75FAA" w:rsidRPr="00346A07" w:rsidRDefault="00C75FAA" w:rsidP="00C75FAA">
      <w:pPr>
        <w:pStyle w:val="SingleTxt"/>
        <w:rPr>
          <w:rFonts w:eastAsia="Calibri"/>
        </w:rPr>
      </w:pPr>
      <w:r w:rsidRPr="00346A07">
        <w:rPr>
          <w:rFonts w:eastAsia="Calibri"/>
        </w:rPr>
        <w:t>El tercer período de sesiones del Grupo de Trabajo sobre Investigaciones con arreglo al Protocolo Facultativo se celebrará el 11 y 12 de febrero de 2016 en Ginebra.</w:t>
      </w:r>
    </w:p>
    <w:p w:rsidR="00C75FAA" w:rsidRPr="00346A07" w:rsidRDefault="00C75FAA" w:rsidP="00C75FAA">
      <w:pPr>
        <w:pStyle w:val="SingleTxt"/>
        <w:rPr>
          <w:rFonts w:eastAsia="Calibri"/>
        </w:rPr>
      </w:pPr>
      <w:r w:rsidRPr="00346A07">
        <w:rPr>
          <w:rFonts w:eastAsia="Calibri"/>
        </w:rPr>
        <w:t>En su 63º período de sesiones, el Comité continuará cumpliendo su mandato en virtud de los artículos 2 y 8 del Protocolo Facultativo de la Convención.</w:t>
      </w:r>
    </w:p>
    <w:p w:rsidR="00C75FAA" w:rsidRPr="00D5400D" w:rsidRDefault="00C75FAA" w:rsidP="00C75FAA">
      <w:pPr>
        <w:pStyle w:val="SingleTxt"/>
        <w:spacing w:after="0" w:line="120" w:lineRule="exact"/>
        <w:rPr>
          <w:sz w:val="10"/>
          <w:lang w:val="es-ES_tradnl"/>
        </w:rPr>
      </w:pPr>
    </w:p>
    <w:p w:rsidR="00C75FAA" w:rsidRDefault="00C75FAA" w:rsidP="00AC16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45244">
        <w:rPr>
          <w:lang w:val="es-ES_tradnl"/>
        </w:rPr>
        <w:tab/>
        <w:t>9.</w:t>
      </w:r>
      <w:r w:rsidRPr="00045244">
        <w:rPr>
          <w:lang w:val="es-ES_tradnl"/>
        </w:rPr>
        <w:tab/>
        <w:t>Programa provisional del 64º período de sesiones del Comité</w:t>
      </w:r>
    </w:p>
    <w:p w:rsidR="00C75FAA" w:rsidRPr="00D5400D" w:rsidRDefault="00C75FAA" w:rsidP="00AC1644">
      <w:pPr>
        <w:pStyle w:val="SingleTxt"/>
        <w:keepNext/>
        <w:keepLines/>
        <w:spacing w:after="0" w:line="120" w:lineRule="exact"/>
        <w:rPr>
          <w:sz w:val="10"/>
          <w:lang w:val="es-ES_tradnl"/>
        </w:rPr>
      </w:pPr>
    </w:p>
    <w:p w:rsidR="00C75FAA" w:rsidRDefault="00C75FAA" w:rsidP="00AC16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45244">
        <w:rPr>
          <w:lang w:val="es-ES_tradnl"/>
        </w:rPr>
        <w:tab/>
      </w:r>
      <w:r w:rsidRPr="00045244">
        <w:rPr>
          <w:lang w:val="es-ES_tradnl"/>
        </w:rPr>
        <w:tab/>
        <w:t>Documentación</w:t>
      </w:r>
    </w:p>
    <w:p w:rsidR="00C75FAA" w:rsidRPr="00D5400D" w:rsidRDefault="00C75FAA" w:rsidP="00AC1644">
      <w:pPr>
        <w:pStyle w:val="SingleTxt"/>
        <w:keepNext/>
        <w:keepLines/>
        <w:spacing w:after="0" w:line="120" w:lineRule="exact"/>
        <w:rPr>
          <w:sz w:val="10"/>
          <w:lang w:val="es-ES_tradnl"/>
        </w:rPr>
      </w:pPr>
    </w:p>
    <w:p w:rsidR="00C75FAA" w:rsidRPr="00346A07" w:rsidRDefault="00C75FAA" w:rsidP="00AC1644">
      <w:pPr>
        <w:pStyle w:val="SingleTxt"/>
        <w:keepNext/>
        <w:keepLines/>
        <w:rPr>
          <w:rFonts w:eastAsia="Calibri"/>
        </w:rPr>
      </w:pPr>
      <w:r w:rsidRPr="00346A07">
        <w:rPr>
          <w:rFonts w:eastAsia="Calibri"/>
        </w:rPr>
        <w:t>Programa provisional anotado del 64º período de sesiones (</w:t>
      </w:r>
      <w:hyperlink r:id="rId44" w:history="1">
        <w:r w:rsidRPr="001E769F">
          <w:rPr>
            <w:rStyle w:val="Hyperlink"/>
          </w:rPr>
          <w:t>CEDAW/C/64/1</w:t>
        </w:r>
      </w:hyperlink>
      <w:r w:rsidRPr="00346A07">
        <w:rPr>
          <w:rFonts w:eastAsia="Calibri"/>
        </w:rPr>
        <w:t>)</w:t>
      </w:r>
    </w:p>
    <w:p w:rsidR="00C75FAA" w:rsidRPr="00D5400D" w:rsidRDefault="00C75FAA" w:rsidP="00AC1644">
      <w:pPr>
        <w:pStyle w:val="SingleTxt"/>
        <w:keepNext/>
        <w:keepLines/>
        <w:spacing w:after="0" w:line="120" w:lineRule="exact"/>
        <w:rPr>
          <w:sz w:val="10"/>
          <w:lang w:val="es-ES_tradnl"/>
        </w:rPr>
      </w:pPr>
    </w:p>
    <w:p w:rsidR="00C75FAA" w:rsidRDefault="00C75FAA" w:rsidP="00C75F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400D">
        <w:rPr>
          <w:lang w:val="es-ES_tradnl"/>
        </w:rPr>
        <w:tab/>
        <w:t>10.</w:t>
      </w:r>
      <w:r w:rsidRPr="00D5400D">
        <w:rPr>
          <w:lang w:val="es-ES_tradnl"/>
        </w:rPr>
        <w:tab/>
        <w:t>Aprobación del informe del Comité sobre su 63º período de sesiones</w:t>
      </w:r>
    </w:p>
    <w:p w:rsidR="00C75FAA" w:rsidRPr="00D5400D" w:rsidRDefault="00C75FAA" w:rsidP="00C75FAA">
      <w:pPr>
        <w:pStyle w:val="SingleTxt"/>
        <w:spacing w:after="0" w:line="120" w:lineRule="exact"/>
        <w:rPr>
          <w:sz w:val="10"/>
          <w:lang w:val="es-ES_tradnl"/>
        </w:rPr>
      </w:pPr>
    </w:p>
    <w:p w:rsidR="00C75FAA" w:rsidRPr="00D5400D" w:rsidRDefault="00C75FAA" w:rsidP="00C75FAA">
      <w:pPr>
        <w:pStyle w:val="SingleTxt"/>
      </w:pPr>
      <w:r>
        <w:rPr>
          <w:noProof/>
          <w:w w:val="100"/>
          <w:lang w:val="en-US"/>
        </w:rPr>
        <mc:AlternateContent>
          <mc:Choice Requires="wps">
            <w:drawing>
              <wp:anchor distT="4294967295" distB="4294967295"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p w:rsidR="00C75FAA" w:rsidRPr="00C75FAA" w:rsidRDefault="00C75FAA" w:rsidP="00AC2DB0"/>
    <w:sectPr w:rsidR="00C75FAA" w:rsidRPr="00C75FAA" w:rsidSect="000269D2">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9T17:39:00Z" w:initials="Start">
    <w:p w:rsidR="00AC2DB0" w:rsidRPr="00C75FAA" w:rsidRDefault="00AC2DB0">
      <w:pPr>
        <w:pStyle w:val="CommentText"/>
        <w:rPr>
          <w:lang w:val="en-GB"/>
        </w:rPr>
      </w:pPr>
      <w:r>
        <w:fldChar w:fldCharType="begin"/>
      </w:r>
      <w:r w:rsidRPr="00C75FAA">
        <w:rPr>
          <w:rStyle w:val="CommentReference"/>
          <w:lang w:val="en-GB"/>
        </w:rPr>
        <w:instrText xml:space="preserve"> </w:instrText>
      </w:r>
      <w:r w:rsidRPr="00C75FAA">
        <w:rPr>
          <w:lang w:val="en-GB"/>
        </w:rPr>
        <w:instrText>PAGE \# "'Page: '#'</w:instrText>
      </w:r>
      <w:r w:rsidRPr="00C75FAA">
        <w:rPr>
          <w:lang w:val="en-GB"/>
        </w:rPr>
        <w:br/>
        <w:instrText>'"</w:instrText>
      </w:r>
      <w:r w:rsidRPr="00C75FAA">
        <w:rPr>
          <w:rStyle w:val="CommentReference"/>
          <w:lang w:val="en-GB"/>
        </w:rPr>
        <w:instrText xml:space="preserve"> </w:instrText>
      </w:r>
      <w:r>
        <w:fldChar w:fldCharType="end"/>
      </w:r>
      <w:r>
        <w:rPr>
          <w:rStyle w:val="CommentReference"/>
        </w:rPr>
        <w:annotationRef/>
      </w:r>
      <w:r w:rsidRPr="00C75FAA">
        <w:rPr>
          <w:lang w:val="en-GB"/>
        </w:rPr>
        <w:t>&lt;&lt;ODS JOB NO&gt;&gt;N1540669S&lt;&lt;ODS JOB NO&gt;&gt;</w:t>
      </w:r>
    </w:p>
    <w:p w:rsidR="00AC2DB0" w:rsidRPr="00C75FAA" w:rsidRDefault="00AC2DB0">
      <w:pPr>
        <w:pStyle w:val="CommentText"/>
        <w:rPr>
          <w:lang w:val="en-GB"/>
        </w:rPr>
      </w:pPr>
      <w:r w:rsidRPr="00C75FAA">
        <w:rPr>
          <w:lang w:val="en-GB"/>
        </w:rPr>
        <w:t>&lt;&lt;ODS DOC SYMBOL1&gt;&gt;CEDAW/C/63/1&lt;&lt;ODS DOC SYMBOL1&gt;&gt;</w:t>
      </w:r>
    </w:p>
    <w:p w:rsidR="00AC2DB0" w:rsidRPr="00C75FAA" w:rsidRDefault="00AC2DB0">
      <w:pPr>
        <w:pStyle w:val="CommentText"/>
        <w:rPr>
          <w:lang w:val="en-GB"/>
        </w:rPr>
      </w:pPr>
      <w:r w:rsidRPr="00C75FAA">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FEA" w:rsidRDefault="00633FEA" w:rsidP="008F1E8F">
      <w:pPr>
        <w:spacing w:line="240" w:lineRule="auto"/>
      </w:pPr>
      <w:r>
        <w:separator/>
      </w:r>
    </w:p>
  </w:endnote>
  <w:endnote w:type="continuationSeparator" w:id="0">
    <w:p w:rsidR="00633FEA" w:rsidRDefault="00633FEA"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C2DB0" w:rsidTr="00AC2DB0">
      <w:tc>
        <w:tcPr>
          <w:tcW w:w="5028" w:type="dxa"/>
          <w:shd w:val="clear" w:color="auto" w:fill="auto"/>
        </w:tcPr>
        <w:p w:rsidR="00AC2DB0" w:rsidRPr="00AC2DB0" w:rsidRDefault="00AC2DB0" w:rsidP="00AC2DB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634B4">
            <w:rPr>
              <w:b w:val="0"/>
              <w:color w:val="000000"/>
              <w:w w:val="103"/>
              <w:sz w:val="14"/>
            </w:rPr>
            <w:t>15-21541</w:t>
          </w:r>
          <w:r>
            <w:rPr>
              <w:b w:val="0"/>
              <w:color w:val="000000"/>
              <w:w w:val="103"/>
              <w:sz w:val="14"/>
            </w:rPr>
            <w:fldChar w:fldCharType="end"/>
          </w:r>
        </w:p>
      </w:tc>
      <w:tc>
        <w:tcPr>
          <w:tcW w:w="5028" w:type="dxa"/>
          <w:shd w:val="clear" w:color="auto" w:fill="auto"/>
        </w:tcPr>
        <w:p w:rsidR="00AC2DB0" w:rsidRPr="00AC2DB0" w:rsidRDefault="00AC2DB0" w:rsidP="00AC2DB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C049E">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C049E">
            <w:rPr>
              <w:color w:val="000000"/>
              <w:w w:val="103"/>
            </w:rPr>
            <w:t>2</w:t>
          </w:r>
          <w:r>
            <w:rPr>
              <w:color w:val="000000"/>
              <w:w w:val="103"/>
            </w:rPr>
            <w:fldChar w:fldCharType="end"/>
          </w:r>
        </w:p>
      </w:tc>
    </w:tr>
  </w:tbl>
  <w:p w:rsidR="00AC2DB0" w:rsidRPr="00AC2DB0" w:rsidRDefault="00AC2DB0" w:rsidP="00AC2D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C2DB0" w:rsidTr="00AC2DB0">
      <w:tc>
        <w:tcPr>
          <w:tcW w:w="5028" w:type="dxa"/>
          <w:shd w:val="clear" w:color="auto" w:fill="auto"/>
        </w:tcPr>
        <w:p w:rsidR="00AC2DB0" w:rsidRPr="00AC2DB0" w:rsidRDefault="00AC2DB0" w:rsidP="00AC2DB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634B4">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634B4">
            <w:rPr>
              <w:color w:val="000000"/>
              <w:w w:val="103"/>
            </w:rPr>
            <w:t>5</w:t>
          </w:r>
          <w:r>
            <w:rPr>
              <w:color w:val="000000"/>
              <w:w w:val="103"/>
            </w:rPr>
            <w:fldChar w:fldCharType="end"/>
          </w:r>
        </w:p>
      </w:tc>
      <w:tc>
        <w:tcPr>
          <w:tcW w:w="5028" w:type="dxa"/>
          <w:shd w:val="clear" w:color="auto" w:fill="auto"/>
        </w:tcPr>
        <w:p w:rsidR="00AC2DB0" w:rsidRPr="00AC2DB0" w:rsidRDefault="00AC2DB0" w:rsidP="00AC2DB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634B4">
            <w:rPr>
              <w:b w:val="0"/>
              <w:color w:val="000000"/>
              <w:w w:val="103"/>
              <w:sz w:val="14"/>
            </w:rPr>
            <w:t>15-21541</w:t>
          </w:r>
          <w:r>
            <w:rPr>
              <w:b w:val="0"/>
              <w:color w:val="000000"/>
              <w:w w:val="103"/>
              <w:sz w:val="14"/>
            </w:rPr>
            <w:fldChar w:fldCharType="end"/>
          </w:r>
        </w:p>
      </w:tc>
    </w:tr>
  </w:tbl>
  <w:p w:rsidR="00AC2DB0" w:rsidRPr="00AC2DB0" w:rsidRDefault="00AC2DB0" w:rsidP="00AC2D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DB0" w:rsidRPr="00AC2DB0" w:rsidRDefault="00AC2DB0" w:rsidP="00AC2DB0">
    <w:pPr>
      <w:pStyle w:val="Footer"/>
      <w:spacing w:line="120" w:lineRule="exact"/>
      <w:rPr>
        <w:b w:val="0"/>
        <w:sz w:val="10"/>
      </w:rPr>
    </w:pPr>
    <w:r>
      <w:rPr>
        <w:b w:val="0"/>
        <w:sz w:val="10"/>
      </w:rPr>
      <w:drawing>
        <wp:anchor distT="0" distB="0" distL="114300" distR="114300" simplePos="0" relativeHeight="251658240" behindDoc="0" locked="0" layoutInCell="1" allowOverlap="1" wp14:anchorId="6D198E75" wp14:editId="087B1857">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63/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3/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AC2DB0" w:rsidTr="00AC2DB0">
      <w:tc>
        <w:tcPr>
          <w:tcW w:w="3830" w:type="dxa"/>
        </w:tcPr>
        <w:p w:rsidR="00AC2DB0" w:rsidRDefault="00C75FAA" w:rsidP="00AC2DB0">
          <w:pPr>
            <w:pStyle w:val="ReleaseDate"/>
          </w:pPr>
          <w:r>
            <w:t>15-21541X</w:t>
          </w:r>
          <w:r w:rsidR="00AC2DB0">
            <w:t xml:space="preserve"> (S)    </w:t>
          </w:r>
        </w:p>
        <w:p w:rsidR="00AC2DB0" w:rsidRPr="00AC2DB0" w:rsidRDefault="00AC2DB0" w:rsidP="00AC2DB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*1521541*</w:t>
          </w:r>
        </w:p>
      </w:tc>
      <w:tc>
        <w:tcPr>
          <w:tcW w:w="5028" w:type="dxa"/>
        </w:tcPr>
        <w:p w:rsidR="00AC2DB0" w:rsidRDefault="00AC2DB0" w:rsidP="00AC2DB0">
          <w:pPr>
            <w:pStyle w:val="Footer"/>
            <w:jc w:val="right"/>
            <w:rPr>
              <w:b w:val="0"/>
              <w:sz w:val="20"/>
            </w:rPr>
          </w:pPr>
          <w:r>
            <w:rPr>
              <w:b w:val="0"/>
              <w:sz w:val="20"/>
            </w:rPr>
            <w:drawing>
              <wp:inline distT="0" distB="0" distL="0" distR="0" wp14:anchorId="7561826A" wp14:editId="38D5214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C2DB0" w:rsidRPr="00AC2DB0" w:rsidRDefault="00AC2DB0" w:rsidP="00AC2DB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FEA" w:rsidRDefault="00633FEA" w:rsidP="008F1E8F">
      <w:pPr>
        <w:spacing w:line="240" w:lineRule="auto"/>
      </w:pPr>
      <w:r>
        <w:separator/>
      </w:r>
    </w:p>
  </w:footnote>
  <w:footnote w:type="continuationSeparator" w:id="0">
    <w:p w:rsidR="00633FEA" w:rsidRDefault="00633FEA"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C2DB0" w:rsidTr="00AC2DB0">
      <w:trPr>
        <w:trHeight w:hRule="exact" w:val="864"/>
      </w:trPr>
      <w:tc>
        <w:tcPr>
          <w:tcW w:w="4838" w:type="dxa"/>
          <w:shd w:val="clear" w:color="auto" w:fill="auto"/>
          <w:vAlign w:val="bottom"/>
        </w:tcPr>
        <w:p w:rsidR="00AC2DB0" w:rsidRPr="00AC2DB0" w:rsidRDefault="00AC2DB0" w:rsidP="00AC2DB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34B4">
            <w:rPr>
              <w:b/>
              <w:color w:val="000000"/>
            </w:rPr>
            <w:t>CEDAW/C/63/1</w:t>
          </w:r>
          <w:r>
            <w:rPr>
              <w:b/>
              <w:color w:val="000000"/>
            </w:rPr>
            <w:fldChar w:fldCharType="end"/>
          </w:r>
        </w:p>
      </w:tc>
      <w:tc>
        <w:tcPr>
          <w:tcW w:w="5028" w:type="dxa"/>
          <w:shd w:val="clear" w:color="auto" w:fill="auto"/>
          <w:vAlign w:val="bottom"/>
        </w:tcPr>
        <w:p w:rsidR="00AC2DB0" w:rsidRDefault="00AC2DB0" w:rsidP="00AC2DB0">
          <w:pPr>
            <w:pStyle w:val="Header"/>
          </w:pPr>
        </w:p>
      </w:tc>
    </w:tr>
  </w:tbl>
  <w:p w:rsidR="00AC2DB0" w:rsidRPr="00AC2DB0" w:rsidRDefault="00AC2DB0" w:rsidP="00AC2DB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C2DB0" w:rsidTr="00AC2DB0">
      <w:trPr>
        <w:trHeight w:hRule="exact" w:val="864"/>
      </w:trPr>
      <w:tc>
        <w:tcPr>
          <w:tcW w:w="4838" w:type="dxa"/>
          <w:shd w:val="clear" w:color="auto" w:fill="auto"/>
          <w:vAlign w:val="bottom"/>
        </w:tcPr>
        <w:p w:rsidR="00AC2DB0" w:rsidRDefault="00AC2DB0" w:rsidP="00AC2DB0">
          <w:pPr>
            <w:pStyle w:val="Header"/>
          </w:pPr>
        </w:p>
      </w:tc>
      <w:tc>
        <w:tcPr>
          <w:tcW w:w="5028" w:type="dxa"/>
          <w:shd w:val="clear" w:color="auto" w:fill="auto"/>
          <w:vAlign w:val="bottom"/>
        </w:tcPr>
        <w:p w:rsidR="00AC2DB0" w:rsidRPr="00AC2DB0" w:rsidRDefault="00AC2DB0" w:rsidP="00AC2DB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34B4">
            <w:rPr>
              <w:b/>
              <w:color w:val="000000"/>
            </w:rPr>
            <w:t>CEDAW/C/63/1</w:t>
          </w:r>
          <w:r>
            <w:rPr>
              <w:b/>
              <w:color w:val="000000"/>
            </w:rPr>
            <w:fldChar w:fldCharType="end"/>
          </w:r>
        </w:p>
      </w:tc>
    </w:tr>
  </w:tbl>
  <w:p w:rsidR="00AC2DB0" w:rsidRPr="00AC2DB0" w:rsidRDefault="00AC2DB0" w:rsidP="00AC2DB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C2DB0" w:rsidTr="00AC2DB0">
      <w:trPr>
        <w:gridAfter w:val="1"/>
        <w:wAfter w:w="12" w:type="dxa"/>
        <w:trHeight w:hRule="exact" w:val="864"/>
      </w:trPr>
      <w:tc>
        <w:tcPr>
          <w:tcW w:w="1267" w:type="dxa"/>
          <w:tcBorders>
            <w:bottom w:val="single" w:sz="4" w:space="0" w:color="auto"/>
          </w:tcBorders>
          <w:shd w:val="clear" w:color="auto" w:fill="auto"/>
          <w:vAlign w:val="bottom"/>
        </w:tcPr>
        <w:p w:rsidR="00AC2DB0" w:rsidRDefault="00AC2DB0" w:rsidP="00AC2DB0">
          <w:pPr>
            <w:pStyle w:val="Header"/>
            <w:spacing w:after="120"/>
          </w:pPr>
        </w:p>
      </w:tc>
      <w:tc>
        <w:tcPr>
          <w:tcW w:w="2059" w:type="dxa"/>
          <w:tcBorders>
            <w:bottom w:val="single" w:sz="4" w:space="0" w:color="auto"/>
          </w:tcBorders>
          <w:shd w:val="clear" w:color="auto" w:fill="auto"/>
          <w:vAlign w:val="bottom"/>
        </w:tcPr>
        <w:p w:rsidR="00AC2DB0" w:rsidRPr="00AC2DB0" w:rsidRDefault="00AC2DB0" w:rsidP="00AC2DB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C2DB0" w:rsidRDefault="00AC2DB0" w:rsidP="00AC2DB0">
          <w:pPr>
            <w:pStyle w:val="Header"/>
            <w:spacing w:after="120"/>
          </w:pPr>
        </w:p>
      </w:tc>
      <w:tc>
        <w:tcPr>
          <w:tcW w:w="6523" w:type="dxa"/>
          <w:gridSpan w:val="3"/>
          <w:tcBorders>
            <w:bottom w:val="single" w:sz="4" w:space="0" w:color="auto"/>
          </w:tcBorders>
          <w:shd w:val="clear" w:color="auto" w:fill="auto"/>
          <w:vAlign w:val="bottom"/>
        </w:tcPr>
        <w:p w:rsidR="00AC2DB0" w:rsidRPr="00AC2DB0" w:rsidRDefault="00AC2DB0" w:rsidP="00AC2DB0">
          <w:pPr>
            <w:spacing w:after="80" w:line="240" w:lineRule="auto"/>
            <w:jc w:val="right"/>
            <w:rPr>
              <w:position w:val="-4"/>
            </w:rPr>
          </w:pPr>
          <w:r>
            <w:rPr>
              <w:position w:val="-4"/>
              <w:sz w:val="40"/>
            </w:rPr>
            <w:t>CEDAW</w:t>
          </w:r>
          <w:r>
            <w:rPr>
              <w:position w:val="-4"/>
            </w:rPr>
            <w:t>/C/63/1</w:t>
          </w:r>
        </w:p>
      </w:tc>
    </w:tr>
    <w:tr w:rsidR="00AC2DB0" w:rsidRPr="00AC2DB0" w:rsidTr="00AC2DB0">
      <w:trPr>
        <w:trHeight w:hRule="exact" w:val="2880"/>
      </w:trPr>
      <w:tc>
        <w:tcPr>
          <w:tcW w:w="1267" w:type="dxa"/>
          <w:tcBorders>
            <w:top w:val="single" w:sz="4" w:space="0" w:color="auto"/>
            <w:bottom w:val="single" w:sz="12" w:space="0" w:color="auto"/>
          </w:tcBorders>
          <w:shd w:val="clear" w:color="auto" w:fill="auto"/>
        </w:tcPr>
        <w:p w:rsidR="00AC2DB0" w:rsidRPr="00AC2DB0" w:rsidRDefault="00AC2DB0" w:rsidP="00AC2DB0">
          <w:pPr>
            <w:pStyle w:val="Header"/>
            <w:spacing w:before="120"/>
            <w:jc w:val="center"/>
          </w:pPr>
          <w:r>
            <w:t xml:space="preserve"> </w:t>
          </w:r>
          <w:r>
            <w:drawing>
              <wp:inline distT="0" distB="0" distL="0" distR="0" wp14:anchorId="0B88B63B" wp14:editId="16C3B59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C2DB0" w:rsidRPr="00AC2DB0" w:rsidRDefault="00AC2DB0" w:rsidP="00AC2DB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AC2DB0" w:rsidRPr="00C75FAA" w:rsidRDefault="00AC2DB0" w:rsidP="00AC2DB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C2DB0" w:rsidRDefault="00AC2DB0" w:rsidP="00AC2DB0">
          <w:pPr>
            <w:pStyle w:val="Distribution"/>
            <w:spacing w:before="240"/>
          </w:pPr>
          <w:r>
            <w:t>Distr. general</w:t>
          </w:r>
        </w:p>
        <w:p w:rsidR="00AC2DB0" w:rsidRDefault="00AC2DB0" w:rsidP="00AC2DB0">
          <w:pPr>
            <w:pStyle w:val="Publication"/>
          </w:pPr>
          <w:r>
            <w:t>7 de diciembre de 2015</w:t>
          </w:r>
        </w:p>
        <w:p w:rsidR="00AC2DB0" w:rsidRDefault="00AC2DB0" w:rsidP="00AC2DB0">
          <w:r>
            <w:t>Español</w:t>
          </w:r>
        </w:p>
        <w:p w:rsidR="00AC2DB0" w:rsidRDefault="00AC2DB0" w:rsidP="00AC2DB0">
          <w:pPr>
            <w:pStyle w:val="Original"/>
          </w:pPr>
          <w:r>
            <w:t>Original: inglés</w:t>
          </w:r>
        </w:p>
        <w:p w:rsidR="00AC2DB0" w:rsidRPr="00AC2DB0" w:rsidRDefault="00AC2DB0" w:rsidP="00AC2DB0"/>
      </w:tc>
    </w:tr>
  </w:tbl>
  <w:p w:rsidR="00AC2DB0" w:rsidRPr="00AC2DB0" w:rsidRDefault="00AC2DB0" w:rsidP="00AC2DB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9E95104"/>
    <w:multiLevelType w:val="hybridMultilevel"/>
    <w:tmpl w:val="BCB2AE5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1541*"/>
    <w:docVar w:name="CreationDt" w:val="29/12/2015 5:39: PM"/>
    <w:docVar w:name="DocCategory" w:val="Doc"/>
    <w:docVar w:name="DocType" w:val="Final"/>
    <w:docVar w:name="DutyStation" w:val="New York"/>
    <w:docVar w:name="FooterJN" w:val="15-21541"/>
    <w:docVar w:name="jobn" w:val="15-21541 (S)"/>
    <w:docVar w:name="jobnDT" w:val="15-21541 (S)   291215"/>
    <w:docVar w:name="jobnDTDT" w:val="15-21541 (S)   291215   291215"/>
    <w:docVar w:name="JobNo" w:val="1521541S"/>
    <w:docVar w:name="JobNo2" w:val="15406695:39: PM"/>
    <w:docVar w:name="LocalDrive" w:val="0"/>
    <w:docVar w:name="OandT" w:val="lvr"/>
    <w:docVar w:name="PaperSize" w:val="Letter"/>
    <w:docVar w:name="sss1" w:val="CEDAW/C/63/1"/>
    <w:docVar w:name="sss2" w:val="-"/>
    <w:docVar w:name="Symbol1" w:val="CEDAW/C/63/1"/>
    <w:docVar w:name="Symbol2" w:val="-"/>
  </w:docVars>
  <w:rsids>
    <w:rsidRoot w:val="00633FEA"/>
    <w:rsid w:val="0000104C"/>
    <w:rsid w:val="00001CC4"/>
    <w:rsid w:val="000025A2"/>
    <w:rsid w:val="00002B98"/>
    <w:rsid w:val="0000430F"/>
    <w:rsid w:val="00005995"/>
    <w:rsid w:val="0001023A"/>
    <w:rsid w:val="00011ED9"/>
    <w:rsid w:val="000145F1"/>
    <w:rsid w:val="0001710A"/>
    <w:rsid w:val="00023216"/>
    <w:rsid w:val="00025DF8"/>
    <w:rsid w:val="00026454"/>
    <w:rsid w:val="000269D2"/>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CB"/>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1D7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2B66"/>
    <w:rsid w:val="00626449"/>
    <w:rsid w:val="00630C54"/>
    <w:rsid w:val="00630CE1"/>
    <w:rsid w:val="00631114"/>
    <w:rsid w:val="00633FEA"/>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049E"/>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4B4"/>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1644"/>
    <w:rsid w:val="00AC2DB0"/>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75FAA"/>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0C33"/>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97B63"/>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C2DB0"/>
    <w:pPr>
      <w:spacing w:line="240" w:lineRule="auto"/>
    </w:pPr>
    <w:rPr>
      <w:szCs w:val="20"/>
    </w:rPr>
  </w:style>
  <w:style w:type="character" w:customStyle="1" w:styleId="CommentTextChar">
    <w:name w:val="Comment Text Char"/>
    <w:basedOn w:val="DefaultParagraphFont"/>
    <w:link w:val="CommentText"/>
    <w:rsid w:val="00AC2DB0"/>
    <w:rPr>
      <w:rFonts w:ascii="Times New Roman" w:hAnsi="Times New Roman"/>
      <w:spacing w:val="4"/>
      <w:w w:val="103"/>
      <w:lang w:val="es-ES"/>
    </w:rPr>
  </w:style>
  <w:style w:type="paragraph" w:styleId="CommentSubject">
    <w:name w:val="annotation subject"/>
    <w:basedOn w:val="CommentText"/>
    <w:next w:val="CommentText"/>
    <w:link w:val="CommentSubjectChar"/>
    <w:rsid w:val="00AC2DB0"/>
    <w:rPr>
      <w:b/>
      <w:bCs/>
    </w:rPr>
  </w:style>
  <w:style w:type="character" w:customStyle="1" w:styleId="CommentSubjectChar">
    <w:name w:val="Comment Subject Char"/>
    <w:basedOn w:val="CommentTextChar"/>
    <w:link w:val="CommentSubject"/>
    <w:rsid w:val="00AC2DB0"/>
    <w:rPr>
      <w:rFonts w:ascii="Times New Roman" w:hAnsi="Times New Roman"/>
      <w:b/>
      <w:bCs/>
      <w:spacing w:val="4"/>
      <w:w w:val="103"/>
      <w:lang w:val="es-ES"/>
    </w:rPr>
  </w:style>
  <w:style w:type="character" w:styleId="Hyperlink">
    <w:name w:val="Hyperlink"/>
    <w:rsid w:val="00C75FAA"/>
    <w:rPr>
      <w:rFonts w:cs="Times New Roman"/>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C2DB0"/>
    <w:pPr>
      <w:spacing w:line="240" w:lineRule="auto"/>
    </w:pPr>
    <w:rPr>
      <w:szCs w:val="20"/>
    </w:rPr>
  </w:style>
  <w:style w:type="character" w:customStyle="1" w:styleId="CommentTextChar">
    <w:name w:val="Comment Text Char"/>
    <w:basedOn w:val="DefaultParagraphFont"/>
    <w:link w:val="CommentText"/>
    <w:rsid w:val="00AC2DB0"/>
    <w:rPr>
      <w:rFonts w:ascii="Times New Roman" w:hAnsi="Times New Roman"/>
      <w:spacing w:val="4"/>
      <w:w w:val="103"/>
      <w:lang w:val="es-ES"/>
    </w:rPr>
  </w:style>
  <w:style w:type="paragraph" w:styleId="CommentSubject">
    <w:name w:val="annotation subject"/>
    <w:basedOn w:val="CommentText"/>
    <w:next w:val="CommentText"/>
    <w:link w:val="CommentSubjectChar"/>
    <w:rsid w:val="00AC2DB0"/>
    <w:rPr>
      <w:b/>
      <w:bCs/>
    </w:rPr>
  </w:style>
  <w:style w:type="character" w:customStyle="1" w:styleId="CommentSubjectChar">
    <w:name w:val="Comment Subject Char"/>
    <w:basedOn w:val="CommentTextChar"/>
    <w:link w:val="CommentSubject"/>
    <w:rsid w:val="00AC2DB0"/>
    <w:rPr>
      <w:rFonts w:ascii="Times New Roman" w:hAnsi="Times New Roman"/>
      <w:b/>
      <w:bCs/>
      <w:spacing w:val="4"/>
      <w:w w:val="103"/>
      <w:lang w:val="es-ES"/>
    </w:rPr>
  </w:style>
  <w:style w:type="character" w:styleId="Hyperlink">
    <w:name w:val="Hyperlink"/>
    <w:rsid w:val="00C75FAA"/>
    <w:rPr>
      <w:rFonts w:cs="Times New Roman"/>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CEDAW/C/CZE/6&amp;referer=/english/&amp;Lang=S" TargetMode="External"/><Relationship Id="rId26" Type="http://schemas.openxmlformats.org/officeDocument/2006/relationships/hyperlink" Target="http://www.un.org/ga/search/view_doc.asp?symbol=CEDAW/C/VUT/4-5&amp;referer=/english/&amp;Lang=S" TargetMode="External"/><Relationship Id="rId39" Type="http://schemas.openxmlformats.org/officeDocument/2006/relationships/hyperlink" Target="http://undocs.org/CEDAW/C/JPN/Q/7" TargetMode="External"/><Relationship Id="rId3" Type="http://schemas.openxmlformats.org/officeDocument/2006/relationships/styles" Target="styles.xml"/><Relationship Id="rId21" Type="http://schemas.openxmlformats.org/officeDocument/2006/relationships/hyperlink" Target="http://www.un.org/ga/search/view_doc.asp?symbol=CEDAW/C/ISL/7-8&amp;referer=/english/&amp;Lang=S" TargetMode="External"/><Relationship Id="rId34" Type="http://schemas.openxmlformats.org/officeDocument/2006/relationships/hyperlink" Target="http://undocs.org/CEDAW/C/TZA/Q/7" TargetMode="External"/><Relationship Id="rId42" Type="http://schemas.openxmlformats.org/officeDocument/2006/relationships/hyperlink" Target="http://undocs.org/CEDAW/C/TZA/Q/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EDAW/C/PSWG/63/1&amp;referer=/english/&amp;Lang=S" TargetMode="External"/><Relationship Id="rId25" Type="http://schemas.openxmlformats.org/officeDocument/2006/relationships/hyperlink" Target="http://www.un.org/ga/search/view_doc.asp?symbol=CEDAW/C/TZA/7-8&amp;referer=/english/&amp;Lang=S" TargetMode="External"/><Relationship Id="rId33" Type="http://schemas.openxmlformats.org/officeDocument/2006/relationships/hyperlink" Target="http://undocs.org/CEDAW/C/SWE/Q/8" TargetMode="External"/><Relationship Id="rId38" Type="http://schemas.openxmlformats.org/officeDocument/2006/relationships/hyperlink" Target="http://undocs.org/CEDAW/C/ISL/Q/7"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CEDAW/C/63/1" TargetMode="External"/><Relationship Id="rId20" Type="http://schemas.openxmlformats.org/officeDocument/2006/relationships/hyperlink" Target="http://www.un.org/ga/search/view_doc.asp?symbol=CEDAW/C/HTI/8-9&amp;referer=/english/&amp;Lang=S" TargetMode="External"/><Relationship Id="rId29" Type="http://schemas.openxmlformats.org/officeDocument/2006/relationships/hyperlink" Target="http://www.un.org/ga/search/view_doc.asp?symbol=CEDAW/C/HTI/Q/8-9&amp;referer=/english/&amp;Lang=S" TargetMode="External"/><Relationship Id="rId41" Type="http://schemas.openxmlformats.org/officeDocument/2006/relationships/hyperlink" Target="http://undocs.org/CEDAW/C/SWE/Q/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un.org/ga/search/view_doc.asp?symbol=CEDAW/C/SWE/8-9&amp;referer=/english/&amp;Lang=S" TargetMode="External"/><Relationship Id="rId32" Type="http://schemas.openxmlformats.org/officeDocument/2006/relationships/hyperlink" Target="http://www.un.org/ga/search/view_doc.asp?symbol=CEDAW/C/MNG/Q/8-9&amp;referer=/english/&amp;Lang=S" TargetMode="External"/><Relationship Id="rId37" Type="http://schemas.openxmlformats.org/officeDocument/2006/relationships/hyperlink" Target="http://www.un.org/ga/search/view_doc.asp?symbol=CEDAW/C/HTI/Q/8-9/Add.1&amp;referer=/english/&amp;Lang=S" TargetMode="External"/><Relationship Id="rId40" Type="http://schemas.openxmlformats.org/officeDocument/2006/relationships/hyperlink" Target="http://undocs.org/CEDAW/C/MNG/Q/8"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www.un.org/ga/search/view_doc.asp?symbol=CEDAW/C/MNG/8-9&amp;referer=/english/&amp;Lang=S" TargetMode="External"/><Relationship Id="rId28" Type="http://schemas.openxmlformats.org/officeDocument/2006/relationships/hyperlink" Target="http://undocs.org/CEDAW/C/CMR/4" TargetMode="External"/><Relationship Id="rId36" Type="http://schemas.openxmlformats.org/officeDocument/2006/relationships/hyperlink" Target="file:///\\unhq.un.org\shared\spanish_wp\MSWDocs\_3Final\CEDAW\C\CZE\Q\6\Add.1" TargetMode="External"/><Relationship Id="rId10" Type="http://schemas.openxmlformats.org/officeDocument/2006/relationships/header" Target="header2.xml"/><Relationship Id="rId19" Type="http://schemas.openxmlformats.org/officeDocument/2006/relationships/hyperlink" Target="http://undocs.org/CEDAW/C/CMR/4" TargetMode="External"/><Relationship Id="rId31" Type="http://schemas.openxmlformats.org/officeDocument/2006/relationships/hyperlink" Target="http://www.un.org/ga/search/view_doc.asp?symbol=CEDAW/C/JPN/Q/7-8&amp;referer=/english/&amp;Lang=S" TargetMode="External"/><Relationship Id="rId44" Type="http://schemas.openxmlformats.org/officeDocument/2006/relationships/hyperlink" Target="http://undocs.org/CEDAW/C/64/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un.org/ga/search/view_doc.asp?symbol=CEDAW/C/JPN/7-8&amp;referer=/english/&amp;Lang=S" TargetMode="External"/><Relationship Id="rId27" Type="http://schemas.openxmlformats.org/officeDocument/2006/relationships/hyperlink" Target="http://www.un.org/ga/search/view_doc.asp?symbol=CEDAW/C/CZE/Q/6&amp;referer=/english/&amp;Lang=S" TargetMode="External"/><Relationship Id="rId30" Type="http://schemas.openxmlformats.org/officeDocument/2006/relationships/hyperlink" Target="http://www.un.org/ga/search/view_doc.asp?symbol=CEDAW/C/ISL/Q/7&amp;referer=/english/&amp;Lang=S" TargetMode="External"/><Relationship Id="rId35" Type="http://schemas.openxmlformats.org/officeDocument/2006/relationships/hyperlink" Target="http://www.un.org/ga/search/view_doc.asp?symbol=CEDAW/C/VUT/Q/4-5&amp;referer=/english/&amp;Lang=S" TargetMode="External"/><Relationship Id="rId43" Type="http://schemas.openxmlformats.org/officeDocument/2006/relationships/hyperlink" Target="http://documents-dds-ny.un.org/doc/UNDOC/GEN/N15/385/70/pdf/N1538570.pdf?OpenElement"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7D394-8604-42F5-A1F5-2F807EDAD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1565</Words>
  <Characters>8925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10470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Libertad Villanueva Roca De Rios</dc:creator>
  <cp:keywords/>
  <dc:description/>
  <cp:lastModifiedBy>Emma Becerra</cp:lastModifiedBy>
  <cp:revision>4</cp:revision>
  <cp:lastPrinted>2015-12-30T18:00:00Z</cp:lastPrinted>
  <dcterms:created xsi:type="dcterms:W3CDTF">2015-12-30T18:00:00Z</dcterms:created>
  <dcterms:modified xsi:type="dcterms:W3CDTF">2015-12-30T18:02:00Z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1521541</vt:lpwstr>
  </property>
  <property fmtid="{D5CDD505-2E9C-101B-9397-08002B2CF9AE}" pid="3" name="ODSRefJobNo">
    <vt:lpwstr>1540669</vt:lpwstr>
  </property>
  <property fmtid="{D5CDD505-2E9C-101B-9397-08002B2CF9AE}" pid="4" name="Symbol1">
    <vt:lpwstr>CEDAW/C/63/1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diciembre de 2015</vt:lpwstr>
  </property>
  <property fmtid="{D5CDD505-2E9C-101B-9397-08002B2CF9AE}" pid="8" name="Original">
    <vt:lpwstr>inglés</vt:lpwstr>
  </property>
  <property fmtid="{D5CDD505-2E9C-101B-9397-08002B2CF9AE}" pid="9" name="Release Date">
    <vt:lpwstr>291215</vt:lpwstr>
  </property>
  <property fmtid="{D5CDD505-2E9C-101B-9397-08002B2CF9AE}" pid="10" name="Comment">
    <vt:lpwstr>EXTERNAL-30 DIC.</vt:lpwstr>
  </property>
  <property fmtid="{D5CDD505-2E9C-101B-9397-08002B2CF9AE}" pid="11" name="DraftPages">
    <vt:lpwstr>5</vt:lpwstr>
  </property>
  <property fmtid="{D5CDD505-2E9C-101B-9397-08002B2CF9AE}" pid="12" name="Operator">
    <vt:lpwstr>lvr/lvr</vt:lpwstr>
  </property>
  <property fmtid="{D5CDD505-2E9C-101B-9397-08002B2CF9AE}" pid="13" name="Translator">
    <vt:lpwstr>lvr/lvr</vt:lpwstr>
  </property>
</Properties>
</file>