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89A" w:rsidRDefault="005A089A" w:rsidP="005A089A">
      <w:pPr>
        <w:pStyle w:val="Release"/>
        <w:spacing w:line="60" w:lineRule="exact"/>
        <w:rPr>
          <w:sz w:val="6"/>
        </w:rPr>
        <w:sectPr w:rsidR="005A089A" w:rsidSect="005A089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5A089A">
      <w:pPr>
        <w:pStyle w:val="Release"/>
        <w:spacing w:line="60" w:lineRule="exact"/>
        <w:rPr>
          <w:sz w:val="6"/>
        </w:rPr>
      </w:pPr>
    </w:p>
    <w:p w:rsidR="006E51B8" w:rsidRDefault="006E51B8" w:rsidP="00C66C0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6E51B8" w:rsidRPr="00C66C0F" w:rsidRDefault="006E51B8" w:rsidP="00C66C0F">
      <w:pPr>
        <w:pStyle w:val="SingleTxt"/>
        <w:spacing w:after="60"/>
        <w:ind w:left="0"/>
        <w:rPr>
          <w:rFonts w:ascii="SimHei" w:eastAsia="SimHei" w:hAnsi="SimHei" w:hint="eastAsia"/>
        </w:rPr>
      </w:pPr>
      <w:r w:rsidRPr="00C66C0F">
        <w:rPr>
          <w:rFonts w:ascii="SimHei" w:eastAsia="SimHei" w:hAnsi="SimHei" w:hint="eastAsia"/>
        </w:rPr>
        <w:t>第六十二届会议</w:t>
      </w:r>
    </w:p>
    <w:p w:rsidR="006E51B8" w:rsidRDefault="006E51B8" w:rsidP="00C66C0F">
      <w:pPr>
        <w:pStyle w:val="SingleTxt"/>
        <w:spacing w:after="60"/>
        <w:ind w:left="0"/>
        <w:rPr>
          <w:rFonts w:hint="eastAsia"/>
        </w:rPr>
      </w:pPr>
      <w:r>
        <w:rPr>
          <w:rFonts w:hint="eastAsia"/>
        </w:rPr>
        <w:t>2015</w:t>
      </w:r>
      <w:r>
        <w:rPr>
          <w:rFonts w:hint="eastAsia"/>
        </w:rPr>
        <w:t>年</w:t>
      </w:r>
      <w:r>
        <w:rPr>
          <w:rFonts w:hint="eastAsia"/>
        </w:rPr>
        <w:t>10</w:t>
      </w:r>
      <w:r>
        <w:rPr>
          <w:rFonts w:hint="eastAsia"/>
        </w:rPr>
        <w:t>月</w:t>
      </w:r>
      <w:r>
        <w:rPr>
          <w:rFonts w:hint="eastAsia"/>
        </w:rPr>
        <w:t>26</w:t>
      </w:r>
      <w:r>
        <w:rPr>
          <w:rFonts w:hint="eastAsia"/>
        </w:rPr>
        <w:t>日至</w:t>
      </w:r>
      <w:r>
        <w:rPr>
          <w:rFonts w:hint="eastAsia"/>
        </w:rPr>
        <w:t>11</w:t>
      </w:r>
      <w:r>
        <w:rPr>
          <w:rFonts w:hint="eastAsia"/>
        </w:rPr>
        <w:t>月</w:t>
      </w:r>
      <w:r>
        <w:rPr>
          <w:rFonts w:hint="eastAsia"/>
        </w:rPr>
        <w:t>20</w:t>
      </w:r>
      <w:r>
        <w:rPr>
          <w:rFonts w:hint="eastAsia"/>
        </w:rPr>
        <w:t>日</w:t>
      </w:r>
    </w:p>
    <w:p w:rsidR="006E51B8" w:rsidRDefault="006E51B8" w:rsidP="00C66C0F">
      <w:pPr>
        <w:pStyle w:val="SingleTxt"/>
        <w:spacing w:after="60"/>
        <w:ind w:left="0"/>
        <w:rPr>
          <w:rFonts w:hint="eastAsia"/>
        </w:rPr>
      </w:pPr>
      <w:r>
        <w:rPr>
          <w:rFonts w:hint="eastAsia"/>
        </w:rPr>
        <w:t>临时议程</w:t>
      </w:r>
      <w:r w:rsidRPr="006E51B8">
        <w:rPr>
          <w:rFonts w:hint="eastAsia"/>
          <w:vertAlign w:val="superscript"/>
        </w:rPr>
        <w:t>*</w:t>
      </w:r>
      <w:r>
        <w:rPr>
          <w:rFonts w:hint="eastAsia"/>
        </w:rPr>
        <w:t xml:space="preserve"> </w:t>
      </w:r>
      <w:r>
        <w:rPr>
          <w:rFonts w:hint="eastAsia"/>
        </w:rPr>
        <w:t>项目</w:t>
      </w:r>
      <w:r>
        <w:rPr>
          <w:rFonts w:hint="eastAsia"/>
        </w:rPr>
        <w:t>4</w:t>
      </w:r>
    </w:p>
    <w:p w:rsidR="006E51B8" w:rsidRPr="006E51B8" w:rsidRDefault="006E51B8" w:rsidP="00C66C0F">
      <w:pPr>
        <w:pStyle w:val="SingleTxt"/>
        <w:spacing w:after="60"/>
        <w:ind w:left="0"/>
        <w:rPr>
          <w:rFonts w:ascii="SimHei" w:eastAsia="SimHei" w:hAnsi="SimHei" w:hint="eastAsia"/>
        </w:rPr>
      </w:pPr>
      <w:r w:rsidRPr="006E51B8">
        <w:rPr>
          <w:rFonts w:ascii="SimHei" w:eastAsia="SimHei" w:hAnsi="SimHei" w:hint="eastAsia"/>
        </w:rPr>
        <w:t>审议缔约国根据《消除对妇女一切形式</w:t>
      </w:r>
      <w:r>
        <w:rPr>
          <w:rFonts w:ascii="SimHei" w:eastAsia="SimHei" w:hAnsi="SimHei"/>
        </w:rPr>
        <w:br/>
      </w:r>
      <w:r w:rsidRPr="006E51B8">
        <w:rPr>
          <w:rFonts w:ascii="SimHei" w:eastAsia="SimHei" w:hAnsi="SimHei" w:hint="eastAsia"/>
        </w:rPr>
        <w:t>歧视公约》第18条提交的报告</w:t>
      </w:r>
    </w:p>
    <w:p w:rsidR="006E51B8" w:rsidRPr="006E51B8" w:rsidRDefault="006E51B8" w:rsidP="006E51B8">
      <w:pPr>
        <w:pStyle w:val="SingleTxt"/>
        <w:spacing w:after="0" w:line="120" w:lineRule="exact"/>
        <w:ind w:left="0"/>
        <w:rPr>
          <w:rFonts w:hint="eastAsia"/>
          <w:sz w:val="10"/>
        </w:rPr>
      </w:pPr>
    </w:p>
    <w:p w:rsidR="006E51B8" w:rsidRPr="006E51B8" w:rsidRDefault="006E51B8" w:rsidP="006E51B8">
      <w:pPr>
        <w:pStyle w:val="SingleTxt"/>
        <w:spacing w:after="0" w:line="120" w:lineRule="exact"/>
        <w:ind w:left="0"/>
        <w:rPr>
          <w:rFonts w:hint="eastAsia"/>
          <w:sz w:val="10"/>
        </w:rPr>
      </w:pPr>
    </w:p>
    <w:p w:rsidR="00C66C0F" w:rsidRPr="00C66C0F" w:rsidRDefault="00C66C0F" w:rsidP="00C66C0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E51B8" w:rsidRDefault="006E51B8" w:rsidP="006E51B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与马拉维第七次定期报告有关的议题和问题清单</w:t>
      </w:r>
    </w:p>
    <w:p w:rsidR="006E51B8" w:rsidRPr="006E51B8" w:rsidRDefault="006E51B8" w:rsidP="006E51B8">
      <w:pPr>
        <w:pStyle w:val="SingleTxt"/>
        <w:spacing w:after="0" w:line="120" w:lineRule="exact"/>
        <w:rPr>
          <w:rFonts w:hint="eastAsia"/>
          <w:sz w:val="10"/>
        </w:rPr>
      </w:pPr>
    </w:p>
    <w:p w:rsidR="006E51B8" w:rsidRPr="006E51B8" w:rsidRDefault="006E51B8" w:rsidP="006E51B8">
      <w:pPr>
        <w:pStyle w:val="SingleTxt"/>
        <w:spacing w:after="0" w:line="120" w:lineRule="exact"/>
        <w:rPr>
          <w:rFonts w:hint="eastAsia"/>
          <w:sz w:val="10"/>
        </w:rPr>
      </w:pPr>
    </w:p>
    <w:p w:rsidR="006E51B8" w:rsidRPr="006E51B8" w:rsidRDefault="006E51B8" w:rsidP="006E51B8">
      <w:pPr>
        <w:pStyle w:val="SingleTxt"/>
        <w:rPr>
          <w:rFonts w:ascii="SimHei" w:eastAsia="SimHei" w:hAnsi="SimHei" w:hint="eastAsia"/>
        </w:rPr>
      </w:pPr>
      <w:r w:rsidRPr="006E51B8">
        <w:rPr>
          <w:rFonts w:ascii="SimHei" w:eastAsia="SimHei" w:hAnsi="SimHei" w:hint="eastAsia"/>
        </w:rPr>
        <w:t>立法和体制框架以及司法救助</w:t>
      </w:r>
    </w:p>
    <w:p w:rsidR="006E51B8" w:rsidRDefault="006E51B8" w:rsidP="006E51B8">
      <w:pPr>
        <w:pStyle w:val="SingleTxt"/>
        <w:rPr>
          <w:rFonts w:hint="eastAsia"/>
        </w:rPr>
      </w:pPr>
      <w:r>
        <w:rPr>
          <w:rFonts w:hint="eastAsia"/>
        </w:rPr>
        <w:t>1.</w:t>
      </w:r>
      <w:r>
        <w:rPr>
          <w:rFonts w:hint="eastAsia"/>
        </w:rPr>
        <w:tab/>
      </w:r>
      <w:r>
        <w:rPr>
          <w:rFonts w:hint="eastAsia"/>
        </w:rPr>
        <w:t>委员会注意到，</w:t>
      </w:r>
      <w:r>
        <w:rPr>
          <w:rFonts w:hint="eastAsia"/>
        </w:rPr>
        <w:t>2013</w:t>
      </w:r>
      <w:r>
        <w:rPr>
          <w:rFonts w:hint="eastAsia"/>
        </w:rPr>
        <w:t>年</w:t>
      </w:r>
      <w:r>
        <w:rPr>
          <w:rFonts w:hint="eastAsia"/>
        </w:rPr>
        <w:t>2</w:t>
      </w:r>
      <w:r>
        <w:rPr>
          <w:rFonts w:hint="eastAsia"/>
        </w:rPr>
        <w:t>月颁布的《性别平等法》已经在</w:t>
      </w:r>
      <w:r>
        <w:rPr>
          <w:rFonts w:hint="eastAsia"/>
        </w:rPr>
        <w:t>2014</w:t>
      </w:r>
      <w:r>
        <w:rPr>
          <w:rFonts w:hint="eastAsia"/>
        </w:rPr>
        <w:t>年</w:t>
      </w:r>
      <w:r>
        <w:rPr>
          <w:rFonts w:hint="eastAsia"/>
        </w:rPr>
        <w:t>4</w:t>
      </w:r>
      <w:r>
        <w:rPr>
          <w:rFonts w:hint="eastAsia"/>
        </w:rPr>
        <w:t>月生效，该法涉及《公约》的若干领域，包括禁止性歧视、性骚扰和有害习俗；妇女在公共生活、特别是在决策职位的可见度；性健康和生殖健康权利；以及平等教育和就业机会。请说明已经和打算采取哪些措施向所有有关政府官员宣传该法，包括有关执法人员和警察。请指出是否采取了措施，在法官、律师和检察官的法律教育和培训中列入《公约及其任择议定书》、《性别平等法》和其他有关国家法律规定的妇女权利。按照委员会上次结论意见的建议</w:t>
      </w:r>
      <w:r>
        <w:rPr>
          <w:rFonts w:hint="eastAsia"/>
        </w:rPr>
        <w:t>(</w:t>
      </w:r>
      <w:hyperlink r:id="rId14" w:history="1">
        <w:r w:rsidRPr="004954C3">
          <w:rPr>
            <w:rStyle w:val="Hyperlink"/>
            <w:rFonts w:hint="eastAsia"/>
          </w:rPr>
          <w:t>CEDAW/C/MWI/CO/6</w:t>
        </w:r>
      </w:hyperlink>
      <w:r w:rsidR="00C66C0F">
        <w:rPr>
          <w:rFonts w:hint="eastAsia"/>
        </w:rPr>
        <w:t>，</w:t>
      </w:r>
      <w:r>
        <w:rPr>
          <w:rFonts w:hint="eastAsia"/>
        </w:rPr>
        <w:t>第</w:t>
      </w:r>
      <w:r>
        <w:rPr>
          <w:rFonts w:hint="eastAsia"/>
        </w:rPr>
        <w:t>19</w:t>
      </w:r>
      <w:r>
        <w:rPr>
          <w:rFonts w:hint="eastAsia"/>
        </w:rPr>
        <w:t>段</w:t>
      </w:r>
      <w:r w:rsidR="00C66C0F">
        <w:rPr>
          <w:rFonts w:hint="eastAsia"/>
        </w:rPr>
        <w:t>)</w:t>
      </w:r>
      <w:r>
        <w:rPr>
          <w:rFonts w:hint="eastAsia"/>
        </w:rPr>
        <w:t>和《性别平等法》的规定，请提供资料，说明国家的性别平等政策依照该法修订的程度及其执行时间表。</w:t>
      </w:r>
    </w:p>
    <w:p w:rsidR="006E51B8" w:rsidRPr="006E51B8" w:rsidRDefault="006E51B8" w:rsidP="006E51B8">
      <w:pPr>
        <w:framePr w:w="9792" w:h="432" w:hSpace="180" w:wrap="around" w:hAnchor="page" w:x="1210" w:yAlign="bottom"/>
        <w:spacing w:line="100" w:lineRule="exact"/>
        <w:rPr>
          <w:sz w:val="10"/>
        </w:rPr>
      </w:pPr>
    </w:p>
    <w:p w:rsidR="006E51B8" w:rsidRPr="006E51B8" w:rsidRDefault="006E51B8" w:rsidP="006E51B8">
      <w:pPr>
        <w:framePr w:w="9792" w:h="432" w:hSpace="180" w:wrap="around" w:hAnchor="page" w:x="1210" w:yAlign="bottom"/>
        <w:spacing w:line="60" w:lineRule="exact"/>
        <w:rPr>
          <w:sz w:val="6"/>
        </w:rPr>
      </w:pPr>
      <w:r w:rsidRPr="006E51B8">
        <w:rPr>
          <w:noProof/>
          <w:sz w:val="6"/>
        </w:rPr>
        <w:pict>
          <v:line id="_x0000_s1026" style="position:absolute;left:0;text-align:left;z-index:1;mso-position-horizontal-relative:page" from="108pt,-1pt" to="180pt,-1pt" strokeweight=".25pt">
            <w10:wrap anchorx="page"/>
          </v:line>
        </w:pict>
      </w:r>
    </w:p>
    <w:p w:rsidR="006E51B8" w:rsidRPr="006E51B8" w:rsidRDefault="006E51B8" w:rsidP="006E51B8">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6E51B8">
        <w:rPr>
          <w:sz w:val="18"/>
          <w:vertAlign w:val="superscript"/>
        </w:rPr>
        <w:t>*</w:t>
      </w:r>
      <w:r>
        <w:rPr>
          <w:rFonts w:hint="eastAsia"/>
          <w:sz w:val="18"/>
        </w:rPr>
        <w:tab/>
      </w:r>
      <w:hyperlink r:id="rId15" w:history="1">
        <w:r w:rsidRPr="004954C3">
          <w:rPr>
            <w:rStyle w:val="Hyperlink"/>
            <w:sz w:val="18"/>
          </w:rPr>
          <w:t>CEDAW/C/62/1</w:t>
        </w:r>
      </w:hyperlink>
      <w:r>
        <w:rPr>
          <w:rFonts w:hint="eastAsia"/>
          <w:sz w:val="18"/>
        </w:rPr>
        <w:t>。</w:t>
      </w:r>
    </w:p>
    <w:p w:rsidR="006E51B8" w:rsidRDefault="006E51B8" w:rsidP="006E51B8">
      <w:pPr>
        <w:pStyle w:val="SingleTxt"/>
        <w:rPr>
          <w:rFonts w:hint="eastAsia"/>
        </w:rPr>
      </w:pPr>
      <w:r>
        <w:rPr>
          <w:rFonts w:hint="eastAsia"/>
        </w:rPr>
        <w:t>2.</w:t>
      </w:r>
      <w:r>
        <w:rPr>
          <w:rFonts w:hint="eastAsia"/>
        </w:rPr>
        <w:tab/>
      </w:r>
      <w:r>
        <w:rPr>
          <w:rFonts w:hint="eastAsia"/>
        </w:rPr>
        <w:t>请提供资料，说明采取了哪些措施来提高妇女实施其权利的能力，特别是在民事事务和《性别平等法》管辖的领域，重点是文盲妇女和农村妇女。请提供资料，说明按照《法律援助法》</w:t>
      </w:r>
      <w:r>
        <w:rPr>
          <w:rFonts w:hint="eastAsia"/>
        </w:rPr>
        <w:t>(2010</w:t>
      </w:r>
      <w:r>
        <w:rPr>
          <w:rFonts w:hint="eastAsia"/>
        </w:rPr>
        <w:t>年</w:t>
      </w:r>
      <w:r>
        <w:rPr>
          <w:rFonts w:hint="eastAsia"/>
        </w:rPr>
        <w:t>)</w:t>
      </w:r>
      <w:r>
        <w:rPr>
          <w:rFonts w:hint="eastAsia"/>
        </w:rPr>
        <w:t>设立分散和独立的法律援助局的进展情况，以及为该局的有效运作而拨付的人力和财政资源。请说明习俗性司法机制如何运作以及它与正式司法系统的关系。</w:t>
      </w:r>
      <w:r>
        <w:rPr>
          <w:rFonts w:hint="eastAsia"/>
        </w:rPr>
        <w:t xml:space="preserve"> </w:t>
      </w:r>
      <w:r>
        <w:br/>
      </w:r>
    </w:p>
    <w:p w:rsidR="006E51B8" w:rsidRDefault="006E51B8" w:rsidP="006E51B8">
      <w:pPr>
        <w:pStyle w:val="SingleTxt"/>
        <w:rPr>
          <w:rFonts w:hint="eastAsia"/>
        </w:rPr>
      </w:pPr>
      <w:r>
        <w:rPr>
          <w:rFonts w:hint="eastAsia"/>
        </w:rPr>
        <w:t>3.</w:t>
      </w:r>
      <w:r>
        <w:rPr>
          <w:rFonts w:hint="eastAsia"/>
        </w:rPr>
        <w:tab/>
      </w:r>
      <w:r>
        <w:rPr>
          <w:rFonts w:hint="eastAsia"/>
        </w:rPr>
        <w:t>委员会注意到目前存在着将男性间性关系定为刑事犯罪的规定，</w:t>
      </w:r>
      <w:r>
        <w:rPr>
          <w:rFonts w:hint="eastAsia"/>
        </w:rPr>
        <w:t>2011</w:t>
      </w:r>
      <w:r>
        <w:rPr>
          <w:rFonts w:hint="eastAsia"/>
        </w:rPr>
        <w:t>年又修订刑法，制定将女性间性关系定为刑事犯罪的新规定。请说明是否打算采取任何步骤将成年人相互同意的同性性关系合法化，承认同性恋、双性恋、变性妇女和双性人的平等和不受歧视权利，并审查《宪法》第</w:t>
      </w:r>
      <w:r>
        <w:rPr>
          <w:rFonts w:hint="eastAsia"/>
        </w:rPr>
        <w:t>20</w:t>
      </w:r>
      <w:r>
        <w:rPr>
          <w:rFonts w:hint="eastAsia"/>
        </w:rPr>
        <w:t>条，将性取向列为不得歧视的理由之一。</w:t>
      </w:r>
    </w:p>
    <w:p w:rsidR="006E51B8" w:rsidRPr="006E51B8" w:rsidRDefault="006E51B8" w:rsidP="006E51B8">
      <w:pPr>
        <w:pStyle w:val="SingleTxt"/>
        <w:rPr>
          <w:rFonts w:ascii="SimHei" w:eastAsia="SimHei" w:hAnsi="SimHei" w:hint="eastAsia"/>
        </w:rPr>
      </w:pPr>
      <w:r w:rsidRPr="006E51B8">
        <w:rPr>
          <w:rFonts w:ascii="SimHei" w:eastAsia="SimHei" w:hAnsi="SimHei" w:hint="eastAsia"/>
        </w:rPr>
        <w:t>提高妇女地位的国家机构</w:t>
      </w:r>
    </w:p>
    <w:p w:rsidR="006E51B8" w:rsidRDefault="006E51B8" w:rsidP="006E51B8">
      <w:pPr>
        <w:pStyle w:val="SingleTxt"/>
        <w:rPr>
          <w:rFonts w:hint="eastAsia"/>
        </w:rPr>
      </w:pPr>
      <w:r>
        <w:rPr>
          <w:rFonts w:hint="eastAsia"/>
        </w:rPr>
        <w:t>4.</w:t>
      </w:r>
      <w:r>
        <w:rPr>
          <w:rFonts w:hint="eastAsia"/>
        </w:rPr>
        <w:tab/>
      </w:r>
      <w:r>
        <w:rPr>
          <w:rFonts w:hint="eastAsia"/>
        </w:rPr>
        <w:t>按照委员会上次结论意见的建议</w:t>
      </w:r>
      <w:r>
        <w:rPr>
          <w:rFonts w:hint="eastAsia"/>
        </w:rPr>
        <w:t>(</w:t>
      </w:r>
      <w:hyperlink r:id="rId16" w:history="1">
        <w:r w:rsidRPr="004954C3">
          <w:rPr>
            <w:rStyle w:val="Hyperlink"/>
            <w:rFonts w:hint="eastAsia"/>
          </w:rPr>
          <w:t>CEDAW/C/MWI/CO/6</w:t>
        </w:r>
      </w:hyperlink>
      <w:r w:rsidR="00C66C0F">
        <w:rPr>
          <w:rFonts w:hint="eastAsia"/>
        </w:rPr>
        <w:t>，</w:t>
      </w:r>
      <w:r>
        <w:rPr>
          <w:rFonts w:hint="eastAsia"/>
        </w:rPr>
        <w:t>第</w:t>
      </w:r>
      <w:r>
        <w:rPr>
          <w:rFonts w:hint="eastAsia"/>
        </w:rPr>
        <w:t>19</w:t>
      </w:r>
      <w:r>
        <w:rPr>
          <w:rFonts w:hint="eastAsia"/>
        </w:rPr>
        <w:t>段</w:t>
      </w:r>
      <w:r>
        <w:rPr>
          <w:rFonts w:hint="eastAsia"/>
        </w:rPr>
        <w:t>)</w:t>
      </w:r>
      <w:r>
        <w:rPr>
          <w:rFonts w:hint="eastAsia"/>
        </w:rPr>
        <w:t>，请提供资料，说明采取了哪些措施来加强性别、儿童、残疾和社会福利部的能力和权力。请说明是否与其他有关部委建立协调机制，确保在所有政府机构中切实使性别主流化。请说明采取了哪些步骤，加强该部与各种民间组织的合作，包括在全国和社区各级的青年和妇女组织。此外，根据人权委员会关于执行《性别平等法》的任务并按照该法的规定，请提供资料，说明采取了哪些措施以增加该部的人力、技术和财政资源，并阐明国家机构与委员会在执行和监测该法方面的作用和职责分工，以及两者之间的合作机制。</w:t>
      </w:r>
    </w:p>
    <w:p w:rsidR="006E51B8" w:rsidRPr="006E51B8" w:rsidRDefault="006E51B8" w:rsidP="006E51B8">
      <w:pPr>
        <w:pStyle w:val="SingleTxt"/>
        <w:rPr>
          <w:rFonts w:ascii="SimHei" w:eastAsia="SimHei" w:hAnsi="SimHei" w:hint="eastAsia"/>
        </w:rPr>
      </w:pPr>
      <w:r w:rsidRPr="006E51B8">
        <w:rPr>
          <w:rFonts w:ascii="SimHei" w:eastAsia="SimHei" w:hAnsi="SimHei" w:hint="eastAsia"/>
        </w:rPr>
        <w:t>陈规定型观念和有害习俗</w:t>
      </w:r>
    </w:p>
    <w:p w:rsidR="006E51B8" w:rsidRDefault="006E51B8" w:rsidP="006E51B8">
      <w:pPr>
        <w:pStyle w:val="SingleTxt"/>
        <w:rPr>
          <w:rFonts w:hint="eastAsia"/>
        </w:rPr>
      </w:pPr>
      <w:r>
        <w:rPr>
          <w:rFonts w:hint="eastAsia"/>
        </w:rPr>
        <w:t>5.</w:t>
      </w:r>
      <w:r>
        <w:rPr>
          <w:rFonts w:hint="eastAsia"/>
        </w:rPr>
        <w:tab/>
      </w:r>
      <w:r>
        <w:rPr>
          <w:rFonts w:hint="eastAsia"/>
        </w:rPr>
        <w:t>缔约国的报告指出，很多社会、宗教、传统、习惯和文化做法宣扬男尊女卑的观念</w:t>
      </w:r>
      <w:r>
        <w:rPr>
          <w:rFonts w:hint="eastAsia"/>
        </w:rPr>
        <w:t>(</w:t>
      </w:r>
      <w:hyperlink r:id="rId17" w:history="1">
        <w:r w:rsidRPr="004954C3">
          <w:rPr>
            <w:rStyle w:val="Hyperlink"/>
            <w:rFonts w:hint="eastAsia"/>
          </w:rPr>
          <w:t>CEDAW/C/MWI/7</w:t>
        </w:r>
      </w:hyperlink>
      <w:r>
        <w:rPr>
          <w:rFonts w:hint="eastAsia"/>
        </w:rPr>
        <w:t>，第</w:t>
      </w:r>
      <w:r>
        <w:rPr>
          <w:rFonts w:hint="eastAsia"/>
        </w:rPr>
        <w:t>31</w:t>
      </w:r>
      <w:r>
        <w:rPr>
          <w:rFonts w:hint="eastAsia"/>
        </w:rPr>
        <w:t>段</w:t>
      </w:r>
      <w:r>
        <w:rPr>
          <w:rFonts w:hint="eastAsia"/>
        </w:rPr>
        <w:t>)</w:t>
      </w:r>
      <w:r>
        <w:rPr>
          <w:rFonts w:hint="eastAsia"/>
        </w:rPr>
        <w:t>。</w:t>
      </w:r>
      <w:r>
        <w:rPr>
          <w:rStyle w:val="FootnoteReference"/>
        </w:rPr>
        <w:footnoteReference w:id="1"/>
      </w:r>
      <w:r>
        <w:rPr>
          <w:rFonts w:hint="eastAsia"/>
        </w:rPr>
        <w:t xml:space="preserve"> </w:t>
      </w:r>
      <w:r>
        <w:rPr>
          <w:rFonts w:hint="eastAsia"/>
        </w:rPr>
        <w:t>请提供资料，说明采取了哪些措施，包括与传统和社区领导人及妇女组织协作，以改变导致在家庭、社区和社会中的男女角色定型的公众态度和社会文化模式。</w:t>
      </w:r>
    </w:p>
    <w:p w:rsidR="006E51B8" w:rsidRDefault="006E51B8" w:rsidP="006E51B8">
      <w:pPr>
        <w:pStyle w:val="SingleTxt"/>
        <w:rPr>
          <w:rFonts w:hint="eastAsia"/>
        </w:rPr>
      </w:pPr>
      <w:r>
        <w:rPr>
          <w:rFonts w:hint="eastAsia"/>
        </w:rPr>
        <w:t>6.</w:t>
      </w:r>
      <w:r>
        <w:rPr>
          <w:rFonts w:hint="eastAsia"/>
        </w:rPr>
        <w:tab/>
      </w:r>
      <w:r>
        <w:rPr>
          <w:rFonts w:hint="eastAsia"/>
        </w:rPr>
        <w:t>委员会注意到，《儿童照料、保护和司法法》</w:t>
      </w:r>
      <w:r>
        <w:rPr>
          <w:rFonts w:hint="eastAsia"/>
        </w:rPr>
        <w:t>(2010</w:t>
      </w:r>
      <w:r>
        <w:rPr>
          <w:rFonts w:hint="eastAsia"/>
        </w:rPr>
        <w:t>年</w:t>
      </w:r>
      <w:r>
        <w:rPr>
          <w:rFonts w:hint="eastAsia"/>
        </w:rPr>
        <w:t>)</w:t>
      </w:r>
      <w:r>
        <w:rPr>
          <w:rFonts w:hint="eastAsia"/>
        </w:rPr>
        <w:t>和《性别平等法》都明文禁止有害习俗。请说明这两个法律中包含哪些有害习俗，并提供资料，说明采取了哪些措施以确保予以充分执行，特别是在农村地区。请说明已经采取哪些措施，包括关于新的立法框架的综合教育措施和提高认识运动，特别以农村地区为目标，以防止和应对各种有害习俗，如早婚和强迫婚姻、残割女性生殖器、“寡妇净化”、年轻女童在成年仪式中失去童贞、鼓励年轻男孩与年长妇女或年轻女童性交以成为成年人，以及建议与白化病的女童或妇女性交以治疗艾滋病毒。</w:t>
      </w:r>
    </w:p>
    <w:p w:rsidR="006E51B8" w:rsidRPr="006E51B8" w:rsidRDefault="006E51B8" w:rsidP="006E51B8">
      <w:pPr>
        <w:pStyle w:val="SingleTxt"/>
        <w:rPr>
          <w:rFonts w:ascii="SimHei" w:eastAsia="SimHei" w:hAnsi="SimHei" w:hint="eastAsia"/>
        </w:rPr>
      </w:pPr>
      <w:r w:rsidRPr="006E51B8">
        <w:rPr>
          <w:rFonts w:ascii="SimHei" w:eastAsia="SimHei" w:hAnsi="SimHei" w:hint="eastAsia"/>
        </w:rPr>
        <w:t>暴力侵害妇女行为</w:t>
      </w:r>
    </w:p>
    <w:p w:rsidR="006E51B8" w:rsidRDefault="006E51B8" w:rsidP="006E51B8">
      <w:pPr>
        <w:pStyle w:val="SingleTxt"/>
      </w:pPr>
      <w:r>
        <w:rPr>
          <w:rFonts w:hint="eastAsia"/>
        </w:rPr>
        <w:t>7.</w:t>
      </w:r>
      <w:r>
        <w:rPr>
          <w:rFonts w:hint="eastAsia"/>
        </w:rPr>
        <w:tab/>
      </w:r>
      <w:r>
        <w:rPr>
          <w:rFonts w:hint="eastAsia"/>
        </w:rPr>
        <w:t>请提供资料，说明审查《防止家庭暴力法》</w:t>
      </w:r>
      <w:r>
        <w:rPr>
          <w:rFonts w:hint="eastAsia"/>
        </w:rPr>
        <w:t>(2006</w:t>
      </w:r>
      <w:r>
        <w:rPr>
          <w:rFonts w:hint="eastAsia"/>
        </w:rPr>
        <w:t>年</w:t>
      </w:r>
      <w:r>
        <w:rPr>
          <w:rFonts w:hint="eastAsia"/>
        </w:rPr>
        <w:t>)</w:t>
      </w:r>
      <w:r>
        <w:rPr>
          <w:rFonts w:hint="eastAsia"/>
        </w:rPr>
        <w:t>以填补法律缺口和解决前后矛盾的进展情况，并指出要提出的修正案是否包括将婚内强奸定为刑事罪。请澄清性暴力案件所需要的证据，并提供资料说明为打击暴力侵害妇女行为、特别是对强奸和家庭暴力所采取的措施是否有效。具体来说，请就报告所述期间的性别暴力案件、包括未婚亲密伴侣间暴力案件的数目，以及对于犯罪者的调查、起诉、定罪和判刑的数目，提供分列的统计数据。请提供资料，说明《打击基于性别的暴力的国家对策》</w:t>
      </w:r>
      <w:r>
        <w:rPr>
          <w:rFonts w:hint="eastAsia"/>
        </w:rPr>
        <w:t>(2008-2013</w:t>
      </w:r>
      <w:r>
        <w:rPr>
          <w:rFonts w:hint="eastAsia"/>
        </w:rPr>
        <w:t>年</w:t>
      </w:r>
      <w:r>
        <w:rPr>
          <w:rFonts w:hint="eastAsia"/>
        </w:rPr>
        <w:t>)</w:t>
      </w:r>
      <w:r>
        <w:rPr>
          <w:rFonts w:hint="eastAsia"/>
        </w:rPr>
        <w:t>的实施成果，并说明是否进行了评价。</w:t>
      </w:r>
      <w:r>
        <w:rPr>
          <w:rFonts w:hint="eastAsia"/>
        </w:rPr>
        <w:t xml:space="preserve"> </w:t>
      </w:r>
    </w:p>
    <w:p w:rsidR="006E51B8" w:rsidRPr="006E51B8" w:rsidRDefault="006E51B8" w:rsidP="006E51B8">
      <w:pPr>
        <w:pStyle w:val="SingleTxt"/>
        <w:rPr>
          <w:rFonts w:ascii="SimHei" w:eastAsia="SimHei" w:hAnsi="SimHei" w:hint="eastAsia"/>
        </w:rPr>
      </w:pPr>
      <w:r w:rsidRPr="006E51B8">
        <w:rPr>
          <w:rFonts w:ascii="SimHei" w:eastAsia="SimHei" w:hAnsi="SimHei" w:hint="eastAsia"/>
        </w:rPr>
        <w:t>贩运妇女和利用妇女卖淫营利</w:t>
      </w:r>
    </w:p>
    <w:p w:rsidR="006E51B8" w:rsidRDefault="006E51B8" w:rsidP="006E51B8">
      <w:pPr>
        <w:pStyle w:val="SingleTxt"/>
        <w:rPr>
          <w:rFonts w:hint="eastAsia"/>
        </w:rPr>
      </w:pPr>
      <w:r>
        <w:rPr>
          <w:rFonts w:hint="eastAsia"/>
        </w:rPr>
        <w:t>8.</w:t>
      </w:r>
      <w:r>
        <w:rPr>
          <w:rFonts w:hint="eastAsia"/>
        </w:rPr>
        <w:tab/>
      </w:r>
      <w:r>
        <w:rPr>
          <w:rFonts w:hint="eastAsia"/>
        </w:rPr>
        <w:t>缔约国承认，贩运人口、包括在该国境内贩运事件的增加速度令人吃惊</w:t>
      </w:r>
      <w:r>
        <w:rPr>
          <w:rFonts w:hint="eastAsia"/>
        </w:rPr>
        <w:t>(</w:t>
      </w:r>
      <w:r>
        <w:rPr>
          <w:rFonts w:hint="eastAsia"/>
        </w:rPr>
        <w:t>第</w:t>
      </w:r>
      <w:r>
        <w:rPr>
          <w:rFonts w:hint="eastAsia"/>
        </w:rPr>
        <w:t>174</w:t>
      </w:r>
      <w:r>
        <w:rPr>
          <w:rFonts w:hint="eastAsia"/>
        </w:rPr>
        <w:t>段</w:t>
      </w:r>
      <w:r>
        <w:rPr>
          <w:rFonts w:hint="eastAsia"/>
        </w:rPr>
        <w:t>)</w:t>
      </w:r>
      <w:r>
        <w:rPr>
          <w:rFonts w:hint="eastAsia"/>
        </w:rPr>
        <w:t>。请提供关于在缔约国内此种贩运的发生率和形式的综合数据和统计资料。委员会注意到，最近通过的打击贩运法律正等待总统批准。请提供资料，说明关于该法律生效的时间表和内容，包括贩运的定义，并说明采取哪些措施以训练有关执法人员，特别是边境人员，并说明如何向公众更广泛宣传该法律。请说明已经或打算采取哪些措施，应对据报将妇女和女童贩运到莫桑比克和南非等邻国的案件，包括家庭佣工和妓院内的性剥削案件，以及在布兰太尔和利隆圭的酒吧和成人娱乐场所的童工。请指出是否与邻国建立了合作和信息交换机制，并提供资料，说明缔约国采取了哪些步骤，向人口贩运受害者提供援助、保护和康复服务。</w:t>
      </w:r>
      <w:r>
        <w:rPr>
          <w:rFonts w:hint="eastAsia"/>
        </w:rPr>
        <w:t xml:space="preserve"> </w:t>
      </w:r>
    </w:p>
    <w:p w:rsidR="006E51B8" w:rsidRDefault="006E51B8" w:rsidP="006E51B8">
      <w:pPr>
        <w:pStyle w:val="SingleTxt"/>
        <w:rPr>
          <w:rFonts w:hint="eastAsia"/>
        </w:rPr>
      </w:pPr>
      <w:r>
        <w:rPr>
          <w:rFonts w:hint="eastAsia"/>
        </w:rPr>
        <w:t>9.</w:t>
      </w:r>
      <w:r>
        <w:rPr>
          <w:rFonts w:hint="eastAsia"/>
        </w:rPr>
        <w:tab/>
      </w:r>
      <w:r>
        <w:rPr>
          <w:rFonts w:hint="eastAsia"/>
        </w:rPr>
        <w:t>缔约国的报告未提供关于卖淫的普遍程度的资料。委员会收到的资料显示，适用的法律框架对卖淫的妇女实施制裁，视她们为罪犯。请提供关于卖淫的普遍程度的资料，并说明缔约国是否打算取消对卖淫妇女的刑事处罚。同时请说明是否为希望脱离卖淫的妇女制订任何方案。</w:t>
      </w:r>
    </w:p>
    <w:p w:rsidR="006E51B8" w:rsidRPr="006E51B8" w:rsidRDefault="006E51B8" w:rsidP="006E51B8">
      <w:pPr>
        <w:pStyle w:val="SingleTxt"/>
        <w:rPr>
          <w:rFonts w:ascii="SimHei" w:eastAsia="SimHei" w:hAnsi="SimHei" w:hint="eastAsia"/>
        </w:rPr>
      </w:pPr>
      <w:r w:rsidRPr="006E51B8">
        <w:rPr>
          <w:rFonts w:ascii="SimHei" w:eastAsia="SimHei" w:hAnsi="SimHei" w:hint="eastAsia"/>
        </w:rPr>
        <w:t>参与政治和公共生活</w:t>
      </w:r>
    </w:p>
    <w:p w:rsidR="006E51B8" w:rsidRDefault="006E51B8" w:rsidP="006E51B8">
      <w:pPr>
        <w:pStyle w:val="SingleTxt"/>
        <w:rPr>
          <w:rFonts w:hint="eastAsia"/>
        </w:rPr>
      </w:pPr>
      <w:r>
        <w:rPr>
          <w:rFonts w:hint="eastAsia"/>
        </w:rPr>
        <w:t>10.</w:t>
      </w:r>
      <w:r>
        <w:rPr>
          <w:rFonts w:hint="eastAsia"/>
        </w:rPr>
        <w:tab/>
      </w:r>
      <w:r>
        <w:rPr>
          <w:rFonts w:hint="eastAsia"/>
        </w:rPr>
        <w:t>请提供资料，说明已经或打算采取哪些积极措施以实施《性别平等法》规定的</w:t>
      </w:r>
      <w:r>
        <w:rPr>
          <w:rFonts w:hint="eastAsia"/>
        </w:rPr>
        <w:t>40</w:t>
      </w:r>
      <w:r>
        <w:rPr>
          <w:rFonts w:hint="eastAsia"/>
        </w:rPr>
        <w:t>％不分性别的配额。缔约国在报告中提到，在选举中投票的妇女多于男子</w:t>
      </w:r>
      <w:r>
        <w:rPr>
          <w:rFonts w:hint="eastAsia"/>
        </w:rPr>
        <w:t>(</w:t>
      </w:r>
      <w:r>
        <w:rPr>
          <w:rFonts w:hint="eastAsia"/>
        </w:rPr>
        <w:t>第</w:t>
      </w:r>
      <w:r>
        <w:rPr>
          <w:rFonts w:hint="eastAsia"/>
        </w:rPr>
        <w:t>44</w:t>
      </w:r>
      <w:r>
        <w:rPr>
          <w:rFonts w:hint="eastAsia"/>
        </w:rPr>
        <w:t>段</w:t>
      </w:r>
      <w:r>
        <w:rPr>
          <w:rFonts w:hint="eastAsia"/>
        </w:rPr>
        <w:t>)</w:t>
      </w:r>
      <w:r>
        <w:rPr>
          <w:rFonts w:hint="eastAsia"/>
        </w:rPr>
        <w:t>。请说明采取了哪些措施，使妇女从投票者转变为领导者，包括向现有的和可能的女候选人提供培训和指导。在</w:t>
      </w:r>
      <w:r>
        <w:rPr>
          <w:rFonts w:hint="eastAsia"/>
        </w:rPr>
        <w:t>2014</w:t>
      </w:r>
      <w:r>
        <w:rPr>
          <w:rFonts w:hint="eastAsia"/>
        </w:rPr>
        <w:t>年举行三方选举之后，妇女在任命的和选举的政治决策职位中仍然人数偏低。请说明是否打算采取奖励办法，鼓励政党提出同样人数的男女候选人。请就正在采取的具体措施提供资料，确保妇女在公共和私营的决策机构中具有平等的代表权，特别是在议会、民政服务和国际机构中，以及作为地方议员和传统领导人。</w:t>
      </w:r>
      <w:r>
        <w:rPr>
          <w:rFonts w:hint="eastAsia"/>
        </w:rPr>
        <w:t xml:space="preserve"> </w:t>
      </w:r>
    </w:p>
    <w:p w:rsidR="006E51B8" w:rsidRPr="006E51B8" w:rsidRDefault="006E51B8" w:rsidP="006E51B8">
      <w:pPr>
        <w:pStyle w:val="SingleTxt"/>
        <w:rPr>
          <w:rFonts w:ascii="SimHei" w:eastAsia="SimHei" w:hAnsi="SimHei" w:hint="eastAsia"/>
        </w:rPr>
      </w:pPr>
      <w:r w:rsidRPr="006E51B8">
        <w:rPr>
          <w:rFonts w:ascii="SimHei" w:eastAsia="SimHei" w:hAnsi="SimHei" w:hint="eastAsia"/>
        </w:rPr>
        <w:t>国籍</w:t>
      </w:r>
    </w:p>
    <w:p w:rsidR="006E51B8" w:rsidRDefault="006E51B8" w:rsidP="006E51B8">
      <w:pPr>
        <w:pStyle w:val="SingleTxt"/>
        <w:rPr>
          <w:rFonts w:hint="eastAsia"/>
        </w:rPr>
      </w:pPr>
      <w:r>
        <w:rPr>
          <w:rFonts w:hint="eastAsia"/>
        </w:rPr>
        <w:t>11.</w:t>
      </w:r>
      <w:r>
        <w:rPr>
          <w:rFonts w:hint="eastAsia"/>
        </w:rPr>
        <w:tab/>
      </w:r>
      <w:r>
        <w:rPr>
          <w:rFonts w:hint="eastAsia"/>
        </w:rPr>
        <w:t>缔约国在报告中指出，移民部注意到《公民法》第</w:t>
      </w:r>
      <w:r>
        <w:rPr>
          <w:rFonts w:hint="eastAsia"/>
        </w:rPr>
        <w:t>9</w:t>
      </w:r>
      <w:r>
        <w:rPr>
          <w:rFonts w:hint="eastAsia"/>
        </w:rPr>
        <w:t>条具有歧视性，已经要求法律委员会进行全面审查，并由移民部采取临时措施，不因妇女嫁给外国人而撤销其马拉维国籍</w:t>
      </w:r>
      <w:r>
        <w:rPr>
          <w:rFonts w:hint="eastAsia"/>
        </w:rPr>
        <w:t>(</w:t>
      </w:r>
      <w:r>
        <w:rPr>
          <w:rFonts w:hint="eastAsia"/>
        </w:rPr>
        <w:t>第</w:t>
      </w:r>
      <w:r>
        <w:rPr>
          <w:rFonts w:hint="eastAsia"/>
        </w:rPr>
        <w:t>66-67</w:t>
      </w:r>
      <w:r>
        <w:rPr>
          <w:rFonts w:hint="eastAsia"/>
        </w:rPr>
        <w:t>段</w:t>
      </w:r>
      <w:r>
        <w:rPr>
          <w:rFonts w:hint="eastAsia"/>
        </w:rPr>
        <w:t>)</w:t>
      </w:r>
      <w:r>
        <w:rPr>
          <w:rFonts w:hint="eastAsia"/>
        </w:rPr>
        <w:t>。可是，根据报告所述，移民部继续限制妇女不得将国籍传递给外国配偶</w:t>
      </w:r>
      <w:r>
        <w:rPr>
          <w:rFonts w:hint="eastAsia"/>
        </w:rPr>
        <w:t>(</w:t>
      </w:r>
      <w:r>
        <w:rPr>
          <w:rFonts w:hint="eastAsia"/>
        </w:rPr>
        <w:t>第</w:t>
      </w:r>
      <w:r>
        <w:rPr>
          <w:rFonts w:hint="eastAsia"/>
        </w:rPr>
        <w:t>67</w:t>
      </w:r>
      <w:r>
        <w:rPr>
          <w:rFonts w:hint="eastAsia"/>
        </w:rPr>
        <w:t>段</w:t>
      </w:r>
      <w:r>
        <w:rPr>
          <w:rFonts w:hint="eastAsia"/>
        </w:rPr>
        <w:t>)</w:t>
      </w:r>
      <w:r>
        <w:rPr>
          <w:rFonts w:hint="eastAsia"/>
        </w:rPr>
        <w:t>。请提供资料，说明使法律与《公约》和宪法一致的进展情况，在取得和保持公民身份方面赋予男女平等权利</w:t>
      </w:r>
      <w:r>
        <w:rPr>
          <w:rFonts w:hint="eastAsia"/>
        </w:rPr>
        <w:t>(</w:t>
      </w:r>
      <w:r>
        <w:rPr>
          <w:rFonts w:hint="eastAsia"/>
        </w:rPr>
        <w:t>第</w:t>
      </w:r>
      <w:r>
        <w:rPr>
          <w:rFonts w:hint="eastAsia"/>
        </w:rPr>
        <w:t>24</w:t>
      </w:r>
      <w:r>
        <w:rPr>
          <w:rFonts w:hint="eastAsia"/>
        </w:rPr>
        <w:t>段</w:t>
      </w:r>
      <w:r>
        <w:rPr>
          <w:rFonts w:hint="eastAsia"/>
        </w:rPr>
        <w:t>)</w:t>
      </w:r>
      <w:r>
        <w:rPr>
          <w:rFonts w:hint="eastAsia"/>
        </w:rPr>
        <w:t>，使得妇女能够按照关于妇女的难民地位、庇护、国籍和无国籍状态与性别相关方面的第</w:t>
      </w:r>
      <w:r>
        <w:rPr>
          <w:rFonts w:hint="eastAsia"/>
        </w:rPr>
        <w:t>32</w:t>
      </w:r>
      <w:r>
        <w:rPr>
          <w:rFonts w:hint="eastAsia"/>
        </w:rPr>
        <w:t>号一般性建议，在结婚后将国籍保持和传递给外国配偶。</w:t>
      </w:r>
    </w:p>
    <w:p w:rsidR="006E51B8" w:rsidRPr="006E51B8" w:rsidRDefault="006E51B8" w:rsidP="006E51B8">
      <w:pPr>
        <w:pStyle w:val="SingleTxt"/>
        <w:rPr>
          <w:rFonts w:ascii="SimHei" w:eastAsia="SimHei" w:hAnsi="SimHei" w:hint="eastAsia"/>
        </w:rPr>
      </w:pPr>
      <w:r w:rsidRPr="006E51B8">
        <w:rPr>
          <w:rFonts w:ascii="SimHei" w:eastAsia="SimHei" w:hAnsi="SimHei" w:hint="eastAsia"/>
        </w:rPr>
        <w:t>教育</w:t>
      </w:r>
    </w:p>
    <w:p w:rsidR="006E51B8" w:rsidRDefault="006E51B8" w:rsidP="006E51B8">
      <w:pPr>
        <w:pStyle w:val="SingleTxt"/>
      </w:pPr>
      <w:r>
        <w:rPr>
          <w:rFonts w:hint="eastAsia"/>
        </w:rPr>
        <w:t>12.</w:t>
      </w:r>
      <w:r>
        <w:rPr>
          <w:rFonts w:hint="eastAsia"/>
        </w:rPr>
        <w:tab/>
      </w:r>
      <w:r>
        <w:rPr>
          <w:rFonts w:hint="eastAsia"/>
        </w:rPr>
        <w:t>请就各级教育中的女生入学率、包括幼儿入学率提供按性别分列的数据</w:t>
      </w:r>
      <w:r>
        <w:rPr>
          <w:rFonts w:hint="eastAsia"/>
        </w:rPr>
        <w:t>(</w:t>
      </w:r>
      <w:r>
        <w:rPr>
          <w:rFonts w:hint="eastAsia"/>
        </w:rPr>
        <w:t>第</w:t>
      </w:r>
      <w:r>
        <w:rPr>
          <w:rFonts w:hint="eastAsia"/>
        </w:rPr>
        <w:t>69</w:t>
      </w:r>
      <w:r>
        <w:rPr>
          <w:rFonts w:hint="eastAsia"/>
        </w:rPr>
        <w:t>段</w:t>
      </w:r>
      <w:r>
        <w:rPr>
          <w:rFonts w:hint="eastAsia"/>
        </w:rPr>
        <w:t>)</w:t>
      </w:r>
      <w:r>
        <w:rPr>
          <w:rFonts w:hint="eastAsia"/>
        </w:rPr>
        <w:t>。委员会看到</w:t>
      </w:r>
      <w:r>
        <w:rPr>
          <w:rFonts w:hint="eastAsia"/>
        </w:rPr>
        <w:t>2013</w:t>
      </w:r>
      <w:r>
        <w:rPr>
          <w:rFonts w:hint="eastAsia"/>
        </w:rPr>
        <w:t>年通过了《教育法》，但注意到缔约国指出，小学和中学的女学生辍学率很高，原因包括结婚、怀孕和家庭责任</w:t>
      </w:r>
      <w:r>
        <w:rPr>
          <w:rFonts w:hint="eastAsia"/>
        </w:rPr>
        <w:t>(</w:t>
      </w:r>
      <w:r>
        <w:rPr>
          <w:rFonts w:hint="eastAsia"/>
        </w:rPr>
        <w:t>第</w:t>
      </w:r>
      <w:r>
        <w:rPr>
          <w:rFonts w:hint="eastAsia"/>
        </w:rPr>
        <w:t>76</w:t>
      </w:r>
      <w:r>
        <w:rPr>
          <w:rFonts w:hint="eastAsia"/>
        </w:rPr>
        <w:t>和</w:t>
      </w:r>
      <w:r>
        <w:rPr>
          <w:rFonts w:hint="eastAsia"/>
        </w:rPr>
        <w:t>81</w:t>
      </w:r>
      <w:r>
        <w:rPr>
          <w:rFonts w:hint="eastAsia"/>
        </w:rPr>
        <w:t>段</w:t>
      </w:r>
      <w:r>
        <w:rPr>
          <w:rFonts w:hint="eastAsia"/>
        </w:rPr>
        <w:t>)</w:t>
      </w:r>
      <w:r>
        <w:rPr>
          <w:rFonts w:hint="eastAsia"/>
        </w:rPr>
        <w:t>。请提供关于为减少女童辍学率所采措施的资料</w:t>
      </w:r>
      <w:r>
        <w:rPr>
          <w:rFonts w:hint="eastAsia"/>
        </w:rPr>
        <w:t xml:space="preserve"> </w:t>
      </w:r>
      <w:r>
        <w:rPr>
          <w:rFonts w:hint="eastAsia"/>
        </w:rPr>
        <w:t>包括正在准备的关于通过减少女童辍学政策的时间表。同时并请说明，缔约国是否对如何执行将少女母亲重新纳入正规教育系统的政策进</w:t>
      </w:r>
      <w:bookmarkStart w:id="1" w:name="TmpSave"/>
      <w:bookmarkEnd w:id="1"/>
      <w:r>
        <w:rPr>
          <w:rFonts w:hint="eastAsia"/>
        </w:rPr>
        <w:t>行监测，从而确定政策的效用，在必要时实施纠正措施。委员会收到的资料显示，阻碍女童和年轻妇女获得优质教育的结构性原因和其他原因很多，包括缺乏教室和卫生设施、上学的路程太远、合格的教师人数有限、女童在学校受到性虐待、贫穷和学费太贵。请提供资料，说明采取了哪些措施以全面克服这些困难，以及如何增加国家预算的教育经费，特别是教育的间接费用、女童卫生设施方面的充足基础设施、以及受到足够培训的教师。同时请提供资料，说明采取打击校内暴力侵害女童行为政策的进展情况</w:t>
      </w:r>
      <w:r>
        <w:rPr>
          <w:rFonts w:hint="eastAsia"/>
        </w:rPr>
        <w:t>(</w:t>
      </w:r>
      <w:r>
        <w:rPr>
          <w:rFonts w:hint="eastAsia"/>
        </w:rPr>
        <w:t>第</w:t>
      </w:r>
      <w:r>
        <w:rPr>
          <w:rFonts w:hint="eastAsia"/>
        </w:rPr>
        <w:t>92</w:t>
      </w:r>
      <w:r>
        <w:rPr>
          <w:rFonts w:hint="eastAsia"/>
        </w:rPr>
        <w:t>段</w:t>
      </w:r>
      <w:r>
        <w:rPr>
          <w:rFonts w:hint="eastAsia"/>
        </w:rPr>
        <w:t>)</w:t>
      </w:r>
      <w:r>
        <w:rPr>
          <w:rFonts w:hint="eastAsia"/>
        </w:rPr>
        <w:t>，如何采取措施建立有效机制以举报教育系统内的虐待和暴力行为，以及委员会</w:t>
      </w:r>
      <w:r>
        <w:rPr>
          <w:rFonts w:hint="eastAsia"/>
        </w:rPr>
        <w:t>2010</w:t>
      </w:r>
      <w:r>
        <w:rPr>
          <w:rFonts w:hint="eastAsia"/>
        </w:rPr>
        <w:t>年建议的零容忍政策的进展情况</w:t>
      </w:r>
      <w:r>
        <w:rPr>
          <w:rFonts w:hint="eastAsia"/>
        </w:rPr>
        <w:t>(</w:t>
      </w:r>
      <w:r>
        <w:rPr>
          <w:rFonts w:hint="eastAsia"/>
        </w:rPr>
        <w:t>见</w:t>
      </w:r>
      <w:hyperlink r:id="rId18" w:history="1">
        <w:r w:rsidRPr="004954C3">
          <w:rPr>
            <w:rStyle w:val="Hyperlink"/>
            <w:rFonts w:hint="eastAsia"/>
          </w:rPr>
          <w:t>CEDAW/C/MWI/CO/6</w:t>
        </w:r>
      </w:hyperlink>
      <w:r w:rsidR="00C66C0F">
        <w:rPr>
          <w:rFonts w:hint="eastAsia"/>
        </w:rPr>
        <w:t>，</w:t>
      </w:r>
      <w:r>
        <w:rPr>
          <w:rFonts w:hint="eastAsia"/>
        </w:rPr>
        <w:t>第</w:t>
      </w:r>
      <w:r>
        <w:rPr>
          <w:rFonts w:hint="eastAsia"/>
        </w:rPr>
        <w:t>31</w:t>
      </w:r>
      <w:r>
        <w:rPr>
          <w:rFonts w:hint="eastAsia"/>
        </w:rPr>
        <w:t>段</w:t>
      </w:r>
      <w:r>
        <w:rPr>
          <w:rFonts w:hint="eastAsia"/>
        </w:rPr>
        <w:t>)</w:t>
      </w:r>
      <w:r>
        <w:rPr>
          <w:rFonts w:hint="eastAsia"/>
        </w:rPr>
        <w:t>。</w:t>
      </w:r>
    </w:p>
    <w:p w:rsidR="006E51B8" w:rsidRPr="006E51B8" w:rsidRDefault="006E51B8" w:rsidP="006E51B8">
      <w:pPr>
        <w:pStyle w:val="SingleTxt"/>
        <w:rPr>
          <w:rFonts w:ascii="SimHei" w:eastAsia="SimHei" w:hAnsi="SimHei" w:hint="eastAsia"/>
        </w:rPr>
      </w:pPr>
      <w:r w:rsidRPr="006E51B8">
        <w:rPr>
          <w:rFonts w:ascii="SimHei" w:eastAsia="SimHei" w:hAnsi="SimHei" w:hint="eastAsia"/>
        </w:rPr>
        <w:t>就业</w:t>
      </w:r>
    </w:p>
    <w:p w:rsidR="006E51B8" w:rsidRDefault="006E51B8" w:rsidP="006E51B8">
      <w:pPr>
        <w:pStyle w:val="SingleTxt"/>
        <w:rPr>
          <w:rFonts w:hint="eastAsia"/>
        </w:rPr>
      </w:pPr>
      <w:r>
        <w:rPr>
          <w:rFonts w:hint="eastAsia"/>
        </w:rPr>
        <w:t>13.</w:t>
      </w:r>
      <w:r>
        <w:rPr>
          <w:rFonts w:hint="eastAsia"/>
        </w:rPr>
        <w:tab/>
      </w:r>
      <w:r>
        <w:rPr>
          <w:rFonts w:hint="eastAsia"/>
        </w:rPr>
        <w:t>请提供关于男女工资差距的数据。请提供资料</w:t>
      </w:r>
      <w:r w:rsidR="00C66C0F">
        <w:rPr>
          <w:rFonts w:hint="eastAsia"/>
        </w:rPr>
        <w:t>，</w:t>
      </w:r>
      <w:r>
        <w:rPr>
          <w:rFonts w:hint="eastAsia"/>
        </w:rPr>
        <w:t xml:space="preserve"> </w:t>
      </w:r>
      <w:r>
        <w:rPr>
          <w:rFonts w:hint="eastAsia"/>
        </w:rPr>
        <w:t>说明农村妇女所做的无报酬护理工作在多大程度上列入了关于就业的统计数据。同时请提供资料，说明法律委员会关于修订《就业法》以便实施陪产假的提案的目前状况</w:t>
      </w:r>
      <w:r>
        <w:rPr>
          <w:rFonts w:hint="eastAsia"/>
        </w:rPr>
        <w:t>(</w:t>
      </w:r>
      <w:r>
        <w:rPr>
          <w:rFonts w:hint="eastAsia"/>
        </w:rPr>
        <w:t>第</w:t>
      </w:r>
      <w:r>
        <w:rPr>
          <w:rFonts w:hint="eastAsia"/>
        </w:rPr>
        <w:t>35</w:t>
      </w:r>
      <w:r>
        <w:rPr>
          <w:rFonts w:hint="eastAsia"/>
        </w:rPr>
        <w:t>段</w:t>
      </w:r>
      <w:r>
        <w:rPr>
          <w:rFonts w:hint="eastAsia"/>
        </w:rPr>
        <w:t>)</w:t>
      </w:r>
      <w:r>
        <w:rPr>
          <w:rFonts w:hint="eastAsia"/>
        </w:rPr>
        <w:t>。缔约国的报告提到妇女因为怀孕而失去职业的案件，妇女无法领取生育津贴的人数也在增加</w:t>
      </w:r>
      <w:r>
        <w:rPr>
          <w:rFonts w:hint="eastAsia"/>
        </w:rPr>
        <w:t>(</w:t>
      </w:r>
      <w:r>
        <w:rPr>
          <w:rFonts w:hint="eastAsia"/>
        </w:rPr>
        <w:t>第</w:t>
      </w:r>
      <w:r>
        <w:rPr>
          <w:rFonts w:hint="eastAsia"/>
        </w:rPr>
        <w:t>97</w:t>
      </w:r>
      <w:r>
        <w:rPr>
          <w:rFonts w:hint="eastAsia"/>
        </w:rPr>
        <w:t>段</w:t>
      </w:r>
      <w:r>
        <w:rPr>
          <w:rFonts w:hint="eastAsia"/>
        </w:rPr>
        <w:t>)</w:t>
      </w:r>
      <w:r>
        <w:rPr>
          <w:rFonts w:hint="eastAsia"/>
        </w:rPr>
        <w:t>。请就此种案件的数目以及禁止实施的规定提供详细资料。同时请提供资料，说明采取了哪些措施以全面执行国家立法框架，特别是在保护生育、征聘做法、同工同酬和晋升做法等方面。请说明缔约国是否打算取消歧视性的限制做法和法规，特别是关于女警察的怀孕和结婚的马拉维警察第</w:t>
      </w:r>
      <w:r>
        <w:rPr>
          <w:rFonts w:hint="eastAsia"/>
        </w:rPr>
        <w:t>31</w:t>
      </w:r>
      <w:r>
        <w:rPr>
          <w:rFonts w:hint="eastAsia"/>
        </w:rPr>
        <w:t>号现行通令。缔约国的报告没有提到采取了任何措施以执行《性别平等法》关于禁止性骚扰的规定。请说明现在有哪些机制，让办公室性别歧视和性骚扰的受害者能够有效地要求补救。请提供资料，说明采取了哪些措施建立法律框架和劳动监察体制，以保护被家人派去城市地区从事家务工作或被派去农场工作的女童</w:t>
      </w:r>
      <w:r>
        <w:rPr>
          <w:rFonts w:hint="eastAsia"/>
        </w:rPr>
        <w:t>(</w:t>
      </w:r>
      <w:r>
        <w:rPr>
          <w:rFonts w:hint="eastAsia"/>
        </w:rPr>
        <w:t>第</w:t>
      </w:r>
      <w:r>
        <w:rPr>
          <w:rFonts w:hint="eastAsia"/>
        </w:rPr>
        <w:t>77</w:t>
      </w:r>
      <w:r>
        <w:rPr>
          <w:rFonts w:hint="eastAsia"/>
        </w:rPr>
        <w:t>段</w:t>
      </w:r>
      <w:r>
        <w:rPr>
          <w:rFonts w:hint="eastAsia"/>
        </w:rPr>
        <w:t>)</w:t>
      </w:r>
      <w:r>
        <w:rPr>
          <w:rFonts w:hint="eastAsia"/>
        </w:rPr>
        <w:t>。</w:t>
      </w:r>
    </w:p>
    <w:p w:rsidR="006E51B8" w:rsidRPr="006E51B8" w:rsidRDefault="006E51B8" w:rsidP="006E51B8">
      <w:pPr>
        <w:pStyle w:val="SingleTxt"/>
        <w:rPr>
          <w:rFonts w:ascii="SimHei" w:eastAsia="SimHei" w:hAnsi="SimHei" w:hint="eastAsia"/>
        </w:rPr>
      </w:pPr>
      <w:r w:rsidRPr="006E51B8">
        <w:rPr>
          <w:rFonts w:ascii="SimHei" w:eastAsia="SimHei" w:hAnsi="SimHei" w:hint="eastAsia"/>
        </w:rPr>
        <w:t>保健</w:t>
      </w:r>
    </w:p>
    <w:p w:rsidR="006E51B8" w:rsidRDefault="006E51B8" w:rsidP="006E51B8">
      <w:pPr>
        <w:pStyle w:val="SingleTxt"/>
        <w:rPr>
          <w:rFonts w:hint="eastAsia"/>
        </w:rPr>
      </w:pPr>
      <w:r>
        <w:rPr>
          <w:rFonts w:hint="eastAsia"/>
        </w:rPr>
        <w:t>14.</w:t>
      </w:r>
      <w:r>
        <w:rPr>
          <w:rFonts w:hint="eastAsia"/>
        </w:rPr>
        <w:tab/>
      </w:r>
      <w:r>
        <w:rPr>
          <w:rFonts w:hint="eastAsia"/>
        </w:rPr>
        <w:t>请提供资料，说明关于《公共卫生法》审查工作的进展情况。请说明采取了哪些措施以降低居高不下的产妇死亡率，特别是农村妇女和少女。请提供资料，说明是否提供和容易获得关于性健康与生殖健康和权利的综合适龄教育以及计划生育服务，不论婚姻状况如何，而且包括青少年在内。请说明是否采取措施，确保提供负担得起的避孕方法，并分发关于避孕方法的信息，包括供性暴力受害者使用的紧急避孕药品。请提供资料，说明审查堕胎规定的进展情况，以期废除对堕胎妇女的惩罚规定，并扩大允许堕胎的理由，将强奸、乱伦、威胁到母亲健康和胎儿严重受损等情况包括在内。缔约国的报告提到，城市地区妇女的艾滋病毒</w:t>
      </w:r>
      <w:r>
        <w:rPr>
          <w:rFonts w:hint="eastAsia"/>
        </w:rPr>
        <w:t>/</w:t>
      </w:r>
      <w:r>
        <w:rPr>
          <w:rFonts w:hint="eastAsia"/>
        </w:rPr>
        <w:t>艾滋病感染率最高</w:t>
      </w:r>
      <w:r>
        <w:rPr>
          <w:rFonts w:hint="eastAsia"/>
        </w:rPr>
        <w:t>(22.7</w:t>
      </w:r>
      <w:r>
        <w:rPr>
          <w:rFonts w:hint="eastAsia"/>
        </w:rPr>
        <w:t>％</w:t>
      </w:r>
      <w:r>
        <w:rPr>
          <w:rFonts w:hint="eastAsia"/>
        </w:rPr>
        <w:t>)</w:t>
      </w:r>
      <w:r>
        <w:rPr>
          <w:rFonts w:hint="eastAsia"/>
        </w:rPr>
        <w:t>，并在</w:t>
      </w:r>
      <w:r>
        <w:rPr>
          <w:rFonts w:hint="eastAsia"/>
        </w:rPr>
        <w:t>2013</w:t>
      </w:r>
      <w:r>
        <w:rPr>
          <w:rFonts w:hint="eastAsia"/>
        </w:rPr>
        <w:t>年修订了国家防治艾滋病毒和艾滋病的行动。请提供资料，说明防治艾滋病毒</w:t>
      </w:r>
      <w:r>
        <w:rPr>
          <w:rFonts w:hint="eastAsia"/>
        </w:rPr>
        <w:t>/</w:t>
      </w:r>
      <w:r>
        <w:rPr>
          <w:rFonts w:hint="eastAsia"/>
        </w:rPr>
        <w:t>艾滋病草案的内容和现况，并说明是否采取措施，停止对卖淫被捕的妇女强制进行艾滋病毒测试。</w:t>
      </w:r>
    </w:p>
    <w:p w:rsidR="006E51B8" w:rsidRPr="006E51B8" w:rsidRDefault="006E51B8" w:rsidP="006E51B8">
      <w:pPr>
        <w:pStyle w:val="SingleTxt"/>
        <w:rPr>
          <w:rFonts w:ascii="SimHei" w:eastAsia="SimHei" w:hAnsi="SimHei" w:hint="eastAsia"/>
        </w:rPr>
      </w:pPr>
      <w:r w:rsidRPr="006E51B8">
        <w:rPr>
          <w:rFonts w:ascii="SimHei" w:eastAsia="SimHei" w:hAnsi="SimHei" w:hint="eastAsia"/>
        </w:rPr>
        <w:t>农村妇女</w:t>
      </w:r>
    </w:p>
    <w:p w:rsidR="006E51B8" w:rsidRDefault="006E51B8" w:rsidP="006E51B8">
      <w:pPr>
        <w:pStyle w:val="SingleTxt"/>
        <w:rPr>
          <w:rFonts w:hint="eastAsia"/>
        </w:rPr>
      </w:pPr>
      <w:r>
        <w:rPr>
          <w:rFonts w:hint="eastAsia"/>
        </w:rPr>
        <w:t>15.</w:t>
      </w:r>
      <w:r>
        <w:rPr>
          <w:rFonts w:hint="eastAsia"/>
        </w:rPr>
        <w:tab/>
      </w:r>
      <w:r>
        <w:rPr>
          <w:rFonts w:hint="eastAsia"/>
        </w:rPr>
        <w:t>请提供资料，说明在拟议的传统土地法案下土地改革的进展情况</w:t>
      </w:r>
      <w:r>
        <w:rPr>
          <w:rFonts w:hint="eastAsia"/>
        </w:rPr>
        <w:t>(</w:t>
      </w:r>
      <w:r>
        <w:rPr>
          <w:rFonts w:hint="eastAsia"/>
        </w:rPr>
        <w:t>第</w:t>
      </w:r>
      <w:r>
        <w:rPr>
          <w:rFonts w:hint="eastAsia"/>
        </w:rPr>
        <w:t>128</w:t>
      </w:r>
      <w:r>
        <w:rPr>
          <w:rFonts w:hint="eastAsia"/>
        </w:rPr>
        <w:t>段</w:t>
      </w:r>
      <w:r>
        <w:rPr>
          <w:rFonts w:hint="eastAsia"/>
        </w:rPr>
        <w:t>)</w:t>
      </w:r>
      <w:r>
        <w:rPr>
          <w:rFonts w:hint="eastAsia"/>
        </w:rPr>
        <w:t>，包括进行改革，保护妇女的传统土地权利以及促进妇女在传统土地分配和控制生产资源方面参与决策。请说明采取了哪些措施，按照特别报告员关于食物权的建</w:t>
      </w:r>
      <w:r w:rsidRPr="006E51B8">
        <w:rPr>
          <w:rFonts w:hint="eastAsia"/>
          <w:spacing w:val="-2"/>
        </w:rPr>
        <w:t>议</w:t>
      </w:r>
      <w:r w:rsidRPr="006E51B8">
        <w:rPr>
          <w:rFonts w:hint="eastAsia"/>
          <w:spacing w:val="-2"/>
        </w:rPr>
        <w:t>(</w:t>
      </w:r>
      <w:r w:rsidRPr="006E51B8">
        <w:rPr>
          <w:rFonts w:hint="eastAsia"/>
          <w:spacing w:val="-2"/>
        </w:rPr>
        <w:t>见</w:t>
      </w:r>
      <w:hyperlink r:id="rId19" w:history="1">
        <w:r w:rsidRPr="004954C3">
          <w:rPr>
            <w:rStyle w:val="Hyperlink"/>
            <w:rFonts w:hint="eastAsia"/>
            <w:spacing w:val="-2"/>
          </w:rPr>
          <w:t>A/HRC/25/57/Add.1</w:t>
        </w:r>
      </w:hyperlink>
      <w:r w:rsidRPr="006E51B8">
        <w:rPr>
          <w:rFonts w:hint="eastAsia"/>
          <w:spacing w:val="-2"/>
        </w:rPr>
        <w:t>，第</w:t>
      </w:r>
      <w:r w:rsidRPr="006E51B8">
        <w:rPr>
          <w:rFonts w:hint="eastAsia"/>
          <w:spacing w:val="-2"/>
        </w:rPr>
        <w:t>83(b)</w:t>
      </w:r>
      <w:r w:rsidRPr="006E51B8">
        <w:rPr>
          <w:rFonts w:hint="eastAsia"/>
          <w:spacing w:val="-2"/>
        </w:rPr>
        <w:t>段</w:t>
      </w:r>
      <w:r w:rsidRPr="006E51B8">
        <w:rPr>
          <w:rFonts w:hint="eastAsia"/>
          <w:spacing w:val="-2"/>
        </w:rPr>
        <w:t>)</w:t>
      </w:r>
      <w:r w:rsidRPr="006E51B8">
        <w:rPr>
          <w:rFonts w:hint="eastAsia"/>
          <w:spacing w:val="-2"/>
        </w:rPr>
        <w:t>，把两性平等观点纳入食品和营养安全战略和方案，以及采取哪些措施以扫除农村妇女的文盲现象。该报告指出，老年妇女因被怀疑施行巫术以及教授儿童巫术而遭受酷刑和暴力</w:t>
      </w:r>
      <w:r w:rsidRPr="006E51B8">
        <w:rPr>
          <w:rFonts w:hint="eastAsia"/>
          <w:spacing w:val="-2"/>
        </w:rPr>
        <w:t>(</w:t>
      </w:r>
      <w:r w:rsidRPr="006E51B8">
        <w:rPr>
          <w:rFonts w:hint="eastAsia"/>
          <w:spacing w:val="-2"/>
        </w:rPr>
        <w:t>第</w:t>
      </w:r>
      <w:r w:rsidRPr="006E51B8">
        <w:rPr>
          <w:rFonts w:hint="eastAsia"/>
          <w:spacing w:val="-2"/>
        </w:rPr>
        <w:t>130</w:t>
      </w:r>
      <w:r w:rsidRPr="006E51B8">
        <w:rPr>
          <w:rFonts w:hint="eastAsia"/>
          <w:spacing w:val="-2"/>
        </w:rPr>
        <w:t>段</w:t>
      </w:r>
      <w:r w:rsidRPr="006E51B8">
        <w:rPr>
          <w:rFonts w:hint="eastAsia"/>
          <w:spacing w:val="-2"/>
        </w:rPr>
        <w:t>)</w:t>
      </w:r>
      <w:r w:rsidRPr="006E51B8">
        <w:rPr>
          <w:rFonts w:hint="eastAsia"/>
          <w:spacing w:val="-2"/>
        </w:rPr>
        <w:t>。请提供资料，说明采取哪些措施来解决和禁止此种现象，以及采取哪些步骤来废除《巫术法》。</w:t>
      </w:r>
    </w:p>
    <w:p w:rsidR="006E51B8" w:rsidRPr="006E51B8" w:rsidRDefault="006E51B8" w:rsidP="006E51B8">
      <w:pPr>
        <w:pStyle w:val="SingleTxt"/>
        <w:rPr>
          <w:rFonts w:ascii="SimHei" w:eastAsia="SimHei" w:hAnsi="SimHei" w:hint="eastAsia"/>
        </w:rPr>
      </w:pPr>
      <w:r w:rsidRPr="006E51B8">
        <w:rPr>
          <w:rFonts w:ascii="SimHei" w:eastAsia="SimHei" w:hAnsi="SimHei" w:hint="eastAsia"/>
        </w:rPr>
        <w:t>弱势妇女群体</w:t>
      </w:r>
    </w:p>
    <w:p w:rsidR="006E51B8" w:rsidRDefault="006E51B8" w:rsidP="006E51B8">
      <w:pPr>
        <w:pStyle w:val="SingleTxt"/>
        <w:rPr>
          <w:rFonts w:hint="eastAsia"/>
        </w:rPr>
      </w:pPr>
      <w:r>
        <w:rPr>
          <w:rFonts w:hint="eastAsia"/>
        </w:rPr>
        <w:t>16.</w:t>
      </w:r>
      <w:r>
        <w:rPr>
          <w:rFonts w:hint="eastAsia"/>
        </w:rPr>
        <w:tab/>
      </w:r>
      <w:r>
        <w:rPr>
          <w:rFonts w:hint="eastAsia"/>
        </w:rPr>
        <w:t>鉴于祭祀杀人、失踪、企图贩卖白化病妇女和女童的数目增加，请提供资料，说明采取哪些措施来帮助白化病妇女和女童面对歧视和社会排斥，保护她们免于暴力。同时请说明是否开展提高认识活动以消除此种歧视。</w:t>
      </w:r>
    </w:p>
    <w:p w:rsidR="006E51B8" w:rsidRPr="006E51B8" w:rsidRDefault="006E51B8" w:rsidP="006E51B8">
      <w:pPr>
        <w:pStyle w:val="SingleTxt"/>
        <w:rPr>
          <w:rFonts w:ascii="SimHei" w:eastAsia="SimHei" w:hAnsi="SimHei" w:hint="eastAsia"/>
        </w:rPr>
      </w:pPr>
      <w:r w:rsidRPr="006E51B8">
        <w:rPr>
          <w:rFonts w:ascii="SimHei" w:eastAsia="SimHei" w:hAnsi="SimHei" w:hint="eastAsia"/>
        </w:rPr>
        <w:t>自然灾害的影响</w:t>
      </w:r>
    </w:p>
    <w:p w:rsidR="006E51B8" w:rsidRDefault="006E51B8" w:rsidP="006E51B8">
      <w:pPr>
        <w:pStyle w:val="SingleTxt"/>
        <w:rPr>
          <w:rFonts w:hint="eastAsia"/>
        </w:rPr>
      </w:pPr>
      <w:r>
        <w:rPr>
          <w:rFonts w:hint="eastAsia"/>
        </w:rPr>
        <w:t>17.</w:t>
      </w:r>
      <w:r>
        <w:rPr>
          <w:rFonts w:hint="eastAsia"/>
        </w:rPr>
        <w:tab/>
      </w:r>
      <w:r>
        <w:rPr>
          <w:rFonts w:hint="eastAsia"/>
        </w:rPr>
        <w:t>鉴于缔约国最近发生水灾，导致社区人口流离失所，又鉴于妇女因此而流离失所的情况格外严重，请提供资料，说明已经或打算采取哪些措施，在国家灾害管理和应急计划以及在救助和恢复战略中纳入两性平等观点，包括切实保护失所的妇女和女童，防止因水灾的经济影响造成更多早婚现象。同时请说明缔约国是否打算采取积极措施，协助妇女在决策层面参加有关自然灾害政策和方案的设计和执行，包括风险防范。</w:t>
      </w:r>
    </w:p>
    <w:p w:rsidR="006E51B8" w:rsidRPr="006E51B8" w:rsidRDefault="006E51B8" w:rsidP="006E51B8">
      <w:pPr>
        <w:pStyle w:val="SingleTxt"/>
        <w:rPr>
          <w:rFonts w:ascii="SimHei" w:eastAsia="SimHei" w:hAnsi="SimHei" w:hint="eastAsia"/>
        </w:rPr>
      </w:pPr>
      <w:r w:rsidRPr="006E51B8">
        <w:rPr>
          <w:rFonts w:ascii="SimHei" w:eastAsia="SimHei" w:hAnsi="SimHei" w:hint="eastAsia"/>
        </w:rPr>
        <w:t>婚姻和家庭关系</w:t>
      </w:r>
    </w:p>
    <w:p w:rsidR="006E51B8" w:rsidRDefault="006E51B8" w:rsidP="006E51B8">
      <w:pPr>
        <w:pStyle w:val="SingleTxt"/>
        <w:rPr>
          <w:rFonts w:hint="eastAsia"/>
        </w:rPr>
      </w:pPr>
      <w:r>
        <w:rPr>
          <w:rFonts w:hint="eastAsia"/>
        </w:rPr>
        <w:t>18.</w:t>
      </w:r>
      <w:r>
        <w:rPr>
          <w:rFonts w:hint="eastAsia"/>
        </w:rPr>
        <w:tab/>
      </w:r>
      <w:r>
        <w:rPr>
          <w:rFonts w:hint="eastAsia"/>
        </w:rPr>
        <w:t>鉴于缔约国存在着法定婚姻、习俗婚姻和宗教婚姻，请说明以宗教仪式或根据习惯法结婚的妇女是否可以就婚姻、家庭关系和遗产事务诉诸民事法庭。请提供资料，说明议会最近通过的《婚姻、离婚和家庭关系法》的内容和生效时间表，澄清是否将结婚年龄都定为</w:t>
      </w:r>
      <w:r>
        <w:rPr>
          <w:rFonts w:hint="eastAsia"/>
        </w:rPr>
        <w:t>18</w:t>
      </w:r>
      <w:r>
        <w:rPr>
          <w:rFonts w:hint="eastAsia"/>
        </w:rPr>
        <w:t>岁和</w:t>
      </w:r>
      <w:r>
        <w:rPr>
          <w:rFonts w:hint="eastAsia"/>
        </w:rPr>
        <w:t>/</w:t>
      </w:r>
      <w:r>
        <w:rPr>
          <w:rFonts w:hint="eastAsia"/>
        </w:rPr>
        <w:t>或允许例外情况，是否规范童年订婚问题，以及规定婚姻必须登记。同时请提供资料，说明打算采取哪些措施以确保其充分执行，特别是关于农村妇女的提高认识活动。</w:t>
      </w:r>
      <w:r>
        <w:rPr>
          <w:rFonts w:hint="eastAsia"/>
        </w:rPr>
        <w:t xml:space="preserve"> </w:t>
      </w:r>
    </w:p>
    <w:p w:rsidR="006E51B8" w:rsidRDefault="006E51B8" w:rsidP="006E51B8">
      <w:pPr>
        <w:pStyle w:val="SingleTxt"/>
        <w:rPr>
          <w:rFonts w:hint="eastAsia"/>
        </w:rPr>
      </w:pPr>
      <w:r>
        <w:rPr>
          <w:rFonts w:hint="eastAsia"/>
        </w:rPr>
        <w:t>19.</w:t>
      </w:r>
      <w:r>
        <w:rPr>
          <w:rFonts w:hint="eastAsia"/>
        </w:rPr>
        <w:tab/>
      </w:r>
      <w:r>
        <w:rPr>
          <w:rFonts w:hint="eastAsia"/>
        </w:rPr>
        <w:t>缔约国的报告提到，老年妇女被年轻的男性亲属扫地出门的情况有所增加</w:t>
      </w:r>
      <w:r>
        <w:rPr>
          <w:rFonts w:hint="eastAsia"/>
        </w:rPr>
        <w:t>(</w:t>
      </w:r>
      <w:r>
        <w:rPr>
          <w:rFonts w:hint="eastAsia"/>
        </w:rPr>
        <w:t>第</w:t>
      </w:r>
      <w:r>
        <w:rPr>
          <w:rFonts w:hint="eastAsia"/>
        </w:rPr>
        <w:t>138</w:t>
      </w:r>
      <w:r>
        <w:rPr>
          <w:rFonts w:hint="eastAsia"/>
        </w:rPr>
        <w:t>和</w:t>
      </w:r>
      <w:r>
        <w:rPr>
          <w:rFonts w:hint="eastAsia"/>
        </w:rPr>
        <w:t>148</w:t>
      </w:r>
      <w:r>
        <w:rPr>
          <w:rFonts w:hint="eastAsia"/>
        </w:rPr>
        <w:t>段</w:t>
      </w:r>
      <w:r>
        <w:rPr>
          <w:rFonts w:hint="eastAsia"/>
        </w:rPr>
        <w:t>)</w:t>
      </w:r>
      <w:r>
        <w:rPr>
          <w:rFonts w:hint="eastAsia"/>
        </w:rPr>
        <w:t>。请提供资料，说明采取了哪些措施来解决这种普遍存在的现象，确保妇女了解她们依据新的《遗产</w:t>
      </w:r>
      <w:r>
        <w:rPr>
          <w:rFonts w:hint="eastAsia"/>
        </w:rPr>
        <w:t>(</w:t>
      </w:r>
      <w:r>
        <w:rPr>
          <w:rFonts w:hint="eastAsia"/>
        </w:rPr>
        <w:t>遗嘱、继承和保护</w:t>
      </w:r>
      <w:r>
        <w:rPr>
          <w:rFonts w:hint="eastAsia"/>
        </w:rPr>
        <w:t>)</w:t>
      </w:r>
      <w:r>
        <w:rPr>
          <w:rFonts w:hint="eastAsia"/>
        </w:rPr>
        <w:t>法》应享的权利。</w:t>
      </w:r>
    </w:p>
    <w:p w:rsidR="006E51B8" w:rsidRPr="006E51B8" w:rsidRDefault="006E51B8" w:rsidP="006E51B8">
      <w:pPr>
        <w:pStyle w:val="SingleTxt"/>
        <w:rPr>
          <w:rFonts w:ascii="SimHei" w:eastAsia="SimHei" w:hAnsi="SimHei" w:hint="eastAsia"/>
        </w:rPr>
      </w:pPr>
      <w:r w:rsidRPr="006E51B8">
        <w:rPr>
          <w:rFonts w:ascii="SimHei" w:eastAsia="SimHei" w:hAnsi="SimHei" w:hint="eastAsia"/>
        </w:rPr>
        <w:t>《任择议定书》和《公约》第20(1)条的修正案</w:t>
      </w:r>
    </w:p>
    <w:p w:rsidR="005A089A" w:rsidRDefault="006E51B8" w:rsidP="006E51B8">
      <w:pPr>
        <w:pStyle w:val="SingleTxt"/>
        <w:rPr>
          <w:rFonts w:hint="eastAsia"/>
        </w:rPr>
      </w:pPr>
      <w:r>
        <w:rPr>
          <w:rFonts w:hint="eastAsia"/>
        </w:rPr>
        <w:t>20.</w:t>
      </w:r>
      <w:r>
        <w:rPr>
          <w:rFonts w:hint="eastAsia"/>
        </w:rPr>
        <w:tab/>
      </w:r>
      <w:r>
        <w:rPr>
          <w:rFonts w:hint="eastAsia"/>
        </w:rPr>
        <w:t>请说明在同意接受《公约》第</w:t>
      </w:r>
      <w:r>
        <w:rPr>
          <w:rFonts w:hint="eastAsia"/>
        </w:rPr>
        <w:t>20(1)</w:t>
      </w:r>
      <w:r>
        <w:rPr>
          <w:rFonts w:hint="eastAsia"/>
        </w:rPr>
        <w:t>条的修正案和批准《任择议定书》方面是否取得任何进展。</w:t>
      </w:r>
    </w:p>
    <w:p w:rsidR="006E51B8" w:rsidRPr="006E51B8" w:rsidRDefault="006E51B8" w:rsidP="006E51B8">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color="#010000" strokeweight=".25pt"/>
        </w:pict>
      </w:r>
    </w:p>
    <w:sectPr w:rsidR="006E51B8" w:rsidRPr="006E51B8" w:rsidSect="005A089A">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8T13:05:00Z" w:initials="Start">
    <w:p w:rsidR="005A089A" w:rsidRDefault="005A089A">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4954C3">
        <w:fldChar w:fldCharType="separate"/>
      </w:r>
      <w:r w:rsidR="004954C3">
        <w:rPr>
          <w:rFonts w:hint="eastAsia"/>
          <w:noProof/>
        </w:rPr>
        <w:t>页</w:t>
      </w:r>
      <w:r w:rsidR="004954C3">
        <w:rPr>
          <w:rFonts w:hint="eastAsia"/>
          <w:noProof/>
        </w:rPr>
        <w:t xml:space="preserve">: </w:t>
      </w:r>
      <w:r w:rsidR="004954C3">
        <w:rPr>
          <w:noProof/>
        </w:rPr>
        <w:t>1</w:t>
      </w:r>
      <w:r w:rsidR="004954C3">
        <w:rPr>
          <w:rFonts w:hint="eastAsia"/>
          <w:noProof/>
        </w:rPr>
        <w:br/>
      </w:r>
      <w:r>
        <w:fldChar w:fldCharType="end"/>
      </w:r>
      <w:r>
        <w:rPr>
          <w:rStyle w:val="CommentReference"/>
        </w:rPr>
        <w:annotationRef/>
      </w:r>
      <w:r>
        <w:t>&lt;&lt;ODS JOB NO&gt;&gt;N1507131C&lt;&lt;ODS JOB NO&gt;&gt;</w:t>
      </w:r>
    </w:p>
    <w:p w:rsidR="005A089A" w:rsidRDefault="005A089A">
      <w:pPr>
        <w:pStyle w:val="CommentText"/>
      </w:pPr>
      <w:r>
        <w:t>&lt;&lt;ODS DOC SYMBOL1&gt;&gt;CEDAW/C/MWI/Q/7&lt;&lt;ODS DOC SYMBOL1&gt;&gt;</w:t>
      </w:r>
    </w:p>
    <w:p w:rsidR="005A089A" w:rsidRDefault="005A089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6866" w:rsidRDefault="00A86866">
      <w:r>
        <w:separator/>
      </w:r>
    </w:p>
  </w:endnote>
  <w:endnote w:type="continuationSeparator" w:id="0">
    <w:p w:rsidR="00A86866" w:rsidRDefault="00A868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A089A" w:rsidTr="005A089A">
      <w:tblPrEx>
        <w:tblCellMar>
          <w:top w:w="0" w:type="dxa"/>
          <w:bottom w:w="0" w:type="dxa"/>
        </w:tblCellMar>
      </w:tblPrEx>
      <w:tc>
        <w:tcPr>
          <w:tcW w:w="5028" w:type="dxa"/>
          <w:shd w:val="clear" w:color="auto" w:fill="auto"/>
        </w:tcPr>
        <w:p w:rsidR="005A089A" w:rsidRPr="005A089A" w:rsidRDefault="005A089A" w:rsidP="005A089A">
          <w:pPr>
            <w:pStyle w:val="Footer"/>
            <w:jc w:val="right"/>
            <w:rPr>
              <w:b w:val="0"/>
              <w:w w:val="103"/>
              <w:sz w:val="14"/>
            </w:rPr>
          </w:pPr>
          <w:fldSimple w:instr=" DOCVARIABLE &quot;FooterJN&quot; \* MERGEFORMAT ">
            <w:r w:rsidR="004954C3">
              <w:rPr>
                <w:b w:val="0"/>
                <w:w w:val="103"/>
                <w:sz w:val="14"/>
              </w:rPr>
              <w:t>15-04036 (C)</w:t>
            </w:r>
          </w:fldSimple>
        </w:p>
      </w:tc>
      <w:tc>
        <w:tcPr>
          <w:tcW w:w="5028" w:type="dxa"/>
          <w:shd w:val="clear" w:color="auto" w:fill="auto"/>
        </w:tcPr>
        <w:p w:rsidR="005A089A" w:rsidRPr="005A089A" w:rsidRDefault="005A089A" w:rsidP="005A089A">
          <w:pPr>
            <w:pStyle w:val="Footer"/>
            <w:jc w:val="left"/>
            <w:rPr>
              <w:w w:val="103"/>
            </w:rPr>
          </w:pPr>
          <w:r>
            <w:rPr>
              <w:w w:val="103"/>
            </w:rPr>
            <w:fldChar w:fldCharType="begin"/>
          </w:r>
          <w:r>
            <w:rPr>
              <w:w w:val="103"/>
            </w:rPr>
            <w:instrText xml:space="preserve"> PAGE  \* Arabic  \* MERGEFORMAT </w:instrText>
          </w:r>
          <w:r>
            <w:rPr>
              <w:w w:val="103"/>
            </w:rPr>
            <w:fldChar w:fldCharType="separate"/>
          </w:r>
          <w:r w:rsidR="006F320C">
            <w:rPr>
              <w:w w:val="103"/>
            </w:rPr>
            <w:t>4</w:t>
          </w:r>
          <w:r>
            <w:rPr>
              <w:w w:val="103"/>
            </w:rPr>
            <w:fldChar w:fldCharType="end"/>
          </w:r>
          <w:r>
            <w:rPr>
              <w:w w:val="103"/>
            </w:rPr>
            <w:t>/</w:t>
          </w:r>
          <w:fldSimple w:instr=" NUMPAGES  \* Arabic  \* MERGEFORMAT ">
            <w:r w:rsidR="006F320C">
              <w:rPr>
                <w:w w:val="103"/>
              </w:rPr>
              <w:t>6</w:t>
            </w:r>
          </w:fldSimple>
        </w:p>
      </w:tc>
    </w:tr>
  </w:tbl>
  <w:p w:rsidR="005A089A" w:rsidRPr="005A089A" w:rsidRDefault="005A089A" w:rsidP="005A089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A089A" w:rsidTr="005A089A">
      <w:tblPrEx>
        <w:tblCellMar>
          <w:top w:w="0" w:type="dxa"/>
          <w:bottom w:w="0" w:type="dxa"/>
        </w:tblCellMar>
      </w:tblPrEx>
      <w:tc>
        <w:tcPr>
          <w:tcW w:w="5028" w:type="dxa"/>
          <w:shd w:val="clear" w:color="auto" w:fill="auto"/>
        </w:tcPr>
        <w:p w:rsidR="005A089A" w:rsidRPr="005A089A" w:rsidRDefault="005A089A" w:rsidP="005A089A">
          <w:pPr>
            <w:pStyle w:val="Footer"/>
            <w:jc w:val="right"/>
          </w:pPr>
          <w:fldSimple w:instr=" PAGE  \* Arabic  \* MERGEFORMAT ">
            <w:r w:rsidR="006F320C">
              <w:t>5</w:t>
            </w:r>
          </w:fldSimple>
          <w:r>
            <w:t>/</w:t>
          </w:r>
          <w:fldSimple w:instr=" NUMPAGES  \* Arabic  \* MERGEFORMAT ">
            <w:r w:rsidR="006F320C">
              <w:t>6</w:t>
            </w:r>
          </w:fldSimple>
        </w:p>
      </w:tc>
      <w:tc>
        <w:tcPr>
          <w:tcW w:w="5028" w:type="dxa"/>
          <w:shd w:val="clear" w:color="auto" w:fill="auto"/>
        </w:tcPr>
        <w:p w:rsidR="005A089A" w:rsidRPr="005A089A" w:rsidRDefault="005A089A" w:rsidP="005A089A">
          <w:pPr>
            <w:pStyle w:val="Footer"/>
            <w:jc w:val="left"/>
            <w:rPr>
              <w:b w:val="0"/>
              <w:w w:val="103"/>
              <w:sz w:val="14"/>
            </w:rPr>
          </w:pPr>
          <w:fldSimple w:instr=" DOCVARIABLE &quot;FooterJN&quot; \* MERGEFORMAT ">
            <w:r w:rsidR="004954C3">
              <w:rPr>
                <w:b w:val="0"/>
                <w:w w:val="103"/>
                <w:sz w:val="14"/>
              </w:rPr>
              <w:t>15-04036 (C)</w:t>
            </w:r>
          </w:fldSimple>
        </w:p>
      </w:tc>
    </w:tr>
  </w:tbl>
  <w:p w:rsidR="005A089A" w:rsidRPr="005A089A" w:rsidRDefault="005A089A" w:rsidP="005A089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5A089A" w:rsidTr="005A089A">
      <w:tblPrEx>
        <w:tblCellMar>
          <w:top w:w="0" w:type="dxa"/>
          <w:bottom w:w="0" w:type="dxa"/>
        </w:tblCellMar>
      </w:tblPrEx>
      <w:tc>
        <w:tcPr>
          <w:tcW w:w="3744" w:type="dxa"/>
        </w:tcPr>
        <w:p w:rsidR="005A089A" w:rsidRDefault="005A089A" w:rsidP="005A089A">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7Size =1Lang = C"/>
                <w10:wrap anchorx="page" anchory="page"/>
              </v:shape>
            </w:pict>
          </w:r>
          <w:r w:rsidR="006E51B8" w:rsidRPr="006E51B8">
            <w:t>15-04036 X (C)</w:t>
          </w:r>
          <w:r>
            <w:t xml:space="preserve">    0</w:t>
          </w:r>
          <w:r w:rsidR="006E51B8">
            <w:rPr>
              <w:rFonts w:hint="eastAsia"/>
            </w:rPr>
            <w:t>7</w:t>
          </w:r>
          <w:r>
            <w:t>0415    0</w:t>
          </w:r>
          <w:r w:rsidR="006E51B8">
            <w:rPr>
              <w:rFonts w:hint="eastAsia"/>
            </w:rPr>
            <w:t>9</w:t>
          </w:r>
          <w:r>
            <w:t>0415</w:t>
          </w:r>
        </w:p>
        <w:p w:rsidR="005A089A" w:rsidRPr="005A089A" w:rsidRDefault="005A089A" w:rsidP="005A089A">
          <w:pPr>
            <w:spacing w:before="80" w:line="210" w:lineRule="exact"/>
            <w:rPr>
              <w:rFonts w:ascii="Barcode 3 of 9 by request" w:hAnsi="Barcode 3 of 9 by request"/>
              <w:sz w:val="24"/>
            </w:rPr>
          </w:pPr>
          <w:r>
            <w:rPr>
              <w:rFonts w:ascii="Barcode 3 of 9 by request" w:hAnsi="Barcode 3 of 9 by request"/>
              <w:sz w:val="24"/>
            </w:rPr>
            <w:t>*1504036*</w:t>
          </w:r>
        </w:p>
      </w:tc>
      <w:tc>
        <w:tcPr>
          <w:tcW w:w="5028" w:type="dxa"/>
        </w:tcPr>
        <w:p w:rsidR="005A089A" w:rsidRDefault="005A089A" w:rsidP="005A089A">
          <w:pPr>
            <w:pStyle w:val="Footer"/>
            <w:jc w:val="right"/>
            <w:rPr>
              <w:b w:val="0"/>
              <w:sz w:val="21"/>
            </w:rPr>
          </w:pPr>
          <w:r>
            <w:rPr>
              <w:b w:val="0"/>
              <w:sz w:val="21"/>
            </w:rPr>
            <w:pict>
              <v:shape id="_x0000_i1026" type="#_x0000_t75" style="width:48.75pt;height:18pt">
                <v:imagedata r:id="rId2" o:title="recycle_Chinese"/>
              </v:shape>
            </w:pict>
          </w:r>
        </w:p>
      </w:tc>
    </w:tr>
  </w:tbl>
  <w:p w:rsidR="005A089A" w:rsidRPr="005A089A" w:rsidRDefault="005A089A" w:rsidP="005A089A">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6866" w:rsidRPr="006E51B8" w:rsidRDefault="00A86866" w:rsidP="006E51B8">
      <w:pPr>
        <w:pStyle w:val="Footer"/>
        <w:spacing w:after="80"/>
        <w:ind w:left="792"/>
        <w:rPr>
          <w:sz w:val="16"/>
        </w:rPr>
      </w:pPr>
      <w:r w:rsidRPr="006E51B8">
        <w:rPr>
          <w:sz w:val="16"/>
        </w:rPr>
        <w:t>__________________</w:t>
      </w:r>
    </w:p>
  </w:footnote>
  <w:footnote w:type="continuationSeparator" w:id="0">
    <w:p w:rsidR="00A86866" w:rsidRPr="006E51B8" w:rsidRDefault="00A86866" w:rsidP="006E51B8">
      <w:pPr>
        <w:pStyle w:val="Footer"/>
        <w:spacing w:after="80"/>
        <w:ind w:left="792"/>
        <w:rPr>
          <w:sz w:val="16"/>
        </w:rPr>
      </w:pPr>
      <w:r w:rsidRPr="006E51B8">
        <w:rPr>
          <w:sz w:val="16"/>
        </w:rPr>
        <w:t>__________________</w:t>
      </w:r>
    </w:p>
  </w:footnote>
  <w:footnote w:id="1">
    <w:p w:rsidR="006E51B8" w:rsidRDefault="006E51B8" w:rsidP="006E51B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E51B8">
        <w:rPr>
          <w:rFonts w:hint="eastAsia"/>
        </w:rPr>
        <w:t>除非另有说明，段数是指马拉维第七次定期报告中的段数。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5A089A" w:rsidTr="005A089A">
      <w:tblPrEx>
        <w:tblCellMar>
          <w:top w:w="0" w:type="dxa"/>
          <w:bottom w:w="0" w:type="dxa"/>
        </w:tblCellMar>
      </w:tblPrEx>
      <w:trPr>
        <w:trHeight w:hRule="exact" w:val="864"/>
      </w:trPr>
      <w:tc>
        <w:tcPr>
          <w:tcW w:w="4838" w:type="dxa"/>
          <w:shd w:val="clear" w:color="auto" w:fill="auto"/>
          <w:vAlign w:val="bottom"/>
        </w:tcPr>
        <w:p w:rsidR="005A089A" w:rsidRPr="005A089A" w:rsidRDefault="005A089A" w:rsidP="005A089A">
          <w:pPr>
            <w:pStyle w:val="Header"/>
            <w:spacing w:after="80"/>
            <w:jc w:val="left"/>
            <w:rPr>
              <w:b/>
              <w:sz w:val="17"/>
            </w:rPr>
          </w:pPr>
          <w:fldSimple w:instr=" DOCVARIABLE &quot;sss1&quot; \* MERGEFORMAT ">
            <w:r w:rsidR="004954C3">
              <w:rPr>
                <w:b/>
                <w:sz w:val="17"/>
              </w:rPr>
              <w:t>CEDAW/C/MWI/Q/7</w:t>
            </w:r>
          </w:fldSimple>
        </w:p>
      </w:tc>
      <w:tc>
        <w:tcPr>
          <w:tcW w:w="5028" w:type="dxa"/>
          <w:shd w:val="clear" w:color="auto" w:fill="auto"/>
          <w:vAlign w:val="bottom"/>
        </w:tcPr>
        <w:p w:rsidR="005A089A" w:rsidRDefault="005A089A" w:rsidP="005A089A">
          <w:pPr>
            <w:pStyle w:val="Header"/>
          </w:pPr>
        </w:p>
      </w:tc>
    </w:tr>
  </w:tbl>
  <w:p w:rsidR="005A089A" w:rsidRPr="005A089A" w:rsidRDefault="005A089A" w:rsidP="005A08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5A089A" w:rsidTr="005A089A">
      <w:tblPrEx>
        <w:tblCellMar>
          <w:top w:w="0" w:type="dxa"/>
          <w:bottom w:w="0" w:type="dxa"/>
        </w:tblCellMar>
      </w:tblPrEx>
      <w:trPr>
        <w:trHeight w:hRule="exact" w:val="864"/>
      </w:trPr>
      <w:tc>
        <w:tcPr>
          <w:tcW w:w="4838" w:type="dxa"/>
          <w:shd w:val="clear" w:color="auto" w:fill="auto"/>
          <w:vAlign w:val="bottom"/>
        </w:tcPr>
        <w:p w:rsidR="005A089A" w:rsidRDefault="005A089A" w:rsidP="005A089A">
          <w:pPr>
            <w:pStyle w:val="Header"/>
          </w:pPr>
        </w:p>
      </w:tc>
      <w:tc>
        <w:tcPr>
          <w:tcW w:w="5028" w:type="dxa"/>
          <w:shd w:val="clear" w:color="auto" w:fill="auto"/>
          <w:vAlign w:val="bottom"/>
        </w:tcPr>
        <w:p w:rsidR="005A089A" w:rsidRPr="005A089A" w:rsidRDefault="005A089A" w:rsidP="005A089A">
          <w:pPr>
            <w:pStyle w:val="Header"/>
            <w:spacing w:after="80"/>
            <w:jc w:val="right"/>
            <w:rPr>
              <w:b/>
              <w:sz w:val="17"/>
            </w:rPr>
          </w:pPr>
          <w:fldSimple w:instr=" DOCVARIABLE &quot;sss1&quot; \* MERGEFORMAT ">
            <w:r w:rsidR="004954C3">
              <w:rPr>
                <w:b/>
                <w:sz w:val="17"/>
              </w:rPr>
              <w:t>CEDAW/C/MWI/Q/7</w:t>
            </w:r>
          </w:fldSimple>
        </w:p>
      </w:tc>
    </w:tr>
  </w:tbl>
  <w:p w:rsidR="005A089A" w:rsidRPr="005A089A" w:rsidRDefault="005A089A" w:rsidP="005A089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5A089A" w:rsidTr="005A089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A089A" w:rsidRDefault="005A089A" w:rsidP="005A089A">
          <w:pPr>
            <w:pStyle w:val="Header"/>
            <w:spacing w:after="120"/>
          </w:pPr>
        </w:p>
      </w:tc>
      <w:tc>
        <w:tcPr>
          <w:tcW w:w="1872" w:type="dxa"/>
          <w:tcBorders>
            <w:bottom w:val="single" w:sz="4" w:space="0" w:color="auto"/>
          </w:tcBorders>
          <w:shd w:val="clear" w:color="auto" w:fill="auto"/>
          <w:vAlign w:val="bottom"/>
        </w:tcPr>
        <w:p w:rsidR="005A089A" w:rsidRPr="005A089A" w:rsidRDefault="005A089A" w:rsidP="005A089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A089A" w:rsidRDefault="005A089A" w:rsidP="005A089A">
          <w:pPr>
            <w:pStyle w:val="Header"/>
            <w:spacing w:after="120"/>
          </w:pPr>
        </w:p>
      </w:tc>
      <w:tc>
        <w:tcPr>
          <w:tcW w:w="6523" w:type="dxa"/>
          <w:gridSpan w:val="3"/>
          <w:tcBorders>
            <w:bottom w:val="single" w:sz="4" w:space="0" w:color="auto"/>
          </w:tcBorders>
          <w:shd w:val="clear" w:color="auto" w:fill="auto"/>
          <w:vAlign w:val="bottom"/>
        </w:tcPr>
        <w:p w:rsidR="005A089A" w:rsidRPr="005A089A" w:rsidRDefault="005A089A" w:rsidP="005A089A">
          <w:pPr>
            <w:spacing w:after="80" w:line="240" w:lineRule="auto"/>
            <w:jc w:val="right"/>
            <w:rPr>
              <w:position w:val="-4"/>
            </w:rPr>
          </w:pPr>
          <w:r>
            <w:rPr>
              <w:position w:val="-4"/>
              <w:sz w:val="40"/>
            </w:rPr>
            <w:t>CEDAW</w:t>
          </w:r>
          <w:r>
            <w:rPr>
              <w:position w:val="-4"/>
            </w:rPr>
            <w:t>/C/MWI/Q/7</w:t>
          </w:r>
        </w:p>
      </w:tc>
    </w:tr>
    <w:tr w:rsidR="005A089A" w:rsidRPr="005A089A" w:rsidTr="005A089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A089A" w:rsidRPr="005A089A" w:rsidRDefault="005A089A" w:rsidP="005A089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5A089A" w:rsidRPr="005A089A" w:rsidRDefault="005A089A" w:rsidP="005A089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A089A" w:rsidRPr="005A089A" w:rsidRDefault="005A089A" w:rsidP="005A089A">
          <w:pPr>
            <w:pStyle w:val="Header"/>
            <w:spacing w:before="109"/>
          </w:pPr>
        </w:p>
      </w:tc>
      <w:tc>
        <w:tcPr>
          <w:tcW w:w="3180" w:type="dxa"/>
          <w:gridSpan w:val="2"/>
          <w:tcBorders>
            <w:top w:val="single" w:sz="4" w:space="0" w:color="auto"/>
            <w:bottom w:val="single" w:sz="12" w:space="0" w:color="auto"/>
          </w:tcBorders>
          <w:shd w:val="clear" w:color="auto" w:fill="auto"/>
        </w:tcPr>
        <w:p w:rsidR="005A089A" w:rsidRDefault="005A089A" w:rsidP="005A089A">
          <w:pPr>
            <w:pStyle w:val="Distr"/>
          </w:pPr>
          <w:r>
            <w:t>Distr.: General</w:t>
          </w:r>
        </w:p>
        <w:p w:rsidR="005A089A" w:rsidRDefault="006E51B8" w:rsidP="005A089A">
          <w:pPr>
            <w:pStyle w:val="Publication"/>
          </w:pPr>
          <w:r>
            <w:rPr>
              <w:rFonts w:hint="eastAsia"/>
            </w:rPr>
            <w:t>16</w:t>
          </w:r>
          <w:r w:rsidR="005A089A">
            <w:t xml:space="preserve"> March 2015</w:t>
          </w:r>
        </w:p>
        <w:p w:rsidR="005A089A" w:rsidRDefault="005A089A" w:rsidP="005A089A">
          <w:pPr>
            <w:spacing w:line="240" w:lineRule="exact"/>
          </w:pPr>
          <w:r>
            <w:t>Chinese</w:t>
          </w:r>
        </w:p>
        <w:p w:rsidR="005A089A" w:rsidRDefault="005A089A" w:rsidP="005A089A">
          <w:pPr>
            <w:pStyle w:val="Original"/>
          </w:pPr>
          <w:r>
            <w:t>Original: English</w:t>
          </w:r>
        </w:p>
        <w:p w:rsidR="005A089A" w:rsidRPr="005A089A" w:rsidRDefault="005A089A" w:rsidP="005A089A"/>
      </w:tc>
    </w:tr>
  </w:tbl>
  <w:p w:rsidR="005A089A" w:rsidRPr="005A089A" w:rsidRDefault="005A089A" w:rsidP="005A089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6*"/>
    <w:docVar w:name="CreationDt" w:val="08/04/2015 12:52:19"/>
    <w:docVar w:name="DocCategory" w:val="Doc"/>
    <w:docVar w:name="DocType" w:val="Final"/>
    <w:docVar w:name="DutyStation" w:val="New York"/>
    <w:docVar w:name="FooterJN" w:val="15-04036 (C)"/>
    <w:docVar w:name="jobn" w:val="15-04036 (C)"/>
    <w:docVar w:name="jobnDT" w:val="15-04036 (C)   080415"/>
    <w:docVar w:name="jobnDTDT" w:val="15-04036 (C)   080415   080415"/>
    <w:docVar w:name="JobNo" w:val="1504036C"/>
    <w:docVar w:name="OandT" w:val="jia"/>
    <w:docVar w:name="PaperSize" w:val="Letter"/>
    <w:docVar w:name="sss1" w:val="CEDAW/C/MWI/Q/7"/>
    <w:docVar w:name="sss2" w:val="-"/>
    <w:docVar w:name="Symbol1" w:val="CEDAW/C/MWI/Q/7"/>
    <w:docVar w:name="Symbol2" w:val="-"/>
  </w:docVars>
  <w:rsids>
    <w:rsidRoot w:val="00DD3239"/>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4C3"/>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0EB7"/>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089A"/>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51B8"/>
    <w:rsid w:val="006E7A26"/>
    <w:rsid w:val="006F04EF"/>
    <w:rsid w:val="006F2B3D"/>
    <w:rsid w:val="006F320C"/>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3D13"/>
    <w:rsid w:val="00A55E9E"/>
    <w:rsid w:val="00A635A7"/>
    <w:rsid w:val="00A652D9"/>
    <w:rsid w:val="00A6779F"/>
    <w:rsid w:val="00A72E47"/>
    <w:rsid w:val="00A74DBA"/>
    <w:rsid w:val="00A750A5"/>
    <w:rsid w:val="00A778F1"/>
    <w:rsid w:val="00A86866"/>
    <w:rsid w:val="00A90956"/>
    <w:rsid w:val="00A95404"/>
    <w:rsid w:val="00A968C5"/>
    <w:rsid w:val="00AA3C28"/>
    <w:rsid w:val="00AA65E5"/>
    <w:rsid w:val="00AA759D"/>
    <w:rsid w:val="00AB2786"/>
    <w:rsid w:val="00AB5BEE"/>
    <w:rsid w:val="00AC373F"/>
    <w:rsid w:val="00AC550F"/>
    <w:rsid w:val="00AD4308"/>
    <w:rsid w:val="00AD5403"/>
    <w:rsid w:val="00AE5CB6"/>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5A5"/>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6C0F"/>
    <w:rsid w:val="00C672B6"/>
    <w:rsid w:val="00C7403E"/>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239"/>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CEDAW/C/MWI/CO/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CEDAW/C/MWI/7" TargetMode="External"/><Relationship Id="rId2" Type="http://schemas.openxmlformats.org/officeDocument/2006/relationships/styles" Target="styles.xml"/><Relationship Id="rId16" Type="http://schemas.openxmlformats.org/officeDocument/2006/relationships/hyperlink" Target="http://undocs.org/ch/CEDAW/C/MWI/CO/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EDAW/C/62/1" TargetMode="External"/><Relationship Id="rId10" Type="http://schemas.openxmlformats.org/officeDocument/2006/relationships/footer" Target="footer2.xml"/><Relationship Id="rId19" Type="http://schemas.openxmlformats.org/officeDocument/2006/relationships/hyperlink" Target="http://undocs.org/ch/A/HRC/25/57/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MWI/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58</TotalTime>
  <Pages>6</Pages>
  <Words>2596</Words>
  <Characters>2727</Characters>
  <Application>Microsoft Office Outlook</Application>
  <DocSecurity>4</DocSecurity>
  <Lines>136</Lines>
  <Paragraphs>190</Paragraphs>
  <ScaleCrop>false</ScaleCrop>
  <Company>United Nations</Company>
  <LinksUpToDate>false</LinksUpToDate>
  <CharactersWithSpaces>5133</CharactersWithSpaces>
  <SharedDoc>false</SharedDoc>
  <HLinks>
    <vt:vector size="36" baseType="variant">
      <vt:variant>
        <vt:i4>3538984</vt:i4>
      </vt:variant>
      <vt:variant>
        <vt:i4>15</vt:i4>
      </vt:variant>
      <vt:variant>
        <vt:i4>0</vt:i4>
      </vt:variant>
      <vt:variant>
        <vt:i4>5</vt:i4>
      </vt:variant>
      <vt:variant>
        <vt:lpwstr>http://undocs.org/ch/A/HRC/25/57/Add.1</vt:lpwstr>
      </vt:variant>
      <vt:variant>
        <vt:lpwstr/>
      </vt:variant>
      <vt:variant>
        <vt:i4>1638412</vt:i4>
      </vt:variant>
      <vt:variant>
        <vt:i4>12</vt:i4>
      </vt:variant>
      <vt:variant>
        <vt:i4>0</vt:i4>
      </vt:variant>
      <vt:variant>
        <vt:i4>5</vt:i4>
      </vt:variant>
      <vt:variant>
        <vt:lpwstr>http://undocs.org/ch/CEDAW/C/MWI/CO/6</vt:lpwstr>
      </vt:variant>
      <vt:variant>
        <vt:lpwstr/>
      </vt:variant>
      <vt:variant>
        <vt:i4>6422627</vt:i4>
      </vt:variant>
      <vt:variant>
        <vt:i4>9</vt:i4>
      </vt:variant>
      <vt:variant>
        <vt:i4>0</vt:i4>
      </vt:variant>
      <vt:variant>
        <vt:i4>5</vt:i4>
      </vt:variant>
      <vt:variant>
        <vt:lpwstr>http://undocs.org/ch/CEDAW/C/MWI/7</vt:lpwstr>
      </vt:variant>
      <vt:variant>
        <vt:lpwstr/>
      </vt:variant>
      <vt:variant>
        <vt:i4>1638412</vt:i4>
      </vt:variant>
      <vt:variant>
        <vt:i4>6</vt:i4>
      </vt:variant>
      <vt:variant>
        <vt:i4>0</vt:i4>
      </vt:variant>
      <vt:variant>
        <vt:i4>5</vt:i4>
      </vt:variant>
      <vt:variant>
        <vt:lpwstr>http://undocs.org/ch/CEDAW/C/MWI/CO/6</vt:lpwstr>
      </vt:variant>
      <vt:variant>
        <vt:lpwstr/>
      </vt:variant>
      <vt:variant>
        <vt:i4>4718601</vt:i4>
      </vt:variant>
      <vt:variant>
        <vt:i4>3</vt:i4>
      </vt:variant>
      <vt:variant>
        <vt:i4>0</vt:i4>
      </vt:variant>
      <vt:variant>
        <vt:i4>5</vt:i4>
      </vt:variant>
      <vt:variant>
        <vt:lpwstr>http://undocs.org/ch/CEDAW/C/62/1</vt:lpwstr>
      </vt:variant>
      <vt:variant>
        <vt:lpwstr/>
      </vt:variant>
      <vt:variant>
        <vt:i4>1638412</vt:i4>
      </vt:variant>
      <vt:variant>
        <vt:i4>0</vt:i4>
      </vt:variant>
      <vt:variant>
        <vt:i4>0</vt:i4>
      </vt:variant>
      <vt:variant>
        <vt:i4>5</vt:i4>
      </vt:variant>
      <vt:variant>
        <vt:lpwstr>http://undocs.org/ch/CEDAW/C/MWI/CO/6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qiping jia</dc:creator>
  <cp:keywords/>
  <dc:description/>
  <cp:lastModifiedBy>Hua Yang</cp:lastModifiedBy>
  <cp:revision>9</cp:revision>
  <cp:lastPrinted>2015-04-08T11:05:00Z</cp:lastPrinted>
  <dcterms:created xsi:type="dcterms:W3CDTF">2015-04-08T10:51:00Z</dcterms:created>
  <dcterms:modified xsi:type="dcterms:W3CDTF">2015-04-08T11:58:00Z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1504036</vt:lpwstr>
  </property>
  <property fmtid="{D5CDD505-2E9C-101B-9397-08002B2CF9AE}" pid="3" name="ODSRefJobNo">
    <vt:lpwstr>1507131C</vt:lpwstr>
  </property>
  <property fmtid="{D5CDD505-2E9C-101B-9397-08002B2CF9AE}" pid="4" name="Symbol1">
    <vt:lpwstr>CEDAW/C/MWI/Q/7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8 March 2015</vt:lpwstr>
  </property>
  <property fmtid="{D5CDD505-2E9C-101B-9397-08002B2CF9AE}" pid="9" name="Original">
    <vt:lpwstr>English</vt:lpwstr>
  </property>
  <property fmtid="{D5CDD505-2E9C-101B-9397-08002B2CF9AE}" pid="10" name="Release Date">
    <vt:lpwstr>080415</vt:lpwstr>
  </property>
  <property fmtid="{D5CDD505-2E9C-101B-9397-08002B2CF9AE}" pid="11" name="Comment">
    <vt:lpwstr/>
  </property>
  <property fmtid="{D5CDD505-2E9C-101B-9397-08002B2CF9AE}" pid="12" name="DraftPages">
    <vt:lpwstr> </vt:lpwstr>
  </property>
  <property fmtid="{D5CDD505-2E9C-101B-9397-08002B2CF9AE}" pid="13" name="Operator">
    <vt:lpwstr>jia</vt:lpwstr>
  </property>
</Properties>
</file>