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D56" w:rsidRDefault="002C6C24">
      <w:pPr>
        <w:spacing w:line="240" w:lineRule="auto"/>
        <w:rPr>
          <w:sz w:val="6"/>
        </w:rPr>
      </w:pPr>
      <w:commentRangeStart w:id="0"/>
      <w:r>
        <w:rPr>
          <w:rStyle w:val="CommentReference"/>
          <w:vanish/>
        </w:rPr>
        <w:commentReference w:id="1"/>
      </w:r>
      <w:commentRangeEnd w:id="0"/>
      <w:r w:rsidR="00DB7D56">
        <w:rPr>
          <w:rStyle w:val="CommentReference"/>
        </w:rPr>
        <w:commentReference w:id="0"/>
      </w:r>
    </w:p>
    <w:p w:rsidR="002C6C24" w:rsidRPr="00DB7D56" w:rsidRDefault="002C6C24" w:rsidP="00DB7D56">
      <w:pPr>
        <w:spacing w:line="20" w:lineRule="exact"/>
        <w:rPr>
          <w:sz w:val="2"/>
        </w:rPr>
        <w:sectPr w:rsidR="002C6C24" w:rsidRPr="00DB7D5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2C6C24" w:rsidRDefault="002C6C24">
      <w:pPr>
        <w:pStyle w:val="H1"/>
      </w:pPr>
      <w:r>
        <w:t>Comité para la Eliminación de la Discriminación</w:t>
      </w:r>
      <w:r>
        <w:br/>
        <w:t>contra la Mujer</w:t>
      </w:r>
    </w:p>
    <w:p w:rsidR="002C6C24" w:rsidRDefault="002C6C24">
      <w:pPr>
        <w:pStyle w:val="H23"/>
      </w:pPr>
      <w:r>
        <w:t>22° período de sesiones</w:t>
      </w:r>
    </w:p>
    <w:p w:rsidR="002C6C24" w:rsidRDefault="002C6C24">
      <w:pPr>
        <w:spacing w:line="240" w:lineRule="auto"/>
        <w:rPr>
          <w:sz w:val="12"/>
        </w:rPr>
      </w:pPr>
    </w:p>
    <w:p w:rsidR="002C6C24" w:rsidRDefault="002C6C24">
      <w:pPr>
        <w:pStyle w:val="H23"/>
      </w:pPr>
      <w:r>
        <w:t>Acta resumida de la 457ª sesión</w:t>
      </w:r>
    </w:p>
    <w:p w:rsidR="002C6C24" w:rsidRDefault="002C6C24">
      <w:r>
        <w:t>Celebrada en la Sede, Nueva York, el miércoles 26 de enero de 2000 a las 15.00 horas</w:t>
      </w:r>
    </w:p>
    <w:p w:rsidR="002C6C24" w:rsidRDefault="002C6C24">
      <w:pPr>
        <w:spacing w:line="120" w:lineRule="exact"/>
        <w:rPr>
          <w:sz w:val="10"/>
        </w:rPr>
      </w:pPr>
    </w:p>
    <w:p w:rsidR="002C6C24" w:rsidRDefault="002C6C24">
      <w:pPr>
        <w:tabs>
          <w:tab w:val="right" w:pos="950"/>
          <w:tab w:val="left" w:pos="1267"/>
          <w:tab w:val="right" w:leader="dot" w:pos="8568"/>
        </w:tabs>
        <w:ind w:right="1267"/>
      </w:pPr>
      <w:r>
        <w:rPr>
          <w:i/>
        </w:rPr>
        <w:t>Presidenta:</w:t>
      </w:r>
      <w:r>
        <w:tab/>
        <w:t>Sra. González</w:t>
      </w:r>
    </w:p>
    <w:p w:rsidR="002C6C24" w:rsidRDefault="002C6C24">
      <w:pPr>
        <w:tabs>
          <w:tab w:val="right" w:pos="950"/>
          <w:tab w:val="left" w:pos="1267"/>
          <w:tab w:val="right" w:leader="dot" w:pos="8568"/>
        </w:tabs>
        <w:spacing w:line="120" w:lineRule="exact"/>
        <w:ind w:right="1267"/>
        <w:rPr>
          <w:sz w:val="10"/>
        </w:rPr>
      </w:pPr>
    </w:p>
    <w:p w:rsidR="002C6C24" w:rsidRDefault="002C6C24">
      <w:pPr>
        <w:tabs>
          <w:tab w:val="right" w:pos="950"/>
          <w:tab w:val="left" w:pos="1267"/>
          <w:tab w:val="right" w:leader="dot" w:pos="8568"/>
        </w:tabs>
        <w:spacing w:line="120" w:lineRule="exact"/>
        <w:ind w:right="1267"/>
        <w:rPr>
          <w:sz w:val="10"/>
        </w:rPr>
      </w:pPr>
    </w:p>
    <w:p w:rsidR="002C6C24" w:rsidRDefault="002C6C24">
      <w:pPr>
        <w:tabs>
          <w:tab w:val="right" w:pos="950"/>
          <w:tab w:val="left" w:pos="1267"/>
          <w:tab w:val="right" w:leader="dot" w:pos="8568"/>
        </w:tabs>
        <w:spacing w:line="120" w:lineRule="exact"/>
        <w:ind w:right="1267"/>
        <w:rPr>
          <w:sz w:val="10"/>
        </w:rPr>
      </w:pPr>
    </w:p>
    <w:p w:rsidR="002C6C24" w:rsidRDefault="002C6C24">
      <w:pPr>
        <w:pStyle w:val="HCh"/>
        <w:rPr>
          <w:b w:val="0"/>
        </w:rPr>
      </w:pPr>
      <w:r>
        <w:rPr>
          <w:b w:val="0"/>
        </w:rPr>
        <w:t>Sumario</w:t>
      </w:r>
    </w:p>
    <w:p w:rsidR="002C6C24" w:rsidRDefault="002C6C24">
      <w:pPr>
        <w:pStyle w:val="HCh"/>
        <w:spacing w:line="240" w:lineRule="auto"/>
        <w:rPr>
          <w:b w:val="0"/>
          <w:sz w:val="12"/>
        </w:rPr>
      </w:pPr>
    </w:p>
    <w:p w:rsidR="002C6C24" w:rsidRDefault="002C6C24">
      <w:pPr>
        <w:pStyle w:val="SingleTxt"/>
        <w:suppressAutoHyphens/>
        <w:jc w:val="left"/>
      </w:pPr>
      <w:r>
        <w:t>Consideración de los informes presentados por los Estados partes en virtud del artículo 18 de la Convención (</w:t>
      </w:r>
      <w:r>
        <w:rPr>
          <w:i/>
        </w:rPr>
        <w:t>continuación</w:t>
      </w:r>
      <w:r>
        <w:t>)</w:t>
      </w:r>
    </w:p>
    <w:p w:rsidR="002C6C24" w:rsidRDefault="002C6C24">
      <w:pPr>
        <w:pStyle w:val="SingleTxt"/>
        <w:suppressAutoHyphens/>
        <w:jc w:val="left"/>
        <w:rPr>
          <w:i/>
        </w:rPr>
      </w:pPr>
      <w:r>
        <w:tab/>
      </w:r>
      <w:r>
        <w:rPr>
          <w:i/>
        </w:rPr>
        <w:t xml:space="preserve">Informe inicial de Myanmar </w:t>
      </w:r>
      <w:r>
        <w:t>(</w:t>
      </w:r>
      <w:r>
        <w:rPr>
          <w:i/>
        </w:rPr>
        <w:t>continuación</w:t>
      </w:r>
      <w:r>
        <w:t>)</w:t>
      </w:r>
    </w:p>
    <w:p w:rsidR="002C6C24" w:rsidRDefault="002C6C24">
      <w:pPr>
        <w:pStyle w:val="SingleTxt"/>
        <w:suppressAutoHyphens/>
        <w:jc w:val="left"/>
      </w:pPr>
    </w:p>
    <w:p w:rsidR="002C6C24" w:rsidRDefault="002C6C24">
      <w:pPr>
        <w:pStyle w:val="SingleTxt"/>
        <w:suppressAutoHyphens/>
        <w:jc w:val="left"/>
      </w:pPr>
    </w:p>
    <w:p w:rsidR="002C6C24" w:rsidRDefault="002C6C24">
      <w:pPr>
        <w:pStyle w:val="SingleTxt"/>
        <w:suppressAutoHyphens/>
        <w:jc w:val="left"/>
      </w:pPr>
    </w:p>
    <w:p w:rsidR="002C6C24" w:rsidRDefault="002C6C24">
      <w:pPr>
        <w:tabs>
          <w:tab w:val="left" w:pos="475"/>
          <w:tab w:val="left" w:pos="965"/>
          <w:tab w:val="left" w:pos="1440"/>
          <w:tab w:val="left" w:pos="1915"/>
          <w:tab w:val="left" w:pos="2405"/>
          <w:tab w:val="left" w:pos="2880"/>
          <w:tab w:val="left" w:pos="3355"/>
        </w:tabs>
        <w:spacing w:line="240" w:lineRule="auto"/>
        <w:rPr>
          <w:sz w:val="2"/>
        </w:rPr>
        <w:sectPr w:rsidR="002C6C24">
          <w:endnotePr>
            <w:numFmt w:val="decimal"/>
          </w:endnotePr>
          <w:type w:val="continuous"/>
          <w:pgSz w:w="12240" w:h="15840" w:code="1"/>
          <w:pgMar w:top="1742" w:right="1195" w:bottom="1898" w:left="1195" w:header="576" w:footer="1030" w:gutter="0"/>
          <w:pgNumType w:start="1"/>
          <w:cols w:space="720"/>
          <w:noEndnote/>
        </w:sectPr>
      </w:pPr>
      <w:r>
        <w:br w:type="page"/>
      </w:r>
    </w:p>
    <w:p w:rsidR="002C6C24" w:rsidRDefault="002C6C24">
      <w:pPr>
        <w:pStyle w:val="H4"/>
        <w:tabs>
          <w:tab w:val="left" w:pos="475"/>
          <w:tab w:val="left" w:pos="965"/>
          <w:tab w:val="left" w:pos="1440"/>
          <w:tab w:val="left" w:pos="1915"/>
          <w:tab w:val="left" w:pos="2405"/>
          <w:tab w:val="left" w:pos="2880"/>
          <w:tab w:val="left" w:pos="3355"/>
        </w:tabs>
        <w:ind w:left="475" w:hanging="475"/>
      </w:pPr>
      <w:r>
        <w:t>Se declara abierta la sesión a las 15.05 horas.</w:t>
      </w:r>
    </w:p>
    <w:p w:rsidR="002C6C24" w:rsidRDefault="002C6C24">
      <w:pPr>
        <w:spacing w:line="120" w:lineRule="exact"/>
        <w:jc w:val="both"/>
        <w:rPr>
          <w:sz w:val="10"/>
        </w:rPr>
      </w:pPr>
    </w:p>
    <w:p w:rsidR="002C6C24" w:rsidRDefault="002C6C24">
      <w:pPr>
        <w:spacing w:line="120" w:lineRule="exact"/>
        <w:jc w:val="both"/>
        <w:rPr>
          <w:sz w:val="10"/>
        </w:rPr>
      </w:pPr>
    </w:p>
    <w:p w:rsidR="002C6C24" w:rsidRDefault="002C6C24">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2C6C24" w:rsidRDefault="002C6C24">
      <w:pPr>
        <w:spacing w:line="120" w:lineRule="exact"/>
        <w:jc w:val="both"/>
        <w:rPr>
          <w:sz w:val="10"/>
        </w:rPr>
      </w:pPr>
    </w:p>
    <w:p w:rsidR="002C6C24" w:rsidRDefault="002C6C24">
      <w:pPr>
        <w:pStyle w:val="H4"/>
        <w:tabs>
          <w:tab w:val="right" w:pos="360"/>
          <w:tab w:val="left" w:pos="475"/>
          <w:tab w:val="left" w:pos="965"/>
          <w:tab w:val="left" w:pos="1440"/>
          <w:tab w:val="left" w:pos="1915"/>
          <w:tab w:val="left" w:pos="2405"/>
          <w:tab w:val="left" w:pos="2880"/>
          <w:tab w:val="left" w:pos="3355"/>
        </w:tabs>
      </w:pPr>
      <w:r>
        <w:t xml:space="preserve">Informe inicial de Myanmar </w:t>
      </w:r>
      <w:r>
        <w:rPr>
          <w:i w:val="0"/>
        </w:rPr>
        <w:t>(</w:t>
      </w:r>
      <w:r>
        <w:t>continuación</w:t>
      </w:r>
      <w:r>
        <w:rPr>
          <w:i w:val="0"/>
        </w:rPr>
        <w:t>)</w:t>
      </w:r>
      <w:r>
        <w:t xml:space="preserve"> </w:t>
      </w:r>
      <w:r>
        <w:rPr>
          <w:i w:val="0"/>
        </w:rPr>
        <w:t>(CEDAW/MMR/1)</w:t>
      </w:r>
    </w:p>
    <w:p w:rsidR="002C6C24" w:rsidRDefault="002C6C24">
      <w:pPr>
        <w:spacing w:line="120" w:lineRule="exact"/>
        <w:jc w:val="both"/>
        <w:rPr>
          <w:sz w:val="10"/>
        </w:rPr>
      </w:pPr>
    </w:p>
    <w:p w:rsidR="002C6C24" w:rsidRDefault="002C6C24">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el Sr. Mra, la Sra. Win y la Sra. Thant (Myanmar) toman asiento a la m</w:t>
      </w:r>
      <w:r>
        <w:rPr>
          <w:i/>
        </w:rPr>
        <w:t>e</w:t>
      </w:r>
      <w:r>
        <w:rPr>
          <w:i/>
        </w:rPr>
        <w:t>sa del Comité</w:t>
      </w:r>
      <w:r>
        <w:t>.</w:t>
      </w:r>
    </w:p>
    <w:p w:rsidR="002C6C24" w:rsidRDefault="002C6C24">
      <w:pPr>
        <w:pStyle w:val="DualTxt"/>
        <w:numPr>
          <w:ilvl w:val="0"/>
          <w:numId w:val="4"/>
        </w:numPr>
        <w:tabs>
          <w:tab w:val="clear" w:pos="960"/>
          <w:tab w:val="left" w:pos="475"/>
          <w:tab w:val="left" w:pos="965"/>
          <w:tab w:val="left" w:pos="1440"/>
          <w:tab w:val="left" w:pos="1915"/>
          <w:tab w:val="left" w:pos="2405"/>
          <w:tab w:val="left" w:pos="2880"/>
          <w:tab w:val="left" w:pos="3355"/>
        </w:tabs>
        <w:suppressAutoHyphens/>
      </w:pPr>
      <w:r>
        <w:rPr>
          <w:b/>
        </w:rPr>
        <w:t>El</w:t>
      </w:r>
      <w:r>
        <w:t xml:space="preserve"> </w:t>
      </w:r>
      <w:r>
        <w:rPr>
          <w:b/>
        </w:rPr>
        <w:t>Sr. Mra</w:t>
      </w:r>
      <w:r>
        <w:t xml:space="preserve"> (Myanmar) dice que la delegación de Myanmar tratará de responder a las observaciones y </w:t>
      </w:r>
      <w:r>
        <w:rPr>
          <w:spacing w:val="6"/>
        </w:rPr>
        <w:t>preguntas del Comité,</w:t>
      </w:r>
      <w:r>
        <w:t xml:space="preserve"> </w:t>
      </w:r>
      <w:r>
        <w:rPr>
          <w:spacing w:val="6"/>
        </w:rPr>
        <w:t xml:space="preserve">aun cuando en el breve plazo </w:t>
      </w:r>
      <w:r>
        <w:t>disponible no fue posible obtener todos los datos solicitados.</w:t>
      </w:r>
    </w:p>
    <w:p w:rsidR="002C6C24" w:rsidRDefault="002C6C24">
      <w:pPr>
        <w:pStyle w:val="DualTxt"/>
        <w:numPr>
          <w:ilvl w:val="0"/>
          <w:numId w:val="4"/>
        </w:numPr>
        <w:tabs>
          <w:tab w:val="clear" w:pos="960"/>
          <w:tab w:val="left" w:pos="965"/>
          <w:tab w:val="left" w:pos="1440"/>
          <w:tab w:val="left" w:pos="1915"/>
          <w:tab w:val="left" w:pos="2405"/>
          <w:tab w:val="left" w:pos="2880"/>
          <w:tab w:val="left" w:pos="3355"/>
        </w:tabs>
      </w:pPr>
      <w:r>
        <w:t>Se distribuyeron entre los miembros del Comité los siguientes documentos: “Plan de Nacional de A</w:t>
      </w:r>
      <w:r>
        <w:t>c</w:t>
      </w:r>
      <w:r>
        <w:t>ción para el Adelanto de la Mujer”; “Manual sobre I</w:t>
      </w:r>
      <w:r>
        <w:t>n</w:t>
      </w:r>
      <w:r>
        <w:t>dicadores de Desarrollo de Recursos Humanos, 1998”; “La Violencia contra la Mujer”; “Asociación de Bie</w:t>
      </w:r>
      <w:r>
        <w:t>n</w:t>
      </w:r>
      <w:r>
        <w:t>estar Maternoinfantil de Myanmar, 1998”; “Ministerio de Bienestar Social, Socorro y Reasentamiento, 1997”; “Programa de Prevención del VIH/SIDA y las Enfe</w:t>
      </w:r>
      <w:r>
        <w:t>r</w:t>
      </w:r>
      <w:r>
        <w:t>medades de Transmisión Sexual en Myanmar”; “As</w:t>
      </w:r>
      <w:r>
        <w:t>o</w:t>
      </w:r>
      <w:r>
        <w:t>ciación de Mujeres Empresarias de Myanmar”; “Co</w:t>
      </w:r>
      <w:r>
        <w:t>n</w:t>
      </w:r>
      <w:r>
        <w:t>dición de la Mujer en Myanmar”; y “Programa Naci</w:t>
      </w:r>
      <w:r>
        <w:t>o</w:t>
      </w:r>
      <w:r>
        <w:t>nal sobre el SIDA en Myanmar”.</w:t>
      </w:r>
    </w:p>
    <w:p w:rsidR="002C6C24" w:rsidRDefault="002C6C24">
      <w:pPr>
        <w:pStyle w:val="DualTxt"/>
        <w:numPr>
          <w:ilvl w:val="0"/>
          <w:numId w:val="4"/>
        </w:numPr>
        <w:tabs>
          <w:tab w:val="clear" w:pos="960"/>
          <w:tab w:val="left" w:pos="965"/>
          <w:tab w:val="left" w:pos="1440"/>
          <w:tab w:val="left" w:pos="1915"/>
          <w:tab w:val="left" w:pos="2405"/>
          <w:tab w:val="left" w:pos="2880"/>
          <w:tab w:val="left" w:pos="3355"/>
        </w:tabs>
      </w:pPr>
      <w:r>
        <w:t>Algunos miembros del Comité solicitaron info</w:t>
      </w:r>
      <w:r>
        <w:t>r</w:t>
      </w:r>
      <w:r>
        <w:t>mación sobre el proceso de puesta en práctica de la Convención Nacional, la participación en ese proceso de la Liga Nacional pro Democracia y la situación de la nueva Constitución que está preparando la Convención N</w:t>
      </w:r>
      <w:r>
        <w:t>a</w:t>
      </w:r>
      <w:r>
        <w:t>cional.</w:t>
      </w:r>
    </w:p>
    <w:p w:rsidR="002C6C24" w:rsidRDefault="002C6C24">
      <w:pPr>
        <w:pStyle w:val="DualTxt"/>
        <w:numPr>
          <w:ilvl w:val="0"/>
          <w:numId w:val="4"/>
        </w:numPr>
        <w:tabs>
          <w:tab w:val="clear" w:pos="960"/>
          <w:tab w:val="left" w:pos="965"/>
          <w:tab w:val="left" w:pos="1440"/>
          <w:tab w:val="left" w:pos="1915"/>
          <w:tab w:val="left" w:pos="2405"/>
          <w:tab w:val="left" w:pos="2880"/>
          <w:tab w:val="left" w:pos="3355"/>
        </w:tabs>
      </w:pPr>
      <w:r>
        <w:t>El orador desea comenzar con información de a</w:t>
      </w:r>
      <w:r>
        <w:t>n</w:t>
      </w:r>
      <w:r>
        <w:t>tecedentes sobre la situación de Myanmar, dado que para comprender la situación de las mujeres y los niños en zonas de conflicto armado y los presuntos probl</w:t>
      </w:r>
      <w:r>
        <w:t>e</w:t>
      </w:r>
      <w:r>
        <w:t>mas de reasentamiento forzado, es necesario compre</w:t>
      </w:r>
      <w:r>
        <w:t>n</w:t>
      </w:r>
      <w:r>
        <w:t>der primeramente el problema de la insurgencia étnica en su país. La historia de Myanmar está repleta de i</w:t>
      </w:r>
      <w:r>
        <w:t>n</w:t>
      </w:r>
      <w:r>
        <w:t>surrecciones armadas por parte de grupos étnicos, a consecuencia principalmente de la política de “dividir para reinar” aplicada en tiempos coloniales. El Gobie</w:t>
      </w:r>
      <w:r>
        <w:t>r</w:t>
      </w:r>
      <w:r>
        <w:t xml:space="preserve">no se ha esforzado por llegar a la paz con los grupos armados de las diversas razas nacionales; de los 18 </w:t>
      </w:r>
      <w:r>
        <w:rPr>
          <w:spacing w:val="2"/>
        </w:rPr>
        <w:t>grupos armados, 17 depusieron sus armas; es la prime</w:t>
      </w:r>
      <w:r>
        <w:t>ra vez en la historia del país que tantos grupos trocaron armas a cambio de paz.</w:t>
      </w:r>
    </w:p>
    <w:p w:rsidR="002C6C24" w:rsidRDefault="002C6C24">
      <w:pPr>
        <w:pStyle w:val="DualTxt"/>
        <w:numPr>
          <w:ilvl w:val="0"/>
          <w:numId w:val="4"/>
        </w:numPr>
        <w:tabs>
          <w:tab w:val="clear" w:pos="960"/>
          <w:tab w:val="left" w:pos="965"/>
          <w:tab w:val="left" w:pos="1440"/>
          <w:tab w:val="left" w:pos="1915"/>
          <w:tab w:val="left" w:pos="2405"/>
          <w:tab w:val="left" w:pos="2880"/>
          <w:tab w:val="left" w:pos="3355"/>
        </w:tabs>
      </w:pPr>
      <w:r>
        <w:t>Con miras a consolidar esa paz, se emprendió un ambicioso plan de desarrollo de las zonas fronter</w:t>
      </w:r>
      <w:r>
        <w:t>i</w:t>
      </w:r>
      <w:r>
        <w:t>zas del país y de las razas nacionales, con un costo de más de 15.000 millones de kyats. Las razas nacionales participan activamente en las actividades para el des</w:t>
      </w:r>
      <w:r>
        <w:t>a</w:t>
      </w:r>
      <w:r>
        <w:t>rrollo de sus regiones, como asociados en condiciones de igualdad con el Gobierno. El único grupo que sigue adoptando una política de insurrección armada es la Unión Nacional Karen, la cual se está reduciendo dado que muchos de sus miembros trocaron sus armas por paz.</w:t>
      </w:r>
    </w:p>
    <w:p w:rsidR="002C6C24" w:rsidRDefault="002C6C24">
      <w:pPr>
        <w:pStyle w:val="DualTxt"/>
        <w:numPr>
          <w:ilvl w:val="0"/>
          <w:numId w:val="4"/>
        </w:numPr>
        <w:tabs>
          <w:tab w:val="clear" w:pos="960"/>
          <w:tab w:val="left" w:pos="475"/>
          <w:tab w:val="left" w:pos="965"/>
          <w:tab w:val="left" w:pos="1440"/>
          <w:tab w:val="left" w:pos="1915"/>
          <w:tab w:val="left" w:pos="2405"/>
          <w:tab w:val="left" w:pos="2880"/>
          <w:tab w:val="left" w:pos="3355"/>
        </w:tabs>
      </w:pPr>
      <w:r>
        <w:t>Se expresó preocupación con respecto al biene</w:t>
      </w:r>
      <w:r>
        <w:t>s</w:t>
      </w:r>
      <w:r>
        <w:t>tar de las mujeres y los niños en aldeas de reasent</w:t>
      </w:r>
      <w:r>
        <w:t>a</w:t>
      </w:r>
      <w:r>
        <w:t>miento en zonas fronterizas, donde la Unión Nacional Karen sigue activa. Los presuntos reasentamientos fo</w:t>
      </w:r>
      <w:r>
        <w:t>r</w:t>
      </w:r>
      <w:r>
        <w:t>zados no existen. Se reasentó a los aldeanos en zonas más seguras, para protegerlos contra las atrocidades que cometen los insurgentes. Se satisfacen sus neces</w:t>
      </w:r>
      <w:r>
        <w:t>i</w:t>
      </w:r>
      <w:r>
        <w:t>dades básicas, como alimentos, ropa y albergue. No hay “campamentos de refugiados” en la frontera Myanmar-Bangladesh; se trata simplemente de ca</w:t>
      </w:r>
      <w:r>
        <w:t>m</w:t>
      </w:r>
      <w:r>
        <w:t>pamentos de tránsito que facilitan la repatriación de sus habitantes, satisfaciendo sus necesidades básicas antes de ser enviados de regreso a su lugar de origen. No hay discriminación por motivos de género en la atención prestada a los repatriados; el programa de repatriación se está ejecutando de conformidad con el acuerdo am</w:t>
      </w:r>
      <w:r>
        <w:t>i</w:t>
      </w:r>
      <w:r>
        <w:t>gable entre ambos países. Tal vez haya algunos pr</w:t>
      </w:r>
      <w:r>
        <w:t>o</w:t>
      </w:r>
      <w:r>
        <w:t>blemas de poca monta, pero no son motivo de preoc</w:t>
      </w:r>
      <w:r>
        <w:t>u</w:t>
      </w:r>
      <w:r>
        <w:t>pación gr</w:t>
      </w:r>
      <w:r>
        <w:t>a</w:t>
      </w:r>
      <w:r>
        <w:t>ve.</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objetivo del Gobierno, en última instancia, es establecer una sociedad democrática. El proceso polít</w:t>
      </w:r>
      <w:r>
        <w:t>i</w:t>
      </w:r>
      <w:r>
        <w:t>co para alcanzar ese objetivo está a cargo de la Co</w:t>
      </w:r>
      <w:r>
        <w:t>n</w:t>
      </w:r>
      <w:r>
        <w:t>vención Nacional, integrada por representantes de las razas nacionales y los partidos políticos, y delegados de todos los sectores de la sociedad, quienes participan en la preparación de una nueva Constitución democr</w:t>
      </w:r>
      <w:r>
        <w:t>á</w:t>
      </w:r>
      <w:r>
        <w:t>tica que refleje las aspiraciones del pueblo.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Se formularon preguntas acerca de la cancelación de las elecciones en 1990 y las medidas adoptadas con respecto a la situación de Daw Aung San Suu Kyi. La principal tarea de los representantes elegidos en las elecciones de 1990 fue formular una nueva Constit</w:t>
      </w:r>
      <w:r>
        <w:t>u</w:t>
      </w:r>
      <w:r>
        <w:t>ción y no formar un nuevo Gobierno. En general, se había considerado que la Constitución de 1947 era o</w:t>
      </w:r>
      <w:r>
        <w:t>b</w:t>
      </w:r>
      <w:r>
        <w:t>soleta, mientras que la Constitución de 1974 databa del anterior sistema monopartidista. Por consiguiente, el Gobierno tiene la responsabilidad de proporcionar la necesaria asistencia para redactar una nueva Constit</w:t>
      </w:r>
      <w:r>
        <w:t>u</w:t>
      </w:r>
      <w:r>
        <w:t>ción y restituir al pueblo los poderes del Estado.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actual proceso político tal vez parezca lento, pero debido a la naturaleza delicada de los asuntos en cuestión y a sus repercusiones de gran alcance para el futuro del país, tiene importancia vital que la Conve</w:t>
      </w:r>
      <w:r>
        <w:t>n</w:t>
      </w:r>
      <w:r>
        <w:t>ción Nacional proceda lenta y sistemáticamente a fin de salvaguardar los intereses de todas las razas naci</w:t>
      </w:r>
      <w:r>
        <w:t>o</w:t>
      </w:r>
      <w:r>
        <w:t>nales y evitar que se reproduzcan las deficiencias de las dos Constituciones anteriores. Llegar a un consenso insumió tiempo, pero una democracia basada en el co</w:t>
      </w:r>
      <w:r>
        <w:t>n</w:t>
      </w:r>
      <w:r>
        <w:t>senso tendrá cimientos mucho más firmes. Se elegirá democráticamente un nuevo Gobierno con arreglo a la nueva Constitución.</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orador desea aclarar los conceptos erróneos con respecto a que Daw Aung San Suu Kyi salió ve</w:t>
      </w:r>
      <w:r>
        <w:t>n</w:t>
      </w:r>
      <w:r>
        <w:t>cedora en las elecciones de 1990 y que está bajo arre</w:t>
      </w:r>
      <w:r>
        <w:t>s</w:t>
      </w:r>
      <w:r>
        <w:t>to en su domicilio. En verdad, no se le permitió que se presentara a las elecciones de 1990 debido a su lealtad a un país extranjero. Es interesante señalar que la se</w:t>
      </w:r>
      <w:r>
        <w:t>c</w:t>
      </w:r>
      <w:r>
        <w:t>ción 10 e) de la Ley Electoral del Phyithu Hl</w:t>
      </w:r>
      <w:r>
        <w:t>u</w:t>
      </w:r>
      <w:r>
        <w:t>ttaw (Parlamento), que prohíbe que se presenten a las ele</w:t>
      </w:r>
      <w:r>
        <w:t>c</w:t>
      </w:r>
      <w:r>
        <w:t>ciones los candidatos con lealtad hacia otro país, fue propuesta originariamente e incorporada en la Const</w:t>
      </w:r>
      <w:r>
        <w:t>i</w:t>
      </w:r>
      <w:r>
        <w:t>tución de 1947 por su padre, el General Aung San. Ella no está bajo arresto domiciliario y puede desplazarse libremente en Yangon; puede asistir a eventos sociales, e incluso reunirse con diplomáticos.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20 de julio de 1989, se impusieron restricci</w:t>
      </w:r>
      <w:r>
        <w:t>o</w:t>
      </w:r>
      <w:r>
        <w:t>nes a Daw Aung San Suu Kyi con arreglo a la sección 10b) de la Ley de Salvaguardia del Estado contra qui</w:t>
      </w:r>
      <w:r>
        <w:t>e</w:t>
      </w:r>
      <w:r>
        <w:t>nes desean causar acciones subversivas, de 1975; fue la medida jurídica de mayor lenidad posible, dentro de la legislación penal vigente. Dado que es una mujer y en mérito al respeto a su padre, las autoridades se ocupan de que esté atendida de todas las maneras posibles, o</w:t>
      </w:r>
      <w:r>
        <w:t>r</w:t>
      </w:r>
      <w:r>
        <w:t>ganizando regularmente reconocimientos médicos y dispensando atención médica, según sea necesario, y posibilitando que se comunique regularmente con su familia, además de recibir varios artículos que ésta le envía. Incluso se permitió celebrar ceremonias religi</w:t>
      </w:r>
      <w:r>
        <w:t>o</w:t>
      </w:r>
      <w:r>
        <w:t>sas en su residencia.</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Poco después de haber dejado sin efecto la orden de restricción, el 7 de octubre de 1995, ella adoptó una posición de enfrentamiento contra el Gobierno. La Liga Nacional pro Democracia (LND), que hasta entonces había sido el grupo más grande entre los participantes en la Convención Nacional, decidió unilateralmente r</w:t>
      </w:r>
      <w:r>
        <w:t>e</w:t>
      </w:r>
      <w:r>
        <w:t>tirarse en noviembre de 1995 y emprendió un camino de colisión con el Gobierno, adoptando una serie de medidas perturbadoras y sumamente peligrosas con la intención de obstaculizar la transición sistemática y pacífica hacia la democracia. Daw Aung San Suu Kyi amenazó al Gobierno con “devastación total” a menos que el Gobierno entablara un diálogo con la LND. Los intentos del Gobierno de dialogar con la LND fracas</w:t>
      </w:r>
      <w:r>
        <w:t>a</w:t>
      </w:r>
      <w:r>
        <w:t>ron debido a que la LND adoptó la peligrosa medida de formar un comité parlamentario de 10 miembros, i</w:t>
      </w:r>
      <w:r>
        <w:t>n</w:t>
      </w:r>
      <w:r>
        <w:t>fringiendo las leyes existentes. Evidentemente, no h</w:t>
      </w:r>
      <w:r>
        <w:t>a</w:t>
      </w:r>
      <w:r>
        <w:t>bía razones para formar un comité representativo de un parlamento inexistente. La decisión de los miembros de la LND de dimitir se adoptó libremente, sin intimid</w:t>
      </w:r>
      <w:r>
        <w:t>a</w:t>
      </w:r>
      <w:r>
        <w:t>ción ni coacción por parte del Gobierno y reflejó la frustración respecto de la política de “devastación t</w:t>
      </w:r>
      <w:r>
        <w:t>o</w:t>
      </w:r>
      <w:r>
        <w:t>tal” adoptada por Daw Aung San Suu Kyi, además de sus exhortaciones a que otros países retiraran sus i</w:t>
      </w:r>
      <w:r>
        <w:t>n</w:t>
      </w:r>
      <w:r>
        <w:t>versiones e impusieran sanciones económicas. Esa p</w:t>
      </w:r>
      <w:r>
        <w:t>o</w:t>
      </w:r>
      <w:r>
        <w:t>lítica de enfrentamiento causó fuerte resentimiento en el pueblo e incluso, según algunos informes en la pre</w:t>
      </w:r>
      <w:r>
        <w:t>n</w:t>
      </w:r>
      <w:r>
        <w:t>sa internacional, ella expulsó a miembros de su propio partido que la contradijeron. El Gobierno habría pref</w:t>
      </w:r>
      <w:r>
        <w:t>e</w:t>
      </w:r>
      <w:r>
        <w:t>rido brindar afecto y enaltecer a la hija de un héroe n</w:t>
      </w:r>
      <w:r>
        <w:t>a</w:t>
      </w:r>
      <w:r>
        <w:t>cional, pero ella está obsesionada con suscitar un ca</w:t>
      </w:r>
      <w:r>
        <w:t>m</w:t>
      </w:r>
      <w:r>
        <w:t>bio político mediante la “devastación total”.</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En Myanmar no hay discriminación contra las mujeres, y ellas disfrutan de igualdad de derechos con arreglo a la ley en las esferas política, económica, a</w:t>
      </w:r>
      <w:r>
        <w:t>d</w:t>
      </w:r>
      <w:r>
        <w:t>ministrativa y social. La nueva Constitución contendrá disposiciones que garanticen la igualdad entre hombres y mujeres ante la ley.</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Con respecto a las recomendaciones formuladas por la Comisión de Encuesta de la OIT en relación con el Convenio sobre la Abolición del Trabajo Forzoso, el orador desea informar al Comité de que el Gobierno ya ha emitido la Orden No. 1/99 de fecha 14 de mayo de 1999, en virtud de la cual se enmiendan la Ley de P</w:t>
      </w:r>
      <w:r>
        <w:t>o</w:t>
      </w:r>
      <w:r>
        <w:t>blados y la Ley de Aldeas de 1907 para ajustarlas a la cambiante situación en el país. En la Orden se consid</w:t>
      </w:r>
      <w:r>
        <w:t>e</w:t>
      </w:r>
      <w:r>
        <w:t>ran nuevamente las disposiciones ofensivas de esas dos Leyes y se dispone claramente que no deben ejercerse facultades para imponer trabajo forzado según esas L</w:t>
      </w:r>
      <w:r>
        <w:t>e</w:t>
      </w:r>
      <w:r>
        <w:t>yes y que se adoptarán medidas contra cualquier pers</w:t>
      </w:r>
      <w:r>
        <w:t>o</w:t>
      </w:r>
      <w:r>
        <w:t xml:space="preserve">na que no acate la Orden. La Orden se publicó en la </w:t>
      </w:r>
      <w:r>
        <w:rPr>
          <w:i/>
        </w:rPr>
        <w:t>Gaceta Nacional</w:t>
      </w:r>
      <w:r>
        <w:t xml:space="preserve"> y se distribuyó entre todos los órg</w:t>
      </w:r>
      <w:r>
        <w:t>a</w:t>
      </w:r>
      <w:r>
        <w:t>nos estatales, ministerios gubernamentales y órganos administrativos locales, así como entre los organismos de difusión locales e internacionales. La Orden tiene fuerza de ley y eliminó efectivamente la confiscación de servicios personales de los residentes en aldeas y distritos administrativos de todo el país. En junio de 1999, la delegación de Myanmar puso debidamente en conocimiento de la OIT la medida adoptada por el Gobierno.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Win</w:t>
      </w:r>
      <w:r>
        <w:t xml:space="preserve"> (Myanmar), refiriéndose a la estru</w:t>
      </w:r>
      <w:r>
        <w:t>c</w:t>
      </w:r>
      <w:r>
        <w:t>tura orgánica del mecanismo nacional para el ad</w:t>
      </w:r>
      <w:r>
        <w:t>e</w:t>
      </w:r>
      <w:r>
        <w:t>lanto de la mujer, dice que, según se indica en el i</w:t>
      </w:r>
      <w:r>
        <w:t>n</w:t>
      </w:r>
      <w:r>
        <w:t>forme, el Comité Nacional para Asuntos de la Mujer de Mya</w:t>
      </w:r>
      <w:r>
        <w:t>n</w:t>
      </w:r>
      <w:r>
        <w:t>mar está presidido por el Ministro de Bienestar Social, Socorro y Reasentamiento. Ese Ministro fue designado Coordinador Nacional de Asuntos de la Mujer debido a que su Departamento de Bienestar S</w:t>
      </w:r>
      <w:r>
        <w:t>o</w:t>
      </w:r>
      <w:r>
        <w:t>cial tiene una sección para la mujer que ofrece ens</w:t>
      </w:r>
      <w:r>
        <w:t>e</w:t>
      </w:r>
      <w:r>
        <w:t>ñanza de oficios y residencias a las jóvenes mujeres desplazadas. El C</w:t>
      </w:r>
      <w:r>
        <w:t>o</w:t>
      </w:r>
      <w:r>
        <w:t>mité es un órgano interministerial de alto nivel que formula políticas relativas a cuesti</w:t>
      </w:r>
      <w:r>
        <w:t>o</w:t>
      </w:r>
      <w:r>
        <w:t>nes de la mujer; sus miembros son los viceministros de los ministerios c</w:t>
      </w:r>
      <w:r>
        <w:t>o</w:t>
      </w:r>
      <w:r>
        <w:t>nexos, representantes del Fiscal G</w:t>
      </w:r>
      <w:r>
        <w:t>e</w:t>
      </w:r>
      <w:r>
        <w:t>neral y del Ministro de Justicia y los presidentes de las principales organ</w:t>
      </w:r>
      <w:r>
        <w:t>i</w:t>
      </w:r>
      <w:r>
        <w:t>zaciones no gubernamentales de mujeres. El Comité ofrece orientación sobre la realización de programas para la mujer y cumple un papel fundamental facilita</w:t>
      </w:r>
      <w:r>
        <w:t>n</w:t>
      </w:r>
      <w:r>
        <w:t>do la cooperación y la coordinación inte</w:t>
      </w:r>
      <w:r>
        <w:t>r</w:t>
      </w:r>
      <w:r>
        <w:t>sectoriales.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En cambio, el Comité Nacional de Trabajo para Asuntos de la Mujer de Myanmar es un órgano oper</w:t>
      </w:r>
      <w:r>
        <w:t>a</w:t>
      </w:r>
      <w:r>
        <w:t>cional, cuyo propósito principal es realizar actividades para el adelanto de la mujer. Comprende representantes de departamentos y organizaciones no gubernamentales que se ocupan de la mujer y actualmente está presidido por una profesora. Aparte de la secretaría, los seis miembros del Comité presiden seis subcomités: educ</w:t>
      </w:r>
      <w:r>
        <w:t>a</w:t>
      </w:r>
      <w:r>
        <w:t>ción, salud, economía, cultura, cuestiones atinentes a la niña y violencia contra la mujer.</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Con respecto a la financiación, el Comité Naci</w:t>
      </w:r>
      <w:r>
        <w:t>o</w:t>
      </w:r>
      <w:r>
        <w:t>nal para Asuntos de la Mujer de Myanmar no se fina</w:t>
      </w:r>
      <w:r>
        <w:t>n</w:t>
      </w:r>
      <w:r>
        <w:t>cia con cargo al presupuesto nacional, sino mediante donaciones de simpatizantes y actividades de recaud</w:t>
      </w:r>
      <w:r>
        <w:t>a</w:t>
      </w:r>
      <w:r>
        <w:t>ción de fondos. Los seis subcomités para actividades operacionales reciben importes iguales pero pueden s</w:t>
      </w:r>
      <w:r>
        <w:t>o</w:t>
      </w:r>
      <w:r>
        <w:t>licitar más fondos para proyectos concretos. Todos los miembros de los subcomités se desempeñan a título v</w:t>
      </w:r>
      <w:r>
        <w:t>o</w:t>
      </w:r>
      <w:r>
        <w:t>luntario. Funcionarios del Departamento de Bienestar Social participan a jornada completa en las activ</w:t>
      </w:r>
      <w:r>
        <w:t>i</w:t>
      </w:r>
      <w:r>
        <w:t>dades del Comité del Trabajo. El Comité de Trabajo y sus subcomités están integrados por miembros de uno y otro sexo, en una proporción de aproximadamente tres m</w:t>
      </w:r>
      <w:r>
        <w:t>u</w:t>
      </w:r>
      <w:r>
        <w:t>jeres por cada hombre.</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Una de las esferas de preocupación señaladas por el Comité Nacional para Asuntos de la Mujer de Myanmar es la violencia contra la mujer. Las invest</w:t>
      </w:r>
      <w:r>
        <w:t>i</w:t>
      </w:r>
      <w:r>
        <w:t>gaciones realizadas hasta el momento, que se centraron sólo en la violencia conyugal, se están analizando a</w:t>
      </w:r>
      <w:r>
        <w:t>c</w:t>
      </w:r>
      <w:r>
        <w:t>tualmente. Las constataciones iniciales indican que, si bien la incidencia de la violencia es baja, las mujeres padecen malos tratos físicos y mentales a causa del a</w:t>
      </w:r>
      <w:r>
        <w:t>l</w:t>
      </w:r>
      <w:r>
        <w:t>coholismo, el bajo ingreso, la incompatibilidad con p</w:t>
      </w:r>
      <w:r>
        <w:t>a</w:t>
      </w:r>
      <w:r>
        <w:t>rientes políticos y el adulterio. No todas las mujeres tienen conocimiento de las leyes que las protegen, de modo que se están ofreciendo charlas por radio y en las comunidades de todo el país para crear conciencia s</w:t>
      </w:r>
      <w:r>
        <w:t>o</w:t>
      </w:r>
      <w:r>
        <w:t>bre las leyes existentes.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Otra forma de violencia contra la mujer es la prostitución forzada y la trata de mujeres. Myanmar tiene más de 3.800 millas de frontera con cinco países. El Gobierno, en cooperación con organismos de las Naciones Unidas y organizaciones no gubernamentales locales e internacionales, trata de combatir el aumento en la trata de mujeres a través de las fronteras. Dado que toda la red de tratantes de personas opera clande</w:t>
      </w:r>
      <w:r>
        <w:t>s</w:t>
      </w:r>
      <w:r>
        <w:t>tinamente, es imposible obtener datos fidedignos, pero se sabe que 150 mujeres fueron repatriadas, 110 fueron interceptadas y hay 2.140 casos conocidos de trata de mujeres y niños. Los perpetradores han sido castigados con hasta 10 años de prisión. Hay un Grupo Nacional de Tareas sobre la Trata de Mujeres y de Niños y un Comité Transfronterizo integrado por representantes de los organismos pertinentes, inclusive la policía, la Of</w:t>
      </w:r>
      <w:r>
        <w:t>i</w:t>
      </w:r>
      <w:r>
        <w:t>cina del Fiscal General, las administraciones de zonas fronterizas y las autoridades de inmigración. El Com</w:t>
      </w:r>
      <w:r>
        <w:t>i</w:t>
      </w:r>
      <w:r>
        <w:t>té, integrado por miembros de uno y otro sexo, está presidido por una mujer; realizó visitas a zonas front</w:t>
      </w:r>
      <w:r>
        <w:t>e</w:t>
      </w:r>
      <w:r>
        <w:t>rizas y recopiló datos de departamentos judiciales, p</w:t>
      </w:r>
      <w:r>
        <w:t>o</w:t>
      </w:r>
      <w:r>
        <w:t>liciales y sanitarios; a mediados del año 2000 celebrará un seminario nacional sobre la trata de personas.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Aun cuando no hay un centro dedicado concret</w:t>
      </w:r>
      <w:r>
        <w:t>a</w:t>
      </w:r>
      <w:r>
        <w:t>mente a víctimas de violación, los médicos y trabajad</w:t>
      </w:r>
      <w:r>
        <w:t>o</w:t>
      </w:r>
      <w:r>
        <w:t>res sociales atienden a las necesidades de salud física y mental de las víctimas. Según se señaló en la present</w:t>
      </w:r>
      <w:r>
        <w:t>a</w:t>
      </w:r>
      <w:r>
        <w:t>ción oral, está adelantando la capacitación de los e</w:t>
      </w:r>
      <w:r>
        <w:t>n</w:t>
      </w:r>
      <w:r>
        <w:t>cargados de prestar servicios y hay planes de establecer centros de crisis para las mujeres. Los perpetradores de violaciones son enjuiciados ante tribunales civiles o militares, según proceda, y las penalidades oscilan e</w:t>
      </w:r>
      <w:r>
        <w:t>n</w:t>
      </w:r>
      <w:r>
        <w:t>tre encarcelamiento por cinco años y prisión perpetua.</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Con respecto a la educación, el objetivo del pr</w:t>
      </w:r>
      <w:r>
        <w:t>o</w:t>
      </w:r>
      <w:r>
        <w:t>yecto “Educación para todos” fue garantizar el acceso universal a la enseñanza primaria. El Gobierno está tr</w:t>
      </w:r>
      <w:r>
        <w:t>a</w:t>
      </w:r>
      <w:r>
        <w:t>tando de alcanzar ese objetivo, para lo cual aplica d</w:t>
      </w:r>
      <w:r>
        <w:t>i</w:t>
      </w:r>
      <w:r>
        <w:t>versas estrategias, en cooperación con el Comité N</w:t>
      </w:r>
      <w:r>
        <w:t>a</w:t>
      </w:r>
      <w:r>
        <w:t>cional para Asuntos de la Mujer de Myanmar y organ</w:t>
      </w:r>
      <w:r>
        <w:t>i</w:t>
      </w:r>
      <w:r>
        <w:t>zaciones no gubernamentales. El Programa de las N</w:t>
      </w:r>
      <w:r>
        <w:t>a</w:t>
      </w:r>
      <w:r>
        <w:t>ciones Unidas para el Desarrollo (PNUD) y el Minist</w:t>
      </w:r>
      <w:r>
        <w:t>e</w:t>
      </w:r>
      <w:r>
        <w:t>rio de Educación están ejecutando el proyecto “Asi</w:t>
      </w:r>
      <w:r>
        <w:t>s</w:t>
      </w:r>
      <w:r>
        <w:t>tencia universal a la escuela”.</w:t>
      </w:r>
    </w:p>
    <w:p w:rsidR="002C6C24" w:rsidRDefault="002C6C24">
      <w:pPr>
        <w:pStyle w:val="DualTxt"/>
        <w:numPr>
          <w:ilvl w:val="0"/>
          <w:numId w:val="5"/>
        </w:numPr>
        <w:tabs>
          <w:tab w:val="clear" w:pos="960"/>
          <w:tab w:val="clear" w:pos="2405"/>
          <w:tab w:val="clear" w:pos="2880"/>
          <w:tab w:val="clear" w:pos="3355"/>
          <w:tab w:val="left" w:pos="965"/>
          <w:tab w:val="left" w:pos="1440"/>
          <w:tab w:val="left" w:pos="1915"/>
        </w:tabs>
      </w:pPr>
      <w:r>
        <w:t>La educación primaria es gratuita, pero el costo de los libros de texto y útiles escolares podría ser un factor causante de abandono. El Comité de Trabajo N</w:t>
      </w:r>
      <w:r>
        <w:t>a</w:t>
      </w:r>
      <w:r>
        <w:t>cional para Asuntos de la Mujer y las organizaciones no gubernamentales están proporcionando asiste</w:t>
      </w:r>
      <w:r>
        <w:t>n</w:t>
      </w:r>
      <w:r>
        <w:t>cia en forma de uniformes escolares, libros de texto y útiles escolares. No se dispone de datos sobre la cant</w:t>
      </w:r>
      <w:r>
        <w:t>i</w:t>
      </w:r>
      <w:r>
        <w:t>dad exacta de niñas que reciben esta asistencia, pero una organización no gubernamental japonesa, Feder</w:t>
      </w:r>
      <w:r>
        <w:t>a</w:t>
      </w:r>
      <w:r>
        <w:t>ción Mundial para la Paz Mundial, prestó asistencia a 30 n</w:t>
      </w:r>
      <w:r>
        <w:t>i</w:t>
      </w:r>
      <w:r>
        <w:t xml:space="preserve">ñas alumnas primarias en una aldea. El número total de estudiantes beneficiarios de estipendios es 75.319 en 192 poblados, como se indica en el folleto </w:t>
      </w:r>
      <w:r>
        <w:rPr>
          <w:spacing w:val="6"/>
        </w:rPr>
        <w:t>“Asociación de Bienestar Maternoinfantil de Mya</w:t>
      </w:r>
      <w:r>
        <w:rPr>
          <w:spacing w:val="6"/>
        </w:rPr>
        <w:t>n</w:t>
      </w:r>
      <w:r>
        <w:rPr>
          <w:spacing w:val="6"/>
        </w:rPr>
        <w:t>mar,</w:t>
      </w:r>
      <w:r>
        <w:t xml:space="preserve"> 1999”.</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Gobierno presta muy estrecha atención a las tasas de matriculación y retención escolar en zonas ta</w:t>
      </w:r>
      <w:r>
        <w:t>n</w:t>
      </w:r>
      <w:r>
        <w:t>to rurales como urbanas. Como se indica en el i</w:t>
      </w:r>
      <w:r>
        <w:t>n</w:t>
      </w:r>
      <w:r>
        <w:t>forme, se dispone de educación paralela para las mujeres ana</w:t>
      </w:r>
      <w:r>
        <w:t>l</w:t>
      </w:r>
      <w:r>
        <w:t>fabetas. Por ejemplo, el Comité Nacional de Trabajo para Asuntos de la Mujer y organizaciones no gube</w:t>
      </w:r>
      <w:r>
        <w:t>r</w:t>
      </w:r>
      <w:r>
        <w:t>namentales como la Asociación de Bienestar Mate</w:t>
      </w:r>
      <w:r>
        <w:t>r</w:t>
      </w:r>
      <w:r>
        <w:t>noinfantil de Myanmar, organizaron círculos de apre</w:t>
      </w:r>
      <w:r>
        <w:t>n</w:t>
      </w:r>
      <w:r>
        <w:t>dizaje y lectura, en cooperación con las respectivas comunid</w:t>
      </w:r>
      <w:r>
        <w:t>a</w:t>
      </w:r>
      <w:r>
        <w:t>des.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En respuesta a la pregunta sobre la cantidad de maestras en los diversos niveles de la educación, la oradora proporciona los siguientes datos: matriculación femenina en universidades e institutos profesionales, 59,7%; mujeres maestras a nivel primario e intermedio, 72,9%; mujeres maestras de escuela secundaria, 70,5%; y m</w:t>
      </w:r>
      <w:r>
        <w:t>u</w:t>
      </w:r>
      <w:r>
        <w:t>jeres docentes universitarias, 69,4%.</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La instrucción en las escuelas primarias e inte</w:t>
      </w:r>
      <w:r>
        <w:t>r</w:t>
      </w:r>
      <w:r>
        <w:t>medias se imparte en el idioma de Myanmar, pero en las escuelas secundarias y universidades la instrucción se imparte en inglés y también se enseña inglés a los niños como segundo idioma a partir del jardín de infa</w:t>
      </w:r>
      <w:r>
        <w:t>n</w:t>
      </w:r>
      <w:r>
        <w:t>tes, en zonas tanto rurales como urbanas. Se alienta a los grupos étnicos a cultivar sus propios dialectos fuera de la escuela. La admisión de las mujeres a la univers</w:t>
      </w:r>
      <w:r>
        <w:t>i</w:t>
      </w:r>
      <w:r>
        <w:t>dad depende de sus calificaciones en el Ex</w:t>
      </w:r>
      <w:r>
        <w:t>a</w:t>
      </w:r>
      <w:r>
        <w:t>men de Educación Básica Secundaria. Su admisión al Instituto Dental y los Institutos de Tecnología, Agricultura, Si</w:t>
      </w:r>
      <w:r>
        <w:t>l</w:t>
      </w:r>
      <w:r>
        <w:t>vicultura, Biología Marina y Geología está restringido debido a los esfuerzos físicos que entrañan esas carr</w:t>
      </w:r>
      <w:r>
        <w:t>e</w:t>
      </w:r>
      <w:r>
        <w:t>ras. Las mujeres de Myanmar constituyen c</w:t>
      </w:r>
      <w:r>
        <w:t>a</w:t>
      </w:r>
      <w:r>
        <w:t>si la mitad del número de médicos y más de la mitad de los técn</w:t>
      </w:r>
      <w:r>
        <w:t>i</w:t>
      </w:r>
      <w:r>
        <w:t>cos médicos y farmacéuticos. Hay mujeres i</w:t>
      </w:r>
      <w:r>
        <w:t>n</w:t>
      </w:r>
      <w:r>
        <w:t>genieras y arquitectas, y los dos primeros diplomas de doctorado otorgados por una universidad de Myanmar correspo</w:t>
      </w:r>
      <w:r>
        <w:t>n</w:t>
      </w:r>
      <w:r>
        <w:t>dieron a mujeres. Las clases de computación ofrecidas por el Subcomité de economía del Comité Nacional de Trabajo para Asuntos de la Mujer incluyó 50 niñas en cada una de las seis sesiones.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Thant</w:t>
      </w:r>
      <w:r>
        <w:t xml:space="preserve"> (Myanmar) dice que en 1994 h</w:t>
      </w:r>
      <w:r>
        <w:t>a</w:t>
      </w:r>
      <w:r>
        <w:t>bía, a nivel de adopción de decisiones, 52 juezas en tr</w:t>
      </w:r>
      <w:r>
        <w:t>i</w:t>
      </w:r>
      <w:r>
        <w:t>bunales intermedios, 399 juezas en tribunales de pr</w:t>
      </w:r>
      <w:r>
        <w:t>i</w:t>
      </w:r>
      <w:r>
        <w:t>mera instancia y 952 abogadas. En el decenio de 1980 una mujer fue Directora General del Departamento de Organizaciones Internacionales y Economía del Mini</w:t>
      </w:r>
      <w:r>
        <w:t>s</w:t>
      </w:r>
      <w:r>
        <w:t>terio de Relaciones Exteriores y se designó a dire</w:t>
      </w:r>
      <w:r>
        <w:t>c</w:t>
      </w:r>
      <w:r>
        <w:t>toras generales en los departamentos de comercio, cooper</w:t>
      </w:r>
      <w:r>
        <w:t>a</w:t>
      </w:r>
      <w:r>
        <w:t>tivas, contabilidad, planificación nacional e investig</w:t>
      </w:r>
      <w:r>
        <w:t>a</w:t>
      </w:r>
      <w:r>
        <w:t>ción histórica. Actualmente, las mujeres constit</w:t>
      </w:r>
      <w:r>
        <w:t>u</w:t>
      </w:r>
      <w:r>
        <w:t>yen el 27% de los empleados públicos y el 20% del cuerpo diplomático. Pero los hombres ocupan un 61% de los cargos de más alto nivel en la administración pública y actualmente hay sólo dos mujeres rectoras y dos muj</w:t>
      </w:r>
      <w:r>
        <w:t>e</w:t>
      </w:r>
      <w:r>
        <w:t>res vicerrectoras en las 47 universidades del país. Las autoridades, mediante currículos escolares, libros de texto y actividades extracurriculares, están tratando de crear conciencia acerca del papel de la mujer y su p</w:t>
      </w:r>
      <w:r>
        <w:t>o</w:t>
      </w:r>
      <w:r>
        <w:t>tencial y de alentar a las mujeres a cursar carreras, que a menudo abandonan por razones de familia. Después de la publicación del informe inicial de Myanmar, hubo algunos cambios en la estructura de la familia y la pa</w:t>
      </w:r>
      <w:r>
        <w:t>r</w:t>
      </w:r>
      <w:r>
        <w:t>ticipación de los hombres en las responsabilidades f</w:t>
      </w:r>
      <w:r>
        <w:t>a</w:t>
      </w:r>
      <w:r>
        <w:t>miliares. Indudablemente, cuando se apruebe la nueva Constitución y rija un sistema democrático multipart</w:t>
      </w:r>
      <w:r>
        <w:t>i</w:t>
      </w:r>
      <w:r>
        <w:t>dista, aumentará el número de mujeres en puestos ej</w:t>
      </w:r>
      <w:r>
        <w:t>e</w:t>
      </w:r>
      <w:r>
        <w:t>cutivos.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 xml:space="preserve">Se publicó un folleto sobre las leyes relativas a la mujer, que había sido revisado por el Fiscal General. Las mujeres pertenecientes a minorías étnicas tienen </w:t>
      </w:r>
      <w:r>
        <w:rPr>
          <w:spacing w:val="2"/>
        </w:rPr>
        <w:t>las mismas protecciones jurídicas que las demás muje</w:t>
      </w:r>
      <w:r>
        <w:t>res pero, en zonas remotas, a veces están sometidas a no</w:t>
      </w:r>
      <w:r>
        <w:t>r</w:t>
      </w:r>
      <w:r>
        <w:t>mas más tradicionales. Cabe esperar que a medida que las mujeres reciban más educación, dichas normas cambien. Las leyes laborales sólo son aplicables al se</w:t>
      </w:r>
      <w:r>
        <w:t>c</w:t>
      </w:r>
      <w:r>
        <w:t>tor estructurado de la economía; no obstante, las muj</w:t>
      </w:r>
      <w:r>
        <w:t>e</w:t>
      </w:r>
      <w:r>
        <w:t>res que trabajan en el sector paralelo o no estru</w:t>
      </w:r>
      <w:r>
        <w:t>c</w:t>
      </w:r>
      <w:r>
        <w:t>turado pueden efectuar denuncias sobre prácticas i</w:t>
      </w:r>
      <w:r>
        <w:t>n</w:t>
      </w:r>
      <w:r>
        <w:t>justas ante las autoridades locales y ante el Comité Nacional de Trabajo para Asuntos de la Mujer de Mya</w:t>
      </w:r>
      <w:r>
        <w:t>n</w:t>
      </w:r>
      <w:r>
        <w:t>mar, el cual remite la cuestión al Comité de Trabajo para Asuntos de la Mujer en el respectivo poblado. En el segundo semestre de 1999, se recibieron en Yangon más de 300 denuncias.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Una mujer casada tiene derecho a registrar bienes en su propio nombre después de su divorcio. La edad legal para contraer matrimonio es 20 años, para uno y otro sexo. En las comunidades se ofrecen clases sobre salud reproductiva para crear conciencia en las niñas acerca de los peligros del embarazo en la adolescencia.</w:t>
      </w:r>
    </w:p>
    <w:p w:rsidR="002C6C24" w:rsidRDefault="002C6C24">
      <w:pPr>
        <w:pStyle w:val="DualTxt"/>
        <w:numPr>
          <w:ilvl w:val="0"/>
          <w:numId w:val="5"/>
        </w:numPr>
        <w:tabs>
          <w:tab w:val="clear" w:pos="960"/>
          <w:tab w:val="left" w:pos="965"/>
        </w:tabs>
      </w:pPr>
      <w:r>
        <w:t>En las zonas rurales se realizan programas para que las mujeres puedan tener ingresos, con miras a m</w:t>
      </w:r>
      <w:r>
        <w:t>i</w:t>
      </w:r>
      <w:r>
        <w:t>tigar la pobreza. Las mujeres pobres que tienen m</w:t>
      </w:r>
      <w:r>
        <w:t>i</w:t>
      </w:r>
      <w:r>
        <w:t>croempresas reciben pequeños préstamos de organiz</w:t>
      </w:r>
      <w:r>
        <w:t>a</w:t>
      </w:r>
      <w:r>
        <w:t>ciones no gubernamentales. La Asociación de Biene</w:t>
      </w:r>
      <w:r>
        <w:t>s</w:t>
      </w:r>
      <w:r>
        <w:t>tar Maternoinfantil de Myanmar ofrece enseñanza de of</w:t>
      </w:r>
      <w:r>
        <w:t>i</w:t>
      </w:r>
      <w:r>
        <w:t>cios a las mujeres y las jóvenes. Los préstamos para a</w:t>
      </w:r>
      <w:r>
        <w:t>c</w:t>
      </w:r>
      <w:r>
        <w:t>tividades agrícolas se desembolsan independient</w:t>
      </w:r>
      <w:r>
        <w:t>e</w:t>
      </w:r>
      <w:r>
        <w:t>mente del g</w:t>
      </w:r>
      <w:r>
        <w:t>é</w:t>
      </w:r>
      <w:r>
        <w:t>nero del solicitante.</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Departamento de Bienestar Social proporciona albergue y educación a los niños de la calle y las org</w:t>
      </w:r>
      <w:r>
        <w:t>a</w:t>
      </w:r>
      <w:r>
        <w:t>nizaciones no gubernamentales tienen centros para ellos. Con respecto al papel de los medios de difusión, los programas de radio y televisión y las revistas para la mujer promueven el adelanto de la mujer. El Comité Nacional de Myanmar para Asuntos de la Mujer dest</w:t>
      </w:r>
      <w:r>
        <w:t>a</w:t>
      </w:r>
      <w:r>
        <w:t>có el importante papel de la mujer en un programa dramático especial difundido en noviembre de 1999.</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La información sobre morbilidad de la matern</w:t>
      </w:r>
      <w:r>
        <w:t>i</w:t>
      </w:r>
      <w:r>
        <w:t>dad figura en el informe inicial. No se dispone de datos desagregados por género sobre otras enfermedades. La tasa de morbilidad del paludismo es superior a 16 por 1.000, y en 1994 la incidencia del cáncer llegaba a 117,2 por 100.000. Aún no se dispone de servicios ad</w:t>
      </w:r>
      <w:r>
        <w:t>e</w:t>
      </w:r>
      <w:r>
        <w:t>cuados para la detección precoz. No obstante, se está aplicando una estrategia de prevención m</w:t>
      </w:r>
      <w:r>
        <w:t>e</w:t>
      </w:r>
      <w:r>
        <w:t>diante la educación sanitaria. Se capacita a los oficiales médicos y a los agentes de atención básica de la salud en cue</w:t>
      </w:r>
      <w:r>
        <w:t>s</w:t>
      </w:r>
      <w:r>
        <w:t>tiones relativas a la salud mental y el Ministerio de S</w:t>
      </w:r>
      <w:r>
        <w:t>a</w:t>
      </w:r>
      <w:r>
        <w:t>lud ha nombrado a psiquiatras en los principales hosp</w:t>
      </w:r>
      <w:r>
        <w:t>i</w:t>
      </w:r>
      <w:r>
        <w:t>tales de todo el país. Se prevé que hacia fines de 2001, un 75% de los agentes de salud existentes esta</w:t>
      </w:r>
      <w:r>
        <w:rPr>
          <w:spacing w:val="2"/>
        </w:rPr>
        <w:t>rán en condiciones de ofrecer servicios de salud me</w:t>
      </w:r>
      <w:r>
        <w:rPr>
          <w:spacing w:val="2"/>
        </w:rPr>
        <w:t>n</w:t>
      </w:r>
      <w:r>
        <w:t>tal.</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Las mujeres de Myanmar realizan muchas activ</w:t>
      </w:r>
      <w:r>
        <w:t>i</w:t>
      </w:r>
      <w:r>
        <w:t>dades en organizaciones no gubernamentales. Hay c</w:t>
      </w:r>
      <w:r>
        <w:t>o</w:t>
      </w:r>
      <w:r>
        <w:t>operativas de mujeres, asociaciones pro bienestar de la mujer, organizaciones sociales y religiosas de mujeres y asociaciones de mujeres profesionales. Los criterios para ingresar como miembro son determinados por c</w:t>
      </w:r>
      <w:r>
        <w:t>a</w:t>
      </w:r>
      <w:r>
        <w:t>da organización, la cual registra a sus miembros cada año en el Ministerio del Interior.</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Con respecto a la lucha contra las toxicomanías, la Ley de estupefacientes y sustancias sicotrópicas, promulgada en enero de 1993, condujo a crear a nivel nacional y local comités de prevención y lucha contra las toxic</w:t>
      </w:r>
      <w:r>
        <w:t>o</w:t>
      </w:r>
      <w:r>
        <w:t>manías.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La Convención se tradujo al idioma de Myanmar y el Comité Nacional de Trabajo para Asuntos de la Mujer la está difundiendo mediante artículos en revi</w:t>
      </w:r>
      <w:r>
        <w:t>s</w:t>
      </w:r>
      <w:r>
        <w:t>tas y charlas en diversos poblados. El Gobierno tiene conciencia de que es necesario intensificar las acciones para traducir la Convención a los idiomas de las com</w:t>
      </w:r>
      <w:r>
        <w:t>u</w:t>
      </w:r>
      <w:r>
        <w:t>nidades étnicas.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La oradora no puede aportar datos sobre el núm</w:t>
      </w:r>
      <w:r>
        <w:t>e</w:t>
      </w:r>
      <w:r>
        <w:t>ro de mujeres encarceladas, ni sobre la proporción de éstas respecto de la población femenina en general o la proporción entre mujeres y hombres encarcelados. A su juicio, esas proporciones son pequeñas. Las mujeres encarceladas están segregadas de los hombres y disfr</w:t>
      </w:r>
      <w:r>
        <w:t>u</w:t>
      </w:r>
      <w:r>
        <w:t>tan de algunos privilegios, entre ellos que se co</w:t>
      </w:r>
      <w:r>
        <w:t>n</w:t>
      </w:r>
      <w:r>
        <w:t>muten las sentencias de muerte por cadena perpetua cuando se trata de una embarazada; el derecho de co</w:t>
      </w:r>
      <w:r>
        <w:t>n</w:t>
      </w:r>
      <w:r>
        <w:t>servar a sus hijitos menores de cuatro años con ellas; y la posibil</w:t>
      </w:r>
      <w:r>
        <w:t>i</w:t>
      </w:r>
      <w:r>
        <w:t>dad, para las que han cometido un delito por primera vez, de obtener libertad por buena conducta, según la gravedad del delito.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Khan</w:t>
      </w:r>
      <w:r>
        <w:t xml:space="preserve"> agradece a la delegación de Myanmar haber aportado información y datos compl</w:t>
      </w:r>
      <w:r>
        <w:t>e</w:t>
      </w:r>
      <w:r>
        <w:t>mentarios. Abriga la esperanza de que los ciudadanos de Myanmar que viven en campamentos de refugiados allende la frontera sean repatriados sin tardanza, de modo de mitigar la carga que pesa sobre los países v</w:t>
      </w:r>
      <w:r>
        <w:t>e</w:t>
      </w:r>
      <w:r>
        <w:t>cinos. También espera que las autoridades de Myanmar hagan todo lo posible por mitigar la situación de las mujeres y los niños en zonas de conflicto armado y protegerlos contra la violencia y los malos tratos. Si bien es satisfactorio que haya controlado a los grupos insurgentes armados, señala que el desplazamiento de personas, inclusive mujeres y niños, sin su consent</w:t>
      </w:r>
      <w:r>
        <w:t>i</w:t>
      </w:r>
      <w:r>
        <w:t>miento, es una conculcación de sus derechos humanos básicos a tener libertad de movimiento y escoger el l</w:t>
      </w:r>
      <w:r>
        <w:t>u</w:t>
      </w:r>
      <w:r>
        <w:t>gar de residencia. También complace a la oradora que ya no se permita el trabajo forzado, pero piensa que debe enjuiciarse a los perpetradores. Confía en que el próximo informe del Estado parte contenga más info</w:t>
      </w:r>
      <w:r>
        <w:t>r</w:t>
      </w:r>
      <w:r>
        <w:t>mación al respecto.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La oradora elogia la alta tasa de alfabetización en Myanmar, pero habría agradecido recibir más inform</w:t>
      </w:r>
      <w:r>
        <w:t>a</w:t>
      </w:r>
      <w:r>
        <w:t>ción sobre la educación primaria, por ejemplo, si es obligatoria y cuáles son los recursos presupuestarios que se le destinan. La oradora lamenta las restricciones a la admisión de mujeres al Instituto Dental y los Inst</w:t>
      </w:r>
      <w:r>
        <w:t>i</w:t>
      </w:r>
      <w:r>
        <w:t>tutos de Tecnología y Agricultura, entre otros.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Estado parte debería ampliar el alcance de sus estudios sobre la violencia contra la mujer. En tiempo de guerra, en particular, las mujeres son mucho más vulnerables fuera del hogar que dentro de éste. En el informe no se mencionan los casos de violación o vi</w:t>
      </w:r>
      <w:r>
        <w:t>o</w:t>
      </w:r>
      <w:r>
        <w:t>lencia contra la mujer perpetrados por miembros de instituciones gubernamentales. No basta con suponer que las leyes y las normas sociales cambiarán a medida que las mujeres reciban más educación; es menester aprobar legislación que promueva esos cambios. Si bien el mecanismo nacional para el adelanto de la m</w:t>
      </w:r>
      <w:r>
        <w:t>u</w:t>
      </w:r>
      <w:r>
        <w:t>jer es de gran magnitud, cabe lamentar que el Comité Nacional para Asuntos de la Mujer de Myanmar no r</w:t>
      </w:r>
      <w:r>
        <w:t>e</w:t>
      </w:r>
      <w:r>
        <w:t>ciba recursos humanos ni financieros del Gobierno.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Con respecto a la salud, la oradora reitera la pr</w:t>
      </w:r>
      <w:r>
        <w:t>e</w:t>
      </w:r>
      <w:r>
        <w:t>ocupación del Comité acerca de las mujeres con sí</w:t>
      </w:r>
      <w:r>
        <w:t>n</w:t>
      </w:r>
      <w:r>
        <w:t>drome de inmunodeficiencia adquirida (SIDA). Dado que el Estado parte tiene una de las más altas tasas de crecimiento demográfico en el Asia sudoriental, y una alta tasa de abortos, es preciso aumentar el acceso a los servicios de planificación de la familia. Por últ</w:t>
      </w:r>
      <w:r>
        <w:t>i</w:t>
      </w:r>
      <w:r>
        <w:t>mo, abriga la esperanza de que la nueva Constitución pr</w:t>
      </w:r>
      <w:r>
        <w:t>o</w:t>
      </w:r>
      <w:r>
        <w:t>híba la discriminación por motivos de género y que las disposiciones de la Convención se incorporen en la l</w:t>
      </w:r>
      <w:r>
        <w:t>e</w:t>
      </w:r>
      <w:r>
        <w:t>gislación nacional.</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Corti</w:t>
      </w:r>
      <w:r>
        <w:t xml:space="preserve"> destaca que el Comité no es un ó</w:t>
      </w:r>
      <w:r>
        <w:t>r</w:t>
      </w:r>
      <w:r>
        <w:t>gano político y que no trata de injerirse en los asuntos internos de los países; sin embargo, exhorta al Estado parte a prestar atención no sólo a las exhortaciones del Comité, sino también a la opinión pública mundial con respecto a la situación de Daw Aung San Suu Kyi, a quien se le prohibió hasta asistir al funeral de su esp</w:t>
      </w:r>
      <w:r>
        <w:t>o</w:t>
      </w:r>
      <w:r>
        <w:t>so. El Estado parte no indicó de qué manera se propone garantizar plenamente los derechos humanos de los grupos étnicos, en particular las mujeres de esos grupos. A su juicio, esto sólo puede lograrse aplicando una estrategia a largo plazo en el marco de un sistema d</w:t>
      </w:r>
      <w:r>
        <w:t>e</w:t>
      </w:r>
      <w:r>
        <w:t>mocrático.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Goonesekere</w:t>
      </w:r>
      <w:r>
        <w:t xml:space="preserve"> dice que, aun cuando Myanmar está padeciendo conflictos internos, el Com</w:t>
      </w:r>
      <w:r>
        <w:t>i</w:t>
      </w:r>
      <w:r>
        <w:t>té tiene, no obstante, el deber de señalar que debe dar cumplimiento a las normas de la Convención. En ve</w:t>
      </w:r>
      <w:r>
        <w:t>r</w:t>
      </w:r>
      <w:r>
        <w:t>dad, en tiempos de conflicto interno, los gobiernos ti</w:t>
      </w:r>
      <w:r>
        <w:t>e</w:t>
      </w:r>
      <w:r>
        <w:t>nen una responsabilidad especial de velar por que las autoridades encargadas del cumplimiento de la ley re</w:t>
      </w:r>
      <w:r>
        <w:t>s</w:t>
      </w:r>
      <w:r>
        <w:t>peten las normas de derechos humanos y tengan co</w:t>
      </w:r>
      <w:r>
        <w:t>n</w:t>
      </w:r>
      <w:r>
        <w:t>ciencia de que deberán rendir cuentas y serán enjuici</w:t>
      </w:r>
      <w:r>
        <w:t>a</w:t>
      </w:r>
      <w:r>
        <w:t>dos cuando se conculquen los derechos humanos, en particular cuando se cometan actos de violencia contra personas en custodia.</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Complace mucho a la oradora tener conocimiento de que se enmendaron recientemente la Ley de Pobl</w:t>
      </w:r>
      <w:r>
        <w:t>a</w:t>
      </w:r>
      <w:r>
        <w:t>dos y la Ley de Aldeas, de modo de abolir efectiv</w:t>
      </w:r>
      <w:r>
        <w:t>a</w:t>
      </w:r>
      <w:r>
        <w:t>mente el uso de trabajo forzado. Confía en que el G</w:t>
      </w:r>
      <w:r>
        <w:t>o</w:t>
      </w:r>
      <w:r>
        <w:t>bierno emprenda una eficaz campaña de creación de conciencia sobre esas enmiendas y establezca los ad</w:t>
      </w:r>
      <w:r>
        <w:t>e</w:t>
      </w:r>
      <w:r>
        <w:t>cuados m</w:t>
      </w:r>
      <w:r>
        <w:t>e</w:t>
      </w:r>
      <w:r>
        <w:t>canismos de vigilancia.</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Manalo</w:t>
      </w:r>
      <w:r>
        <w:t xml:space="preserve"> recuerda al Estado parte que, en ausencia de un ámbito de democracia participatoria y de una fuerte sociedad civil, no pueden llevarse a la práctica los principios básicos de la Convención. En la medida en que el Gobierno aplace la restauración de las instituciones democráticas, sus medidas en pro </w:t>
      </w:r>
      <w:r>
        <w:rPr>
          <w:spacing w:val="6"/>
        </w:rPr>
        <w:t>del adelanto de la mujer seguirán siendo teóricas y su</w:t>
      </w:r>
      <w:r>
        <w:t>perf</w:t>
      </w:r>
      <w:r>
        <w:t>i</w:t>
      </w:r>
      <w:r>
        <w:t>ciales.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Schöpp-Schilling</w:t>
      </w:r>
      <w:r>
        <w:t xml:space="preserve"> dice que le alienta oír que el Gobierno se propone decididamente restaurar la democracia, debido a que sólo así podrá aplicarse pl</w:t>
      </w:r>
      <w:r>
        <w:t>e</w:t>
      </w:r>
      <w:r>
        <w:t>namente la Convención. Se suma a otros miembros del Comité para exhortar a que se lleve a término rápid</w:t>
      </w:r>
      <w:r>
        <w:t>a</w:t>
      </w:r>
      <w:r>
        <w:t>mente la nueva Constitución, que espera refleje las di</w:t>
      </w:r>
      <w:r>
        <w:t>s</w:t>
      </w:r>
      <w:r>
        <w:t>posiciones de todos los acuerdos internacionales en que Myanmar es parte, inclusive la definición de discrim</w:t>
      </w:r>
      <w:r>
        <w:t>i</w:t>
      </w:r>
      <w:r>
        <w:t>nación que figura en el artículo 1 de la Convención y las obligaciones del Estado en cuanto a acelerar la igualdad en los hechos, según se estipula en el artículo 4 1) de la Convención.</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Si bien superar los estereotipos de género es un proceso a largo plazo, hay una medida que debe adoptarse de inmediato: abolir las cuotas que limitan el porcentaje de mujeres que pueden matricularse en el Instituto Dental y los Institutos de Tecnología, Silvicu</w:t>
      </w:r>
      <w:r>
        <w:t>l</w:t>
      </w:r>
      <w:r>
        <w:t>tura, Agricultura, Biología Marina y Geología. El a</w:t>
      </w:r>
      <w:r>
        <w:t>r</w:t>
      </w:r>
      <w:r>
        <w:t>gumento de que las mujeres son físicamente incap</w:t>
      </w:r>
      <w:r>
        <w:t>a</w:t>
      </w:r>
      <w:r>
        <w:t>ces de ejercer esas profesiones es difícil de aceptar cuando se consideran los trabajos físicos pesados que realizan tantas mujeres de Myanmar.</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Le complace que el Estado parte ya haya recon</w:t>
      </w:r>
      <w:r>
        <w:t>o</w:t>
      </w:r>
      <w:r>
        <w:t>cido en su propio informe la necesidad de proporcionar datos más desagregados por género. También es ale</w:t>
      </w:r>
      <w:r>
        <w:t>n</w:t>
      </w:r>
      <w:r>
        <w:t>tador que en el Plan Nacional de Acción para el Ad</w:t>
      </w:r>
      <w:r>
        <w:t>e</w:t>
      </w:r>
      <w:r>
        <w:t>lanto de la Mujer se haya determinado que son esferas de preocupación política el analfabetismo femenino y las bajas tasas de matriculación y altas tasas de aba</w:t>
      </w:r>
      <w:r>
        <w:t>n</w:t>
      </w:r>
      <w:r>
        <w:t>dono escolar de las niñas. Con todo, sería más eficaz fijar metas numéricas, por modestas que sean. Aguarda con interés recibir datos acerca de los resultados de esas medidas en el próximo informe. Otros temas que desearía se abordaran son la liberalización de las leyes de aborto y la promoción de anticonceptivos a fin de reducir la mortalidad de las madres a causa de abortos realizados en malas condiciones; también debería abordarse la situación financiera y de salud de las m</w:t>
      </w:r>
      <w:r>
        <w:t>u</w:t>
      </w:r>
      <w:r>
        <w:t>jeres mayores de 60 años, cuya cantidad en ese grupo de edades es dos veces superior a la de hombres.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Si la oradora comprendió correctamente, hay dos mecanismos nacionales para el adelanto de la mujer: un órgano interministerial que formula políticas, el Com</w:t>
      </w:r>
      <w:r>
        <w:t>i</w:t>
      </w:r>
      <w:r>
        <w:t>té Nacional para Asuntos de la Mujer de Myanmar, que no recibe financiación gubernamental, y un órgano operacional, el Comité Nacional de Trabajo para Asu</w:t>
      </w:r>
      <w:r>
        <w:t>n</w:t>
      </w:r>
      <w:r>
        <w:t>tos de la Mujer de Myanmar. Agradecería recibir acl</w:t>
      </w:r>
      <w:r>
        <w:t>a</w:t>
      </w:r>
      <w:r>
        <w:t>raciones con respecto a las fuentes de financiación de este último. Al completarse el proceso de paz, qued</w:t>
      </w:r>
      <w:r>
        <w:t>a</w:t>
      </w:r>
      <w:r>
        <w:t>rán liberados recursos gubernamentales, algunos de los cuales pueden destinarse a programas en beneficio de la mujer.</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Hazelle</w:t>
      </w:r>
      <w:r>
        <w:t xml:space="preserve"> dice que le preocupa la financi</w:t>
      </w:r>
      <w:r>
        <w:t>a</w:t>
      </w:r>
      <w:r>
        <w:t>ción del mecanismo nacional para la mujer. En ause</w:t>
      </w:r>
      <w:r>
        <w:t>n</w:t>
      </w:r>
      <w:r>
        <w:t>cia de partidas presupuestarias, será sin duda muy dif</w:t>
      </w:r>
      <w:r>
        <w:t>í</w:t>
      </w:r>
      <w:r>
        <w:t>cil para los diversos ministerios representados en el Comité que formula políticas dar cumplimiento a estas funciones adicionales; y esto es aún más real en el caso del Comité operacional. Si, como se informa, los su</w:t>
      </w:r>
      <w:r>
        <w:t>b</w:t>
      </w:r>
      <w:r>
        <w:t>comités operacionales están integrados por miembros que se desempeñan sólo a título voluntario, esto arroja graves dudas acerca del grado de compromiso del G</w:t>
      </w:r>
      <w:r>
        <w:t>o</w:t>
      </w:r>
      <w:r>
        <w:t>bierno respecto de los objetivos establecidos en el Plan Nacional de Acción para el Adelanto de la Mujer, que los subcomités tendrían que poner en práctica.</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Abaka</w:t>
      </w:r>
      <w:r>
        <w:t xml:space="preserve"> señala que si una mujer encarc</w:t>
      </w:r>
      <w:r>
        <w:t>e</w:t>
      </w:r>
      <w:r>
        <w:t>lada puede conservar consigo a un niño de hasta cuatro años de edad, cabe preguntar qué servicios se propo</w:t>
      </w:r>
      <w:r>
        <w:t>r</w:t>
      </w:r>
      <w:r>
        <w:t>cionan para el desarrollo del niño.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Presidenta</w:t>
      </w:r>
      <w:r>
        <w:t xml:space="preserve"> dice que el Comité apreció la i</w:t>
      </w:r>
      <w:r>
        <w:t>n</w:t>
      </w:r>
      <w:r>
        <w:t>clusión de dos distinguidas expertas en la delegación de Myanmar para responder a las preguntas del Com</w:t>
      </w:r>
      <w:r>
        <w:t>i</w:t>
      </w:r>
      <w:r>
        <w:t>té. La delegación habrá notado que aún no se han sati</w:t>
      </w:r>
      <w:r>
        <w:t>s</w:t>
      </w:r>
      <w:r>
        <w:t>fecho las preocupaciones del Comité con respecto al problema de las personas desplazadas, una gran pr</w:t>
      </w:r>
      <w:r>
        <w:t>o</w:t>
      </w:r>
      <w:r>
        <w:t>porción de las cuales son mujeres y niños; la inclusión de los derechos de la mujer en la nueva Constitución; y la situación de la laureada con el Premio Nobel de la Paz, Daw Aung San Suu Kyi. El Estado parte debería tomar conciencia de que el Comité, dado que es uno de los seis órganos que se encargan de vigilar el cumpl</w:t>
      </w:r>
      <w:r>
        <w:t>i</w:t>
      </w:r>
      <w:r>
        <w:t>miento de los tratados de derechos humanos, tiene el deber de indagar acerca de todas las situaciones que atañen a los derechos humanos de la mujer. Su mand</w:t>
      </w:r>
      <w:r>
        <w:t>a</w:t>
      </w:r>
      <w:r>
        <w:t>to abarca los derechos de las mujeres de diferentes grupos étnicos y las mujeres en todas las etapas y todos los aspectos de su vida, inclusive salud, educación, d</w:t>
      </w:r>
      <w:r>
        <w:t>e</w:t>
      </w:r>
      <w:r>
        <w:t>rechos reproductivos y derechos jurídicos. La oradora espera que, en su próximo informe, el Estado parte pueda informar sobre los resultados logrados por los programas que está instituyendo.</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Comité solicita concretamente al Estado parte que considere las observaciones y conclusiones del Comité y difunda sus recomendaciones en todas las oficinas gubernamentales pertinentes, así como en todo el país.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El</w:t>
      </w:r>
      <w:r>
        <w:t xml:space="preserve"> </w:t>
      </w:r>
      <w:r>
        <w:rPr>
          <w:b/>
        </w:rPr>
        <w:t>Sr. Mra</w:t>
      </w:r>
      <w:r>
        <w:t xml:space="preserve"> (Myanmar) dice que la primera opo</w:t>
      </w:r>
      <w:r>
        <w:t>r</w:t>
      </w:r>
      <w:r>
        <w:t>tunidad que tuvo Myanmar de informar al Comité r</w:t>
      </w:r>
      <w:r>
        <w:t>e</w:t>
      </w:r>
      <w:r>
        <w:t>sultó una invaluable experiencia de aprendizaje que posibilitará que el Gobierno, en su próximo informe, focalice más la atención en las cuestiones de interés del Comité.</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Aun cuando el Comité no se interesa en general por detalles de índole política, desea responder a unos pocos conceptos erróneos. Myanmar es un país amante de la paz, con tradición budista, y las acciones del G</w:t>
      </w:r>
      <w:r>
        <w:t>o</w:t>
      </w:r>
      <w:r>
        <w:t>bierno se encaminan a establecer la paz y avanzar en el proceso de la Convención Nacional. Si la redacción de la nueva Constitución insume algún tiempo, eso obed</w:t>
      </w:r>
      <w:r>
        <w:t>e</w:t>
      </w:r>
      <w:r>
        <w:t>ce al deseo de llegar a un texto que garantice los der</w:t>
      </w:r>
      <w:r>
        <w:t>e</w:t>
      </w:r>
      <w:r>
        <w:t>chos de los ciudadanos de Myanmar en el futuro, dado que la anterior Constitución se aprobó apresuradamente y resultó defectuosa.</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actual Gobierno se propone restaurar la unidad entre los grupos étnicos del país, divididos y antagon</w:t>
      </w:r>
      <w:r>
        <w:t>i</w:t>
      </w:r>
      <w:r>
        <w:t>zados bajo el gobierno colonial; también tiene la inte</w:t>
      </w:r>
      <w:r>
        <w:t>n</w:t>
      </w:r>
      <w:r>
        <w:t>ción de contrarrestar la discriminación que data de tiempos coloniales. Actualmente, de un total de 18 grupos armados, 17 han depuesto sus armas y se han reintegrado a la vida civil. El único grupo restante es el autor de la mayoría de las atrocidades denunciadas. Las zonas fronterizas que anteriormente estaban aisladas por la guerra se han abierto, en su mayor parte, al des</w:t>
      </w:r>
      <w:r>
        <w:t>a</w:t>
      </w:r>
      <w:r>
        <w:t>rrollo de sus ricos recursos forestales.</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orador asegura al Comité que Daw Aung San Suu Kyi tiene total libertad de movimiento. Fue por propia decisión que no asistió al funeral de su esposo. Es difícil para el orador comprender que una mujer d</w:t>
      </w:r>
      <w:r>
        <w:t>e</w:t>
      </w:r>
      <w:r>
        <w:t>dicada a crear discordia en su país haya merecido el Premio Nobel de la Paz.</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t>El orador desea asegurar al Comité que la Co</w:t>
      </w:r>
      <w:r>
        <w:t>n</w:t>
      </w:r>
      <w:r>
        <w:t>vención se ha traducido al idioma de Myanmar, se d</w:t>
      </w:r>
      <w:r>
        <w:t>i</w:t>
      </w:r>
      <w:r>
        <w:t>fundirá ampliamente y será observada, dado que, con pocas excepciones, los miembros de las fuerzas arm</w:t>
      </w:r>
      <w:r>
        <w:t>a</w:t>
      </w:r>
      <w:r>
        <w:t>das son muy disciplinados. En vista de los beneficios que derivó su delegación de un diálogo directo con el Comité, desea invitar a la Presidenta a que visite su p</w:t>
      </w:r>
      <w:r>
        <w:t>a</w:t>
      </w:r>
      <w:r>
        <w:t>ís para presenciar directamente lo que se está h</w:t>
      </w:r>
      <w:r>
        <w:t>a</w:t>
      </w:r>
      <w:r>
        <w:t>ciendo allí.</w:t>
      </w:r>
    </w:p>
    <w:p w:rsidR="002C6C24" w:rsidRDefault="002C6C24">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Presidenta</w:t>
      </w:r>
      <w:r>
        <w:t xml:space="preserve"> dice que el Comité agradece al j</w:t>
      </w:r>
      <w:r>
        <w:t>e</w:t>
      </w:r>
      <w:r>
        <w:t>fe de la delegación de Myanmar su franca y emotiva respuesta y estará muy interesada en considerar la p</w:t>
      </w:r>
      <w:r>
        <w:t>o</w:t>
      </w:r>
      <w:r>
        <w:t>sibilidad de que uno de los miembros del Comité visite Myanmar.</w:t>
      </w:r>
    </w:p>
    <w:p w:rsidR="002C6C24" w:rsidRDefault="002C6C24">
      <w:pPr>
        <w:pStyle w:val="DualTxt"/>
        <w:rPr>
          <w:i/>
        </w:rPr>
      </w:pPr>
      <w:r>
        <w:rPr>
          <w:i/>
        </w:rPr>
        <w:t>Se levanta la sesión a las 17.05 horas.</w:t>
      </w:r>
    </w:p>
    <w:sectPr w:rsidR="002C6C24">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2C6C24" w:rsidRPr="00955729" w:rsidRDefault="002C6C24">
      <w:pPr>
        <w:pStyle w:val="CommentText"/>
        <w:rPr>
          <w:lang w:val="en-US"/>
        </w:rPr>
      </w:pPr>
      <w:r>
        <w:fldChar w:fldCharType="begin"/>
      </w:r>
      <w:r w:rsidRPr="00955729">
        <w:rPr>
          <w:lang w:val="en-US"/>
        </w:rPr>
        <w:instrText>PAGE \# "'Page: '#'</w:instrText>
      </w:r>
      <w:r w:rsidRPr="00955729">
        <w:rPr>
          <w:lang w:val="en-US"/>
        </w:rPr>
        <w:br/>
        <w:instrText>'"</w:instrText>
      </w:r>
      <w:r w:rsidRPr="00955729">
        <w:rPr>
          <w:rStyle w:val="CommentReference"/>
          <w:lang w:val="en-US"/>
        </w:rPr>
        <w:instrText xml:space="preserve">  </w:instrText>
      </w:r>
      <w:r>
        <w:fldChar w:fldCharType="end"/>
      </w:r>
      <w:r>
        <w:rPr>
          <w:rStyle w:val="CommentReference"/>
        </w:rPr>
        <w:annotationRef/>
      </w:r>
      <w:r w:rsidRPr="00955729">
        <w:rPr>
          <w:lang w:val="en-US"/>
        </w:rPr>
        <w:t>&lt;&lt;ODS JOB NO&gt;&gt;N0026127S&lt;&lt;ODS JOB NO&gt;&gt;</w:t>
      </w:r>
    </w:p>
    <w:p w:rsidR="002C6C24" w:rsidRPr="00955729" w:rsidRDefault="002C6C24">
      <w:pPr>
        <w:pStyle w:val="CommentText"/>
        <w:rPr>
          <w:lang w:val="en-US"/>
        </w:rPr>
      </w:pPr>
      <w:r w:rsidRPr="00955729">
        <w:rPr>
          <w:lang w:val="en-US"/>
        </w:rPr>
        <w:t>&lt;&lt;ODS DOC SYMBOL1&gt;&gt;CEDAW/C/SR.457&lt;&lt;ODS DOC SYMBOL1&gt;&gt;</w:t>
      </w:r>
    </w:p>
    <w:p w:rsidR="002C6C24" w:rsidRPr="00955729" w:rsidRDefault="002C6C24">
      <w:pPr>
        <w:pStyle w:val="CommentText"/>
        <w:rPr>
          <w:lang w:val="en-US"/>
        </w:rPr>
      </w:pPr>
      <w:r w:rsidRPr="00955729">
        <w:rPr>
          <w:lang w:val="en-US"/>
        </w:rPr>
        <w:t>&lt;&lt;ODS DOC SYMBOL2&gt;&gt;&lt;&lt;ODS DOC SYMBOL2&gt;&gt;</w:t>
      </w:r>
    </w:p>
  </w:comment>
  <w:comment w:id="0" w:author="GACM User" w:date="2006-06-19T21:58:00Z" w:initials="GU">
    <w:p w:rsidR="00DB7D56" w:rsidRPr="00247CB9" w:rsidRDefault="00DB7D56">
      <w:pPr>
        <w:pStyle w:val="CommentText"/>
        <w:rPr>
          <w:lang w:val="en-US"/>
        </w:rPr>
      </w:pPr>
      <w:r>
        <w:fldChar w:fldCharType="begin"/>
      </w:r>
      <w:r w:rsidRPr="00247CB9">
        <w:rPr>
          <w:rStyle w:val="CommentReference"/>
          <w:lang w:val="en-US"/>
        </w:rPr>
        <w:instrText xml:space="preserve"> </w:instrText>
      </w:r>
      <w:r w:rsidRPr="00247CB9">
        <w:rPr>
          <w:lang w:val="en-US"/>
        </w:rPr>
        <w:instrText>PAGE \# "'Page: '#'</w:instrText>
      </w:r>
      <w:r w:rsidRPr="00247CB9">
        <w:rPr>
          <w:lang w:val="en-US"/>
        </w:rPr>
        <w:br/>
        <w:instrText>'"</w:instrText>
      </w:r>
      <w:r w:rsidRPr="00247CB9">
        <w:rPr>
          <w:rStyle w:val="CommentReference"/>
          <w:lang w:val="en-US"/>
        </w:rPr>
        <w:instrText xml:space="preserve"> </w:instrText>
      </w:r>
      <w:r>
        <w:fldChar w:fldCharType="end"/>
      </w:r>
      <w:r>
        <w:rPr>
          <w:rStyle w:val="CommentReference"/>
        </w:rPr>
        <w:annotationRef/>
      </w:r>
      <w:r w:rsidRPr="00247CB9">
        <w:rPr>
          <w:lang w:val="en-US"/>
        </w:rPr>
        <w:t>&lt;&lt;ODS JOB NO&gt;&gt;N0026127S&lt;&lt;ODS JOB NO&gt;&gt;</w:t>
      </w:r>
    </w:p>
    <w:p w:rsidR="00DB7D56" w:rsidRPr="00247CB9" w:rsidRDefault="00DB7D56">
      <w:pPr>
        <w:pStyle w:val="CommentText"/>
        <w:rPr>
          <w:lang w:val="en-US"/>
        </w:rPr>
      </w:pPr>
      <w:r w:rsidRPr="00247CB9">
        <w:rPr>
          <w:lang w:val="en-US"/>
        </w:rPr>
        <w:t>&lt;&lt;ODS DOC SYMBOL1&gt;&gt;CEDAW/C/SR.457&lt;&lt;ODS DOC SYMBOL1&gt;&gt;</w:t>
      </w:r>
    </w:p>
    <w:p w:rsidR="00DB7D56" w:rsidRPr="00247CB9" w:rsidRDefault="00DB7D56">
      <w:pPr>
        <w:pStyle w:val="CommentText"/>
        <w:rPr>
          <w:lang w:val="en-US"/>
        </w:rPr>
      </w:pPr>
      <w:r w:rsidRPr="00247CB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10A" w:rsidRPr="007E00CA" w:rsidRDefault="001C410A" w:rsidP="002C6C24">
      <w:pPr>
        <w:rPr>
          <w:sz w:val="14"/>
        </w:rPr>
      </w:pPr>
      <w:r>
        <w:separator/>
      </w:r>
    </w:p>
  </w:endnote>
  <w:endnote w:type="continuationSeparator" w:id="0">
    <w:p w:rsidR="001C410A" w:rsidRPr="007E00CA" w:rsidRDefault="001C410A" w:rsidP="002C6C24">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C6C24">
      <w:tblPrEx>
        <w:tblCellMar>
          <w:top w:w="0" w:type="dxa"/>
          <w:bottom w:w="0" w:type="dxa"/>
        </w:tblCellMar>
      </w:tblPrEx>
      <w:tc>
        <w:tcPr>
          <w:tcW w:w="5033" w:type="dxa"/>
          <w:vAlign w:val="bottom"/>
        </w:tcPr>
        <w:p w:rsidR="002C6C24" w:rsidRDefault="002C6C24">
          <w:pPr>
            <w:pStyle w:val="Footer"/>
          </w:pPr>
          <w:r>
            <w:fldChar w:fldCharType="begin"/>
          </w:r>
          <w:r>
            <w:instrText xml:space="preserve"> PAGE  \* MERGEFORMAT </w:instrText>
          </w:r>
          <w:r>
            <w:fldChar w:fldCharType="separate"/>
          </w:r>
          <w:r w:rsidR="00247CB9">
            <w:t>8</w:t>
          </w:r>
          <w:r>
            <w:fldChar w:fldCharType="end"/>
          </w:r>
        </w:p>
      </w:tc>
      <w:tc>
        <w:tcPr>
          <w:tcW w:w="5033" w:type="dxa"/>
          <w:vAlign w:val="bottom"/>
        </w:tcPr>
        <w:p w:rsidR="002C6C24" w:rsidRDefault="002C6C24">
          <w:pPr>
            <w:pStyle w:val="Footer"/>
            <w:jc w:val="right"/>
            <w:rPr>
              <w:b w:val="0"/>
              <w:sz w:val="14"/>
            </w:rPr>
          </w:pPr>
        </w:p>
      </w:tc>
    </w:tr>
  </w:tbl>
  <w:p w:rsidR="002C6C24" w:rsidRDefault="002C6C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C6C24">
      <w:tblPrEx>
        <w:tblCellMar>
          <w:top w:w="0" w:type="dxa"/>
          <w:bottom w:w="0" w:type="dxa"/>
        </w:tblCellMar>
      </w:tblPrEx>
      <w:tc>
        <w:tcPr>
          <w:tcW w:w="5033" w:type="dxa"/>
          <w:vAlign w:val="bottom"/>
        </w:tcPr>
        <w:p w:rsidR="002C6C24" w:rsidRDefault="002C6C24">
          <w:pPr>
            <w:pStyle w:val="Footer"/>
            <w:rPr>
              <w:b w:val="0"/>
              <w:sz w:val="14"/>
            </w:rPr>
          </w:pPr>
        </w:p>
      </w:tc>
      <w:tc>
        <w:tcPr>
          <w:tcW w:w="5033" w:type="dxa"/>
          <w:vAlign w:val="bottom"/>
        </w:tcPr>
        <w:p w:rsidR="002C6C24" w:rsidRDefault="002C6C24">
          <w:pPr>
            <w:pStyle w:val="Footer"/>
            <w:jc w:val="right"/>
          </w:pPr>
          <w:r>
            <w:fldChar w:fldCharType="begin"/>
          </w:r>
          <w:r>
            <w:instrText xml:space="preserve"> PAGE  \* MERGEFORMAT </w:instrText>
          </w:r>
          <w:r>
            <w:fldChar w:fldCharType="separate"/>
          </w:r>
          <w:r w:rsidR="00247CB9">
            <w:t>9</w:t>
          </w:r>
          <w:r>
            <w:fldChar w:fldCharType="end"/>
          </w:r>
        </w:p>
      </w:tc>
    </w:tr>
  </w:tbl>
  <w:p w:rsidR="002C6C24" w:rsidRDefault="002C6C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C24" w:rsidRDefault="002C6C24">
    <w:pPr>
      <w:pStyle w:val="Footer"/>
      <w:pBdr>
        <w:top w:val="single" w:sz="2" w:space="1" w:color="auto"/>
      </w:pBdr>
      <w:rPr>
        <w:sz w:val="2"/>
      </w:rPr>
    </w:pPr>
  </w:p>
  <w:p w:rsidR="002C6C24" w:rsidRDefault="002C6C2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C6C24" w:rsidRDefault="002C6C2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C6C24" w:rsidRDefault="002C6C2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C6C24" w:rsidRDefault="002C6C24">
    <w:pPr>
      <w:pStyle w:val="FootnoteText"/>
      <w:spacing w:line="120" w:lineRule="exact"/>
      <w:ind w:left="1267" w:right="1267" w:firstLine="0"/>
      <w:rPr>
        <w:sz w:val="10"/>
      </w:rPr>
    </w:pPr>
  </w:p>
  <w:p w:rsidR="00DB7D56" w:rsidRDefault="002C6C24">
    <w:pPr>
      <w:pStyle w:val="Footer"/>
      <w:rPr>
        <w:b w:val="0"/>
        <w:sz w:val="20"/>
      </w:rPr>
    </w:pPr>
    <w:r>
      <w:rPr>
        <w:b w:val="0"/>
        <w:sz w:val="20"/>
      </w:rPr>
      <w:t>00-26127 (S)</w:t>
    </w:r>
  </w:p>
  <w:p w:rsidR="002C6C24" w:rsidRPr="00DB7D56" w:rsidRDefault="00DB7D56">
    <w:pPr>
      <w:pStyle w:val="Footer"/>
      <w:rPr>
        <w:rFonts w:ascii="Barcode 3 of 9 by request" w:hAnsi="Barcode 3 of 9 by request"/>
        <w:b w:val="0"/>
        <w:sz w:val="20"/>
      </w:rPr>
    </w:pPr>
    <w:r>
      <w:rPr>
        <w:rFonts w:ascii="Barcode 3 of 9 by request" w:hAnsi="Barcode 3 of 9 by request"/>
        <w:b w:val="0"/>
        <w:sz w:val="20"/>
      </w:rPr>
      <w:t>0026127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10A" w:rsidRPr="007E00CA" w:rsidRDefault="001C410A" w:rsidP="002C6C24">
      <w:pPr>
        <w:rPr>
          <w:sz w:val="14"/>
        </w:rPr>
      </w:pPr>
      <w:r>
        <w:separator/>
      </w:r>
    </w:p>
  </w:footnote>
  <w:footnote w:type="continuationSeparator" w:id="0">
    <w:p w:rsidR="001C410A" w:rsidRPr="007E00CA" w:rsidRDefault="001C410A" w:rsidP="002C6C24">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C24" w:rsidRDefault="002C6C24">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C6C24">
                  <w:tblPrEx>
                    <w:tblCellMar>
                      <w:top w:w="0" w:type="dxa"/>
                      <w:left w:w="0" w:type="dxa"/>
                      <w:bottom w:w="0" w:type="dxa"/>
                      <w:right w:w="0" w:type="dxa"/>
                    </w:tblCellMar>
                  </w:tblPrEx>
                  <w:trPr>
                    <w:trHeight w:hRule="exact" w:val="864"/>
                  </w:trPr>
                  <w:tc>
                    <w:tcPr>
                      <w:tcW w:w="4838" w:type="dxa"/>
                      <w:vAlign w:val="bottom"/>
                    </w:tcPr>
                    <w:p w:rsidR="002C6C24" w:rsidRDefault="002C6C24">
                      <w:pPr>
                        <w:pStyle w:val="Header"/>
                        <w:spacing w:after="80"/>
                        <w:rPr>
                          <w:b/>
                        </w:rPr>
                      </w:pPr>
                      <w:r>
                        <w:rPr>
                          <w:b/>
                        </w:rPr>
                        <w:t>CEDAW/C/SR.457</w:t>
                      </w:r>
                    </w:p>
                  </w:tc>
                  <w:tc>
                    <w:tcPr>
                      <w:tcW w:w="5047" w:type="dxa"/>
                      <w:vAlign w:val="bottom"/>
                    </w:tcPr>
                    <w:p w:rsidR="002C6C24" w:rsidRDefault="002C6C24">
                      <w:pPr>
                        <w:pStyle w:val="Header"/>
                      </w:pPr>
                    </w:p>
                  </w:tc>
                </w:tr>
              </w:tbl>
              <w:p w:rsidR="002C6C24" w:rsidRDefault="002C6C24"/>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C24" w:rsidRDefault="002C6C24">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C6C24">
                  <w:tblPrEx>
                    <w:tblCellMar>
                      <w:top w:w="0" w:type="dxa"/>
                      <w:left w:w="0" w:type="dxa"/>
                      <w:bottom w:w="0" w:type="dxa"/>
                      <w:right w:w="0" w:type="dxa"/>
                    </w:tblCellMar>
                  </w:tblPrEx>
                  <w:trPr>
                    <w:trHeight w:hRule="exact" w:val="864"/>
                  </w:trPr>
                  <w:tc>
                    <w:tcPr>
                      <w:tcW w:w="4838" w:type="dxa"/>
                      <w:vAlign w:val="bottom"/>
                    </w:tcPr>
                    <w:p w:rsidR="002C6C24" w:rsidRDefault="002C6C24">
                      <w:pPr>
                        <w:pStyle w:val="Header"/>
                      </w:pPr>
                    </w:p>
                  </w:tc>
                  <w:tc>
                    <w:tcPr>
                      <w:tcW w:w="5047" w:type="dxa"/>
                      <w:vAlign w:val="bottom"/>
                    </w:tcPr>
                    <w:p w:rsidR="002C6C24" w:rsidRDefault="002C6C24">
                      <w:pPr>
                        <w:pStyle w:val="Header"/>
                        <w:spacing w:after="80"/>
                        <w:jc w:val="right"/>
                        <w:rPr>
                          <w:b/>
                        </w:rPr>
                      </w:pPr>
                      <w:r>
                        <w:rPr>
                          <w:b/>
                        </w:rPr>
                        <w:t>CEDAW/C/SR.457</w:t>
                      </w:r>
                    </w:p>
                  </w:tc>
                </w:tr>
              </w:tbl>
              <w:p w:rsidR="002C6C24" w:rsidRDefault="002C6C24"/>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C6C24">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C6C24" w:rsidRDefault="002C6C24">
          <w:pPr>
            <w:pStyle w:val="Header"/>
            <w:spacing w:after="120"/>
          </w:pPr>
        </w:p>
      </w:tc>
      <w:tc>
        <w:tcPr>
          <w:tcW w:w="2059" w:type="dxa"/>
          <w:tcBorders>
            <w:top w:val="nil"/>
            <w:left w:val="nil"/>
            <w:bottom w:val="nil"/>
            <w:right w:val="nil"/>
          </w:tcBorders>
          <w:vAlign w:val="bottom"/>
        </w:tcPr>
        <w:p w:rsidR="002C6C24" w:rsidRDefault="002C6C24">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2C6C24" w:rsidRDefault="002C6C24">
          <w:pPr>
            <w:pStyle w:val="Header"/>
            <w:spacing w:after="120"/>
          </w:pPr>
        </w:p>
      </w:tc>
      <w:tc>
        <w:tcPr>
          <w:tcW w:w="6523" w:type="dxa"/>
          <w:gridSpan w:val="3"/>
          <w:tcBorders>
            <w:top w:val="nil"/>
            <w:left w:val="nil"/>
            <w:bottom w:val="nil"/>
            <w:right w:val="nil"/>
          </w:tcBorders>
          <w:vAlign w:val="bottom"/>
        </w:tcPr>
        <w:p w:rsidR="002C6C24" w:rsidRDefault="002C6C24">
          <w:pPr>
            <w:spacing w:after="80" w:line="240" w:lineRule="auto"/>
            <w:jc w:val="right"/>
            <w:rPr>
              <w:position w:val="-4"/>
            </w:rPr>
          </w:pPr>
          <w:r>
            <w:rPr>
              <w:position w:val="-4"/>
              <w:sz w:val="40"/>
            </w:rPr>
            <w:t>CEDAW</w:t>
          </w:r>
          <w:r>
            <w:rPr>
              <w:position w:val="-4"/>
            </w:rPr>
            <w:t>/C/SR.457</w:t>
          </w:r>
        </w:p>
      </w:tc>
    </w:tr>
    <w:tr w:rsidR="002C6C24">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C6C24" w:rsidRDefault="002C6C2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C6C24" w:rsidRDefault="002C6C24">
          <w:pPr>
            <w:pStyle w:val="Header"/>
            <w:spacing w:before="109"/>
          </w:pPr>
        </w:p>
      </w:tc>
      <w:tc>
        <w:tcPr>
          <w:tcW w:w="5227" w:type="dxa"/>
          <w:gridSpan w:val="3"/>
          <w:tcBorders>
            <w:left w:val="nil"/>
            <w:bottom w:val="single" w:sz="12" w:space="0" w:color="auto"/>
            <w:right w:val="nil"/>
          </w:tcBorders>
        </w:tcPr>
        <w:p w:rsidR="002C6C24" w:rsidRDefault="002C6C2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C6C24" w:rsidRPr="00955729" w:rsidRDefault="002C6C24">
          <w:pPr>
            <w:pStyle w:val="Header"/>
            <w:spacing w:before="109"/>
            <w:rPr>
              <w:lang w:val="es-ES"/>
            </w:rPr>
          </w:pPr>
        </w:p>
      </w:tc>
      <w:tc>
        <w:tcPr>
          <w:tcW w:w="3180" w:type="dxa"/>
          <w:gridSpan w:val="2"/>
          <w:tcBorders>
            <w:left w:val="nil"/>
            <w:bottom w:val="single" w:sz="12" w:space="0" w:color="auto"/>
            <w:right w:val="nil"/>
          </w:tcBorders>
        </w:tcPr>
        <w:p w:rsidR="002C6C24" w:rsidRDefault="002C6C24">
          <w:pPr>
            <w:spacing w:before="240"/>
          </w:pPr>
          <w:r>
            <w:t>Distr. general</w:t>
          </w:r>
        </w:p>
        <w:p w:rsidR="002C6C24" w:rsidRDefault="002C6C24">
          <w:r>
            <w:t>2 de agosto de 2001</w:t>
          </w:r>
        </w:p>
        <w:p w:rsidR="002C6C24" w:rsidRDefault="002C6C24">
          <w:r>
            <w:t>Español</w:t>
          </w:r>
        </w:p>
        <w:p w:rsidR="002C6C24" w:rsidRDefault="002C6C24">
          <w:r>
            <w:t>Original: inglés</w:t>
          </w:r>
        </w:p>
      </w:tc>
    </w:tr>
  </w:tbl>
  <w:p w:rsidR="002C6C24" w:rsidRDefault="002C6C2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322B4"/>
    <w:multiLevelType w:val="singleLevel"/>
    <w:tmpl w:val="1FFEA130"/>
    <w:lvl w:ilvl="0">
      <w:start w:val="1"/>
      <w:numFmt w:val="decimal"/>
      <w:lvlText w:val="%1."/>
      <w:lvlJc w:val="left"/>
      <w:pPr>
        <w:tabs>
          <w:tab w:val="num" w:pos="360"/>
        </w:tabs>
        <w:ind w:left="0" w:firstLine="0"/>
      </w:pPr>
    </w:lvl>
  </w:abstractNum>
  <w:abstractNum w:abstractNumId="1">
    <w:nsid w:val="59AE31FE"/>
    <w:multiLevelType w:val="singleLevel"/>
    <w:tmpl w:val="B20045D6"/>
    <w:lvl w:ilvl="0">
      <w:start w:val="1"/>
      <w:numFmt w:val="decimal"/>
      <w:lvlRestart w:val="0"/>
      <w:lvlText w:val="%1."/>
      <w:lvlJc w:val="left"/>
      <w:pPr>
        <w:tabs>
          <w:tab w:val="num" w:pos="475"/>
        </w:tabs>
        <w:ind w:left="0" w:firstLine="0"/>
      </w:pPr>
      <w:rPr>
        <w:spacing w:val="0"/>
        <w:w w:val="100"/>
      </w:rPr>
    </w:lvl>
  </w:abstractNum>
  <w:abstractNum w:abstractNumId="2">
    <w:nsid w:val="6A191572"/>
    <w:multiLevelType w:val="singleLevel"/>
    <w:tmpl w:val="5E6CE814"/>
    <w:lvl w:ilvl="0">
      <w:start w:val="13"/>
      <w:numFmt w:val="decimal"/>
      <w:lvlText w:val="%1."/>
      <w:lvlJc w:val="left"/>
      <w:pPr>
        <w:tabs>
          <w:tab w:val="num" w:pos="360"/>
        </w:tabs>
        <w:ind w:left="0" w:firstLine="0"/>
      </w:pPr>
    </w:lvl>
  </w:abstractNum>
  <w:num w:numId="1">
    <w:abstractNumId w:val="0"/>
  </w:num>
  <w:num w:numId="2">
    <w:abstractNumId w:val="2"/>
  </w:num>
  <w:num w:numId="3">
    <w:abstractNumId w:val="1"/>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1/2006 5:23: PM"/>
    <w:docVar w:name="DocCategory" w:val="SROthers"/>
    <w:docVar w:name="DocType" w:val="Final"/>
    <w:docVar w:name="JobNo" w:val="0026127S"/>
    <w:docVar w:name="OandT" w:val="pl"/>
    <w:docVar w:name="Symbol1" w:val="CEDAW/C/SR.457"/>
    <w:docVar w:name="Symbol2" w:val="-"/>
  </w:docVars>
  <w:rsids>
    <w:rsidRoot w:val="005F52E2"/>
    <w:rsid w:val="00195385"/>
    <w:rsid w:val="001C410A"/>
    <w:rsid w:val="00247CB9"/>
    <w:rsid w:val="002C6C24"/>
    <w:rsid w:val="003D7A3F"/>
    <w:rsid w:val="005F52E2"/>
    <w:rsid w:val="00955729"/>
    <w:rsid w:val="00B66F14"/>
    <w:rsid w:val="00DB7D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5F52E2"/>
    <w:rPr>
      <w:rFonts w:ascii="Tahoma" w:hAnsi="Tahoma" w:cs="Tahoma"/>
      <w:sz w:val="16"/>
      <w:szCs w:val="16"/>
    </w:rPr>
  </w:style>
  <w:style w:type="paragraph" w:styleId="CommentSubject">
    <w:name w:val="annotation subject"/>
    <w:basedOn w:val="CommentText"/>
    <w:next w:val="CommentText"/>
    <w:semiHidden/>
    <w:rsid w:val="00DB7D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5769</Words>
  <Characters>30289</Characters>
  <Application>Microsoft Office Word</Application>
  <DocSecurity>4</DocSecurity>
  <Lines>738</Lines>
  <Paragraphs>82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GACM User</cp:lastModifiedBy>
  <cp:revision>8</cp:revision>
  <cp:lastPrinted>2006-06-19T20:58:00Z</cp:lastPrinted>
  <dcterms:created xsi:type="dcterms:W3CDTF">2006-06-19T20:56:00Z</dcterms:created>
  <dcterms:modified xsi:type="dcterms:W3CDTF">2006-06-19T20:59:00Z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0026127</vt:lpwstr>
  </property>
  <property fmtid="{D5CDD505-2E9C-101B-9397-08002B2CF9AE}" pid="3" name="Symbol1">
    <vt:lpwstr>CEDAW/C/SR.457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pl/pola</vt:lpwstr>
  </property>
</Properties>
</file>